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3.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1CA36C" w14:textId="77777777" w:rsidR="00817E6A" w:rsidRDefault="00817E6A" w:rsidP="00495C74">
      <w:pPr>
        <w:pStyle w:val="Title"/>
        <w:jc w:val="both"/>
      </w:pPr>
    </w:p>
    <w:p w14:paraId="52B638F4" w14:textId="77777777" w:rsidR="00817E6A" w:rsidRDefault="00817E6A" w:rsidP="00495C74">
      <w:pPr>
        <w:jc w:val="both"/>
      </w:pPr>
    </w:p>
    <w:p w14:paraId="33B3D6DC" w14:textId="77777777" w:rsidR="00817E6A" w:rsidRDefault="00817E6A" w:rsidP="00495C74">
      <w:pPr>
        <w:jc w:val="both"/>
      </w:pPr>
    </w:p>
    <w:p w14:paraId="1546972F" w14:textId="77777777" w:rsidR="00817E6A" w:rsidRDefault="00817E6A" w:rsidP="00495C74">
      <w:pPr>
        <w:jc w:val="both"/>
      </w:pPr>
    </w:p>
    <w:p w14:paraId="502290B5" w14:textId="77777777" w:rsidR="00817E6A" w:rsidRDefault="00817E6A" w:rsidP="00495C74">
      <w:pPr>
        <w:jc w:val="both"/>
      </w:pPr>
    </w:p>
    <w:p w14:paraId="59165727" w14:textId="77777777" w:rsidR="00817E6A" w:rsidRDefault="00817E6A" w:rsidP="00495C74">
      <w:pPr>
        <w:jc w:val="both"/>
      </w:pPr>
    </w:p>
    <w:p w14:paraId="491A667B" w14:textId="77777777" w:rsidR="00817E6A" w:rsidRDefault="00817E6A" w:rsidP="00495C74">
      <w:pPr>
        <w:jc w:val="both"/>
      </w:pPr>
    </w:p>
    <w:p w14:paraId="14DA6B6E" w14:textId="77777777" w:rsidR="00817E6A" w:rsidRDefault="00817E6A" w:rsidP="00495C74">
      <w:pPr>
        <w:jc w:val="both"/>
      </w:pPr>
    </w:p>
    <w:p w14:paraId="1A582046" w14:textId="77777777" w:rsidR="00817E6A" w:rsidRDefault="00817E6A" w:rsidP="00495C74">
      <w:pPr>
        <w:jc w:val="both"/>
      </w:pPr>
    </w:p>
    <w:p w14:paraId="41DAD194" w14:textId="77777777" w:rsidR="00817E6A" w:rsidRDefault="00817E6A" w:rsidP="00495C74">
      <w:pPr>
        <w:jc w:val="both"/>
      </w:pPr>
    </w:p>
    <w:p w14:paraId="7AADDD6D" w14:textId="2395761C" w:rsidR="00817E6A" w:rsidRPr="005C46A2" w:rsidRDefault="009809CE" w:rsidP="0037761C">
      <w:pPr>
        <w:jc w:val="center"/>
        <w:rPr>
          <w:b/>
          <w:caps/>
          <w:sz w:val="36"/>
          <w:szCs w:val="36"/>
        </w:rPr>
      </w:pPr>
      <w:r w:rsidRPr="005C46A2">
        <w:rPr>
          <w:b/>
          <w:caps/>
          <w:sz w:val="36"/>
          <w:szCs w:val="36"/>
        </w:rPr>
        <w:t xml:space="preserve">Enhancing </w:t>
      </w:r>
      <w:r w:rsidR="00FB619C" w:rsidRPr="005C46A2">
        <w:rPr>
          <w:b/>
          <w:caps/>
          <w:sz w:val="36"/>
          <w:szCs w:val="36"/>
        </w:rPr>
        <w:t>SUPPORT</w:t>
      </w:r>
      <w:r w:rsidR="00EE35A0" w:rsidRPr="005C46A2">
        <w:rPr>
          <w:b/>
          <w:caps/>
          <w:sz w:val="36"/>
          <w:szCs w:val="36"/>
        </w:rPr>
        <w:t xml:space="preserve"> </w:t>
      </w:r>
      <w:r w:rsidR="00E75912" w:rsidRPr="005C46A2">
        <w:rPr>
          <w:b/>
          <w:caps/>
          <w:sz w:val="36"/>
          <w:szCs w:val="36"/>
        </w:rPr>
        <w:t xml:space="preserve">for family and </w:t>
      </w:r>
      <w:r w:rsidR="00FB619C" w:rsidRPr="005C46A2">
        <w:rPr>
          <w:b/>
          <w:caps/>
          <w:sz w:val="36"/>
          <w:szCs w:val="36"/>
        </w:rPr>
        <w:t xml:space="preserve">AFFECTED </w:t>
      </w:r>
      <w:r w:rsidR="005C58C6" w:rsidRPr="005C46A2">
        <w:rPr>
          <w:b/>
          <w:caps/>
          <w:sz w:val="36"/>
          <w:szCs w:val="36"/>
        </w:rPr>
        <w:t>OTHERS</w:t>
      </w:r>
      <w:r w:rsidRPr="005C46A2">
        <w:rPr>
          <w:b/>
          <w:caps/>
          <w:sz w:val="36"/>
          <w:szCs w:val="36"/>
        </w:rPr>
        <w:t xml:space="preserve"> in </w:t>
      </w:r>
      <w:r w:rsidR="0037319B">
        <w:rPr>
          <w:b/>
          <w:caps/>
          <w:sz w:val="36"/>
          <w:szCs w:val="36"/>
        </w:rPr>
        <w:t xml:space="preserve">New Zealand </w:t>
      </w:r>
      <w:r w:rsidRPr="005C46A2">
        <w:rPr>
          <w:b/>
          <w:caps/>
          <w:sz w:val="36"/>
          <w:szCs w:val="36"/>
        </w:rPr>
        <w:t>gambling services</w:t>
      </w:r>
      <w:r w:rsidR="0037319B">
        <w:rPr>
          <w:b/>
          <w:caps/>
          <w:sz w:val="36"/>
          <w:szCs w:val="36"/>
        </w:rPr>
        <w:t>: An Exploratory mixed methods study</w:t>
      </w:r>
    </w:p>
    <w:p w14:paraId="192F8ABE" w14:textId="77777777" w:rsidR="009703CB" w:rsidRPr="005C46A2" w:rsidRDefault="009703CB" w:rsidP="0037761C">
      <w:pPr>
        <w:jc w:val="center"/>
        <w:rPr>
          <w:b/>
          <w:sz w:val="28"/>
          <w:szCs w:val="28"/>
        </w:rPr>
      </w:pPr>
    </w:p>
    <w:p w14:paraId="1B73395C" w14:textId="1426F6D4" w:rsidR="009703CB" w:rsidRPr="005C46A2" w:rsidRDefault="00F10C01" w:rsidP="0037761C">
      <w:pPr>
        <w:jc w:val="center"/>
        <w:rPr>
          <w:b/>
          <w:sz w:val="28"/>
          <w:szCs w:val="28"/>
        </w:rPr>
      </w:pPr>
      <w:r>
        <w:rPr>
          <w:b/>
          <w:sz w:val="28"/>
          <w:szCs w:val="28"/>
        </w:rPr>
        <w:t>Final</w:t>
      </w:r>
      <w:r w:rsidR="0037319B">
        <w:rPr>
          <w:b/>
          <w:sz w:val="28"/>
          <w:szCs w:val="28"/>
        </w:rPr>
        <w:t xml:space="preserve"> report</w:t>
      </w:r>
      <w:r w:rsidR="00BE7C20" w:rsidRPr="005C46A2">
        <w:rPr>
          <w:b/>
          <w:sz w:val="28"/>
          <w:szCs w:val="28"/>
        </w:rPr>
        <w:t>.</w:t>
      </w:r>
    </w:p>
    <w:p w14:paraId="60CC4E7E" w14:textId="77777777" w:rsidR="009703CB" w:rsidRPr="005C46A2" w:rsidRDefault="009703CB" w:rsidP="0037761C">
      <w:pPr>
        <w:jc w:val="center"/>
        <w:rPr>
          <w:b/>
          <w:sz w:val="28"/>
          <w:szCs w:val="28"/>
        </w:rPr>
      </w:pPr>
    </w:p>
    <w:p w14:paraId="7B148E3D" w14:textId="246DE511" w:rsidR="00817E6A" w:rsidRPr="005C46A2" w:rsidRDefault="000A6299" w:rsidP="0037761C">
      <w:pPr>
        <w:jc w:val="center"/>
        <w:rPr>
          <w:b/>
          <w:sz w:val="28"/>
          <w:szCs w:val="28"/>
        </w:rPr>
      </w:pPr>
      <w:r>
        <w:rPr>
          <w:b/>
          <w:sz w:val="28"/>
          <w:szCs w:val="28"/>
        </w:rPr>
        <w:t>December</w:t>
      </w:r>
      <w:r w:rsidR="0062562F" w:rsidRPr="005C46A2">
        <w:rPr>
          <w:b/>
          <w:sz w:val="28"/>
          <w:szCs w:val="28"/>
        </w:rPr>
        <w:t xml:space="preserve"> </w:t>
      </w:r>
      <w:r>
        <w:rPr>
          <w:b/>
          <w:sz w:val="28"/>
          <w:szCs w:val="28"/>
        </w:rPr>
        <w:t>9</w:t>
      </w:r>
      <w:r w:rsidR="001F59BE" w:rsidRPr="005C46A2">
        <w:rPr>
          <w:b/>
          <w:sz w:val="28"/>
          <w:szCs w:val="28"/>
        </w:rPr>
        <w:t>,</w:t>
      </w:r>
      <w:r w:rsidR="0062562F" w:rsidRPr="005C46A2">
        <w:rPr>
          <w:b/>
          <w:sz w:val="28"/>
          <w:szCs w:val="28"/>
        </w:rPr>
        <w:t xml:space="preserve"> 20</w:t>
      </w:r>
      <w:r w:rsidR="00E75912" w:rsidRPr="005C46A2">
        <w:rPr>
          <w:b/>
          <w:sz w:val="28"/>
          <w:szCs w:val="28"/>
        </w:rPr>
        <w:t>2</w:t>
      </w:r>
      <w:r>
        <w:rPr>
          <w:b/>
          <w:sz w:val="28"/>
          <w:szCs w:val="28"/>
        </w:rPr>
        <w:t>0</w:t>
      </w:r>
      <w:r w:rsidR="0062562F" w:rsidRPr="005C46A2">
        <w:rPr>
          <w:b/>
          <w:sz w:val="28"/>
          <w:szCs w:val="28"/>
        </w:rPr>
        <w:t>.</w:t>
      </w:r>
    </w:p>
    <w:p w14:paraId="5EA1ACE0" w14:textId="578987DD" w:rsidR="00016719" w:rsidRPr="005C46A2" w:rsidRDefault="00016719" w:rsidP="00495C74">
      <w:pPr>
        <w:jc w:val="both"/>
      </w:pPr>
    </w:p>
    <w:p w14:paraId="1BBEEC79" w14:textId="77777777" w:rsidR="00F200E1" w:rsidRPr="005C46A2" w:rsidRDefault="00F200E1" w:rsidP="00495C74">
      <w:pPr>
        <w:jc w:val="both"/>
      </w:pPr>
    </w:p>
    <w:p w14:paraId="59C7645B" w14:textId="77777777" w:rsidR="00F200E1" w:rsidRPr="005C46A2" w:rsidRDefault="00F200E1" w:rsidP="00495C74">
      <w:pPr>
        <w:jc w:val="both"/>
      </w:pPr>
    </w:p>
    <w:p w14:paraId="3515A57F" w14:textId="77777777" w:rsidR="00F200E1" w:rsidRPr="005C46A2" w:rsidRDefault="00F200E1" w:rsidP="00495C74">
      <w:pPr>
        <w:jc w:val="both"/>
      </w:pPr>
    </w:p>
    <w:p w14:paraId="75195132" w14:textId="77777777" w:rsidR="00F200E1" w:rsidRPr="005C46A2" w:rsidRDefault="00F200E1" w:rsidP="00495C74">
      <w:pPr>
        <w:jc w:val="both"/>
      </w:pPr>
    </w:p>
    <w:p w14:paraId="0C6FCC97" w14:textId="77777777" w:rsidR="00F200E1" w:rsidRPr="005C46A2" w:rsidRDefault="00F200E1" w:rsidP="00495C74">
      <w:pPr>
        <w:jc w:val="both"/>
      </w:pPr>
    </w:p>
    <w:p w14:paraId="3631E568" w14:textId="77777777" w:rsidR="00F200E1" w:rsidRPr="005C46A2" w:rsidRDefault="00F200E1" w:rsidP="00495C74">
      <w:pPr>
        <w:jc w:val="both"/>
      </w:pPr>
    </w:p>
    <w:p w14:paraId="695C3A83" w14:textId="77777777" w:rsidR="00F200E1" w:rsidRPr="005C46A2" w:rsidRDefault="00F200E1" w:rsidP="00495C74">
      <w:pPr>
        <w:jc w:val="both"/>
      </w:pPr>
    </w:p>
    <w:p w14:paraId="614485A7" w14:textId="77777777" w:rsidR="00F200E1" w:rsidRPr="005C46A2" w:rsidRDefault="00F200E1" w:rsidP="00495C74">
      <w:pPr>
        <w:jc w:val="both"/>
      </w:pPr>
    </w:p>
    <w:p w14:paraId="4A8CD274" w14:textId="77777777" w:rsidR="00F200E1" w:rsidRPr="005C46A2" w:rsidRDefault="00F200E1" w:rsidP="00495C74">
      <w:pPr>
        <w:jc w:val="both"/>
      </w:pPr>
    </w:p>
    <w:p w14:paraId="20D550FC" w14:textId="77777777" w:rsidR="00F200E1" w:rsidRPr="005C46A2" w:rsidRDefault="00F200E1" w:rsidP="00495C74">
      <w:pPr>
        <w:jc w:val="both"/>
      </w:pPr>
    </w:p>
    <w:p w14:paraId="713EF8D1" w14:textId="77777777" w:rsidR="00F200E1" w:rsidRPr="005C46A2" w:rsidRDefault="00F200E1" w:rsidP="00495C74">
      <w:pPr>
        <w:jc w:val="both"/>
      </w:pPr>
    </w:p>
    <w:p w14:paraId="7E5060C3" w14:textId="77777777" w:rsidR="00F200E1" w:rsidRPr="005C46A2" w:rsidRDefault="00F200E1" w:rsidP="00495C74">
      <w:pPr>
        <w:jc w:val="both"/>
      </w:pPr>
    </w:p>
    <w:p w14:paraId="62C52215" w14:textId="77777777" w:rsidR="00F200E1" w:rsidRPr="005C46A2" w:rsidRDefault="00F200E1" w:rsidP="00495C74">
      <w:pPr>
        <w:jc w:val="both"/>
      </w:pPr>
    </w:p>
    <w:p w14:paraId="472E054C" w14:textId="77777777" w:rsidR="00F200E1" w:rsidRPr="005C46A2" w:rsidRDefault="00F200E1" w:rsidP="00495C74">
      <w:pPr>
        <w:jc w:val="both"/>
      </w:pPr>
    </w:p>
    <w:p w14:paraId="235FE85E" w14:textId="2C71AB2E" w:rsidR="00F200E1" w:rsidRPr="005C46A2" w:rsidRDefault="009601C0" w:rsidP="00495C74">
      <w:pPr>
        <w:jc w:val="both"/>
      </w:pPr>
      <w:r w:rsidRPr="005C46A2">
        <w:t>Prepared for Ministry of Health by:</w:t>
      </w:r>
    </w:p>
    <w:p w14:paraId="7B71EACF" w14:textId="102335E3" w:rsidR="00817E6A" w:rsidRPr="005C46A2" w:rsidRDefault="00F200E1" w:rsidP="00495C74">
      <w:pPr>
        <w:jc w:val="both"/>
      </w:pPr>
      <w:bookmarkStart w:id="0" w:name="_Hlk54942097"/>
      <w:r w:rsidRPr="005C46A2">
        <w:t xml:space="preserve">Katie Palmer du Preez, </w:t>
      </w:r>
      <w:r w:rsidR="00E75912" w:rsidRPr="005C46A2">
        <w:t>Giulia Lowe</w:t>
      </w:r>
      <w:r w:rsidR="00F66936">
        <w:t xml:space="preserve">, Laura </w:t>
      </w:r>
      <w:r w:rsidR="00AA63E0">
        <w:t xml:space="preserve">R. </w:t>
      </w:r>
      <w:r w:rsidR="00F66936">
        <w:t>Mauchline</w:t>
      </w:r>
      <w:r w:rsidR="00200DEB">
        <w:t xml:space="preserve">, </w:t>
      </w:r>
      <w:r w:rsidR="003A5A20" w:rsidRPr="003A5A20">
        <w:t>Stéphane Janicot</w:t>
      </w:r>
      <w:r w:rsidR="00200DEB">
        <w:t xml:space="preserve">, </w:t>
      </w:r>
      <w:r w:rsidR="0092634F">
        <w:t xml:space="preserve">Nathan Henry, </w:t>
      </w:r>
      <w:r w:rsidR="00200DEB">
        <w:t>Nick Garrett</w:t>
      </w:r>
      <w:r w:rsidR="005C58C6" w:rsidRPr="005C46A2">
        <w:t xml:space="preserve"> and</w:t>
      </w:r>
      <w:r w:rsidR="00E75912" w:rsidRPr="005C46A2">
        <w:t xml:space="preserve"> Jason Landon</w:t>
      </w:r>
      <w:r w:rsidR="005C58C6" w:rsidRPr="005C46A2">
        <w:t>.</w:t>
      </w:r>
    </w:p>
    <w:bookmarkEnd w:id="0"/>
    <w:p w14:paraId="3D36B834" w14:textId="27CCA186" w:rsidR="009601C0" w:rsidRPr="005C46A2" w:rsidRDefault="009601C0" w:rsidP="00495C74">
      <w:pPr>
        <w:jc w:val="both"/>
      </w:pPr>
      <w:r w:rsidRPr="005C46A2">
        <w:t>Auckland University of Technology (AUT)</w:t>
      </w:r>
    </w:p>
    <w:p w14:paraId="49213515" w14:textId="77777777" w:rsidR="00C46435" w:rsidRDefault="009601C0" w:rsidP="00495C74">
      <w:pPr>
        <w:jc w:val="both"/>
      </w:pPr>
      <w:r w:rsidRPr="005C46A2">
        <w:t>Gambling and Addictions Research Centre (GARC).</w:t>
      </w:r>
    </w:p>
    <w:p w14:paraId="4D09EA17" w14:textId="1066455B" w:rsidR="00C46435" w:rsidRDefault="00C46435" w:rsidP="00495C74">
      <w:pPr>
        <w:jc w:val="both"/>
      </w:pPr>
    </w:p>
    <w:p w14:paraId="3E7F7519" w14:textId="3ABC0D09" w:rsidR="00C46435" w:rsidRDefault="00C46435" w:rsidP="00495C74">
      <w:pPr>
        <w:jc w:val="both"/>
      </w:pPr>
    </w:p>
    <w:p w14:paraId="21C2B8E8" w14:textId="0C0F4CD1" w:rsidR="00C46435" w:rsidRPr="00C46435" w:rsidRDefault="00C46435" w:rsidP="00C13E89">
      <w:pPr>
        <w:pStyle w:val="Heading1"/>
        <w:jc w:val="both"/>
      </w:pPr>
      <w:bookmarkStart w:id="1" w:name="_Toc58400760"/>
      <w:r>
        <w:t>AKNOWLEDGEMENTS</w:t>
      </w:r>
      <w:bookmarkEnd w:id="1"/>
    </w:p>
    <w:p w14:paraId="463C5095" w14:textId="01781EBD" w:rsidR="00C46435" w:rsidRDefault="00C46435" w:rsidP="00C46435">
      <w:pPr>
        <w:jc w:val="both"/>
      </w:pPr>
      <w:r w:rsidRPr="00200DEB">
        <w:t xml:space="preserve">The authors thank </w:t>
      </w:r>
      <w:r w:rsidR="006F716D">
        <w:t>Dr Jane Oakes and Dr Angela Rintoul</w:t>
      </w:r>
      <w:r w:rsidR="00200DEB" w:rsidRPr="00200DEB">
        <w:t xml:space="preserve"> </w:t>
      </w:r>
      <w:r w:rsidRPr="00200DEB">
        <w:t xml:space="preserve">who peer reviewed this report and provided </w:t>
      </w:r>
      <w:r w:rsidR="00200DEB">
        <w:t xml:space="preserve">constructive </w:t>
      </w:r>
      <w:r w:rsidRPr="00200DEB">
        <w:t>critical feedback.</w:t>
      </w:r>
      <w:r w:rsidRPr="00C46435">
        <w:t xml:space="preserve"> </w:t>
      </w:r>
      <w:r w:rsidR="000246D2">
        <w:t xml:space="preserve">We </w:t>
      </w:r>
      <w:r w:rsidR="006F716D">
        <w:t xml:space="preserve">also </w:t>
      </w:r>
      <w:r w:rsidR="000246D2">
        <w:t xml:space="preserve">thank our generous panel of 40 experts </w:t>
      </w:r>
      <w:r w:rsidR="00EB1549">
        <w:t>o</w:t>
      </w:r>
      <w:r w:rsidR="000246D2">
        <w:t>n support for families harmed by addictions, who contributed a wealth of information</w:t>
      </w:r>
      <w:r w:rsidR="005517C3">
        <w:t xml:space="preserve"> and without whom this project could not have been completed</w:t>
      </w:r>
      <w:r w:rsidR="000246D2">
        <w:t xml:space="preserve">. </w:t>
      </w:r>
    </w:p>
    <w:p w14:paraId="12EC35BB" w14:textId="77777777" w:rsidR="00C46435" w:rsidRPr="00D52956" w:rsidRDefault="00C46435" w:rsidP="00C46435">
      <w:pPr>
        <w:jc w:val="both"/>
      </w:pPr>
    </w:p>
    <w:p w14:paraId="0AD5F2FF" w14:textId="77777777" w:rsidR="00C46435" w:rsidRPr="00D52956" w:rsidRDefault="00C46435" w:rsidP="00C46435">
      <w:pPr>
        <w:jc w:val="both"/>
        <w:rPr>
          <w:b/>
        </w:rPr>
      </w:pPr>
      <w:r w:rsidRPr="00D52956">
        <w:rPr>
          <w:b/>
        </w:rPr>
        <w:t>Disclaimer</w:t>
      </w:r>
    </w:p>
    <w:p w14:paraId="4CD7CC9F" w14:textId="4A93B8FF" w:rsidR="00C46435" w:rsidRPr="00D52956" w:rsidRDefault="00C46435" w:rsidP="00C46435">
      <w:pPr>
        <w:jc w:val="both"/>
      </w:pPr>
      <w:r w:rsidRPr="00D52956">
        <w:t>This report was prepared under contract (Number</w:t>
      </w:r>
      <w:r>
        <w:t xml:space="preserve"> </w:t>
      </w:r>
      <w:r w:rsidRPr="00C46435">
        <w:t>363890-00</w:t>
      </w:r>
      <w:r w:rsidRPr="00D52956">
        <w:t>) to the N</w:t>
      </w:r>
      <w:r>
        <w:t xml:space="preserve">ew Zealand Ministry of Health. </w:t>
      </w:r>
      <w:r w:rsidRPr="00D52956">
        <w:t>The copyright in this article is owned by the Crown and</w:t>
      </w:r>
      <w:r>
        <w:t xml:space="preserve"> administered by the Ministry. </w:t>
      </w:r>
      <w:r w:rsidRPr="00D52956">
        <w:t>The views of the authors do not necessarily represent the views or policy of the N</w:t>
      </w:r>
      <w:r>
        <w:t xml:space="preserve">ew Zealand Ministry of Health. </w:t>
      </w:r>
      <w:r w:rsidRPr="00D52956">
        <w:t>The Ministry makes no warranty, express or implied, nor assumes any liability or responsibility for use of, or reliance on, the contents of this report.</w:t>
      </w:r>
    </w:p>
    <w:p w14:paraId="0DD1BB25" w14:textId="77777777" w:rsidR="00C46435" w:rsidRPr="00D52956" w:rsidRDefault="00C46435" w:rsidP="00C46435">
      <w:pPr>
        <w:jc w:val="both"/>
      </w:pPr>
    </w:p>
    <w:p w14:paraId="42052394" w14:textId="77777777" w:rsidR="00C46435" w:rsidRPr="00D52956" w:rsidRDefault="00C46435" w:rsidP="00C46435">
      <w:pPr>
        <w:jc w:val="both"/>
        <w:rPr>
          <w:b/>
        </w:rPr>
      </w:pPr>
      <w:r w:rsidRPr="00D52956">
        <w:rPr>
          <w:b/>
        </w:rPr>
        <w:t>Suggested citation</w:t>
      </w:r>
    </w:p>
    <w:p w14:paraId="5B4CDAA6" w14:textId="054A0C14" w:rsidR="00C46435" w:rsidRDefault="00C46435" w:rsidP="00495C74">
      <w:pPr>
        <w:jc w:val="both"/>
      </w:pPr>
      <w:r>
        <w:t>Palmer du Preez, K., Lowe, G., Mauchline, L.</w:t>
      </w:r>
      <w:r w:rsidR="00AA63E0">
        <w:t>R</w:t>
      </w:r>
      <w:r>
        <w:t xml:space="preserve">, </w:t>
      </w:r>
      <w:r w:rsidR="00F2396B">
        <w:t xml:space="preserve">Janicot, S., </w:t>
      </w:r>
      <w:r w:rsidR="0092634F">
        <w:t xml:space="preserve">Henry, N., </w:t>
      </w:r>
      <w:r w:rsidR="00F2396B">
        <w:t xml:space="preserve">Garrett, N., </w:t>
      </w:r>
      <w:r>
        <w:t>&amp; Landon, J. (</w:t>
      </w:r>
      <w:r w:rsidR="00140695">
        <w:t>release date</w:t>
      </w:r>
      <w:r>
        <w:t xml:space="preserve">). Enhancing support provided to family and affected others in New Zealand gambling services: An exploratory mixed methods </w:t>
      </w:r>
      <w:r w:rsidR="0037761C">
        <w:t>study</w:t>
      </w:r>
      <w:r>
        <w:t>. Auckland: Auckland University of Technology, Gambling and Addictions Research Centre.</w:t>
      </w:r>
    </w:p>
    <w:p w14:paraId="26583A56" w14:textId="77777777" w:rsidR="00C46435" w:rsidRDefault="00C46435" w:rsidP="00495C74">
      <w:pPr>
        <w:jc w:val="both"/>
      </w:pPr>
    </w:p>
    <w:p w14:paraId="705D550A" w14:textId="19FE54DA" w:rsidR="00C46435" w:rsidRPr="005C46A2" w:rsidRDefault="00C46435" w:rsidP="00495C74">
      <w:pPr>
        <w:jc w:val="both"/>
        <w:sectPr w:rsidR="00C46435" w:rsidRPr="005C46A2">
          <w:headerReference w:type="default" r:id="rId8"/>
          <w:footerReference w:type="default" r:id="rId9"/>
          <w:pgSz w:w="11906" w:h="16838"/>
          <w:pgMar w:top="1440" w:right="1440" w:bottom="1440" w:left="1440" w:header="708" w:footer="708" w:gutter="0"/>
          <w:cols w:space="708"/>
          <w:docGrid w:linePitch="360"/>
        </w:sectPr>
      </w:pPr>
    </w:p>
    <w:sdt>
      <w:sdtPr>
        <w:rPr>
          <w:rFonts w:eastAsiaTheme="minorHAnsi"/>
          <w:b w:val="0"/>
          <w:sz w:val="24"/>
          <w:szCs w:val="24"/>
          <w:lang w:val="en-NZ"/>
        </w:rPr>
        <w:id w:val="-1235388525"/>
        <w:docPartObj>
          <w:docPartGallery w:val="Table of Contents"/>
          <w:docPartUnique/>
        </w:docPartObj>
      </w:sdtPr>
      <w:sdtEndPr>
        <w:rPr>
          <w:bCs/>
          <w:noProof/>
        </w:rPr>
      </w:sdtEndPr>
      <w:sdtContent>
        <w:p w14:paraId="1C338CF6" w14:textId="68CAA6FF" w:rsidR="00817E6A" w:rsidRPr="005C46A2" w:rsidRDefault="009655B5" w:rsidP="00495C74">
          <w:pPr>
            <w:pStyle w:val="TOCHeading"/>
            <w:spacing w:before="0"/>
            <w:jc w:val="both"/>
          </w:pPr>
          <w:r w:rsidRPr="005C46A2">
            <w:t>CONTENTS</w:t>
          </w:r>
        </w:p>
        <w:p w14:paraId="6108E827" w14:textId="5C46BA78" w:rsidR="00DA17E3" w:rsidRDefault="00F27FB8">
          <w:pPr>
            <w:pStyle w:val="TOC1"/>
            <w:tabs>
              <w:tab w:val="right" w:leader="dot" w:pos="9016"/>
            </w:tabs>
            <w:rPr>
              <w:rFonts w:asciiTheme="minorHAnsi" w:eastAsiaTheme="minorEastAsia" w:hAnsiTheme="minorHAnsi" w:cstheme="minorBidi"/>
              <w:noProof/>
              <w:sz w:val="22"/>
              <w:szCs w:val="22"/>
              <w:lang w:eastAsia="en-NZ"/>
            </w:rPr>
          </w:pPr>
          <w:r w:rsidRPr="005C46A2">
            <w:fldChar w:fldCharType="begin"/>
          </w:r>
          <w:r w:rsidRPr="005C46A2">
            <w:instrText xml:space="preserve"> TOC \o "1-3" \h \z \u </w:instrText>
          </w:r>
          <w:r w:rsidRPr="005C46A2">
            <w:fldChar w:fldCharType="separate"/>
          </w:r>
          <w:hyperlink w:anchor="_Toc58400760" w:history="1">
            <w:r w:rsidR="00DA17E3" w:rsidRPr="00C137E2">
              <w:rPr>
                <w:rStyle w:val="Hyperlink"/>
                <w:noProof/>
              </w:rPr>
              <w:t>AKNOWLEDGEMENTS</w:t>
            </w:r>
            <w:r w:rsidR="00DA17E3">
              <w:rPr>
                <w:noProof/>
                <w:webHidden/>
              </w:rPr>
              <w:tab/>
            </w:r>
            <w:r w:rsidR="00DA17E3">
              <w:rPr>
                <w:noProof/>
                <w:webHidden/>
              </w:rPr>
              <w:fldChar w:fldCharType="begin"/>
            </w:r>
            <w:r w:rsidR="00DA17E3">
              <w:rPr>
                <w:noProof/>
                <w:webHidden/>
              </w:rPr>
              <w:instrText xml:space="preserve"> PAGEREF _Toc58400760 \h </w:instrText>
            </w:r>
            <w:r w:rsidR="00DA17E3">
              <w:rPr>
                <w:noProof/>
                <w:webHidden/>
              </w:rPr>
            </w:r>
            <w:r w:rsidR="00DA17E3">
              <w:rPr>
                <w:noProof/>
                <w:webHidden/>
              </w:rPr>
              <w:fldChar w:fldCharType="separate"/>
            </w:r>
            <w:r w:rsidR="00DF0799">
              <w:rPr>
                <w:noProof/>
                <w:webHidden/>
              </w:rPr>
              <w:t>2</w:t>
            </w:r>
            <w:r w:rsidR="00DA17E3">
              <w:rPr>
                <w:noProof/>
                <w:webHidden/>
              </w:rPr>
              <w:fldChar w:fldCharType="end"/>
            </w:r>
          </w:hyperlink>
        </w:p>
        <w:p w14:paraId="2DBF13A2" w14:textId="75E9EFBF" w:rsidR="00DA17E3" w:rsidRDefault="00D04B86">
          <w:pPr>
            <w:pStyle w:val="TOC1"/>
            <w:tabs>
              <w:tab w:val="right" w:leader="dot" w:pos="9016"/>
            </w:tabs>
            <w:rPr>
              <w:rFonts w:asciiTheme="minorHAnsi" w:eastAsiaTheme="minorEastAsia" w:hAnsiTheme="minorHAnsi" w:cstheme="minorBidi"/>
              <w:noProof/>
              <w:sz w:val="22"/>
              <w:szCs w:val="22"/>
              <w:lang w:eastAsia="en-NZ"/>
            </w:rPr>
          </w:pPr>
          <w:hyperlink w:anchor="_Toc58400761" w:history="1">
            <w:r w:rsidR="00DA17E3" w:rsidRPr="00C137E2">
              <w:rPr>
                <w:rStyle w:val="Hyperlink"/>
                <w:noProof/>
              </w:rPr>
              <w:t>EXECUTIVE SUMMARY</w:t>
            </w:r>
            <w:r w:rsidR="00DA17E3">
              <w:rPr>
                <w:noProof/>
                <w:webHidden/>
              </w:rPr>
              <w:tab/>
            </w:r>
            <w:r w:rsidR="00DA17E3">
              <w:rPr>
                <w:noProof/>
                <w:webHidden/>
              </w:rPr>
              <w:fldChar w:fldCharType="begin"/>
            </w:r>
            <w:r w:rsidR="00DA17E3">
              <w:rPr>
                <w:noProof/>
                <w:webHidden/>
              </w:rPr>
              <w:instrText xml:space="preserve"> PAGEREF _Toc58400761 \h </w:instrText>
            </w:r>
            <w:r w:rsidR="00DA17E3">
              <w:rPr>
                <w:noProof/>
                <w:webHidden/>
              </w:rPr>
            </w:r>
            <w:r w:rsidR="00DA17E3">
              <w:rPr>
                <w:noProof/>
                <w:webHidden/>
              </w:rPr>
              <w:fldChar w:fldCharType="separate"/>
            </w:r>
            <w:r w:rsidR="00DF0799">
              <w:rPr>
                <w:noProof/>
                <w:webHidden/>
              </w:rPr>
              <w:t>6</w:t>
            </w:r>
            <w:r w:rsidR="00DA17E3">
              <w:rPr>
                <w:noProof/>
                <w:webHidden/>
              </w:rPr>
              <w:fldChar w:fldCharType="end"/>
            </w:r>
          </w:hyperlink>
        </w:p>
        <w:p w14:paraId="1661042C" w14:textId="4288B631" w:rsidR="00DA17E3" w:rsidRDefault="00D04B86">
          <w:pPr>
            <w:pStyle w:val="TOC1"/>
            <w:tabs>
              <w:tab w:val="right" w:leader="dot" w:pos="9016"/>
            </w:tabs>
            <w:rPr>
              <w:rFonts w:asciiTheme="minorHAnsi" w:eastAsiaTheme="minorEastAsia" w:hAnsiTheme="minorHAnsi" w:cstheme="minorBidi"/>
              <w:noProof/>
              <w:sz w:val="22"/>
              <w:szCs w:val="22"/>
              <w:lang w:eastAsia="en-NZ"/>
            </w:rPr>
          </w:pPr>
          <w:hyperlink w:anchor="_Toc58400762" w:history="1">
            <w:r w:rsidR="00DA17E3" w:rsidRPr="00C137E2">
              <w:rPr>
                <w:rStyle w:val="Hyperlink"/>
                <w:noProof/>
              </w:rPr>
              <w:t>BACKGROUND</w:t>
            </w:r>
            <w:r w:rsidR="00DA17E3">
              <w:rPr>
                <w:noProof/>
                <w:webHidden/>
              </w:rPr>
              <w:tab/>
            </w:r>
            <w:r w:rsidR="00DA17E3">
              <w:rPr>
                <w:noProof/>
                <w:webHidden/>
              </w:rPr>
              <w:fldChar w:fldCharType="begin"/>
            </w:r>
            <w:r w:rsidR="00DA17E3">
              <w:rPr>
                <w:noProof/>
                <w:webHidden/>
              </w:rPr>
              <w:instrText xml:space="preserve"> PAGEREF _Toc58400762 \h </w:instrText>
            </w:r>
            <w:r w:rsidR="00DA17E3">
              <w:rPr>
                <w:noProof/>
                <w:webHidden/>
              </w:rPr>
            </w:r>
            <w:r w:rsidR="00DA17E3">
              <w:rPr>
                <w:noProof/>
                <w:webHidden/>
              </w:rPr>
              <w:fldChar w:fldCharType="separate"/>
            </w:r>
            <w:r w:rsidR="00DF0799">
              <w:rPr>
                <w:noProof/>
                <w:webHidden/>
              </w:rPr>
              <w:t>14</w:t>
            </w:r>
            <w:r w:rsidR="00DA17E3">
              <w:rPr>
                <w:noProof/>
                <w:webHidden/>
              </w:rPr>
              <w:fldChar w:fldCharType="end"/>
            </w:r>
          </w:hyperlink>
        </w:p>
        <w:p w14:paraId="22E9C90E" w14:textId="64E0CA7C" w:rsidR="00DA17E3" w:rsidRDefault="00D04B86">
          <w:pPr>
            <w:pStyle w:val="TOC1"/>
            <w:tabs>
              <w:tab w:val="right" w:leader="dot" w:pos="9016"/>
            </w:tabs>
            <w:rPr>
              <w:rFonts w:asciiTheme="minorHAnsi" w:eastAsiaTheme="minorEastAsia" w:hAnsiTheme="minorHAnsi" w:cstheme="minorBidi"/>
              <w:noProof/>
              <w:sz w:val="22"/>
              <w:szCs w:val="22"/>
              <w:lang w:eastAsia="en-NZ"/>
            </w:rPr>
          </w:pPr>
          <w:hyperlink w:anchor="_Toc58400763" w:history="1">
            <w:r w:rsidR="00DA17E3" w:rsidRPr="00C137E2">
              <w:rPr>
                <w:rStyle w:val="Hyperlink"/>
                <w:caps/>
                <w:noProof/>
              </w:rPr>
              <w:t>APPROACH</w:t>
            </w:r>
            <w:r w:rsidR="00DA17E3">
              <w:rPr>
                <w:noProof/>
                <w:webHidden/>
              </w:rPr>
              <w:tab/>
            </w:r>
            <w:r w:rsidR="00DA17E3">
              <w:rPr>
                <w:noProof/>
                <w:webHidden/>
              </w:rPr>
              <w:fldChar w:fldCharType="begin"/>
            </w:r>
            <w:r w:rsidR="00DA17E3">
              <w:rPr>
                <w:noProof/>
                <w:webHidden/>
              </w:rPr>
              <w:instrText xml:space="preserve"> PAGEREF _Toc58400763 \h </w:instrText>
            </w:r>
            <w:r w:rsidR="00DA17E3">
              <w:rPr>
                <w:noProof/>
                <w:webHidden/>
              </w:rPr>
            </w:r>
            <w:r w:rsidR="00DA17E3">
              <w:rPr>
                <w:noProof/>
                <w:webHidden/>
              </w:rPr>
              <w:fldChar w:fldCharType="separate"/>
            </w:r>
            <w:r w:rsidR="00DF0799">
              <w:rPr>
                <w:noProof/>
                <w:webHidden/>
              </w:rPr>
              <w:t>16</w:t>
            </w:r>
            <w:r w:rsidR="00DA17E3">
              <w:rPr>
                <w:noProof/>
                <w:webHidden/>
              </w:rPr>
              <w:fldChar w:fldCharType="end"/>
            </w:r>
          </w:hyperlink>
        </w:p>
        <w:p w14:paraId="7DD2D2FB" w14:textId="0054BD38" w:rsidR="00DA17E3" w:rsidRDefault="00D04B86">
          <w:pPr>
            <w:pStyle w:val="TOC1"/>
            <w:tabs>
              <w:tab w:val="right" w:leader="dot" w:pos="9016"/>
            </w:tabs>
            <w:rPr>
              <w:rFonts w:asciiTheme="minorHAnsi" w:eastAsiaTheme="minorEastAsia" w:hAnsiTheme="minorHAnsi" w:cstheme="minorBidi"/>
              <w:noProof/>
              <w:sz w:val="22"/>
              <w:szCs w:val="22"/>
              <w:lang w:eastAsia="en-NZ"/>
            </w:rPr>
          </w:pPr>
          <w:hyperlink w:anchor="_Toc58400764" w:history="1">
            <w:r w:rsidR="00DA17E3" w:rsidRPr="00C137E2">
              <w:rPr>
                <w:rStyle w:val="Hyperlink"/>
                <w:caps/>
                <w:noProof/>
              </w:rPr>
              <w:t>EXPLORATION OF QUALITY AND EFFECTIVE FAO SUPPORT</w:t>
            </w:r>
            <w:r w:rsidR="00DA17E3">
              <w:rPr>
                <w:noProof/>
                <w:webHidden/>
              </w:rPr>
              <w:tab/>
            </w:r>
            <w:r w:rsidR="00DA17E3">
              <w:rPr>
                <w:noProof/>
                <w:webHidden/>
              </w:rPr>
              <w:fldChar w:fldCharType="begin"/>
            </w:r>
            <w:r w:rsidR="00DA17E3">
              <w:rPr>
                <w:noProof/>
                <w:webHidden/>
              </w:rPr>
              <w:instrText xml:space="preserve"> PAGEREF _Toc58400764 \h </w:instrText>
            </w:r>
            <w:r w:rsidR="00DA17E3">
              <w:rPr>
                <w:noProof/>
                <w:webHidden/>
              </w:rPr>
            </w:r>
            <w:r w:rsidR="00DA17E3">
              <w:rPr>
                <w:noProof/>
                <w:webHidden/>
              </w:rPr>
              <w:fldChar w:fldCharType="separate"/>
            </w:r>
            <w:r w:rsidR="00DF0799">
              <w:rPr>
                <w:noProof/>
                <w:webHidden/>
              </w:rPr>
              <w:t>17</w:t>
            </w:r>
            <w:r w:rsidR="00DA17E3">
              <w:rPr>
                <w:noProof/>
                <w:webHidden/>
              </w:rPr>
              <w:fldChar w:fldCharType="end"/>
            </w:r>
          </w:hyperlink>
        </w:p>
        <w:p w14:paraId="1BF4F088" w14:textId="65E14606" w:rsidR="00DA17E3" w:rsidRDefault="00D04B86">
          <w:pPr>
            <w:pStyle w:val="TOC2"/>
            <w:tabs>
              <w:tab w:val="right" w:leader="dot" w:pos="9016"/>
            </w:tabs>
            <w:rPr>
              <w:rFonts w:asciiTheme="minorHAnsi" w:eastAsiaTheme="minorEastAsia" w:hAnsiTheme="minorHAnsi" w:cstheme="minorBidi"/>
              <w:noProof/>
              <w:sz w:val="22"/>
              <w:szCs w:val="22"/>
              <w:lang w:eastAsia="en-NZ"/>
            </w:rPr>
          </w:pPr>
          <w:hyperlink w:anchor="_Toc58400765" w:history="1">
            <w:r w:rsidR="00DA17E3" w:rsidRPr="00C137E2">
              <w:rPr>
                <w:rStyle w:val="Hyperlink"/>
                <w:noProof/>
              </w:rPr>
              <w:t>Conceptual review of addictions literature</w:t>
            </w:r>
            <w:r w:rsidR="00DA17E3">
              <w:rPr>
                <w:noProof/>
                <w:webHidden/>
              </w:rPr>
              <w:tab/>
            </w:r>
            <w:r w:rsidR="00DA17E3">
              <w:rPr>
                <w:noProof/>
                <w:webHidden/>
              </w:rPr>
              <w:fldChar w:fldCharType="begin"/>
            </w:r>
            <w:r w:rsidR="00DA17E3">
              <w:rPr>
                <w:noProof/>
                <w:webHidden/>
              </w:rPr>
              <w:instrText xml:space="preserve"> PAGEREF _Toc58400765 \h </w:instrText>
            </w:r>
            <w:r w:rsidR="00DA17E3">
              <w:rPr>
                <w:noProof/>
                <w:webHidden/>
              </w:rPr>
            </w:r>
            <w:r w:rsidR="00DA17E3">
              <w:rPr>
                <w:noProof/>
                <w:webHidden/>
              </w:rPr>
              <w:fldChar w:fldCharType="separate"/>
            </w:r>
            <w:r w:rsidR="00DF0799">
              <w:rPr>
                <w:noProof/>
                <w:webHidden/>
              </w:rPr>
              <w:t>17</w:t>
            </w:r>
            <w:r w:rsidR="00DA17E3">
              <w:rPr>
                <w:noProof/>
                <w:webHidden/>
              </w:rPr>
              <w:fldChar w:fldCharType="end"/>
            </w:r>
          </w:hyperlink>
        </w:p>
        <w:p w14:paraId="1EBC42F0" w14:textId="05F9FAE0" w:rsidR="00DA17E3" w:rsidRDefault="00D04B86">
          <w:pPr>
            <w:pStyle w:val="TOC3"/>
            <w:tabs>
              <w:tab w:val="right" w:leader="dot" w:pos="9016"/>
            </w:tabs>
            <w:rPr>
              <w:rFonts w:asciiTheme="minorHAnsi" w:eastAsiaTheme="minorEastAsia" w:hAnsiTheme="minorHAnsi" w:cstheme="minorBidi"/>
              <w:noProof/>
              <w:sz w:val="22"/>
              <w:szCs w:val="22"/>
              <w:lang w:eastAsia="en-NZ"/>
            </w:rPr>
          </w:pPr>
          <w:hyperlink w:anchor="_Toc58400766" w:history="1">
            <w:r w:rsidR="00DA17E3" w:rsidRPr="00C137E2">
              <w:rPr>
                <w:rStyle w:val="Hyperlink"/>
                <w:noProof/>
              </w:rPr>
              <w:t>Principles of intersectionality</w:t>
            </w:r>
            <w:r w:rsidR="00DA17E3">
              <w:rPr>
                <w:noProof/>
                <w:webHidden/>
              </w:rPr>
              <w:tab/>
            </w:r>
            <w:r w:rsidR="00DA17E3">
              <w:rPr>
                <w:noProof/>
                <w:webHidden/>
              </w:rPr>
              <w:fldChar w:fldCharType="begin"/>
            </w:r>
            <w:r w:rsidR="00DA17E3">
              <w:rPr>
                <w:noProof/>
                <w:webHidden/>
              </w:rPr>
              <w:instrText xml:space="preserve"> PAGEREF _Toc58400766 \h </w:instrText>
            </w:r>
            <w:r w:rsidR="00DA17E3">
              <w:rPr>
                <w:noProof/>
                <w:webHidden/>
              </w:rPr>
            </w:r>
            <w:r w:rsidR="00DA17E3">
              <w:rPr>
                <w:noProof/>
                <w:webHidden/>
              </w:rPr>
              <w:fldChar w:fldCharType="separate"/>
            </w:r>
            <w:r w:rsidR="00DF0799">
              <w:rPr>
                <w:noProof/>
                <w:webHidden/>
              </w:rPr>
              <w:t>17</w:t>
            </w:r>
            <w:r w:rsidR="00DA17E3">
              <w:rPr>
                <w:noProof/>
                <w:webHidden/>
              </w:rPr>
              <w:fldChar w:fldCharType="end"/>
            </w:r>
          </w:hyperlink>
        </w:p>
        <w:p w14:paraId="3760A723" w14:textId="1D811FA8" w:rsidR="00DA17E3" w:rsidRDefault="00D04B86">
          <w:pPr>
            <w:pStyle w:val="TOC3"/>
            <w:tabs>
              <w:tab w:val="right" w:leader="dot" w:pos="9016"/>
            </w:tabs>
            <w:rPr>
              <w:rFonts w:asciiTheme="minorHAnsi" w:eastAsiaTheme="minorEastAsia" w:hAnsiTheme="minorHAnsi" w:cstheme="minorBidi"/>
              <w:noProof/>
              <w:sz w:val="22"/>
              <w:szCs w:val="22"/>
              <w:lang w:eastAsia="en-NZ"/>
            </w:rPr>
          </w:pPr>
          <w:hyperlink w:anchor="_Toc58400767" w:history="1">
            <w:r w:rsidR="00DA17E3" w:rsidRPr="00C137E2">
              <w:rPr>
                <w:rStyle w:val="Hyperlink"/>
                <w:noProof/>
              </w:rPr>
              <w:t>Methods</w:t>
            </w:r>
            <w:r w:rsidR="00DA17E3">
              <w:rPr>
                <w:noProof/>
                <w:webHidden/>
              </w:rPr>
              <w:tab/>
            </w:r>
            <w:r w:rsidR="00DA17E3">
              <w:rPr>
                <w:noProof/>
                <w:webHidden/>
              </w:rPr>
              <w:fldChar w:fldCharType="begin"/>
            </w:r>
            <w:r w:rsidR="00DA17E3">
              <w:rPr>
                <w:noProof/>
                <w:webHidden/>
              </w:rPr>
              <w:instrText xml:space="preserve"> PAGEREF _Toc58400767 \h </w:instrText>
            </w:r>
            <w:r w:rsidR="00DA17E3">
              <w:rPr>
                <w:noProof/>
                <w:webHidden/>
              </w:rPr>
            </w:r>
            <w:r w:rsidR="00DA17E3">
              <w:rPr>
                <w:noProof/>
                <w:webHidden/>
              </w:rPr>
              <w:fldChar w:fldCharType="separate"/>
            </w:r>
            <w:r w:rsidR="00DF0799">
              <w:rPr>
                <w:noProof/>
                <w:webHidden/>
              </w:rPr>
              <w:t>18</w:t>
            </w:r>
            <w:r w:rsidR="00DA17E3">
              <w:rPr>
                <w:noProof/>
                <w:webHidden/>
              </w:rPr>
              <w:fldChar w:fldCharType="end"/>
            </w:r>
          </w:hyperlink>
        </w:p>
        <w:p w14:paraId="11F8BB2A" w14:textId="3630665B" w:rsidR="00DA17E3" w:rsidRDefault="00D04B86">
          <w:pPr>
            <w:pStyle w:val="TOC3"/>
            <w:tabs>
              <w:tab w:val="right" w:leader="dot" w:pos="9016"/>
            </w:tabs>
            <w:rPr>
              <w:rFonts w:asciiTheme="minorHAnsi" w:eastAsiaTheme="minorEastAsia" w:hAnsiTheme="minorHAnsi" w:cstheme="minorBidi"/>
              <w:noProof/>
              <w:sz w:val="22"/>
              <w:szCs w:val="22"/>
              <w:lang w:eastAsia="en-NZ"/>
            </w:rPr>
          </w:pPr>
          <w:hyperlink w:anchor="_Toc58400768" w:history="1">
            <w:r w:rsidR="00DA17E3" w:rsidRPr="00C137E2">
              <w:rPr>
                <w:rStyle w:val="Hyperlink"/>
                <w:noProof/>
              </w:rPr>
              <w:t>Understandings of addictions, FAOs, the purpose of intervention and outcomes</w:t>
            </w:r>
            <w:r w:rsidR="00DA17E3">
              <w:rPr>
                <w:noProof/>
                <w:webHidden/>
              </w:rPr>
              <w:tab/>
            </w:r>
            <w:r w:rsidR="00DA17E3">
              <w:rPr>
                <w:noProof/>
                <w:webHidden/>
              </w:rPr>
              <w:fldChar w:fldCharType="begin"/>
            </w:r>
            <w:r w:rsidR="00DA17E3">
              <w:rPr>
                <w:noProof/>
                <w:webHidden/>
              </w:rPr>
              <w:instrText xml:space="preserve"> PAGEREF _Toc58400768 \h </w:instrText>
            </w:r>
            <w:r w:rsidR="00DA17E3">
              <w:rPr>
                <w:noProof/>
                <w:webHidden/>
              </w:rPr>
            </w:r>
            <w:r w:rsidR="00DA17E3">
              <w:rPr>
                <w:noProof/>
                <w:webHidden/>
              </w:rPr>
              <w:fldChar w:fldCharType="separate"/>
            </w:r>
            <w:r w:rsidR="00DF0799">
              <w:rPr>
                <w:noProof/>
                <w:webHidden/>
              </w:rPr>
              <w:t>19</w:t>
            </w:r>
            <w:r w:rsidR="00DA17E3">
              <w:rPr>
                <w:noProof/>
                <w:webHidden/>
              </w:rPr>
              <w:fldChar w:fldCharType="end"/>
            </w:r>
          </w:hyperlink>
        </w:p>
        <w:p w14:paraId="0E30FEBF" w14:textId="43B26928" w:rsidR="00DA17E3" w:rsidRDefault="00D04B86">
          <w:pPr>
            <w:pStyle w:val="TOC3"/>
            <w:tabs>
              <w:tab w:val="right" w:leader="dot" w:pos="9016"/>
            </w:tabs>
            <w:rPr>
              <w:rFonts w:asciiTheme="minorHAnsi" w:eastAsiaTheme="minorEastAsia" w:hAnsiTheme="minorHAnsi" w:cstheme="minorBidi"/>
              <w:noProof/>
              <w:sz w:val="22"/>
              <w:szCs w:val="22"/>
              <w:lang w:eastAsia="en-NZ"/>
            </w:rPr>
          </w:pPr>
          <w:hyperlink w:anchor="_Toc58400769" w:history="1">
            <w:r w:rsidR="00DA17E3" w:rsidRPr="00C137E2">
              <w:rPr>
                <w:rStyle w:val="Hyperlink"/>
                <w:noProof/>
              </w:rPr>
              <w:t>Informing gambling support services for FAOs</w:t>
            </w:r>
            <w:r w:rsidR="00DA17E3">
              <w:rPr>
                <w:noProof/>
                <w:webHidden/>
              </w:rPr>
              <w:tab/>
            </w:r>
            <w:r w:rsidR="00DA17E3">
              <w:rPr>
                <w:noProof/>
                <w:webHidden/>
              </w:rPr>
              <w:fldChar w:fldCharType="begin"/>
            </w:r>
            <w:r w:rsidR="00DA17E3">
              <w:rPr>
                <w:noProof/>
                <w:webHidden/>
              </w:rPr>
              <w:instrText xml:space="preserve"> PAGEREF _Toc58400769 \h </w:instrText>
            </w:r>
            <w:r w:rsidR="00DA17E3">
              <w:rPr>
                <w:noProof/>
                <w:webHidden/>
              </w:rPr>
            </w:r>
            <w:r w:rsidR="00DA17E3">
              <w:rPr>
                <w:noProof/>
                <w:webHidden/>
              </w:rPr>
              <w:fldChar w:fldCharType="separate"/>
            </w:r>
            <w:r w:rsidR="00DF0799">
              <w:rPr>
                <w:noProof/>
                <w:webHidden/>
              </w:rPr>
              <w:t>35</w:t>
            </w:r>
            <w:r w:rsidR="00DA17E3">
              <w:rPr>
                <w:noProof/>
                <w:webHidden/>
              </w:rPr>
              <w:fldChar w:fldCharType="end"/>
            </w:r>
          </w:hyperlink>
        </w:p>
        <w:p w14:paraId="08A9999E" w14:textId="742F6513" w:rsidR="00DA17E3" w:rsidRDefault="00D04B86">
          <w:pPr>
            <w:pStyle w:val="TOC3"/>
            <w:tabs>
              <w:tab w:val="right" w:leader="dot" w:pos="9016"/>
            </w:tabs>
            <w:rPr>
              <w:rFonts w:asciiTheme="minorHAnsi" w:eastAsiaTheme="minorEastAsia" w:hAnsiTheme="minorHAnsi" w:cstheme="minorBidi"/>
              <w:noProof/>
              <w:sz w:val="22"/>
              <w:szCs w:val="22"/>
              <w:lang w:eastAsia="en-NZ"/>
            </w:rPr>
          </w:pPr>
          <w:hyperlink w:anchor="_Toc58400770" w:history="1">
            <w:r w:rsidR="00DA17E3" w:rsidRPr="00C137E2">
              <w:rPr>
                <w:rStyle w:val="Hyperlink"/>
                <w:noProof/>
              </w:rPr>
              <w:t>Summary of further research needed</w:t>
            </w:r>
            <w:r w:rsidR="00DA17E3">
              <w:rPr>
                <w:noProof/>
                <w:webHidden/>
              </w:rPr>
              <w:tab/>
            </w:r>
            <w:r w:rsidR="00DA17E3">
              <w:rPr>
                <w:noProof/>
                <w:webHidden/>
              </w:rPr>
              <w:fldChar w:fldCharType="begin"/>
            </w:r>
            <w:r w:rsidR="00DA17E3">
              <w:rPr>
                <w:noProof/>
                <w:webHidden/>
              </w:rPr>
              <w:instrText xml:space="preserve"> PAGEREF _Toc58400770 \h </w:instrText>
            </w:r>
            <w:r w:rsidR="00DA17E3">
              <w:rPr>
                <w:noProof/>
                <w:webHidden/>
              </w:rPr>
            </w:r>
            <w:r w:rsidR="00DA17E3">
              <w:rPr>
                <w:noProof/>
                <w:webHidden/>
              </w:rPr>
              <w:fldChar w:fldCharType="separate"/>
            </w:r>
            <w:r w:rsidR="00DF0799">
              <w:rPr>
                <w:noProof/>
                <w:webHidden/>
              </w:rPr>
              <w:t>39</w:t>
            </w:r>
            <w:r w:rsidR="00DA17E3">
              <w:rPr>
                <w:noProof/>
                <w:webHidden/>
              </w:rPr>
              <w:fldChar w:fldCharType="end"/>
            </w:r>
          </w:hyperlink>
        </w:p>
        <w:p w14:paraId="6D76E6A9" w14:textId="5B8542EB" w:rsidR="00DA17E3" w:rsidRDefault="00D04B86">
          <w:pPr>
            <w:pStyle w:val="TOC3"/>
            <w:tabs>
              <w:tab w:val="right" w:leader="dot" w:pos="9016"/>
            </w:tabs>
            <w:rPr>
              <w:rFonts w:asciiTheme="minorHAnsi" w:eastAsiaTheme="minorEastAsia" w:hAnsiTheme="minorHAnsi" w:cstheme="minorBidi"/>
              <w:noProof/>
              <w:sz w:val="22"/>
              <w:szCs w:val="22"/>
              <w:lang w:eastAsia="en-NZ"/>
            </w:rPr>
          </w:pPr>
          <w:hyperlink w:anchor="_Toc58400771" w:history="1">
            <w:r w:rsidR="00DA17E3" w:rsidRPr="00C137E2">
              <w:rPr>
                <w:rStyle w:val="Hyperlink"/>
                <w:noProof/>
              </w:rPr>
              <w:t>Conclusion</w:t>
            </w:r>
            <w:r w:rsidR="00DA17E3">
              <w:rPr>
                <w:noProof/>
                <w:webHidden/>
              </w:rPr>
              <w:tab/>
            </w:r>
            <w:r w:rsidR="00DA17E3">
              <w:rPr>
                <w:noProof/>
                <w:webHidden/>
              </w:rPr>
              <w:fldChar w:fldCharType="begin"/>
            </w:r>
            <w:r w:rsidR="00DA17E3">
              <w:rPr>
                <w:noProof/>
                <w:webHidden/>
              </w:rPr>
              <w:instrText xml:space="preserve"> PAGEREF _Toc58400771 \h </w:instrText>
            </w:r>
            <w:r w:rsidR="00DA17E3">
              <w:rPr>
                <w:noProof/>
                <w:webHidden/>
              </w:rPr>
            </w:r>
            <w:r w:rsidR="00DA17E3">
              <w:rPr>
                <w:noProof/>
                <w:webHidden/>
              </w:rPr>
              <w:fldChar w:fldCharType="separate"/>
            </w:r>
            <w:r w:rsidR="00DF0799">
              <w:rPr>
                <w:noProof/>
                <w:webHidden/>
              </w:rPr>
              <w:t>40</w:t>
            </w:r>
            <w:r w:rsidR="00DA17E3">
              <w:rPr>
                <w:noProof/>
                <w:webHidden/>
              </w:rPr>
              <w:fldChar w:fldCharType="end"/>
            </w:r>
          </w:hyperlink>
        </w:p>
        <w:p w14:paraId="057BDE4E" w14:textId="19354AC0" w:rsidR="00DA17E3" w:rsidRDefault="00D04B86">
          <w:pPr>
            <w:pStyle w:val="TOC2"/>
            <w:tabs>
              <w:tab w:val="right" w:leader="dot" w:pos="9016"/>
            </w:tabs>
            <w:rPr>
              <w:rFonts w:asciiTheme="minorHAnsi" w:eastAsiaTheme="minorEastAsia" w:hAnsiTheme="minorHAnsi" w:cstheme="minorBidi"/>
              <w:noProof/>
              <w:sz w:val="22"/>
              <w:szCs w:val="22"/>
              <w:lang w:eastAsia="en-NZ"/>
            </w:rPr>
          </w:pPr>
          <w:hyperlink w:anchor="_Toc58400772" w:history="1">
            <w:r w:rsidR="00DA17E3" w:rsidRPr="00C137E2">
              <w:rPr>
                <w:rStyle w:val="Hyperlink"/>
                <w:noProof/>
              </w:rPr>
              <w:t>Structured engagement with expert opinion</w:t>
            </w:r>
            <w:r w:rsidR="00DA17E3">
              <w:rPr>
                <w:noProof/>
                <w:webHidden/>
              </w:rPr>
              <w:tab/>
            </w:r>
            <w:r w:rsidR="00DA17E3">
              <w:rPr>
                <w:noProof/>
                <w:webHidden/>
              </w:rPr>
              <w:fldChar w:fldCharType="begin"/>
            </w:r>
            <w:r w:rsidR="00DA17E3">
              <w:rPr>
                <w:noProof/>
                <w:webHidden/>
              </w:rPr>
              <w:instrText xml:space="preserve"> PAGEREF _Toc58400772 \h </w:instrText>
            </w:r>
            <w:r w:rsidR="00DA17E3">
              <w:rPr>
                <w:noProof/>
                <w:webHidden/>
              </w:rPr>
            </w:r>
            <w:r w:rsidR="00DA17E3">
              <w:rPr>
                <w:noProof/>
                <w:webHidden/>
              </w:rPr>
              <w:fldChar w:fldCharType="separate"/>
            </w:r>
            <w:r w:rsidR="00DF0799">
              <w:rPr>
                <w:noProof/>
                <w:webHidden/>
              </w:rPr>
              <w:t>42</w:t>
            </w:r>
            <w:r w:rsidR="00DA17E3">
              <w:rPr>
                <w:noProof/>
                <w:webHidden/>
              </w:rPr>
              <w:fldChar w:fldCharType="end"/>
            </w:r>
          </w:hyperlink>
        </w:p>
        <w:p w14:paraId="7C0C0204" w14:textId="79C0AFCD" w:rsidR="00DA17E3" w:rsidRDefault="00D04B86">
          <w:pPr>
            <w:pStyle w:val="TOC3"/>
            <w:tabs>
              <w:tab w:val="right" w:leader="dot" w:pos="9016"/>
            </w:tabs>
            <w:rPr>
              <w:rFonts w:asciiTheme="minorHAnsi" w:eastAsiaTheme="minorEastAsia" w:hAnsiTheme="minorHAnsi" w:cstheme="minorBidi"/>
              <w:noProof/>
              <w:sz w:val="22"/>
              <w:szCs w:val="22"/>
              <w:lang w:eastAsia="en-NZ"/>
            </w:rPr>
          </w:pPr>
          <w:hyperlink w:anchor="_Toc58400773" w:history="1">
            <w:r w:rsidR="00DA17E3" w:rsidRPr="00C137E2">
              <w:rPr>
                <w:rStyle w:val="Hyperlink"/>
                <w:noProof/>
              </w:rPr>
              <w:t>Defining the areas of inquiry</w:t>
            </w:r>
            <w:r w:rsidR="00DA17E3">
              <w:rPr>
                <w:noProof/>
                <w:webHidden/>
              </w:rPr>
              <w:tab/>
            </w:r>
            <w:r w:rsidR="00DA17E3">
              <w:rPr>
                <w:noProof/>
                <w:webHidden/>
              </w:rPr>
              <w:fldChar w:fldCharType="begin"/>
            </w:r>
            <w:r w:rsidR="00DA17E3">
              <w:rPr>
                <w:noProof/>
                <w:webHidden/>
              </w:rPr>
              <w:instrText xml:space="preserve"> PAGEREF _Toc58400773 \h </w:instrText>
            </w:r>
            <w:r w:rsidR="00DA17E3">
              <w:rPr>
                <w:noProof/>
                <w:webHidden/>
              </w:rPr>
            </w:r>
            <w:r w:rsidR="00DA17E3">
              <w:rPr>
                <w:noProof/>
                <w:webHidden/>
              </w:rPr>
              <w:fldChar w:fldCharType="separate"/>
            </w:r>
            <w:r w:rsidR="00DF0799">
              <w:rPr>
                <w:noProof/>
                <w:webHidden/>
              </w:rPr>
              <w:t>42</w:t>
            </w:r>
            <w:r w:rsidR="00DA17E3">
              <w:rPr>
                <w:noProof/>
                <w:webHidden/>
              </w:rPr>
              <w:fldChar w:fldCharType="end"/>
            </w:r>
          </w:hyperlink>
        </w:p>
        <w:p w14:paraId="73B64FAE" w14:textId="5E4006C6" w:rsidR="00DA17E3" w:rsidRDefault="00D04B86">
          <w:pPr>
            <w:pStyle w:val="TOC3"/>
            <w:tabs>
              <w:tab w:val="right" w:leader="dot" w:pos="9016"/>
            </w:tabs>
            <w:rPr>
              <w:rFonts w:asciiTheme="minorHAnsi" w:eastAsiaTheme="minorEastAsia" w:hAnsiTheme="minorHAnsi" w:cstheme="minorBidi"/>
              <w:noProof/>
              <w:sz w:val="22"/>
              <w:szCs w:val="22"/>
              <w:lang w:eastAsia="en-NZ"/>
            </w:rPr>
          </w:pPr>
          <w:hyperlink w:anchor="_Toc58400774" w:history="1">
            <w:r w:rsidR="00DA17E3" w:rsidRPr="00C137E2">
              <w:rPr>
                <w:rStyle w:val="Hyperlink"/>
                <w:noProof/>
              </w:rPr>
              <w:t>Ethical approval</w:t>
            </w:r>
            <w:r w:rsidR="00DA17E3">
              <w:rPr>
                <w:noProof/>
                <w:webHidden/>
              </w:rPr>
              <w:tab/>
            </w:r>
            <w:r w:rsidR="00DA17E3">
              <w:rPr>
                <w:noProof/>
                <w:webHidden/>
              </w:rPr>
              <w:fldChar w:fldCharType="begin"/>
            </w:r>
            <w:r w:rsidR="00DA17E3">
              <w:rPr>
                <w:noProof/>
                <w:webHidden/>
              </w:rPr>
              <w:instrText xml:space="preserve"> PAGEREF _Toc58400774 \h </w:instrText>
            </w:r>
            <w:r w:rsidR="00DA17E3">
              <w:rPr>
                <w:noProof/>
                <w:webHidden/>
              </w:rPr>
            </w:r>
            <w:r w:rsidR="00DA17E3">
              <w:rPr>
                <w:noProof/>
                <w:webHidden/>
              </w:rPr>
              <w:fldChar w:fldCharType="separate"/>
            </w:r>
            <w:r w:rsidR="00DF0799">
              <w:rPr>
                <w:noProof/>
                <w:webHidden/>
              </w:rPr>
              <w:t>43</w:t>
            </w:r>
            <w:r w:rsidR="00DA17E3">
              <w:rPr>
                <w:noProof/>
                <w:webHidden/>
              </w:rPr>
              <w:fldChar w:fldCharType="end"/>
            </w:r>
          </w:hyperlink>
        </w:p>
        <w:p w14:paraId="341BCCB5" w14:textId="0988CD2C" w:rsidR="00DA17E3" w:rsidRDefault="00D04B86">
          <w:pPr>
            <w:pStyle w:val="TOC3"/>
            <w:tabs>
              <w:tab w:val="right" w:leader="dot" w:pos="9016"/>
            </w:tabs>
            <w:rPr>
              <w:rFonts w:asciiTheme="minorHAnsi" w:eastAsiaTheme="minorEastAsia" w:hAnsiTheme="minorHAnsi" w:cstheme="minorBidi"/>
              <w:noProof/>
              <w:sz w:val="22"/>
              <w:szCs w:val="22"/>
              <w:lang w:eastAsia="en-NZ"/>
            </w:rPr>
          </w:pPr>
          <w:hyperlink w:anchor="_Toc58400775" w:history="1">
            <w:r w:rsidR="00DA17E3" w:rsidRPr="00C137E2">
              <w:rPr>
                <w:rStyle w:val="Hyperlink"/>
                <w:noProof/>
              </w:rPr>
              <w:t>Methods</w:t>
            </w:r>
            <w:r w:rsidR="00DA17E3">
              <w:rPr>
                <w:noProof/>
                <w:webHidden/>
              </w:rPr>
              <w:tab/>
            </w:r>
            <w:r w:rsidR="00DA17E3">
              <w:rPr>
                <w:noProof/>
                <w:webHidden/>
              </w:rPr>
              <w:fldChar w:fldCharType="begin"/>
            </w:r>
            <w:r w:rsidR="00DA17E3">
              <w:rPr>
                <w:noProof/>
                <w:webHidden/>
              </w:rPr>
              <w:instrText xml:space="preserve"> PAGEREF _Toc58400775 \h </w:instrText>
            </w:r>
            <w:r w:rsidR="00DA17E3">
              <w:rPr>
                <w:noProof/>
                <w:webHidden/>
              </w:rPr>
            </w:r>
            <w:r w:rsidR="00DA17E3">
              <w:rPr>
                <w:noProof/>
                <w:webHidden/>
              </w:rPr>
              <w:fldChar w:fldCharType="separate"/>
            </w:r>
            <w:r w:rsidR="00DF0799">
              <w:rPr>
                <w:noProof/>
                <w:webHidden/>
              </w:rPr>
              <w:t>43</w:t>
            </w:r>
            <w:r w:rsidR="00DA17E3">
              <w:rPr>
                <w:noProof/>
                <w:webHidden/>
              </w:rPr>
              <w:fldChar w:fldCharType="end"/>
            </w:r>
          </w:hyperlink>
        </w:p>
        <w:p w14:paraId="29891765" w14:textId="3BEB0137" w:rsidR="00DA17E3" w:rsidRDefault="00D04B86">
          <w:pPr>
            <w:pStyle w:val="TOC3"/>
            <w:tabs>
              <w:tab w:val="right" w:leader="dot" w:pos="9016"/>
            </w:tabs>
            <w:rPr>
              <w:rFonts w:asciiTheme="minorHAnsi" w:eastAsiaTheme="minorEastAsia" w:hAnsiTheme="minorHAnsi" w:cstheme="minorBidi"/>
              <w:noProof/>
              <w:sz w:val="22"/>
              <w:szCs w:val="22"/>
              <w:lang w:eastAsia="en-NZ"/>
            </w:rPr>
          </w:pPr>
          <w:hyperlink w:anchor="_Toc58400776" w:history="1">
            <w:r w:rsidR="00DA17E3" w:rsidRPr="00C137E2">
              <w:rPr>
                <w:rStyle w:val="Hyperlink"/>
                <w:noProof/>
              </w:rPr>
              <w:t>Views on enhancing support for FAOs in gambling services</w:t>
            </w:r>
            <w:r w:rsidR="00DA17E3">
              <w:rPr>
                <w:noProof/>
                <w:webHidden/>
              </w:rPr>
              <w:tab/>
            </w:r>
            <w:r w:rsidR="00DA17E3">
              <w:rPr>
                <w:noProof/>
                <w:webHidden/>
              </w:rPr>
              <w:fldChar w:fldCharType="begin"/>
            </w:r>
            <w:r w:rsidR="00DA17E3">
              <w:rPr>
                <w:noProof/>
                <w:webHidden/>
              </w:rPr>
              <w:instrText xml:space="preserve"> PAGEREF _Toc58400776 \h </w:instrText>
            </w:r>
            <w:r w:rsidR="00DA17E3">
              <w:rPr>
                <w:noProof/>
                <w:webHidden/>
              </w:rPr>
            </w:r>
            <w:r w:rsidR="00DA17E3">
              <w:rPr>
                <w:noProof/>
                <w:webHidden/>
              </w:rPr>
              <w:fldChar w:fldCharType="separate"/>
            </w:r>
            <w:r w:rsidR="00DF0799">
              <w:rPr>
                <w:noProof/>
                <w:webHidden/>
              </w:rPr>
              <w:t>47</w:t>
            </w:r>
            <w:r w:rsidR="00DA17E3">
              <w:rPr>
                <w:noProof/>
                <w:webHidden/>
              </w:rPr>
              <w:fldChar w:fldCharType="end"/>
            </w:r>
          </w:hyperlink>
        </w:p>
        <w:p w14:paraId="0B5336CA" w14:textId="5AB78E08" w:rsidR="00DA17E3" w:rsidRDefault="00D04B86">
          <w:pPr>
            <w:pStyle w:val="TOC3"/>
            <w:tabs>
              <w:tab w:val="right" w:leader="dot" w:pos="9016"/>
            </w:tabs>
            <w:rPr>
              <w:rFonts w:asciiTheme="minorHAnsi" w:eastAsiaTheme="minorEastAsia" w:hAnsiTheme="minorHAnsi" w:cstheme="minorBidi"/>
              <w:noProof/>
              <w:sz w:val="22"/>
              <w:szCs w:val="22"/>
              <w:lang w:eastAsia="en-NZ"/>
            </w:rPr>
          </w:pPr>
          <w:hyperlink w:anchor="_Toc58400777" w:history="1">
            <w:r w:rsidR="00DA17E3" w:rsidRPr="00C137E2">
              <w:rPr>
                <w:rStyle w:val="Hyperlink"/>
                <w:noProof/>
              </w:rPr>
              <w:t>Discussion of views on enhancing FAO support in New Zealand gambling services</w:t>
            </w:r>
            <w:r w:rsidR="00DA17E3">
              <w:rPr>
                <w:noProof/>
                <w:webHidden/>
              </w:rPr>
              <w:tab/>
            </w:r>
            <w:r w:rsidR="00DA17E3">
              <w:rPr>
                <w:noProof/>
                <w:webHidden/>
              </w:rPr>
              <w:fldChar w:fldCharType="begin"/>
            </w:r>
            <w:r w:rsidR="00DA17E3">
              <w:rPr>
                <w:noProof/>
                <w:webHidden/>
              </w:rPr>
              <w:instrText xml:space="preserve"> PAGEREF _Toc58400777 \h </w:instrText>
            </w:r>
            <w:r w:rsidR="00DA17E3">
              <w:rPr>
                <w:noProof/>
                <w:webHidden/>
              </w:rPr>
            </w:r>
            <w:r w:rsidR="00DA17E3">
              <w:rPr>
                <w:noProof/>
                <w:webHidden/>
              </w:rPr>
              <w:fldChar w:fldCharType="separate"/>
            </w:r>
            <w:r w:rsidR="00DF0799">
              <w:rPr>
                <w:noProof/>
                <w:webHidden/>
              </w:rPr>
              <w:t>60</w:t>
            </w:r>
            <w:r w:rsidR="00DA17E3">
              <w:rPr>
                <w:noProof/>
                <w:webHidden/>
              </w:rPr>
              <w:fldChar w:fldCharType="end"/>
            </w:r>
          </w:hyperlink>
        </w:p>
        <w:p w14:paraId="1269A699" w14:textId="389DE16B" w:rsidR="00DA17E3" w:rsidRDefault="00D04B86">
          <w:pPr>
            <w:pStyle w:val="TOC1"/>
            <w:tabs>
              <w:tab w:val="right" w:leader="dot" w:pos="9016"/>
            </w:tabs>
            <w:rPr>
              <w:rFonts w:asciiTheme="minorHAnsi" w:eastAsiaTheme="minorEastAsia" w:hAnsiTheme="minorHAnsi" w:cstheme="minorBidi"/>
              <w:noProof/>
              <w:sz w:val="22"/>
              <w:szCs w:val="22"/>
              <w:lang w:eastAsia="en-NZ"/>
            </w:rPr>
          </w:pPr>
          <w:hyperlink w:anchor="_Toc58400778" w:history="1">
            <w:r w:rsidR="00DA17E3" w:rsidRPr="00C137E2">
              <w:rPr>
                <w:rStyle w:val="Hyperlink"/>
                <w:noProof/>
              </w:rPr>
              <w:t>EXPLORATION OF CURRENT FAO SUPPORT PRACTICES</w:t>
            </w:r>
            <w:r w:rsidR="00DA17E3">
              <w:rPr>
                <w:noProof/>
                <w:webHidden/>
              </w:rPr>
              <w:tab/>
            </w:r>
            <w:r w:rsidR="00DA17E3">
              <w:rPr>
                <w:noProof/>
                <w:webHidden/>
              </w:rPr>
              <w:fldChar w:fldCharType="begin"/>
            </w:r>
            <w:r w:rsidR="00DA17E3">
              <w:rPr>
                <w:noProof/>
                <w:webHidden/>
              </w:rPr>
              <w:instrText xml:space="preserve"> PAGEREF _Toc58400778 \h </w:instrText>
            </w:r>
            <w:r w:rsidR="00DA17E3">
              <w:rPr>
                <w:noProof/>
                <w:webHidden/>
              </w:rPr>
            </w:r>
            <w:r w:rsidR="00DA17E3">
              <w:rPr>
                <w:noProof/>
                <w:webHidden/>
              </w:rPr>
              <w:fldChar w:fldCharType="separate"/>
            </w:r>
            <w:r w:rsidR="00DF0799">
              <w:rPr>
                <w:noProof/>
                <w:webHidden/>
              </w:rPr>
              <w:t>65</w:t>
            </w:r>
            <w:r w:rsidR="00DA17E3">
              <w:rPr>
                <w:noProof/>
                <w:webHidden/>
              </w:rPr>
              <w:fldChar w:fldCharType="end"/>
            </w:r>
          </w:hyperlink>
        </w:p>
        <w:p w14:paraId="7A28EC6F" w14:textId="1CCF82A0" w:rsidR="00DA17E3" w:rsidRDefault="00D04B86">
          <w:pPr>
            <w:pStyle w:val="TOC2"/>
            <w:tabs>
              <w:tab w:val="right" w:leader="dot" w:pos="9016"/>
            </w:tabs>
            <w:rPr>
              <w:rFonts w:asciiTheme="minorHAnsi" w:eastAsiaTheme="minorEastAsia" w:hAnsiTheme="minorHAnsi" w:cstheme="minorBidi"/>
              <w:noProof/>
              <w:sz w:val="22"/>
              <w:szCs w:val="22"/>
              <w:lang w:eastAsia="en-NZ"/>
            </w:rPr>
          </w:pPr>
          <w:hyperlink w:anchor="_Toc58400779" w:history="1">
            <w:r w:rsidR="00DA17E3" w:rsidRPr="00C137E2">
              <w:rPr>
                <w:rStyle w:val="Hyperlink"/>
                <w:noProof/>
              </w:rPr>
              <w:t>Review of FAO support service provision</w:t>
            </w:r>
            <w:r w:rsidR="00DA17E3">
              <w:rPr>
                <w:noProof/>
                <w:webHidden/>
              </w:rPr>
              <w:tab/>
            </w:r>
            <w:r w:rsidR="00DA17E3">
              <w:rPr>
                <w:noProof/>
                <w:webHidden/>
              </w:rPr>
              <w:fldChar w:fldCharType="begin"/>
            </w:r>
            <w:r w:rsidR="00DA17E3">
              <w:rPr>
                <w:noProof/>
                <w:webHidden/>
              </w:rPr>
              <w:instrText xml:space="preserve"> PAGEREF _Toc58400779 \h </w:instrText>
            </w:r>
            <w:r w:rsidR="00DA17E3">
              <w:rPr>
                <w:noProof/>
                <w:webHidden/>
              </w:rPr>
            </w:r>
            <w:r w:rsidR="00DA17E3">
              <w:rPr>
                <w:noProof/>
                <w:webHidden/>
              </w:rPr>
              <w:fldChar w:fldCharType="separate"/>
            </w:r>
            <w:r w:rsidR="00DF0799">
              <w:rPr>
                <w:noProof/>
                <w:webHidden/>
              </w:rPr>
              <w:t>65</w:t>
            </w:r>
            <w:r w:rsidR="00DA17E3">
              <w:rPr>
                <w:noProof/>
                <w:webHidden/>
              </w:rPr>
              <w:fldChar w:fldCharType="end"/>
            </w:r>
          </w:hyperlink>
        </w:p>
        <w:p w14:paraId="0F0348A7" w14:textId="39790BB4" w:rsidR="00DA17E3" w:rsidRDefault="00D04B86">
          <w:pPr>
            <w:pStyle w:val="TOC3"/>
            <w:tabs>
              <w:tab w:val="right" w:leader="dot" w:pos="9016"/>
            </w:tabs>
            <w:rPr>
              <w:rFonts w:asciiTheme="minorHAnsi" w:eastAsiaTheme="minorEastAsia" w:hAnsiTheme="minorHAnsi" w:cstheme="minorBidi"/>
              <w:noProof/>
              <w:sz w:val="22"/>
              <w:szCs w:val="22"/>
              <w:lang w:eastAsia="en-NZ"/>
            </w:rPr>
          </w:pPr>
          <w:hyperlink w:anchor="_Toc58400780" w:history="1">
            <w:r w:rsidR="00DA17E3" w:rsidRPr="00C137E2">
              <w:rPr>
                <w:rStyle w:val="Hyperlink"/>
                <w:rFonts w:eastAsia="Times New Roman"/>
                <w:noProof/>
              </w:rPr>
              <w:t>Approach to data collection and analysis</w:t>
            </w:r>
            <w:r w:rsidR="00DA17E3">
              <w:rPr>
                <w:noProof/>
                <w:webHidden/>
              </w:rPr>
              <w:tab/>
            </w:r>
            <w:r w:rsidR="00DA17E3">
              <w:rPr>
                <w:noProof/>
                <w:webHidden/>
              </w:rPr>
              <w:fldChar w:fldCharType="begin"/>
            </w:r>
            <w:r w:rsidR="00DA17E3">
              <w:rPr>
                <w:noProof/>
                <w:webHidden/>
              </w:rPr>
              <w:instrText xml:space="preserve"> PAGEREF _Toc58400780 \h </w:instrText>
            </w:r>
            <w:r w:rsidR="00DA17E3">
              <w:rPr>
                <w:noProof/>
                <w:webHidden/>
              </w:rPr>
            </w:r>
            <w:r w:rsidR="00DA17E3">
              <w:rPr>
                <w:noProof/>
                <w:webHidden/>
              </w:rPr>
              <w:fldChar w:fldCharType="separate"/>
            </w:r>
            <w:r w:rsidR="00DF0799">
              <w:rPr>
                <w:noProof/>
                <w:webHidden/>
              </w:rPr>
              <w:t>65</w:t>
            </w:r>
            <w:r w:rsidR="00DA17E3">
              <w:rPr>
                <w:noProof/>
                <w:webHidden/>
              </w:rPr>
              <w:fldChar w:fldCharType="end"/>
            </w:r>
          </w:hyperlink>
        </w:p>
        <w:p w14:paraId="0C06D88E" w14:textId="137DF951" w:rsidR="00DA17E3" w:rsidRDefault="00D04B86">
          <w:pPr>
            <w:pStyle w:val="TOC3"/>
            <w:tabs>
              <w:tab w:val="right" w:leader="dot" w:pos="9016"/>
            </w:tabs>
            <w:rPr>
              <w:rFonts w:asciiTheme="minorHAnsi" w:eastAsiaTheme="minorEastAsia" w:hAnsiTheme="minorHAnsi" w:cstheme="minorBidi"/>
              <w:noProof/>
              <w:sz w:val="22"/>
              <w:szCs w:val="22"/>
              <w:lang w:eastAsia="en-NZ"/>
            </w:rPr>
          </w:pPr>
          <w:hyperlink w:anchor="_Toc58400781" w:history="1">
            <w:r w:rsidR="00DA17E3" w:rsidRPr="00C137E2">
              <w:rPr>
                <w:rStyle w:val="Hyperlink"/>
                <w:noProof/>
              </w:rPr>
              <w:t>How do gambling services appear to be oriented to FAOs?</w:t>
            </w:r>
            <w:r w:rsidR="00DA17E3">
              <w:rPr>
                <w:noProof/>
                <w:webHidden/>
              </w:rPr>
              <w:tab/>
            </w:r>
            <w:r w:rsidR="00DA17E3">
              <w:rPr>
                <w:noProof/>
                <w:webHidden/>
              </w:rPr>
              <w:fldChar w:fldCharType="begin"/>
            </w:r>
            <w:r w:rsidR="00DA17E3">
              <w:rPr>
                <w:noProof/>
                <w:webHidden/>
              </w:rPr>
              <w:instrText xml:space="preserve"> PAGEREF _Toc58400781 \h </w:instrText>
            </w:r>
            <w:r w:rsidR="00DA17E3">
              <w:rPr>
                <w:noProof/>
                <w:webHidden/>
              </w:rPr>
            </w:r>
            <w:r w:rsidR="00DA17E3">
              <w:rPr>
                <w:noProof/>
                <w:webHidden/>
              </w:rPr>
              <w:fldChar w:fldCharType="separate"/>
            </w:r>
            <w:r w:rsidR="00DF0799">
              <w:rPr>
                <w:noProof/>
                <w:webHidden/>
              </w:rPr>
              <w:t>67</w:t>
            </w:r>
            <w:r w:rsidR="00DA17E3">
              <w:rPr>
                <w:noProof/>
                <w:webHidden/>
              </w:rPr>
              <w:fldChar w:fldCharType="end"/>
            </w:r>
          </w:hyperlink>
        </w:p>
        <w:p w14:paraId="7DAE87AA" w14:textId="399124C3" w:rsidR="00DA17E3" w:rsidRDefault="00D04B86">
          <w:pPr>
            <w:pStyle w:val="TOC3"/>
            <w:tabs>
              <w:tab w:val="right" w:leader="dot" w:pos="9016"/>
            </w:tabs>
            <w:rPr>
              <w:rFonts w:asciiTheme="minorHAnsi" w:eastAsiaTheme="minorEastAsia" w:hAnsiTheme="minorHAnsi" w:cstheme="minorBidi"/>
              <w:noProof/>
              <w:sz w:val="22"/>
              <w:szCs w:val="22"/>
              <w:lang w:eastAsia="en-NZ"/>
            </w:rPr>
          </w:pPr>
          <w:hyperlink w:anchor="_Toc58400782" w:history="1">
            <w:r w:rsidR="00DA17E3" w:rsidRPr="00C137E2">
              <w:rPr>
                <w:rStyle w:val="Hyperlink"/>
                <w:noProof/>
              </w:rPr>
              <w:t>What kinds of support do FAOs appear to be offered by gambling services?</w:t>
            </w:r>
            <w:r w:rsidR="00DA17E3">
              <w:rPr>
                <w:noProof/>
                <w:webHidden/>
              </w:rPr>
              <w:tab/>
            </w:r>
            <w:r w:rsidR="00DA17E3">
              <w:rPr>
                <w:noProof/>
                <w:webHidden/>
              </w:rPr>
              <w:fldChar w:fldCharType="begin"/>
            </w:r>
            <w:r w:rsidR="00DA17E3">
              <w:rPr>
                <w:noProof/>
                <w:webHidden/>
              </w:rPr>
              <w:instrText xml:space="preserve"> PAGEREF _Toc58400782 \h </w:instrText>
            </w:r>
            <w:r w:rsidR="00DA17E3">
              <w:rPr>
                <w:noProof/>
                <w:webHidden/>
              </w:rPr>
            </w:r>
            <w:r w:rsidR="00DA17E3">
              <w:rPr>
                <w:noProof/>
                <w:webHidden/>
              </w:rPr>
              <w:fldChar w:fldCharType="separate"/>
            </w:r>
            <w:r w:rsidR="00DF0799">
              <w:rPr>
                <w:noProof/>
                <w:webHidden/>
              </w:rPr>
              <w:t>70</w:t>
            </w:r>
            <w:r w:rsidR="00DA17E3">
              <w:rPr>
                <w:noProof/>
                <w:webHidden/>
              </w:rPr>
              <w:fldChar w:fldCharType="end"/>
            </w:r>
          </w:hyperlink>
        </w:p>
        <w:p w14:paraId="2B977AEC" w14:textId="6DA1FE85" w:rsidR="00DA17E3" w:rsidRDefault="00D04B86">
          <w:pPr>
            <w:pStyle w:val="TOC3"/>
            <w:tabs>
              <w:tab w:val="right" w:leader="dot" w:pos="9016"/>
            </w:tabs>
            <w:rPr>
              <w:rFonts w:asciiTheme="minorHAnsi" w:eastAsiaTheme="minorEastAsia" w:hAnsiTheme="minorHAnsi" w:cstheme="minorBidi"/>
              <w:noProof/>
              <w:sz w:val="22"/>
              <w:szCs w:val="22"/>
              <w:lang w:eastAsia="en-NZ"/>
            </w:rPr>
          </w:pPr>
          <w:hyperlink w:anchor="_Toc58400783" w:history="1">
            <w:r w:rsidR="00DA17E3" w:rsidRPr="00C137E2">
              <w:rPr>
                <w:rStyle w:val="Hyperlink"/>
                <w:noProof/>
              </w:rPr>
              <w:t>How do gender, ethnicity and/or cultural issues/perspectives appear to be incorporated into service design and delivery for FAOs?</w:t>
            </w:r>
            <w:r w:rsidR="00DA17E3">
              <w:rPr>
                <w:noProof/>
                <w:webHidden/>
              </w:rPr>
              <w:tab/>
            </w:r>
            <w:r w:rsidR="00DA17E3">
              <w:rPr>
                <w:noProof/>
                <w:webHidden/>
              </w:rPr>
              <w:fldChar w:fldCharType="begin"/>
            </w:r>
            <w:r w:rsidR="00DA17E3">
              <w:rPr>
                <w:noProof/>
                <w:webHidden/>
              </w:rPr>
              <w:instrText xml:space="preserve"> PAGEREF _Toc58400783 \h </w:instrText>
            </w:r>
            <w:r w:rsidR="00DA17E3">
              <w:rPr>
                <w:noProof/>
                <w:webHidden/>
              </w:rPr>
            </w:r>
            <w:r w:rsidR="00DA17E3">
              <w:rPr>
                <w:noProof/>
                <w:webHidden/>
              </w:rPr>
              <w:fldChar w:fldCharType="separate"/>
            </w:r>
            <w:r w:rsidR="00DF0799">
              <w:rPr>
                <w:noProof/>
                <w:webHidden/>
              </w:rPr>
              <w:t>83</w:t>
            </w:r>
            <w:r w:rsidR="00DA17E3">
              <w:rPr>
                <w:noProof/>
                <w:webHidden/>
              </w:rPr>
              <w:fldChar w:fldCharType="end"/>
            </w:r>
          </w:hyperlink>
        </w:p>
        <w:p w14:paraId="6D537471" w14:textId="0627BAD4" w:rsidR="00DA17E3" w:rsidRDefault="00D04B86">
          <w:pPr>
            <w:pStyle w:val="TOC3"/>
            <w:tabs>
              <w:tab w:val="right" w:leader="dot" w:pos="9016"/>
            </w:tabs>
            <w:rPr>
              <w:rFonts w:asciiTheme="minorHAnsi" w:eastAsiaTheme="minorEastAsia" w:hAnsiTheme="minorHAnsi" w:cstheme="minorBidi"/>
              <w:noProof/>
              <w:sz w:val="22"/>
              <w:szCs w:val="22"/>
              <w:lang w:eastAsia="en-NZ"/>
            </w:rPr>
          </w:pPr>
          <w:hyperlink w:anchor="_Toc58400784" w:history="1">
            <w:r w:rsidR="00DA17E3" w:rsidRPr="00C137E2">
              <w:rPr>
                <w:rStyle w:val="Hyperlink"/>
                <w:noProof/>
                <w:lang w:eastAsia="en-NZ"/>
              </w:rPr>
              <w:t>Summary of Key Findings</w:t>
            </w:r>
            <w:r w:rsidR="00DA17E3">
              <w:rPr>
                <w:noProof/>
                <w:webHidden/>
              </w:rPr>
              <w:tab/>
            </w:r>
            <w:r w:rsidR="00DA17E3">
              <w:rPr>
                <w:noProof/>
                <w:webHidden/>
              </w:rPr>
              <w:fldChar w:fldCharType="begin"/>
            </w:r>
            <w:r w:rsidR="00DA17E3">
              <w:rPr>
                <w:noProof/>
                <w:webHidden/>
              </w:rPr>
              <w:instrText xml:space="preserve"> PAGEREF _Toc58400784 \h </w:instrText>
            </w:r>
            <w:r w:rsidR="00DA17E3">
              <w:rPr>
                <w:noProof/>
                <w:webHidden/>
              </w:rPr>
            </w:r>
            <w:r w:rsidR="00DA17E3">
              <w:rPr>
                <w:noProof/>
                <w:webHidden/>
              </w:rPr>
              <w:fldChar w:fldCharType="separate"/>
            </w:r>
            <w:r w:rsidR="00DF0799">
              <w:rPr>
                <w:noProof/>
                <w:webHidden/>
              </w:rPr>
              <w:t>88</w:t>
            </w:r>
            <w:r w:rsidR="00DA17E3">
              <w:rPr>
                <w:noProof/>
                <w:webHidden/>
              </w:rPr>
              <w:fldChar w:fldCharType="end"/>
            </w:r>
          </w:hyperlink>
        </w:p>
        <w:p w14:paraId="35A7028C" w14:textId="040D5047" w:rsidR="00DA17E3" w:rsidRDefault="00D04B86">
          <w:pPr>
            <w:pStyle w:val="TOC2"/>
            <w:tabs>
              <w:tab w:val="right" w:leader="dot" w:pos="9016"/>
            </w:tabs>
            <w:rPr>
              <w:rFonts w:asciiTheme="minorHAnsi" w:eastAsiaTheme="minorEastAsia" w:hAnsiTheme="minorHAnsi" w:cstheme="minorBidi"/>
              <w:noProof/>
              <w:sz w:val="22"/>
              <w:szCs w:val="22"/>
              <w:lang w:eastAsia="en-NZ"/>
            </w:rPr>
          </w:pPr>
          <w:hyperlink w:anchor="_Toc58400785" w:history="1">
            <w:r w:rsidR="00DA17E3" w:rsidRPr="00C137E2">
              <w:rPr>
                <w:rStyle w:val="Hyperlink"/>
                <w:noProof/>
              </w:rPr>
              <w:t>New Zealand FAO engagement with intervention services</w:t>
            </w:r>
            <w:r w:rsidR="00DA17E3">
              <w:rPr>
                <w:noProof/>
                <w:webHidden/>
              </w:rPr>
              <w:tab/>
            </w:r>
            <w:r w:rsidR="00DA17E3">
              <w:rPr>
                <w:noProof/>
                <w:webHidden/>
              </w:rPr>
              <w:fldChar w:fldCharType="begin"/>
            </w:r>
            <w:r w:rsidR="00DA17E3">
              <w:rPr>
                <w:noProof/>
                <w:webHidden/>
              </w:rPr>
              <w:instrText xml:space="preserve"> PAGEREF _Toc58400785 \h </w:instrText>
            </w:r>
            <w:r w:rsidR="00DA17E3">
              <w:rPr>
                <w:noProof/>
                <w:webHidden/>
              </w:rPr>
            </w:r>
            <w:r w:rsidR="00DA17E3">
              <w:rPr>
                <w:noProof/>
                <w:webHidden/>
              </w:rPr>
              <w:fldChar w:fldCharType="separate"/>
            </w:r>
            <w:r w:rsidR="00DF0799">
              <w:rPr>
                <w:noProof/>
                <w:webHidden/>
              </w:rPr>
              <w:t>93</w:t>
            </w:r>
            <w:r w:rsidR="00DA17E3">
              <w:rPr>
                <w:noProof/>
                <w:webHidden/>
              </w:rPr>
              <w:fldChar w:fldCharType="end"/>
            </w:r>
          </w:hyperlink>
        </w:p>
        <w:p w14:paraId="6319731F" w14:textId="1A39682D" w:rsidR="00DA17E3" w:rsidRDefault="00D04B86">
          <w:pPr>
            <w:pStyle w:val="TOC3"/>
            <w:tabs>
              <w:tab w:val="right" w:leader="dot" w:pos="9016"/>
            </w:tabs>
            <w:rPr>
              <w:rFonts w:asciiTheme="minorHAnsi" w:eastAsiaTheme="minorEastAsia" w:hAnsiTheme="minorHAnsi" w:cstheme="minorBidi"/>
              <w:noProof/>
              <w:sz w:val="22"/>
              <w:szCs w:val="22"/>
              <w:lang w:eastAsia="en-NZ"/>
            </w:rPr>
          </w:pPr>
          <w:hyperlink w:anchor="_Toc58400786" w:history="1">
            <w:r w:rsidR="00DA17E3" w:rsidRPr="00C137E2">
              <w:rPr>
                <w:rStyle w:val="Hyperlink"/>
                <w:noProof/>
              </w:rPr>
              <w:t>Gambling harm for New Zealand FAOs</w:t>
            </w:r>
            <w:r w:rsidR="00DA17E3">
              <w:rPr>
                <w:noProof/>
                <w:webHidden/>
              </w:rPr>
              <w:tab/>
            </w:r>
            <w:r w:rsidR="00DA17E3">
              <w:rPr>
                <w:noProof/>
                <w:webHidden/>
              </w:rPr>
              <w:fldChar w:fldCharType="begin"/>
            </w:r>
            <w:r w:rsidR="00DA17E3">
              <w:rPr>
                <w:noProof/>
                <w:webHidden/>
              </w:rPr>
              <w:instrText xml:space="preserve"> PAGEREF _Toc58400786 \h </w:instrText>
            </w:r>
            <w:r w:rsidR="00DA17E3">
              <w:rPr>
                <w:noProof/>
                <w:webHidden/>
              </w:rPr>
            </w:r>
            <w:r w:rsidR="00DA17E3">
              <w:rPr>
                <w:noProof/>
                <w:webHidden/>
              </w:rPr>
              <w:fldChar w:fldCharType="separate"/>
            </w:r>
            <w:r w:rsidR="00DF0799">
              <w:rPr>
                <w:noProof/>
                <w:webHidden/>
              </w:rPr>
              <w:t>93</w:t>
            </w:r>
            <w:r w:rsidR="00DA17E3">
              <w:rPr>
                <w:noProof/>
                <w:webHidden/>
              </w:rPr>
              <w:fldChar w:fldCharType="end"/>
            </w:r>
          </w:hyperlink>
        </w:p>
        <w:p w14:paraId="62626A4A" w14:textId="64A3A7E9" w:rsidR="00DA17E3" w:rsidRDefault="00D04B86">
          <w:pPr>
            <w:pStyle w:val="TOC3"/>
            <w:tabs>
              <w:tab w:val="right" w:leader="dot" w:pos="9016"/>
            </w:tabs>
            <w:rPr>
              <w:rFonts w:asciiTheme="minorHAnsi" w:eastAsiaTheme="minorEastAsia" w:hAnsiTheme="minorHAnsi" w:cstheme="minorBidi"/>
              <w:noProof/>
              <w:sz w:val="22"/>
              <w:szCs w:val="22"/>
              <w:lang w:eastAsia="en-NZ"/>
            </w:rPr>
          </w:pPr>
          <w:hyperlink w:anchor="_Toc58400787" w:history="1">
            <w:r w:rsidR="00DA17E3" w:rsidRPr="00C137E2">
              <w:rPr>
                <w:rStyle w:val="Hyperlink"/>
                <w:noProof/>
              </w:rPr>
              <w:t>New Zealand gambling support services</w:t>
            </w:r>
            <w:r w:rsidR="00DA17E3">
              <w:rPr>
                <w:noProof/>
                <w:webHidden/>
              </w:rPr>
              <w:tab/>
            </w:r>
            <w:r w:rsidR="00DA17E3">
              <w:rPr>
                <w:noProof/>
                <w:webHidden/>
              </w:rPr>
              <w:fldChar w:fldCharType="begin"/>
            </w:r>
            <w:r w:rsidR="00DA17E3">
              <w:rPr>
                <w:noProof/>
                <w:webHidden/>
              </w:rPr>
              <w:instrText xml:space="preserve"> PAGEREF _Toc58400787 \h </w:instrText>
            </w:r>
            <w:r w:rsidR="00DA17E3">
              <w:rPr>
                <w:noProof/>
                <w:webHidden/>
              </w:rPr>
            </w:r>
            <w:r w:rsidR="00DA17E3">
              <w:rPr>
                <w:noProof/>
                <w:webHidden/>
              </w:rPr>
              <w:fldChar w:fldCharType="separate"/>
            </w:r>
            <w:r w:rsidR="00DF0799">
              <w:rPr>
                <w:noProof/>
                <w:webHidden/>
              </w:rPr>
              <w:t>94</w:t>
            </w:r>
            <w:r w:rsidR="00DA17E3">
              <w:rPr>
                <w:noProof/>
                <w:webHidden/>
              </w:rPr>
              <w:fldChar w:fldCharType="end"/>
            </w:r>
          </w:hyperlink>
        </w:p>
        <w:p w14:paraId="749486A6" w14:textId="0323F0AC" w:rsidR="00DA17E3" w:rsidRDefault="00D04B86">
          <w:pPr>
            <w:pStyle w:val="TOC3"/>
            <w:tabs>
              <w:tab w:val="right" w:leader="dot" w:pos="9016"/>
            </w:tabs>
            <w:rPr>
              <w:rFonts w:asciiTheme="minorHAnsi" w:eastAsiaTheme="minorEastAsia" w:hAnsiTheme="minorHAnsi" w:cstheme="minorBidi"/>
              <w:noProof/>
              <w:sz w:val="22"/>
              <w:szCs w:val="22"/>
              <w:lang w:eastAsia="en-NZ"/>
            </w:rPr>
          </w:pPr>
          <w:hyperlink w:anchor="_Toc58400788" w:history="1">
            <w:r w:rsidR="00DA17E3" w:rsidRPr="00C137E2">
              <w:rPr>
                <w:rStyle w:val="Hyperlink"/>
                <w:noProof/>
              </w:rPr>
              <w:t>Approach and methods</w:t>
            </w:r>
            <w:r w:rsidR="00DA17E3">
              <w:rPr>
                <w:noProof/>
                <w:webHidden/>
              </w:rPr>
              <w:tab/>
            </w:r>
            <w:r w:rsidR="00DA17E3">
              <w:rPr>
                <w:noProof/>
                <w:webHidden/>
              </w:rPr>
              <w:fldChar w:fldCharType="begin"/>
            </w:r>
            <w:r w:rsidR="00DA17E3">
              <w:rPr>
                <w:noProof/>
                <w:webHidden/>
              </w:rPr>
              <w:instrText xml:space="preserve"> PAGEREF _Toc58400788 \h </w:instrText>
            </w:r>
            <w:r w:rsidR="00DA17E3">
              <w:rPr>
                <w:noProof/>
                <w:webHidden/>
              </w:rPr>
            </w:r>
            <w:r w:rsidR="00DA17E3">
              <w:rPr>
                <w:noProof/>
                <w:webHidden/>
              </w:rPr>
              <w:fldChar w:fldCharType="separate"/>
            </w:r>
            <w:r w:rsidR="00DF0799">
              <w:rPr>
                <w:noProof/>
                <w:webHidden/>
              </w:rPr>
              <w:t>97</w:t>
            </w:r>
            <w:r w:rsidR="00DA17E3">
              <w:rPr>
                <w:noProof/>
                <w:webHidden/>
              </w:rPr>
              <w:fldChar w:fldCharType="end"/>
            </w:r>
          </w:hyperlink>
        </w:p>
        <w:p w14:paraId="00FE927B" w14:textId="3A7B3738" w:rsidR="00DA17E3" w:rsidRDefault="00D04B86">
          <w:pPr>
            <w:pStyle w:val="TOC3"/>
            <w:tabs>
              <w:tab w:val="right" w:leader="dot" w:pos="9016"/>
            </w:tabs>
            <w:rPr>
              <w:rFonts w:asciiTheme="minorHAnsi" w:eastAsiaTheme="minorEastAsia" w:hAnsiTheme="minorHAnsi" w:cstheme="minorBidi"/>
              <w:noProof/>
              <w:sz w:val="22"/>
              <w:szCs w:val="22"/>
              <w:lang w:eastAsia="en-NZ"/>
            </w:rPr>
          </w:pPr>
          <w:hyperlink w:anchor="_Toc58400789" w:history="1">
            <w:r w:rsidR="00DA17E3" w:rsidRPr="00C137E2">
              <w:rPr>
                <w:rStyle w:val="Hyperlink"/>
                <w:noProof/>
              </w:rPr>
              <w:t>Description of clients</w:t>
            </w:r>
            <w:r w:rsidR="00DA17E3">
              <w:rPr>
                <w:noProof/>
                <w:webHidden/>
              </w:rPr>
              <w:tab/>
            </w:r>
            <w:r w:rsidR="00DA17E3">
              <w:rPr>
                <w:noProof/>
                <w:webHidden/>
              </w:rPr>
              <w:fldChar w:fldCharType="begin"/>
            </w:r>
            <w:r w:rsidR="00DA17E3">
              <w:rPr>
                <w:noProof/>
                <w:webHidden/>
              </w:rPr>
              <w:instrText xml:space="preserve"> PAGEREF _Toc58400789 \h </w:instrText>
            </w:r>
            <w:r w:rsidR="00DA17E3">
              <w:rPr>
                <w:noProof/>
                <w:webHidden/>
              </w:rPr>
            </w:r>
            <w:r w:rsidR="00DA17E3">
              <w:rPr>
                <w:noProof/>
                <w:webHidden/>
              </w:rPr>
              <w:fldChar w:fldCharType="separate"/>
            </w:r>
            <w:r w:rsidR="00DF0799">
              <w:rPr>
                <w:noProof/>
                <w:webHidden/>
              </w:rPr>
              <w:t>97</w:t>
            </w:r>
            <w:r w:rsidR="00DA17E3">
              <w:rPr>
                <w:noProof/>
                <w:webHidden/>
              </w:rPr>
              <w:fldChar w:fldCharType="end"/>
            </w:r>
          </w:hyperlink>
        </w:p>
        <w:p w14:paraId="41463C0B" w14:textId="033BFE8E" w:rsidR="00DA17E3" w:rsidRDefault="00D04B86">
          <w:pPr>
            <w:pStyle w:val="TOC3"/>
            <w:tabs>
              <w:tab w:val="right" w:leader="dot" w:pos="9016"/>
            </w:tabs>
            <w:rPr>
              <w:rFonts w:asciiTheme="minorHAnsi" w:eastAsiaTheme="minorEastAsia" w:hAnsiTheme="minorHAnsi" w:cstheme="minorBidi"/>
              <w:noProof/>
              <w:sz w:val="22"/>
              <w:szCs w:val="22"/>
              <w:lang w:eastAsia="en-NZ"/>
            </w:rPr>
          </w:pPr>
          <w:hyperlink w:anchor="_Toc58400790" w:history="1">
            <w:r w:rsidR="00DA17E3" w:rsidRPr="00C137E2">
              <w:rPr>
                <w:rStyle w:val="Hyperlink"/>
                <w:noProof/>
              </w:rPr>
              <w:t>Description of sessions</w:t>
            </w:r>
            <w:r w:rsidR="00DA17E3">
              <w:rPr>
                <w:noProof/>
                <w:webHidden/>
              </w:rPr>
              <w:tab/>
            </w:r>
            <w:r w:rsidR="00DA17E3">
              <w:rPr>
                <w:noProof/>
                <w:webHidden/>
              </w:rPr>
              <w:fldChar w:fldCharType="begin"/>
            </w:r>
            <w:r w:rsidR="00DA17E3">
              <w:rPr>
                <w:noProof/>
                <w:webHidden/>
              </w:rPr>
              <w:instrText xml:space="preserve"> PAGEREF _Toc58400790 \h </w:instrText>
            </w:r>
            <w:r w:rsidR="00DA17E3">
              <w:rPr>
                <w:noProof/>
                <w:webHidden/>
              </w:rPr>
            </w:r>
            <w:r w:rsidR="00DA17E3">
              <w:rPr>
                <w:noProof/>
                <w:webHidden/>
              </w:rPr>
              <w:fldChar w:fldCharType="separate"/>
            </w:r>
            <w:r w:rsidR="00DF0799">
              <w:rPr>
                <w:noProof/>
                <w:webHidden/>
              </w:rPr>
              <w:t>101</w:t>
            </w:r>
            <w:r w:rsidR="00DA17E3">
              <w:rPr>
                <w:noProof/>
                <w:webHidden/>
              </w:rPr>
              <w:fldChar w:fldCharType="end"/>
            </w:r>
          </w:hyperlink>
        </w:p>
        <w:p w14:paraId="3E7A5727" w14:textId="561F0D72" w:rsidR="00DA17E3" w:rsidRDefault="00D04B86">
          <w:pPr>
            <w:pStyle w:val="TOC3"/>
            <w:tabs>
              <w:tab w:val="right" w:leader="dot" w:pos="9016"/>
            </w:tabs>
            <w:rPr>
              <w:rFonts w:asciiTheme="minorHAnsi" w:eastAsiaTheme="minorEastAsia" w:hAnsiTheme="minorHAnsi" w:cstheme="minorBidi"/>
              <w:noProof/>
              <w:sz w:val="22"/>
              <w:szCs w:val="22"/>
              <w:lang w:eastAsia="en-NZ"/>
            </w:rPr>
          </w:pPr>
          <w:hyperlink w:anchor="_Toc58400791" w:history="1">
            <w:r w:rsidR="00DA17E3" w:rsidRPr="00C137E2">
              <w:rPr>
                <w:rStyle w:val="Hyperlink"/>
                <w:noProof/>
              </w:rPr>
              <w:t>Description of FAO screening</w:t>
            </w:r>
            <w:r w:rsidR="00DA17E3">
              <w:rPr>
                <w:noProof/>
                <w:webHidden/>
              </w:rPr>
              <w:tab/>
            </w:r>
            <w:r w:rsidR="00DA17E3">
              <w:rPr>
                <w:noProof/>
                <w:webHidden/>
              </w:rPr>
              <w:fldChar w:fldCharType="begin"/>
            </w:r>
            <w:r w:rsidR="00DA17E3">
              <w:rPr>
                <w:noProof/>
                <w:webHidden/>
              </w:rPr>
              <w:instrText xml:space="preserve"> PAGEREF _Toc58400791 \h </w:instrText>
            </w:r>
            <w:r w:rsidR="00DA17E3">
              <w:rPr>
                <w:noProof/>
                <w:webHidden/>
              </w:rPr>
            </w:r>
            <w:r w:rsidR="00DA17E3">
              <w:rPr>
                <w:noProof/>
                <w:webHidden/>
              </w:rPr>
              <w:fldChar w:fldCharType="separate"/>
            </w:r>
            <w:r w:rsidR="00DF0799">
              <w:rPr>
                <w:noProof/>
                <w:webHidden/>
              </w:rPr>
              <w:t>112</w:t>
            </w:r>
            <w:r w:rsidR="00DA17E3">
              <w:rPr>
                <w:noProof/>
                <w:webHidden/>
              </w:rPr>
              <w:fldChar w:fldCharType="end"/>
            </w:r>
          </w:hyperlink>
        </w:p>
        <w:p w14:paraId="766E3A59" w14:textId="26420214" w:rsidR="00DA17E3" w:rsidRDefault="00D04B86">
          <w:pPr>
            <w:pStyle w:val="TOC3"/>
            <w:tabs>
              <w:tab w:val="right" w:leader="dot" w:pos="9016"/>
            </w:tabs>
            <w:rPr>
              <w:rFonts w:asciiTheme="minorHAnsi" w:eastAsiaTheme="minorEastAsia" w:hAnsiTheme="minorHAnsi" w:cstheme="minorBidi"/>
              <w:noProof/>
              <w:sz w:val="22"/>
              <w:szCs w:val="22"/>
              <w:lang w:eastAsia="en-NZ"/>
            </w:rPr>
          </w:pPr>
          <w:hyperlink w:anchor="_Toc58400792" w:history="1">
            <w:r w:rsidR="00DA17E3" w:rsidRPr="00C137E2">
              <w:rPr>
                <w:rStyle w:val="Hyperlink"/>
                <w:noProof/>
              </w:rPr>
              <w:t>Discussion</w:t>
            </w:r>
            <w:r w:rsidR="00DA17E3">
              <w:rPr>
                <w:noProof/>
                <w:webHidden/>
              </w:rPr>
              <w:tab/>
            </w:r>
            <w:r w:rsidR="00DA17E3">
              <w:rPr>
                <w:noProof/>
                <w:webHidden/>
              </w:rPr>
              <w:fldChar w:fldCharType="begin"/>
            </w:r>
            <w:r w:rsidR="00DA17E3">
              <w:rPr>
                <w:noProof/>
                <w:webHidden/>
              </w:rPr>
              <w:instrText xml:space="preserve"> PAGEREF _Toc58400792 \h </w:instrText>
            </w:r>
            <w:r w:rsidR="00DA17E3">
              <w:rPr>
                <w:noProof/>
                <w:webHidden/>
              </w:rPr>
            </w:r>
            <w:r w:rsidR="00DA17E3">
              <w:rPr>
                <w:noProof/>
                <w:webHidden/>
              </w:rPr>
              <w:fldChar w:fldCharType="separate"/>
            </w:r>
            <w:r w:rsidR="00DF0799">
              <w:rPr>
                <w:noProof/>
                <w:webHidden/>
              </w:rPr>
              <w:t>114</w:t>
            </w:r>
            <w:r w:rsidR="00DA17E3">
              <w:rPr>
                <w:noProof/>
                <w:webHidden/>
              </w:rPr>
              <w:fldChar w:fldCharType="end"/>
            </w:r>
          </w:hyperlink>
        </w:p>
        <w:p w14:paraId="7DC15799" w14:textId="09B8BC83" w:rsidR="00DA17E3" w:rsidRDefault="00D04B86">
          <w:pPr>
            <w:pStyle w:val="TOC3"/>
            <w:tabs>
              <w:tab w:val="right" w:leader="dot" w:pos="9016"/>
            </w:tabs>
            <w:rPr>
              <w:rFonts w:asciiTheme="minorHAnsi" w:eastAsiaTheme="minorEastAsia" w:hAnsiTheme="minorHAnsi" w:cstheme="minorBidi"/>
              <w:noProof/>
              <w:sz w:val="22"/>
              <w:szCs w:val="22"/>
              <w:lang w:eastAsia="en-NZ"/>
            </w:rPr>
          </w:pPr>
          <w:hyperlink w:anchor="_Toc58400793" w:history="1">
            <w:r w:rsidR="00DA17E3" w:rsidRPr="00C137E2">
              <w:rPr>
                <w:rStyle w:val="Hyperlink"/>
                <w:noProof/>
              </w:rPr>
              <w:t>Conclusion</w:t>
            </w:r>
            <w:r w:rsidR="00DA17E3">
              <w:rPr>
                <w:noProof/>
                <w:webHidden/>
              </w:rPr>
              <w:tab/>
            </w:r>
            <w:r w:rsidR="00DA17E3">
              <w:rPr>
                <w:noProof/>
                <w:webHidden/>
              </w:rPr>
              <w:fldChar w:fldCharType="begin"/>
            </w:r>
            <w:r w:rsidR="00DA17E3">
              <w:rPr>
                <w:noProof/>
                <w:webHidden/>
              </w:rPr>
              <w:instrText xml:space="preserve"> PAGEREF _Toc58400793 \h </w:instrText>
            </w:r>
            <w:r w:rsidR="00DA17E3">
              <w:rPr>
                <w:noProof/>
                <w:webHidden/>
              </w:rPr>
            </w:r>
            <w:r w:rsidR="00DA17E3">
              <w:rPr>
                <w:noProof/>
                <w:webHidden/>
              </w:rPr>
              <w:fldChar w:fldCharType="separate"/>
            </w:r>
            <w:r w:rsidR="00DF0799">
              <w:rPr>
                <w:noProof/>
                <w:webHidden/>
              </w:rPr>
              <w:t>115</w:t>
            </w:r>
            <w:r w:rsidR="00DA17E3">
              <w:rPr>
                <w:noProof/>
                <w:webHidden/>
              </w:rPr>
              <w:fldChar w:fldCharType="end"/>
            </w:r>
          </w:hyperlink>
        </w:p>
        <w:p w14:paraId="7D4A7EBE" w14:textId="0DDEBCD9" w:rsidR="00DA17E3" w:rsidRDefault="00D04B86">
          <w:pPr>
            <w:pStyle w:val="TOC1"/>
            <w:tabs>
              <w:tab w:val="right" w:leader="dot" w:pos="9016"/>
            </w:tabs>
            <w:rPr>
              <w:rFonts w:asciiTheme="minorHAnsi" w:eastAsiaTheme="minorEastAsia" w:hAnsiTheme="minorHAnsi" w:cstheme="minorBidi"/>
              <w:noProof/>
              <w:sz w:val="22"/>
              <w:szCs w:val="22"/>
              <w:lang w:eastAsia="en-NZ"/>
            </w:rPr>
          </w:pPr>
          <w:hyperlink w:anchor="_Toc58400794" w:history="1">
            <w:r w:rsidR="00DA17E3" w:rsidRPr="00C137E2">
              <w:rPr>
                <w:rStyle w:val="Hyperlink"/>
                <w:noProof/>
              </w:rPr>
              <w:t>OPPORTUNITIES TO ENHANCE SUPPORT FOR FAOs IN NEW ZEALAND GAMBLING SERVICES</w:t>
            </w:r>
            <w:r w:rsidR="00DA17E3">
              <w:rPr>
                <w:noProof/>
                <w:webHidden/>
              </w:rPr>
              <w:tab/>
            </w:r>
            <w:r w:rsidR="00DA17E3">
              <w:rPr>
                <w:noProof/>
                <w:webHidden/>
              </w:rPr>
              <w:fldChar w:fldCharType="begin"/>
            </w:r>
            <w:r w:rsidR="00DA17E3">
              <w:rPr>
                <w:noProof/>
                <w:webHidden/>
              </w:rPr>
              <w:instrText xml:space="preserve"> PAGEREF _Toc58400794 \h </w:instrText>
            </w:r>
            <w:r w:rsidR="00DA17E3">
              <w:rPr>
                <w:noProof/>
                <w:webHidden/>
              </w:rPr>
            </w:r>
            <w:r w:rsidR="00DA17E3">
              <w:rPr>
                <w:noProof/>
                <w:webHidden/>
              </w:rPr>
              <w:fldChar w:fldCharType="separate"/>
            </w:r>
            <w:r w:rsidR="00DF0799">
              <w:rPr>
                <w:noProof/>
                <w:webHidden/>
              </w:rPr>
              <w:t>116</w:t>
            </w:r>
            <w:r w:rsidR="00DA17E3">
              <w:rPr>
                <w:noProof/>
                <w:webHidden/>
              </w:rPr>
              <w:fldChar w:fldCharType="end"/>
            </w:r>
          </w:hyperlink>
        </w:p>
        <w:p w14:paraId="2DED2A19" w14:textId="49E557F9" w:rsidR="00DA17E3" w:rsidRDefault="00D04B86">
          <w:pPr>
            <w:pStyle w:val="TOC2"/>
            <w:tabs>
              <w:tab w:val="right" w:leader="dot" w:pos="9016"/>
            </w:tabs>
            <w:rPr>
              <w:rFonts w:asciiTheme="minorHAnsi" w:eastAsiaTheme="minorEastAsia" w:hAnsiTheme="minorHAnsi" w:cstheme="minorBidi"/>
              <w:noProof/>
              <w:sz w:val="22"/>
              <w:szCs w:val="22"/>
              <w:lang w:eastAsia="en-NZ"/>
            </w:rPr>
          </w:pPr>
          <w:hyperlink w:anchor="_Toc58400795" w:history="1">
            <w:r w:rsidR="00DA17E3" w:rsidRPr="00C137E2">
              <w:rPr>
                <w:rStyle w:val="Hyperlink"/>
                <w:noProof/>
              </w:rPr>
              <w:t>Honouring Te Tiriti o Waitangi</w:t>
            </w:r>
            <w:r w:rsidR="00DA17E3">
              <w:rPr>
                <w:noProof/>
                <w:webHidden/>
              </w:rPr>
              <w:tab/>
            </w:r>
            <w:r w:rsidR="00DA17E3">
              <w:rPr>
                <w:noProof/>
                <w:webHidden/>
              </w:rPr>
              <w:fldChar w:fldCharType="begin"/>
            </w:r>
            <w:r w:rsidR="00DA17E3">
              <w:rPr>
                <w:noProof/>
                <w:webHidden/>
              </w:rPr>
              <w:instrText xml:space="preserve"> PAGEREF _Toc58400795 \h </w:instrText>
            </w:r>
            <w:r w:rsidR="00DA17E3">
              <w:rPr>
                <w:noProof/>
                <w:webHidden/>
              </w:rPr>
            </w:r>
            <w:r w:rsidR="00DA17E3">
              <w:rPr>
                <w:noProof/>
                <w:webHidden/>
              </w:rPr>
              <w:fldChar w:fldCharType="separate"/>
            </w:r>
            <w:r w:rsidR="00DF0799">
              <w:rPr>
                <w:noProof/>
                <w:webHidden/>
              </w:rPr>
              <w:t>117</w:t>
            </w:r>
            <w:r w:rsidR="00DA17E3">
              <w:rPr>
                <w:noProof/>
                <w:webHidden/>
              </w:rPr>
              <w:fldChar w:fldCharType="end"/>
            </w:r>
          </w:hyperlink>
        </w:p>
        <w:p w14:paraId="7E74CA49" w14:textId="2FC8300A" w:rsidR="00DA17E3" w:rsidRDefault="00D04B86">
          <w:pPr>
            <w:pStyle w:val="TOC2"/>
            <w:tabs>
              <w:tab w:val="right" w:leader="dot" w:pos="9016"/>
            </w:tabs>
            <w:rPr>
              <w:rFonts w:asciiTheme="minorHAnsi" w:eastAsiaTheme="minorEastAsia" w:hAnsiTheme="minorHAnsi" w:cstheme="minorBidi"/>
              <w:noProof/>
              <w:sz w:val="22"/>
              <w:szCs w:val="22"/>
              <w:lang w:eastAsia="en-NZ"/>
            </w:rPr>
          </w:pPr>
          <w:hyperlink w:anchor="_Toc58400796" w:history="1">
            <w:r w:rsidR="00DA17E3" w:rsidRPr="00C137E2">
              <w:rPr>
                <w:rStyle w:val="Hyperlink"/>
                <w:noProof/>
              </w:rPr>
              <w:t>An integrative perspective on ‘evidence-based practice’</w:t>
            </w:r>
            <w:r w:rsidR="00DA17E3">
              <w:rPr>
                <w:noProof/>
                <w:webHidden/>
              </w:rPr>
              <w:tab/>
            </w:r>
            <w:r w:rsidR="00DA17E3">
              <w:rPr>
                <w:noProof/>
                <w:webHidden/>
              </w:rPr>
              <w:fldChar w:fldCharType="begin"/>
            </w:r>
            <w:r w:rsidR="00DA17E3">
              <w:rPr>
                <w:noProof/>
                <w:webHidden/>
              </w:rPr>
              <w:instrText xml:space="preserve"> PAGEREF _Toc58400796 \h </w:instrText>
            </w:r>
            <w:r w:rsidR="00DA17E3">
              <w:rPr>
                <w:noProof/>
                <w:webHidden/>
              </w:rPr>
            </w:r>
            <w:r w:rsidR="00DA17E3">
              <w:rPr>
                <w:noProof/>
                <w:webHidden/>
              </w:rPr>
              <w:fldChar w:fldCharType="separate"/>
            </w:r>
            <w:r w:rsidR="00DF0799">
              <w:rPr>
                <w:noProof/>
                <w:webHidden/>
              </w:rPr>
              <w:t>118</w:t>
            </w:r>
            <w:r w:rsidR="00DA17E3">
              <w:rPr>
                <w:noProof/>
                <w:webHidden/>
              </w:rPr>
              <w:fldChar w:fldCharType="end"/>
            </w:r>
          </w:hyperlink>
        </w:p>
        <w:p w14:paraId="61813E1D" w14:textId="2D6018B4" w:rsidR="00DA17E3" w:rsidRDefault="00D04B86">
          <w:pPr>
            <w:pStyle w:val="TOC2"/>
            <w:tabs>
              <w:tab w:val="right" w:leader="dot" w:pos="9016"/>
            </w:tabs>
            <w:rPr>
              <w:rFonts w:asciiTheme="minorHAnsi" w:eastAsiaTheme="minorEastAsia" w:hAnsiTheme="minorHAnsi" w:cstheme="minorBidi"/>
              <w:noProof/>
              <w:sz w:val="22"/>
              <w:szCs w:val="22"/>
              <w:lang w:eastAsia="en-NZ"/>
            </w:rPr>
          </w:pPr>
          <w:hyperlink w:anchor="_Toc58400797" w:history="1">
            <w:r w:rsidR="00DA17E3" w:rsidRPr="00C137E2">
              <w:rPr>
                <w:rStyle w:val="Hyperlink"/>
                <w:noProof/>
              </w:rPr>
              <w:t>Transformative and action-oriented research</w:t>
            </w:r>
            <w:r w:rsidR="00DA17E3">
              <w:rPr>
                <w:noProof/>
                <w:webHidden/>
              </w:rPr>
              <w:tab/>
            </w:r>
            <w:r w:rsidR="00DA17E3">
              <w:rPr>
                <w:noProof/>
                <w:webHidden/>
              </w:rPr>
              <w:fldChar w:fldCharType="begin"/>
            </w:r>
            <w:r w:rsidR="00DA17E3">
              <w:rPr>
                <w:noProof/>
                <w:webHidden/>
              </w:rPr>
              <w:instrText xml:space="preserve"> PAGEREF _Toc58400797 \h </w:instrText>
            </w:r>
            <w:r w:rsidR="00DA17E3">
              <w:rPr>
                <w:noProof/>
                <w:webHidden/>
              </w:rPr>
            </w:r>
            <w:r w:rsidR="00DA17E3">
              <w:rPr>
                <w:noProof/>
                <w:webHidden/>
              </w:rPr>
              <w:fldChar w:fldCharType="separate"/>
            </w:r>
            <w:r w:rsidR="00DF0799">
              <w:rPr>
                <w:noProof/>
                <w:webHidden/>
              </w:rPr>
              <w:t>119</w:t>
            </w:r>
            <w:r w:rsidR="00DA17E3">
              <w:rPr>
                <w:noProof/>
                <w:webHidden/>
              </w:rPr>
              <w:fldChar w:fldCharType="end"/>
            </w:r>
          </w:hyperlink>
        </w:p>
        <w:p w14:paraId="3638D872" w14:textId="59E800AD" w:rsidR="00DA17E3" w:rsidRDefault="00D04B86">
          <w:pPr>
            <w:pStyle w:val="TOC2"/>
            <w:tabs>
              <w:tab w:val="right" w:leader="dot" w:pos="9016"/>
            </w:tabs>
            <w:rPr>
              <w:rFonts w:asciiTheme="minorHAnsi" w:eastAsiaTheme="minorEastAsia" w:hAnsiTheme="minorHAnsi" w:cstheme="minorBidi"/>
              <w:noProof/>
              <w:sz w:val="22"/>
              <w:szCs w:val="22"/>
              <w:lang w:eastAsia="en-NZ"/>
            </w:rPr>
          </w:pPr>
          <w:hyperlink w:anchor="_Toc58400798" w:history="1">
            <w:r w:rsidR="00DA17E3" w:rsidRPr="00C137E2">
              <w:rPr>
                <w:rStyle w:val="Hyperlink"/>
                <w:noProof/>
              </w:rPr>
              <w:t>Final recommendations</w:t>
            </w:r>
            <w:r w:rsidR="00DA17E3">
              <w:rPr>
                <w:noProof/>
                <w:webHidden/>
              </w:rPr>
              <w:tab/>
            </w:r>
            <w:r w:rsidR="00DA17E3">
              <w:rPr>
                <w:noProof/>
                <w:webHidden/>
              </w:rPr>
              <w:fldChar w:fldCharType="begin"/>
            </w:r>
            <w:r w:rsidR="00DA17E3">
              <w:rPr>
                <w:noProof/>
                <w:webHidden/>
              </w:rPr>
              <w:instrText xml:space="preserve"> PAGEREF _Toc58400798 \h </w:instrText>
            </w:r>
            <w:r w:rsidR="00DA17E3">
              <w:rPr>
                <w:noProof/>
                <w:webHidden/>
              </w:rPr>
            </w:r>
            <w:r w:rsidR="00DA17E3">
              <w:rPr>
                <w:noProof/>
                <w:webHidden/>
              </w:rPr>
              <w:fldChar w:fldCharType="separate"/>
            </w:r>
            <w:r w:rsidR="00DF0799">
              <w:rPr>
                <w:noProof/>
                <w:webHidden/>
              </w:rPr>
              <w:t>120</w:t>
            </w:r>
            <w:r w:rsidR="00DA17E3">
              <w:rPr>
                <w:noProof/>
                <w:webHidden/>
              </w:rPr>
              <w:fldChar w:fldCharType="end"/>
            </w:r>
          </w:hyperlink>
        </w:p>
        <w:p w14:paraId="3DD45532" w14:textId="1B13853B" w:rsidR="00DA17E3" w:rsidRDefault="00D04B86">
          <w:pPr>
            <w:pStyle w:val="TOC2"/>
            <w:tabs>
              <w:tab w:val="right" w:leader="dot" w:pos="9016"/>
            </w:tabs>
            <w:rPr>
              <w:rFonts w:asciiTheme="minorHAnsi" w:eastAsiaTheme="minorEastAsia" w:hAnsiTheme="minorHAnsi" w:cstheme="minorBidi"/>
              <w:noProof/>
              <w:sz w:val="22"/>
              <w:szCs w:val="22"/>
              <w:lang w:eastAsia="en-NZ"/>
            </w:rPr>
          </w:pPr>
          <w:hyperlink w:anchor="_Toc58400799" w:history="1">
            <w:r w:rsidR="00DA17E3" w:rsidRPr="00C137E2">
              <w:rPr>
                <w:rStyle w:val="Hyperlink"/>
                <w:noProof/>
              </w:rPr>
              <w:t>Limitations of this inquiry</w:t>
            </w:r>
            <w:r w:rsidR="00DA17E3">
              <w:rPr>
                <w:noProof/>
                <w:webHidden/>
              </w:rPr>
              <w:tab/>
            </w:r>
            <w:r w:rsidR="00DA17E3">
              <w:rPr>
                <w:noProof/>
                <w:webHidden/>
              </w:rPr>
              <w:fldChar w:fldCharType="begin"/>
            </w:r>
            <w:r w:rsidR="00DA17E3">
              <w:rPr>
                <w:noProof/>
                <w:webHidden/>
              </w:rPr>
              <w:instrText xml:space="preserve"> PAGEREF _Toc58400799 \h </w:instrText>
            </w:r>
            <w:r w:rsidR="00DA17E3">
              <w:rPr>
                <w:noProof/>
                <w:webHidden/>
              </w:rPr>
            </w:r>
            <w:r w:rsidR="00DA17E3">
              <w:rPr>
                <w:noProof/>
                <w:webHidden/>
              </w:rPr>
              <w:fldChar w:fldCharType="separate"/>
            </w:r>
            <w:r w:rsidR="00DF0799">
              <w:rPr>
                <w:noProof/>
                <w:webHidden/>
              </w:rPr>
              <w:t>120</w:t>
            </w:r>
            <w:r w:rsidR="00DA17E3">
              <w:rPr>
                <w:noProof/>
                <w:webHidden/>
              </w:rPr>
              <w:fldChar w:fldCharType="end"/>
            </w:r>
          </w:hyperlink>
        </w:p>
        <w:p w14:paraId="15D53975" w14:textId="0B708668" w:rsidR="00DA17E3" w:rsidRDefault="00D04B86">
          <w:pPr>
            <w:pStyle w:val="TOC1"/>
            <w:tabs>
              <w:tab w:val="right" w:leader="dot" w:pos="9016"/>
            </w:tabs>
            <w:rPr>
              <w:rFonts w:asciiTheme="minorHAnsi" w:eastAsiaTheme="minorEastAsia" w:hAnsiTheme="minorHAnsi" w:cstheme="minorBidi"/>
              <w:noProof/>
              <w:sz w:val="22"/>
              <w:szCs w:val="22"/>
              <w:lang w:eastAsia="en-NZ"/>
            </w:rPr>
          </w:pPr>
          <w:hyperlink w:anchor="_Toc58400800" w:history="1">
            <w:r w:rsidR="00DA17E3" w:rsidRPr="00C137E2">
              <w:rPr>
                <w:rStyle w:val="Hyperlink"/>
                <w:noProof/>
              </w:rPr>
              <w:t>CONCLUSION</w:t>
            </w:r>
            <w:r w:rsidR="00DA17E3">
              <w:rPr>
                <w:noProof/>
                <w:webHidden/>
              </w:rPr>
              <w:tab/>
            </w:r>
            <w:r w:rsidR="00DA17E3">
              <w:rPr>
                <w:noProof/>
                <w:webHidden/>
              </w:rPr>
              <w:fldChar w:fldCharType="begin"/>
            </w:r>
            <w:r w:rsidR="00DA17E3">
              <w:rPr>
                <w:noProof/>
                <w:webHidden/>
              </w:rPr>
              <w:instrText xml:space="preserve"> PAGEREF _Toc58400800 \h </w:instrText>
            </w:r>
            <w:r w:rsidR="00DA17E3">
              <w:rPr>
                <w:noProof/>
                <w:webHidden/>
              </w:rPr>
            </w:r>
            <w:r w:rsidR="00DA17E3">
              <w:rPr>
                <w:noProof/>
                <w:webHidden/>
              </w:rPr>
              <w:fldChar w:fldCharType="separate"/>
            </w:r>
            <w:r w:rsidR="00DF0799">
              <w:rPr>
                <w:noProof/>
                <w:webHidden/>
              </w:rPr>
              <w:t>121</w:t>
            </w:r>
            <w:r w:rsidR="00DA17E3">
              <w:rPr>
                <w:noProof/>
                <w:webHidden/>
              </w:rPr>
              <w:fldChar w:fldCharType="end"/>
            </w:r>
          </w:hyperlink>
        </w:p>
        <w:p w14:paraId="3009EC43" w14:textId="2EF076DC" w:rsidR="00DA17E3" w:rsidRDefault="00D04B86">
          <w:pPr>
            <w:pStyle w:val="TOC1"/>
            <w:tabs>
              <w:tab w:val="right" w:leader="dot" w:pos="9016"/>
            </w:tabs>
            <w:rPr>
              <w:rFonts w:asciiTheme="minorHAnsi" w:eastAsiaTheme="minorEastAsia" w:hAnsiTheme="minorHAnsi" w:cstheme="minorBidi"/>
              <w:noProof/>
              <w:sz w:val="22"/>
              <w:szCs w:val="22"/>
              <w:lang w:eastAsia="en-NZ"/>
            </w:rPr>
          </w:pPr>
          <w:hyperlink w:anchor="_Toc58400801" w:history="1">
            <w:r w:rsidR="00DA17E3" w:rsidRPr="00C137E2">
              <w:rPr>
                <w:rStyle w:val="Hyperlink"/>
                <w:noProof/>
              </w:rPr>
              <w:t>REFERENCES</w:t>
            </w:r>
            <w:r w:rsidR="00DA17E3">
              <w:rPr>
                <w:noProof/>
                <w:webHidden/>
              </w:rPr>
              <w:tab/>
            </w:r>
            <w:r w:rsidR="00DA17E3">
              <w:rPr>
                <w:noProof/>
                <w:webHidden/>
              </w:rPr>
              <w:fldChar w:fldCharType="begin"/>
            </w:r>
            <w:r w:rsidR="00DA17E3">
              <w:rPr>
                <w:noProof/>
                <w:webHidden/>
              </w:rPr>
              <w:instrText xml:space="preserve"> PAGEREF _Toc58400801 \h </w:instrText>
            </w:r>
            <w:r w:rsidR="00DA17E3">
              <w:rPr>
                <w:noProof/>
                <w:webHidden/>
              </w:rPr>
            </w:r>
            <w:r w:rsidR="00DA17E3">
              <w:rPr>
                <w:noProof/>
                <w:webHidden/>
              </w:rPr>
              <w:fldChar w:fldCharType="separate"/>
            </w:r>
            <w:r w:rsidR="00DF0799">
              <w:rPr>
                <w:noProof/>
                <w:webHidden/>
              </w:rPr>
              <w:t>122</w:t>
            </w:r>
            <w:r w:rsidR="00DA17E3">
              <w:rPr>
                <w:noProof/>
                <w:webHidden/>
              </w:rPr>
              <w:fldChar w:fldCharType="end"/>
            </w:r>
          </w:hyperlink>
        </w:p>
        <w:p w14:paraId="07B98702" w14:textId="2EDA55E6" w:rsidR="00DA17E3" w:rsidRDefault="00D04B86">
          <w:pPr>
            <w:pStyle w:val="TOC1"/>
            <w:tabs>
              <w:tab w:val="right" w:leader="dot" w:pos="9016"/>
            </w:tabs>
            <w:rPr>
              <w:rFonts w:asciiTheme="minorHAnsi" w:eastAsiaTheme="minorEastAsia" w:hAnsiTheme="minorHAnsi" w:cstheme="minorBidi"/>
              <w:noProof/>
              <w:sz w:val="22"/>
              <w:szCs w:val="22"/>
              <w:lang w:eastAsia="en-NZ"/>
            </w:rPr>
          </w:pPr>
          <w:hyperlink w:anchor="_Toc58400802" w:history="1">
            <w:r w:rsidR="00DA17E3" w:rsidRPr="00C137E2">
              <w:rPr>
                <w:rStyle w:val="Hyperlink"/>
                <w:noProof/>
              </w:rPr>
              <w:t>APPENDIX ONE: Results of Round 1 engagement with expert opinion</w:t>
            </w:r>
            <w:r w:rsidR="00DA17E3">
              <w:rPr>
                <w:noProof/>
                <w:webHidden/>
              </w:rPr>
              <w:tab/>
            </w:r>
            <w:r w:rsidR="00DA17E3">
              <w:rPr>
                <w:noProof/>
                <w:webHidden/>
              </w:rPr>
              <w:fldChar w:fldCharType="begin"/>
            </w:r>
            <w:r w:rsidR="00DA17E3">
              <w:rPr>
                <w:noProof/>
                <w:webHidden/>
              </w:rPr>
              <w:instrText xml:space="preserve"> PAGEREF _Toc58400802 \h </w:instrText>
            </w:r>
            <w:r w:rsidR="00DA17E3">
              <w:rPr>
                <w:noProof/>
                <w:webHidden/>
              </w:rPr>
            </w:r>
            <w:r w:rsidR="00DA17E3">
              <w:rPr>
                <w:noProof/>
                <w:webHidden/>
              </w:rPr>
              <w:fldChar w:fldCharType="separate"/>
            </w:r>
            <w:r w:rsidR="00DF0799">
              <w:rPr>
                <w:noProof/>
                <w:webHidden/>
              </w:rPr>
              <w:t>141</w:t>
            </w:r>
            <w:r w:rsidR="00DA17E3">
              <w:rPr>
                <w:noProof/>
                <w:webHidden/>
              </w:rPr>
              <w:fldChar w:fldCharType="end"/>
            </w:r>
          </w:hyperlink>
        </w:p>
        <w:p w14:paraId="737D01D5" w14:textId="657D6A00" w:rsidR="00DA17E3" w:rsidRDefault="00D04B86">
          <w:pPr>
            <w:pStyle w:val="TOC1"/>
            <w:tabs>
              <w:tab w:val="right" w:leader="dot" w:pos="9016"/>
            </w:tabs>
            <w:rPr>
              <w:rFonts w:asciiTheme="minorHAnsi" w:eastAsiaTheme="minorEastAsia" w:hAnsiTheme="minorHAnsi" w:cstheme="minorBidi"/>
              <w:noProof/>
              <w:sz w:val="22"/>
              <w:szCs w:val="22"/>
              <w:lang w:eastAsia="en-NZ"/>
            </w:rPr>
          </w:pPr>
          <w:hyperlink w:anchor="_Toc58400803" w:history="1">
            <w:r w:rsidR="00DA17E3" w:rsidRPr="00C137E2">
              <w:rPr>
                <w:rStyle w:val="Hyperlink"/>
                <w:noProof/>
              </w:rPr>
              <w:t>APPENDIX TWO: Participant Information Sheet</w:t>
            </w:r>
            <w:r w:rsidR="00DA17E3">
              <w:rPr>
                <w:noProof/>
                <w:webHidden/>
              </w:rPr>
              <w:tab/>
            </w:r>
            <w:r w:rsidR="00DA17E3">
              <w:rPr>
                <w:noProof/>
                <w:webHidden/>
              </w:rPr>
              <w:fldChar w:fldCharType="begin"/>
            </w:r>
            <w:r w:rsidR="00DA17E3">
              <w:rPr>
                <w:noProof/>
                <w:webHidden/>
              </w:rPr>
              <w:instrText xml:space="preserve"> PAGEREF _Toc58400803 \h </w:instrText>
            </w:r>
            <w:r w:rsidR="00DA17E3">
              <w:rPr>
                <w:noProof/>
                <w:webHidden/>
              </w:rPr>
            </w:r>
            <w:r w:rsidR="00DA17E3">
              <w:rPr>
                <w:noProof/>
                <w:webHidden/>
              </w:rPr>
              <w:fldChar w:fldCharType="separate"/>
            </w:r>
            <w:r w:rsidR="00DF0799">
              <w:rPr>
                <w:noProof/>
                <w:webHidden/>
              </w:rPr>
              <w:t>160</w:t>
            </w:r>
            <w:r w:rsidR="00DA17E3">
              <w:rPr>
                <w:noProof/>
                <w:webHidden/>
              </w:rPr>
              <w:fldChar w:fldCharType="end"/>
            </w:r>
          </w:hyperlink>
        </w:p>
        <w:p w14:paraId="1DBC4BBB" w14:textId="378DED53" w:rsidR="00DA17E3" w:rsidRDefault="00D04B86">
          <w:pPr>
            <w:pStyle w:val="TOC1"/>
            <w:tabs>
              <w:tab w:val="right" w:leader="dot" w:pos="9016"/>
            </w:tabs>
            <w:rPr>
              <w:rFonts w:asciiTheme="minorHAnsi" w:eastAsiaTheme="minorEastAsia" w:hAnsiTheme="minorHAnsi" w:cstheme="minorBidi"/>
              <w:noProof/>
              <w:sz w:val="22"/>
              <w:szCs w:val="22"/>
              <w:lang w:eastAsia="en-NZ"/>
            </w:rPr>
          </w:pPr>
          <w:hyperlink w:anchor="_Toc58400804" w:history="1">
            <w:r w:rsidR="00DA17E3" w:rsidRPr="00C137E2">
              <w:rPr>
                <w:rStyle w:val="Hyperlink"/>
                <w:noProof/>
              </w:rPr>
              <w:t>APPENDIX THREE: Round One Questionnaire</w:t>
            </w:r>
            <w:r w:rsidR="00DA17E3">
              <w:rPr>
                <w:noProof/>
                <w:webHidden/>
              </w:rPr>
              <w:tab/>
            </w:r>
            <w:r w:rsidR="00DA17E3">
              <w:rPr>
                <w:noProof/>
                <w:webHidden/>
              </w:rPr>
              <w:fldChar w:fldCharType="begin"/>
            </w:r>
            <w:r w:rsidR="00DA17E3">
              <w:rPr>
                <w:noProof/>
                <w:webHidden/>
              </w:rPr>
              <w:instrText xml:space="preserve"> PAGEREF _Toc58400804 \h </w:instrText>
            </w:r>
            <w:r w:rsidR="00DA17E3">
              <w:rPr>
                <w:noProof/>
                <w:webHidden/>
              </w:rPr>
            </w:r>
            <w:r w:rsidR="00DA17E3">
              <w:rPr>
                <w:noProof/>
                <w:webHidden/>
              </w:rPr>
              <w:fldChar w:fldCharType="separate"/>
            </w:r>
            <w:r w:rsidR="00DF0799">
              <w:rPr>
                <w:noProof/>
                <w:webHidden/>
              </w:rPr>
              <w:t>164</w:t>
            </w:r>
            <w:r w:rsidR="00DA17E3">
              <w:rPr>
                <w:noProof/>
                <w:webHidden/>
              </w:rPr>
              <w:fldChar w:fldCharType="end"/>
            </w:r>
          </w:hyperlink>
        </w:p>
        <w:p w14:paraId="5BB20871" w14:textId="6D0542ED" w:rsidR="00DA17E3" w:rsidRDefault="00D04B86">
          <w:pPr>
            <w:pStyle w:val="TOC1"/>
            <w:tabs>
              <w:tab w:val="right" w:leader="dot" w:pos="9016"/>
            </w:tabs>
            <w:rPr>
              <w:rFonts w:asciiTheme="minorHAnsi" w:eastAsiaTheme="minorEastAsia" w:hAnsiTheme="minorHAnsi" w:cstheme="minorBidi"/>
              <w:noProof/>
              <w:sz w:val="22"/>
              <w:szCs w:val="22"/>
              <w:lang w:eastAsia="en-NZ"/>
            </w:rPr>
          </w:pPr>
          <w:hyperlink w:anchor="_Toc58400805" w:history="1">
            <w:r w:rsidR="00DA17E3" w:rsidRPr="00C137E2">
              <w:rPr>
                <w:rStyle w:val="Hyperlink"/>
                <w:noProof/>
              </w:rPr>
              <w:t>APPENDIX FOUR: Round Two Questionnaire</w:t>
            </w:r>
            <w:r w:rsidR="00DA17E3">
              <w:rPr>
                <w:noProof/>
                <w:webHidden/>
              </w:rPr>
              <w:tab/>
            </w:r>
            <w:r w:rsidR="00DA17E3">
              <w:rPr>
                <w:noProof/>
                <w:webHidden/>
              </w:rPr>
              <w:fldChar w:fldCharType="begin"/>
            </w:r>
            <w:r w:rsidR="00DA17E3">
              <w:rPr>
                <w:noProof/>
                <w:webHidden/>
              </w:rPr>
              <w:instrText xml:space="preserve"> PAGEREF _Toc58400805 \h </w:instrText>
            </w:r>
            <w:r w:rsidR="00DA17E3">
              <w:rPr>
                <w:noProof/>
                <w:webHidden/>
              </w:rPr>
            </w:r>
            <w:r w:rsidR="00DA17E3">
              <w:rPr>
                <w:noProof/>
                <w:webHidden/>
              </w:rPr>
              <w:fldChar w:fldCharType="separate"/>
            </w:r>
            <w:r w:rsidR="00DF0799">
              <w:rPr>
                <w:noProof/>
                <w:webHidden/>
              </w:rPr>
              <w:t>185</w:t>
            </w:r>
            <w:r w:rsidR="00DA17E3">
              <w:rPr>
                <w:noProof/>
                <w:webHidden/>
              </w:rPr>
              <w:fldChar w:fldCharType="end"/>
            </w:r>
          </w:hyperlink>
        </w:p>
        <w:p w14:paraId="205CD9E0" w14:textId="09C83794" w:rsidR="00D67196" w:rsidRDefault="00F27FB8" w:rsidP="00D67196">
          <w:pPr>
            <w:spacing w:after="160" w:line="259" w:lineRule="auto"/>
          </w:pPr>
          <w:r w:rsidRPr="005C46A2">
            <w:fldChar w:fldCharType="end"/>
          </w:r>
        </w:p>
        <w:p w14:paraId="77F9F4FA" w14:textId="77777777" w:rsidR="00C46435" w:rsidRDefault="00C46435" w:rsidP="00D67196">
          <w:pPr>
            <w:spacing w:after="160" w:line="259" w:lineRule="auto"/>
          </w:pPr>
        </w:p>
        <w:p w14:paraId="36D8FEBA" w14:textId="3D2EB5BB" w:rsidR="00D67196" w:rsidRPr="00D67196" w:rsidRDefault="00D67196" w:rsidP="00D67196">
          <w:pPr>
            <w:spacing w:after="160" w:line="259" w:lineRule="auto"/>
            <w:rPr>
              <w:b/>
              <w:bCs/>
            </w:rPr>
          </w:pPr>
          <w:r w:rsidRPr="00D67196">
            <w:rPr>
              <w:b/>
              <w:bCs/>
            </w:rPr>
            <w:t>List of tables</w:t>
          </w:r>
        </w:p>
        <w:p w14:paraId="1087E63E" w14:textId="57B15BF7" w:rsidR="00DA17E3" w:rsidRDefault="00D67196">
          <w:pPr>
            <w:pStyle w:val="TableofFigures"/>
            <w:tabs>
              <w:tab w:val="right" w:leader="dot" w:pos="9016"/>
            </w:tabs>
            <w:rPr>
              <w:rFonts w:asciiTheme="minorHAnsi" w:eastAsiaTheme="minorEastAsia" w:hAnsiTheme="minorHAnsi" w:cstheme="minorBidi"/>
              <w:noProof/>
              <w:sz w:val="22"/>
              <w:szCs w:val="22"/>
              <w:lang w:eastAsia="en-NZ"/>
            </w:rPr>
          </w:pPr>
          <w:r>
            <w:fldChar w:fldCharType="begin"/>
          </w:r>
          <w:r>
            <w:instrText xml:space="preserve"> TOC \h \z \c "Table" </w:instrText>
          </w:r>
          <w:r>
            <w:fldChar w:fldCharType="separate"/>
          </w:r>
          <w:hyperlink w:anchor="_Toc58400634" w:history="1">
            <w:r w:rsidR="00DA17E3" w:rsidRPr="006A008E">
              <w:rPr>
                <w:rStyle w:val="Hyperlink"/>
                <w:noProof/>
              </w:rPr>
              <w:t>Table 1. Panel selection criteria</w:t>
            </w:r>
            <w:r w:rsidR="00DA17E3">
              <w:rPr>
                <w:noProof/>
                <w:webHidden/>
              </w:rPr>
              <w:tab/>
            </w:r>
            <w:r w:rsidR="00DA17E3">
              <w:rPr>
                <w:noProof/>
                <w:webHidden/>
              </w:rPr>
              <w:fldChar w:fldCharType="begin"/>
            </w:r>
            <w:r w:rsidR="00DA17E3">
              <w:rPr>
                <w:noProof/>
                <w:webHidden/>
              </w:rPr>
              <w:instrText xml:space="preserve"> PAGEREF _Toc58400634 \h </w:instrText>
            </w:r>
            <w:r w:rsidR="00DA17E3">
              <w:rPr>
                <w:noProof/>
                <w:webHidden/>
              </w:rPr>
            </w:r>
            <w:r w:rsidR="00DA17E3">
              <w:rPr>
                <w:noProof/>
                <w:webHidden/>
              </w:rPr>
              <w:fldChar w:fldCharType="separate"/>
            </w:r>
            <w:r w:rsidR="00DF0799">
              <w:rPr>
                <w:noProof/>
                <w:webHidden/>
              </w:rPr>
              <w:t>43</w:t>
            </w:r>
            <w:r w:rsidR="00DA17E3">
              <w:rPr>
                <w:noProof/>
                <w:webHidden/>
              </w:rPr>
              <w:fldChar w:fldCharType="end"/>
            </w:r>
          </w:hyperlink>
        </w:p>
        <w:p w14:paraId="4898A181" w14:textId="141B5C17"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635" w:history="1">
            <w:r w:rsidR="00DA17E3" w:rsidRPr="006A008E">
              <w:rPr>
                <w:rStyle w:val="Hyperlink"/>
                <w:noProof/>
              </w:rPr>
              <w:t>Table 2. Panel structure by sector group perspective</w:t>
            </w:r>
            <w:r w:rsidR="00DA17E3">
              <w:rPr>
                <w:noProof/>
                <w:webHidden/>
              </w:rPr>
              <w:tab/>
            </w:r>
            <w:r w:rsidR="00DA17E3">
              <w:rPr>
                <w:noProof/>
                <w:webHidden/>
              </w:rPr>
              <w:fldChar w:fldCharType="begin"/>
            </w:r>
            <w:r w:rsidR="00DA17E3">
              <w:rPr>
                <w:noProof/>
                <w:webHidden/>
              </w:rPr>
              <w:instrText xml:space="preserve"> PAGEREF _Toc58400635 \h </w:instrText>
            </w:r>
            <w:r w:rsidR="00DA17E3">
              <w:rPr>
                <w:noProof/>
                <w:webHidden/>
              </w:rPr>
            </w:r>
            <w:r w:rsidR="00DA17E3">
              <w:rPr>
                <w:noProof/>
                <w:webHidden/>
              </w:rPr>
              <w:fldChar w:fldCharType="separate"/>
            </w:r>
            <w:r w:rsidR="00DF0799">
              <w:rPr>
                <w:noProof/>
                <w:webHidden/>
              </w:rPr>
              <w:t>44</w:t>
            </w:r>
            <w:r w:rsidR="00DA17E3">
              <w:rPr>
                <w:noProof/>
                <w:webHidden/>
              </w:rPr>
              <w:fldChar w:fldCharType="end"/>
            </w:r>
          </w:hyperlink>
        </w:p>
        <w:p w14:paraId="2278A88F" w14:textId="78EC07A6"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636" w:history="1">
            <w:r w:rsidR="00DA17E3" w:rsidRPr="006A008E">
              <w:rPr>
                <w:rStyle w:val="Hyperlink"/>
                <w:noProof/>
              </w:rPr>
              <w:t>Table 3. Panel identified expertise/experience with FAO population groups</w:t>
            </w:r>
            <w:r w:rsidR="00DA17E3">
              <w:rPr>
                <w:noProof/>
                <w:webHidden/>
              </w:rPr>
              <w:tab/>
            </w:r>
            <w:r w:rsidR="00DA17E3">
              <w:rPr>
                <w:noProof/>
                <w:webHidden/>
              </w:rPr>
              <w:fldChar w:fldCharType="begin"/>
            </w:r>
            <w:r w:rsidR="00DA17E3">
              <w:rPr>
                <w:noProof/>
                <w:webHidden/>
              </w:rPr>
              <w:instrText xml:space="preserve"> PAGEREF _Toc58400636 \h </w:instrText>
            </w:r>
            <w:r w:rsidR="00DA17E3">
              <w:rPr>
                <w:noProof/>
                <w:webHidden/>
              </w:rPr>
            </w:r>
            <w:r w:rsidR="00DA17E3">
              <w:rPr>
                <w:noProof/>
                <w:webHidden/>
              </w:rPr>
              <w:fldChar w:fldCharType="separate"/>
            </w:r>
            <w:r w:rsidR="00DF0799">
              <w:rPr>
                <w:noProof/>
                <w:webHidden/>
              </w:rPr>
              <w:t>44</w:t>
            </w:r>
            <w:r w:rsidR="00DA17E3">
              <w:rPr>
                <w:noProof/>
                <w:webHidden/>
              </w:rPr>
              <w:fldChar w:fldCharType="end"/>
            </w:r>
          </w:hyperlink>
        </w:p>
        <w:p w14:paraId="09E72F7F" w14:textId="7F40D2C4"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637" w:history="1">
            <w:r w:rsidR="00DA17E3" w:rsidRPr="006A008E">
              <w:rPr>
                <w:rStyle w:val="Hyperlink"/>
                <w:noProof/>
              </w:rPr>
              <w:t>Table 4. Barriers to FAO centred service design and practice</w:t>
            </w:r>
            <w:r w:rsidR="00DA17E3">
              <w:rPr>
                <w:noProof/>
                <w:webHidden/>
              </w:rPr>
              <w:tab/>
            </w:r>
            <w:r w:rsidR="00DA17E3">
              <w:rPr>
                <w:noProof/>
                <w:webHidden/>
              </w:rPr>
              <w:fldChar w:fldCharType="begin"/>
            </w:r>
            <w:r w:rsidR="00DA17E3">
              <w:rPr>
                <w:noProof/>
                <w:webHidden/>
              </w:rPr>
              <w:instrText xml:space="preserve"> PAGEREF _Toc58400637 \h </w:instrText>
            </w:r>
            <w:r w:rsidR="00DA17E3">
              <w:rPr>
                <w:noProof/>
                <w:webHidden/>
              </w:rPr>
            </w:r>
            <w:r w:rsidR="00DA17E3">
              <w:rPr>
                <w:noProof/>
                <w:webHidden/>
              </w:rPr>
              <w:fldChar w:fldCharType="separate"/>
            </w:r>
            <w:r w:rsidR="00DF0799">
              <w:rPr>
                <w:noProof/>
                <w:webHidden/>
              </w:rPr>
              <w:t>50</w:t>
            </w:r>
            <w:r w:rsidR="00DA17E3">
              <w:rPr>
                <w:noProof/>
                <w:webHidden/>
              </w:rPr>
              <w:fldChar w:fldCharType="end"/>
            </w:r>
          </w:hyperlink>
        </w:p>
        <w:p w14:paraId="0515E1CC" w14:textId="38D1525A"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638" w:history="1">
            <w:r w:rsidR="00DA17E3" w:rsidRPr="006A008E">
              <w:rPr>
                <w:rStyle w:val="Hyperlink"/>
                <w:noProof/>
              </w:rPr>
              <w:t>Table 5. Enablers of FAO centred service design and practice</w:t>
            </w:r>
            <w:r w:rsidR="00DA17E3">
              <w:rPr>
                <w:noProof/>
                <w:webHidden/>
              </w:rPr>
              <w:tab/>
            </w:r>
            <w:r w:rsidR="00DA17E3">
              <w:rPr>
                <w:noProof/>
                <w:webHidden/>
              </w:rPr>
              <w:fldChar w:fldCharType="begin"/>
            </w:r>
            <w:r w:rsidR="00DA17E3">
              <w:rPr>
                <w:noProof/>
                <w:webHidden/>
              </w:rPr>
              <w:instrText xml:space="preserve"> PAGEREF _Toc58400638 \h </w:instrText>
            </w:r>
            <w:r w:rsidR="00DA17E3">
              <w:rPr>
                <w:noProof/>
                <w:webHidden/>
              </w:rPr>
            </w:r>
            <w:r w:rsidR="00DA17E3">
              <w:rPr>
                <w:noProof/>
                <w:webHidden/>
              </w:rPr>
              <w:fldChar w:fldCharType="separate"/>
            </w:r>
            <w:r w:rsidR="00DF0799">
              <w:rPr>
                <w:noProof/>
                <w:webHidden/>
              </w:rPr>
              <w:t>52</w:t>
            </w:r>
            <w:r w:rsidR="00DA17E3">
              <w:rPr>
                <w:noProof/>
                <w:webHidden/>
              </w:rPr>
              <w:fldChar w:fldCharType="end"/>
            </w:r>
          </w:hyperlink>
        </w:p>
        <w:p w14:paraId="33840D9A" w14:textId="2DBF1772"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639" w:history="1">
            <w:r w:rsidR="00DA17E3" w:rsidRPr="006A008E">
              <w:rPr>
                <w:rStyle w:val="Hyperlink"/>
                <w:noProof/>
              </w:rPr>
              <w:t>Table 6. Enhancing client-centredness in gambling service design and practice</w:t>
            </w:r>
            <w:r w:rsidR="00DA17E3">
              <w:rPr>
                <w:noProof/>
                <w:webHidden/>
              </w:rPr>
              <w:tab/>
            </w:r>
            <w:r w:rsidR="00DA17E3">
              <w:rPr>
                <w:noProof/>
                <w:webHidden/>
              </w:rPr>
              <w:fldChar w:fldCharType="begin"/>
            </w:r>
            <w:r w:rsidR="00DA17E3">
              <w:rPr>
                <w:noProof/>
                <w:webHidden/>
              </w:rPr>
              <w:instrText xml:space="preserve"> PAGEREF _Toc58400639 \h </w:instrText>
            </w:r>
            <w:r w:rsidR="00DA17E3">
              <w:rPr>
                <w:noProof/>
                <w:webHidden/>
              </w:rPr>
            </w:r>
            <w:r w:rsidR="00DA17E3">
              <w:rPr>
                <w:noProof/>
                <w:webHidden/>
              </w:rPr>
              <w:fldChar w:fldCharType="separate"/>
            </w:r>
            <w:r w:rsidR="00DF0799">
              <w:rPr>
                <w:noProof/>
                <w:webHidden/>
              </w:rPr>
              <w:t>54</w:t>
            </w:r>
            <w:r w:rsidR="00DA17E3">
              <w:rPr>
                <w:noProof/>
                <w:webHidden/>
              </w:rPr>
              <w:fldChar w:fldCharType="end"/>
            </w:r>
          </w:hyperlink>
        </w:p>
        <w:p w14:paraId="6C0A9327" w14:textId="0DF0373D"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640" w:history="1">
            <w:r w:rsidR="00DA17E3" w:rsidRPr="006A008E">
              <w:rPr>
                <w:rStyle w:val="Hyperlink"/>
                <w:noProof/>
              </w:rPr>
              <w:t>Table 7. The role of lived experience in service design and delivery</w:t>
            </w:r>
            <w:r w:rsidR="00DA17E3">
              <w:rPr>
                <w:noProof/>
                <w:webHidden/>
              </w:rPr>
              <w:tab/>
            </w:r>
            <w:r w:rsidR="00DA17E3">
              <w:rPr>
                <w:noProof/>
                <w:webHidden/>
              </w:rPr>
              <w:fldChar w:fldCharType="begin"/>
            </w:r>
            <w:r w:rsidR="00DA17E3">
              <w:rPr>
                <w:noProof/>
                <w:webHidden/>
              </w:rPr>
              <w:instrText xml:space="preserve"> PAGEREF _Toc58400640 \h </w:instrText>
            </w:r>
            <w:r w:rsidR="00DA17E3">
              <w:rPr>
                <w:noProof/>
                <w:webHidden/>
              </w:rPr>
            </w:r>
            <w:r w:rsidR="00DA17E3">
              <w:rPr>
                <w:noProof/>
                <w:webHidden/>
              </w:rPr>
              <w:fldChar w:fldCharType="separate"/>
            </w:r>
            <w:r w:rsidR="00DF0799">
              <w:rPr>
                <w:noProof/>
                <w:webHidden/>
              </w:rPr>
              <w:t>54</w:t>
            </w:r>
            <w:r w:rsidR="00DA17E3">
              <w:rPr>
                <w:noProof/>
                <w:webHidden/>
              </w:rPr>
              <w:fldChar w:fldCharType="end"/>
            </w:r>
          </w:hyperlink>
        </w:p>
        <w:p w14:paraId="6CBC2093" w14:textId="02CD0D8C"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641" w:history="1">
            <w:r w:rsidR="00DA17E3" w:rsidRPr="006A008E">
              <w:rPr>
                <w:rStyle w:val="Hyperlink"/>
                <w:noProof/>
              </w:rPr>
              <w:t>Table 8. Enhancing cultural awareness in gambling service design and practice</w:t>
            </w:r>
            <w:r w:rsidR="00DA17E3">
              <w:rPr>
                <w:noProof/>
                <w:webHidden/>
              </w:rPr>
              <w:tab/>
            </w:r>
            <w:r w:rsidR="00DA17E3">
              <w:rPr>
                <w:noProof/>
                <w:webHidden/>
              </w:rPr>
              <w:fldChar w:fldCharType="begin"/>
            </w:r>
            <w:r w:rsidR="00DA17E3">
              <w:rPr>
                <w:noProof/>
                <w:webHidden/>
              </w:rPr>
              <w:instrText xml:space="preserve"> PAGEREF _Toc58400641 \h </w:instrText>
            </w:r>
            <w:r w:rsidR="00DA17E3">
              <w:rPr>
                <w:noProof/>
                <w:webHidden/>
              </w:rPr>
            </w:r>
            <w:r w:rsidR="00DA17E3">
              <w:rPr>
                <w:noProof/>
                <w:webHidden/>
              </w:rPr>
              <w:fldChar w:fldCharType="separate"/>
            </w:r>
            <w:r w:rsidR="00DF0799">
              <w:rPr>
                <w:noProof/>
                <w:webHidden/>
              </w:rPr>
              <w:t>56</w:t>
            </w:r>
            <w:r w:rsidR="00DA17E3">
              <w:rPr>
                <w:noProof/>
                <w:webHidden/>
              </w:rPr>
              <w:fldChar w:fldCharType="end"/>
            </w:r>
          </w:hyperlink>
        </w:p>
        <w:p w14:paraId="083A8657" w14:textId="3DED697D"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642" w:history="1">
            <w:r w:rsidR="00DA17E3" w:rsidRPr="006A008E">
              <w:rPr>
                <w:rStyle w:val="Hyperlink"/>
                <w:noProof/>
              </w:rPr>
              <w:t>Table 9. Building and sustaining a culture of curiosity and learning in services</w:t>
            </w:r>
            <w:r w:rsidR="00DA17E3">
              <w:rPr>
                <w:noProof/>
                <w:webHidden/>
              </w:rPr>
              <w:tab/>
            </w:r>
            <w:r w:rsidR="00DA17E3">
              <w:rPr>
                <w:noProof/>
                <w:webHidden/>
              </w:rPr>
              <w:fldChar w:fldCharType="begin"/>
            </w:r>
            <w:r w:rsidR="00DA17E3">
              <w:rPr>
                <w:noProof/>
                <w:webHidden/>
              </w:rPr>
              <w:instrText xml:space="preserve"> PAGEREF _Toc58400642 \h </w:instrText>
            </w:r>
            <w:r w:rsidR="00DA17E3">
              <w:rPr>
                <w:noProof/>
                <w:webHidden/>
              </w:rPr>
            </w:r>
            <w:r w:rsidR="00DA17E3">
              <w:rPr>
                <w:noProof/>
                <w:webHidden/>
              </w:rPr>
              <w:fldChar w:fldCharType="separate"/>
            </w:r>
            <w:r w:rsidR="00DF0799">
              <w:rPr>
                <w:noProof/>
                <w:webHidden/>
              </w:rPr>
              <w:t>58</w:t>
            </w:r>
            <w:r w:rsidR="00DA17E3">
              <w:rPr>
                <w:noProof/>
                <w:webHidden/>
              </w:rPr>
              <w:fldChar w:fldCharType="end"/>
            </w:r>
          </w:hyperlink>
        </w:p>
        <w:p w14:paraId="4840707A" w14:textId="5FF0B992"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643" w:history="1">
            <w:r w:rsidR="00DA17E3" w:rsidRPr="006A008E">
              <w:rPr>
                <w:rStyle w:val="Hyperlink"/>
                <w:noProof/>
              </w:rPr>
              <w:t>Table 10. Bridging gaps between researchers/research and practitioners/practice</w:t>
            </w:r>
            <w:r w:rsidR="00DA17E3">
              <w:rPr>
                <w:noProof/>
                <w:webHidden/>
              </w:rPr>
              <w:tab/>
            </w:r>
            <w:r w:rsidR="00DA17E3">
              <w:rPr>
                <w:noProof/>
                <w:webHidden/>
              </w:rPr>
              <w:fldChar w:fldCharType="begin"/>
            </w:r>
            <w:r w:rsidR="00DA17E3">
              <w:rPr>
                <w:noProof/>
                <w:webHidden/>
              </w:rPr>
              <w:instrText xml:space="preserve"> PAGEREF _Toc58400643 \h </w:instrText>
            </w:r>
            <w:r w:rsidR="00DA17E3">
              <w:rPr>
                <w:noProof/>
                <w:webHidden/>
              </w:rPr>
            </w:r>
            <w:r w:rsidR="00DA17E3">
              <w:rPr>
                <w:noProof/>
                <w:webHidden/>
              </w:rPr>
              <w:fldChar w:fldCharType="separate"/>
            </w:r>
            <w:r w:rsidR="00DF0799">
              <w:rPr>
                <w:noProof/>
                <w:webHidden/>
              </w:rPr>
              <w:t>59</w:t>
            </w:r>
            <w:r w:rsidR="00DA17E3">
              <w:rPr>
                <w:noProof/>
                <w:webHidden/>
              </w:rPr>
              <w:fldChar w:fldCharType="end"/>
            </w:r>
          </w:hyperlink>
        </w:p>
        <w:p w14:paraId="6B27CCFD" w14:textId="34909ECC"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644" w:history="1">
            <w:r w:rsidR="00DA17E3" w:rsidRPr="006A008E">
              <w:rPr>
                <w:rStyle w:val="Hyperlink"/>
                <w:noProof/>
              </w:rPr>
              <w:t>Table 11. Organisations involved in review of service provision</w:t>
            </w:r>
            <w:r w:rsidR="00DA17E3">
              <w:rPr>
                <w:noProof/>
                <w:webHidden/>
              </w:rPr>
              <w:tab/>
            </w:r>
            <w:r w:rsidR="00DA17E3">
              <w:rPr>
                <w:noProof/>
                <w:webHidden/>
              </w:rPr>
              <w:fldChar w:fldCharType="begin"/>
            </w:r>
            <w:r w:rsidR="00DA17E3">
              <w:rPr>
                <w:noProof/>
                <w:webHidden/>
              </w:rPr>
              <w:instrText xml:space="preserve"> PAGEREF _Toc58400644 \h </w:instrText>
            </w:r>
            <w:r w:rsidR="00DA17E3">
              <w:rPr>
                <w:noProof/>
                <w:webHidden/>
              </w:rPr>
            </w:r>
            <w:r w:rsidR="00DA17E3">
              <w:rPr>
                <w:noProof/>
                <w:webHidden/>
              </w:rPr>
              <w:fldChar w:fldCharType="separate"/>
            </w:r>
            <w:r w:rsidR="00DF0799">
              <w:rPr>
                <w:noProof/>
                <w:webHidden/>
              </w:rPr>
              <w:t>65</w:t>
            </w:r>
            <w:r w:rsidR="00DA17E3">
              <w:rPr>
                <w:noProof/>
                <w:webHidden/>
              </w:rPr>
              <w:fldChar w:fldCharType="end"/>
            </w:r>
          </w:hyperlink>
        </w:p>
        <w:p w14:paraId="70EFE97D" w14:textId="5487716D"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645" w:history="1">
            <w:r w:rsidR="00DA17E3" w:rsidRPr="006A008E">
              <w:rPr>
                <w:rStyle w:val="Hyperlink"/>
                <w:noProof/>
              </w:rPr>
              <w:t xml:space="preserve">Table 12. </w:t>
            </w:r>
            <w:r w:rsidR="00DA17E3" w:rsidRPr="006A008E">
              <w:rPr>
                <w:rStyle w:val="Hyperlink"/>
                <w:rFonts w:eastAsia="Times New Roman"/>
                <w:noProof/>
              </w:rPr>
              <w:t>Summary of data sources for review of FAO service provision</w:t>
            </w:r>
            <w:r w:rsidR="00DA17E3">
              <w:rPr>
                <w:noProof/>
                <w:webHidden/>
              </w:rPr>
              <w:tab/>
            </w:r>
            <w:r w:rsidR="00DA17E3">
              <w:rPr>
                <w:noProof/>
                <w:webHidden/>
              </w:rPr>
              <w:fldChar w:fldCharType="begin"/>
            </w:r>
            <w:r w:rsidR="00DA17E3">
              <w:rPr>
                <w:noProof/>
                <w:webHidden/>
              </w:rPr>
              <w:instrText xml:space="preserve"> PAGEREF _Toc58400645 \h </w:instrText>
            </w:r>
            <w:r w:rsidR="00DA17E3">
              <w:rPr>
                <w:noProof/>
                <w:webHidden/>
              </w:rPr>
            </w:r>
            <w:r w:rsidR="00DA17E3">
              <w:rPr>
                <w:noProof/>
                <w:webHidden/>
              </w:rPr>
              <w:fldChar w:fldCharType="separate"/>
            </w:r>
            <w:r w:rsidR="00DF0799">
              <w:rPr>
                <w:noProof/>
                <w:webHidden/>
              </w:rPr>
              <w:t>66</w:t>
            </w:r>
            <w:r w:rsidR="00DA17E3">
              <w:rPr>
                <w:noProof/>
                <w:webHidden/>
              </w:rPr>
              <w:fldChar w:fldCharType="end"/>
            </w:r>
          </w:hyperlink>
        </w:p>
        <w:p w14:paraId="3EDD49AF" w14:textId="78FA1DE1"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646" w:history="1">
            <w:r w:rsidR="00DA17E3" w:rsidRPr="006A008E">
              <w:rPr>
                <w:rStyle w:val="Hyperlink"/>
                <w:noProof/>
              </w:rPr>
              <w:t>Table 13: Client type by gender age and ethnicity</w:t>
            </w:r>
            <w:r w:rsidR="00DA17E3">
              <w:rPr>
                <w:noProof/>
                <w:webHidden/>
              </w:rPr>
              <w:tab/>
            </w:r>
            <w:r w:rsidR="00DA17E3">
              <w:rPr>
                <w:noProof/>
                <w:webHidden/>
              </w:rPr>
              <w:fldChar w:fldCharType="begin"/>
            </w:r>
            <w:r w:rsidR="00DA17E3">
              <w:rPr>
                <w:noProof/>
                <w:webHidden/>
              </w:rPr>
              <w:instrText xml:space="preserve"> PAGEREF _Toc58400646 \h </w:instrText>
            </w:r>
            <w:r w:rsidR="00DA17E3">
              <w:rPr>
                <w:noProof/>
                <w:webHidden/>
              </w:rPr>
            </w:r>
            <w:r w:rsidR="00DA17E3">
              <w:rPr>
                <w:noProof/>
                <w:webHidden/>
              </w:rPr>
              <w:fldChar w:fldCharType="separate"/>
            </w:r>
            <w:r w:rsidR="00DF0799">
              <w:rPr>
                <w:noProof/>
                <w:webHidden/>
              </w:rPr>
              <w:t>98</w:t>
            </w:r>
            <w:r w:rsidR="00DA17E3">
              <w:rPr>
                <w:noProof/>
                <w:webHidden/>
              </w:rPr>
              <w:fldChar w:fldCharType="end"/>
            </w:r>
          </w:hyperlink>
        </w:p>
        <w:p w14:paraId="4A60A05B" w14:textId="2D79D933"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647" w:history="1">
            <w:r w:rsidR="00DA17E3" w:rsidRPr="006A008E">
              <w:rPr>
                <w:rStyle w:val="Hyperlink"/>
                <w:noProof/>
              </w:rPr>
              <w:t>Table 14. FAO client demographics by gender</w:t>
            </w:r>
            <w:r w:rsidR="00DA17E3">
              <w:rPr>
                <w:noProof/>
                <w:webHidden/>
              </w:rPr>
              <w:tab/>
            </w:r>
            <w:r w:rsidR="00DA17E3">
              <w:rPr>
                <w:noProof/>
                <w:webHidden/>
              </w:rPr>
              <w:fldChar w:fldCharType="begin"/>
            </w:r>
            <w:r w:rsidR="00DA17E3">
              <w:rPr>
                <w:noProof/>
                <w:webHidden/>
              </w:rPr>
              <w:instrText xml:space="preserve"> PAGEREF _Toc58400647 \h </w:instrText>
            </w:r>
            <w:r w:rsidR="00DA17E3">
              <w:rPr>
                <w:noProof/>
                <w:webHidden/>
              </w:rPr>
            </w:r>
            <w:r w:rsidR="00DA17E3">
              <w:rPr>
                <w:noProof/>
                <w:webHidden/>
              </w:rPr>
              <w:fldChar w:fldCharType="separate"/>
            </w:r>
            <w:r w:rsidR="00DF0799">
              <w:rPr>
                <w:noProof/>
                <w:webHidden/>
              </w:rPr>
              <w:t>99</w:t>
            </w:r>
            <w:r w:rsidR="00DA17E3">
              <w:rPr>
                <w:noProof/>
                <w:webHidden/>
              </w:rPr>
              <w:fldChar w:fldCharType="end"/>
            </w:r>
          </w:hyperlink>
        </w:p>
        <w:p w14:paraId="77F49E78" w14:textId="0CFBB081"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648" w:history="1">
            <w:r w:rsidR="00DA17E3" w:rsidRPr="006A008E">
              <w:rPr>
                <w:rStyle w:val="Hyperlink"/>
                <w:noProof/>
              </w:rPr>
              <w:t xml:space="preserve">Table 15. </w:t>
            </w:r>
            <w:r w:rsidR="00DA17E3" w:rsidRPr="006A008E">
              <w:rPr>
                <w:rStyle w:val="Hyperlink"/>
                <w:noProof/>
                <w:lang w:val="en-US"/>
              </w:rPr>
              <w:t>Demographic profile of FAO clients according to the number of sessions</w:t>
            </w:r>
            <w:r w:rsidR="00DA17E3">
              <w:rPr>
                <w:noProof/>
                <w:webHidden/>
              </w:rPr>
              <w:tab/>
            </w:r>
            <w:r w:rsidR="00DA17E3">
              <w:rPr>
                <w:noProof/>
                <w:webHidden/>
              </w:rPr>
              <w:fldChar w:fldCharType="begin"/>
            </w:r>
            <w:r w:rsidR="00DA17E3">
              <w:rPr>
                <w:noProof/>
                <w:webHidden/>
              </w:rPr>
              <w:instrText xml:space="preserve"> PAGEREF _Toc58400648 \h </w:instrText>
            </w:r>
            <w:r w:rsidR="00DA17E3">
              <w:rPr>
                <w:noProof/>
                <w:webHidden/>
              </w:rPr>
            </w:r>
            <w:r w:rsidR="00DA17E3">
              <w:rPr>
                <w:noProof/>
                <w:webHidden/>
              </w:rPr>
              <w:fldChar w:fldCharType="separate"/>
            </w:r>
            <w:r w:rsidR="00DF0799">
              <w:rPr>
                <w:noProof/>
                <w:webHidden/>
              </w:rPr>
              <w:t>105</w:t>
            </w:r>
            <w:r w:rsidR="00DA17E3">
              <w:rPr>
                <w:noProof/>
                <w:webHidden/>
              </w:rPr>
              <w:fldChar w:fldCharType="end"/>
            </w:r>
          </w:hyperlink>
        </w:p>
        <w:p w14:paraId="7E705282" w14:textId="0BB039CE"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649" w:history="1">
            <w:r w:rsidR="00DA17E3" w:rsidRPr="006A008E">
              <w:rPr>
                <w:rStyle w:val="Hyperlink"/>
                <w:noProof/>
              </w:rPr>
              <w:t xml:space="preserve">Table 16: </w:t>
            </w:r>
            <w:r w:rsidR="00DA17E3" w:rsidRPr="006A008E">
              <w:rPr>
                <w:rStyle w:val="Hyperlink"/>
                <w:noProof/>
                <w:lang w:val="en-US"/>
              </w:rPr>
              <w:t>Sessions related to FAO clients by session type, gender, age, and ethnicity</w:t>
            </w:r>
            <w:r w:rsidR="00DA17E3">
              <w:rPr>
                <w:noProof/>
                <w:webHidden/>
              </w:rPr>
              <w:tab/>
            </w:r>
            <w:r w:rsidR="00DA17E3">
              <w:rPr>
                <w:noProof/>
                <w:webHidden/>
              </w:rPr>
              <w:fldChar w:fldCharType="begin"/>
            </w:r>
            <w:r w:rsidR="00DA17E3">
              <w:rPr>
                <w:noProof/>
                <w:webHidden/>
              </w:rPr>
              <w:instrText xml:space="preserve"> PAGEREF _Toc58400649 \h </w:instrText>
            </w:r>
            <w:r w:rsidR="00DA17E3">
              <w:rPr>
                <w:noProof/>
                <w:webHidden/>
              </w:rPr>
            </w:r>
            <w:r w:rsidR="00DA17E3">
              <w:rPr>
                <w:noProof/>
                <w:webHidden/>
              </w:rPr>
              <w:fldChar w:fldCharType="separate"/>
            </w:r>
            <w:r w:rsidR="00DF0799">
              <w:rPr>
                <w:noProof/>
                <w:webHidden/>
              </w:rPr>
              <w:t>106</w:t>
            </w:r>
            <w:r w:rsidR="00DA17E3">
              <w:rPr>
                <w:noProof/>
                <w:webHidden/>
              </w:rPr>
              <w:fldChar w:fldCharType="end"/>
            </w:r>
          </w:hyperlink>
        </w:p>
        <w:p w14:paraId="361A3B3D" w14:textId="3F0AC53F"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650" w:history="1">
            <w:r w:rsidR="00DA17E3" w:rsidRPr="006A008E">
              <w:rPr>
                <w:rStyle w:val="Hyperlink"/>
                <w:noProof/>
              </w:rPr>
              <w:t>Table 17. Sessions related to gambler clients by session type, gender, age, and ethnicity</w:t>
            </w:r>
            <w:r w:rsidR="00DA17E3">
              <w:rPr>
                <w:noProof/>
                <w:webHidden/>
              </w:rPr>
              <w:tab/>
            </w:r>
            <w:r w:rsidR="00DA17E3">
              <w:rPr>
                <w:noProof/>
                <w:webHidden/>
              </w:rPr>
              <w:fldChar w:fldCharType="begin"/>
            </w:r>
            <w:r w:rsidR="00DA17E3">
              <w:rPr>
                <w:noProof/>
                <w:webHidden/>
              </w:rPr>
              <w:instrText xml:space="preserve"> PAGEREF _Toc58400650 \h </w:instrText>
            </w:r>
            <w:r w:rsidR="00DA17E3">
              <w:rPr>
                <w:noProof/>
                <w:webHidden/>
              </w:rPr>
            </w:r>
            <w:r w:rsidR="00DA17E3">
              <w:rPr>
                <w:noProof/>
                <w:webHidden/>
              </w:rPr>
              <w:fldChar w:fldCharType="separate"/>
            </w:r>
            <w:r w:rsidR="00DF0799">
              <w:rPr>
                <w:noProof/>
                <w:webHidden/>
              </w:rPr>
              <w:t>108</w:t>
            </w:r>
            <w:r w:rsidR="00DA17E3">
              <w:rPr>
                <w:noProof/>
                <w:webHidden/>
              </w:rPr>
              <w:fldChar w:fldCharType="end"/>
            </w:r>
          </w:hyperlink>
        </w:p>
        <w:p w14:paraId="275F704C" w14:textId="2C8B551F"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651" w:history="1">
            <w:r w:rsidR="00DA17E3" w:rsidRPr="006A008E">
              <w:rPr>
                <w:rStyle w:val="Hyperlink"/>
                <w:noProof/>
              </w:rPr>
              <w:t>Table 18. Types of FAO intervention sessions by gender, age, and ethnicity</w:t>
            </w:r>
            <w:r w:rsidR="00DA17E3">
              <w:rPr>
                <w:noProof/>
                <w:webHidden/>
              </w:rPr>
              <w:tab/>
            </w:r>
            <w:r w:rsidR="00DA17E3">
              <w:rPr>
                <w:noProof/>
                <w:webHidden/>
              </w:rPr>
              <w:fldChar w:fldCharType="begin"/>
            </w:r>
            <w:r w:rsidR="00DA17E3">
              <w:rPr>
                <w:noProof/>
                <w:webHidden/>
              </w:rPr>
              <w:instrText xml:space="preserve"> PAGEREF _Toc58400651 \h </w:instrText>
            </w:r>
            <w:r w:rsidR="00DA17E3">
              <w:rPr>
                <w:noProof/>
                <w:webHidden/>
              </w:rPr>
            </w:r>
            <w:r w:rsidR="00DA17E3">
              <w:rPr>
                <w:noProof/>
                <w:webHidden/>
              </w:rPr>
              <w:fldChar w:fldCharType="separate"/>
            </w:r>
            <w:r w:rsidR="00DF0799">
              <w:rPr>
                <w:noProof/>
                <w:webHidden/>
              </w:rPr>
              <w:t>109</w:t>
            </w:r>
            <w:r w:rsidR="00DA17E3">
              <w:rPr>
                <w:noProof/>
                <w:webHidden/>
              </w:rPr>
              <w:fldChar w:fldCharType="end"/>
            </w:r>
          </w:hyperlink>
        </w:p>
        <w:p w14:paraId="1363E4FC" w14:textId="48EE73D4"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652" w:history="1">
            <w:r w:rsidR="00DA17E3" w:rsidRPr="006A008E">
              <w:rPr>
                <w:rStyle w:val="Hyperlink"/>
                <w:noProof/>
              </w:rPr>
              <w:t xml:space="preserve">Table 19: </w:t>
            </w:r>
            <w:r w:rsidR="00DA17E3" w:rsidRPr="006A008E">
              <w:rPr>
                <w:rStyle w:val="Hyperlink"/>
                <w:noProof/>
                <w:lang w:val="en-US"/>
              </w:rPr>
              <w:t>Demographic profile of FAO clients according to intervention profile</w:t>
            </w:r>
            <w:r w:rsidR="00DA17E3">
              <w:rPr>
                <w:noProof/>
                <w:webHidden/>
              </w:rPr>
              <w:tab/>
            </w:r>
            <w:r w:rsidR="00DA17E3">
              <w:rPr>
                <w:noProof/>
                <w:webHidden/>
              </w:rPr>
              <w:fldChar w:fldCharType="begin"/>
            </w:r>
            <w:r w:rsidR="00DA17E3">
              <w:rPr>
                <w:noProof/>
                <w:webHidden/>
              </w:rPr>
              <w:instrText xml:space="preserve"> PAGEREF _Toc58400652 \h </w:instrText>
            </w:r>
            <w:r w:rsidR="00DA17E3">
              <w:rPr>
                <w:noProof/>
                <w:webHidden/>
              </w:rPr>
            </w:r>
            <w:r w:rsidR="00DA17E3">
              <w:rPr>
                <w:noProof/>
                <w:webHidden/>
              </w:rPr>
              <w:fldChar w:fldCharType="separate"/>
            </w:r>
            <w:r w:rsidR="00DF0799">
              <w:rPr>
                <w:noProof/>
                <w:webHidden/>
              </w:rPr>
              <w:t>111</w:t>
            </w:r>
            <w:r w:rsidR="00DA17E3">
              <w:rPr>
                <w:noProof/>
                <w:webHidden/>
              </w:rPr>
              <w:fldChar w:fldCharType="end"/>
            </w:r>
          </w:hyperlink>
        </w:p>
        <w:p w14:paraId="7A54550F" w14:textId="3404DF18"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653" w:history="1">
            <w:r w:rsidR="00DA17E3" w:rsidRPr="006A008E">
              <w:rPr>
                <w:rStyle w:val="Hyperlink"/>
                <w:noProof/>
              </w:rPr>
              <w:t>Table 20: Number of screening assessments for FAO and Gambler brief intervention clients</w:t>
            </w:r>
            <w:r w:rsidR="00DA17E3">
              <w:rPr>
                <w:noProof/>
                <w:webHidden/>
              </w:rPr>
              <w:tab/>
            </w:r>
            <w:r w:rsidR="00DA17E3">
              <w:rPr>
                <w:noProof/>
                <w:webHidden/>
              </w:rPr>
              <w:fldChar w:fldCharType="begin"/>
            </w:r>
            <w:r w:rsidR="00DA17E3">
              <w:rPr>
                <w:noProof/>
                <w:webHidden/>
              </w:rPr>
              <w:instrText xml:space="preserve"> PAGEREF _Toc58400653 \h </w:instrText>
            </w:r>
            <w:r w:rsidR="00DA17E3">
              <w:rPr>
                <w:noProof/>
                <w:webHidden/>
              </w:rPr>
            </w:r>
            <w:r w:rsidR="00DA17E3">
              <w:rPr>
                <w:noProof/>
                <w:webHidden/>
              </w:rPr>
              <w:fldChar w:fldCharType="separate"/>
            </w:r>
            <w:r w:rsidR="00DF0799">
              <w:rPr>
                <w:noProof/>
                <w:webHidden/>
              </w:rPr>
              <w:t>113</w:t>
            </w:r>
            <w:r w:rsidR="00DA17E3">
              <w:rPr>
                <w:noProof/>
                <w:webHidden/>
              </w:rPr>
              <w:fldChar w:fldCharType="end"/>
            </w:r>
          </w:hyperlink>
        </w:p>
        <w:p w14:paraId="10502586" w14:textId="3294BF96"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654" w:history="1">
            <w:r w:rsidR="00DA17E3" w:rsidRPr="006A008E">
              <w:rPr>
                <w:rStyle w:val="Hyperlink"/>
                <w:noProof/>
              </w:rPr>
              <w:t>Table 21: Number of screening assessments for FAO and Gambler full intervention clients</w:t>
            </w:r>
            <w:r w:rsidR="00DA17E3">
              <w:rPr>
                <w:noProof/>
                <w:webHidden/>
              </w:rPr>
              <w:tab/>
            </w:r>
            <w:r w:rsidR="00DA17E3">
              <w:rPr>
                <w:noProof/>
                <w:webHidden/>
              </w:rPr>
              <w:fldChar w:fldCharType="begin"/>
            </w:r>
            <w:r w:rsidR="00DA17E3">
              <w:rPr>
                <w:noProof/>
                <w:webHidden/>
              </w:rPr>
              <w:instrText xml:space="preserve"> PAGEREF _Toc58400654 \h </w:instrText>
            </w:r>
            <w:r w:rsidR="00DA17E3">
              <w:rPr>
                <w:noProof/>
                <w:webHidden/>
              </w:rPr>
            </w:r>
            <w:r w:rsidR="00DA17E3">
              <w:rPr>
                <w:noProof/>
                <w:webHidden/>
              </w:rPr>
              <w:fldChar w:fldCharType="separate"/>
            </w:r>
            <w:r w:rsidR="00DF0799">
              <w:rPr>
                <w:noProof/>
                <w:webHidden/>
              </w:rPr>
              <w:t>113</w:t>
            </w:r>
            <w:r w:rsidR="00DA17E3">
              <w:rPr>
                <w:noProof/>
                <w:webHidden/>
              </w:rPr>
              <w:fldChar w:fldCharType="end"/>
            </w:r>
          </w:hyperlink>
        </w:p>
        <w:p w14:paraId="153B2411" w14:textId="04FD9D4B" w:rsidR="00D67196" w:rsidRDefault="00D67196" w:rsidP="00D67196">
          <w:pPr>
            <w:spacing w:after="160" w:line="259" w:lineRule="auto"/>
          </w:pPr>
          <w:r>
            <w:fldChar w:fldCharType="end"/>
          </w:r>
        </w:p>
        <w:p w14:paraId="315CE60C" w14:textId="7341423B" w:rsidR="00D67196" w:rsidRDefault="00D67196" w:rsidP="00D67196">
          <w:pPr>
            <w:spacing w:after="160" w:line="259" w:lineRule="auto"/>
            <w:rPr>
              <w:b/>
              <w:bCs/>
            </w:rPr>
          </w:pPr>
          <w:r w:rsidRPr="00D67196">
            <w:rPr>
              <w:b/>
              <w:bCs/>
            </w:rPr>
            <w:t>List of figures</w:t>
          </w:r>
        </w:p>
        <w:p w14:paraId="5E3CE068" w14:textId="3EF1C104" w:rsidR="00DA17E3" w:rsidRDefault="00D67196">
          <w:pPr>
            <w:pStyle w:val="TableofFigures"/>
            <w:tabs>
              <w:tab w:val="right" w:leader="dot" w:pos="9016"/>
            </w:tabs>
            <w:rPr>
              <w:rFonts w:asciiTheme="minorHAnsi" w:eastAsiaTheme="minorEastAsia" w:hAnsiTheme="minorHAnsi" w:cstheme="minorBidi"/>
              <w:noProof/>
              <w:sz w:val="22"/>
              <w:szCs w:val="22"/>
              <w:lang w:eastAsia="en-NZ"/>
            </w:rPr>
          </w:pPr>
          <w:r>
            <w:rPr>
              <w:b/>
              <w:bCs/>
            </w:rPr>
            <w:fldChar w:fldCharType="begin"/>
          </w:r>
          <w:r>
            <w:rPr>
              <w:b/>
              <w:bCs/>
            </w:rPr>
            <w:instrText xml:space="preserve"> TOC \h \z \c "Figure" </w:instrText>
          </w:r>
          <w:r>
            <w:rPr>
              <w:b/>
              <w:bCs/>
            </w:rPr>
            <w:fldChar w:fldCharType="separate"/>
          </w:r>
          <w:hyperlink w:anchor="_Toc58400806" w:history="1">
            <w:r w:rsidR="00DA17E3" w:rsidRPr="003B3F45">
              <w:rPr>
                <w:rStyle w:val="Hyperlink"/>
                <w:noProof/>
              </w:rPr>
              <w:t>Figure 1. The stress-strain-coping-support (SSCS) model (Orford et al., 2010, p. 37)</w:t>
            </w:r>
            <w:r w:rsidR="00DA17E3">
              <w:rPr>
                <w:noProof/>
                <w:webHidden/>
              </w:rPr>
              <w:tab/>
            </w:r>
            <w:r w:rsidR="00DA17E3">
              <w:rPr>
                <w:noProof/>
                <w:webHidden/>
              </w:rPr>
              <w:fldChar w:fldCharType="begin"/>
            </w:r>
            <w:r w:rsidR="00DA17E3">
              <w:rPr>
                <w:noProof/>
                <w:webHidden/>
              </w:rPr>
              <w:instrText xml:space="preserve"> PAGEREF _Toc58400806 \h </w:instrText>
            </w:r>
            <w:r w:rsidR="00DA17E3">
              <w:rPr>
                <w:noProof/>
                <w:webHidden/>
              </w:rPr>
            </w:r>
            <w:r w:rsidR="00DA17E3">
              <w:rPr>
                <w:noProof/>
                <w:webHidden/>
              </w:rPr>
              <w:fldChar w:fldCharType="separate"/>
            </w:r>
            <w:r w:rsidR="00DF0799">
              <w:rPr>
                <w:noProof/>
                <w:webHidden/>
              </w:rPr>
              <w:t>25</w:t>
            </w:r>
            <w:r w:rsidR="00DA17E3">
              <w:rPr>
                <w:noProof/>
                <w:webHidden/>
              </w:rPr>
              <w:fldChar w:fldCharType="end"/>
            </w:r>
          </w:hyperlink>
        </w:p>
        <w:p w14:paraId="6079DE4E" w14:textId="53C4E5A4"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807" w:history="1">
            <w:r w:rsidR="00DA17E3" w:rsidRPr="003B3F45">
              <w:rPr>
                <w:rStyle w:val="Hyperlink"/>
                <w:noProof/>
              </w:rPr>
              <w:t>Figure 2. The five steps for supporting FAOs affected (Copello et al., 2010, p. 87).</w:t>
            </w:r>
            <w:r w:rsidR="00DA17E3">
              <w:rPr>
                <w:noProof/>
                <w:webHidden/>
              </w:rPr>
              <w:tab/>
            </w:r>
            <w:r w:rsidR="00DA17E3">
              <w:rPr>
                <w:noProof/>
                <w:webHidden/>
              </w:rPr>
              <w:fldChar w:fldCharType="begin"/>
            </w:r>
            <w:r w:rsidR="00DA17E3">
              <w:rPr>
                <w:noProof/>
                <w:webHidden/>
              </w:rPr>
              <w:instrText xml:space="preserve"> PAGEREF _Toc58400807 \h </w:instrText>
            </w:r>
            <w:r w:rsidR="00DA17E3">
              <w:rPr>
                <w:noProof/>
                <w:webHidden/>
              </w:rPr>
            </w:r>
            <w:r w:rsidR="00DA17E3">
              <w:rPr>
                <w:noProof/>
                <w:webHidden/>
              </w:rPr>
              <w:fldChar w:fldCharType="separate"/>
            </w:r>
            <w:r w:rsidR="00DF0799">
              <w:rPr>
                <w:noProof/>
                <w:webHidden/>
              </w:rPr>
              <w:t>26</w:t>
            </w:r>
            <w:r w:rsidR="00DA17E3">
              <w:rPr>
                <w:noProof/>
                <w:webHidden/>
              </w:rPr>
              <w:fldChar w:fldCharType="end"/>
            </w:r>
          </w:hyperlink>
        </w:p>
        <w:p w14:paraId="3E523F16" w14:textId="06D95A86"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808" w:history="1">
            <w:r w:rsidR="00DA17E3" w:rsidRPr="003B3F45">
              <w:rPr>
                <w:rStyle w:val="Hyperlink"/>
                <w:noProof/>
              </w:rPr>
              <w:t>Figure 3. Challenges for and barriers to intervention (Rey &amp; Sainz, 2007, p. 35)</w:t>
            </w:r>
            <w:r w:rsidR="00DA17E3">
              <w:rPr>
                <w:noProof/>
                <w:webHidden/>
              </w:rPr>
              <w:tab/>
            </w:r>
            <w:r w:rsidR="00DA17E3">
              <w:rPr>
                <w:noProof/>
                <w:webHidden/>
              </w:rPr>
              <w:fldChar w:fldCharType="begin"/>
            </w:r>
            <w:r w:rsidR="00DA17E3">
              <w:rPr>
                <w:noProof/>
                <w:webHidden/>
              </w:rPr>
              <w:instrText xml:space="preserve"> PAGEREF _Toc58400808 \h </w:instrText>
            </w:r>
            <w:r w:rsidR="00DA17E3">
              <w:rPr>
                <w:noProof/>
                <w:webHidden/>
              </w:rPr>
            </w:r>
            <w:r w:rsidR="00DA17E3">
              <w:rPr>
                <w:noProof/>
                <w:webHidden/>
              </w:rPr>
              <w:fldChar w:fldCharType="separate"/>
            </w:r>
            <w:r w:rsidR="00DF0799">
              <w:rPr>
                <w:noProof/>
                <w:webHidden/>
              </w:rPr>
              <w:t>27</w:t>
            </w:r>
            <w:r w:rsidR="00DA17E3">
              <w:rPr>
                <w:noProof/>
                <w:webHidden/>
              </w:rPr>
              <w:fldChar w:fldCharType="end"/>
            </w:r>
          </w:hyperlink>
        </w:p>
        <w:p w14:paraId="744B0648" w14:textId="541B074D"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809" w:history="1">
            <w:r w:rsidR="00DA17E3" w:rsidRPr="003B3F45">
              <w:rPr>
                <w:rStyle w:val="Hyperlink"/>
                <w:noProof/>
              </w:rPr>
              <w:t>Figure 4. Tailoring a community response to alcohol harm (McCalman et al., 2013).</w:t>
            </w:r>
            <w:r w:rsidR="00DA17E3">
              <w:rPr>
                <w:noProof/>
                <w:webHidden/>
              </w:rPr>
              <w:tab/>
            </w:r>
            <w:r w:rsidR="00DA17E3">
              <w:rPr>
                <w:noProof/>
                <w:webHidden/>
              </w:rPr>
              <w:fldChar w:fldCharType="begin"/>
            </w:r>
            <w:r w:rsidR="00DA17E3">
              <w:rPr>
                <w:noProof/>
                <w:webHidden/>
              </w:rPr>
              <w:instrText xml:space="preserve"> PAGEREF _Toc58400809 \h </w:instrText>
            </w:r>
            <w:r w:rsidR="00DA17E3">
              <w:rPr>
                <w:noProof/>
                <w:webHidden/>
              </w:rPr>
            </w:r>
            <w:r w:rsidR="00DA17E3">
              <w:rPr>
                <w:noProof/>
                <w:webHidden/>
              </w:rPr>
              <w:fldChar w:fldCharType="separate"/>
            </w:r>
            <w:r w:rsidR="00DF0799">
              <w:rPr>
                <w:noProof/>
                <w:webHidden/>
              </w:rPr>
              <w:t>34</w:t>
            </w:r>
            <w:r w:rsidR="00DA17E3">
              <w:rPr>
                <w:noProof/>
                <w:webHidden/>
              </w:rPr>
              <w:fldChar w:fldCharType="end"/>
            </w:r>
          </w:hyperlink>
        </w:p>
        <w:p w14:paraId="7D3CE972" w14:textId="4BD2088E"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810" w:history="1">
            <w:r w:rsidR="00DA17E3" w:rsidRPr="003B3F45">
              <w:rPr>
                <w:rStyle w:val="Hyperlink"/>
                <w:noProof/>
              </w:rPr>
              <w:t>Figure 5. Structured engagement with expert opinion</w:t>
            </w:r>
            <w:r w:rsidR="00DA17E3">
              <w:rPr>
                <w:noProof/>
                <w:webHidden/>
              </w:rPr>
              <w:tab/>
            </w:r>
            <w:r w:rsidR="00DA17E3">
              <w:rPr>
                <w:noProof/>
                <w:webHidden/>
              </w:rPr>
              <w:fldChar w:fldCharType="begin"/>
            </w:r>
            <w:r w:rsidR="00DA17E3">
              <w:rPr>
                <w:noProof/>
                <w:webHidden/>
              </w:rPr>
              <w:instrText xml:space="preserve"> PAGEREF _Toc58400810 \h </w:instrText>
            </w:r>
            <w:r w:rsidR="00DA17E3">
              <w:rPr>
                <w:noProof/>
                <w:webHidden/>
              </w:rPr>
            </w:r>
            <w:r w:rsidR="00DA17E3">
              <w:rPr>
                <w:noProof/>
                <w:webHidden/>
              </w:rPr>
              <w:fldChar w:fldCharType="separate"/>
            </w:r>
            <w:r w:rsidR="00DF0799">
              <w:rPr>
                <w:noProof/>
                <w:webHidden/>
              </w:rPr>
              <w:t>46</w:t>
            </w:r>
            <w:r w:rsidR="00DA17E3">
              <w:rPr>
                <w:noProof/>
                <w:webHidden/>
              </w:rPr>
              <w:fldChar w:fldCharType="end"/>
            </w:r>
          </w:hyperlink>
        </w:p>
        <w:p w14:paraId="24D4ACD5" w14:textId="1A52C894"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811" w:history="1">
            <w:r w:rsidR="00DA17E3" w:rsidRPr="003B3F45">
              <w:rPr>
                <w:rStyle w:val="Hyperlink"/>
                <w:noProof/>
              </w:rPr>
              <w:t>Figure 6. The extent that services should designed/orientated to five approaches</w:t>
            </w:r>
            <w:r w:rsidR="00DA17E3">
              <w:rPr>
                <w:noProof/>
                <w:webHidden/>
              </w:rPr>
              <w:tab/>
            </w:r>
            <w:r w:rsidR="00DA17E3">
              <w:rPr>
                <w:noProof/>
                <w:webHidden/>
              </w:rPr>
              <w:fldChar w:fldCharType="begin"/>
            </w:r>
            <w:r w:rsidR="00DA17E3">
              <w:rPr>
                <w:noProof/>
                <w:webHidden/>
              </w:rPr>
              <w:instrText xml:space="preserve"> PAGEREF _Toc58400811 \h </w:instrText>
            </w:r>
            <w:r w:rsidR="00DA17E3">
              <w:rPr>
                <w:noProof/>
                <w:webHidden/>
              </w:rPr>
            </w:r>
            <w:r w:rsidR="00DA17E3">
              <w:rPr>
                <w:noProof/>
                <w:webHidden/>
              </w:rPr>
              <w:fldChar w:fldCharType="separate"/>
            </w:r>
            <w:r w:rsidR="00DF0799">
              <w:rPr>
                <w:noProof/>
                <w:webHidden/>
              </w:rPr>
              <w:t>48</w:t>
            </w:r>
            <w:r w:rsidR="00DA17E3">
              <w:rPr>
                <w:noProof/>
                <w:webHidden/>
              </w:rPr>
              <w:fldChar w:fldCharType="end"/>
            </w:r>
          </w:hyperlink>
        </w:p>
        <w:p w14:paraId="0DF728F2" w14:textId="26C30AB2"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812" w:history="1">
            <w:r w:rsidR="00DA17E3" w:rsidRPr="003B3F45">
              <w:rPr>
                <w:rStyle w:val="Hyperlink"/>
                <w:noProof/>
              </w:rPr>
              <w:t>Figure 7. Gambling behaviour and harm: the continuum of prevention and harm reduction</w:t>
            </w:r>
            <w:r w:rsidR="00DA17E3">
              <w:rPr>
                <w:noProof/>
                <w:webHidden/>
              </w:rPr>
              <w:tab/>
            </w:r>
            <w:r w:rsidR="00DA17E3">
              <w:rPr>
                <w:noProof/>
                <w:webHidden/>
              </w:rPr>
              <w:fldChar w:fldCharType="begin"/>
            </w:r>
            <w:r w:rsidR="00DA17E3">
              <w:rPr>
                <w:noProof/>
                <w:webHidden/>
              </w:rPr>
              <w:instrText xml:space="preserve"> PAGEREF _Toc58400812 \h </w:instrText>
            </w:r>
            <w:r w:rsidR="00DA17E3">
              <w:rPr>
                <w:noProof/>
                <w:webHidden/>
              </w:rPr>
            </w:r>
            <w:r w:rsidR="00DA17E3">
              <w:rPr>
                <w:noProof/>
                <w:webHidden/>
              </w:rPr>
              <w:fldChar w:fldCharType="separate"/>
            </w:r>
            <w:r w:rsidR="00DF0799">
              <w:rPr>
                <w:noProof/>
                <w:webHidden/>
              </w:rPr>
              <w:t>94</w:t>
            </w:r>
            <w:r w:rsidR="00DA17E3">
              <w:rPr>
                <w:noProof/>
                <w:webHidden/>
              </w:rPr>
              <w:fldChar w:fldCharType="end"/>
            </w:r>
          </w:hyperlink>
        </w:p>
        <w:p w14:paraId="5DEA7CEA" w14:textId="35D9DD18"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813" w:history="1">
            <w:r w:rsidR="00DA17E3" w:rsidRPr="003B3F45">
              <w:rPr>
                <w:rStyle w:val="Hyperlink"/>
                <w:noProof/>
              </w:rPr>
              <w:t>Figure 8. Distribution of (n) family and affected other clients by gender and ethnicity</w:t>
            </w:r>
            <w:r w:rsidR="00DA17E3">
              <w:rPr>
                <w:noProof/>
                <w:webHidden/>
              </w:rPr>
              <w:tab/>
            </w:r>
            <w:r w:rsidR="00DA17E3">
              <w:rPr>
                <w:noProof/>
                <w:webHidden/>
              </w:rPr>
              <w:fldChar w:fldCharType="begin"/>
            </w:r>
            <w:r w:rsidR="00DA17E3">
              <w:rPr>
                <w:noProof/>
                <w:webHidden/>
              </w:rPr>
              <w:instrText xml:space="preserve"> PAGEREF _Toc58400813 \h </w:instrText>
            </w:r>
            <w:r w:rsidR="00DA17E3">
              <w:rPr>
                <w:noProof/>
                <w:webHidden/>
              </w:rPr>
            </w:r>
            <w:r w:rsidR="00DA17E3">
              <w:rPr>
                <w:noProof/>
                <w:webHidden/>
              </w:rPr>
              <w:fldChar w:fldCharType="separate"/>
            </w:r>
            <w:r w:rsidR="00DF0799">
              <w:rPr>
                <w:noProof/>
                <w:webHidden/>
              </w:rPr>
              <w:t>100</w:t>
            </w:r>
            <w:r w:rsidR="00DA17E3">
              <w:rPr>
                <w:noProof/>
                <w:webHidden/>
              </w:rPr>
              <w:fldChar w:fldCharType="end"/>
            </w:r>
          </w:hyperlink>
        </w:p>
        <w:p w14:paraId="07C71545" w14:textId="624B051F"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814" w:history="1">
            <w:r w:rsidR="00DA17E3" w:rsidRPr="003B3F45">
              <w:rPr>
                <w:rStyle w:val="Hyperlink"/>
                <w:noProof/>
              </w:rPr>
              <w:t>Figure 9. Percentage of all gambling modes recorded by clients</w:t>
            </w:r>
            <w:r w:rsidR="00DA17E3">
              <w:rPr>
                <w:noProof/>
                <w:webHidden/>
              </w:rPr>
              <w:tab/>
            </w:r>
            <w:r w:rsidR="00DA17E3">
              <w:rPr>
                <w:noProof/>
                <w:webHidden/>
              </w:rPr>
              <w:fldChar w:fldCharType="begin"/>
            </w:r>
            <w:r w:rsidR="00DA17E3">
              <w:rPr>
                <w:noProof/>
                <w:webHidden/>
              </w:rPr>
              <w:instrText xml:space="preserve"> PAGEREF _Toc58400814 \h </w:instrText>
            </w:r>
            <w:r w:rsidR="00DA17E3">
              <w:rPr>
                <w:noProof/>
                <w:webHidden/>
              </w:rPr>
            </w:r>
            <w:r w:rsidR="00DA17E3">
              <w:rPr>
                <w:noProof/>
                <w:webHidden/>
              </w:rPr>
              <w:fldChar w:fldCharType="separate"/>
            </w:r>
            <w:r w:rsidR="00DF0799">
              <w:rPr>
                <w:noProof/>
                <w:webHidden/>
              </w:rPr>
              <w:t>101</w:t>
            </w:r>
            <w:r w:rsidR="00DA17E3">
              <w:rPr>
                <w:noProof/>
                <w:webHidden/>
              </w:rPr>
              <w:fldChar w:fldCharType="end"/>
            </w:r>
          </w:hyperlink>
        </w:p>
        <w:p w14:paraId="7B87BFFF" w14:textId="57C6311D"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815" w:history="1">
            <w:r w:rsidR="00DA17E3" w:rsidRPr="003B3F45">
              <w:rPr>
                <w:rStyle w:val="Hyperlink"/>
                <w:noProof/>
              </w:rPr>
              <w:t>Figure 10. Percentage of FAO and gambler clients receiving 2 or more sessions</w:t>
            </w:r>
            <w:r w:rsidR="00DA17E3">
              <w:rPr>
                <w:noProof/>
                <w:webHidden/>
              </w:rPr>
              <w:tab/>
            </w:r>
            <w:r w:rsidR="00DA17E3">
              <w:rPr>
                <w:noProof/>
                <w:webHidden/>
              </w:rPr>
              <w:fldChar w:fldCharType="begin"/>
            </w:r>
            <w:r w:rsidR="00DA17E3">
              <w:rPr>
                <w:noProof/>
                <w:webHidden/>
              </w:rPr>
              <w:instrText xml:space="preserve"> PAGEREF _Toc58400815 \h </w:instrText>
            </w:r>
            <w:r w:rsidR="00DA17E3">
              <w:rPr>
                <w:noProof/>
                <w:webHidden/>
              </w:rPr>
            </w:r>
            <w:r w:rsidR="00DA17E3">
              <w:rPr>
                <w:noProof/>
                <w:webHidden/>
              </w:rPr>
              <w:fldChar w:fldCharType="separate"/>
            </w:r>
            <w:r w:rsidR="00DF0799">
              <w:rPr>
                <w:noProof/>
                <w:webHidden/>
              </w:rPr>
              <w:t>102</w:t>
            </w:r>
            <w:r w:rsidR="00DA17E3">
              <w:rPr>
                <w:noProof/>
                <w:webHidden/>
              </w:rPr>
              <w:fldChar w:fldCharType="end"/>
            </w:r>
          </w:hyperlink>
        </w:p>
        <w:p w14:paraId="21DD81DD" w14:textId="4BB1FEF9"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816" w:history="1">
            <w:r w:rsidR="00DA17E3" w:rsidRPr="003B3F45">
              <w:rPr>
                <w:rStyle w:val="Hyperlink"/>
                <w:noProof/>
              </w:rPr>
              <w:t>Figure 11. Distribution of session type by client</w:t>
            </w:r>
            <w:r w:rsidR="00DA17E3">
              <w:rPr>
                <w:noProof/>
                <w:webHidden/>
              </w:rPr>
              <w:tab/>
            </w:r>
            <w:r w:rsidR="00DA17E3">
              <w:rPr>
                <w:noProof/>
                <w:webHidden/>
              </w:rPr>
              <w:fldChar w:fldCharType="begin"/>
            </w:r>
            <w:r w:rsidR="00DA17E3">
              <w:rPr>
                <w:noProof/>
                <w:webHidden/>
              </w:rPr>
              <w:instrText xml:space="preserve"> PAGEREF _Toc58400816 \h </w:instrText>
            </w:r>
            <w:r w:rsidR="00DA17E3">
              <w:rPr>
                <w:noProof/>
                <w:webHidden/>
              </w:rPr>
            </w:r>
            <w:r w:rsidR="00DA17E3">
              <w:rPr>
                <w:noProof/>
                <w:webHidden/>
              </w:rPr>
              <w:fldChar w:fldCharType="separate"/>
            </w:r>
            <w:r w:rsidR="00DF0799">
              <w:rPr>
                <w:noProof/>
                <w:webHidden/>
              </w:rPr>
              <w:t>102</w:t>
            </w:r>
            <w:r w:rsidR="00DA17E3">
              <w:rPr>
                <w:noProof/>
                <w:webHidden/>
              </w:rPr>
              <w:fldChar w:fldCharType="end"/>
            </w:r>
          </w:hyperlink>
        </w:p>
        <w:p w14:paraId="49CBC83C" w14:textId="4B26BF00"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817" w:history="1">
            <w:r w:rsidR="00DA17E3" w:rsidRPr="003B3F45">
              <w:rPr>
                <w:rStyle w:val="Hyperlink"/>
                <w:noProof/>
              </w:rPr>
              <w:t>Figure 12. Distribution of session attendance types by client</w:t>
            </w:r>
            <w:r w:rsidR="00DA17E3">
              <w:rPr>
                <w:noProof/>
                <w:webHidden/>
              </w:rPr>
              <w:tab/>
            </w:r>
            <w:r w:rsidR="00DA17E3">
              <w:rPr>
                <w:noProof/>
                <w:webHidden/>
              </w:rPr>
              <w:fldChar w:fldCharType="begin"/>
            </w:r>
            <w:r w:rsidR="00DA17E3">
              <w:rPr>
                <w:noProof/>
                <w:webHidden/>
              </w:rPr>
              <w:instrText xml:space="preserve"> PAGEREF _Toc58400817 \h </w:instrText>
            </w:r>
            <w:r w:rsidR="00DA17E3">
              <w:rPr>
                <w:noProof/>
                <w:webHidden/>
              </w:rPr>
            </w:r>
            <w:r w:rsidR="00DA17E3">
              <w:rPr>
                <w:noProof/>
                <w:webHidden/>
              </w:rPr>
              <w:fldChar w:fldCharType="separate"/>
            </w:r>
            <w:r w:rsidR="00DF0799">
              <w:rPr>
                <w:noProof/>
                <w:webHidden/>
              </w:rPr>
              <w:t>103</w:t>
            </w:r>
            <w:r w:rsidR="00DA17E3">
              <w:rPr>
                <w:noProof/>
                <w:webHidden/>
              </w:rPr>
              <w:fldChar w:fldCharType="end"/>
            </w:r>
          </w:hyperlink>
        </w:p>
        <w:p w14:paraId="29CD948B" w14:textId="7596891A" w:rsidR="00DA17E3" w:rsidRDefault="00D04B86">
          <w:pPr>
            <w:pStyle w:val="TableofFigures"/>
            <w:tabs>
              <w:tab w:val="right" w:leader="dot" w:pos="9016"/>
            </w:tabs>
            <w:rPr>
              <w:rFonts w:asciiTheme="minorHAnsi" w:eastAsiaTheme="minorEastAsia" w:hAnsiTheme="minorHAnsi" w:cstheme="minorBidi"/>
              <w:noProof/>
              <w:sz w:val="22"/>
              <w:szCs w:val="22"/>
              <w:lang w:eastAsia="en-NZ"/>
            </w:rPr>
          </w:pPr>
          <w:hyperlink w:anchor="_Toc58400818" w:history="1">
            <w:r w:rsidR="00DA17E3" w:rsidRPr="003B3F45">
              <w:rPr>
                <w:rStyle w:val="Hyperlink"/>
                <w:noProof/>
              </w:rPr>
              <w:t>Figure 13. Distribution of agency engagement with FAO clients</w:t>
            </w:r>
            <w:r w:rsidR="00DA17E3">
              <w:rPr>
                <w:noProof/>
                <w:webHidden/>
              </w:rPr>
              <w:tab/>
            </w:r>
            <w:r w:rsidR="00DA17E3">
              <w:rPr>
                <w:noProof/>
                <w:webHidden/>
              </w:rPr>
              <w:fldChar w:fldCharType="begin"/>
            </w:r>
            <w:r w:rsidR="00DA17E3">
              <w:rPr>
                <w:noProof/>
                <w:webHidden/>
              </w:rPr>
              <w:instrText xml:space="preserve"> PAGEREF _Toc58400818 \h </w:instrText>
            </w:r>
            <w:r w:rsidR="00DA17E3">
              <w:rPr>
                <w:noProof/>
                <w:webHidden/>
              </w:rPr>
            </w:r>
            <w:r w:rsidR="00DA17E3">
              <w:rPr>
                <w:noProof/>
                <w:webHidden/>
              </w:rPr>
              <w:fldChar w:fldCharType="separate"/>
            </w:r>
            <w:r w:rsidR="00DF0799">
              <w:rPr>
                <w:noProof/>
                <w:webHidden/>
              </w:rPr>
              <w:t>104</w:t>
            </w:r>
            <w:r w:rsidR="00DA17E3">
              <w:rPr>
                <w:noProof/>
                <w:webHidden/>
              </w:rPr>
              <w:fldChar w:fldCharType="end"/>
            </w:r>
          </w:hyperlink>
        </w:p>
        <w:p w14:paraId="2996C7BF" w14:textId="700A827D" w:rsidR="00D67196" w:rsidRPr="00D67196" w:rsidRDefault="00D67196" w:rsidP="00D67196">
          <w:pPr>
            <w:spacing w:after="160" w:line="259" w:lineRule="auto"/>
            <w:rPr>
              <w:b/>
              <w:bCs/>
            </w:rPr>
          </w:pPr>
          <w:r>
            <w:rPr>
              <w:b/>
              <w:bCs/>
            </w:rPr>
            <w:fldChar w:fldCharType="end"/>
          </w:r>
        </w:p>
        <w:p w14:paraId="744F8049" w14:textId="251F24F1" w:rsidR="00817E6A" w:rsidRPr="005C46A2" w:rsidRDefault="00D04B86" w:rsidP="00D67196">
          <w:pPr>
            <w:spacing w:after="160" w:line="259" w:lineRule="auto"/>
            <w:sectPr w:rsidR="00817E6A" w:rsidRPr="005C46A2">
              <w:footerReference w:type="default" r:id="rId10"/>
              <w:pgSz w:w="11906" w:h="16838"/>
              <w:pgMar w:top="1440" w:right="1440" w:bottom="1440" w:left="1440" w:header="708" w:footer="708" w:gutter="0"/>
              <w:cols w:space="708"/>
              <w:docGrid w:linePitch="360"/>
            </w:sectPr>
          </w:pPr>
        </w:p>
      </w:sdtContent>
    </w:sdt>
    <w:p w14:paraId="28F97718" w14:textId="740B4693" w:rsidR="00817E6A" w:rsidRPr="005C46A2" w:rsidRDefault="00765D10" w:rsidP="00C13E89">
      <w:pPr>
        <w:pStyle w:val="Heading1"/>
        <w:jc w:val="both"/>
      </w:pPr>
      <w:bookmarkStart w:id="2" w:name="_Toc58400761"/>
      <w:r w:rsidRPr="005C46A2">
        <w:lastRenderedPageBreak/>
        <w:t>EXECUTIVE SUMMAR</w:t>
      </w:r>
      <w:r w:rsidR="00136B47">
        <w:t>Y</w:t>
      </w:r>
      <w:bookmarkEnd w:id="2"/>
    </w:p>
    <w:p w14:paraId="69B42568" w14:textId="77777777" w:rsidR="0035580E" w:rsidRDefault="0035580E" w:rsidP="007105B8">
      <w:pPr>
        <w:rPr>
          <w:b/>
          <w:bCs/>
        </w:rPr>
      </w:pPr>
    </w:p>
    <w:p w14:paraId="175A847A" w14:textId="6B885F12" w:rsidR="00765D10" w:rsidRPr="007105B8" w:rsidRDefault="00DA6F4F" w:rsidP="007105B8">
      <w:pPr>
        <w:rPr>
          <w:b/>
          <w:bCs/>
        </w:rPr>
      </w:pPr>
      <w:r w:rsidRPr="007105B8">
        <w:rPr>
          <w:b/>
          <w:bCs/>
        </w:rPr>
        <w:t>Background</w:t>
      </w:r>
    </w:p>
    <w:p w14:paraId="07D14B22" w14:textId="0AA9BE34" w:rsidR="00600FF4" w:rsidRPr="007E18E0" w:rsidRDefault="00600FF4" w:rsidP="00600FF4">
      <w:pPr>
        <w:jc w:val="both"/>
      </w:pPr>
      <w:r>
        <w:t xml:space="preserve">New Zealand gambling harm prevention and reduction services are funded by the </w:t>
      </w:r>
      <w:r w:rsidR="00EB1549">
        <w:t xml:space="preserve">New Zealand </w:t>
      </w:r>
      <w:r>
        <w:t xml:space="preserve">Ministry of Health (MOH) to engage with </w:t>
      </w:r>
      <w:r w:rsidR="00500E0C">
        <w:t>family and affected others (</w:t>
      </w:r>
      <w:r>
        <w:t>FAOs</w:t>
      </w:r>
      <w:r w:rsidR="00500E0C">
        <w:t>)</w:t>
      </w:r>
      <w:r>
        <w:t xml:space="preserve"> whether or not the person who is gambling chooses to engage. In the July 2017 to June 2018 year, FAOs comprised one quarter of clients </w:t>
      </w:r>
      <w:r w:rsidR="00500E0C">
        <w:t>receiving</w:t>
      </w:r>
      <w:r>
        <w:t xml:space="preserve"> a structured intervention plan (1370 clients), and just under two thirds of </w:t>
      </w:r>
      <w:r w:rsidRPr="00A42485">
        <w:t xml:space="preserve">motivational </w:t>
      </w:r>
      <w:r>
        <w:t xml:space="preserve">engagements with people in the community who were experiencing some gambling harm (3227 clients) </w:t>
      </w:r>
      <w:r>
        <w:fldChar w:fldCharType="begin"/>
      </w:r>
      <w:r>
        <w:instrText xml:space="preserve"> ADDIN EN.CITE &lt;EndNote&gt;&lt;Cite&gt;&lt;Author&gt;Ministry of Health&lt;/Author&gt;&lt;Year&gt;2020&lt;/Year&gt;&lt;RecNum&gt;289&lt;/RecNum&gt;&lt;DisplayText&gt;(Ministry of Health, 2020a)&lt;/DisplayText&gt;&lt;record&gt;&lt;rec-number&gt;289&lt;/rec-number&gt;&lt;foreign-keys&gt;&lt;key app="EN" db-id="25rszwft292ev3esrpvpde0cpxrd9ex0xspp" timestamp="1600210112"&gt;289&lt;/key&gt;&lt;/foreign-keys&gt;&lt;ref-type name="Web Page"&gt;12&lt;/ref-type&gt;&lt;contributors&gt;&lt;authors&gt;&lt;author&gt;Ministry of Health,&lt;/author&gt;&lt;/authors&gt;&lt;/contributors&gt;&lt;titles&gt;&lt;title&gt;Intervention client data&lt;/title&gt;&lt;/titles&gt;&lt;volume&gt;2020&lt;/volume&gt;&lt;number&gt;16 September&lt;/number&gt;&lt;dates&gt;&lt;year&gt;2020&lt;/year&gt;&lt;/dates&gt;&lt;pub-location&gt;Wellington&lt;/pub-location&gt;&lt;publisher&gt;Ministry of Health&lt;/publisher&gt;&lt;urls&gt;&lt;related-urls&gt;&lt;url&gt;https://www.health.govt.nz/our-work/mental-health-and-addictions/gambling/service-user-data/intervention-client-data&lt;/url&gt;&lt;/related-urls&gt;&lt;/urls&gt;&lt;/record&gt;&lt;/Cite&gt;&lt;/EndNote&gt;</w:instrText>
      </w:r>
      <w:r>
        <w:fldChar w:fldCharType="separate"/>
      </w:r>
      <w:r>
        <w:rPr>
          <w:noProof/>
        </w:rPr>
        <w:t>(Ministry of Health, 2020a)</w:t>
      </w:r>
      <w:r>
        <w:fldChar w:fldCharType="end"/>
      </w:r>
      <w:r>
        <w:t xml:space="preserve">. The MOH does not prescribe any </w:t>
      </w:r>
      <w:r w:rsidR="00EB1549">
        <w:t xml:space="preserve">particular </w:t>
      </w:r>
      <w:r w:rsidR="00500E0C">
        <w:t>approach</w:t>
      </w:r>
      <w:r>
        <w:t xml:space="preserve"> to working with families affected by gambling</w:t>
      </w:r>
      <w:r w:rsidR="00EB1549">
        <w:t xml:space="preserve"> harm</w:t>
      </w:r>
      <w:r>
        <w:t>.</w:t>
      </w:r>
      <w:r w:rsidR="00500E0C">
        <w:t xml:space="preserve"> However t</w:t>
      </w:r>
      <w:r>
        <w:t xml:space="preserve">he MOH </w:t>
      </w:r>
      <w:r w:rsidRPr="00C54755">
        <w:rPr>
          <w:lang w:val="en-GB"/>
        </w:rPr>
        <w:t xml:space="preserve">has </w:t>
      </w:r>
      <w:r>
        <w:rPr>
          <w:lang w:val="en-GB"/>
        </w:rPr>
        <w:t>variously challenged</w:t>
      </w:r>
      <w:r w:rsidRPr="00C54755">
        <w:rPr>
          <w:lang w:val="en-GB"/>
        </w:rPr>
        <w:t xml:space="preserve"> mental health and addictions service provision to empower </w:t>
      </w:r>
      <w:r>
        <w:rPr>
          <w:lang w:val="en-GB"/>
        </w:rPr>
        <w:fldChar w:fldCharType="begin"/>
      </w:r>
      <w:r>
        <w:rPr>
          <w:lang w:val="en-GB"/>
        </w:rPr>
        <w:instrText xml:space="preserve"> ADDIN EN.CITE &lt;EndNote&gt;&lt;Cite&gt;&lt;Author&gt;Ministry of Health&lt;/Author&gt;&lt;Year&gt;1994&lt;/Year&gt;&lt;RecNum&gt;280&lt;/RecNum&gt;&lt;DisplayText&gt;(Ministry of Health, 1994)&lt;/DisplayText&gt;&lt;record&gt;&lt;rec-number&gt;280&lt;/rec-number&gt;&lt;foreign-keys&gt;&lt;key app="EN" db-id="25rszwft292ev3esrpvpde0cpxrd9ex0xspp" timestamp="1590700132"&gt;280&lt;/key&gt;&lt;/foreign-keys&gt;&lt;ref-type name="Report"&gt;27&lt;/ref-type&gt;&lt;contributors&gt;&lt;authors&gt;&lt;author&gt;Ministry of Health,&lt;/author&gt;&lt;/authors&gt;&lt;/contributors&gt;&lt;titles&gt;&lt;title&gt;Looking forward: Strategic directions for the mental health services&lt;/title&gt;&lt;/titles&gt;&lt;dates&gt;&lt;year&gt;1994&lt;/year&gt;&lt;/dates&gt;&lt;pub-location&gt;Wellington&lt;/pub-location&gt;&lt;publisher&gt;Ministry of Health &lt;/publisher&gt;&lt;urls&gt;&lt;/urls&gt;&lt;/record&gt;&lt;/Cite&gt;&lt;/EndNote&gt;</w:instrText>
      </w:r>
      <w:r>
        <w:rPr>
          <w:lang w:val="en-GB"/>
        </w:rPr>
        <w:fldChar w:fldCharType="separate"/>
      </w:r>
      <w:r>
        <w:rPr>
          <w:noProof/>
          <w:lang w:val="en-GB"/>
        </w:rPr>
        <w:t>(Ministry of Health, 1994)</w:t>
      </w:r>
      <w:r>
        <w:rPr>
          <w:lang w:val="en-GB"/>
        </w:rPr>
        <w:fldChar w:fldCharType="end"/>
      </w:r>
      <w:r w:rsidRPr="00C54755">
        <w:rPr>
          <w:lang w:val="en-GB"/>
        </w:rPr>
        <w:t xml:space="preserve">, better respond to </w:t>
      </w:r>
      <w:r>
        <w:rPr>
          <w:lang w:val="en-GB"/>
        </w:rPr>
        <w:fldChar w:fldCharType="begin"/>
      </w:r>
      <w:r>
        <w:rPr>
          <w:lang w:val="en-GB"/>
        </w:rPr>
        <w:instrText xml:space="preserve"> ADDIN EN.CITE &lt;EndNote&gt;&lt;Cite&gt;&lt;Author&gt;Ministry of Health&lt;/Author&gt;&lt;Year&gt;1997&lt;/Year&gt;&lt;RecNum&gt;281&lt;/RecNum&gt;&lt;DisplayText&gt;(Ministry of Health, 1997)&lt;/DisplayText&gt;&lt;record&gt;&lt;rec-number&gt;281&lt;/rec-number&gt;&lt;foreign-keys&gt;&lt;key app="EN" db-id="25rszwft292ev3esrpvpde0cpxrd9ex0xspp" timestamp="1590700197"&gt;281&lt;/key&gt;&lt;/foreign-keys&gt;&lt;ref-type name="Report"&gt;27&lt;/ref-type&gt;&lt;contributors&gt;&lt;authors&gt;&lt;author&gt;Ministry of Health,&lt;/author&gt;&lt;/authors&gt;&lt;/contributors&gt;&lt;titles&gt;&lt;title&gt;Moving forward: the national mental health plan for more and better services&lt;/title&gt;&lt;/titles&gt;&lt;dates&gt;&lt;year&gt;1997&lt;/year&gt;&lt;/dates&gt;&lt;pub-location&gt;Wellington&lt;/pub-location&gt;&lt;publisher&gt;Ministry of Health &lt;/publisher&gt;&lt;urls&gt;&lt;/urls&gt;&lt;/record&gt;&lt;/Cite&gt;&lt;/EndNote&gt;</w:instrText>
      </w:r>
      <w:r>
        <w:rPr>
          <w:lang w:val="en-GB"/>
        </w:rPr>
        <w:fldChar w:fldCharType="separate"/>
      </w:r>
      <w:r>
        <w:rPr>
          <w:noProof/>
          <w:lang w:val="en-GB"/>
        </w:rPr>
        <w:t>(Ministry of Health, 1997)</w:t>
      </w:r>
      <w:r>
        <w:rPr>
          <w:lang w:val="en-GB"/>
        </w:rPr>
        <w:fldChar w:fldCharType="end"/>
      </w:r>
      <w:r w:rsidRPr="00C54755">
        <w:rPr>
          <w:lang w:val="en-GB"/>
        </w:rPr>
        <w:t xml:space="preserve">, address the needs of </w:t>
      </w:r>
      <w:r>
        <w:rPr>
          <w:lang w:val="en-GB"/>
        </w:rPr>
        <w:fldChar w:fldCharType="begin"/>
      </w:r>
      <w:r>
        <w:rPr>
          <w:lang w:val="en-GB"/>
        </w:rPr>
        <w:instrText xml:space="preserve"> ADDIN EN.CITE &lt;EndNote&gt;&lt;Cite&gt;&lt;Author&gt;Ministry of Health&lt;/Author&gt;&lt;Year&gt;2006&lt;/Year&gt;&lt;RecNum&gt;282&lt;/RecNum&gt;&lt;DisplayText&gt;(Ministry of Health, 2006)&lt;/DisplayText&gt;&lt;record&gt;&lt;rec-number&gt;282&lt;/rec-number&gt;&lt;foreign-keys&gt;&lt;key app="EN" db-id="25rszwft292ev3esrpvpde0cpxrd9ex0xspp" timestamp="1590700349"&gt;282&lt;/key&gt;&lt;/foreign-keys&gt;&lt;ref-type name="Report"&gt;27&lt;/ref-type&gt;&lt;contributors&gt;&lt;authors&gt;&lt;author&gt;Ministry of Health,&lt;/author&gt;&lt;/authors&gt;&lt;/contributors&gt;&lt;titles&gt;&lt;title&gt;Te Kōkiri: The Mental Health and Addiction Action Plan, 2006-2015&lt;/title&gt;&lt;/titles&gt;&lt;dates&gt;&lt;year&gt;2006&lt;/year&gt;&lt;/dates&gt;&lt;pub-location&gt;Wellington&lt;/pub-location&gt;&lt;publisher&gt;Ministry of Health&lt;/publisher&gt;&lt;isbn&gt;0478300301&lt;/isbn&gt;&lt;urls&gt;&lt;/urls&gt;&lt;/record&gt;&lt;/Cite&gt;&lt;/EndNote&gt;</w:instrText>
      </w:r>
      <w:r>
        <w:rPr>
          <w:lang w:val="en-GB"/>
        </w:rPr>
        <w:fldChar w:fldCharType="separate"/>
      </w:r>
      <w:r>
        <w:rPr>
          <w:noProof/>
          <w:lang w:val="en-GB"/>
        </w:rPr>
        <w:t>(Ministry of Health, 2006)</w:t>
      </w:r>
      <w:r>
        <w:rPr>
          <w:lang w:val="en-GB"/>
        </w:rPr>
        <w:fldChar w:fldCharType="end"/>
      </w:r>
      <w:r w:rsidRPr="00C54755">
        <w:rPr>
          <w:lang w:val="en-GB"/>
        </w:rPr>
        <w:t xml:space="preserve">, and increase support for </w:t>
      </w:r>
      <w:r>
        <w:rPr>
          <w:lang w:val="en-GB"/>
        </w:rPr>
        <w:fldChar w:fldCharType="begin"/>
      </w:r>
      <w:r>
        <w:rPr>
          <w:lang w:val="en-GB"/>
        </w:rPr>
        <w:instrText xml:space="preserve"> ADDIN EN.CITE &lt;EndNote&gt;&lt;Cite&gt;&lt;Author&gt;Ministry of Health&lt;/Author&gt;&lt;Year&gt;2012&lt;/Year&gt;&lt;RecNum&gt;283&lt;/RecNum&gt;&lt;DisplayText&gt;(Ministry of Health, 2012b)&lt;/DisplayText&gt;&lt;record&gt;&lt;rec-number&gt;283&lt;/rec-number&gt;&lt;foreign-keys&gt;&lt;key app="EN" db-id="25rszwft292ev3esrpvpde0cpxrd9ex0xspp" timestamp="1590700409"&gt;283&lt;/key&gt;&lt;/foreign-keys&gt;&lt;ref-type name="Report"&gt;27&lt;/ref-type&gt;&lt;contributors&gt;&lt;authors&gt;&lt;author&gt;Ministry of Health,&lt;/author&gt;&lt;/authors&gt;&lt;/contributors&gt;&lt;titles&gt;&lt;title&gt;Rising to the Challenge: The Mental Health and Addiction Service Development Plan 2012–2017&lt;/title&gt;&lt;/titles&gt;&lt;dates&gt;&lt;year&gt;2012&lt;/year&gt;&lt;/dates&gt;&lt;pub-location&gt;Wellington&lt;/pub-location&gt;&lt;publisher&gt;Ministry of Health &lt;/publisher&gt;&lt;urls&gt;&lt;/urls&gt;&lt;/record&gt;&lt;/Cite&gt;&lt;/EndNote&gt;</w:instrText>
      </w:r>
      <w:r>
        <w:rPr>
          <w:lang w:val="en-GB"/>
        </w:rPr>
        <w:fldChar w:fldCharType="separate"/>
      </w:r>
      <w:r>
        <w:rPr>
          <w:noProof/>
          <w:lang w:val="en-GB"/>
        </w:rPr>
        <w:t>(Ministry of Health, 2012b)</w:t>
      </w:r>
      <w:r>
        <w:rPr>
          <w:lang w:val="en-GB"/>
        </w:rPr>
        <w:fldChar w:fldCharType="end"/>
      </w:r>
      <w:r w:rsidRPr="00C54755">
        <w:rPr>
          <w:lang w:val="en-GB"/>
        </w:rPr>
        <w:t xml:space="preserve"> family/whānau</w:t>
      </w:r>
      <w:r w:rsidR="00EB1549">
        <w:rPr>
          <w:rStyle w:val="FootnoteReference"/>
          <w:lang w:val="en-GB"/>
        </w:rPr>
        <w:footnoteReference w:id="1"/>
      </w:r>
      <w:r w:rsidRPr="00C54755">
        <w:rPr>
          <w:lang w:val="en-GB"/>
        </w:rPr>
        <w:t xml:space="preserve">. </w:t>
      </w:r>
      <w:r w:rsidR="005F691B">
        <w:rPr>
          <w:lang w:val="en-GB"/>
        </w:rPr>
        <w:t>A</w:t>
      </w:r>
      <w:r>
        <w:rPr>
          <w:lang w:val="en-GB"/>
        </w:rPr>
        <w:t>ddictions service</w:t>
      </w:r>
      <w:r w:rsidR="005F691B">
        <w:rPr>
          <w:lang w:val="en-GB"/>
        </w:rPr>
        <w:t>s should</w:t>
      </w:r>
      <w:r w:rsidRPr="00C54755">
        <w:rPr>
          <w:lang w:val="en-GB"/>
        </w:rPr>
        <w:t xml:space="preserve"> ask about and seek to involve family and whānau </w:t>
      </w:r>
      <w:r>
        <w:rPr>
          <w:lang w:val="en-GB"/>
        </w:rPr>
        <w:t>‘</w:t>
      </w:r>
      <w:r w:rsidRPr="00C54755">
        <w:rPr>
          <w:lang w:val="en-GB"/>
        </w:rPr>
        <w:t>in ways that work</w:t>
      </w:r>
      <w:r>
        <w:rPr>
          <w:lang w:val="en-GB"/>
        </w:rPr>
        <w:t>’,</w:t>
      </w:r>
      <w:r w:rsidRPr="00C54755">
        <w:rPr>
          <w:lang w:val="en-GB"/>
        </w:rPr>
        <w:t xml:space="preserve"> and that partnership with families/</w:t>
      </w:r>
      <w:r w:rsidRPr="00C54755">
        <w:t xml:space="preserve">whānau </w:t>
      </w:r>
      <w:r>
        <w:t>‘</w:t>
      </w:r>
      <w:r w:rsidRPr="00C54755">
        <w:t>should be evident in service design</w:t>
      </w:r>
      <w:r>
        <w:t>’</w:t>
      </w:r>
      <w:r w:rsidRPr="00C54755">
        <w:t xml:space="preserve"> </w:t>
      </w:r>
      <w:r w:rsidRPr="00C54755">
        <w:fldChar w:fldCharType="begin"/>
      </w:r>
      <w:r w:rsidRPr="00C54755">
        <w:instrText xml:space="preserve"> ADDIN EN.CITE &lt;EndNote&gt;&lt;Cite&gt;&lt;Author&gt;Ministry of Health&lt;/Author&gt;&lt;Year&gt;2015&lt;/Year&gt;&lt;RecNum&gt;98&lt;/RecNum&gt;&lt;DisplayText&gt;(Ministry of Health, 2015)&lt;/DisplayText&gt;&lt;record&gt;&lt;rec-number&gt;98&lt;/rec-number&gt;&lt;foreign-keys&gt;&lt;key app="EN" db-id="25rszwft292ev3esrpvpde0cpxrd9ex0xspp" timestamp="1583186750"&gt;98&lt;/key&gt;&lt;/foreign-keys&gt;&lt;ref-type name="Report"&gt;27&lt;/ref-type&gt;&lt;contributors&gt;&lt;authors&gt;&lt;author&gt;Ministry of Health,&lt;/author&gt;&lt;/authors&gt;&lt;/contributors&gt;&lt;titles&gt;&lt;title&gt;Supporting Parents Healthy CHildren&lt;/title&gt;&lt;/titles&gt;&lt;dates&gt;&lt;year&gt;2015&lt;/year&gt;&lt;/dates&gt;&lt;pub-location&gt;Wellington&lt;/pub-location&gt;&lt;publisher&gt;Ministry of Health&lt;/publisher&gt;&lt;urls&gt;&lt;/urls&gt;&lt;/record&gt;&lt;/Cite&gt;&lt;/EndNote&gt;</w:instrText>
      </w:r>
      <w:r w:rsidRPr="00C54755">
        <w:fldChar w:fldCharType="separate"/>
      </w:r>
      <w:r w:rsidRPr="00C54755">
        <w:t>(Ministry of Health, 2015)</w:t>
      </w:r>
      <w:r w:rsidRPr="00C54755">
        <w:fldChar w:fldCharType="end"/>
      </w:r>
      <w:r w:rsidRPr="00C54755">
        <w:t>.</w:t>
      </w:r>
      <w:r>
        <w:t xml:space="preserve"> </w:t>
      </w:r>
      <w:r w:rsidRPr="00C54755">
        <w:t xml:space="preserve">Since 2009, a Whānau Ora approach has evolved </w:t>
      </w:r>
      <w:r>
        <w:t xml:space="preserve">in New Zealand </w:t>
      </w:r>
      <w:r w:rsidRPr="00C54755">
        <w:t xml:space="preserve">to actively promote, support and fund </w:t>
      </w:r>
      <w:r w:rsidRPr="00C54755">
        <w:rPr>
          <w:lang w:val="en-GB"/>
        </w:rPr>
        <w:t xml:space="preserve">whānau-centred and holistic support and services for health and well-being </w:t>
      </w:r>
      <w:r w:rsidRPr="00C54755">
        <w:rPr>
          <w:lang w:val="en-GB"/>
        </w:rPr>
        <w:fldChar w:fldCharType="begin"/>
      </w:r>
      <w:r w:rsidRPr="00C54755">
        <w:rPr>
          <w:lang w:val="en-GB"/>
        </w:rPr>
        <w:instrText xml:space="preserve"> ADDIN EN.CITE &lt;EndNote&gt;&lt;Cite&gt;&lt;Author&gt;Independent Whānau Ora Review Panel&lt;/Author&gt;&lt;Year&gt;2018&lt;/Year&gt;&lt;RecNum&gt;97&lt;/RecNum&gt;&lt;DisplayText&gt;(Independent Whānau Ora Review Panel, 2018)&lt;/DisplayText&gt;&lt;record&gt;&lt;rec-number&gt;97&lt;/rec-number&gt;&lt;foreign-keys&gt;&lt;key app="EN" db-id="25rszwft292ev3esrpvpde0cpxrd9ex0xspp" timestamp="1583185654"&gt;97&lt;/key&gt;&lt;/foreign-keys&gt;&lt;ref-type name="Report"&gt;27&lt;/ref-type&gt;&lt;contributors&gt;&lt;authors&gt;&lt;author&gt;&lt;style face="normal" font="default" size="100%"&gt;Independent Wh&lt;/style&gt;&lt;style face="normal" font="default" charset="238" size="100%"&gt;ānau Ora &lt;/style&gt;&lt;style face="normal" font="default" size="100%"&gt;Review Panel,&lt;/style&gt;&lt;/author&gt;&lt;/authors&gt;&lt;/contributors&gt;&lt;titles&gt;&lt;title&gt;&lt;style face="normal" font="default" size="100%"&gt;Wh&lt;/style&gt;&lt;style face="normal" font="default" charset="238" size="100%"&gt;ānau Ora &lt;/style&gt;&lt;style face="normal" font="default" size="100%"&gt;Review: Tipu Matoro ki to Ao&lt;/style&gt;&lt;/title&gt;&lt;/titles&gt;&lt;dates&gt;&lt;year&gt;2018&lt;/year&gt;&lt;/dates&gt;&lt;pub-location&gt;Wellington&lt;/pub-location&gt;&lt;publisher&gt;&lt;style face="normal" font="default" size="100%"&gt;Independent Wh&lt;/style&gt;&lt;style face="normal" font="default" charset="238" size="100%"&gt;ānau Ora &lt;/style&gt;&lt;style face="normal" font="default" size="100%"&gt;Review Panel&lt;/style&gt;&lt;/publisher&gt;&lt;urls&gt;&lt;/urls&gt;&lt;/record&gt;&lt;/Cite&gt;&lt;/EndNote&gt;</w:instrText>
      </w:r>
      <w:r w:rsidRPr="00C54755">
        <w:rPr>
          <w:lang w:val="en-GB"/>
        </w:rPr>
        <w:fldChar w:fldCharType="separate"/>
      </w:r>
      <w:r w:rsidRPr="00C54755">
        <w:rPr>
          <w:lang w:val="en-GB"/>
        </w:rPr>
        <w:t>(Independent Whānau Ora Review Panel, 2018)</w:t>
      </w:r>
      <w:r w:rsidRPr="00C54755">
        <w:fldChar w:fldCharType="end"/>
      </w:r>
      <w:r w:rsidRPr="00C54755">
        <w:rPr>
          <w:lang w:val="en-GB"/>
        </w:rPr>
        <w:t>.</w:t>
      </w:r>
      <w:r>
        <w:rPr>
          <w:lang w:val="en-GB"/>
        </w:rPr>
        <w:t xml:space="preserve"> </w:t>
      </w:r>
    </w:p>
    <w:p w14:paraId="033C1911" w14:textId="77777777" w:rsidR="00600FF4" w:rsidRDefault="00600FF4" w:rsidP="00600FF4">
      <w:pPr>
        <w:jc w:val="both"/>
      </w:pPr>
    </w:p>
    <w:p w14:paraId="339A601E" w14:textId="73487294" w:rsidR="00600FF4" w:rsidRDefault="0017796C" w:rsidP="00600FF4">
      <w:pPr>
        <w:jc w:val="both"/>
      </w:pPr>
      <w:r>
        <w:rPr>
          <w:lang w:val="en-GB"/>
        </w:rPr>
        <w:t>Despite these policy initiatives, t</w:t>
      </w:r>
      <w:r w:rsidR="00500E0C" w:rsidRPr="007E18E0">
        <w:t xml:space="preserve">he most recent </w:t>
      </w:r>
      <w:r w:rsidR="00500E0C">
        <w:t xml:space="preserve">New Zealand </w:t>
      </w:r>
      <w:r w:rsidR="00500E0C" w:rsidRPr="007E18E0">
        <w:t xml:space="preserve">government inquiry into mental health and addiction services (He Ara Oranga) heard that families and </w:t>
      </w:r>
      <w:r w:rsidR="00500E0C" w:rsidRPr="007E18E0">
        <w:rPr>
          <w:lang w:val="en-GB"/>
        </w:rPr>
        <w:t>whānau</w:t>
      </w:r>
      <w:r w:rsidR="00500E0C" w:rsidRPr="007E18E0">
        <w:t xml:space="preserve"> continue to feel disconnected, excluded and underserved by services </w:t>
      </w:r>
      <w:r w:rsidR="00500E0C" w:rsidRPr="007E18E0">
        <w:fldChar w:fldCharType="begin"/>
      </w:r>
      <w:r w:rsidR="00500E0C">
        <w:instrText xml:space="preserve"> ADDIN EN.CITE &lt;EndNote&gt;&lt;Cite&gt;&lt;Author&gt;Patterson&lt;/Author&gt;&lt;Year&gt;2018&lt;/Year&gt;&lt;RecNum&gt;240&lt;/RecNum&gt;&lt;DisplayText&gt;(Patterson, Durie, Disley, Tiatia-Seath, &amp;amp; Tualamali&amp;apos;i, 2018)&lt;/DisplayText&gt;&lt;record&gt;&lt;rec-number&gt;240&lt;/rec-number&gt;&lt;foreign-keys&gt;&lt;key app="EN" db-id="25rszwft292ev3esrpvpde0cpxrd9ex0xspp" timestamp="1589319428"&gt;240&lt;/key&gt;&lt;/foreign-keys&gt;&lt;ref-type name="Journal Article"&gt;17&lt;/ref-type&gt;&lt;contributors&gt;&lt;authors&gt;&lt;author&gt;Patterson, R&lt;/author&gt;&lt;author&gt;Durie, M&lt;/author&gt;&lt;author&gt;Disley, B&lt;/author&gt;&lt;author&gt;Tiatia-Seath, Sipaea&lt;/author&gt;&lt;author&gt;Tualamali&amp;apos;i, J&lt;/author&gt;&lt;/authors&gt;&lt;/contributors&gt;&lt;titles&gt;&lt;title&gt;He Ara Oranga: Report of the government inquiry into mental health and addiction&lt;/title&gt;&lt;/titles&gt;&lt;dates&gt;&lt;year&gt;2018&lt;/year&gt;&lt;/dates&gt;&lt;isbn&gt;0994124538&lt;/isbn&gt;&lt;urls&gt;&lt;/urls&gt;&lt;/record&gt;&lt;/Cite&gt;&lt;/EndNote&gt;</w:instrText>
      </w:r>
      <w:r w:rsidR="00500E0C" w:rsidRPr="007E18E0">
        <w:fldChar w:fldCharType="separate"/>
      </w:r>
      <w:r w:rsidR="00500E0C">
        <w:rPr>
          <w:noProof/>
        </w:rPr>
        <w:t>(Patterson, Durie, Disley, Tiatia-Seath, &amp; Tualamali'i, 2018)</w:t>
      </w:r>
      <w:r w:rsidR="00500E0C" w:rsidRPr="007E18E0">
        <w:fldChar w:fldCharType="end"/>
      </w:r>
      <w:r w:rsidR="00500E0C" w:rsidRPr="007E18E0">
        <w:t>.</w:t>
      </w:r>
      <w:r w:rsidR="00500E0C">
        <w:t xml:space="preserve"> </w:t>
      </w:r>
      <w:r w:rsidR="005F691B" w:rsidRPr="005F691B">
        <w:t xml:space="preserve">There is limited research exploring the role of FAOs in the treatment of problem gamblers </w:t>
      </w:r>
      <w:r w:rsidR="005F691B" w:rsidRPr="005F691B">
        <w:fldChar w:fldCharType="begin"/>
      </w:r>
      <w:r w:rsidR="005F691B" w:rsidRPr="005F691B">
        <w:instrText xml:space="preserve"> ADDIN EN.CITE &lt;EndNote&gt;&lt;Cite&gt;&lt;Author&gt;Kourgiantakis&lt;/Author&gt;&lt;Year&gt;2018&lt;/Year&gt;&lt;RecNum&gt;37&lt;/RecNum&gt;&lt;DisplayText&gt;(Kourgiantakis, Saint-Jacques, &amp;amp; Tremblay, 2018)&lt;/DisplayText&gt;&lt;record&gt;&lt;rec-number&gt;37&lt;/rec-number&gt;&lt;foreign-keys&gt;&lt;key app="EN" db-id="25rszwft292ev3esrpvpde0cpxrd9ex0xspp" timestamp="1550176913"&gt;37&lt;/key&gt;&lt;/foreign-keys&gt;&lt;ref-type name="Journal Article"&gt;17&lt;/ref-type&gt;&lt;contributors&gt;&lt;authors&gt;&lt;author&gt;Kourgiantakis, Toula&lt;/author&gt;&lt;author&gt;Saint-Jacques, Marie-Christine&lt;/author&gt;&lt;author&gt;Tremblay, Joël&lt;/author&gt;&lt;/authors&gt;&lt;/contributors&gt;&lt;titles&gt;&lt;title&gt;Facilitators and barriers to family involvement in problem gambling treatment&lt;/title&gt;&lt;secondary-title&gt;International Journal of Mental Health and Addiction&lt;/secondary-title&gt;&lt;/titles&gt;&lt;periodical&gt;&lt;full-title&gt;International Journal of Mental Health and Addiction&lt;/full-title&gt;&lt;/periodical&gt;&lt;pages&gt;291-312&lt;/pages&gt;&lt;volume&gt;16&lt;/volume&gt;&lt;number&gt;2&lt;/number&gt;&lt;dates&gt;&lt;year&gt;2018&lt;/year&gt;&lt;/dates&gt;&lt;isbn&gt;1557-1874&lt;/isbn&gt;&lt;urls&gt;&lt;/urls&gt;&lt;/record&gt;&lt;/Cite&gt;&lt;/EndNote&gt;</w:instrText>
      </w:r>
      <w:r w:rsidR="005F691B" w:rsidRPr="005F691B">
        <w:fldChar w:fldCharType="separate"/>
      </w:r>
      <w:r w:rsidR="005F691B" w:rsidRPr="005F691B">
        <w:t>(Kourgiantakis, Saint-Jacques, &amp; Tremblay, 2018)</w:t>
      </w:r>
      <w:r w:rsidR="005F691B" w:rsidRPr="005F691B">
        <w:fldChar w:fldCharType="end"/>
      </w:r>
      <w:r w:rsidR="005F691B" w:rsidRPr="005F691B">
        <w:t xml:space="preserve">, and even fewer studies have focussed on </w:t>
      </w:r>
      <w:r w:rsidR="00E762FC">
        <w:t>the</w:t>
      </w:r>
      <w:r w:rsidR="005F691B" w:rsidRPr="005F691B">
        <w:t xml:space="preserve"> needs </w:t>
      </w:r>
      <w:r w:rsidR="00E762FC">
        <w:t xml:space="preserve">of FAOs </w:t>
      </w:r>
      <w:r w:rsidR="005F691B" w:rsidRPr="005F691B">
        <w:t xml:space="preserve">or developed, documented and explored the efficacy of support designed especially for them </w:t>
      </w:r>
      <w:r w:rsidR="005F691B" w:rsidRPr="005F691B">
        <w:fldChar w:fldCharType="begin"/>
      </w:r>
      <w:r w:rsidR="005F691B" w:rsidRPr="005F691B">
        <w:instrText xml:space="preserve"> ADDIN EN.CITE &lt;EndNote&gt;&lt;Cite&gt;&lt;Author&gt;Rodda&lt;/Author&gt;&lt;Year&gt;2019&lt;/Year&gt;&lt;RecNum&gt;269&lt;/RecNum&gt;&lt;DisplayText&gt;(Rodda, Dowling, Thomas, Bagot, &amp;amp; Lubman, 2019)&lt;/DisplayText&gt;&lt;record&gt;&lt;rec-number&gt;269&lt;/rec-number&gt;&lt;foreign-keys&gt;&lt;key app="EN" db-id="25rszwft292ev3esrpvpde0cpxrd9ex0xspp" timestamp="1590456656"&gt;269&lt;/key&gt;&lt;/foreign-keys&gt;&lt;ref-type name="Journal Article"&gt;17&lt;/ref-type&gt;&lt;contributors&gt;&lt;authors&gt;&lt;author&gt;Rodda, Simone&lt;/author&gt;&lt;author&gt;Dowling, Nicki A&lt;/author&gt;&lt;author&gt;Thomas, Anna C&lt;/author&gt;&lt;author&gt;Bagot, Kathleen L&lt;/author&gt;&lt;author&gt;Lubman, Dan I&lt;/author&gt;&lt;/authors&gt;&lt;/contributors&gt;&lt;titles&gt;&lt;title&gt;Treatment for Family Members of People Experiencing Gambling Problems: Family Members Want Both Gambler-Focused and Family-Focused Options&lt;/title&gt;&lt;secondary-title&gt;International Journal of Mental Health and Addiction&lt;/secondary-title&gt;&lt;/titles&gt;&lt;periodical&gt;&lt;full-title&gt;International Journal of Mental Health and Addiction&lt;/full-title&gt;&lt;/periodical&gt;&lt;pages&gt;1-17&lt;/pages&gt;&lt;dates&gt;&lt;year&gt;2019&lt;/year&gt;&lt;/dates&gt;&lt;isbn&gt;1557-1874&lt;/isbn&gt;&lt;urls&gt;&lt;/urls&gt;&lt;/record&gt;&lt;/Cite&gt;&lt;/EndNote&gt;</w:instrText>
      </w:r>
      <w:r w:rsidR="005F691B" w:rsidRPr="005F691B">
        <w:fldChar w:fldCharType="separate"/>
      </w:r>
      <w:r w:rsidR="005F691B" w:rsidRPr="005F691B">
        <w:t>(Rodda, Dowling, Thomas, Bagot, &amp; Lubman, 2019)</w:t>
      </w:r>
      <w:r w:rsidR="005F691B" w:rsidRPr="005F691B">
        <w:fldChar w:fldCharType="end"/>
      </w:r>
      <w:r w:rsidR="005F691B" w:rsidRPr="005F691B">
        <w:t xml:space="preserve">. </w:t>
      </w:r>
      <w:r w:rsidR="005F691B">
        <w:t>T</w:t>
      </w:r>
      <w:r w:rsidR="005F691B" w:rsidRPr="0083454F">
        <w:t xml:space="preserve">here has been no </w:t>
      </w:r>
      <w:r w:rsidR="005F691B">
        <w:t xml:space="preserve">published </w:t>
      </w:r>
      <w:r w:rsidR="005F691B" w:rsidRPr="0083454F">
        <w:t xml:space="preserve">research designed to support or inform </w:t>
      </w:r>
      <w:r w:rsidR="00E762FC">
        <w:t xml:space="preserve">gambling harm reduction </w:t>
      </w:r>
      <w:r w:rsidR="005F691B" w:rsidRPr="0083454F">
        <w:t xml:space="preserve">services in their provision of </w:t>
      </w:r>
      <w:r w:rsidR="00E762FC">
        <w:t>support</w:t>
      </w:r>
      <w:r w:rsidR="005F691B" w:rsidRPr="0083454F">
        <w:t xml:space="preserve"> for FAOs</w:t>
      </w:r>
      <w:r w:rsidR="005F691B">
        <w:t xml:space="preserve"> in New Zealand</w:t>
      </w:r>
      <w:r w:rsidR="005F691B" w:rsidRPr="0083454F">
        <w:t>.</w:t>
      </w:r>
      <w:r w:rsidR="005F691B">
        <w:t xml:space="preserve"> </w:t>
      </w:r>
      <w:r w:rsidR="00600FF4">
        <w:t xml:space="preserve">In 2019 the Ministry of Health commissioned the Gambling and Addictions Research Centre (GARC) to conduct an exploratory mixed methods study of </w:t>
      </w:r>
      <w:r w:rsidR="00600FF4" w:rsidRPr="005C46A2">
        <w:t>how support provided for family members and affected others (FAOs) in New Zealand gambling services could be enhanced.</w:t>
      </w:r>
    </w:p>
    <w:p w14:paraId="3D609CFD" w14:textId="3E736E40" w:rsidR="004069B8" w:rsidRDefault="004069B8" w:rsidP="00600FF4">
      <w:pPr>
        <w:jc w:val="both"/>
      </w:pPr>
    </w:p>
    <w:p w14:paraId="6D596D02" w14:textId="15D81ADE" w:rsidR="004069B8" w:rsidRPr="004069B8" w:rsidRDefault="004069B8" w:rsidP="004069B8">
      <w:pPr>
        <w:rPr>
          <w:b/>
          <w:bCs/>
        </w:rPr>
      </w:pPr>
      <w:r w:rsidRPr="004069B8">
        <w:rPr>
          <w:b/>
          <w:bCs/>
        </w:rPr>
        <w:t>Aims</w:t>
      </w:r>
    </w:p>
    <w:p w14:paraId="1E8B7FDB" w14:textId="1BF66948" w:rsidR="004069B8" w:rsidRDefault="004069B8" w:rsidP="00600FF4">
      <w:pPr>
        <w:jc w:val="both"/>
      </w:pPr>
      <w:r>
        <w:t xml:space="preserve">The aims of this study were to explore </w:t>
      </w:r>
      <w:r w:rsidR="00631B8F">
        <w:t xml:space="preserve">existing knowledge of </w:t>
      </w:r>
      <w:r>
        <w:t xml:space="preserve">quality and effective support for FAOs harmed by gambling; and suggest opportunities for enhancing the support that is provided for FAOs in New Zealand gambling services. </w:t>
      </w:r>
    </w:p>
    <w:p w14:paraId="2AEF9539" w14:textId="3083A303" w:rsidR="00BB12EF" w:rsidRPr="005C46A2" w:rsidRDefault="00BB12EF" w:rsidP="00BB12EF">
      <w:pPr>
        <w:jc w:val="both"/>
      </w:pPr>
    </w:p>
    <w:p w14:paraId="3648A7BF" w14:textId="7D312B25" w:rsidR="00DA6F4F" w:rsidRDefault="00DA6F4F" w:rsidP="007105B8">
      <w:pPr>
        <w:rPr>
          <w:b/>
          <w:bCs/>
        </w:rPr>
      </w:pPr>
      <w:r w:rsidRPr="00694FF0">
        <w:rPr>
          <w:b/>
          <w:bCs/>
        </w:rPr>
        <w:t>Approach</w:t>
      </w:r>
      <w:r w:rsidR="00D81D86" w:rsidRPr="00694FF0">
        <w:rPr>
          <w:b/>
          <w:bCs/>
        </w:rPr>
        <w:t xml:space="preserve"> </w:t>
      </w:r>
    </w:p>
    <w:p w14:paraId="6FE8E700" w14:textId="2A8A48B4" w:rsidR="00076405" w:rsidRDefault="005F691B" w:rsidP="00076405">
      <w:pPr>
        <w:jc w:val="both"/>
      </w:pPr>
      <w:r>
        <w:t>Given that p</w:t>
      </w:r>
      <w:r w:rsidR="00500E0C" w:rsidRPr="000C4FC5">
        <w:t xml:space="preserve">ublished evidence for </w:t>
      </w:r>
      <w:r w:rsidR="00E762FC">
        <w:t xml:space="preserve">quality and </w:t>
      </w:r>
      <w:r w:rsidR="00500E0C" w:rsidRPr="000C4FC5">
        <w:t>effective</w:t>
      </w:r>
      <w:r w:rsidR="00500E0C">
        <w:t xml:space="preserve"> </w:t>
      </w:r>
      <w:r w:rsidR="00500E0C" w:rsidRPr="000C4FC5">
        <w:t xml:space="preserve">service design and delivery </w:t>
      </w:r>
      <w:r w:rsidR="00500E0C">
        <w:t xml:space="preserve">for </w:t>
      </w:r>
      <w:r w:rsidR="00500E0C" w:rsidRPr="000C4FC5">
        <w:t>FAO</w:t>
      </w:r>
      <w:r w:rsidR="00500E0C">
        <w:t>s</w:t>
      </w:r>
      <w:r w:rsidR="00500E0C" w:rsidRPr="000C4FC5">
        <w:t xml:space="preserve"> </w:t>
      </w:r>
      <w:r w:rsidR="00E762FC">
        <w:t xml:space="preserve">harmed by gambling </w:t>
      </w:r>
      <w:r w:rsidR="00500E0C" w:rsidRPr="000C4FC5">
        <w:t>is extremely limited</w:t>
      </w:r>
      <w:r>
        <w:t>, a</w:t>
      </w:r>
      <w:r w:rsidR="00500E0C">
        <w:t>n exploratory approach, involving engagement with existing knowledge in the gambling and broader addictions fields was selected</w:t>
      </w:r>
      <w:r w:rsidR="00E762FC">
        <w:t xml:space="preserve"> </w:t>
      </w:r>
      <w:r w:rsidR="00E762FC">
        <w:fldChar w:fldCharType="begin"/>
      </w:r>
      <w:r w:rsidR="00E762FC">
        <w:instrText xml:space="preserve"> ADDIN EN.CITE &lt;EndNote&gt;&lt;Cite&gt;&lt;Author&gt;Livingstone&lt;/Author&gt;&lt;Year&gt;2019&lt;/Year&gt;&lt;RecNum&gt;96&lt;/RecNum&gt;&lt;DisplayText&gt;(Livingstone et al., 2019)&lt;/DisplayText&gt;&lt;record&gt;&lt;rec-number&gt;96&lt;/rec-number&gt;&lt;foreign-keys&gt;&lt;key app="EN" db-id="25rszwft292ev3esrpvpde0cpxrd9ex0xspp" timestamp="1582494015"&gt;96&lt;/key&gt;&lt;/foreign-keys&gt;&lt;ref-type name="Report"&gt;27&lt;/ref-type&gt;&lt;contributors&gt;&lt;authors&gt;&lt;author&gt;Livingstone, C&lt;/author&gt;&lt;author&gt;Rintoul, A&lt;/author&gt;&lt;author&gt;de Lacy-Vawdon, C&lt;/author&gt;&lt;author&gt;Borland, R&lt;/author&gt;&lt;author&gt;Dietze, P&lt;/author&gt;&lt;author&gt;Jenkinson, R&lt;/author&gt;&lt;author&gt;Livingston, M&lt;/author&gt;&lt;author&gt;Room, R&lt;/author&gt;&lt;author&gt;Smith, B&lt;/author&gt;&lt;author&gt;Stoove, M&lt;/author&gt;&lt;/authors&gt;&lt;/contributors&gt;&lt;titles&gt;&lt;title&gt;Identifying effective policy interventions to prevent gambling-related harm&lt;/title&gt;&lt;/titles&gt;&lt;dates&gt;&lt;year&gt;2019&lt;/year&gt;&lt;/dates&gt;&lt;pub-location&gt;Melbourne&lt;/pub-location&gt;&lt;publisher&gt;Victorian Responsible Gambling Foundation&lt;/publisher&gt;&lt;urls&gt;&lt;/urls&gt;&lt;/record&gt;&lt;/Cite&gt;&lt;/EndNote&gt;</w:instrText>
      </w:r>
      <w:r w:rsidR="00E762FC">
        <w:fldChar w:fldCharType="separate"/>
      </w:r>
      <w:r w:rsidR="00E762FC">
        <w:rPr>
          <w:noProof/>
        </w:rPr>
        <w:t>(Livingstone et al., 2019)</w:t>
      </w:r>
      <w:r w:rsidR="00E762FC">
        <w:fldChar w:fldCharType="end"/>
      </w:r>
      <w:r w:rsidR="00500E0C">
        <w:t xml:space="preserve">. </w:t>
      </w:r>
      <w:r w:rsidR="00500E0C" w:rsidRPr="005C46A2">
        <w:t xml:space="preserve">The overarching research question </w:t>
      </w:r>
      <w:r w:rsidR="00500E0C">
        <w:t>was</w:t>
      </w:r>
      <w:r w:rsidR="00500E0C" w:rsidRPr="005C46A2">
        <w:t xml:space="preserve">: How could support provided for family members and affected others (FAOs) in New Zealand gambling services be enhanced? </w:t>
      </w:r>
      <w:r w:rsidR="00076405">
        <w:t>The research design comprised the following four components:</w:t>
      </w:r>
    </w:p>
    <w:p w14:paraId="54F2DEEA" w14:textId="77777777" w:rsidR="00076405" w:rsidRDefault="00076405" w:rsidP="00076405">
      <w:pPr>
        <w:spacing w:line="259" w:lineRule="auto"/>
        <w:jc w:val="both"/>
      </w:pPr>
    </w:p>
    <w:p w14:paraId="045E90DA" w14:textId="77777777" w:rsidR="00076405" w:rsidRDefault="00076405" w:rsidP="00076405">
      <w:pPr>
        <w:spacing w:line="259" w:lineRule="auto"/>
        <w:jc w:val="both"/>
      </w:pPr>
      <w:r>
        <w:t>Part one: Exploration of quality and effective FAO support practices</w:t>
      </w:r>
    </w:p>
    <w:p w14:paraId="3AE7A681" w14:textId="77777777" w:rsidR="00076405" w:rsidRDefault="00076405" w:rsidP="00076405">
      <w:pPr>
        <w:pStyle w:val="ListParagraph"/>
        <w:numPr>
          <w:ilvl w:val="0"/>
          <w:numId w:val="31"/>
        </w:numPr>
        <w:jc w:val="both"/>
      </w:pPr>
      <w:r>
        <w:t>A</w:t>
      </w:r>
      <w:r w:rsidRPr="005C46A2">
        <w:t xml:space="preserve"> conceptual review of FAO addictions </w:t>
      </w:r>
      <w:r>
        <w:t>support and intervention</w:t>
      </w:r>
      <w:r w:rsidRPr="005C46A2">
        <w:t xml:space="preserve"> literature, </w:t>
      </w:r>
    </w:p>
    <w:p w14:paraId="63EB7C40" w14:textId="08D167F7" w:rsidR="00076405" w:rsidRDefault="00076405" w:rsidP="00076405">
      <w:pPr>
        <w:pStyle w:val="ListParagraph"/>
        <w:numPr>
          <w:ilvl w:val="0"/>
          <w:numId w:val="31"/>
        </w:numPr>
        <w:jc w:val="both"/>
      </w:pPr>
      <w:r>
        <w:t xml:space="preserve">A </w:t>
      </w:r>
      <w:r w:rsidRPr="005C46A2">
        <w:t xml:space="preserve">structured </w:t>
      </w:r>
      <w:r>
        <w:t>engagement with</w:t>
      </w:r>
      <w:r w:rsidRPr="005C46A2">
        <w:t xml:space="preserve"> expert opinion </w:t>
      </w:r>
      <w:r w:rsidR="00184F8A">
        <w:t xml:space="preserve">(n=40) </w:t>
      </w:r>
      <w:r w:rsidRPr="005C46A2">
        <w:t>on enhancing gambling harm reduction services for FAOs</w:t>
      </w:r>
      <w:r>
        <w:t xml:space="preserve">. </w:t>
      </w:r>
      <w:r w:rsidR="001F0CCC">
        <w:t xml:space="preserve">Experts included </w:t>
      </w:r>
      <w:r w:rsidR="001F0CCC" w:rsidRPr="001F0CCC">
        <w:t>service manage</w:t>
      </w:r>
      <w:r w:rsidR="001F0CCC">
        <w:t>rs</w:t>
      </w:r>
      <w:r w:rsidR="001F0CCC" w:rsidRPr="001F0CCC">
        <w:t>, research</w:t>
      </w:r>
      <w:r w:rsidR="001F0CCC">
        <w:t>er</w:t>
      </w:r>
      <w:r w:rsidR="001F0CCC" w:rsidRPr="001F0CCC">
        <w:t>, policy</w:t>
      </w:r>
      <w:r w:rsidR="001F0CCC">
        <w:t>makers</w:t>
      </w:r>
      <w:r w:rsidR="001F0CCC" w:rsidRPr="001F0CCC">
        <w:t xml:space="preserve">, </w:t>
      </w:r>
      <w:r w:rsidR="001F0CCC">
        <w:t xml:space="preserve">people with </w:t>
      </w:r>
      <w:r w:rsidR="001F0CCC" w:rsidRPr="001F0CCC">
        <w:t xml:space="preserve">lived experience </w:t>
      </w:r>
      <w:r w:rsidR="001F0CCC">
        <w:t>as FAOs and/or people who gamble</w:t>
      </w:r>
      <w:r w:rsidR="001F0CCC" w:rsidRPr="001F0CCC">
        <w:t>, clinician</w:t>
      </w:r>
      <w:r w:rsidR="001F0CCC">
        <w:t>s and</w:t>
      </w:r>
      <w:r w:rsidR="001F0CCC" w:rsidRPr="001F0CCC">
        <w:t xml:space="preserve"> workforce development</w:t>
      </w:r>
      <w:r w:rsidR="001F0CCC">
        <w:t xml:space="preserve"> professionals. </w:t>
      </w:r>
      <w:r>
        <w:t>This structured engagement was informed by the conceptual literature review.</w:t>
      </w:r>
    </w:p>
    <w:p w14:paraId="5C0A97D6" w14:textId="77777777" w:rsidR="00076405" w:rsidRDefault="00076405" w:rsidP="00076405">
      <w:pPr>
        <w:jc w:val="both"/>
      </w:pPr>
      <w:r>
        <w:t>Part two: Exploration of current FAO support practices</w:t>
      </w:r>
    </w:p>
    <w:p w14:paraId="1D6FDEDC" w14:textId="77777777" w:rsidR="00076405" w:rsidRDefault="00076405" w:rsidP="00076405">
      <w:pPr>
        <w:pStyle w:val="ListParagraph"/>
        <w:numPr>
          <w:ilvl w:val="0"/>
          <w:numId w:val="31"/>
        </w:numPr>
        <w:jc w:val="both"/>
      </w:pPr>
      <w:r>
        <w:t>A</w:t>
      </w:r>
      <w:r w:rsidRPr="005C46A2">
        <w:t xml:space="preserve"> national and international scan </w:t>
      </w:r>
      <w:r>
        <w:t xml:space="preserve">and analysis </w:t>
      </w:r>
      <w:r w:rsidRPr="005C46A2">
        <w:t xml:space="preserve">of the types of </w:t>
      </w:r>
      <w:r>
        <w:t xml:space="preserve">gambling </w:t>
      </w:r>
      <w:r w:rsidRPr="005C46A2">
        <w:t>services advertised and/or provided for FAOs</w:t>
      </w:r>
    </w:p>
    <w:p w14:paraId="67C569E6" w14:textId="77777777" w:rsidR="00076405" w:rsidRDefault="00076405" w:rsidP="00076405">
      <w:pPr>
        <w:pStyle w:val="ListParagraph"/>
        <w:numPr>
          <w:ilvl w:val="0"/>
          <w:numId w:val="31"/>
        </w:numPr>
        <w:jc w:val="both"/>
      </w:pPr>
      <w:r>
        <w:t>Descriptive analysis of New Zealand gambling service use data.</w:t>
      </w:r>
    </w:p>
    <w:p w14:paraId="1B7C7D71" w14:textId="77777777" w:rsidR="00076405" w:rsidRDefault="00076405" w:rsidP="00076405">
      <w:pPr>
        <w:jc w:val="both"/>
      </w:pPr>
    </w:p>
    <w:p w14:paraId="11E50636" w14:textId="08074D65" w:rsidR="00076405" w:rsidRPr="005C46A2" w:rsidRDefault="00076405" w:rsidP="00076405">
      <w:pPr>
        <w:jc w:val="both"/>
      </w:pPr>
      <w:r w:rsidRPr="005C46A2">
        <w:t xml:space="preserve">The overarching output of the project </w:t>
      </w:r>
      <w:r>
        <w:t>was</w:t>
      </w:r>
      <w:r w:rsidRPr="005C46A2">
        <w:t xml:space="preserve"> the identification </w:t>
      </w:r>
      <w:r w:rsidR="005F691B">
        <w:t xml:space="preserve">and discussion </w:t>
      </w:r>
      <w:r w:rsidRPr="005C46A2">
        <w:t>of opportunities to enhance support for FAOs in New Zealand gambling services.</w:t>
      </w:r>
    </w:p>
    <w:p w14:paraId="4FDD17DA" w14:textId="77777777" w:rsidR="00076405" w:rsidRDefault="00076405" w:rsidP="007105B8">
      <w:pPr>
        <w:rPr>
          <w:b/>
          <w:bCs/>
        </w:rPr>
      </w:pPr>
    </w:p>
    <w:p w14:paraId="0B7932F9" w14:textId="7BA409E5" w:rsidR="00DA6F4F" w:rsidRPr="007105B8" w:rsidRDefault="00136B47" w:rsidP="007105B8">
      <w:pPr>
        <w:rPr>
          <w:b/>
          <w:bCs/>
        </w:rPr>
      </w:pPr>
      <w:r>
        <w:rPr>
          <w:b/>
          <w:bCs/>
        </w:rPr>
        <w:t>Key r</w:t>
      </w:r>
      <w:r w:rsidR="00DA6F4F" w:rsidRPr="007105B8">
        <w:rPr>
          <w:b/>
          <w:bCs/>
        </w:rPr>
        <w:t>esults</w:t>
      </w:r>
    </w:p>
    <w:p w14:paraId="46FD95E6" w14:textId="77777777" w:rsidR="006F1F5B" w:rsidRDefault="006F1F5B" w:rsidP="00136B47">
      <w:pPr>
        <w:jc w:val="both"/>
      </w:pPr>
    </w:p>
    <w:p w14:paraId="09D476B0" w14:textId="2F52B5B1" w:rsidR="002C6015" w:rsidRPr="0017796C" w:rsidRDefault="0017796C" w:rsidP="00136B47">
      <w:pPr>
        <w:jc w:val="both"/>
        <w:rPr>
          <w:b/>
          <w:bCs/>
          <w:i/>
          <w:iCs/>
        </w:rPr>
      </w:pPr>
      <w:r w:rsidRPr="0017796C">
        <w:rPr>
          <w:b/>
          <w:bCs/>
          <w:i/>
          <w:iCs/>
        </w:rPr>
        <w:t>Conceptual review of FAO addictions support and intervention literature</w:t>
      </w:r>
    </w:p>
    <w:p w14:paraId="5775764E" w14:textId="777BC8CF" w:rsidR="00184F8A" w:rsidRDefault="00472D0D" w:rsidP="00136B47">
      <w:pPr>
        <w:jc w:val="both"/>
      </w:pPr>
      <w:r w:rsidRPr="00472D0D">
        <w:t xml:space="preserve">We found that addictions harm reduction </w:t>
      </w:r>
      <w:r w:rsidR="00184F8A">
        <w:t xml:space="preserve">approaches for families </w:t>
      </w:r>
      <w:r w:rsidRPr="00472D0D">
        <w:t>are informed by multiple understandings of addiction</w:t>
      </w:r>
      <w:r w:rsidR="0004176E">
        <w:t xml:space="preserve">. </w:t>
      </w:r>
      <w:r w:rsidR="002827D6">
        <w:t>These included addiction a</w:t>
      </w:r>
      <w:r w:rsidRPr="00472D0D">
        <w:t xml:space="preserve">s a fundamentally psychological phenomenon, as shaped by fragmentation (and reintegration) of </w:t>
      </w:r>
      <w:r w:rsidR="003645A6">
        <w:t>social</w:t>
      </w:r>
      <w:r w:rsidRPr="00472D0D">
        <w:t xml:space="preserve"> relationships, and as shaped by macro-level social structures (e.g. socioeconomic inequalities, the provision and governance of harmful commodities)</w:t>
      </w:r>
      <w:r>
        <w:t xml:space="preserve">. </w:t>
      </w:r>
      <w:bookmarkStart w:id="3" w:name="_Hlk57971221"/>
      <w:r w:rsidRPr="00472D0D">
        <w:t xml:space="preserve">The emphasis </w:t>
      </w:r>
      <w:r w:rsidR="002827D6">
        <w:t xml:space="preserve">in approaches to supporting families </w:t>
      </w:r>
      <w:r w:rsidRPr="00472D0D">
        <w:t xml:space="preserve">has been on universal thinking/approaches based on underlying psychological principles of human behaviour (i.e. largely cognitive behavioural therapy and motivational interviewing-based approaches). </w:t>
      </w:r>
      <w:r w:rsidR="002827D6">
        <w:t>The most d</w:t>
      </w:r>
      <w:r w:rsidR="003645A6">
        <w:t xml:space="preserve">ominant approaches have focused on helping the FAO to support the gambling individual, with some specific approaches designed to improve FAO coping and reduce distress. </w:t>
      </w:r>
      <w:bookmarkEnd w:id="3"/>
      <w:r w:rsidR="00184F8A" w:rsidRPr="00184F8A">
        <w:t xml:space="preserve">These approaches are important and have been associated with </w:t>
      </w:r>
      <w:r w:rsidR="003645A6">
        <w:t xml:space="preserve">some </w:t>
      </w:r>
      <w:r w:rsidR="00184F8A" w:rsidRPr="00184F8A">
        <w:t>improvements in FAO wellbeing, however they do not reflect the full range of conceptualisation of addiction, harm and support available. Opportunities for creative reimagining of more FAO-centric services and offerings may be obscured</w:t>
      </w:r>
      <w:r w:rsidR="00184F8A" w:rsidRPr="00472D0D">
        <w:t>.</w:t>
      </w:r>
    </w:p>
    <w:p w14:paraId="62D3B81D" w14:textId="77777777" w:rsidR="002827D6" w:rsidRDefault="002827D6" w:rsidP="00136B47">
      <w:pPr>
        <w:jc w:val="both"/>
      </w:pPr>
    </w:p>
    <w:p w14:paraId="779A1129" w14:textId="6F61374C" w:rsidR="00184F8A" w:rsidRDefault="00184F8A" w:rsidP="00136B47">
      <w:pPr>
        <w:jc w:val="both"/>
      </w:pPr>
      <w:r>
        <w:lastRenderedPageBreak/>
        <w:t xml:space="preserve">Gambling recovery is also conceptualised as a social process, where options for practicing wellbeing are </w:t>
      </w:r>
      <w:r w:rsidRPr="00690ECD">
        <w:t xml:space="preserve">continually revised in response to changing </w:t>
      </w:r>
      <w:r>
        <w:t xml:space="preserve">relationships and </w:t>
      </w:r>
      <w:r w:rsidRPr="00690ECD">
        <w:t>social contexts</w:t>
      </w:r>
      <w:r>
        <w:t xml:space="preserve">. </w:t>
      </w:r>
      <w:r w:rsidR="00472D0D" w:rsidRPr="00472D0D">
        <w:t>Comparatively few gambling harm reduction interventions have been developed to include FAOs in ways that centralise the social, economic and cultural determinants of harm and recovery.</w:t>
      </w:r>
      <w:r>
        <w:t xml:space="preserve"> </w:t>
      </w:r>
      <w:r w:rsidRPr="008F7B3C">
        <w:t xml:space="preserve">New Zealand </w:t>
      </w:r>
      <w:r>
        <w:t>Māori</w:t>
      </w:r>
      <w:r w:rsidRPr="008F7B3C">
        <w:t xml:space="preserve"> and other </w:t>
      </w:r>
      <w:r>
        <w:t>I</w:t>
      </w:r>
      <w:r w:rsidRPr="008F7B3C">
        <w:t xml:space="preserve">ndigenous perspectives have </w:t>
      </w:r>
      <w:r>
        <w:t>highlighted how a</w:t>
      </w:r>
      <w:r w:rsidRPr="008F7B3C">
        <w:t xml:space="preserve"> lack of engagement with the social, economic and cultural realities of gambling and harm </w:t>
      </w:r>
      <w:r>
        <w:t>has limited</w:t>
      </w:r>
      <w:r w:rsidRPr="008F7B3C">
        <w:t xml:space="preserve"> the development of relevant resources and interventions </w:t>
      </w:r>
      <w:r w:rsidR="003D219E">
        <w:t xml:space="preserve">for families </w:t>
      </w:r>
      <w:r w:rsidRPr="008F7B3C">
        <w:t xml:space="preserve">- particularly in vulnerable </w:t>
      </w:r>
      <w:r w:rsidR="003645A6">
        <w:t>communities</w:t>
      </w:r>
      <w:r w:rsidRPr="008F7B3C">
        <w:t>.</w:t>
      </w:r>
    </w:p>
    <w:p w14:paraId="5236DEF2" w14:textId="77777777" w:rsidR="00184F8A" w:rsidRDefault="00184F8A" w:rsidP="00136B47">
      <w:pPr>
        <w:jc w:val="both"/>
      </w:pPr>
    </w:p>
    <w:p w14:paraId="5C405E68" w14:textId="053329AA" w:rsidR="0017796C" w:rsidRDefault="003645A6" w:rsidP="00136B47">
      <w:pPr>
        <w:jc w:val="both"/>
      </w:pPr>
      <w:r>
        <w:t xml:space="preserve">Engagement with FAOs has been framed by approaches largely driven by researchers and clinicians. </w:t>
      </w:r>
      <w:r w:rsidR="003D219E">
        <w:t xml:space="preserve">Clinical expertise has been privileged over lived experience and the notion of partnership in recovery support. </w:t>
      </w:r>
      <w:r w:rsidRPr="00C32ACA">
        <w:t>International</w:t>
      </w:r>
      <w:r>
        <w:t xml:space="preserve"> research has suggested that a</w:t>
      </w:r>
      <w:r w:rsidRPr="00C32ACA">
        <w:t xml:space="preserve">ddictions services tend to be guided by one approach to </w:t>
      </w:r>
      <w:r>
        <w:t xml:space="preserve">engaging and </w:t>
      </w:r>
      <w:r w:rsidRPr="00C32ACA">
        <w:t>supporting FAOs at best, and little is known about how to achieve successful implementation and sustainability of family-focused practice within addictions treatment services.</w:t>
      </w:r>
      <w:r>
        <w:t xml:space="preserve"> </w:t>
      </w:r>
      <w:r w:rsidR="00472D0D">
        <w:t xml:space="preserve">Given that there has been almost no engagement with the support preferences and expectations of FAOs in relation to gambling services, it is not possible to say with any clarity what a FAO-centric gambling service might involve or look like. </w:t>
      </w:r>
      <w:r w:rsidR="00184F8A">
        <w:t xml:space="preserve">Co-design and action research have demonstrated the value of in-depth and collaborative engagement between addictions service providers and FAOs in reshaping services to enhance the range and quality of support. This </w:t>
      </w:r>
      <w:r w:rsidR="003D219E">
        <w:t xml:space="preserve">critical </w:t>
      </w:r>
      <w:r w:rsidR="00184F8A">
        <w:t xml:space="preserve">review suggests that such collaborative techniques and processes </w:t>
      </w:r>
      <w:r w:rsidR="003D219E">
        <w:t>sh</w:t>
      </w:r>
      <w:r w:rsidR="00184F8A">
        <w:t>ould be employed to conceptualise, design, plan and evaluate enhanced gambling harm reduction services for FAOs.</w:t>
      </w:r>
    </w:p>
    <w:p w14:paraId="2126B030" w14:textId="6441D43D" w:rsidR="00472D0D" w:rsidRDefault="00472D0D" w:rsidP="00136B47">
      <w:pPr>
        <w:jc w:val="both"/>
      </w:pPr>
    </w:p>
    <w:p w14:paraId="078A1167" w14:textId="2FB6B1DC" w:rsidR="00472D0D" w:rsidRPr="00472D0D" w:rsidRDefault="00472D0D" w:rsidP="00136B47">
      <w:pPr>
        <w:jc w:val="both"/>
        <w:rPr>
          <w:b/>
          <w:bCs/>
          <w:i/>
          <w:iCs/>
        </w:rPr>
      </w:pPr>
      <w:r w:rsidRPr="00472D0D">
        <w:rPr>
          <w:b/>
          <w:bCs/>
          <w:i/>
          <w:iCs/>
        </w:rPr>
        <w:t>Structured engagement with expert opinion</w:t>
      </w:r>
    </w:p>
    <w:p w14:paraId="0ED207FC" w14:textId="2CA0CF82" w:rsidR="00472D0D" w:rsidRDefault="007446B8" w:rsidP="00136B47">
      <w:pPr>
        <w:jc w:val="both"/>
      </w:pPr>
      <w:r w:rsidRPr="007446B8">
        <w:t>A</w:t>
      </w:r>
      <w:r>
        <w:t>n international</w:t>
      </w:r>
      <w:r w:rsidRPr="007446B8">
        <w:t xml:space="preserve"> panel of 40</w:t>
      </w:r>
      <w:r>
        <w:t xml:space="preserve"> participants with expertise in support for families affected by addiction </w:t>
      </w:r>
      <w:r w:rsidRPr="007446B8">
        <w:t>(e.g. service manage</w:t>
      </w:r>
      <w:r>
        <w:t>rs</w:t>
      </w:r>
      <w:r w:rsidRPr="007446B8">
        <w:t>, research</w:t>
      </w:r>
      <w:r>
        <w:t>er</w:t>
      </w:r>
      <w:r w:rsidRPr="007446B8">
        <w:t xml:space="preserve">, </w:t>
      </w:r>
      <w:r w:rsidR="0001065E">
        <w:t>policymakers</w:t>
      </w:r>
      <w:r w:rsidRPr="007446B8">
        <w:t xml:space="preserve">, </w:t>
      </w:r>
      <w:bookmarkStart w:id="4" w:name="_Hlk57794346"/>
      <w:r>
        <w:t xml:space="preserve">people with </w:t>
      </w:r>
      <w:r w:rsidRPr="007446B8">
        <w:t>consumer/lived-experience</w:t>
      </w:r>
      <w:r w:rsidR="00FD787B">
        <w:t xml:space="preserve"> as people who gamble and as FAOs</w:t>
      </w:r>
      <w:bookmarkEnd w:id="4"/>
      <w:r>
        <w:t xml:space="preserve">, </w:t>
      </w:r>
      <w:r w:rsidRPr="007446B8">
        <w:t>clinician</w:t>
      </w:r>
      <w:r>
        <w:t>s and</w:t>
      </w:r>
      <w:r w:rsidRPr="007446B8">
        <w:t xml:space="preserve"> workforce development</w:t>
      </w:r>
      <w:r>
        <w:t xml:space="preserve"> professionals</w:t>
      </w:r>
      <w:r w:rsidRPr="007446B8">
        <w:t>)</w:t>
      </w:r>
      <w:r>
        <w:t xml:space="preserve"> took part in an iterative two-round online survey focussed on issues, notions and practices relevant to enhancing support provided for FAOs in New Zealand gambling services. </w:t>
      </w:r>
    </w:p>
    <w:p w14:paraId="5276A7A9" w14:textId="2D0AEB44" w:rsidR="007446B8" w:rsidRDefault="007446B8" w:rsidP="00136B47">
      <w:pPr>
        <w:jc w:val="both"/>
      </w:pPr>
    </w:p>
    <w:p w14:paraId="24061B38" w14:textId="66E6D5C7" w:rsidR="006D05F3" w:rsidRDefault="006D05F3" w:rsidP="006D05F3">
      <w:pPr>
        <w:jc w:val="both"/>
      </w:pPr>
      <w:r>
        <w:t xml:space="preserve">Our analysis of the views of panel members suggested that enhancing support for FAOs in New Zealand gambling services </w:t>
      </w:r>
      <w:r w:rsidR="003645A6">
        <w:t>sh</w:t>
      </w:r>
      <w:r>
        <w:t>ould involve a combination of:</w:t>
      </w:r>
    </w:p>
    <w:p w14:paraId="194F0937" w14:textId="2BF49A63" w:rsidR="006D05F3" w:rsidRDefault="006D05F3" w:rsidP="006D05F3">
      <w:pPr>
        <w:pStyle w:val="ListParagraph"/>
        <w:numPr>
          <w:ilvl w:val="0"/>
          <w:numId w:val="18"/>
        </w:numPr>
        <w:jc w:val="both"/>
      </w:pPr>
      <w:r>
        <w:t xml:space="preserve">Expanding the range </w:t>
      </w:r>
      <w:r w:rsidR="00BB1213">
        <w:t xml:space="preserve">and transparency </w:t>
      </w:r>
      <w:r>
        <w:t xml:space="preserve">of approaches to FAO support that exist in practice, and facilitating FAO choice among </w:t>
      </w:r>
      <w:r w:rsidR="00BB1213">
        <w:t xml:space="preserve">visibly </w:t>
      </w:r>
      <w:r>
        <w:t>diverse service offerings</w:t>
      </w:r>
    </w:p>
    <w:p w14:paraId="08213C9B" w14:textId="77777777" w:rsidR="006D05F3" w:rsidRDefault="006D05F3" w:rsidP="006D05F3">
      <w:pPr>
        <w:pStyle w:val="ListParagraph"/>
        <w:numPr>
          <w:ilvl w:val="0"/>
          <w:numId w:val="18"/>
        </w:numPr>
        <w:jc w:val="both"/>
      </w:pPr>
      <w:r w:rsidRPr="00F85117">
        <w:t>Tino rangatiratanga</w:t>
      </w:r>
      <w:r>
        <w:t xml:space="preserve"> and </w:t>
      </w:r>
      <w:r w:rsidRPr="00FE6EBD">
        <w:t>mana motuhake</w:t>
      </w:r>
      <w:r>
        <w:t>: E</w:t>
      </w:r>
      <w:r w:rsidRPr="00F85117">
        <w:t xml:space="preserve">nsuring Māori </w:t>
      </w:r>
      <w:r>
        <w:t>leadership, design and management of gambling harm reduction strategies and services</w:t>
      </w:r>
      <w:r w:rsidRPr="00F85117">
        <w:t xml:space="preserve">. </w:t>
      </w:r>
    </w:p>
    <w:p w14:paraId="7E1EAD91" w14:textId="00426B73" w:rsidR="006D05F3" w:rsidRDefault="003645A6" w:rsidP="006D05F3">
      <w:pPr>
        <w:pStyle w:val="ListParagraph"/>
        <w:numPr>
          <w:ilvl w:val="0"/>
          <w:numId w:val="18"/>
        </w:numPr>
        <w:jc w:val="both"/>
      </w:pPr>
      <w:r>
        <w:t>Developing and i</w:t>
      </w:r>
      <w:r w:rsidR="006D05F3">
        <w:t xml:space="preserve">mplementing social and cultural FAO recovery models to balance approaches that focus on the individual </w:t>
      </w:r>
    </w:p>
    <w:p w14:paraId="79F59AC5" w14:textId="10B14CE2" w:rsidR="006D05F3" w:rsidRDefault="006D05F3" w:rsidP="006D05F3">
      <w:pPr>
        <w:pStyle w:val="ListParagraph"/>
        <w:numPr>
          <w:ilvl w:val="0"/>
          <w:numId w:val="18"/>
        </w:numPr>
        <w:jc w:val="both"/>
      </w:pPr>
      <w:r>
        <w:t>Exploring the role of FAO lived experience in service design and practice (</w:t>
      </w:r>
      <w:r w:rsidR="00BB1213">
        <w:t xml:space="preserve">e.g. </w:t>
      </w:r>
      <w:r>
        <w:t>peer support, consumer panels, community health models)</w:t>
      </w:r>
    </w:p>
    <w:p w14:paraId="5E3F6496" w14:textId="2DC00535" w:rsidR="006D05F3" w:rsidRDefault="006D05F3" w:rsidP="006D05F3">
      <w:pPr>
        <w:pStyle w:val="ListParagraph"/>
        <w:numPr>
          <w:ilvl w:val="0"/>
          <w:numId w:val="18"/>
        </w:numPr>
        <w:jc w:val="both"/>
      </w:pPr>
      <w:r w:rsidRPr="00B536C9">
        <w:t>Building and sustaining a culture of curiosity and learning in services</w:t>
      </w:r>
      <w:r>
        <w:t xml:space="preserve"> (</w:t>
      </w:r>
      <w:r w:rsidR="00BB1213">
        <w:t xml:space="preserve">e.g. </w:t>
      </w:r>
      <w:r>
        <w:t>practitioner-inquirers, community engagement, creative and participatory evaluation)</w:t>
      </w:r>
    </w:p>
    <w:p w14:paraId="4102B36C" w14:textId="77777777" w:rsidR="006D05F3" w:rsidRDefault="006D05F3" w:rsidP="006D05F3">
      <w:pPr>
        <w:pStyle w:val="ListParagraph"/>
        <w:numPr>
          <w:ilvl w:val="0"/>
          <w:numId w:val="18"/>
        </w:numPr>
        <w:jc w:val="both"/>
      </w:pPr>
      <w:r w:rsidRPr="00B536C9">
        <w:lastRenderedPageBreak/>
        <w:t>Bridging gaps between researchers/research and practitioners/practice</w:t>
      </w:r>
      <w:r>
        <w:t>.</w:t>
      </w:r>
    </w:p>
    <w:p w14:paraId="1FAA036A" w14:textId="77777777" w:rsidR="006D05F3" w:rsidRDefault="006D05F3" w:rsidP="006D05F3">
      <w:pPr>
        <w:jc w:val="both"/>
      </w:pPr>
    </w:p>
    <w:p w14:paraId="5851B06E" w14:textId="7D52FFAC" w:rsidR="006D05F3" w:rsidRDefault="006D05F3" w:rsidP="006D05F3">
      <w:pPr>
        <w:jc w:val="both"/>
      </w:pPr>
      <w:r>
        <w:t xml:space="preserve">In achieving the above, a </w:t>
      </w:r>
      <w:bookmarkStart w:id="5" w:name="_Hlk57794421"/>
      <w:r>
        <w:t xml:space="preserve">role for </w:t>
      </w:r>
      <w:r w:rsidR="00FD787B">
        <w:t xml:space="preserve">government and </w:t>
      </w:r>
      <w:r>
        <w:t>policy</w:t>
      </w:r>
      <w:r w:rsidR="00FD787B">
        <w:t>makers</w:t>
      </w:r>
      <w:r>
        <w:t xml:space="preserve"> was identified in funding and support</w:t>
      </w:r>
      <w:r w:rsidR="00BB1213">
        <w:t>ing</w:t>
      </w:r>
      <w:r>
        <w:t xml:space="preserve"> practitioner-inquirers</w:t>
      </w:r>
      <w:bookmarkEnd w:id="5"/>
      <w:r>
        <w:t xml:space="preserve"> (i.e. clinicians and service managers who critically engage with a research/practice nexus e.g. in postgraduate study or in partnership with researchers). </w:t>
      </w:r>
      <w:r w:rsidR="00BB1213">
        <w:t>Requirements for c</w:t>
      </w:r>
      <w:r>
        <w:t xml:space="preserve">ollaborative and participatory service design, development and evaluation </w:t>
      </w:r>
      <w:r w:rsidR="00BB1213">
        <w:t>were</w:t>
      </w:r>
      <w:r>
        <w:t xml:space="preserve"> advised. Additional policy suggestions included: actively ensuring the workforce is culturally diverse and aware enough to reflect New Zealand families, and broader workforce development around cultural and family responsiveness. </w:t>
      </w:r>
    </w:p>
    <w:p w14:paraId="4F2F8729" w14:textId="77777777" w:rsidR="00472D0D" w:rsidRDefault="00472D0D" w:rsidP="00136B47">
      <w:pPr>
        <w:jc w:val="both"/>
      </w:pPr>
    </w:p>
    <w:p w14:paraId="6863EC37" w14:textId="2E25A358" w:rsidR="00472D0D" w:rsidRPr="00472D0D" w:rsidRDefault="00472D0D" w:rsidP="00136B47">
      <w:pPr>
        <w:jc w:val="both"/>
        <w:rPr>
          <w:b/>
          <w:bCs/>
          <w:i/>
          <w:iCs/>
        </w:rPr>
      </w:pPr>
      <w:r w:rsidRPr="00472D0D">
        <w:rPr>
          <w:b/>
          <w:bCs/>
          <w:i/>
          <w:iCs/>
        </w:rPr>
        <w:t xml:space="preserve">Review of FAO support service provision </w:t>
      </w:r>
    </w:p>
    <w:p w14:paraId="74F82B86" w14:textId="2BAF015A" w:rsidR="00472D0D" w:rsidRDefault="00E327F9" w:rsidP="00136B47">
      <w:pPr>
        <w:jc w:val="both"/>
      </w:pPr>
      <w:r w:rsidRPr="00E327F9">
        <w:t xml:space="preserve">During the structured engagement with expert opinion, panellists were invited to suggest a range of national and international gambling support services who they felt were engaged with families. </w:t>
      </w:r>
      <w:r w:rsidR="000C42FE">
        <w:t xml:space="preserve">An international review of (largely) publicly available information about these gambling harm reduction services for FAOs was conducted to explore </w:t>
      </w:r>
      <w:r w:rsidR="000C42FE" w:rsidRPr="00126BA8">
        <w:rPr>
          <w:rFonts w:eastAsia="Times New Roman"/>
        </w:rPr>
        <w:t xml:space="preserve">how </w:t>
      </w:r>
      <w:r w:rsidR="000C42FE">
        <w:rPr>
          <w:rFonts w:eastAsia="Times New Roman"/>
        </w:rPr>
        <w:t>they</w:t>
      </w:r>
      <w:r w:rsidR="000C42FE" w:rsidRPr="00126BA8">
        <w:rPr>
          <w:rFonts w:eastAsia="Times New Roman"/>
        </w:rPr>
        <w:t xml:space="preserve"> </w:t>
      </w:r>
      <w:r w:rsidR="000C42FE">
        <w:rPr>
          <w:rFonts w:eastAsia="Times New Roman"/>
        </w:rPr>
        <w:t xml:space="preserve">appeared to be </w:t>
      </w:r>
      <w:r w:rsidR="000C42FE" w:rsidRPr="00126BA8">
        <w:rPr>
          <w:rFonts w:eastAsia="Times New Roman"/>
        </w:rPr>
        <w:t>presented, orientated</w:t>
      </w:r>
      <w:r w:rsidR="000C42FE">
        <w:rPr>
          <w:rFonts w:eastAsia="Times New Roman"/>
        </w:rPr>
        <w:t xml:space="preserve"> to</w:t>
      </w:r>
      <w:r w:rsidR="000C42FE" w:rsidRPr="00126BA8">
        <w:rPr>
          <w:rFonts w:eastAsia="Times New Roman"/>
        </w:rPr>
        <w:t>, and engaging with the needs of FAOs</w:t>
      </w:r>
      <w:r w:rsidR="000C42FE">
        <w:t xml:space="preserve">. </w:t>
      </w:r>
      <w:r w:rsidRPr="00E327F9">
        <w:t>The purpose was to gain a sense of the support options available to FAOs affected by gambling harm at present</w:t>
      </w:r>
      <w:r>
        <w:t xml:space="preserve">. </w:t>
      </w:r>
      <w:r w:rsidR="005F691B">
        <w:t xml:space="preserve">Data were collected from 16 organisations in New Zealand, Australia, the United Kingdom, Canada and the United States. </w:t>
      </w:r>
      <w:r w:rsidR="0001065E">
        <w:t>The a</w:t>
      </w:r>
      <w:r w:rsidR="005F691B" w:rsidRPr="005F691B">
        <w:t>nalysis aimed to answer three key questions: (1) How do gambling services appear to be oriented to FAOs at present? (2) What are the kinds of support that FAOs are offered in gambling services? And (3) How are gender, ethnicity and/or cultural issues/perspectives incorporated into service design and delivery?</w:t>
      </w:r>
      <w:r w:rsidR="002305E3">
        <w:t xml:space="preserve"> </w:t>
      </w:r>
    </w:p>
    <w:p w14:paraId="5E8263DD" w14:textId="4B3E0C1F" w:rsidR="002305E3" w:rsidRDefault="002305E3" w:rsidP="00136B47">
      <w:pPr>
        <w:jc w:val="both"/>
      </w:pPr>
    </w:p>
    <w:p w14:paraId="48449373" w14:textId="726A7686" w:rsidR="00ED48B4" w:rsidRDefault="002305E3" w:rsidP="002305E3">
      <w:pPr>
        <w:jc w:val="both"/>
      </w:pPr>
      <w:r>
        <w:t xml:space="preserve">We found that </w:t>
      </w:r>
      <w:r w:rsidRPr="002305E3">
        <w:t xml:space="preserve">influential models of problem gambling development and intervention needs have shaped services in ways that focus </w:t>
      </w:r>
      <w:r w:rsidR="003645A6">
        <w:t xml:space="preserve">largely </w:t>
      </w:r>
      <w:r w:rsidRPr="002305E3">
        <w:t xml:space="preserve">on ‘the </w:t>
      </w:r>
      <w:r w:rsidR="003645A6">
        <w:t xml:space="preserve">problem </w:t>
      </w:r>
      <w:r w:rsidRPr="002305E3">
        <w:t xml:space="preserve">gambler’. </w:t>
      </w:r>
      <w:r w:rsidR="00ED48B4" w:rsidRPr="00ED48B4">
        <w:t>Few services were clear which approaches or options of support were available to FAOs independently of gamblers.</w:t>
      </w:r>
      <w:r w:rsidR="00ED48B4">
        <w:t xml:space="preserve"> </w:t>
      </w:r>
      <w:r w:rsidRPr="002305E3">
        <w:t>Support for FAOs tend</w:t>
      </w:r>
      <w:r>
        <w:t>ed</w:t>
      </w:r>
      <w:r w:rsidRPr="002305E3">
        <w:t xml:space="preserve"> to be </w:t>
      </w:r>
      <w:r>
        <w:t xml:space="preserve">positioned </w:t>
      </w:r>
      <w:r w:rsidRPr="002305E3">
        <w:t>a</w:t>
      </w:r>
      <w:r>
        <w:t>s</w:t>
      </w:r>
      <w:r w:rsidRPr="002305E3">
        <w:t xml:space="preserve"> </w:t>
      </w:r>
      <w:r w:rsidR="003645A6">
        <w:t xml:space="preserve">either </w:t>
      </w:r>
      <w:r>
        <w:t xml:space="preserve">a </w:t>
      </w:r>
      <w:r w:rsidRPr="002305E3">
        <w:t>peripheral offering</w:t>
      </w:r>
      <w:r w:rsidR="003645A6">
        <w:t xml:space="preserve"> and/or an emerging area of practice</w:t>
      </w:r>
      <w:r w:rsidRPr="002305E3">
        <w:t xml:space="preserve">. </w:t>
      </w:r>
      <w:r w:rsidR="00ED48B4">
        <w:t>Services</w:t>
      </w:r>
      <w:r w:rsidR="00ED48B4" w:rsidRPr="00ED48B4">
        <w:t xml:space="preserve"> were ambiguous about what ‘support’ </w:t>
      </w:r>
      <w:r w:rsidR="00ED48B4">
        <w:t xml:space="preserve">for FAOs </w:t>
      </w:r>
      <w:r w:rsidR="00ED48B4" w:rsidRPr="00ED48B4">
        <w:t xml:space="preserve">might entail, few services were clear about </w:t>
      </w:r>
      <w:r w:rsidR="00ED48B4">
        <w:t xml:space="preserve">specific </w:t>
      </w:r>
      <w:r w:rsidR="00ED48B4" w:rsidRPr="00ED48B4">
        <w:t>offerings</w:t>
      </w:r>
      <w:r w:rsidR="00ED48B4">
        <w:t xml:space="preserve"> or approaches</w:t>
      </w:r>
      <w:r w:rsidR="00ED48B4" w:rsidRPr="00ED48B4">
        <w:t xml:space="preserve">. </w:t>
      </w:r>
      <w:r w:rsidR="00ED48B4">
        <w:t>We argue that this is</w:t>
      </w:r>
      <w:r w:rsidR="00ED48B4" w:rsidRPr="00ED48B4">
        <w:t xml:space="preserve"> problematic </w:t>
      </w:r>
      <w:r w:rsidR="00ED48B4">
        <w:t>as</w:t>
      </w:r>
      <w:r w:rsidR="00ED48B4" w:rsidRPr="00ED48B4">
        <w:t xml:space="preserve"> clients might </w:t>
      </w:r>
      <w:r w:rsidR="00ED48B4">
        <w:t>wish</w:t>
      </w:r>
      <w:r w:rsidR="00ED48B4" w:rsidRPr="00ED48B4">
        <w:t xml:space="preserve"> to know the kind of services/support that could be provided to encourage them to make contact. </w:t>
      </w:r>
      <w:r w:rsidR="00ED48B4">
        <w:t xml:space="preserve">Greater transparency and a broader range of support options could support FAOs engagement with services. </w:t>
      </w:r>
    </w:p>
    <w:p w14:paraId="7A434BE6" w14:textId="77777777" w:rsidR="00ED48B4" w:rsidRDefault="00ED48B4" w:rsidP="002305E3">
      <w:pPr>
        <w:jc w:val="both"/>
      </w:pPr>
    </w:p>
    <w:p w14:paraId="22B093ED" w14:textId="0E73F6C1" w:rsidR="002305E3" w:rsidRPr="00126BA8" w:rsidRDefault="002305E3" w:rsidP="002305E3">
      <w:pPr>
        <w:jc w:val="both"/>
      </w:pPr>
      <w:r w:rsidRPr="002305E3">
        <w:t xml:space="preserve">There is still much to be done for services to become family/whānau inclusive </w:t>
      </w:r>
      <w:r w:rsidR="00ED48B4">
        <w:t xml:space="preserve">and </w:t>
      </w:r>
      <w:r w:rsidRPr="002305E3">
        <w:t xml:space="preserve">for FAOs seeking help to be without doubt that support services are available for them in their own right. </w:t>
      </w:r>
      <w:r w:rsidR="003645A6">
        <w:t>Emerging</w:t>
      </w:r>
      <w:r w:rsidRPr="002305E3">
        <w:t xml:space="preserve"> recognition of FAOs’ needs </w:t>
      </w:r>
      <w:r w:rsidR="003645A6">
        <w:t>could be better</w:t>
      </w:r>
      <w:r w:rsidRPr="002305E3">
        <w:t xml:space="preserve"> supported by resources available </w:t>
      </w:r>
      <w:r w:rsidR="003645A6">
        <w:t>within</w:t>
      </w:r>
      <w:r w:rsidRPr="002305E3">
        <w:t xml:space="preserve"> services, and public-facing information presented to individuals/families who might be investigating available support options. Some culturally and linguistically appropriate services in New Zealand </w:t>
      </w:r>
      <w:r w:rsidR="003645A6">
        <w:t xml:space="preserve">and Australia </w:t>
      </w:r>
      <w:r>
        <w:t>appear to be</w:t>
      </w:r>
      <w:r w:rsidRPr="002305E3">
        <w:t xml:space="preserve"> inherently family/whānau inclusive and less constrained by the historical development of services for ‘problem gamblers’. Their design and development ha</w:t>
      </w:r>
      <w:r>
        <w:t>ve</w:t>
      </w:r>
      <w:r w:rsidRPr="002305E3">
        <w:t xml:space="preserve"> championed the voices of their communities and services users, bringing to light the</w:t>
      </w:r>
      <w:r w:rsidR="003645A6">
        <w:t xml:space="preserve"> </w:t>
      </w:r>
      <w:r w:rsidRPr="002305E3">
        <w:t>community’s desire to be involved and engaged with service development</w:t>
      </w:r>
      <w:r>
        <w:t xml:space="preserve"> and </w:t>
      </w:r>
      <w:r>
        <w:lastRenderedPageBreak/>
        <w:t>delivery</w:t>
      </w:r>
      <w:r w:rsidRPr="002305E3">
        <w:t>. This provides a promising model to learn from going forward. However, it must be noted that most of these services have yet to be formally evaluated</w:t>
      </w:r>
      <w:r>
        <w:t>. D</w:t>
      </w:r>
      <w:r w:rsidRPr="002305E3">
        <w:t xml:space="preserve">ocumentation and sharing of family focussed practice and service development </w:t>
      </w:r>
      <w:r w:rsidR="00ED48B4">
        <w:t>appeared to be</w:t>
      </w:r>
      <w:r w:rsidRPr="002305E3">
        <w:t xml:space="preserve"> minimal, limiting </w:t>
      </w:r>
      <w:r>
        <w:t xml:space="preserve">knowledge transfer and </w:t>
      </w:r>
      <w:r w:rsidRPr="002305E3">
        <w:t xml:space="preserve">learning opportunities at present. </w:t>
      </w:r>
    </w:p>
    <w:p w14:paraId="2663DE40" w14:textId="57C820FF" w:rsidR="002305E3" w:rsidRDefault="002305E3" w:rsidP="00136B47">
      <w:pPr>
        <w:jc w:val="both"/>
      </w:pPr>
    </w:p>
    <w:p w14:paraId="3CE7D82E" w14:textId="77777777" w:rsidR="00472D0D" w:rsidRDefault="00472D0D" w:rsidP="00136B47">
      <w:pPr>
        <w:jc w:val="both"/>
      </w:pPr>
    </w:p>
    <w:p w14:paraId="03EBC99B" w14:textId="58DE846C" w:rsidR="00472D0D" w:rsidRPr="00472D0D" w:rsidRDefault="00472D0D" w:rsidP="00136B47">
      <w:pPr>
        <w:jc w:val="both"/>
        <w:rPr>
          <w:b/>
          <w:bCs/>
          <w:i/>
          <w:iCs/>
        </w:rPr>
      </w:pPr>
      <w:r w:rsidRPr="00472D0D">
        <w:rPr>
          <w:b/>
          <w:bCs/>
          <w:i/>
          <w:iCs/>
        </w:rPr>
        <w:t>New Zealand FAO engagement with intervention services</w:t>
      </w:r>
    </w:p>
    <w:p w14:paraId="46C279D1" w14:textId="089DBD4C" w:rsidR="0017796C" w:rsidRDefault="002305E3" w:rsidP="00136B47">
      <w:pPr>
        <w:jc w:val="both"/>
      </w:pPr>
      <w:r>
        <w:t>D</w:t>
      </w:r>
      <w:r w:rsidRPr="002305E3">
        <w:t xml:space="preserve">escriptive analysis </w:t>
      </w:r>
      <w:r>
        <w:t xml:space="preserve">of a national MOH database </w:t>
      </w:r>
      <w:r w:rsidRPr="002305E3">
        <w:t>was conducted to explore the demographic characteristics of FAOs engaging with New Zealand gambling services, and how these clients appear to be engaged.</w:t>
      </w:r>
      <w:r>
        <w:t xml:space="preserve"> FAOs are receiving minimal support </w:t>
      </w:r>
      <w:r w:rsidR="00FF79C5">
        <w:t>from services at present. Most FAOs were engaged for one, brief, one-on-one session of motivational support conducted outside</w:t>
      </w:r>
      <w:r w:rsidR="004661DE">
        <w:t xml:space="preserve"> of</w:t>
      </w:r>
      <w:r w:rsidR="00FF79C5">
        <w:t xml:space="preserve"> a clinical setting. </w:t>
      </w:r>
      <w:r w:rsidR="004661DE">
        <w:t>S</w:t>
      </w:r>
      <w:r w:rsidR="00FF79C5" w:rsidRPr="00FF79C5">
        <w:t>upport for both FAOs and gamblers appears to be largely concentrated around the individual at present.</w:t>
      </w:r>
      <w:r w:rsidR="00FF79C5">
        <w:t xml:space="preserve"> There was little evidence of intervention practice involving couples or families for either FAO or gambler clients. Group support and/or therapy sessions comprised a quarter of session attended by gamblers, yet only around one in ten sessions attended by FAOs. </w:t>
      </w:r>
      <w:r w:rsidR="00FF79C5" w:rsidRPr="00AC4122">
        <w:t xml:space="preserve">Couple and family sessions </w:t>
      </w:r>
      <w:r w:rsidR="00FF79C5">
        <w:t>accounted</w:t>
      </w:r>
      <w:r w:rsidR="00FF79C5" w:rsidRPr="00AC4122">
        <w:t xml:space="preserve"> for just 4 percent of FAO and 2 per cent of gambler sessions</w:t>
      </w:r>
      <w:r w:rsidR="00FF79C5">
        <w:t xml:space="preserve">. Further research should ascertain whether this reflects FAO preferences or is connected to </w:t>
      </w:r>
      <w:r w:rsidR="001035CE">
        <w:t xml:space="preserve">low </w:t>
      </w:r>
      <w:r w:rsidR="00FF79C5">
        <w:t xml:space="preserve">availability of appropriate support options for families. </w:t>
      </w:r>
      <w:r w:rsidR="001035CE">
        <w:t xml:space="preserve">Our research suggests the latter is likely. </w:t>
      </w:r>
      <w:r w:rsidR="00FF79C5">
        <w:t>Given that high engagement with FAOs is already occurring opportunistically in community contexts, finding ways to support community-based/community-led programmes and events may provide additional opportunities for more in-depth FAO engagement.</w:t>
      </w:r>
    </w:p>
    <w:p w14:paraId="774151B8" w14:textId="77777777" w:rsidR="00FF79C5" w:rsidRDefault="00FF79C5" w:rsidP="00136B47">
      <w:pPr>
        <w:jc w:val="both"/>
      </w:pPr>
    </w:p>
    <w:p w14:paraId="060DE956" w14:textId="52543A31" w:rsidR="006D05F3" w:rsidRDefault="00FF79C5" w:rsidP="00136B47">
      <w:pPr>
        <w:jc w:val="both"/>
      </w:pPr>
      <w:r>
        <w:t>S</w:t>
      </w:r>
      <w:r w:rsidRPr="000F597C">
        <w:t xml:space="preserve">ome services appear to </w:t>
      </w:r>
      <w:r>
        <w:t xml:space="preserve">be </w:t>
      </w:r>
      <w:r w:rsidRPr="000F597C">
        <w:t>engag</w:t>
      </w:r>
      <w:r>
        <w:t>ing</w:t>
      </w:r>
      <w:r w:rsidRPr="000F597C">
        <w:t xml:space="preserve"> with a high proportion of FAO clients</w:t>
      </w:r>
      <w:r>
        <w:t xml:space="preserve"> in comparison to other services. Examples include The Salvation Army, </w:t>
      </w:r>
      <w:r w:rsidRPr="00AC4122">
        <w:t>Te Rangihaeata Oranga Trust</w:t>
      </w:r>
      <w:r>
        <w:t xml:space="preserve"> and Tu Te Ihi. </w:t>
      </w:r>
      <w:r w:rsidRPr="00AC4122">
        <w:t>Te Rangihaeata Oranga Trust</w:t>
      </w:r>
      <w:r>
        <w:t xml:space="preserve">, located in a small region on New Zealand’s East Coast (Hawke’s Bay, population </w:t>
      </w:r>
      <w:r w:rsidRPr="00483566">
        <w:t>175,100</w:t>
      </w:r>
      <w:r>
        <w:t xml:space="preserve">), engaged with almost ten percent of FAO clients nationally, during the data </w:t>
      </w:r>
      <w:r w:rsidR="004661DE">
        <w:t>extraction</w:t>
      </w:r>
      <w:r>
        <w:t xml:space="preserve"> period. </w:t>
      </w:r>
      <w:r w:rsidR="004661DE">
        <w:t>We argue that i</w:t>
      </w:r>
      <w:r>
        <w:t xml:space="preserve">n depth mixed methods research with gambling services who are achieving high levels of engagement with FAOs </w:t>
      </w:r>
      <w:r w:rsidR="004661DE">
        <w:t>will</w:t>
      </w:r>
      <w:r>
        <w:t xml:space="preserve"> deliver learning and benefits for the harm minimisation and prevention sector.</w:t>
      </w:r>
    </w:p>
    <w:p w14:paraId="2D6CA641" w14:textId="77777777" w:rsidR="00FF79C5" w:rsidRDefault="00FF79C5" w:rsidP="00136B47">
      <w:pPr>
        <w:jc w:val="both"/>
      </w:pPr>
    </w:p>
    <w:p w14:paraId="1DF64484" w14:textId="1DC77306" w:rsidR="006D05F3" w:rsidRPr="0088389D" w:rsidRDefault="006D05F3" w:rsidP="0088389D">
      <w:pPr>
        <w:rPr>
          <w:b/>
          <w:bCs/>
        </w:rPr>
      </w:pPr>
      <w:r w:rsidRPr="0088389D">
        <w:rPr>
          <w:b/>
          <w:bCs/>
        </w:rPr>
        <w:t>Opportunities to enhance support for FAOs in New Zealand gambling services</w:t>
      </w:r>
    </w:p>
    <w:p w14:paraId="18DE6114" w14:textId="0D6398F6" w:rsidR="003C1037" w:rsidRDefault="006D05F3" w:rsidP="00136B47">
      <w:pPr>
        <w:jc w:val="both"/>
      </w:pPr>
      <w:r>
        <w:t xml:space="preserve">We suggest three underlying principles that could be leveraged to create action towards systemic change in New Zealand: honouring </w:t>
      </w:r>
      <w:r w:rsidRPr="007A52C4">
        <w:t>Te Tiriti o Waitangi</w:t>
      </w:r>
      <w:r>
        <w:t xml:space="preserve"> </w:t>
      </w:r>
      <w:r w:rsidR="0088389D">
        <w:t xml:space="preserve">by </w:t>
      </w:r>
      <w:r>
        <w:t xml:space="preserve">embedding genuine and empowering partnerships with </w:t>
      </w:r>
      <w:r w:rsidRPr="007A52C4">
        <w:t>Māori</w:t>
      </w:r>
      <w:r>
        <w:t xml:space="preserve"> at all levels of our gambling harm reduction system, an integrative approach to ‘evidence-based practice’, and transformative action-oriented inquiry. </w:t>
      </w:r>
    </w:p>
    <w:p w14:paraId="5C14E8EE" w14:textId="77777777" w:rsidR="003C1037" w:rsidRDefault="003C1037" w:rsidP="00136B47">
      <w:pPr>
        <w:jc w:val="both"/>
      </w:pPr>
    </w:p>
    <w:p w14:paraId="501870A4" w14:textId="6F0B192A" w:rsidR="006D05F3" w:rsidRDefault="003C1037" w:rsidP="00136B47">
      <w:pPr>
        <w:jc w:val="both"/>
      </w:pPr>
      <w:r w:rsidRPr="008567C0">
        <w:t xml:space="preserve">Māori </w:t>
      </w:r>
      <w:r>
        <w:t xml:space="preserve">are disproportionately harmed by gambling. </w:t>
      </w:r>
      <w:r w:rsidR="0088389D" w:rsidRPr="0088389D">
        <w:t>Te Tiriti o Waitangi (the Treaty of Waitangi) is the foundation for power sharing between tāngata whenua (the first peoples of Aotearoa</w:t>
      </w:r>
      <w:r w:rsidR="007B1B73">
        <w:t xml:space="preserve"> New Zealand</w:t>
      </w:r>
      <w:r w:rsidR="0088389D" w:rsidRPr="0088389D">
        <w:t>), and tāngata Tiriti (all others who have come here).</w:t>
      </w:r>
      <w:r w:rsidR="0088389D">
        <w:t xml:space="preserve"> Te Tiriti affords </w:t>
      </w:r>
      <w:r w:rsidR="0088389D" w:rsidRPr="008567C0">
        <w:t>Māori</w:t>
      </w:r>
      <w:r w:rsidR="0088389D">
        <w:t xml:space="preserve"> </w:t>
      </w:r>
      <w:r w:rsidR="0088389D" w:rsidRPr="0088389D">
        <w:t>sovereignty of hapū (Māori kinship groups)</w:t>
      </w:r>
      <w:r w:rsidR="0088389D">
        <w:t xml:space="preserve">. </w:t>
      </w:r>
      <w:r>
        <w:t>As Te Tiriti</w:t>
      </w:r>
      <w:r w:rsidRPr="008567C0">
        <w:t xml:space="preserve"> partners, whānau involvement at all levels of decision making in determining gambling policies, services and revenue </w:t>
      </w:r>
      <w:r w:rsidRPr="008567C0">
        <w:lastRenderedPageBreak/>
        <w:t>direction</w:t>
      </w:r>
      <w:r>
        <w:t xml:space="preserve"> is vital. </w:t>
      </w:r>
      <w:r w:rsidR="007B1B73" w:rsidRPr="00DD2327">
        <w:t xml:space="preserve">Our research suggests </w:t>
      </w:r>
      <w:r w:rsidRPr="00DD2327">
        <w:t xml:space="preserve">Māori approaches provide a useful model for family involvement in addiction harm reduction: whānau (family systems), wairua (spirit) and whānaungatanga (“relationships”) are regarded as instrumental in the life journeys and support/treatment processes for families and communities. Inquiry continues to document important links between Indigenous healing practices, cultural concepts and recovery from addictions and wellbeing. These </w:t>
      </w:r>
      <w:r w:rsidR="000C6F7B" w:rsidRPr="00DD2327">
        <w:t>ideas</w:t>
      </w:r>
      <w:r w:rsidRPr="00DD2327">
        <w:t xml:space="preserve"> link </w:t>
      </w:r>
      <w:r w:rsidR="000C6F7B" w:rsidRPr="00DD2327">
        <w:t>t</w:t>
      </w:r>
      <w:r w:rsidRPr="00DD2327">
        <w:t>o the recent New Zealand government commissioned Health and Disability Systems Review</w:t>
      </w:r>
      <w:r w:rsidR="007B1B73" w:rsidRPr="00DD2327">
        <w:t xml:space="preserve"> (2020)</w:t>
      </w:r>
      <w:r w:rsidR="000C6F7B" w:rsidRPr="00DD2327">
        <w:t xml:space="preserve">, and </w:t>
      </w:r>
      <w:r w:rsidR="0000018E">
        <w:t xml:space="preserve">the </w:t>
      </w:r>
      <w:r w:rsidR="000C6F7B" w:rsidRPr="00DD2327">
        <w:t xml:space="preserve">Waitangi Tribunal recommendations on health services and outcomes </w:t>
      </w:r>
      <w:r w:rsidR="000C6F7B" w:rsidRPr="00DD2327">
        <w:fldChar w:fldCharType="begin"/>
      </w:r>
      <w:r w:rsidR="000C6F7B" w:rsidRPr="00DD2327">
        <w:instrText xml:space="preserve"> ADDIN EN.CITE &lt;EndNote&gt;&lt;Cite&gt;&lt;Author&gt;Waitangi Tribunal&lt;/Author&gt;&lt;Year&gt;2019&lt;/Year&gt;&lt;RecNum&gt;330&lt;/RecNum&gt;&lt;DisplayText&gt;(Waitangi Tribunal, 2019)&lt;/DisplayText&gt;&lt;record&gt;&lt;rec-number&gt;330&lt;/rec-number&gt;&lt;foreign-keys&gt;&lt;key app="EN" db-id="25rszwft292ev3esrpvpde0cpxrd9ex0xspp" timestamp="1603749471"&gt;330&lt;/key&gt;&lt;/foreign-keys&gt;&lt;ref-type name="Report"&gt;27&lt;/ref-type&gt;&lt;contributors&gt;&lt;authors&gt;&lt;author&gt;Waitangi Tribunal,&lt;/author&gt;&lt;/authors&gt;&lt;/contributors&gt;&lt;titles&gt;&lt;title&gt;Hauora: Report on Stage One of the Health Services and Outcomes Kaupapa Inquiry&lt;/title&gt;&lt;/titles&gt;&lt;dates&gt;&lt;year&gt;2019&lt;/year&gt;&lt;/dates&gt;&lt;publisher&gt;Waitangi Trubunal&lt;/publisher&gt;&lt;urls&gt;&lt;/urls&gt;&lt;/record&gt;&lt;/Cite&gt;&lt;/EndNote&gt;</w:instrText>
      </w:r>
      <w:r w:rsidR="000C6F7B" w:rsidRPr="00DD2327">
        <w:fldChar w:fldCharType="separate"/>
      </w:r>
      <w:r w:rsidR="000C6F7B" w:rsidRPr="00DD2327">
        <w:rPr>
          <w:noProof/>
        </w:rPr>
        <w:t>(Waitangi Tribunal, 2019)</w:t>
      </w:r>
      <w:r w:rsidR="000C6F7B" w:rsidRPr="00DD2327">
        <w:fldChar w:fldCharType="end"/>
      </w:r>
      <w:r w:rsidRPr="00DD2327">
        <w:t xml:space="preserve">. The </w:t>
      </w:r>
      <w:r w:rsidR="000C6F7B" w:rsidRPr="00DD2327">
        <w:t>Waitangi Tribunal</w:t>
      </w:r>
      <w:r w:rsidRPr="00DD2327">
        <w:t xml:space="preserve"> </w:t>
      </w:r>
      <w:r w:rsidR="007B1B73" w:rsidRPr="00DD2327">
        <w:t>has</w:t>
      </w:r>
      <w:r w:rsidRPr="00DD2327">
        <w:t xml:space="preserve"> </w:t>
      </w:r>
      <w:r w:rsidR="00DD2327" w:rsidRPr="00DD2327">
        <w:t>proposed</w:t>
      </w:r>
      <w:r w:rsidRPr="00DD2327">
        <w:t xml:space="preserve"> a Māori Health Authority be established to commission health services for Māori using an </w:t>
      </w:r>
      <w:r w:rsidR="007B1B73" w:rsidRPr="00DD2327">
        <w:t>I</w:t>
      </w:r>
      <w:r w:rsidRPr="00DD2327">
        <w:t xml:space="preserve">ndigenous driven model within the health system to achieve equity. </w:t>
      </w:r>
      <w:r w:rsidR="00DD2327" w:rsidRPr="00DD2327">
        <w:t>This approach was also supported by some members of the Health and Disability Systems Review panel.</w:t>
      </w:r>
      <w:r w:rsidR="00DD2327">
        <w:t xml:space="preserve"> </w:t>
      </w:r>
      <w:r>
        <w:t>This model could usefully be applied to gambling harm reduction service commissioning. O</w:t>
      </w:r>
      <w:r w:rsidRPr="003C1037">
        <w:t xml:space="preserve">ur expert panel identified </w:t>
      </w:r>
      <w:r>
        <w:t>t</w:t>
      </w:r>
      <w:r w:rsidRPr="003C1037">
        <w:t>he need to support Māori aspirations for tino rangatiratanga (self-governance) and mana motuhake (autonomy)</w:t>
      </w:r>
      <w:r>
        <w:t xml:space="preserve"> </w:t>
      </w:r>
      <w:r w:rsidRPr="003C1037">
        <w:t>as key to gambling harm reduction.</w:t>
      </w:r>
      <w:r>
        <w:t xml:space="preserve"> These notions are </w:t>
      </w:r>
      <w:r w:rsidR="007B1B73">
        <w:t xml:space="preserve">also </w:t>
      </w:r>
      <w:r>
        <w:t>supported by t</w:t>
      </w:r>
      <w:r w:rsidRPr="003C1037">
        <w:t xml:space="preserve">he recent Waitangi Tribunal report on </w:t>
      </w:r>
      <w:r>
        <w:t xml:space="preserve">New Zealand </w:t>
      </w:r>
      <w:r w:rsidRPr="003C1037">
        <w:t>Health Services and Outcomes</w:t>
      </w:r>
      <w:r w:rsidR="007B1B73">
        <w:t xml:space="preserve"> (2019)</w:t>
      </w:r>
      <w:r>
        <w:t>.</w:t>
      </w:r>
    </w:p>
    <w:p w14:paraId="1680510A" w14:textId="53B1BAB5" w:rsidR="003C1037" w:rsidRDefault="003C1037" w:rsidP="00136B47">
      <w:pPr>
        <w:jc w:val="both"/>
      </w:pPr>
    </w:p>
    <w:p w14:paraId="645495EE" w14:textId="0D522F9F" w:rsidR="003C1037" w:rsidRDefault="003C1037" w:rsidP="00136B47">
      <w:pPr>
        <w:jc w:val="both"/>
      </w:pPr>
      <w:r w:rsidRPr="00D36C6F">
        <w:t>An integrative approach to enhancing practice requires the understanding of diverse approaches to addiction harm reduction: their conceptualisation, respective measurement techniques, and evaluation standards</w:t>
      </w:r>
      <w:r>
        <w:t xml:space="preserve">. </w:t>
      </w:r>
      <w:r w:rsidR="000E5DE1">
        <w:t>This approach is in alignment with a</w:t>
      </w:r>
      <w:r w:rsidR="000E5DE1" w:rsidRPr="00FC6760">
        <w:t xml:space="preserve"> </w:t>
      </w:r>
      <w:r w:rsidR="007B1B73">
        <w:t>‘</w:t>
      </w:r>
      <w:r w:rsidR="000E5DE1" w:rsidRPr="00FC6760">
        <w:t>human prerogative of care</w:t>
      </w:r>
      <w:r w:rsidR="007B1B73">
        <w:t>’</w:t>
      </w:r>
      <w:r w:rsidR="000E5DE1" w:rsidRPr="00FC6760">
        <w:t xml:space="preserve"> </w:t>
      </w:r>
      <w:r w:rsidR="000E5DE1">
        <w:t xml:space="preserve">which </w:t>
      </w:r>
      <w:r w:rsidR="000E5DE1" w:rsidRPr="00FC6760">
        <w:t>involves accepting that no single treatment system can address all addiction-related problems for families</w:t>
      </w:r>
      <w:r w:rsidR="000E5DE1">
        <w:t>. Engaged</w:t>
      </w:r>
      <w:r w:rsidR="000E5DE1" w:rsidRPr="00FC6760">
        <w:t xml:space="preserve"> commitment is needed that consists of an open, methodical, meaningful and ongoing search for the best responses for certain problems and families</w:t>
      </w:r>
      <w:r w:rsidR="000E5DE1">
        <w:t xml:space="preserve">. </w:t>
      </w:r>
      <w:r>
        <w:t xml:space="preserve">While </w:t>
      </w:r>
      <w:r w:rsidR="000E5DE1">
        <w:t xml:space="preserve">continually </w:t>
      </w:r>
      <w:r w:rsidRPr="00F10ADB">
        <w:t xml:space="preserve">questioning our understandings of people affected, what they need and how best to </w:t>
      </w:r>
      <w:r>
        <w:t xml:space="preserve">reduce harm and support them is </w:t>
      </w:r>
      <w:r w:rsidR="000E5DE1">
        <w:t xml:space="preserve">at times </w:t>
      </w:r>
      <w:r>
        <w:t>controversial</w:t>
      </w:r>
      <w:r w:rsidR="000E5DE1">
        <w:t xml:space="preserve"> and uncomfortable</w:t>
      </w:r>
      <w:r>
        <w:t xml:space="preserve">, we conclude that these conversations are vitally important to </w:t>
      </w:r>
      <w:r w:rsidR="007B1B73">
        <w:t xml:space="preserve">creating and sustaining </w:t>
      </w:r>
      <w:r>
        <w:t>person and family centred approaches, services and care.</w:t>
      </w:r>
      <w:r w:rsidR="001E4931">
        <w:t xml:space="preserve"> </w:t>
      </w:r>
      <w:r w:rsidR="001E4931" w:rsidRPr="001E4931">
        <w:t>In depth engagement with how a range of FAOs view and experience gambling harm and recovery</w:t>
      </w:r>
      <w:r w:rsidR="001E4931">
        <w:t xml:space="preserve"> is vital if we are to balance professional expertise with experiential authority</w:t>
      </w:r>
      <w:r w:rsidR="001E4931" w:rsidRPr="001E4931">
        <w:t>.</w:t>
      </w:r>
    </w:p>
    <w:p w14:paraId="226BABA0" w14:textId="17A3E22F" w:rsidR="003C1037" w:rsidRDefault="003C1037" w:rsidP="00136B47">
      <w:pPr>
        <w:jc w:val="both"/>
      </w:pPr>
    </w:p>
    <w:p w14:paraId="682B9685" w14:textId="0F06A6B6" w:rsidR="000E5DE1" w:rsidRDefault="000E5DE1" w:rsidP="00136B47">
      <w:pPr>
        <w:jc w:val="both"/>
      </w:pPr>
      <w:r>
        <w:t xml:space="preserve">Outcome and evaluation data relevant to supporting families harmed by gambling is extremely limited. </w:t>
      </w:r>
      <w:r w:rsidRPr="000E5DE1">
        <w:t>Transformative and action -oriented inquiry</w:t>
      </w:r>
      <w:r>
        <w:t xml:space="preserve"> may assist in opening up this field in ways that directly inform practice. O</w:t>
      </w:r>
      <w:r w:rsidRPr="000E5DE1">
        <w:t>ften we can come to understand a process or system much more deeply when we work together with key stakeholders to try to improve it</w:t>
      </w:r>
      <w:r>
        <w:t xml:space="preserve">. </w:t>
      </w:r>
      <w:r w:rsidR="007B1B73">
        <w:t>We argue that s</w:t>
      </w:r>
      <w:r w:rsidRPr="000E5DE1">
        <w:t>ervice enhancement is a journey that begins with an iterative, collaborative and inclusive inquiry process. For example, in our research, experts endorsed the practice of critical reflexivity. Critical reflexivity happens when professionals working in a field are supported to actively consider how their practices interact with prevailing knowledge systems, generally through exposure to different ways of thinking about intervention, and particularly as grounded in client’s experiences</w:t>
      </w:r>
      <w:r>
        <w:t xml:space="preserve">. The results of our expert consultation and analysis of addictions harm reduction literature could be used as a springboard for collaborative construction of principles of service design or re-design. </w:t>
      </w:r>
      <w:r w:rsidR="0004176E">
        <w:t>O</w:t>
      </w:r>
      <w:r>
        <w:t xml:space="preserve">ur exploration of current FAO support practice was limited </w:t>
      </w:r>
      <w:r>
        <w:lastRenderedPageBreak/>
        <w:t>and therefore indicative only</w:t>
      </w:r>
      <w:r w:rsidR="0004176E">
        <w:t>. W</w:t>
      </w:r>
      <w:r>
        <w:t>e found that s</w:t>
      </w:r>
      <w:r w:rsidRPr="000F3C4C">
        <w:t xml:space="preserve">ome services </w:t>
      </w:r>
      <w:r>
        <w:t xml:space="preserve">do </w:t>
      </w:r>
      <w:r w:rsidRPr="000F3C4C">
        <w:t>appear to be engaging with a high proportion of FAO clients</w:t>
      </w:r>
      <w:r>
        <w:t xml:space="preserve">, and/or engaging with explicitly family focussed paradigms and/or approaches that are aligned with the recommendations of our panel and research. </w:t>
      </w:r>
      <w:r w:rsidRPr="000F3C4C">
        <w:t xml:space="preserve">In depth engagement with </w:t>
      </w:r>
      <w:r w:rsidR="007B1B73">
        <w:t xml:space="preserve">these </w:t>
      </w:r>
      <w:r w:rsidRPr="000F3C4C">
        <w:t>gambling services</w:t>
      </w:r>
      <w:r w:rsidR="007B1B73">
        <w:t xml:space="preserve">, e.g. exploration of service development, ethos, support practices and outcomes for families, </w:t>
      </w:r>
      <w:r w:rsidRPr="000F3C4C">
        <w:t xml:space="preserve">could deliver </w:t>
      </w:r>
      <w:r w:rsidR="007B1B73">
        <w:t xml:space="preserve">important </w:t>
      </w:r>
      <w:r w:rsidRPr="000F3C4C">
        <w:t>learning and benefits for the gambling harm minimisation and prevention sector.</w:t>
      </w:r>
    </w:p>
    <w:p w14:paraId="63948FF5" w14:textId="08FE0BB6" w:rsidR="006D05F3" w:rsidRDefault="006D05F3" w:rsidP="00136B47">
      <w:pPr>
        <w:jc w:val="both"/>
      </w:pPr>
    </w:p>
    <w:p w14:paraId="151403FC" w14:textId="30761E04" w:rsidR="00644A2D" w:rsidRPr="00644A2D" w:rsidRDefault="00644A2D" w:rsidP="00644A2D">
      <w:pPr>
        <w:rPr>
          <w:b/>
          <w:bCs/>
        </w:rPr>
      </w:pPr>
      <w:r w:rsidRPr="00644A2D">
        <w:rPr>
          <w:b/>
          <w:bCs/>
        </w:rPr>
        <w:t>Final recommendations</w:t>
      </w:r>
    </w:p>
    <w:p w14:paraId="3E6A3DA5" w14:textId="7D34B3BB" w:rsidR="00644A2D" w:rsidRDefault="00644A2D" w:rsidP="00644A2D">
      <w:pPr>
        <w:jc w:val="both"/>
      </w:pPr>
      <w:r>
        <w:t>Taken together, our exploratory research suggests the following activities will enhance support for family and affected others (FAOs) in New Zealand gambling services:</w:t>
      </w:r>
    </w:p>
    <w:p w14:paraId="0CCBB3A5" w14:textId="77777777" w:rsidR="00644A2D" w:rsidRDefault="00644A2D" w:rsidP="00644A2D">
      <w:pPr>
        <w:pStyle w:val="ListParagraph"/>
        <w:numPr>
          <w:ilvl w:val="0"/>
          <w:numId w:val="32"/>
        </w:numPr>
        <w:jc w:val="both"/>
      </w:pPr>
      <w:r>
        <w:t>In depth engagement with how a range of FAOs view and experience gambling harm and recovery, and the development of models and approaches in accordance with this.</w:t>
      </w:r>
    </w:p>
    <w:p w14:paraId="7DB7661A" w14:textId="77777777" w:rsidR="00644A2D" w:rsidRDefault="00644A2D" w:rsidP="00644A2D">
      <w:pPr>
        <w:pStyle w:val="ListParagraph"/>
        <w:numPr>
          <w:ilvl w:val="0"/>
          <w:numId w:val="32"/>
        </w:numPr>
        <w:jc w:val="both"/>
      </w:pPr>
      <w:r>
        <w:t>Developing and expanding approaches that look beyond the individual to conceptualise harm and recovery as social and relational phenomena</w:t>
      </w:r>
    </w:p>
    <w:p w14:paraId="7FD4F73E" w14:textId="77777777" w:rsidR="00644A2D" w:rsidRDefault="00644A2D" w:rsidP="00644A2D">
      <w:pPr>
        <w:pStyle w:val="ListParagraph"/>
        <w:numPr>
          <w:ilvl w:val="0"/>
          <w:numId w:val="32"/>
        </w:numPr>
        <w:jc w:val="both"/>
      </w:pPr>
      <w:r>
        <w:t>Mindfully engaging multiple harm and recovery paradigms (</w:t>
      </w:r>
      <w:r w:rsidRPr="001A6DA4">
        <w:t>individual psychological and broader social, cultural and relational</w:t>
      </w:r>
      <w:r>
        <w:t>)</w:t>
      </w:r>
    </w:p>
    <w:p w14:paraId="281DF2D8" w14:textId="77777777" w:rsidR="00644A2D" w:rsidRDefault="00644A2D" w:rsidP="00644A2D">
      <w:pPr>
        <w:pStyle w:val="ListParagraph"/>
        <w:numPr>
          <w:ilvl w:val="0"/>
          <w:numId w:val="32"/>
        </w:numPr>
        <w:jc w:val="both"/>
      </w:pPr>
      <w:r>
        <w:t>Participatory research, service design and evaluation</w:t>
      </w:r>
    </w:p>
    <w:p w14:paraId="1FFA22E9" w14:textId="77777777" w:rsidR="00644A2D" w:rsidRDefault="00644A2D" w:rsidP="00644A2D">
      <w:pPr>
        <w:pStyle w:val="ListParagraph"/>
        <w:numPr>
          <w:ilvl w:val="0"/>
          <w:numId w:val="32"/>
        </w:numPr>
        <w:jc w:val="both"/>
      </w:pPr>
      <w:r>
        <w:t>Creative workforce development.</w:t>
      </w:r>
    </w:p>
    <w:p w14:paraId="5A1A0156" w14:textId="77777777" w:rsidR="00644A2D" w:rsidRDefault="00644A2D" w:rsidP="00644A2D">
      <w:pPr>
        <w:jc w:val="both"/>
      </w:pPr>
    </w:p>
    <w:p w14:paraId="2ADC7204" w14:textId="7BD080A5" w:rsidR="002C6015" w:rsidRPr="00820874" w:rsidRDefault="002C6015" w:rsidP="00820874">
      <w:pPr>
        <w:rPr>
          <w:b/>
          <w:bCs/>
        </w:rPr>
      </w:pPr>
      <w:r w:rsidRPr="00820874">
        <w:rPr>
          <w:b/>
          <w:bCs/>
        </w:rPr>
        <w:t xml:space="preserve">Limitations of this </w:t>
      </w:r>
      <w:r w:rsidR="00820874" w:rsidRPr="00820874">
        <w:rPr>
          <w:b/>
          <w:bCs/>
        </w:rPr>
        <w:t>inquiry</w:t>
      </w:r>
    </w:p>
    <w:p w14:paraId="352D0F5E" w14:textId="61A1EEC9" w:rsidR="00215BC8" w:rsidRDefault="006D05F3" w:rsidP="00495C74">
      <w:pPr>
        <w:jc w:val="both"/>
      </w:pPr>
      <w:r>
        <w:t>Our mixed methods inquiry has</w:t>
      </w:r>
      <w:r w:rsidRPr="005C015A">
        <w:t xml:space="preserve"> </w:t>
      </w:r>
      <w:r>
        <w:t xml:space="preserve">enabled the </w:t>
      </w:r>
      <w:r w:rsidRPr="005C015A">
        <w:t xml:space="preserve">triangulation of multiple data sources to suggest </w:t>
      </w:r>
      <w:r>
        <w:t xml:space="preserve">some </w:t>
      </w:r>
      <w:r w:rsidRPr="005C015A">
        <w:t>avenues for enhancing support for FAOs in New Zealand gambling services.</w:t>
      </w:r>
      <w:r>
        <w:t xml:space="preserve"> Our engagement with experts was limited by participant availability during the COVID-19 pandemic and suffered from low consumer participation. We argue that limited engagement with FAOs who use services (and those who do not) in gambling studies is a barrier to quality and effective support practice which should be addressed in future studies. O</w:t>
      </w:r>
      <w:r w:rsidRPr="005C015A">
        <w:t xml:space="preserve">ur exploration of current FAO support practice was </w:t>
      </w:r>
      <w:r>
        <w:t xml:space="preserve">high-level, </w:t>
      </w:r>
      <w:r w:rsidRPr="005C015A">
        <w:t>limited</w:t>
      </w:r>
      <w:r>
        <w:t xml:space="preserve"> in scope,</w:t>
      </w:r>
      <w:r w:rsidRPr="005C015A">
        <w:t xml:space="preserve"> and therefore indicative </w:t>
      </w:r>
      <w:r>
        <w:t xml:space="preserve">of future avenues of inquiry </w:t>
      </w:r>
      <w:r w:rsidRPr="005C015A">
        <w:t>only</w:t>
      </w:r>
      <w:r>
        <w:t>. We argue that in-depth exploration of current practice, with a view to service enhancement, is necessary to build an evidence base and improve support provided for FAOs.</w:t>
      </w:r>
    </w:p>
    <w:p w14:paraId="78CD835F" w14:textId="77777777" w:rsidR="00F66936" w:rsidRPr="005C46A2" w:rsidRDefault="00F66936" w:rsidP="00495C74">
      <w:pPr>
        <w:jc w:val="both"/>
      </w:pPr>
    </w:p>
    <w:p w14:paraId="0B04BBD7" w14:textId="37FE0FAF" w:rsidR="00DA6F4F" w:rsidRPr="007105B8" w:rsidRDefault="00DA6F4F" w:rsidP="007105B8">
      <w:pPr>
        <w:rPr>
          <w:b/>
          <w:bCs/>
        </w:rPr>
      </w:pPr>
      <w:r w:rsidRPr="007105B8">
        <w:rPr>
          <w:b/>
          <w:bCs/>
        </w:rPr>
        <w:t>Conclusion</w:t>
      </w:r>
    </w:p>
    <w:p w14:paraId="4BC64ABB" w14:textId="787C0BD5" w:rsidR="00F66936" w:rsidRDefault="0016743C" w:rsidP="00136B47">
      <w:pPr>
        <w:jc w:val="both"/>
      </w:pPr>
      <w:r>
        <w:t>This research was conducted to explore how gambling support services for family and affected others (FAOs) could be enhanced in New Zealand, in the context of long-standing disconnect between the expectations of families</w:t>
      </w:r>
      <w:r>
        <w:rPr>
          <w:lang w:val="en-GB"/>
        </w:rPr>
        <w:t>/</w:t>
      </w:r>
      <w:r w:rsidRPr="00C54755">
        <w:rPr>
          <w:lang w:val="en-GB"/>
        </w:rPr>
        <w:t>whānau</w:t>
      </w:r>
      <w:r>
        <w:t xml:space="preserve"> and mental health and addictions service delivery. </w:t>
      </w:r>
      <w:r w:rsidRPr="005B129B">
        <w:t xml:space="preserve">Addiction </w:t>
      </w:r>
      <w:r>
        <w:t xml:space="preserve">related harm in families </w:t>
      </w:r>
      <w:r w:rsidRPr="005B129B">
        <w:t xml:space="preserve">is a complex and multidimensional phenomenon. </w:t>
      </w:r>
      <w:r>
        <w:t>N</w:t>
      </w:r>
      <w:r w:rsidRPr="005B129B">
        <w:t xml:space="preserve">o single </w:t>
      </w:r>
      <w:r>
        <w:t xml:space="preserve">treatment </w:t>
      </w:r>
      <w:r w:rsidRPr="005B129B">
        <w:t>system can address all addiction-related problems for families</w:t>
      </w:r>
      <w:r>
        <w:t>. S</w:t>
      </w:r>
      <w:r w:rsidRPr="005B129B">
        <w:t>upport should therefore engage with the multiple mechanisms through which addiction develops, is maintained and harm experienced</w:t>
      </w:r>
      <w:r>
        <w:t>. A</w:t>
      </w:r>
      <w:r w:rsidRPr="00444166">
        <w:t>ddictions services tend to be guided by one approach to engaging and supporting FAOs at best</w:t>
      </w:r>
      <w:r>
        <w:t xml:space="preserve">, and to be dominated by the views of professionals. </w:t>
      </w:r>
      <w:r w:rsidRPr="00444166">
        <w:t xml:space="preserve">The service-user and person-centred movements within mental health care identify the role of services/interventions in helping FAOs to both conceptualise and articulate their </w:t>
      </w:r>
      <w:r>
        <w:t xml:space="preserve">multiple </w:t>
      </w:r>
      <w:r>
        <w:lastRenderedPageBreak/>
        <w:t xml:space="preserve">understandings of harm and recovery </w:t>
      </w:r>
      <w:r w:rsidRPr="00444166">
        <w:t xml:space="preserve">needs. </w:t>
      </w:r>
      <w:r>
        <w:t>Honouring Te Ti</w:t>
      </w:r>
      <w:r w:rsidR="00AD367B">
        <w:t>r</w:t>
      </w:r>
      <w:r>
        <w:t xml:space="preserve">iti o Waitangi by realising </w:t>
      </w:r>
      <w:r w:rsidRPr="00E1762A">
        <w:t>Māori</w:t>
      </w:r>
      <w:r>
        <w:t xml:space="preserve"> aspirations for tino rangatiratanga (self-governance) and mana motuhake (autonomy) will improve support for New Zealand families by centralising </w:t>
      </w:r>
      <w:r w:rsidRPr="00D769DC">
        <w:t>whānau (family systems)</w:t>
      </w:r>
      <w:r>
        <w:t xml:space="preserve"> and w</w:t>
      </w:r>
      <w:r w:rsidRPr="00D769DC">
        <w:t xml:space="preserve">hānaungatanga (relationships) </w:t>
      </w:r>
      <w:r>
        <w:t>in gambling harm reduction. Transformative and a</w:t>
      </w:r>
      <w:r w:rsidRPr="00444166">
        <w:t>ction-oriented</w:t>
      </w:r>
      <w:r>
        <w:t xml:space="preserve"> </w:t>
      </w:r>
      <w:r w:rsidRPr="00444166">
        <w:t xml:space="preserve">research has </w:t>
      </w:r>
      <w:r>
        <w:t>the potential</w:t>
      </w:r>
      <w:r w:rsidRPr="00444166">
        <w:t xml:space="preserve"> </w:t>
      </w:r>
      <w:r>
        <w:t xml:space="preserve">to facilitate </w:t>
      </w:r>
      <w:r w:rsidRPr="00444166">
        <w:t xml:space="preserve">in-depth and collaborative engagement between addictions service providers and FAOs in reshaping services to enhance the range and quality of support provided for FAOs. </w:t>
      </w:r>
      <w:bookmarkStart w:id="6" w:name="_Hlk57887740"/>
      <w:r>
        <w:t>C</w:t>
      </w:r>
      <w:r w:rsidRPr="00444166">
        <w:t xml:space="preserve">ollaborative techniques and processes </w:t>
      </w:r>
      <w:r>
        <w:t>(e.g. co-design and consumer governance roles)</w:t>
      </w:r>
      <w:bookmarkEnd w:id="6"/>
      <w:r>
        <w:t xml:space="preserve"> </w:t>
      </w:r>
      <w:r w:rsidRPr="00444166">
        <w:t>could be usefully employed to conceptualise, design, plan and evaluate enhanced gambling harm reduction services for FAOs</w:t>
      </w:r>
      <w:r>
        <w:t xml:space="preserve"> in New Zealand</w:t>
      </w:r>
      <w:r w:rsidRPr="00444166">
        <w:t xml:space="preserve">. </w:t>
      </w:r>
      <w:r>
        <w:t xml:space="preserve">These activities should be supported by </w:t>
      </w:r>
      <w:r w:rsidR="00851E4D">
        <w:t>government</w:t>
      </w:r>
      <w:r>
        <w:t xml:space="preserve"> policy and funding for </w:t>
      </w:r>
      <w:r w:rsidRPr="006B1561">
        <w:t>practitioner-inquirers</w:t>
      </w:r>
      <w:r>
        <w:t>, en</w:t>
      </w:r>
      <w:r w:rsidRPr="006B1561">
        <w:t>hancing workforce diversity</w:t>
      </w:r>
      <w:r>
        <w:t xml:space="preserve">, </w:t>
      </w:r>
      <w:r w:rsidRPr="006B1561">
        <w:t xml:space="preserve">family specific </w:t>
      </w:r>
      <w:r>
        <w:t xml:space="preserve">support and </w:t>
      </w:r>
      <w:r w:rsidRPr="006B1561">
        <w:t xml:space="preserve">intervention training and remodelling of current </w:t>
      </w:r>
      <w:r>
        <w:t xml:space="preserve">service </w:t>
      </w:r>
      <w:r w:rsidRPr="006B1561">
        <w:t xml:space="preserve">strategies </w:t>
      </w:r>
      <w:r>
        <w:t xml:space="preserve">and offerings </w:t>
      </w:r>
      <w:r w:rsidRPr="006B1561">
        <w:t>with families and children in mind</w:t>
      </w:r>
      <w:r>
        <w:t>.</w:t>
      </w:r>
    </w:p>
    <w:p w14:paraId="76E1F0E7" w14:textId="19DB79A0" w:rsidR="00765D10" w:rsidRPr="005C46A2" w:rsidRDefault="00765D10" w:rsidP="00495C74">
      <w:pPr>
        <w:spacing w:after="160" w:line="259" w:lineRule="auto"/>
        <w:jc w:val="both"/>
      </w:pPr>
      <w:r w:rsidRPr="005C46A2">
        <w:br w:type="page"/>
      </w:r>
    </w:p>
    <w:p w14:paraId="6EACB22D" w14:textId="01731A18" w:rsidR="007A34F5" w:rsidRPr="005C46A2" w:rsidRDefault="007A34F5" w:rsidP="00C13E89">
      <w:pPr>
        <w:pStyle w:val="Heading1"/>
        <w:jc w:val="both"/>
      </w:pPr>
      <w:bookmarkStart w:id="7" w:name="_Toc58400762"/>
      <w:r w:rsidRPr="005C46A2">
        <w:lastRenderedPageBreak/>
        <w:t>BACKGROUND</w:t>
      </w:r>
      <w:bookmarkEnd w:id="7"/>
      <w:r w:rsidRPr="005C46A2">
        <w:t xml:space="preserve"> </w:t>
      </w:r>
    </w:p>
    <w:p w14:paraId="6CD13FA6" w14:textId="2323975E" w:rsidR="002D21AF" w:rsidRDefault="002D21AF" w:rsidP="002D21AF">
      <w:pPr>
        <w:jc w:val="both"/>
      </w:pPr>
      <w:r w:rsidRPr="000C52B2">
        <w:t xml:space="preserve">The need for gambling harm reduction services to address family and affected others (FAOs) is clear. Approximately 8% of the New Zealand population </w:t>
      </w:r>
      <w:r>
        <w:t xml:space="preserve">report </w:t>
      </w:r>
      <w:r w:rsidRPr="000C52B2">
        <w:t>experienc</w:t>
      </w:r>
      <w:r>
        <w:t>ing</w:t>
      </w:r>
      <w:r w:rsidRPr="000C52B2">
        <w:t xml:space="preserve"> harm related to the gambling of someone close to them </w:t>
      </w:r>
      <w:r w:rsidRPr="000C52B2">
        <w:fldChar w:fldCharType="begin"/>
      </w:r>
      <w:r w:rsidR="00D945BB">
        <w:instrText xml:space="preserve"> ADDIN EN.CITE &lt;EndNote&gt;&lt;Cite&gt;&lt;Author&gt;Abbott&lt;/Author&gt;&lt;Year&gt;2014&lt;/Year&gt;&lt;RecNum&gt;11&lt;/RecNum&gt;&lt;DisplayText&gt;(Abbott, Bellringer, Garrett, &amp;amp; Mundy-McPherson, 2014)&lt;/DisplayText&gt;&lt;record&gt;&lt;rec-number&gt;11&lt;/rec-number&gt;&lt;foreign-keys&gt;&lt;key app="EN" db-id="25rszwft292ev3esrpvpde0cpxrd9ex0xspp" timestamp="1536107177"&gt;11&lt;/key&gt;&lt;/foreign-keys&gt;&lt;ref-type name="Report"&gt;27&lt;/ref-type&gt;&lt;contributors&gt;&lt;authors&gt;&lt;author&gt;Abbott, Max&lt;/author&gt;&lt;author&gt;Bellringer, Maria&lt;/author&gt;&lt;author&gt;Garrett, Nick&lt;/author&gt;&lt;author&gt;Mundy-McPherson, Stuart&lt;/author&gt;&lt;/authors&gt;&lt;/contributors&gt;&lt;titles&gt;&lt;title&gt;New Zealand National Gambling Study: Gambling harm and problem gambling report number 2 prepared for the Ministry of Health&lt;/title&gt;&lt;/titles&gt;&lt;dates&gt;&lt;year&gt;2014&lt;/year&gt;&lt;/dates&gt;&lt;pub-location&gt;Auckland&lt;/pub-location&gt;&lt;publisher&gt;Gambling and Addictions Research Centre, Auckland University of Technology&lt;/publisher&gt;&lt;urls&gt;&lt;/urls&gt;&lt;/record&gt;&lt;/Cite&gt;&lt;/EndNote&gt;</w:instrText>
      </w:r>
      <w:r w:rsidRPr="000C52B2">
        <w:fldChar w:fldCharType="separate"/>
      </w:r>
      <w:r w:rsidR="00D945BB">
        <w:rPr>
          <w:noProof/>
        </w:rPr>
        <w:t>(Abbott, Bellringer, Garrett, &amp; Mundy-McPherson, 2014)</w:t>
      </w:r>
      <w:r w:rsidRPr="000C52B2">
        <w:fldChar w:fldCharType="end"/>
      </w:r>
      <w:r w:rsidRPr="000C52B2">
        <w:t xml:space="preserve">. </w:t>
      </w:r>
      <w:r w:rsidR="00212352">
        <w:t>R</w:t>
      </w:r>
      <w:r w:rsidR="00212352" w:rsidRPr="00212352">
        <w:t>esearch has demonstrated that around six others are directly affected by someone classified as a high</w:t>
      </w:r>
      <w:r w:rsidR="00212352">
        <w:t>-</w:t>
      </w:r>
      <w:r w:rsidR="00212352" w:rsidRPr="00212352">
        <w:t>risk gambler</w:t>
      </w:r>
      <w:r w:rsidR="00212352">
        <w:t xml:space="preserve"> </w:t>
      </w:r>
      <w:r w:rsidR="00212352">
        <w:fldChar w:fldCharType="begin"/>
      </w:r>
      <w:r w:rsidR="00212352">
        <w:instrText xml:space="preserve"> ADDIN EN.CITE &lt;EndNote&gt;&lt;Cite&gt;&lt;Author&gt;Goodwin&lt;/Author&gt;&lt;Year&gt;2017&lt;/Year&gt;&lt;RecNum&gt;1&lt;/RecNum&gt;&lt;DisplayText&gt;(Goodwin, Browne, Rockloff, &amp;amp; Rose, 2017)&lt;/DisplayText&gt;&lt;record&gt;&lt;rec-number&gt;1&lt;/rec-number&gt;&lt;foreign-keys&gt;&lt;key app="EN" db-id="25rszwft292ev3esrpvpde0cpxrd9ex0xspp" timestamp="1530752515"&gt;1&lt;/key&gt;&lt;/foreign-keys&gt;&lt;ref-type name="Journal Article"&gt;17&lt;/ref-type&gt;&lt;contributors&gt;&lt;authors&gt;&lt;author&gt;Goodwin, Belinda C&lt;/author&gt;&lt;author&gt;Browne, Matthew&lt;/author&gt;&lt;author&gt;Rockloff, Matthew&lt;/author&gt;&lt;author&gt;Rose, Judy&lt;/author&gt;&lt;/authors&gt;&lt;/contributors&gt;&lt;titles&gt;&lt;title&gt;A typical problem gambler affects six others&lt;/title&gt;&lt;secondary-title&gt;International Gambling Studies&lt;/secondary-title&gt;&lt;/titles&gt;&lt;periodical&gt;&lt;full-title&gt;International Gambling Studies&lt;/full-title&gt;&lt;/periodical&gt;&lt;pages&gt;276-289&lt;/pages&gt;&lt;volume&gt;17&lt;/volume&gt;&lt;number&gt;2&lt;/number&gt;&lt;dates&gt;&lt;year&gt;2017&lt;/year&gt;&lt;/dates&gt;&lt;isbn&gt;1445-9795&lt;/isbn&gt;&lt;urls&gt;&lt;/urls&gt;&lt;/record&gt;&lt;/Cite&gt;&lt;/EndNote&gt;</w:instrText>
      </w:r>
      <w:r w:rsidR="00212352">
        <w:fldChar w:fldCharType="separate"/>
      </w:r>
      <w:r w:rsidR="00212352">
        <w:rPr>
          <w:noProof/>
        </w:rPr>
        <w:t>(Goodwin, Browne, Rockloff, &amp; Rose, 2017)</w:t>
      </w:r>
      <w:r w:rsidR="00212352">
        <w:fldChar w:fldCharType="end"/>
      </w:r>
      <w:r w:rsidR="00212352" w:rsidRPr="00212352">
        <w:t>.</w:t>
      </w:r>
      <w:r w:rsidR="00212352">
        <w:t xml:space="preserve"> </w:t>
      </w:r>
      <w:r w:rsidRPr="000C52B2">
        <w:t xml:space="preserve">Partners and especially children, suffer both mental and physical health problems connected to living in a state of fear, anger, guilt, despair, loss and uncertainty as well as loss of safety and financial security </w:t>
      </w:r>
      <w:r w:rsidRPr="000C52B2">
        <w:fldChar w:fldCharType="begin"/>
      </w:r>
      <w:r w:rsidRPr="000C52B2">
        <w:instrText xml:space="preserve"> ADDIN EN.CITE &lt;EndNote&gt;&lt;Cite&gt;&lt;Author&gt;Kourgiantakis&lt;/Author&gt;&lt;Year&gt;2013&lt;/Year&gt;&lt;RecNum&gt;25&lt;/RecNum&gt;&lt;DisplayText&gt;(Kourgiantakis, Saint-Jacques, &amp;amp; Tremblay, 2013; Riley, Harvey, Crisp, Battersby, &amp;amp; Lawn, 2018)&lt;/DisplayText&gt;&lt;record&gt;&lt;rec-number&gt;25&lt;/rec-number&gt;&lt;foreign-keys&gt;&lt;key app="EN" db-id="25rszwft292ev3esrpvpde0cpxrd9ex0xspp" timestamp="1550006705"&gt;25&lt;/key&gt;&lt;/foreign-keys&gt;&lt;ref-type name="Journal Article"&gt;17&lt;/ref-type&gt;&lt;contributors&gt;&lt;authors&gt;&lt;author&gt;Kourgiantakis, Toula&lt;/author&gt;&lt;author&gt;Saint-Jacques, Marie-Christine&lt;/author&gt;&lt;author&gt;Tremblay, Joël&lt;/author&gt;&lt;/authors&gt;&lt;/contributors&gt;&lt;titles&gt;&lt;title&gt;Problem gambling and families: A systematic review&lt;/title&gt;&lt;secondary-title&gt;Journal of Social Work Practice in the Addictions&lt;/secondary-title&gt;&lt;/titles&gt;&lt;periodical&gt;&lt;full-title&gt;Journal of Social Work Practice in the Addictions&lt;/full-title&gt;&lt;/periodical&gt;&lt;pages&gt;353-372&lt;/pages&gt;&lt;volume&gt;13&lt;/volume&gt;&lt;number&gt;4&lt;/number&gt;&lt;dates&gt;&lt;year&gt;2013&lt;/year&gt;&lt;/dates&gt;&lt;isbn&gt;1533-256X&lt;/isbn&gt;&lt;urls&gt;&lt;/urls&gt;&lt;/record&gt;&lt;/Cite&gt;&lt;Cite&gt;&lt;Author&gt;Riley&lt;/Author&gt;&lt;Year&gt;2018&lt;/Year&gt;&lt;RecNum&gt;26&lt;/RecNum&gt;&lt;record&gt;&lt;rec-number&gt;26&lt;/rec-number&gt;&lt;foreign-keys&gt;&lt;key app="EN" db-id="25rszwft292ev3esrpvpde0cpxrd9ex0xspp" timestamp="1550006765"&gt;26&lt;/key&gt;&lt;/foreign-keys&gt;&lt;ref-type name="Journal Article"&gt;17&lt;/ref-type&gt;&lt;contributors&gt;&lt;authors&gt;&lt;author&gt;Riley, Ben J&lt;/author&gt;&lt;author&gt;Harvey, Peter&lt;/author&gt;&lt;author&gt;Crisp, Beth R&lt;/author&gt;&lt;author&gt;Battersby, Malcolm&lt;/author&gt;&lt;author&gt;Lawn, Sharon&lt;/author&gt;&lt;/authors&gt;&lt;/contributors&gt;&lt;titles&gt;&lt;title&gt;Gambling-related harm as reported by concerned significant others: a systematic review and meta-synthesis of empirical studies&lt;/title&gt;&lt;secondary-title&gt;Journal of Family Studies&lt;/secondary-title&gt;&lt;/titles&gt;&lt;periodical&gt;&lt;full-title&gt;Journal of Family Studies&lt;/full-title&gt;&lt;/periodical&gt;&lt;pages&gt;1-19&lt;/pages&gt;&lt;dates&gt;&lt;year&gt;2018&lt;/year&gt;&lt;/dates&gt;&lt;isbn&gt;1322-9400&lt;/isbn&gt;&lt;urls&gt;&lt;/urls&gt;&lt;/record&gt;&lt;/Cite&gt;&lt;/EndNote&gt;</w:instrText>
      </w:r>
      <w:r w:rsidRPr="000C52B2">
        <w:fldChar w:fldCharType="separate"/>
      </w:r>
      <w:r w:rsidRPr="000C52B2">
        <w:t>(Kourgiantakis, Saint-Jacques, &amp; Tremblay, 2013; Riley, Harvey, Crisp, Battersby, &amp; Lawn, 2018)</w:t>
      </w:r>
      <w:r w:rsidRPr="000C52B2">
        <w:fldChar w:fldCharType="end"/>
      </w:r>
      <w:r w:rsidRPr="000C52B2">
        <w:t xml:space="preserve">. These issues can linger long after the harmful gambling has stopped, as encapsulated by the notion of ‘legacy gambling harm’ </w:t>
      </w:r>
      <w:r w:rsidRPr="000C52B2">
        <w:fldChar w:fldCharType="begin"/>
      </w:r>
      <w:r w:rsidRPr="000C52B2">
        <w:instrText xml:space="preserve"> ADDIN EN.CITE &lt;EndNote&gt;&lt;Cite&gt;&lt;Author&gt;Darbyshire&lt;/Author&gt;&lt;Year&gt;2001&lt;/Year&gt;&lt;RecNum&gt;24&lt;/RecNum&gt;&lt;DisplayText&gt;(Darbyshire, Oster, &amp;amp; Carrig, 2001; Langham et al., 2015)&lt;/DisplayText&gt;&lt;record&gt;&lt;rec-number&gt;24&lt;/rec-number&gt;&lt;foreign-keys&gt;&lt;key app="EN" db-id="25rszwft292ev3esrpvpde0cpxrd9ex0xspp" timestamp="1550006624"&gt;24&lt;/key&gt;&lt;/foreign-keys&gt;&lt;ref-type name="Journal Article"&gt;17&lt;/ref-type&gt;&lt;contributors&gt;&lt;authors&gt;&lt;author&gt;Darbyshire, Philip&lt;/author&gt;&lt;author&gt;Oster, Candice&lt;/author&gt;&lt;author&gt;Carrig, Helen&lt;/author&gt;&lt;/authors&gt;&lt;/contributors&gt;&lt;titles&gt;&lt;title&gt;The experience of pervasive loss: Children and young people living in a family where parental gambling is a problem&lt;/title&gt;&lt;secondary-title&gt;Journal of gambling studies&lt;/secondary-title&gt;&lt;/titles&gt;&lt;periodical&gt;&lt;full-title&gt;Journal of gambling studies&lt;/full-title&gt;&lt;/periodical&gt;&lt;pages&gt;23-45&lt;/pages&gt;&lt;volume&gt;17&lt;/volume&gt;&lt;number&gt;1&lt;/number&gt;&lt;dates&gt;&lt;year&gt;2001&lt;/year&gt;&lt;/dates&gt;&lt;isbn&gt;1050-5350&lt;/isbn&gt;&lt;urls&gt;&lt;/urls&gt;&lt;/record&gt;&lt;/Cite&gt;&lt;Cite&gt;&lt;Author&gt;Langham&lt;/Author&gt;&lt;Year&gt;2015&lt;/Year&gt;&lt;RecNum&gt;2&lt;/RecNum&gt;&lt;record&gt;&lt;rec-number&gt;2&lt;/rec-number&gt;&lt;foreign-keys&gt;&lt;key app="EN" db-id="25rszwft292ev3esrpvpde0cpxrd9ex0xspp" timestamp="1536105706"&gt;2&lt;/key&gt;&lt;/foreign-keys&gt;&lt;ref-type name="Journal Article"&gt;17&lt;/ref-type&gt;&lt;contributors&gt;&lt;authors&gt;&lt;author&gt;Langham, Erika&lt;/author&gt;&lt;author&gt;Thorne, Hannah&lt;/author&gt;&lt;author&gt;Browne, Matthew&lt;/author&gt;&lt;author&gt;Donaldson, Phillip&lt;/author&gt;&lt;author&gt;Rose, Judy&lt;/author&gt;&lt;author&gt;Rockloff, Matthew&lt;/author&gt;&lt;/authors&gt;&lt;/contributors&gt;&lt;titles&gt;&lt;title&gt;Understanding gambling related harm: A proposed definition, conceptual framework, and taxonomy of harms&lt;/title&gt;&lt;secondary-title&gt;BMC public health&lt;/secondary-title&gt;&lt;/titles&gt;&lt;periodical&gt;&lt;full-title&gt;BMC public health&lt;/full-title&gt;&lt;/periodical&gt;&lt;pages&gt;80&lt;/pages&gt;&lt;volume&gt;16&lt;/volume&gt;&lt;number&gt;1&lt;/number&gt;&lt;dates&gt;&lt;year&gt;2015&lt;/year&gt;&lt;/dates&gt;&lt;isbn&gt;1471-2458&lt;/isbn&gt;&lt;urls&gt;&lt;/urls&gt;&lt;/record&gt;&lt;/Cite&gt;&lt;/EndNote&gt;</w:instrText>
      </w:r>
      <w:r w:rsidRPr="000C52B2">
        <w:fldChar w:fldCharType="separate"/>
      </w:r>
      <w:r w:rsidRPr="000C52B2">
        <w:t>(Darbyshire, Oster, &amp; Carrig, 2001; Langham et al., 2015)</w:t>
      </w:r>
      <w:r w:rsidRPr="000C52B2">
        <w:fldChar w:fldCharType="end"/>
      </w:r>
      <w:r w:rsidRPr="000C52B2">
        <w:t>.</w:t>
      </w:r>
      <w:r>
        <w:t xml:space="preserve"> There are </w:t>
      </w:r>
      <w:r w:rsidRPr="002D21AF">
        <w:t>high relapse rates for people experiencing gambling problems (Ledgerwood &amp; Petry, 2006)</w:t>
      </w:r>
      <w:r>
        <w:t xml:space="preserve">, and </w:t>
      </w:r>
      <w:r w:rsidRPr="002D21AF">
        <w:t>chronic gambling disorders leave lifelong vulnerability</w:t>
      </w:r>
      <w:r>
        <w:t xml:space="preserve"> to harm</w:t>
      </w:r>
      <w:r w:rsidRPr="002D21AF">
        <w:t xml:space="preserve"> (Volberg 2002).</w:t>
      </w:r>
      <w:r>
        <w:t xml:space="preserve"> T</w:t>
      </w:r>
      <w:r w:rsidRPr="007E18E0">
        <w:t xml:space="preserve">here is limited research exploring the role of FAOs in the treatment of problem gamblers </w:t>
      </w:r>
      <w:r w:rsidRPr="007E18E0">
        <w:fldChar w:fldCharType="begin"/>
      </w:r>
      <w:r>
        <w:instrText xml:space="preserve"> ADDIN EN.CITE &lt;EndNote&gt;&lt;Cite&gt;&lt;Author&gt;Kourgiantakis&lt;/Author&gt;&lt;Year&gt;2018&lt;/Year&gt;&lt;RecNum&gt;37&lt;/RecNum&gt;&lt;DisplayText&gt;(Kourgiantakis et al., 2018)&lt;/DisplayText&gt;&lt;record&gt;&lt;rec-number&gt;37&lt;/rec-number&gt;&lt;foreign-keys&gt;&lt;key app="EN" db-id="25rszwft292ev3esrpvpde0cpxrd9ex0xspp" timestamp="1550176913"&gt;37&lt;/key&gt;&lt;/foreign-keys&gt;&lt;ref-type name="Journal Article"&gt;17&lt;/ref-type&gt;&lt;contributors&gt;&lt;authors&gt;&lt;author&gt;Kourgiantakis, Toula&lt;/author&gt;&lt;author&gt;Saint-Jacques, Marie-Christine&lt;/author&gt;&lt;author&gt;Tremblay, Joël&lt;/author&gt;&lt;/authors&gt;&lt;/contributors&gt;&lt;titles&gt;&lt;title&gt;Facilitators and barriers to family involvement in problem gambling treatment&lt;/title&gt;&lt;secondary-title&gt;International Journal of Mental Health and Addiction&lt;/secondary-title&gt;&lt;/titles&gt;&lt;periodical&gt;&lt;full-title&gt;International Journal of Mental Health and Addiction&lt;/full-title&gt;&lt;/periodical&gt;&lt;pages&gt;291-312&lt;/pages&gt;&lt;volume&gt;16&lt;/volume&gt;&lt;number&gt;2&lt;/number&gt;&lt;dates&gt;&lt;year&gt;2018&lt;/year&gt;&lt;/dates&gt;&lt;isbn&gt;1557-1874&lt;/isbn&gt;&lt;urls&gt;&lt;/urls&gt;&lt;/record&gt;&lt;/Cite&gt;&lt;/EndNote&gt;</w:instrText>
      </w:r>
      <w:r w:rsidRPr="007E18E0">
        <w:fldChar w:fldCharType="separate"/>
      </w:r>
      <w:r>
        <w:rPr>
          <w:noProof/>
        </w:rPr>
        <w:t>(Kourgiantakis et al., 2018)</w:t>
      </w:r>
      <w:r w:rsidRPr="007E18E0">
        <w:fldChar w:fldCharType="end"/>
      </w:r>
      <w:r w:rsidRPr="007E18E0">
        <w:t xml:space="preserve">, </w:t>
      </w:r>
      <w:r>
        <w:t xml:space="preserve">and </w:t>
      </w:r>
      <w:r w:rsidRPr="007E18E0">
        <w:t xml:space="preserve">even fewer studies have </w:t>
      </w:r>
      <w:r>
        <w:t xml:space="preserve">focussed on FAO needs or </w:t>
      </w:r>
      <w:r w:rsidRPr="007E18E0">
        <w:t>developed</w:t>
      </w:r>
      <w:r>
        <w:t>, documented</w:t>
      </w:r>
      <w:r w:rsidRPr="007E18E0">
        <w:t xml:space="preserve"> and explored the efficacy of </w:t>
      </w:r>
      <w:r>
        <w:t>support</w:t>
      </w:r>
      <w:r w:rsidRPr="007E18E0">
        <w:t xml:space="preserve"> designed especially for them </w:t>
      </w:r>
      <w:r w:rsidRPr="007E18E0">
        <w:fldChar w:fldCharType="begin"/>
      </w:r>
      <w:r>
        <w:instrText xml:space="preserve"> ADDIN EN.CITE &lt;EndNote&gt;&lt;Cite&gt;&lt;Author&gt;Rodda&lt;/Author&gt;&lt;Year&gt;2019&lt;/Year&gt;&lt;RecNum&gt;269&lt;/RecNum&gt;&lt;DisplayText&gt;(Rodda et al., 2019)&lt;/DisplayText&gt;&lt;record&gt;&lt;rec-number&gt;269&lt;/rec-number&gt;&lt;foreign-keys&gt;&lt;key app="EN" db-id="25rszwft292ev3esrpvpde0cpxrd9ex0xspp" timestamp="1590456656"&gt;269&lt;/key&gt;&lt;/foreign-keys&gt;&lt;ref-type name="Journal Article"&gt;17&lt;/ref-type&gt;&lt;contributors&gt;&lt;authors&gt;&lt;author&gt;Rodda, Simone&lt;/author&gt;&lt;author&gt;Dowling, Nicki A&lt;/author&gt;&lt;author&gt;Thomas, Anna C&lt;/author&gt;&lt;author&gt;Bagot, Kathleen L&lt;/author&gt;&lt;author&gt;Lubman, Dan I&lt;/author&gt;&lt;/authors&gt;&lt;/contributors&gt;&lt;titles&gt;&lt;title&gt;Treatment for Family Members of People Experiencing Gambling Problems: Family Members Want Both Gambler-Focused and Family-Focused Options&lt;/title&gt;&lt;secondary-title&gt;International Journal of Mental Health and Addiction&lt;/secondary-title&gt;&lt;/titles&gt;&lt;periodical&gt;&lt;full-title&gt;International Journal of Mental Health and Addiction&lt;/full-title&gt;&lt;/periodical&gt;&lt;pages&gt;1-17&lt;/pages&gt;&lt;dates&gt;&lt;year&gt;2019&lt;/year&gt;&lt;/dates&gt;&lt;isbn&gt;1557-1874&lt;/isbn&gt;&lt;urls&gt;&lt;/urls&gt;&lt;/record&gt;&lt;/Cite&gt;&lt;/EndNote&gt;</w:instrText>
      </w:r>
      <w:r w:rsidRPr="007E18E0">
        <w:fldChar w:fldCharType="separate"/>
      </w:r>
      <w:r>
        <w:rPr>
          <w:noProof/>
        </w:rPr>
        <w:t>(Rodda et al., 2019)</w:t>
      </w:r>
      <w:r w:rsidRPr="007E18E0">
        <w:fldChar w:fldCharType="end"/>
      </w:r>
      <w:r w:rsidRPr="007E18E0">
        <w:t xml:space="preserve">. </w:t>
      </w:r>
    </w:p>
    <w:p w14:paraId="39F7B10D" w14:textId="77777777" w:rsidR="002D21AF" w:rsidRDefault="002D21AF" w:rsidP="002B56C5">
      <w:pPr>
        <w:jc w:val="both"/>
      </w:pPr>
    </w:p>
    <w:p w14:paraId="290F2DD8" w14:textId="0E6F2F24" w:rsidR="002B56C5" w:rsidRDefault="002B56C5" w:rsidP="002B56C5">
      <w:pPr>
        <w:jc w:val="both"/>
      </w:pPr>
      <w:r w:rsidRPr="00110DCC">
        <w:t xml:space="preserve">Family </w:t>
      </w:r>
      <w:r w:rsidR="003A42B8">
        <w:t>engagement with services</w:t>
      </w:r>
      <w:r w:rsidRPr="00110DCC">
        <w:t xml:space="preserve"> has been associated with preventing and/or influencing the course of addictions, triggering people </w:t>
      </w:r>
      <w:r w:rsidR="00D97D90">
        <w:t xml:space="preserve">who are resistant to treatment </w:t>
      </w:r>
      <w:r w:rsidRPr="00110DCC">
        <w:t xml:space="preserve">to seek </w:t>
      </w:r>
      <w:r w:rsidR="00D97D90">
        <w:t>help</w:t>
      </w:r>
      <w:r w:rsidRPr="00110DCC">
        <w:t xml:space="preserve">, improving outcomes for the person with the addiction, helping to prevent relapse, as well as diminishing the negative effects of addiction on the family </w:t>
      </w:r>
      <w:r w:rsidRPr="00110DCC">
        <w:fldChar w:fldCharType="begin"/>
      </w:r>
      <w:r w:rsidRPr="00110DCC">
        <w:instrText xml:space="preserve"> ADDIN EN.CITE &lt;EndNote&gt;&lt;Cite&gt;&lt;Author&gt;Hampson&lt;/Author&gt;&lt;Year&gt;2012&lt;/Year&gt;&lt;RecNum&gt;255&lt;/RecNum&gt;&lt;DisplayText&gt;(Hampson, 2012)&lt;/DisplayText&gt;&lt;record&gt;&lt;rec-number&gt;255&lt;/rec-number&gt;&lt;foreign-keys&gt;&lt;key app="EN" db-id="25rszwft292ev3esrpvpde0cpxrd9ex0xspp" timestamp="1589926892"&gt;255&lt;/key&gt;&lt;/foreign-keys&gt;&lt;ref-type name="Thesis"&gt;32&lt;/ref-type&gt;&lt;contributors&gt;&lt;authors&gt;&lt;author&gt;Hampson, Claire&lt;/author&gt;&lt;/authors&gt;&lt;/contributors&gt;&lt;titles&gt;&lt;title&gt;Integrating family-focussed practice into routine addiction services&lt;/title&gt;&lt;secondary-title&gt;School of Psychology&lt;/secondary-title&gt;&lt;/titles&gt;&lt;volume&gt;Doctor of Philosophy&lt;/volume&gt;&lt;dates&gt;&lt;year&gt;2012&lt;/year&gt;&lt;/dates&gt;&lt;pub-location&gt;Birmingham, UK.&lt;/pub-location&gt;&lt;publisher&gt;The University of Birmingham&lt;/publisher&gt;&lt;urls&gt;&lt;/urls&gt;&lt;/record&gt;&lt;/Cite&gt;&lt;/EndNote&gt;</w:instrText>
      </w:r>
      <w:r w:rsidRPr="00110DCC">
        <w:fldChar w:fldCharType="separate"/>
      </w:r>
      <w:r w:rsidRPr="00110DCC">
        <w:t>(Hampson, 2012)</w:t>
      </w:r>
      <w:r w:rsidRPr="00110DCC">
        <w:fldChar w:fldCharType="end"/>
      </w:r>
      <w:r w:rsidRPr="00110DCC">
        <w:t xml:space="preserve">. Indeed, it has long been argued that the only reason not to </w:t>
      </w:r>
      <w:r>
        <w:t>address</w:t>
      </w:r>
      <w:r w:rsidRPr="00110DCC">
        <w:t xml:space="preserve"> FAOs in addictions service provision is if their involvement is refused by the FAOs themselves or by the person with the addiction (</w:t>
      </w:r>
      <w:r w:rsidR="0062684C">
        <w:t xml:space="preserve">e.g. </w:t>
      </w:r>
      <w:r w:rsidRPr="00110DCC">
        <w:t xml:space="preserve">O’Farrell, 1993). </w:t>
      </w:r>
      <w:r w:rsidRPr="000C52B2">
        <w:t xml:space="preserve">Appropriate and timely provision of </w:t>
      </w:r>
      <w:r>
        <w:t xml:space="preserve">addiction related </w:t>
      </w:r>
      <w:r w:rsidRPr="000C52B2">
        <w:t xml:space="preserve">support and services for FAOs </w:t>
      </w:r>
      <w:r>
        <w:t>can</w:t>
      </w:r>
      <w:r w:rsidRPr="000C52B2">
        <w:t xml:space="preserve"> reduce the severity and range of harms families experience </w:t>
      </w:r>
      <w:r w:rsidR="00756089">
        <w:fldChar w:fldCharType="begin">
          <w:fldData xml:space="preserve">PEVuZE5vdGU+PENpdGU+PEF1dGhvcj5BZGFtczwvQXV0aG9yPjxZZWFyPjIwMDc8L1llYXI+PFJl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</w:fldData>
        </w:fldChar>
      </w:r>
      <w:r w:rsidR="001D57D0">
        <w:instrText xml:space="preserve"> ADDIN EN.CITE </w:instrText>
      </w:r>
      <w:r w:rsidR="001D57D0">
        <w:fldChar w:fldCharType="begin">
          <w:fldData xml:space="preserve">PEVuZE5vdGU+PENpdGU+PEF1dGhvcj5BZGFtczwvQXV0aG9yPjxZZWFyPjIwMDc8L1llYXI+PFJl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</w:fldData>
        </w:fldChar>
      </w:r>
      <w:r w:rsidR="001D57D0">
        <w:instrText xml:space="preserve"> ADDIN EN.CITE.DATA </w:instrText>
      </w:r>
      <w:r w:rsidR="001D57D0">
        <w:fldChar w:fldCharType="end"/>
      </w:r>
      <w:r w:rsidR="00756089">
        <w:fldChar w:fldCharType="separate"/>
      </w:r>
      <w:r w:rsidR="001D57D0">
        <w:rPr>
          <w:noProof/>
        </w:rPr>
        <w:t>(Adams, 2007a; Orford, Copello, Velleman, &amp; Templeton, 2010; Orford, Cousins, Smith, &amp; Bowden-Jones, 2017)</w:t>
      </w:r>
      <w:r w:rsidR="00756089">
        <w:fldChar w:fldCharType="end"/>
      </w:r>
      <w:r w:rsidR="00756089">
        <w:t xml:space="preserve">. </w:t>
      </w:r>
      <w:r>
        <w:t xml:space="preserve">However </w:t>
      </w:r>
      <w:bookmarkStart w:id="8" w:name="_Hlk51681793"/>
      <w:r w:rsidRPr="007E18E0">
        <w:t xml:space="preserve">multiple </w:t>
      </w:r>
      <w:r>
        <w:t xml:space="preserve">international </w:t>
      </w:r>
      <w:r w:rsidRPr="007E18E0">
        <w:t xml:space="preserve">studies have </w:t>
      </w:r>
      <w:r>
        <w:t>shown that</w:t>
      </w:r>
      <w:r w:rsidRPr="007E18E0">
        <w:t xml:space="preserve"> </w:t>
      </w:r>
      <w:r>
        <w:t>successful integration</w:t>
      </w:r>
      <w:r w:rsidRPr="007E18E0">
        <w:t xml:space="preserve"> of family-focussed approaches into routine addictions service provision </w:t>
      </w:r>
      <w:r>
        <w:t xml:space="preserve">is both challenging and rare </w:t>
      </w:r>
      <w:r w:rsidRPr="007E18E0">
        <w:t xml:space="preserve">(e.g. Fals-Stewart &amp; Logsdon, 2004; Lee, Christie, Copello &amp; Kellett, 2012; Sawyer &amp; Campbell, 2009). </w:t>
      </w:r>
      <w:r w:rsidRPr="007E18E0">
        <w:rPr>
          <w:lang w:val="en-GB"/>
        </w:rPr>
        <w:t>T</w:t>
      </w:r>
      <w:r w:rsidRPr="007E18E0">
        <w:t xml:space="preserve">he most recent </w:t>
      </w:r>
      <w:r>
        <w:t xml:space="preserve">New Zealand </w:t>
      </w:r>
      <w:r w:rsidRPr="007E18E0">
        <w:t xml:space="preserve">government inquiry into mental health and addiction services (He Ara Oranga) heard that families and </w:t>
      </w:r>
      <w:r w:rsidRPr="007E18E0">
        <w:rPr>
          <w:lang w:val="en-GB"/>
        </w:rPr>
        <w:t>whānau</w:t>
      </w:r>
      <w:r w:rsidRPr="007E18E0">
        <w:t xml:space="preserve"> continue to feel disconnected, excluded and underserved by services </w:t>
      </w:r>
      <w:r w:rsidRPr="007E18E0">
        <w:fldChar w:fldCharType="begin"/>
      </w:r>
      <w:r w:rsidR="00500E0C">
        <w:instrText xml:space="preserve"> ADDIN EN.CITE &lt;EndNote&gt;&lt;Cite&gt;&lt;Author&gt;Patterson&lt;/Author&gt;&lt;Year&gt;2018&lt;/Year&gt;&lt;RecNum&gt;240&lt;/RecNum&gt;&lt;DisplayText&gt;(Patterson et al., 2018)&lt;/DisplayText&gt;&lt;record&gt;&lt;rec-number&gt;240&lt;/rec-number&gt;&lt;foreign-keys&gt;&lt;key app="EN" db-id="25rszwft292ev3esrpvpde0cpxrd9ex0xspp" timestamp="1589319428"&gt;240&lt;/key&gt;&lt;/foreign-keys&gt;&lt;ref-type name="Journal Article"&gt;17&lt;/ref-type&gt;&lt;contributors&gt;&lt;authors&gt;&lt;author&gt;Patterson, R&lt;/author&gt;&lt;author&gt;Durie, M&lt;/author&gt;&lt;author&gt;Disley, B&lt;/author&gt;&lt;author&gt;Tiatia-Seath, Sipaea&lt;/author&gt;&lt;author&gt;Tualamali&amp;apos;i, J&lt;/author&gt;&lt;/authors&gt;&lt;/contributors&gt;&lt;titles&gt;&lt;title&gt;He Ara Oranga: Report of the government inquiry into mental health and addiction&lt;/title&gt;&lt;/titles&gt;&lt;dates&gt;&lt;year&gt;2018&lt;/year&gt;&lt;/dates&gt;&lt;isbn&gt;0994124538&lt;/isbn&gt;&lt;urls&gt;&lt;/urls&gt;&lt;/record&gt;&lt;/Cite&gt;&lt;/EndNote&gt;</w:instrText>
      </w:r>
      <w:r w:rsidRPr="007E18E0">
        <w:fldChar w:fldCharType="separate"/>
      </w:r>
      <w:r w:rsidR="00500E0C">
        <w:rPr>
          <w:noProof/>
        </w:rPr>
        <w:t>(Patterson et al., 2018)</w:t>
      </w:r>
      <w:r w:rsidRPr="007E18E0">
        <w:fldChar w:fldCharType="end"/>
      </w:r>
      <w:r w:rsidRPr="007E18E0">
        <w:t>.</w:t>
      </w:r>
      <w:r>
        <w:t xml:space="preserve"> </w:t>
      </w:r>
    </w:p>
    <w:bookmarkEnd w:id="8"/>
    <w:p w14:paraId="465E70F0" w14:textId="77777777" w:rsidR="002B56C5" w:rsidRDefault="002B56C5" w:rsidP="002B56C5">
      <w:pPr>
        <w:jc w:val="both"/>
      </w:pPr>
    </w:p>
    <w:p w14:paraId="457A4622" w14:textId="77777777" w:rsidR="002B56C5" w:rsidRDefault="002B56C5" w:rsidP="002B56C5">
      <w:pPr>
        <w:jc w:val="both"/>
      </w:pPr>
    </w:p>
    <w:p w14:paraId="7EE1728B" w14:textId="14B55338" w:rsidR="002B56C5" w:rsidRPr="007E18E0" w:rsidRDefault="002B56C5" w:rsidP="002B56C5">
      <w:pPr>
        <w:jc w:val="both"/>
      </w:pPr>
      <w:bookmarkStart w:id="9" w:name="_Hlk51682012"/>
      <w:r>
        <w:t xml:space="preserve">New Zealand gambling harm prevention and reduction services are funded by the Ministry of Health (MOH) to </w:t>
      </w:r>
      <w:r w:rsidR="003A42B8">
        <w:t>engage with</w:t>
      </w:r>
      <w:r>
        <w:t xml:space="preserve"> FAOs whether or not the person who is gambling chooses to engage. In the July 2017 to June 2018 year, FAOs comprised one quarter of </w:t>
      </w:r>
      <w:r w:rsidR="0062684C">
        <w:t xml:space="preserve">all </w:t>
      </w:r>
      <w:r>
        <w:t>clients engaged in a</w:t>
      </w:r>
      <w:r w:rsidR="003A42B8">
        <w:t xml:space="preserve"> structured</w:t>
      </w:r>
      <w:r>
        <w:t xml:space="preserve"> intervention plan (1370 clients), and just under two thirds of </w:t>
      </w:r>
      <w:r w:rsidRPr="00A42485">
        <w:t>short</w:t>
      </w:r>
      <w:r>
        <w:t>er</w:t>
      </w:r>
      <w:r w:rsidRPr="00A42485">
        <w:t xml:space="preserve"> </w:t>
      </w:r>
      <w:r>
        <w:t>more opportunistic/</w:t>
      </w:r>
      <w:r w:rsidRPr="00A42485">
        <w:t xml:space="preserve">motivational </w:t>
      </w:r>
      <w:r>
        <w:t xml:space="preserve">engagements with people in the community who were experiencing gambling harm (3227 clients) </w:t>
      </w:r>
      <w:r>
        <w:fldChar w:fldCharType="begin"/>
      </w:r>
      <w:r>
        <w:instrText xml:space="preserve"> ADDIN EN.CITE &lt;EndNote&gt;&lt;Cite&gt;&lt;Author&gt;Ministry of Health&lt;/Author&gt;&lt;Year&gt;2020&lt;/Year&gt;&lt;RecNum&gt;289&lt;/RecNum&gt;&lt;DisplayText&gt;(Ministry of Health, 2020a)&lt;/DisplayText&gt;&lt;record&gt;&lt;rec-number&gt;289&lt;/rec-number&gt;&lt;foreign-keys&gt;&lt;key app="EN" db-id="25rszwft292ev3esrpvpde0cpxrd9ex0xspp" timestamp="1600210112"&gt;289&lt;/key&gt;&lt;/foreign-keys&gt;&lt;ref-type name="Web Page"&gt;12&lt;/ref-type&gt;&lt;contributors&gt;&lt;authors&gt;&lt;author&gt;Ministry of Health,&lt;/author&gt;&lt;/authors&gt;&lt;/contributors&gt;&lt;titles&gt;&lt;title&gt;Intervention client data&lt;/title&gt;&lt;/titles&gt;&lt;volume&gt;2020&lt;/volume&gt;&lt;number&gt;16 September&lt;/number&gt;&lt;dates&gt;&lt;year&gt;2020&lt;/year&gt;&lt;/dates&gt;&lt;pub-location&gt;Wellington&lt;/pub-location&gt;&lt;publisher&gt;Ministry of Health&lt;/publisher&gt;&lt;urls&gt;&lt;related-urls&gt;&lt;url&gt;https://www.health.govt.nz/our-work/mental-health-and-addictions/gambling/service-user-data/intervention-client-data&lt;/url&gt;&lt;/related-urls&gt;&lt;/urls&gt;&lt;/record&gt;&lt;/Cite&gt;&lt;/EndNote&gt;</w:instrText>
      </w:r>
      <w:r>
        <w:fldChar w:fldCharType="separate"/>
      </w:r>
      <w:r>
        <w:rPr>
          <w:noProof/>
        </w:rPr>
        <w:t>(Ministry of Health, 2020a)</w:t>
      </w:r>
      <w:r>
        <w:fldChar w:fldCharType="end"/>
      </w:r>
      <w:r>
        <w:t xml:space="preserve">. The MOH does not prescribe any particular approach to working with families affected by gambling. </w:t>
      </w:r>
      <w:bookmarkEnd w:id="9"/>
      <w:r>
        <w:t xml:space="preserve">The MOH </w:t>
      </w:r>
      <w:r w:rsidRPr="00C54755">
        <w:rPr>
          <w:lang w:val="en-GB"/>
        </w:rPr>
        <w:t xml:space="preserve">has </w:t>
      </w:r>
      <w:r w:rsidR="003A42B8">
        <w:rPr>
          <w:lang w:val="en-GB"/>
        </w:rPr>
        <w:t xml:space="preserve">variously </w:t>
      </w:r>
      <w:r>
        <w:rPr>
          <w:lang w:val="en-GB"/>
        </w:rPr>
        <w:lastRenderedPageBreak/>
        <w:t>challenged</w:t>
      </w:r>
      <w:r w:rsidRPr="00C54755">
        <w:rPr>
          <w:lang w:val="en-GB"/>
        </w:rPr>
        <w:t xml:space="preserve"> mental health and addictions service provision </w:t>
      </w:r>
      <w:r>
        <w:rPr>
          <w:lang w:val="en-GB"/>
        </w:rPr>
        <w:t xml:space="preserve">generally </w:t>
      </w:r>
      <w:r w:rsidRPr="00C54755">
        <w:rPr>
          <w:lang w:val="en-GB"/>
        </w:rPr>
        <w:t xml:space="preserve">to empower </w:t>
      </w:r>
      <w:r>
        <w:rPr>
          <w:lang w:val="en-GB"/>
        </w:rPr>
        <w:fldChar w:fldCharType="begin"/>
      </w:r>
      <w:r>
        <w:rPr>
          <w:lang w:val="en-GB"/>
        </w:rPr>
        <w:instrText xml:space="preserve"> ADDIN EN.CITE &lt;EndNote&gt;&lt;Cite&gt;&lt;Author&gt;Ministry of Health&lt;/Author&gt;&lt;Year&gt;1994&lt;/Year&gt;&lt;RecNum&gt;280&lt;/RecNum&gt;&lt;DisplayText&gt;(Ministry of Health, 1994)&lt;/DisplayText&gt;&lt;record&gt;&lt;rec-number&gt;280&lt;/rec-number&gt;&lt;foreign-keys&gt;&lt;key app="EN" db-id="25rszwft292ev3esrpvpde0cpxrd9ex0xspp" timestamp="1590700132"&gt;280&lt;/key&gt;&lt;/foreign-keys&gt;&lt;ref-type name="Report"&gt;27&lt;/ref-type&gt;&lt;contributors&gt;&lt;authors&gt;&lt;author&gt;Ministry of Health,&lt;/author&gt;&lt;/authors&gt;&lt;/contributors&gt;&lt;titles&gt;&lt;title&gt;Looking forward: Strategic directions for the mental health services&lt;/title&gt;&lt;/titles&gt;&lt;dates&gt;&lt;year&gt;1994&lt;/year&gt;&lt;/dates&gt;&lt;pub-location&gt;Wellington&lt;/pub-location&gt;&lt;publisher&gt;Ministry of Health &lt;/publisher&gt;&lt;urls&gt;&lt;/urls&gt;&lt;/record&gt;&lt;/Cite&gt;&lt;/EndNote&gt;</w:instrText>
      </w:r>
      <w:r>
        <w:rPr>
          <w:lang w:val="en-GB"/>
        </w:rPr>
        <w:fldChar w:fldCharType="separate"/>
      </w:r>
      <w:r>
        <w:rPr>
          <w:noProof/>
          <w:lang w:val="en-GB"/>
        </w:rPr>
        <w:t>(Ministry of Health, 1994)</w:t>
      </w:r>
      <w:r>
        <w:rPr>
          <w:lang w:val="en-GB"/>
        </w:rPr>
        <w:fldChar w:fldCharType="end"/>
      </w:r>
      <w:r w:rsidRPr="00C54755">
        <w:rPr>
          <w:lang w:val="en-GB"/>
        </w:rPr>
        <w:t xml:space="preserve">, better respond to </w:t>
      </w:r>
      <w:r>
        <w:rPr>
          <w:lang w:val="en-GB"/>
        </w:rPr>
        <w:fldChar w:fldCharType="begin"/>
      </w:r>
      <w:r>
        <w:rPr>
          <w:lang w:val="en-GB"/>
        </w:rPr>
        <w:instrText xml:space="preserve"> ADDIN EN.CITE &lt;EndNote&gt;&lt;Cite&gt;&lt;Author&gt;Ministry of Health&lt;/Author&gt;&lt;Year&gt;1997&lt;/Year&gt;&lt;RecNum&gt;281&lt;/RecNum&gt;&lt;DisplayText&gt;(Ministry of Health, 1997)&lt;/DisplayText&gt;&lt;record&gt;&lt;rec-number&gt;281&lt;/rec-number&gt;&lt;foreign-keys&gt;&lt;key app="EN" db-id="25rszwft292ev3esrpvpde0cpxrd9ex0xspp" timestamp="1590700197"&gt;281&lt;/key&gt;&lt;/foreign-keys&gt;&lt;ref-type name="Report"&gt;27&lt;/ref-type&gt;&lt;contributors&gt;&lt;authors&gt;&lt;author&gt;Ministry of Health,&lt;/author&gt;&lt;/authors&gt;&lt;/contributors&gt;&lt;titles&gt;&lt;title&gt;Moving forward: the national mental health plan for more and better services&lt;/title&gt;&lt;/titles&gt;&lt;dates&gt;&lt;year&gt;1997&lt;/year&gt;&lt;/dates&gt;&lt;pub-location&gt;Wellington&lt;/pub-location&gt;&lt;publisher&gt;Ministry of Health &lt;/publisher&gt;&lt;urls&gt;&lt;/urls&gt;&lt;/record&gt;&lt;/Cite&gt;&lt;/EndNote&gt;</w:instrText>
      </w:r>
      <w:r>
        <w:rPr>
          <w:lang w:val="en-GB"/>
        </w:rPr>
        <w:fldChar w:fldCharType="separate"/>
      </w:r>
      <w:r>
        <w:rPr>
          <w:noProof/>
          <w:lang w:val="en-GB"/>
        </w:rPr>
        <w:t>(Ministry of Health, 1997)</w:t>
      </w:r>
      <w:r>
        <w:rPr>
          <w:lang w:val="en-GB"/>
        </w:rPr>
        <w:fldChar w:fldCharType="end"/>
      </w:r>
      <w:r w:rsidRPr="00C54755">
        <w:rPr>
          <w:lang w:val="en-GB"/>
        </w:rPr>
        <w:t xml:space="preserve">, address the needs of </w:t>
      </w:r>
      <w:r>
        <w:rPr>
          <w:lang w:val="en-GB"/>
        </w:rPr>
        <w:fldChar w:fldCharType="begin"/>
      </w:r>
      <w:r>
        <w:rPr>
          <w:lang w:val="en-GB"/>
        </w:rPr>
        <w:instrText xml:space="preserve"> ADDIN EN.CITE &lt;EndNote&gt;&lt;Cite&gt;&lt;Author&gt;Ministry of Health&lt;/Author&gt;&lt;Year&gt;2006&lt;/Year&gt;&lt;RecNum&gt;282&lt;/RecNum&gt;&lt;DisplayText&gt;(Ministry of Health, 2006)&lt;/DisplayText&gt;&lt;record&gt;&lt;rec-number&gt;282&lt;/rec-number&gt;&lt;foreign-keys&gt;&lt;key app="EN" db-id="25rszwft292ev3esrpvpde0cpxrd9ex0xspp" timestamp="1590700349"&gt;282&lt;/key&gt;&lt;/foreign-keys&gt;&lt;ref-type name="Report"&gt;27&lt;/ref-type&gt;&lt;contributors&gt;&lt;authors&gt;&lt;author&gt;Ministry of Health,&lt;/author&gt;&lt;/authors&gt;&lt;/contributors&gt;&lt;titles&gt;&lt;title&gt;Te Kōkiri: The Mental Health and Addiction Action Plan, 2006-2015&lt;/title&gt;&lt;/titles&gt;&lt;dates&gt;&lt;year&gt;2006&lt;/year&gt;&lt;/dates&gt;&lt;pub-location&gt;Wellington&lt;/pub-location&gt;&lt;publisher&gt;Ministry of Health&lt;/publisher&gt;&lt;isbn&gt;0478300301&lt;/isbn&gt;&lt;urls&gt;&lt;/urls&gt;&lt;/record&gt;&lt;/Cite&gt;&lt;/EndNote&gt;</w:instrText>
      </w:r>
      <w:r>
        <w:rPr>
          <w:lang w:val="en-GB"/>
        </w:rPr>
        <w:fldChar w:fldCharType="separate"/>
      </w:r>
      <w:r>
        <w:rPr>
          <w:noProof/>
          <w:lang w:val="en-GB"/>
        </w:rPr>
        <w:t>(Ministry of Health, 2006)</w:t>
      </w:r>
      <w:r>
        <w:rPr>
          <w:lang w:val="en-GB"/>
        </w:rPr>
        <w:fldChar w:fldCharType="end"/>
      </w:r>
      <w:r w:rsidRPr="00C54755">
        <w:rPr>
          <w:lang w:val="en-GB"/>
        </w:rPr>
        <w:t xml:space="preserve">, and increase support for </w:t>
      </w:r>
      <w:r>
        <w:rPr>
          <w:lang w:val="en-GB"/>
        </w:rPr>
        <w:fldChar w:fldCharType="begin"/>
      </w:r>
      <w:r>
        <w:rPr>
          <w:lang w:val="en-GB"/>
        </w:rPr>
        <w:instrText xml:space="preserve"> ADDIN EN.CITE &lt;EndNote&gt;&lt;Cite&gt;&lt;Author&gt;Ministry of Health&lt;/Author&gt;&lt;Year&gt;2012&lt;/Year&gt;&lt;RecNum&gt;283&lt;/RecNum&gt;&lt;DisplayText&gt;(Ministry of Health, 2012b)&lt;/DisplayText&gt;&lt;record&gt;&lt;rec-number&gt;283&lt;/rec-number&gt;&lt;foreign-keys&gt;&lt;key app="EN" db-id="25rszwft292ev3esrpvpde0cpxrd9ex0xspp" timestamp="1590700409"&gt;283&lt;/key&gt;&lt;/foreign-keys&gt;&lt;ref-type name="Report"&gt;27&lt;/ref-type&gt;&lt;contributors&gt;&lt;authors&gt;&lt;author&gt;Ministry of Health,&lt;/author&gt;&lt;/authors&gt;&lt;/contributors&gt;&lt;titles&gt;&lt;title&gt;Rising to the Challenge: The Mental Health and Addiction Service Development Plan 2012–2017&lt;/title&gt;&lt;/titles&gt;&lt;dates&gt;&lt;year&gt;2012&lt;/year&gt;&lt;/dates&gt;&lt;pub-location&gt;Wellington&lt;/pub-location&gt;&lt;publisher&gt;Ministry of Health &lt;/publisher&gt;&lt;urls&gt;&lt;/urls&gt;&lt;/record&gt;&lt;/Cite&gt;&lt;/EndNote&gt;</w:instrText>
      </w:r>
      <w:r>
        <w:rPr>
          <w:lang w:val="en-GB"/>
        </w:rPr>
        <w:fldChar w:fldCharType="separate"/>
      </w:r>
      <w:r>
        <w:rPr>
          <w:noProof/>
          <w:lang w:val="en-GB"/>
        </w:rPr>
        <w:t>(Ministry of Health, 2012b)</w:t>
      </w:r>
      <w:r>
        <w:rPr>
          <w:lang w:val="en-GB"/>
        </w:rPr>
        <w:fldChar w:fldCharType="end"/>
      </w:r>
      <w:r w:rsidRPr="00C54755">
        <w:rPr>
          <w:lang w:val="en-GB"/>
        </w:rPr>
        <w:t xml:space="preserve"> family/whānau. </w:t>
      </w:r>
      <w:r w:rsidR="00A27FE2" w:rsidRPr="00A27FE2">
        <w:rPr>
          <w:lang w:val="en-GB"/>
        </w:rPr>
        <w:t>‘</w:t>
      </w:r>
      <w:r w:rsidRPr="00A27FE2">
        <w:rPr>
          <w:lang w:val="en-GB"/>
        </w:rPr>
        <w:t>Supporting Parents Healthy Children</w:t>
      </w:r>
      <w:r w:rsidR="00A27FE2" w:rsidRPr="00A27FE2">
        <w:rPr>
          <w:lang w:val="en-GB"/>
        </w:rPr>
        <w:t>’</w:t>
      </w:r>
      <w:r w:rsidRPr="00C54755">
        <w:rPr>
          <w:lang w:val="en-GB"/>
        </w:rPr>
        <w:t xml:space="preserve"> </w:t>
      </w:r>
      <w:r w:rsidR="003A42B8">
        <w:rPr>
          <w:lang w:val="en-GB"/>
        </w:rPr>
        <w:t xml:space="preserve">addictions service </w:t>
      </w:r>
      <w:r w:rsidRPr="00C54755">
        <w:rPr>
          <w:lang w:val="en-GB"/>
        </w:rPr>
        <w:t xml:space="preserve">guidelines recommend that services ask about and seek to involve family and whānau </w:t>
      </w:r>
      <w:r>
        <w:rPr>
          <w:lang w:val="en-GB"/>
        </w:rPr>
        <w:t>‘</w:t>
      </w:r>
      <w:r w:rsidRPr="00C54755">
        <w:rPr>
          <w:lang w:val="en-GB"/>
        </w:rPr>
        <w:t>in ways that work</w:t>
      </w:r>
      <w:r>
        <w:rPr>
          <w:lang w:val="en-GB"/>
        </w:rPr>
        <w:t>’,</w:t>
      </w:r>
      <w:r w:rsidRPr="00C54755">
        <w:rPr>
          <w:lang w:val="en-GB"/>
        </w:rPr>
        <w:t xml:space="preserve"> and that partnership with families/</w:t>
      </w:r>
      <w:r w:rsidRPr="00C54755">
        <w:t xml:space="preserve">whānau </w:t>
      </w:r>
      <w:r>
        <w:t>‘</w:t>
      </w:r>
      <w:r w:rsidRPr="00C54755">
        <w:t>should be evident in service design</w:t>
      </w:r>
      <w:r>
        <w:t>’</w:t>
      </w:r>
      <w:r w:rsidRPr="00C54755">
        <w:t xml:space="preserve"> </w:t>
      </w:r>
      <w:r w:rsidRPr="00C54755">
        <w:fldChar w:fldCharType="begin"/>
      </w:r>
      <w:r w:rsidRPr="00C54755">
        <w:instrText xml:space="preserve"> ADDIN EN.CITE &lt;EndNote&gt;&lt;Cite&gt;&lt;Author&gt;Ministry of Health&lt;/Author&gt;&lt;Year&gt;2015&lt;/Year&gt;&lt;RecNum&gt;98&lt;/RecNum&gt;&lt;DisplayText&gt;(Ministry of Health, 2015)&lt;/DisplayText&gt;&lt;record&gt;&lt;rec-number&gt;98&lt;/rec-number&gt;&lt;foreign-keys&gt;&lt;key app="EN" db-id="25rszwft292ev3esrpvpde0cpxrd9ex0xspp" timestamp="1583186750"&gt;98&lt;/key&gt;&lt;/foreign-keys&gt;&lt;ref-type name="Report"&gt;27&lt;/ref-type&gt;&lt;contributors&gt;&lt;authors&gt;&lt;author&gt;Ministry of Health,&lt;/author&gt;&lt;/authors&gt;&lt;/contributors&gt;&lt;titles&gt;&lt;title&gt;Supporting Parents Healthy CHildren&lt;/title&gt;&lt;/titles&gt;&lt;dates&gt;&lt;year&gt;2015&lt;/year&gt;&lt;/dates&gt;&lt;pub-location&gt;Wellington&lt;/pub-location&gt;&lt;publisher&gt;Ministry of Health&lt;/publisher&gt;&lt;urls&gt;&lt;/urls&gt;&lt;/record&gt;&lt;/Cite&gt;&lt;/EndNote&gt;</w:instrText>
      </w:r>
      <w:r w:rsidRPr="00C54755">
        <w:fldChar w:fldCharType="separate"/>
      </w:r>
      <w:r w:rsidRPr="00C54755">
        <w:t>(Ministry of Health, 2015)</w:t>
      </w:r>
      <w:r w:rsidRPr="00C54755">
        <w:fldChar w:fldCharType="end"/>
      </w:r>
      <w:r w:rsidRPr="00C54755">
        <w:t>.</w:t>
      </w:r>
      <w:r>
        <w:t xml:space="preserve"> </w:t>
      </w:r>
      <w:r w:rsidRPr="00C54755">
        <w:t xml:space="preserve">Since 2009, a Whānau Ora approach has evolved </w:t>
      </w:r>
      <w:r>
        <w:t xml:space="preserve">in New Zealand </w:t>
      </w:r>
      <w:r w:rsidRPr="00C54755">
        <w:t xml:space="preserve">to actively promote, support and fund </w:t>
      </w:r>
      <w:r w:rsidRPr="00C54755">
        <w:rPr>
          <w:lang w:val="en-GB"/>
        </w:rPr>
        <w:t xml:space="preserve">whānau-centred and holistic support and services for family health and well-being. This approach </w:t>
      </w:r>
      <w:r>
        <w:rPr>
          <w:lang w:val="en-GB"/>
        </w:rPr>
        <w:t>emphasises</w:t>
      </w:r>
      <w:r w:rsidRPr="00C54755">
        <w:rPr>
          <w:lang w:val="en-GB"/>
        </w:rPr>
        <w:t xml:space="preserve"> encouraging families to identify the aspirations they have to improve their lives and building </w:t>
      </w:r>
      <w:r w:rsidRPr="00C54755">
        <w:t xml:space="preserve">whānau </w:t>
      </w:r>
      <w:r w:rsidRPr="00C54755">
        <w:rPr>
          <w:lang w:val="en-GB"/>
        </w:rPr>
        <w:t xml:space="preserve">capacity to achieve their goals </w:t>
      </w:r>
      <w:r w:rsidRPr="00C54755">
        <w:rPr>
          <w:lang w:val="en-GB"/>
        </w:rPr>
        <w:fldChar w:fldCharType="begin"/>
      </w:r>
      <w:r w:rsidRPr="00C54755">
        <w:rPr>
          <w:lang w:val="en-GB"/>
        </w:rPr>
        <w:instrText xml:space="preserve"> ADDIN EN.CITE &lt;EndNote&gt;&lt;Cite&gt;&lt;Author&gt;Independent Whānau Ora Review Panel&lt;/Author&gt;&lt;Year&gt;2018&lt;/Year&gt;&lt;RecNum&gt;97&lt;/RecNum&gt;&lt;DisplayText&gt;(Independent Whānau Ora Review Panel, 2018)&lt;/DisplayText&gt;&lt;record&gt;&lt;rec-number&gt;97&lt;/rec-number&gt;&lt;foreign-keys&gt;&lt;key app="EN" db-id="25rszwft292ev3esrpvpde0cpxrd9ex0xspp" timestamp="1583185654"&gt;97&lt;/key&gt;&lt;/foreign-keys&gt;&lt;ref-type name="Report"&gt;27&lt;/ref-type&gt;&lt;contributors&gt;&lt;authors&gt;&lt;author&gt;&lt;style face="normal" font="default" size="100%"&gt;Independent Wh&lt;/style&gt;&lt;style face="normal" font="default" charset="238" size="100%"&gt;ānau Ora &lt;/style&gt;&lt;style face="normal" font="default" size="100%"&gt;Review Panel,&lt;/style&gt;&lt;/author&gt;&lt;/authors&gt;&lt;/contributors&gt;&lt;titles&gt;&lt;title&gt;&lt;style face="normal" font="default" size="100%"&gt;Wh&lt;/style&gt;&lt;style face="normal" font="default" charset="238" size="100%"&gt;ānau Ora &lt;/style&gt;&lt;style face="normal" font="default" size="100%"&gt;Review: Tipu Matoro ki to Ao&lt;/style&gt;&lt;/title&gt;&lt;/titles&gt;&lt;dates&gt;&lt;year&gt;2018&lt;/year&gt;&lt;/dates&gt;&lt;pub-location&gt;Wellington&lt;/pub-location&gt;&lt;publisher&gt;&lt;style face="normal" font="default" size="100%"&gt;Independent Wh&lt;/style&gt;&lt;style face="normal" font="default" charset="238" size="100%"&gt;ānau Ora &lt;/style&gt;&lt;style face="normal" font="default" size="100%"&gt;Review Panel&lt;/style&gt;&lt;/publisher&gt;&lt;urls&gt;&lt;/urls&gt;&lt;/record&gt;&lt;/Cite&gt;&lt;/EndNote&gt;</w:instrText>
      </w:r>
      <w:r w:rsidRPr="00C54755">
        <w:rPr>
          <w:lang w:val="en-GB"/>
        </w:rPr>
        <w:fldChar w:fldCharType="separate"/>
      </w:r>
      <w:r w:rsidRPr="00C54755">
        <w:rPr>
          <w:lang w:val="en-GB"/>
        </w:rPr>
        <w:t>(Independent Whānau Ora Review Panel, 2018)</w:t>
      </w:r>
      <w:r w:rsidRPr="00C54755">
        <w:fldChar w:fldCharType="end"/>
      </w:r>
      <w:r w:rsidRPr="00C54755">
        <w:rPr>
          <w:lang w:val="en-GB"/>
        </w:rPr>
        <w:t>.</w:t>
      </w:r>
      <w:r>
        <w:rPr>
          <w:lang w:val="en-GB"/>
        </w:rPr>
        <w:t xml:space="preserve"> </w:t>
      </w:r>
    </w:p>
    <w:p w14:paraId="29F449CA" w14:textId="77777777" w:rsidR="002B56C5" w:rsidRDefault="002B56C5" w:rsidP="002B56C5">
      <w:pPr>
        <w:jc w:val="both"/>
      </w:pPr>
    </w:p>
    <w:p w14:paraId="1BBF97A3" w14:textId="77777777" w:rsidR="002B56C5" w:rsidRDefault="002B56C5" w:rsidP="002B56C5">
      <w:pPr>
        <w:jc w:val="both"/>
      </w:pPr>
      <w:r w:rsidRPr="0083454F">
        <w:t xml:space="preserve">To date no research has explored how </w:t>
      </w:r>
      <w:r>
        <w:t xml:space="preserve">gambling </w:t>
      </w:r>
      <w:r w:rsidRPr="0083454F">
        <w:t xml:space="preserve">services intervene with FAOs in New Zealand. There has been no </w:t>
      </w:r>
      <w:r>
        <w:t xml:space="preserve">published </w:t>
      </w:r>
      <w:r w:rsidRPr="0083454F">
        <w:t>research designed to support or inform services in their provision of intervention for FAOs</w:t>
      </w:r>
      <w:r>
        <w:t xml:space="preserve"> in New Zealand</w:t>
      </w:r>
      <w:r w:rsidRPr="0083454F">
        <w:t xml:space="preserve">, or engagement with the views and experiences of FAOs as they relate to service delivery. Recent evaluation of MOH funded services did not explore engagement with FAOs in any depth, but suggested that FAO clients were less likely than gamblers to receive any facilitated referral to other allied services, or follow-up support and that limited screening may compromise monitoring of clients’ progress and outcomes </w:t>
      </w:r>
      <w:r w:rsidRPr="0083454F">
        <w:fldChar w:fldCharType="begin"/>
      </w:r>
      <w:r w:rsidRPr="0083454F">
        <w:instrText xml:space="preserve"> ADDIN EN.CITE &lt;EndNote&gt;&lt;Cite&gt;&lt;Author&gt;Kolandai-Matchett&lt;/Author&gt;&lt;Year&gt;2015&lt;/Year&gt;&lt;RecNum&gt;43&lt;/RecNum&gt;&lt;DisplayText&gt;(Kolandai-Matchett et al., 2015)&lt;/DisplayText&gt;&lt;record&gt;&lt;rec-number&gt;43&lt;/rec-number&gt;&lt;foreign-keys&gt;&lt;key app="EN" db-id="25rszwft292ev3esrpvpde0cpxrd9ex0xspp" timestamp="1550440518"&gt;43&lt;/key&gt;&lt;/foreign-keys&gt;&lt;ref-type name="Report"&gt;27&lt;/ref-type&gt;&lt;contributors&gt;&lt;authors&gt;&lt;author&gt;Kolandai-Matchett, Komathi&lt;/author&gt;&lt;author&gt;Landon, Jason&lt;/author&gt;&lt;author&gt;Bellringer, Maria&lt;/author&gt;&lt;author&gt;Garrett, Nick&lt;/author&gt;&lt;author&gt;Mundy-McPherson, Stuart&lt;/author&gt;&lt;author&gt;Abbott, Max&lt;/author&gt;&lt;author&gt;Haapu, Brylee&lt;/author&gt;&lt;author&gt;Cumming, Souella&lt;/author&gt;&lt;/authors&gt;&lt;/contributors&gt;&lt;titles&gt;&lt;title&gt;Evaluation and clinical audit of problem gambling intervention and public health services&lt;/title&gt;&lt;/titles&gt;&lt;dates&gt;&lt;year&gt;2015&lt;/year&gt;&lt;/dates&gt;&lt;pub-location&gt;Auckland&lt;/pub-location&gt;&lt;publisher&gt;Gambling and Addictions Research Centre, AUT University&lt;/publisher&gt;&lt;urls&gt;&lt;/urls&gt;&lt;/record&gt;&lt;/Cite&gt;&lt;/EndNote&gt;</w:instrText>
      </w:r>
      <w:r w:rsidRPr="0083454F">
        <w:fldChar w:fldCharType="separate"/>
      </w:r>
      <w:r w:rsidRPr="0083454F">
        <w:t>(Kolandai-Matchett et al., 2015)</w:t>
      </w:r>
      <w:r w:rsidRPr="0083454F">
        <w:fldChar w:fldCharType="end"/>
      </w:r>
      <w:r w:rsidRPr="0083454F">
        <w:t xml:space="preserve">. </w:t>
      </w:r>
      <w:r>
        <w:t xml:space="preserve">In 2019 the Ministry of Health commissioned the Gambling and Addictions Research Centre (GARC) to conduct an exploratory mixed methods study of </w:t>
      </w:r>
      <w:r w:rsidRPr="005C46A2">
        <w:t>how support provided for family members and affected others (FAOs) in New Zealand gambling services could be enhanced.</w:t>
      </w:r>
    </w:p>
    <w:p w14:paraId="2029061C" w14:textId="77777777" w:rsidR="002B56C5" w:rsidRDefault="002B56C5" w:rsidP="002B56C5">
      <w:pPr>
        <w:jc w:val="both"/>
      </w:pPr>
    </w:p>
    <w:p w14:paraId="75531806" w14:textId="001CFCFA" w:rsidR="0083454F" w:rsidRDefault="0083454F">
      <w:pPr>
        <w:spacing w:after="160" w:line="259" w:lineRule="auto"/>
        <w:rPr>
          <w:b/>
          <w:caps/>
        </w:rPr>
      </w:pPr>
      <w:r>
        <w:rPr>
          <w:caps/>
        </w:rPr>
        <w:br w:type="page"/>
      </w:r>
    </w:p>
    <w:p w14:paraId="5FA070F9" w14:textId="5932F62B" w:rsidR="00F937DA" w:rsidRPr="005C46A2" w:rsidRDefault="007C2512" w:rsidP="00C13E89">
      <w:pPr>
        <w:pStyle w:val="Heading1"/>
        <w:jc w:val="both"/>
        <w:rPr>
          <w:caps/>
        </w:rPr>
      </w:pPr>
      <w:bookmarkStart w:id="10" w:name="_Toc58400763"/>
      <w:r w:rsidRPr="005C46A2">
        <w:rPr>
          <w:caps/>
        </w:rPr>
        <w:lastRenderedPageBreak/>
        <w:t>APPROACH</w:t>
      </w:r>
      <w:bookmarkEnd w:id="10"/>
      <w:r w:rsidRPr="005C46A2">
        <w:rPr>
          <w:caps/>
        </w:rPr>
        <w:t xml:space="preserve"> </w:t>
      </w:r>
    </w:p>
    <w:p w14:paraId="5AC4E0D3" w14:textId="58358ECF" w:rsidR="00820874" w:rsidRDefault="002951A5" w:rsidP="002951A5">
      <w:pPr>
        <w:jc w:val="both"/>
      </w:pPr>
      <w:r>
        <w:t>P</w:t>
      </w:r>
      <w:r w:rsidRPr="000C4FC5">
        <w:t>ublished evidence for effective</w:t>
      </w:r>
      <w:r>
        <w:t xml:space="preserve"> gambling</w:t>
      </w:r>
      <w:r w:rsidRPr="000C4FC5">
        <w:t xml:space="preserve"> service design and delivery </w:t>
      </w:r>
      <w:r>
        <w:t xml:space="preserve">for </w:t>
      </w:r>
      <w:r w:rsidRPr="000C4FC5">
        <w:t>FAO</w:t>
      </w:r>
      <w:r>
        <w:t>s</w:t>
      </w:r>
      <w:r w:rsidRPr="000C4FC5">
        <w:t xml:space="preserve"> is extremely limited </w:t>
      </w:r>
      <w:r w:rsidRPr="000C4FC5">
        <w:fldChar w:fldCharType="begin">
          <w:fldData xml:space="preserve">PEVuZE5vdGU+PENpdGU+PEF1dGhvcj5Lb3VyZ2lhbnRha2lzPC9BdXRob3I+PFllYXI+MjAxODwv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</w:fldData>
        </w:fldChar>
      </w:r>
      <w:r>
        <w:instrText xml:space="preserve"> ADDIN EN.CITE </w:instrText>
      </w:r>
      <w:r>
        <w:fldChar w:fldCharType="begin">
          <w:fldData xml:space="preserve">PEVuZE5vdGU+PENpdGU+PEF1dGhvcj5Lb3VyZ2lhbnRha2lzPC9BdXRob3I+PFllYXI+MjAxODwv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</w:fldData>
        </w:fldChar>
      </w:r>
      <w:r>
        <w:instrText xml:space="preserve"> ADDIN EN.CITE.DATA </w:instrText>
      </w:r>
      <w:r>
        <w:fldChar w:fldCharType="end"/>
      </w:r>
      <w:r w:rsidRPr="000C4FC5">
        <w:fldChar w:fldCharType="separate"/>
      </w:r>
      <w:r>
        <w:rPr>
          <w:noProof/>
        </w:rPr>
        <w:t>(Bowden-Jones &amp; George, 2015; Calderwood &amp; Rajesparam, 2014; Kourgiantakis et al., 2018; Orford, 1994, 2014)</w:t>
      </w:r>
      <w:r w:rsidRPr="000C4FC5">
        <w:fldChar w:fldCharType="end"/>
      </w:r>
      <w:r>
        <w:t xml:space="preserve">. </w:t>
      </w:r>
      <w:r w:rsidR="003A42B8">
        <w:t xml:space="preserve">An exploratory approach, involving engagement with existing knowledge in the gambling and broader addictions fields was therefore selected </w:t>
      </w:r>
      <w:r w:rsidR="003A42B8">
        <w:fldChar w:fldCharType="begin"/>
      </w:r>
      <w:r w:rsidR="00E762FC">
        <w:instrText xml:space="preserve"> ADDIN EN.CITE &lt;EndNote&gt;&lt;Cite&gt;&lt;Author&gt;Livingstone&lt;/Author&gt;&lt;Year&gt;2019&lt;/Year&gt;&lt;RecNum&gt;96&lt;/RecNum&gt;&lt;Prefix&gt;e.g. &lt;/Prefix&gt;&lt;DisplayText&gt;(e.g. Livingstone et al., 2019)&lt;/DisplayText&gt;&lt;record&gt;&lt;rec-number&gt;96&lt;/rec-number&gt;&lt;foreign-keys&gt;&lt;key app="EN" db-id="25rszwft292ev3esrpvpde0cpxrd9ex0xspp" timestamp="1582494015"&gt;96&lt;/key&gt;&lt;/foreign-keys&gt;&lt;ref-type name="Report"&gt;27&lt;/ref-type&gt;&lt;contributors&gt;&lt;authors&gt;&lt;author&gt;Livingstone, C&lt;/author&gt;&lt;author&gt;Rintoul, A&lt;/author&gt;&lt;author&gt;de Lacy-Vawdon, C&lt;/author&gt;&lt;author&gt;Borland, R&lt;/author&gt;&lt;author&gt;Dietze, P&lt;/author&gt;&lt;author&gt;Jenkinson, R&lt;/author&gt;&lt;author&gt;Livingston, M&lt;/author&gt;&lt;author&gt;Room, R&lt;/author&gt;&lt;author&gt;Smith, B&lt;/author&gt;&lt;author&gt;Stoove, M&lt;/author&gt;&lt;/authors&gt;&lt;/contributors&gt;&lt;titles&gt;&lt;title&gt;Identifying effective policy interventions to prevent gambling-related harm&lt;/title&gt;&lt;/titles&gt;&lt;dates&gt;&lt;year&gt;2019&lt;/year&gt;&lt;/dates&gt;&lt;pub-location&gt;Melbourne&lt;/pub-location&gt;&lt;publisher&gt;Victorian Responsible Gambling Foundation&lt;/publisher&gt;&lt;urls&gt;&lt;/urls&gt;&lt;/record&gt;&lt;/Cite&gt;&lt;/EndNote&gt;</w:instrText>
      </w:r>
      <w:r w:rsidR="003A42B8">
        <w:fldChar w:fldCharType="separate"/>
      </w:r>
      <w:r w:rsidR="00E762FC">
        <w:rPr>
          <w:noProof/>
        </w:rPr>
        <w:t>(e.g. Livingstone et al., 2019)</w:t>
      </w:r>
      <w:r w:rsidR="003A42B8">
        <w:fldChar w:fldCharType="end"/>
      </w:r>
      <w:r w:rsidR="003A42B8">
        <w:t xml:space="preserve">. </w:t>
      </w:r>
      <w:r w:rsidRPr="005C46A2">
        <w:t xml:space="preserve">The overarching research question </w:t>
      </w:r>
      <w:r w:rsidR="003A42B8">
        <w:t>was</w:t>
      </w:r>
      <w:r w:rsidRPr="005C46A2">
        <w:t xml:space="preserve">: How could support provided for family members and affected others (FAOs) in New Zealand gambling services be enhanced? </w:t>
      </w:r>
    </w:p>
    <w:p w14:paraId="1FDB1F7D" w14:textId="77777777" w:rsidR="002951A5" w:rsidRDefault="002951A5" w:rsidP="00BC0617">
      <w:pPr>
        <w:spacing w:line="259" w:lineRule="auto"/>
        <w:jc w:val="both"/>
      </w:pPr>
    </w:p>
    <w:p w14:paraId="139484D1" w14:textId="478A1D24" w:rsidR="00650698" w:rsidRDefault="00650698" w:rsidP="00BC0617">
      <w:pPr>
        <w:spacing w:line="259" w:lineRule="auto"/>
        <w:jc w:val="both"/>
      </w:pPr>
      <w:r w:rsidRPr="00650698">
        <w:t xml:space="preserve">A mixed methods approach was </w:t>
      </w:r>
      <w:r w:rsidR="003A42B8">
        <w:t>adopted</w:t>
      </w:r>
      <w:r w:rsidRPr="00650698">
        <w:t xml:space="preserve"> to enable a multifaceted exploration of </w:t>
      </w:r>
      <w:r>
        <w:t xml:space="preserve">support for FAOs </w:t>
      </w:r>
      <w:r w:rsidR="008B67C2">
        <w:t xml:space="preserve">and how support could be enhanced </w:t>
      </w:r>
      <w:r>
        <w:t>in New Zealand gambling services</w:t>
      </w:r>
      <w:r w:rsidRPr="00650698">
        <w:t xml:space="preserve">. The project drew on the work of Greene </w:t>
      </w:r>
      <w:r w:rsidRPr="00650698">
        <w:fldChar w:fldCharType="begin"/>
      </w:r>
      <w:r w:rsidRPr="00650698">
        <w:instrText xml:space="preserve"> ADDIN EN.CITE &lt;EndNote&gt;&lt;Cite ExcludeAuth="1"&gt;&lt;Author&gt;Greene&lt;/Author&gt;&lt;Year&gt;2007&lt;/Year&gt;&lt;RecNum&gt;11&lt;/RecNum&gt;&lt;DisplayText&gt;(2007)&lt;/DisplayText&gt;&lt;record&gt;&lt;rec-number&gt;11&lt;/rec-number&gt;&lt;foreign-keys&gt;&lt;key app="EN" db-id="rpt5255teda5p3exew8ptpftwv0s20t2xd2a" timestamp="1511816832"&gt;11&lt;/key&gt;&lt;/foreign-keys&gt;&lt;ref-type name="Book"&gt;6&lt;/ref-type&gt;&lt;contributors&gt;&lt;authors&gt;&lt;author&gt;Greene, Jennifer C&lt;/author&gt;&lt;/authors&gt;&lt;/contributors&gt;&lt;titles&gt;&lt;title&gt;Mixed methods in social inquiry&lt;/title&gt;&lt;/titles&gt;&lt;dates&gt;&lt;year&gt;2007&lt;/year&gt;&lt;/dates&gt;&lt;pub-location&gt;San Francisco, CA&lt;/pub-location&gt;&lt;publisher&gt;John Wiley &amp;amp; Sons&lt;/publisher&gt;&lt;isbn&gt;0787983829&lt;/isbn&gt;&lt;urls&gt;&lt;/urls&gt;&lt;/record&gt;&lt;/Cite&gt;&lt;/EndNote&gt;</w:instrText>
      </w:r>
      <w:r w:rsidRPr="00650698">
        <w:fldChar w:fldCharType="separate"/>
      </w:r>
      <w:r w:rsidRPr="00650698">
        <w:t>(2007)</w:t>
      </w:r>
      <w:r w:rsidRPr="00650698">
        <w:fldChar w:fldCharType="end"/>
      </w:r>
      <w:r w:rsidRPr="00650698">
        <w:t xml:space="preserve">, and the notion of complementarity. Complementarity is brought into play when different methods are used to explore different features of the same phenomenon </w:t>
      </w:r>
      <w:r w:rsidRPr="00650698">
        <w:fldChar w:fldCharType="begin"/>
      </w:r>
      <w:r w:rsidRPr="00650698">
        <w:instrText xml:space="preserve"> ADDIN EN.CITE &lt;EndNote&gt;&lt;Cite&gt;&lt;Author&gt;Greene&lt;/Author&gt;&lt;Year&gt;1989&lt;/Year&gt;&lt;RecNum&gt;12&lt;/RecNum&gt;&lt;DisplayText&gt;(Greene, Caracelli, &amp;amp; Graham, 1989)&lt;/DisplayText&gt;&lt;record&gt;&lt;rec-number&gt;12&lt;/rec-number&gt;&lt;foreign-keys&gt;&lt;key app="EN" db-id="rpt5255teda5p3exew8ptpftwv0s20t2xd2a" timestamp="1511816977"&gt;12&lt;/key&gt;&lt;/foreign-keys&gt;&lt;ref-type name="Journal Article"&gt;17&lt;/ref-type&gt;&lt;contributors&gt;&lt;authors&gt;&lt;author&gt;Greene, Jennifer C&lt;/author&gt;&lt;author&gt;Caracelli, Valerie J&lt;/author&gt;&lt;author&gt;Graham, Wendy F&lt;/author&gt;&lt;/authors&gt;&lt;/contributors&gt;&lt;titles&gt;&lt;title&gt;Toward a conceptual framework for mixed-method evaluation designs&lt;/title&gt;&lt;secondary-title&gt;Educational evaluation and policy analysis&lt;/secondary-title&gt;&lt;/titles&gt;&lt;periodical&gt;&lt;full-title&gt;Educational evaluation and policy analysis&lt;/full-title&gt;&lt;/periodical&gt;&lt;pages&gt;255-274&lt;/pages&gt;&lt;volume&gt;11&lt;/volume&gt;&lt;number&gt;3&lt;/number&gt;&lt;dates&gt;&lt;year&gt;1989&lt;/year&gt;&lt;/dates&gt;&lt;isbn&gt;0162-3737&lt;/isbn&gt;&lt;urls&gt;&lt;/urls&gt;&lt;/record&gt;&lt;/Cite&gt;&lt;/EndNote&gt;</w:instrText>
      </w:r>
      <w:r w:rsidRPr="00650698">
        <w:fldChar w:fldCharType="separate"/>
      </w:r>
      <w:r w:rsidRPr="00650698">
        <w:t>(Greene, Caracelli, &amp; Graham, 1989)</w:t>
      </w:r>
      <w:r w:rsidRPr="00650698">
        <w:fldChar w:fldCharType="end"/>
      </w:r>
      <w:r w:rsidRPr="00650698">
        <w:t xml:space="preserve">. Mixed methods studies with a complementarity purpose are useful for studying dynamic and multi-layered issues. A component design was adopted, where methods remained </w:t>
      </w:r>
      <w:r>
        <w:t xml:space="preserve">largely </w:t>
      </w:r>
      <w:r w:rsidRPr="00650698">
        <w:t xml:space="preserve">discrete throughout the study, and the findings interpreted together in the final </w:t>
      </w:r>
      <w:r>
        <w:t>discussion</w:t>
      </w:r>
      <w:r w:rsidRPr="00650698">
        <w:t xml:space="preserve"> </w:t>
      </w:r>
      <w:r w:rsidRPr="00650698">
        <w:fldChar w:fldCharType="begin"/>
      </w:r>
      <w:r w:rsidRPr="00650698">
        <w:instrText xml:space="preserve"> ADDIN EN.CITE &lt;EndNote&gt;&lt;Cite&gt;&lt;Author&gt;Greene&lt;/Author&gt;&lt;Year&gt;2007&lt;/Year&gt;&lt;RecNum&gt;11&lt;/RecNum&gt;&lt;DisplayText&gt;(Greene, 2007)&lt;/DisplayText&gt;&lt;record&gt;&lt;rec-number&gt;11&lt;/rec-number&gt;&lt;foreign-keys&gt;&lt;key app="EN" db-id="rpt5255teda5p3exew8ptpftwv0s20t2xd2a" timestamp="1511816832"&gt;11&lt;/key&gt;&lt;/foreign-keys&gt;&lt;ref-type name="Book"&gt;6&lt;/ref-type&gt;&lt;contributors&gt;&lt;authors&gt;&lt;author&gt;Greene, Jennifer C&lt;/author&gt;&lt;/authors&gt;&lt;/contributors&gt;&lt;titles&gt;&lt;title&gt;Mixed methods in social inquiry&lt;/title&gt;&lt;/titles&gt;&lt;dates&gt;&lt;year&gt;2007&lt;/year&gt;&lt;/dates&gt;&lt;pub-location&gt;San Francisco, CA&lt;/pub-location&gt;&lt;publisher&gt;John Wiley &amp;amp; Sons&lt;/publisher&gt;&lt;isbn&gt;0787983829&lt;/isbn&gt;&lt;urls&gt;&lt;/urls&gt;&lt;/record&gt;&lt;/Cite&gt;&lt;/EndNote&gt;</w:instrText>
      </w:r>
      <w:r w:rsidRPr="00650698">
        <w:fldChar w:fldCharType="separate"/>
      </w:r>
      <w:r w:rsidRPr="00650698">
        <w:t>(Greene, 2007)</w:t>
      </w:r>
      <w:r w:rsidRPr="00650698">
        <w:fldChar w:fldCharType="end"/>
      </w:r>
      <w:r w:rsidRPr="00650698">
        <w:t>.</w:t>
      </w:r>
      <w:r>
        <w:t xml:space="preserve"> </w:t>
      </w:r>
    </w:p>
    <w:p w14:paraId="077CACD7" w14:textId="77777777" w:rsidR="00650698" w:rsidRDefault="00650698" w:rsidP="00BC0617">
      <w:pPr>
        <w:spacing w:line="259" w:lineRule="auto"/>
        <w:jc w:val="both"/>
      </w:pPr>
    </w:p>
    <w:p w14:paraId="76BEC940" w14:textId="54E7CFAD" w:rsidR="00B47A70" w:rsidRDefault="00B47A70" w:rsidP="00BC0617">
      <w:pPr>
        <w:spacing w:line="259" w:lineRule="auto"/>
        <w:jc w:val="both"/>
      </w:pPr>
      <w:bookmarkStart w:id="11" w:name="_Hlk57628587"/>
      <w:r>
        <w:t>Part one</w:t>
      </w:r>
      <w:r w:rsidR="00650698">
        <w:t xml:space="preserve"> of the study comprised an e</w:t>
      </w:r>
      <w:r>
        <w:t>xploration of quality and effective FAO support practices</w:t>
      </w:r>
      <w:r w:rsidR="00650698">
        <w:t xml:space="preserve">. </w:t>
      </w:r>
      <w:r>
        <w:t>Part two</w:t>
      </w:r>
      <w:r w:rsidR="00650698">
        <w:t xml:space="preserve"> involved e</w:t>
      </w:r>
      <w:r>
        <w:t>xploration of current FAO support practices</w:t>
      </w:r>
      <w:r w:rsidR="00650698">
        <w:t xml:space="preserve">. </w:t>
      </w:r>
      <w:r w:rsidR="002951A5" w:rsidRPr="003A76D7">
        <w:t xml:space="preserve">The specific details and rationale relating to the data selected and methods adopted in each component are discussed in </w:t>
      </w:r>
      <w:r w:rsidR="002951A5">
        <w:t>the following sections of this report</w:t>
      </w:r>
      <w:r w:rsidR="002951A5" w:rsidRPr="003A76D7">
        <w:t>.</w:t>
      </w:r>
      <w:bookmarkEnd w:id="11"/>
      <w:r w:rsidR="002951A5">
        <w:t xml:space="preserve"> The research design </w:t>
      </w:r>
      <w:r w:rsidR="0062684C">
        <w:t>included</w:t>
      </w:r>
      <w:r w:rsidR="002951A5">
        <w:t xml:space="preserve"> the following four components:</w:t>
      </w:r>
    </w:p>
    <w:p w14:paraId="61C05ED9" w14:textId="15F5F34F" w:rsidR="002951A5" w:rsidRDefault="002951A5" w:rsidP="00BC0617">
      <w:pPr>
        <w:spacing w:line="259" w:lineRule="auto"/>
        <w:jc w:val="both"/>
      </w:pPr>
    </w:p>
    <w:p w14:paraId="1783CE68" w14:textId="11D46A2C" w:rsidR="002951A5" w:rsidRDefault="002951A5" w:rsidP="00BC0617">
      <w:pPr>
        <w:spacing w:line="259" w:lineRule="auto"/>
        <w:jc w:val="both"/>
      </w:pPr>
      <w:r>
        <w:t>Part one: Exploration of quality and effective FAO support practices</w:t>
      </w:r>
    </w:p>
    <w:p w14:paraId="6CC27D7F" w14:textId="77777777" w:rsidR="002951A5" w:rsidRDefault="002951A5" w:rsidP="002951A5">
      <w:pPr>
        <w:pStyle w:val="ListParagraph"/>
        <w:numPr>
          <w:ilvl w:val="0"/>
          <w:numId w:val="31"/>
        </w:numPr>
        <w:jc w:val="both"/>
      </w:pPr>
      <w:r>
        <w:t>A</w:t>
      </w:r>
      <w:r w:rsidRPr="005C46A2">
        <w:t xml:space="preserve"> conceptual review of FAO addictions </w:t>
      </w:r>
      <w:r>
        <w:t>support and intervention</w:t>
      </w:r>
      <w:r w:rsidRPr="005C46A2">
        <w:t xml:space="preserve"> literature, </w:t>
      </w:r>
    </w:p>
    <w:p w14:paraId="4EAB2811" w14:textId="4E65F1F6" w:rsidR="002951A5" w:rsidRDefault="002951A5" w:rsidP="002951A5">
      <w:pPr>
        <w:pStyle w:val="ListParagraph"/>
        <w:numPr>
          <w:ilvl w:val="0"/>
          <w:numId w:val="31"/>
        </w:numPr>
        <w:jc w:val="both"/>
      </w:pPr>
      <w:r>
        <w:t xml:space="preserve">A </w:t>
      </w:r>
      <w:r w:rsidRPr="005C46A2">
        <w:t xml:space="preserve">structured </w:t>
      </w:r>
      <w:r>
        <w:t>engagement with</w:t>
      </w:r>
      <w:r w:rsidRPr="005C46A2">
        <w:t xml:space="preserve"> </w:t>
      </w:r>
      <w:r w:rsidR="00544CFD">
        <w:t xml:space="preserve">an international </w:t>
      </w:r>
      <w:r w:rsidRPr="005C46A2">
        <w:t>expert opinion on enhancing gambling harm reduction services for FAOs</w:t>
      </w:r>
      <w:r>
        <w:t xml:space="preserve">. </w:t>
      </w:r>
      <w:r w:rsidR="00544CFD">
        <w:t xml:space="preserve">The expert panel included </w:t>
      </w:r>
      <w:r w:rsidR="00544CFD" w:rsidRPr="00544CFD">
        <w:t>40 participants with expertise in support for families affected by addiction (e.g. service managers, researcher, policymakers, people with consumer/lived-experience as people who gamble and as FAOs, clinicians and workforce development professionals)</w:t>
      </w:r>
      <w:r w:rsidR="00544CFD">
        <w:t xml:space="preserve">. </w:t>
      </w:r>
      <w:r w:rsidR="00164DFA">
        <w:t>This structured engagement was informed by the conceptual literature review.</w:t>
      </w:r>
    </w:p>
    <w:p w14:paraId="3900BA5F" w14:textId="6A0A5E02" w:rsidR="002951A5" w:rsidRDefault="002951A5" w:rsidP="002951A5">
      <w:pPr>
        <w:jc w:val="both"/>
      </w:pPr>
      <w:r>
        <w:t>Part two: Exploration of current FAO support practices</w:t>
      </w:r>
    </w:p>
    <w:p w14:paraId="3D072A71" w14:textId="573CB2FB" w:rsidR="002951A5" w:rsidRDefault="002951A5" w:rsidP="002951A5">
      <w:pPr>
        <w:pStyle w:val="ListParagraph"/>
        <w:numPr>
          <w:ilvl w:val="0"/>
          <w:numId w:val="31"/>
        </w:numPr>
        <w:jc w:val="both"/>
      </w:pPr>
      <w:r>
        <w:t>A</w:t>
      </w:r>
      <w:r w:rsidRPr="005C46A2">
        <w:t xml:space="preserve"> national and international scan </w:t>
      </w:r>
      <w:r>
        <w:t xml:space="preserve">and analysis </w:t>
      </w:r>
      <w:r w:rsidRPr="005C46A2">
        <w:t xml:space="preserve">of the types of </w:t>
      </w:r>
      <w:r>
        <w:t xml:space="preserve">gambling </w:t>
      </w:r>
      <w:r w:rsidRPr="005C46A2">
        <w:t>services advertised and/or provided for FAOs</w:t>
      </w:r>
    </w:p>
    <w:p w14:paraId="2705A0D4" w14:textId="30E7CA4F" w:rsidR="002951A5" w:rsidRDefault="002951A5" w:rsidP="002951A5">
      <w:pPr>
        <w:pStyle w:val="ListParagraph"/>
        <w:numPr>
          <w:ilvl w:val="0"/>
          <w:numId w:val="31"/>
        </w:numPr>
        <w:jc w:val="both"/>
      </w:pPr>
      <w:r>
        <w:t>Descriptive analysis of New Zealand gambling service use data.</w:t>
      </w:r>
    </w:p>
    <w:p w14:paraId="474903C7" w14:textId="77777777" w:rsidR="002951A5" w:rsidRDefault="002951A5" w:rsidP="002951A5">
      <w:pPr>
        <w:jc w:val="both"/>
      </w:pPr>
    </w:p>
    <w:p w14:paraId="367FB9A3" w14:textId="738F5A9D" w:rsidR="002951A5" w:rsidRPr="005C46A2" w:rsidRDefault="002951A5" w:rsidP="002951A5">
      <w:pPr>
        <w:jc w:val="both"/>
      </w:pPr>
      <w:r w:rsidRPr="005C46A2">
        <w:t xml:space="preserve">The overarching output of the project </w:t>
      </w:r>
      <w:r w:rsidR="0062684C">
        <w:t>wa</w:t>
      </w:r>
      <w:r w:rsidR="003A42B8">
        <w:t>s</w:t>
      </w:r>
      <w:r w:rsidRPr="005C46A2">
        <w:t xml:space="preserve"> the identification of opportunities to enhance support for FAOs in New Zealand gambling services.</w:t>
      </w:r>
    </w:p>
    <w:p w14:paraId="228D7546" w14:textId="77777777" w:rsidR="00820874" w:rsidRDefault="00820874" w:rsidP="00BC0617">
      <w:pPr>
        <w:spacing w:line="259" w:lineRule="auto"/>
        <w:jc w:val="both"/>
      </w:pPr>
    </w:p>
    <w:p w14:paraId="67A86E58" w14:textId="77777777" w:rsidR="00177252" w:rsidRPr="005C46A2" w:rsidRDefault="00177252" w:rsidP="00495C74">
      <w:pPr>
        <w:spacing w:after="160" w:line="259" w:lineRule="auto"/>
        <w:jc w:val="both"/>
        <w:rPr>
          <w:b/>
        </w:rPr>
      </w:pPr>
      <w:r w:rsidRPr="005C46A2">
        <w:rPr>
          <w:b/>
        </w:rPr>
        <w:br w:type="page"/>
      </w:r>
    </w:p>
    <w:p w14:paraId="26254868" w14:textId="26790518" w:rsidR="00DD03C8" w:rsidRPr="00DD03C8" w:rsidRDefault="00DD03C8" w:rsidP="00C13E89">
      <w:pPr>
        <w:pStyle w:val="Heading1"/>
        <w:jc w:val="both"/>
        <w:rPr>
          <w:caps/>
        </w:rPr>
      </w:pPr>
      <w:bookmarkStart w:id="12" w:name="_Toc58400764"/>
      <w:r w:rsidRPr="00DD03C8">
        <w:rPr>
          <w:caps/>
        </w:rPr>
        <w:lastRenderedPageBreak/>
        <w:t>E</w:t>
      </w:r>
      <w:r w:rsidR="003E195A">
        <w:rPr>
          <w:caps/>
        </w:rPr>
        <w:t>XPLORATION OF QUALITY AND EFFECTIVE FAO SUPPORT</w:t>
      </w:r>
      <w:bookmarkEnd w:id="12"/>
      <w:r w:rsidR="003E195A">
        <w:rPr>
          <w:caps/>
        </w:rPr>
        <w:t xml:space="preserve"> </w:t>
      </w:r>
    </w:p>
    <w:p w14:paraId="5B69A293" w14:textId="4260C7C1" w:rsidR="00DD03C8" w:rsidRDefault="00E254CC" w:rsidP="00DD03C8">
      <w:r>
        <w:t xml:space="preserve">This section details the results of part one of the study, an exploration of quality and effective FAO support. Part one involved a conceptual review of addictions literature, </w:t>
      </w:r>
      <w:r w:rsidR="0062684C">
        <w:t>which</w:t>
      </w:r>
      <w:r>
        <w:t xml:space="preserve"> inform</w:t>
      </w:r>
      <w:r w:rsidR="0062684C">
        <w:t>ed</w:t>
      </w:r>
      <w:r>
        <w:t xml:space="preserve"> a structured engagement with expert opinion on </w:t>
      </w:r>
      <w:r w:rsidR="00975273">
        <w:t xml:space="preserve">enhancing </w:t>
      </w:r>
      <w:r>
        <w:t xml:space="preserve">support for FAOs. </w:t>
      </w:r>
    </w:p>
    <w:p w14:paraId="0CCB467B" w14:textId="77777777" w:rsidR="00E254CC" w:rsidRDefault="00E254CC" w:rsidP="00DD03C8"/>
    <w:p w14:paraId="4208021B" w14:textId="43D6F36B" w:rsidR="00820874" w:rsidRDefault="00DD03C8" w:rsidP="00C13E89">
      <w:pPr>
        <w:pStyle w:val="Heading2"/>
        <w:pBdr>
          <w:top w:val="single" w:sz="4" w:space="1" w:color="auto"/>
          <w:left w:val="single" w:sz="4" w:space="4" w:color="auto"/>
          <w:bottom w:val="single" w:sz="4" w:space="1" w:color="auto"/>
          <w:right w:val="single" w:sz="4" w:space="4" w:color="auto"/>
        </w:pBdr>
      </w:pPr>
      <w:bookmarkStart w:id="13" w:name="_Toc58400765"/>
      <w:r>
        <w:t>Conceptual review of addictions literature</w:t>
      </w:r>
      <w:bookmarkEnd w:id="13"/>
      <w:r>
        <w:t xml:space="preserve"> </w:t>
      </w:r>
    </w:p>
    <w:p w14:paraId="0F9B350B" w14:textId="2609EFBF" w:rsidR="00767BA2" w:rsidRDefault="00767BA2" w:rsidP="00767BA2">
      <w:pPr>
        <w:jc w:val="both"/>
      </w:pPr>
      <w:r>
        <w:t>Conceptual reviews explore</w:t>
      </w:r>
      <w:r w:rsidRPr="001F245F">
        <w:t xml:space="preserve"> </w:t>
      </w:r>
      <w:r>
        <w:t xml:space="preserve">the </w:t>
      </w:r>
      <w:r w:rsidRPr="001F245F">
        <w:t xml:space="preserve">underlying logic or assumptions about </w:t>
      </w:r>
      <w:r>
        <w:t>harm</w:t>
      </w:r>
      <w:r w:rsidRPr="001F245F">
        <w:t xml:space="preserve"> that are reflected in intervention practice</w:t>
      </w:r>
      <w:r>
        <w:t xml:space="preserve"> </w:t>
      </w:r>
      <w:r>
        <w:fldChar w:fldCharType="begin">
          <w:fldData xml:space="preserve">PEVuZE5vdGU+PENpdGU+PEF1dGhvcj5EZWxmYWJicm88L0F1dGhvcj48WWVhcj4yMDAwPC9ZZWFy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</w:fldData>
        </w:fldChar>
      </w:r>
      <w:r w:rsidR="0017796C">
        <w:instrText xml:space="preserve"> ADDIN EN.CITE </w:instrText>
      </w:r>
      <w:r w:rsidR="0017796C">
        <w:fldChar w:fldCharType="begin">
          <w:fldData xml:space="preserve">PEVuZE5vdGU+PENpdGU+PEF1dGhvcj5EZWxmYWJicm88L0F1dGhvcj48WWVhcj4yMDAwPC9ZZWFy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</w:fldData>
        </w:fldChar>
      </w:r>
      <w:r w:rsidR="0017796C">
        <w:instrText xml:space="preserve"> ADDIN EN.CITE.DATA </w:instrText>
      </w:r>
      <w:r w:rsidR="0017796C">
        <w:fldChar w:fldCharType="end"/>
      </w:r>
      <w:r>
        <w:fldChar w:fldCharType="separate"/>
      </w:r>
      <w:r w:rsidR="0017796C">
        <w:rPr>
          <w:noProof/>
        </w:rPr>
        <w:t>(e.g. Delfabbro, 2000; Griffiths &amp; Delfabbro, 2001; Harvey &amp; Delfabbro, 2004; Orford, Velleman, Natera, Templeton, &amp; Copello, 2013)</w:t>
      </w:r>
      <w:r>
        <w:fldChar w:fldCharType="end"/>
      </w:r>
      <w:r w:rsidRPr="001F245F">
        <w:t xml:space="preserve">. </w:t>
      </w:r>
      <w:r>
        <w:t>The purpose of such</w:t>
      </w:r>
      <w:r w:rsidRPr="001F245F">
        <w:t xml:space="preserve"> reviews </w:t>
      </w:r>
      <w:r>
        <w:t>is to</w:t>
      </w:r>
      <w:r w:rsidRPr="001F245F">
        <w:t xml:space="preserve"> point out </w:t>
      </w:r>
      <w:r>
        <w:t xml:space="preserve">issues and </w:t>
      </w:r>
      <w:r w:rsidRPr="001F245F">
        <w:t xml:space="preserve">areas of tension/contradiction in the knowledge base currently underpinning practice </w:t>
      </w:r>
      <w:r w:rsidRPr="001F245F">
        <w:fldChar w:fldCharType="begin"/>
      </w:r>
      <w:r>
        <w:instrText xml:space="preserve"> ADDIN EN.CITE &lt;EndNote&gt;&lt;Cite&gt;&lt;Author&gt;Johnson&lt;/Author&gt;&lt;Year&gt;2016&lt;/Year&gt;&lt;RecNum&gt;25&lt;/RecNum&gt;&lt;Prefix&gt;e.g. &lt;/Prefix&gt;&lt;DisplayText&gt;(e.g. Johnson, Riis, &amp;amp; Noble, 2016; Tuma, 1989)&lt;/DisplayText&gt;&lt;record&gt;&lt;rec-number&gt;25&lt;/rec-number&gt;&lt;foreign-keys&gt;&lt;key app="EN" db-id="t2x2tarz49pavue2a2rvp9auwvsxfepfxraw" timestamp="1573692105"&gt;25&lt;/key&gt;&lt;/foreign-keys&gt;&lt;ref-type name="Journal Article"&gt;17&lt;/ref-type&gt;&lt;contributors&gt;&lt;authors&gt;&lt;author&gt;Johnson, Sara B&lt;/author&gt;&lt;author&gt;Riis, Jenna L&lt;/author&gt;&lt;author&gt;Noble, Kimberly G&lt;/author&gt;&lt;/authors&gt;&lt;/contributors&gt;&lt;titles&gt;&lt;title&gt;State of the art review: poverty and the developing brain&lt;/title&gt;&lt;secondary-title&gt;Pediatrics&lt;/secondary-title&gt;&lt;/titles&gt;&lt;periodical&gt;&lt;full-title&gt;Pediatrics&lt;/full-title&gt;&lt;/periodical&gt;&lt;pages&gt;e20153075&lt;/pages&gt;&lt;volume&gt;137&lt;/volume&gt;&lt;number&gt;4&lt;/number&gt;&lt;dates&gt;&lt;year&gt;2016&lt;/year&gt;&lt;/dates&gt;&lt;isbn&gt;0031-4005&lt;/isbn&gt;&lt;urls&gt;&lt;/urls&gt;&lt;/record&gt;&lt;/Cite&gt;&lt;Cite&gt;&lt;Author&gt;Tuma&lt;/Author&gt;&lt;Year&gt;1989&lt;/Year&gt;&lt;RecNum&gt;26&lt;/RecNum&gt;&lt;record&gt;&lt;rec-number&gt;26&lt;/rec-number&gt;&lt;foreign-keys&gt;&lt;key app="EN" db-id="t2x2tarz49pavue2a2rvp9auwvsxfepfxraw" timestamp="1573692346"&gt;26&lt;/key&gt;&lt;/foreign-keys&gt;&lt;ref-type name="Journal Article"&gt;17&lt;/ref-type&gt;&lt;contributors&gt;&lt;authors&gt;&lt;author&gt;Tuma, June M&lt;/author&gt;&lt;/authors&gt;&lt;/contributors&gt;&lt;titles&gt;&lt;title&gt;Mental health services for children: The state of the art&lt;/title&gt;&lt;secondary-title&gt;American Psychologist&lt;/secondary-title&gt;&lt;/titles&gt;&lt;periodical&gt;&lt;full-title&gt;American Psychologist&lt;/full-title&gt;&lt;/periodical&gt;&lt;pages&gt;188&lt;/pages&gt;&lt;volume&gt;44&lt;/volume&gt;&lt;number&gt;2&lt;/number&gt;&lt;dates&gt;&lt;year&gt;1989&lt;/year&gt;&lt;/dates&gt;&lt;isbn&gt;1557980543&lt;/isbn&gt;&lt;urls&gt;&lt;/urls&gt;&lt;/record&gt;&lt;/Cite&gt;&lt;/EndNote&gt;</w:instrText>
      </w:r>
      <w:r w:rsidRPr="001F245F">
        <w:fldChar w:fldCharType="separate"/>
      </w:r>
      <w:r>
        <w:rPr>
          <w:noProof/>
        </w:rPr>
        <w:t>(e.g. Johnson, Riis, &amp; Noble, 2016; Tuma, 1989)</w:t>
      </w:r>
      <w:r w:rsidRPr="001F245F">
        <w:fldChar w:fldCharType="end"/>
      </w:r>
      <w:r w:rsidRPr="001F245F">
        <w:t xml:space="preserve">. </w:t>
      </w:r>
      <w:r>
        <w:t xml:space="preserve">Support for FAOs </w:t>
      </w:r>
      <w:r w:rsidRPr="001F245F">
        <w:t>is the subject of continuing debate and discussion as researchers</w:t>
      </w:r>
      <w:r>
        <w:t xml:space="preserve">, clinicians and </w:t>
      </w:r>
      <w:r w:rsidR="0001065E">
        <w:t>policymakers</w:t>
      </w:r>
      <w:r>
        <w:t xml:space="preserve"> </w:t>
      </w:r>
      <w:r w:rsidRPr="001F245F">
        <w:t xml:space="preserve">develop and improve metrics and models of harm and </w:t>
      </w:r>
      <w:r>
        <w:t>recovery</w:t>
      </w:r>
      <w:r w:rsidRPr="001F245F">
        <w:t xml:space="preserve">. </w:t>
      </w:r>
      <w:r>
        <w:t>Proposed i</w:t>
      </w:r>
      <w:r w:rsidRPr="001F245F">
        <w:t xml:space="preserve">nterventions and strategies for reducing </w:t>
      </w:r>
      <w:r>
        <w:t>harm</w:t>
      </w:r>
      <w:r w:rsidRPr="001F245F">
        <w:t xml:space="preserve"> contain within them assumptions about </w:t>
      </w:r>
      <w:r>
        <w:t xml:space="preserve">gambling, </w:t>
      </w:r>
      <w:r w:rsidRPr="001F245F">
        <w:t>harm</w:t>
      </w:r>
      <w:r>
        <w:t xml:space="preserve"> and FAO needs</w:t>
      </w:r>
      <w:r w:rsidRPr="001F245F">
        <w:t xml:space="preserve">. These assumptions should be identified and critically examined in the interests of informing harm reduction </w:t>
      </w:r>
      <w:r>
        <w:t>services</w:t>
      </w:r>
      <w:r w:rsidRPr="001F245F">
        <w:t xml:space="preserve"> </w:t>
      </w:r>
      <w:r w:rsidRPr="001F245F">
        <w:fldChar w:fldCharType="begin"/>
      </w:r>
      <w:r w:rsidRPr="001F245F">
        <w:instrText xml:space="preserve"> ADDIN EN.CITE &lt;EndNote&gt;&lt;Cite&gt;&lt;Author&gt;Casswell&lt;/Author&gt;&lt;Year&gt;2005&lt;/Year&gt;&lt;RecNum&gt;1&lt;/RecNum&gt;&lt;Prefix&gt;e.g. &lt;/Prefix&gt;&lt;DisplayText&gt;(e.g. Casswell &amp;amp; Maxwell, 2005)&lt;/DisplayText&gt;&lt;record&gt;&lt;rec-number&gt;1&lt;/rec-number&gt;&lt;foreign-keys&gt;&lt;key app="EN" db-id="t2x2tarz49pavue2a2rvp9auwvsxfepfxraw" timestamp="1573168998"&gt;1&lt;/key&gt;&lt;/foreign-keys&gt;&lt;ref-type name="Journal Article"&gt;17&lt;/ref-type&gt;&lt;contributors&gt;&lt;authors&gt;&lt;author&gt;Casswell, S&lt;/author&gt;&lt;author&gt;Maxwell, A&lt;/author&gt;&lt;/authors&gt;&lt;/contributors&gt;&lt;titles&gt;&lt;title&gt;What works to reduce alcohol-related harm and why aren&amp;apos;t the policies more popular?&lt;/title&gt;&lt;secondary-title&gt;Social Policy Journal of New Zealand Te Puna Whakaaro&lt;/secondary-title&gt;&lt;/titles&gt;&lt;periodical&gt;&lt;full-title&gt;Social Policy Journal of New Zealand Te Puna Whakaaro&lt;/full-title&gt;&lt;/periodical&gt;&lt;volume&gt;25&lt;/volume&gt;&lt;number&gt;July&lt;/number&gt;&lt;dates&gt;&lt;year&gt;2005&lt;/year&gt;&lt;/dates&gt;&lt;urls&gt;&lt;related-urls&gt;&lt;url&gt;https://www.msd.govt.nz/about-msd-and-our-work/publications-resources/journals-and-magazines/social-policy-journal/spj25/what-works-reduce-alcohol-related-harm-25-pages-118-141.html&lt;/url&gt;&lt;/related-urls&gt;&lt;/urls&gt;&lt;/record&gt;&lt;/Cite&gt;&lt;/EndNote&gt;</w:instrText>
      </w:r>
      <w:r w:rsidRPr="001F245F">
        <w:fldChar w:fldCharType="separate"/>
      </w:r>
      <w:r w:rsidRPr="001F245F">
        <w:t>(e.g. Casswell &amp; Maxwell, 2005)</w:t>
      </w:r>
      <w:r w:rsidRPr="001F245F">
        <w:fldChar w:fldCharType="end"/>
      </w:r>
      <w:r w:rsidRPr="001F245F">
        <w:t xml:space="preserve">. </w:t>
      </w:r>
    </w:p>
    <w:p w14:paraId="23BB2DC2" w14:textId="5ED72E16" w:rsidR="009E4058" w:rsidRDefault="009E4058" w:rsidP="00767BA2">
      <w:pPr>
        <w:jc w:val="both"/>
      </w:pPr>
    </w:p>
    <w:p w14:paraId="000FEE31" w14:textId="15DC015F" w:rsidR="009E4058" w:rsidRDefault="009E4058" w:rsidP="00767BA2">
      <w:pPr>
        <w:jc w:val="both"/>
      </w:pPr>
      <w:r w:rsidRPr="00A5084B">
        <w:t xml:space="preserve">This conceptual review sought to consider and include multiple perspectives on ‘evidence-based practice’ in play across the addictions literature. For example, an empirical-analytical perspective focuses on </w:t>
      </w:r>
      <w:bookmarkStart w:id="14" w:name="_Hlk53137168"/>
      <w:r w:rsidRPr="00A5084B">
        <w:t xml:space="preserve">experimental evidence, e.g. change in validated measures, as the basis for evidence-based practices </w:t>
      </w:r>
      <w:bookmarkEnd w:id="14"/>
      <w:r w:rsidRPr="00A5084B">
        <w:fldChar w:fldCharType="begin"/>
      </w:r>
      <w:r w:rsidRPr="00A5084B">
        <w:instrText xml:space="preserve"> ADDIN EN.CITE &lt;EndNote&gt;&lt;Cite&gt;&lt;Author&gt;Erbes&lt;/Author&gt;&lt;Year&gt;2015&lt;/Year&gt;&lt;RecNum&gt;145&lt;/RecNum&gt;&lt;DisplayText&gt;(Erbes et al., 2015; Nayoski &amp;amp; Hodgins, 2016)&lt;/DisplayText&gt;&lt;record&gt;&lt;rec-number&gt;145&lt;/rec-number&gt;&lt;foreign-keys&gt;&lt;key app="EN" db-id="25rszwft292ev3esrpvpde0cpxrd9ex0xspp" timestamp="1585775256"&gt;145&lt;/key&gt;&lt;/foreign-keys&gt;&lt;ref-type name="Conference Proceedings"&gt;10&lt;/ref-type&gt;&lt;contributors&gt;&lt;authors&gt;&lt;author&gt;Erbes, CR&lt;/author&gt;&lt;author&gt;Kuhn, E&lt;/author&gt;&lt;author&gt;Gifford, E&lt;/author&gt;&lt;author&gt;Spoont, MR&lt;/author&gt;&lt;author&gt;Meis, LA&lt;/author&gt;&lt;author&gt;Polusny, MA&lt;/author&gt;&lt;author&gt;Wright, J&lt;/author&gt;&lt;/authors&gt;&lt;/contributors&gt;&lt;titles&gt;&lt;title&gt;A pilot trial of VA-CRAFT: Online training to enhance family well-being and veteran mental health service use&lt;/title&gt;&lt;secondary-title&gt;International Society for Traumatic Stress Studies (ISTSS) Annual Meeting, New Orleans, LA&lt;/secondary-title&gt;&lt;/titles&gt;&lt;dates&gt;&lt;year&gt;2015&lt;/year&gt;&lt;/dates&gt;&lt;urls&gt;&lt;/urls&gt;&lt;/record&gt;&lt;/Cite&gt;&lt;Cite&gt;&lt;Author&gt;Nayoski&lt;/Author&gt;&lt;Year&gt;2016&lt;/Year&gt;&lt;RecNum&gt;201&lt;/RecNum&gt;&lt;record&gt;&lt;rec-number&gt;201&lt;/rec-number&gt;&lt;foreign-keys&gt;&lt;key app="EN" db-id="25rszwft292ev3esrpvpde0cpxrd9ex0xspp" timestamp="1588111808"&gt;201&lt;/key&gt;&lt;/foreign-keys&gt;&lt;ref-type name="Journal Article"&gt;17&lt;/ref-type&gt;&lt;contributors&gt;&lt;authors&gt;&lt;author&gt;Nayoski, Nicole&lt;/author&gt;&lt;author&gt;Hodgins, David C&lt;/author&gt;&lt;/authors&gt;&lt;/contributors&gt;&lt;titles&gt;&lt;title&gt;The efficacy of individual community reinforcement and family training (CRAFT) for concerned significant others of problem gamblers&lt;/title&gt;&lt;secondary-title&gt;Journal of Gambling Issues&lt;/secondary-title&gt;&lt;/titles&gt;&lt;periodical&gt;&lt;full-title&gt;Journal of Gambling Issues&lt;/full-title&gt;&lt;/periodical&gt;&lt;pages&gt;189-212&lt;/pages&gt;&lt;number&gt;33&lt;/number&gt;&lt;dates&gt;&lt;year&gt;2016&lt;/year&gt;&lt;/dates&gt;&lt;isbn&gt;1910-7595&lt;/isbn&gt;&lt;urls&gt;&lt;/urls&gt;&lt;/record&gt;&lt;/Cite&gt;&lt;/EndNote&gt;</w:instrText>
      </w:r>
      <w:r w:rsidRPr="00A5084B">
        <w:fldChar w:fldCharType="separate"/>
      </w:r>
      <w:r w:rsidRPr="00A5084B">
        <w:t>(Erbes et al., 2015; Nayoski &amp; Hodgins, 2016)</w:t>
      </w:r>
      <w:r w:rsidRPr="00A5084B">
        <w:fldChar w:fldCharType="end"/>
      </w:r>
      <w:r w:rsidRPr="00A5084B">
        <w:t xml:space="preserve">. A phenomenological-existential perspective views intervention success as based on reported experiences of well-being </w:t>
      </w:r>
      <w:r w:rsidRPr="00A5084B">
        <w:fldChar w:fldCharType="begin"/>
      </w:r>
      <w:r w:rsidRPr="00A5084B">
        <w:instrText xml:space="preserve"> ADDIN EN.CITE &lt;EndNote&gt;&lt;Cite&gt;&lt;Author&gt;Graham&lt;/Author&gt;&lt;Year&gt;2020&lt;/Year&gt;&lt;RecNum&gt;292&lt;/RecNum&gt;&lt;Prefix&gt;e.g. &lt;/Prefix&gt;&lt;DisplayText&gt;(e.g. R. Graham &amp;amp; Masters‐Awatere, 2020)&lt;/DisplayText&gt;&lt;record&gt;&lt;rec-number&gt;292&lt;/rec-number&gt;&lt;foreign-keys&gt;&lt;key app="EN" db-id="25rszwft292ev3esrpvpde0cpxrd9ex0xspp" timestamp="1600722382"&gt;292&lt;/key&gt;&lt;/foreign-keys&gt;&lt;ref-type name="Journal Article"&gt;17&lt;/ref-type&gt;&lt;contributors&gt;&lt;authors&gt;&lt;author&gt;Graham, Rebekah&lt;/author&gt;&lt;author&gt;Masters‐Awatere, Bridgette&lt;/author&gt;&lt;/authors&gt;&lt;/contributors&gt;&lt;titles&gt;&lt;title&gt;Experiences of Māori of Aotearoa New Zealand&amp;apos;s public health system: a systematic review of two decades of published qualitative research&lt;/title&gt;&lt;secondary-title&gt;Australian and New Zealand Journal of Public Health&lt;/secondary-title&gt;&lt;/titles&gt;&lt;periodical&gt;&lt;full-title&gt;Australian and New Zealand Journal of Public Health&lt;/full-title&gt;&lt;/periodical&gt;&lt;pages&gt;193-200&lt;/pages&gt;&lt;volume&gt;44&lt;/volume&gt;&lt;number&gt;3&lt;/number&gt;&lt;dates&gt;&lt;year&gt;2020&lt;/year&gt;&lt;/dates&gt;&lt;isbn&gt;1326-0200&lt;/isbn&gt;&lt;urls&gt;&lt;/urls&gt;&lt;/record&gt;&lt;/Cite&gt;&lt;/EndNote&gt;</w:instrText>
      </w:r>
      <w:r w:rsidRPr="00A5084B">
        <w:fldChar w:fldCharType="separate"/>
      </w:r>
      <w:r w:rsidRPr="00A5084B">
        <w:t>(e.g. R. Graham &amp; Masters‐Awatere, 2020)</w:t>
      </w:r>
      <w:r w:rsidRPr="00A5084B">
        <w:fldChar w:fldCharType="end"/>
      </w:r>
      <w:r w:rsidRPr="00A5084B">
        <w:t xml:space="preserve">. From a third, values-based perspective, intervention quality and effectiveness is based on a-priori principles such as inclusion, equity, self-determination, participation, and empowerment </w:t>
      </w:r>
      <w:r w:rsidRPr="00A5084B">
        <w:fldChar w:fldCharType="begin"/>
      </w:r>
      <w:r w:rsidRPr="00A5084B">
        <w:instrText xml:space="preserve"> ADDIN EN.CITE &lt;EndNote&gt;&lt;Cite&gt;&lt;Author&gt;Durie&lt;/Author&gt;&lt;Year&gt;1997&lt;/Year&gt;&lt;RecNum&gt;241&lt;/RecNum&gt;&lt;DisplayText&gt;(Durie, 1997; Dyall, 2007)&lt;/DisplayText&gt;&lt;record&gt;&lt;rec-number&gt;241&lt;/rec-number&gt;&lt;foreign-keys&gt;&lt;key app="EN" db-id="25rszwft292ev3esrpvpde0cpxrd9ex0xspp" timestamp="1589319643"&gt;241&lt;/key&gt;&lt;/foreign-keys&gt;&lt;ref-type name="Journal Article"&gt;17&lt;/ref-type&gt;&lt;contributors&gt;&lt;authors&gt;&lt;author&gt;Durie, Mason&lt;/author&gt;&lt;/authors&gt;&lt;/contributors&gt;&lt;titles&gt;&lt;title&gt;Whanau, whanaungatanga and healthy Maori development&lt;/title&gt;&lt;secondary-title&gt;Mai i Rangiatea: Maori wellbeing and development. Bridget Williams Books, Auckland&lt;/secondary-title&gt;&lt;/titles&gt;&lt;periodical&gt;&lt;full-title&gt;Mai i Rangiatea: Maori wellbeing and development. Bridget Williams Books, Auckland&lt;/full-title&gt;&lt;/periodical&gt;&lt;dates&gt;&lt;year&gt;1997&lt;/year&gt;&lt;/dates&gt;&lt;urls&gt;&lt;/urls&gt;&lt;/record&gt;&lt;/Cite&gt;&lt;Cite&gt;&lt;Author&gt;Dyall&lt;/Author&gt;&lt;Year&gt;2007&lt;/Year&gt;&lt;RecNum&gt;215&lt;/RecNum&gt;&lt;record&gt;&lt;rec-number&gt;215&lt;/rec-number&gt;&lt;foreign-keys&gt;&lt;key app="EN" db-id="25rszwft292ev3esrpvpde0cpxrd9ex0xspp" timestamp="1588626823"&gt;215&lt;/key&gt;&lt;/foreign-keys&gt;&lt;ref-type name="Journal Article"&gt;17&lt;/ref-type&gt;&lt;contributors&gt;&lt;authors&gt;&lt;author&gt;Dyall, Lorna&lt;/author&gt;&lt;/authors&gt;&lt;/contributors&gt;&lt;titles&gt;&lt;title&gt;Gambling, social disorganisation and deprivation&lt;/title&gt;&lt;secondary-title&gt;International Journal of Mental Health and Addiction&lt;/secondary-title&gt;&lt;/titles&gt;&lt;periodical&gt;&lt;full-title&gt;International Journal of Mental Health and Addiction&lt;/full-title&gt;&lt;/periodical&gt;&lt;pages&gt;320-330&lt;/pages&gt;&lt;volume&gt;5&lt;/volume&gt;&lt;number&gt;4&lt;/number&gt;&lt;dates&gt;&lt;year&gt;2007&lt;/year&gt;&lt;/dates&gt;&lt;isbn&gt;1557-1874&lt;/isbn&gt;&lt;urls&gt;&lt;/urls&gt;&lt;/record&gt;&lt;/Cite&gt;&lt;/EndNote&gt;</w:instrText>
      </w:r>
      <w:r w:rsidRPr="00A5084B">
        <w:fldChar w:fldCharType="separate"/>
      </w:r>
      <w:r w:rsidRPr="00A5084B">
        <w:t>(Durie, 1997; Dyall, 2007)</w:t>
      </w:r>
      <w:r w:rsidRPr="00A5084B">
        <w:fldChar w:fldCharType="end"/>
      </w:r>
      <w:r w:rsidRPr="00A5084B">
        <w:t>.</w:t>
      </w:r>
    </w:p>
    <w:p w14:paraId="504E9407" w14:textId="77777777" w:rsidR="00767BA2" w:rsidRDefault="00767BA2" w:rsidP="00767BA2">
      <w:pPr>
        <w:jc w:val="both"/>
      </w:pPr>
    </w:p>
    <w:p w14:paraId="7191B0C0" w14:textId="77777777" w:rsidR="00767BA2" w:rsidRDefault="00767BA2" w:rsidP="00767BA2">
      <w:pPr>
        <w:pStyle w:val="Heading3"/>
      </w:pPr>
      <w:bookmarkStart w:id="15" w:name="_Toc41640885"/>
      <w:bookmarkStart w:id="16" w:name="_Toc58400766"/>
      <w:r>
        <w:t>Principles of intersectionality</w:t>
      </w:r>
      <w:bookmarkEnd w:id="15"/>
      <w:bookmarkEnd w:id="16"/>
    </w:p>
    <w:p w14:paraId="7D369847" w14:textId="7DF108D4" w:rsidR="00767BA2" w:rsidRDefault="00767BA2" w:rsidP="00767BA2">
      <w:pPr>
        <w:jc w:val="both"/>
      </w:pPr>
      <w:r w:rsidRPr="003C3E38">
        <w:t>Social models of addictions draw attention to cultural and environmental influences on biological, psychological and other factors, with implications for both the experience of and interventions to address harm</w:t>
      </w:r>
      <w:r>
        <w:t xml:space="preserve"> in families and communities</w:t>
      </w:r>
      <w:r w:rsidRPr="003C3E38">
        <w:t xml:space="preserve"> </w:t>
      </w:r>
      <w:r w:rsidRPr="003C3E38">
        <w:fldChar w:fldCharType="begin">
          <w:fldData xml:space="preserve">PEVuZE5vdGU+PENpdGU+PEF1dGhvcj5CZWNrZXI8L0F1dGhvcj48WWVhcj4yMDE2PC9ZZWFyPjxS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==
</w:fldData>
        </w:fldChar>
      </w:r>
      <w:r>
        <w:instrText xml:space="preserve"> ADDIN EN.CITE </w:instrText>
      </w:r>
      <w:r>
        <w:fldChar w:fldCharType="begin">
          <w:fldData xml:space="preserve">PEVuZE5vdGU+PENpdGU+PEF1dGhvcj5CZWNrZXI8L0F1dGhvcj48WWVhcj4yMDE2PC9ZZWFyPjxS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==
</w:fldData>
        </w:fldChar>
      </w:r>
      <w:r>
        <w:instrText xml:space="preserve"> ADDIN EN.CITE.DATA </w:instrText>
      </w:r>
      <w:r>
        <w:fldChar w:fldCharType="end"/>
      </w:r>
      <w:r w:rsidRPr="003C3E38">
        <w:fldChar w:fldCharType="separate"/>
      </w:r>
      <w:r>
        <w:rPr>
          <w:noProof/>
        </w:rPr>
        <w:t>(Becker, McClellan, &amp; Reed, 2016; Griffiths &amp; Delfabbro, 2001; Sharpe, 2002)</w:t>
      </w:r>
      <w:r w:rsidRPr="003C3E38">
        <w:fldChar w:fldCharType="end"/>
      </w:r>
      <w:r w:rsidRPr="003C3E38">
        <w:t>.</w:t>
      </w:r>
      <w:r>
        <w:t xml:space="preserve"> </w:t>
      </w:r>
      <w:r w:rsidRPr="003440D6">
        <w:t xml:space="preserve">Intersectionality is a theoretical framework that posits that multiple individual social categories (e.g., ethnicity, gender, socioeconomic status) and systems of privilege and oppression at the social-structural level (e.g., racism, sexism, poverty) shape our lives and are therefore involved in producing health outcomes </w:t>
      </w:r>
      <w:r w:rsidRPr="003440D6">
        <w:fldChar w:fldCharType="begin"/>
      </w:r>
      <w:r w:rsidRPr="003440D6">
        <w:instrText xml:space="preserve"> ADDIN EN.CITE &lt;EndNote&gt;&lt;Cite&gt;&lt;Author&gt;Bowleg&lt;/Author&gt;&lt;Year&gt;2012&lt;/Year&gt;&lt;RecNum&gt;27&lt;/RecNum&gt;&lt;DisplayText&gt;(Bowleg, 2012)&lt;/DisplayText&gt;&lt;record&gt;&lt;rec-number&gt;27&lt;/rec-number&gt;&lt;foreign-keys&gt;&lt;key app="EN" db-id="t2x2tarz49pavue2a2rvp9auwvsxfepfxraw" timestamp="1573693719"&gt;27&lt;/key&gt;&lt;/foreign-keys&gt;&lt;ref-type name="Journal Article"&gt;17&lt;/ref-type&gt;&lt;contributors&gt;&lt;authors&gt;&lt;author&gt;Bowleg, Lisa&lt;/author&gt;&lt;/authors&gt;&lt;/contributors&gt;&lt;titles&gt;&lt;title&gt;The problem with the phrase women and minorities: intersectionality—an important theoretical framework for public health&lt;/title&gt;&lt;secondary-title&gt;American journal of public health&lt;/secondary-title&gt;&lt;/titles&gt;&lt;periodical&gt;&lt;full-title&gt;American journal of public health&lt;/full-title&gt;&lt;/periodical&gt;&lt;pages&gt;1267-1273&lt;/pages&gt;&lt;volume&gt;102&lt;/volume&gt;&lt;number&gt;7&lt;/number&gt;&lt;dates&gt;&lt;year&gt;2012&lt;/year&gt;&lt;/dates&gt;&lt;isbn&gt;1541-0048&lt;/isbn&gt;&lt;urls&gt;&lt;/urls&gt;&lt;/record&gt;&lt;/Cite&gt;&lt;/EndNote&gt;</w:instrText>
      </w:r>
      <w:r w:rsidRPr="003440D6">
        <w:fldChar w:fldCharType="separate"/>
      </w:r>
      <w:r w:rsidRPr="003440D6">
        <w:t>(Bowleg, 2012)</w:t>
      </w:r>
      <w:r w:rsidRPr="003440D6">
        <w:fldChar w:fldCharType="end"/>
      </w:r>
      <w:r w:rsidRPr="003440D6">
        <w:t xml:space="preserve">. An intersectional lens is </w:t>
      </w:r>
      <w:r>
        <w:t>useful</w:t>
      </w:r>
      <w:r w:rsidRPr="003440D6">
        <w:t xml:space="preserve"> when designing </w:t>
      </w:r>
      <w:r w:rsidR="00165663">
        <w:t xml:space="preserve">and assessing </w:t>
      </w:r>
      <w:r w:rsidRPr="003440D6">
        <w:t xml:space="preserve">health promotion campaigns, social marketing, public health interventions, and in the delivery of primary health care to effectively engage with communities and avoid unintended negative effects </w:t>
      </w:r>
      <w:r w:rsidRPr="003440D6">
        <w:fldChar w:fldCharType="begin"/>
      </w:r>
      <w:r>
        <w:instrText xml:space="preserve"> ADDIN EN.CITE &lt;EndNote&gt;&lt;Cite&gt;&lt;Author&gt;Vardeman-Winter&lt;/Author&gt;&lt;Year&gt;2013&lt;/Year&gt;&lt;RecNum&gt;28&lt;/RecNum&gt;&lt;DisplayText&gt;(Bauer, 2014; Vardeman-Winter, Jiang, &amp;amp; Tindall, 2013)&lt;/DisplayText&gt;&lt;record&gt;&lt;rec-number&gt;28&lt;/rec-number&gt;&lt;foreign-keys&gt;&lt;key app="EN" db-id="t2x2tarz49pavue2a2rvp9auwvsxfepfxraw" timestamp="1573694435"&gt;28&lt;/key&gt;&lt;/foreign-keys&gt;&lt;ref-type name="Journal Article"&gt;17&lt;/ref-type&gt;&lt;contributors&gt;&lt;authors&gt;&lt;author&gt;Vardeman-Winter, Jennifer&lt;/author&gt;&lt;author&gt;Jiang, Hua&lt;/author&gt;&lt;author&gt;Tindall, Natalie TJ&lt;/author&gt;&lt;/authors&gt;&lt;/contributors&gt;&lt;titles&gt;&lt;title&gt;Information-seeking outcomes of representational, structural, and political intersectionality among health media consumers&lt;/title&gt;&lt;secondary-title&gt;Journal of Applied Communication Research&lt;/secondary-title&gt;&lt;/titles&gt;&lt;periodical&gt;&lt;full-title&gt;Journal of Applied Communication Research&lt;/full-title&gt;&lt;/periodical&gt;&lt;pages&gt;389-411&lt;/pages&gt;&lt;volume&gt;41&lt;/volume&gt;&lt;number&gt;4&lt;/number&gt;&lt;dates&gt;&lt;year&gt;2013&lt;/year&gt;&lt;/dates&gt;&lt;isbn&gt;0090-9882&lt;/isbn&gt;&lt;urls&gt;&lt;/urls&gt;&lt;/record&gt;&lt;/Cite&gt;&lt;Cite&gt;&lt;Author&gt;Bauer&lt;/Author&gt;&lt;Year&gt;2014&lt;/Year&gt;&lt;RecNum&gt;29&lt;/RecNum&gt;&lt;record&gt;&lt;rec-number&gt;29&lt;/rec-number&gt;&lt;foreign-keys&gt;&lt;key app="EN" db-id="t2x2tarz49pavue2a2rvp9auwvsxfepfxraw" timestamp="1573694576"&gt;29&lt;/key&gt;&lt;/foreign-keys&gt;&lt;ref-type name="Journal Article"&gt;17&lt;/ref-type&gt;&lt;contributors&gt;&lt;authors&gt;&lt;author&gt;Bauer, Greta R&lt;/author&gt;&lt;/authors&gt;&lt;/contributors&gt;&lt;titles&gt;&lt;title&gt;Incorporating intersectionality theory into population health research methodology: challenges and the potential to advance health equity&lt;/title&gt;&lt;secondary-title&gt;Social science &amp;amp; medicine&lt;/secondary-title&gt;&lt;/titles&gt;&lt;periodical&gt;&lt;full-title&gt;Social science &amp;amp; medicine&lt;/full-title&gt;&lt;/periodical&gt;&lt;pages&gt;10-17&lt;/pages&gt;&lt;volume&gt;110&lt;/volume&gt;&lt;dates&gt;&lt;year&gt;2014&lt;/year&gt;&lt;/dates&gt;&lt;isbn&gt;0277-9536&lt;/isbn&gt;&lt;urls&gt;&lt;/urls&gt;&lt;/record&gt;&lt;/Cite&gt;&lt;/EndNote&gt;</w:instrText>
      </w:r>
      <w:r w:rsidRPr="003440D6">
        <w:fldChar w:fldCharType="separate"/>
      </w:r>
      <w:r>
        <w:rPr>
          <w:noProof/>
        </w:rPr>
        <w:t>(Bauer, 2014; Vardeman-Winter, Jiang, &amp; Tindall, 2013)</w:t>
      </w:r>
      <w:r w:rsidRPr="003440D6">
        <w:fldChar w:fldCharType="end"/>
      </w:r>
      <w:r w:rsidRPr="003440D6">
        <w:t xml:space="preserve">. </w:t>
      </w:r>
      <w:r>
        <w:t xml:space="preserve">Principles of intersectionality were kept in mind to </w:t>
      </w:r>
      <w:r w:rsidRPr="003440D6">
        <w:t xml:space="preserve">enable </w:t>
      </w:r>
      <w:r>
        <w:t>some commentary on</w:t>
      </w:r>
      <w:r w:rsidRPr="003440D6">
        <w:t xml:space="preserve"> the responsiveness of</w:t>
      </w:r>
      <w:r>
        <w:t xml:space="preserve"> the</w:t>
      </w:r>
      <w:r w:rsidRPr="003440D6">
        <w:t xml:space="preserve"> </w:t>
      </w:r>
      <w:r>
        <w:t xml:space="preserve">FAO support literature </w:t>
      </w:r>
      <w:r w:rsidRPr="003440D6">
        <w:t xml:space="preserve">to the </w:t>
      </w:r>
      <w:r w:rsidRPr="003440D6">
        <w:lastRenderedPageBreak/>
        <w:t>ways in which gender, ethnicity</w:t>
      </w:r>
      <w:r>
        <w:t xml:space="preserve"> and </w:t>
      </w:r>
      <w:r w:rsidRPr="003440D6">
        <w:t>culture</w:t>
      </w:r>
      <w:r>
        <w:t>-</w:t>
      </w:r>
      <w:r w:rsidRPr="003440D6">
        <w:t xml:space="preserve">related issues, notions and practices influence </w:t>
      </w:r>
      <w:r>
        <w:t xml:space="preserve">addiction </w:t>
      </w:r>
      <w:r w:rsidRPr="003440D6">
        <w:t xml:space="preserve">and related harm in communities.  </w:t>
      </w:r>
    </w:p>
    <w:p w14:paraId="30DD90C1" w14:textId="3F06FCED" w:rsidR="00324891" w:rsidRDefault="00324891" w:rsidP="00767BA2">
      <w:pPr>
        <w:jc w:val="both"/>
      </w:pPr>
    </w:p>
    <w:p w14:paraId="7A41A0B1" w14:textId="77777777" w:rsidR="00767BA2" w:rsidRDefault="00767BA2" w:rsidP="00767BA2">
      <w:pPr>
        <w:pStyle w:val="Heading3"/>
      </w:pPr>
      <w:bookmarkStart w:id="17" w:name="_Toc41640886"/>
      <w:bookmarkStart w:id="18" w:name="_Toc58400767"/>
      <w:r>
        <w:t>Methods</w:t>
      </w:r>
      <w:bookmarkEnd w:id="17"/>
      <w:bookmarkEnd w:id="18"/>
    </w:p>
    <w:p w14:paraId="26799B06" w14:textId="77777777" w:rsidR="00767BA2" w:rsidRPr="00767BA2" w:rsidRDefault="00767BA2" w:rsidP="00767BA2">
      <w:pPr>
        <w:rPr>
          <w:u w:val="single"/>
        </w:rPr>
      </w:pPr>
      <w:bookmarkStart w:id="19" w:name="_Toc41640887"/>
      <w:r w:rsidRPr="00767BA2">
        <w:rPr>
          <w:u w:val="single"/>
        </w:rPr>
        <w:t>Data selection/collection</w:t>
      </w:r>
      <w:bookmarkEnd w:id="19"/>
    </w:p>
    <w:p w14:paraId="193FBDF8" w14:textId="1AFE1CFC" w:rsidR="00767BA2" w:rsidRDefault="00767BA2" w:rsidP="00767BA2">
      <w:pPr>
        <w:jc w:val="both"/>
      </w:pPr>
      <w:r w:rsidRPr="00A448FB">
        <w:t xml:space="preserve">Existing published and grey literature </w:t>
      </w:r>
      <w:r>
        <w:t>was</w:t>
      </w:r>
      <w:r w:rsidRPr="00A448FB">
        <w:t xml:space="preserve"> reviewed to </w:t>
      </w:r>
      <w:r w:rsidR="00E254CC">
        <w:t>explore recommended</w:t>
      </w:r>
      <w:r w:rsidRPr="00A448FB">
        <w:t xml:space="preserve"> support practice with FAOs in gambling services. This review consider</w:t>
      </w:r>
      <w:r>
        <w:t>ed</w:t>
      </w:r>
      <w:r w:rsidRPr="00A448FB">
        <w:t xml:space="preserve"> </w:t>
      </w:r>
      <w:r>
        <w:t>FAO support literature</w:t>
      </w:r>
      <w:r w:rsidRPr="00A448FB">
        <w:t xml:space="preserve"> from gambling studies as well as </w:t>
      </w:r>
      <w:r>
        <w:t xml:space="preserve">the </w:t>
      </w:r>
      <w:r w:rsidRPr="00A448FB">
        <w:t xml:space="preserve">related </w:t>
      </w:r>
      <w:r>
        <w:t xml:space="preserve">harmful commodity </w:t>
      </w:r>
      <w:r w:rsidRPr="00A448FB">
        <w:t>fields</w:t>
      </w:r>
      <w:r>
        <w:t xml:space="preserve"> of </w:t>
      </w:r>
      <w:r w:rsidRPr="00A448FB">
        <w:t>alcohol</w:t>
      </w:r>
      <w:r>
        <w:t xml:space="preserve"> and</w:t>
      </w:r>
      <w:r w:rsidRPr="00A448FB">
        <w:t xml:space="preserve"> tobacco. </w:t>
      </w:r>
      <w:bookmarkStart w:id="20" w:name="_Hlk57798163"/>
      <w:r w:rsidR="00E475D5">
        <w:t>To enhance the specificity of the review, literature from the broader mental health field was not included. Mental health literature did inform the discussion of results.</w:t>
      </w:r>
      <w:bookmarkEnd w:id="20"/>
      <w:r w:rsidR="00E475D5">
        <w:t xml:space="preserve"> </w:t>
      </w:r>
      <w:r>
        <w:t>Research inclusion criteria was as follows; studies/reports were required to meet all criteria for inclusion:</w:t>
      </w:r>
    </w:p>
    <w:p w14:paraId="0001852B" w14:textId="77777777" w:rsidR="00E254CC" w:rsidRDefault="00E254CC" w:rsidP="00767BA2">
      <w:pPr>
        <w:jc w:val="both"/>
      </w:pPr>
    </w:p>
    <w:p w14:paraId="3D678C57" w14:textId="77777777" w:rsidR="00767BA2" w:rsidRDefault="00767BA2" w:rsidP="007E15CF">
      <w:pPr>
        <w:pStyle w:val="ListParagraph"/>
        <w:numPr>
          <w:ilvl w:val="0"/>
          <w:numId w:val="20"/>
        </w:numPr>
        <w:jc w:val="both"/>
      </w:pPr>
      <w:r>
        <w:t>Published anytime (enabling a historical perspective)</w:t>
      </w:r>
    </w:p>
    <w:p w14:paraId="487FB6C1" w14:textId="77777777" w:rsidR="00767BA2" w:rsidRDefault="00767BA2" w:rsidP="007E15CF">
      <w:pPr>
        <w:pStyle w:val="ListParagraph"/>
        <w:numPr>
          <w:ilvl w:val="0"/>
          <w:numId w:val="20"/>
        </w:numPr>
        <w:jc w:val="both"/>
      </w:pPr>
      <w:bookmarkStart w:id="21" w:name="_Hlk57722299"/>
      <w:r>
        <w:t xml:space="preserve">Documents support practice designed to impact on harm experienced by FAOs in relation to gambling, alcohol, </w:t>
      </w:r>
      <w:r w:rsidRPr="00190845">
        <w:t>or tobacco, at any level (individual, couple, family, community) in a service setting (e.g. clinical, community</w:t>
      </w:r>
      <w:r>
        <w:t>, public health)</w:t>
      </w:r>
    </w:p>
    <w:bookmarkEnd w:id="21"/>
    <w:p w14:paraId="6692D916" w14:textId="77777777" w:rsidR="00767BA2" w:rsidRDefault="00767BA2" w:rsidP="007E15CF">
      <w:pPr>
        <w:pStyle w:val="ListParagraph"/>
        <w:numPr>
          <w:ilvl w:val="0"/>
          <w:numId w:val="20"/>
        </w:numPr>
        <w:jc w:val="both"/>
      </w:pPr>
      <w:r>
        <w:t>Must include some evaluative/impact/outcome statements and/or some analysis in relation to effects on FAO health and/or wellbeing.</w:t>
      </w:r>
    </w:p>
    <w:p w14:paraId="35D38970" w14:textId="77777777" w:rsidR="00E254CC" w:rsidRDefault="00E254CC" w:rsidP="00767BA2">
      <w:pPr>
        <w:jc w:val="both"/>
      </w:pPr>
    </w:p>
    <w:p w14:paraId="2A9F0C11" w14:textId="67626807" w:rsidR="00767BA2" w:rsidRDefault="00767BA2" w:rsidP="00767BA2">
      <w:pPr>
        <w:jc w:val="both"/>
      </w:pPr>
      <w:r w:rsidRPr="00190845">
        <w:t xml:space="preserve">The purpose of data collection was not to be exhaustive, but to enable the articulation of key thinking/theory, intervention practice, and </w:t>
      </w:r>
      <w:r>
        <w:t>implications for service delivery for</w:t>
      </w:r>
      <w:r w:rsidRPr="00190845">
        <w:t xml:space="preserve"> FAOs, as reflected in published literature</w:t>
      </w:r>
      <w:r w:rsidR="00684DA8">
        <w:t xml:space="preserve"> </w:t>
      </w:r>
      <w:r w:rsidR="00684DA8">
        <w:fldChar w:fldCharType="begin"/>
      </w:r>
      <w:r w:rsidR="00684DA8">
        <w:instrText xml:space="preserve"> ADDIN EN.CITE &lt;EndNote&gt;&lt;Cite&gt;&lt;Author&gt;Ahl&lt;/Author&gt;&lt;Year&gt;2007&lt;/Year&gt;&lt;RecNum&gt;333&lt;/RecNum&gt;&lt;Prefix&gt;e.g. &lt;/Prefix&gt;&lt;DisplayText&gt;(e.g. Ahl, 2007)&lt;/DisplayText&gt;&lt;record&gt;&lt;rec-number&gt;333&lt;/rec-number&gt;&lt;foreign-keys&gt;&lt;key app="EN" db-id="25rszwft292ev3esrpvpde0cpxrd9ex0xspp" timestamp="1603922090"&gt;333&lt;/key&gt;&lt;/foreign-keys&gt;&lt;ref-type name="Book Section"&gt;5&lt;/ref-type&gt;&lt;contributors&gt;&lt;authors&gt;&lt;author&gt;Ahl, H. &lt;/author&gt;&lt;/authors&gt;&lt;secondary-authors&gt;&lt;author&gt;Neergaard, H&lt;/author&gt;&lt;author&gt;Parm Ulhoi, J&lt;/author&gt;&lt;/secondary-authors&gt;&lt;/contributors&gt;&lt;titles&gt;&lt;title&gt;A Foucauldian framework for discourse analysis&lt;/title&gt;&lt;secondary-title&gt;Handbook of qualitative research methods in entrepreneurship&lt;/secondary-title&gt;&lt;/titles&gt;&lt;pages&gt;216-250&lt;/pages&gt;&lt;dates&gt;&lt;year&gt;2007&lt;/year&gt;&lt;/dates&gt;&lt;pub-location&gt;USA&lt;/pub-location&gt;&lt;publisher&gt;Edward Elgar Publishing Limited&lt;/publisher&gt;&lt;urls&gt;&lt;/urls&gt;&lt;/record&gt;&lt;/Cite&gt;&lt;/EndNote&gt;</w:instrText>
      </w:r>
      <w:r w:rsidR="00684DA8">
        <w:fldChar w:fldCharType="separate"/>
      </w:r>
      <w:r w:rsidR="00684DA8">
        <w:rPr>
          <w:noProof/>
        </w:rPr>
        <w:t>(e.g. Ahl, 2007)</w:t>
      </w:r>
      <w:r w:rsidR="00684DA8">
        <w:fldChar w:fldCharType="end"/>
      </w:r>
      <w:r w:rsidRPr="00190845">
        <w:t xml:space="preserve">. The primary purpose of this review was to inform the </w:t>
      </w:r>
      <w:r w:rsidR="00E254CC">
        <w:t>structured engagement with</w:t>
      </w:r>
      <w:r w:rsidRPr="00190845">
        <w:t xml:space="preserve"> expert opinion on the topic of </w:t>
      </w:r>
      <w:r>
        <w:t xml:space="preserve">enhancing support for </w:t>
      </w:r>
      <w:r w:rsidRPr="00190845">
        <w:t>FAO</w:t>
      </w:r>
      <w:r>
        <w:t>s in</w:t>
      </w:r>
      <w:r w:rsidRPr="00190845">
        <w:t xml:space="preserve"> </w:t>
      </w:r>
      <w:r>
        <w:t>gambling services</w:t>
      </w:r>
      <w:r w:rsidRPr="00190845">
        <w:t>.</w:t>
      </w:r>
      <w:r>
        <w:t xml:space="preserve"> </w:t>
      </w:r>
    </w:p>
    <w:p w14:paraId="329EB14F" w14:textId="77777777" w:rsidR="00767BA2" w:rsidRDefault="00767BA2" w:rsidP="00767BA2"/>
    <w:p w14:paraId="0D04E1F8" w14:textId="77777777" w:rsidR="00767BA2" w:rsidRPr="00767BA2" w:rsidRDefault="00767BA2" w:rsidP="00767BA2">
      <w:pPr>
        <w:rPr>
          <w:u w:val="single"/>
        </w:rPr>
      </w:pPr>
      <w:bookmarkStart w:id="22" w:name="_Toc41640888"/>
      <w:r w:rsidRPr="00767BA2">
        <w:rPr>
          <w:u w:val="single"/>
        </w:rPr>
        <w:t>Data analysis</w:t>
      </w:r>
      <w:bookmarkEnd w:id="22"/>
      <w:r w:rsidRPr="00767BA2">
        <w:rPr>
          <w:u w:val="single"/>
        </w:rPr>
        <w:t xml:space="preserve"> </w:t>
      </w:r>
    </w:p>
    <w:p w14:paraId="0F5D9866" w14:textId="77777777" w:rsidR="00767BA2" w:rsidRDefault="00767BA2" w:rsidP="00767BA2">
      <w:pPr>
        <w:jc w:val="both"/>
      </w:pPr>
      <w:r>
        <w:t>The literature analysis process was iterative. Alcohol, tobacco and gambling i</w:t>
      </w:r>
      <w:r w:rsidRPr="001809DF">
        <w:t>ntervention</w:t>
      </w:r>
      <w:r>
        <w:t xml:space="preserve"> literature meeting the above criteria, was first summarised and </w:t>
      </w:r>
      <w:r w:rsidRPr="001809DF">
        <w:t xml:space="preserve">categorised in relation to </w:t>
      </w:r>
      <w:r>
        <w:t xml:space="preserve">how FAOs and their needs are primarily understood. Key theory underpinning intervention was noted, and examples of </w:t>
      </w:r>
      <w:r w:rsidRPr="001809DF">
        <w:t>practice</w:t>
      </w:r>
      <w:r>
        <w:t xml:space="preserve"> in the literature explored in relation to </w:t>
      </w:r>
      <w:r w:rsidRPr="00A448FB">
        <w:t xml:space="preserve">gender </w:t>
      </w:r>
      <w:r>
        <w:t xml:space="preserve">and ethnicity/culture </w:t>
      </w:r>
      <w:r w:rsidRPr="00A448FB">
        <w:t>related issues</w:t>
      </w:r>
      <w:r>
        <w:t xml:space="preserve">, and implications for service design and delivery. </w:t>
      </w:r>
    </w:p>
    <w:p w14:paraId="14AC4877" w14:textId="77777777" w:rsidR="00767BA2" w:rsidRDefault="00767BA2" w:rsidP="00767BA2">
      <w:pPr>
        <w:jc w:val="both"/>
      </w:pPr>
    </w:p>
    <w:p w14:paraId="3064B4AE" w14:textId="77777777" w:rsidR="00767BA2" w:rsidRDefault="00767BA2" w:rsidP="00767BA2">
      <w:pPr>
        <w:jc w:val="both"/>
      </w:pPr>
      <w:r>
        <w:t>Analytical questions included:</w:t>
      </w:r>
    </w:p>
    <w:p w14:paraId="22743A93" w14:textId="77777777" w:rsidR="00767BA2" w:rsidRDefault="00767BA2" w:rsidP="007E15CF">
      <w:pPr>
        <w:pStyle w:val="ListParagraph"/>
        <w:numPr>
          <w:ilvl w:val="0"/>
          <w:numId w:val="19"/>
        </w:numPr>
        <w:jc w:val="both"/>
      </w:pPr>
      <w:r>
        <w:t xml:space="preserve">How does the literature define/describe quality and effective support for FAOs? </w:t>
      </w:r>
    </w:p>
    <w:p w14:paraId="5FF7D831" w14:textId="77777777" w:rsidR="00767BA2" w:rsidRDefault="00767BA2" w:rsidP="007E15CF">
      <w:pPr>
        <w:pStyle w:val="ListParagraph"/>
        <w:numPr>
          <w:ilvl w:val="0"/>
          <w:numId w:val="19"/>
        </w:numPr>
        <w:jc w:val="both"/>
      </w:pPr>
      <w:r>
        <w:t xml:space="preserve">What thinking/theory/understandings of FAOs and their support needs can we discern from the literature? </w:t>
      </w:r>
    </w:p>
    <w:p w14:paraId="422DB1E2" w14:textId="77777777" w:rsidR="00767BA2" w:rsidRDefault="00767BA2" w:rsidP="007E15CF">
      <w:pPr>
        <w:pStyle w:val="ListParagraph"/>
        <w:numPr>
          <w:ilvl w:val="0"/>
          <w:numId w:val="19"/>
        </w:numPr>
        <w:jc w:val="both"/>
      </w:pPr>
      <w:r>
        <w:t xml:space="preserve">How are men, women, indigenous and culturally diverse peoples, made visible/excluded or absent in the FAO support literature? </w:t>
      </w:r>
    </w:p>
    <w:p w14:paraId="6E0DFC06" w14:textId="77777777" w:rsidR="00767BA2" w:rsidRDefault="00767BA2" w:rsidP="00767BA2">
      <w:pPr>
        <w:spacing w:line="259" w:lineRule="auto"/>
        <w:jc w:val="both"/>
      </w:pPr>
    </w:p>
    <w:p w14:paraId="298A529D" w14:textId="452FECBE" w:rsidR="00767BA2" w:rsidRDefault="00767BA2" w:rsidP="00767BA2">
      <w:pPr>
        <w:spacing w:line="259" w:lineRule="auto"/>
        <w:jc w:val="both"/>
      </w:pPr>
      <w:r>
        <w:t xml:space="preserve">After this first phase of analysis was completed and summarised into a lengthy report, </w:t>
      </w:r>
      <w:r w:rsidRPr="00CF1435">
        <w:t xml:space="preserve">it became clear that the literature related to alcohol harm reduction offered the clearest parallels/examples to inform gambling support practice. </w:t>
      </w:r>
      <w:bookmarkStart w:id="23" w:name="_Hlk57798370"/>
      <w:r w:rsidRPr="00CF1435">
        <w:t xml:space="preserve">This was due to key similarities in the approach taken to </w:t>
      </w:r>
      <w:r w:rsidRPr="00CF1435">
        <w:lastRenderedPageBreak/>
        <w:t xml:space="preserve">harm reduction related to alcohol and gambling (e.g. </w:t>
      </w:r>
      <w:r>
        <w:t xml:space="preserve">a </w:t>
      </w:r>
      <w:r w:rsidRPr="00CF1435">
        <w:t>clear harm reduction rather than elimination focus).</w:t>
      </w:r>
      <w:r>
        <w:t xml:space="preserve"> </w:t>
      </w:r>
      <w:bookmarkStart w:id="24" w:name="_Hlk57721005"/>
      <w:r w:rsidR="00A8131F">
        <w:t>For example, New Zealand has taken a clear policy stance on reducing the availability of and demand for tobacco, e.g.</w:t>
      </w:r>
      <w:r w:rsidR="00A8131F" w:rsidRPr="00A8131F">
        <w:t xml:space="preserve"> </w:t>
      </w:r>
      <w:r w:rsidR="00A8131F">
        <w:t xml:space="preserve">the </w:t>
      </w:r>
      <w:r w:rsidR="00A8131F" w:rsidRPr="00A8131F">
        <w:t>Smokefree Aotearoa New Zealand 2025 goal</w:t>
      </w:r>
      <w:r w:rsidR="00A8131F">
        <w:t xml:space="preserve"> </w:t>
      </w:r>
      <w:r w:rsidR="00A8131F">
        <w:fldChar w:fldCharType="begin"/>
      </w:r>
      <w:r w:rsidR="00A8131F">
        <w:instrText xml:space="preserve"> ADDIN EN.CITE &lt;EndNote&gt;&lt;Cite&gt;&lt;Author&gt;Ministry of Health&lt;/Author&gt;&lt;Year&gt;2020&lt;/Year&gt;&lt;RecNum&gt;334&lt;/RecNum&gt;&lt;DisplayText&gt;(Ministry of Health, 2020c)&lt;/DisplayText&gt;&lt;record&gt;&lt;rec-number&gt;334&lt;/rec-number&gt;&lt;foreign-keys&gt;&lt;key app="EN" db-id="25rszwft292ev3esrpvpde0cpxrd9ex0xspp" timestamp="1606781718"&gt;334&lt;/key&gt;&lt;/foreign-keys&gt;&lt;ref-type name="Web Page"&gt;12&lt;/ref-type&gt;&lt;contributors&gt;&lt;authors&gt;&lt;author&gt;Ministry of Health,&lt;/author&gt;&lt;/authors&gt;&lt;/contributors&gt;&lt;titles&gt;&lt;title&gt;Smokefree Aotearoa 2025&lt;/title&gt;&lt;/titles&gt;&lt;volume&gt;2020&lt;/volume&gt;&lt;number&gt;1 December&lt;/number&gt;&lt;dates&gt;&lt;year&gt;2020&lt;/year&gt;&lt;/dates&gt;&lt;pub-location&gt;Wellington&lt;/pub-location&gt;&lt;publisher&gt;Ministry of Health&lt;/publisher&gt;&lt;urls&gt;&lt;related-urls&gt;&lt;url&gt;https://www.health.govt.nz/our-work/preventative-health-wellness/tobacco-control/smokefree-aotearoa-2025&lt;/url&gt;&lt;/related-urls&gt;&lt;/urls&gt;&lt;/record&gt;&lt;/Cite&gt;&lt;/EndNote&gt;</w:instrText>
      </w:r>
      <w:r w:rsidR="00A8131F">
        <w:fldChar w:fldCharType="separate"/>
      </w:r>
      <w:r w:rsidR="00A8131F">
        <w:rPr>
          <w:noProof/>
        </w:rPr>
        <w:t>(Ministry of Health, 2020c)</w:t>
      </w:r>
      <w:r w:rsidR="00A8131F">
        <w:fldChar w:fldCharType="end"/>
      </w:r>
      <w:r w:rsidR="00A8131F">
        <w:t xml:space="preserve">. </w:t>
      </w:r>
      <w:bookmarkEnd w:id="23"/>
      <w:bookmarkEnd w:id="24"/>
      <w:r>
        <w:t xml:space="preserve">Following the principles of conceptual review </w:t>
      </w:r>
      <w:r w:rsidRPr="0025651D">
        <w:fldChar w:fldCharType="begin"/>
      </w:r>
      <w:r>
        <w:instrText xml:space="preserve"> ADDIN EN.CITE &lt;EndNote&gt;&lt;Cite&gt;&lt;Author&gt;Johnson&lt;/Author&gt;&lt;Year&gt;2016&lt;/Year&gt;&lt;RecNum&gt;25&lt;/RecNum&gt;&lt;Prefix&gt;e.g. &lt;/Prefix&gt;&lt;DisplayText&gt;(e.g. Johnson et al., 2016; Tuma, 1989)&lt;/DisplayText&gt;&lt;record&gt;&lt;rec-number&gt;25&lt;/rec-number&gt;&lt;foreign-keys&gt;&lt;key app="EN" db-id="t2x2tarz49pavue2a2rvp9auwvsxfepfxraw" timestamp="1573692105"&gt;25&lt;/key&gt;&lt;/foreign-keys&gt;&lt;ref-type name="Journal Article"&gt;17&lt;/ref-type&gt;&lt;contributors&gt;&lt;authors&gt;&lt;author&gt;Johnson, Sara B&lt;/author&gt;&lt;author&gt;Riis, Jenna L&lt;/author&gt;&lt;author&gt;Noble, Kimberly G&lt;/author&gt;&lt;/authors&gt;&lt;/contributors&gt;&lt;titles&gt;&lt;title&gt;State of the art review: poverty and the developing brain&lt;/title&gt;&lt;secondary-title&gt;Pediatrics&lt;/secondary-title&gt;&lt;/titles&gt;&lt;periodical&gt;&lt;full-title&gt;Pediatrics&lt;/full-title&gt;&lt;/periodical&gt;&lt;pages&gt;e20153075&lt;/pages&gt;&lt;volume&gt;137&lt;/volume&gt;&lt;number&gt;4&lt;/number&gt;&lt;dates&gt;&lt;year&gt;2016&lt;/year&gt;&lt;/dates&gt;&lt;isbn&gt;0031-4005&lt;/isbn&gt;&lt;urls&gt;&lt;/urls&gt;&lt;/record&gt;&lt;/Cite&gt;&lt;Cite&gt;&lt;Author&gt;Tuma&lt;/Author&gt;&lt;Year&gt;1989&lt;/Year&gt;&lt;RecNum&gt;26&lt;/RecNum&gt;&lt;record&gt;&lt;rec-number&gt;26&lt;/rec-number&gt;&lt;foreign-keys&gt;&lt;key app="EN" db-id="t2x2tarz49pavue2a2rvp9auwvsxfepfxraw" timestamp="1573692346"&gt;26&lt;/key&gt;&lt;/foreign-keys&gt;&lt;ref-type name="Journal Article"&gt;17&lt;/ref-type&gt;&lt;contributors&gt;&lt;authors&gt;&lt;author&gt;Tuma, June M&lt;/author&gt;&lt;/authors&gt;&lt;/contributors&gt;&lt;titles&gt;&lt;title&gt;Mental health services for children: The state of the art&lt;/title&gt;&lt;secondary-title&gt;American Psychologist&lt;/secondary-title&gt;&lt;/titles&gt;&lt;periodical&gt;&lt;full-title&gt;American Psychologist&lt;/full-title&gt;&lt;/periodical&gt;&lt;pages&gt;188&lt;/pages&gt;&lt;volume&gt;44&lt;/volume&gt;&lt;number&gt;2&lt;/number&gt;&lt;dates&gt;&lt;year&gt;1989&lt;/year&gt;&lt;/dates&gt;&lt;isbn&gt;1557980543&lt;/isbn&gt;&lt;urls&gt;&lt;/urls&gt;&lt;/record&gt;&lt;/Cite&gt;&lt;/EndNote&gt;</w:instrText>
      </w:r>
      <w:r w:rsidRPr="0025651D">
        <w:fldChar w:fldCharType="separate"/>
      </w:r>
      <w:r>
        <w:rPr>
          <w:noProof/>
        </w:rPr>
        <w:t>(e.g. Johnson et al., 2016; Tuma, 1989)</w:t>
      </w:r>
      <w:r w:rsidRPr="0025651D">
        <w:fldChar w:fldCharType="end"/>
      </w:r>
      <w:r>
        <w:t>, k</w:t>
      </w:r>
      <w:r w:rsidRPr="00CF1435">
        <w:t xml:space="preserve">ey issues and tensions in the </w:t>
      </w:r>
      <w:r>
        <w:t xml:space="preserve">FAO </w:t>
      </w:r>
      <w:r w:rsidRPr="00CF1435">
        <w:t xml:space="preserve">addictions support literature </w:t>
      </w:r>
      <w:r>
        <w:t>were then explored</w:t>
      </w:r>
      <w:r w:rsidRPr="00CF1435">
        <w:t>, with illustrative reference to alcohol harm reduction</w:t>
      </w:r>
      <w:r>
        <w:t xml:space="preserve"> practice. G</w:t>
      </w:r>
      <w:r w:rsidRPr="00CF1435">
        <w:t>ambling support literature was analysed for similarities and differences, as well as presence and absence of issues/tensions identified in the broader addictions literature. Some implications for enhancing gambling harm reduction practice with and services for FAOs are brought together in the concluding section.</w:t>
      </w:r>
      <w:r>
        <w:t xml:space="preserve"> </w:t>
      </w:r>
    </w:p>
    <w:p w14:paraId="71D738C7" w14:textId="77777777" w:rsidR="00E254CC" w:rsidRDefault="00E254CC" w:rsidP="00767BA2">
      <w:pPr>
        <w:spacing w:line="259" w:lineRule="auto"/>
        <w:jc w:val="both"/>
      </w:pPr>
    </w:p>
    <w:p w14:paraId="7488BA74" w14:textId="2B05270B" w:rsidR="00767BA2" w:rsidRDefault="0027420C" w:rsidP="00767BA2">
      <w:pPr>
        <w:pStyle w:val="Heading3"/>
      </w:pPr>
      <w:bookmarkStart w:id="25" w:name="_Toc41640890"/>
      <w:bookmarkStart w:id="26" w:name="_Toc58400768"/>
      <w:r>
        <w:t>U</w:t>
      </w:r>
      <w:r w:rsidR="00767BA2">
        <w:t>nderstandings of addictions, FAOs, the purpose of intervention and outcomes</w:t>
      </w:r>
      <w:bookmarkEnd w:id="25"/>
      <w:bookmarkEnd w:id="26"/>
    </w:p>
    <w:p w14:paraId="3C65D8C5" w14:textId="7CFE45D1" w:rsidR="00767BA2" w:rsidRDefault="0027420C" w:rsidP="00767BA2">
      <w:pPr>
        <w:jc w:val="both"/>
      </w:pPr>
      <w:r>
        <w:t>We found that f</w:t>
      </w:r>
      <w:r w:rsidR="00767BA2" w:rsidRPr="009209D7">
        <w:t xml:space="preserve">amily-focussed </w:t>
      </w:r>
      <w:r>
        <w:t xml:space="preserve">addictions </w:t>
      </w:r>
      <w:r w:rsidR="00767BA2" w:rsidRPr="009209D7">
        <w:t xml:space="preserve">harm reduction </w:t>
      </w:r>
      <w:r w:rsidR="00165663">
        <w:t>are</w:t>
      </w:r>
      <w:r w:rsidR="00767BA2" w:rsidRPr="009209D7">
        <w:t xml:space="preserve"> informed by </w:t>
      </w:r>
      <w:r>
        <w:t xml:space="preserve">multiple </w:t>
      </w:r>
      <w:r w:rsidR="00767BA2" w:rsidRPr="009209D7">
        <w:t>understandings of addiction as a fundamentally psychological phenomenon (with social effects), as shaped by fragmentation (and reintegration) of intimate relationships, and as shaped by macro-level social structures (e.g. socioeconomic inequalities, the provision and governance of harmful commodities)</w:t>
      </w:r>
      <w:r w:rsidR="00767BA2" w:rsidRPr="00EF5C10">
        <w:t xml:space="preserve"> </w:t>
      </w:r>
      <w:r w:rsidR="00767BA2" w:rsidRPr="009209D7">
        <w:fldChar w:fldCharType="begin"/>
      </w:r>
      <w:r w:rsidR="00472D0D">
        <w:instrText xml:space="preserve"> ADDIN EN.CITE &lt;EndNote&gt;&lt;Cite&gt;&lt;Author&gt;Selbekk&lt;/Author&gt;&lt;Year&gt;2015&lt;/Year&gt;&lt;RecNum&gt;253&lt;/RecNum&gt;&lt;DisplayText&gt;(Selbekk, Sagvaag, &amp;amp; Fauske, 2015)&lt;/DisplayText&gt;&lt;record&gt;&lt;rec-number&gt;253&lt;/rec-number&gt;&lt;foreign-keys&gt;&lt;key app="EN" db-id="25rszwft292ev3esrpvpde0cpxrd9ex0xspp" timestamp="1589769561"&gt;253&lt;/key&gt;&lt;/foreign-keys&gt;&lt;ref-type name="Journal Article"&gt;17&lt;/ref-type&gt;&lt;contributors&gt;&lt;authors&gt;&lt;author&gt;Selbekk, Anne Schanche&lt;/author&gt;&lt;author&gt;Sagvaag, Hildegunn&lt;/author&gt;&lt;author&gt;Fauske, Halvor&lt;/author&gt;&lt;/authors&gt;&lt;/contributors&gt;&lt;titles&gt;&lt;title&gt;Addiction, families and treatment: a critical realist search for theories that can improve practice&lt;/title&gt;&lt;secondary-title&gt;Addiction Research &amp;amp; Theory&lt;/secondary-title&gt;&lt;/titles&gt;&lt;periodical&gt;&lt;full-title&gt;Addiction Research &amp;amp; Theory&lt;/full-title&gt;&lt;/periodical&gt;&lt;pages&gt;196-204&lt;/pages&gt;&lt;volume&gt;23&lt;/volume&gt;&lt;number&gt;3&lt;/number&gt;&lt;dates&gt;&lt;year&gt;2015&lt;/year&gt;&lt;/dates&gt;&lt;isbn&gt;1606-6359&lt;/isbn&gt;&lt;urls&gt;&lt;/urls&gt;&lt;/record&gt;&lt;/Cite&gt;&lt;/EndNote&gt;</w:instrText>
      </w:r>
      <w:r w:rsidR="00767BA2" w:rsidRPr="009209D7">
        <w:fldChar w:fldCharType="separate"/>
      </w:r>
      <w:r w:rsidR="00472D0D">
        <w:rPr>
          <w:noProof/>
        </w:rPr>
        <w:t>(Selbekk, Sagvaag, &amp; Fauske, 2015)</w:t>
      </w:r>
      <w:r w:rsidR="00767BA2" w:rsidRPr="009209D7">
        <w:fldChar w:fldCharType="end"/>
      </w:r>
      <w:r w:rsidR="00767BA2" w:rsidRPr="009209D7">
        <w:t>.</w:t>
      </w:r>
      <w:r w:rsidR="00767BA2">
        <w:t xml:space="preserve"> </w:t>
      </w:r>
    </w:p>
    <w:p w14:paraId="5E593A54" w14:textId="77777777" w:rsidR="0027420C" w:rsidRDefault="0027420C" w:rsidP="00767BA2">
      <w:pPr>
        <w:jc w:val="both"/>
      </w:pPr>
    </w:p>
    <w:p w14:paraId="2A39D54F" w14:textId="318A6CE7" w:rsidR="00767BA2" w:rsidRDefault="00767BA2" w:rsidP="00767BA2">
      <w:pPr>
        <w:jc w:val="both"/>
      </w:pPr>
      <w:r>
        <w:t>Key b</w:t>
      </w:r>
      <w:r w:rsidRPr="00EF5C10">
        <w:t>io-psychologically informed approaches to FAO support</w:t>
      </w:r>
      <w:r>
        <w:t xml:space="preserve"> have included a focus on FAOs as ‘intervention allies’ capable of using psychological theory and tools to influence the person with the addiction to change and/or enter treatment</w:t>
      </w:r>
      <w:r w:rsidR="0027420C">
        <w:t xml:space="preserve"> </w:t>
      </w:r>
      <w:r w:rsidR="0027420C">
        <w:fldChar w:fldCharType="begin"/>
      </w:r>
      <w:r w:rsidR="0027420C">
        <w:instrText xml:space="preserve"> ADDIN EN.CITE &lt;EndNote&gt;&lt;Cite&gt;&lt;Author&gt;Kirby&lt;/Author&gt;&lt;Year&gt;2017&lt;/Year&gt;&lt;RecNum&gt;156&lt;/RecNum&gt;&lt;Prefix&gt;e.g. &lt;/Prefix&gt;&lt;DisplayText&gt;(e.g. Kirby et al., 2017; Nayoski &amp;amp; Hodgins, 2016)&lt;/DisplayText&gt;&lt;record&gt;&lt;rec-number&gt;156&lt;/rec-number&gt;&lt;foreign-keys&gt;&lt;key app="EN" db-id="25rszwft292ev3esrpvpde0cpxrd9ex0xspp" timestamp="1586131926"&gt;156&lt;/key&gt;&lt;/foreign-keys&gt;&lt;ref-type name="Journal Article"&gt;17&lt;/ref-type&gt;&lt;contributors&gt;&lt;authors&gt;&lt;author&gt;Kirby, Kimberly C&lt;/author&gt;&lt;author&gt;Benishek, Lois A&lt;/author&gt;&lt;author&gt;Kerwin, MaryLouise E&lt;/author&gt;&lt;author&gt;Dugosh, Karen L&lt;/author&gt;&lt;author&gt;Carpenedo, Carolyn M&lt;/author&gt;&lt;author&gt;Bresani, Elena&lt;/author&gt;&lt;author&gt;Haugh, James A&lt;/author&gt;&lt;author&gt;Washio, Yukiko&lt;/author&gt;&lt;author&gt;Meyers, Robert J&lt;/author&gt;&lt;/authors&gt;&lt;/contributors&gt;&lt;titles&gt;&lt;title&gt;Analyzing components of Community Reinforcement and Family Training (CRAFT): Is treatment entry training sufficient?&lt;/title&gt;&lt;secondary-title&gt;Psychology of Addictive Behaviors&lt;/secondary-title&gt;&lt;/titles&gt;&lt;periodical&gt;&lt;full-title&gt;Psychology of Addictive Behaviors&lt;/full-title&gt;&lt;/periodical&gt;&lt;pages&gt;818&lt;/pages&gt;&lt;volume&gt;31&lt;/volume&gt;&lt;number&gt;7&lt;/number&gt;&lt;dates&gt;&lt;year&gt;2017&lt;/year&gt;&lt;/dates&gt;&lt;isbn&gt;1939-1501&lt;/isbn&gt;&lt;urls&gt;&lt;/urls&gt;&lt;/record&gt;&lt;/Cite&gt;&lt;Cite&gt;&lt;Author&gt;Nayoski&lt;/Author&gt;&lt;Year&gt;2016&lt;/Year&gt;&lt;RecNum&gt;201&lt;/RecNum&gt;&lt;record&gt;&lt;rec-number&gt;201&lt;/rec-number&gt;&lt;foreign-keys&gt;&lt;key app="EN" db-id="25rszwft292ev3esrpvpde0cpxrd9ex0xspp" timestamp="1588111808"&gt;201&lt;/key&gt;&lt;/foreign-keys&gt;&lt;ref-type name="Journal Article"&gt;17&lt;/ref-type&gt;&lt;contributors&gt;&lt;authors&gt;&lt;author&gt;Nayoski, Nicole&lt;/author&gt;&lt;author&gt;Hodgins, David C&lt;/author&gt;&lt;/authors&gt;&lt;/contributors&gt;&lt;titles&gt;&lt;title&gt;The efficacy of individual community reinforcement and family training (CRAFT) for concerned significant others of problem gamblers&lt;/title&gt;&lt;secondary-title&gt;Journal of Gambling Issues&lt;/secondary-title&gt;&lt;/titles&gt;&lt;periodical&gt;&lt;full-title&gt;Journal of Gambling Issues&lt;/full-title&gt;&lt;/periodical&gt;&lt;pages&gt;189-212&lt;/pages&gt;&lt;number&gt;33&lt;/number&gt;&lt;dates&gt;&lt;year&gt;2016&lt;/year&gt;&lt;/dates&gt;&lt;isbn&gt;1910-7595&lt;/isbn&gt;&lt;urls&gt;&lt;/urls&gt;&lt;/record&gt;&lt;/Cite&gt;&lt;/EndNote&gt;</w:instrText>
      </w:r>
      <w:r w:rsidR="0027420C">
        <w:fldChar w:fldCharType="separate"/>
      </w:r>
      <w:r w:rsidR="0027420C">
        <w:rPr>
          <w:noProof/>
        </w:rPr>
        <w:t>(e.g. Kirby et al., 2017; Nayoski &amp; Hodgins, 2016)</w:t>
      </w:r>
      <w:r w:rsidR="0027420C">
        <w:fldChar w:fldCharType="end"/>
      </w:r>
      <w:r>
        <w:t>.</w:t>
      </w:r>
      <w:r w:rsidR="0027420C">
        <w:t xml:space="preserve"> </w:t>
      </w:r>
      <w:r>
        <w:t>Another approach in this vein has focussed on the need to support the psychological functioning of FAOs in their own right (without necessary reference to the needs of the person with the addiction)</w:t>
      </w:r>
      <w:r w:rsidR="006129C2">
        <w:t xml:space="preserve"> </w:t>
      </w:r>
      <w:r w:rsidR="006129C2">
        <w:fldChar w:fldCharType="begin"/>
      </w:r>
      <w:r w:rsidR="006129C2">
        <w:instrText xml:space="preserve"> ADDIN EN.CITE &lt;EndNote&gt;&lt;Cite&gt;&lt;Author&gt;Copello&lt;/Author&gt;&lt;Year&gt;2010&lt;/Year&gt;&lt;RecNum&gt;163&lt;/RecNum&gt;&lt;DisplayText&gt;(Copello, Templeton, Orford, &amp;amp; Velleman, 2010)&lt;/DisplayText&gt;&lt;record&gt;&lt;rec-number&gt;163&lt;/rec-number&gt;&lt;foreign-keys&gt;&lt;key app="EN" db-id="25rszwft292ev3esrpvpde0cpxrd9ex0xspp" timestamp="1586309669"&gt;163&lt;/key&gt;&lt;/foreign-keys&gt;&lt;ref-type name="Journal Article"&gt;17&lt;/ref-type&gt;&lt;contributors&gt;&lt;authors&gt;&lt;author&gt;Copello, A&lt;/author&gt;&lt;author&gt;Templeton, Lorna&lt;/author&gt;&lt;author&gt;Orford, Jim&lt;/author&gt;&lt;author&gt;Velleman, Richard&lt;/author&gt;&lt;/authors&gt;&lt;/contributors&gt;&lt;titles&gt;&lt;title&gt;The 5-Step Method: Evidence of gains for affected family members&lt;/title&gt;&lt;secondary-title&gt;Drugs: education, prevention and policy&lt;/secondary-title&gt;&lt;/titles&gt;&lt;periodical&gt;&lt;full-title&gt;Drugs: education, prevention and policy&lt;/full-title&gt;&lt;/periodical&gt;&lt;pages&gt;100-112&lt;/pages&gt;&lt;volume&gt;17&lt;/volume&gt;&lt;number&gt;sup1&lt;/number&gt;&lt;dates&gt;&lt;year&gt;2010&lt;/year&gt;&lt;/dates&gt;&lt;isbn&gt;0968-7637&lt;/isbn&gt;&lt;urls&gt;&lt;/urls&gt;&lt;/record&gt;&lt;/Cite&gt;&lt;/EndNote&gt;</w:instrText>
      </w:r>
      <w:r w:rsidR="006129C2">
        <w:fldChar w:fldCharType="separate"/>
      </w:r>
      <w:r w:rsidR="006129C2">
        <w:rPr>
          <w:noProof/>
        </w:rPr>
        <w:t>(Copello, Templeton, Orford, &amp; Velleman, 2010)</w:t>
      </w:r>
      <w:r w:rsidR="006129C2">
        <w:fldChar w:fldCharType="end"/>
      </w:r>
      <w:r>
        <w:t>. Examples of s</w:t>
      </w:r>
      <w:r w:rsidRPr="00EF5C10">
        <w:t>ocially informed approaches to FAO support</w:t>
      </w:r>
      <w:r>
        <w:t xml:space="preserve"> are more concerned with </w:t>
      </w:r>
      <w:r w:rsidRPr="00CB74FD">
        <w:t xml:space="preserve">the </w:t>
      </w:r>
      <w:r w:rsidR="00324891">
        <w:t xml:space="preserve">contextual, </w:t>
      </w:r>
      <w:r w:rsidRPr="00CB74FD">
        <w:t>social</w:t>
      </w:r>
      <w:r w:rsidR="00324891">
        <w:t xml:space="preserve"> and </w:t>
      </w:r>
      <w:r w:rsidRPr="00CB74FD">
        <w:t>relational determinants of addiction</w:t>
      </w:r>
      <w:r>
        <w:t xml:space="preserve">, and enhancing </w:t>
      </w:r>
      <w:r w:rsidR="00324891">
        <w:t>recovery capital</w:t>
      </w:r>
      <w:r>
        <w:t xml:space="preserve">, e.g. through </w:t>
      </w:r>
      <w:r w:rsidR="0027420C">
        <w:t>family</w:t>
      </w:r>
      <w:r>
        <w:t xml:space="preserve"> and social network therapies</w:t>
      </w:r>
      <w:r w:rsidR="0027420C">
        <w:t>, and approaches informed by holistic</w:t>
      </w:r>
      <w:r w:rsidR="00324891">
        <w:t xml:space="preserve">, </w:t>
      </w:r>
      <w:r w:rsidR="00B03069">
        <w:t>I</w:t>
      </w:r>
      <w:r w:rsidR="0027420C">
        <w:t xml:space="preserve">ndigenous </w:t>
      </w:r>
      <w:r w:rsidR="00324891">
        <w:t xml:space="preserve">and other culturally based </w:t>
      </w:r>
      <w:r w:rsidR="0027420C">
        <w:t xml:space="preserve">models of </w:t>
      </w:r>
      <w:r w:rsidR="0027420C" w:rsidRPr="00422F82">
        <w:t xml:space="preserve">wellbeing </w:t>
      </w:r>
      <w:r w:rsidR="00756089">
        <w:fldChar w:fldCharType="begin"/>
      </w:r>
      <w:r w:rsidR="001D57D0">
        <w:instrText xml:space="preserve"> ADDIN EN.CITE &lt;EndNote&gt;&lt;Cite&gt;&lt;Author&gt;Adams&lt;/Author&gt;&lt;Year&gt;2007&lt;/Year&gt;&lt;RecNum&gt;224&lt;/RecNum&gt;&lt;DisplayText&gt;(Adams, 2007a)&lt;/DisplayText&gt;&lt;record&gt;&lt;rec-number&gt;224&lt;/rec-number&gt;&lt;foreign-keys&gt;&lt;key app="EN" db-id="25rszwft292ev3esrpvpde0cpxrd9ex0xspp" timestamp="1589145904"&gt;224&lt;/key&gt;&lt;/foreign-keys&gt;&lt;ref-type name="Book"&gt;6&lt;/ref-type&gt;&lt;contributors&gt;&lt;authors&gt;&lt;author&gt;Adams, Peter&lt;/author&gt;&lt;/authors&gt;&lt;/contributors&gt;&lt;titles&gt;&lt;title&gt;Fragmented intimacy: Addiction in a social world&lt;/title&gt;&lt;/titles&gt;&lt;dates&gt;&lt;year&gt;2007&lt;/year&gt;&lt;/dates&gt;&lt;publisher&gt;Springer &lt;/publisher&gt;&lt;isbn&gt;0387726616&lt;/isbn&gt;&lt;urls&gt;&lt;/urls&gt;&lt;/record&gt;&lt;/Cite&gt;&lt;/EndNote&gt;</w:instrText>
      </w:r>
      <w:r w:rsidR="00756089">
        <w:fldChar w:fldCharType="separate"/>
      </w:r>
      <w:r w:rsidR="001D57D0">
        <w:rPr>
          <w:noProof/>
        </w:rPr>
        <w:t>(Adams, 2007a)</w:t>
      </w:r>
      <w:r w:rsidR="00756089">
        <w:fldChar w:fldCharType="end"/>
      </w:r>
      <w:r w:rsidR="00422F82">
        <w:t>.</w:t>
      </w:r>
    </w:p>
    <w:p w14:paraId="07B90614" w14:textId="77777777" w:rsidR="00767BA2" w:rsidRDefault="00767BA2" w:rsidP="00767BA2">
      <w:pPr>
        <w:jc w:val="both"/>
      </w:pPr>
    </w:p>
    <w:p w14:paraId="06A07447" w14:textId="3D08885E" w:rsidR="00767BA2" w:rsidRPr="005E0A43" w:rsidRDefault="00767BA2" w:rsidP="00767BA2">
      <w:pPr>
        <w:jc w:val="both"/>
      </w:pPr>
      <w:r w:rsidRPr="00D10F13">
        <w:t xml:space="preserve">Some broad approaches to addictions support for FAOs are outlined and explored </w:t>
      </w:r>
      <w:r w:rsidR="00165663">
        <w:t xml:space="preserve">below </w:t>
      </w:r>
      <w:r w:rsidRPr="00D10F13">
        <w:t>in relation to intersectional and conceptual challenges, as well as implications for service delivery.</w:t>
      </w:r>
    </w:p>
    <w:p w14:paraId="54996EE8" w14:textId="77777777" w:rsidR="00767BA2" w:rsidRDefault="00767BA2" w:rsidP="00767BA2">
      <w:pPr>
        <w:jc w:val="both"/>
      </w:pPr>
    </w:p>
    <w:p w14:paraId="1D408D14" w14:textId="77777777" w:rsidR="00767BA2" w:rsidRDefault="00767BA2" w:rsidP="00E137E0">
      <w:pPr>
        <w:pStyle w:val="Heading4"/>
      </w:pPr>
      <w:bookmarkStart w:id="27" w:name="_Toc41640891"/>
      <w:r>
        <w:t>Assisting FAOs to assist the person with the addiction</w:t>
      </w:r>
      <w:bookmarkEnd w:id="27"/>
    </w:p>
    <w:p w14:paraId="5571487F" w14:textId="351F3F15" w:rsidR="00767BA2" w:rsidRDefault="00767BA2" w:rsidP="00767BA2">
      <w:pPr>
        <w:jc w:val="both"/>
      </w:pPr>
      <w:r w:rsidRPr="00513F20">
        <w:t xml:space="preserve">An estimated 6% of individuals with alcohol disorders, and 16% of drug users engage formal treatment </w:t>
      </w:r>
      <w:r w:rsidRPr="00513F20">
        <w:fldChar w:fldCharType="begin"/>
      </w:r>
      <w:r w:rsidRPr="00513F20">
        <w:instrText xml:space="preserve"> ADDIN EN.CITE &lt;EndNote&gt;&lt;Cite&gt;&lt;Author&gt;Stinson&lt;/Author&gt;&lt;Year&gt;2005&lt;/Year&gt;&lt;RecNum&gt;242&lt;/RecNum&gt;&lt;DisplayText&gt;(Stinson et al., 2005)&lt;/DisplayText&gt;&lt;record&gt;&lt;rec-number&gt;242&lt;/rec-number&gt;&lt;foreign-keys&gt;&lt;key app="EN" db-id="25rszwft292ev3esrpvpde0cpxrd9ex0xspp" timestamp="1589406513"&gt;242&lt;/key&gt;&lt;/foreign-keys&gt;&lt;ref-type name="Journal Article"&gt;17&lt;/ref-type&gt;&lt;contributors&gt;&lt;authors&gt;&lt;author&gt;Stinson, Frederick S&lt;/author&gt;&lt;author&gt;Grant, Bridget F&lt;/author&gt;&lt;author&gt;Dawson, Deborah A&lt;/author&gt;&lt;author&gt;Ruan, W June&lt;/author&gt;&lt;author&gt;Huang, Boji&lt;/author&gt;&lt;author&gt;Saha, Tulshi&lt;/author&gt;&lt;/authors&gt;&lt;/contributors&gt;&lt;titles&gt;&lt;title&gt;Comorbidity between DSM-IV alcohol and specific drug use disorders in the United States: results from the National Epidemiologic Survey on Alcohol and Related Conditions&lt;/title&gt;&lt;secondary-title&gt;Drug and alcohol dependence&lt;/secondary-title&gt;&lt;/titles&gt;&lt;periodical&gt;&lt;full-title&gt;Drug and alcohol dependence&lt;/full-title&gt;&lt;/periodical&gt;&lt;pages&gt;105-116&lt;/pages&gt;&lt;volume&gt;80&lt;/volume&gt;&lt;number&gt;1&lt;/number&gt;&lt;dates&gt;&lt;year&gt;2005&lt;/year&gt;&lt;/dates&gt;&lt;isbn&gt;0376-8716&lt;/isbn&gt;&lt;urls&gt;&lt;/urls&gt;&lt;/record&gt;&lt;/Cite&gt;&lt;/EndNote&gt;</w:instrText>
      </w:r>
      <w:r w:rsidRPr="00513F20">
        <w:fldChar w:fldCharType="separate"/>
      </w:r>
      <w:r w:rsidRPr="00513F20">
        <w:t>(Stinson et al., 2005)</w:t>
      </w:r>
      <w:r w:rsidRPr="00513F20">
        <w:fldChar w:fldCharType="end"/>
      </w:r>
      <w:r w:rsidRPr="00513F20">
        <w:t xml:space="preserve">. Given the reluctance of many </w:t>
      </w:r>
      <w:r>
        <w:t>people struggling with addiction</w:t>
      </w:r>
      <w:r w:rsidRPr="00513F20">
        <w:t xml:space="preserve"> to seek help </w:t>
      </w:r>
      <w:bookmarkStart w:id="28" w:name="_Hlk40340767"/>
      <w:r w:rsidRPr="00513F20">
        <w:fldChar w:fldCharType="begin">
          <w:fldData xml:space="preserve">PEVuZE5vdGU+PENpdGU+PEF1dGhvcj5TYXVuZGVyczwvQXV0aG9yPjxZZWFyPjIwMDY8L1llYXI+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</w:fldData>
        </w:fldChar>
      </w:r>
      <w:r w:rsidRPr="00513F20">
        <w:instrText xml:space="preserve"> ADDIN EN.CITE </w:instrText>
      </w:r>
      <w:r w:rsidRPr="00513F20">
        <w:fldChar w:fldCharType="begin">
          <w:fldData xml:space="preserve">PEVuZE5vdGU+PENpdGU+PEF1dGhvcj5TYXVuZGVyczwvQXV0aG9yPjxZZWFyPjIwMDY8L1llYXI+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</w:fldData>
        </w:fldChar>
      </w:r>
      <w:r w:rsidRPr="00513F20">
        <w:instrText xml:space="preserve"> ADDIN EN.CITE.DATA </w:instrText>
      </w:r>
      <w:r w:rsidRPr="00513F20">
        <w:fldChar w:fldCharType="end"/>
      </w:r>
      <w:r w:rsidRPr="00513F20">
        <w:fldChar w:fldCharType="separate"/>
      </w:r>
      <w:r w:rsidRPr="00513F20">
        <w:t>(e.g. Brogly, Link, &amp; Newman, 2018; Perron et al., 2009; Saunders, Zygowicz, &amp; D'Angelo, 2006)</w:t>
      </w:r>
      <w:r w:rsidRPr="00513F20">
        <w:fldChar w:fldCharType="end"/>
      </w:r>
      <w:bookmarkEnd w:id="28"/>
      <w:r w:rsidRPr="00513F20">
        <w:t xml:space="preserve">, influencing and engaging users in treatment remains a dominant theme in </w:t>
      </w:r>
      <w:r>
        <w:t xml:space="preserve">addiction </w:t>
      </w:r>
      <w:r w:rsidRPr="00513F20">
        <w:t xml:space="preserve">harm reduction for FAOs. </w:t>
      </w:r>
      <w:r>
        <w:t xml:space="preserve">Further, </w:t>
      </w:r>
      <w:r w:rsidRPr="00D3728E">
        <w:t xml:space="preserve">many FAOs </w:t>
      </w:r>
      <w:r>
        <w:t xml:space="preserve">reportedly </w:t>
      </w:r>
      <w:r w:rsidRPr="00D3728E">
        <w:t>reject help for themselves, and seek to focus on actively seeking help for their family member</w:t>
      </w:r>
      <w:r>
        <w:t xml:space="preserve"> </w:t>
      </w:r>
      <w:r>
        <w:fldChar w:fldCharType="begin"/>
      </w:r>
      <w:r>
        <w:instrText xml:space="preserve"> ADDIN EN.CITE &lt;EndNote&gt;&lt;Cite&gt;&lt;Author&gt;Meyers&lt;/Author&gt;&lt;Year&gt;2005&lt;/Year&gt;&lt;RecNum&gt;130&lt;/RecNum&gt;&lt;DisplayText&gt;(Meyers, Smith, &amp;amp; Lash, 2005)&lt;/DisplayText&gt;&lt;record&gt;&lt;rec-number&gt;130&lt;/rec-number&gt;&lt;foreign-keys&gt;&lt;key app="EN" db-id="25rszwft292ev3esrpvpde0cpxrd9ex0xspp" timestamp="1585602855"&gt;130&lt;/key&gt;&lt;/foreign-keys&gt;&lt;ref-type name="Journal Article"&gt;17&lt;/ref-type&gt;&lt;contributors&gt;&lt;authors&gt;&lt;author&gt;Meyers, Robert J&lt;/author&gt;&lt;author&gt;Smith, Jane Ellen&lt;/author&gt;&lt;author&gt;Lash, Denise N&lt;/author&gt;&lt;/authors&gt;&lt;/contributors&gt;&lt;titles&gt;&lt;title&gt;A program for engaging treatment-refusing substance abusers into treatment: CRAFT&lt;/title&gt;&lt;secondary-title&gt;International Journal of Behavioral Consultation and Therapy&lt;/secondary-title&gt;&lt;/titles&gt;&lt;periodical&gt;&lt;full-title&gt;International Journal of Behavioral Consultation and Therapy&lt;/full-title&gt;&lt;/periodical&gt;&lt;pages&gt;90&lt;/pages&gt;&lt;volume&gt;1&lt;/volume&gt;&lt;number&gt;2&lt;/number&gt;&lt;dates&gt;&lt;year&gt;2005&lt;/year&gt;&lt;/dates&gt;&lt;isbn&gt;1555-7855&lt;/isbn&gt;&lt;urls&gt;&lt;/urls&gt;&lt;/record&gt;&lt;/Cite&gt;&lt;/EndNote&gt;</w:instrText>
      </w:r>
      <w:r>
        <w:fldChar w:fldCharType="separate"/>
      </w:r>
      <w:r>
        <w:rPr>
          <w:noProof/>
        </w:rPr>
        <w:t>(Meyers, Smith, &amp; Lash, 2005)</w:t>
      </w:r>
      <w:r>
        <w:fldChar w:fldCharType="end"/>
      </w:r>
      <w:r w:rsidRPr="00D3728E">
        <w:t>.</w:t>
      </w:r>
      <w:r>
        <w:t xml:space="preserve"> Internationally, a large proportion</w:t>
      </w:r>
      <w:r w:rsidRPr="000E10DF">
        <w:t xml:space="preserve"> </w:t>
      </w:r>
      <w:r>
        <w:t xml:space="preserve">of FAOs </w:t>
      </w:r>
      <w:r w:rsidRPr="000E10DF">
        <w:t xml:space="preserve">appear to </w:t>
      </w:r>
      <w:r>
        <w:t xml:space="preserve">prioritise </w:t>
      </w:r>
      <w:r w:rsidRPr="000E10DF">
        <w:t xml:space="preserve">seeking </w:t>
      </w:r>
      <w:r>
        <w:t>formal help services</w:t>
      </w:r>
      <w:r w:rsidRPr="000E10DF">
        <w:t xml:space="preserve"> to chang</w:t>
      </w:r>
      <w:r w:rsidR="006129C2">
        <w:t>e</w:t>
      </w:r>
      <w:r w:rsidRPr="000E10DF">
        <w:t xml:space="preserve"> their relatives' drinking</w:t>
      </w:r>
      <w:r>
        <w:t xml:space="preserve"> </w:t>
      </w:r>
      <w:r w:rsidRPr="000E10DF">
        <w:fldChar w:fldCharType="begin"/>
      </w:r>
      <w:r w:rsidRPr="000E10DF">
        <w:instrText xml:space="preserve"> ADDIN EN.CITE &lt;EndNote&gt;&lt;Cite&gt;&lt;Author&gt;Howells&lt;/Author&gt;&lt;Year&gt;2006&lt;/Year&gt;&lt;RecNum&gt;268&lt;/RecNum&gt;&lt;Prefix&gt;see &lt;/Prefix&gt;&lt;DisplayText&gt;(see Howells &amp;amp; Orford, 2006)&lt;/DisplayText&gt;&lt;record&gt;&lt;rec-number&gt;268&lt;/rec-number&gt;&lt;foreign-keys&gt;&lt;key app="EN" db-id="5v2daxed8wv0eoesd9av5dd8exsxdewpfpwd" timestamp="1582160335"&gt;268&lt;/key&gt;&lt;/foreign-keys&gt;&lt;ref-type name="Journal Article"&gt;17&lt;/ref-type&gt;&lt;contributors&gt;&lt;authors&gt;&lt;author&gt;Howells, Elizabeth&lt;/author&gt;&lt;author&gt;Orford, Jim&lt;/author&gt;&lt;/authors&gt;&lt;/contributors&gt;&lt;titles&gt;&lt;title&gt;Coping with a problem drinker: A therapeutic intervention for the partners of problem drinkers, in their own right&lt;/title&gt;&lt;secondary-title&gt;Journal of Substance Use&lt;/secondary-title&gt;&lt;/titles&gt;&lt;periodical&gt;&lt;full-title&gt;Journal of Substance Use&lt;/full-title&gt;&lt;/periodical&gt;&lt;pages&gt;53-71&lt;/pages&gt;&lt;volume&gt;11&lt;/volume&gt;&lt;number&gt;1&lt;/number&gt;&lt;dates&gt;&lt;year&gt;2006&lt;/year&gt;&lt;/dates&gt;&lt;isbn&gt;1465-9891&lt;/isbn&gt;&lt;urls&gt;&lt;/urls&gt;&lt;/record&gt;&lt;/Cite&gt;&lt;/EndNote&gt;</w:instrText>
      </w:r>
      <w:r w:rsidRPr="000E10DF">
        <w:fldChar w:fldCharType="separate"/>
      </w:r>
      <w:r w:rsidRPr="000E10DF">
        <w:t>(see Howells &amp; Orford, 2006)</w:t>
      </w:r>
      <w:r w:rsidRPr="000E10DF">
        <w:fldChar w:fldCharType="end"/>
      </w:r>
      <w:r w:rsidR="00B83EE8">
        <w:t xml:space="preserve">. </w:t>
      </w:r>
      <w:r w:rsidRPr="00513F20">
        <w:t xml:space="preserve">FAOs of </w:t>
      </w:r>
      <w:r>
        <w:t xml:space="preserve">people struggling with addiction </w:t>
      </w:r>
      <w:r w:rsidRPr="00513F20">
        <w:t xml:space="preserve">have been positioned as a valuable resource </w:t>
      </w:r>
      <w:r>
        <w:t xml:space="preserve">to be engaged in </w:t>
      </w:r>
      <w:r>
        <w:lastRenderedPageBreak/>
        <w:t xml:space="preserve">addiction </w:t>
      </w:r>
      <w:r w:rsidRPr="00513F20">
        <w:t xml:space="preserve">rehabilitation and treatment efforts. This intervention approach positions FAOs as ‘intervention allies’ and as ‘agents of change’. It holds that through learning productive </w:t>
      </w:r>
      <w:r>
        <w:t>communication</w:t>
      </w:r>
      <w:r w:rsidRPr="00513F20">
        <w:t xml:space="preserve"> tactics </w:t>
      </w:r>
      <w:r>
        <w:t>and/</w:t>
      </w:r>
      <w:r w:rsidRPr="00513F20">
        <w:t>or behaviour change techniques, FAOs can contribute to improvements in the individual with the drinking or drug problem and experience benefits themselves e.g. a sense of power, purpose and direction and reduced helplessness.</w:t>
      </w:r>
      <w:r w:rsidRPr="000E10DF">
        <w:t xml:space="preserve"> If the lived experiences and needs of FAO</w:t>
      </w:r>
      <w:r>
        <w:t>s</w:t>
      </w:r>
      <w:r w:rsidRPr="000E10DF">
        <w:t xml:space="preserve"> are to </w:t>
      </w:r>
      <w:r w:rsidR="00D74C00">
        <w:t>shape</w:t>
      </w:r>
      <w:r w:rsidRPr="000E10DF">
        <w:t xml:space="preserve"> service design and delivery, it appears inescapable that at least some part of an intervention for FAOs target the </w:t>
      </w:r>
      <w:r>
        <w:t>addiction itself</w:t>
      </w:r>
      <w:r w:rsidRPr="000E10DF">
        <w:t xml:space="preserve">. </w:t>
      </w:r>
    </w:p>
    <w:p w14:paraId="75F720C0" w14:textId="77777777" w:rsidR="00767BA2" w:rsidRDefault="00767BA2" w:rsidP="00767BA2">
      <w:pPr>
        <w:jc w:val="both"/>
      </w:pPr>
    </w:p>
    <w:p w14:paraId="24B0662E" w14:textId="77777777" w:rsidR="00767BA2" w:rsidRPr="00F026C2" w:rsidRDefault="00767BA2" w:rsidP="00767BA2">
      <w:pPr>
        <w:rPr>
          <w:i/>
          <w:iCs/>
        </w:rPr>
      </w:pPr>
      <w:r w:rsidRPr="00F026C2">
        <w:rPr>
          <w:i/>
          <w:iCs/>
        </w:rPr>
        <w:t xml:space="preserve">Community Reinforcement and Family Training (CRAFT) as a key program </w:t>
      </w:r>
    </w:p>
    <w:p w14:paraId="1E4CB314" w14:textId="69D6F121" w:rsidR="00767BA2" w:rsidRDefault="00767BA2" w:rsidP="00767BA2">
      <w:pPr>
        <w:jc w:val="both"/>
      </w:pPr>
      <w:r>
        <w:t xml:space="preserve">A key example of manualised intervention in this space is </w:t>
      </w:r>
      <w:r w:rsidRPr="00D3728E">
        <w:t xml:space="preserve">Community Reinforcement and Family Training (CRAFT) with partners/spouses of </w:t>
      </w:r>
      <w:r w:rsidR="00920B8E">
        <w:t>Alcohol and/or drug users</w:t>
      </w:r>
      <w:r w:rsidRPr="00D3728E">
        <w:t xml:space="preserve"> </w:t>
      </w:r>
      <w:r w:rsidRPr="00D3728E">
        <w:fldChar w:fldCharType="begin">
          <w:fldData xml:space="preserve">PEVuZE5vdGU+PENpdGU+PEF1dGhvcj5NZXllcnM8L0F1dGhvcj48WWVhcj4yMDA1PC9ZZWFyPjxS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</w:fldData>
        </w:fldChar>
      </w:r>
      <w:r w:rsidRPr="00D3728E">
        <w:instrText xml:space="preserve"> ADDIN EN.CITE </w:instrText>
      </w:r>
      <w:r w:rsidRPr="00D3728E">
        <w:fldChar w:fldCharType="begin">
          <w:fldData xml:space="preserve">PEVuZE5vdGU+PENpdGU+PEF1dGhvcj5NZXllcnM8L0F1dGhvcj48WWVhcj4yMDA1PC9ZZWFyPjxS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</w:fldData>
        </w:fldChar>
      </w:r>
      <w:r w:rsidRPr="00D3728E">
        <w:instrText xml:space="preserve"> ADDIN EN.CITE.DATA </w:instrText>
      </w:r>
      <w:r w:rsidRPr="00D3728E">
        <w:fldChar w:fldCharType="end"/>
      </w:r>
      <w:r w:rsidRPr="00D3728E">
        <w:fldChar w:fldCharType="separate"/>
      </w:r>
      <w:r w:rsidRPr="00D3728E">
        <w:t>(Meyers et al., 2005; Miller &amp; Meyers, 2004; Sisson &amp; Azrin, 1986)</w:t>
      </w:r>
      <w:r w:rsidRPr="00D3728E">
        <w:fldChar w:fldCharType="end"/>
      </w:r>
      <w:r w:rsidRPr="00D3728E">
        <w:t>. FAO</w:t>
      </w:r>
      <w:r>
        <w:t xml:space="preserve">s are </w:t>
      </w:r>
      <w:r w:rsidRPr="00D3728E">
        <w:t xml:space="preserve">trained in behavioural reinforcement techniques to provide positive consequences for abstinence, recognise and avoid conveying positive consequences for substance use, and identify when their loved one might be more receptive to considering entering treatment. FAOs participate using role-plays and other behavioural skills-training exercises during sessions, and homework assignments between sessions </w:t>
      </w:r>
      <w:r w:rsidRPr="00D3728E">
        <w:fldChar w:fldCharType="begin"/>
      </w:r>
      <w:r w:rsidRPr="00D3728E">
        <w:instrText xml:space="preserve"> ADDIN EN.CITE &lt;EndNote&gt;&lt;Cite&gt;&lt;Author&gt;Meyers&lt;/Author&gt;&lt;Year&gt;2005&lt;/Year&gt;&lt;RecNum&gt;270&lt;/RecNum&gt;&lt;DisplayText&gt;(Meyers et al., 2005)&lt;/DisplayText&gt;&lt;record&gt;&lt;rec-number&gt;270&lt;/rec-number&gt;&lt;foreign-keys&gt;&lt;key app="EN" db-id="5v2daxed8wv0eoesd9av5dd8exsxdewpfpwd" timestamp="1582160409"&gt;270&lt;/key&gt;&lt;/foreign-keys&gt;&lt;ref-type name="Journal Article"&gt;17&lt;/ref-type&gt;&lt;contributors&gt;&lt;authors&gt;&lt;author&gt;Meyers, Robert J&lt;/author&gt;&lt;author&gt;Smith, Jane Ellen&lt;/author&gt;&lt;author&gt;Lash, Denise N&lt;/author&gt;&lt;/authors&gt;&lt;/contributors&gt;&lt;titles&gt;&lt;title&gt;A program for engaging treatment-refusing substance abusers into treatment: CRAFT&lt;/title&gt;&lt;secondary-title&gt;International Journal of Behavioral Consultation and Therapy&lt;/secondary-title&gt;&lt;/titles&gt;&lt;periodical&gt;&lt;full-title&gt;International Journal of Behavioral Consultation and Therapy&lt;/full-title&gt;&lt;/periodical&gt;&lt;pages&gt;90&lt;/pages&gt;&lt;volume&gt;1&lt;/volume&gt;&lt;number&gt;2&lt;/number&gt;&lt;dates&gt;&lt;year&gt;2005&lt;/year&gt;&lt;/dates&gt;&lt;isbn&gt;1555-7855&lt;/isbn&gt;&lt;urls&gt;&lt;/urls&gt;&lt;/record&gt;&lt;/Cite&gt;&lt;/EndNote&gt;</w:instrText>
      </w:r>
      <w:r w:rsidRPr="00D3728E">
        <w:fldChar w:fldCharType="separate"/>
      </w:r>
      <w:r w:rsidRPr="00D3728E">
        <w:t>(Meyers et al., 2005)</w:t>
      </w:r>
      <w:r w:rsidRPr="00D3728E">
        <w:fldChar w:fldCharType="end"/>
      </w:r>
      <w:r w:rsidRPr="00D3728E">
        <w:t xml:space="preserve">. CRAFT‐trained therapists conventionally provide eight to 12 individual sessions </w:t>
      </w:r>
      <w:r w:rsidRPr="00D3728E">
        <w:fldChar w:fldCharType="begin"/>
      </w:r>
      <w:r w:rsidRPr="00D3728E">
        <w:instrText xml:space="preserve"> ADDIN EN.CITE &lt;EndNote&gt;&lt;Cite&gt;&lt;Author&gt;Archer&lt;/Author&gt;&lt;Year&gt;2019&lt;/Year&gt;&lt;RecNum&gt;138&lt;/RecNum&gt;&lt;DisplayText&gt;(Archer, Harwood, Stevelink, Rafferty, &amp;amp; Greenberg, 2019)&lt;/DisplayText&gt;&lt;record&gt;&lt;rec-number&gt;138&lt;/rec-number&gt;&lt;foreign-keys&gt;&lt;key app="EN" db-id="25rszwft292ev3esrpvpde0cpxrd9ex0xspp" timestamp="1585702189"&gt;138&lt;/key&gt;&lt;/foreign-keys&gt;&lt;ref-type name="Journal Article"&gt;17&lt;/ref-type&gt;&lt;contributors&gt;&lt;authors&gt;&lt;author&gt;Archer, Marc&lt;/author&gt;&lt;author&gt;Harwood, Hannah&lt;/author&gt;&lt;author&gt;Stevelink, Sharon&lt;/author&gt;&lt;author&gt;Rafferty, Laura&lt;/author&gt;&lt;author&gt;Greenberg, Neil&lt;/author&gt;&lt;/authors&gt;&lt;/contributors&gt;&lt;titles&gt;&lt;title&gt;Community Reinforcement and Family Training and rates of treatment entry: A systematic review&lt;/title&gt;&lt;secondary-title&gt;Addiction&lt;/secondary-title&gt;&lt;/titles&gt;&lt;periodical&gt;&lt;full-title&gt;Addiction&lt;/full-title&gt;&lt;/periodical&gt;&lt;dates&gt;&lt;year&gt;2019&lt;/year&gt;&lt;/dates&gt;&lt;isbn&gt;0965-2140&lt;/isbn&gt;&lt;urls&gt;&lt;/urls&gt;&lt;/record&gt;&lt;/Cite&gt;&lt;/EndNote&gt;</w:instrText>
      </w:r>
      <w:r w:rsidRPr="00D3728E">
        <w:fldChar w:fldCharType="separate"/>
      </w:r>
      <w:r w:rsidRPr="00D3728E">
        <w:t>(Archer, Harwood, Stevelink, Rafferty, &amp; Greenberg, 2019)</w:t>
      </w:r>
      <w:r w:rsidRPr="00D3728E">
        <w:fldChar w:fldCharType="end"/>
      </w:r>
      <w:r w:rsidRPr="00D3728E">
        <w:t>. Core components include: (1) enhancement of FAO motivation to influence the substance user; (2) functional analysis of the substance user’s problem behaviour; (3) domestic violence precautions; (4) communication skills training; (5) judicious use of positive reinforcement; (6) use of negative consequences for substance using behaviour; (7) enrichment of FAO’s own lives; and (8) substance user treatment invitation.</w:t>
      </w:r>
    </w:p>
    <w:p w14:paraId="7F7EBADD" w14:textId="77777777" w:rsidR="00767BA2" w:rsidRDefault="00767BA2" w:rsidP="00767BA2">
      <w:pPr>
        <w:jc w:val="both"/>
      </w:pPr>
    </w:p>
    <w:p w14:paraId="3BD39DC2" w14:textId="7A0B9CEE" w:rsidR="00767BA2" w:rsidRDefault="00767BA2" w:rsidP="00767BA2">
      <w:pPr>
        <w:jc w:val="both"/>
      </w:pPr>
      <w:r>
        <w:t>T</w:t>
      </w:r>
      <w:r w:rsidRPr="00D3728E">
        <w:t xml:space="preserve">he wellbeing of FAOs is </w:t>
      </w:r>
      <w:r>
        <w:t>supported</w:t>
      </w:r>
      <w:r w:rsidRPr="00D3728E">
        <w:t xml:space="preserve"> </w:t>
      </w:r>
      <w:r>
        <w:t xml:space="preserve">as a secondary goal </w:t>
      </w:r>
      <w:r w:rsidRPr="00D3728E">
        <w:t xml:space="preserve">by the CRAFT clinician working with the FAO to identify areas in their own life they would like to change and developing strategies to do so </w:t>
      </w:r>
      <w:r w:rsidRPr="00D3728E">
        <w:fldChar w:fldCharType="begin"/>
      </w:r>
      <w:r w:rsidRPr="00D3728E">
        <w:instrText xml:space="preserve"> ADDIN EN.CITE &lt;EndNote&gt;&lt;Cite&gt;&lt;Author&gt;Miller&lt;/Author&gt;&lt;Year&gt;2004&lt;/Year&gt;&lt;RecNum&gt;307&lt;/RecNum&gt;&lt;DisplayText&gt;(Miller &amp;amp; Meyers, 2004; Miller, Meyers, &amp;amp; Tonigan, 1999)&lt;/DisplayText&gt;&lt;record&gt;&lt;rec-number&gt;307&lt;/rec-number&gt;&lt;foreign-keys&gt;&lt;key app="EN" db-id="5v2daxed8wv0eoesd9av5dd8exsxdewpfpwd" timestamp="1582167572"&gt;307&lt;/key&gt;&lt;/foreign-keys&gt;&lt;ref-type name="Book Section"&gt;5&lt;/ref-type&gt;&lt;contributors&gt;&lt;authors&gt;&lt;author&gt;Miller, William R&lt;/author&gt;&lt;author&gt;Meyers, Robert J&lt;/author&gt;&lt;/authors&gt;&lt;/contributors&gt;&lt;titles&gt;&lt;title&gt;The community-reinforcement approach&lt;/title&gt;&lt;secondary-title&gt;Psychosocial Treatments&lt;/secondary-title&gt;&lt;/titles&gt;&lt;pages&gt;59-70&lt;/pages&gt;&lt;dates&gt;&lt;year&gt;2004&lt;/year&gt;&lt;/dates&gt;&lt;publisher&gt;Routledge&lt;/publisher&gt;&lt;urls&gt;&lt;/urls&gt;&lt;/record&gt;&lt;/Cite&gt;&lt;Cite&gt;&lt;Author&gt;Miller&lt;/Author&gt;&lt;Year&gt;1999&lt;/Year&gt;&lt;RecNum&gt;147&lt;/RecNum&gt;&lt;record&gt;&lt;rec-number&gt;147&lt;/rec-number&gt;&lt;foreign-keys&gt;&lt;key app="EN" db-id="25rszwft292ev3esrpvpde0cpxrd9ex0xspp" timestamp="1585781811"&gt;147&lt;/key&gt;&lt;/foreign-keys&gt;&lt;ref-type name="Journal Article"&gt;17&lt;/ref-type&gt;&lt;contributors&gt;&lt;authors&gt;&lt;author&gt;Miller, William R&lt;/author&gt;&lt;author&gt;Meyers, Robert J&lt;/author&gt;&lt;author&gt;Tonigan, J Scott&lt;/author&gt;&lt;/authors&gt;&lt;/contributors&gt;&lt;titles&gt;&lt;title&gt;Engaging the unmotivated in treatment for alcohol problems: A comparison of three strategies for intervention through family members&lt;/title&gt;&lt;secondary-title&gt;Journal of consulting and clinical psychology&lt;/secondary-title&gt;&lt;/titles&gt;&lt;periodical&gt;&lt;full-title&gt;Journal of consulting and clinical psychology&lt;/full-title&gt;&lt;/periodical&gt;&lt;pages&gt;688&lt;/pages&gt;&lt;volume&gt;67&lt;/volume&gt;&lt;number&gt;5&lt;/number&gt;&lt;dates&gt;&lt;year&gt;1999&lt;/year&gt;&lt;/dates&gt;&lt;isbn&gt;1939-2117&lt;/isbn&gt;&lt;urls&gt;&lt;/urls&gt;&lt;/record&gt;&lt;/Cite&gt;&lt;/EndNote&gt;</w:instrText>
      </w:r>
      <w:r w:rsidRPr="00D3728E">
        <w:fldChar w:fldCharType="separate"/>
      </w:r>
      <w:r w:rsidRPr="00D3728E">
        <w:t>(Miller &amp; Meyers, 2004; Miller, Meyers, &amp; Tonigan, 1999)</w:t>
      </w:r>
      <w:r w:rsidRPr="00D3728E">
        <w:fldChar w:fldCharType="end"/>
      </w:r>
      <w:r w:rsidRPr="00D3728E">
        <w:t>.</w:t>
      </w:r>
      <w:r>
        <w:t xml:space="preserve"> Since </w:t>
      </w:r>
      <w:r w:rsidRPr="00D3728E">
        <w:t>CRAFT is primarily positioned as a program for engaging treatment-refusing substance abusers into treatment</w:t>
      </w:r>
      <w:r>
        <w:t>, t</w:t>
      </w:r>
      <w:r w:rsidRPr="00BF15F1">
        <w:t xml:space="preserve">reatment entry </w:t>
      </w:r>
      <w:r>
        <w:t>is t</w:t>
      </w:r>
      <w:r w:rsidRPr="00BF15F1">
        <w:t>he most consistent</w:t>
      </w:r>
      <w:r>
        <w:t>ly</w:t>
      </w:r>
      <w:r w:rsidRPr="00BF15F1">
        <w:t xml:space="preserve"> </w:t>
      </w:r>
      <w:r>
        <w:t xml:space="preserve">investigated and best </w:t>
      </w:r>
      <w:r w:rsidRPr="00BF15F1">
        <w:t xml:space="preserve">supported outcome of CRAFT </w:t>
      </w:r>
      <w:r w:rsidRPr="00BF15F1">
        <w:fldChar w:fldCharType="begin"/>
      </w:r>
      <w:r w:rsidRPr="00BF15F1">
        <w:instrText xml:space="preserve"> ADDIN EN.CITE &lt;EndNote&gt;&lt;Cite&gt;&lt;Author&gt;Kirby&lt;/Author&gt;&lt;Year&gt;2017&lt;/Year&gt;&lt;RecNum&gt;156&lt;/RecNum&gt;&lt;Prefix&gt;see review by &lt;/Prefix&gt;&lt;DisplayText&gt;(see review by Kirby et al., 2017)&lt;/DisplayText&gt;&lt;record&gt;&lt;rec-number&gt;156&lt;/rec-number&gt;&lt;foreign-keys&gt;&lt;key app="EN" db-id="25rszwft292ev3esrpvpde0cpxrd9ex0xspp" timestamp="1586131926"&gt;156&lt;/key&gt;&lt;/foreign-keys&gt;&lt;ref-type name="Journal Article"&gt;17&lt;/ref-type&gt;&lt;contributors&gt;&lt;authors&gt;&lt;author&gt;Kirby, Kimberly C&lt;/author&gt;&lt;author&gt;Benishek, Lois A&lt;/author&gt;&lt;author&gt;Kerwin, MaryLouise E&lt;/author&gt;&lt;author&gt;Dugosh, Karen L&lt;/author&gt;&lt;author&gt;Carpenedo, Carolyn M&lt;/author&gt;&lt;author&gt;Bresani, Elena&lt;/author&gt;&lt;author&gt;Haugh, James A&lt;/author&gt;&lt;author&gt;Washio, Yukiko&lt;/author&gt;&lt;author&gt;Meyers, Robert J&lt;/author&gt;&lt;/authors&gt;&lt;/contributors&gt;&lt;titles&gt;&lt;title&gt;Analyzing components of Community Reinforcement and Family Training (CRAFT): Is treatment entry training sufficient?&lt;/title&gt;&lt;secondary-title&gt;Psychology of Addictive Behaviors&lt;/secondary-title&gt;&lt;/titles&gt;&lt;periodical&gt;&lt;full-title&gt;Psychology of Addictive Behaviors&lt;/full-title&gt;&lt;/periodical&gt;&lt;pages&gt;818&lt;/pages&gt;&lt;volume&gt;31&lt;/volume&gt;&lt;number&gt;7&lt;/number&gt;&lt;dates&gt;&lt;year&gt;2017&lt;/year&gt;&lt;/dates&gt;&lt;isbn&gt;1939-1501&lt;/isbn&gt;&lt;urls&gt;&lt;/urls&gt;&lt;/record&gt;&lt;/Cite&gt;&lt;/EndNote&gt;</w:instrText>
      </w:r>
      <w:r w:rsidRPr="00BF15F1">
        <w:fldChar w:fldCharType="separate"/>
      </w:r>
      <w:r w:rsidRPr="00BF15F1">
        <w:t>(see review by Kirby et al., 2017)</w:t>
      </w:r>
      <w:r w:rsidRPr="00BF15F1">
        <w:fldChar w:fldCharType="end"/>
      </w:r>
      <w:r w:rsidRPr="00BF15F1">
        <w:t xml:space="preserve">. Treatment entry rates for substance use disorders have been consistently high; most studies achieve &gt; 60%, with the earliest evaluation of CRAFT reporting a rate of 86% </w:t>
      </w:r>
      <w:r w:rsidRPr="00BF15F1">
        <w:fldChar w:fldCharType="begin"/>
      </w:r>
      <w:r w:rsidRPr="00BF15F1">
        <w:instrText xml:space="preserve"> ADDIN EN.CITE &lt;EndNote&gt;&lt;Cite&gt;&lt;Author&gt;Archer&lt;/Author&gt;&lt;Year&gt;2019&lt;/Year&gt;&lt;RecNum&gt;138&lt;/RecNum&gt;&lt;Prefix&gt;see reviews by &lt;/Prefix&gt;&lt;DisplayText&gt;(see reviews by Archer et al., 2019; Roozen, De Waart, &amp;amp; Van Der Kroft, 2010)&lt;/DisplayText&gt;&lt;record&gt;&lt;rec-number&gt;138&lt;/rec-number&gt;&lt;foreign-keys&gt;&lt;key app="EN" db-id="25rszwft292ev3esrpvpde0cpxrd9ex0xspp" timestamp="1585702189"&gt;138&lt;/key&gt;&lt;/foreign-keys&gt;&lt;ref-type name="Journal Article"&gt;17&lt;/ref-type&gt;&lt;contributors&gt;&lt;authors&gt;&lt;author&gt;Archer, Marc&lt;/author&gt;&lt;author&gt;Harwood, Hannah&lt;/author&gt;&lt;author&gt;Stevelink, Sharon&lt;/author&gt;&lt;author&gt;Rafferty, Laura&lt;/author&gt;&lt;author&gt;Greenberg, Neil&lt;/author&gt;&lt;/authors&gt;&lt;/contributors&gt;&lt;titles&gt;&lt;title&gt;Community Reinforcement and Family Training and rates of treatment entry: A systematic review&lt;/title&gt;&lt;secondary-title&gt;Addiction&lt;/secondary-title&gt;&lt;/titles&gt;&lt;periodical&gt;&lt;full-title&gt;Addiction&lt;/full-title&gt;&lt;/periodical&gt;&lt;dates&gt;&lt;year&gt;2019&lt;/year&gt;&lt;/dates&gt;&lt;isbn&gt;0965-2140&lt;/isbn&gt;&lt;urls&gt;&lt;/urls&gt;&lt;/record&gt;&lt;/Cite&gt;&lt;Cite&gt;&lt;Author&gt;Roozen&lt;/Author&gt;&lt;Year&gt;2010&lt;/Year&gt;&lt;RecNum&gt;137&lt;/RecNum&gt;&lt;record&gt;&lt;rec-number&gt;137&lt;/rec-number&gt;&lt;foreign-keys&gt;&lt;key app="EN" db-id="25rszwft292ev3esrpvpde0cpxrd9ex0xspp" timestamp="1585700908"&gt;137&lt;/key&gt;&lt;/foreign-keys&gt;&lt;ref-type name="Journal Article"&gt;17&lt;/ref-type&gt;&lt;contributors&gt;&lt;authors&gt;&lt;author&gt;Roozen, Hendrik G&lt;/author&gt;&lt;author&gt;De Waart, Ranne&lt;/author&gt;&lt;author&gt;Van Der Kroft, Petra&lt;/author&gt;&lt;/authors&gt;&lt;/contributors&gt;&lt;titles&gt;&lt;title&gt;Community reinforcement and family training: An effective option to engage treatment‐resistant substance‐abusing individuals in treatment&lt;/title&gt;&lt;secondary-title&gt;Addiction&lt;/secondary-title&gt;&lt;/titles&gt;&lt;periodical&gt;&lt;full-title&gt;Addiction&lt;/full-title&gt;&lt;/periodical&gt;&lt;pages&gt;1729-1738&lt;/pages&gt;&lt;volume&gt;105&lt;/volume&gt;&lt;number&gt;10&lt;/number&gt;&lt;dates&gt;&lt;year&gt;2010&lt;/year&gt;&lt;/dates&gt;&lt;isbn&gt;0965-2140&lt;/isbn&gt;&lt;urls&gt;&lt;/urls&gt;&lt;/record&gt;&lt;/Cite&gt;&lt;/EndNote&gt;</w:instrText>
      </w:r>
      <w:r w:rsidRPr="00BF15F1">
        <w:fldChar w:fldCharType="separate"/>
      </w:r>
      <w:r w:rsidRPr="00BF15F1">
        <w:t>(see reviews by Archer et al., 2019; Roozen, De Waart, &amp; Van Der Kroft, 2010)</w:t>
      </w:r>
      <w:r w:rsidRPr="00BF15F1">
        <w:fldChar w:fldCharType="end"/>
      </w:r>
      <w:r w:rsidRPr="00BF15F1">
        <w:t>.</w:t>
      </w:r>
      <w:r>
        <w:t xml:space="preserve"> </w:t>
      </w:r>
      <w:r w:rsidRPr="00566378">
        <w:t xml:space="preserve">Enhancing FAOs’ motivation to help and assertiveness </w:t>
      </w:r>
      <w:r w:rsidR="00B83EE8">
        <w:t xml:space="preserve">to intervene </w:t>
      </w:r>
      <w:r w:rsidRPr="00566378">
        <w:t xml:space="preserve">have been suggested as </w:t>
      </w:r>
      <w:r>
        <w:t xml:space="preserve">the most </w:t>
      </w:r>
      <w:r w:rsidRPr="00566378">
        <w:t xml:space="preserve">important factors to target for maximising treatment entry </w:t>
      </w:r>
      <w:r w:rsidRPr="00BF15F1">
        <w:fldChar w:fldCharType="begin"/>
      </w:r>
      <w:r w:rsidRPr="00BF15F1">
        <w:instrText xml:space="preserve"> ADDIN EN.CITE &lt;EndNote&gt;&lt;Cite&gt;&lt;Author&gt;Roozen&lt;/Author&gt;&lt;Year&gt;2010&lt;/Year&gt;&lt;RecNum&gt;137&lt;/RecNum&gt;&lt;DisplayText&gt;(Archer et al., 2019; Roozen et al., 2010)&lt;/DisplayText&gt;&lt;record&gt;&lt;rec-number&gt;137&lt;/rec-number&gt;&lt;foreign-keys&gt;&lt;key app="EN" db-id="25rszwft292ev3esrpvpde0cpxrd9ex0xspp" timestamp="1585700908"&gt;137&lt;/key&gt;&lt;/foreign-keys&gt;&lt;ref-type name="Journal Article"&gt;17&lt;/ref-type&gt;&lt;contributors&gt;&lt;authors&gt;&lt;author&gt;Roozen, Hendrik G&lt;/author&gt;&lt;author&gt;De Waart, Ranne&lt;/author&gt;&lt;author&gt;Van Der Kroft, Petra&lt;/author&gt;&lt;/authors&gt;&lt;/contributors&gt;&lt;titles&gt;&lt;title&gt;Community reinforcement and family training: An effective option to engage treatment‐resistant substance‐abusing individuals in treatment&lt;/title&gt;&lt;secondary-title&gt;Addiction&lt;/secondary-title&gt;&lt;/titles&gt;&lt;periodical&gt;&lt;full-title&gt;Addiction&lt;/full-title&gt;&lt;/periodical&gt;&lt;pages&gt;1729-1738&lt;/pages&gt;&lt;volume&gt;105&lt;/volume&gt;&lt;number&gt;10&lt;/number&gt;&lt;dates&gt;&lt;year&gt;2010&lt;/year&gt;&lt;/dates&gt;&lt;isbn&gt;0965-2140&lt;/isbn&gt;&lt;urls&gt;&lt;/urls&gt;&lt;/record&gt;&lt;/Cite&gt;&lt;Cite&gt;&lt;Author&gt;Archer&lt;/Author&gt;&lt;Year&gt;2019&lt;/Year&gt;&lt;RecNum&gt;138&lt;/RecNum&gt;&lt;record&gt;&lt;rec-number&gt;138&lt;/rec-number&gt;&lt;foreign-keys&gt;&lt;key app="EN" db-id="25rszwft292ev3esrpvpde0cpxrd9ex0xspp" timestamp="1585702189"&gt;138&lt;/key&gt;&lt;/foreign-keys&gt;&lt;ref-type name="Journal Article"&gt;17&lt;/ref-type&gt;&lt;contributors&gt;&lt;authors&gt;&lt;author&gt;Archer, Marc&lt;/author&gt;&lt;author&gt;Harwood, Hannah&lt;/author&gt;&lt;author&gt;Stevelink, Sharon&lt;/author&gt;&lt;author&gt;Rafferty, Laura&lt;/author&gt;&lt;author&gt;Greenberg, Neil&lt;/author&gt;&lt;/authors&gt;&lt;/contributors&gt;&lt;titles&gt;&lt;title&gt;Community Reinforcement and Family Training and rates of treatment entry: A systematic review&lt;/title&gt;&lt;secondary-title&gt;Addiction&lt;/secondary-title&gt;&lt;/titles&gt;&lt;periodical&gt;&lt;full-title&gt;Addiction&lt;/full-title&gt;&lt;/periodical&gt;&lt;dates&gt;&lt;year&gt;2019&lt;/year&gt;&lt;/dates&gt;&lt;isbn&gt;0965-2140&lt;/isbn&gt;&lt;urls&gt;&lt;/urls&gt;&lt;/record&gt;&lt;/Cite&gt;&lt;/EndNote&gt;</w:instrText>
      </w:r>
      <w:r w:rsidRPr="00BF15F1">
        <w:fldChar w:fldCharType="separate"/>
      </w:r>
      <w:r w:rsidRPr="00BF15F1">
        <w:t>(Archer et al., 2019; Roozen et al., 2010)</w:t>
      </w:r>
      <w:r w:rsidRPr="00BF15F1">
        <w:fldChar w:fldCharType="end"/>
      </w:r>
      <w:r w:rsidRPr="00BF15F1">
        <w:t>.</w:t>
      </w:r>
      <w:r>
        <w:t xml:space="preserve"> Maximising treatment engagement has been explored across multiple CRAFT</w:t>
      </w:r>
      <w:r w:rsidRPr="00566378">
        <w:t xml:space="preserve"> delivery modalities (e.g. online, brief, self-directed)</w:t>
      </w:r>
      <w:r>
        <w:t>, with</w:t>
      </w:r>
      <w:r w:rsidRPr="00566378">
        <w:t xml:space="preserve"> those offering the most comprehensive support to the FAO</w:t>
      </w:r>
      <w:r>
        <w:t xml:space="preserve"> (e.g. multi-modal, including follow-up) associated with </w:t>
      </w:r>
      <w:r w:rsidRPr="00566378">
        <w:t xml:space="preserve">the highest levels of treatment engagement success </w:t>
      </w:r>
      <w:r w:rsidRPr="00566378">
        <w:fldChar w:fldCharType="begin">
          <w:fldData xml:space="preserve">PEVuZE5vdGU+PENpdGU+PEF1dGhvcj5NZXllcnM8L0F1dGhvcj48WWVhcj4yMDAyPC9ZZWFyPjxS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</w:fldData>
        </w:fldChar>
      </w:r>
      <w:r>
        <w:instrText xml:space="preserve"> ADDIN EN.CITE </w:instrText>
      </w:r>
      <w:r>
        <w:fldChar w:fldCharType="begin">
          <w:fldData xml:space="preserve">PEVuZE5vdGU+PENpdGU+PEF1dGhvcj5NZXllcnM8L0F1dGhvcj48WWVhcj4yMDAyPC9ZZWFyPjxS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</w:fldData>
        </w:fldChar>
      </w:r>
      <w:r>
        <w:instrText xml:space="preserve"> ADDIN EN.CITE.DATA </w:instrText>
      </w:r>
      <w:r>
        <w:fldChar w:fldCharType="end"/>
      </w:r>
      <w:r w:rsidRPr="00566378">
        <w:fldChar w:fldCharType="separate"/>
      </w:r>
      <w:r>
        <w:rPr>
          <w:noProof/>
        </w:rPr>
        <w:t>(Meyers, Miller, Hill, &amp; Tonigan, 1998; Meyers, Miller, Smith, &amp; Tonigan, 2002; Sisson &amp; Azrin, 1986; Waldron, Kern-Jones, Turner, Peterson, &amp; Ozechowski, 2007)</w:t>
      </w:r>
      <w:r w:rsidRPr="00566378">
        <w:fldChar w:fldCharType="end"/>
      </w:r>
      <w:r w:rsidRPr="00566378">
        <w:t>.</w:t>
      </w:r>
    </w:p>
    <w:p w14:paraId="4057DD7D" w14:textId="77777777" w:rsidR="00767BA2" w:rsidRDefault="00767BA2" w:rsidP="00767BA2">
      <w:pPr>
        <w:jc w:val="both"/>
      </w:pPr>
    </w:p>
    <w:p w14:paraId="05D8DF3A" w14:textId="067166CA" w:rsidR="00767BA2" w:rsidRDefault="00767BA2" w:rsidP="00767BA2">
      <w:pPr>
        <w:jc w:val="both"/>
      </w:pPr>
      <w:r>
        <w:lastRenderedPageBreak/>
        <w:t xml:space="preserve">Although treatment engagement has been the main focus of evaluative research, </w:t>
      </w:r>
      <w:r w:rsidRPr="000C73E4">
        <w:t xml:space="preserve">improvements in </w:t>
      </w:r>
      <w:r>
        <w:t xml:space="preserve">measures of </w:t>
      </w:r>
      <w:r w:rsidRPr="000C73E4">
        <w:t xml:space="preserve">FAO mental health, family cohesion, and relationship quality have been reported across CRAFT outcomes studies for a range of substance use, ethnicities of clients, and types of relationships </w:t>
      </w:r>
      <w:r w:rsidRPr="000C73E4">
        <w:fldChar w:fldCharType="begin">
          <w:fldData xml:space="preserve">PEVuZE5vdGU+PENpdGU+PEF1dGhvcj5EdXRjaGVyPC9BdXRob3I+PFllYXI+MjAwOTwvWWVhcj48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</w:fldData>
        </w:fldChar>
      </w:r>
      <w:r w:rsidRPr="000C73E4">
        <w:instrText xml:space="preserve"> ADDIN EN.CITE </w:instrText>
      </w:r>
      <w:r w:rsidRPr="000C73E4">
        <w:fldChar w:fldCharType="begin">
          <w:fldData xml:space="preserve">PEVuZE5vdGU+PENpdGU+PEF1dGhvcj5EdXRjaGVyPC9BdXRob3I+PFllYXI+MjAwOTwvWWVhcj48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</w:fldData>
        </w:fldChar>
      </w:r>
      <w:r w:rsidRPr="000C73E4">
        <w:instrText xml:space="preserve"> ADDIN EN.CITE.DATA </w:instrText>
      </w:r>
      <w:r w:rsidRPr="000C73E4">
        <w:fldChar w:fldCharType="end"/>
      </w:r>
      <w:r w:rsidRPr="000C73E4">
        <w:fldChar w:fldCharType="separate"/>
      </w:r>
      <w:r w:rsidRPr="000C73E4">
        <w:t>(e.g. Dutcher et al., 2009; Kirby, Marlowe, Festinger, Garvey, &amp; LaMonaca, 1999; Meyers et al., 1998; Meyers et al., 2002)</w:t>
      </w:r>
      <w:r w:rsidRPr="000C73E4">
        <w:fldChar w:fldCharType="end"/>
      </w:r>
      <w:r w:rsidRPr="000C73E4">
        <w:t>.</w:t>
      </w:r>
      <w:r>
        <w:t xml:space="preserve"> </w:t>
      </w:r>
      <w:r w:rsidRPr="005E0A43">
        <w:t xml:space="preserve">Recent innovations in online CRAFT delivery for military families have </w:t>
      </w:r>
      <w:r>
        <w:t>taken more care to address</w:t>
      </w:r>
      <w:r w:rsidRPr="005E0A43">
        <w:t xml:space="preserve"> FAO wellbeing</w:t>
      </w:r>
      <w:r w:rsidR="00B83EE8">
        <w:t xml:space="preserve"> as a coherent treatment component</w:t>
      </w:r>
      <w:r w:rsidRPr="005E0A43">
        <w:t xml:space="preserve"> </w:t>
      </w:r>
      <w:r w:rsidRPr="005E0A43">
        <w:fldChar w:fldCharType="begin"/>
      </w:r>
      <w:r w:rsidRPr="005E0A43">
        <w:instrText xml:space="preserve"> ADDIN EN.CITE &lt;EndNote&gt;&lt;Cite&gt;&lt;Author&gt;Osilla&lt;/Author&gt;&lt;Year&gt;2018&lt;/Year&gt;&lt;RecNum&gt;144&lt;/RecNum&gt;&lt;DisplayText&gt;(Osilla et al., 2018)&lt;/DisplayText&gt;&lt;record&gt;&lt;rec-number&gt;144&lt;/rec-number&gt;&lt;foreign-keys&gt;&lt;key app="EN" db-id="25rszwft292ev3esrpvpde0cpxrd9ex0xspp" timestamp="1585775202"&gt;144&lt;/key&gt;&lt;/foreign-keys&gt;&lt;ref-type name="Journal Article"&gt;17&lt;/ref-type&gt;&lt;contributors&gt;&lt;authors&gt;&lt;author&gt;Osilla, Karen Chan&lt;/author&gt;&lt;author&gt;Trail, Thomas E&lt;/author&gt;&lt;author&gt;Pedersen, Eric R&lt;/author&gt;&lt;author&gt;Gore, Kristie L&lt;/author&gt;&lt;author&gt;Tolpadi, Anagha&lt;/author&gt;&lt;author&gt;Rodriguez, Lindsey M&lt;/author&gt;&lt;/authors&gt;&lt;/contributors&gt;&lt;titles&gt;&lt;title&gt;Efficacy of a web‐based intervention for concerned spouses of service members and veterans with alcohol misuse&lt;/title&gt;&lt;secondary-title&gt;Journal of marital and family therapy&lt;/secondary-title&gt;&lt;/titles&gt;&lt;periodical&gt;&lt;full-title&gt;Journal of marital and family therapy&lt;/full-title&gt;&lt;/periodical&gt;&lt;pages&gt;292-306&lt;/pages&gt;&lt;volume&gt;44&lt;/volume&gt;&lt;number&gt;2&lt;/number&gt;&lt;dates&gt;&lt;year&gt;2018&lt;/year&gt;&lt;/dates&gt;&lt;isbn&gt;0194-472X&lt;/isbn&gt;&lt;urls&gt;&lt;/urls&gt;&lt;/record&gt;&lt;/Cite&gt;&lt;/EndNote&gt;</w:instrText>
      </w:r>
      <w:r w:rsidRPr="005E0A43">
        <w:fldChar w:fldCharType="separate"/>
      </w:r>
      <w:r w:rsidRPr="005E0A43">
        <w:t>(Osilla et al., 2018)</w:t>
      </w:r>
      <w:r w:rsidRPr="005E0A43">
        <w:fldChar w:fldCharType="end"/>
      </w:r>
      <w:r w:rsidRPr="005E0A43">
        <w:t>, and web and community based adaptations of CRAFT seem to have had greater impact on measures of FAO wellbeing (e.g. psychological distress, quality of life) than noted in previous studies.</w:t>
      </w:r>
      <w:r>
        <w:t xml:space="preserve"> </w:t>
      </w:r>
      <w:r w:rsidR="00B83EE8">
        <w:t xml:space="preserve">Most evaluative research has been conducted from </w:t>
      </w:r>
      <w:r w:rsidR="00D74C00">
        <w:t>an</w:t>
      </w:r>
      <w:r w:rsidR="00B83EE8">
        <w:t xml:space="preserve"> empirical-analytic perspective, with almost no exploration of FAO experiences of engaging with services and their loved ones from this perspective/approach. </w:t>
      </w:r>
    </w:p>
    <w:p w14:paraId="6BF86D3D" w14:textId="77777777" w:rsidR="00767BA2" w:rsidRDefault="00767BA2" w:rsidP="00767BA2">
      <w:pPr>
        <w:jc w:val="both"/>
      </w:pPr>
    </w:p>
    <w:p w14:paraId="3483ADB4" w14:textId="77777777" w:rsidR="00767BA2" w:rsidRPr="00F026C2" w:rsidRDefault="00767BA2" w:rsidP="00767BA2">
      <w:pPr>
        <w:rPr>
          <w:i/>
          <w:iCs/>
        </w:rPr>
      </w:pPr>
      <w:r w:rsidRPr="00F026C2">
        <w:rPr>
          <w:i/>
          <w:iCs/>
        </w:rPr>
        <w:t>Centralising treatment engagement for the person with the addiction</w:t>
      </w:r>
    </w:p>
    <w:p w14:paraId="1C3DA543" w14:textId="0822192C" w:rsidR="00F026C2" w:rsidRPr="00F026C2" w:rsidRDefault="00767BA2" w:rsidP="00F026C2">
      <w:pPr>
        <w:jc w:val="both"/>
      </w:pPr>
      <w:r>
        <w:t xml:space="preserve">Critique of </w:t>
      </w:r>
      <w:r w:rsidR="00F026C2">
        <w:t>CRAFT</w:t>
      </w:r>
      <w:r>
        <w:t xml:space="preserve"> has centred on the notion that f</w:t>
      </w:r>
      <w:r w:rsidRPr="00FD4AB1">
        <w:t xml:space="preserve">ocussing on outcomes for the person with the addiction may </w:t>
      </w:r>
      <w:r>
        <w:t xml:space="preserve">at best </w:t>
      </w:r>
      <w:r w:rsidRPr="00FD4AB1">
        <w:t>obscure issues for FAO wellbeing</w:t>
      </w:r>
      <w:r>
        <w:t xml:space="preserve">, and at worst contribute to a sense that FAOs are responsible for causing and/or addressing addiction related harm in families </w:t>
      </w:r>
      <w:r>
        <w:fldChar w:fldCharType="begin"/>
      </w:r>
      <w:r>
        <w:instrText xml:space="preserve"> ADDIN EN.CITE &lt;EndNote&gt;&lt;Cite&gt;&lt;Author&gt;Orford&lt;/Author&gt;&lt;Year&gt;1990&lt;/Year&gt;&lt;RecNum&gt;103&lt;/RecNum&gt;&lt;DisplayText&gt;(Orford, 1990, 1994)&lt;/DisplayText&gt;&lt;record&gt;&lt;rec-number&gt;103&lt;/rec-number&gt;&lt;foreign-keys&gt;&lt;key app="EN" db-id="25rszwft292ev3esrpvpde0cpxrd9ex0xspp" timestamp="1584482394"&gt;103&lt;/key&gt;&lt;/foreign-keys&gt;&lt;ref-type name="Book Section"&gt;5&lt;/ref-type&gt;&lt;contributors&gt;&lt;authors&gt;&lt;author&gt;Orford, Jim&lt;/author&gt;&lt;/authors&gt;&lt;/contributors&gt;&lt;titles&gt;&lt;title&gt;Alcohol and the family&lt;/title&gt;&lt;secondary-title&gt;Research advances in alcohol and drug problems&lt;/secondary-title&gt;&lt;/titles&gt;&lt;pages&gt;81-155&lt;/pages&gt;&lt;dates&gt;&lt;year&gt;1990&lt;/year&gt;&lt;/dates&gt;&lt;publisher&gt;Springer&lt;/publisher&gt;&lt;urls&gt;&lt;/urls&gt;&lt;/record&gt;&lt;/Cite&gt;&lt;Cite&gt;&lt;Author&gt;Orford&lt;/Author&gt;&lt;Year&gt;1994&lt;/Year&gt;&lt;RecNum&gt;39&lt;/RecNum&gt;&lt;record&gt;&lt;rec-number&gt;39&lt;/rec-number&gt;&lt;foreign-keys&gt;&lt;key app="EN" db-id="25rszwft292ev3esrpvpde0cpxrd9ex0xspp" timestamp="1550177756"&gt;39&lt;/key&gt;&lt;/foreign-keys&gt;&lt;ref-type name="Journal Article"&gt;17&lt;/ref-type&gt;&lt;contributors&gt;&lt;authors&gt;&lt;author&gt;Orford, Jim&lt;/author&gt;&lt;/authors&gt;&lt;/contributors&gt;&lt;titles&gt;&lt;title&gt;Empowering family and friends: a new approach to the secondary prevention of addiction&lt;/title&gt;&lt;secondary-title&gt;Drug and alcohol review&lt;/secondary-title&gt;&lt;/titles&gt;&lt;periodical&gt;&lt;full-title&gt;Drug and alcohol review&lt;/full-title&gt;&lt;/periodical&gt;&lt;pages&gt;417-429&lt;/pages&gt;&lt;volume&gt;13&lt;/volume&gt;&lt;number&gt;4&lt;/number&gt;&lt;dates&gt;&lt;year&gt;1994&lt;/year&gt;&lt;/dates&gt;&lt;isbn&gt;0959-5236&lt;/isbn&gt;&lt;urls&gt;&lt;/urls&gt;&lt;/record&gt;&lt;/Cite&gt;&lt;/EndNote&gt;</w:instrText>
      </w:r>
      <w:r>
        <w:fldChar w:fldCharType="separate"/>
      </w:r>
      <w:r>
        <w:rPr>
          <w:noProof/>
        </w:rPr>
        <w:t>(Orford, 1990, 1994)</w:t>
      </w:r>
      <w:r>
        <w:fldChar w:fldCharType="end"/>
      </w:r>
      <w:r>
        <w:t xml:space="preserve">. </w:t>
      </w:r>
      <w:r w:rsidR="00F026C2">
        <w:t>Similarly, a</w:t>
      </w:r>
      <w:r w:rsidR="00F026C2" w:rsidRPr="00F026C2">
        <w:t xml:space="preserve">lthough ostensibly focussed on the relationship, </w:t>
      </w:r>
      <w:r w:rsidR="00F026C2">
        <w:t>behavioural couples</w:t>
      </w:r>
      <w:r w:rsidR="00D74C00">
        <w:t>’</w:t>
      </w:r>
      <w:r w:rsidR="00F026C2">
        <w:t xml:space="preserve"> therapy (</w:t>
      </w:r>
      <w:r w:rsidR="00F026C2" w:rsidRPr="00F026C2">
        <w:t>BCT</w:t>
      </w:r>
      <w:r w:rsidR="00F026C2">
        <w:t>)</w:t>
      </w:r>
      <w:r w:rsidR="00F026C2" w:rsidRPr="00F026C2">
        <w:t xml:space="preserve"> in practice requires partners to support and coach their spouse with the addiction. </w:t>
      </w:r>
      <w:r w:rsidR="00017161" w:rsidRPr="00017161">
        <w:t>BCT has two overarching components: assessing and improving behavioural interactions</w:t>
      </w:r>
      <w:r w:rsidR="00017161">
        <w:t xml:space="preserve"> to reduce the likelihood of substance use</w:t>
      </w:r>
      <w:r w:rsidR="00017161" w:rsidRPr="00017161">
        <w:t>, and improving communication skills (Copello et al., 2006). This approach posits if couples are happier and improve their communication, there will be a lower chance of relapse (O’Farrell &amp; Clements, 2012). From this perspective, relationship functioning and substance dependence are</w:t>
      </w:r>
      <w:r w:rsidR="00017161">
        <w:t xml:space="preserve"> seen as</w:t>
      </w:r>
      <w:r w:rsidR="00017161" w:rsidRPr="00017161">
        <w:t xml:space="preserve"> reciprocal (Powers, Vedel, &amp; Emmelkamp, 2008).</w:t>
      </w:r>
      <w:r w:rsidR="00017161">
        <w:t xml:space="preserve"> </w:t>
      </w:r>
      <w:r w:rsidR="00F026C2" w:rsidRPr="00F026C2">
        <w:t xml:space="preserve">The partner can becomes a secondary therapist or coach for the addicted partner, helping them through the process of behavioural change </w:t>
      </w:r>
      <w:r w:rsidR="00F026C2" w:rsidRPr="00F026C2">
        <w:fldChar w:fldCharType="begin"/>
      </w:r>
      <w:r w:rsidR="00F026C2" w:rsidRPr="00F026C2">
        <w:instrText xml:space="preserve"> ADDIN EN.CITE &lt;EndNote&gt;&lt;Cite&gt;&lt;Author&gt;Walitzer&lt;/Author&gt;&lt;Year&gt;2004&lt;/Year&gt;&lt;RecNum&gt;311&lt;/RecNum&gt;&lt;DisplayText&gt;(Walitzer &amp;amp; Dermen, 2004)&lt;/DisplayText&gt;&lt;record&gt;&lt;rec-number&gt;311&lt;/rec-number&gt;&lt;foreign-keys&gt;&lt;key app="EN" db-id="25rszwft292ev3esrpvpde0cpxrd9ex0xspp" timestamp="1601859893"&gt;311&lt;/key&gt;&lt;/foreign-keys&gt;&lt;ref-type name="Journal Article"&gt;17&lt;/ref-type&gt;&lt;contributors&gt;&lt;authors&gt;&lt;author&gt;Walitzer, Kimberly S&lt;/author&gt;&lt;author&gt;Dermen, Kurt H&lt;/author&gt;&lt;/authors&gt;&lt;/contributors&gt;&lt;titles&gt;&lt;title&gt;Alcohol-focused spouse involvement and behavioral couples therapy: evaluation of enhancements to drinking reduction treatment for male problem drinkers&lt;/title&gt;&lt;secondary-title&gt;Journal of consulting and clinical psychology&lt;/secondary-title&gt;&lt;/titles&gt;&lt;periodical&gt;&lt;full-title&gt;Journal of consulting and clinical psychology&lt;/full-title&gt;&lt;/periodical&gt;&lt;pages&gt;944&lt;/pages&gt;&lt;volume&gt;72&lt;/volume&gt;&lt;number&gt;6&lt;/number&gt;&lt;dates&gt;&lt;year&gt;2004&lt;/year&gt;&lt;/dates&gt;&lt;isbn&gt;1939-2117&lt;/isbn&gt;&lt;urls&gt;&lt;/urls&gt;&lt;/record&gt;&lt;/Cite&gt;&lt;/EndNote&gt;</w:instrText>
      </w:r>
      <w:r w:rsidR="00F026C2" w:rsidRPr="00F026C2">
        <w:fldChar w:fldCharType="separate"/>
      </w:r>
      <w:r w:rsidR="00F026C2" w:rsidRPr="00F026C2">
        <w:t>(Walitzer &amp; Dermen, 2004)</w:t>
      </w:r>
      <w:r w:rsidR="00F026C2" w:rsidRPr="00F026C2">
        <w:fldChar w:fldCharType="end"/>
      </w:r>
      <w:r w:rsidR="00F026C2" w:rsidRPr="00F026C2">
        <w:t xml:space="preserve">. The extent to which partners have the emotional capacity or willingness to engage in this way remains underexplored </w:t>
      </w:r>
      <w:r w:rsidR="00F026C2" w:rsidRPr="00F026C2">
        <w:fldChar w:fldCharType="begin"/>
      </w:r>
      <w:r w:rsidR="00F026C2" w:rsidRPr="00F026C2">
        <w:instrText xml:space="preserve"> ADDIN EN.CITE &lt;EndNote&gt;&lt;Cite&gt;&lt;Author&gt;O’Farrell&lt;/Author&gt;&lt;Year&gt;2012&lt;/Year&gt;&lt;RecNum&gt;248&lt;/RecNum&gt;&lt;DisplayText&gt;(O’Farrell &amp;amp; Clements, 2012)&lt;/DisplayText&gt;&lt;record&gt;&lt;rec-number&gt;248&lt;/rec-number&gt;&lt;foreign-keys&gt;&lt;key app="EN" db-id="25rszwft292ev3esrpvpde0cpxrd9ex0xspp" timestamp="1589424229"&gt;248&lt;/key&gt;&lt;/foreign-keys&gt;&lt;ref-type name="Journal Article"&gt;17&lt;/ref-type&gt;&lt;contributors&gt;&lt;authors&gt;&lt;author&gt;O’Farrell, Timothy J&lt;/author&gt;&lt;author&gt;Clements, Kahni&lt;/author&gt;&lt;/authors&gt;&lt;/contributors&gt;&lt;titles&gt;&lt;title&gt;Review of outcome research on marital and family therapy in treatment for alcoholism&lt;/title&gt;&lt;secondary-title&gt;Journal of Marital and Family Therapy&lt;/secondary-title&gt;&lt;/titles&gt;&lt;periodical&gt;&lt;full-title&gt;Journal of marital and family therapy&lt;/full-title&gt;&lt;/periodical&gt;&lt;pages&gt;122-144&lt;/pages&gt;&lt;volume&gt;38&lt;/volume&gt;&lt;number&gt;1&lt;/number&gt;&lt;dates&gt;&lt;year&gt;2012&lt;/year&gt;&lt;/dates&gt;&lt;isbn&gt;0194-472X&lt;/isbn&gt;&lt;urls&gt;&lt;/urls&gt;&lt;/record&gt;&lt;/Cite&gt;&lt;/EndNote&gt;</w:instrText>
      </w:r>
      <w:r w:rsidR="00F026C2" w:rsidRPr="00F026C2">
        <w:fldChar w:fldCharType="separate"/>
      </w:r>
      <w:r w:rsidR="00F026C2" w:rsidRPr="00F026C2">
        <w:t>(O’Farrell &amp; Clements, 2012)</w:t>
      </w:r>
      <w:r w:rsidR="00F026C2" w:rsidRPr="00F026C2">
        <w:fldChar w:fldCharType="end"/>
      </w:r>
      <w:r w:rsidR="00F026C2" w:rsidRPr="00F026C2">
        <w:t xml:space="preserve">. </w:t>
      </w:r>
    </w:p>
    <w:p w14:paraId="4D9FEBA0" w14:textId="0310BCC6" w:rsidR="00F026C2" w:rsidRDefault="00F026C2" w:rsidP="00767BA2">
      <w:pPr>
        <w:jc w:val="both"/>
      </w:pPr>
    </w:p>
    <w:p w14:paraId="3AABA5A3" w14:textId="7314612F" w:rsidR="00767BA2" w:rsidRPr="002308F8" w:rsidRDefault="00767BA2" w:rsidP="00767BA2">
      <w:pPr>
        <w:jc w:val="both"/>
        <w:rPr>
          <w:i/>
        </w:rPr>
      </w:pPr>
      <w:r w:rsidRPr="002308F8">
        <w:fldChar w:fldCharType="begin"/>
      </w:r>
      <w:r w:rsidR="002B56C5">
        <w:instrText xml:space="preserve"> ADDIN EN.CITE &lt;EndNote&gt;&lt;Cite AuthorYear="1"&gt;&lt;Author&gt;Orford&lt;/Author&gt;&lt;Year&gt;2010&lt;/Year&gt;&lt;RecNum&gt;257&lt;/RecNum&gt;&lt;DisplayText&gt;Orford et al. (2010)&lt;/DisplayText&gt;&lt;record&gt;&lt;rec-number&gt;257&lt;/rec-number&gt;&lt;foreign-keys&gt;&lt;key app="EN" db-id="25rszwft292ev3esrpvpde0cpxrd9ex0xspp" timestamp="1589931283"&gt;257&lt;/key&gt;&lt;/foreign-keys&gt;&lt;ref-type name="Journal Article"&gt;17&lt;/ref-type&gt;&lt;contributors&gt;&lt;authors&gt;&lt;author&gt;Orford, Jim&lt;/author&gt;&lt;author&gt;Copello, Alex&lt;/author&gt;&lt;author&gt;Velleman, Richard&lt;/author&gt;&lt;author&gt;Templeton, Lorna&lt;/author&gt;&lt;/authors&gt;&lt;/contributors&gt;&lt;titles&gt;&lt;title&gt;Family members affected by a close relative&amp;apos;s addiction: The stress-strain-coping-support model&lt;/title&gt;&lt;secondary-title&gt;Drugs: education, prevention and policy&lt;/secondary-title&gt;&lt;/titles&gt;&lt;periodical&gt;&lt;full-title&gt;Drugs: education, prevention and policy&lt;/full-title&gt;&lt;/periodical&gt;&lt;pages&gt;36-43&lt;/pages&gt;&lt;volume&gt;17&lt;/volume&gt;&lt;number&gt;sup1&lt;/number&gt;&lt;dates&gt;&lt;year&gt;2010&lt;/year&gt;&lt;/dates&gt;&lt;isbn&gt;0968-7637&lt;/isbn&gt;&lt;urls&gt;&lt;/urls&gt;&lt;/record&gt;&lt;/Cite&gt;&lt;/EndNote&gt;</w:instrText>
      </w:r>
      <w:r w:rsidRPr="002308F8">
        <w:fldChar w:fldCharType="separate"/>
      </w:r>
      <w:r w:rsidR="002B56C5">
        <w:rPr>
          <w:noProof/>
        </w:rPr>
        <w:t>Orford et al. (2010)</w:t>
      </w:r>
      <w:r w:rsidRPr="002308F8">
        <w:fldChar w:fldCharType="end"/>
      </w:r>
      <w:r w:rsidRPr="002308F8">
        <w:t xml:space="preserve"> describe a </w:t>
      </w:r>
      <w:r w:rsidRPr="002308F8">
        <w:rPr>
          <w:iCs/>
        </w:rPr>
        <w:t xml:space="preserve">negative view of family members as subtle, pervasive, and by no means limited to the most obviously dated statements of some authors writing about ‘wives of alcoholics’ half a century ago. </w:t>
      </w:r>
      <w:r w:rsidRPr="002308F8">
        <w:t>Werner and Malterud</w:t>
      </w:r>
      <w:r>
        <w:t xml:space="preserve"> (2016)</w:t>
      </w:r>
      <w:r w:rsidRPr="002308F8">
        <w:t xml:space="preserve"> explored children’s experiences of parental substance use and treatment, suggesting </w:t>
      </w:r>
      <w:r>
        <w:t xml:space="preserve">that </w:t>
      </w:r>
      <w:r w:rsidRPr="002308F8">
        <w:t>fragmented and confined approaches from health and social services towards families with parental drinking problems</w:t>
      </w:r>
      <w:r>
        <w:t xml:space="preserve"> were unhelpful</w:t>
      </w:r>
      <w:r w:rsidRPr="002308F8">
        <w:t>:</w:t>
      </w:r>
      <w:r w:rsidRPr="002308F8">
        <w:rPr>
          <w:i/>
        </w:rPr>
        <w:t xml:space="preserve"> </w:t>
      </w:r>
    </w:p>
    <w:p w14:paraId="65FE307C" w14:textId="77777777" w:rsidR="00767BA2" w:rsidRPr="002308F8" w:rsidRDefault="00767BA2" w:rsidP="00767BA2">
      <w:pPr>
        <w:jc w:val="both"/>
        <w:rPr>
          <w:i/>
        </w:rPr>
      </w:pPr>
    </w:p>
    <w:p w14:paraId="6396EFD1" w14:textId="77777777" w:rsidR="00767BA2" w:rsidRPr="002308F8" w:rsidRDefault="00767BA2" w:rsidP="00767BA2">
      <w:pPr>
        <w:ind w:left="720"/>
        <w:jc w:val="both"/>
      </w:pPr>
      <w:r w:rsidRPr="002308F8">
        <w:rPr>
          <w:i/>
        </w:rPr>
        <w:t>“[Children] called for attention from a responsible service professional who would sit down with them and invite them to speak about the problems. Recognising the young person’s situation implies, however, not only noticing that something is wrong, but also taking action, asking carefully for information and involving other professionals.”</w:t>
      </w:r>
      <w:r w:rsidRPr="002308F8">
        <w:t xml:space="preserve"> </w:t>
      </w:r>
      <w:r w:rsidRPr="002308F8">
        <w:fldChar w:fldCharType="begin"/>
      </w:r>
      <w:r w:rsidRPr="002308F8">
        <w:instrText xml:space="preserve"> ADDIN EN.CITE &lt;EndNote&gt;&lt;Cite&gt;&lt;Author&gt;Werner&lt;/Author&gt;&lt;Year&gt;2016&lt;/Year&gt;&lt;RecNum&gt;380&lt;/RecNum&gt;&lt;Pages&gt;669&lt;/Pages&gt;&lt;DisplayText&gt;(Werner &amp;amp; Malterud, 2016, p. 669)&lt;/DisplayText&gt;&lt;record&gt;&lt;rec-number&gt;380&lt;/rec-number&gt;&lt;foreign-keys&gt;&lt;key app="EN" db-id="5v2daxed8wv0eoesd9av5dd8exsxdewpfpwd" timestamp="1582233246"&gt;380&lt;/key&gt;&lt;/foreign-keys&gt;&lt;ref-type name="Journal Article"&gt;17&lt;/ref-type&gt;&lt;contributors&gt;&lt;authors&gt;&lt;author&gt;Werner, Anne&lt;/author&gt;&lt;author&gt;Malterud, Kirsti&lt;/author&gt;&lt;/authors&gt;&lt;/contributors&gt;&lt;titles&gt;&lt;title&gt;Encounters with service professionals experienced by children from families with alcohol problems: a qualitative interview study&lt;/title&gt;&lt;secondary-title&gt;Scandinavian journal of public health&lt;/secondary-title&gt;&lt;/titles&gt;&lt;periodical&gt;&lt;full-title&gt;Scandinavian journal of public health&lt;/full-title&gt;&lt;/periodical&gt;&lt;pages&gt;663-670&lt;/pages&gt;&lt;volume&gt;44&lt;/volume&gt;&lt;number&gt;7&lt;/number&gt;&lt;dates&gt;&lt;year&gt;2016&lt;/year&gt;&lt;/dates&gt;&lt;isbn&gt;1403-4948&lt;/isbn&gt;&lt;urls&gt;&lt;/urls&gt;&lt;/record&gt;&lt;/Cite&gt;&lt;/EndNote&gt;</w:instrText>
      </w:r>
      <w:r w:rsidRPr="002308F8">
        <w:fldChar w:fldCharType="separate"/>
      </w:r>
      <w:r w:rsidRPr="002308F8">
        <w:t>(Werner &amp; Malterud, 2016, p. 669)</w:t>
      </w:r>
      <w:r w:rsidRPr="002308F8">
        <w:fldChar w:fldCharType="end"/>
      </w:r>
      <w:r w:rsidRPr="002308F8">
        <w:t xml:space="preserve"> </w:t>
      </w:r>
    </w:p>
    <w:p w14:paraId="307B1EE9" w14:textId="77777777" w:rsidR="00767BA2" w:rsidRPr="002308F8" w:rsidRDefault="00767BA2" w:rsidP="00767BA2">
      <w:pPr>
        <w:jc w:val="both"/>
      </w:pPr>
    </w:p>
    <w:p w14:paraId="7E5D9F64" w14:textId="0B6457D7" w:rsidR="00767BA2" w:rsidRPr="00566378" w:rsidRDefault="00767BA2" w:rsidP="00767BA2">
      <w:pPr>
        <w:jc w:val="both"/>
      </w:pPr>
      <w:r w:rsidRPr="002308F8">
        <w:lastRenderedPageBreak/>
        <w:t xml:space="preserve">FAOs and advocates have sought to make visible the situations where </w:t>
      </w:r>
      <w:r>
        <w:t xml:space="preserve">addictions </w:t>
      </w:r>
      <w:r w:rsidRPr="002308F8">
        <w:t xml:space="preserve">professionals seem reluctant to </w:t>
      </w:r>
      <w:r w:rsidRPr="002308F8">
        <w:rPr>
          <w:iCs/>
        </w:rPr>
        <w:t>take action beyond the client</w:t>
      </w:r>
      <w:r>
        <w:rPr>
          <w:iCs/>
        </w:rPr>
        <w:t xml:space="preserve"> with the addiction’</w:t>
      </w:r>
      <w:r w:rsidRPr="002308F8">
        <w:rPr>
          <w:iCs/>
        </w:rPr>
        <w:t>s acute problems</w:t>
      </w:r>
      <w:r w:rsidRPr="002308F8">
        <w:t xml:space="preserve">. In doing so </w:t>
      </w:r>
      <w:r>
        <w:t>addictions</w:t>
      </w:r>
      <w:r w:rsidRPr="002308F8">
        <w:t xml:space="preserve"> clinicians and researchers have begun to position themselves as </w:t>
      </w:r>
      <w:r w:rsidR="00B83EE8">
        <w:t>‘</w:t>
      </w:r>
      <w:r w:rsidRPr="002308F8">
        <w:t>family-oriented</w:t>
      </w:r>
      <w:r w:rsidR="00B83EE8">
        <w:t>’</w:t>
      </w:r>
      <w:r w:rsidRPr="002308F8">
        <w:t xml:space="preserve"> </w:t>
      </w:r>
      <w:r w:rsidRPr="002308F8">
        <w:fldChar w:fldCharType="begin"/>
      </w:r>
      <w:r w:rsidRPr="002308F8">
        <w:instrText xml:space="preserve"> ADDIN EN.CITE &lt;EndNote&gt;&lt;Cite&gt;&lt;Author&gt;Selbekk&lt;/Author&gt;&lt;Year&gt;2016&lt;/Year&gt;&lt;RecNum&gt;161&lt;/RecNum&gt;&lt;DisplayText&gt;(Selbekk &amp;amp; Sagvaag, 2016)&lt;/DisplayText&gt;&lt;record&gt;&lt;rec-number&gt;161&lt;/rec-number&gt;&lt;foreign-keys&gt;&lt;key app="EN" db-id="25rszwft292ev3esrpvpde0cpxrd9ex0xspp" timestamp="1586303526"&gt;161&lt;/key&gt;&lt;/foreign-keys&gt;&lt;ref-type name="Journal Article"&gt;17&lt;/ref-type&gt;&lt;contributors&gt;&lt;authors&gt;&lt;author&gt;Selbekk, Anne Schanche&lt;/author&gt;&lt;author&gt;Sagvaag, Hildegunn&lt;/author&gt;&lt;/authors&gt;&lt;/contributors&gt;&lt;titles&gt;&lt;title&gt;Troubled families and individualised solutions: an institutional discourse analysis of alcohol and drug treatment practices involving affected others&lt;/title&gt;&lt;secondary-title&gt;Sociology of health &amp;amp; illness&lt;/secondary-title&gt;&lt;/titles&gt;&lt;periodical&gt;&lt;full-title&gt;Sociology of health &amp;amp; illness&lt;/full-title&gt;&lt;/periodical&gt;&lt;pages&gt;1058-1073&lt;/pages&gt;&lt;volume&gt;38&lt;/volume&gt;&lt;number&gt;7&lt;/number&gt;&lt;dates&gt;&lt;year&gt;2016&lt;/year&gt;&lt;/dates&gt;&lt;isbn&gt;0141-9889&lt;/isbn&gt;&lt;urls&gt;&lt;/urls&gt;&lt;/record&gt;&lt;/Cite&gt;&lt;/EndNote&gt;</w:instrText>
      </w:r>
      <w:r w:rsidRPr="002308F8">
        <w:fldChar w:fldCharType="separate"/>
      </w:r>
      <w:r w:rsidRPr="002308F8">
        <w:t>(Selbekk &amp; Sagvaag, 2016)</w:t>
      </w:r>
      <w:r w:rsidRPr="002308F8">
        <w:fldChar w:fldCharType="end"/>
      </w:r>
      <w:r>
        <w:t xml:space="preserve"> – this perspective is discussed further in the next section.</w:t>
      </w:r>
    </w:p>
    <w:p w14:paraId="68B8BBDB" w14:textId="4F3146DF" w:rsidR="00767BA2" w:rsidRDefault="00767BA2" w:rsidP="00767BA2">
      <w:pPr>
        <w:jc w:val="both"/>
      </w:pPr>
    </w:p>
    <w:p w14:paraId="120BBC91" w14:textId="77777777" w:rsidR="00767BA2" w:rsidRPr="00F026C2" w:rsidRDefault="00767BA2" w:rsidP="00767BA2">
      <w:pPr>
        <w:rPr>
          <w:i/>
          <w:iCs/>
        </w:rPr>
      </w:pPr>
      <w:r w:rsidRPr="00F026C2">
        <w:rPr>
          <w:i/>
          <w:iCs/>
        </w:rPr>
        <w:t>Gender issues related to the role of FAOs as treatment supporters</w:t>
      </w:r>
    </w:p>
    <w:p w14:paraId="674DD1C0" w14:textId="7A856605" w:rsidR="00767BA2" w:rsidRDefault="00767BA2" w:rsidP="00767BA2">
      <w:pPr>
        <w:jc w:val="both"/>
      </w:pPr>
      <w:r w:rsidRPr="00B163C4">
        <w:t xml:space="preserve">Harmful use of alcohol and illicit drugs has been generally higher in men; although recent epidemiological studies indicate a narrowing in this gender gap especially in adolescents </w:t>
      </w:r>
      <w:r w:rsidRPr="00B163C4">
        <w:fldChar w:fldCharType="begin"/>
      </w:r>
      <w:r w:rsidRPr="00B163C4">
        <w:instrText xml:space="preserve"> ADDIN EN.CITE &lt;EndNote&gt;&lt;Cite&gt;&lt;Author&gt;Becker&lt;/Author&gt;&lt;Year&gt;2017&lt;/Year&gt;&lt;RecNum&gt;119&lt;/RecNum&gt;&lt;Prefix&gt;see &lt;/Prefix&gt;&lt;DisplayText&gt;(see Becker, McClellan, &amp;amp; Reed, 2017)&lt;/DisplayText&gt;&lt;record&gt;&lt;rec-number&gt;119&lt;/rec-number&gt;&lt;foreign-keys&gt;&lt;key app="EN" db-id="25rszwft292ev3esrpvpde0cpxrd9ex0xspp" timestamp="1585178849"&gt;119&lt;/key&gt;&lt;/foreign-keys&gt;&lt;ref-type name="Journal Article"&gt;17&lt;/ref-type&gt;&lt;contributors&gt;&lt;authors&gt;&lt;author&gt;Becker, Jill B&lt;/author&gt;&lt;author&gt;McClellan, Michele L&lt;/author&gt;&lt;author&gt;Reed, Beth Glover&lt;/author&gt;&lt;/authors&gt;&lt;/contributors&gt;&lt;titles&gt;&lt;title&gt;Sex differences, gender and addiction&lt;/title&gt;&lt;secondary-title&gt;Journal of neuroscience research&lt;/secondary-title&gt;&lt;/titles&gt;&lt;periodical&gt;&lt;full-title&gt;Journal of neuroscience research&lt;/full-title&gt;&lt;/periodical&gt;&lt;pages&gt;136-147&lt;/pages&gt;&lt;volume&gt;95&lt;/volume&gt;&lt;number&gt;1-2&lt;/number&gt;&lt;dates&gt;&lt;year&gt;2017&lt;/year&gt;&lt;/dates&gt;&lt;isbn&gt;0360-4012&lt;/isbn&gt;&lt;urls&gt;&lt;/urls&gt;&lt;/record&gt;&lt;/Cite&gt;&lt;/EndNote&gt;</w:instrText>
      </w:r>
      <w:r w:rsidRPr="00B163C4">
        <w:fldChar w:fldCharType="separate"/>
      </w:r>
      <w:r w:rsidRPr="00B163C4">
        <w:t>(see Becker, McClellan, &amp; Reed, 2017)</w:t>
      </w:r>
      <w:r w:rsidRPr="00B163C4">
        <w:fldChar w:fldCharType="end"/>
      </w:r>
      <w:r w:rsidRPr="00B163C4">
        <w:t xml:space="preserve">. The recruitment of women (partners and mothers) into the intervention process has therefore been seen as pivotal - wives were recognised early on by </w:t>
      </w:r>
      <w:r w:rsidRPr="00B163C4">
        <w:fldChar w:fldCharType="begin"/>
      </w:r>
      <w:r w:rsidRPr="00B163C4">
        <w:instrText xml:space="preserve"> ADDIN EN.CITE &lt;EndNote&gt;&lt;Cite AuthorYear="1"&gt;&lt;Author&gt;Yates&lt;/Author&gt;&lt;Year&gt;1988&lt;/Year&gt;&lt;RecNum&gt;278&lt;/RecNum&gt;&lt;Pages&gt;1309&lt;/Pages&gt;&lt;DisplayText&gt;Yates (1988, p. 1309)&lt;/DisplayText&gt;&lt;record&gt;&lt;rec-number&gt;278&lt;/rec-number&gt;&lt;foreign-keys&gt;&lt;key app="EN" db-id="5v2daxed8wv0eoesd9av5dd8exsxdewpfpwd" timestamp="1582161028"&gt;278&lt;/key&gt;&lt;/foreign-keys&gt;&lt;ref-type name="Journal Article"&gt;17&lt;/ref-type&gt;&lt;contributors&gt;&lt;authors&gt;&lt;author&gt;Yates, F&lt;/author&gt;&lt;/authors&gt;&lt;/contributors&gt;&lt;titles&gt;&lt;title&gt;The evaluation of a ‘co‐operative counselling’alcohol service which uses family and affected others to reach and influence problem drinkers&lt;/title&gt;&lt;secondary-title&gt;British journal of addiction&lt;/secondary-title&gt;&lt;/titles&gt;&lt;periodical&gt;&lt;full-title&gt;British journal of addiction&lt;/full-title&gt;&lt;/periodical&gt;&lt;pages&gt;1309-1319&lt;/pages&gt;&lt;volume&gt;83&lt;/volume&gt;&lt;number&gt;11&lt;/number&gt;&lt;dates&gt;&lt;year&gt;1988&lt;/year&gt;&lt;/dates&gt;&lt;isbn&gt;0952-0481&lt;/isbn&gt;&lt;urls&gt;&lt;/urls&gt;&lt;/record&gt;&lt;/Cite&gt;&lt;/EndNote&gt;</w:instrText>
      </w:r>
      <w:r w:rsidRPr="00B163C4">
        <w:fldChar w:fldCharType="separate"/>
      </w:r>
      <w:r w:rsidRPr="00B163C4">
        <w:t>Yates (1988, p. 1309)</w:t>
      </w:r>
      <w:r w:rsidRPr="00B163C4">
        <w:fldChar w:fldCharType="end"/>
      </w:r>
      <w:r w:rsidRPr="00B163C4">
        <w:t xml:space="preserve"> as </w:t>
      </w:r>
      <w:r w:rsidRPr="00B163C4">
        <w:rPr>
          <w:iCs/>
        </w:rPr>
        <w:t>the 'natural influences' on drinking problems.</w:t>
      </w:r>
      <w:r w:rsidRPr="00B163C4">
        <w:t xml:space="preserve"> </w:t>
      </w:r>
      <w:r w:rsidRPr="00624BBD">
        <w:t xml:space="preserve">In </w:t>
      </w:r>
      <w:r>
        <w:t xml:space="preserve">exploring and </w:t>
      </w:r>
      <w:r w:rsidRPr="00624BBD">
        <w:t xml:space="preserve">advocating for the role of FAOs as influencers, </w:t>
      </w:r>
      <w:r>
        <w:t xml:space="preserve">addictions </w:t>
      </w:r>
      <w:r w:rsidRPr="00624BBD">
        <w:t xml:space="preserve">intervention </w:t>
      </w:r>
      <w:r>
        <w:t xml:space="preserve">studies have mostly involved women </w:t>
      </w:r>
      <w:r>
        <w:fldChar w:fldCharType="begin"/>
      </w:r>
      <w:r>
        <w:instrText xml:space="preserve"> ADDIN EN.CITE &lt;EndNote&gt;&lt;Cite&gt;&lt;Author&gt;Archer&lt;/Author&gt;&lt;Year&gt;2019&lt;/Year&gt;&lt;RecNum&gt;138&lt;/RecNum&gt;&lt;DisplayText&gt;(Archer et al., 2019; Roozen et al., 2010)&lt;/DisplayText&gt;&lt;record&gt;&lt;rec-number&gt;138&lt;/rec-number&gt;&lt;foreign-keys&gt;&lt;key app="EN" db-id="25rszwft292ev3esrpvpde0cpxrd9ex0xspp" timestamp="1585702189"&gt;138&lt;/key&gt;&lt;/foreign-keys&gt;&lt;ref-type name="Journal Article"&gt;17&lt;/ref-type&gt;&lt;contributors&gt;&lt;authors&gt;&lt;author&gt;Archer, Marc&lt;/author&gt;&lt;author&gt;Harwood, Hannah&lt;/author&gt;&lt;author&gt;Stevelink, Sharon&lt;/author&gt;&lt;author&gt;Rafferty, Laura&lt;/author&gt;&lt;author&gt;Greenberg, Neil&lt;/author&gt;&lt;/authors&gt;&lt;/contributors&gt;&lt;titles&gt;&lt;title&gt;Community Reinforcement and Family Training and rates of treatment entry: A systematic review&lt;/title&gt;&lt;secondary-title&gt;Addiction&lt;/secondary-title&gt;&lt;/titles&gt;&lt;periodical&gt;&lt;full-title&gt;Addiction&lt;/full-title&gt;&lt;/periodical&gt;&lt;dates&gt;&lt;year&gt;2019&lt;/year&gt;&lt;/dates&gt;&lt;isbn&gt;0965-2140&lt;/isbn&gt;&lt;urls&gt;&lt;/urls&gt;&lt;/record&gt;&lt;/Cite&gt;&lt;Cite&gt;&lt;Author&gt;Roozen&lt;/Author&gt;&lt;Year&gt;2010&lt;/Year&gt;&lt;RecNum&gt;137&lt;/RecNum&gt;&lt;record&gt;&lt;rec-number&gt;137&lt;/rec-number&gt;&lt;foreign-keys&gt;&lt;key app="EN" db-id="25rszwft292ev3esrpvpde0cpxrd9ex0xspp" timestamp="1585700908"&gt;137&lt;/key&gt;&lt;/foreign-keys&gt;&lt;ref-type name="Journal Article"&gt;17&lt;/ref-type&gt;&lt;contributors&gt;&lt;authors&gt;&lt;author&gt;Roozen, Hendrik G&lt;/author&gt;&lt;author&gt;De Waart, Ranne&lt;/author&gt;&lt;author&gt;Van Der Kroft, Petra&lt;/author&gt;&lt;/authors&gt;&lt;/contributors&gt;&lt;titles&gt;&lt;title&gt;Community reinforcement and family training: An effective option to engage treatment‐resistant substance‐abusing individuals in treatment&lt;/title&gt;&lt;secondary-title&gt;Addiction&lt;/secondary-title&gt;&lt;/titles&gt;&lt;periodical&gt;&lt;full-title&gt;Addiction&lt;/full-title&gt;&lt;/periodical&gt;&lt;pages&gt;1729-1738&lt;/pages&gt;&lt;volume&gt;105&lt;/volume&gt;&lt;number&gt;10&lt;/number&gt;&lt;dates&gt;&lt;year&gt;2010&lt;/year&gt;&lt;/dates&gt;&lt;isbn&gt;0965-2140&lt;/isbn&gt;&lt;urls&gt;&lt;/urls&gt;&lt;/record&gt;&lt;/Cite&gt;&lt;/EndNote&gt;</w:instrText>
      </w:r>
      <w:r>
        <w:fldChar w:fldCharType="separate"/>
      </w:r>
      <w:r>
        <w:rPr>
          <w:noProof/>
        </w:rPr>
        <w:t>(Archer et al., 2019; Roozen et al., 2010)</w:t>
      </w:r>
      <w:r>
        <w:fldChar w:fldCharType="end"/>
      </w:r>
      <w:r>
        <w:t xml:space="preserve">. Given women’s traditional caring roles in families, the potential for this approach to </w:t>
      </w:r>
      <w:r w:rsidRPr="00624BBD">
        <w:t>ascrib</w:t>
      </w:r>
      <w:r>
        <w:t>e</w:t>
      </w:r>
      <w:r w:rsidRPr="00624BBD">
        <w:t xml:space="preserve"> to women a large</w:t>
      </w:r>
      <w:r>
        <w:t>r</w:t>
      </w:r>
      <w:r w:rsidRPr="00624BBD">
        <w:t xml:space="preserve"> share of responsibility </w:t>
      </w:r>
      <w:r>
        <w:t>for</w:t>
      </w:r>
      <w:r w:rsidRPr="00624BBD">
        <w:t xml:space="preserve"> addressing </w:t>
      </w:r>
      <w:r>
        <w:t>addiction-related</w:t>
      </w:r>
      <w:r w:rsidRPr="00624BBD">
        <w:t xml:space="preserve"> harm in families than men</w:t>
      </w:r>
      <w:r>
        <w:t xml:space="preserve"> has been suggested</w:t>
      </w:r>
      <w:r w:rsidRPr="00624BBD">
        <w:t xml:space="preserve"> </w:t>
      </w:r>
      <w:r w:rsidRPr="00624BBD">
        <w:fldChar w:fldCharType="begin"/>
      </w:r>
      <w:r w:rsidRPr="00624BBD">
        <w:instrText xml:space="preserve"> ADDIN EN.CITE &lt;EndNote&gt;&lt;Cite&gt;&lt;Author&gt;Galvani&lt;/Author&gt;&lt;Year&gt;2006&lt;/Year&gt;&lt;RecNum&gt;152&lt;/RecNum&gt;&lt;DisplayText&gt;(Galvani, 2006; Lobsinger, 1997)&lt;/DisplayText&gt;&lt;record&gt;&lt;rec-number&gt;152&lt;/rec-number&gt;&lt;foreign-keys&gt;&lt;key app="EN" db-id="25rszwft292ev3esrpvpde0cpxrd9ex0xspp" timestamp="1586127695"&gt;152&lt;/key&gt;&lt;/foreign-keys&gt;&lt;ref-type name="Journal Article"&gt;17&lt;/ref-type&gt;&lt;contributors&gt;&lt;authors&gt;&lt;author&gt;Galvani, Sarah&lt;/author&gt;&lt;/authors&gt;&lt;/contributors&gt;&lt;titles&gt;&lt;title&gt;Alcohol and domestic violence: Womens views&lt;/title&gt;&lt;secondary-title&gt;Violence against women&lt;/secondary-title&gt;&lt;/titles&gt;&lt;periodical&gt;&lt;full-title&gt;Violence against women&lt;/full-title&gt;&lt;/periodical&gt;&lt;pages&gt;641-662&lt;/pages&gt;&lt;volume&gt;12&lt;/volume&gt;&lt;number&gt;7&lt;/number&gt;&lt;dates&gt;&lt;year&gt;2006&lt;/year&gt;&lt;/dates&gt;&lt;isbn&gt;1077-8012&lt;/isbn&gt;&lt;urls&gt;&lt;/urls&gt;&lt;/record&gt;&lt;/Cite&gt;&lt;Cite&gt;&lt;Author&gt;Lobsinger&lt;/Author&gt;&lt;Year&gt;1997&lt;/Year&gt;&lt;RecNum&gt;125&lt;/RecNum&gt;&lt;record&gt;&lt;rec-number&gt;125&lt;/rec-number&gt;&lt;foreign-keys&gt;&lt;key app="EN" db-id="25rszwft292ev3esrpvpde0cpxrd9ex0xspp" timestamp="1585520488"&gt;125&lt;/key&gt;&lt;/foreign-keys&gt;&lt;ref-type name="Journal Article"&gt;17&lt;/ref-type&gt;&lt;contributors&gt;&lt;authors&gt;&lt;author&gt;Lobsinger, Chris&lt;/author&gt;&lt;/authors&gt;&lt;/contributors&gt;&lt;titles&gt;&lt;title&gt;Addiction, power and gender&lt;/title&gt;&lt;secondary-title&gt;Australian and New Zealand Journal of Family Therapy&lt;/secondary-title&gt;&lt;/titles&gt;&lt;periodical&gt;&lt;full-title&gt;Australian and New Zealand Journal of Family Therapy&lt;/full-title&gt;&lt;/periodical&gt;&lt;pages&gt;210-215&lt;/pages&gt;&lt;volume&gt;18&lt;/volume&gt;&lt;number&gt;4&lt;/number&gt;&lt;dates&gt;&lt;year&gt;1997&lt;/year&gt;&lt;/dates&gt;&lt;isbn&gt;0814-723X&lt;/isbn&gt;&lt;urls&gt;&lt;/urls&gt;&lt;/record&gt;&lt;/Cite&gt;&lt;/EndNote&gt;</w:instrText>
      </w:r>
      <w:r w:rsidRPr="00624BBD">
        <w:fldChar w:fldCharType="separate"/>
      </w:r>
      <w:r w:rsidRPr="00624BBD">
        <w:t>(Galvani, 2006; Lobsinger, 1997)</w:t>
      </w:r>
      <w:r w:rsidRPr="00624BBD">
        <w:fldChar w:fldCharType="end"/>
      </w:r>
      <w:r w:rsidRPr="00624BBD">
        <w:t xml:space="preserve">. </w:t>
      </w:r>
      <w:r>
        <w:t>For example, t</w:t>
      </w:r>
      <w:r w:rsidRPr="00624BBD">
        <w:t xml:space="preserve">here is a dearth of research exploring how men specifically, can be involved in supporting loved ones to </w:t>
      </w:r>
      <w:r>
        <w:t xml:space="preserve">change their behaviour and/or </w:t>
      </w:r>
      <w:r w:rsidRPr="00624BBD">
        <w:t>access alcohol and drug treatment</w:t>
      </w:r>
      <w:r>
        <w:t xml:space="preserve"> </w:t>
      </w:r>
      <w:r>
        <w:fldChar w:fldCharType="begin"/>
      </w:r>
      <w:r>
        <w:instrText xml:space="preserve"> ADDIN EN.CITE &lt;EndNote&gt;&lt;Cite&gt;&lt;Author&gt;Abbott&lt;/Author&gt;&lt;Year&gt;1994&lt;/Year&gt;&lt;RecNum&gt;124&lt;/RecNum&gt;&lt;DisplayText&gt;(Abbotts, 1994; Tuchman, 2010)&lt;/DisplayText&gt;&lt;record&gt;&lt;rec-number&gt;124&lt;/rec-number&gt;&lt;foreign-keys&gt;&lt;key app="EN" db-id="25rszwft292ev3esrpvpde0cpxrd9ex0xspp" timestamp="1585519974"&gt;124&lt;/key&gt;&lt;/foreign-keys&gt;&lt;ref-type name="Journal Article"&gt;17&lt;/ref-type&gt;&lt;contributors&gt;&lt;authors&gt;&lt;author&gt;Abbotts, Ann&lt;/author&gt;&lt;/authors&gt;&lt;/contributors&gt;&lt;titles&gt;&lt;title&gt;A feminist approach to substance abuse treatment and service delivery&lt;/title&gt;&lt;secondary-title&gt;Social Work in Health Care&lt;/secondary-title&gt;&lt;/titles&gt;&lt;periodical&gt;&lt;full-title&gt;Social Work in Health Care&lt;/full-title&gt;&lt;/periodical&gt;&lt;pages&gt;67-83&lt;/pages&gt;&lt;volume&gt;19&lt;/volume&gt;&lt;number&gt;3-4&lt;/number&gt;&lt;dates&gt;&lt;year&gt;1994&lt;/year&gt;&lt;/dates&gt;&lt;isbn&gt;0098-1389&lt;/isbn&gt;&lt;urls&gt;&lt;/urls&gt;&lt;/record&gt;&lt;/Cite&gt;&lt;Cite&gt;&lt;Author&gt;Tuchman&lt;/Author&gt;&lt;Year&gt;2010&lt;/Year&gt;&lt;RecNum&gt;260&lt;/RecNum&gt;&lt;record&gt;&lt;rec-number&gt;260&lt;/rec-number&gt;&lt;foreign-keys&gt;&lt;key app="EN" db-id="25rszwft292ev3esrpvpde0cpxrd9ex0xspp" timestamp="1590361627"&gt;260&lt;/key&gt;&lt;/foreign-keys&gt;&lt;ref-type name="Journal Article"&gt;17&lt;/ref-type&gt;&lt;contributors&gt;&lt;authors&gt;&lt;author&gt;Tuchman, Ellen&lt;/author&gt;&lt;/authors&gt;&lt;/contributors&gt;&lt;titles&gt;&lt;title&gt;Women and addiction: the importance of gender issues in substance abuse research&lt;/title&gt;&lt;secondary-title&gt;Journal of addictive diseases&lt;/secondary-title&gt;&lt;/titles&gt;&lt;periodical&gt;&lt;full-title&gt;Journal of addictive diseases&lt;/full-title&gt;&lt;/periodical&gt;&lt;pages&gt;127-138&lt;/pages&gt;&lt;volume&gt;29&lt;/volume&gt;&lt;number&gt;2&lt;/number&gt;&lt;dates&gt;&lt;year&gt;2010&lt;/year&gt;&lt;/dates&gt;&lt;isbn&gt;1055-0887&lt;/isbn&gt;&lt;urls&gt;&lt;/urls&gt;&lt;/record&gt;&lt;/Cite&gt;&lt;/EndNote&gt;</w:instrText>
      </w:r>
      <w:r>
        <w:fldChar w:fldCharType="separate"/>
      </w:r>
      <w:r>
        <w:rPr>
          <w:noProof/>
        </w:rPr>
        <w:t>(Abbotts, 1994; Tuchman, 2010)</w:t>
      </w:r>
      <w:r>
        <w:fldChar w:fldCharType="end"/>
      </w:r>
      <w:r w:rsidRPr="00624BBD">
        <w:t>.</w:t>
      </w:r>
    </w:p>
    <w:p w14:paraId="2F74B31A" w14:textId="77777777" w:rsidR="00767BA2" w:rsidRDefault="00767BA2" w:rsidP="00767BA2">
      <w:pPr>
        <w:jc w:val="both"/>
      </w:pPr>
    </w:p>
    <w:p w14:paraId="2B07CC0E" w14:textId="6FB4EFE6" w:rsidR="00767BA2" w:rsidRPr="00B163C4" w:rsidRDefault="00B83EE8" w:rsidP="00767BA2">
      <w:pPr>
        <w:jc w:val="both"/>
      </w:pPr>
      <w:r>
        <w:t xml:space="preserve">There is also </w:t>
      </w:r>
      <w:r w:rsidR="00767BA2">
        <w:t xml:space="preserve">potential for interventions positioning women as ‘intervention allies’ to inadvertently exacerbate addiction related harm. CRAFT </w:t>
      </w:r>
      <w:r w:rsidR="00767BA2" w:rsidRPr="00B163C4">
        <w:t>interventions literature has promote</w:t>
      </w:r>
      <w:r w:rsidR="00767BA2">
        <w:t>d</w:t>
      </w:r>
      <w:r w:rsidR="00767BA2" w:rsidRPr="00B163C4">
        <w:t xml:space="preserve"> intensive engagement in monitoring and persuasive behaviour among women partners and carers, for example:</w:t>
      </w:r>
    </w:p>
    <w:p w14:paraId="652C063B" w14:textId="77777777" w:rsidR="00767BA2" w:rsidRPr="00B163C4" w:rsidRDefault="00767BA2" w:rsidP="00767BA2">
      <w:pPr>
        <w:jc w:val="both"/>
        <w:rPr>
          <w:i/>
          <w:iCs/>
        </w:rPr>
      </w:pPr>
    </w:p>
    <w:p w14:paraId="64F7FAC5" w14:textId="77777777" w:rsidR="00767BA2" w:rsidRPr="00B163C4" w:rsidRDefault="00767BA2" w:rsidP="00767BA2">
      <w:pPr>
        <w:ind w:left="720"/>
        <w:jc w:val="both"/>
        <w:rPr>
          <w:i/>
          <w:iCs/>
        </w:rPr>
      </w:pPr>
      <w:r w:rsidRPr="00B163C4">
        <w:rPr>
          <w:i/>
          <w:iCs/>
        </w:rPr>
        <w:t xml:space="preserve">Each client was counselled on how to behave when her family member was drinking. She was to try to be present at the time of drinking, during which she would then encourage eating, drinking non-alcoholic beverages, suggest other activities besides drinking, make the drinker aware of how much he was drinking and remind him of how pleasant it was when he was not. </w:t>
      </w:r>
      <w:r w:rsidRPr="00B163C4">
        <w:rPr>
          <w:i/>
          <w:iCs/>
        </w:rPr>
        <w:fldChar w:fldCharType="begin"/>
      </w:r>
      <w:r w:rsidRPr="00B163C4">
        <w:rPr>
          <w:i/>
          <w:iCs/>
        </w:rPr>
        <w:instrText xml:space="preserve"> ADDIN EN.CITE &lt;EndNote&gt;&lt;Cite&gt;&lt;Author&gt;Sisson&lt;/Author&gt;&lt;Year&gt;1986&lt;/Year&gt;&lt;RecNum&gt;141&lt;/RecNum&gt;&lt;Pages&gt;17&lt;/Pages&gt;&lt;DisplayText&gt;(Sisson &amp;amp; Azrin, 1986, p. 17)&lt;/DisplayText&gt;&lt;record&gt;&lt;rec-number&gt;141&lt;/rec-number&gt;&lt;foreign-keys&gt;&lt;key app="EN" db-id="25rszwft292ev3esrpvpde0cpxrd9ex0xspp" timestamp="1585774495"&gt;141&lt;/key&gt;&lt;/foreign-keys&gt;&lt;ref-type name="Journal Article"&gt;17&lt;/ref-type&gt;&lt;contributors&gt;&lt;authors&gt;&lt;author&gt;Sisson, Robert W&lt;/author&gt;&lt;author&gt;Azrin, Nathan H&lt;/author&gt;&lt;/authors&gt;&lt;/contributors&gt;&lt;titles&gt;&lt;title&gt;Family-member involvement to initiate and promote treatment of problem drinkers&lt;/title&gt;&lt;secondary-title&gt;Journal of Behavior Therapy and Experimental Psychiatry&lt;/secondary-title&gt;&lt;/titles&gt;&lt;periodical&gt;&lt;full-title&gt;Journal of Behavior Therapy and Experimental Psychiatry&lt;/full-title&gt;&lt;/periodical&gt;&lt;pages&gt;15-21&lt;/pages&gt;&lt;volume&gt;17&lt;/volume&gt;&lt;number&gt;1&lt;/number&gt;&lt;dates&gt;&lt;year&gt;1986&lt;/year&gt;&lt;/dates&gt;&lt;urls&gt;&lt;/urls&gt;&lt;/record&gt;&lt;/Cite&gt;&lt;/EndNote&gt;</w:instrText>
      </w:r>
      <w:r w:rsidRPr="00B163C4">
        <w:rPr>
          <w:i/>
          <w:iCs/>
        </w:rPr>
        <w:fldChar w:fldCharType="separate"/>
      </w:r>
      <w:r w:rsidRPr="00B163C4">
        <w:rPr>
          <w:i/>
          <w:iCs/>
        </w:rPr>
        <w:t>(Sisson &amp; Azrin, 1986, p. 17)</w:t>
      </w:r>
      <w:r w:rsidRPr="00B163C4">
        <w:fldChar w:fldCharType="end"/>
      </w:r>
      <w:r w:rsidRPr="00B163C4">
        <w:rPr>
          <w:i/>
          <w:iCs/>
        </w:rPr>
        <w:t xml:space="preserve"> </w:t>
      </w:r>
    </w:p>
    <w:p w14:paraId="185C42A4" w14:textId="77777777" w:rsidR="00767BA2" w:rsidRPr="00B163C4" w:rsidRDefault="00767BA2" w:rsidP="00767BA2">
      <w:pPr>
        <w:jc w:val="both"/>
      </w:pPr>
    </w:p>
    <w:p w14:paraId="267556B6" w14:textId="77777777" w:rsidR="00767BA2" w:rsidRDefault="00767BA2" w:rsidP="00767BA2">
      <w:pPr>
        <w:jc w:val="both"/>
      </w:pPr>
      <w:r>
        <w:t>C</w:t>
      </w:r>
      <w:r w:rsidRPr="00B163C4">
        <w:t xml:space="preserve">ompeting activities must be planned by FAOs to interfere and compete with drinking and potential drinking </w:t>
      </w:r>
      <w:r w:rsidRPr="00B163C4">
        <w:fldChar w:fldCharType="begin"/>
      </w:r>
      <w:r w:rsidRPr="00B163C4">
        <w:instrText xml:space="preserve"> ADDIN EN.CITE &lt;EndNote&gt;&lt;Cite&gt;&lt;Author&gt;Miller&lt;/Author&gt;&lt;Year&gt;1999&lt;/Year&gt;&lt;RecNum&gt;147&lt;/RecNum&gt;&lt;DisplayText&gt;(Meyers et al., 2005; Miller et al., 1999)&lt;/DisplayText&gt;&lt;record&gt;&lt;rec-number&gt;147&lt;/rec-number&gt;&lt;foreign-keys&gt;&lt;key app="EN" db-id="25rszwft292ev3esrpvpde0cpxrd9ex0xspp" timestamp="1585781811"&gt;147&lt;/key&gt;&lt;/foreign-keys&gt;&lt;ref-type name="Journal Article"&gt;17&lt;/ref-type&gt;&lt;contributors&gt;&lt;authors&gt;&lt;author&gt;Miller, William R&lt;/author&gt;&lt;author&gt;Meyers, Robert J&lt;/author&gt;&lt;author&gt;Tonigan, J Scott&lt;/author&gt;&lt;/authors&gt;&lt;/contributors&gt;&lt;titles&gt;&lt;title&gt;Engaging the unmotivated in treatment for alcohol problems: A comparison of three strategies for intervention through family members&lt;/title&gt;&lt;secondary-title&gt;Journal of consulting and clinical psychology&lt;/secondary-title&gt;&lt;/titles&gt;&lt;periodical&gt;&lt;full-title&gt;Journal of consulting and clinical psychology&lt;/full-title&gt;&lt;/periodical&gt;&lt;pages&gt;688&lt;/pages&gt;&lt;volume&gt;67&lt;/volume&gt;&lt;number&gt;5&lt;/number&gt;&lt;dates&gt;&lt;year&gt;1999&lt;/year&gt;&lt;/dates&gt;&lt;isbn&gt;1939-2117&lt;/isbn&gt;&lt;urls&gt;&lt;/urls&gt;&lt;/record&gt;&lt;/Cite&gt;&lt;Cite&gt;&lt;Author&gt;Meyers&lt;/Author&gt;&lt;Year&gt;2005&lt;/Year&gt;&lt;RecNum&gt;130&lt;/RecNum&gt;&lt;record&gt;&lt;rec-number&gt;130&lt;/rec-number&gt;&lt;foreign-keys&gt;&lt;key app="EN" db-id="25rszwft292ev3esrpvpde0cpxrd9ex0xspp" timestamp="1585602855"&gt;130&lt;/key&gt;&lt;/foreign-keys&gt;&lt;ref-type name="Journal Article"&gt;17&lt;/ref-type&gt;&lt;contributors&gt;&lt;authors&gt;&lt;author&gt;Meyers, Robert J&lt;/author&gt;&lt;author&gt;Smith, Jane Ellen&lt;/author&gt;&lt;author&gt;Lash, Denise N&lt;/author&gt;&lt;/authors&gt;&lt;/contributors&gt;&lt;titles&gt;&lt;title&gt;A program for engaging treatment-refusing substance abusers into treatment: CRAFT&lt;/title&gt;&lt;secondary-title&gt;International Journal of Behavioral Consultation and Therapy&lt;/secondary-title&gt;&lt;/titles&gt;&lt;periodical&gt;&lt;full-title&gt;International Journal of Behavioral Consultation and Therapy&lt;/full-title&gt;&lt;/periodical&gt;&lt;pages&gt;90&lt;/pages&gt;&lt;volume&gt;1&lt;/volume&gt;&lt;number&gt;2&lt;/number&gt;&lt;dates&gt;&lt;year&gt;2005&lt;/year&gt;&lt;/dates&gt;&lt;isbn&gt;1555-7855&lt;/isbn&gt;&lt;urls&gt;&lt;/urls&gt;&lt;/record&gt;&lt;/Cite&gt;&lt;/EndNote&gt;</w:instrText>
      </w:r>
      <w:r w:rsidRPr="00B163C4">
        <w:fldChar w:fldCharType="separate"/>
      </w:r>
      <w:r w:rsidRPr="00B163C4">
        <w:t>(Meyers et al., 2005; Miller et al., 1999)</w:t>
      </w:r>
      <w:r w:rsidRPr="00B163C4">
        <w:fldChar w:fldCharType="end"/>
      </w:r>
      <w:r w:rsidRPr="00B163C4">
        <w:t xml:space="preserve">. The notion of increasing ‘positive consequences for not drinking’ has recommended women engage in “making [his] favourite foods, talking about topics he enjoyed, providing preferred sexual activities, purchasing gifts and generally being pleasant” </w:t>
      </w:r>
      <w:r w:rsidRPr="00B163C4">
        <w:fldChar w:fldCharType="begin"/>
      </w:r>
      <w:r w:rsidRPr="00B163C4">
        <w:instrText xml:space="preserve"> ADDIN EN.CITE &lt;EndNote&gt;&lt;Cite&gt;&lt;Author&gt;Sisson&lt;/Author&gt;&lt;Year&gt;1986&lt;/Year&gt;&lt;RecNum&gt;141&lt;/RecNum&gt;&lt;Pages&gt;17&lt;/Pages&gt;&lt;DisplayText&gt;(Sisson &amp;amp; Azrin, 1986, p. 17)&lt;/DisplayText&gt;&lt;record&gt;&lt;rec-number&gt;141&lt;/rec-number&gt;&lt;foreign-keys&gt;&lt;key app="EN" db-id="25rszwft292ev3esrpvpde0cpxrd9ex0xspp" timestamp="1585774495"&gt;141&lt;/key&gt;&lt;/foreign-keys&gt;&lt;ref-type name="Journal Article"&gt;17&lt;/ref-type&gt;&lt;contributors&gt;&lt;authors&gt;&lt;author&gt;Sisson, Robert W&lt;/author&gt;&lt;author&gt;Azrin, Nathan H&lt;/author&gt;&lt;/authors&gt;&lt;/contributors&gt;&lt;titles&gt;&lt;title&gt;Family-member involvement to initiate and promote treatment of problem drinkers&lt;/title&gt;&lt;secondary-title&gt;Journal of Behavior Therapy and Experimental Psychiatry&lt;/secondary-title&gt;&lt;/titles&gt;&lt;periodical&gt;&lt;full-title&gt;Journal of Behavior Therapy and Experimental Psychiatry&lt;/full-title&gt;&lt;/periodical&gt;&lt;pages&gt;15-21&lt;/pages&gt;&lt;volume&gt;17&lt;/volume&gt;&lt;number&gt;1&lt;/number&gt;&lt;dates&gt;&lt;year&gt;1986&lt;/year&gt;&lt;/dates&gt;&lt;urls&gt;&lt;/urls&gt;&lt;/record&gt;&lt;/Cite&gt;&lt;/EndNote&gt;</w:instrText>
      </w:r>
      <w:r w:rsidRPr="00B163C4">
        <w:fldChar w:fldCharType="separate"/>
      </w:r>
      <w:r w:rsidRPr="00B163C4">
        <w:t>(Sisson &amp; Azrin, 1986, p. 17)</w:t>
      </w:r>
      <w:r w:rsidRPr="00B163C4">
        <w:fldChar w:fldCharType="end"/>
      </w:r>
      <w:r w:rsidRPr="00B163C4">
        <w:t xml:space="preserve">. </w:t>
      </w:r>
    </w:p>
    <w:p w14:paraId="7E8C4261" w14:textId="77777777" w:rsidR="00767BA2" w:rsidRDefault="00767BA2" w:rsidP="00767BA2">
      <w:pPr>
        <w:jc w:val="both"/>
      </w:pPr>
    </w:p>
    <w:p w14:paraId="65DB8144" w14:textId="61D1B63E" w:rsidR="00767BA2" w:rsidRPr="00B163C4" w:rsidRDefault="00767BA2" w:rsidP="00767BA2">
      <w:pPr>
        <w:jc w:val="both"/>
      </w:pPr>
      <w:r>
        <w:t>I</w:t>
      </w:r>
      <w:r w:rsidRPr="00ED1A70">
        <w:t>f implemented in practice</w:t>
      </w:r>
      <w:r>
        <w:t xml:space="preserve">, the kind of engagement encouraged above is concerning </w:t>
      </w:r>
      <w:r w:rsidRPr="00B163C4">
        <w:t>given the association of alcohol and substance abuse with domestic</w:t>
      </w:r>
      <w:r>
        <w:t xml:space="preserve"> abuse </w:t>
      </w:r>
      <w:r w:rsidRPr="00B163C4">
        <w:fldChar w:fldCharType="begin"/>
      </w:r>
      <w:r w:rsidRPr="00B163C4">
        <w:instrText xml:space="preserve"> ADDIN EN.CITE &lt;EndNote&gt;&lt;Cite&gt;&lt;Author&gt;Brem&lt;/Author&gt;&lt;Year&gt;2018&lt;/Year&gt;&lt;RecNum&gt;151&lt;/RecNum&gt;&lt;DisplayText&gt;(Brem, Florimbio, Elmquist, Shorey, &amp;amp; Stuart, 2018; Galvani, 2006)&lt;/DisplayText&gt;&lt;record&gt;&lt;rec-number&gt;151&lt;/rec-number&gt;&lt;foreign-keys&gt;&lt;key app="EN" db-id="25rszwft292ev3esrpvpde0cpxrd9ex0xspp" timestamp="1586127664"&gt;151&lt;/key&gt;&lt;/foreign-keys&gt;&lt;ref-type name="Journal Article"&gt;17&lt;/ref-type&gt;&lt;contributors&gt;&lt;authors&gt;&lt;author&gt;Brem, Meagan J&lt;/author&gt;&lt;author&gt;Florimbio, Autumn Rae&lt;/author&gt;&lt;author&gt;Elmquist, JoAnna&lt;/author&gt;&lt;author&gt;Shorey, Ryan C&lt;/author&gt;&lt;author&gt;Stuart, Gregory L&lt;/author&gt;&lt;/authors&gt;&lt;/contributors&gt;&lt;titles&gt;&lt;title&gt;Antisocial traits, distress tolerance, and alcohol problems as predictors of intimate partner violence in men arrested for domestic violence&lt;/title&gt;&lt;secondary-title&gt;Psychology of violence&lt;/secondary-title&gt;&lt;/titles&gt;&lt;periodical&gt;&lt;full-title&gt;Psychology of violence&lt;/full-title&gt;&lt;/periodical&gt;&lt;pages&gt;132&lt;/pages&gt;&lt;volume&gt;8&lt;/volume&gt;&lt;number&gt;1&lt;/number&gt;&lt;dates&gt;&lt;year&gt;2018&lt;/year&gt;&lt;/dates&gt;&lt;isbn&gt;2152-081X&lt;/isbn&gt;&lt;urls&gt;&lt;/urls&gt;&lt;/record&gt;&lt;/Cite&gt;&lt;Cite&gt;&lt;Author&gt;Galvani&lt;/Author&gt;&lt;Year&gt;2006&lt;/Year&gt;&lt;RecNum&gt;152&lt;/RecNum&gt;&lt;record&gt;&lt;rec-number&gt;152&lt;/rec-number&gt;&lt;foreign-keys&gt;&lt;key app="EN" db-id="25rszwft292ev3esrpvpde0cpxrd9ex0xspp" timestamp="1586127695"&gt;152&lt;/key&gt;&lt;/foreign-keys&gt;&lt;ref-type name="Journal Article"&gt;17&lt;/ref-type&gt;&lt;contributors&gt;&lt;authors&gt;&lt;author&gt;Galvani, Sarah&lt;/author&gt;&lt;/authors&gt;&lt;/contributors&gt;&lt;titles&gt;&lt;title&gt;Alcohol and domestic violence: Womens views&lt;/title&gt;&lt;secondary-title&gt;Violence against women&lt;/secondary-title&gt;&lt;/titles&gt;&lt;periodical&gt;&lt;full-title&gt;Violence against women&lt;/full-title&gt;&lt;/periodical&gt;&lt;pages&gt;641-662&lt;/pages&gt;&lt;volume&gt;12&lt;/volume&gt;&lt;number&gt;7&lt;/number&gt;&lt;dates&gt;&lt;year&gt;2006&lt;/year&gt;&lt;/dates&gt;&lt;isbn&gt;1077-8012&lt;/isbn&gt;&lt;urls&gt;&lt;/urls&gt;&lt;/record&gt;&lt;/Cite&gt;&lt;/EndNote&gt;</w:instrText>
      </w:r>
      <w:r w:rsidRPr="00B163C4">
        <w:fldChar w:fldCharType="separate"/>
      </w:r>
      <w:r w:rsidRPr="00B163C4">
        <w:t>(Brem, Florimbio, Elmquist, Shorey, &amp; Stuart, 2018; Galvani, 2006)</w:t>
      </w:r>
      <w:r w:rsidRPr="00B163C4">
        <w:fldChar w:fldCharType="end"/>
      </w:r>
      <w:r w:rsidRPr="00B163C4">
        <w:t xml:space="preserve"> and sexual violence </w:t>
      </w:r>
      <w:r w:rsidRPr="00B163C4">
        <w:fldChar w:fldCharType="begin"/>
      </w:r>
      <w:r w:rsidRPr="00B163C4">
        <w:instrText xml:space="preserve"> ADDIN EN.CITE &lt;EndNote&gt;&lt;Cite&gt;&lt;Author&gt;Florimbio&lt;/Author&gt;&lt;Year&gt;2019&lt;/Year&gt;&lt;RecNum&gt;153&lt;/RecNum&gt;&lt;DisplayText&gt;(Florimbio et al., 2019)&lt;/DisplayText&gt;&lt;record&gt;&lt;rec-number&gt;153&lt;/rec-number&gt;&lt;foreign-keys&gt;&lt;key app="EN" db-id="25rszwft292ev3esrpvpde0cpxrd9ex0xspp" timestamp="1586127974"&gt;153&lt;/key&gt;&lt;/foreign-keys&gt;&lt;ref-type name="Journal Article"&gt;17&lt;/ref-type&gt;&lt;contributors&gt;&lt;authors&gt;&lt;author&gt;Florimbio, Autumn Rae&lt;/author&gt;&lt;author&gt;Brem, Meagan J&lt;/author&gt;&lt;author&gt;Grigorian, Hannah L&lt;/author&gt;&lt;author&gt;Elmquist, JoAnna&lt;/author&gt;&lt;author&gt;Shorey, Ryan C&lt;/author&gt;&lt;author&gt;Temple, Jeff R&lt;/author&gt;&lt;author&gt;Stuart, Gregory L&lt;/author&gt;&lt;/authors&gt;&lt;/contributors&gt;&lt;titles&gt;&lt;title&gt;An examination of sexting, sexual violence, and alcohol use among men arrested for domestic violence&lt;/title&gt;&lt;secondary-title&gt;Archives of sexual behavior&lt;/secondary-title&gt;&lt;/titles&gt;&lt;periodical&gt;&lt;full-title&gt;Archives of sexual behavior&lt;/full-title&gt;&lt;/periodical&gt;&lt;pages&gt;2381-2387&lt;/pages&gt;&lt;volume&gt;48&lt;/volume&gt;&lt;number&gt;8&lt;/number&gt;&lt;dates&gt;&lt;year&gt;2019&lt;/year&gt;&lt;/dates&gt;&lt;isbn&gt;0004-0002&lt;/isbn&gt;&lt;urls&gt;&lt;/urls&gt;&lt;/record&gt;&lt;/Cite&gt;&lt;/EndNote&gt;</w:instrText>
      </w:r>
      <w:r w:rsidRPr="00B163C4">
        <w:fldChar w:fldCharType="separate"/>
      </w:r>
      <w:r w:rsidRPr="00B163C4">
        <w:t>(Florimbio et al., 2019)</w:t>
      </w:r>
      <w:r w:rsidRPr="00B163C4">
        <w:fldChar w:fldCharType="end"/>
      </w:r>
      <w:r w:rsidRPr="00B163C4">
        <w:t xml:space="preserve"> against women. </w:t>
      </w:r>
      <w:r>
        <w:t xml:space="preserve">Some proponents of </w:t>
      </w:r>
      <w:r w:rsidRPr="00B163C4">
        <w:t xml:space="preserve">CRAFT claim to make </w:t>
      </w:r>
      <w:r>
        <w:t>intimate partner violence (</w:t>
      </w:r>
      <w:r w:rsidRPr="00B163C4">
        <w:t>IPV</w:t>
      </w:r>
      <w:r>
        <w:t>)</w:t>
      </w:r>
      <w:r w:rsidRPr="00B163C4">
        <w:t xml:space="preserve"> an integral part of </w:t>
      </w:r>
      <w:r>
        <w:t xml:space="preserve">the </w:t>
      </w:r>
      <w:r w:rsidR="00B83EE8">
        <w:t>approach to intervention</w:t>
      </w:r>
      <w:r w:rsidRPr="00B163C4">
        <w:t xml:space="preserve"> by exploring and discussing both the antecedents and consequences of IPV for the victim, and subsequently the avoidance and coping strategies of </w:t>
      </w:r>
      <w:r w:rsidRPr="00B163C4">
        <w:lastRenderedPageBreak/>
        <w:t>FAO</w:t>
      </w:r>
      <w:r>
        <w:t>s</w:t>
      </w:r>
      <w:r w:rsidRPr="00B163C4">
        <w:t xml:space="preserve">/women </w:t>
      </w:r>
      <w:r w:rsidRPr="00B163C4">
        <w:fldChar w:fldCharType="begin"/>
      </w:r>
      <w:r w:rsidRPr="00B163C4">
        <w:instrText xml:space="preserve"> ADDIN EN.CITE &lt;EndNote&gt;&lt;Cite&gt;&lt;Author&gt;Roozen&lt;/Author&gt;&lt;Year&gt;2010&lt;/Year&gt;&lt;RecNum&gt;137&lt;/RecNum&gt;&lt;DisplayText&gt;(Roozen et al., 2010)&lt;/DisplayText&gt;&lt;record&gt;&lt;rec-number&gt;137&lt;/rec-number&gt;&lt;foreign-keys&gt;&lt;key app="EN" db-id="25rszwft292ev3esrpvpde0cpxrd9ex0xspp" timestamp="1585700908"&gt;137&lt;/key&gt;&lt;/foreign-keys&gt;&lt;ref-type name="Journal Article"&gt;17&lt;/ref-type&gt;&lt;contributors&gt;&lt;authors&gt;&lt;author&gt;Roozen, Hendrik G&lt;/author&gt;&lt;author&gt;De Waart, Ranne&lt;/author&gt;&lt;author&gt;Van Der Kroft, Petra&lt;/author&gt;&lt;/authors&gt;&lt;/contributors&gt;&lt;titles&gt;&lt;title&gt;Community reinforcement and family training: An effective option to engage treatment‐resistant substance‐abusing individuals in treatment&lt;/title&gt;&lt;secondary-title&gt;Addiction&lt;/secondary-title&gt;&lt;/titles&gt;&lt;periodical&gt;&lt;full-title&gt;Addiction&lt;/full-title&gt;&lt;/periodical&gt;&lt;pages&gt;1729-1738&lt;/pages&gt;&lt;volume&gt;105&lt;/volume&gt;&lt;number&gt;10&lt;/number&gt;&lt;dates&gt;&lt;year&gt;2010&lt;/year&gt;&lt;/dates&gt;&lt;isbn&gt;0965-2140&lt;/isbn&gt;&lt;urls&gt;&lt;/urls&gt;&lt;/record&gt;&lt;/Cite&gt;&lt;/EndNote&gt;</w:instrText>
      </w:r>
      <w:r w:rsidRPr="00B163C4">
        <w:fldChar w:fldCharType="separate"/>
      </w:r>
      <w:r w:rsidRPr="00B163C4">
        <w:t>(Roozen et al., 2010)</w:t>
      </w:r>
      <w:r w:rsidRPr="00B163C4">
        <w:fldChar w:fldCharType="end"/>
      </w:r>
      <w:r w:rsidRPr="00B163C4">
        <w:t xml:space="preserve">. For example, Meyers et al (2005) described how women could be supported to address IPV against them: </w:t>
      </w:r>
    </w:p>
    <w:p w14:paraId="30FAFBA0" w14:textId="77777777" w:rsidR="00767BA2" w:rsidRPr="00B163C4" w:rsidRDefault="00767BA2" w:rsidP="00767BA2">
      <w:pPr>
        <w:jc w:val="both"/>
      </w:pPr>
    </w:p>
    <w:p w14:paraId="2793EE83" w14:textId="77777777" w:rsidR="00767BA2" w:rsidRPr="00B163C4" w:rsidRDefault="00767BA2" w:rsidP="00767BA2">
      <w:pPr>
        <w:ind w:left="720"/>
        <w:jc w:val="both"/>
        <w:rPr>
          <w:i/>
          <w:iCs/>
        </w:rPr>
      </w:pPr>
      <w:r w:rsidRPr="00B163C4">
        <w:rPr>
          <w:i/>
          <w:iCs/>
        </w:rPr>
        <w:t xml:space="preserve">CRAFT sometimes employs a functional analysis to gather additional information about domestic violence, as it can be helpful for </w:t>
      </w:r>
      <w:r w:rsidRPr="00B163C4">
        <w:rPr>
          <w:b/>
          <w:bCs/>
          <w:i/>
          <w:iCs/>
        </w:rPr>
        <w:t>identifying violence triggers, and for formulating new ways for the [FA]O to respond</w:t>
      </w:r>
      <w:r w:rsidRPr="00B163C4">
        <w:rPr>
          <w:i/>
          <w:iCs/>
        </w:rPr>
        <w:t xml:space="preserve">. CRAFT devotes time to role-playing these new behaviors to minimize the likelihood of violent outbursts. CRAFT also aids [FA]Os in building a safety plan that can be used in the event that violence appears imminent. </w:t>
      </w:r>
      <w:r w:rsidRPr="00B163C4">
        <w:rPr>
          <w:i/>
          <w:iCs/>
        </w:rPr>
        <w:fldChar w:fldCharType="begin"/>
      </w:r>
      <w:r w:rsidRPr="00B163C4">
        <w:rPr>
          <w:i/>
          <w:iCs/>
        </w:rPr>
        <w:instrText xml:space="preserve"> ADDIN EN.CITE &lt;EndNote&gt;&lt;Cite&gt;&lt;Author&gt;Meyers&lt;/Author&gt;&lt;Year&gt;2005&lt;/Year&gt;&lt;RecNum&gt;270&lt;/RecNum&gt;&lt;Suffix&gt; emphasis added&lt;/Suffix&gt;&lt;Pages&gt;93&lt;/Pages&gt;&lt;DisplayText&gt;(Meyers et al., 2005, p. 93 emphasis added)&lt;/DisplayText&gt;&lt;record&gt;&lt;rec-number&gt;270&lt;/rec-number&gt;&lt;foreign-keys&gt;&lt;key app="EN" db-id="5v2daxed8wv0eoesd9av5dd8exsxdewpfpwd" timestamp="1582160409"&gt;270&lt;/key&gt;&lt;/foreign-keys&gt;&lt;ref-type name="Journal Article"&gt;17&lt;/ref-type&gt;&lt;contributors&gt;&lt;authors&gt;&lt;author&gt;Meyers, Robert J&lt;/author&gt;&lt;author&gt;Smith, Jane Ellen&lt;/author&gt;&lt;author&gt;Lash, Denise N&lt;/author&gt;&lt;/authors&gt;&lt;/contributors&gt;&lt;titles&gt;&lt;title&gt;A program for engaging treatment-refusing substance abusers into treatment: CRAFT&lt;/title&gt;&lt;secondary-title&gt;International Journal of Behavioral Consultation and Therapy&lt;/secondary-title&gt;&lt;/titles&gt;&lt;periodical&gt;&lt;full-title&gt;International Journal of Behavioral Consultation and Therapy&lt;/full-title&gt;&lt;/periodical&gt;&lt;pages&gt;90&lt;/pages&gt;&lt;volume&gt;1&lt;/volume&gt;&lt;number&gt;2&lt;/number&gt;&lt;dates&gt;&lt;year&gt;2005&lt;/year&gt;&lt;/dates&gt;&lt;isbn&gt;1555-7855&lt;/isbn&gt;&lt;urls&gt;&lt;/urls&gt;&lt;/record&gt;&lt;/Cite&gt;&lt;/EndNote&gt;</w:instrText>
      </w:r>
      <w:r w:rsidRPr="00B163C4">
        <w:rPr>
          <w:i/>
          <w:iCs/>
        </w:rPr>
        <w:fldChar w:fldCharType="separate"/>
      </w:r>
      <w:r w:rsidRPr="00B163C4">
        <w:rPr>
          <w:i/>
          <w:iCs/>
        </w:rPr>
        <w:t>(Meyers et al., 2005, p. 93 emphasis added)</w:t>
      </w:r>
      <w:r w:rsidRPr="00B163C4">
        <w:fldChar w:fldCharType="end"/>
      </w:r>
    </w:p>
    <w:p w14:paraId="7131D2B5" w14:textId="77777777" w:rsidR="00767BA2" w:rsidRPr="00B163C4" w:rsidRDefault="00767BA2" w:rsidP="00767BA2">
      <w:pPr>
        <w:jc w:val="both"/>
      </w:pPr>
    </w:p>
    <w:p w14:paraId="1F6D4FA9" w14:textId="13D12733" w:rsidR="00767BA2" w:rsidRPr="00B163C4" w:rsidRDefault="00767BA2" w:rsidP="00767BA2">
      <w:pPr>
        <w:jc w:val="both"/>
      </w:pPr>
      <w:r w:rsidRPr="00B163C4">
        <w:t>The notion of ‘h</w:t>
      </w:r>
      <w:r w:rsidRPr="00B163C4">
        <w:rPr>
          <w:iCs/>
        </w:rPr>
        <w:t xml:space="preserve">andling dangerous situations’ </w:t>
      </w:r>
      <w:r>
        <w:rPr>
          <w:iCs/>
        </w:rPr>
        <w:t xml:space="preserve">has involved </w:t>
      </w:r>
      <w:r w:rsidRPr="00B163C4">
        <w:t>teach</w:t>
      </w:r>
      <w:r>
        <w:t>ing</w:t>
      </w:r>
      <w:r w:rsidRPr="00B163C4">
        <w:t xml:space="preserve"> the FAO to identify signs of intoxication and physical violence, and how to respond in these instances such as leaving to stay with a pre-arranged relative, friend, or women’s centre. In cases where the </w:t>
      </w:r>
      <w:r w:rsidR="00B83EE8">
        <w:t>person who is drinking</w:t>
      </w:r>
      <w:r w:rsidRPr="00B163C4">
        <w:t xml:space="preserve"> became violent, the FAO would be encouraged to call the police and file charges, “thereby making the drinker aware that violent behavior would not be tolerated” </w:t>
      </w:r>
      <w:r w:rsidRPr="00B163C4">
        <w:fldChar w:fldCharType="begin"/>
      </w:r>
      <w:r w:rsidRPr="00B163C4">
        <w:instrText xml:space="preserve"> ADDIN EN.CITE &lt;EndNote&gt;&lt;Cite&gt;&lt;Author&gt;Sisson&lt;/Author&gt;&lt;Year&gt;1986&lt;/Year&gt;&lt;RecNum&gt;141&lt;/RecNum&gt;&lt;Pages&gt;17&lt;/Pages&gt;&lt;DisplayText&gt;(Sisson &amp;amp; Azrin, 1986, p. 17)&lt;/DisplayText&gt;&lt;record&gt;&lt;rec-number&gt;141&lt;/rec-number&gt;&lt;foreign-keys&gt;&lt;key app="EN" db-id="25rszwft292ev3esrpvpde0cpxrd9ex0xspp" timestamp="1585774495"&gt;141&lt;/key&gt;&lt;/foreign-keys&gt;&lt;ref-type name="Journal Article"&gt;17&lt;/ref-type&gt;&lt;contributors&gt;&lt;authors&gt;&lt;author&gt;Sisson, Robert W&lt;/author&gt;&lt;author&gt;Azrin, Nathan H&lt;/author&gt;&lt;/authors&gt;&lt;/contributors&gt;&lt;titles&gt;&lt;title&gt;Family-member involvement to initiate and promote treatment of problem drinkers&lt;/title&gt;&lt;secondary-title&gt;Journal of Behavior Therapy and Experimental Psychiatry&lt;/secondary-title&gt;&lt;/titles&gt;&lt;periodical&gt;&lt;full-title&gt;Journal of Behavior Therapy and Experimental Psychiatry&lt;/full-title&gt;&lt;/periodical&gt;&lt;pages&gt;15-21&lt;/pages&gt;&lt;volume&gt;17&lt;/volume&gt;&lt;number&gt;1&lt;/number&gt;&lt;dates&gt;&lt;year&gt;1986&lt;/year&gt;&lt;/dates&gt;&lt;urls&gt;&lt;/urls&gt;&lt;/record&gt;&lt;/Cite&gt;&lt;/EndNote&gt;</w:instrText>
      </w:r>
      <w:r w:rsidRPr="00B163C4">
        <w:fldChar w:fldCharType="separate"/>
      </w:r>
      <w:r w:rsidRPr="00B163C4">
        <w:t>(Sisson &amp; Azrin, 1986, p. 17)</w:t>
      </w:r>
      <w:r w:rsidRPr="00B163C4">
        <w:fldChar w:fldCharType="end"/>
      </w:r>
      <w:r w:rsidRPr="00B163C4">
        <w:t xml:space="preserve">. </w:t>
      </w:r>
      <w:r>
        <w:t>While constructing behavioural contingencies around the substance user may influence them to change or enter into treatment</w:t>
      </w:r>
      <w:r w:rsidRPr="00B163C4">
        <w:t>,</w:t>
      </w:r>
      <w:r>
        <w:t xml:space="preserve"> the importance of services engaging with the intersectional nuance of women’s experiences of addiction related harm in practice is reinforced. </w:t>
      </w:r>
      <w:r w:rsidRPr="00B163C4">
        <w:t xml:space="preserve">Seeking help is </w:t>
      </w:r>
      <w:r>
        <w:t xml:space="preserve">known to be </w:t>
      </w:r>
      <w:r w:rsidRPr="00B163C4">
        <w:t xml:space="preserve">an exceptionally difficult and complex process for victims, which can easily force </w:t>
      </w:r>
      <w:r>
        <w:t>women</w:t>
      </w:r>
      <w:r w:rsidRPr="00B163C4">
        <w:t xml:space="preserve"> to remain in or return to a violent relationship </w:t>
      </w:r>
      <w:r w:rsidRPr="00B163C4">
        <w:fldChar w:fldCharType="begin"/>
      </w:r>
      <w:r>
        <w:instrText xml:space="preserve"> ADDIN EN.CITE &lt;EndNote&gt;&lt;Cite&gt;&lt;Author&gt;Wilson&lt;/Author&gt;&lt;Year&gt;2005&lt;/Year&gt;&lt;RecNum&gt;243&lt;/RecNum&gt;&lt;DisplayText&gt;(Wilson, McBride-Henry, &amp;amp; Huntington, 2005)&lt;/DisplayText&gt;&lt;record&gt;&lt;rec-number&gt;243&lt;/rec-number&gt;&lt;foreign-keys&gt;&lt;key app="EN" db-id="25rszwft292ev3esrpvpde0cpxrd9ex0xspp" timestamp="1589414475"&gt;243&lt;/key&gt;&lt;/foreign-keys&gt;&lt;ref-type name="Journal Article"&gt;17&lt;/ref-type&gt;&lt;contributors&gt;&lt;authors&gt;&lt;author&gt;Wilson, Denise&lt;/author&gt;&lt;author&gt;McBride-Henry, Karen&lt;/author&gt;&lt;author&gt;Huntington, Annette&lt;/author&gt;&lt;/authors&gt;&lt;/contributors&gt;&lt;titles&gt;&lt;title&gt;Family violence: Walking the tight rope between maternal alienation and child safety&lt;/title&gt;&lt;secondary-title&gt;Contemporary nurse&lt;/secondary-title&gt;&lt;/titles&gt;&lt;periodical&gt;&lt;full-title&gt;Contemporary nurse&lt;/full-title&gt;&lt;/periodical&gt;&lt;pages&gt;85-96&lt;/pages&gt;&lt;volume&gt;18&lt;/volume&gt;&lt;number&gt;1-2&lt;/number&gt;&lt;dates&gt;&lt;year&gt;2005&lt;/year&gt;&lt;/dates&gt;&lt;isbn&gt;1037-6178&lt;/isbn&gt;&lt;urls&gt;&lt;/urls&gt;&lt;/record&gt;&lt;/Cite&gt;&lt;/EndNote&gt;</w:instrText>
      </w:r>
      <w:r w:rsidRPr="00B163C4">
        <w:fldChar w:fldCharType="separate"/>
      </w:r>
      <w:r>
        <w:rPr>
          <w:noProof/>
        </w:rPr>
        <w:t>(Wilson, McBride-Henry, &amp; Huntington, 2005)</w:t>
      </w:r>
      <w:r w:rsidRPr="00B163C4">
        <w:fldChar w:fldCharType="end"/>
      </w:r>
      <w:r w:rsidRPr="00B163C4">
        <w:t xml:space="preserve">. </w:t>
      </w:r>
      <w:r w:rsidR="00CD1ED5">
        <w:t xml:space="preserve">We found no research engaging with the </w:t>
      </w:r>
      <w:r w:rsidR="00EA367C">
        <w:t xml:space="preserve">safety, </w:t>
      </w:r>
      <w:r w:rsidR="00CD1ED5">
        <w:t xml:space="preserve">support </w:t>
      </w:r>
      <w:r w:rsidR="00EA367C">
        <w:t>or</w:t>
      </w:r>
      <w:r w:rsidR="00CD1ED5">
        <w:t xml:space="preserve"> intervention experiences of women </w:t>
      </w:r>
      <w:r w:rsidR="00EA367C">
        <w:t xml:space="preserve">engaging with CRAFT. </w:t>
      </w:r>
    </w:p>
    <w:p w14:paraId="3F95BB12" w14:textId="77777777" w:rsidR="00767BA2" w:rsidRDefault="00767BA2" w:rsidP="00767BA2">
      <w:pPr>
        <w:jc w:val="both"/>
      </w:pPr>
    </w:p>
    <w:p w14:paraId="6E366F9D" w14:textId="77777777" w:rsidR="00767BA2" w:rsidRPr="00F026C2" w:rsidRDefault="00767BA2" w:rsidP="00767BA2">
      <w:pPr>
        <w:rPr>
          <w:i/>
          <w:iCs/>
        </w:rPr>
      </w:pPr>
      <w:bookmarkStart w:id="29" w:name="_Hlk57800457"/>
      <w:r w:rsidRPr="00F026C2">
        <w:rPr>
          <w:i/>
          <w:iCs/>
        </w:rPr>
        <w:t xml:space="preserve">Questioning the notion of ‘cross-cultural applicability’ </w:t>
      </w:r>
    </w:p>
    <w:bookmarkEnd w:id="29"/>
    <w:p w14:paraId="3964BE37" w14:textId="2D75B6E6" w:rsidR="00767BA2" w:rsidRDefault="00767BA2" w:rsidP="00767BA2">
      <w:pPr>
        <w:jc w:val="both"/>
      </w:pPr>
      <w:r>
        <w:t>Behaviourally based approaches to shaping and changing addictive behaviour, such as CRAFT, construct</w:t>
      </w:r>
      <w:r w:rsidRPr="0091035B">
        <w:t xml:space="preserve"> reinforcement </w:t>
      </w:r>
      <w:r>
        <w:t>a</w:t>
      </w:r>
      <w:r w:rsidRPr="0091035B">
        <w:t xml:space="preserve">s </w:t>
      </w:r>
      <w:r>
        <w:t>a</w:t>
      </w:r>
      <w:r w:rsidRPr="0091035B">
        <w:t xml:space="preserve"> fundamental process to learning that is independent of species, </w:t>
      </w:r>
      <w:r>
        <w:t>and</w:t>
      </w:r>
      <w:r w:rsidRPr="0091035B">
        <w:t xml:space="preserve"> culture</w:t>
      </w:r>
      <w:r>
        <w:t>. W</w:t>
      </w:r>
      <w:r w:rsidRPr="0091035B">
        <w:t xml:space="preserve">hat is reinforcing and how contingencies are arranged should be assessed with </w:t>
      </w:r>
      <w:r>
        <w:t>each</w:t>
      </w:r>
      <w:r w:rsidRPr="0091035B">
        <w:t xml:space="preserve"> client as part of a functional assessment – so the specifics of the intervention </w:t>
      </w:r>
      <w:r>
        <w:t>can</w:t>
      </w:r>
      <w:r w:rsidRPr="0091035B">
        <w:t xml:space="preserve"> be worked through with the client in a way</w:t>
      </w:r>
      <w:r>
        <w:t xml:space="preserve"> that is appropriate for them </w:t>
      </w:r>
      <w:r>
        <w:fldChar w:fldCharType="begin"/>
      </w:r>
      <w:r>
        <w:instrText xml:space="preserve"> ADDIN EN.CITE &lt;EndNote&gt;&lt;Cite&gt;&lt;Author&gt;Meyers&lt;/Author&gt;&lt;Year&gt;2005&lt;/Year&gt;&lt;RecNum&gt;130&lt;/RecNum&gt;&lt;DisplayText&gt;(Meyers et al., 2005)&lt;/DisplayText&gt;&lt;record&gt;&lt;rec-number&gt;130&lt;/rec-number&gt;&lt;foreign-keys&gt;&lt;key app="EN" db-id="25rszwft292ev3esrpvpde0cpxrd9ex0xspp" timestamp="1585602855"&gt;130&lt;/key&gt;&lt;/foreign-keys&gt;&lt;ref-type name="Journal Article"&gt;17&lt;/ref-type&gt;&lt;contributors&gt;&lt;authors&gt;&lt;author&gt;Meyers, Robert J&lt;/author&gt;&lt;author&gt;Smith, Jane Ellen&lt;/author&gt;&lt;author&gt;Lash, Denise N&lt;/author&gt;&lt;/authors&gt;&lt;/contributors&gt;&lt;titles&gt;&lt;title&gt;A program for engaging treatment-refusing substance abusers into treatment: CRAFT&lt;/title&gt;&lt;secondary-title&gt;International Journal of Behavioral Consultation and Therapy&lt;/secondary-title&gt;&lt;/titles&gt;&lt;periodical&gt;&lt;full-title&gt;International Journal of Behavioral Consultation and Therapy&lt;/full-title&gt;&lt;/periodical&gt;&lt;pages&gt;90&lt;/pages&gt;&lt;volume&gt;1&lt;/volume&gt;&lt;number&gt;2&lt;/number&gt;&lt;dates&gt;&lt;year&gt;2005&lt;/year&gt;&lt;/dates&gt;&lt;isbn&gt;1555-7855&lt;/isbn&gt;&lt;urls&gt;&lt;/urls&gt;&lt;/record&gt;&lt;/Cite&gt;&lt;/EndNote&gt;</w:instrText>
      </w:r>
      <w:r>
        <w:fldChar w:fldCharType="separate"/>
      </w:r>
      <w:r>
        <w:rPr>
          <w:noProof/>
        </w:rPr>
        <w:t>(Meyers et al., 2005)</w:t>
      </w:r>
      <w:r>
        <w:fldChar w:fldCharType="end"/>
      </w:r>
      <w:r>
        <w:t xml:space="preserve">. Careful re/co-design of CRAFT interventions and evaluation with groups of different cultural heritage is not generally carried out. For example, notable </w:t>
      </w:r>
      <w:r w:rsidRPr="0045591F">
        <w:t xml:space="preserve">increases in the use of CRAFT over the past decade in countries such as the United Kingdom and Japan, have not been accompanied by rigorous research and evaluation with a wide variety of population groups </w:t>
      </w:r>
      <w:r w:rsidRPr="0045591F">
        <w:fldChar w:fldCharType="begin"/>
      </w:r>
      <w:r w:rsidRPr="0045591F">
        <w:instrText xml:space="preserve"> ADDIN EN.CITE &lt;EndNote&gt;&lt;Cite&gt;&lt;Author&gt;Archer&lt;/Author&gt;&lt;Year&gt;2019&lt;/Year&gt;&lt;RecNum&gt;138&lt;/RecNum&gt;&lt;DisplayText&gt;(Archer et al., 2019)&lt;/DisplayText&gt;&lt;record&gt;&lt;rec-number&gt;138&lt;/rec-number&gt;&lt;foreign-keys&gt;&lt;key app="EN" db-id="25rszwft292ev3esrpvpde0cpxrd9ex0xspp" timestamp="1585702189"&gt;138&lt;/key&gt;&lt;/foreign-keys&gt;&lt;ref-type name="Journal Article"&gt;17&lt;/ref-type&gt;&lt;contributors&gt;&lt;authors&gt;&lt;author&gt;Archer, Marc&lt;/author&gt;&lt;author&gt;Harwood, Hannah&lt;/author&gt;&lt;author&gt;Stevelink, Sharon&lt;/author&gt;&lt;author&gt;Rafferty, Laura&lt;/author&gt;&lt;author&gt;Greenberg, Neil&lt;/author&gt;&lt;/authors&gt;&lt;/contributors&gt;&lt;titles&gt;&lt;title&gt;Community Reinforcement and Family Training and rates of treatment entry: A systematic review&lt;/title&gt;&lt;secondary-title&gt;Addiction&lt;/secondary-title&gt;&lt;/titles&gt;&lt;periodical&gt;&lt;full-title&gt;Addiction&lt;/full-title&gt;&lt;/periodical&gt;&lt;dates&gt;&lt;year&gt;2019&lt;/year&gt;&lt;/dates&gt;&lt;isbn&gt;0965-2140&lt;/isbn&gt;&lt;urls&gt;&lt;/urls&gt;&lt;/record&gt;&lt;/Cite&gt;&lt;/EndNote&gt;</w:instrText>
      </w:r>
      <w:r w:rsidRPr="0045591F">
        <w:fldChar w:fldCharType="separate"/>
      </w:r>
      <w:r w:rsidRPr="0045591F">
        <w:t>(Archer et al., 2019)</w:t>
      </w:r>
      <w:r w:rsidRPr="0045591F">
        <w:fldChar w:fldCharType="end"/>
      </w:r>
      <w:r w:rsidRPr="0045591F">
        <w:t xml:space="preserve">. </w:t>
      </w:r>
    </w:p>
    <w:p w14:paraId="68E21846" w14:textId="77777777" w:rsidR="00767BA2" w:rsidRDefault="00767BA2" w:rsidP="00767BA2">
      <w:pPr>
        <w:jc w:val="both"/>
      </w:pPr>
    </w:p>
    <w:p w14:paraId="44CA1C88" w14:textId="53AE2888" w:rsidR="00767BA2" w:rsidRDefault="002F644B" w:rsidP="00767BA2">
      <w:pPr>
        <w:jc w:val="both"/>
      </w:pPr>
      <w:r>
        <w:t>D</w:t>
      </w:r>
      <w:r w:rsidR="00767BA2">
        <w:t xml:space="preserve">eveloping cultural competency in therapists applying CRAFT is suggested </w:t>
      </w:r>
      <w:r w:rsidR="00EA367C">
        <w:t xml:space="preserve">to </w:t>
      </w:r>
      <w:r>
        <w:t>ensure</w:t>
      </w:r>
      <w:r w:rsidR="00767BA2">
        <w:t xml:space="preserve"> appropriate behavioural contingencies for the clients </w:t>
      </w:r>
      <w:r w:rsidR="00EA367C">
        <w:t>involved</w:t>
      </w:r>
      <w:r w:rsidR="00767BA2">
        <w:t xml:space="preserve">, and facilitating applicability and acceptability to particular families and communities </w:t>
      </w:r>
      <w:r w:rsidR="00767BA2" w:rsidRPr="007C62C7">
        <w:fldChar w:fldCharType="begin"/>
      </w:r>
      <w:r w:rsidR="00767BA2" w:rsidRPr="007C62C7">
        <w:instrText xml:space="preserve"> ADDIN EN.CITE &lt;EndNote&gt;&lt;Cite&gt;&lt;Author&gt;Calabria&lt;/Author&gt;&lt;Year&gt;2019&lt;/Year&gt;&lt;RecNum&gt;139&lt;/RecNum&gt;&lt;DisplayText&gt;(Calabria et al., 2019)&lt;/DisplayText&gt;&lt;record&gt;&lt;rec-number&gt;139&lt;/rec-number&gt;&lt;foreign-keys&gt;&lt;key app="EN" db-id="25rszwft292ev3esrpvpde0cpxrd9ex0xspp" timestamp="1585772616"&gt;139&lt;/key&gt;&lt;/foreign-keys&gt;&lt;ref-type name="Journal Article"&gt;17&lt;/ref-type&gt;&lt;contributors&gt;&lt;authors&gt;&lt;author&gt;Calabria, Bianca&lt;/author&gt;&lt;author&gt;Shakeshaft, Anthony P&lt;/author&gt;&lt;author&gt;Clifford, Anton&lt;/author&gt;&lt;author&gt;Stone, Chiara&lt;/author&gt;&lt;author&gt;Clare, Philip J&lt;/author&gt;&lt;author&gt;Allan, Julaine&lt;/author&gt;&lt;author&gt;Bliss, Donna&lt;/author&gt;&lt;/authors&gt;&lt;/contributors&gt;&lt;titles&gt;&lt;title&gt;Reducing drug and alcohol use and improving well‐being for Indigenous and non‐Indigenous Australians using the Community Reinforcement Approach: A feasibility and acceptability study&lt;/title&gt;&lt;secondary-title&gt;International Journal of Psychology&lt;/secondary-title&gt;&lt;/titles&gt;&lt;periodical&gt;&lt;full-title&gt;International Journal of Psychology&lt;/full-title&gt;&lt;/periodical&gt;&lt;dates&gt;&lt;year&gt;2019&lt;/year&gt;&lt;/dates&gt;&lt;isbn&gt;0020-7594&lt;/isbn&gt;&lt;urls&gt;&lt;/urls&gt;&lt;/record&gt;&lt;/Cite&gt;&lt;/EndNote&gt;</w:instrText>
      </w:r>
      <w:r w:rsidR="00767BA2" w:rsidRPr="007C62C7">
        <w:fldChar w:fldCharType="separate"/>
      </w:r>
      <w:r w:rsidR="00767BA2" w:rsidRPr="007C62C7">
        <w:t>(Calabria et al., 2019)</w:t>
      </w:r>
      <w:r w:rsidR="00767BA2" w:rsidRPr="007C62C7">
        <w:fldChar w:fldCharType="end"/>
      </w:r>
      <w:r w:rsidR="00767BA2" w:rsidRPr="007C62C7">
        <w:t xml:space="preserve">. </w:t>
      </w:r>
      <w:r w:rsidR="00767BA2">
        <w:t xml:space="preserve">Authentic and meaningful engagement </w:t>
      </w:r>
      <w:r w:rsidR="00767BA2" w:rsidRPr="00FB2212">
        <w:t xml:space="preserve">between </w:t>
      </w:r>
      <w:r w:rsidR="00767BA2">
        <w:t>addictions services</w:t>
      </w:r>
      <w:r w:rsidR="00767BA2" w:rsidRPr="00FB2212">
        <w:t xml:space="preserve"> and Aboriginal community members </w:t>
      </w:r>
      <w:r w:rsidR="00767BA2">
        <w:t xml:space="preserve">has been found to promote </w:t>
      </w:r>
      <w:r w:rsidR="00767BA2" w:rsidRPr="00FB2212">
        <w:t>access to drug and alcohol services</w:t>
      </w:r>
      <w:r>
        <w:t xml:space="preserve"> </w:t>
      </w:r>
      <w:r w:rsidR="00767BA2" w:rsidRPr="00FB2212">
        <w:fldChar w:fldCharType="begin"/>
      </w:r>
      <w:r w:rsidR="00767BA2" w:rsidRPr="00FB2212">
        <w:instrText xml:space="preserve"> ADDIN EN.CITE &lt;EndNote&gt;&lt;Cite&gt;&lt;Author&gt;Allan&lt;/Author&gt;&lt;Year&gt;2011&lt;/Year&gt;&lt;RecNum&gt;323&lt;/RecNum&gt;&lt;DisplayText&gt;(Allan &amp;amp; Campbell, 2011)&lt;/DisplayText&gt;&lt;record&gt;&lt;rec-number&gt;323&lt;/rec-number&gt;&lt;foreign-keys&gt;&lt;key app="EN" db-id="5v2daxed8wv0eoesd9av5dd8exsxdewpfpwd" timestamp="1582172387"&gt;323&lt;/key&gt;&lt;/foreign-keys&gt;&lt;ref-type name="Journal Article"&gt;17&lt;/ref-type&gt;&lt;contributors&gt;&lt;authors&gt;&lt;author&gt;Allan, Julaine&lt;/author&gt;&lt;author&gt;Campbell, Michele&lt;/author&gt;&lt;/authors&gt;&lt;/contributors&gt;&lt;titles&gt;&lt;title&gt;Improving access to hard-to-reach services: a soft entry approach to drug and alcohol services for rural Australian Aboriginal communities&lt;/title&gt;&lt;secondary-title&gt;Social work in health care&lt;/secondary-title&gt;&lt;/titles&gt;&lt;periodical&gt;&lt;full-title&gt;Social work in health care&lt;/full-title&gt;&lt;/periodical&gt;&lt;pages&gt;443-465&lt;/pages&gt;&lt;volume&gt;50&lt;/volume&gt;&lt;number&gt;6&lt;/number&gt;&lt;dates&gt;&lt;year&gt;2011&lt;/year&gt;&lt;/dates&gt;&lt;isbn&gt;0098-1389&lt;/isbn&gt;&lt;urls&gt;&lt;/urls&gt;&lt;/record&gt;&lt;/Cite&gt;&lt;/EndNote&gt;</w:instrText>
      </w:r>
      <w:r w:rsidR="00767BA2" w:rsidRPr="00FB2212">
        <w:fldChar w:fldCharType="separate"/>
      </w:r>
      <w:r w:rsidR="00767BA2" w:rsidRPr="00FB2212">
        <w:t>(Allan &amp; Campbell, 2011)</w:t>
      </w:r>
      <w:r w:rsidR="00767BA2" w:rsidRPr="00FB2212">
        <w:fldChar w:fldCharType="end"/>
      </w:r>
      <w:r w:rsidR="00767BA2" w:rsidRPr="00FB2212">
        <w:t xml:space="preserve">. </w:t>
      </w:r>
      <w:r w:rsidR="00767BA2">
        <w:t xml:space="preserve">Calabria and colleagues have advocated for in-depth consultation with </w:t>
      </w:r>
      <w:r w:rsidR="00767BA2" w:rsidRPr="00FB2212">
        <w:t xml:space="preserve">Aboriginal Australian </w:t>
      </w:r>
      <w:r w:rsidR="00767BA2">
        <w:t xml:space="preserve">populations affected by addictions in developing culturally appropriate guidelines for CRAFT </w:t>
      </w:r>
      <w:r w:rsidR="00767BA2">
        <w:lastRenderedPageBreak/>
        <w:t xml:space="preserve">use. </w:t>
      </w:r>
      <w:r w:rsidR="00767BA2" w:rsidRPr="00FB2212">
        <w:t xml:space="preserve">Two studies have </w:t>
      </w:r>
      <w:r w:rsidR="00767BA2">
        <w:t>involved</w:t>
      </w:r>
      <w:r w:rsidR="00767BA2" w:rsidRPr="00FB2212">
        <w:t xml:space="preserve"> </w:t>
      </w:r>
      <w:r w:rsidR="00767BA2">
        <w:t>consultation</w:t>
      </w:r>
      <w:r w:rsidR="00767BA2" w:rsidRPr="00FB2212">
        <w:t xml:space="preserve"> surveys with Aboriginal communities (n=116, 51% female) and in depth focus groups and interviews with </w:t>
      </w:r>
      <w:r w:rsidR="00767BA2">
        <w:t xml:space="preserve">specialised Aboriginal </w:t>
      </w:r>
      <w:r w:rsidR="00767BA2" w:rsidRPr="00FB2212">
        <w:t xml:space="preserve">health care and service providers (n=29) </w:t>
      </w:r>
      <w:r w:rsidR="00767BA2" w:rsidRPr="00FB2212">
        <w:fldChar w:fldCharType="begin"/>
      </w:r>
      <w:r w:rsidR="00767BA2" w:rsidRPr="00FB2212">
        <w:instrText xml:space="preserve"> ADDIN EN.CITE &lt;EndNote&gt;&lt;Cite&gt;&lt;Author&gt;Calabria&lt;/Author&gt;&lt;Year&gt;2014&lt;/Year&gt;&lt;RecNum&gt;315&lt;/RecNum&gt;&lt;DisplayText&gt;(Calabria, Clifford, Rose, &amp;amp; Shakeshaft, 2014; Calabria et al., 2013)&lt;/DisplayText&gt;&lt;record&gt;&lt;rec-number&gt;315&lt;/rec-number&gt;&lt;foreign-keys&gt;&lt;key app="EN" db-id="5v2daxed8wv0eoesd9av5dd8exsxdewpfpwd" timestamp="1582170122"&gt;315&lt;/key&gt;&lt;/foreign-keys&gt;&lt;ref-type name="Journal Article"&gt;17&lt;/ref-type&gt;&lt;contributors&gt;&lt;authors&gt;&lt;author&gt;Calabria, Bianca&lt;/author&gt;&lt;author&gt;Clifford, Anton&lt;/author&gt;&lt;author&gt;Rose, Miranda&lt;/author&gt;&lt;author&gt;Shakeshaft, Anthony P&lt;/author&gt;&lt;/authors&gt;&lt;/contributors&gt;&lt;titles&gt;&lt;title&gt;Tailoring a family-based alcohol intervention for Aboriginal Australians, and the experiences and perceptions of health care providers trained in its delivery&lt;/title&gt;&lt;secondary-title&gt;BMC Public Health&lt;/secondary-title&gt;&lt;/titles&gt;&lt;periodical&gt;&lt;full-title&gt;BMC public health&lt;/full-title&gt;&lt;/periodical&gt;&lt;pages&gt;322&lt;/pages&gt;&lt;volume&gt;14&lt;/volume&gt;&lt;number&gt;1&lt;/number&gt;&lt;dates&gt;&lt;year&gt;2014&lt;/year&gt;&lt;/dates&gt;&lt;isbn&gt;1471-2458&lt;/isbn&gt;&lt;urls&gt;&lt;/urls&gt;&lt;/record&gt;&lt;/Cite&gt;&lt;Cite&gt;&lt;Author&gt;Calabria&lt;/Author&gt;&lt;Year&gt;2013&lt;/Year&gt;&lt;RecNum&gt;316&lt;/RecNum&gt;&lt;record&gt;&lt;rec-number&gt;316&lt;/rec-number&gt;&lt;foreign-keys&gt;&lt;key app="EN" db-id="5v2daxed8wv0eoesd9av5dd8exsxdewpfpwd" timestamp="1582170151"&gt;316&lt;/key&gt;&lt;/foreign-keys&gt;&lt;ref-type name="Journal Article"&gt;17&lt;/ref-type&gt;&lt;contributors&gt;&lt;authors&gt;&lt;author&gt;Calabria, Bianca&lt;/author&gt;&lt;author&gt;Clifford, Anton&lt;/author&gt;&lt;author&gt;Shakeshaft, Anthony&lt;/author&gt;&lt;author&gt;Allan, Julaine&lt;/author&gt;&lt;author&gt;Bliss, Donna&lt;/author&gt;&lt;author&gt;Doran, Christopher&lt;/author&gt;&lt;/authors&gt;&lt;/contributors&gt;&lt;titles&gt;&lt;title&gt;The acceptability to A boriginal A ustralians of a family‐based intervention to reduce alcohol‐related harms&lt;/title&gt;&lt;secondary-title&gt;Drug and alcohol review&lt;/secondary-title&gt;&lt;/titles&gt;&lt;periodical&gt;&lt;full-title&gt;Drug and alcohol review&lt;/full-title&gt;&lt;/periodical&gt;&lt;pages&gt;328-332&lt;/pages&gt;&lt;volume&gt;32&lt;/volume&gt;&lt;number&gt;3&lt;/number&gt;&lt;dates&gt;&lt;year&gt;2013&lt;/year&gt;&lt;/dates&gt;&lt;isbn&gt;0959-5236&lt;/isbn&gt;&lt;urls&gt;&lt;/urls&gt;&lt;/record&gt;&lt;/Cite&gt;&lt;/EndNote&gt;</w:instrText>
      </w:r>
      <w:r w:rsidR="00767BA2" w:rsidRPr="00FB2212">
        <w:fldChar w:fldCharType="separate"/>
      </w:r>
      <w:r w:rsidR="00767BA2" w:rsidRPr="00FB2212">
        <w:t>(Calabria, Clifford, Rose, &amp; Shakeshaft, 2014; Calabria et al., 2013)</w:t>
      </w:r>
      <w:r w:rsidR="00767BA2" w:rsidRPr="00FB2212">
        <w:fldChar w:fldCharType="end"/>
      </w:r>
      <w:r w:rsidR="00767BA2" w:rsidRPr="00FB2212">
        <w:t>.</w:t>
      </w:r>
      <w:r w:rsidR="00767BA2">
        <w:t xml:space="preserve"> </w:t>
      </w:r>
      <w:r w:rsidR="00767BA2" w:rsidRPr="00FB2212">
        <w:t xml:space="preserve">CRAFT was viewed as highly acceptable to Aboriginal people, particularly by Aboriginal women wanting to assist individuals’ post-alcohol withdrawal or those wanting to help a loved one initiate treatment. Participants indicated a preference for counsellors who were known, trusted and part of local communities. </w:t>
      </w:r>
      <w:r w:rsidR="00767BA2">
        <w:t>A</w:t>
      </w:r>
      <w:r w:rsidR="00767BA2" w:rsidRPr="00FB2212">
        <w:t xml:space="preserve">lcohol‐related harms </w:t>
      </w:r>
      <w:r>
        <w:t>were re-</w:t>
      </w:r>
      <w:r w:rsidR="00767BA2">
        <w:t xml:space="preserve">conceptualised in relation to local community knowledge (e.g. the notion that for young Aboriginal Australians, binge drinking is normalised as a way of creating social connectedness with peers and a sense of relief from a lack of hope for the future) </w:t>
      </w:r>
      <w:r w:rsidR="00767BA2">
        <w:fldChar w:fldCharType="begin"/>
      </w:r>
      <w:r w:rsidR="00767BA2">
        <w:instrText xml:space="preserve"> ADDIN EN.CITE &lt;EndNote&gt;&lt;Cite&gt;&lt;Author&gt;McCalman&lt;/Author&gt;&lt;Year&gt;2013&lt;/Year&gt;&lt;RecNum&gt;275&lt;/RecNum&gt;&lt;DisplayText&gt;(McCalman et al., 2013)&lt;/DisplayText&gt;&lt;record&gt;&lt;rec-number&gt;275&lt;/rec-number&gt;&lt;foreign-keys&gt;&lt;key app="EN" db-id="25rszwft292ev3esrpvpde0cpxrd9ex0xspp" timestamp="1590617084"&gt;275&lt;/key&gt;&lt;/foreign-keys&gt;&lt;ref-type name="Journal Article"&gt;17&lt;/ref-type&gt;&lt;contributors&gt;&lt;authors&gt;&lt;author&gt;McCalman, Janya&lt;/author&gt;&lt;author&gt;Tsey, Komla&lt;/author&gt;&lt;author&gt;Bainbridge, Roxanne&lt;/author&gt;&lt;author&gt;Shakeshaft, Anthony&lt;/author&gt;&lt;author&gt;Singleton, Michele&lt;/author&gt;&lt;author&gt;Doran, Christopher&lt;/author&gt;&lt;/authors&gt;&lt;/contributors&gt;&lt;titles&gt;&lt;title&gt;Tailoring a response to youth binge drinking in an Aboriginal Australian community: a grounded theory study&lt;/title&gt;&lt;secondary-title&gt;BMC Public Health&lt;/secondary-title&gt;&lt;/titles&gt;&lt;periodical&gt;&lt;full-title&gt;BMC public health&lt;/full-title&gt;&lt;/periodical&gt;&lt;pages&gt;726&lt;/pages&gt;&lt;volume&gt;13&lt;/volume&gt;&lt;number&gt;1&lt;/number&gt;&lt;dates&gt;&lt;year&gt;2013&lt;/year&gt;&lt;/dates&gt;&lt;isbn&gt;1471-2458&lt;/isbn&gt;&lt;urls&gt;&lt;/urls&gt;&lt;/record&gt;&lt;/Cite&gt;&lt;/EndNote&gt;</w:instrText>
      </w:r>
      <w:r w:rsidR="00767BA2">
        <w:fldChar w:fldCharType="separate"/>
      </w:r>
      <w:r w:rsidR="00767BA2">
        <w:rPr>
          <w:noProof/>
        </w:rPr>
        <w:t>(McCalman et al., 2013)</w:t>
      </w:r>
      <w:r w:rsidR="00767BA2">
        <w:fldChar w:fldCharType="end"/>
      </w:r>
      <w:r w:rsidR="00767BA2">
        <w:t xml:space="preserve">.  </w:t>
      </w:r>
    </w:p>
    <w:p w14:paraId="18B564DA" w14:textId="77777777" w:rsidR="00767BA2" w:rsidRDefault="00767BA2" w:rsidP="00767BA2">
      <w:pPr>
        <w:jc w:val="both"/>
      </w:pPr>
    </w:p>
    <w:p w14:paraId="01EAB1B3" w14:textId="327BB73C" w:rsidR="00767BA2" w:rsidRPr="00E42532" w:rsidRDefault="003E5DD9" w:rsidP="00767BA2">
      <w:pPr>
        <w:jc w:val="both"/>
      </w:pPr>
      <w:r>
        <w:t>A</w:t>
      </w:r>
      <w:r w:rsidRPr="00F40AFE">
        <w:t xml:space="preserve">pproaches </w:t>
      </w:r>
      <w:r>
        <w:t xml:space="preserve">that seek to assist FAOs to change the behaviour of the person with the addiction may </w:t>
      </w:r>
      <w:r w:rsidRPr="00F40AFE">
        <w:t>be useful as part of a multi-faceted approach –they have been widely evaluated and generally found to be effective in terms of what they were designed to achiev</w:t>
      </w:r>
      <w:r>
        <w:t>e. There is a clear need to im</w:t>
      </w:r>
      <w:r w:rsidRPr="00F40AFE">
        <w:t xml:space="preserve">prove them with reference to more contemporary understandings and </w:t>
      </w:r>
      <w:r>
        <w:t xml:space="preserve">to </w:t>
      </w:r>
      <w:r w:rsidRPr="00F40AFE">
        <w:t>complement</w:t>
      </w:r>
      <w:r>
        <w:t xml:space="preserve"> them</w:t>
      </w:r>
      <w:r w:rsidRPr="00F40AFE">
        <w:t xml:space="preserve"> with other interventions</w:t>
      </w:r>
      <w:r>
        <w:t xml:space="preserve">. </w:t>
      </w:r>
      <w:r w:rsidR="00767BA2" w:rsidRPr="00E42532">
        <w:t xml:space="preserve">It is increasingly evident that </w:t>
      </w:r>
      <w:r w:rsidR="00767BA2">
        <w:t xml:space="preserve">addictions harm reduction </w:t>
      </w:r>
      <w:r w:rsidR="00767BA2" w:rsidRPr="00E42532">
        <w:t xml:space="preserve">efforts must go beyond raising awareness of </w:t>
      </w:r>
      <w:r w:rsidR="002F644B">
        <w:t>services and support</w:t>
      </w:r>
      <w:r w:rsidR="00767BA2" w:rsidRPr="00E42532">
        <w:t xml:space="preserve">, and demonstrate relevance to affected populations </w:t>
      </w:r>
      <w:r w:rsidR="00767BA2" w:rsidRPr="00E42532">
        <w:fldChar w:fldCharType="begin"/>
      </w:r>
      <w:r w:rsidR="00767BA2" w:rsidRPr="00E42532">
        <w:instrText xml:space="preserve"> ADDIN EN.CITE &lt;EndNote&gt;&lt;Cite&gt;&lt;Author&gt;Miller&lt;/Author&gt;&lt;Year&gt;2006&lt;/Year&gt;&lt;RecNum&gt;244&lt;/RecNum&gt;&lt;DisplayText&gt;(Miller, Sorensen, Selzer, &amp;amp; Brigham, 2006)&lt;/DisplayText&gt;&lt;record&gt;&lt;rec-number&gt;244&lt;/rec-number&gt;&lt;foreign-keys&gt;&lt;key app="EN" db-id="25rszwft292ev3esrpvpde0cpxrd9ex0xspp" timestamp="1589414850"&gt;244&lt;/key&gt;&lt;/foreign-keys&gt;&lt;ref-type name="Journal Article"&gt;17&lt;/ref-type&gt;&lt;contributors&gt;&lt;authors&gt;&lt;author&gt;Miller, William R&lt;/author&gt;&lt;author&gt;Sorensen, James L&lt;/author&gt;&lt;author&gt;Selzer, Jeffrey A&lt;/author&gt;&lt;author&gt;Brigham, Gregory S&lt;/author&gt;&lt;/authors&gt;&lt;/contributors&gt;&lt;titles&gt;&lt;title&gt;Disseminating evidence-based practices in substance abuse treatment: A review with suggestions&lt;/title&gt;&lt;secondary-title&gt;Journal of substance abuse treatment&lt;/secondary-title&gt;&lt;/titles&gt;&lt;periodical&gt;&lt;full-title&gt;Journal of substance abuse treatment&lt;/full-title&gt;&lt;/periodical&gt;&lt;pages&gt;25-39&lt;/pages&gt;&lt;volume&gt;31&lt;/volume&gt;&lt;number&gt;1&lt;/number&gt;&lt;dates&gt;&lt;year&gt;2006&lt;/year&gt;&lt;/dates&gt;&lt;isbn&gt;0740-5472&lt;/isbn&gt;&lt;urls&gt;&lt;/urls&gt;&lt;/record&gt;&lt;/Cite&gt;&lt;/EndNote&gt;</w:instrText>
      </w:r>
      <w:r w:rsidR="00767BA2" w:rsidRPr="00E42532">
        <w:fldChar w:fldCharType="separate"/>
      </w:r>
      <w:r w:rsidR="00767BA2" w:rsidRPr="00E42532">
        <w:t>(Miller, Sorensen, Selzer, &amp; Brigham, 2006)</w:t>
      </w:r>
      <w:r w:rsidR="00767BA2" w:rsidRPr="00E42532">
        <w:fldChar w:fldCharType="end"/>
      </w:r>
      <w:r w:rsidR="00767BA2" w:rsidRPr="00E42532">
        <w:t>.</w:t>
      </w:r>
      <w:r w:rsidR="00767BA2">
        <w:t xml:space="preserve"> </w:t>
      </w:r>
      <w:r w:rsidR="00767BA2" w:rsidRPr="00BA760D">
        <w:t xml:space="preserve">Despite the demonstrated efficacy of community reinforcement for treatment engagement, </w:t>
      </w:r>
      <w:r w:rsidR="00A3617D">
        <w:t xml:space="preserve">it is argued that </w:t>
      </w:r>
      <w:r w:rsidR="00767BA2" w:rsidRPr="00BA760D">
        <w:t xml:space="preserve">CRAFT is not widely advocated at a public policy level </w:t>
      </w:r>
      <w:r w:rsidR="00767BA2" w:rsidRPr="00BA760D">
        <w:fldChar w:fldCharType="begin"/>
      </w:r>
      <w:r w:rsidR="00767BA2">
        <w:instrText xml:space="preserve"> ADDIN EN.CITE &lt;EndNote&gt;&lt;Cite&gt;&lt;Author&gt;Milford&lt;/Author&gt;&lt;Year&gt;2007&lt;/Year&gt;&lt;RecNum&gt;149&lt;/RecNum&gt;&lt;Prefix&gt;e.g. &lt;/Prefix&gt;&lt;DisplayText&gt;(e.g. Milford, Austin, &amp;amp; Smith, 2007)&lt;/DisplayText&gt;&lt;record&gt;&lt;rec-number&gt;149&lt;/rec-number&gt;&lt;foreign-keys&gt;&lt;key app="EN" db-id="25rszwft292ev3esrpvpde0cpxrd9ex0xspp" timestamp="1585785596"&gt;149&lt;/key&gt;&lt;/foreign-keys&gt;&lt;ref-type name="Journal Article"&gt;17&lt;/ref-type&gt;&lt;contributors&gt;&lt;authors&gt;&lt;author&gt;Milford, Jaime L&lt;/author&gt;&lt;author&gt;Austin, Julia L&lt;/author&gt;&lt;author&gt;Smith, Jane Ellen&lt;/author&gt;&lt;/authors&gt;&lt;/contributors&gt;&lt;titles&gt;&lt;title&gt;Community reinforcement and the dissemination of evidence-based practice: Implications for public policy&lt;/title&gt;&lt;secondary-title&gt;International Journal of Behavioral Consultation and Therapy&lt;/secondary-title&gt;&lt;/titles&gt;&lt;periodical&gt;&lt;full-title&gt;International Journal of Behavioral Consultation and Therapy&lt;/full-title&gt;&lt;/periodical&gt;&lt;pages&gt;77&lt;/pages&gt;&lt;volume&gt;3&lt;/volume&gt;&lt;number&gt;1&lt;/number&gt;&lt;dates&gt;&lt;year&gt;2007&lt;/year&gt;&lt;/dates&gt;&lt;isbn&gt;1555-7855&lt;/isbn&gt;&lt;urls&gt;&lt;/urls&gt;&lt;/record&gt;&lt;/Cite&gt;&lt;/EndNote&gt;</w:instrText>
      </w:r>
      <w:r w:rsidR="00767BA2" w:rsidRPr="00BA760D">
        <w:fldChar w:fldCharType="separate"/>
      </w:r>
      <w:r w:rsidR="00767BA2">
        <w:rPr>
          <w:noProof/>
        </w:rPr>
        <w:t>(e.g. Milford, Austin, &amp; Smith, 2007)</w:t>
      </w:r>
      <w:r w:rsidR="00767BA2" w:rsidRPr="00BA760D">
        <w:fldChar w:fldCharType="end"/>
      </w:r>
      <w:r w:rsidR="00767BA2" w:rsidRPr="00BA760D">
        <w:t xml:space="preserve">. The cost-effectiveness of the intensive 12 session intervention focussing on more than treatment engagement has been questioned, especially given that benefits to FAO wellbeing are less clear </w:t>
      </w:r>
      <w:r w:rsidR="00767BA2" w:rsidRPr="00BA760D">
        <w:fldChar w:fldCharType="begin"/>
      </w:r>
      <w:r w:rsidR="00767BA2" w:rsidRPr="00BA760D">
        <w:instrText xml:space="preserve"> ADDIN EN.CITE &lt;EndNote&gt;&lt;Cite&gt;&lt;Author&gt;Kirby&lt;/Author&gt;&lt;Year&gt;2017&lt;/Year&gt;&lt;RecNum&gt;156&lt;/RecNum&gt;&lt;DisplayText&gt;(Kirby et al., 2017)&lt;/DisplayText&gt;&lt;record&gt;&lt;rec-number&gt;156&lt;/rec-number&gt;&lt;foreign-keys&gt;&lt;key app="EN" db-id="25rszwft292ev3esrpvpde0cpxrd9ex0xspp" timestamp="1586131926"&gt;156&lt;/key&gt;&lt;/foreign-keys&gt;&lt;ref-type name="Journal Article"&gt;17&lt;/ref-type&gt;&lt;contributors&gt;&lt;authors&gt;&lt;author&gt;Kirby, Kimberly C&lt;/author&gt;&lt;author&gt;Benishek, Lois A&lt;/author&gt;&lt;author&gt;Kerwin, MaryLouise E&lt;/author&gt;&lt;author&gt;Dugosh, Karen L&lt;/author&gt;&lt;author&gt;Carpenedo, Carolyn M&lt;/author&gt;&lt;author&gt;Bresani, Elena&lt;/author&gt;&lt;author&gt;Haugh, James A&lt;/author&gt;&lt;author&gt;Washio, Yukiko&lt;/author&gt;&lt;author&gt;Meyers, Robert J&lt;/author&gt;&lt;/authors&gt;&lt;/contributors&gt;&lt;titles&gt;&lt;title&gt;Analyzing components of Community Reinforcement and Family Training (CRAFT): Is treatment entry training sufficient?&lt;/title&gt;&lt;secondary-title&gt;Psychology of Addictive Behaviors&lt;/secondary-title&gt;&lt;/titles&gt;&lt;periodical&gt;&lt;full-title&gt;Psychology of Addictive Behaviors&lt;/full-title&gt;&lt;/periodical&gt;&lt;pages&gt;818&lt;/pages&gt;&lt;volume&gt;31&lt;/volume&gt;&lt;number&gt;7&lt;/number&gt;&lt;dates&gt;&lt;year&gt;2017&lt;/year&gt;&lt;/dates&gt;&lt;isbn&gt;1939-1501&lt;/isbn&gt;&lt;urls&gt;&lt;/urls&gt;&lt;/record&gt;&lt;/Cite&gt;&lt;/EndNote&gt;</w:instrText>
      </w:r>
      <w:r w:rsidR="00767BA2" w:rsidRPr="00BA760D">
        <w:fldChar w:fldCharType="separate"/>
      </w:r>
      <w:r w:rsidR="00767BA2" w:rsidRPr="00BA760D">
        <w:t>(Kirby et al., 2017)</w:t>
      </w:r>
      <w:r w:rsidR="00767BA2" w:rsidRPr="00BA760D">
        <w:fldChar w:fldCharType="end"/>
      </w:r>
      <w:r w:rsidR="00767BA2" w:rsidRPr="00BA760D">
        <w:t xml:space="preserve">. </w:t>
      </w:r>
      <w:r w:rsidR="00767BA2">
        <w:t xml:space="preserve">CRAFT literature contains many assumptions about FAO experience – including the notion that treatment engagement and/or reduction in addictive behaviour will </w:t>
      </w:r>
      <w:r w:rsidR="002F644B">
        <w:t>promote</w:t>
      </w:r>
      <w:r w:rsidR="00767BA2">
        <w:t xml:space="preserve"> FAO wellbeing. </w:t>
      </w:r>
      <w:r w:rsidR="00767BA2" w:rsidRPr="00BA760D">
        <w:t>More critically for service uptake, there is also a dearth of research exploring FAOs’ own experiences of choosing and using CRAFT.</w:t>
      </w:r>
      <w:r w:rsidR="00767BA2">
        <w:t xml:space="preserve"> </w:t>
      </w:r>
    </w:p>
    <w:p w14:paraId="23AFE3D7" w14:textId="11320162" w:rsidR="00767BA2" w:rsidRDefault="00767BA2" w:rsidP="00767BA2">
      <w:pPr>
        <w:jc w:val="both"/>
      </w:pPr>
    </w:p>
    <w:p w14:paraId="643D1D53" w14:textId="77777777" w:rsidR="00767BA2" w:rsidRDefault="00767BA2" w:rsidP="00E137E0">
      <w:pPr>
        <w:pStyle w:val="Heading4"/>
      </w:pPr>
      <w:bookmarkStart w:id="30" w:name="_Toc41640892"/>
      <w:r>
        <w:t>Enhancing FAO coping and social support</w:t>
      </w:r>
      <w:bookmarkEnd w:id="30"/>
    </w:p>
    <w:p w14:paraId="179AE99F" w14:textId="53C99278" w:rsidR="00767BA2" w:rsidRPr="00CB28FD" w:rsidRDefault="00767BA2" w:rsidP="00767BA2">
      <w:pPr>
        <w:jc w:val="both"/>
      </w:pPr>
      <w:r w:rsidRPr="00CB28FD">
        <w:t xml:space="preserve">Family-oriented perspectives hold that although family involvement </w:t>
      </w:r>
      <w:r>
        <w:t xml:space="preserve">in addictions treatment </w:t>
      </w:r>
      <w:r w:rsidRPr="00CB28FD">
        <w:t>can improve treatment engagement and outcomes for</w:t>
      </w:r>
      <w:r>
        <w:t xml:space="preserve"> people experiencing addiction, i</w:t>
      </w:r>
      <w:r w:rsidRPr="00CB28FD">
        <w:t xml:space="preserve">t remains </w:t>
      </w:r>
      <w:r>
        <w:t>“</w:t>
      </w:r>
      <w:r w:rsidRPr="00CB28FD">
        <w:t>an open question</w:t>
      </w:r>
      <w:r>
        <w:t>”</w:t>
      </w:r>
      <w:r w:rsidRPr="00CB28FD">
        <w:t xml:space="preserve"> whether these outcomes are compatible</w:t>
      </w:r>
      <w:r>
        <w:t xml:space="preserve"> with enhancing FAO wellbeing</w:t>
      </w:r>
      <w:r w:rsidRPr="00CB28FD">
        <w:t xml:space="preserve"> </w:t>
      </w:r>
      <w:r w:rsidRPr="00CB28FD">
        <w:fldChar w:fldCharType="begin"/>
      </w:r>
      <w:r w:rsidRPr="00CB28FD">
        <w:instrText xml:space="preserve"> ADDIN EN.CITE &lt;EndNote&gt;&lt;Cite&gt;&lt;Author&gt;Orford&lt;/Author&gt;&lt;Year&gt;1994&lt;/Year&gt;&lt;RecNum&gt;39&lt;/RecNum&gt;&lt;Pages&gt;420&lt;/Pages&gt;&lt;DisplayText&gt;(Orford, 1994, p. 420)&lt;/DisplayText&gt;&lt;record&gt;&lt;rec-number&gt;39&lt;/rec-number&gt;&lt;foreign-keys&gt;&lt;key app="EN" db-id="25rszwft292ev3esrpvpde0cpxrd9ex0xspp" timestamp="1550177756"&gt;39&lt;/key&gt;&lt;/foreign-keys&gt;&lt;ref-type name="Journal Article"&gt;17&lt;/ref-type&gt;&lt;contributors&gt;&lt;authors&gt;&lt;author&gt;Orford, Jim&lt;/author&gt;&lt;/authors&gt;&lt;/contributors&gt;&lt;titles&gt;&lt;title&gt;Empowering family and friends: a new approach to the secondary prevention of addiction&lt;/title&gt;&lt;secondary-title&gt;Drug and alcohol review&lt;/secondary-title&gt;&lt;/titles&gt;&lt;periodical&gt;&lt;full-title&gt;Drug and alcohol review&lt;/full-title&gt;&lt;/periodical&gt;&lt;pages&gt;417-429&lt;/pages&gt;&lt;volume&gt;13&lt;/volume&gt;&lt;number&gt;4&lt;/number&gt;&lt;dates&gt;&lt;year&gt;1994&lt;/year&gt;&lt;/dates&gt;&lt;isbn&gt;0959-5236&lt;/isbn&gt;&lt;urls&gt;&lt;/urls&gt;&lt;/record&gt;&lt;/Cite&gt;&lt;/EndNote&gt;</w:instrText>
      </w:r>
      <w:r w:rsidRPr="00CB28FD">
        <w:fldChar w:fldCharType="separate"/>
      </w:r>
      <w:r w:rsidRPr="00CB28FD">
        <w:t>(Orford, 1994, p. 420)</w:t>
      </w:r>
      <w:r w:rsidRPr="00CB28FD">
        <w:fldChar w:fldCharType="end"/>
      </w:r>
      <w:r w:rsidRPr="00CB28FD">
        <w:t xml:space="preserve">. FAOs </w:t>
      </w:r>
      <w:r w:rsidR="003E5DD9">
        <w:t>can</w:t>
      </w:r>
      <w:r w:rsidRPr="00CB28FD">
        <w:t xml:space="preserve"> become the focus of help and support in their own right, without necessary reference to the </w:t>
      </w:r>
      <w:r w:rsidR="00A179E2">
        <w:t>person with the addiction’s</w:t>
      </w:r>
      <w:r w:rsidRPr="00CB28FD">
        <w:t xml:space="preserve"> needs or issues.</w:t>
      </w:r>
      <w:r>
        <w:t xml:space="preserve"> </w:t>
      </w:r>
      <w:r w:rsidRPr="00CB28FD">
        <w:t xml:space="preserve">A stress-strain-coping-support (SSCS) model of addiction positions FAOs as ‘normal people placed in an abnormal situation’ by substance use that is largely beyond their control </w:t>
      </w:r>
      <w:r w:rsidRPr="00CB28FD">
        <w:fldChar w:fldCharType="begin">
          <w:fldData xml:space="preserve">PEVuZE5vdGU+PENpdGU+PEF1dGhvcj5PcmZvcmQ8L0F1dGhvcj48WWVhcj4yMDEwPC9ZZWFyPjxS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</w:fldData>
        </w:fldChar>
      </w:r>
      <w:r>
        <w:instrText xml:space="preserve"> ADDIN EN.CITE </w:instrText>
      </w:r>
      <w:r>
        <w:fldChar w:fldCharType="begin">
          <w:fldData xml:space="preserve">PEVuZE5vdGU+PENpdGU+PEF1dGhvcj5PcmZvcmQ8L0F1dGhvcj48WWVhcj4yMDEwPC9ZZWFyPjxS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</w:fldData>
        </w:fldChar>
      </w:r>
      <w:r>
        <w:instrText xml:space="preserve"> ADDIN EN.CITE.DATA </w:instrText>
      </w:r>
      <w:r>
        <w:fldChar w:fldCharType="end"/>
      </w:r>
      <w:r w:rsidRPr="00CB28FD">
        <w:fldChar w:fldCharType="separate"/>
      </w:r>
      <w:r>
        <w:rPr>
          <w:noProof/>
        </w:rPr>
        <w:t>(e.g. Orford et al., 2010; Orford, Templeton, Velleman, &amp; Copello, 2005; Templeton, Velleman, &amp; Russell, 2010)</w:t>
      </w:r>
      <w:r w:rsidRPr="00CB28FD">
        <w:fldChar w:fldCharType="end"/>
      </w:r>
      <w:r w:rsidRPr="00CB28FD">
        <w:t xml:space="preserve">. The stress-coping model seeks to “incorporate the idea of being active in the face of adversity, of effective problem solving, of being an agent in one's own destiny, of not being powerless” </w:t>
      </w:r>
      <w:r w:rsidRPr="00CB28FD">
        <w:fldChar w:fldCharType="begin"/>
      </w:r>
      <w:r>
        <w:instrText xml:space="preserve"> ADDIN EN.CITE &lt;EndNote&gt;&lt;Cite&gt;&lt;Author&gt;Orford&lt;/Author&gt;&lt;Year&gt;2010&lt;/Year&gt;&lt;RecNum&gt;257&lt;/RecNum&gt;&lt;Pages&gt;37&lt;/Pages&gt;&lt;DisplayText&gt;(Orford et al., 2010, p. 37)&lt;/DisplayText&gt;&lt;record&gt;&lt;rec-number&gt;257&lt;/rec-number&gt;&lt;foreign-keys&gt;&lt;key app="EN" db-id="25rszwft292ev3esrpvpde0cpxrd9ex0xspp" timestamp="1589931283"&gt;257&lt;/key&gt;&lt;/foreign-keys&gt;&lt;ref-type name="Journal Article"&gt;17&lt;/ref-type&gt;&lt;contributors&gt;&lt;authors&gt;&lt;author&gt;Orford, Jim&lt;/author&gt;&lt;author&gt;Copello, Alex&lt;/author&gt;&lt;author&gt;Velleman, Richard&lt;/author&gt;&lt;author&gt;Templeton, Lorna&lt;/author&gt;&lt;/authors&gt;&lt;/contributors&gt;&lt;titles&gt;&lt;title&gt;Family members affected by a close relative&amp;apos;s addiction: The stress-strain-coping-support model&lt;/title&gt;&lt;secondary-title&gt;Drugs: education, prevention and policy&lt;/secondary-title&gt;&lt;/titles&gt;&lt;periodical&gt;&lt;full-title&gt;Drugs: education, prevention and policy&lt;/full-title&gt;&lt;/periodical&gt;&lt;pages&gt;36-43&lt;/pages&gt;&lt;volume&gt;17&lt;/volume&gt;&lt;number&gt;sup1&lt;/number&gt;&lt;dates&gt;&lt;year&gt;2010&lt;/year&gt;&lt;/dates&gt;&lt;isbn&gt;0968-7637&lt;/isbn&gt;&lt;urls&gt;&lt;/urls&gt;&lt;/record&gt;&lt;/Cite&gt;&lt;/EndNote&gt;</w:instrText>
      </w:r>
      <w:r w:rsidRPr="00CB28FD">
        <w:fldChar w:fldCharType="separate"/>
      </w:r>
      <w:r>
        <w:rPr>
          <w:noProof/>
        </w:rPr>
        <w:t>(Orford et al., 2010, p. 37)</w:t>
      </w:r>
      <w:r w:rsidRPr="00CB28FD">
        <w:fldChar w:fldCharType="end"/>
      </w:r>
      <w:r w:rsidRPr="00CB28FD">
        <w:t xml:space="preserve">. </w:t>
      </w:r>
      <w:r w:rsidR="002D21AF">
        <w:fldChar w:fldCharType="begin"/>
      </w:r>
      <w:r w:rsidR="002D21AF">
        <w:instrText xml:space="preserve"> REF _Ref57724226 \h </w:instrText>
      </w:r>
      <w:r w:rsidR="002D21AF">
        <w:fldChar w:fldCharType="separate"/>
      </w:r>
      <w:r w:rsidR="00DF0799">
        <w:t xml:space="preserve">Figure </w:t>
      </w:r>
      <w:r w:rsidR="00DF0799">
        <w:rPr>
          <w:noProof/>
        </w:rPr>
        <w:t>1</w:t>
      </w:r>
      <w:r w:rsidR="002D21AF">
        <w:fldChar w:fldCharType="end"/>
      </w:r>
      <w:r w:rsidR="002D21AF">
        <w:t xml:space="preserve"> </w:t>
      </w:r>
      <w:r w:rsidRPr="00D10F13">
        <w:t>illustrates</w:t>
      </w:r>
      <w:r w:rsidRPr="00CB28FD">
        <w:t xml:space="preserve"> the model, detailing the relationship between the family members and the experience of stress, strain, and coping. </w:t>
      </w:r>
    </w:p>
    <w:p w14:paraId="2D0144E4" w14:textId="77777777" w:rsidR="00767BA2" w:rsidRPr="00CB28FD" w:rsidRDefault="00767BA2" w:rsidP="00767BA2">
      <w:pPr>
        <w:jc w:val="both"/>
      </w:pPr>
    </w:p>
    <w:p w14:paraId="24BCA749" w14:textId="77777777" w:rsidR="00767BA2" w:rsidRPr="00CB28FD" w:rsidRDefault="00767BA2" w:rsidP="00767BA2">
      <w:pPr>
        <w:jc w:val="both"/>
      </w:pPr>
      <w:r w:rsidRPr="00CB28FD">
        <w:rPr>
          <w:noProof/>
        </w:rPr>
        <w:lastRenderedPageBreak/>
        <w:drawing>
          <wp:inline distT="0" distB="0" distL="0" distR="0" wp14:anchorId="31EC29C4" wp14:editId="4C0B1CC5">
            <wp:extent cx="3390277" cy="3070019"/>
            <wp:effectExtent l="0" t="0" r="635" b="0"/>
            <wp:docPr id="14" name="Picture 14" descr="F:\Support for family members and affected others\1 Critical review\AOD literature review\s-s-c mod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pport for family members and affected others\1 Critical review\AOD literature review\s-s-c model.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6262" cy="3084494"/>
                    </a:xfrm>
                    <a:prstGeom prst="rect">
                      <a:avLst/>
                    </a:prstGeom>
                    <a:noFill/>
                    <a:ln>
                      <a:noFill/>
                    </a:ln>
                  </pic:spPr>
                </pic:pic>
              </a:graphicData>
            </a:graphic>
          </wp:inline>
        </w:drawing>
      </w:r>
    </w:p>
    <w:p w14:paraId="746A67CB" w14:textId="0D1EA0C5" w:rsidR="00767BA2" w:rsidRPr="008D0862" w:rsidRDefault="006C7154" w:rsidP="006C7154">
      <w:pPr>
        <w:pStyle w:val="Caption"/>
      </w:pPr>
      <w:bookmarkStart w:id="31" w:name="_Ref57724226"/>
      <w:bookmarkStart w:id="32" w:name="_Toc58400806"/>
      <w:r>
        <w:t xml:space="preserve">Figure </w:t>
      </w:r>
      <w:r w:rsidR="00D04B86">
        <w:fldChar w:fldCharType="begin"/>
      </w:r>
      <w:r w:rsidR="00D04B86">
        <w:instrText xml:space="preserve"> SEQ Figure \* ARABIC </w:instrText>
      </w:r>
      <w:r w:rsidR="00D04B86">
        <w:fldChar w:fldCharType="separate"/>
      </w:r>
      <w:r w:rsidR="00DF0799">
        <w:rPr>
          <w:noProof/>
        </w:rPr>
        <w:t>1</w:t>
      </w:r>
      <w:r w:rsidR="00D04B86">
        <w:rPr>
          <w:noProof/>
        </w:rPr>
        <w:fldChar w:fldCharType="end"/>
      </w:r>
      <w:bookmarkEnd w:id="31"/>
      <w:r>
        <w:t xml:space="preserve">. </w:t>
      </w:r>
      <w:r w:rsidR="00767BA2" w:rsidRPr="008D0862">
        <w:t xml:space="preserve">The stress-strain-coping-support (SSCS) model </w:t>
      </w:r>
      <w:r w:rsidR="00767BA2" w:rsidRPr="008D0862">
        <w:fldChar w:fldCharType="begin"/>
      </w:r>
      <w:r w:rsidR="00767BA2" w:rsidRPr="008D0862">
        <w:instrText xml:space="preserve"> ADDIN EN.CITE &lt;EndNote&gt;&lt;Cite&gt;&lt;Author&gt;Orford&lt;/Author&gt;&lt;Year&gt;2010&lt;/Year&gt;&lt;RecNum&gt;257&lt;/RecNum&gt;&lt;Pages&gt;37&lt;/Pages&gt;&lt;DisplayText&gt;(Orford et al., 2010, p. 37)&lt;/DisplayText&gt;&lt;record&gt;&lt;rec-number&gt;257&lt;/rec-number&gt;&lt;foreign-keys&gt;&lt;key app="EN" db-id="25rszwft292ev3esrpvpde0cpxrd9ex0xspp" timestamp="1589931283"&gt;257&lt;/key&gt;&lt;/foreign-keys&gt;&lt;ref-type name="Journal Article"&gt;17&lt;/ref-type&gt;&lt;contributors&gt;&lt;authors&gt;&lt;author&gt;Orford, Jim&lt;/author&gt;&lt;author&gt;Copello, Alex&lt;/author&gt;&lt;author&gt;Velleman, Richard&lt;/author&gt;&lt;author&gt;Templeton, Lorna&lt;/author&gt;&lt;/authors&gt;&lt;/contributors&gt;&lt;titles&gt;&lt;title&gt;Family members affected by a close relative&amp;apos;s addiction: The stress-strain-coping-support model&lt;/title&gt;&lt;secondary-title&gt;Drugs: education, prevention and policy&lt;/secondary-title&gt;&lt;/titles&gt;&lt;periodical&gt;&lt;full-title&gt;Drugs: education, prevention and policy&lt;/full-title&gt;&lt;/periodical&gt;&lt;pages&gt;36-43&lt;/pages&gt;&lt;volume&gt;17&lt;/volume&gt;&lt;number&gt;sup1&lt;/number&gt;&lt;dates&gt;&lt;year&gt;2010&lt;/year&gt;&lt;/dates&gt;&lt;isbn&gt;0968-7637&lt;/isbn&gt;&lt;urls&gt;&lt;/urls&gt;&lt;/record&gt;&lt;/Cite&gt;&lt;/EndNote&gt;</w:instrText>
      </w:r>
      <w:r w:rsidR="00767BA2" w:rsidRPr="008D0862">
        <w:fldChar w:fldCharType="separate"/>
      </w:r>
      <w:r w:rsidR="00767BA2" w:rsidRPr="008D0862">
        <w:rPr>
          <w:noProof/>
        </w:rPr>
        <w:t>(Orford et al., 2010, p. 37)</w:t>
      </w:r>
      <w:bookmarkEnd w:id="32"/>
      <w:r w:rsidR="00767BA2" w:rsidRPr="008D0862">
        <w:fldChar w:fldCharType="end"/>
      </w:r>
    </w:p>
    <w:p w14:paraId="311CD381" w14:textId="77777777" w:rsidR="00767BA2" w:rsidRDefault="00767BA2" w:rsidP="00767BA2">
      <w:pPr>
        <w:jc w:val="both"/>
      </w:pPr>
    </w:p>
    <w:p w14:paraId="39EABFF9" w14:textId="77777777" w:rsidR="00767BA2" w:rsidRPr="00CB54C8" w:rsidRDefault="00767BA2" w:rsidP="00767BA2">
      <w:pPr>
        <w:jc w:val="both"/>
      </w:pPr>
      <w:r w:rsidRPr="00CB28FD">
        <w:t>Adaptive coping strategies for FAOs affected by substance abuse are held to include letting go of a feeling of total responsibility for the problem, setting firm boundaries, and clear communication</w:t>
      </w:r>
      <w:r>
        <w:t xml:space="preserve"> </w:t>
      </w:r>
      <w:r>
        <w:fldChar w:fldCharType="begin"/>
      </w:r>
      <w:r>
        <w:instrText xml:space="preserve"> ADDIN EN.CITE &lt;EndNote&gt;&lt;Cite&gt;&lt;Author&gt;Gethin&lt;/Author&gt;&lt;Year&gt;2016&lt;/Year&gt;&lt;RecNum&gt;261&lt;/RecNum&gt;&lt;DisplayText&gt;(Gethin, Trimingham, Chang, Farrell, &amp;amp; Ross, 2016)&lt;/DisplayText&gt;&lt;record&gt;&lt;rec-number&gt;261&lt;/rec-number&gt;&lt;foreign-keys&gt;&lt;key app="EN" db-id="25rszwft292ev3esrpvpde0cpxrd9ex0xspp" timestamp="1590369736"&gt;261&lt;/key&gt;&lt;/foreign-keys&gt;&lt;ref-type name="Journal Article"&gt;17&lt;/ref-type&gt;&lt;contributors&gt;&lt;authors&gt;&lt;author&gt;Gethin, Anni&lt;/author&gt;&lt;author&gt;Trimingham, Tony&lt;/author&gt;&lt;author&gt;Chang, Theo&lt;/author&gt;&lt;author&gt;Farrell, Michael&lt;/author&gt;&lt;author&gt;Ross, Joanne&lt;/author&gt;&lt;/authors&gt;&lt;/contributors&gt;&lt;titles&gt;&lt;title&gt;Coping with problematic drug use in the family: An evaluation of the S tepping S tones program&lt;/title&gt;&lt;secondary-title&gt;Drug and alcohol review&lt;/secondary-title&gt;&lt;/titles&gt;&lt;periodical&gt;&lt;full-title&gt;Drug and alcohol review&lt;/full-title&gt;&lt;/periodical&gt;&lt;pages&gt;470-476&lt;/pages&gt;&lt;volume&gt;35&lt;/volume&gt;&lt;number&gt;4&lt;/number&gt;&lt;dates&gt;&lt;year&gt;2016&lt;/year&gt;&lt;/dates&gt;&lt;isbn&gt;0959-5236&lt;/isbn&gt;&lt;urls&gt;&lt;/urls&gt;&lt;/record&gt;&lt;/Cite&gt;&lt;/EndNote&gt;</w:instrText>
      </w:r>
      <w:r>
        <w:fldChar w:fldCharType="separate"/>
      </w:r>
      <w:r>
        <w:rPr>
          <w:noProof/>
        </w:rPr>
        <w:t>(Gethin, Trimingham, Chang, Farrell, &amp; Ross, 2016)</w:t>
      </w:r>
      <w:r>
        <w:fldChar w:fldCharType="end"/>
      </w:r>
      <w:r>
        <w:t xml:space="preserve">. </w:t>
      </w:r>
      <w:r w:rsidRPr="00CB54C8">
        <w:t xml:space="preserve">Typical responses regarded as unhelpful to substance use and FAO wellbeing </w:t>
      </w:r>
      <w:r>
        <w:t>include</w:t>
      </w:r>
      <w:r w:rsidRPr="00CB54C8">
        <w:t xml:space="preserve"> hard-line threats, ultimatums, over-responsibility, obsessing,</w:t>
      </w:r>
      <w:r>
        <w:t xml:space="preserve"> and</w:t>
      </w:r>
      <w:r w:rsidRPr="00CB54C8">
        <w:t xml:space="preserve"> rescuing</w:t>
      </w:r>
      <w:r>
        <w:t xml:space="preserve"> behaviour </w:t>
      </w:r>
      <w:r>
        <w:fldChar w:fldCharType="begin"/>
      </w:r>
      <w:r>
        <w:instrText xml:space="preserve"> ADDIN EN.CITE &lt;EndNote&gt;&lt;Cite&gt;&lt;Author&gt;Gethin&lt;/Author&gt;&lt;Year&gt;2016&lt;/Year&gt;&lt;RecNum&gt;261&lt;/RecNum&gt;&lt;DisplayText&gt;(Gethin et al., 2016)&lt;/DisplayText&gt;&lt;record&gt;&lt;rec-number&gt;261&lt;/rec-number&gt;&lt;foreign-keys&gt;&lt;key app="EN" db-id="25rszwft292ev3esrpvpde0cpxrd9ex0xspp" timestamp="1590369736"&gt;261&lt;/key&gt;&lt;/foreign-keys&gt;&lt;ref-type name="Journal Article"&gt;17&lt;/ref-type&gt;&lt;contributors&gt;&lt;authors&gt;&lt;author&gt;Gethin, Anni&lt;/author&gt;&lt;author&gt;Trimingham, Tony&lt;/author&gt;&lt;author&gt;Chang, Theo&lt;/author&gt;&lt;author&gt;Farrell, Michael&lt;/author&gt;&lt;author&gt;Ross, Joanne&lt;/author&gt;&lt;/authors&gt;&lt;/contributors&gt;&lt;titles&gt;&lt;title&gt;Coping with problematic drug use in the family: An evaluation of the S tepping S tones program&lt;/title&gt;&lt;secondary-title&gt;Drug and alcohol review&lt;/secondary-title&gt;&lt;/titles&gt;&lt;periodical&gt;&lt;full-title&gt;Drug and alcohol review&lt;/full-title&gt;&lt;/periodical&gt;&lt;pages&gt;470-476&lt;/pages&gt;&lt;volume&gt;35&lt;/volume&gt;&lt;number&gt;4&lt;/number&gt;&lt;dates&gt;&lt;year&gt;2016&lt;/year&gt;&lt;/dates&gt;&lt;isbn&gt;0959-5236&lt;/isbn&gt;&lt;urls&gt;&lt;/urls&gt;&lt;/record&gt;&lt;/Cite&gt;&lt;/EndNote&gt;</w:instrText>
      </w:r>
      <w:r>
        <w:fldChar w:fldCharType="separate"/>
      </w:r>
      <w:r>
        <w:rPr>
          <w:noProof/>
        </w:rPr>
        <w:t>(Gethin et al., 2016)</w:t>
      </w:r>
      <w:r>
        <w:fldChar w:fldCharType="end"/>
      </w:r>
      <w:r>
        <w:t xml:space="preserve">.  </w:t>
      </w:r>
      <w:r w:rsidRPr="00CB54C8">
        <w:t xml:space="preserve">Although addiction in a family can produce trauma and suffering, </w:t>
      </w:r>
      <w:r>
        <w:t xml:space="preserve">this perspective holds that </w:t>
      </w:r>
      <w:r w:rsidRPr="00CB54C8">
        <w:t>FAOs can be supported to reduce their distress and cope more effectively. The role of professional support is to facilitate this process:</w:t>
      </w:r>
    </w:p>
    <w:p w14:paraId="7DD39190" w14:textId="77777777" w:rsidR="00767BA2" w:rsidRPr="00CB54C8" w:rsidRDefault="00767BA2" w:rsidP="00767BA2">
      <w:pPr>
        <w:jc w:val="both"/>
      </w:pPr>
    </w:p>
    <w:p w14:paraId="388446E9" w14:textId="77777777" w:rsidR="00767BA2" w:rsidRPr="00CB54C8" w:rsidRDefault="00767BA2" w:rsidP="00767BA2">
      <w:pPr>
        <w:ind w:left="720"/>
        <w:jc w:val="both"/>
      </w:pPr>
      <w:r w:rsidRPr="00CB54C8">
        <w:rPr>
          <w:i/>
        </w:rPr>
        <w:t xml:space="preserve">What primary health care workers can do…[is] Listen non-judgementally, provide useful information, counsel non-directively about ways of coping, help strengthen social support and joint problem-solving in the family. </w:t>
      </w:r>
      <w:r w:rsidRPr="00CB54C8">
        <w:rPr>
          <w:i/>
        </w:rPr>
        <w:fldChar w:fldCharType="begin"/>
      </w:r>
      <w:r w:rsidRPr="00CB54C8">
        <w:rPr>
          <w:i/>
        </w:rPr>
        <w:instrText xml:space="preserve"> ADDIN EN.CITE &lt;EndNote&gt;&lt;Cite&gt;&lt;Author&gt;Orford&lt;/Author&gt;&lt;Year&gt;1994&lt;/Year&gt;&lt;RecNum&gt;39&lt;/RecNum&gt;&lt;Pages&gt;425&lt;/Pages&gt;&lt;DisplayText&gt;(Orford, 1994, p. 425)&lt;/DisplayText&gt;&lt;record&gt;&lt;rec-number&gt;39&lt;/rec-number&gt;&lt;foreign-keys&gt;&lt;key app="EN" db-id="25rszwft292ev3esrpvpde0cpxrd9ex0xspp" timestamp="1550177756"&gt;39&lt;/key&gt;&lt;/foreign-keys&gt;&lt;ref-type name="Journal Article"&gt;17&lt;/ref-type&gt;&lt;contributors&gt;&lt;authors&gt;&lt;author&gt;Orford, Jim&lt;/author&gt;&lt;/authors&gt;&lt;/contributors&gt;&lt;titles&gt;&lt;title&gt;Empowering family and friends: a new approach to the secondary prevention of addiction&lt;/title&gt;&lt;secondary-title&gt;Drug and alcohol review&lt;/secondary-title&gt;&lt;/titles&gt;&lt;periodical&gt;&lt;full-title&gt;Drug and alcohol review&lt;/full-title&gt;&lt;/periodical&gt;&lt;pages&gt;417-429&lt;/pages&gt;&lt;volume&gt;13&lt;/volume&gt;&lt;number&gt;4&lt;/number&gt;&lt;dates&gt;&lt;year&gt;1994&lt;/year&gt;&lt;/dates&gt;&lt;isbn&gt;0959-5236&lt;/isbn&gt;&lt;urls&gt;&lt;/urls&gt;&lt;/record&gt;&lt;/Cite&gt;&lt;/EndNote&gt;</w:instrText>
      </w:r>
      <w:r w:rsidRPr="00CB54C8">
        <w:rPr>
          <w:i/>
        </w:rPr>
        <w:fldChar w:fldCharType="separate"/>
      </w:r>
      <w:r w:rsidRPr="00CB54C8">
        <w:rPr>
          <w:i/>
        </w:rPr>
        <w:t>(Orford, 1994, p. 425)</w:t>
      </w:r>
      <w:r w:rsidRPr="00CB54C8">
        <w:fldChar w:fldCharType="end"/>
      </w:r>
    </w:p>
    <w:p w14:paraId="45A12D63" w14:textId="77777777" w:rsidR="00767BA2" w:rsidRDefault="00767BA2" w:rsidP="00767BA2">
      <w:pPr>
        <w:jc w:val="both"/>
      </w:pPr>
    </w:p>
    <w:p w14:paraId="53571983" w14:textId="77777777" w:rsidR="00767BA2" w:rsidRPr="00017161" w:rsidRDefault="00767BA2" w:rsidP="00767BA2">
      <w:pPr>
        <w:rPr>
          <w:i/>
          <w:iCs/>
        </w:rPr>
      </w:pPr>
      <w:r w:rsidRPr="00017161">
        <w:rPr>
          <w:i/>
          <w:iCs/>
        </w:rPr>
        <w:t>5-Step intervention as a key programme for enhancing FAO coping and social support</w:t>
      </w:r>
    </w:p>
    <w:p w14:paraId="4F7A9BAB" w14:textId="530F9818" w:rsidR="00767BA2" w:rsidRPr="00C247E6" w:rsidRDefault="00767BA2" w:rsidP="00767BA2">
      <w:pPr>
        <w:jc w:val="both"/>
      </w:pPr>
      <w:r w:rsidRPr="00CB54C8">
        <w:t xml:space="preserve">The 5-step method was developed incorporating components of the SSCS model into a step-wise method to be used when supporting </w:t>
      </w:r>
      <w:r w:rsidR="00A179E2">
        <w:t xml:space="preserve">individual </w:t>
      </w:r>
      <w:r w:rsidRPr="00CB54C8">
        <w:t>FAOs to cope</w:t>
      </w:r>
      <w:r w:rsidR="006129C2">
        <w:t xml:space="preserve"> </w:t>
      </w:r>
      <w:r w:rsidR="006129C2">
        <w:fldChar w:fldCharType="begin"/>
      </w:r>
      <w:r w:rsidR="006129C2">
        <w:instrText xml:space="preserve"> ADDIN EN.CITE &lt;EndNote&gt;&lt;Cite&gt;&lt;Author&gt;Copello&lt;/Author&gt;&lt;Year&gt;2010&lt;/Year&gt;&lt;RecNum&gt;163&lt;/RecNum&gt;&lt;DisplayText&gt;(Copello et al., 2010; Copello, Templeton, &amp;amp; Velleman, 2006)&lt;/DisplayText&gt;&lt;record&gt;&lt;rec-number&gt;163&lt;/rec-number&gt;&lt;foreign-keys&gt;&lt;key app="EN" db-id="25rszwft292ev3esrpvpde0cpxrd9ex0xspp" timestamp="1586309669"&gt;163&lt;/key&gt;&lt;/foreign-keys&gt;&lt;ref-type name="Journal Article"&gt;17&lt;/ref-type&gt;&lt;contributors&gt;&lt;authors&gt;&lt;author&gt;Copello, A&lt;/author&gt;&lt;author&gt;Templeton, Lorna&lt;/author&gt;&lt;author&gt;Orford, Jim&lt;/author&gt;&lt;author&gt;Velleman, Richard&lt;/author&gt;&lt;/authors&gt;&lt;/contributors&gt;&lt;titles&gt;&lt;title&gt;The 5-Step Method: Evidence of gains for affected family members&lt;/title&gt;&lt;secondary-title&gt;Drugs: education, prevention and policy&lt;/secondary-title&gt;&lt;/titles&gt;&lt;periodical&gt;&lt;full-title&gt;Drugs: education, prevention and policy&lt;/full-title&gt;&lt;/periodical&gt;&lt;pages&gt;100-112&lt;/pages&gt;&lt;volume&gt;17&lt;/volume&gt;&lt;number&gt;sup1&lt;/number&gt;&lt;dates&gt;&lt;year&gt;2010&lt;/year&gt;&lt;/dates&gt;&lt;isbn&gt;0968-7637&lt;/isbn&gt;&lt;urls&gt;&lt;/urls&gt;&lt;/record&gt;&lt;/Cite&gt;&lt;Cite&gt;&lt;Author&gt;Copello&lt;/Author&gt;&lt;Year&gt;2006&lt;/Year&gt;&lt;RecNum&gt;118&lt;/RecNum&gt;&lt;record&gt;&lt;rec-number&gt;118&lt;/rec-number&gt;&lt;foreign-keys&gt;&lt;key app="EN" db-id="25rszwft292ev3esrpvpde0cpxrd9ex0xspp" timestamp="1585175561"&gt;118&lt;/key&gt;&lt;/foreign-keys&gt;&lt;ref-type name="Journal Article"&gt;17&lt;/ref-type&gt;&lt;contributors&gt;&lt;authors&gt;&lt;author&gt;Copello, A&lt;/author&gt;&lt;author&gt;Templeton, Lorna&lt;/author&gt;&lt;author&gt;Velleman, Richard&lt;/author&gt;&lt;/authors&gt;&lt;/contributors&gt;&lt;titles&gt;&lt;title&gt;Family interventions for drug and alcohol misuse: is there a best practice?&lt;/title&gt;&lt;secondary-title&gt;Current opinion in psychiatry&lt;/secondary-title&gt;&lt;/titles&gt;&lt;periodical&gt;&lt;full-title&gt;Current opinion in psychiatry&lt;/full-title&gt;&lt;/periodical&gt;&lt;pages&gt;271-276&lt;/pages&gt;&lt;volume&gt;19&lt;/volume&gt;&lt;number&gt;3&lt;/number&gt;&lt;dates&gt;&lt;year&gt;2006&lt;/year&gt;&lt;/dates&gt;&lt;isbn&gt;0951-7367&lt;/isbn&gt;&lt;urls&gt;&lt;/urls&gt;&lt;/record&gt;&lt;/Cite&gt;&lt;/EndNote&gt;</w:instrText>
      </w:r>
      <w:r w:rsidR="006129C2">
        <w:fldChar w:fldCharType="separate"/>
      </w:r>
      <w:r w:rsidR="006129C2">
        <w:rPr>
          <w:noProof/>
        </w:rPr>
        <w:t>(Copello et al., 2010; Copello, Templeton, &amp; Velleman, 2006)</w:t>
      </w:r>
      <w:r w:rsidR="006129C2">
        <w:fldChar w:fldCharType="end"/>
      </w:r>
      <w:r w:rsidRPr="00CB54C8">
        <w:t>.</w:t>
      </w:r>
      <w:r>
        <w:t xml:space="preserve"> </w:t>
      </w:r>
      <w:r w:rsidRPr="00C247E6">
        <w:t xml:space="preserve">The five steps are detailed </w:t>
      </w:r>
      <w:r w:rsidRPr="008D0862">
        <w:t>in</w:t>
      </w:r>
      <w:r w:rsidR="00A3617D">
        <w:t xml:space="preserve"> </w:t>
      </w:r>
      <w:r w:rsidR="00A3617D">
        <w:fldChar w:fldCharType="begin"/>
      </w:r>
      <w:r w:rsidR="00A3617D">
        <w:instrText xml:space="preserve"> REF _Ref54861973 \h </w:instrText>
      </w:r>
      <w:r w:rsidR="00A3617D">
        <w:fldChar w:fldCharType="separate"/>
      </w:r>
      <w:r w:rsidR="00DF0799">
        <w:t xml:space="preserve">Figure </w:t>
      </w:r>
      <w:r w:rsidR="00DF0799">
        <w:rPr>
          <w:noProof/>
        </w:rPr>
        <w:t>2</w:t>
      </w:r>
      <w:r w:rsidR="00A3617D">
        <w:fldChar w:fldCharType="end"/>
      </w:r>
      <w:r w:rsidRPr="008D0862">
        <w:t>.</w:t>
      </w:r>
      <w:r w:rsidRPr="00C247E6">
        <w:t xml:space="preserve"> </w:t>
      </w:r>
    </w:p>
    <w:p w14:paraId="2DB2CA3C" w14:textId="77777777" w:rsidR="00767BA2" w:rsidRPr="00C247E6" w:rsidRDefault="00767BA2" w:rsidP="00767BA2">
      <w:pPr>
        <w:jc w:val="both"/>
      </w:pPr>
    </w:p>
    <w:p w14:paraId="3F0534D7" w14:textId="77777777" w:rsidR="00767BA2" w:rsidRPr="00C247E6" w:rsidRDefault="00767BA2" w:rsidP="00767BA2">
      <w:pPr>
        <w:jc w:val="both"/>
      </w:pPr>
      <w:r w:rsidRPr="00C247E6">
        <w:rPr>
          <w:noProof/>
        </w:rPr>
        <w:lastRenderedPageBreak/>
        <w:drawing>
          <wp:inline distT="0" distB="0" distL="0" distR="0" wp14:anchorId="615B7FDD" wp14:editId="0E453A5F">
            <wp:extent cx="3735177" cy="3128571"/>
            <wp:effectExtent l="0" t="0" r="0" b="0"/>
            <wp:docPr id="15" name="Picture 15" descr="F:\Support for family members and affected others\1 Critical review\AOD literature review\5-st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pport for family members and affected others\1 Critical review\AOD literature review\5-ste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2272" cy="3151266"/>
                    </a:xfrm>
                    <a:prstGeom prst="rect">
                      <a:avLst/>
                    </a:prstGeom>
                    <a:noFill/>
                    <a:ln>
                      <a:noFill/>
                    </a:ln>
                  </pic:spPr>
                </pic:pic>
              </a:graphicData>
            </a:graphic>
          </wp:inline>
        </w:drawing>
      </w:r>
    </w:p>
    <w:p w14:paraId="45C8FC2A" w14:textId="084DC351" w:rsidR="00767BA2" w:rsidRPr="008D0862" w:rsidRDefault="00A3617D" w:rsidP="00A3617D">
      <w:pPr>
        <w:pStyle w:val="Caption"/>
      </w:pPr>
      <w:bookmarkStart w:id="33" w:name="_Ref54861973"/>
      <w:bookmarkStart w:id="34" w:name="_Toc58400807"/>
      <w:r>
        <w:t xml:space="preserve">Figure </w:t>
      </w:r>
      <w:r w:rsidR="00D04B86">
        <w:fldChar w:fldCharType="begin"/>
      </w:r>
      <w:r w:rsidR="00D04B86">
        <w:instrText xml:space="preserve"> SEQ Figure \* ARABIC </w:instrText>
      </w:r>
      <w:r w:rsidR="00D04B86">
        <w:fldChar w:fldCharType="separate"/>
      </w:r>
      <w:r w:rsidR="00DF0799">
        <w:rPr>
          <w:noProof/>
        </w:rPr>
        <w:t>2</w:t>
      </w:r>
      <w:r w:rsidR="00D04B86">
        <w:rPr>
          <w:noProof/>
        </w:rPr>
        <w:fldChar w:fldCharType="end"/>
      </w:r>
      <w:bookmarkEnd w:id="33"/>
      <w:r w:rsidR="00767BA2" w:rsidRPr="008D0862">
        <w:t>. The five steps for supporting FAOs affected</w:t>
      </w:r>
      <w:r w:rsidR="006129C2">
        <w:t xml:space="preserve"> </w:t>
      </w:r>
      <w:r w:rsidR="006129C2">
        <w:fldChar w:fldCharType="begin"/>
      </w:r>
      <w:r w:rsidR="006129C2">
        <w:instrText xml:space="preserve"> ADDIN EN.CITE &lt;EndNote&gt;&lt;Cite&gt;&lt;Author&gt;Copello&lt;/Author&gt;&lt;Year&gt;2010&lt;/Year&gt;&lt;RecNum&gt;163&lt;/RecNum&gt;&lt;Pages&gt;87&lt;/Pages&gt;&lt;DisplayText&gt;(Copello et al., 2010, p. 87)&lt;/DisplayText&gt;&lt;record&gt;&lt;rec-number&gt;163&lt;/rec-number&gt;&lt;foreign-keys&gt;&lt;key app="EN" db-id="25rszwft292ev3esrpvpde0cpxrd9ex0xspp" timestamp="1586309669"&gt;163&lt;/key&gt;&lt;/foreign-keys&gt;&lt;ref-type name="Journal Article"&gt;17&lt;/ref-type&gt;&lt;contributors&gt;&lt;authors&gt;&lt;author&gt;Copello, A&lt;/author&gt;&lt;author&gt;Templeton, Lorna&lt;/author&gt;&lt;author&gt;Orford, Jim&lt;/author&gt;&lt;author&gt;Velleman, Richard&lt;/author&gt;&lt;/authors&gt;&lt;/contributors&gt;&lt;titles&gt;&lt;title&gt;The 5-Step Method: Evidence of gains for affected family members&lt;/title&gt;&lt;secondary-title&gt;Drugs: education, prevention and policy&lt;/secondary-title&gt;&lt;/titles&gt;&lt;periodical&gt;&lt;full-title&gt;Drugs: education, prevention and policy&lt;/full-title&gt;&lt;/periodical&gt;&lt;pages&gt;100-112&lt;/pages&gt;&lt;volume&gt;17&lt;/volume&gt;&lt;number&gt;sup1&lt;/number&gt;&lt;dates&gt;&lt;year&gt;2010&lt;/year&gt;&lt;/dates&gt;&lt;isbn&gt;0968-7637&lt;/isbn&gt;&lt;urls&gt;&lt;/urls&gt;&lt;/record&gt;&lt;/Cite&gt;&lt;/EndNote&gt;</w:instrText>
      </w:r>
      <w:r w:rsidR="006129C2">
        <w:fldChar w:fldCharType="separate"/>
      </w:r>
      <w:r w:rsidR="006129C2">
        <w:rPr>
          <w:noProof/>
        </w:rPr>
        <w:t>(Copello et al., 2010, p. 87)</w:t>
      </w:r>
      <w:r w:rsidR="006129C2">
        <w:fldChar w:fldCharType="end"/>
      </w:r>
      <w:r w:rsidR="006129C2">
        <w:t>.</w:t>
      </w:r>
      <w:bookmarkEnd w:id="34"/>
    </w:p>
    <w:p w14:paraId="4A7EABDA" w14:textId="77777777" w:rsidR="00767BA2" w:rsidRPr="00CB54C8" w:rsidRDefault="00767BA2" w:rsidP="00767BA2">
      <w:pPr>
        <w:jc w:val="both"/>
      </w:pPr>
    </w:p>
    <w:p w14:paraId="7893A6CE" w14:textId="4B8D3DD7" w:rsidR="00767BA2" w:rsidRDefault="00767BA2" w:rsidP="00767BA2">
      <w:pPr>
        <w:jc w:val="both"/>
      </w:pPr>
      <w:r>
        <w:t xml:space="preserve">Holding space for FAOs to articulate the nature of issues in their own terms </w:t>
      </w:r>
      <w:r w:rsidR="003E5DD9">
        <w:t xml:space="preserve">is </w:t>
      </w:r>
      <w:r>
        <w:t xml:space="preserve">a central component of FAO support </w:t>
      </w:r>
      <w:r>
        <w:fldChar w:fldCharType="begin"/>
      </w:r>
      <w:r w:rsidR="006129C2">
        <w:instrText xml:space="preserve"> ADDIN EN.CITE &lt;EndNote&gt;&lt;Cite&gt;&lt;Author&gt;Copello&lt;/Author&gt;&lt;Year&gt;2010&lt;/Year&gt;&lt;RecNum&gt;35&lt;/RecNum&gt;&lt;DisplayText&gt;(Copello et al., 2010)&lt;/DisplayText&gt;&lt;record&gt;&lt;rec-number&gt;35&lt;/rec-number&gt;&lt;foreign-keys&gt;&lt;key app="EN" db-id="25rszwft292ev3esrpvpde0cpxrd9ex0xspp" timestamp="1550010379"&gt;35&lt;/key&gt;&lt;/foreign-keys&gt;&lt;ref-type name="Journal Article"&gt;17&lt;/ref-type&gt;&lt;contributors&gt;&lt;authors&gt;&lt;author&gt;Copello, A&lt;/author&gt;&lt;author&gt;Templeton, Lorna&lt;/author&gt;&lt;author&gt;Orford, Jim&lt;/author&gt;&lt;author&gt;Velleman, Richard&lt;/author&gt;&lt;/authors&gt;&lt;/contributors&gt;&lt;titles&gt;&lt;title&gt;The 5-Step Method: Evidence of gains for affected family members&lt;/title&gt;&lt;secondary-title&gt;Drugs: education, prevention and policy&lt;/secondary-title&gt;&lt;/titles&gt;&lt;periodical&gt;&lt;full-title&gt;Drugs: education, prevention and policy&lt;/full-title&gt;&lt;/periodical&gt;&lt;pages&gt;100-112&lt;/pages&gt;&lt;volume&gt;17&lt;/volume&gt;&lt;number&gt;sup1&lt;/number&gt;&lt;dates&gt;&lt;year&gt;2010&lt;/year&gt;&lt;/dates&gt;&lt;isbn&gt;0968-7637&lt;/isbn&gt;&lt;urls&gt;&lt;/urls&gt;&lt;/record&gt;&lt;/Cite&gt;&lt;/EndNote&gt;</w:instrText>
      </w:r>
      <w:r>
        <w:fldChar w:fldCharType="separate"/>
      </w:r>
      <w:r w:rsidR="006129C2">
        <w:rPr>
          <w:noProof/>
        </w:rPr>
        <w:t>(Copello et al., 2010)</w:t>
      </w:r>
      <w:r>
        <w:fldChar w:fldCharType="end"/>
      </w:r>
      <w:r>
        <w:t xml:space="preserve">. FAOs engaged in this way have associated </w:t>
      </w:r>
      <w:r w:rsidRPr="00EA0758">
        <w:t xml:space="preserve">a sense of growing confidence </w:t>
      </w:r>
      <w:r>
        <w:t xml:space="preserve">and wellbeing with </w:t>
      </w:r>
      <w:r w:rsidRPr="00EA0758">
        <w:t>the belief that their needs matter just as much as their loved one’s needs</w:t>
      </w:r>
      <w:r>
        <w:t xml:space="preserve"> </w:t>
      </w:r>
      <w:r w:rsidRPr="00AB173B">
        <w:fldChar w:fldCharType="begin"/>
      </w:r>
      <w:r>
        <w:instrText xml:space="preserve"> ADDIN EN.CITE &lt;EndNote&gt;&lt;Cite&gt;&lt;Author&gt;Orford&lt;/Author&gt;&lt;Year&gt;2007&lt;/Year&gt;&lt;RecNum&gt;331&lt;/RecNum&gt;&lt;DisplayText&gt;(Orford, Templeton, Patel, Copello, &amp;amp; Velleman, 2007)&lt;/DisplayText&gt;&lt;record&gt;&lt;rec-number&gt;331&lt;/rec-number&gt;&lt;foreign-keys&gt;&lt;key app="EN" db-id="5v2daxed8wv0eoesd9av5dd8exsxdewpfpwd" timestamp="1582175023"&gt;331&lt;/key&gt;&lt;/foreign-keys&gt;&lt;ref-type name="Journal Article"&gt;17&lt;/ref-type&gt;&lt;contributors&gt;&lt;authors&gt;&lt;author&gt;Orford, Jim&lt;/author&gt;&lt;author&gt;Templeton, Lorna&lt;/author&gt;&lt;author&gt;Patel, Asmita&lt;/author&gt;&lt;author&gt;Copello, Alex&lt;/author&gt;&lt;author&gt;Velleman, Richard&lt;/author&gt;&lt;/authors&gt;&lt;/contributors&gt;&lt;titles&gt;&lt;title&gt;The 5-Step family intervention in primary care: I. Strengths and limitations according to family members&lt;/title&gt;&lt;secondary-title&gt;Drugs: education, prevention and policy&lt;/secondary-title&gt;&lt;/titles&gt;&lt;periodical&gt;&lt;full-title&gt;Drugs: education, prevention and policy&lt;/full-title&gt;&lt;/periodical&gt;&lt;pages&gt;29-47&lt;/pages&gt;&lt;volume&gt;14&lt;/volume&gt;&lt;number&gt;1&lt;/number&gt;&lt;dates&gt;&lt;year&gt;2007&lt;/year&gt;&lt;/dates&gt;&lt;isbn&gt;0968-7637&lt;/isbn&gt;&lt;urls&gt;&lt;/urls&gt;&lt;/record&gt;&lt;/Cite&gt;&lt;/EndNote&gt;</w:instrText>
      </w:r>
      <w:r w:rsidRPr="00AB173B">
        <w:fldChar w:fldCharType="separate"/>
      </w:r>
      <w:r>
        <w:rPr>
          <w:noProof/>
        </w:rPr>
        <w:t>(Orford, Templeton, Patel, Copello, &amp; Velleman, 2007)</w:t>
      </w:r>
      <w:r w:rsidRPr="00AB173B">
        <w:fldChar w:fldCharType="end"/>
      </w:r>
      <w:r w:rsidRPr="00AB173B">
        <w:t xml:space="preserve">. </w:t>
      </w:r>
      <w:r w:rsidRPr="004D2D33">
        <w:t xml:space="preserve">In keeping with the philosophy of SSCS, the main outcome measures are the Symptom Rating Test </w:t>
      </w:r>
      <w:r w:rsidRPr="004D2D33">
        <w:rPr>
          <w:lang w:val="en-AU"/>
        </w:rPr>
        <w:t>assessing anxiety, depression, somatic symptoms, and inadequacy symptoms (Kellner &amp; Sheffield, 1973)</w:t>
      </w:r>
      <w:r>
        <w:rPr>
          <w:lang w:val="en-AU"/>
        </w:rPr>
        <w:t xml:space="preserve">, </w:t>
      </w:r>
      <w:r w:rsidRPr="004D2D33">
        <w:rPr>
          <w:lang w:val="en-AU"/>
        </w:rPr>
        <w:t xml:space="preserve">and </w:t>
      </w:r>
      <w:r w:rsidRPr="004D2D33">
        <w:t xml:space="preserve">the Coping Questionnaire which </w:t>
      </w:r>
      <w:r w:rsidRPr="004D2D33">
        <w:rPr>
          <w:lang w:val="en-AU"/>
        </w:rPr>
        <w:t>comprises 30</w:t>
      </w:r>
      <w:r w:rsidR="009C4DF0">
        <w:rPr>
          <w:lang w:val="en-AU"/>
        </w:rPr>
        <w:t xml:space="preserve"> </w:t>
      </w:r>
      <w:r w:rsidRPr="004D2D33">
        <w:rPr>
          <w:lang w:val="en-AU"/>
        </w:rPr>
        <w:t>statements that measure strategies FAOs use to cope with the substance abuse in the past three months (Krishnan &amp; Orford, 2002)</w:t>
      </w:r>
      <w:r>
        <w:rPr>
          <w:lang w:val="en-AU"/>
        </w:rPr>
        <w:t xml:space="preserve">. </w:t>
      </w:r>
      <w:r w:rsidRPr="004D2D33">
        <w:t xml:space="preserve">Analysis of a series of 6 single cohort </w:t>
      </w:r>
      <w:r>
        <w:t xml:space="preserve">5-Step </w:t>
      </w:r>
      <w:r w:rsidRPr="004D2D33">
        <w:t>studies</w:t>
      </w:r>
      <w:r w:rsidR="009C4DF0">
        <w:t xml:space="preserve"> </w:t>
      </w:r>
      <w:r w:rsidRPr="004D2D33">
        <w:t xml:space="preserve">involving over 300 FAOs in the UK, has </w:t>
      </w:r>
      <w:r>
        <w:t>demonstrated clear reduction in</w:t>
      </w:r>
      <w:r w:rsidRPr="004D2D33">
        <w:t xml:space="preserve"> </w:t>
      </w:r>
      <w:r>
        <w:t xml:space="preserve">addiction-related </w:t>
      </w:r>
      <w:r w:rsidRPr="004D2D33">
        <w:t xml:space="preserve">stress </w:t>
      </w:r>
      <w:r w:rsidRPr="004D2D33">
        <w:fldChar w:fldCharType="begin"/>
      </w:r>
      <w:r>
        <w:instrText xml:space="preserve"> ADDIN EN.CITE &lt;EndNote&gt;&lt;Cite&gt;&lt;Author&gt;Orford&lt;/Author&gt;&lt;Year&gt;2007&lt;/Year&gt;&lt;RecNum&gt;331&lt;/RecNum&gt;&lt;DisplayText&gt;(Orford, Templeton, Patel, Copello, et al., 2007; Orford, Templeton, Patel, Velleman, &amp;amp; Copello, 2007)&lt;/DisplayText&gt;&lt;record&gt;&lt;rec-number&gt;331&lt;/rec-number&gt;&lt;foreign-keys&gt;&lt;key app="EN" db-id="5v2daxed8wv0eoesd9av5dd8exsxdewpfpwd" timestamp="1582175023"&gt;331&lt;/key&gt;&lt;/foreign-keys&gt;&lt;ref-type name="Journal Article"&gt;17&lt;/ref-type&gt;&lt;contributors&gt;&lt;authors&gt;&lt;author&gt;Orford, Jim&lt;/author&gt;&lt;author&gt;Templeton, Lorna&lt;/author&gt;&lt;author&gt;Patel, Asmita&lt;/author&gt;&lt;author&gt;Copello, Alex&lt;/author&gt;&lt;author&gt;Velleman, Richard&lt;/author&gt;&lt;/authors&gt;&lt;/contributors&gt;&lt;titles&gt;&lt;title&gt;The 5-Step family intervention in primary care: I. Strengths and limitations according to family members&lt;/title&gt;&lt;secondary-title&gt;Drugs: education, prevention and policy&lt;/secondary-title&gt;&lt;/titles&gt;&lt;periodical&gt;&lt;full-title&gt;Drugs: education, prevention and policy&lt;/full-title&gt;&lt;/periodical&gt;&lt;pages&gt;29-47&lt;/pages&gt;&lt;volume&gt;14&lt;/volume&gt;&lt;number&gt;1&lt;/number&gt;&lt;dates&gt;&lt;year&gt;2007&lt;/year&gt;&lt;/dates&gt;&lt;isbn&gt;0968-7637&lt;/isbn&gt;&lt;urls&gt;&lt;/urls&gt;&lt;/record&gt;&lt;/Cite&gt;&lt;Cite&gt;&lt;Author&gt;Orford&lt;/Author&gt;&lt;Year&gt;2007&lt;/Year&gt;&lt;RecNum&gt;332&lt;/RecNum&gt;&lt;record&gt;&lt;rec-number&gt;332&lt;/rec-number&gt;&lt;foreign-keys&gt;&lt;key app="EN" db-id="5v2daxed8wv0eoesd9av5dd8exsxdewpfpwd" timestamp="1582175052"&gt;332&lt;/key&gt;&lt;/foreign-keys&gt;&lt;ref-type name="Journal Article"&gt;17&lt;/ref-type&gt;&lt;contributors&gt;&lt;authors&gt;&lt;author&gt;Orford, Jim&lt;/author&gt;&lt;author&gt;Templeton, Lorna&lt;/author&gt;&lt;author&gt;Patel, Asmita&lt;/author&gt;&lt;author&gt;Velleman, Richard&lt;/author&gt;&lt;author&gt;Copello, Alex&lt;/author&gt;&lt;/authors&gt;&lt;/contributors&gt;&lt;titles&gt;&lt;title&gt;The 5-Step family intervention in primary care: II. The views of primary healthcare professionals&lt;/title&gt;&lt;secondary-title&gt;Drugs: education, prevention and policy&lt;/secondary-title&gt;&lt;/titles&gt;&lt;periodical&gt;&lt;full-title&gt;Drugs: education, prevention and policy&lt;/full-title&gt;&lt;/periodical&gt;&lt;pages&gt;117-135&lt;/pages&gt;&lt;volume&gt;14&lt;/volume&gt;&lt;number&gt;2&lt;/number&gt;&lt;dates&gt;&lt;year&gt;2007&lt;/year&gt;&lt;/dates&gt;&lt;isbn&gt;0968-7637&lt;/isbn&gt;&lt;urls&gt;&lt;/urls&gt;&lt;/record&gt;&lt;/Cite&gt;&lt;/EndNote&gt;</w:instrText>
      </w:r>
      <w:r w:rsidRPr="004D2D33">
        <w:fldChar w:fldCharType="separate"/>
      </w:r>
      <w:r>
        <w:rPr>
          <w:noProof/>
        </w:rPr>
        <w:t>(Orford, Templeton, Patel, Copello, et al., 2007; Orford, Templeton, Patel, Velleman, &amp; Copello, 2007)</w:t>
      </w:r>
      <w:r w:rsidRPr="004D2D33">
        <w:rPr>
          <w:lang w:val="en-AU"/>
        </w:rPr>
        <w:fldChar w:fldCharType="end"/>
      </w:r>
      <w:r w:rsidRPr="004D2D33">
        <w:t xml:space="preserve">. </w:t>
      </w:r>
      <w:r>
        <w:t xml:space="preserve">However </w:t>
      </w:r>
      <w:r w:rsidRPr="0065081A">
        <w:t xml:space="preserve">FAOs also report that the intervention was not helpful </w:t>
      </w:r>
      <w:r>
        <w:t xml:space="preserve">to the extent that </w:t>
      </w:r>
      <w:r w:rsidRPr="0065081A">
        <w:t>it had not affected their loved one’s drinking / substance use</w:t>
      </w:r>
      <w:r>
        <w:t xml:space="preserve"> </w:t>
      </w:r>
      <w:r w:rsidRPr="0065081A">
        <w:fldChar w:fldCharType="begin"/>
      </w:r>
      <w:r>
        <w:instrText xml:space="preserve"> ADDIN EN.CITE &lt;EndNote&gt;&lt;Cite&gt;&lt;Author&gt;Orford&lt;/Author&gt;&lt;Year&gt;2007&lt;/Year&gt;&lt;RecNum&gt;331&lt;/RecNum&gt;&lt;DisplayText&gt;(Orford, Templeton, Patel, Copello, et al., 2007; Orford, Templeton, Patel, Velleman, et al., 2007)&lt;/DisplayText&gt;&lt;record&gt;&lt;rec-number&gt;331&lt;/rec-number&gt;&lt;foreign-keys&gt;&lt;key app="EN" db-id="5v2daxed8wv0eoesd9av5dd8exsxdewpfpwd" timestamp="1582175023"&gt;331&lt;/key&gt;&lt;/foreign-keys&gt;&lt;ref-type name="Journal Article"&gt;17&lt;/ref-type&gt;&lt;contributors&gt;&lt;authors&gt;&lt;author&gt;Orford, Jim&lt;/author&gt;&lt;author&gt;Templeton, Lorna&lt;/author&gt;&lt;author&gt;Patel, Asmita&lt;/author&gt;&lt;author&gt;Copello, Alex&lt;/author&gt;&lt;author&gt;Velleman, Richard&lt;/author&gt;&lt;/authors&gt;&lt;/contributors&gt;&lt;titles&gt;&lt;title&gt;The 5-Step family intervention in primary care: I. Strengths and limitations according to family members&lt;/title&gt;&lt;secondary-title&gt;Drugs: education, prevention and policy&lt;/secondary-title&gt;&lt;/titles&gt;&lt;periodical&gt;&lt;full-title&gt;Drugs: education, prevention and policy&lt;/full-title&gt;&lt;/periodical&gt;&lt;pages&gt;29-47&lt;/pages&gt;&lt;volume&gt;14&lt;/volume&gt;&lt;number&gt;1&lt;/number&gt;&lt;dates&gt;&lt;year&gt;2007&lt;/year&gt;&lt;/dates&gt;&lt;isbn&gt;0968-7637&lt;/isbn&gt;&lt;urls&gt;&lt;/urls&gt;&lt;/record&gt;&lt;/Cite&gt;&lt;Cite&gt;&lt;Author&gt;Orford&lt;/Author&gt;&lt;Year&gt;2007&lt;/Year&gt;&lt;RecNum&gt;332&lt;/RecNum&gt;&lt;record&gt;&lt;rec-number&gt;332&lt;/rec-number&gt;&lt;foreign-keys&gt;&lt;key app="EN" db-id="5v2daxed8wv0eoesd9av5dd8exsxdewpfpwd" timestamp="1582175052"&gt;332&lt;/key&gt;&lt;/foreign-keys&gt;&lt;ref-type name="Journal Article"&gt;17&lt;/ref-type&gt;&lt;contributors&gt;&lt;authors&gt;&lt;author&gt;Orford, Jim&lt;/author&gt;&lt;author&gt;Templeton, Lorna&lt;/author&gt;&lt;author&gt;Patel, Asmita&lt;/author&gt;&lt;author&gt;Velleman, Richard&lt;/author&gt;&lt;author&gt;Copello, Alex&lt;/author&gt;&lt;/authors&gt;&lt;/contributors&gt;&lt;titles&gt;&lt;title&gt;The 5-Step family intervention in primary care: II. The views of primary healthcare professionals&lt;/title&gt;&lt;secondary-title&gt;Drugs: education, prevention and policy&lt;/secondary-title&gt;&lt;/titles&gt;&lt;periodical&gt;&lt;full-title&gt;Drugs: education, prevention and policy&lt;/full-title&gt;&lt;/periodical&gt;&lt;pages&gt;117-135&lt;/pages&gt;&lt;volume&gt;14&lt;/volume&gt;&lt;number&gt;2&lt;/number&gt;&lt;dates&gt;&lt;year&gt;2007&lt;/year&gt;&lt;/dates&gt;&lt;isbn&gt;0968-7637&lt;/isbn&gt;&lt;urls&gt;&lt;/urls&gt;&lt;/record&gt;&lt;/Cite&gt;&lt;/EndNote&gt;</w:instrText>
      </w:r>
      <w:r w:rsidRPr="0065081A">
        <w:fldChar w:fldCharType="separate"/>
      </w:r>
      <w:r>
        <w:rPr>
          <w:noProof/>
        </w:rPr>
        <w:t>(Orford, Templeton, Patel, Copello, et al., 2007; Orford, Templeton, Patel, Velleman, et al., 2007)</w:t>
      </w:r>
      <w:r w:rsidRPr="0065081A">
        <w:fldChar w:fldCharType="end"/>
      </w:r>
      <w:r>
        <w:t xml:space="preserve">. In addition, impacts on coping are variable, and suggest that appropriate coping style may be very context specific (discussed further in relation to culture below). These tensions point to the need for addictions services to maintain a dual focus on options for FAOs who wish to focus on the addictive behaviour, their own wellbeing or a static or shifting combination of both. Again, the importance of services’ in-depth engagement with and understanding of the social context through which their clients experience addiction related harm is indicated.   </w:t>
      </w:r>
    </w:p>
    <w:p w14:paraId="53731A28" w14:textId="77777777" w:rsidR="00767BA2" w:rsidRDefault="00767BA2" w:rsidP="00767BA2">
      <w:pPr>
        <w:jc w:val="both"/>
      </w:pPr>
    </w:p>
    <w:p w14:paraId="01BF4AF9" w14:textId="77777777" w:rsidR="00767BA2" w:rsidRPr="00017161" w:rsidRDefault="00767BA2" w:rsidP="00767BA2">
      <w:pPr>
        <w:rPr>
          <w:i/>
          <w:iCs/>
        </w:rPr>
      </w:pPr>
      <w:r w:rsidRPr="00017161">
        <w:rPr>
          <w:i/>
          <w:iCs/>
        </w:rPr>
        <w:t>Engagement with intersectional influences on harm, coping and social support</w:t>
      </w:r>
    </w:p>
    <w:p w14:paraId="22ABEF27" w14:textId="62CBB6A4" w:rsidR="00767BA2" w:rsidRPr="00767DB4" w:rsidRDefault="00767BA2" w:rsidP="00767BA2">
      <w:pPr>
        <w:jc w:val="both"/>
      </w:pPr>
      <w:r>
        <w:t>As with approaches grounded in behavioural psychological theory (e.g. CRAFT), limited exploration of intervention with non-White, non-female population</w:t>
      </w:r>
      <w:r w:rsidR="009C4DF0">
        <w:t>s</w:t>
      </w:r>
      <w:r>
        <w:t xml:space="preserve"> has been carried out </w:t>
      </w:r>
      <w:r>
        <w:lastRenderedPageBreak/>
        <w:fldChar w:fldCharType="begin"/>
      </w:r>
      <w:r w:rsidR="006129C2">
        <w:instrText xml:space="preserve"> ADDIN EN.CITE &lt;EndNote&gt;&lt;Cite&gt;&lt;Author&gt;Copello&lt;/Author&gt;&lt;Year&gt;2010&lt;/Year&gt;&lt;RecNum&gt;35&lt;/RecNum&gt;&lt;DisplayText&gt;(Copello et al., 2010)&lt;/DisplayText&gt;&lt;record&gt;&lt;rec-number&gt;35&lt;/rec-number&gt;&lt;foreign-keys&gt;&lt;key app="EN" db-id="25rszwft292ev3esrpvpde0cpxrd9ex0xspp" timestamp="1550010379"&gt;35&lt;/key&gt;&lt;/foreign-keys&gt;&lt;ref-type name="Journal Article"&gt;17&lt;/ref-type&gt;&lt;contributors&gt;&lt;authors&gt;&lt;author&gt;Copello, A&lt;/author&gt;&lt;author&gt;Templeton, Lorna&lt;/author&gt;&lt;author&gt;Orford, Jim&lt;/author&gt;&lt;author&gt;Velleman, Richard&lt;/author&gt;&lt;/authors&gt;&lt;/contributors&gt;&lt;titles&gt;&lt;title&gt;The 5-Step Method: Evidence of gains for affected family members&lt;/title&gt;&lt;secondary-title&gt;Drugs: education, prevention and policy&lt;/secondary-title&gt;&lt;/titles&gt;&lt;periodical&gt;&lt;full-title&gt;Drugs: education, prevention and policy&lt;/full-title&gt;&lt;/periodical&gt;&lt;pages&gt;100-112&lt;/pages&gt;&lt;volume&gt;17&lt;/volume&gt;&lt;number&gt;sup1&lt;/number&gt;&lt;dates&gt;&lt;year&gt;2010&lt;/year&gt;&lt;/dates&gt;&lt;isbn&gt;0968-7637&lt;/isbn&gt;&lt;urls&gt;&lt;/urls&gt;&lt;/record&gt;&lt;/Cite&gt;&lt;/EndNote&gt;</w:instrText>
      </w:r>
      <w:r>
        <w:fldChar w:fldCharType="separate"/>
      </w:r>
      <w:r w:rsidR="006129C2">
        <w:rPr>
          <w:noProof/>
        </w:rPr>
        <w:t>(Copello et al., 2010)</w:t>
      </w:r>
      <w:r>
        <w:fldChar w:fldCharType="end"/>
      </w:r>
      <w:r>
        <w:t xml:space="preserve">. In-depth engagement with affected communities is important to support culturally safe practice that will be accepted by these communities </w:t>
      </w:r>
      <w:r>
        <w:fldChar w:fldCharType="begin"/>
      </w:r>
      <w:r>
        <w:instrText xml:space="preserve"> ADDIN EN.CITE &lt;EndNote&gt;&lt;Cite&gt;&lt;Author&gt;Rey&lt;/Author&gt;&lt;Year&gt;2010&lt;/Year&gt;&lt;RecNum&gt;262&lt;/RecNum&gt;&lt;DisplayText&gt;(Rey, Mora-Ríos, Sainz, &amp;amp; Aguilar, 2010)&lt;/DisplayText&gt;&lt;record&gt;&lt;rec-number&gt;262&lt;/rec-number&gt;&lt;foreign-keys&gt;&lt;key app="EN" db-id="25rszwft292ev3esrpvpde0cpxrd9ex0xspp" timestamp="1590372035"&gt;262&lt;/key&gt;&lt;/foreign-keys&gt;&lt;ref-type name="Journal Article"&gt;17&lt;/ref-type&gt;&lt;contributors&gt;&lt;authors&gt;&lt;author&gt;Rey, Guillermina Natera&lt;/author&gt;&lt;author&gt;Mora-Ríos, Jazmín&lt;/author&gt;&lt;author&gt;Sainz, Marcela Tiburcio&lt;/author&gt;&lt;author&gt;Aguilar, Perla Medina&lt;/author&gt;&lt;/authors&gt;&lt;/contributors&gt;&lt;titles&gt;&lt;title&gt;An international perspective: Constructing intervention strategies for families in Mexico&lt;/title&gt;&lt;secondary-title&gt;Drugs: Education, Prevention and Policy&lt;/secondary-title&gt;&lt;/titles&gt;&lt;periodical&gt;&lt;full-title&gt;Drugs: education, prevention and policy&lt;/full-title&gt;&lt;/periodical&gt;&lt;pages&gt;193-202&lt;/pages&gt;&lt;volume&gt;17&lt;/volume&gt;&lt;number&gt;sup1&lt;/number&gt;&lt;dates&gt;&lt;year&gt;2010&lt;/year&gt;&lt;/dates&gt;&lt;isbn&gt;0968-7637&lt;/isbn&gt;&lt;urls&gt;&lt;/urls&gt;&lt;/record&gt;&lt;/Cite&gt;&lt;/EndNote&gt;</w:instrText>
      </w:r>
      <w:r>
        <w:fldChar w:fldCharType="separate"/>
      </w:r>
      <w:r>
        <w:rPr>
          <w:noProof/>
        </w:rPr>
        <w:t>(Rey, Mora-Ríos, Sainz, &amp; Aguilar, 2010)</w:t>
      </w:r>
      <w:r>
        <w:fldChar w:fldCharType="end"/>
      </w:r>
      <w:r>
        <w:t xml:space="preserve">. The focus has been on identifying and adapting practice to be more cognisant of intersectional issues affecting these communities. For example, in Mexico  </w:t>
      </w:r>
      <w:r w:rsidRPr="00767DB4">
        <w:fldChar w:fldCharType="begin"/>
      </w:r>
      <w:r>
        <w:instrText xml:space="preserve"> ADDIN EN.CITE &lt;EndNote&gt;&lt;Cite AuthorYear="1"&gt;&lt;Author&gt;Rey&lt;/Author&gt;&lt;Year&gt;2010&lt;/Year&gt;&lt;RecNum&gt;262&lt;/RecNum&gt;&lt;DisplayText&gt;Rey et al. (2010)&lt;/DisplayText&gt;&lt;record&gt;&lt;rec-number&gt;262&lt;/rec-number&gt;&lt;foreign-keys&gt;&lt;key app="EN" db-id="25rszwft292ev3esrpvpde0cpxrd9ex0xspp" timestamp="1590372035"&gt;262&lt;/key&gt;&lt;/foreign-keys&gt;&lt;ref-type name="Journal Article"&gt;17&lt;/ref-type&gt;&lt;contributors&gt;&lt;authors&gt;&lt;author&gt;Rey, Guillermina Natera&lt;/author&gt;&lt;author&gt;Mora-Ríos, Jazmín&lt;/author&gt;&lt;author&gt;Sainz, Marcela Tiburcio&lt;/author&gt;&lt;author&gt;Aguilar, Perla Medina&lt;/author&gt;&lt;/authors&gt;&lt;/contributors&gt;&lt;titles&gt;&lt;title&gt;An international perspective: Constructing intervention strategies for families in Mexico&lt;/title&gt;&lt;secondary-title&gt;Drugs: Education, Prevention and Policy&lt;/secondary-title&gt;&lt;/titles&gt;&lt;periodical&gt;&lt;full-title&gt;Drugs: education, prevention and policy&lt;/full-title&gt;&lt;/periodical&gt;&lt;pages&gt;193-202&lt;/pages&gt;&lt;volume&gt;17&lt;/volume&gt;&lt;number&gt;sup1&lt;/number&gt;&lt;dates&gt;&lt;year&gt;2010&lt;/year&gt;&lt;/dates&gt;&lt;isbn&gt;0968-7637&lt;/isbn&gt;&lt;urls&gt;&lt;/urls&gt;&lt;/record&gt;&lt;/Cite&gt;&lt;/EndNote&gt;</w:instrText>
      </w:r>
      <w:r w:rsidRPr="00767DB4">
        <w:fldChar w:fldCharType="separate"/>
      </w:r>
      <w:r w:rsidRPr="00767DB4">
        <w:rPr>
          <w:noProof/>
        </w:rPr>
        <w:t>Rey et al. (2010)</w:t>
      </w:r>
      <w:r w:rsidRPr="00767DB4">
        <w:fldChar w:fldCharType="end"/>
      </w:r>
      <w:r w:rsidRPr="00767DB4">
        <w:t xml:space="preserve"> reported:</w:t>
      </w:r>
    </w:p>
    <w:p w14:paraId="39026398" w14:textId="77777777" w:rsidR="00767BA2" w:rsidRPr="00767DB4" w:rsidRDefault="00767BA2" w:rsidP="00767BA2">
      <w:pPr>
        <w:jc w:val="both"/>
        <w:rPr>
          <w:i/>
        </w:rPr>
      </w:pPr>
    </w:p>
    <w:p w14:paraId="2BB38015" w14:textId="77777777" w:rsidR="00767BA2" w:rsidRPr="00767DB4" w:rsidRDefault="00767BA2" w:rsidP="00767BA2">
      <w:pPr>
        <w:ind w:left="720"/>
        <w:jc w:val="both"/>
      </w:pPr>
      <w:r w:rsidRPr="00767DB4">
        <w:rPr>
          <w:i/>
        </w:rPr>
        <w:t>Addictions are usually explained as a private problem that concerns the family alone, rather than as a social problem and a public health issue. Women are primarily held responsible for the problem, and they perceive themselves as such, either because they could not raise children properly or, in the case of a partner, because a woman has not known how to help him stop drinking. Culturally, the family is seen as an isolated entity, as if it were not the result of a structure, in which addictions appear primarily as a social problem</w:t>
      </w:r>
      <w:r w:rsidRPr="00767DB4">
        <w:t>. (p.195)</w:t>
      </w:r>
    </w:p>
    <w:p w14:paraId="20457282" w14:textId="77777777" w:rsidR="00767BA2" w:rsidRPr="00767DB4" w:rsidRDefault="00767BA2" w:rsidP="00767BA2">
      <w:pPr>
        <w:jc w:val="both"/>
      </w:pPr>
    </w:p>
    <w:p w14:paraId="2346A6A4" w14:textId="4508B259" w:rsidR="00767BA2" w:rsidRPr="00767DB4" w:rsidRDefault="00767BA2" w:rsidP="00767BA2">
      <w:pPr>
        <w:jc w:val="both"/>
      </w:pPr>
      <w:r>
        <w:t>Broader</w:t>
      </w:r>
      <w:r w:rsidRPr="00767DB4">
        <w:t xml:space="preserve"> sociocultural context, </w:t>
      </w:r>
      <w:r w:rsidR="009C4DF0">
        <w:t>e.g.</w:t>
      </w:r>
      <w:r>
        <w:t xml:space="preserve"> ‘</w:t>
      </w:r>
      <w:r w:rsidRPr="00767DB4">
        <w:t>suffering as self-sacrifice</w:t>
      </w:r>
      <w:r>
        <w:t>’</w:t>
      </w:r>
      <w:r w:rsidRPr="00767DB4">
        <w:t xml:space="preserve"> based on deeply rooted religious beliefs, </w:t>
      </w:r>
      <w:r>
        <w:t xml:space="preserve">patriarchal structures, </w:t>
      </w:r>
      <w:r w:rsidRPr="00767DB4">
        <w:t xml:space="preserve">domestic violence, and the highly stigmatised nature of addictions impact on FAOs </w:t>
      </w:r>
      <w:r>
        <w:t xml:space="preserve">in Mexico, </w:t>
      </w:r>
      <w:r w:rsidRPr="00767DB4">
        <w:t xml:space="preserve">and their ability to </w:t>
      </w:r>
      <w:r>
        <w:t>engage with</w:t>
      </w:r>
      <w:r w:rsidRPr="00767DB4">
        <w:t xml:space="preserve"> external support </w:t>
      </w:r>
      <w:r w:rsidRPr="00767DB4">
        <w:fldChar w:fldCharType="begin"/>
      </w:r>
      <w:r>
        <w:instrText xml:space="preserve"> ADDIN EN.CITE &lt;EndNote&gt;&lt;Cite&gt;&lt;Author&gt;Rey&lt;/Author&gt;&lt;Year&gt;2010&lt;/Year&gt;&lt;RecNum&gt;262&lt;/RecNum&gt;&lt;DisplayText&gt;(Rey et al., 2010)&lt;/DisplayText&gt;&lt;record&gt;&lt;rec-number&gt;262&lt;/rec-number&gt;&lt;foreign-keys&gt;&lt;key app="EN" db-id="25rszwft292ev3esrpvpde0cpxrd9ex0xspp" timestamp="1590372035"&gt;262&lt;/key&gt;&lt;/foreign-keys&gt;&lt;ref-type name="Journal Article"&gt;17&lt;/ref-type&gt;&lt;contributors&gt;&lt;authors&gt;&lt;author&gt;Rey, Guillermina Natera&lt;/author&gt;&lt;author&gt;Mora-Ríos, Jazmín&lt;/author&gt;&lt;author&gt;Sainz, Marcela Tiburcio&lt;/author&gt;&lt;author&gt;Aguilar, Perla Medina&lt;/author&gt;&lt;/authors&gt;&lt;/contributors&gt;&lt;titles&gt;&lt;title&gt;An international perspective: Constructing intervention strategies for families in Mexico&lt;/title&gt;&lt;secondary-title&gt;Drugs: Education, Prevention and Policy&lt;/secondary-title&gt;&lt;/titles&gt;&lt;periodical&gt;&lt;full-title&gt;Drugs: education, prevention and policy&lt;/full-title&gt;&lt;/periodical&gt;&lt;pages&gt;193-202&lt;/pages&gt;&lt;volume&gt;17&lt;/volume&gt;&lt;number&gt;sup1&lt;/number&gt;&lt;dates&gt;&lt;year&gt;2010&lt;/year&gt;&lt;/dates&gt;&lt;isbn&gt;0968-7637&lt;/isbn&gt;&lt;urls&gt;&lt;/urls&gt;&lt;/record&gt;&lt;/Cite&gt;&lt;/EndNote&gt;</w:instrText>
      </w:r>
      <w:r w:rsidRPr="00767DB4">
        <w:fldChar w:fldCharType="separate"/>
      </w:r>
      <w:r w:rsidRPr="00767DB4">
        <w:rPr>
          <w:noProof/>
        </w:rPr>
        <w:t>(Rey et al., 2010)</w:t>
      </w:r>
      <w:r w:rsidRPr="00767DB4">
        <w:fldChar w:fldCharType="end"/>
      </w:r>
      <w:r w:rsidRPr="00767DB4">
        <w:t xml:space="preserve">. </w:t>
      </w:r>
      <w:r w:rsidRPr="00767DB4">
        <w:fldChar w:fldCharType="begin"/>
      </w:r>
      <w:r w:rsidRPr="00767DB4">
        <w:instrText xml:space="preserve"> ADDIN EN.CITE &lt;EndNote&gt;&lt;Cite AuthorYear="1"&gt;&lt;Author&gt;Rey&lt;/Author&gt;&lt;Year&gt;2007&lt;/Year&gt;&lt;RecNum&gt;338&lt;/RecNum&gt;&lt;DisplayText&gt;Rey and Sainz (2007)&lt;/DisplayText&gt;&lt;record&gt;&lt;rec-number&gt;338&lt;/rec-number&gt;&lt;foreign-keys&gt;&lt;key app="EN" db-id="5v2daxed8wv0eoesd9av5dd8exsxdewpfpwd" timestamp="1582176977"&gt;338&lt;/key&gt;&lt;/foreign-keys&gt;&lt;ref-type name="Journal Article"&gt;17&lt;/ref-type&gt;&lt;contributors&gt;&lt;authors&gt;&lt;author&gt;Rey, Guillermina Natera&lt;/author&gt;&lt;author&gt;Sainz, Marcela Tiburcio&lt;/author&gt;&lt;/authors&gt;&lt;/contributors&gt;&lt;titles&gt;&lt;title&gt;Tailoring an intervention model to help indigenous families cope with excessive drinking in central Mexico&lt;/title&gt;&lt;secondary-title&gt;Salud Mental&lt;/secondary-title&gt;&lt;/titles&gt;&lt;periodical&gt;&lt;full-title&gt;Salud mental&lt;/full-title&gt;&lt;/periodical&gt;&lt;pages&gt;32-42&lt;/pages&gt;&lt;volume&gt;30&lt;/volume&gt;&lt;number&gt;6&lt;/number&gt;&lt;dates&gt;&lt;year&gt;2007&lt;/year&gt;&lt;/dates&gt;&lt;isbn&gt;0185-3325&lt;/isbn&gt;&lt;urls&gt;&lt;/urls&gt;&lt;/record&gt;&lt;/Cite&gt;&lt;/EndNote&gt;</w:instrText>
      </w:r>
      <w:r w:rsidRPr="00767DB4">
        <w:fldChar w:fldCharType="separate"/>
      </w:r>
      <w:r w:rsidRPr="00767DB4">
        <w:t>Rey and Sainz (2007)</w:t>
      </w:r>
      <w:r w:rsidRPr="00767DB4">
        <w:fldChar w:fldCharType="end"/>
      </w:r>
      <w:r w:rsidRPr="00767DB4">
        <w:t xml:space="preserve"> noted that </w:t>
      </w:r>
      <w:r w:rsidR="009C4DF0">
        <w:t>FAOs expressed</w:t>
      </w:r>
      <w:r w:rsidRPr="00767DB4">
        <w:t xml:space="preserve"> a need for </w:t>
      </w:r>
      <w:r>
        <w:t xml:space="preserve">services </w:t>
      </w:r>
      <w:r w:rsidR="009C4DF0">
        <w:t>to</w:t>
      </w:r>
      <w:r w:rsidRPr="00767DB4">
        <w:t xml:space="preserve"> </w:t>
      </w:r>
      <w:r w:rsidR="009C4DF0">
        <w:t xml:space="preserve">support them </w:t>
      </w:r>
      <w:r w:rsidRPr="00767DB4">
        <w:t xml:space="preserve">with the situation </w:t>
      </w:r>
      <w:r w:rsidRPr="009C4DF0">
        <w:rPr>
          <w:i/>
          <w:iCs/>
        </w:rPr>
        <w:t>as they defined and experienced it</w:t>
      </w:r>
      <w:r w:rsidRPr="00767DB4">
        <w:t>. Taken together, the challenges for the 5-Step intervention to respond to</w:t>
      </w:r>
      <w:r>
        <w:t>, identified by the authors,</w:t>
      </w:r>
      <w:r w:rsidRPr="00767DB4">
        <w:t xml:space="preserve"> are outlined below in</w:t>
      </w:r>
      <w:r w:rsidR="00A3617D">
        <w:t xml:space="preserve"> </w:t>
      </w:r>
      <w:r w:rsidR="00A3617D">
        <w:fldChar w:fldCharType="begin"/>
      </w:r>
      <w:r w:rsidR="00A3617D">
        <w:instrText xml:space="preserve"> REF _Ref54861998 \h </w:instrText>
      </w:r>
      <w:r w:rsidR="00A3617D">
        <w:fldChar w:fldCharType="separate"/>
      </w:r>
      <w:r w:rsidR="00DF0799">
        <w:t xml:space="preserve">Figure </w:t>
      </w:r>
      <w:r w:rsidR="00DF0799">
        <w:rPr>
          <w:noProof/>
        </w:rPr>
        <w:t>3</w:t>
      </w:r>
      <w:r w:rsidR="00A3617D">
        <w:fldChar w:fldCharType="end"/>
      </w:r>
      <w:r>
        <w:t xml:space="preserve">. </w:t>
      </w:r>
    </w:p>
    <w:p w14:paraId="6873AB01" w14:textId="77777777" w:rsidR="00767BA2" w:rsidRPr="00767DB4" w:rsidRDefault="00767BA2" w:rsidP="00767BA2">
      <w:pPr>
        <w:jc w:val="both"/>
      </w:pPr>
    </w:p>
    <w:p w14:paraId="387445DE" w14:textId="77777777" w:rsidR="00767BA2" w:rsidRPr="00767DB4" w:rsidRDefault="00767BA2" w:rsidP="00767BA2">
      <w:pPr>
        <w:jc w:val="both"/>
      </w:pPr>
      <w:r w:rsidRPr="00767DB4">
        <w:rPr>
          <w:noProof/>
        </w:rPr>
        <w:drawing>
          <wp:inline distT="0" distB="0" distL="0" distR="0" wp14:anchorId="10DD165F" wp14:editId="0CAFF569">
            <wp:extent cx="4686214" cy="3328478"/>
            <wp:effectExtent l="0" t="0" r="635" b="5715"/>
            <wp:docPr id="11" name="Picture 11" descr="F:\Support for family members and affected others\1 Critical review\AOD literature review\5-step indiegnous  mexico challene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pport for family members and affected others\1 Critical review\AOD literature review\5-step indiegnous  mexico challene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4315" cy="3341335"/>
                    </a:xfrm>
                    <a:prstGeom prst="rect">
                      <a:avLst/>
                    </a:prstGeom>
                    <a:noFill/>
                    <a:ln>
                      <a:noFill/>
                    </a:ln>
                  </pic:spPr>
                </pic:pic>
              </a:graphicData>
            </a:graphic>
          </wp:inline>
        </w:drawing>
      </w:r>
    </w:p>
    <w:p w14:paraId="5FA91CD4" w14:textId="382FF7EA" w:rsidR="00767BA2" w:rsidRPr="00B00149" w:rsidRDefault="00A3617D" w:rsidP="00A3617D">
      <w:pPr>
        <w:pStyle w:val="Caption"/>
      </w:pPr>
      <w:bookmarkStart w:id="35" w:name="_Ref54861998"/>
      <w:bookmarkStart w:id="36" w:name="_Toc58400808"/>
      <w:r>
        <w:t xml:space="preserve">Figure </w:t>
      </w:r>
      <w:r w:rsidR="00D04B86">
        <w:fldChar w:fldCharType="begin"/>
      </w:r>
      <w:r w:rsidR="00D04B86">
        <w:instrText xml:space="preserve"> SEQ Figure \* ARABIC </w:instrText>
      </w:r>
      <w:r w:rsidR="00D04B86">
        <w:fldChar w:fldCharType="separate"/>
      </w:r>
      <w:r w:rsidR="00DF0799">
        <w:rPr>
          <w:noProof/>
        </w:rPr>
        <w:t>3</w:t>
      </w:r>
      <w:r w:rsidR="00D04B86">
        <w:rPr>
          <w:noProof/>
        </w:rPr>
        <w:fldChar w:fldCharType="end"/>
      </w:r>
      <w:bookmarkEnd w:id="35"/>
      <w:r>
        <w:t xml:space="preserve">. </w:t>
      </w:r>
      <w:r w:rsidR="00767BA2" w:rsidRPr="00B00149">
        <w:t xml:space="preserve">Challenges </w:t>
      </w:r>
      <w:r w:rsidR="00DC7973">
        <w:t xml:space="preserve">for and barriers to </w:t>
      </w:r>
      <w:r w:rsidR="00767BA2" w:rsidRPr="00B00149">
        <w:t xml:space="preserve">intervention </w:t>
      </w:r>
      <w:r w:rsidR="00767BA2" w:rsidRPr="00B00149">
        <w:fldChar w:fldCharType="begin"/>
      </w:r>
      <w:r w:rsidR="00767BA2" w:rsidRPr="00B00149">
        <w:instrText xml:space="preserve"> ADDIN EN.CITE &lt;EndNote&gt;&lt;Cite&gt;&lt;Author&gt;Rey&lt;/Author&gt;&lt;Year&gt;2007&lt;/Year&gt;&lt;RecNum&gt;338&lt;/RecNum&gt;&lt;Pages&gt;35&lt;/Pages&gt;&lt;DisplayText&gt;(Rey &amp;amp; Sainz, 2007, p. 35)&lt;/DisplayText&gt;&lt;record&gt;&lt;rec-number&gt;338&lt;/rec-number&gt;&lt;foreign-keys&gt;&lt;key app="EN" db-id="5v2daxed8wv0eoesd9av5dd8exsxdewpfpwd" timestamp="1582176977"&gt;338&lt;/key&gt;&lt;/foreign-keys&gt;&lt;ref-type name="Journal Article"&gt;17&lt;/ref-type&gt;&lt;contributors&gt;&lt;authors&gt;&lt;author&gt;Rey, Guillermina Natera&lt;/author&gt;&lt;author&gt;Sainz, Marcela Tiburcio&lt;/author&gt;&lt;/authors&gt;&lt;/contributors&gt;&lt;titles&gt;&lt;title&gt;Tailoring an intervention model to help indigenous families cope with excessive drinking in central Mexico&lt;/title&gt;&lt;secondary-title&gt;Salud Mental&lt;/secondary-title&gt;&lt;/titles&gt;&lt;periodical&gt;&lt;full-title&gt;Salud mental&lt;/full-title&gt;&lt;/periodical&gt;&lt;pages&gt;32-42&lt;/pages&gt;&lt;volume&gt;30&lt;/volume&gt;&lt;number&gt;6&lt;/number&gt;&lt;dates&gt;&lt;year&gt;2007&lt;/year&gt;&lt;/dates&gt;&lt;isbn&gt;0185-3325&lt;/isbn&gt;&lt;urls&gt;&lt;/urls&gt;&lt;/record&gt;&lt;/Cite&gt;&lt;/EndNote&gt;</w:instrText>
      </w:r>
      <w:r w:rsidR="00767BA2" w:rsidRPr="00B00149">
        <w:fldChar w:fldCharType="separate"/>
      </w:r>
      <w:r w:rsidR="00767BA2" w:rsidRPr="00B00149">
        <w:t>(Rey &amp; Sainz, 2007, p. 35)</w:t>
      </w:r>
      <w:bookmarkEnd w:id="36"/>
      <w:r w:rsidR="00767BA2" w:rsidRPr="00B00149">
        <w:fldChar w:fldCharType="end"/>
      </w:r>
    </w:p>
    <w:p w14:paraId="75C3E048" w14:textId="77777777" w:rsidR="00767BA2" w:rsidRDefault="00767BA2" w:rsidP="00767BA2">
      <w:pPr>
        <w:jc w:val="both"/>
      </w:pPr>
    </w:p>
    <w:p w14:paraId="7680203D" w14:textId="65E69D6D" w:rsidR="00767BA2" w:rsidRDefault="00767BA2" w:rsidP="00767BA2">
      <w:pPr>
        <w:jc w:val="both"/>
      </w:pPr>
      <w:r>
        <w:t xml:space="preserve">5-Step could be conceptualised as a springboard for opening up discussion with FAOs about their </w:t>
      </w:r>
      <w:r w:rsidR="009C4DF0">
        <w:t>needs</w:t>
      </w:r>
      <w:r>
        <w:t xml:space="preserve">, as potentially shaped by their particular context </w:t>
      </w:r>
      <w:r w:rsidRPr="00B378EC">
        <w:t xml:space="preserve">of poverty, marginalisation and </w:t>
      </w:r>
      <w:r w:rsidRPr="00B378EC">
        <w:lastRenderedPageBreak/>
        <w:t xml:space="preserve">everyday survival, </w:t>
      </w:r>
      <w:r>
        <w:t xml:space="preserve">including the broader cultural notion that excessive </w:t>
      </w:r>
      <w:r w:rsidRPr="00B378EC">
        <w:t>alcohol consumption is a natural habit for men</w:t>
      </w:r>
      <w:r>
        <w:t xml:space="preserve">. Again, as a result of in-depth engagement with mothers affected by addiction in Malaysia, </w:t>
      </w:r>
      <w:r w:rsidRPr="0050496D">
        <w:t xml:space="preserve">researchers </w:t>
      </w:r>
      <w:r>
        <w:t xml:space="preserve">have </w:t>
      </w:r>
      <w:r w:rsidRPr="0050496D">
        <w:t xml:space="preserve">adapted </w:t>
      </w:r>
      <w:r w:rsidR="009C4DF0">
        <w:t xml:space="preserve">a </w:t>
      </w:r>
      <w:r w:rsidRPr="0050496D">
        <w:t>5-Step approach including greater attention to environmental issues, collective family support (an open group to share experiences, information, and resources), and a family retreat (two-week intensive programme conducted twice a year involving the whole family).</w:t>
      </w:r>
      <w:r>
        <w:t xml:space="preserve"> A family wellness approach to 5-Step </w:t>
      </w:r>
      <w:r w:rsidR="009C4DF0">
        <w:t>includes</w:t>
      </w:r>
      <w:r>
        <w:t xml:space="preserve"> </w:t>
      </w:r>
      <w:r w:rsidRPr="0050496D">
        <w:t xml:space="preserve">addressing “an environment that challenges </w:t>
      </w:r>
      <w:r>
        <w:t>[FAOs]</w:t>
      </w:r>
      <w:r w:rsidRPr="0050496D">
        <w:t xml:space="preserve"> ability to maintain a healthy balance” </w:t>
      </w:r>
      <w:r>
        <w:t xml:space="preserve">in their lives </w:t>
      </w:r>
      <w:r w:rsidRPr="0050496D">
        <w:fldChar w:fldCharType="begin"/>
      </w:r>
      <w:r w:rsidRPr="0050496D">
        <w:instrText xml:space="preserve"> ADDIN EN.CITE &lt;EndNote&gt;&lt;Cite&gt;&lt;Author&gt;Baharudina&lt;/Author&gt;&lt;Year&gt;2017&lt;/Year&gt;&lt;RecNum&gt;157&lt;/RecNum&gt;&lt;Pages&gt;113&lt;/Pages&gt;&lt;DisplayText&gt;(Baharudina &amp;amp; Sumarib, 2017, p. 113)&lt;/DisplayText&gt;&lt;record&gt;&lt;rec-number&gt;157&lt;/rec-number&gt;&lt;foreign-keys&gt;&lt;key app="EN" db-id="5v2daxed8wv0eoesd9av5dd8exsxdewpfpwd" timestamp="1574628509"&gt;157&lt;/key&gt;&lt;/foreign-keys&gt;&lt;ref-type name="Journal Article"&gt;17&lt;/ref-type&gt;&lt;contributors&gt;&lt;authors&gt;&lt;author&gt;Baharudina, Dini Farhana&lt;/author&gt;&lt;author&gt;Sumarib, Melati&lt;/author&gt;&lt;/authors&gt;&lt;/contributors&gt;&lt;titles&gt;&lt;title&gt;An Exploratory Study on the Conceptualization of Wellness among Families affected by Substance Abuse&lt;/title&gt;&lt;secondary-title&gt;International Journal of Academic Research in Business and Social Sciences&lt;/secondary-title&gt;&lt;/titles&gt;&lt;periodical&gt;&lt;full-title&gt;International Journal of Academic Research in Business and Social Sciences&lt;/full-title&gt;&lt;/periodical&gt;&lt;pages&gt;99-118&lt;/pages&gt;&lt;dates&gt;&lt;year&gt;2017&lt;/year&gt;&lt;/dates&gt;&lt;urls&gt;&lt;/urls&gt;&lt;/record&gt;&lt;/Cite&gt;&lt;/EndNote&gt;</w:instrText>
      </w:r>
      <w:r w:rsidRPr="0050496D">
        <w:fldChar w:fldCharType="separate"/>
      </w:r>
      <w:r w:rsidRPr="0050496D">
        <w:t>(Baharudina &amp; Sumarib, 2017, p. 113)</w:t>
      </w:r>
      <w:r w:rsidRPr="0050496D">
        <w:fldChar w:fldCharType="end"/>
      </w:r>
      <w:r w:rsidRPr="0050496D">
        <w:t xml:space="preserve">. </w:t>
      </w:r>
    </w:p>
    <w:p w14:paraId="2C61CE8E" w14:textId="77777777" w:rsidR="00767BA2" w:rsidRDefault="00767BA2" w:rsidP="00767BA2">
      <w:pPr>
        <w:jc w:val="both"/>
      </w:pPr>
    </w:p>
    <w:p w14:paraId="3F3DE3F2" w14:textId="31866888" w:rsidR="00767BA2" w:rsidRPr="001A4CC7" w:rsidRDefault="00767BA2" w:rsidP="00767BA2">
      <w:pPr>
        <w:jc w:val="both"/>
      </w:pPr>
      <w:r>
        <w:t>Any straightforward distinction between beneficial/harmful coping has been contested from socio-cultural perspectives.</w:t>
      </w:r>
      <w:r w:rsidRPr="001A4CC7">
        <w:t xml:space="preserve"> </w:t>
      </w:r>
      <w:r>
        <w:t xml:space="preserve">While the SSCS </w:t>
      </w:r>
      <w:r w:rsidRPr="001A4CC7">
        <w:t xml:space="preserve">model suggests that coping may play the role of a moderator in the relationship between </w:t>
      </w:r>
      <w:r>
        <w:t xml:space="preserve">FAO </w:t>
      </w:r>
      <w:r w:rsidRPr="001A4CC7">
        <w:t>stress and symptoms (strain</w:t>
      </w:r>
      <w:r>
        <w:t>)</w:t>
      </w:r>
      <w:r w:rsidRPr="001A4CC7">
        <w:t xml:space="preserve">, to date research has found </w:t>
      </w:r>
      <w:r>
        <w:t>limited</w:t>
      </w:r>
      <w:r w:rsidRPr="001A4CC7">
        <w:t xml:space="preserve"> support for </w:t>
      </w:r>
      <w:r>
        <w:t xml:space="preserve">a </w:t>
      </w:r>
      <w:r w:rsidRPr="001A4CC7">
        <w:t>moderation</w:t>
      </w:r>
      <w:r>
        <w:t xml:space="preserve"> effect</w:t>
      </w:r>
      <w:r w:rsidRPr="001A4CC7">
        <w:t xml:space="preserve"> (Orford, 2017; Orford et al., 2005b). Some evidence has also been produced that the way FAOs cope shows variation by social or cultural group: for example, Sikh wives in England reported more engaged and tolerant coping than white wives (Ahuja, Orford, &amp; Copello, 2003). In-depth engagement with the lived experience of twenty-four British Sikh wives of men with alcohol problems, plus ten of their husbands and seven of their daughters highlighted that ‘effective coping’ involved a complex and shifting positioning between inactive resignation to the problem, active resignation and developing partial independence, and confrontation. All engagement with the alcohol issue occurred alongside commitment on the part of wives to continue to care for their husbands and a similar commitment on the part of daughters to support their mothers. These results suggest that </w:t>
      </w:r>
      <w:bookmarkStart w:id="37" w:name="_Hlk40189977"/>
      <w:r w:rsidRPr="001A4CC7">
        <w:t>approaches to FAO support must</w:t>
      </w:r>
      <w:r>
        <w:t xml:space="preserve"> carefully</w:t>
      </w:r>
      <w:r w:rsidRPr="001A4CC7">
        <w:t xml:space="preserve"> engage with the socio-cultural realities shaping how ‘coping’ is and can be practiced</w:t>
      </w:r>
      <w:bookmarkEnd w:id="37"/>
      <w:r w:rsidRPr="001A4CC7">
        <w:t xml:space="preserve">.   </w:t>
      </w:r>
    </w:p>
    <w:p w14:paraId="445E83E5" w14:textId="77777777" w:rsidR="00767BA2" w:rsidRDefault="00767BA2" w:rsidP="00767BA2">
      <w:pPr>
        <w:jc w:val="both"/>
      </w:pPr>
    </w:p>
    <w:p w14:paraId="78F6BEE1" w14:textId="77777777" w:rsidR="00767BA2" w:rsidRPr="00017161" w:rsidRDefault="00767BA2" w:rsidP="00767BA2">
      <w:pPr>
        <w:rPr>
          <w:i/>
          <w:iCs/>
        </w:rPr>
      </w:pPr>
      <w:r w:rsidRPr="00017161">
        <w:rPr>
          <w:i/>
          <w:iCs/>
        </w:rPr>
        <w:t xml:space="preserve">Social support as an attribute of individual FAOs – the limits of ‘particle thinking’ </w:t>
      </w:r>
    </w:p>
    <w:p w14:paraId="2D05C403" w14:textId="77777777" w:rsidR="00767BA2" w:rsidRDefault="00767BA2" w:rsidP="00767BA2">
      <w:pPr>
        <w:jc w:val="both"/>
      </w:pPr>
      <w:r>
        <w:t xml:space="preserve">From the perspective of SSCS and the 5-Step intervention, social support tends to be described as an attribute of </w:t>
      </w:r>
      <w:r w:rsidRPr="00E9011B">
        <w:t>individual FAOs.</w:t>
      </w:r>
      <w:r>
        <w:t xml:space="preserve"> Social support is brought into therapy through discussion of its nature and value e.g. – utilising ‘social network mapping’ and similar techniques to support network development. Adams </w:t>
      </w:r>
      <w:r w:rsidRPr="00B00149">
        <w:t>(2016, p</w:t>
      </w:r>
      <w:r>
        <w:t>.</w:t>
      </w:r>
      <w:r w:rsidRPr="00B00149">
        <w:t>90) identifies</w:t>
      </w:r>
      <w:r>
        <w:t xml:space="preserve"> this approach as an example of bio-psychological thinking about the ‘self’ in relation to addiction:</w:t>
      </w:r>
    </w:p>
    <w:p w14:paraId="513D6DBF" w14:textId="77777777" w:rsidR="00767BA2" w:rsidRDefault="00767BA2" w:rsidP="00767BA2">
      <w:pPr>
        <w:jc w:val="both"/>
      </w:pPr>
    </w:p>
    <w:p w14:paraId="3CA81D3E" w14:textId="77777777" w:rsidR="00767BA2" w:rsidRPr="004D2D33" w:rsidRDefault="00767BA2" w:rsidP="00767BA2">
      <w:pPr>
        <w:ind w:left="720"/>
        <w:jc w:val="both"/>
        <w:rPr>
          <w:i/>
          <w:iCs/>
        </w:rPr>
      </w:pPr>
      <w:r w:rsidRPr="004D2D33">
        <w:rPr>
          <w:i/>
          <w:iCs/>
        </w:rPr>
        <w:t xml:space="preserve">“…social dimensions are not so easily reduced to ‘variables’, ‘factors’ and ‘influences’ attached to individual [FAOs]… Bio-psycho-social approaches do not embrace a truly social understanding of addiction. They tend to condense social dimensions into mere appendages attached to the primary particle. A person’s social world—family and friends as well as occupational community involvements—are abstracted from their contexts and simply hung onto the particle as attachments. This enables treatment services to continue their work with particles while acknowledging the influence of social factors” </w:t>
      </w:r>
    </w:p>
    <w:p w14:paraId="187699BC" w14:textId="77777777" w:rsidR="00767BA2" w:rsidRDefault="00767BA2" w:rsidP="00767BA2">
      <w:pPr>
        <w:jc w:val="both"/>
      </w:pPr>
    </w:p>
    <w:p w14:paraId="18F47C58" w14:textId="7260502A" w:rsidR="00767BA2" w:rsidRPr="00D30A31" w:rsidRDefault="00767BA2" w:rsidP="00767BA2">
      <w:pPr>
        <w:jc w:val="both"/>
      </w:pPr>
      <w:r w:rsidRPr="00D30A31">
        <w:lastRenderedPageBreak/>
        <w:t xml:space="preserve">Individual clients (as ‘particles’) report on their social and occupational involvements but these relationships and people tend to be excluded from actual service offerings and proceedings. Orford and colleagues acknowledge that the Stress-Strain-Coping-Support model does not appropriately address family members in </w:t>
      </w:r>
      <w:r w:rsidR="00D30A31">
        <w:t>their</w:t>
      </w:r>
      <w:r w:rsidRPr="00D30A31">
        <w:t xml:space="preserve"> social and cultural context. </w:t>
      </w:r>
      <w:r w:rsidR="00D30A31">
        <w:t>T</w:t>
      </w:r>
      <w:r w:rsidRPr="00D30A31">
        <w:t xml:space="preserve">hey hold that SSCS offers the clearest alternative to </w:t>
      </w:r>
      <w:r w:rsidR="00D30A31">
        <w:t xml:space="preserve">individual psychological </w:t>
      </w:r>
      <w:r w:rsidRPr="00D30A31">
        <w:t>models</w:t>
      </w:r>
      <w:r w:rsidR="00D30A31">
        <w:t xml:space="preserve"> which underserve (e.g. FAOs as ‘treatment allies’) or even pathologize FAOs</w:t>
      </w:r>
      <w:r w:rsidRPr="00D30A31">
        <w:t xml:space="preserve"> (e.g. </w:t>
      </w:r>
      <w:r w:rsidR="00D30A31">
        <w:t xml:space="preserve">through </w:t>
      </w:r>
      <w:r w:rsidRPr="00D30A31">
        <w:t xml:space="preserve">the notion of co-dependency) </w:t>
      </w:r>
      <w:r w:rsidRPr="00D30A31">
        <w:fldChar w:fldCharType="begin"/>
      </w:r>
      <w:r w:rsidRPr="00D30A31">
        <w:instrText xml:space="preserve"> ADDIN EN.CITE &lt;EndNote&gt;&lt;Cite&gt;&lt;Author&gt;Orford&lt;/Author&gt;&lt;Year&gt;2010&lt;/Year&gt;&lt;RecNum&gt;257&lt;/RecNum&gt;&lt;DisplayText&gt;(Orford et al., 2010)&lt;/DisplayText&gt;&lt;record&gt;&lt;rec-number&gt;257&lt;/rec-number&gt;&lt;foreign-keys&gt;&lt;key app="EN" db-id="25rszwft292ev3esrpvpde0cpxrd9ex0xspp" timestamp="1589931283"&gt;257&lt;/key&gt;&lt;/foreign-keys&gt;&lt;ref-type name="Journal Article"&gt;17&lt;/ref-type&gt;&lt;contributors&gt;&lt;authors&gt;&lt;author&gt;Orford, Jim&lt;/author&gt;&lt;author&gt;Copello, Alex&lt;/author&gt;&lt;author&gt;Velleman, Richard&lt;/author&gt;&lt;author&gt;Templeton, Lorna&lt;/author&gt;&lt;/authors&gt;&lt;/contributors&gt;&lt;titles&gt;&lt;title&gt;Family members affected by a close relative&amp;apos;s addiction: The stress-strain-coping-support model&lt;/title&gt;&lt;secondary-title&gt;Drugs: education, prevention and policy&lt;/secondary-title&gt;&lt;/titles&gt;&lt;periodical&gt;&lt;full-title&gt;Drugs: education, prevention and policy&lt;/full-title&gt;&lt;/periodical&gt;&lt;pages&gt;36-43&lt;/pages&gt;&lt;volume&gt;17&lt;/volume&gt;&lt;number&gt;sup1&lt;/number&gt;&lt;dates&gt;&lt;year&gt;2010&lt;/year&gt;&lt;/dates&gt;&lt;isbn&gt;0968-7637&lt;/isbn&gt;&lt;urls&gt;&lt;/urls&gt;&lt;/record&gt;&lt;/Cite&gt;&lt;/EndNote&gt;</w:instrText>
      </w:r>
      <w:r w:rsidRPr="00D30A31">
        <w:fldChar w:fldCharType="separate"/>
      </w:r>
      <w:r w:rsidRPr="00D30A31">
        <w:t>(Orford et al., 2010)</w:t>
      </w:r>
      <w:r w:rsidRPr="00D30A31">
        <w:fldChar w:fldCharType="end"/>
      </w:r>
      <w:r w:rsidRPr="00D30A31">
        <w:t xml:space="preserve">. </w:t>
      </w:r>
    </w:p>
    <w:p w14:paraId="7652F489" w14:textId="77777777" w:rsidR="00767BA2" w:rsidRPr="00D30A31" w:rsidRDefault="00767BA2" w:rsidP="00767BA2">
      <w:pPr>
        <w:jc w:val="both"/>
      </w:pPr>
    </w:p>
    <w:p w14:paraId="677C314A" w14:textId="7B0E2A0D" w:rsidR="00767BA2" w:rsidRDefault="00767BA2" w:rsidP="00767BA2">
      <w:pPr>
        <w:jc w:val="both"/>
      </w:pPr>
      <w:r w:rsidRPr="00D30A31">
        <w:t xml:space="preserve">Viewing addiction as a social or relational event can form the base for a variety of innovative approaches to service provision intervention (discussed in the following sections). This is not to suggest that relational approaches are inherently superior to more individual approaches, nor that one should replace the other. The two approaches engage different understandings of addiction, FAOs, and accordingly, recommend different ways for services to operate. Adams (2016) suggests that multiple approaches must be allowed to flourish in service environments and </w:t>
      </w:r>
      <w:r w:rsidR="003E5DD9">
        <w:t>the</w:t>
      </w:r>
      <w:r w:rsidRPr="00D30A31">
        <w:t xml:space="preserve"> evidence base</w:t>
      </w:r>
      <w:r w:rsidR="003E5DD9">
        <w:t xml:space="preserve"> be expanded</w:t>
      </w:r>
      <w:r w:rsidR="003E5DD9" w:rsidRPr="003E5DD9">
        <w:t xml:space="preserve"> </w:t>
      </w:r>
      <w:r w:rsidR="003E5DD9">
        <w:t>and diversified</w:t>
      </w:r>
      <w:r w:rsidRPr="00D30A31">
        <w:t>, if clients are to be empowered to engage with the concepts and approaches that are the most relevant to them.</w:t>
      </w:r>
    </w:p>
    <w:p w14:paraId="227BD819" w14:textId="77777777" w:rsidR="00767BA2" w:rsidRDefault="00767BA2" w:rsidP="00767BA2">
      <w:pPr>
        <w:jc w:val="both"/>
      </w:pPr>
    </w:p>
    <w:p w14:paraId="041E065C" w14:textId="77777777" w:rsidR="00767BA2" w:rsidRDefault="00767BA2" w:rsidP="00767BA2">
      <w:pPr>
        <w:jc w:val="both"/>
      </w:pPr>
    </w:p>
    <w:p w14:paraId="0EE6B1A5" w14:textId="77777777" w:rsidR="00767BA2" w:rsidRPr="000129B6" w:rsidRDefault="00767BA2" w:rsidP="00E137E0">
      <w:pPr>
        <w:pStyle w:val="Heading4"/>
      </w:pPr>
      <w:bookmarkStart w:id="38" w:name="_Toc41640893"/>
      <w:r w:rsidRPr="000129B6">
        <w:t>Supporting relational reconnection</w:t>
      </w:r>
      <w:bookmarkEnd w:id="38"/>
    </w:p>
    <w:p w14:paraId="4339BF96" w14:textId="58098628" w:rsidR="00767BA2" w:rsidRDefault="00767BA2" w:rsidP="00767BA2">
      <w:pPr>
        <w:jc w:val="both"/>
        <w:rPr>
          <w:rFonts w:ascii="Georgia" w:hAnsi="Georgia"/>
          <w:color w:val="333333"/>
          <w:sz w:val="27"/>
          <w:szCs w:val="27"/>
          <w:shd w:val="clear" w:color="auto" w:fill="FCFCFC"/>
        </w:rPr>
      </w:pPr>
      <w:r w:rsidRPr="000129B6">
        <w:t xml:space="preserve">Key to this approach is the notion of addictions recovery as a relational process </w:t>
      </w:r>
      <w:r w:rsidR="00422F82">
        <w:fldChar w:fldCharType="begin">
          <w:fldData xml:space="preserve">PEVuZE5vdGU+PENpdGU+PEF1dGhvcj5BZGFtczwvQXV0aG9yPjxZZWFyPjIwMDc8L1llYXI+PFJl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</w:fldData>
        </w:fldChar>
      </w:r>
      <w:r w:rsidR="001D57D0">
        <w:instrText xml:space="preserve"> ADDIN EN.CITE </w:instrText>
      </w:r>
      <w:r w:rsidR="001D57D0">
        <w:fldChar w:fldCharType="begin">
          <w:fldData xml:space="preserve">PEVuZE5vdGU+PENpdGU+PEF1dGhvcj5BZGFtczwvQXV0aG9yPjxZZWFyPjIwMDc8L1llYXI+PFJl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</w:fldData>
        </w:fldChar>
      </w:r>
      <w:r w:rsidR="001D57D0">
        <w:instrText xml:space="preserve"> ADDIN EN.CITE.DATA </w:instrText>
      </w:r>
      <w:r w:rsidR="001D57D0">
        <w:fldChar w:fldCharType="end"/>
      </w:r>
      <w:r w:rsidR="00422F82">
        <w:fldChar w:fldCharType="separate"/>
      </w:r>
      <w:r w:rsidR="001D57D0">
        <w:rPr>
          <w:noProof/>
        </w:rPr>
        <w:t>(Adams, 2007a; Selbekk &amp; Sagvaag, 2016; Selbekk et al., 2015)</w:t>
      </w:r>
      <w:r w:rsidR="00422F82">
        <w:fldChar w:fldCharType="end"/>
      </w:r>
      <w:r w:rsidR="00422F82">
        <w:t xml:space="preserve">. </w:t>
      </w:r>
      <w:r>
        <w:t xml:space="preserve">For example, </w:t>
      </w:r>
      <w:r w:rsidRPr="000129B6">
        <w:t xml:space="preserve">Selbekk and Sagvaag (2016) explored encounters between families and addictions treatment </w:t>
      </w:r>
      <w:r>
        <w:t>services</w:t>
      </w:r>
      <w:r w:rsidRPr="000129B6">
        <w:t xml:space="preserve"> from the perspective of families, reporting that FAOs</w:t>
      </w:r>
      <w:r w:rsidRPr="00FA6E46">
        <w:t xml:space="preserve"> desired to have more than a peripheral role in the challenges associated with substance use. </w:t>
      </w:r>
      <w:r w:rsidRPr="00601BB6">
        <w:t>Selbekk et al. (</w:t>
      </w:r>
      <w:hyperlink r:id="rId14" w:anchor="ref-CR54" w:tooltip="Selbekk, A. S., Sagvaag, H., &amp; Fauske, H. (2014). Addiction, families and treatment: a critical realist search for theories that can improve practice. Addiction Research and Theory, Early Online." w:history="1">
        <w:r w:rsidRPr="00601BB6">
          <w:t>2014</w:t>
        </w:r>
      </w:hyperlink>
      <w:r w:rsidRPr="00601BB6">
        <w:t xml:space="preserve">) highlighted how the process of change </w:t>
      </w:r>
      <w:r>
        <w:t xml:space="preserve">in families where addiction is present </w:t>
      </w:r>
      <w:r w:rsidRPr="00601BB6">
        <w:t xml:space="preserve">is, by necessity, a slow process which focuses primarily on the relationships of friends and family. </w:t>
      </w:r>
      <w:r>
        <w:t>Rather than conceptualising support from the perspective of</w:t>
      </w:r>
      <w:r w:rsidRPr="00FA6E46">
        <w:t xml:space="preserve"> “recovery” (which implies a journey undertaken by an individual), “reintegration” has been promoted as a concept that </w:t>
      </w:r>
      <w:r>
        <w:t xml:space="preserve">centralises </w:t>
      </w:r>
      <w:r w:rsidRPr="00FA6E46">
        <w:t>the social/relational determinants of addiction</w:t>
      </w:r>
      <w:r>
        <w:t xml:space="preserve"> and recovery</w:t>
      </w:r>
      <w:r w:rsidRPr="00FA6E46">
        <w:t xml:space="preserve"> (Adams, 2016). Reintegration conceptualises addiction as a social event centred on the relationship between the individual and the substance. As this relationship intensifies, those other relationships around the individual deteriorate. </w:t>
      </w:r>
      <w:r>
        <w:t>Decreasing t</w:t>
      </w:r>
      <w:r w:rsidRPr="00FA6E46">
        <w:t>he strength of the addiction</w:t>
      </w:r>
      <w:r>
        <w:t xml:space="preserve"> involves creating the conditions of possibility for </w:t>
      </w:r>
      <w:r w:rsidRPr="00FA6E46">
        <w:t>reconnecti</w:t>
      </w:r>
      <w:r>
        <w:t>on with</w:t>
      </w:r>
      <w:r w:rsidRPr="00FA6E46">
        <w:t xml:space="preserve"> other relationships (FAOs), and </w:t>
      </w:r>
      <w:r>
        <w:t xml:space="preserve">such relationship building </w:t>
      </w:r>
      <w:r w:rsidRPr="00FA6E46">
        <w:t>should therefore become a focus of intervention (Adams, 2016; Selbekk &amp; Sagvaag, 2016)</w:t>
      </w:r>
      <w:r>
        <w:t>.</w:t>
      </w:r>
      <w:r w:rsidR="00A27990">
        <w:t xml:space="preserve"> </w:t>
      </w:r>
    </w:p>
    <w:p w14:paraId="0AF8885C" w14:textId="7B93DBE7" w:rsidR="005C3B35" w:rsidRDefault="005C3B35" w:rsidP="00767BA2">
      <w:pPr>
        <w:jc w:val="both"/>
        <w:rPr>
          <w:rFonts w:ascii="Georgia" w:hAnsi="Georgia"/>
          <w:color w:val="333333"/>
          <w:sz w:val="27"/>
          <w:szCs w:val="27"/>
          <w:shd w:val="clear" w:color="auto" w:fill="FCFCFC"/>
        </w:rPr>
      </w:pPr>
    </w:p>
    <w:p w14:paraId="22987458" w14:textId="0FAE453A" w:rsidR="00767BA2" w:rsidRDefault="00767BA2" w:rsidP="00DB10BE">
      <w:pPr>
        <w:jc w:val="both"/>
      </w:pPr>
      <w:r w:rsidRPr="00601BB6">
        <w:t xml:space="preserve">Accordingly, interventions </w:t>
      </w:r>
      <w:r>
        <w:t>have been designed</w:t>
      </w:r>
      <w:r w:rsidRPr="00601BB6">
        <w:t xml:space="preserve"> </w:t>
      </w:r>
      <w:r>
        <w:t xml:space="preserve">which </w:t>
      </w:r>
      <w:r w:rsidRPr="00601BB6">
        <w:t xml:space="preserve">focus on </w:t>
      </w:r>
      <w:r>
        <w:t xml:space="preserve">creating </w:t>
      </w:r>
      <w:r w:rsidRPr="00601BB6">
        <w:t xml:space="preserve">opportunities for quality relationships within </w:t>
      </w:r>
      <w:r>
        <w:t>a</w:t>
      </w:r>
      <w:r w:rsidRPr="00601BB6">
        <w:t xml:space="preserve"> social system (Copello </w:t>
      </w:r>
      <w:r w:rsidR="003E5DD9">
        <w:t>&amp;</w:t>
      </w:r>
      <w:r w:rsidRPr="00601BB6">
        <w:t xml:space="preserve"> Orford</w:t>
      </w:r>
      <w:r w:rsidR="005C3B35">
        <w:t xml:space="preserve"> </w:t>
      </w:r>
      <w:hyperlink r:id="rId15" w:anchor="ref-CR9" w:tooltip="Copello, A. G., &amp; Orford, J. (2002). Editorial: addiction and the family: is it time for services to take notice of the evidence. Addiction, 97, 1361–1363." w:history="1">
        <w:r w:rsidRPr="00601BB6">
          <w:t>2002</w:t>
        </w:r>
      </w:hyperlink>
      <w:r w:rsidRPr="00601BB6">
        <w:t>; Simmons</w:t>
      </w:r>
      <w:r w:rsidR="005C3B35">
        <w:t xml:space="preserve"> </w:t>
      </w:r>
      <w:hyperlink r:id="rId16" w:anchor="ref-CR55" w:tooltip="Simmons, J. (2006). The interplay between interpersonal dynamics, treatment barriers, and larger social forces: an exploratory study of drug-using couples in Hartford, CT. Substance Abuse Treatment, Prevention, and Policy, 1(12), 1–12." w:history="1">
        <w:r w:rsidRPr="00601BB6">
          <w:t>2006</w:t>
        </w:r>
      </w:hyperlink>
      <w:r w:rsidRPr="00601BB6">
        <w:t xml:space="preserve">). </w:t>
      </w:r>
      <w:r w:rsidR="00A27990">
        <w:t xml:space="preserve">The characteristics and fostering of ‘recovery communities’ is receiving increasing attention </w:t>
      </w:r>
      <w:r w:rsidR="00A27990">
        <w:fldChar w:fldCharType="begin"/>
      </w:r>
      <w:r w:rsidR="00A27990">
        <w:instrText xml:space="preserve"> ADDIN EN.CITE &lt;EndNote&gt;&lt;Cite&gt;&lt;Author&gt;Cano&lt;/Author&gt;&lt;Year&gt;2017&lt;/Year&gt;&lt;RecNum&gt;312&lt;/RecNum&gt;&lt;DisplayText&gt;(Best, McKitterick, Beswick, &amp;amp; Savic, 2015; Cano, Best, Edwards, &amp;amp; Lehman, 2017)&lt;/DisplayText&gt;&lt;record&gt;&lt;rec-number&gt;312&lt;/rec-number&gt;&lt;foreign-keys&gt;&lt;key app="EN" db-id="25rszwft292ev3esrpvpde0cpxrd9ex0xspp" timestamp="1601861226"&gt;312&lt;/key&gt;&lt;/foreign-keys&gt;&lt;ref-type name="Journal Article"&gt;17&lt;/ref-type&gt;&lt;contributors&gt;&lt;authors&gt;&lt;author&gt;Cano, Ivan&lt;/author&gt;&lt;author&gt;Best, David&lt;/author&gt;&lt;author&gt;Edwards, Michael&lt;/author&gt;&lt;author&gt;Lehman, John&lt;/author&gt;&lt;/authors&gt;&lt;/contributors&gt;&lt;titles&gt;&lt;title&gt;Recovery capital pathways: Modelling the components of recovery wellbeing&lt;/title&gt;&lt;secondary-title&gt;Drug and alcohol dependence&lt;/secondary-title&gt;&lt;/titles&gt;&lt;periodical&gt;&lt;full-title&gt;Drug and alcohol dependence&lt;/full-title&gt;&lt;/periodical&gt;&lt;pages&gt;11-19&lt;/pages&gt;&lt;volume&gt;181&lt;/volume&gt;&lt;dates&gt;&lt;year&gt;2017&lt;/year&gt;&lt;/dates&gt;&lt;isbn&gt;0376-8716&lt;/isbn&gt;&lt;urls&gt;&lt;/urls&gt;&lt;/record&gt;&lt;/Cite&gt;&lt;Cite&gt;&lt;Author&gt;Best&lt;/Author&gt;&lt;Year&gt;2015&lt;/Year&gt;&lt;RecNum&gt;313&lt;/RecNum&gt;&lt;record&gt;&lt;rec-number&gt;313&lt;/rec-number&gt;&lt;foreign-keys&gt;&lt;key app="EN" db-id="25rszwft292ev3esrpvpde0cpxrd9ex0xspp" timestamp="1601861242"&gt;313&lt;/key&gt;&lt;/foreign-keys&gt;&lt;ref-type name="Journal Article"&gt;17&lt;/ref-type&gt;&lt;contributors&gt;&lt;authors&gt;&lt;author&gt;Best, David&lt;/author&gt;&lt;author&gt;McKitterick, Trish&lt;/author&gt;&lt;author&gt;Beswick, Tracy&lt;/author&gt;&lt;author&gt;Savic, Michael&lt;/author&gt;&lt;/authors&gt;&lt;/contributors&gt;&lt;titles&gt;&lt;title&gt;Recovery capital and social networks among people in treatment and among those in recovery in York, England&lt;/title&gt;&lt;secondary-title&gt;Alcoholism Treatment Quarterly&lt;/secondary-title&gt;&lt;/titles&gt;&lt;periodical&gt;&lt;full-title&gt;Alcoholism Treatment Quarterly&lt;/full-title&gt;&lt;/periodical&gt;&lt;pages&gt;270-282&lt;/pages&gt;&lt;volume&gt;33&lt;/volume&gt;&lt;number&gt;3&lt;/number&gt;&lt;dates&gt;&lt;year&gt;2015&lt;/year&gt;&lt;/dates&gt;&lt;isbn&gt;0734-7324&lt;/isbn&gt;&lt;urls&gt;&lt;/urls&gt;&lt;/record&gt;&lt;/Cite&gt;&lt;/EndNote&gt;</w:instrText>
      </w:r>
      <w:r w:rsidR="00A27990">
        <w:fldChar w:fldCharType="separate"/>
      </w:r>
      <w:r w:rsidR="00A27990">
        <w:rPr>
          <w:noProof/>
        </w:rPr>
        <w:t>(Best, McKitterick, Beswick, &amp; Savic, 2015; Cano, Best, Edwards, &amp; Lehman, 2017)</w:t>
      </w:r>
      <w:r w:rsidR="00A27990">
        <w:fldChar w:fldCharType="end"/>
      </w:r>
      <w:r w:rsidR="00A27990">
        <w:t xml:space="preserve">. </w:t>
      </w:r>
      <w:r w:rsidR="00FA3EB0">
        <w:t xml:space="preserve">For example, in-depth engagement with the experiences of </w:t>
      </w:r>
      <w:r w:rsidR="00DB10BE">
        <w:t xml:space="preserve">members of </w:t>
      </w:r>
      <w:r w:rsidR="00FA3EB0">
        <w:t xml:space="preserve">an online addictions </w:t>
      </w:r>
      <w:r w:rsidR="00DB10BE">
        <w:t>recovery communit</w:t>
      </w:r>
      <w:r w:rsidR="00FA3EB0">
        <w:t xml:space="preserve">y found that interactions enhanced </w:t>
      </w:r>
      <w:r w:rsidR="00DB10BE">
        <w:t xml:space="preserve">the recovery process </w:t>
      </w:r>
      <w:r w:rsidR="00FA3EB0">
        <w:t>by</w:t>
      </w:r>
      <w:r w:rsidR="00DB10BE">
        <w:t xml:space="preserve"> helping participants to develop </w:t>
      </w:r>
      <w:r w:rsidR="00FA3EB0">
        <w:t>change-positive</w:t>
      </w:r>
      <w:r w:rsidR="00DB10BE">
        <w:t xml:space="preserve"> identit</w:t>
      </w:r>
      <w:r w:rsidR="00FA3EB0">
        <w:t>ies</w:t>
      </w:r>
      <w:r w:rsidR="00DB10BE">
        <w:t xml:space="preserve"> and </w:t>
      </w:r>
      <w:r w:rsidR="00FA3EB0">
        <w:t xml:space="preserve">social </w:t>
      </w:r>
      <w:r w:rsidR="00DB10BE">
        <w:t>capital</w:t>
      </w:r>
      <w:r w:rsidR="00FA3EB0">
        <w:t xml:space="preserve"> </w:t>
      </w:r>
      <w:r w:rsidR="00FA3EB0">
        <w:fldChar w:fldCharType="begin"/>
      </w:r>
      <w:r w:rsidR="00FA3EB0">
        <w:instrText xml:space="preserve"> ADDIN EN.CITE &lt;EndNote&gt;&lt;Cite&gt;&lt;Author&gt;Bliuc&lt;/Author&gt;&lt;Year&gt;2017&lt;/Year&gt;&lt;RecNum&gt;320&lt;/RecNum&gt;&lt;DisplayText&gt;(Bliuc, Best, Iqbal, &amp;amp; Upton, 2017)&lt;/DisplayText&gt;&lt;record&gt;&lt;rec-number&gt;320&lt;/rec-number&gt;&lt;foreign-keys&gt;&lt;key app="EN" db-id="25rszwft292ev3esrpvpde0cpxrd9ex0xspp" timestamp="1601930181"&gt;320&lt;/key&gt;&lt;/foreign-keys&gt;&lt;ref-type name="Journal Article"&gt;17&lt;/ref-type&gt;&lt;contributors&gt;&lt;authors&gt;&lt;author&gt;Bliuc, Ana-Maria&lt;/author&gt;&lt;author&gt;Best, David&lt;/author&gt;&lt;author&gt;Iqbal, Muhammad&lt;/author&gt;&lt;author&gt;Upton, Katie&lt;/author&gt;&lt;/authors&gt;&lt;/contributors&gt;&lt;titles&gt;&lt;title&gt;Building addiction recovery capital through online participation in a recovery community&lt;/title&gt;&lt;secondary-title&gt;Social Science &amp;amp; Medicine&lt;/secondary-title&gt;&lt;/titles&gt;&lt;periodical&gt;&lt;full-title&gt;Social science &amp;amp; medicine&lt;/full-title&gt;&lt;/periodical&gt;&lt;pages&gt;110-117&lt;/pages&gt;&lt;volume&gt;193&lt;/volume&gt;&lt;dates&gt;&lt;year&gt;2017&lt;/year&gt;&lt;/dates&gt;&lt;isbn&gt;0277-9536&lt;/isbn&gt;&lt;urls&gt;&lt;/urls&gt;&lt;/record&gt;&lt;/Cite&gt;&lt;/EndNote&gt;</w:instrText>
      </w:r>
      <w:r w:rsidR="00FA3EB0">
        <w:fldChar w:fldCharType="separate"/>
      </w:r>
      <w:r w:rsidR="00FA3EB0">
        <w:rPr>
          <w:noProof/>
        </w:rPr>
        <w:t>(Bliuc, Best, Iqbal, &amp; Upton, 2017)</w:t>
      </w:r>
      <w:r w:rsidR="00FA3EB0">
        <w:fldChar w:fldCharType="end"/>
      </w:r>
      <w:r w:rsidR="00DB10BE">
        <w:t xml:space="preserve">. </w:t>
      </w:r>
      <w:r w:rsidR="00A27990">
        <w:t>Social</w:t>
      </w:r>
      <w:r>
        <w:t xml:space="preserve"> </w:t>
      </w:r>
      <w:r>
        <w:lastRenderedPageBreak/>
        <w:t>perspectives are also operationalised in peer social support practice</w:t>
      </w:r>
      <w:r w:rsidR="00F026C2">
        <w:t xml:space="preserve"> (e.g. 12 step)</w:t>
      </w:r>
      <w:r>
        <w:t xml:space="preserve">, family harm reduction/support groups, and some </w:t>
      </w:r>
      <w:r w:rsidR="00A27990">
        <w:t>I</w:t>
      </w:r>
      <w:r>
        <w:t xml:space="preserve">ndigenous </w:t>
      </w:r>
      <w:r w:rsidR="00A27990">
        <w:t xml:space="preserve">and culturally </w:t>
      </w:r>
      <w:r>
        <w:t xml:space="preserve">based approaches (Adams, 2016; </w:t>
      </w:r>
      <w:r w:rsidRPr="001C49BD">
        <w:t>Huriwai, 2002).</w:t>
      </w:r>
      <w:r>
        <w:t xml:space="preserve"> </w:t>
      </w:r>
      <w:r w:rsidR="00BE57EF" w:rsidRPr="00BE57EF">
        <w:t>Treatment providers are well positioned to link individuals into recovery groups and supportive social networks</w:t>
      </w:r>
      <w:r w:rsidR="00BE57EF">
        <w:t xml:space="preserve"> </w:t>
      </w:r>
      <w:r w:rsidR="00BE57EF">
        <w:fldChar w:fldCharType="begin"/>
      </w:r>
      <w:r w:rsidR="00BE57EF">
        <w:instrText xml:space="preserve"> ADDIN EN.CITE &lt;EndNote&gt;&lt;Cite&gt;&lt;Author&gt;Best&lt;/Author&gt;&lt;Year&gt;2015&lt;/Year&gt;&lt;RecNum&gt;313&lt;/RecNum&gt;&lt;DisplayText&gt;(Best et al., 2015)&lt;/DisplayText&gt;&lt;record&gt;&lt;rec-number&gt;313&lt;/rec-number&gt;&lt;foreign-keys&gt;&lt;key app="EN" db-id="25rszwft292ev3esrpvpde0cpxrd9ex0xspp" timestamp="1601861242"&gt;313&lt;/key&gt;&lt;/foreign-keys&gt;&lt;ref-type name="Journal Article"&gt;17&lt;/ref-type&gt;&lt;contributors&gt;&lt;authors&gt;&lt;author&gt;Best, David&lt;/author&gt;&lt;author&gt;McKitterick, Trish&lt;/author&gt;&lt;author&gt;Beswick, Tracy&lt;/author&gt;&lt;author&gt;Savic, Michael&lt;/author&gt;&lt;/authors&gt;&lt;/contributors&gt;&lt;titles&gt;&lt;title&gt;Recovery capital and social networks among people in treatment and among those in recovery in York, England&lt;/title&gt;&lt;secondary-title&gt;Alcoholism Treatment Quarterly&lt;/secondary-title&gt;&lt;/titles&gt;&lt;periodical&gt;&lt;full-title&gt;Alcoholism Treatment Quarterly&lt;/full-title&gt;&lt;/periodical&gt;&lt;pages&gt;270-282&lt;/pages&gt;&lt;volume&gt;33&lt;/volume&gt;&lt;number&gt;3&lt;/number&gt;&lt;dates&gt;&lt;year&gt;2015&lt;/year&gt;&lt;/dates&gt;&lt;isbn&gt;0734-7324&lt;/isbn&gt;&lt;urls&gt;&lt;/urls&gt;&lt;/record&gt;&lt;/Cite&gt;&lt;/EndNote&gt;</w:instrText>
      </w:r>
      <w:r w:rsidR="00BE57EF">
        <w:fldChar w:fldCharType="separate"/>
      </w:r>
      <w:r w:rsidR="00BE57EF">
        <w:rPr>
          <w:noProof/>
        </w:rPr>
        <w:t>(Best et al., 2015)</w:t>
      </w:r>
      <w:r w:rsidR="00BE57EF">
        <w:fldChar w:fldCharType="end"/>
      </w:r>
      <w:r w:rsidR="00BE57EF" w:rsidRPr="00BE57EF">
        <w:t>.</w:t>
      </w:r>
      <w:r w:rsidR="00BE57EF">
        <w:t xml:space="preserve"> </w:t>
      </w:r>
      <w:r>
        <w:t xml:space="preserve">Critical scholars of intervention practice have argued that a traditional focus on individual psychological approaches to mental health issues has limited the development of empirical, phenomenological and values-based evidence for </w:t>
      </w:r>
      <w:r w:rsidR="00017161">
        <w:t>social</w:t>
      </w:r>
      <w:r>
        <w:t xml:space="preserve"> approaches to supporting FAOs </w:t>
      </w:r>
      <w:r>
        <w:fldChar w:fldCharType="begin"/>
      </w:r>
      <w:r>
        <w:instrText xml:space="preserve"> ADDIN EN.CITE &lt;EndNote&gt;&lt;Cite&gt;&lt;Author&gt;Adams&lt;/Author&gt;&lt;Year&gt;2016&lt;/Year&gt;&lt;RecNum&gt;225&lt;/RecNum&gt;&lt;DisplayText&gt;(Adams, 2016; Selbekk &amp;amp; Sagvaag, 2016)&lt;/DisplayText&gt;&lt;record&gt;&lt;rec-number&gt;225&lt;/rec-number&gt;&lt;foreign-keys&gt;&lt;key app="EN" db-id="25rszwft292ev3esrpvpde0cpxrd9ex0xspp" timestamp="1589145984"&gt;225&lt;/key&gt;&lt;/foreign-keys&gt;&lt;ref-type name="Journal Article"&gt;17&lt;/ref-type&gt;&lt;contributors&gt;&lt;authors&gt;&lt;author&gt;Adams, Peter&lt;/author&gt;&lt;/authors&gt;&lt;/contributors&gt;&lt;titles&gt;&lt;title&gt;Switching to a social approach to addiction: implications for theory and practice&lt;/title&gt;&lt;secondary-title&gt;International Journal of Mental Health and Addiction&lt;/secondary-title&gt;&lt;/titles&gt;&lt;periodical&gt;&lt;full-title&gt;International Journal of Mental Health and Addiction&lt;/full-title&gt;&lt;/periodical&gt;&lt;pages&gt;86-94&lt;/pages&gt;&lt;volume&gt;14&lt;/volume&gt;&lt;number&gt;1&lt;/number&gt;&lt;dates&gt;&lt;year&gt;2016&lt;/year&gt;&lt;/dates&gt;&lt;isbn&gt;1557-1874&lt;/isbn&gt;&lt;urls&gt;&lt;/urls&gt;&lt;/record&gt;&lt;/Cite&gt;&lt;Cite&gt;&lt;Author&gt;Selbekk&lt;/Author&gt;&lt;Year&gt;2016&lt;/Year&gt;&lt;RecNum&gt;161&lt;/RecNum&gt;&lt;record&gt;&lt;rec-number&gt;161&lt;/rec-number&gt;&lt;foreign-keys&gt;&lt;key app="EN" db-id="25rszwft292ev3esrpvpde0cpxrd9ex0xspp" timestamp="1586303526"&gt;161&lt;/key&gt;&lt;/foreign-keys&gt;&lt;ref-type name="Journal Article"&gt;17&lt;/ref-type&gt;&lt;contributors&gt;&lt;authors&gt;&lt;author&gt;Selbekk, Anne Schanche&lt;/author&gt;&lt;author&gt;Sagvaag, Hildegunn&lt;/author&gt;&lt;/authors&gt;&lt;/contributors&gt;&lt;titles&gt;&lt;title&gt;Troubled families and individualised solutions: an institutional discourse analysis of alcohol and drug treatment practices involving affected others&lt;/title&gt;&lt;secondary-title&gt;Sociology of health &amp;amp; illness&lt;/secondary-title&gt;&lt;/titles&gt;&lt;periodical&gt;&lt;full-title&gt;Sociology of health &amp;amp; illness&lt;/full-title&gt;&lt;/periodical&gt;&lt;pages&gt;1058-1073&lt;/pages&gt;&lt;volume&gt;38&lt;/volume&gt;&lt;number&gt;7&lt;/number&gt;&lt;dates&gt;&lt;year&gt;2016&lt;/year&gt;&lt;/dates&gt;&lt;isbn&gt;0141-9889&lt;/isbn&gt;&lt;urls&gt;&lt;/urls&gt;&lt;/record&gt;&lt;/Cite&gt;&lt;/EndNote&gt;</w:instrText>
      </w:r>
      <w:r>
        <w:fldChar w:fldCharType="separate"/>
      </w:r>
      <w:r>
        <w:rPr>
          <w:noProof/>
        </w:rPr>
        <w:t>(Adams, 2016; Selbekk &amp; Sagvaag, 2016)</w:t>
      </w:r>
      <w:r>
        <w:fldChar w:fldCharType="end"/>
      </w:r>
      <w:r>
        <w:t xml:space="preserve">. </w:t>
      </w:r>
      <w:r w:rsidR="00BE57EF">
        <w:t>E</w:t>
      </w:r>
      <w:r w:rsidR="00017161">
        <w:t>xclusively</w:t>
      </w:r>
      <w:r w:rsidR="00017161" w:rsidRPr="00017161">
        <w:t xml:space="preserve"> clinical definition</w:t>
      </w:r>
      <w:r w:rsidR="00017161">
        <w:t>s</w:t>
      </w:r>
      <w:r w:rsidR="00017161" w:rsidRPr="00017161">
        <w:t xml:space="preserve"> of </w:t>
      </w:r>
      <w:r w:rsidR="00017161">
        <w:t>‘</w:t>
      </w:r>
      <w:r w:rsidR="00017161" w:rsidRPr="00017161">
        <w:t>addiction recovery</w:t>
      </w:r>
      <w:r w:rsidR="00017161">
        <w:t xml:space="preserve"> as control over substance use’ have opened up to incorporate</w:t>
      </w:r>
      <w:r w:rsidR="00017161" w:rsidRPr="00017161">
        <w:t xml:space="preserve"> global health and active participation in communities </w:t>
      </w:r>
      <w:r w:rsidR="00017161">
        <w:fldChar w:fldCharType="begin"/>
      </w:r>
      <w:r w:rsidR="00017161">
        <w:instrText xml:space="preserve"> ADDIN EN.CITE &lt;EndNote&gt;&lt;Cite&gt;&lt;Author&gt;Betty Ford Institute Consensus Panel&lt;/Author&gt;&lt;Year&gt;2007&lt;/Year&gt;&lt;RecNum&gt;316&lt;/RecNum&gt;&lt;DisplayText&gt;(Betty Ford Institute Consensus Panel, 2007; Commission, 2008)&lt;/DisplayText&gt;&lt;record&gt;&lt;rec-number&gt;316&lt;/rec-number&gt;&lt;foreign-keys&gt;&lt;key app="EN" db-id="25rszwft292ev3esrpvpde0cpxrd9ex0xspp" timestamp="1601862536"&gt;316&lt;/key&gt;&lt;/foreign-keys&gt;&lt;ref-type name="Journal Article"&gt;17&lt;/ref-type&gt;&lt;contributors&gt;&lt;authors&gt;&lt;author&gt;Betty Ford Institute Consensus Panel,&lt;/author&gt;&lt;/authors&gt;&lt;/contributors&gt;&lt;titles&gt;&lt;title&gt;What is recovery? A working definition from the Betty Ford Institute&lt;/title&gt;&lt;secondary-title&gt;Journal of Substance Abuse Treatment&lt;/secondary-title&gt;&lt;/titles&gt;&lt;periodical&gt;&lt;full-title&gt;Journal of substance abuse treatment&lt;/full-title&gt;&lt;/periodical&gt;&lt;pages&gt;221-228&lt;/pages&gt;&lt;volume&gt;33&lt;/volume&gt;&lt;number&gt;3&lt;/number&gt;&lt;dates&gt;&lt;year&gt;2007&lt;/year&gt;&lt;/dates&gt;&lt;isbn&gt;0740-5472&lt;/isbn&gt;&lt;urls&gt;&lt;/urls&gt;&lt;/record&gt;&lt;/Cite&gt;&lt;Cite&gt;&lt;Author&gt;Commission&lt;/Author&gt;&lt;Year&gt;2008&lt;/Year&gt;&lt;RecNum&gt;317&lt;/RecNum&gt;&lt;record&gt;&lt;rec-number&gt;317&lt;/rec-number&gt;&lt;foreign-keys&gt;&lt;key app="EN" db-id="25rszwft292ev3esrpvpde0cpxrd9ex0xspp" timestamp="1601862582"&gt;317&lt;/key&gt;&lt;/foreign-keys&gt;&lt;ref-type name="Report"&gt;27&lt;/ref-type&gt;&lt;contributors&gt;&lt;authors&gt;&lt;author&gt;United Kingdom Drug Policy Commission&lt;/author&gt;&lt;/authors&gt;&lt;/contributors&gt;&lt;titles&gt;&lt;title&gt;The UK drug policy commission recovery consensus group: A vision of recovery&lt;/title&gt;&lt;secondary-title&gt;UKDPC, London&lt;/secondary-title&gt;&lt;/titles&gt;&lt;periodical&gt;&lt;full-title&gt;UKDPC, London&lt;/full-title&gt;&lt;/periodical&gt;&lt;dates&gt;&lt;year&gt;2008&lt;/year&gt;&lt;/dates&gt;&lt;urls&gt;&lt;/urls&gt;&lt;/record&gt;&lt;/Cite&gt;&lt;/EndNote&gt;</w:instrText>
      </w:r>
      <w:r w:rsidR="00017161">
        <w:fldChar w:fldCharType="separate"/>
      </w:r>
      <w:r w:rsidR="00017161">
        <w:rPr>
          <w:noProof/>
        </w:rPr>
        <w:t>(Betty Ford Institute Consensus Panel, 2007; Commission, 2008)</w:t>
      </w:r>
      <w:r w:rsidR="00017161">
        <w:fldChar w:fldCharType="end"/>
      </w:r>
      <w:r w:rsidR="00017161" w:rsidRPr="00017161">
        <w:t xml:space="preserve">. </w:t>
      </w:r>
      <w:r w:rsidR="00017161">
        <w:t xml:space="preserve">There is a recognised need to </w:t>
      </w:r>
      <w:r w:rsidR="00017161" w:rsidRPr="00017161">
        <w:t>differentiat</w:t>
      </w:r>
      <w:r w:rsidR="00017161">
        <w:t xml:space="preserve">e </w:t>
      </w:r>
      <w:r w:rsidR="00017161" w:rsidRPr="00017161">
        <w:t xml:space="preserve">between observable </w:t>
      </w:r>
      <w:r w:rsidR="00017161">
        <w:t xml:space="preserve">empirical-analytical </w:t>
      </w:r>
      <w:r w:rsidR="00017161" w:rsidRPr="00017161">
        <w:t>changes (substance use, offending, etc.) and experiential processes (such as changes in identity, quality of life and a sense of hope and belonging</w:t>
      </w:r>
      <w:r w:rsidR="00017161">
        <w:t xml:space="preserve"> </w:t>
      </w:r>
      <w:r w:rsidR="00017161">
        <w:fldChar w:fldCharType="begin"/>
      </w:r>
      <w:r w:rsidR="00017161">
        <w:instrText xml:space="preserve"> ADDIN EN.CITE &lt;EndNote&gt;&lt;Cite&gt;&lt;Author&gt;Slade&lt;/Author&gt;&lt;Year&gt;2010&lt;/Year&gt;&lt;RecNum&gt;314&lt;/RecNum&gt;&lt;DisplayText&gt;(Slade, 2010)&lt;/DisplayText&gt;&lt;record&gt;&lt;rec-number&gt;314&lt;/rec-number&gt;&lt;foreign-keys&gt;&lt;key app="EN" db-id="25rszwft292ev3esrpvpde0cpxrd9ex0xspp" timestamp="1601862383"&gt;314&lt;/key&gt;&lt;/foreign-keys&gt;&lt;ref-type name="Journal Article"&gt;17&lt;/ref-type&gt;&lt;contributors&gt;&lt;authors&gt;&lt;author&gt;Slade, Mike&lt;/author&gt;&lt;/authors&gt;&lt;/contributors&gt;&lt;titles&gt;&lt;title&gt;Mental illness and well-being: the central importance of positive psychology and recovery approaches&lt;/title&gt;&lt;secondary-title&gt;BMC health services research&lt;/secondary-title&gt;&lt;/titles&gt;&lt;periodical&gt;&lt;full-title&gt;BMC health services research&lt;/full-title&gt;&lt;/periodical&gt;&lt;pages&gt;1-14&lt;/pages&gt;&lt;volume&gt;10&lt;/volume&gt;&lt;number&gt;1&lt;/number&gt;&lt;dates&gt;&lt;year&gt;2010&lt;/year&gt;&lt;/dates&gt;&lt;isbn&gt;1472-6963&lt;/isbn&gt;&lt;urls&gt;&lt;/urls&gt;&lt;/record&gt;&lt;/Cite&gt;&lt;/EndNote&gt;</w:instrText>
      </w:r>
      <w:r w:rsidR="00017161">
        <w:fldChar w:fldCharType="separate"/>
      </w:r>
      <w:r w:rsidR="00017161">
        <w:rPr>
          <w:noProof/>
        </w:rPr>
        <w:t>(Slade, 2010)</w:t>
      </w:r>
      <w:r w:rsidR="00017161">
        <w:fldChar w:fldCharType="end"/>
      </w:r>
      <w:r w:rsidR="00017161">
        <w:t>.</w:t>
      </w:r>
    </w:p>
    <w:p w14:paraId="5219EE52" w14:textId="47D8A518" w:rsidR="00AC4DDC" w:rsidRDefault="00AC4DDC" w:rsidP="00DB10BE">
      <w:pPr>
        <w:jc w:val="both"/>
      </w:pPr>
    </w:p>
    <w:p w14:paraId="5485528E" w14:textId="2841C76A" w:rsidR="00AC4DDC" w:rsidRDefault="00AC4DDC" w:rsidP="00AC4DDC">
      <w:pPr>
        <w:jc w:val="both"/>
      </w:pPr>
      <w:r w:rsidRPr="000168F6">
        <w:t xml:space="preserve">Within the addictions field, Best and </w:t>
      </w:r>
      <w:r>
        <w:t>Laudet</w:t>
      </w:r>
      <w:r w:rsidRPr="000168F6">
        <w:t xml:space="preserve"> </w:t>
      </w:r>
      <w:r>
        <w:fldChar w:fldCharType="begin"/>
      </w:r>
      <w:r>
        <w:instrText xml:space="preserve"> ADDIN EN.CITE &lt;EndNote&gt;&lt;Cite ExcludeAuth="1"&gt;&lt;Author&gt;Best&lt;/Author&gt;&lt;Year&gt;2010&lt;/Year&gt;&lt;RecNum&gt;321&lt;/RecNum&gt;&lt;DisplayText&gt;(2010)&lt;/DisplayText&gt;&lt;record&gt;&lt;rec-number&gt;321&lt;/rec-number&gt;&lt;foreign-keys&gt;&lt;key app="EN" db-id="25rszwft292ev3esrpvpde0cpxrd9ex0xspp" timestamp="1601937829"&gt;321&lt;/key&gt;&lt;/foreign-keys&gt;&lt;ref-type name="Journal Article"&gt;17&lt;/ref-type&gt;&lt;contributors&gt;&lt;authors&gt;&lt;author&gt;Best, David&lt;/author&gt;&lt;author&gt;Laudet, Alexandre&lt;/author&gt;&lt;/authors&gt;&lt;/contributors&gt;&lt;titles&gt;&lt;title&gt;The potential of recovery capital&lt;/title&gt;&lt;secondary-title&gt;London: RSA&lt;/secondary-title&gt;&lt;/titles&gt;&lt;periodical&gt;&lt;full-title&gt;London: RSA&lt;/full-title&gt;&lt;/periodical&gt;&lt;dates&gt;&lt;year&gt;2010&lt;/year&gt;&lt;/dates&gt;&lt;urls&gt;&lt;/urls&gt;&lt;/record&gt;&lt;/Cite&gt;&lt;/EndNote&gt;</w:instrText>
      </w:r>
      <w:r>
        <w:fldChar w:fldCharType="separate"/>
      </w:r>
      <w:r>
        <w:rPr>
          <w:noProof/>
        </w:rPr>
        <w:t>(2010)</w:t>
      </w:r>
      <w:r>
        <w:fldChar w:fldCharType="end"/>
      </w:r>
      <w:r w:rsidRPr="000168F6">
        <w:t xml:space="preserve"> have argued that the growth of recovery benefits families </w:t>
      </w:r>
      <w:r>
        <w:t>and</w:t>
      </w:r>
      <w:r w:rsidRPr="000168F6">
        <w:t xml:space="preserve"> serves to generate ‘collective recovery capital’ that provides support and hope for those in recovery and engages people in a range of activities in the local community. This process translates into active participation in community life and ‘giving something back’ by creating a collective commitment in recovery groups to community engagement and immersion. In other words, </w:t>
      </w:r>
      <w:r>
        <w:t>FAOs are an integral part of the ‘</w:t>
      </w:r>
      <w:r w:rsidRPr="000168F6">
        <w:t>recovery community</w:t>
      </w:r>
      <w:r>
        <w:t xml:space="preserve">’, </w:t>
      </w:r>
      <w:r w:rsidRPr="000168F6">
        <w:t xml:space="preserve">a positive force in the local community and a resource for that community that goes beyond managing </w:t>
      </w:r>
      <w:r>
        <w:t>addiction</w:t>
      </w:r>
      <w:r w:rsidRPr="000168F6">
        <w:t xml:space="preserve"> issues.</w:t>
      </w:r>
      <w:r>
        <w:t xml:space="preserve"> At a systems level it is meaningful to conceptualise and measure recovery-oriented systems of care through the range and dynamism of recovery support groups, the local champions of recovery and the services that provide continued and ongoing care. </w:t>
      </w:r>
    </w:p>
    <w:p w14:paraId="4DB415AE" w14:textId="77777777" w:rsidR="00767BA2" w:rsidRDefault="00767BA2" w:rsidP="00767BA2">
      <w:pPr>
        <w:jc w:val="both"/>
      </w:pPr>
    </w:p>
    <w:p w14:paraId="1817DF99" w14:textId="77777777" w:rsidR="00767BA2" w:rsidRPr="00017161" w:rsidRDefault="00767BA2" w:rsidP="00017161">
      <w:pPr>
        <w:rPr>
          <w:i/>
          <w:iCs/>
        </w:rPr>
      </w:pPr>
      <w:bookmarkStart w:id="39" w:name="_Toc41640894"/>
      <w:r w:rsidRPr="00017161">
        <w:rPr>
          <w:i/>
          <w:iCs/>
        </w:rPr>
        <w:t>Indigenous and sociologically informed approaches to engaging with families.</w:t>
      </w:r>
      <w:bookmarkEnd w:id="39"/>
      <w:r w:rsidRPr="00017161">
        <w:rPr>
          <w:i/>
          <w:iCs/>
        </w:rPr>
        <w:t xml:space="preserve">    </w:t>
      </w:r>
    </w:p>
    <w:p w14:paraId="66E9B909" w14:textId="3F304658" w:rsidR="00767BA2" w:rsidRDefault="00767BA2" w:rsidP="00767BA2">
      <w:pPr>
        <w:jc w:val="both"/>
      </w:pPr>
      <w:r w:rsidRPr="009111CF">
        <w:t>Indigenous approaches</w:t>
      </w:r>
      <w:r>
        <w:t xml:space="preserve"> to addressing substance abuse in families have been developed b</w:t>
      </w:r>
      <w:r w:rsidRPr="009111CF">
        <w:t xml:space="preserve">ased on principles derived from </w:t>
      </w:r>
      <w:r>
        <w:t xml:space="preserve">specific </w:t>
      </w:r>
      <w:r w:rsidRPr="009111CF">
        <w:t xml:space="preserve">social and cultural contexts. </w:t>
      </w:r>
      <w:r>
        <w:t xml:space="preserve">For example, </w:t>
      </w:r>
      <w:r w:rsidRPr="009111CF">
        <w:t>draw</w:t>
      </w:r>
      <w:r>
        <w:t>ing</w:t>
      </w:r>
      <w:r w:rsidRPr="009111CF">
        <w:t xml:space="preserve"> on traditional kin and tribal relationships and incorporat</w:t>
      </w:r>
      <w:r>
        <w:t>ing</w:t>
      </w:r>
      <w:r w:rsidRPr="009111CF">
        <w:t xml:space="preserve"> traditional practices associated with healing and strength building (Lavallee </w:t>
      </w:r>
      <w:r w:rsidR="003E5DD9">
        <w:t>&amp;</w:t>
      </w:r>
      <w:r w:rsidRPr="009111CF">
        <w:t xml:space="preserve"> Poole 2010).</w:t>
      </w:r>
      <w:r>
        <w:t xml:space="preserve"> These approaches hold that addiction compromises </w:t>
      </w:r>
      <w:r w:rsidRPr="00AE3D51">
        <w:t>connectedness to family, to one’s village, to one’s tribe, to the land and to a spiritual presence understood as critical to health and well-being (</w:t>
      </w:r>
      <w:r>
        <w:t xml:space="preserve">e.g. </w:t>
      </w:r>
      <w:r w:rsidRPr="00AE3D51">
        <w:t>Durie 2001).</w:t>
      </w:r>
      <w:r>
        <w:t xml:space="preserve"> Addiction is affected by and can also </w:t>
      </w:r>
      <w:r w:rsidRPr="00CD31B5">
        <w:t>compromise the capacity of communities to respond to the impacts of colonization, poverty and cultural alienation</w:t>
      </w:r>
      <w:r>
        <w:t xml:space="preserve"> on wellbeing (Huriwai, 2002, 2001). This approach to thinking about FAOs affected by addiction and intervention to support them, is supported by a broader international indigenous wellbeing movement exemplified in Healing Our Spirit Worldwide (HOSW). </w:t>
      </w:r>
      <w:r w:rsidRPr="00805E17">
        <w:t xml:space="preserve">The first HOSW Gathering took place in 1992 in Edmonton, Canada and attracted 3,500 people from 17 countries intent on addressing the </w:t>
      </w:r>
      <w:r w:rsidR="003E5DD9">
        <w:t>wide ranging impacts</w:t>
      </w:r>
      <w:r w:rsidRPr="00805E17">
        <w:t xml:space="preserve"> of chemical abuse and dependence among indigenous people around the world</w:t>
      </w:r>
      <w:r>
        <w:t xml:space="preserve"> </w:t>
      </w:r>
      <w:r>
        <w:fldChar w:fldCharType="begin"/>
      </w:r>
      <w:r>
        <w:instrText xml:space="preserve"> ADDIN EN.CITE &lt;EndNote&gt;&lt;Cite&gt;&lt;Author&gt;Nikora&lt;/Author&gt;&lt;Year&gt;2016&lt;/Year&gt;&lt;RecNum&gt;266&lt;/RecNum&gt;&lt;DisplayText&gt;(Nikora, LaBoucane-Benson, Bublitz, &amp;amp; McClintock, 2016)&lt;/DisplayText&gt;&lt;record&gt;&lt;rec-number&gt;266&lt;/rec-number&gt;&lt;foreign-keys&gt;&lt;key app="EN" db-id="25rszwft292ev3esrpvpde0cpxrd9ex0xspp" timestamp="1590443413"&gt;266&lt;/key&gt;&lt;/foreign-keys&gt;&lt;ref-type name="Journal Article"&gt;17&lt;/ref-type&gt;&lt;contributors&gt;&lt;authors&gt;&lt;author&gt;Nikora, Linda Waimarie&lt;/author&gt;&lt;author&gt;LaBoucane-Benson, Patti&lt;/author&gt;&lt;author&gt;Bublitz, Barry&lt;/author&gt;&lt;author&gt;McClintock, Kahu&lt;/author&gt;&lt;/authors&gt;&lt;/contributors&gt;&lt;titles&gt;&lt;title&gt;A New Beginning for Indigenous Wellbeing–Guest Editorial&lt;/title&gt;&lt;secondary-title&gt;Journal of Indigenous Wellbeing&lt;/secondary-title&gt;&lt;/titles&gt;&lt;periodical&gt;&lt;full-title&gt;Journal of Indigenous Wellbeing&lt;/full-title&gt;&lt;/periodical&gt;&lt;pages&gt;1-4&lt;/pages&gt;&lt;volume&gt;1&lt;/volume&gt;&lt;number&gt;1&lt;/number&gt;&lt;dates&gt;&lt;year&gt;2016&lt;/year&gt;&lt;/dates&gt;&lt;isbn&gt;2463-5049&lt;/isbn&gt;&lt;urls&gt;&lt;/urls&gt;&lt;/record&gt;&lt;/Cite&gt;&lt;/EndNote&gt;</w:instrText>
      </w:r>
      <w:r>
        <w:fldChar w:fldCharType="separate"/>
      </w:r>
      <w:r>
        <w:rPr>
          <w:noProof/>
        </w:rPr>
        <w:t>(Nikora, LaBoucane-Benson, Bublitz, &amp; McClintock, 2016)</w:t>
      </w:r>
      <w:r>
        <w:fldChar w:fldCharType="end"/>
      </w:r>
      <w:r w:rsidRPr="00805E17">
        <w:t xml:space="preserve">. </w:t>
      </w:r>
      <w:r>
        <w:t>Eight</w:t>
      </w:r>
      <w:r w:rsidRPr="00805E17">
        <w:t xml:space="preserve"> gatherings later, the movement celebrates the cultural and spiritual tenacity and resiliency of indigenous people </w:t>
      </w:r>
      <w:r w:rsidRPr="00805E17">
        <w:lastRenderedPageBreak/>
        <w:t xml:space="preserve">around the world and provides a forum for a broad spectrum of </w:t>
      </w:r>
      <w:r>
        <w:t xml:space="preserve">indigenous wellbeing knowledge, expertise and approaches </w:t>
      </w:r>
      <w:r w:rsidRPr="00805E17">
        <w:t>to be discussed</w:t>
      </w:r>
      <w:r>
        <w:t xml:space="preserve">. </w:t>
      </w:r>
    </w:p>
    <w:p w14:paraId="2F6C80E9" w14:textId="77777777" w:rsidR="00767BA2" w:rsidRDefault="00767BA2" w:rsidP="00767BA2">
      <w:pPr>
        <w:jc w:val="both"/>
      </w:pPr>
    </w:p>
    <w:p w14:paraId="709A4109" w14:textId="6CFD00AC" w:rsidR="00767BA2" w:rsidRPr="00BB4406" w:rsidRDefault="00767BA2" w:rsidP="00767BA2">
      <w:pPr>
        <w:jc w:val="both"/>
      </w:pPr>
      <w:r>
        <w:t xml:space="preserve">DeVerteuil and </w:t>
      </w:r>
      <w:r w:rsidR="003E5DD9">
        <w:t>Wilson</w:t>
      </w:r>
      <w:r>
        <w:t xml:space="preserve"> </w:t>
      </w:r>
      <w:r>
        <w:fldChar w:fldCharType="begin"/>
      </w:r>
      <w:r>
        <w:instrText xml:space="preserve"> ADDIN EN.CITE &lt;EndNote&gt;&lt;Cite&gt;&lt;Author&gt;DeVerteuil&lt;/Author&gt;&lt;Year&gt;2010&lt;/Year&gt;&lt;RecNum&gt;267&lt;/RecNum&gt;&lt;DisplayText&gt;(DeVerteuil &amp;amp; Wilson, 2010)&lt;/DisplayText&gt;&lt;record&gt;&lt;rec-number&gt;267&lt;/rec-number&gt;&lt;foreign-keys&gt;&lt;key app="EN" db-id="25rszwft292ev3esrpvpde0cpxrd9ex0xspp" timestamp="1590444062"&gt;267&lt;/key&gt;&lt;/foreign-keys&gt;&lt;ref-type name="Journal Article"&gt;17&lt;/ref-type&gt;&lt;contributors&gt;&lt;authors&gt;&lt;author&gt;DeVerteuil, Geoffrey&lt;/author&gt;&lt;author&gt;Wilson, Kathi&lt;/author&gt;&lt;/authors&gt;&lt;/contributors&gt;&lt;titles&gt;&lt;title&gt;Reconciling indigenous need with the urban welfare state? Evidence of culturally-appropriate services and spaces for Aboriginals in Winnipeg, Canada&lt;/title&gt;&lt;secondary-title&gt;Geoforum&lt;/secondary-title&gt;&lt;/titles&gt;&lt;periodical&gt;&lt;full-title&gt;Geoforum&lt;/full-title&gt;&lt;/periodical&gt;&lt;pages&gt;498-507&lt;/pages&gt;&lt;volume&gt;41&lt;/volume&gt;&lt;number&gt;3&lt;/number&gt;&lt;dates&gt;&lt;year&gt;2010&lt;/year&gt;&lt;/dates&gt;&lt;isbn&gt;0016-7185&lt;/isbn&gt;&lt;urls&gt;&lt;/urls&gt;&lt;/record&gt;&lt;/Cite&gt;&lt;/EndNote&gt;</w:instrText>
      </w:r>
      <w:r>
        <w:fldChar w:fldCharType="separate"/>
      </w:r>
      <w:r>
        <w:rPr>
          <w:noProof/>
        </w:rPr>
        <w:t>(DeVerteuil &amp; Wilson, 2010)</w:t>
      </w:r>
      <w:r>
        <w:fldChar w:fldCharType="end"/>
      </w:r>
      <w:r>
        <w:t xml:space="preserve"> took up this perspective to explore  </w:t>
      </w:r>
      <w:r w:rsidRPr="00024D4D">
        <w:t xml:space="preserve">the extent to which the </w:t>
      </w:r>
      <w:r>
        <w:t xml:space="preserve">substance abuse </w:t>
      </w:r>
      <w:r w:rsidRPr="00024D4D">
        <w:t>recovery system makes space for Aboriginal healing through the provision of culturally-appropriate services and programming</w:t>
      </w:r>
      <w:r>
        <w:t xml:space="preserve"> in Winnipeg (Canada). </w:t>
      </w:r>
      <w:r w:rsidR="00A22CB8">
        <w:t>C</w:t>
      </w:r>
      <w:r w:rsidR="00A22CB8" w:rsidRPr="00024D4D">
        <w:t>ulturally appropriate</w:t>
      </w:r>
      <w:r w:rsidRPr="00024D4D">
        <w:t xml:space="preserve"> services </w:t>
      </w:r>
      <w:r>
        <w:t>were held to</w:t>
      </w:r>
      <w:r w:rsidRPr="00024D4D">
        <w:t xml:space="preserve"> incorporate a number of </w:t>
      </w:r>
      <w:r>
        <w:t xml:space="preserve">family and community </w:t>
      </w:r>
      <w:r w:rsidRPr="00024D4D">
        <w:t xml:space="preserve">factors including traditional healers, elders, traditional </w:t>
      </w:r>
      <w:r>
        <w:t xml:space="preserve">collective </w:t>
      </w:r>
      <w:r w:rsidRPr="00024D4D">
        <w:t xml:space="preserve">healing practices (e.g., sweat lodges or healing circles among some groups in Canada) and an understanding of the impact of colonialism on health. It has been argued that the creation of culturally-appropriate services, especially as they </w:t>
      </w:r>
      <w:r>
        <w:t>relate</w:t>
      </w:r>
      <w:r w:rsidRPr="00024D4D">
        <w:t xml:space="preserve"> to indigenous health and well-being, is key to ensuring both the relevance and effectiveness of any service provided (Giger and Davidhizar, 2007, Poonwassie and Charter, 2001, Wilson, 2008).</w:t>
      </w:r>
      <w:r w:rsidRPr="00BB4406">
        <w:rPr>
          <w:rFonts w:ascii="Georgia" w:eastAsia="Times New Roman" w:hAnsi="Georgia"/>
          <w:color w:val="2E2E2E"/>
          <w:sz w:val="27"/>
          <w:szCs w:val="27"/>
          <w:lang w:eastAsia="en-NZ"/>
        </w:rPr>
        <w:t xml:space="preserve"> </w:t>
      </w:r>
      <w:r w:rsidRPr="003E5DD9">
        <w:t>Ma</w:t>
      </w:r>
      <w:r w:rsidRPr="00BB4406">
        <w:t xml:space="preserve">instream </w:t>
      </w:r>
      <w:r>
        <w:t>services</w:t>
      </w:r>
      <w:r w:rsidRPr="00BB4406">
        <w:t xml:space="preserve"> </w:t>
      </w:r>
      <w:r>
        <w:t xml:space="preserve">tend to </w:t>
      </w:r>
      <w:r w:rsidRPr="00BB4406">
        <w:t>normali</w:t>
      </w:r>
      <w:r>
        <w:t>s</w:t>
      </w:r>
      <w:r w:rsidRPr="00BB4406">
        <w:t xml:space="preserve">e certain types of healing from substance abuse (i.e. </w:t>
      </w:r>
      <w:r>
        <w:t>individualised</w:t>
      </w:r>
      <w:r w:rsidRPr="00BB4406">
        <w:t>) and in doing so ha</w:t>
      </w:r>
      <w:r>
        <w:t>ve</w:t>
      </w:r>
      <w:r w:rsidRPr="00BB4406">
        <w:t xml:space="preserve"> excluded Aboriginal approaches to healing and </w:t>
      </w:r>
      <w:r>
        <w:t xml:space="preserve">alienated </w:t>
      </w:r>
      <w:r w:rsidRPr="00BB4406">
        <w:t xml:space="preserve">some Aboriginal </w:t>
      </w:r>
      <w:r>
        <w:t>families</w:t>
      </w:r>
      <w:r w:rsidRPr="00BB4406">
        <w:t>.</w:t>
      </w:r>
      <w:r>
        <w:t xml:space="preserve"> Specifically, to the extent that services do not o</w:t>
      </w:r>
      <w:r w:rsidRPr="00BB4406">
        <w:t xml:space="preserve">ffer interested individuals the opportunity to seek treatment through both conventional and traditional approaches, the </w:t>
      </w:r>
      <w:r>
        <w:t>appropriateness</w:t>
      </w:r>
      <w:r w:rsidRPr="00BB4406">
        <w:t xml:space="preserve"> of the addictions treatment system </w:t>
      </w:r>
      <w:r>
        <w:t>can</w:t>
      </w:r>
      <w:r w:rsidRPr="00BB4406">
        <w:t xml:space="preserve"> be called into question</w:t>
      </w:r>
      <w:r>
        <w:t xml:space="preserve"> </w:t>
      </w:r>
      <w:r>
        <w:fldChar w:fldCharType="begin"/>
      </w:r>
      <w:r>
        <w:instrText xml:space="preserve"> ADDIN EN.CITE &lt;EndNote&gt;&lt;Cite&gt;&lt;Author&gt;DeVerteuil&lt;/Author&gt;&lt;Year&gt;2010&lt;/Year&gt;&lt;RecNum&gt;267&lt;/RecNum&gt;&lt;DisplayText&gt;(DeVerteuil &amp;amp; Wilson, 2010)&lt;/DisplayText&gt;&lt;record&gt;&lt;rec-number&gt;267&lt;/rec-number&gt;&lt;foreign-keys&gt;&lt;key app="EN" db-id="25rszwft292ev3esrpvpde0cpxrd9ex0xspp" timestamp="1590444062"&gt;267&lt;/key&gt;&lt;/foreign-keys&gt;&lt;ref-type name="Journal Article"&gt;17&lt;/ref-type&gt;&lt;contributors&gt;&lt;authors&gt;&lt;author&gt;DeVerteuil, Geoffrey&lt;/author&gt;&lt;author&gt;Wilson, Kathi&lt;/author&gt;&lt;/authors&gt;&lt;/contributors&gt;&lt;titles&gt;&lt;title&gt;Reconciling indigenous need with the urban welfare state? Evidence of culturally-appropriate services and spaces for Aboriginals in Winnipeg, Canada&lt;/title&gt;&lt;secondary-title&gt;Geoforum&lt;/secondary-title&gt;&lt;/titles&gt;&lt;periodical&gt;&lt;full-title&gt;Geoforum&lt;/full-title&gt;&lt;/periodical&gt;&lt;pages&gt;498-507&lt;/pages&gt;&lt;volume&gt;41&lt;/volume&gt;&lt;number&gt;3&lt;/number&gt;&lt;dates&gt;&lt;year&gt;2010&lt;/year&gt;&lt;/dates&gt;&lt;isbn&gt;0016-7185&lt;/isbn&gt;&lt;urls&gt;&lt;/urls&gt;&lt;/record&gt;&lt;/Cite&gt;&lt;/EndNote&gt;</w:instrText>
      </w:r>
      <w:r>
        <w:fldChar w:fldCharType="separate"/>
      </w:r>
      <w:r>
        <w:rPr>
          <w:noProof/>
        </w:rPr>
        <w:t>(DeVerteuil &amp; Wilson, 2010)</w:t>
      </w:r>
      <w:r>
        <w:fldChar w:fldCharType="end"/>
      </w:r>
      <w:r w:rsidRPr="00BB4406">
        <w:t>. </w:t>
      </w:r>
    </w:p>
    <w:p w14:paraId="68BDE0AA" w14:textId="77777777" w:rsidR="00767BA2" w:rsidRDefault="00767BA2" w:rsidP="00767BA2">
      <w:pPr>
        <w:jc w:val="both"/>
      </w:pPr>
    </w:p>
    <w:p w14:paraId="5760D743" w14:textId="5332978A" w:rsidR="00767BA2" w:rsidRDefault="00767BA2" w:rsidP="00767BA2">
      <w:pPr>
        <w:jc w:val="both"/>
      </w:pPr>
      <w:r>
        <w:t xml:space="preserve">In New Zealand, </w:t>
      </w:r>
      <w:r w:rsidRPr="00CD31B5">
        <w:t>Tipene-Leach and colleagues</w:t>
      </w:r>
      <w:r>
        <w:t xml:space="preserve"> (1994)</w:t>
      </w:r>
      <w:r w:rsidR="00BE57EF">
        <w:t xml:space="preserve"> </w:t>
      </w:r>
      <w:r w:rsidRPr="00CD31B5">
        <w:t xml:space="preserve">reviewed treatment services </w:t>
      </w:r>
      <w:r>
        <w:t>for</w:t>
      </w:r>
      <w:r w:rsidRPr="00CD31B5">
        <w:t xml:space="preserve"> </w:t>
      </w:r>
      <w:r>
        <w:t>Māori</w:t>
      </w:r>
      <w:r w:rsidRPr="00CD31B5">
        <w:t xml:space="preserve"> in the early 1990's and described many </w:t>
      </w:r>
      <w:r>
        <w:t>Māori</w:t>
      </w:r>
      <w:r w:rsidRPr="00CD31B5">
        <w:t xml:space="preserve"> presenting for alcohol- and drug-user treatment as “detribalised and deculturalised”.</w:t>
      </w:r>
      <w:r>
        <w:t xml:space="preserve"> Māori who are more connected with traditional Māori social organisation and structure were less likely to present for treatment at services.     Sociological exploration of the experiences of Māori </w:t>
      </w:r>
      <w:r w:rsidRPr="00CD31B5">
        <w:t xml:space="preserve">in treatment for alcohol- and drug-use problems </w:t>
      </w:r>
      <w:r>
        <w:t>suggested that</w:t>
      </w:r>
      <w:r w:rsidRPr="00CD31B5">
        <w:t xml:space="preserve"> a sense of belonging to an</w:t>
      </w:r>
      <w:r w:rsidR="00BE57EF">
        <w:t xml:space="preserve"> </w:t>
      </w:r>
      <w:r w:rsidRPr="00CD31B5">
        <w:t xml:space="preserve">iwi (“tribe”) could contribute to the recovery process. </w:t>
      </w:r>
      <w:r>
        <w:t>F</w:t>
      </w:r>
      <w:r w:rsidRPr="00CD31B5">
        <w:t>or many</w:t>
      </w:r>
      <w:r>
        <w:t>,</w:t>
      </w:r>
      <w:r w:rsidRPr="00CD31B5">
        <w:t xml:space="preserve"> regaining </w:t>
      </w:r>
      <w:r>
        <w:t>Māori</w:t>
      </w:r>
      <w:r w:rsidRPr="00CD31B5">
        <w:t xml:space="preserve"> identity became the crux of treatment and some appeared to make major steps once this had been reconfirmed.</w:t>
      </w:r>
      <w:r>
        <w:t xml:space="preserve"> The links between addiction-identity-recovery have been a major focus in addictions recovery literature. For example, </w:t>
      </w:r>
      <w:r w:rsidRPr="001C49BD">
        <w:t>Warren (2014) suggested</w:t>
      </w:r>
      <w:r>
        <w:t xml:space="preserve"> that </w:t>
      </w:r>
    </w:p>
    <w:p w14:paraId="392F08B2" w14:textId="77777777" w:rsidR="00767BA2" w:rsidRDefault="00767BA2" w:rsidP="00767BA2">
      <w:pPr>
        <w:jc w:val="both"/>
      </w:pPr>
    </w:p>
    <w:p w14:paraId="5C6D68F5" w14:textId="77777777" w:rsidR="00767BA2" w:rsidRPr="00DE5574" w:rsidRDefault="00767BA2" w:rsidP="00767BA2">
      <w:pPr>
        <w:ind w:left="720"/>
        <w:jc w:val="both"/>
        <w:rPr>
          <w:i/>
          <w:iCs/>
        </w:rPr>
      </w:pPr>
      <w:r w:rsidRPr="00DE5574">
        <w:rPr>
          <w:i/>
          <w:iCs/>
        </w:rPr>
        <w:t>“Modern psychologies and therapies often contain an unspoken but clear salvational tone. If only you could learn to be more… or less… then your troubles would be over…I contest the idea of recovery as a destination and a return to ‘full health’, and argue for ‘discovery’ as a life journey.”</w:t>
      </w:r>
    </w:p>
    <w:p w14:paraId="6C60661A" w14:textId="77777777" w:rsidR="00767BA2" w:rsidRDefault="00767BA2" w:rsidP="00767BA2">
      <w:pPr>
        <w:jc w:val="both"/>
      </w:pPr>
    </w:p>
    <w:p w14:paraId="4939F140" w14:textId="3D116A32" w:rsidR="00767BA2" w:rsidRDefault="00767BA2" w:rsidP="00BE57EF">
      <w:pPr>
        <w:jc w:val="both"/>
      </w:pPr>
      <w:r>
        <w:t>C</w:t>
      </w:r>
      <w:r w:rsidRPr="00CD31B5">
        <w:t>oncepts of</w:t>
      </w:r>
      <w:r w:rsidR="005C3B35">
        <w:t xml:space="preserve"> </w:t>
      </w:r>
      <w:r>
        <w:t xml:space="preserve">whānau </w:t>
      </w:r>
      <w:r w:rsidRPr="00CD31B5">
        <w:t>(“family”) and</w:t>
      </w:r>
      <w:r w:rsidR="005C3B35">
        <w:t xml:space="preserve"> </w:t>
      </w:r>
      <w:r>
        <w:t>whānau</w:t>
      </w:r>
      <w:r w:rsidRPr="00CD31B5">
        <w:t>ngatanga</w:t>
      </w:r>
      <w:r>
        <w:t xml:space="preserve"> </w:t>
      </w:r>
      <w:r w:rsidRPr="00CD31B5">
        <w:t xml:space="preserve">(“relationships”) </w:t>
      </w:r>
      <w:r>
        <w:t xml:space="preserve">are regarded as instrumental </w:t>
      </w:r>
      <w:r w:rsidRPr="00CD31B5">
        <w:t xml:space="preserve">in the </w:t>
      </w:r>
      <w:r>
        <w:t>life journeys and support/</w:t>
      </w:r>
      <w:r w:rsidRPr="00CD31B5">
        <w:t>treatment process</w:t>
      </w:r>
      <w:r>
        <w:t>es</w:t>
      </w:r>
      <w:r w:rsidRPr="00CD31B5">
        <w:t xml:space="preserve"> for </w:t>
      </w:r>
      <w:r>
        <w:t xml:space="preserve">Māori families and communities </w:t>
      </w:r>
      <w:r>
        <w:fldChar w:fldCharType="begin"/>
      </w:r>
      <w:r>
        <w:instrText xml:space="preserve"> ADDIN EN.CITE &lt;EndNote&gt;&lt;Cite&gt;&lt;Author&gt;Huriwai&lt;/Author&gt;&lt;Year&gt;2001&lt;/Year&gt;&lt;RecNum&gt;264&lt;/RecNum&gt;&lt;DisplayText&gt;(Huriwai, Robertson, Armstrong, Kingi, &amp;amp; Huata, 2001)&lt;/DisplayText&gt;&lt;record&gt;&lt;rec-number&gt;264&lt;/rec-number&gt;&lt;foreign-keys&gt;&lt;key app="EN" db-id="25rszwft292ev3esrpvpde0cpxrd9ex0xspp" timestamp="1590442198"&gt;264&lt;/key&gt;&lt;/foreign-keys&gt;&lt;ref-type name="Journal Article"&gt;17&lt;/ref-type&gt;&lt;contributors&gt;&lt;authors&gt;&lt;author&gt;Huriwai, Terry&lt;/author&gt;&lt;author&gt;Robertson, Paul J&lt;/author&gt;&lt;author&gt;Armstrong, Delaraine&lt;/author&gt;&lt;author&gt;Kingi, Te Pare&lt;/author&gt;&lt;author&gt;Huata, Paraire&lt;/author&gt;&lt;/authors&gt;&lt;/contributors&gt;&lt;titles&gt;&lt;title&gt;WHANAUNGATANGA–A PROCESS IN THE TREATMENT OF MA ORI WITH ALCOHOL-AND DRUG-USE RELATED PROBLEMS&lt;/title&gt;&lt;secondary-title&gt;Substance use &amp;amp; misuse&lt;/secondary-title&gt;&lt;/titles&gt;&lt;periodical&gt;&lt;full-title&gt;Substance use &amp;amp; misuse&lt;/full-title&gt;&lt;/periodical&gt;&lt;pages&gt;1033-1051&lt;/pages&gt;&lt;volume&gt;36&lt;/volume&gt;&lt;number&gt;8&lt;/number&gt;&lt;dates&gt;&lt;year&gt;2001&lt;/year&gt;&lt;/dates&gt;&lt;isbn&gt;1082-6084&lt;/isbn&gt;&lt;urls&gt;&lt;/urls&gt;&lt;/record&gt;&lt;/Cite&gt;&lt;/EndNote&gt;</w:instrText>
      </w:r>
      <w:r>
        <w:fldChar w:fldCharType="separate"/>
      </w:r>
      <w:r>
        <w:rPr>
          <w:noProof/>
        </w:rPr>
        <w:t>(Huriwai, Robertson, Armstrong, Kingi, &amp; Huata, 2001)</w:t>
      </w:r>
      <w:r>
        <w:fldChar w:fldCharType="end"/>
      </w:r>
      <w:r>
        <w:t>. The notion of re-enculturation has been suggested to focus services on supporting processes of collective and individual identity development - offering</w:t>
      </w:r>
      <w:r w:rsidRPr="00CD31B5">
        <w:t xml:space="preserve"> guidance, values, and principles with which to function </w:t>
      </w:r>
      <w:r>
        <w:t xml:space="preserve">as Māori, and in a Māori world </w:t>
      </w:r>
      <w:r w:rsidR="00BE57EF">
        <w:fldChar w:fldCharType="begin"/>
      </w:r>
      <w:r w:rsidR="00BE57EF">
        <w:instrText xml:space="preserve"> ADDIN EN.CITE &lt;EndNote&gt;&lt;Cite&gt;&lt;Author&gt;Huriwai&lt;/Author&gt;&lt;Year&gt;2002&lt;/Year&gt;&lt;RecNum&gt;265&lt;/RecNum&gt;&lt;DisplayText&gt;(Huriwai, 2002)&lt;/DisplayText&gt;&lt;record&gt;&lt;rec-number&gt;265&lt;/rec-number&gt;&lt;foreign-keys&gt;&lt;key app="EN" db-id="25rszwft292ev3esrpvpde0cpxrd9ex0xspp" timestamp="1590442920"&gt;265&lt;/key&gt;&lt;/foreign-keys&gt;&lt;ref-type name="Journal Article"&gt;17&lt;/ref-type&gt;&lt;contributors&gt;&lt;authors&gt;&lt;author&gt;Huriwai, Terry&lt;/author&gt;&lt;/authors&gt;&lt;/contributors&gt;&lt;titles&gt;&lt;title&gt;Re-enculturation: Culturally congruent interventions for Mäori with alcohol-and drug-use-associated problems in New Zealand&lt;/title&gt;&lt;secondary-title&gt;Substance use &amp;amp; misuse&lt;/secondary-title&gt;&lt;/titles&gt;&lt;periodical&gt;&lt;full-title&gt;Substance use &amp;amp; misuse&lt;/full-title&gt;&lt;/periodical&gt;&lt;pages&gt;1259-1268&lt;/pages&gt;&lt;volume&gt;37&lt;/volume&gt;&lt;number&gt;8-10&lt;/number&gt;&lt;dates&gt;&lt;year&gt;2002&lt;/year&gt;&lt;/dates&gt;&lt;isbn&gt;1082-6084&lt;/isbn&gt;&lt;urls&gt;&lt;/urls&gt;&lt;/record&gt;&lt;/Cite&gt;&lt;/EndNote&gt;</w:instrText>
      </w:r>
      <w:r w:rsidR="00BE57EF">
        <w:fldChar w:fldCharType="separate"/>
      </w:r>
      <w:r w:rsidR="00BE57EF">
        <w:rPr>
          <w:noProof/>
        </w:rPr>
        <w:t>(Huriwai, 2002)</w:t>
      </w:r>
      <w:r w:rsidR="00BE57EF">
        <w:fldChar w:fldCharType="end"/>
      </w:r>
      <w:r w:rsidR="00BE57EF">
        <w:t>.</w:t>
      </w:r>
    </w:p>
    <w:p w14:paraId="4EE8FD30" w14:textId="77777777" w:rsidR="00767BA2" w:rsidRDefault="00767BA2" w:rsidP="00767BA2">
      <w:pPr>
        <w:jc w:val="both"/>
      </w:pPr>
    </w:p>
    <w:p w14:paraId="5B460B94" w14:textId="64984024" w:rsidR="00767BA2" w:rsidRDefault="00CE7584" w:rsidP="00767BA2">
      <w:pPr>
        <w:jc w:val="both"/>
      </w:pPr>
      <w:r>
        <w:lastRenderedPageBreak/>
        <w:t>I</w:t>
      </w:r>
      <w:r w:rsidR="00767BA2" w:rsidRPr="00AE3D51">
        <w:t xml:space="preserve">ndigenous and sociologically informed approaches to alcohol harm reduction in families </w:t>
      </w:r>
      <w:r>
        <w:t>prioritise</w:t>
      </w:r>
      <w:r w:rsidR="00767BA2">
        <w:t xml:space="preserve"> equity and inclusion. </w:t>
      </w:r>
      <w:r w:rsidR="00BE57EF">
        <w:t>A recent systematic review examined</w:t>
      </w:r>
      <w:r w:rsidR="00BE57EF" w:rsidRPr="00BE57EF">
        <w:t xml:space="preserve"> two decades of published qualitative research </w:t>
      </w:r>
      <w:r w:rsidR="00BE57EF">
        <w:t>detailing the e</w:t>
      </w:r>
      <w:r w:rsidR="00BE57EF" w:rsidRPr="00BE57EF">
        <w:t>xperiences of Māori of Aotearoa New Zealand's public health syste</w:t>
      </w:r>
      <w:r w:rsidR="00BE57EF">
        <w:t xml:space="preserve">m </w:t>
      </w:r>
      <w:r w:rsidR="00BE57EF">
        <w:fldChar w:fldCharType="begin"/>
      </w:r>
      <w:r w:rsidR="008454DB">
        <w:instrText xml:space="preserve"> ADDIN EN.CITE &lt;EndNote&gt;&lt;Cite&gt;&lt;Author&gt;Graham&lt;/Author&gt;&lt;Year&gt;2020&lt;/Year&gt;&lt;RecNum&gt;292&lt;/RecNum&gt;&lt;DisplayText&gt;(R. Graham &amp;amp; Masters‐Awatere, 2020)&lt;/DisplayText&gt;&lt;record&gt;&lt;rec-number&gt;292&lt;/rec-number&gt;&lt;foreign-keys&gt;&lt;key app="EN" db-id="25rszwft292ev3esrpvpde0cpxrd9ex0xspp" timestamp="1600722382"&gt;292&lt;/key&gt;&lt;/foreign-keys&gt;&lt;ref-type name="Journal Article"&gt;17&lt;/ref-type&gt;&lt;contributors&gt;&lt;authors&gt;&lt;author&gt;Graham, Rebekah&lt;/author&gt;&lt;author&gt;Masters‐Awatere, Bridgette&lt;/author&gt;&lt;/authors&gt;&lt;/contributors&gt;&lt;titles&gt;&lt;title&gt;Experiences of Māori of Aotearoa New Zealand&amp;apos;s public health system: a systematic review of two decades of published qualitative research&lt;/title&gt;&lt;secondary-title&gt;Australian and New Zealand Journal of Public Health&lt;/secondary-title&gt;&lt;/titles&gt;&lt;periodical&gt;&lt;full-title&gt;Australian and New Zealand Journal of Public Health&lt;/full-title&gt;&lt;/periodical&gt;&lt;pages&gt;193-200&lt;/pages&gt;&lt;volume&gt;44&lt;/volume&gt;&lt;number&gt;3&lt;/number&gt;&lt;dates&gt;&lt;year&gt;2020&lt;/year&gt;&lt;/dates&gt;&lt;isbn&gt;1326-0200&lt;/isbn&gt;&lt;urls&gt;&lt;/urls&gt;&lt;/record&gt;&lt;/Cite&gt;&lt;/EndNote&gt;</w:instrText>
      </w:r>
      <w:r w:rsidR="00BE57EF">
        <w:fldChar w:fldCharType="separate"/>
      </w:r>
      <w:r w:rsidR="008454DB">
        <w:rPr>
          <w:noProof/>
        </w:rPr>
        <w:t>(R. Graham &amp; Masters‐Awatere, 2020)</w:t>
      </w:r>
      <w:r w:rsidR="00BE57EF">
        <w:fldChar w:fldCharType="end"/>
      </w:r>
      <w:r w:rsidR="00BE57EF">
        <w:t>. This review found that for many Māori, the existing public health system is experienced as hostile and alienating</w:t>
      </w:r>
      <w:r w:rsidR="00DA2470">
        <w:t>. Disengagement of w</w:t>
      </w:r>
      <w:r w:rsidR="00BE57EF">
        <w:t xml:space="preserve">hānau/family members </w:t>
      </w:r>
      <w:r w:rsidR="00DA2470">
        <w:t xml:space="preserve">can be an act of resistance to </w:t>
      </w:r>
      <w:r w:rsidR="00DA2470" w:rsidRPr="00DA2470">
        <w:t>the individualized nature of Western treatment systems creating access barriers and poorer outcomes</w:t>
      </w:r>
      <w:r w:rsidR="00BE57EF">
        <w:t xml:space="preserve">. </w:t>
      </w:r>
      <w:r w:rsidR="00767BA2" w:rsidRPr="009111CF">
        <w:t xml:space="preserve">Waldram et al. (2006, p. 251), in addressing the question of efficacy of traditional healing in general, note that medical anthropologists have successfully </w:t>
      </w:r>
      <w:r w:rsidR="00767BA2">
        <w:t>conceptualised</w:t>
      </w:r>
      <w:r w:rsidR="00767BA2" w:rsidRPr="009111CF">
        <w:t xml:space="preserve"> ‘illness’ </w:t>
      </w:r>
      <w:r w:rsidR="00767BA2">
        <w:t>as</w:t>
      </w:r>
      <w:r w:rsidR="00767BA2" w:rsidRPr="009111CF">
        <w:t xml:space="preserve"> socially- and culturally-constructed concept</w:t>
      </w:r>
      <w:r w:rsidR="00767BA2">
        <w:t xml:space="preserve">. Therefore </w:t>
      </w:r>
      <w:r w:rsidR="00767BA2" w:rsidRPr="009111CF">
        <w:t xml:space="preserve">what constitutes </w:t>
      </w:r>
      <w:r w:rsidR="00767BA2">
        <w:t>quality and</w:t>
      </w:r>
      <w:r w:rsidR="00767BA2" w:rsidRPr="009111CF">
        <w:t xml:space="preserve"> effective treatment for an ‘illness’ </w:t>
      </w:r>
      <w:r w:rsidR="00767BA2">
        <w:t>can</w:t>
      </w:r>
      <w:r w:rsidR="00767BA2" w:rsidRPr="009111CF">
        <w:t xml:space="preserve"> also be socially and culturally defined. </w:t>
      </w:r>
      <w:r w:rsidR="00767BA2">
        <w:t xml:space="preserve">In this vein, </w:t>
      </w:r>
      <w:r w:rsidR="007C3742">
        <w:t>inquiry</w:t>
      </w:r>
      <w:r w:rsidR="00767BA2" w:rsidRPr="009111CF">
        <w:t xml:space="preserve"> </w:t>
      </w:r>
      <w:r w:rsidR="00767BA2">
        <w:t>continue</w:t>
      </w:r>
      <w:r w:rsidR="007C3742">
        <w:t>s</w:t>
      </w:r>
      <w:r w:rsidR="00767BA2">
        <w:t xml:space="preserve"> to </w:t>
      </w:r>
      <w:r w:rsidR="00767BA2" w:rsidRPr="009111CF">
        <w:t>document important links between indigenous healing practices</w:t>
      </w:r>
      <w:r w:rsidR="00767BA2">
        <w:t xml:space="preserve">, </w:t>
      </w:r>
      <w:r w:rsidR="007C3742" w:rsidRPr="007C3742">
        <w:t>treatment that encompasses vital cultural concepts such as whānau (family systems) and wairua (spirit)</w:t>
      </w:r>
      <w:r w:rsidR="007C3742">
        <w:t xml:space="preserve">, </w:t>
      </w:r>
      <w:r w:rsidR="00767BA2" w:rsidRPr="009111CF">
        <w:t xml:space="preserve">sobriety </w:t>
      </w:r>
      <w:r w:rsidR="00767BA2">
        <w:t>and wellbeing</w:t>
      </w:r>
      <w:r w:rsidR="007C3742">
        <w:t xml:space="preserve"> </w:t>
      </w:r>
      <w:r w:rsidR="007C3742">
        <w:fldChar w:fldCharType="begin">
          <w:fldData xml:space="preserve">PEVuZE5vdGU+PENpdGU+PEF1dGhvcj5QYXR0ZXJzb248L0F1dGhvcj48WWVhcj4yMDE4PC9ZZWFy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=
</w:fldData>
        </w:fldChar>
      </w:r>
      <w:r w:rsidR="008454DB">
        <w:instrText xml:space="preserve"> ADDIN EN.CITE </w:instrText>
      </w:r>
      <w:r w:rsidR="008454DB">
        <w:fldChar w:fldCharType="begin">
          <w:fldData xml:space="preserve">PEVuZE5vdGU+PENpdGU+PEF1dGhvcj5QYXR0ZXJzb248L0F1dGhvcj48WWVhcj4yMDE4PC9ZZWFy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=
</w:fldData>
        </w:fldChar>
      </w:r>
      <w:r w:rsidR="008454DB">
        <w:instrText xml:space="preserve"> ADDIN EN.CITE.DATA </w:instrText>
      </w:r>
      <w:r w:rsidR="008454DB">
        <w:fldChar w:fldCharType="end"/>
      </w:r>
      <w:r w:rsidR="007C3742">
        <w:fldChar w:fldCharType="separate"/>
      </w:r>
      <w:r w:rsidR="008454DB">
        <w:rPr>
          <w:noProof/>
        </w:rPr>
        <w:t>(see for example Beals et al., 2006; R. Graham &amp; Masters‐Awatere, 2020; Patterson et al., 2018; Stone, Whitbeck, Chen, Johnson, &amp; Olson, 2006)</w:t>
      </w:r>
      <w:r w:rsidR="007C3742">
        <w:fldChar w:fldCharType="end"/>
      </w:r>
      <w:r w:rsidR="00767BA2" w:rsidRPr="009111CF">
        <w:t>.</w:t>
      </w:r>
    </w:p>
    <w:p w14:paraId="2937113F" w14:textId="77777777" w:rsidR="00767BA2" w:rsidRDefault="00767BA2" w:rsidP="00767BA2">
      <w:pPr>
        <w:jc w:val="both"/>
      </w:pPr>
    </w:p>
    <w:p w14:paraId="409D679E" w14:textId="77777777" w:rsidR="00767BA2" w:rsidRDefault="00767BA2" w:rsidP="00767BA2">
      <w:pPr>
        <w:spacing w:line="259" w:lineRule="auto"/>
        <w:jc w:val="both"/>
        <w:rPr>
          <w:bCs/>
        </w:rPr>
      </w:pPr>
    </w:p>
    <w:p w14:paraId="719CE80B" w14:textId="77777777" w:rsidR="00767BA2" w:rsidRPr="009F00F7" w:rsidRDefault="00767BA2" w:rsidP="00E137E0">
      <w:pPr>
        <w:pStyle w:val="Heading4"/>
      </w:pPr>
      <w:bookmarkStart w:id="40" w:name="_Toc41640895"/>
      <w:r w:rsidRPr="009F00F7">
        <w:t>Engaging FAOs in harm reduction</w:t>
      </w:r>
      <w:bookmarkEnd w:id="40"/>
      <w:r w:rsidRPr="009F00F7">
        <w:t xml:space="preserve"> </w:t>
      </w:r>
    </w:p>
    <w:p w14:paraId="2B7EF16C" w14:textId="77777777" w:rsidR="00767BA2" w:rsidRDefault="00767BA2" w:rsidP="00767BA2">
      <w:pPr>
        <w:jc w:val="both"/>
      </w:pPr>
      <w:r w:rsidRPr="009F00F7">
        <w:t xml:space="preserve">Harm reduction is a proactive approach to reducing the damage done by alcohol, drugs, and other addictive behaviours, as well as addressing broader health and social issues. Central tenets of harm reduction are conceptualising addiction as a public health and social justice issue, and enhancing the ability for individuals and families to make safer choices </w:t>
      </w:r>
      <w:r w:rsidRPr="009F00F7">
        <w:fldChar w:fldCharType="begin"/>
      </w:r>
      <w:r w:rsidRPr="009F00F7">
        <w:instrText xml:space="preserve"> ADDIN EN.CITE &lt;EndNote&gt;&lt;Cite&gt;&lt;Author&gt;Jackson&lt;/Author&gt;&lt;Year&gt;2011&lt;/Year&gt;&lt;RecNum&gt;268&lt;/RecNum&gt;&lt;DisplayText&gt;(Jackson, Dykeman, Gahagan, Karabanow, &amp;amp; Parker, 2011)&lt;/DisplayText&gt;&lt;record&gt;&lt;rec-number&gt;268&lt;/rec-number&gt;&lt;foreign-keys&gt;&lt;key app="EN" db-id="25rszwft292ev3esrpvpde0cpxrd9ex0xspp" timestamp="1590448553"&gt;268&lt;/key&gt;&lt;/foreign-keys&gt;&lt;ref-type name="Journal Article"&gt;17&lt;/ref-type&gt;&lt;contributors&gt;&lt;authors&gt;&lt;author&gt;Jackson, Lois A&lt;/author&gt;&lt;author&gt;Dykeman, Margaret&lt;/author&gt;&lt;author&gt;Gahagan, Jacqueline&lt;/author&gt;&lt;author&gt;Karabanow, Jeff&lt;/author&gt;&lt;author&gt;Parker, Joanne&lt;/author&gt;&lt;/authors&gt;&lt;/contributors&gt;&lt;titles&gt;&lt;title&gt;Challenges and opportunities to integrating family members of injection drug users into harm reduction efforts within the Atlantic Canadian context&lt;/title&gt;&lt;secondary-title&gt;International Journal of Drug Policy&lt;/secondary-title&gt;&lt;/titles&gt;&lt;periodical&gt;&lt;full-title&gt;International Journal of Drug Policy&lt;/full-title&gt;&lt;/periodical&gt;&lt;pages&gt;385-392&lt;/pages&gt;&lt;volume&gt;22&lt;/volume&gt;&lt;number&gt;5&lt;/number&gt;&lt;dates&gt;&lt;year&gt;2011&lt;/year&gt;&lt;/dates&gt;&lt;isbn&gt;0955-3959&lt;/isbn&gt;&lt;urls&gt;&lt;/urls&gt;&lt;/record&gt;&lt;/Cite&gt;&lt;/EndNote&gt;</w:instrText>
      </w:r>
      <w:r w:rsidRPr="009F00F7">
        <w:fldChar w:fldCharType="separate"/>
      </w:r>
      <w:r w:rsidRPr="009F00F7">
        <w:rPr>
          <w:noProof/>
        </w:rPr>
        <w:t>(Jackson, Dykeman, Gahagan, Karabanow, &amp; Parker, 2011)</w:t>
      </w:r>
      <w:r w:rsidRPr="009F00F7">
        <w:fldChar w:fldCharType="end"/>
      </w:r>
      <w:r w:rsidRPr="009F00F7">
        <w:t>. Family involvement in addictions harm reduction has a long history. In the early 19</w:t>
      </w:r>
      <w:r w:rsidRPr="009F00F7">
        <w:rPr>
          <w:vertAlign w:val="superscript"/>
        </w:rPr>
        <w:t>th</w:t>
      </w:r>
      <w:r w:rsidRPr="009F00F7">
        <w:t xml:space="preserve"> Century local temperance society meetings provided social support for the daughters, sisters, wives and mothers of alcoholics, and provided a vehicle through which personal pain could be transformed into political advocacy to reduce alcohol availability </w:t>
      </w:r>
      <w:r w:rsidRPr="009F00F7">
        <w:fldChar w:fldCharType="begin"/>
      </w:r>
      <w:r w:rsidRPr="009F00F7">
        <w:instrText xml:space="preserve"> ADDIN EN.CITE &lt;EndNote&gt;&lt;Cite&gt;&lt;Author&gt;White&lt;/Author&gt;&lt;Year&gt;2005&lt;/Year&gt;&lt;RecNum&gt;251&lt;/RecNum&gt;&lt;DisplayText&gt;(White &amp;amp; Savage, 2005)&lt;/DisplayText&gt;&lt;record&gt;&lt;rec-number&gt;251&lt;/rec-number&gt;&lt;foreign-keys&gt;&lt;key app="EN" db-id="5v2daxed8wv0eoesd9av5dd8exsxdewpfpwd" timestamp="1582158863"&gt;251&lt;/key&gt;&lt;/foreign-keys&gt;&lt;ref-type name="Journal Article"&gt;17&lt;/ref-type&gt;&lt;contributors&gt;&lt;authors&gt;&lt;author&gt;White, William&lt;/author&gt;&lt;author&gt;Savage, Bob&lt;/author&gt;&lt;/authors&gt;&lt;/contributors&gt;&lt;titles&gt;&lt;title&gt;All in the family: Alcohol and other drug problems, recovery, advocacy&lt;/title&gt;&lt;secondary-title&gt;Alcoholism Treatment Quarterly&lt;/secondary-title&gt;&lt;/titles&gt;&lt;periodical&gt;&lt;full-title&gt;Alcoholism Treatment Quarterly&lt;/full-title&gt;&lt;/periodical&gt;&lt;pages&gt;3-37&lt;/pages&gt;&lt;volume&gt;23&lt;/volume&gt;&lt;number&gt;4&lt;/number&gt;&lt;dates&gt;&lt;year&gt;2005&lt;/year&gt;&lt;/dates&gt;&lt;isbn&gt;0734-7324&lt;/isbn&gt;&lt;urls&gt;&lt;/urls&gt;&lt;/record&gt;&lt;/Cite&gt;&lt;/EndNote&gt;</w:instrText>
      </w:r>
      <w:r w:rsidRPr="009F00F7">
        <w:fldChar w:fldCharType="separate"/>
      </w:r>
      <w:r w:rsidRPr="009F00F7">
        <w:t>(White &amp; Savage, 2005)</w:t>
      </w:r>
      <w:r w:rsidRPr="009F00F7">
        <w:fldChar w:fldCharType="end"/>
      </w:r>
      <w:r w:rsidRPr="009F00F7">
        <w:t>.</w:t>
      </w:r>
      <w:r w:rsidRPr="00D92790">
        <w:t xml:space="preserve"> </w:t>
      </w:r>
    </w:p>
    <w:p w14:paraId="400086CA" w14:textId="77777777" w:rsidR="00767BA2" w:rsidRDefault="00767BA2" w:rsidP="00767BA2">
      <w:pPr>
        <w:jc w:val="both"/>
      </w:pPr>
    </w:p>
    <w:p w14:paraId="6F3FC2F4" w14:textId="238BCC8C" w:rsidR="00767BA2" w:rsidRDefault="00767BA2" w:rsidP="00767BA2">
      <w:pPr>
        <w:jc w:val="both"/>
      </w:pPr>
      <w:r>
        <w:t xml:space="preserve">This approach emphasises that </w:t>
      </w:r>
      <w:r w:rsidRPr="00435915">
        <w:t xml:space="preserve">the </w:t>
      </w:r>
      <w:r>
        <w:t xml:space="preserve">relationships between FAOs and people experiencing addictions are </w:t>
      </w:r>
      <w:r w:rsidRPr="00435915">
        <w:t>complex, variable, and fluid</w:t>
      </w:r>
      <w:r>
        <w:t xml:space="preserve">, and that </w:t>
      </w:r>
      <w:r w:rsidRPr="00435915">
        <w:t xml:space="preserve">many </w:t>
      </w:r>
      <w:r>
        <w:t>addiction related issues</w:t>
      </w:r>
      <w:r w:rsidRPr="00435915">
        <w:t xml:space="preserve"> are a product of wider structural forces. </w:t>
      </w:r>
      <w:r>
        <w:t>Services can encourage FAOs to</w:t>
      </w:r>
      <w:r w:rsidRPr="00435915">
        <w:t xml:space="preserve"> frame addictions as a </w:t>
      </w:r>
      <w:bookmarkStart w:id="41" w:name="_Hlk41384131"/>
      <w:r w:rsidRPr="00435915">
        <w:t>health and social justice issue</w:t>
      </w:r>
      <w:bookmarkEnd w:id="41"/>
      <w:r>
        <w:t xml:space="preserve"> </w:t>
      </w:r>
      <w:r>
        <w:fldChar w:fldCharType="begin"/>
      </w:r>
      <w:r>
        <w:instrText xml:space="preserve"> ADDIN EN.CITE &lt;EndNote&gt;&lt;Cite&gt;&lt;Author&gt;Jackson&lt;/Author&gt;&lt;Year&gt;2011&lt;/Year&gt;&lt;RecNum&gt;268&lt;/RecNum&gt;&lt;DisplayText&gt;(Jackson et al., 2011)&lt;/DisplayText&gt;&lt;record&gt;&lt;rec-number&gt;268&lt;/rec-number&gt;&lt;foreign-keys&gt;&lt;key app="EN" db-id="25rszwft292ev3esrpvpde0cpxrd9ex0xspp" timestamp="1590448553"&gt;268&lt;/key&gt;&lt;/foreign-keys&gt;&lt;ref-type name="Journal Article"&gt;17&lt;/ref-type&gt;&lt;contributors&gt;&lt;authors&gt;&lt;author&gt;Jackson, Lois A&lt;/author&gt;&lt;author&gt;Dykeman, Margaret&lt;/author&gt;&lt;author&gt;Gahagan, Jacqueline&lt;/author&gt;&lt;author&gt;Karabanow, Jeff&lt;/author&gt;&lt;author&gt;Parker, Joanne&lt;/author&gt;&lt;/authors&gt;&lt;/contributors&gt;&lt;titles&gt;&lt;title&gt;Challenges and opportunities to integrating family members of injection drug users into harm reduction efforts within the Atlantic Canadian context&lt;/title&gt;&lt;secondary-title&gt;International Journal of Drug Policy&lt;/secondary-title&gt;&lt;/titles&gt;&lt;periodical&gt;&lt;full-title&gt;International Journal of Drug Policy&lt;/full-title&gt;&lt;/periodical&gt;&lt;pages&gt;385-392&lt;/pages&gt;&lt;volume&gt;22&lt;/volume&gt;&lt;number&gt;5&lt;/number&gt;&lt;dates&gt;&lt;year&gt;2011&lt;/year&gt;&lt;/dates&gt;&lt;isbn&gt;0955-3959&lt;/isbn&gt;&lt;urls&gt;&lt;/urls&gt;&lt;/record&gt;&lt;/Cite&gt;&lt;/EndNote&gt;</w:instrText>
      </w:r>
      <w:r>
        <w:fldChar w:fldCharType="separate"/>
      </w:r>
      <w:r>
        <w:rPr>
          <w:noProof/>
        </w:rPr>
        <w:t>(Jackson et al., 2011)</w:t>
      </w:r>
      <w:r>
        <w:fldChar w:fldCharType="end"/>
      </w:r>
      <w:r w:rsidRPr="00435915">
        <w:t xml:space="preserve">. </w:t>
      </w:r>
      <w:r>
        <w:t xml:space="preserve">Intervention involving </w:t>
      </w:r>
      <w:r w:rsidRPr="003777BC">
        <w:t xml:space="preserve">family members can occur on the micro (individual) or (macro) level. Examples of micro level harm reduction include provision </w:t>
      </w:r>
      <w:r>
        <w:t>of</w:t>
      </w:r>
      <w:r w:rsidRPr="003777BC">
        <w:t xml:space="preserve"> safe space</w:t>
      </w:r>
      <w:r>
        <w:t>s</w:t>
      </w:r>
      <w:r w:rsidRPr="003777BC">
        <w:t xml:space="preserve"> for </w:t>
      </w:r>
      <w:r>
        <w:t xml:space="preserve">substance </w:t>
      </w:r>
      <w:r w:rsidRPr="003777BC">
        <w:t>use. Alternatively, macro level harm reduction involves identify</w:t>
      </w:r>
      <w:r>
        <w:t>ing</w:t>
      </w:r>
      <w:r w:rsidRPr="003777BC">
        <w:t xml:space="preserve"> the drivers (e.g</w:t>
      </w:r>
      <w:r>
        <w:t>. product availability, socioeconomic inequality</w:t>
      </w:r>
      <w:r w:rsidRPr="003777BC">
        <w:t>) behind the experience</w:t>
      </w:r>
      <w:r>
        <w:t>s</w:t>
      </w:r>
      <w:r w:rsidRPr="003777BC">
        <w:t xml:space="preserve"> of harm and working to </w:t>
      </w:r>
      <w:r>
        <w:t>influence</w:t>
      </w:r>
      <w:r w:rsidRPr="003777BC">
        <w:t xml:space="preserve"> those drivers</w:t>
      </w:r>
      <w:r>
        <w:t xml:space="preserve"> e.g. through advocacy and contributing to policy and service development and change</w:t>
      </w:r>
      <w:r w:rsidRPr="003777BC">
        <w:t>.</w:t>
      </w:r>
      <w:r w:rsidRPr="00EE088F">
        <w:t xml:space="preserve"> </w:t>
      </w:r>
      <w:r>
        <w:t>This is connected to the notion that service users should be</w:t>
      </w:r>
      <w:r w:rsidRPr="00EE088F">
        <w:t xml:space="preserve"> part of open, methodical, meaningful and ongoing search</w:t>
      </w:r>
      <w:r>
        <w:t>ing</w:t>
      </w:r>
      <w:r w:rsidRPr="00EE088F">
        <w:t xml:space="preserve"> for the best responses for certain problems and families </w:t>
      </w:r>
      <w:r w:rsidRPr="00EE088F">
        <w:fldChar w:fldCharType="begin"/>
      </w:r>
      <w:r w:rsidR="00975273">
        <w:instrText xml:space="preserve"> ADDIN EN.CITE &lt;EndNote&gt;&lt;Cite&gt;&lt;Author&gt;Claes&lt;/Author&gt;&lt;Year&gt;2015&lt;/Year&gt;&lt;RecNum&gt;150&lt;/RecNum&gt;&lt;Prefix&gt;see &lt;/Prefix&gt;&lt;DisplayText&gt;(see Claes, van Loon, Vandevelde, &amp;amp; Schalock, 2015; Patterson et al., 2018)&lt;/DisplayText&gt;&lt;record&gt;&lt;rec-number&gt;150&lt;/rec-number&gt;&lt;foreign-keys&gt;&lt;key app="EN" db-id="25rszwft292ev3esrpvpde0cpxrd9ex0xspp" timestamp="1585865046"&gt;150&lt;/key&gt;&lt;/foreign-keys&gt;&lt;ref-type name="Journal Article"&gt;17&lt;/ref-type&gt;&lt;contributors&gt;&lt;authors&gt;&lt;author&gt;Claes, Claudia&lt;/author&gt;&lt;author&gt;van Loon, Jos&lt;/author&gt;&lt;author&gt;Vandevelde, Stijn&lt;/author&gt;&lt;author&gt;Schalock, Robert&lt;/author&gt;&lt;/authors&gt;&lt;/contributors&gt;&lt;titles&gt;&lt;title&gt;An integrative approach to evidence based practices&lt;/title&gt;&lt;secondary-title&gt;Evaluation and Program Planning&lt;/secondary-title&gt;&lt;/titles&gt;&lt;periodical&gt;&lt;full-title&gt;Evaluation and Program Planning&lt;/full-title&gt;&lt;/periodical&gt;&lt;pages&gt;132-136&lt;/pages&gt;&lt;volume&gt;48&lt;/volume&gt;&lt;dates&gt;&lt;year&gt;2015&lt;/year&gt;&lt;/dates&gt;&lt;isbn&gt;0149-7189&lt;/isbn&gt;&lt;urls&gt;&lt;/urls&gt;&lt;/record&gt;&lt;/Cite&gt;&lt;Cite&gt;&lt;Author&gt;Patterson&lt;/Author&gt;&lt;Year&gt;2018&lt;/Year&gt;&lt;RecNum&gt;240&lt;/RecNum&gt;&lt;record&gt;&lt;rec-number&gt;240&lt;/rec-number&gt;&lt;foreign-keys&gt;&lt;key app="EN" db-id="25rszwft292ev3esrpvpde0cpxrd9ex0xspp" timestamp="1589319428"&gt;240&lt;/key&gt;&lt;/foreign-keys&gt;&lt;ref-type name="Journal Article"&gt;17&lt;/ref-type&gt;&lt;contributors&gt;&lt;authors&gt;&lt;author&gt;Patterson, R&lt;/author&gt;&lt;author&gt;Durie, M&lt;/author&gt;&lt;author&gt;Disley, B&lt;/author&gt;&lt;author&gt;Tiatia-Seath, Sipaea&lt;/author&gt;&lt;author&gt;Tualamali&amp;apos;i, J&lt;/author&gt;&lt;/authors&gt;&lt;/contributors&gt;&lt;titles&gt;&lt;title&gt;He Ara Oranga: Report of the government inquiry into mental health and addiction&lt;/title&gt;&lt;/titles&gt;&lt;dates&gt;&lt;year&gt;2018&lt;/year&gt;&lt;/dates&gt;&lt;isbn&gt;0994124538&lt;/isbn&gt;&lt;urls&gt;&lt;/urls&gt;&lt;/record&gt;&lt;/Cite&gt;&lt;/EndNote&gt;</w:instrText>
      </w:r>
      <w:r w:rsidRPr="00EE088F">
        <w:fldChar w:fldCharType="separate"/>
      </w:r>
      <w:r w:rsidR="00975273">
        <w:rPr>
          <w:noProof/>
        </w:rPr>
        <w:t>(see Claes, van Loon, Vandevelde, &amp; Schalock, 2015; Patterson et al., 2018)</w:t>
      </w:r>
      <w:r w:rsidRPr="00EE088F">
        <w:fldChar w:fldCharType="end"/>
      </w:r>
      <w:r w:rsidRPr="00EE088F">
        <w:t xml:space="preserve">. </w:t>
      </w:r>
    </w:p>
    <w:p w14:paraId="7C270718" w14:textId="77777777" w:rsidR="00767BA2" w:rsidRDefault="00767BA2" w:rsidP="00767BA2">
      <w:pPr>
        <w:jc w:val="both"/>
      </w:pPr>
    </w:p>
    <w:p w14:paraId="004818B0" w14:textId="1052444C" w:rsidR="00767BA2" w:rsidRDefault="00767BA2" w:rsidP="00EB2A8D">
      <w:pPr>
        <w:jc w:val="both"/>
      </w:pPr>
      <w:r>
        <w:lastRenderedPageBreak/>
        <w:t xml:space="preserve">Pat Denning incorporated </w:t>
      </w:r>
      <w:r w:rsidR="009F00F7">
        <w:t xml:space="preserve">addictions </w:t>
      </w:r>
      <w:r>
        <w:t>h</w:t>
      </w:r>
      <w:r w:rsidRPr="00435915">
        <w:t xml:space="preserve">arm reduction principles within </w:t>
      </w:r>
      <w:r>
        <w:t xml:space="preserve">psychotherapy </w:t>
      </w:r>
      <w:r w:rsidRPr="00435915">
        <w:t xml:space="preserve">Family Group </w:t>
      </w:r>
      <w:r>
        <w:t>Support for addictions related harm</w:t>
      </w:r>
      <w:r w:rsidRPr="00435915">
        <w:t xml:space="preserve"> </w:t>
      </w:r>
      <w:r w:rsidRPr="00435915">
        <w:fldChar w:fldCharType="begin"/>
      </w:r>
      <w:r w:rsidRPr="00435915">
        <w:instrText xml:space="preserve"> ADDIN EN.CITE &lt;EndNote&gt;&lt;Cite&gt;&lt;Author&gt;Denning&lt;/Author&gt;&lt;Year&gt;2010&lt;/Year&gt;&lt;RecNum&gt;249&lt;/RecNum&gt;&lt;DisplayText&gt;(Denning, 2010; Denning &amp;amp; Little, 2011)&lt;/DisplayText&gt;&lt;record&gt;&lt;rec-number&gt;249&lt;/rec-number&gt;&lt;foreign-keys&gt;&lt;key app="EN" db-id="25rszwft292ev3esrpvpde0cpxrd9ex0xspp" timestamp="1589497353"&gt;249&lt;/key&gt;&lt;/foreign-keys&gt;&lt;ref-type name="Journal Article"&gt;17&lt;/ref-type&gt;&lt;contributors&gt;&lt;authors&gt;&lt;author&gt;Denning, Patt&lt;/author&gt;&lt;/authors&gt;&lt;/contributors&gt;&lt;titles&gt;&lt;title&gt;Harm reduction therapy with families and friends of people with drug problems&lt;/title&gt;&lt;secondary-title&gt;Journal of clinical psychology&lt;/secondary-title&gt;&lt;/titles&gt;&lt;periodical&gt;&lt;full-title&gt;Journal of clinical psychology&lt;/full-title&gt;&lt;/periodical&gt;&lt;pages&gt;164-174&lt;/pages&gt;&lt;volume&gt;66&lt;/volume&gt;&lt;number&gt;2&lt;/number&gt;&lt;dates&gt;&lt;year&gt;2010&lt;/year&gt;&lt;/dates&gt;&lt;isbn&gt;0021-9762&lt;/isbn&gt;&lt;urls&gt;&lt;/urls&gt;&lt;/record&gt;&lt;/Cite&gt;&lt;Cite&gt;&lt;Author&gt;Denning&lt;/Author&gt;&lt;Year&gt;2011&lt;/Year&gt;&lt;RecNum&gt;266&lt;/RecNum&gt;&lt;record&gt;&lt;rec-number&gt;266&lt;/rec-number&gt;&lt;foreign-keys&gt;&lt;key app="EN" db-id="5v2daxed8wv0eoesd9av5dd8exsxdewpfpwd" timestamp="1582160248"&gt;266&lt;/key&gt;&lt;/foreign-keys&gt;&lt;ref-type name="Book"&gt;6&lt;/ref-type&gt;&lt;contributors&gt;&lt;authors&gt;&lt;author&gt;Denning, Patt&lt;/author&gt;&lt;author&gt;Little, Jeannie&lt;/author&gt;&lt;/authors&gt;&lt;/contributors&gt;&lt;titles&gt;&lt;title&gt;Practicing harm reduction psychotherapy: An alternative approach to addictions&lt;/title&gt;&lt;/titles&gt;&lt;dates&gt;&lt;year&gt;2011&lt;/year&gt;&lt;/dates&gt;&lt;publisher&gt;Guilford Press&lt;/publisher&gt;&lt;isbn&gt;1462502334&lt;/isbn&gt;&lt;urls&gt;&lt;/urls&gt;&lt;/record&gt;&lt;/Cite&gt;&lt;/EndNote&gt;</w:instrText>
      </w:r>
      <w:r w:rsidRPr="00435915">
        <w:fldChar w:fldCharType="separate"/>
      </w:r>
      <w:r w:rsidRPr="00435915">
        <w:t>(Denning, 2010; Denning &amp; Little, 2011)</w:t>
      </w:r>
      <w:r w:rsidRPr="00435915">
        <w:fldChar w:fldCharType="end"/>
      </w:r>
      <w:r w:rsidRPr="00435915">
        <w:t>.</w:t>
      </w:r>
      <w:r>
        <w:t xml:space="preserve"> </w:t>
      </w:r>
      <w:r w:rsidR="009F00F7">
        <w:t xml:space="preserve">Central tenets were </w:t>
      </w:r>
      <w:r w:rsidR="003E5DD9">
        <w:t xml:space="preserve">the views </w:t>
      </w:r>
      <w:r w:rsidR="009F00F7">
        <w:t xml:space="preserve">that people know what they need to take care of themselves, people’s </w:t>
      </w:r>
      <w:r w:rsidR="00AD367B">
        <w:t>behaviour</w:t>
      </w:r>
      <w:r w:rsidR="009F00F7">
        <w:t xml:space="preserve"> makes sense and is always adaptive in some way. </w:t>
      </w:r>
      <w:r w:rsidRPr="009140D1">
        <w:t xml:space="preserve">Using a series of case studies, </w:t>
      </w:r>
      <w:r w:rsidRPr="009140D1">
        <w:fldChar w:fldCharType="begin"/>
      </w:r>
      <w:r w:rsidRPr="009140D1">
        <w:instrText xml:space="preserve"> ADDIN EN.CITE &lt;EndNote&gt;&lt;Cite AuthorYear="1"&gt;&lt;Author&gt;Denning&lt;/Author&gt;&lt;Year&gt;2010&lt;/Year&gt;&lt;RecNum&gt;249&lt;/RecNum&gt;&lt;DisplayText&gt;Denning (2010)&lt;/DisplayText&gt;&lt;record&gt;&lt;rec-number&gt;249&lt;/rec-number&gt;&lt;foreign-keys&gt;&lt;key app="EN" db-id="25rszwft292ev3esrpvpde0cpxrd9ex0xspp" timestamp="1589497353"&gt;249&lt;/key&gt;&lt;/foreign-keys&gt;&lt;ref-type name="Journal Article"&gt;17&lt;/ref-type&gt;&lt;contributors&gt;&lt;authors&gt;&lt;author&gt;Denning, Patt&lt;/author&gt;&lt;/authors&gt;&lt;/contributors&gt;&lt;titles&gt;&lt;title&gt;Harm reduction therapy with families and friends of people with drug problems&lt;/title&gt;&lt;secondary-title&gt;Journal of clinical psychology&lt;/secondary-title&gt;&lt;/titles&gt;&lt;periodical&gt;&lt;full-title&gt;Journal of clinical psychology&lt;/full-title&gt;&lt;/periodical&gt;&lt;pages&gt;164-174&lt;/pages&gt;&lt;volume&gt;66&lt;/volume&gt;&lt;number&gt;2&lt;/number&gt;&lt;dates&gt;&lt;year&gt;2010&lt;/year&gt;&lt;/dates&gt;&lt;isbn&gt;0021-9762&lt;/isbn&gt;&lt;urls&gt;&lt;/urls&gt;&lt;/record&gt;&lt;/Cite&gt;&lt;/EndNote&gt;</w:instrText>
      </w:r>
      <w:r w:rsidRPr="009140D1">
        <w:fldChar w:fldCharType="separate"/>
      </w:r>
      <w:r w:rsidRPr="009140D1">
        <w:t>Denning (2010)</w:t>
      </w:r>
      <w:r w:rsidRPr="009140D1">
        <w:fldChar w:fldCharType="end"/>
      </w:r>
      <w:r w:rsidRPr="009140D1">
        <w:t xml:space="preserve"> reported that harm reduction </w:t>
      </w:r>
      <w:r>
        <w:t xml:space="preserve">concepts </w:t>
      </w:r>
      <w:r w:rsidRPr="009140D1">
        <w:t xml:space="preserve">allowed practitioners </w:t>
      </w:r>
      <w:r>
        <w:t xml:space="preserve">more freedom </w:t>
      </w:r>
      <w:r w:rsidRPr="009140D1">
        <w:t>to develop approach</w:t>
      </w:r>
      <w:r>
        <w:t>es</w:t>
      </w:r>
      <w:r w:rsidRPr="009140D1">
        <w:t xml:space="preserve"> that aligned </w:t>
      </w:r>
      <w:r>
        <w:t xml:space="preserve">with </w:t>
      </w:r>
      <w:r w:rsidRPr="009140D1">
        <w:t>an individual or family’s core values</w:t>
      </w:r>
      <w:r w:rsidR="009F00F7">
        <w:t xml:space="preserve"> and </w:t>
      </w:r>
      <w:r>
        <w:t>understanding of addiction</w:t>
      </w:r>
      <w:r w:rsidRPr="009140D1">
        <w:t xml:space="preserve">. </w:t>
      </w:r>
      <w:r w:rsidR="009F00F7">
        <w:t xml:space="preserve">For example, ‘not having hope’ was developed </w:t>
      </w:r>
      <w:r w:rsidR="00EB2A8D">
        <w:t xml:space="preserve">into a useful position </w:t>
      </w:r>
      <w:r w:rsidR="009F00F7">
        <w:t xml:space="preserve">in </w:t>
      </w:r>
      <w:r w:rsidR="00EB2A8D">
        <w:t xml:space="preserve">a group support setting where members identified the cycle of hope and despair around their loved one’s treatment outcomes as the main issue they were struggling with. </w:t>
      </w:r>
      <w:r w:rsidRPr="009140D1">
        <w:t>FAOs valued an approach that was tailored to their particular situation</w:t>
      </w:r>
      <w:r>
        <w:t xml:space="preserve"> and context</w:t>
      </w:r>
      <w:r w:rsidRPr="009140D1">
        <w:t xml:space="preserve">, and supported only the activities they themselves felt able and willing to take on </w:t>
      </w:r>
      <w:r w:rsidRPr="009140D1">
        <w:fldChar w:fldCharType="begin"/>
      </w:r>
      <w:r w:rsidRPr="009140D1">
        <w:instrText xml:space="preserve"> ADDIN EN.CITE &lt;EndNote&gt;&lt;Cite&gt;&lt;Author&gt;Denning&lt;/Author&gt;&lt;Year&gt;2010&lt;/Year&gt;&lt;RecNum&gt;249&lt;/RecNum&gt;&lt;DisplayText&gt;(Denning, 2010)&lt;/DisplayText&gt;&lt;record&gt;&lt;rec-number&gt;249&lt;/rec-number&gt;&lt;foreign-keys&gt;&lt;key app="EN" db-id="25rszwft292ev3esrpvpde0cpxrd9ex0xspp" timestamp="1589497353"&gt;249&lt;/key&gt;&lt;/foreign-keys&gt;&lt;ref-type name="Journal Article"&gt;17&lt;/ref-type&gt;&lt;contributors&gt;&lt;authors&gt;&lt;author&gt;Denning, Patt&lt;/author&gt;&lt;/authors&gt;&lt;/contributors&gt;&lt;titles&gt;&lt;title&gt;Harm reduction therapy with families and friends of people with drug problems&lt;/title&gt;&lt;secondary-title&gt;Journal of clinical psychology&lt;/secondary-title&gt;&lt;/titles&gt;&lt;periodical&gt;&lt;full-title&gt;Journal of clinical psychology&lt;/full-title&gt;&lt;/periodical&gt;&lt;pages&gt;164-174&lt;/pages&gt;&lt;volume&gt;66&lt;/volume&gt;&lt;number&gt;2&lt;/number&gt;&lt;dates&gt;&lt;year&gt;2010&lt;/year&gt;&lt;/dates&gt;&lt;isbn&gt;0021-9762&lt;/isbn&gt;&lt;urls&gt;&lt;/urls&gt;&lt;/record&gt;&lt;/Cite&gt;&lt;/EndNote&gt;</w:instrText>
      </w:r>
      <w:r w:rsidRPr="009140D1">
        <w:fldChar w:fldCharType="separate"/>
      </w:r>
      <w:r w:rsidRPr="009140D1">
        <w:t>(Denning, 2010)</w:t>
      </w:r>
      <w:r w:rsidRPr="009140D1">
        <w:fldChar w:fldCharType="end"/>
      </w:r>
      <w:r w:rsidRPr="009140D1">
        <w:t xml:space="preserve">. Denning’s approach </w:t>
      </w:r>
      <w:r>
        <w:t xml:space="preserve">also </w:t>
      </w:r>
      <w:r w:rsidRPr="009140D1">
        <w:t xml:space="preserve">links to an emerging movement for patient (or person)-centred care (PCC) in addictions treatment </w:t>
      </w:r>
      <w:r w:rsidRPr="009140D1">
        <w:fldChar w:fldCharType="begin"/>
      </w:r>
      <w:r w:rsidRPr="009140D1">
        <w:instrText xml:space="preserve"> ADDIN EN.CITE &lt;EndNote&gt;&lt;Cite&gt;&lt;Author&gt;Marchand&lt;/Author&gt;&lt;Year&gt;2018&lt;/Year&gt;&lt;RecNum&gt;250&lt;/RecNum&gt;&lt;DisplayText&gt;(Marchand et al., 2018)&lt;/DisplayText&gt;&lt;record&gt;&lt;rec-number&gt;250&lt;/rec-number&gt;&lt;foreign-keys&gt;&lt;key app="EN" db-id="25rszwft292ev3esrpvpde0cpxrd9ex0xspp" timestamp="1589497486"&gt;250&lt;/key&gt;&lt;/foreign-keys&gt;&lt;ref-type name="Journal Article"&gt;17&lt;/ref-type&gt;&lt;contributors&gt;&lt;authors&gt;&lt;author&gt;Marchand, Kirsten&lt;/author&gt;&lt;author&gt;Beaumont, Scott&lt;/author&gt;&lt;author&gt;Westfall, Jordan&lt;/author&gt;&lt;author&gt;MacDonald, Scott&lt;/author&gt;&lt;author&gt;Harrison, Scott&lt;/author&gt;&lt;author&gt;Marsh, David C&lt;/author&gt;&lt;author&gt;Schechter, Martin T&lt;/author&gt;&lt;author&gt;Oviedo-Joekes, Eugenia&lt;/author&gt;&lt;/authors&gt;&lt;/contributors&gt;&lt;titles&gt;&lt;title&gt;Patient-centred care for addiction treatment: a scoping review protocol&lt;/title&gt;&lt;secondary-title&gt;BMJ open&lt;/secondary-title&gt;&lt;/titles&gt;&lt;periodical&gt;&lt;full-title&gt;BMJ open&lt;/full-title&gt;&lt;/periodical&gt;&lt;pages&gt;e024588&lt;/pages&gt;&lt;volume&gt;8&lt;/volume&gt;&lt;number&gt;12&lt;/number&gt;&lt;dates&gt;&lt;year&gt;2018&lt;/year&gt;&lt;/dates&gt;&lt;isbn&gt;2044-6055&lt;/isbn&gt;&lt;urls&gt;&lt;/urls&gt;&lt;/record&gt;&lt;/Cite&gt;&lt;/EndNote&gt;</w:instrText>
      </w:r>
      <w:r w:rsidRPr="009140D1">
        <w:fldChar w:fldCharType="separate"/>
      </w:r>
      <w:r w:rsidRPr="009140D1">
        <w:t>(Marchand et al., 2018)</w:t>
      </w:r>
      <w:r w:rsidRPr="009140D1">
        <w:fldChar w:fldCharType="end"/>
      </w:r>
      <w:r>
        <w:t xml:space="preserve">. </w:t>
      </w:r>
    </w:p>
    <w:p w14:paraId="68E7B9E1" w14:textId="77777777" w:rsidR="00767BA2" w:rsidRDefault="00767BA2" w:rsidP="00767BA2">
      <w:pPr>
        <w:jc w:val="both"/>
      </w:pPr>
    </w:p>
    <w:p w14:paraId="1CD2D172" w14:textId="11CB8619" w:rsidR="00767BA2" w:rsidRDefault="00767BA2" w:rsidP="00767BA2">
      <w:pPr>
        <w:jc w:val="both"/>
      </w:pPr>
      <w:r>
        <w:t>Multiple constraints on resourcing and capacity mean that i</w:t>
      </w:r>
      <w:r w:rsidRPr="00810C03">
        <w:t xml:space="preserve">t is not always </w:t>
      </w:r>
      <w:r>
        <w:t xml:space="preserve">feasible </w:t>
      </w:r>
      <w:r w:rsidRPr="00810C03">
        <w:t>for service providers to independently design evidence-based programs or services or robust evaluation plans</w:t>
      </w:r>
      <w:r>
        <w:t xml:space="preserve"> with the communities they serve</w:t>
      </w:r>
      <w:r w:rsidRPr="00810C03">
        <w:t>.</w:t>
      </w:r>
      <w:r>
        <w:t xml:space="preserve"> Australian </w:t>
      </w:r>
      <w:r w:rsidRPr="00E47222">
        <w:t xml:space="preserve">Aboriginal scholars and organisations, and research institutions have advocated the involvement of research partnerships in developing, implementing and evaluating </w:t>
      </w:r>
      <w:r>
        <w:t xml:space="preserve">family-centred </w:t>
      </w:r>
      <w:r w:rsidRPr="00E47222">
        <w:t>health improvement approaches</w:t>
      </w:r>
      <w:r>
        <w:t xml:space="preserve"> </w:t>
      </w:r>
      <w:r>
        <w:fldChar w:fldCharType="begin"/>
      </w:r>
      <w:r>
        <w:instrText xml:space="preserve"> ADDIN EN.CITE &lt;EndNote&gt;&lt;Cite&gt;&lt;Author&gt;Health&lt;/Author&gt;&lt;Year&gt;2003&lt;/Year&gt;&lt;RecNum&gt;276&lt;/RecNum&gt;&lt;DisplayText&gt;(National Health Medical Research Council, 2003)&lt;/DisplayText&gt;&lt;record&gt;&lt;rec-number&gt;276&lt;/rec-number&gt;&lt;foreign-keys&gt;&lt;key app="EN" db-id="25rszwft292ev3esrpvpde0cpxrd9ex0xspp" timestamp="1590623434"&gt;276&lt;/key&gt;&lt;/foreign-keys&gt;&lt;ref-type name="Report"&gt;27&lt;/ref-type&gt;&lt;contributors&gt;&lt;authors&gt;&lt;author&gt;National Health Medical Research Council,&lt;/author&gt;&lt;/authors&gt;&lt;/contributors&gt;&lt;titles&gt;&lt;title&gt;Values and ethics: Guidelines for ethical conduct in Aboriginal and Torres Strait Islander health research&lt;/title&gt;&lt;/titles&gt;&lt;dates&gt;&lt;year&gt;2003&lt;/year&gt;&lt;/dates&gt;&lt;publisher&gt;The Council&lt;/publisher&gt;&lt;isbn&gt;1864962135&lt;/isbn&gt;&lt;urls&gt;&lt;/urls&gt;&lt;/record&gt;&lt;/Cite&gt;&lt;/EndNote&gt;</w:instrText>
      </w:r>
      <w:r>
        <w:fldChar w:fldCharType="separate"/>
      </w:r>
      <w:r>
        <w:rPr>
          <w:noProof/>
        </w:rPr>
        <w:t>(National Health Medical Research Council, 2003)</w:t>
      </w:r>
      <w:r>
        <w:fldChar w:fldCharType="end"/>
      </w:r>
      <w:r w:rsidRPr="00E47222">
        <w:t xml:space="preserve">. </w:t>
      </w:r>
      <w:r>
        <w:t xml:space="preserve">McCalman and colleagues </w:t>
      </w:r>
      <w:r>
        <w:fldChar w:fldCharType="begin"/>
      </w:r>
      <w:r>
        <w:instrText xml:space="preserve"> ADDIN EN.CITE &lt;EndNote&gt;&lt;Cite ExcludeAuth="1"&gt;&lt;Author&gt;McCalman&lt;/Author&gt;&lt;Year&gt;2013&lt;/Year&gt;&lt;RecNum&gt;277&lt;/RecNum&gt;&lt;DisplayText&gt;(2013)&lt;/DisplayText&gt;&lt;record&gt;&lt;rec-number&gt;277&lt;/rec-number&gt;&lt;foreign-keys&gt;&lt;key app="EN" db-id="25rszwft292ev3esrpvpde0cpxrd9ex0xspp" timestamp="1590623538"&gt;277&lt;/key&gt;&lt;/foreign-keys&gt;&lt;ref-type name="Journal Article"&gt;17&lt;/ref-type&gt;&lt;contributors&gt;&lt;authors&gt;&lt;author&gt;McCalman, Janya&lt;/author&gt;&lt;author&gt;Tsey, Komla&lt;/author&gt;&lt;author&gt;Bainbridge, Roxanne&lt;/author&gt;&lt;author&gt;Shakeshaft, Anthony&lt;/author&gt;&lt;author&gt;Singleton, Michele&lt;/author&gt;&lt;author&gt;Doran, Christopher&lt;/author&gt;&lt;/authors&gt;&lt;/contributors&gt;&lt;titles&gt;&lt;title&gt;Tailoring a response to youth binge drinking in an Aboriginal Australian community: a grounded theory study&lt;/title&gt;&lt;secondary-title&gt;BMC Public Health&lt;/secondary-title&gt;&lt;/titles&gt;&lt;periodical&gt;&lt;full-title&gt;BMC public health&lt;/full-title&gt;&lt;/periodical&gt;&lt;pages&gt;726&lt;/pages&gt;&lt;volume&gt;13&lt;/volume&gt;&lt;number&gt;1&lt;/number&gt;&lt;dates&gt;&lt;year&gt;2013&lt;/year&gt;&lt;/dates&gt;&lt;isbn&gt;1471-2458&lt;/isbn&gt;&lt;urls&gt;&lt;/urls&gt;&lt;/record&gt;&lt;/Cite&gt;&lt;/EndNote&gt;</w:instrText>
      </w:r>
      <w:r>
        <w:fldChar w:fldCharType="separate"/>
      </w:r>
      <w:r>
        <w:rPr>
          <w:noProof/>
        </w:rPr>
        <w:t>(2013)</w:t>
      </w:r>
      <w:r>
        <w:fldChar w:fldCharType="end"/>
      </w:r>
      <w:r>
        <w:t xml:space="preserve"> developed a</w:t>
      </w:r>
      <w:r w:rsidRPr="00E47222">
        <w:t xml:space="preserve"> model of community-owned response</w:t>
      </w:r>
      <w:r>
        <w:t>s, through collaborative action research conducted</w:t>
      </w:r>
      <w:r w:rsidRPr="00E47222">
        <w:t xml:space="preserve"> </w:t>
      </w:r>
      <w:r>
        <w:t>to reduce alcohol harm (</w:t>
      </w:r>
      <w:r w:rsidR="00A3617D">
        <w:fldChar w:fldCharType="begin"/>
      </w:r>
      <w:r w:rsidR="00A3617D">
        <w:instrText xml:space="preserve"> REF _Ref54862024 \h </w:instrText>
      </w:r>
      <w:r w:rsidR="00A3617D">
        <w:fldChar w:fldCharType="separate"/>
      </w:r>
      <w:r w:rsidR="00DF0799">
        <w:t xml:space="preserve">Figure </w:t>
      </w:r>
      <w:r w:rsidR="00DF0799">
        <w:rPr>
          <w:noProof/>
        </w:rPr>
        <w:t>4</w:t>
      </w:r>
      <w:r w:rsidR="00A3617D">
        <w:fldChar w:fldCharType="end"/>
      </w:r>
      <w:r>
        <w:t xml:space="preserve">): </w:t>
      </w:r>
    </w:p>
    <w:p w14:paraId="5EB9C912" w14:textId="77777777" w:rsidR="00767BA2" w:rsidRDefault="00767BA2" w:rsidP="00767BA2">
      <w:pPr>
        <w:jc w:val="both"/>
      </w:pPr>
    </w:p>
    <w:p w14:paraId="18639C65" w14:textId="77777777" w:rsidR="00767BA2" w:rsidRDefault="00767BA2" w:rsidP="00767BA2">
      <w:pPr>
        <w:jc w:val="both"/>
      </w:pPr>
      <w:r>
        <w:rPr>
          <w:noProof/>
        </w:rPr>
        <w:lastRenderedPageBreak/>
        <w:drawing>
          <wp:inline distT="0" distB="0" distL="0" distR="0" wp14:anchorId="556667C7" wp14:editId="54A824B1">
            <wp:extent cx="5731510" cy="452564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525645"/>
                    </a:xfrm>
                    <a:prstGeom prst="rect">
                      <a:avLst/>
                    </a:prstGeom>
                  </pic:spPr>
                </pic:pic>
              </a:graphicData>
            </a:graphic>
          </wp:inline>
        </w:drawing>
      </w:r>
    </w:p>
    <w:p w14:paraId="407394E6" w14:textId="5AB6683A" w:rsidR="00767BA2" w:rsidRDefault="00A3617D" w:rsidP="00A3617D">
      <w:pPr>
        <w:pStyle w:val="Caption"/>
      </w:pPr>
      <w:bookmarkStart w:id="42" w:name="_Ref54862024"/>
      <w:bookmarkStart w:id="43" w:name="_Toc58400809"/>
      <w:r>
        <w:t xml:space="preserve">Figure </w:t>
      </w:r>
      <w:r w:rsidR="00D04B86">
        <w:fldChar w:fldCharType="begin"/>
      </w:r>
      <w:r w:rsidR="00D04B86">
        <w:instrText xml:space="preserve"> SEQ Figure \* ARABIC </w:instrText>
      </w:r>
      <w:r w:rsidR="00D04B86">
        <w:fldChar w:fldCharType="separate"/>
      </w:r>
      <w:r w:rsidR="00DF0799">
        <w:rPr>
          <w:noProof/>
        </w:rPr>
        <w:t>4</w:t>
      </w:r>
      <w:r w:rsidR="00D04B86">
        <w:rPr>
          <w:noProof/>
        </w:rPr>
        <w:fldChar w:fldCharType="end"/>
      </w:r>
      <w:bookmarkEnd w:id="42"/>
      <w:r w:rsidR="00767BA2" w:rsidRPr="001C49BD">
        <w:t>.</w:t>
      </w:r>
      <w:r w:rsidR="00767BA2">
        <w:t xml:space="preserve"> </w:t>
      </w:r>
      <w:r w:rsidR="00DC7973">
        <w:t>T</w:t>
      </w:r>
      <w:r w:rsidR="00767BA2">
        <w:t xml:space="preserve">ailoring a community response to alcohol harm </w:t>
      </w:r>
      <w:r w:rsidR="00767BA2">
        <w:fldChar w:fldCharType="begin"/>
      </w:r>
      <w:r w:rsidR="00767BA2">
        <w:instrText xml:space="preserve"> ADDIN EN.CITE &lt;EndNote&gt;&lt;Cite&gt;&lt;Author&gt;McCalman&lt;/Author&gt;&lt;Year&gt;2013&lt;/Year&gt;&lt;RecNum&gt;277&lt;/RecNum&gt;&lt;DisplayText&gt;(McCalman et al., 2013)&lt;/DisplayText&gt;&lt;record&gt;&lt;rec-number&gt;277&lt;/rec-number&gt;&lt;foreign-keys&gt;&lt;key app="EN" db-id="25rszwft292ev3esrpvpde0cpxrd9ex0xspp" timestamp="1590623538"&gt;277&lt;/key&gt;&lt;/foreign-keys&gt;&lt;ref-type name="Journal Article"&gt;17&lt;/ref-type&gt;&lt;contributors&gt;&lt;authors&gt;&lt;author&gt;McCalman, Janya&lt;/author&gt;&lt;author&gt;Tsey, Komla&lt;/author&gt;&lt;author&gt;Bainbridge, Roxanne&lt;/author&gt;&lt;author&gt;Shakeshaft, Anthony&lt;/author&gt;&lt;author&gt;Singleton, Michele&lt;/author&gt;&lt;author&gt;Doran, Christopher&lt;/author&gt;&lt;/authors&gt;&lt;/contributors&gt;&lt;titles&gt;&lt;title&gt;Tailoring a response to youth binge drinking in an Aboriginal Australian community: a grounded theory study&lt;/title&gt;&lt;secondary-title&gt;BMC Public Health&lt;/secondary-title&gt;&lt;/titles&gt;&lt;periodical&gt;&lt;full-title&gt;BMC public health&lt;/full-title&gt;&lt;/periodical&gt;&lt;pages&gt;726&lt;/pages&gt;&lt;volume&gt;13&lt;/volume&gt;&lt;number&gt;1&lt;/number&gt;&lt;dates&gt;&lt;year&gt;2013&lt;/year&gt;&lt;/dates&gt;&lt;isbn&gt;1471-2458&lt;/isbn&gt;&lt;urls&gt;&lt;/urls&gt;&lt;/record&gt;&lt;/Cite&gt;&lt;/EndNote&gt;</w:instrText>
      </w:r>
      <w:r w:rsidR="00767BA2">
        <w:fldChar w:fldCharType="separate"/>
      </w:r>
      <w:r w:rsidR="00767BA2">
        <w:rPr>
          <w:noProof/>
        </w:rPr>
        <w:t>(McCalman et al., 2013)</w:t>
      </w:r>
      <w:r w:rsidR="00767BA2">
        <w:fldChar w:fldCharType="end"/>
      </w:r>
      <w:r w:rsidR="00767BA2">
        <w:t>.</w:t>
      </w:r>
      <w:bookmarkEnd w:id="43"/>
    </w:p>
    <w:p w14:paraId="2D241CF7" w14:textId="77777777" w:rsidR="00767BA2" w:rsidRDefault="00767BA2" w:rsidP="00767BA2">
      <w:pPr>
        <w:jc w:val="both"/>
      </w:pPr>
    </w:p>
    <w:p w14:paraId="5D77E84D" w14:textId="77777777" w:rsidR="00767BA2" w:rsidRPr="00A82465" w:rsidRDefault="00767BA2" w:rsidP="00767BA2">
      <w:pPr>
        <w:jc w:val="both"/>
      </w:pPr>
      <w:r>
        <w:t>N</w:t>
      </w:r>
      <w:r w:rsidRPr="00A82465">
        <w:t>egotiating local knowledges and meaning</w:t>
      </w:r>
      <w:r>
        <w:t xml:space="preserve"> to tailor a community response to alcohol harm was achieved</w:t>
      </w:r>
      <w:r w:rsidRPr="00A82465">
        <w:t xml:space="preserve"> through </w:t>
      </w:r>
      <w:r>
        <w:t xml:space="preserve">4 key stages of a </w:t>
      </w:r>
      <w:r w:rsidRPr="00A82465">
        <w:t>research partnership</w:t>
      </w:r>
      <w:r>
        <w:t xml:space="preserve"> with services: Assembling expertise, developing understanding of the local situation (community consultation), taking and evaluating action, and reflecting on/reframing service approaches in line with new understandings generated.  </w:t>
      </w:r>
    </w:p>
    <w:p w14:paraId="5C17B121" w14:textId="7F1CBD9A" w:rsidR="00767BA2" w:rsidRDefault="00767BA2" w:rsidP="00767BA2">
      <w:pPr>
        <w:jc w:val="both"/>
      </w:pPr>
    </w:p>
    <w:p w14:paraId="0CA2C8EA" w14:textId="4E6491EC" w:rsidR="00323FAD" w:rsidRPr="00323FAD" w:rsidRDefault="00323FAD" w:rsidP="00323FAD">
      <w:pPr>
        <w:rPr>
          <w:i/>
          <w:iCs/>
        </w:rPr>
      </w:pPr>
      <w:r w:rsidRPr="00323FAD">
        <w:rPr>
          <w:i/>
          <w:iCs/>
        </w:rPr>
        <w:t>The social construction of intervention goals</w:t>
      </w:r>
    </w:p>
    <w:p w14:paraId="6778550F" w14:textId="0C8330B8" w:rsidR="00767BA2" w:rsidRDefault="00767BA2" w:rsidP="00767BA2">
      <w:pPr>
        <w:jc w:val="both"/>
        <w:rPr>
          <w:bCs/>
        </w:rPr>
      </w:pPr>
      <w:r w:rsidRPr="006D3E3D">
        <w:rPr>
          <w:bCs/>
        </w:rPr>
        <w:t xml:space="preserve">Examination of the broader addictions literature has identified a wide variety of ways in which researchers have identified intervention goals for FAOs e.g. as about: treatment entry for the person with the problem, reduction in or absence of the problem behaviour, having a better relationship, improved coping skills and/or access to social support. The extent to which these goals are linked to models of recovery </w:t>
      </w:r>
      <w:r>
        <w:rPr>
          <w:bCs/>
        </w:rPr>
        <w:t xml:space="preserve">and support </w:t>
      </w:r>
      <w:r w:rsidRPr="006D3E3D">
        <w:rPr>
          <w:bCs/>
        </w:rPr>
        <w:t>endorsed by FAOs is much less clear.</w:t>
      </w:r>
      <w:r>
        <w:rPr>
          <w:bCs/>
        </w:rPr>
        <w:t xml:space="preserve"> </w:t>
      </w:r>
      <w:bookmarkStart w:id="44" w:name="_Hlk41569651"/>
      <w:r w:rsidR="00042DC4">
        <w:rPr>
          <w:bCs/>
        </w:rPr>
        <w:t xml:space="preserve">The addictions field has been described as dominated by ‘professional expertise’, often operating with its own system-led logic, with limited connection to evidence base </w:t>
      </w:r>
      <w:r w:rsidR="0039407A">
        <w:rPr>
          <w:bCs/>
        </w:rPr>
        <w:fldChar w:fldCharType="begin"/>
      </w:r>
      <w:r w:rsidR="001D57D0">
        <w:rPr>
          <w:bCs/>
        </w:rPr>
        <w:instrText xml:space="preserve"> ADDIN EN.CITE &lt;EndNote&gt;&lt;Cite&gt;&lt;Author&gt;Adams&lt;/Author&gt;&lt;Year&gt;2007&lt;/Year&gt;&lt;RecNum&gt;224&lt;/RecNum&gt;&lt;DisplayText&gt;(Adams, 2007a)&lt;/DisplayText&gt;&lt;record&gt;&lt;rec-number&gt;224&lt;/rec-number&gt;&lt;foreign-keys&gt;&lt;key app="EN" db-id="25rszwft292ev3esrpvpde0cpxrd9ex0xspp" timestamp="1589145904"&gt;224&lt;/key&gt;&lt;/foreign-keys&gt;&lt;ref-type name="Book"&gt;6&lt;/ref-type&gt;&lt;contributors&gt;&lt;authors&gt;&lt;author&gt;Adams, Peter&lt;/author&gt;&lt;/authors&gt;&lt;/contributors&gt;&lt;titles&gt;&lt;title&gt;Fragmented intimacy: Addiction in a social world&lt;/title&gt;&lt;/titles&gt;&lt;dates&gt;&lt;year&gt;2007&lt;/year&gt;&lt;/dates&gt;&lt;publisher&gt;Springer &lt;/publisher&gt;&lt;isbn&gt;0387726616&lt;/isbn&gt;&lt;urls&gt;&lt;/urls&gt;&lt;/record&gt;&lt;/Cite&gt;&lt;/EndNote&gt;</w:instrText>
      </w:r>
      <w:r w:rsidR="0039407A">
        <w:rPr>
          <w:bCs/>
        </w:rPr>
        <w:fldChar w:fldCharType="separate"/>
      </w:r>
      <w:r w:rsidR="001D57D0">
        <w:rPr>
          <w:bCs/>
          <w:noProof/>
        </w:rPr>
        <w:t>(Adams, 2007a)</w:t>
      </w:r>
      <w:r w:rsidR="0039407A">
        <w:rPr>
          <w:bCs/>
        </w:rPr>
        <w:fldChar w:fldCharType="end"/>
      </w:r>
      <w:r w:rsidR="0039407A">
        <w:rPr>
          <w:bCs/>
        </w:rPr>
        <w:t xml:space="preserve">. </w:t>
      </w:r>
      <w:r w:rsidRPr="009E06C4">
        <w:rPr>
          <w:bCs/>
        </w:rPr>
        <w:t xml:space="preserve">A perennial question </w:t>
      </w:r>
      <w:r>
        <w:rPr>
          <w:bCs/>
        </w:rPr>
        <w:t xml:space="preserve">in FAO support literature </w:t>
      </w:r>
      <w:r w:rsidRPr="009E06C4">
        <w:rPr>
          <w:bCs/>
        </w:rPr>
        <w:t xml:space="preserve">is whether the </w:t>
      </w:r>
      <w:r>
        <w:rPr>
          <w:bCs/>
        </w:rPr>
        <w:t>work</w:t>
      </w:r>
      <w:r w:rsidRPr="009E06C4">
        <w:rPr>
          <w:bCs/>
        </w:rPr>
        <w:t xml:space="preserve"> conducted purportedly to improve </w:t>
      </w:r>
      <w:r>
        <w:rPr>
          <w:bCs/>
        </w:rPr>
        <w:t>the lives of FAOs</w:t>
      </w:r>
      <w:r w:rsidRPr="009E06C4">
        <w:rPr>
          <w:bCs/>
        </w:rPr>
        <w:t xml:space="preserve"> is justified and benefits people in ways that are meaningful and valued by them</w:t>
      </w:r>
      <w:r w:rsidR="00323FAD">
        <w:rPr>
          <w:bCs/>
        </w:rPr>
        <w:t xml:space="preserve"> </w:t>
      </w:r>
      <w:r w:rsidR="00323FAD">
        <w:rPr>
          <w:bCs/>
        </w:rPr>
        <w:fldChar w:fldCharType="begin"/>
      </w:r>
      <w:r w:rsidR="00323FAD">
        <w:rPr>
          <w:bCs/>
        </w:rPr>
        <w:instrText xml:space="preserve"> ADDIN EN.CITE &lt;EndNote&gt;&lt;Cite&gt;&lt;Author&gt;Marchand&lt;/Author&gt;&lt;Year&gt;2018&lt;/Year&gt;&lt;RecNum&gt;111&lt;/RecNum&gt;&lt;DisplayText&gt;(Marchand et al., 2018)&lt;/DisplayText&gt;&lt;record&gt;&lt;rec-number&gt;111&lt;/rec-number&gt;&lt;foreign-keys&gt;&lt;key app="EN" db-id="25rszwft292ev3esrpvpde0cpxrd9ex0xspp" timestamp="1584496357"&gt;111&lt;/key&gt;&lt;/foreign-keys&gt;&lt;ref-type name="Journal Article"&gt;17&lt;/ref-type&gt;&lt;contributors&gt;&lt;authors&gt;&lt;author&gt;Marchand, Kirsten&lt;/author&gt;&lt;author&gt;Beaumont, Scott&lt;/author&gt;&lt;author&gt;Westfall, Jordan&lt;/author&gt;&lt;author&gt;MacDonald, Scott&lt;/author&gt;&lt;author&gt;Harrison, Scott&lt;/author&gt;&lt;author&gt;Marsh, David C&lt;/author&gt;&lt;author&gt;Schechter, Martin T&lt;/author&gt;&lt;author&gt;Oviedo-Joekes, Eugenia&lt;/author&gt;&lt;/authors&gt;&lt;/contributors&gt;&lt;titles&gt;&lt;title&gt;Patient-centred care for addiction treatment: a scoping review protocol&lt;/title&gt;&lt;secondary-title&gt;BMJ open&lt;/secondary-title&gt;&lt;/titles&gt;&lt;periodical&gt;&lt;full-title&gt;BMJ open&lt;/full-title&gt;&lt;/periodical&gt;&lt;pages&gt;e024588&lt;/pages&gt;&lt;volume&gt;8&lt;/volume&gt;&lt;number&gt;12&lt;/number&gt;&lt;dates&gt;&lt;year&gt;2018&lt;/year&gt;&lt;/dates&gt;&lt;isbn&gt;2044-6055&lt;/isbn&gt;&lt;urls&gt;&lt;/urls&gt;&lt;/record&gt;&lt;/Cite&gt;&lt;/EndNote&gt;</w:instrText>
      </w:r>
      <w:r w:rsidR="00323FAD">
        <w:rPr>
          <w:bCs/>
        </w:rPr>
        <w:fldChar w:fldCharType="separate"/>
      </w:r>
      <w:r w:rsidR="00323FAD">
        <w:rPr>
          <w:bCs/>
          <w:noProof/>
        </w:rPr>
        <w:t>(Marchand et al., 2018)</w:t>
      </w:r>
      <w:r w:rsidR="00323FAD">
        <w:rPr>
          <w:bCs/>
        </w:rPr>
        <w:fldChar w:fldCharType="end"/>
      </w:r>
      <w:r w:rsidRPr="009E06C4">
        <w:rPr>
          <w:bCs/>
        </w:rPr>
        <w:t>.</w:t>
      </w:r>
      <w:r>
        <w:rPr>
          <w:bCs/>
        </w:rPr>
        <w:t xml:space="preserve"> This issue has been named as the ‘elephant in the </w:t>
      </w:r>
      <w:r>
        <w:rPr>
          <w:bCs/>
        </w:rPr>
        <w:lastRenderedPageBreak/>
        <w:t xml:space="preserve">room’, particularly in relation to indigenous peoples and other communities most affected by health inequities </w:t>
      </w:r>
      <w:r>
        <w:rPr>
          <w:bCs/>
        </w:rPr>
        <w:fldChar w:fldCharType="begin"/>
      </w:r>
      <w:r>
        <w:rPr>
          <w:bCs/>
        </w:rPr>
        <w:instrText xml:space="preserve"> ADDIN EN.CITE &lt;EndNote&gt;&lt;Cite&gt;&lt;Author&gt;Bainbridge&lt;/Author&gt;&lt;Year&gt;2015&lt;/Year&gt;&lt;RecNum&gt;274&lt;/RecNum&gt;&lt;DisplayText&gt;(Bainbridge et al., 2015)&lt;/DisplayText&gt;&lt;record&gt;&lt;rec-number&gt;274&lt;/rec-number&gt;&lt;foreign-keys&gt;&lt;key app="EN" db-id="25rszwft292ev3esrpvpde0cpxrd9ex0xspp" timestamp="1590616557"&gt;274&lt;/key&gt;&lt;/foreign-keys&gt;&lt;ref-type name="Journal Article"&gt;17&lt;/ref-type&gt;&lt;contributors&gt;&lt;authors&gt;&lt;author&gt;Bainbridge, Roxanne&lt;/author&gt;&lt;author&gt;Tsey, Komla&lt;/author&gt;&lt;author&gt;McCalman, Janya&lt;/author&gt;&lt;author&gt;Kinchin, Irina&lt;/author&gt;&lt;author&gt;Saunders, Vicki&lt;/author&gt;&lt;author&gt;Lui, Felecia Watkin&lt;/author&gt;&lt;author&gt;Cadet-James, Yvonne&lt;/author&gt;&lt;author&gt;Miller, Adrian&lt;/author&gt;&lt;author&gt;Lawson, Kenny&lt;/author&gt;&lt;/authors&gt;&lt;/contributors&gt;&lt;titles&gt;&lt;title&gt;No one’s discussing the elephant in the room: contemplating questions of research impact and benefit in Aboriginal and Torres Strait Islander Australian health research&lt;/title&gt;&lt;secondary-title&gt;BMC Public Health&lt;/secondary-title&gt;&lt;/titles&gt;&lt;periodical&gt;&lt;full-title&gt;BMC public health&lt;/full-title&gt;&lt;/periodical&gt;&lt;pages&gt;696&lt;/pages&gt;&lt;volume&gt;15&lt;/volume&gt;&lt;number&gt;1&lt;/number&gt;&lt;dates&gt;&lt;year&gt;2015&lt;/year&gt;&lt;/dates&gt;&lt;isbn&gt;1471-2458&lt;/isbn&gt;&lt;urls&gt;&lt;/urls&gt;&lt;/record&gt;&lt;/Cite&gt;&lt;/EndNote&gt;</w:instrText>
      </w:r>
      <w:r>
        <w:rPr>
          <w:bCs/>
        </w:rPr>
        <w:fldChar w:fldCharType="separate"/>
      </w:r>
      <w:r>
        <w:rPr>
          <w:bCs/>
          <w:noProof/>
        </w:rPr>
        <w:t>(Bainbridge et al., 2015)</w:t>
      </w:r>
      <w:r>
        <w:rPr>
          <w:bCs/>
        </w:rPr>
        <w:fldChar w:fldCharType="end"/>
      </w:r>
      <w:r>
        <w:rPr>
          <w:bCs/>
        </w:rPr>
        <w:t xml:space="preserve">. </w:t>
      </w:r>
      <w:r w:rsidRPr="009E06C4">
        <w:rPr>
          <w:bCs/>
        </w:rPr>
        <w:t xml:space="preserve"> </w:t>
      </w:r>
      <w:bookmarkEnd w:id="44"/>
    </w:p>
    <w:p w14:paraId="0E63FECA" w14:textId="77777777" w:rsidR="00767BA2" w:rsidRDefault="00767BA2" w:rsidP="00767BA2">
      <w:pPr>
        <w:jc w:val="both"/>
        <w:rPr>
          <w:bCs/>
        </w:rPr>
      </w:pPr>
    </w:p>
    <w:p w14:paraId="6445BB18" w14:textId="77777777" w:rsidR="00767BA2" w:rsidRPr="00A94449" w:rsidRDefault="00767BA2" w:rsidP="00767BA2">
      <w:pPr>
        <w:jc w:val="both"/>
        <w:rPr>
          <w:bCs/>
        </w:rPr>
      </w:pPr>
    </w:p>
    <w:p w14:paraId="0599E541" w14:textId="669EBE5A" w:rsidR="00767BA2" w:rsidRDefault="00767BA2" w:rsidP="00767BA2">
      <w:pPr>
        <w:pStyle w:val="Heading3"/>
      </w:pPr>
      <w:bookmarkStart w:id="45" w:name="_Toc58400769"/>
      <w:r>
        <w:t>Informing gambling support services for FAOs</w:t>
      </w:r>
      <w:bookmarkEnd w:id="45"/>
      <w:r>
        <w:t xml:space="preserve"> </w:t>
      </w:r>
    </w:p>
    <w:p w14:paraId="7BFCB1E5" w14:textId="73544554" w:rsidR="00767BA2" w:rsidRDefault="00042DC4" w:rsidP="00767BA2">
      <w:pPr>
        <w:jc w:val="both"/>
      </w:pPr>
      <w:r>
        <w:t xml:space="preserve">Taking our exploration of addictions literature as a starting point, we now explore implications for gambling support services for FAOs. </w:t>
      </w:r>
      <w:r w:rsidR="00767BA2" w:rsidRPr="00586BD2">
        <w:t xml:space="preserve">To date, research on </w:t>
      </w:r>
      <w:r w:rsidR="00767BA2">
        <w:t>FAOs affected by gambling harm</w:t>
      </w:r>
      <w:r w:rsidR="00767BA2" w:rsidRPr="00586BD2">
        <w:t xml:space="preserve"> has been </w:t>
      </w:r>
      <w:r w:rsidR="00767BA2">
        <w:t>almost exclusively</w:t>
      </w:r>
      <w:r w:rsidR="00767BA2" w:rsidRPr="00586BD2">
        <w:t xml:space="preserve"> focused on identifying the nature and types of harms (Jeffrey et al. 2019; Kalischuk et al. 2006; Kourgiantakis and Ashcroft 2018)</w:t>
      </w:r>
      <w:r w:rsidR="00767BA2">
        <w:t>. There is considerable congruence between the approaches that have been taken in the gambling and broader addictions fields</w:t>
      </w:r>
      <w:r>
        <w:t xml:space="preserve"> (particularly AOD)</w:t>
      </w:r>
      <w:r w:rsidR="00767BA2">
        <w:t>. FAOs affected by gambling have been similarly positioned as ‘intervention allies’, part of a disconnected relational system or dyad, and as under strain and in need of support in their own right. For example, i</w:t>
      </w:r>
      <w:r w:rsidR="00767BA2" w:rsidRPr="00021AAD">
        <w:t xml:space="preserve">nvolving FAOs has been associated with treatment gains for gamblers regarding relapse, adherence and attrition </w:t>
      </w:r>
      <w:r w:rsidR="00767BA2" w:rsidRPr="00021AAD">
        <w:fldChar w:fldCharType="begin"/>
      </w:r>
      <w:r w:rsidR="00767BA2" w:rsidRPr="00021AAD">
        <w:instrText xml:space="preserve"> ADDIN EN.CITE &lt;EndNote&gt;&lt;Cite&gt;&lt;Author&gt;Jiménez-Murcia&lt;/Author&gt;&lt;Year&gt;2017&lt;/Year&gt;&lt;RecNum&gt;210&lt;/RecNum&gt;&lt;DisplayText&gt;(Jiménez-Murcia et al., 2017)&lt;/DisplayText&gt;&lt;record&gt;&lt;rec-number&gt;210&lt;/rec-number&gt;&lt;foreign-keys&gt;&lt;key app="EN" db-id="25rszwft292ev3esrpvpde0cpxrd9ex0xspp" timestamp="1588623403"&gt;210&lt;/key&gt;&lt;/foreign-keys&gt;&lt;ref-type name="Journal Article"&gt;17&lt;/ref-type&gt;&lt;contributors&gt;&lt;authors&gt;&lt;author&gt;Jiménez-Murcia, Susana&lt;/author&gt;&lt;author&gt;Tremblay, Joël&lt;/author&gt;&lt;author&gt;Stinchfield, Randy&lt;/author&gt;&lt;author&gt;Granero, Roser&lt;/author&gt;&lt;author&gt;Fernández-Aranda, Fernando&lt;/author&gt;&lt;author&gt;Mestre-Bach, Gemma&lt;/author&gt;&lt;author&gt;Steward, Trevor&lt;/author&gt;&lt;author&gt;del Pino-Gutiérrez, Amparo&lt;/author&gt;&lt;author&gt;Baño, Marta&lt;/author&gt;&lt;author&gt;Moragas, Laura&lt;/author&gt;&lt;/authors&gt;&lt;/contributors&gt;&lt;titles&gt;&lt;title&gt;The involvement of a concerned significant other in gambling disorder treatment outcome&lt;/title&gt;&lt;secondary-title&gt;Journal of Gambling Studies&lt;/secondary-title&gt;&lt;/titles&gt;&lt;periodical&gt;&lt;full-title&gt;Journal of gambling studies&lt;/full-title&gt;&lt;/periodical&gt;&lt;pages&gt;937-953&lt;/pages&gt;&lt;volume&gt;33&lt;/volume&gt;&lt;number&gt;3&lt;/number&gt;&lt;dates&gt;&lt;year&gt;2017&lt;/year&gt;&lt;/dates&gt;&lt;isbn&gt;1573-3602&lt;/isbn&gt;&lt;urls&gt;&lt;/urls&gt;&lt;/record&gt;&lt;/Cite&gt;&lt;/EndNote&gt;</w:instrText>
      </w:r>
      <w:r w:rsidR="00767BA2" w:rsidRPr="00021AAD">
        <w:fldChar w:fldCharType="separate"/>
      </w:r>
      <w:r w:rsidR="00767BA2" w:rsidRPr="00021AAD">
        <w:t>(Jiménez-Murcia et al., 2017)</w:t>
      </w:r>
      <w:r w:rsidR="00767BA2" w:rsidRPr="00021AAD">
        <w:fldChar w:fldCharType="end"/>
      </w:r>
      <w:r w:rsidR="00767BA2" w:rsidRPr="00021AAD">
        <w:t>.</w:t>
      </w:r>
      <w:r w:rsidR="00767BA2">
        <w:t xml:space="preserve"> Focussing on FAO wellbeing by </w:t>
      </w:r>
      <w:r w:rsidR="00767BA2" w:rsidRPr="00021AAD">
        <w:t>evaluating and improving coping resources</w:t>
      </w:r>
      <w:r w:rsidR="00767BA2">
        <w:t xml:space="preserve"> and social support, has been championed as a tool to reduce FAO </w:t>
      </w:r>
      <w:r w:rsidR="00767BA2" w:rsidRPr="00021AAD">
        <w:t xml:space="preserve">burden (reported </w:t>
      </w:r>
      <w:r w:rsidR="00767BA2">
        <w:t xml:space="preserve">gambling </w:t>
      </w:r>
      <w:r w:rsidR="00767BA2" w:rsidRPr="00021AAD">
        <w:t>impacts, psychological distress and other health symptoms)</w:t>
      </w:r>
      <w:r w:rsidR="00767BA2">
        <w:t xml:space="preserve"> </w:t>
      </w:r>
      <w:r w:rsidR="00767BA2">
        <w:fldChar w:fldCharType="begin"/>
      </w:r>
      <w:r w:rsidR="002B56C5">
        <w:instrText xml:space="preserve"> ADDIN EN.CITE &lt;EndNote&gt;&lt;Cite&gt;&lt;Author&gt;Orford&lt;/Author&gt;&lt;Year&gt;2017&lt;/Year&gt;&lt;RecNum&gt;208&lt;/RecNum&gt;&lt;DisplayText&gt;(Orford et al., 2017)&lt;/DisplayText&gt;&lt;record&gt;&lt;rec-number&gt;208&lt;/rec-number&gt;&lt;foreign-keys&gt;&lt;key app="EN" db-id="25rszwft292ev3esrpvpde0cpxrd9ex0xspp" timestamp="1588284494"&gt;208&lt;/key&gt;&lt;/foreign-keys&gt;&lt;ref-type name="Journal Article"&gt;17&lt;/ref-type&gt;&lt;contributors&gt;&lt;authors&gt;&lt;author&gt;Orford, Jim&lt;/author&gt;&lt;author&gt;Cousins, Jenny&lt;/author&gt;&lt;author&gt;Smith, Neil&lt;/author&gt;&lt;author&gt;Bowden-Jones, Henrietta&lt;/author&gt;&lt;/authors&gt;&lt;/contributors&gt;&lt;titles&gt;&lt;title&gt;Stress, strain, coping and social support for affected family members attending the National Problem Gambling Clinic, London&lt;/title&gt;&lt;secondary-title&gt;International Gambling Studies&lt;/secondary-title&gt;&lt;/titles&gt;&lt;periodical&gt;&lt;full-title&gt;International Gambling Studies&lt;/full-title&gt;&lt;/periodical&gt;&lt;pages&gt;259-275&lt;/pages&gt;&lt;volume&gt;17&lt;/volume&gt;&lt;number&gt;2&lt;/number&gt;&lt;dates&gt;&lt;year&gt;2017&lt;/year&gt;&lt;/dates&gt;&lt;isbn&gt;1445-9795&lt;/isbn&gt;&lt;urls&gt;&lt;/urls&gt;&lt;/record&gt;&lt;/Cite&gt;&lt;/EndNote&gt;</w:instrText>
      </w:r>
      <w:r w:rsidR="00767BA2">
        <w:fldChar w:fldCharType="separate"/>
      </w:r>
      <w:r w:rsidR="002B56C5">
        <w:rPr>
          <w:noProof/>
        </w:rPr>
        <w:t>(Orford et al., 2017)</w:t>
      </w:r>
      <w:r w:rsidR="00767BA2">
        <w:fldChar w:fldCharType="end"/>
      </w:r>
      <w:r w:rsidR="00767BA2">
        <w:t xml:space="preserve">. Gambling couples therapy techniques have been developed to address </w:t>
      </w:r>
      <w:r w:rsidR="00767BA2" w:rsidRPr="006866A7">
        <w:t xml:space="preserve">gambling symptoms, mental health distress, and relationship functioning </w:t>
      </w:r>
      <w:r w:rsidR="00767BA2" w:rsidRPr="001C49BD">
        <w:t xml:space="preserve">simultaneously </w:t>
      </w:r>
      <w:r w:rsidR="00767BA2" w:rsidRPr="001C49BD">
        <w:fldChar w:fldCharType="begin"/>
      </w:r>
      <w:r w:rsidR="00472D0D">
        <w:instrText xml:space="preserve"> ADDIN EN.CITE &lt;EndNote&gt;&lt;Cite&gt;&lt;Author&gt;Nilsson&lt;/Author&gt;&lt;Year&gt;2019&lt;/Year&gt;&lt;RecNum&gt;209&lt;/RecNum&gt;&lt;DisplayText&gt;(Nilsson, Magnusson, Carlbring, Andersson, &amp;amp; Hellner, 2019)&lt;/DisplayText&gt;&lt;record&gt;&lt;rec-number&gt;209&lt;/rec-number&gt;&lt;foreign-keys&gt;&lt;key app="EN" db-id="25rszwft292ev3esrpvpde0cpxrd9ex0xspp" timestamp="1588623103"&gt;209&lt;/key&gt;&lt;/foreign-keys&gt;&lt;ref-type name="Journal Article"&gt;17&lt;/ref-type&gt;&lt;contributors&gt;&lt;authors&gt;&lt;author&gt;Nilsson, Anders&lt;/author&gt;&lt;author&gt;Magnusson, Kristoffer&lt;/author&gt;&lt;author&gt;Carlbring, Per&lt;/author&gt;&lt;author&gt;Andersson, Gerhard&lt;/author&gt;&lt;author&gt;Hellner, Clara&lt;/author&gt;&lt;/authors&gt;&lt;/contributors&gt;&lt;titles&gt;&lt;title&gt;Behavioral couples therapy versus cognitive behavioral therapy for problem gambling: a randomized controlled trial&lt;/title&gt;&lt;secondary-title&gt;Addiction&lt;/secondary-title&gt;&lt;/titles&gt;&lt;periodical&gt;&lt;full-title&gt;Addiction&lt;/full-title&gt;&lt;/periodical&gt;&lt;dates&gt;&lt;year&gt;2019&lt;/year&gt;&lt;/dates&gt;&lt;isbn&gt;0965-2140&lt;/isbn&gt;&lt;urls&gt;&lt;/urls&gt;&lt;/record&gt;&lt;/Cite&gt;&lt;/EndNote&gt;</w:instrText>
      </w:r>
      <w:r w:rsidR="00767BA2" w:rsidRPr="001C49BD">
        <w:fldChar w:fldCharType="separate"/>
      </w:r>
      <w:r w:rsidR="00472D0D">
        <w:rPr>
          <w:noProof/>
        </w:rPr>
        <w:t>(Nilsson, Magnusson, Carlbring, Andersson, &amp; Hellner, 2019)</w:t>
      </w:r>
      <w:r w:rsidR="00767BA2" w:rsidRPr="001C49BD">
        <w:fldChar w:fldCharType="end"/>
      </w:r>
      <w:r w:rsidR="00767BA2" w:rsidRPr="001C49BD">
        <w:t>.</w:t>
      </w:r>
      <w:r w:rsidR="00767BA2">
        <w:t xml:space="preserve"> </w:t>
      </w:r>
    </w:p>
    <w:p w14:paraId="2841A2BE" w14:textId="77777777" w:rsidR="00767BA2" w:rsidRDefault="00767BA2" w:rsidP="00767BA2">
      <w:pPr>
        <w:jc w:val="both"/>
      </w:pPr>
    </w:p>
    <w:p w14:paraId="790D12EF" w14:textId="77777777" w:rsidR="00767BA2" w:rsidRDefault="00767BA2" w:rsidP="00767BA2">
      <w:pPr>
        <w:jc w:val="both"/>
      </w:pPr>
      <w:r>
        <w:t>Key themes in</w:t>
      </w:r>
      <w:r w:rsidRPr="00071E43">
        <w:t xml:space="preserve"> nascent gambling FAO support literature</w:t>
      </w:r>
      <w:r>
        <w:t xml:space="preserve"> were considered</w:t>
      </w:r>
      <w:r w:rsidRPr="00071E43">
        <w:t xml:space="preserve"> </w:t>
      </w:r>
      <w:r>
        <w:t xml:space="preserve">in relation to the conceptual </w:t>
      </w:r>
      <w:r w:rsidRPr="00071E43">
        <w:t>issues/tensions identified in the broader addictions literature</w:t>
      </w:r>
      <w:r>
        <w:t xml:space="preserve"> above</w:t>
      </w:r>
      <w:r w:rsidRPr="00071E43">
        <w:t>.</w:t>
      </w:r>
      <w:r w:rsidRPr="00573338">
        <w:t xml:space="preserve"> </w:t>
      </w:r>
    </w:p>
    <w:p w14:paraId="059C58B5" w14:textId="77777777" w:rsidR="00767BA2" w:rsidRDefault="00767BA2" w:rsidP="00767BA2">
      <w:pPr>
        <w:jc w:val="both"/>
      </w:pPr>
    </w:p>
    <w:p w14:paraId="5A03D139" w14:textId="77777777" w:rsidR="00767BA2" w:rsidRDefault="00767BA2" w:rsidP="00E137E0">
      <w:pPr>
        <w:pStyle w:val="Heading4"/>
      </w:pPr>
      <w:bookmarkStart w:id="46" w:name="_Toc41640898"/>
      <w:r>
        <w:t>Tailoring thinking from broader addictions to address gambling harm in families</w:t>
      </w:r>
      <w:bookmarkEnd w:id="46"/>
    </w:p>
    <w:p w14:paraId="5F7E5DC2" w14:textId="6B7D6711" w:rsidR="00767BA2" w:rsidRDefault="00767BA2" w:rsidP="00767BA2">
      <w:pPr>
        <w:jc w:val="both"/>
      </w:pPr>
      <w:r>
        <w:t xml:space="preserve">A key theme in the gambling field has been the extent to which approaches developed to address harm experienced by FAOs affected by other addictions can be </w:t>
      </w:r>
      <w:r w:rsidR="00042DC4">
        <w:t>‘</w:t>
      </w:r>
      <w:r>
        <w:t>tailored</w:t>
      </w:r>
      <w:r w:rsidR="00042DC4">
        <w:t>’</w:t>
      </w:r>
      <w:r>
        <w:t xml:space="preserve"> to address gambling harm, whether these approaches achieve similar outcomes for FAOs, and/or make sense conceptually in relation to gambling and gambling harm. For example, g</w:t>
      </w:r>
      <w:r w:rsidRPr="006B4F28">
        <w:t xml:space="preserve">ambling behaviour is </w:t>
      </w:r>
      <w:r w:rsidR="002F2623">
        <w:t>described as</w:t>
      </w:r>
      <w:r w:rsidRPr="006B4F28">
        <w:t xml:space="preserve"> more difficult to identify </w:t>
      </w:r>
      <w:r>
        <w:t xml:space="preserve">(i.e. more easily hidden) </w:t>
      </w:r>
      <w:r w:rsidRPr="006B4F28">
        <w:t xml:space="preserve">than </w:t>
      </w:r>
      <w:r>
        <w:t xml:space="preserve">substance abuse, and financial consequences for FAOs </w:t>
      </w:r>
      <w:r w:rsidR="000F64B0">
        <w:t xml:space="preserve">are </w:t>
      </w:r>
      <w:r>
        <w:t xml:space="preserve">more common </w:t>
      </w:r>
      <w:r w:rsidRPr="00C40D85">
        <w:fldChar w:fldCharType="begin"/>
      </w:r>
      <w:r>
        <w:instrText xml:space="preserve"> ADDIN EN.CITE &lt;EndNote&gt;&lt;Cite&gt;&lt;Author&gt;McComb&lt;/Author&gt;&lt;Year&gt;2009&lt;/Year&gt;&lt;RecNum&gt;207&lt;/RecNum&gt;&lt;DisplayText&gt;(McComb, Lee, &amp;amp; Sprenkle, 2009)&lt;/DisplayText&gt;&lt;record&gt;&lt;rec-number&gt;207&lt;/rec-number&gt;&lt;foreign-keys&gt;&lt;key app="EN" db-id="25rszwft292ev3esrpvpde0cpxrd9ex0xspp" timestamp="1588280966"&gt;207&lt;/key&gt;&lt;/foreign-keys&gt;&lt;ref-type name="Journal Article"&gt;17&lt;/ref-type&gt;&lt;contributors&gt;&lt;authors&gt;&lt;author&gt;McComb, Jennifer L&lt;/author&gt;&lt;author&gt;Lee, Bonnie K&lt;/author&gt;&lt;author&gt;Sprenkle, Douglas H&lt;/author&gt;&lt;/authors&gt;&lt;/contributors&gt;&lt;titles&gt;&lt;title&gt;Conceptualizing and treating problem gambling as a family issue&lt;/title&gt;&lt;secondary-title&gt;Journal of Marital and Family Therapy&lt;/secondary-title&gt;&lt;/titles&gt;&lt;periodical&gt;&lt;full-title&gt;Journal of marital and family therapy&lt;/full-title&gt;&lt;/periodical&gt;&lt;pages&gt;415-431&lt;/pages&gt;&lt;volume&gt;35&lt;/volume&gt;&lt;number&gt;4&lt;/number&gt;&lt;dates&gt;&lt;year&gt;2009&lt;/year&gt;&lt;/dates&gt;&lt;isbn&gt;0194-472X&lt;/isbn&gt;&lt;urls&gt;&lt;/urls&gt;&lt;/record&gt;&lt;/Cite&gt;&lt;/EndNote&gt;</w:instrText>
      </w:r>
      <w:r w:rsidRPr="00C40D85">
        <w:fldChar w:fldCharType="separate"/>
      </w:r>
      <w:r>
        <w:rPr>
          <w:noProof/>
        </w:rPr>
        <w:t>(McComb, Lee, &amp; Sprenkle, 2009)</w:t>
      </w:r>
      <w:r w:rsidRPr="00C40D85">
        <w:fldChar w:fldCharType="end"/>
      </w:r>
      <w:r w:rsidRPr="006B4F28">
        <w:t xml:space="preserve">. </w:t>
      </w:r>
      <w:r>
        <w:t xml:space="preserve">Supporting FAOs to </w:t>
      </w:r>
      <w:r w:rsidRPr="006B4F28">
        <w:t>reinforce sober behaviours</w:t>
      </w:r>
      <w:r>
        <w:t xml:space="preserve"> is held to be more straightforward </w:t>
      </w:r>
      <w:r w:rsidRPr="006B4F28">
        <w:t xml:space="preserve">than it is for </w:t>
      </w:r>
      <w:r w:rsidR="002F2623">
        <w:t>non-</w:t>
      </w:r>
      <w:r w:rsidRPr="006B4F28">
        <w:t>gambling behaviours</w:t>
      </w:r>
      <w:r>
        <w:t xml:space="preserve"> </w:t>
      </w:r>
      <w:r>
        <w:fldChar w:fldCharType="begin"/>
      </w:r>
      <w:r>
        <w:instrText xml:space="preserve"> ADDIN EN.CITE &lt;EndNote&gt;&lt;Cite&gt;&lt;Author&gt;Nayoski&lt;/Author&gt;&lt;Year&gt;2016&lt;/Year&gt;&lt;RecNum&gt;201&lt;/RecNum&gt;&lt;DisplayText&gt;(Nayoski &amp;amp; Hodgins, 2016)&lt;/DisplayText&gt;&lt;record&gt;&lt;rec-number&gt;201&lt;/rec-number&gt;&lt;foreign-keys&gt;&lt;key app="EN" db-id="25rszwft292ev3esrpvpde0cpxrd9ex0xspp" timestamp="1588111808"&gt;201&lt;/key&gt;&lt;/foreign-keys&gt;&lt;ref-type name="Journal Article"&gt;17&lt;/ref-type&gt;&lt;contributors&gt;&lt;authors&gt;&lt;author&gt;Nayoski, Nicole&lt;/author&gt;&lt;author&gt;Hodgins, David C&lt;/author&gt;&lt;/authors&gt;&lt;/contributors&gt;&lt;titles&gt;&lt;title&gt;The efficacy of individual community reinforcement and family training (CRAFT) for concerned significant others of problem gamblers&lt;/title&gt;&lt;secondary-title&gt;Journal of Gambling Issues&lt;/secondary-title&gt;&lt;/titles&gt;&lt;periodical&gt;&lt;full-title&gt;Journal of Gambling Issues&lt;/full-title&gt;&lt;/periodical&gt;&lt;pages&gt;189-212&lt;/pages&gt;&lt;number&gt;33&lt;/number&gt;&lt;dates&gt;&lt;year&gt;2016&lt;/year&gt;&lt;/dates&gt;&lt;isbn&gt;1910-7595&lt;/isbn&gt;&lt;urls&gt;&lt;/urls&gt;&lt;/record&gt;&lt;/Cite&gt;&lt;/EndNote&gt;</w:instrText>
      </w:r>
      <w:r>
        <w:fldChar w:fldCharType="separate"/>
      </w:r>
      <w:r>
        <w:rPr>
          <w:noProof/>
        </w:rPr>
        <w:t>(Nayoski &amp; Hodgins, 2016)</w:t>
      </w:r>
      <w:r>
        <w:fldChar w:fldCharType="end"/>
      </w:r>
      <w:r w:rsidRPr="006B4F28">
        <w:t xml:space="preserve">. </w:t>
      </w:r>
      <w:r w:rsidR="009A4C32">
        <w:t xml:space="preserve">Accordingly, </w:t>
      </w:r>
      <w:r>
        <w:t xml:space="preserve">CRAFT as an intervention for gambling has involved extra support for identifying signs of gambling, as well as </w:t>
      </w:r>
      <w:r w:rsidRPr="006B4F28">
        <w:t>increased attention to financial issues, anger, trust and emotional abuse</w:t>
      </w:r>
      <w:r>
        <w:t xml:space="preserve"> experienced by FAOs</w:t>
      </w:r>
      <w:r w:rsidRPr="006B4F28">
        <w:t xml:space="preserve"> (Makarchuk et al., 2002). </w:t>
      </w:r>
      <w:r>
        <w:t xml:space="preserve">Possibly as a result, CRAFT wellbeing benefits appear to be more pronounced than treatment entry for gambling FAOs </w:t>
      </w:r>
      <w:r>
        <w:fldChar w:fldCharType="begin"/>
      </w:r>
      <w:r>
        <w:instrText xml:space="preserve"> ADDIN EN.CITE &lt;EndNote&gt;&lt;Cite&gt;&lt;Author&gt;Archer&lt;/Author&gt;&lt;Year&gt;2019&lt;/Year&gt;&lt;RecNum&gt;138&lt;/RecNum&gt;&lt;DisplayText&gt;(Archer et al., 2019)&lt;/DisplayText&gt;&lt;record&gt;&lt;rec-number&gt;138&lt;/rec-number&gt;&lt;foreign-keys&gt;&lt;key app="EN" db-id="25rszwft292ev3esrpvpde0cpxrd9ex0xspp" timestamp="1585702189"&gt;138&lt;/key&gt;&lt;/foreign-keys&gt;&lt;ref-type name="Journal Article"&gt;17&lt;/ref-type&gt;&lt;contributors&gt;&lt;authors&gt;&lt;author&gt;Archer, Marc&lt;/author&gt;&lt;author&gt;Harwood, Hannah&lt;/author&gt;&lt;author&gt;Stevelink, Sharon&lt;/author&gt;&lt;author&gt;Rafferty, Laura&lt;/author&gt;&lt;author&gt;Greenberg, Neil&lt;/author&gt;&lt;/authors&gt;&lt;/contributors&gt;&lt;titles&gt;&lt;title&gt;Community Reinforcement and Family Training and rates of treatment entry: A systematic review&lt;/title&gt;&lt;secondary-title&gt;Addiction&lt;/secondary-title&gt;&lt;/titles&gt;&lt;periodical&gt;&lt;full-title&gt;Addiction&lt;/full-title&gt;&lt;/periodical&gt;&lt;dates&gt;&lt;year&gt;2019&lt;/year&gt;&lt;/dates&gt;&lt;isbn&gt;0965-2140&lt;/isbn&gt;&lt;urls&gt;&lt;/urls&gt;&lt;/record&gt;&lt;/Cite&gt;&lt;/EndNote&gt;</w:instrText>
      </w:r>
      <w:r>
        <w:fldChar w:fldCharType="separate"/>
      </w:r>
      <w:r>
        <w:rPr>
          <w:noProof/>
        </w:rPr>
        <w:t>(Archer et al., 2019)</w:t>
      </w:r>
      <w:r>
        <w:fldChar w:fldCharType="end"/>
      </w:r>
      <w:r>
        <w:t xml:space="preserve">. It has also been suggested that CRAFT may constitute a dual focus intervention for gambling – capable of addressing both FAO needs and gambling outcomes for some FAOs </w:t>
      </w:r>
      <w:r>
        <w:fldChar w:fldCharType="begin"/>
      </w:r>
      <w:r w:rsidR="002B56C5">
        <w:instrText xml:space="preserve"> ADDIN EN.CITE &lt;EndNote&gt;&lt;Cite&gt;&lt;Author&gt;Rodda&lt;/Author&gt;&lt;Year&gt;2019&lt;/Year&gt;&lt;RecNum&gt;269&lt;/RecNum&gt;&lt;DisplayText&gt;(Archer et al., 2019; Rodda et al., 2019)&lt;/DisplayText&gt;&lt;record&gt;&lt;rec-number&gt;269&lt;/rec-number&gt;&lt;foreign-keys&gt;&lt;key app="EN" db-id="25rszwft292ev3esrpvpde0cpxrd9ex0xspp" timestamp="1590456656"&gt;269&lt;/key&gt;&lt;/foreign-keys&gt;&lt;ref-type name="Journal Article"&gt;17&lt;/ref-type&gt;&lt;contributors&gt;&lt;authors&gt;&lt;author&gt;Rodda, Simone&lt;/author&gt;&lt;author&gt;Dowling, Nicki A&lt;/author&gt;&lt;author&gt;Thomas, Anna C&lt;/author&gt;&lt;author&gt;Bagot, Kathleen L&lt;/author&gt;&lt;author&gt;Lubman, Dan I&lt;/author&gt;&lt;/authors&gt;&lt;/contributors&gt;&lt;titles&gt;&lt;title&gt;Treatment for Family Members of People Experiencing Gambling Problems: Family Members Want Both Gambler-Focused and Family-Focused Options&lt;/title&gt;&lt;secondary-title&gt;International Journal of Mental Health and Addiction&lt;/secondary-title&gt;&lt;/titles&gt;&lt;periodical&gt;&lt;full-title&gt;International Journal of Mental Health and Addiction&lt;/full-title&gt;&lt;/periodical&gt;&lt;pages&gt;1-17&lt;/pages&gt;&lt;dates&gt;&lt;year&gt;2019&lt;/year&gt;&lt;/dates&gt;&lt;isbn&gt;1557-1874&lt;/isbn&gt;&lt;urls&gt;&lt;/urls&gt;&lt;/record&gt;&lt;/Cite&gt;&lt;Cite&gt;&lt;Author&gt;Archer&lt;/Author&gt;&lt;Year&gt;2019&lt;/Year&gt;&lt;RecNum&gt;138&lt;/RecNum&gt;&lt;record&gt;&lt;rec-number&gt;138&lt;/rec-number&gt;&lt;foreign-keys&gt;&lt;key app="EN" db-id="25rszwft292ev3esrpvpde0cpxrd9ex0xspp" timestamp="1585702189"&gt;138&lt;/key&gt;&lt;/foreign-keys&gt;&lt;ref-type name="Journal Article"&gt;17&lt;/ref-type&gt;&lt;contributors&gt;&lt;authors&gt;&lt;author&gt;Archer, Marc&lt;/author&gt;&lt;author&gt;Harwood, Hannah&lt;/author&gt;&lt;author&gt;Stevelink, Sharon&lt;/author&gt;&lt;author&gt;Rafferty, Laura&lt;/author&gt;&lt;author&gt;Greenberg, Neil&lt;/author&gt;&lt;/authors&gt;&lt;/contributors&gt;&lt;titles&gt;&lt;title&gt;Community Reinforcement and Family Training and rates of treatment entry: A systematic review&lt;/title&gt;&lt;secondary-title&gt;Addiction&lt;/secondary-title&gt;&lt;/titles&gt;&lt;periodical&gt;&lt;full-title&gt;Addiction&lt;/full-title&gt;&lt;/periodical&gt;&lt;dates&gt;&lt;year&gt;2019&lt;/year&gt;&lt;/dates&gt;&lt;isbn&gt;0965-2140&lt;/isbn&gt;&lt;urls&gt;&lt;/urls&gt;&lt;/record&gt;&lt;/Cite&gt;&lt;/EndNote&gt;</w:instrText>
      </w:r>
      <w:r>
        <w:fldChar w:fldCharType="separate"/>
      </w:r>
      <w:r w:rsidR="002B56C5">
        <w:rPr>
          <w:noProof/>
        </w:rPr>
        <w:t>(Archer et al., 2019; Rodda et al., 2019)</w:t>
      </w:r>
      <w:r>
        <w:fldChar w:fldCharType="end"/>
      </w:r>
      <w:r>
        <w:t>.</w:t>
      </w:r>
    </w:p>
    <w:p w14:paraId="0DDFC474" w14:textId="77777777" w:rsidR="00767BA2" w:rsidRDefault="00767BA2" w:rsidP="00767BA2">
      <w:pPr>
        <w:jc w:val="both"/>
      </w:pPr>
    </w:p>
    <w:p w14:paraId="5C805BF9" w14:textId="0FCA891C" w:rsidR="00767BA2" w:rsidRDefault="00767BA2" w:rsidP="00767BA2">
      <w:pPr>
        <w:jc w:val="both"/>
      </w:pPr>
      <w:r>
        <w:lastRenderedPageBreak/>
        <w:t xml:space="preserve">The stress-strain-coping-support (SSCS) model has been adopted into the gambling field, and the 5-step intervention associated with </w:t>
      </w:r>
      <w:r w:rsidRPr="00227C64">
        <w:t>positive changes for family members</w:t>
      </w:r>
      <w:r>
        <w:t xml:space="preserve"> </w:t>
      </w:r>
      <w:r>
        <w:fldChar w:fldCharType="begin"/>
      </w:r>
      <w:r>
        <w:instrText xml:space="preserve"> ADDIN EN.CITE &lt;EndNote&gt;&lt;Cite&gt;&lt;Author&gt;Orford&lt;/Author&gt;&lt;Year&gt;2017&lt;/Year&gt;&lt;RecNum&gt;273&lt;/RecNum&gt;&lt;DisplayText&gt;(Orford et al., 2017)&lt;/DisplayText&gt;&lt;record&gt;&lt;rec-number&gt;273&lt;/rec-number&gt;&lt;foreign-keys&gt;&lt;key app="EN" db-id="25rszwft292ev3esrpvpde0cpxrd9ex0xspp" timestamp="1590465699"&gt;273&lt;/key&gt;&lt;/foreign-keys&gt;&lt;ref-type name="Journal Article"&gt;17&lt;/ref-type&gt;&lt;contributors&gt;&lt;authors&gt;&lt;author&gt;Orford, Jim&lt;/author&gt;&lt;author&gt;Cousins, Jenny&lt;/author&gt;&lt;author&gt;Smith, Neil&lt;/author&gt;&lt;author&gt;Bowden-Jones, Henrietta&lt;/author&gt;&lt;/authors&gt;&lt;/contributors&gt;&lt;titles&gt;&lt;title&gt;Stress, strain, coping and social support for affected family members attending the National Problem Gambling Clinic, London&lt;/title&gt;&lt;secondary-title&gt;International Gambling Studies&lt;/secondary-title&gt;&lt;/titles&gt;&lt;periodical&gt;&lt;full-title&gt;International Gambling Studies&lt;/full-title&gt;&lt;/periodical&gt;&lt;pages&gt;259-275&lt;/pages&gt;&lt;volume&gt;17&lt;/volume&gt;&lt;number&gt;2&lt;/number&gt;&lt;dates&gt;&lt;year&gt;2017&lt;/year&gt;&lt;/dates&gt;&lt;isbn&gt;1445-9795&lt;/isbn&gt;&lt;urls&gt;&lt;/urls&gt;&lt;/record&gt;&lt;/Cite&gt;&lt;/EndNote&gt;</w:instrText>
      </w:r>
      <w:r>
        <w:fldChar w:fldCharType="separate"/>
      </w:r>
      <w:r>
        <w:rPr>
          <w:noProof/>
        </w:rPr>
        <w:t>(Orford et al., 2017)</w:t>
      </w:r>
      <w:r>
        <w:fldChar w:fldCharType="end"/>
      </w:r>
      <w:r>
        <w:t xml:space="preserve">. FAOs are held to have the same ‘common core’ experiences as FAOs affected by other addictions: </w:t>
      </w:r>
      <w:r w:rsidRPr="00660F35">
        <w:t>high levels of stress, high levels of strain in the form of physical and psychological symptoms, a set of common coping dilemmas and difficulties in obtaining good quality social support</w:t>
      </w:r>
      <w:r>
        <w:t xml:space="preserve"> </w:t>
      </w:r>
      <w:r>
        <w:fldChar w:fldCharType="begin"/>
      </w:r>
      <w:r>
        <w:instrText xml:space="preserve"> ADDIN EN.CITE &lt;EndNote&gt;&lt;Cite&gt;&lt;Author&gt;Orford&lt;/Author&gt;&lt;Year&gt;2017&lt;/Year&gt;&lt;RecNum&gt;273&lt;/RecNum&gt;&lt;DisplayText&gt;(Orford et al., 2017)&lt;/DisplayText&gt;&lt;record&gt;&lt;rec-number&gt;273&lt;/rec-number&gt;&lt;foreign-keys&gt;&lt;key app="EN" db-id="25rszwft292ev3esrpvpde0cpxrd9ex0xspp" timestamp="1590465699"&gt;273&lt;/key&gt;&lt;/foreign-keys&gt;&lt;ref-type name="Journal Article"&gt;17&lt;/ref-type&gt;&lt;contributors&gt;&lt;authors&gt;&lt;author&gt;Orford, Jim&lt;/author&gt;&lt;author&gt;Cousins, Jenny&lt;/author&gt;&lt;author&gt;Smith, Neil&lt;/author&gt;&lt;author&gt;Bowden-Jones, Henrietta&lt;/author&gt;&lt;/authors&gt;&lt;/contributors&gt;&lt;titles&gt;&lt;title&gt;Stress, strain, coping and social support for affected family members attending the National Problem Gambling Clinic, London&lt;/title&gt;&lt;secondary-title&gt;International Gambling Studies&lt;/secondary-title&gt;&lt;/titles&gt;&lt;periodical&gt;&lt;full-title&gt;International Gambling Studies&lt;/full-title&gt;&lt;/periodical&gt;&lt;pages&gt;259-275&lt;/pages&gt;&lt;volume&gt;17&lt;/volume&gt;&lt;number&gt;2&lt;/number&gt;&lt;dates&gt;&lt;year&gt;2017&lt;/year&gt;&lt;/dates&gt;&lt;isbn&gt;1445-9795&lt;/isbn&gt;&lt;urls&gt;&lt;/urls&gt;&lt;/record&gt;&lt;/Cite&gt;&lt;/EndNote&gt;</w:instrText>
      </w:r>
      <w:r>
        <w:fldChar w:fldCharType="separate"/>
      </w:r>
      <w:r>
        <w:rPr>
          <w:noProof/>
        </w:rPr>
        <w:t>(Orford et al., 2017)</w:t>
      </w:r>
      <w:r>
        <w:fldChar w:fldCharType="end"/>
      </w:r>
      <w:r w:rsidRPr="00660F35">
        <w:t>.</w:t>
      </w:r>
      <w:r>
        <w:t xml:space="preserve"> </w:t>
      </w:r>
      <w:r w:rsidRPr="00871E08">
        <w:t xml:space="preserve">Orford and colleagues explored stress, strain, coping and social support for affected family members (N = 215, 82% women) attending the National Problem Gambling Clinic, and receiving the 5-Step intervention in London. </w:t>
      </w:r>
      <w:r w:rsidR="000F64B0">
        <w:t>The a</w:t>
      </w:r>
      <w:r w:rsidRPr="00871E08">
        <w:t xml:space="preserve">ims were to compare burden (reported impacts, engaged and tolerant coping, psychological distress and other health symptoms) experienced by </w:t>
      </w:r>
      <w:r>
        <w:t xml:space="preserve">these </w:t>
      </w:r>
      <w:r w:rsidRPr="00871E08">
        <w:t xml:space="preserve">FAOs with FAOs affected by substance problems </w:t>
      </w:r>
      <w:r>
        <w:t>and</w:t>
      </w:r>
      <w:r w:rsidRPr="00871E08">
        <w:t xml:space="preserve"> to evaluate change following the 5-Step intervention. Baseline burden and related variables were comparable to those of family members affected by substance problems and were significantly reduced at follow-up</w:t>
      </w:r>
      <w:r>
        <w:t xml:space="preserve"> 6 months later</w:t>
      </w:r>
      <w:r w:rsidRPr="00871E08">
        <w:t xml:space="preserve">. </w:t>
      </w:r>
      <w:r>
        <w:t>T</w:t>
      </w:r>
      <w:r w:rsidRPr="00871E08">
        <w:t xml:space="preserve">he largest change was a perceived increase in social support. </w:t>
      </w:r>
      <w:r>
        <w:t xml:space="preserve">As has been found in the substance abuse literature, </w:t>
      </w:r>
      <w:r w:rsidRPr="00871E08">
        <w:t xml:space="preserve">the importance of </w:t>
      </w:r>
      <w:r>
        <w:t>changes in specific coping mechanisms was less clear and</w:t>
      </w:r>
      <w:r w:rsidRPr="00871E08">
        <w:t xml:space="preserve"> there was no support for a moderation</w:t>
      </w:r>
      <w:r>
        <w:t xml:space="preserve"> effect of coping on wellbeing</w:t>
      </w:r>
      <w:r w:rsidRPr="00871E08">
        <w:t>.</w:t>
      </w:r>
    </w:p>
    <w:p w14:paraId="43554463" w14:textId="77777777" w:rsidR="00767BA2" w:rsidRDefault="00767BA2" w:rsidP="00767BA2">
      <w:pPr>
        <w:jc w:val="both"/>
      </w:pPr>
    </w:p>
    <w:p w14:paraId="392D5724" w14:textId="4C612D6F" w:rsidR="00767BA2" w:rsidRDefault="00767BA2" w:rsidP="00767BA2">
      <w:pPr>
        <w:jc w:val="both"/>
      </w:pPr>
      <w:r>
        <w:t xml:space="preserve">Relational approaches to gambling harm are </w:t>
      </w:r>
      <w:r w:rsidRPr="00C40D85">
        <w:t xml:space="preserve">designed to </w:t>
      </w:r>
      <w:r>
        <w:t>“</w:t>
      </w:r>
      <w:r w:rsidRPr="00C40D85">
        <w:t>address the complex interpersonal dynamics and intense emotional experiences that often characterize couples and families whose lives have been impacted by problem gambling”</w:t>
      </w:r>
      <w:r>
        <w:t xml:space="preserve"> </w:t>
      </w:r>
      <w:r w:rsidRPr="00C40D85">
        <w:fldChar w:fldCharType="begin"/>
      </w:r>
      <w:r w:rsidRPr="00C40D85">
        <w:instrText xml:space="preserve"> ADDIN EN.CITE &lt;EndNote&gt;&lt;Cite&gt;&lt;Author&gt;McComb&lt;/Author&gt;&lt;Year&gt;2009&lt;/Year&gt;&lt;RecNum&gt;207&lt;/RecNum&gt;&lt;DisplayText&gt;(McComb et al., 2009)&lt;/DisplayText&gt;&lt;record&gt;&lt;rec-number&gt;207&lt;/rec-number&gt;&lt;foreign-keys&gt;&lt;key app="EN" db-id="25rszwft292ev3esrpvpde0cpxrd9ex0xspp" timestamp="1588280966"&gt;207&lt;/key&gt;&lt;/foreign-keys&gt;&lt;ref-type name="Journal Article"&gt;17&lt;/ref-type&gt;&lt;contributors&gt;&lt;authors&gt;&lt;author&gt;McComb, Jennifer L&lt;/author&gt;&lt;author&gt;Lee, Bonnie K&lt;/author&gt;&lt;author&gt;Sprenkle, Douglas H&lt;/author&gt;&lt;/authors&gt;&lt;/contributors&gt;&lt;titles&gt;&lt;title&gt;Conceptualizing and treating problem gambling as a family issue&lt;/title&gt;&lt;secondary-title&gt;Journal of Marital and Family Therapy&lt;/secondary-title&gt;&lt;/titles&gt;&lt;periodical&gt;&lt;full-title&gt;Journal of marital and family therapy&lt;/full-title&gt;&lt;/periodical&gt;&lt;pages&gt;415-431&lt;/pages&gt;&lt;volume&gt;35&lt;/volume&gt;&lt;number&gt;4&lt;/number&gt;&lt;dates&gt;&lt;year&gt;2009&lt;/year&gt;&lt;/dates&gt;&lt;isbn&gt;0194-472X&lt;/isbn&gt;&lt;urls&gt;&lt;/urls&gt;&lt;/record&gt;&lt;/Cite&gt;&lt;/EndNote&gt;</w:instrText>
      </w:r>
      <w:r w:rsidRPr="00C40D85">
        <w:fldChar w:fldCharType="separate"/>
      </w:r>
      <w:r w:rsidRPr="00C40D85">
        <w:t>(McComb et al., 2009)</w:t>
      </w:r>
      <w:r w:rsidRPr="00C40D85">
        <w:fldChar w:fldCharType="end"/>
      </w:r>
      <w:r>
        <w:t xml:space="preserve">. </w:t>
      </w:r>
      <w:r w:rsidRPr="00C40D85">
        <w:t xml:space="preserve">Because of the secrecy often associated with gambling, the disclosure of a gambling problem </w:t>
      </w:r>
      <w:r>
        <w:t xml:space="preserve">is held to be </w:t>
      </w:r>
      <w:r w:rsidRPr="00C40D85">
        <w:t xml:space="preserve">sudden, drastic, and devastating and </w:t>
      </w:r>
      <w:r>
        <w:t>more</w:t>
      </w:r>
      <w:r w:rsidRPr="00C40D85">
        <w:t xml:space="preserve"> often described as a "traumatic experience" for the family</w:t>
      </w:r>
      <w:r>
        <w:t xml:space="preserve"> that is the case with AOD </w:t>
      </w:r>
      <w:r>
        <w:fldChar w:fldCharType="begin"/>
      </w:r>
      <w:r>
        <w:instrText xml:space="preserve"> ADDIN EN.CITE &lt;EndNote&gt;&lt;Cite&gt;&lt;Author&gt;Lee&lt;/Author&gt;&lt;Year&gt;2015&lt;/Year&gt;&lt;RecNum&gt;29&lt;/RecNum&gt;&lt;DisplayText&gt;(Lee &amp;amp; Awosoga, 2015; McComb et al., 2009)&lt;/DisplayText&gt;&lt;record&gt;&lt;rec-number&gt;29&lt;/rec-number&gt;&lt;foreign-keys&gt;&lt;key app="EN" db-id="25rszwft292ev3esrpvpde0cpxrd9ex0xspp" timestamp="1550008899"&gt;29&lt;/key&gt;&lt;/foreign-keys&gt;&lt;ref-type name="Journal Article"&gt;17&lt;/ref-type&gt;&lt;contributors&gt;&lt;authors&gt;&lt;author&gt;Lee, Bonnie K&lt;/author&gt;&lt;author&gt;Awosoga, Olu&lt;/author&gt;&lt;/authors&gt;&lt;/contributors&gt;&lt;titles&gt;&lt;title&gt;Congruence couple therapy for pathological gambling: A pilot randomized controlled trial&lt;/title&gt;&lt;secondary-title&gt;Journal of gambling studies&lt;/secondary-title&gt;&lt;/titles&gt;&lt;periodical&gt;&lt;full-title&gt;Journal of gambling studies&lt;/full-title&gt;&lt;/periodical&gt;&lt;pages&gt;1047-1068&lt;/pages&gt;&lt;volume&gt;31&lt;/volume&gt;&lt;number&gt;3&lt;/number&gt;&lt;dates&gt;&lt;year&gt;2015&lt;/year&gt;&lt;/dates&gt;&lt;isbn&gt;1573-3602&lt;/isbn&gt;&lt;urls&gt;&lt;/urls&gt;&lt;/record&gt;&lt;/Cite&gt;&lt;Cite&gt;&lt;Author&gt;McComb&lt;/Author&gt;&lt;Year&gt;2009&lt;/Year&gt;&lt;RecNum&gt;207&lt;/RecNum&gt;&lt;record&gt;&lt;rec-number&gt;207&lt;/rec-number&gt;&lt;foreign-keys&gt;&lt;key app="EN" db-id="25rszwft292ev3esrpvpde0cpxrd9ex0xspp" timestamp="1588280966"&gt;207&lt;/key&gt;&lt;/foreign-keys&gt;&lt;ref-type name="Journal Article"&gt;17&lt;/ref-type&gt;&lt;contributors&gt;&lt;authors&gt;&lt;author&gt;McComb, Jennifer L&lt;/author&gt;&lt;author&gt;Lee, Bonnie K&lt;/author&gt;&lt;author&gt;Sprenkle, Douglas H&lt;/author&gt;&lt;/authors&gt;&lt;/contributors&gt;&lt;titles&gt;&lt;title&gt;Conceptualizing and treating problem gambling as a family issue&lt;/title&gt;&lt;secondary-title&gt;Journal of Marital and Family Therapy&lt;/secondary-title&gt;&lt;/titles&gt;&lt;periodical&gt;&lt;full-title&gt;Journal of marital and family therapy&lt;/full-title&gt;&lt;/periodical&gt;&lt;pages&gt;415-431&lt;/pages&gt;&lt;volume&gt;35&lt;/volume&gt;&lt;number&gt;4&lt;/number&gt;&lt;dates&gt;&lt;year&gt;2009&lt;/year&gt;&lt;/dates&gt;&lt;isbn&gt;0194-472X&lt;/isbn&gt;&lt;urls&gt;&lt;/urls&gt;&lt;/record&gt;&lt;/Cite&gt;&lt;/EndNote&gt;</w:instrText>
      </w:r>
      <w:r>
        <w:fldChar w:fldCharType="separate"/>
      </w:r>
      <w:r>
        <w:rPr>
          <w:noProof/>
        </w:rPr>
        <w:t>(Lee &amp; Awosoga, 2015; McComb et al., 2009)</w:t>
      </w:r>
      <w:r>
        <w:fldChar w:fldCharType="end"/>
      </w:r>
      <w:r>
        <w:t xml:space="preserve">. With reference to research detailing the links between gambling and violence against affected others </w:t>
      </w:r>
      <w:r>
        <w:fldChar w:fldCharType="begin"/>
      </w:r>
      <w:r w:rsidR="00EC563E">
        <w:instrText xml:space="preserve"> ADDIN EN.CITE &lt;EndNote&gt;&lt;Cite&gt;&lt;Author&gt;Palmer du Preez&lt;/Author&gt;&lt;Year&gt;2018&lt;/Year&gt;&lt;RecNum&gt;271&lt;/RecNum&gt;&lt;DisplayText&gt;(Dowling et al., 2018; Palmer du Preez et al., 2018)&lt;/DisplayText&gt;&lt;record&gt;&lt;rec-number&gt;271&lt;/rec-number&gt;&lt;foreign-keys&gt;&lt;key app="EN" db-id="25rszwft292ev3esrpvpde0cpxrd9ex0xspp" timestamp="1590461540"&gt;271&lt;/key&gt;&lt;/foreign-keys&gt;&lt;ref-type name="Journal Article"&gt;17&lt;/ref-type&gt;&lt;contributors&gt;&lt;authors&gt;&lt;author&gt;Palmer du Preez, Katie&lt;/author&gt;&lt;author&gt;Bellringer, Maria&lt;/author&gt;&lt;author&gt;Pearson, Janet&lt;/author&gt;&lt;author&gt;Dowling, Nicki&lt;/author&gt;&lt;author&gt;Suomi, Aino&lt;/author&gt;&lt;author&gt;Koziol-Mclain, Jane&lt;/author&gt;&lt;author&gt;Wilson, Denise&lt;/author&gt;&lt;author&gt;Jackson, Alun&lt;/author&gt;&lt;/authors&gt;&lt;/contributors&gt;&lt;titles&gt;&lt;title&gt;Family violence in gambling help-seeking populations&lt;/title&gt;&lt;secondary-title&gt;International Gambling Studies&lt;/secondary-title&gt;&lt;/titles&gt;&lt;periodical&gt;&lt;full-title&gt;International Gambling Studies&lt;/full-title&gt;&lt;/periodical&gt;&lt;pages&gt;477-494&lt;/pages&gt;&lt;volume&gt;18&lt;/volume&gt;&lt;number&gt;3&lt;/number&gt;&lt;dates&gt;&lt;year&gt;2018&lt;/year&gt;&lt;/dates&gt;&lt;isbn&gt;1445-9795&lt;/isbn&gt;&lt;urls&gt;&lt;/urls&gt;&lt;/record&gt;&lt;/Cite&gt;&lt;Cite&gt;&lt;Author&gt;Dowling&lt;/Author&gt;&lt;Year&gt;2018&lt;/Year&gt;&lt;RecNum&gt;272&lt;/RecNum&gt;&lt;record&gt;&lt;rec-number&gt;272&lt;/rec-number&gt;&lt;foreign-keys&gt;&lt;key app="EN" db-id="25rszwft292ev3esrpvpde0cpxrd9ex0xspp" timestamp="1590461572"&gt;272&lt;/key&gt;&lt;/foreign-keys&gt;&lt;ref-type name="Journal Article"&gt;17&lt;/ref-type&gt;&lt;contributors&gt;&lt;authors&gt;&lt;author&gt;Dowling, Nicki&lt;/author&gt;&lt;author&gt;Ewin, Carrie&lt;/author&gt;&lt;author&gt;Youssef, George J&lt;/author&gt;&lt;author&gt;Merkouris, Stephanie S&lt;/author&gt;&lt;author&gt;Suomi, Aino&lt;/author&gt;&lt;author&gt;Thomas, Shane A&lt;/author&gt;&lt;author&gt;Jackson, Alun C&lt;/author&gt;&lt;/authors&gt;&lt;/contributors&gt;&lt;titles&gt;&lt;title&gt;Problem gambling and family violence: Findings from a population-representative study&lt;/title&gt;&lt;secondary-title&gt;Journal of behavioral addictions&lt;/secondary-title&gt;&lt;/titles&gt;&lt;periodical&gt;&lt;full-title&gt;Journal of behavioral addictions&lt;/full-title&gt;&lt;/periodical&gt;&lt;pages&gt;806-813&lt;/pages&gt;&lt;volume&gt;7&lt;/volume&gt;&lt;number&gt;3&lt;/number&gt;&lt;dates&gt;&lt;year&gt;2018&lt;/year&gt;&lt;/dates&gt;&lt;isbn&gt;2062-5871&lt;/isbn&gt;&lt;urls&gt;&lt;/urls&gt;&lt;/record&gt;&lt;/Cite&gt;&lt;/EndNote&gt;</w:instrText>
      </w:r>
      <w:r>
        <w:fldChar w:fldCharType="separate"/>
      </w:r>
      <w:r w:rsidR="00EC563E">
        <w:rPr>
          <w:noProof/>
        </w:rPr>
        <w:t>(Dowling et al., 2018; Palmer du Preez et al., 2018)</w:t>
      </w:r>
      <w:r>
        <w:fldChar w:fldCharType="end"/>
      </w:r>
      <w:r>
        <w:t xml:space="preserve">, and the relationships between lifetime trauma and addiction </w:t>
      </w:r>
      <w:r>
        <w:fldChar w:fldCharType="begin"/>
      </w:r>
      <w:r>
        <w:instrText xml:space="preserve"> ADDIN EN.CITE &lt;EndNote&gt;&lt;Cite&gt;&lt;Author&gt;Petry&lt;/Author&gt;&lt;Year&gt;2005&lt;/Year&gt;&lt;RecNum&gt;270&lt;/RecNum&gt;&lt;DisplayText&gt;(Petry &amp;amp; Steinberg, 2005)&lt;/DisplayText&gt;&lt;record&gt;&lt;rec-number&gt;270&lt;/rec-number&gt;&lt;foreign-keys&gt;&lt;key app="EN" db-id="25rszwft292ev3esrpvpde0cpxrd9ex0xspp" timestamp="1590461400"&gt;270&lt;/key&gt;&lt;/foreign-keys&gt;&lt;ref-type name="Journal Article"&gt;17&lt;/ref-type&gt;&lt;contributors&gt;&lt;authors&gt;&lt;author&gt;Petry, Nancy M&lt;/author&gt;&lt;author&gt;Steinberg, Karen L&lt;/author&gt;&lt;/authors&gt;&lt;/contributors&gt;&lt;titles&gt;&lt;title&gt;Childhood maltreatment in male and female treatment-seeking pathological gamblers&lt;/title&gt;&lt;secondary-title&gt;Psychology of Addictive behaviors&lt;/secondary-title&gt;&lt;/titles&gt;&lt;periodical&gt;&lt;full-title&gt;Psychology of Addictive Behaviors&lt;/full-title&gt;&lt;/periodical&gt;&lt;pages&gt;226&lt;/pages&gt;&lt;volume&gt;19&lt;/volume&gt;&lt;number&gt;2&lt;/number&gt;&lt;dates&gt;&lt;year&gt;2005&lt;/year&gt;&lt;/dates&gt;&lt;isbn&gt;1939-1501&lt;/isbn&gt;&lt;urls&gt;&lt;/urls&gt;&lt;/record&gt;&lt;/Cite&gt;&lt;/EndNote&gt;</w:instrText>
      </w:r>
      <w:r>
        <w:fldChar w:fldCharType="separate"/>
      </w:r>
      <w:r>
        <w:rPr>
          <w:noProof/>
        </w:rPr>
        <w:t>(Petry &amp; Steinberg, 2005)</w:t>
      </w:r>
      <w:r>
        <w:fldChar w:fldCharType="end"/>
      </w:r>
      <w:r>
        <w:t xml:space="preserve">, trauma-informed family therapy is suggested as an important way forward for extending relational work with gambling FAOs. </w:t>
      </w:r>
    </w:p>
    <w:p w14:paraId="1B74DD5E" w14:textId="77777777" w:rsidR="00767BA2" w:rsidRDefault="00767BA2" w:rsidP="00767BA2">
      <w:pPr>
        <w:jc w:val="both"/>
      </w:pPr>
    </w:p>
    <w:p w14:paraId="6D5D1817" w14:textId="1CBA9CE6" w:rsidR="00767BA2" w:rsidRDefault="00767BA2" w:rsidP="00767BA2">
      <w:pPr>
        <w:jc w:val="both"/>
      </w:pPr>
      <w:r>
        <w:t xml:space="preserve">Emerging research suggests that </w:t>
      </w:r>
      <w:bookmarkStart w:id="47" w:name="_Hlk41397785"/>
      <w:r>
        <w:t>gambling outcomes appear to be particularly important to FAO wellbeing.</w:t>
      </w:r>
      <w:bookmarkEnd w:id="47"/>
      <w:r>
        <w:t xml:space="preserve"> For example, in comparison to AOD studies, it is less clear if couple therapy </w:t>
      </w:r>
      <w:r w:rsidRPr="00583612">
        <w:t>is more effective for FAO wellbeing than individual therapy for gamblers</w:t>
      </w:r>
      <w:r>
        <w:t xml:space="preserve"> </w:t>
      </w:r>
      <w:r>
        <w:fldChar w:fldCharType="begin">
          <w:fldData xml:space="preserve">PEVuZE5vdGU+PENpdGU+PEF1dGhvcj5OaWxzc29uPC9BdXRob3I+PFllYXI+MjAxOTwvWWVhcj48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</w:fldData>
        </w:fldChar>
      </w:r>
      <w:r>
        <w:instrText xml:space="preserve"> ADDIN EN.CITE </w:instrText>
      </w:r>
      <w:r>
        <w:fldChar w:fldCharType="begin">
          <w:fldData xml:space="preserve">PEVuZE5vdGU+PENpdGU+PEF1dGhvcj5OaWxzc29uPC9BdXRob3I+PFllYXI+MjAxOTwvWWVhcj48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</w:fldData>
        </w:fldChar>
      </w:r>
      <w:r>
        <w:instrText xml:space="preserve"> ADDIN EN.CITE.DATA </w:instrText>
      </w:r>
      <w:r>
        <w:fldChar w:fldCharType="end"/>
      </w:r>
      <w:r>
        <w:fldChar w:fldCharType="separate"/>
      </w:r>
      <w:r>
        <w:rPr>
          <w:noProof/>
        </w:rPr>
        <w:t>(Nilsson et al., 2019; Tremblay et al., 2018; Tremblay et al., 2015)</w:t>
      </w:r>
      <w:r>
        <w:fldChar w:fldCharType="end"/>
      </w:r>
      <w:r>
        <w:t xml:space="preserve">. </w:t>
      </w:r>
      <w:r w:rsidRPr="00583612">
        <w:t xml:space="preserve">The wellbeing benefits of positioning FAOs as intervention allies have been contested by a recent study of the effects of internet CBT (gambler only) and behavioural couples therapy (involving both gambler and FAO) with 136 gambler and FAO couples in Sweden </w:t>
      </w:r>
      <w:r w:rsidRPr="00583612">
        <w:fldChar w:fldCharType="begin"/>
      </w:r>
      <w:r w:rsidRPr="00583612">
        <w:instrText xml:space="preserve"> ADDIN EN.CITE &lt;EndNote&gt;&lt;Cite&gt;&lt;Author&gt;Nilsson&lt;/Author&gt;&lt;Year&gt;2019&lt;/Year&gt;&lt;RecNum&gt;209&lt;/RecNum&gt;&lt;DisplayText&gt;(Nilsson et al., 2019)&lt;/DisplayText&gt;&lt;record&gt;&lt;rec-number&gt;209&lt;/rec-number&gt;&lt;foreign-keys&gt;&lt;key app="EN" db-id="25rszwft292ev3esrpvpde0cpxrd9ex0xspp" timestamp="1588623103"&gt;209&lt;/key&gt;&lt;/foreign-keys&gt;&lt;ref-type name="Journal Article"&gt;17&lt;/ref-type&gt;&lt;contributors&gt;&lt;authors&gt;&lt;author&gt;Nilsson, Anders&lt;/author&gt;&lt;author&gt;Magnusson, Kristoffer&lt;/author&gt;&lt;author&gt;Carlbring, Per&lt;/author&gt;&lt;author&gt;Andersson, Gerhard&lt;/author&gt;&lt;author&gt;Hellner, Clara&lt;/author&gt;&lt;/authors&gt;&lt;/contributors&gt;&lt;titles&gt;&lt;title&gt;Behavioral couples therapy versus cognitive behavioral therapy for problem gambling: a randomized controlled trial&lt;/title&gt;&lt;secondary-title&gt;Addiction&lt;/secondary-title&gt;&lt;/titles&gt;&lt;periodical&gt;&lt;full-title&gt;Addiction&lt;/full-title&gt;&lt;/periodical&gt;&lt;dates&gt;&lt;year&gt;2019&lt;/year&gt;&lt;/dates&gt;&lt;isbn&gt;0965-2140&lt;/isbn&gt;&lt;urls&gt;&lt;/urls&gt;&lt;/record&gt;&lt;/Cite&gt;&lt;/EndNote&gt;</w:instrText>
      </w:r>
      <w:r w:rsidRPr="00583612">
        <w:fldChar w:fldCharType="separate"/>
      </w:r>
      <w:r w:rsidRPr="00583612">
        <w:t>(Nilsson et al., 2019)</w:t>
      </w:r>
      <w:r w:rsidRPr="00583612">
        <w:fldChar w:fldCharType="end"/>
      </w:r>
      <w:r w:rsidRPr="00583612">
        <w:t xml:space="preserve">. Efficacy was measured in terms of gambling behaviour (days </w:t>
      </w:r>
      <w:r w:rsidR="0096266E">
        <w:t xml:space="preserve">and </w:t>
      </w:r>
      <w:r w:rsidRPr="00583612">
        <w:t xml:space="preserve">dollars gambled), treatment engagement and various measures of health and wellbeing for both FAOs and gamblers. Few differences in outcomes were seen between the two groups, and </w:t>
      </w:r>
      <w:r>
        <w:t>FA</w:t>
      </w:r>
      <w:r w:rsidRPr="00583612">
        <w:t xml:space="preserve">Os did not appear to benefit </w:t>
      </w:r>
      <w:r>
        <w:t xml:space="preserve">additionally </w:t>
      </w:r>
      <w:r w:rsidRPr="00583612">
        <w:t>from taking part in the treatment, prompting the</w:t>
      </w:r>
      <w:r>
        <w:t>se</w:t>
      </w:r>
      <w:r w:rsidRPr="00583612">
        <w:t xml:space="preserve"> authors to question the involvement of FAOs in treatment of gamblers – at least in the online mode.  </w:t>
      </w:r>
    </w:p>
    <w:p w14:paraId="358A9F82" w14:textId="2215FF44" w:rsidR="009A4C32" w:rsidRDefault="009A4C32" w:rsidP="00767BA2">
      <w:pPr>
        <w:jc w:val="both"/>
      </w:pPr>
    </w:p>
    <w:p w14:paraId="2A7F18DF" w14:textId="5B541775" w:rsidR="00BF7B74" w:rsidRDefault="00BF7B74" w:rsidP="00BF7B74">
      <w:pPr>
        <w:jc w:val="both"/>
      </w:pPr>
      <w:r>
        <w:lastRenderedPageBreak/>
        <w:t xml:space="preserve">In the addictions field there are many references to ‘recovery’ with service providers and workers increasingly designated as ‘recovery-focused’, although in many areas there is confusion as to what this means in practice </w:t>
      </w:r>
      <w:r>
        <w:fldChar w:fldCharType="begin"/>
      </w:r>
      <w:r>
        <w:instrText xml:space="preserve"> ADDIN EN.CITE &lt;EndNote&gt;&lt;Cite&gt;&lt;Author&gt;Best&lt;/Author&gt;&lt;Year&gt;2010&lt;/Year&gt;&lt;RecNum&gt;321&lt;/RecNum&gt;&lt;DisplayText&gt;(Best &amp;amp; Laudet, 2010)&lt;/DisplayText&gt;&lt;record&gt;&lt;rec-number&gt;321&lt;/rec-number&gt;&lt;foreign-keys&gt;&lt;key app="EN" db-id="25rszwft292ev3esrpvpde0cpxrd9ex0xspp" timestamp="1601937829"&gt;321&lt;/key&gt;&lt;/foreign-keys&gt;&lt;ref-type name="Journal Article"&gt;17&lt;/ref-type&gt;&lt;contributors&gt;&lt;authors&gt;&lt;author&gt;Best, David&lt;/author&gt;&lt;author&gt;Laudet, Alexandre&lt;/author&gt;&lt;/authors&gt;&lt;/contributors&gt;&lt;titles&gt;&lt;title&gt;The potential of recovery capital&lt;/title&gt;&lt;secondary-title&gt;London: RSA&lt;/secondary-title&gt;&lt;/titles&gt;&lt;periodical&gt;&lt;full-title&gt;London: RSA&lt;/full-title&gt;&lt;/periodical&gt;&lt;dates&gt;&lt;year&gt;2010&lt;/year&gt;&lt;/dates&gt;&lt;urls&gt;&lt;/urls&gt;&lt;/record&gt;&lt;/Cite&gt;&lt;/EndNote&gt;</w:instrText>
      </w:r>
      <w:r>
        <w:fldChar w:fldCharType="separate"/>
      </w:r>
      <w:r>
        <w:rPr>
          <w:noProof/>
        </w:rPr>
        <w:t>(Best &amp; Laudet, 2010)</w:t>
      </w:r>
      <w:r>
        <w:fldChar w:fldCharType="end"/>
      </w:r>
      <w:r>
        <w:t xml:space="preserve">. Best and Laudet </w:t>
      </w:r>
      <w:r>
        <w:fldChar w:fldCharType="begin"/>
      </w:r>
      <w:r w:rsidR="0096266E">
        <w:instrText xml:space="preserve"> ADDIN EN.CITE &lt;EndNote&gt;&lt;Cite ExcludeAuth="1"&gt;&lt;Author&gt;Best&lt;/Author&gt;&lt;Year&gt;2010&lt;/Year&gt;&lt;RecNum&gt;321&lt;/RecNum&gt;&lt;DisplayText&gt;(2010)&lt;/DisplayText&gt;&lt;record&gt;&lt;rec-number&gt;321&lt;/rec-number&gt;&lt;foreign-keys&gt;&lt;key app="EN" db-id="25rszwft292ev3esrpvpde0cpxrd9ex0xspp" timestamp="1601937829"&gt;321&lt;/key&gt;&lt;/foreign-keys&gt;&lt;ref-type name="Journal Article"&gt;17&lt;/ref-type&gt;&lt;contributors&gt;&lt;authors&gt;&lt;author&gt;Best, David&lt;/author&gt;&lt;author&gt;Laudet, Alexandre&lt;/author&gt;&lt;/authors&gt;&lt;/contributors&gt;&lt;titles&gt;&lt;title&gt;The potential of recovery capital&lt;/title&gt;&lt;secondary-title&gt;London: RSA&lt;/secondary-title&gt;&lt;/titles&gt;&lt;periodical&gt;&lt;full-title&gt;London: RSA&lt;/full-title&gt;&lt;/periodical&gt;&lt;dates&gt;&lt;year&gt;2010&lt;/year&gt;&lt;/dates&gt;&lt;urls&gt;&lt;/urls&gt;&lt;/record&gt;&lt;/Cite&gt;&lt;/EndNote&gt;</w:instrText>
      </w:r>
      <w:r>
        <w:fldChar w:fldCharType="separate"/>
      </w:r>
      <w:r w:rsidR="0096266E">
        <w:rPr>
          <w:noProof/>
        </w:rPr>
        <w:t>(2010)</w:t>
      </w:r>
      <w:r>
        <w:fldChar w:fldCharType="end"/>
      </w:r>
      <w:r>
        <w:t xml:space="preserve"> describe </w:t>
      </w:r>
      <w:r w:rsidRPr="00BF7B74">
        <w:t>recovery is a process rather than an end state</w:t>
      </w:r>
      <w:r>
        <w:t xml:space="preserve"> involving the </w:t>
      </w:r>
      <w:r w:rsidRPr="00BF7B74">
        <w:t>lived experience of improved life quality</w:t>
      </w:r>
      <w:r>
        <w:t xml:space="preserve">, </w:t>
      </w:r>
      <w:r w:rsidRPr="00BF7B74">
        <w:t xml:space="preserve">a sense of empowerment; hope, choice, freedom and aspiration that are experienced rather than diagnosed and occur in real life settings rather than in the </w:t>
      </w:r>
      <w:r>
        <w:t>“</w:t>
      </w:r>
      <w:r w:rsidRPr="00BF7B74">
        <w:t>rarefied atmosphere of clinical settings</w:t>
      </w:r>
      <w:r>
        <w:t>”</w:t>
      </w:r>
      <w:r w:rsidRPr="00BF7B74">
        <w:t xml:space="preserve">. </w:t>
      </w:r>
      <w:r>
        <w:t>It is clear that t</w:t>
      </w:r>
      <w:r w:rsidR="000168F6" w:rsidRPr="000168F6">
        <w:t xml:space="preserve">ailoring thinking from broader addictions </w:t>
      </w:r>
      <w:r w:rsidR="000168F6">
        <w:t xml:space="preserve">may </w:t>
      </w:r>
      <w:r w:rsidR="000168F6" w:rsidRPr="000168F6">
        <w:t>import</w:t>
      </w:r>
      <w:r w:rsidR="000168F6">
        <w:t xml:space="preserve"> and reproduce </w:t>
      </w:r>
      <w:r w:rsidR="000168F6" w:rsidRPr="000168F6">
        <w:t xml:space="preserve">narrower and less recovery focused </w:t>
      </w:r>
      <w:r w:rsidR="000168F6">
        <w:t>approaches in gambling</w:t>
      </w:r>
      <w:r w:rsidR="000168F6" w:rsidRPr="000168F6">
        <w:t xml:space="preserve"> treatment services</w:t>
      </w:r>
      <w:r w:rsidR="000168F6">
        <w:t xml:space="preserve"> </w:t>
      </w:r>
      <w:r w:rsidR="000168F6">
        <w:fldChar w:fldCharType="begin">
          <w:fldData xml:space="preserve">PEVuZE5vdGU+PENpdGU+PEF1dGhvcj5CZXN0PC9BdXRob3I+PFllYXI+MjAxNTwvWWVhcj48UmVj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</w:fldData>
        </w:fldChar>
      </w:r>
      <w:r w:rsidR="000168F6">
        <w:instrText xml:space="preserve"> ADDIN EN.CITE </w:instrText>
      </w:r>
      <w:r w:rsidR="000168F6">
        <w:fldChar w:fldCharType="begin">
          <w:fldData xml:space="preserve">PEVuZE5vdGU+PENpdGU+PEF1dGhvcj5CZXN0PC9BdXRob3I+PFllYXI+MjAxNTwvWWVhcj48UmVj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</w:fldData>
        </w:fldChar>
      </w:r>
      <w:r w:rsidR="000168F6">
        <w:instrText xml:space="preserve"> ADDIN EN.CITE.DATA </w:instrText>
      </w:r>
      <w:r w:rsidR="000168F6">
        <w:fldChar w:fldCharType="end"/>
      </w:r>
      <w:r w:rsidR="000168F6">
        <w:fldChar w:fldCharType="separate"/>
      </w:r>
      <w:r w:rsidR="000168F6">
        <w:rPr>
          <w:noProof/>
        </w:rPr>
        <w:t>(Best et al., 2015; Bliuc et al., 2017; Cano et al., 2017)</w:t>
      </w:r>
      <w:r w:rsidR="000168F6">
        <w:fldChar w:fldCharType="end"/>
      </w:r>
      <w:r w:rsidR="000168F6">
        <w:t xml:space="preserve">. It is important that we also learn from social and FAO-led approaches to addictions support – as discussed further in the following sections. </w:t>
      </w:r>
    </w:p>
    <w:p w14:paraId="70A20AE1" w14:textId="77777777" w:rsidR="00BF7B74" w:rsidRDefault="00BF7B74" w:rsidP="00BF7B74">
      <w:pPr>
        <w:jc w:val="both"/>
      </w:pPr>
    </w:p>
    <w:p w14:paraId="621C7E97" w14:textId="77777777" w:rsidR="00767BA2" w:rsidRPr="00583612" w:rsidRDefault="00767BA2" w:rsidP="00E137E0">
      <w:pPr>
        <w:pStyle w:val="Heading4"/>
      </w:pPr>
      <w:bookmarkStart w:id="48" w:name="_Toc41640899"/>
      <w:r>
        <w:t>What do FAOs affected by gambling want from services?</w:t>
      </w:r>
      <w:bookmarkEnd w:id="48"/>
    </w:p>
    <w:p w14:paraId="7A315765" w14:textId="69F57DF0" w:rsidR="00767BA2" w:rsidRDefault="00324891" w:rsidP="00767BA2">
      <w:pPr>
        <w:jc w:val="both"/>
      </w:pPr>
      <w:r>
        <w:t>E</w:t>
      </w:r>
      <w:r w:rsidRPr="005E0A43">
        <w:t xml:space="preserve">xperiential and values-based evidence </w:t>
      </w:r>
      <w:r>
        <w:t>appears</w:t>
      </w:r>
      <w:r w:rsidRPr="005E0A43">
        <w:t xml:space="preserve"> underdeveloped and underutilised in service design and delivery to support recovery from mental health and addictions in New Zealand and internationally </w:t>
      </w:r>
      <w:r w:rsidRPr="005E0A43">
        <w:fldChar w:fldCharType="begin"/>
      </w:r>
      <w:r>
        <w:instrText xml:space="preserve"> ADDIN EN.CITE &lt;EndNote&gt;&lt;Cite&gt;&lt;Author&gt;Patterson&lt;/Author&gt;&lt;Year&gt;2018&lt;/Year&gt;&lt;RecNum&gt;240&lt;/RecNum&gt;&lt;DisplayText&gt;(Johnstone &amp;amp; Boyle, 2018; Patterson et al., 2018)&lt;/DisplayText&gt;&lt;record&gt;&lt;rec-number&gt;240&lt;/rec-number&gt;&lt;foreign-keys&gt;&lt;key app="EN" db-id="25rszwft292ev3esrpvpde0cpxrd9ex0xspp" timestamp="1589319428"&gt;240&lt;/key&gt;&lt;/foreign-keys&gt;&lt;ref-type name="Journal Article"&gt;17&lt;/ref-type&gt;&lt;contributors&gt;&lt;authors&gt;&lt;author&gt;Patterson, R&lt;/author&gt;&lt;author&gt;Durie, M&lt;/author&gt;&lt;author&gt;Disley, B&lt;/author&gt;&lt;author&gt;Tiatia-Seath, Sipaea&lt;/author&gt;&lt;author&gt;Tualamali&amp;apos;i, J&lt;/author&gt;&lt;/authors&gt;&lt;/contributors&gt;&lt;titles&gt;&lt;title&gt;He Ara Oranga: Report of the government inquiry into mental health and addiction&lt;/title&gt;&lt;/titles&gt;&lt;dates&gt;&lt;year&gt;2018&lt;/year&gt;&lt;/dates&gt;&lt;isbn&gt;0994124538&lt;/isbn&gt;&lt;urls&gt;&lt;/urls&gt;&lt;/record&gt;&lt;/Cite&gt;&lt;Cite&gt;&lt;Author&gt;Johnstone&lt;/Author&gt;&lt;Year&gt;2018&lt;/Year&gt;&lt;RecNum&gt;258&lt;/RecNum&gt;&lt;record&gt;&lt;rec-number&gt;258&lt;/rec-number&gt;&lt;foreign-keys&gt;&lt;key app="EN" db-id="25rszwft292ev3esrpvpde0cpxrd9ex0xspp" timestamp="1589932147"&gt;258&lt;/key&gt;&lt;/foreign-keys&gt;&lt;ref-type name="Journal Article"&gt;17&lt;/ref-type&gt;&lt;contributors&gt;&lt;authors&gt;&lt;author&gt;Johnstone, Lucy&lt;/author&gt;&lt;author&gt;Boyle, Mary&lt;/author&gt;&lt;/authors&gt;&lt;/contributors&gt;&lt;titles&gt;&lt;title&gt;The power threat meaning framework: An alternative nondiagnostic conceptual system&lt;/title&gt;&lt;secondary-title&gt;Journal of Humanistic Psychology&lt;/secondary-title&gt;&lt;/titles&gt;&lt;periodical&gt;&lt;full-title&gt;Journal of Humanistic Psychology&lt;/full-title&gt;&lt;/periodical&gt;&lt;pages&gt;0022167818793289&lt;/pages&gt;&lt;dates&gt;&lt;year&gt;2018&lt;/year&gt;&lt;/dates&gt;&lt;isbn&gt;0022-1678&lt;/isbn&gt;&lt;urls&gt;&lt;/urls&gt;&lt;/record&gt;&lt;/Cite&gt;&lt;/EndNote&gt;</w:instrText>
      </w:r>
      <w:r w:rsidRPr="005E0A43">
        <w:fldChar w:fldCharType="separate"/>
      </w:r>
      <w:r>
        <w:rPr>
          <w:noProof/>
        </w:rPr>
        <w:t>(Johnstone &amp; Boyle, 2018; Patterson et al., 2018)</w:t>
      </w:r>
      <w:r w:rsidRPr="005E0A43">
        <w:fldChar w:fldCharType="end"/>
      </w:r>
      <w:r w:rsidRPr="005E0A43">
        <w:t>.</w:t>
      </w:r>
      <w:r>
        <w:t xml:space="preserve"> Given that there has been almost no engagement with the support preferences and expectations of FAOs in relation to gambling services </w:t>
      </w:r>
      <w:r>
        <w:fldChar w:fldCharType="begin"/>
      </w:r>
      <w:r w:rsidR="00184F8A">
        <w:instrText xml:space="preserve"> ADDIN EN.CITE &lt;EndNote&gt;&lt;Cite&gt;&lt;Author&gt;Rodda&lt;/Author&gt;&lt;Year&gt;2013&lt;/Year&gt;&lt;RecNum&gt;33&lt;/RecNum&gt;&lt;DisplayText&gt;(Rodda et al., 2019; Rodda, Lubman, Dowling, &amp;amp; McCann, 2013)&lt;/DisplayText&gt;&lt;record&gt;&lt;rec-number&gt;33&lt;/rec-number&gt;&lt;foreign-keys&gt;&lt;key app="EN" db-id="25rszwft292ev3esrpvpde0cpxrd9ex0xspp" timestamp="1550009904"&gt;33&lt;/key&gt;&lt;/foreign-keys&gt;&lt;ref-type name="Journal Article"&gt;17&lt;/ref-type&gt;&lt;contributors&gt;&lt;authors&gt;&lt;author&gt;Rodda, Simone&lt;/author&gt;&lt;author&gt;Lubman, Dan I&lt;/author&gt;&lt;author&gt;Dowling, Nicki A&lt;/author&gt;&lt;author&gt;McCann, Terence V&lt;/author&gt;&lt;/authors&gt;&lt;/contributors&gt;&lt;titles&gt;&lt;title&gt;Reasons for using web-based counselling among family and friends impacted by problem gambling&lt;/title&gt;&lt;secondary-title&gt;Asian Journal of Gambling Issues and Public Health&lt;/secondary-title&gt;&lt;/titles&gt;&lt;periodical&gt;&lt;full-title&gt;Asian Journal of Gambling Issues and Public Health&lt;/full-title&gt;&lt;/periodical&gt;&lt;pages&gt;12&lt;/pages&gt;&lt;volume&gt;3&lt;/volume&gt;&lt;number&gt;1&lt;/number&gt;&lt;dates&gt;&lt;year&gt;2013&lt;/year&gt;&lt;/dates&gt;&lt;isbn&gt;2195-3007&lt;/isbn&gt;&lt;urls&gt;&lt;/urls&gt;&lt;/record&gt;&lt;/Cite&gt;&lt;Cite&gt;&lt;Author&gt;Rodda&lt;/Author&gt;&lt;Year&gt;2019&lt;/Year&gt;&lt;RecNum&gt;269&lt;/RecNum&gt;&lt;record&gt;&lt;rec-number&gt;269&lt;/rec-number&gt;&lt;foreign-keys&gt;&lt;key app="EN" db-id="25rszwft292ev3esrpvpde0cpxrd9ex0xspp" timestamp="1590456656"&gt;269&lt;/key&gt;&lt;/foreign-keys&gt;&lt;ref-type name="Journal Article"&gt;17&lt;/ref-type&gt;&lt;contributors&gt;&lt;authors&gt;&lt;author&gt;Rodda, Simone&lt;/author&gt;&lt;author&gt;Dowling, Nicki A&lt;/author&gt;&lt;author&gt;Thomas, Anna C&lt;/author&gt;&lt;author&gt;Bagot, Kathleen L&lt;/author&gt;&lt;author&gt;Lubman, Dan I&lt;/author&gt;&lt;/authors&gt;&lt;/contributors&gt;&lt;titles&gt;&lt;title&gt;Treatment for Family Members of People Experiencing Gambling Problems: Family Members Want Both Gambler-Focused and Family-Focused Options&lt;/title&gt;&lt;secondary-title&gt;International Journal of Mental Health and Addiction&lt;/secondary-title&gt;&lt;/titles&gt;&lt;periodical&gt;&lt;full-title&gt;International Journal of Mental Health and Addiction&lt;/full-title&gt;&lt;/periodical&gt;&lt;pages&gt;1-17&lt;/pages&gt;&lt;dates&gt;&lt;year&gt;2019&lt;/year&gt;&lt;/dates&gt;&lt;isbn&gt;1557-1874&lt;/isbn&gt;&lt;urls&gt;&lt;/urls&gt;&lt;/record&gt;&lt;/Cite&gt;&lt;/EndNote&gt;</w:instrText>
      </w:r>
      <w:r>
        <w:fldChar w:fldCharType="separate"/>
      </w:r>
      <w:r w:rsidR="00184F8A">
        <w:rPr>
          <w:noProof/>
        </w:rPr>
        <w:t>(Rodda et al., 2019; Rodda, Lubman, Dowling, &amp; McCann, 2013)</w:t>
      </w:r>
      <w:r>
        <w:fldChar w:fldCharType="end"/>
      </w:r>
      <w:r>
        <w:t xml:space="preserve">, it is not possible to say with any clarity what a FAO-centric gambling service might involve or look like. </w:t>
      </w:r>
      <w:r w:rsidR="00AC4DDC">
        <w:t xml:space="preserve">Engagement with FAOs has been framed by approaches driven by researchers and clinicians. For example </w:t>
      </w:r>
      <w:r w:rsidRPr="00583612">
        <w:t xml:space="preserve">Tremblay and colleagues </w:t>
      </w:r>
      <w:r w:rsidRPr="00583612">
        <w:fldChar w:fldCharType="begin"/>
      </w:r>
      <w:r w:rsidRPr="00583612">
        <w:instrText xml:space="preserve"> ADDIN EN.CITE &lt;EndNote&gt;&lt;Cite&gt;&lt;Author&gt;Tremblay&lt;/Author&gt;&lt;Year&gt;2018&lt;/Year&gt;&lt;RecNum&gt;227&lt;/RecNum&gt;&lt;DisplayText&gt;(Tremblay et al., 2018)&lt;/DisplayText&gt;&lt;record&gt;&lt;rec-number&gt;227&lt;/rec-number&gt;&lt;foreign-keys&gt;&lt;key app="EN" db-id="25rszwft292ev3esrpvpde0cpxrd9ex0xspp" timestamp="1589147495"&gt;227&lt;/key&gt;&lt;/foreign-keys&gt;&lt;ref-type name="Journal Article"&gt;17&lt;/ref-type&gt;&lt;contributors&gt;&lt;authors&gt;&lt;author&gt;Tremblay, Joël&lt;/author&gt;&lt;author&gt;Dufour, Magali&lt;/author&gt;&lt;author&gt;Bertrand, Karine&lt;/author&gt;&lt;author&gt;Blanchette-Martin, Nadine&lt;/author&gt;&lt;author&gt;Ferland, Francine&lt;/author&gt;&lt;author&gt;Savard, Annie-Claude&lt;/author&gt;&lt;author&gt;Saint-Jacques, Marianne&lt;/author&gt;&lt;author&gt;Côté, Mélissa&lt;/author&gt;&lt;/authors&gt;&lt;/contributors&gt;&lt;titles&gt;&lt;title&gt;The experience of couples in the process of treatment of pathological gambling: couple vs. individual therapy&lt;/title&gt;&lt;secondary-title&gt;Frontiers in psychology&lt;/secondary-title&gt;&lt;/titles&gt;&lt;periodical&gt;&lt;full-title&gt;Frontiers in psychology&lt;/full-title&gt;&lt;/periodical&gt;&lt;pages&gt;2344&lt;/pages&gt;&lt;volume&gt;8&lt;/volume&gt;&lt;dates&gt;&lt;year&gt;2018&lt;/year&gt;&lt;/dates&gt;&lt;isbn&gt;1664-1078&lt;/isbn&gt;&lt;urls&gt;&lt;/urls&gt;&lt;/record&gt;&lt;/Cite&gt;&lt;/EndNote&gt;</w:instrText>
      </w:r>
      <w:r w:rsidRPr="00583612">
        <w:fldChar w:fldCharType="separate"/>
      </w:r>
      <w:r w:rsidRPr="00583612">
        <w:t>(Tremblay et al., 2018)</w:t>
      </w:r>
      <w:r w:rsidRPr="00583612">
        <w:fldChar w:fldCharType="end"/>
      </w:r>
      <w:r w:rsidRPr="00583612">
        <w:t xml:space="preserve"> documented the experiences of the therapy process for pathological gamblers and their intimate partners (n=21 couples), who were randomized for individual or couple treatment. Participants reported satisfaction with both treatment models, but their experience was more positive in couple</w:t>
      </w:r>
      <w:r w:rsidR="0096266E">
        <w:t>s</w:t>
      </w:r>
      <w:r w:rsidRPr="00583612">
        <w:t xml:space="preserve"> treatment. Complementary benefits emerged from each form of treatment: Gamblers who were in individual treatment were more likely to mention that their partners' involvement was not necessary and appreciated the opportunity to focus on their own needs, couples in therapy together highlighted the benefits of mediated communication.</w:t>
      </w:r>
      <w:r w:rsidR="00767BA2" w:rsidRPr="00583612">
        <w:t xml:space="preserve"> The authors advocate for future treatments involving both types of engagement to enable a range of issues and needs to come to the fore and be met.</w:t>
      </w:r>
      <w:r w:rsidR="00767BA2">
        <w:t xml:space="preserve"> In one online support space, around half of FAOs requested gambler-focussed support e.g. a</w:t>
      </w:r>
      <w:r w:rsidR="00767BA2" w:rsidRPr="00C271F4">
        <w:t>dvice and support on getting the gambler to change, supporting behaviour change and facilitating treatment seeking</w:t>
      </w:r>
      <w:r w:rsidR="00AC4DDC">
        <w:t xml:space="preserve"> </w:t>
      </w:r>
      <w:r w:rsidR="00AC4DDC">
        <w:fldChar w:fldCharType="begin"/>
      </w:r>
      <w:r w:rsidR="00AC4DDC">
        <w:instrText xml:space="preserve"> ADDIN EN.CITE &lt;EndNote&gt;&lt;Cite&gt;&lt;Author&gt;Rodda&lt;/Author&gt;&lt;Year&gt;2019&lt;/Year&gt;&lt;RecNum&gt;269&lt;/RecNum&gt;&lt;DisplayText&gt;(Rodda et al., 2019)&lt;/DisplayText&gt;&lt;record&gt;&lt;rec-number&gt;269&lt;/rec-number&gt;&lt;foreign-keys&gt;&lt;key app="EN" db-id="25rszwft292ev3esrpvpde0cpxrd9ex0xspp" timestamp="1590456656"&gt;269&lt;/key&gt;&lt;/foreign-keys&gt;&lt;ref-type name="Journal Article"&gt;17&lt;/ref-type&gt;&lt;contributors&gt;&lt;authors&gt;&lt;author&gt;Rodda, Simone&lt;/author&gt;&lt;author&gt;Dowling, Nicki A&lt;/author&gt;&lt;author&gt;Thomas, Anna C&lt;/author&gt;&lt;author&gt;Bagot, Kathleen L&lt;/author&gt;&lt;author&gt;Lubman, Dan I&lt;/author&gt;&lt;/authors&gt;&lt;/contributors&gt;&lt;titles&gt;&lt;title&gt;Treatment for Family Members of People Experiencing Gambling Problems: Family Members Want Both Gambler-Focused and Family-Focused Options&lt;/title&gt;&lt;secondary-title&gt;International Journal of Mental Health and Addiction&lt;/secondary-title&gt;&lt;/titles&gt;&lt;periodical&gt;&lt;full-title&gt;International Journal of Mental Health and Addiction&lt;/full-title&gt;&lt;/periodical&gt;&lt;pages&gt;1-17&lt;/pages&gt;&lt;dates&gt;&lt;year&gt;2019&lt;/year&gt;&lt;/dates&gt;&lt;isbn&gt;1557-1874&lt;/isbn&gt;&lt;urls&gt;&lt;/urls&gt;&lt;/record&gt;&lt;/Cite&gt;&lt;/EndNote&gt;</w:instrText>
      </w:r>
      <w:r w:rsidR="00AC4DDC">
        <w:fldChar w:fldCharType="separate"/>
      </w:r>
      <w:r w:rsidR="00AC4DDC">
        <w:rPr>
          <w:noProof/>
        </w:rPr>
        <w:t>(Rodda et al., 2019)</w:t>
      </w:r>
      <w:r w:rsidR="00AC4DDC">
        <w:fldChar w:fldCharType="end"/>
      </w:r>
      <w:r w:rsidR="00767BA2" w:rsidRPr="00C271F4">
        <w:t>.</w:t>
      </w:r>
      <w:r w:rsidR="00767BA2">
        <w:t xml:space="preserve"> Relational approaches to gambling harm were also commonly requested, and almost one quarter of help-seekers requested a dual focus on FAO and gambler wellbeing. </w:t>
      </w:r>
    </w:p>
    <w:p w14:paraId="51F2B726" w14:textId="77777777" w:rsidR="00767BA2" w:rsidRPr="00583612" w:rsidRDefault="00767BA2" w:rsidP="00767BA2">
      <w:pPr>
        <w:jc w:val="both"/>
      </w:pPr>
    </w:p>
    <w:p w14:paraId="67691793" w14:textId="77777777" w:rsidR="00767BA2" w:rsidRDefault="00767BA2" w:rsidP="00E137E0">
      <w:pPr>
        <w:pStyle w:val="Heading4"/>
      </w:pPr>
      <w:bookmarkStart w:id="49" w:name="_Toc41640900"/>
      <w:r>
        <w:t>Expanding operationalisation of social and FAO-led approaches to harm reduction</w:t>
      </w:r>
      <w:bookmarkEnd w:id="49"/>
    </w:p>
    <w:p w14:paraId="2E70B1C1" w14:textId="3BE3873C" w:rsidR="006B4693" w:rsidRDefault="00767BA2" w:rsidP="006B4693">
      <w:pPr>
        <w:jc w:val="both"/>
      </w:pPr>
      <w:bookmarkStart w:id="50" w:name="_Hlk41394803"/>
      <w:r>
        <w:t xml:space="preserve">The emphasis in gambling FAO interventions literature has been on universal thinking/approaches based on underlying psychological principles of human behaviour (i.e. largely cognitive behavioural therapy and motivational </w:t>
      </w:r>
      <w:r w:rsidR="009A4C32">
        <w:t>interviewing-based</w:t>
      </w:r>
      <w:r>
        <w:t xml:space="preserve"> approaches). These approaches are important in responding to individual-level factors shaping gambling harm and should continue to be explored and improved (Adams, 2016). Comparatively f</w:t>
      </w:r>
      <w:r w:rsidRPr="008F7B3C">
        <w:t xml:space="preserve">ew gambling harm reduction interventions have been developed to include FAOs in ways that centralise the </w:t>
      </w:r>
      <w:r w:rsidRPr="008F7B3C">
        <w:lastRenderedPageBreak/>
        <w:t xml:space="preserve">social, economic and cultural determinants of harm and recovery. </w:t>
      </w:r>
      <w:r w:rsidR="00E20B25">
        <w:t xml:space="preserve">Indeed, ‘recovery’ has been </w:t>
      </w:r>
      <w:r w:rsidR="006B4693">
        <w:t xml:space="preserve">seen as too conceptually imprecise to be employed in gambling harm reduction </w:t>
      </w:r>
      <w:r w:rsidR="006B4693">
        <w:fldChar w:fldCharType="begin"/>
      </w:r>
      <w:r w:rsidR="006B4693">
        <w:instrText xml:space="preserve"> ADDIN EN.CITE &lt;EndNote&gt;&lt;Cite&gt;&lt;Author&gt;Nower&lt;/Author&gt;&lt;Year&gt;2008&lt;/Year&gt;&lt;RecNum&gt;322&lt;/RecNum&gt;&lt;DisplayText&gt;(Nower &amp;amp; Blaszczynski, 2008)&lt;/DisplayText&gt;&lt;record&gt;&lt;rec-number&gt;322&lt;/rec-number&gt;&lt;foreign-keys&gt;&lt;key app="EN" db-id="25rszwft292ev3esrpvpde0cpxrd9ex0xspp" timestamp="1601939186"&gt;322&lt;/key&gt;&lt;/foreign-keys&gt;&lt;ref-type name="Journal Article"&gt;17&lt;/ref-type&gt;&lt;contributors&gt;&lt;authors&gt;&lt;author&gt;Nower, Lia&lt;/author&gt;&lt;author&gt;Blaszczynski, Alex&lt;/author&gt;&lt;/authors&gt;&lt;/contributors&gt;&lt;titles&gt;&lt;title&gt;Recovery in pathological gambling: An imprecise concept&lt;/title&gt;&lt;secondary-title&gt;Substance Use &amp;amp; Misuse&lt;/secondary-title&gt;&lt;/titles&gt;&lt;periodical&gt;&lt;full-title&gt;Substance use &amp;amp; misuse&lt;/full-title&gt;&lt;/periodical&gt;&lt;pages&gt;1844-1864&lt;/pages&gt;&lt;volume&gt;43&lt;/volume&gt;&lt;number&gt;12-13&lt;/number&gt;&lt;dates&gt;&lt;year&gt;2008&lt;/year&gt;&lt;/dates&gt;&lt;isbn&gt;1082-6084&lt;/isbn&gt;&lt;urls&gt;&lt;/urls&gt;&lt;/record&gt;&lt;/Cite&gt;&lt;/EndNote&gt;</w:instrText>
      </w:r>
      <w:r w:rsidR="006B4693">
        <w:fldChar w:fldCharType="separate"/>
      </w:r>
      <w:r w:rsidR="006B4693">
        <w:rPr>
          <w:noProof/>
        </w:rPr>
        <w:t>(Nower &amp; Blaszczynski, 2008)</w:t>
      </w:r>
      <w:r w:rsidR="006B4693">
        <w:fldChar w:fldCharType="end"/>
      </w:r>
      <w:r w:rsidR="006B4693">
        <w:t xml:space="preserve">. This would seem to </w:t>
      </w:r>
      <w:r w:rsidR="0096266E">
        <w:t>ignore</w:t>
      </w:r>
      <w:r w:rsidR="006B4693">
        <w:t xml:space="preserve"> the transformative potential of the term</w:t>
      </w:r>
      <w:r w:rsidR="0096266E">
        <w:t>. T</w:t>
      </w:r>
      <w:r w:rsidR="006B4693">
        <w:t xml:space="preserve">he growth of recovery capital is seen as idiosyncratic and personal, but its manifestation is inherently social and community-based and its impact can be measured in terms of those lived communities </w:t>
      </w:r>
      <w:r w:rsidR="006B4693">
        <w:fldChar w:fldCharType="begin"/>
      </w:r>
      <w:r w:rsidR="006B4693">
        <w:instrText xml:space="preserve"> ADDIN EN.CITE &lt;EndNote&gt;&lt;Cite&gt;&lt;Author&gt;Best&lt;/Author&gt;&lt;Year&gt;2010&lt;/Year&gt;&lt;RecNum&gt;321&lt;/RecNum&gt;&lt;DisplayText&gt;(Best &amp;amp; Laudet, 2010)&lt;/DisplayText&gt;&lt;record&gt;&lt;rec-number&gt;321&lt;/rec-number&gt;&lt;foreign-keys&gt;&lt;key app="EN" db-id="25rszwft292ev3esrpvpde0cpxrd9ex0xspp" timestamp="1601937829"&gt;321&lt;/key&gt;&lt;/foreign-keys&gt;&lt;ref-type name="Journal Article"&gt;17&lt;/ref-type&gt;&lt;contributors&gt;&lt;authors&gt;&lt;author&gt;Best, David&lt;/author&gt;&lt;author&gt;Laudet, Alexandre&lt;/author&gt;&lt;/authors&gt;&lt;/contributors&gt;&lt;titles&gt;&lt;title&gt;The potential of recovery capital&lt;/title&gt;&lt;secondary-title&gt;London: RSA&lt;/secondary-title&gt;&lt;/titles&gt;&lt;periodical&gt;&lt;full-title&gt;London: RSA&lt;/full-title&gt;&lt;/periodical&gt;&lt;dates&gt;&lt;year&gt;2010&lt;/year&gt;&lt;/dates&gt;&lt;urls&gt;&lt;/urls&gt;&lt;/record&gt;&lt;/Cite&gt;&lt;/EndNote&gt;</w:instrText>
      </w:r>
      <w:r w:rsidR="006B4693">
        <w:fldChar w:fldCharType="separate"/>
      </w:r>
      <w:r w:rsidR="006B4693">
        <w:rPr>
          <w:noProof/>
        </w:rPr>
        <w:t>(Best &amp; Laudet, 2010)</w:t>
      </w:r>
      <w:r w:rsidR="006B4693">
        <w:fldChar w:fldCharType="end"/>
      </w:r>
      <w:r w:rsidR="006B4693">
        <w:t>.</w:t>
      </w:r>
      <w:r w:rsidR="006B4693" w:rsidRPr="008F7B3C">
        <w:t xml:space="preserve"> </w:t>
      </w:r>
    </w:p>
    <w:p w14:paraId="5FDBC4D4" w14:textId="77777777" w:rsidR="006B4693" w:rsidRDefault="006B4693" w:rsidP="006B4693">
      <w:pPr>
        <w:jc w:val="both"/>
      </w:pPr>
    </w:p>
    <w:p w14:paraId="07C912A7" w14:textId="2325F40D" w:rsidR="00767BA2" w:rsidRDefault="00767BA2" w:rsidP="00767BA2">
      <w:pPr>
        <w:jc w:val="both"/>
      </w:pPr>
      <w:r w:rsidRPr="008F7B3C">
        <w:t xml:space="preserve">New Zealand </w:t>
      </w:r>
      <w:r>
        <w:t>Māori</w:t>
      </w:r>
      <w:r w:rsidRPr="008F7B3C">
        <w:t xml:space="preserve"> and other </w:t>
      </w:r>
      <w:r w:rsidR="006B4693">
        <w:t>I</w:t>
      </w:r>
      <w:r w:rsidRPr="008F7B3C">
        <w:t xml:space="preserve">ndigenous perspectives have </w:t>
      </w:r>
      <w:r w:rsidR="006B4693">
        <w:t>highlighted how a</w:t>
      </w:r>
      <w:r w:rsidRPr="008F7B3C">
        <w:t xml:space="preserve"> lack of engagement with the social, economic and cultural realities of gambling and harm </w:t>
      </w:r>
      <w:r w:rsidR="006B4693">
        <w:t>has limited</w:t>
      </w:r>
      <w:r w:rsidRPr="008F7B3C">
        <w:t xml:space="preserve"> the development of appropriate and relevant resources and interventions - particularly in vulnerable populations </w:t>
      </w:r>
      <w:r w:rsidR="006B4693" w:rsidRPr="008F7B3C">
        <w:fldChar w:fldCharType="begin">
          <w:fldData xml:space="preserve">PEVuZE5vdGU+PENpdGU+PEF1dGhvcj5EeWFsbDwvQXV0aG9yPjxZZWFyPjIwMDc8L1llYXI+PFJl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=
</w:fldData>
        </w:fldChar>
      </w:r>
      <w:r w:rsidR="00184F8A">
        <w:instrText xml:space="preserve"> ADDIN EN.CITE </w:instrText>
      </w:r>
      <w:r w:rsidR="00184F8A">
        <w:fldChar w:fldCharType="begin">
          <w:fldData xml:space="preserve">PEVuZE5vdGU+PENpdGU+PEF1dGhvcj5EeWFsbDwvQXV0aG9yPjxZZWFyPjIwMDc8L1llYXI+PFJl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=
</w:fldData>
        </w:fldChar>
      </w:r>
      <w:r w:rsidR="00184F8A">
        <w:instrText xml:space="preserve"> ADDIN EN.CITE.DATA </w:instrText>
      </w:r>
      <w:r w:rsidR="00184F8A">
        <w:fldChar w:fldCharType="end"/>
      </w:r>
      <w:r w:rsidR="006B4693" w:rsidRPr="008F7B3C">
        <w:fldChar w:fldCharType="separate"/>
      </w:r>
      <w:r w:rsidR="00184F8A">
        <w:rPr>
          <w:noProof/>
        </w:rPr>
        <w:t>(Dyall, 2007, 2012; Dyall, Hawke, Herd, &amp; Nahi, 2012; Morrison &amp; Boulton, 2013)</w:t>
      </w:r>
      <w:r w:rsidR="006B4693" w:rsidRPr="008F7B3C">
        <w:fldChar w:fldCharType="end"/>
      </w:r>
      <w:r w:rsidRPr="008F7B3C">
        <w:t xml:space="preserve">. </w:t>
      </w:r>
      <w:bookmarkStart w:id="51" w:name="_Hlk41398994"/>
      <w:bookmarkEnd w:id="50"/>
      <w:r>
        <w:t>Sociologically informed</w:t>
      </w:r>
      <w:r w:rsidRPr="008F7B3C">
        <w:t xml:space="preserve"> literature </w:t>
      </w:r>
      <w:r>
        <w:t xml:space="preserve">has </w:t>
      </w:r>
      <w:r w:rsidRPr="008F7B3C">
        <w:t>also s</w:t>
      </w:r>
      <w:r>
        <w:t>ought</w:t>
      </w:r>
      <w:r w:rsidRPr="008F7B3C">
        <w:t xml:space="preserve"> to </w:t>
      </w:r>
      <w:r w:rsidR="006B4693">
        <w:t>bring</w:t>
      </w:r>
      <w:r w:rsidRPr="008F7B3C">
        <w:t xml:space="preserve"> the </w:t>
      </w:r>
      <w:r w:rsidR="006B4693">
        <w:t xml:space="preserve">multiple </w:t>
      </w:r>
      <w:r w:rsidRPr="008F7B3C">
        <w:t xml:space="preserve">pleasures </w:t>
      </w:r>
      <w:r w:rsidR="006B4693">
        <w:t xml:space="preserve">and meanings </w:t>
      </w:r>
      <w:r w:rsidRPr="008F7B3C">
        <w:t>of gambling for particular cultural and community groups and spaces</w:t>
      </w:r>
      <w:r w:rsidR="006B4693">
        <w:t xml:space="preserve"> to the fore in harm reduction efforts</w:t>
      </w:r>
      <w:r w:rsidRPr="008F7B3C">
        <w:t xml:space="preserve">. In Australian Aboriginal communities bingo </w:t>
      </w:r>
      <w:r>
        <w:t>i</w:t>
      </w:r>
      <w:r w:rsidRPr="008F7B3C">
        <w:t xml:space="preserve">s variously a site that reinforces social connectedness for families, a source of fun and excitement and a strategy to find solace or respite in the face of personal pain and structural injustice </w:t>
      </w:r>
      <w:r w:rsidRPr="008F7B3C">
        <w:fldChar w:fldCharType="begin"/>
      </w:r>
      <w:r w:rsidRPr="008F7B3C">
        <w:instrText xml:space="preserve"> ADDIN EN.CITE &lt;EndNote&gt;&lt;Cite&gt;&lt;Author&gt;Maltzahn&lt;/Author&gt;&lt;Year&gt;2019&lt;/Year&gt;&lt;RecNum&gt;237&lt;/RecNum&gt;&lt;DisplayText&gt;(Maltzahn et al., 2019)&lt;/DisplayText&gt;&lt;record&gt;&lt;rec-number&gt;237&lt;/rec-number&gt;&lt;foreign-keys&gt;&lt;key app="EN" db-id="25rszwft292ev3esrpvpde0cpxrd9ex0xspp" timestamp="1589241059"&gt;237&lt;/key&gt;&lt;/foreign-keys&gt;&lt;ref-type name="Journal Article"&gt;17&lt;/ref-type&gt;&lt;contributors&gt;&lt;authors&gt;&lt;author&gt;Maltzahn, Kathleen&lt;/author&gt;&lt;author&gt;Vaughan, Richard&lt;/author&gt;&lt;author&gt;Griffin, Tiffany&lt;/author&gt;&lt;author&gt;Thomas, Darlene&lt;/author&gt;&lt;author&gt;Stephens, Raelene&lt;/author&gt;&lt;author&gt;Whiteside, Mary&lt;/author&gt;&lt;author&gt;Maclean, Sarah&lt;/author&gt;&lt;/authors&gt;&lt;/contributors&gt;&lt;titles&gt;&lt;title&gt;Pleasures and risks associated with bingo playing in an Australian Aboriginal community: Lessons for policy and intervention&lt;/title&gt;&lt;secondary-title&gt;Journal of gambling studies&lt;/secondary-title&gt;&lt;/titles&gt;&lt;periodical&gt;&lt;full-title&gt;Journal of gambling studies&lt;/full-title&gt;&lt;/periodical&gt;&lt;pages&gt;653-670&lt;/pages&gt;&lt;volume&gt;35&lt;/volume&gt;&lt;number&gt;2&lt;/number&gt;&lt;dates&gt;&lt;year&gt;2019&lt;/year&gt;&lt;/dates&gt;&lt;isbn&gt;1573-3602&lt;/isbn&gt;&lt;urls&gt;&lt;/urls&gt;&lt;/record&gt;&lt;/Cite&gt;&lt;/EndNote&gt;</w:instrText>
      </w:r>
      <w:r w:rsidRPr="008F7B3C">
        <w:fldChar w:fldCharType="separate"/>
      </w:r>
      <w:r w:rsidRPr="008F7B3C">
        <w:t>(Maltzahn et al., 2019)</w:t>
      </w:r>
      <w:r w:rsidRPr="008F7B3C">
        <w:fldChar w:fldCharType="end"/>
      </w:r>
      <w:r w:rsidRPr="008F7B3C">
        <w:t xml:space="preserve">. These communities have argued for </w:t>
      </w:r>
      <w:r>
        <w:t xml:space="preserve">services to work with them to advocate for enhanced </w:t>
      </w:r>
      <w:r w:rsidRPr="008F7B3C">
        <w:t>regulation of commercial bingo and not-for-profit bingo</w:t>
      </w:r>
      <w:bookmarkStart w:id="52" w:name="_Hlk40190213"/>
      <w:r>
        <w:t>, and to deliver f</w:t>
      </w:r>
      <w:r w:rsidRPr="008F7B3C">
        <w:t xml:space="preserve">amily focused intervention </w:t>
      </w:r>
      <w:r>
        <w:t>that</w:t>
      </w:r>
      <w:r w:rsidRPr="008F7B3C">
        <w:t xml:space="preserve"> includ</w:t>
      </w:r>
      <w:r>
        <w:t>e</w:t>
      </w:r>
      <w:r w:rsidRPr="008F7B3C">
        <w:t xml:space="preserve">s finding ways for families to spend more time together outside of the opportunities created by gambling </w:t>
      </w:r>
      <w:bookmarkEnd w:id="52"/>
      <w:r w:rsidRPr="008F7B3C">
        <w:fldChar w:fldCharType="begin"/>
      </w:r>
      <w:r w:rsidRPr="008F7B3C">
        <w:instrText xml:space="preserve"> ADDIN EN.CITE &lt;EndNote&gt;&lt;Cite&gt;&lt;Author&gt;Nagel&lt;/Author&gt;&lt;Year&gt;2011&lt;/Year&gt;&lt;RecNum&gt;236&lt;/RecNum&gt;&lt;DisplayText&gt;(Nagel, Hinton, Thompson, &amp;amp; Spencer, 2011)&lt;/DisplayText&gt;&lt;record&gt;&lt;rec-number&gt;236&lt;/rec-number&gt;&lt;foreign-keys&gt;&lt;key app="EN" db-id="25rszwft292ev3esrpvpde0cpxrd9ex0xspp" timestamp="1589241027"&gt;236&lt;/key&gt;&lt;/foreign-keys&gt;&lt;ref-type name="Journal Article"&gt;17&lt;/ref-type&gt;&lt;contributors&gt;&lt;authors&gt;&lt;author&gt;Nagel, Tricia&lt;/author&gt;&lt;author&gt;Hinton, Rachael&lt;/author&gt;&lt;author&gt;Thompson, Valerie&lt;/author&gt;&lt;author&gt;Spencer, Neil&lt;/author&gt;&lt;/authors&gt;&lt;/contributors&gt;&lt;titles&gt;&lt;title&gt;Yarning about gambling in indigenous communities: An Aboriginal and Islander mental health initiative&lt;/title&gt;&lt;secondary-title&gt;Australian Journal of Social Issues&lt;/secondary-title&gt;&lt;/titles&gt;&lt;periodical&gt;&lt;full-title&gt;Australian Journal of Social Issues&lt;/full-title&gt;&lt;/periodical&gt;&lt;pages&gt;371-389&lt;/pages&gt;&lt;volume&gt;46&lt;/volume&gt;&lt;number&gt;4&lt;/number&gt;&lt;dates&gt;&lt;year&gt;2011&lt;/year&gt;&lt;/dates&gt;&lt;isbn&gt;0157-6321&lt;/isbn&gt;&lt;urls&gt;&lt;/urls&gt;&lt;/record&gt;&lt;/Cite&gt;&lt;/EndNote&gt;</w:instrText>
      </w:r>
      <w:r w:rsidRPr="008F7B3C">
        <w:fldChar w:fldCharType="separate"/>
      </w:r>
      <w:r w:rsidRPr="008F7B3C">
        <w:t>(Nagel, Hinton, Thompson, &amp; Spencer, 2011)</w:t>
      </w:r>
      <w:r w:rsidRPr="008F7B3C">
        <w:fldChar w:fldCharType="end"/>
      </w:r>
      <w:r w:rsidRPr="008F7B3C">
        <w:t>.</w:t>
      </w:r>
    </w:p>
    <w:p w14:paraId="47DD3FCC" w14:textId="77777777" w:rsidR="00767BA2" w:rsidRDefault="00767BA2" w:rsidP="00767BA2">
      <w:pPr>
        <w:jc w:val="both"/>
      </w:pPr>
    </w:p>
    <w:p w14:paraId="051101E8" w14:textId="7DB83C5A" w:rsidR="00767BA2" w:rsidRPr="006B4693" w:rsidRDefault="00767BA2" w:rsidP="006B4693">
      <w:pPr>
        <w:jc w:val="both"/>
      </w:pPr>
      <w:r w:rsidRPr="001C49BD">
        <w:t xml:space="preserve">Reith and Dobbie </w:t>
      </w:r>
      <w:r>
        <w:fldChar w:fldCharType="begin"/>
      </w:r>
      <w:r>
        <w:instrText xml:space="preserve"> ADDIN EN.CITE &lt;EndNote&gt;&lt;Cite ExcludeAuth="1"&gt;&lt;Author&gt;Reith&lt;/Author&gt;&lt;Year&gt;2012&lt;/Year&gt;&lt;RecNum&gt;287&lt;/RecNum&gt;&lt;Pages&gt;515&lt;/Pages&gt;&lt;DisplayText&gt;(2012, p. 515)&lt;/DisplayText&gt;&lt;record&gt;&lt;rec-number&gt;287&lt;/rec-number&gt;&lt;foreign-keys&gt;&lt;key app="EN" db-id="25rszwft292ev3esrpvpde0cpxrd9ex0xspp" timestamp="1590705144"&gt;287&lt;/key&gt;&lt;/foreign-keys&gt;&lt;ref-type name="Journal Article"&gt;17&lt;/ref-type&gt;&lt;contributors&gt;&lt;authors&gt;&lt;author&gt;Reith, Gerda&lt;/author&gt;&lt;author&gt;Dobbie, Fiona&lt;/author&gt;&lt;/authors&gt;&lt;/contributors&gt;&lt;titles&gt;&lt;title&gt;Lost in the game: Narratives of addiction and identity in recovery from problem gambling&lt;/title&gt;&lt;secondary-title&gt;Addiction Research &amp;amp; Theory&lt;/secondary-title&gt;&lt;/titles&gt;&lt;periodical&gt;&lt;full-title&gt;Addiction Research &amp;amp; Theory&lt;/full-title&gt;&lt;/periodical&gt;&lt;pages&gt;511-521&lt;/pages&gt;&lt;volume&gt;20&lt;/volume&gt;&lt;number&gt;6&lt;/number&gt;&lt;dates&gt;&lt;year&gt;2012&lt;/year&gt;&lt;/dates&gt;&lt;isbn&gt;1606-6359&lt;/isbn&gt;&lt;urls&gt;&lt;/urls&gt;&lt;/record&gt;&lt;/Cite&gt;&lt;/EndNote&gt;</w:instrText>
      </w:r>
      <w:r>
        <w:fldChar w:fldCharType="separate"/>
      </w:r>
      <w:r>
        <w:rPr>
          <w:noProof/>
        </w:rPr>
        <w:t>(2012, p. 515)</w:t>
      </w:r>
      <w:r>
        <w:fldChar w:fldCharType="end"/>
      </w:r>
      <w:r>
        <w:t xml:space="preserve"> argued that gambling recovery is a social process, where options for practicing wellbeing are </w:t>
      </w:r>
      <w:r w:rsidRPr="00690ECD">
        <w:t xml:space="preserve">continually revised in response to changing </w:t>
      </w:r>
      <w:r>
        <w:t xml:space="preserve">relationships and </w:t>
      </w:r>
      <w:r w:rsidRPr="00690ECD">
        <w:t>social contexts</w:t>
      </w:r>
      <w:r w:rsidR="006B4693">
        <w:t xml:space="preserve">. </w:t>
      </w:r>
      <w:r w:rsidR="006B4693" w:rsidRPr="006B4693">
        <w:t>N</w:t>
      </w:r>
      <w:r w:rsidRPr="006B4693">
        <w:t xml:space="preserve">arratives of </w:t>
      </w:r>
      <w:r w:rsidR="006B4693" w:rsidRPr="006B4693">
        <w:t>recove</w:t>
      </w:r>
      <w:r w:rsidR="006B4693">
        <w:t xml:space="preserve">ry </w:t>
      </w:r>
      <w:r w:rsidRPr="006B4693">
        <w:t xml:space="preserve">involved a process </w:t>
      </w:r>
      <w:r w:rsidR="006B4693">
        <w:t>of redirecting</w:t>
      </w:r>
      <w:r w:rsidRPr="006B4693">
        <w:t xml:space="preserve"> expenditure away from the uncontrolled and de-materialised consumption involved in gambling, and towards more material goods and activities with which to express the self and enrich social relationships.</w:t>
      </w:r>
      <w:r w:rsidR="006B4693">
        <w:t xml:space="preserve"> </w:t>
      </w:r>
      <w:r>
        <w:t xml:space="preserve">These authors noted how the conditions of possibility for recovery can be shaped by the extent to which people experiencing gambling harm are able to re-enter consumer life in socially acceptable ways, e.g. buying </w:t>
      </w:r>
      <w:r w:rsidRPr="004D43C4">
        <w:t xml:space="preserve">children's toys and clothes, Christmas presents, haircuts and gym membership, </w:t>
      </w:r>
      <w:r>
        <w:t>paying</w:t>
      </w:r>
      <w:r w:rsidRPr="004D43C4">
        <w:t xml:space="preserve"> mortgages and bills</w:t>
      </w:r>
      <w:r>
        <w:t xml:space="preserve">. </w:t>
      </w:r>
      <w:r w:rsidR="0093068F">
        <w:t>F</w:t>
      </w:r>
      <w:r w:rsidRPr="004D43C4">
        <w:t xml:space="preserve">ragmentation and dislocation </w:t>
      </w:r>
      <w:r>
        <w:t xml:space="preserve">can also be seen </w:t>
      </w:r>
      <w:r w:rsidRPr="004D43C4">
        <w:t xml:space="preserve">as a by-product of the globalized free-market society </w:t>
      </w:r>
      <w:r>
        <w:t xml:space="preserve">constructing ‘acceptable </w:t>
      </w:r>
      <w:r w:rsidR="006B4693">
        <w:t xml:space="preserve">consumer </w:t>
      </w:r>
      <w:r>
        <w:t xml:space="preserve">selves’ </w:t>
      </w:r>
      <w:r w:rsidRPr="004D43C4">
        <w:t>at a macro-level</w:t>
      </w:r>
      <w:r>
        <w:t xml:space="preserve"> </w:t>
      </w:r>
      <w:r w:rsidRPr="004D43C4">
        <w:t>(Alexander, 2008)</w:t>
      </w:r>
      <w:r w:rsidR="006B4693">
        <w:t xml:space="preserve">. For </w:t>
      </w:r>
      <w:r w:rsidR="006B4693" w:rsidRPr="006B4693">
        <w:t xml:space="preserve">example gambling can be seen as </w:t>
      </w:r>
      <w:r w:rsidRPr="006B4693">
        <w:t>a way that large numbers of people adapt to the breakdown of psychologically sustaining culture under the global influence of free-market society</w:t>
      </w:r>
      <w:r w:rsidR="006B4693" w:rsidRPr="006B4693">
        <w:t xml:space="preserve"> </w:t>
      </w:r>
      <w:r w:rsidRPr="006B4693">
        <w:fldChar w:fldCharType="begin"/>
      </w:r>
      <w:r w:rsidRPr="006B4693">
        <w:instrText xml:space="preserve"> ADDIN EN.CITE &lt;EndNote&gt;&lt;Cite&gt;&lt;Author&gt;Alexander&lt;/Author&gt;&lt;Year&gt;2012&lt;/Year&gt;&lt;RecNum&gt;254&lt;/RecNum&gt;&lt;DisplayText&gt;(Alexander, 2012)&lt;/DisplayText&gt;&lt;record&gt;&lt;rec-number&gt;254&lt;/rec-number&gt;&lt;foreign-keys&gt;&lt;key app="EN" db-id="25rszwft292ev3esrpvpde0cpxrd9ex0xspp" timestamp="1589770709"&gt;254&lt;/key&gt;&lt;/foreign-keys&gt;&lt;ref-type name="Journal Article"&gt;17&lt;/ref-type&gt;&lt;contributors&gt;&lt;authors&gt;&lt;author&gt;Alexander, Bruce K&lt;/author&gt;&lt;/authors&gt;&lt;/contributors&gt;&lt;titles&gt;&lt;title&gt;Addiction: The urgent need for a paradigm shift&lt;/title&gt;&lt;secondary-title&gt;Substance use &amp;amp; misuse&lt;/secondary-title&gt;&lt;/titles&gt;&lt;periodical&gt;&lt;full-title&gt;Substance use &amp;amp; misuse&lt;/full-title&gt;&lt;/periodical&gt;&lt;pages&gt;1475-1482&lt;/pages&gt;&lt;volume&gt;47&lt;/volume&gt;&lt;number&gt;13-14&lt;/number&gt;&lt;dates&gt;&lt;year&gt;2012&lt;/year&gt;&lt;/dates&gt;&lt;isbn&gt;1082-6084&lt;/isbn&gt;&lt;urls&gt;&lt;/urls&gt;&lt;/record&gt;&lt;/Cite&gt;&lt;/EndNote&gt;</w:instrText>
      </w:r>
      <w:r w:rsidRPr="006B4693">
        <w:fldChar w:fldCharType="separate"/>
      </w:r>
      <w:r w:rsidRPr="006B4693">
        <w:t>(Alexander, 2012)</w:t>
      </w:r>
      <w:r w:rsidRPr="006B4693">
        <w:fldChar w:fldCharType="end"/>
      </w:r>
      <w:r w:rsidR="006B4693" w:rsidRPr="006B4693">
        <w:t>.</w:t>
      </w:r>
      <w:r w:rsidR="0093068F">
        <w:t xml:space="preserve"> </w:t>
      </w:r>
    </w:p>
    <w:p w14:paraId="7882C791" w14:textId="77777777" w:rsidR="00767BA2" w:rsidRDefault="00767BA2" w:rsidP="00767BA2">
      <w:pPr>
        <w:jc w:val="both"/>
      </w:pPr>
    </w:p>
    <w:p w14:paraId="4C2EFEE9" w14:textId="63705A1D" w:rsidR="00767BA2" w:rsidRDefault="0093068F" w:rsidP="00430F8A">
      <w:pPr>
        <w:jc w:val="both"/>
      </w:pPr>
      <w:bookmarkStart w:id="53" w:name="_Hlk53134128"/>
      <w:r>
        <w:t>The role of services in creating e</w:t>
      </w:r>
      <w:r w:rsidR="00767BA2">
        <w:t xml:space="preserve">ffective </w:t>
      </w:r>
      <w:r>
        <w:t xml:space="preserve">advocacy </w:t>
      </w:r>
      <w:r w:rsidR="00767BA2">
        <w:t xml:space="preserve">mechanisms for the lived experience of FAOs in decision making processes about how economic systems are structured and run and who is regarded as acceptable/valuable, have yet to be explored. For example, in New Zealand The Salvation Army run gambling support services and also a </w:t>
      </w:r>
      <w:r w:rsidR="00767BA2" w:rsidRPr="009360AC">
        <w:t>Social Policy &amp; Parliamentary Unit</w:t>
      </w:r>
      <w:r w:rsidR="00767BA2">
        <w:t xml:space="preserve"> which</w:t>
      </w:r>
      <w:r w:rsidR="00767BA2" w:rsidRPr="009360AC">
        <w:t xml:space="preserve"> works toward the eradication of poverty by encouraging policies and practices that strengthen the social framework of New Zealand.</w:t>
      </w:r>
      <w:r w:rsidR="009A4C32">
        <w:t xml:space="preserve"> </w:t>
      </w:r>
      <w:bookmarkStart w:id="54" w:name="_Hlk57803052"/>
      <w:r w:rsidR="00430F8A" w:rsidRPr="00430F8A">
        <w:t xml:space="preserve">Gambling with Lives was set up </w:t>
      </w:r>
      <w:r w:rsidR="00430F8A">
        <w:t>in the UK to support</w:t>
      </w:r>
      <w:r w:rsidR="00430F8A" w:rsidRPr="00430F8A">
        <w:t xml:space="preserve"> the families and friends of young people who have taken their own lives as a direct </w:t>
      </w:r>
      <w:r w:rsidR="00430F8A" w:rsidRPr="00430F8A">
        <w:lastRenderedPageBreak/>
        <w:t>result of gambling</w:t>
      </w:r>
      <w:r w:rsidR="00430F8A">
        <w:t xml:space="preserve">. This organisation aims to give a voice to families and friends bereaved by gambling and bring the health issues surrounding gambling to the attention of policymakers and bodies responsible for regulating the gambling industry. It has been instrumental in pointing out harm prevention and reduction </w:t>
      </w:r>
      <w:r w:rsidR="00430F8A" w:rsidRPr="00430F8A">
        <w:t xml:space="preserve">shortcomings in the </w:t>
      </w:r>
      <w:r w:rsidR="00430F8A">
        <w:t xml:space="preserve">UK </w:t>
      </w:r>
      <w:r w:rsidR="00430F8A" w:rsidRPr="00430F8A">
        <w:t>government</w:t>
      </w:r>
      <w:r w:rsidR="00430F8A">
        <w:t xml:space="preserve"> supported</w:t>
      </w:r>
      <w:r w:rsidR="00430F8A" w:rsidRPr="00430F8A">
        <w:t xml:space="preserve"> regulator, the Gambling Commission</w:t>
      </w:r>
      <w:r w:rsidR="00430F8A">
        <w:t xml:space="preserve"> </w:t>
      </w:r>
      <w:r w:rsidR="00430F8A">
        <w:fldChar w:fldCharType="begin"/>
      </w:r>
      <w:r w:rsidR="00430F8A">
        <w:instrText xml:space="preserve"> ADDIN EN.CITE &lt;EndNote&gt;&lt;Cite&gt;&lt;Author&gt;Pidd&lt;/Author&gt;&lt;Year&gt;2020&lt;/Year&gt;&lt;RecNum&gt;336&lt;/RecNum&gt;&lt;Prefix&gt;see &lt;/Prefix&gt;&lt;DisplayText&gt;(see Pidd, 2020)&lt;/DisplayText&gt;&lt;record&gt;&lt;rec-number&gt;336&lt;/rec-number&gt;&lt;foreign-keys&gt;&lt;key app="EN" db-id="25rszwft292ev3esrpvpde0cpxrd9ex0xspp" timestamp="1606863675"&gt;336&lt;/key&gt;&lt;/foreign-keys&gt;&lt;ref-type name="Newspaper Article"&gt;23&lt;/ref-type&gt;&lt;contributors&gt;&lt;authors&gt;&lt;author&gt;Pidd, Helen&lt;/author&gt;&lt;/authors&gt;&lt;/contributors&gt;&lt;titles&gt;&lt;title&gt;Inquest into suicide of gambling addict will explore if UK state failed him&lt;/title&gt;&lt;secondary-title&gt;The Guardian&lt;/secondary-title&gt;&lt;/titles&gt;&lt;dates&gt;&lt;year&gt;2020&lt;/year&gt;&lt;pub-dates&gt;&lt;date&gt;25 September&lt;/date&gt;&lt;/pub-dates&gt;&lt;/dates&gt;&lt;publisher&gt;The Guardian&lt;/publisher&gt;&lt;urls&gt;&lt;related-urls&gt;&lt;url&gt;https://www.theguardian.com/society/2020/sep/25/inquest-into-suicide-of-gambling-addict-to-explore-if-uk-state-failed-him&lt;/url&gt;&lt;/related-urls&gt;&lt;/urls&gt;&lt;/record&gt;&lt;/Cite&gt;&lt;/EndNote&gt;</w:instrText>
      </w:r>
      <w:r w:rsidR="00430F8A">
        <w:fldChar w:fldCharType="separate"/>
      </w:r>
      <w:r w:rsidR="00430F8A">
        <w:rPr>
          <w:noProof/>
        </w:rPr>
        <w:t>(see Pidd, 2020)</w:t>
      </w:r>
      <w:r w:rsidR="00430F8A">
        <w:fldChar w:fldCharType="end"/>
      </w:r>
      <w:r w:rsidR="00430F8A">
        <w:t xml:space="preserve">. </w:t>
      </w:r>
      <w:bookmarkEnd w:id="54"/>
      <w:r>
        <w:t xml:space="preserve">Exploration of </w:t>
      </w:r>
      <w:r w:rsidR="00CD2D2C">
        <w:t xml:space="preserve">how to support </w:t>
      </w:r>
      <w:r>
        <w:t>quality and effective family engagement in these processes could inform harm reduction practice.</w:t>
      </w:r>
      <w:bookmarkEnd w:id="53"/>
      <w:r>
        <w:t xml:space="preserve"> </w:t>
      </w:r>
    </w:p>
    <w:p w14:paraId="41F60696" w14:textId="77777777" w:rsidR="00767BA2" w:rsidRPr="008F7B3C" w:rsidRDefault="00767BA2" w:rsidP="00767BA2">
      <w:pPr>
        <w:jc w:val="both"/>
      </w:pPr>
    </w:p>
    <w:p w14:paraId="16678F72" w14:textId="43502EF8" w:rsidR="00767BA2" w:rsidRDefault="0093068F" w:rsidP="00767BA2">
      <w:pPr>
        <w:jc w:val="both"/>
      </w:pPr>
      <w:bookmarkStart w:id="55" w:name="_Hlk41399234"/>
      <w:bookmarkEnd w:id="51"/>
      <w:r>
        <w:t>E</w:t>
      </w:r>
      <w:r w:rsidRPr="008F7B3C">
        <w:t xml:space="preserve">quity, </w:t>
      </w:r>
      <w:r>
        <w:t>whānau</w:t>
      </w:r>
      <w:r w:rsidRPr="008F7B3C">
        <w:t xml:space="preserve">natanga and inclusion of (and co-design with) </w:t>
      </w:r>
      <w:r>
        <w:t>whānau</w:t>
      </w:r>
      <w:r w:rsidRPr="008F7B3C">
        <w:t xml:space="preserve"> has been identified as central to successful </w:t>
      </w:r>
      <w:r>
        <w:t xml:space="preserve">gambling </w:t>
      </w:r>
      <w:r w:rsidRPr="008F7B3C">
        <w:t xml:space="preserve">interventions with </w:t>
      </w:r>
      <w:r>
        <w:t>Māori</w:t>
      </w:r>
      <w:r w:rsidRPr="008F7B3C">
        <w:t xml:space="preserve"> </w:t>
      </w:r>
      <w:r>
        <w:t xml:space="preserve">families and </w:t>
      </w:r>
      <w:r w:rsidRPr="008F7B3C">
        <w:t xml:space="preserve">communities </w:t>
      </w:r>
      <w:r w:rsidRPr="008F7B3C">
        <w:fldChar w:fldCharType="begin"/>
      </w:r>
      <w:r w:rsidRPr="008F7B3C">
        <w:instrText xml:space="preserve"> ADDIN EN.CITE &lt;EndNote&gt;&lt;Cite&gt;&lt;Author&gt;Robertson&lt;/Author&gt;&lt;Year&gt;2005&lt;/Year&gt;&lt;RecNum&gt;206&lt;/RecNum&gt;&lt;DisplayText&gt;(Robertson et al., 2005)&lt;/DisplayText&gt;&lt;record&gt;&lt;rec-number&gt;206&lt;/rec-number&gt;&lt;foreign-keys&gt;&lt;key app="EN" db-id="25rszwft292ev3esrpvpde0cpxrd9ex0xspp" timestamp="1588118169"&gt;206&lt;/key&gt;&lt;/foreign-keys&gt;&lt;ref-type name="Journal Article"&gt;17&lt;/ref-type&gt;&lt;contributors&gt;&lt;authors&gt;&lt;author&gt;Robertson, Paul&lt;/author&gt;&lt;author&gt;Pitama, Suzanne&lt;/author&gt;&lt;author&gt;Huriwai, Terry&lt;/author&gt;&lt;author&gt;Ahuriri-Driscoll, Annabel&lt;/author&gt;&lt;author&gt;Larsen, J&lt;/author&gt;&lt;author&gt;Uta’i, S&lt;/author&gt;&lt;author&gt;Haitana, T&lt;/author&gt;&lt;/authors&gt;&lt;/contributors&gt;&lt;titles&gt;&lt;title&gt;Developing services in te rohe o Ngai Tahu for Maori with gambling related problems&lt;/title&gt;&lt;/titles&gt;&lt;dates&gt;&lt;year&gt;2005&lt;/year&gt;&lt;/dates&gt;&lt;urls&gt;&lt;/urls&gt;&lt;/record&gt;&lt;/Cite&gt;&lt;/EndNote&gt;</w:instrText>
      </w:r>
      <w:r w:rsidRPr="008F7B3C">
        <w:fldChar w:fldCharType="separate"/>
      </w:r>
      <w:r w:rsidRPr="008F7B3C">
        <w:t>(Robertson et al., 2005)</w:t>
      </w:r>
      <w:r w:rsidRPr="008F7B3C">
        <w:fldChar w:fldCharType="end"/>
      </w:r>
      <w:r w:rsidRPr="008F7B3C">
        <w:t>.</w:t>
      </w:r>
      <w:r>
        <w:t xml:space="preserve"> </w:t>
      </w:r>
      <w:r w:rsidR="00767BA2" w:rsidRPr="008F7B3C">
        <w:t xml:space="preserve">Māori have argued from an indigenous rights perspective and as Treaty of Waitangi partners, for </w:t>
      </w:r>
      <w:r w:rsidR="00767BA2">
        <w:t>whānau</w:t>
      </w:r>
      <w:r w:rsidR="00767BA2" w:rsidRPr="008F7B3C">
        <w:t xml:space="preserve"> involvement at all levels of decision making in determining gambling policies</w:t>
      </w:r>
      <w:r w:rsidR="00767BA2">
        <w:t>, services</w:t>
      </w:r>
      <w:r w:rsidR="00767BA2" w:rsidRPr="008F7B3C">
        <w:t xml:space="preserve"> and revenue</w:t>
      </w:r>
      <w:r w:rsidR="00767BA2">
        <w:t xml:space="preserve"> direction</w:t>
      </w:r>
      <w:r w:rsidR="00767BA2" w:rsidRPr="008F7B3C">
        <w:t xml:space="preserve"> </w:t>
      </w:r>
      <w:r w:rsidR="00767BA2" w:rsidRPr="008F7B3C">
        <w:fldChar w:fldCharType="begin"/>
      </w:r>
      <w:r w:rsidR="00767BA2" w:rsidRPr="008F7B3C">
        <w:instrText xml:space="preserve"> ADDIN EN.CITE &lt;EndNote&gt;&lt;Cite&gt;&lt;Author&gt;Dyall&lt;/Author&gt;&lt;Year&gt;2012&lt;/Year&gt;&lt;RecNum&gt;216&lt;/RecNum&gt;&lt;DisplayText&gt;(Dyall et al., 2012)&lt;/DisplayText&gt;&lt;record&gt;&lt;rec-number&gt;216&lt;/rec-number&gt;&lt;foreign-keys&gt;&lt;key app="EN" db-id="25rszwft292ev3esrpvpde0cpxrd9ex0xspp" timestamp="1588626866"&gt;216&lt;/key&gt;&lt;/foreign-keys&gt;&lt;ref-type name="Journal Article"&gt;17&lt;/ref-type&gt;&lt;contributors&gt;&lt;authors&gt;&lt;author&gt;Dyall, Lorna&lt;/author&gt;&lt;author&gt;Hawke, Zoe&lt;/author&gt;&lt;author&gt;Herd, Ruth&lt;/author&gt;&lt;author&gt;Nahi, Papa&lt;/author&gt;&lt;/authors&gt;&lt;/contributors&gt;&lt;titles&gt;&lt;title&gt;Housework metaphor for gambling public health action: An indigenous perspective&lt;/title&gt;&lt;secondary-title&gt;International Journal of Mental Health and Addiction&lt;/secondary-title&gt;&lt;/titles&gt;&lt;periodical&gt;&lt;full-title&gt;International Journal of Mental Health and Addiction&lt;/full-title&gt;&lt;/periodical&gt;&lt;pages&gt;737-747&lt;/pages&gt;&lt;volume&gt;10&lt;/volume&gt;&lt;number&gt;5&lt;/number&gt;&lt;dates&gt;&lt;year&gt;2012&lt;/year&gt;&lt;/dates&gt;&lt;isbn&gt;1557-1874&lt;/isbn&gt;&lt;urls&gt;&lt;/urls&gt;&lt;/record&gt;&lt;/Cite&gt;&lt;/EndNote&gt;</w:instrText>
      </w:r>
      <w:r w:rsidR="00767BA2" w:rsidRPr="008F7B3C">
        <w:fldChar w:fldCharType="separate"/>
      </w:r>
      <w:r w:rsidR="00767BA2" w:rsidRPr="008F7B3C">
        <w:t>(Dyall et al., 2012)</w:t>
      </w:r>
      <w:r w:rsidR="00767BA2" w:rsidRPr="008F7B3C">
        <w:fldChar w:fldCharType="end"/>
      </w:r>
      <w:r w:rsidR="00767BA2" w:rsidRPr="008F7B3C">
        <w:t xml:space="preserve">. Adopting this lens has also been described as about shifting the burden of </w:t>
      </w:r>
      <w:r w:rsidR="00767BA2">
        <w:t xml:space="preserve">harm reduction </w:t>
      </w:r>
      <w:r w:rsidR="00767BA2" w:rsidRPr="008F7B3C">
        <w:t>engagement onto services and away from clients</w:t>
      </w:r>
      <w:r w:rsidR="00767BA2">
        <w:t xml:space="preserve"> </w:t>
      </w:r>
      <w:r w:rsidR="00767BA2">
        <w:fldChar w:fldCharType="begin"/>
      </w:r>
      <w:r w:rsidR="00767BA2">
        <w:instrText xml:space="preserve"> ADDIN EN.CITE &lt;EndNote&gt;&lt;Cite&gt;&lt;Author&gt;Dyall&lt;/Author&gt;&lt;Year&gt;2012&lt;/Year&gt;&lt;RecNum&gt;216&lt;/RecNum&gt;&lt;DisplayText&gt;(Dyall et al., 2012)&lt;/DisplayText&gt;&lt;record&gt;&lt;rec-number&gt;216&lt;/rec-number&gt;&lt;foreign-keys&gt;&lt;key app="EN" db-id="25rszwft292ev3esrpvpde0cpxrd9ex0xspp" timestamp="1588626866"&gt;216&lt;/key&gt;&lt;/foreign-keys&gt;&lt;ref-type name="Journal Article"&gt;17&lt;/ref-type&gt;&lt;contributors&gt;&lt;authors&gt;&lt;author&gt;Dyall, Lorna&lt;/author&gt;&lt;author&gt;Hawke, Zoe&lt;/author&gt;&lt;author&gt;Herd, Ruth&lt;/author&gt;&lt;author&gt;Nahi, Papa&lt;/author&gt;&lt;/authors&gt;&lt;/contributors&gt;&lt;titles&gt;&lt;title&gt;Housework metaphor for gambling public health action: An indigenous perspective&lt;/title&gt;&lt;secondary-title&gt;International Journal of Mental Health and Addiction&lt;/secondary-title&gt;&lt;/titles&gt;&lt;periodical&gt;&lt;full-title&gt;International Journal of Mental Health and Addiction&lt;/full-title&gt;&lt;/periodical&gt;&lt;pages&gt;737-747&lt;/pages&gt;&lt;volume&gt;10&lt;/volume&gt;&lt;number&gt;5&lt;/number&gt;&lt;dates&gt;&lt;year&gt;2012&lt;/year&gt;&lt;/dates&gt;&lt;isbn&gt;1557-1874&lt;/isbn&gt;&lt;urls&gt;&lt;/urls&gt;&lt;/record&gt;&lt;/Cite&gt;&lt;/EndNote&gt;</w:instrText>
      </w:r>
      <w:r w:rsidR="00767BA2">
        <w:fldChar w:fldCharType="separate"/>
      </w:r>
      <w:r w:rsidR="00767BA2">
        <w:rPr>
          <w:noProof/>
        </w:rPr>
        <w:t>(Dyall et al., 2012)</w:t>
      </w:r>
      <w:r w:rsidR="00767BA2">
        <w:fldChar w:fldCharType="end"/>
      </w:r>
      <w:r w:rsidR="00767BA2">
        <w:t>.</w:t>
      </w:r>
      <w:r w:rsidR="00767BA2" w:rsidRPr="008F7B3C">
        <w:t xml:space="preserve"> </w:t>
      </w:r>
      <w:r w:rsidR="00767BA2">
        <w:t>From this perspective a key role of services could be to</w:t>
      </w:r>
      <w:r w:rsidR="00767BA2" w:rsidRPr="008F7B3C">
        <w:t xml:space="preserve"> support Māori </w:t>
      </w:r>
      <w:r w:rsidR="00767BA2">
        <w:t>whānau</w:t>
      </w:r>
      <w:r w:rsidR="00767BA2" w:rsidRPr="008F7B3C">
        <w:t xml:space="preserve"> along with other stakeholder interest groups to determine the nature and scale of legalised gambling, negotiate and navigate the development of gambling free communities, neighbourhoods or spaces </w:t>
      </w:r>
      <w:r w:rsidR="00767BA2" w:rsidRPr="008F7B3C">
        <w:fldChar w:fldCharType="begin"/>
      </w:r>
      <w:r w:rsidR="00767BA2" w:rsidRPr="008F7B3C">
        <w:instrText xml:space="preserve"> ADDIN EN.CITE &lt;EndNote&gt;&lt;Cite&gt;&lt;Author&gt;Dyall&lt;/Author&gt;&lt;Year&gt;2012&lt;/Year&gt;&lt;RecNum&gt;218&lt;/RecNum&gt;&lt;DisplayText&gt;(Dyall, 2012)&lt;/DisplayText&gt;&lt;record&gt;&lt;rec-number&gt;218&lt;/rec-number&gt;&lt;foreign-keys&gt;&lt;key app="EN" db-id="25rszwft292ev3esrpvpde0cpxrd9ex0xspp" timestamp="1588626985"&gt;218&lt;/key&gt;&lt;/foreign-keys&gt;&lt;ref-type name="Journal Article"&gt;17&lt;/ref-type&gt;&lt;contributors&gt;&lt;authors&gt;&lt;author&gt;Dyall, Lorna&lt;/author&gt;&lt;/authors&gt;&lt;/contributors&gt;&lt;titles&gt;&lt;title&gt;Gambling and Whänau Ora: Changing Lifestyles and Life Choices&lt;/title&gt;&lt;secondary-title&gt;He Pukenga Korero&lt;/secondary-title&gt;&lt;/titles&gt;&lt;periodical&gt;&lt;full-title&gt;He Pukenga Korero&lt;/full-title&gt;&lt;/periodical&gt;&lt;volume&gt;9&lt;/volume&gt;&lt;number&gt;2&lt;/number&gt;&lt;dates&gt;&lt;year&gt;2012&lt;/year&gt;&lt;/dates&gt;&lt;isbn&gt;1173-5767&lt;/isbn&gt;&lt;urls&gt;&lt;/urls&gt;&lt;/record&gt;&lt;/Cite&gt;&lt;/EndNote&gt;</w:instrText>
      </w:r>
      <w:r w:rsidR="00767BA2" w:rsidRPr="008F7B3C">
        <w:fldChar w:fldCharType="separate"/>
      </w:r>
      <w:r w:rsidR="00767BA2" w:rsidRPr="008F7B3C">
        <w:t>(Dyall, 2012)</w:t>
      </w:r>
      <w:r w:rsidR="00767BA2" w:rsidRPr="008F7B3C">
        <w:fldChar w:fldCharType="end"/>
      </w:r>
      <w:r w:rsidR="00767BA2" w:rsidRPr="008F7B3C">
        <w:t xml:space="preserve">. </w:t>
      </w:r>
      <w:bookmarkEnd w:id="55"/>
    </w:p>
    <w:p w14:paraId="1DF6D1EC" w14:textId="77777777" w:rsidR="00767BA2" w:rsidRDefault="00767BA2" w:rsidP="00767BA2">
      <w:pPr>
        <w:jc w:val="both"/>
      </w:pPr>
    </w:p>
    <w:p w14:paraId="20E0057B" w14:textId="4EB51021" w:rsidR="00767BA2" w:rsidRDefault="00767BA2" w:rsidP="00767BA2">
      <w:pPr>
        <w:jc w:val="both"/>
      </w:pPr>
      <w:r w:rsidRPr="00B37DB3">
        <w:t xml:space="preserve">There has been little published research on the operationalisation of </w:t>
      </w:r>
      <w:r w:rsidR="0093068F">
        <w:t xml:space="preserve">support </w:t>
      </w:r>
      <w:r w:rsidRPr="00B37DB3">
        <w:t xml:space="preserve">for FAOs </w:t>
      </w:r>
      <w:r w:rsidR="0093068F">
        <w:t xml:space="preserve">in gambling services </w:t>
      </w:r>
      <w:r w:rsidRPr="00B37DB3">
        <w:t>informed by the above.</w:t>
      </w:r>
      <w:r w:rsidR="0093068F" w:rsidRPr="0093068F">
        <w:t xml:space="preserve"> </w:t>
      </w:r>
      <w:r w:rsidR="0093068F">
        <w:t xml:space="preserve">McGowan </w:t>
      </w:r>
      <w:r w:rsidR="0093068F">
        <w:fldChar w:fldCharType="begin"/>
      </w:r>
      <w:r w:rsidR="0093068F">
        <w:instrText xml:space="preserve"> ADDIN EN.CITE &lt;EndNote&gt;&lt;Cite ExcludeAuth="1"&gt;&lt;Author&gt;McGowan&lt;/Author&gt;&lt;Year&gt;2003&lt;/Year&gt;&lt;RecNum&gt;323&lt;/RecNum&gt;&lt;DisplayText&gt;(2003)&lt;/DisplayText&gt;&lt;record&gt;&lt;rec-number&gt;323&lt;/rec-number&gt;&lt;foreign-keys&gt;&lt;key app="EN" db-id="25rszwft292ev3esrpvpde0cpxrd9ex0xspp" timestamp="1601940018"&gt;323&lt;/key&gt;&lt;/foreign-keys&gt;&lt;ref-type name="Journal Article"&gt;17&lt;/ref-type&gt;&lt;contributors&gt;&lt;authors&gt;&lt;author&gt;McGowan, Virginia&lt;/author&gt;&lt;/authors&gt;&lt;/contributors&gt;&lt;titles&gt;&lt;title&gt;Counter-story, resistance and reconciliation in online narratives of women in recovery from problem gambling&lt;/title&gt;&lt;secondary-title&gt;International Gambling Studies&lt;/secondary-title&gt;&lt;/titles&gt;&lt;periodical&gt;&lt;full-title&gt;International Gambling Studies&lt;/full-title&gt;&lt;/periodical&gt;&lt;pages&gt;115-131&lt;/pages&gt;&lt;volume&gt;3&lt;/volume&gt;&lt;number&gt;2&lt;/number&gt;&lt;dates&gt;&lt;year&gt;2003&lt;/year&gt;&lt;/dates&gt;&lt;isbn&gt;1445-9795&lt;/isbn&gt;&lt;urls&gt;&lt;/urls&gt;&lt;/record&gt;&lt;/Cite&gt;&lt;/EndNote&gt;</w:instrText>
      </w:r>
      <w:r w:rsidR="0093068F">
        <w:fldChar w:fldCharType="separate"/>
      </w:r>
      <w:r w:rsidR="0093068F">
        <w:rPr>
          <w:noProof/>
        </w:rPr>
        <w:t>(2003)</w:t>
      </w:r>
      <w:r w:rsidR="0093068F">
        <w:fldChar w:fldCharType="end"/>
      </w:r>
      <w:r w:rsidR="0093068F">
        <w:t xml:space="preserve"> show</w:t>
      </w:r>
      <w:r w:rsidR="0096266E">
        <w:t>ed</w:t>
      </w:r>
      <w:r w:rsidR="0093068F">
        <w:t xml:space="preserve"> how i</w:t>
      </w:r>
      <w:r w:rsidR="0093068F" w:rsidRPr="0093068F">
        <w:t xml:space="preserve">n response to the hegemony of </w:t>
      </w:r>
      <w:r w:rsidR="0096266E">
        <w:t>male</w:t>
      </w:r>
      <w:r w:rsidR="0093068F" w:rsidRPr="0093068F">
        <w:t xml:space="preserve">-dominated groups and dominant ideologies, women seeking support for </w:t>
      </w:r>
      <w:r w:rsidR="0093068F">
        <w:t xml:space="preserve">gambling </w:t>
      </w:r>
      <w:r w:rsidR="0093068F" w:rsidRPr="0093068F">
        <w:t>recovery create</w:t>
      </w:r>
      <w:r w:rsidR="0093068F">
        <w:t>d</w:t>
      </w:r>
      <w:r w:rsidR="0093068F" w:rsidRPr="0093068F">
        <w:t xml:space="preserve"> both online and offline symbolic communities </w:t>
      </w:r>
      <w:r w:rsidR="0093068F">
        <w:t xml:space="preserve">to enable them to </w:t>
      </w:r>
      <w:r w:rsidR="0093068F" w:rsidRPr="0093068F">
        <w:t xml:space="preserve">express </w:t>
      </w:r>
      <w:r w:rsidR="0093068F">
        <w:t xml:space="preserve">their </w:t>
      </w:r>
      <w:r w:rsidR="0093068F" w:rsidRPr="0093068F">
        <w:t>experience</w:t>
      </w:r>
      <w:r w:rsidR="0093068F">
        <w:t>s</w:t>
      </w:r>
      <w:r w:rsidR="0093068F" w:rsidRPr="0093068F">
        <w:t>.</w:t>
      </w:r>
      <w:r w:rsidRPr="00B37DB3">
        <w:t xml:space="preserve"> </w:t>
      </w:r>
      <w:r w:rsidR="00AD367B" w:rsidRPr="00AD367B">
        <w:t xml:space="preserve">Ngā Pou Wāhine </w:t>
      </w:r>
      <w:r w:rsidRPr="00B37DB3">
        <w:t xml:space="preserve">outlined culturally embedded support </w:t>
      </w:r>
      <w:r w:rsidR="0093068F">
        <w:t xml:space="preserve">for </w:t>
      </w:r>
      <w:r w:rsidR="00AD367B">
        <w:t>Māori</w:t>
      </w:r>
      <w:r w:rsidRPr="00B37DB3">
        <w:t xml:space="preserve"> women on a collective journey to develop and strengthen their potential, so that they are better positioned to address risky and problem gambling behaviours in families and communities </w:t>
      </w:r>
      <w:r w:rsidRPr="00B37DB3">
        <w:fldChar w:fldCharType="begin"/>
      </w:r>
      <w:r>
        <w:instrText xml:space="preserve"> ADDIN EN.CITE &lt;EndNote&gt;&lt;Cite&gt;&lt;Author&gt;Morrison&lt;/Author&gt;&lt;Year&gt;2013&lt;/Year&gt;&lt;RecNum&gt;315&lt;/RecNum&gt;&lt;DisplayText&gt;(Morrison &amp;amp; Wilson, 2013)&lt;/DisplayText&gt;&lt;record&gt;&lt;rec-number&gt;315&lt;/rec-number&gt;&lt;foreign-keys&gt;&lt;key app="EN" db-id="rpt5255teda5p3exew8ptpftwv0s20t2xd2a" timestamp="1561931204"&gt;315&lt;/key&gt;&lt;/foreign-keys&gt;&lt;ref-type name="Journal Article"&gt;17&lt;/ref-type&gt;&lt;contributors&gt;&lt;authors&gt;&lt;author&gt;Morrison, Laurie&lt;/author&gt;&lt;author&gt;Wilson, Denise&lt;/author&gt;&lt;/authors&gt;&lt;/contributors&gt;&lt;titles&gt;&lt;title&gt;Ngā pou wāhine: A framework of empowerment for Māori women and gambling misuse&lt;/title&gt;&lt;secondary-title&gt;Mai Journal&lt;/secondary-title&gt;&lt;/titles&gt;&lt;periodical&gt;&lt;full-title&gt;Mai Journal&lt;/full-title&gt;&lt;/periodical&gt;&lt;volume&gt;2&lt;/volume&gt;&lt;number&gt;2&lt;/number&gt;&lt;dates&gt;&lt;year&gt;2013&lt;/year&gt;&lt;/dates&gt;&lt;urls&gt;&lt;/urls&gt;&lt;/record&gt;&lt;/Cite&gt;&lt;/EndNote&gt;</w:instrText>
      </w:r>
      <w:r w:rsidRPr="00B37DB3">
        <w:fldChar w:fldCharType="separate"/>
      </w:r>
      <w:r>
        <w:rPr>
          <w:noProof/>
        </w:rPr>
        <w:t>(Morrison &amp; Wilson, 2013)</w:t>
      </w:r>
      <w:r w:rsidRPr="00B37DB3">
        <w:fldChar w:fldCharType="end"/>
      </w:r>
      <w:r w:rsidRPr="00B37DB3">
        <w:t xml:space="preserve">. The </w:t>
      </w:r>
      <w:r w:rsidRPr="00B37DB3">
        <w:rPr>
          <w:i/>
          <w:iCs/>
        </w:rPr>
        <w:t xml:space="preserve">Tu Toa Tu Maia </w:t>
      </w:r>
      <w:r w:rsidRPr="00B37DB3">
        <w:t xml:space="preserve">intervention was developed specifically for use by </w:t>
      </w:r>
      <w:r>
        <w:t>Māori</w:t>
      </w:r>
      <w:r w:rsidRPr="00B37DB3">
        <w:t xml:space="preserve"> health promoters, in order to ensure that gambling services meet the needs of </w:t>
      </w:r>
      <w:r>
        <w:t>Māori</w:t>
      </w:r>
      <w:r w:rsidRPr="00B37DB3">
        <w:t xml:space="preserve"> gamblers, and their </w:t>
      </w:r>
      <w:r>
        <w:t>whānau</w:t>
      </w:r>
      <w:r w:rsidRPr="00B37DB3">
        <w:t xml:space="preserve"> (Morrison &amp; Boulton, 2013). These </w:t>
      </w:r>
      <w:r>
        <w:t xml:space="preserve">interventions and </w:t>
      </w:r>
      <w:r w:rsidRPr="00B37DB3">
        <w:t xml:space="preserve">studies </w:t>
      </w:r>
      <w:r>
        <w:t>drew on the notion of ‘cultural congruency’, to argue that</w:t>
      </w:r>
      <w:r w:rsidRPr="00B37DB3">
        <w:t xml:space="preserve"> </w:t>
      </w:r>
      <w:r>
        <w:t>for</w:t>
      </w:r>
      <w:r w:rsidRPr="00B37DB3">
        <w:t xml:space="preserve"> </w:t>
      </w:r>
      <w:r w:rsidR="0093068F">
        <w:t>support for</w:t>
      </w:r>
      <w:r w:rsidRPr="00B37DB3">
        <w:t xml:space="preserve"> family and </w:t>
      </w:r>
      <w:r>
        <w:t>whānau</w:t>
      </w:r>
      <w:r w:rsidRPr="00B37DB3">
        <w:t xml:space="preserve"> </w:t>
      </w:r>
      <w:r>
        <w:t xml:space="preserve">to be effective, </w:t>
      </w:r>
      <w:r w:rsidRPr="00B37DB3">
        <w:t>gambling harm concepts must be</w:t>
      </w:r>
      <w:r>
        <w:t xml:space="preserve"> developed with and</w:t>
      </w:r>
      <w:r w:rsidRPr="00B37DB3">
        <w:t xml:space="preserve"> relevant to them. </w:t>
      </w:r>
      <w:r w:rsidR="0096266E">
        <w:t>They</w:t>
      </w:r>
      <w:r w:rsidRPr="00B37DB3">
        <w:t xml:space="preserve"> argued that intervention strategies should involve in-depth exploration of the perceptions of gambling held by partner/whānau members, work with Māori women and their whānau, as well as with service providers, to identify possible intervention strategies which would help them to stop or at least reduce their engagement in casino and </w:t>
      </w:r>
      <w:r>
        <w:t>EGM</w:t>
      </w:r>
      <w:r w:rsidRPr="00B37DB3">
        <w:t xml:space="preserve"> gambling</w:t>
      </w:r>
      <w:r>
        <w:t xml:space="preserve"> </w:t>
      </w:r>
      <w:r w:rsidRPr="00B37DB3">
        <w:fldChar w:fldCharType="begin"/>
      </w:r>
      <w:r>
        <w:instrText xml:space="preserve"> ADDIN EN.CITE &lt;EndNote&gt;&lt;Cite&gt;&lt;Author&gt;Morrison&lt;/Author&gt;&lt;Year&gt;2008&lt;/Year&gt;&lt;RecNum&gt;205&lt;/RecNum&gt;&lt;DisplayText&gt;(Morrison, 2008)&lt;/DisplayText&gt;&lt;record&gt;&lt;rec-number&gt;205&lt;/rec-number&gt;&lt;foreign-keys&gt;&lt;key app="EN" db-id="25rszwft292ev3esrpvpde0cpxrd9ex0xspp" timestamp="1588118130"&gt;205&lt;/key&gt;&lt;/foreign-keys&gt;&lt;ref-type name="Thesis"&gt;32&lt;/ref-type&gt;&lt;contributors&gt;&lt;authors&gt;&lt;author&gt;Morrison, Laurie&lt;/author&gt;&lt;/authors&gt;&lt;/contributors&gt;&lt;titles&gt;&lt;title&gt;Māori Women and Gambling: Every Day is a War Day!&lt;/title&gt;&lt;/titles&gt;&lt;dates&gt;&lt;year&gt;2008&lt;/year&gt;&lt;/dates&gt;&lt;publisher&gt;The University of Waikato&lt;/publisher&gt;&lt;urls&gt;&lt;/urls&gt;&lt;/record&gt;&lt;/Cite&gt;&lt;/EndNote&gt;</w:instrText>
      </w:r>
      <w:r w:rsidRPr="00B37DB3">
        <w:fldChar w:fldCharType="separate"/>
      </w:r>
      <w:r>
        <w:rPr>
          <w:noProof/>
        </w:rPr>
        <w:t>(Morrison, 2008)</w:t>
      </w:r>
      <w:r w:rsidRPr="00B37DB3">
        <w:fldChar w:fldCharType="end"/>
      </w:r>
      <w:r>
        <w:t xml:space="preserve">. </w:t>
      </w:r>
    </w:p>
    <w:p w14:paraId="4D3F02BE" w14:textId="578D36A7" w:rsidR="00767BA2" w:rsidRDefault="00767BA2" w:rsidP="00767BA2">
      <w:pPr>
        <w:jc w:val="both"/>
      </w:pPr>
    </w:p>
    <w:p w14:paraId="5F767D28" w14:textId="6CFCDFE2" w:rsidR="006E06F9" w:rsidRDefault="006E06F9" w:rsidP="006E06F9">
      <w:pPr>
        <w:pStyle w:val="Heading3"/>
      </w:pPr>
      <w:bookmarkStart w:id="56" w:name="_Toc58400770"/>
      <w:r>
        <w:t>Summary of further research needed</w:t>
      </w:r>
      <w:bookmarkEnd w:id="56"/>
    </w:p>
    <w:p w14:paraId="293BFCD5" w14:textId="034BD2E9" w:rsidR="006E06F9" w:rsidRDefault="006E06F9" w:rsidP="006E06F9">
      <w:pPr>
        <w:pStyle w:val="ListParagraph"/>
        <w:numPr>
          <w:ilvl w:val="0"/>
          <w:numId w:val="34"/>
        </w:numPr>
        <w:jc w:val="both"/>
      </w:pPr>
      <w:r>
        <w:t>In-depth exploration of FAO experiences, needs, service and support requirements.</w:t>
      </w:r>
    </w:p>
    <w:p w14:paraId="02D2FCC8" w14:textId="01A9F88C" w:rsidR="006E06F9" w:rsidRDefault="006E06F9" w:rsidP="006E06F9">
      <w:pPr>
        <w:pStyle w:val="ListParagraph"/>
        <w:numPr>
          <w:ilvl w:val="0"/>
          <w:numId w:val="34"/>
        </w:numPr>
        <w:jc w:val="both"/>
      </w:pPr>
      <w:r>
        <w:t>Exploration of the</w:t>
      </w:r>
      <w:r w:rsidRPr="006E06F9">
        <w:t xml:space="preserve"> operationalisation</w:t>
      </w:r>
      <w:r>
        <w:t xml:space="preserve"> and sustainability</w:t>
      </w:r>
      <w:r w:rsidRPr="006E06F9">
        <w:t xml:space="preserve"> of support for FAOs in gambling services</w:t>
      </w:r>
      <w:r>
        <w:t>.</w:t>
      </w:r>
    </w:p>
    <w:p w14:paraId="18C9C369" w14:textId="2BBCAFBF" w:rsidR="006E06F9" w:rsidRDefault="006E06F9" w:rsidP="006E06F9">
      <w:pPr>
        <w:pStyle w:val="ListParagraph"/>
        <w:numPr>
          <w:ilvl w:val="0"/>
          <w:numId w:val="34"/>
        </w:numPr>
        <w:jc w:val="both"/>
      </w:pPr>
      <w:r>
        <w:t xml:space="preserve">Development of </w:t>
      </w:r>
      <w:r w:rsidRPr="006E06F9">
        <w:t xml:space="preserve">interventions that </w:t>
      </w:r>
      <w:r>
        <w:t>conceptualise and respond to</w:t>
      </w:r>
      <w:r w:rsidRPr="006E06F9">
        <w:t xml:space="preserve"> the social, economic and cultural determinants of harm and recovery</w:t>
      </w:r>
      <w:r>
        <w:t>.</w:t>
      </w:r>
    </w:p>
    <w:p w14:paraId="0711FF30" w14:textId="77777777" w:rsidR="006E06F9" w:rsidRDefault="006E06F9" w:rsidP="00767BA2">
      <w:pPr>
        <w:jc w:val="both"/>
      </w:pPr>
    </w:p>
    <w:p w14:paraId="055922AC" w14:textId="39B10803" w:rsidR="00767BA2" w:rsidRDefault="006E06F9" w:rsidP="00767BA2">
      <w:pPr>
        <w:pStyle w:val="Heading3"/>
      </w:pPr>
      <w:bookmarkStart w:id="57" w:name="_Toc58400771"/>
      <w:r>
        <w:t>C</w:t>
      </w:r>
      <w:r w:rsidR="00767BA2">
        <w:t>onclusion</w:t>
      </w:r>
      <w:bookmarkEnd w:id="57"/>
      <w:r w:rsidR="00767BA2">
        <w:t xml:space="preserve"> </w:t>
      </w:r>
    </w:p>
    <w:p w14:paraId="38DD4EEC" w14:textId="709B6811" w:rsidR="00767BA2" w:rsidRDefault="00767BA2" w:rsidP="00767BA2">
      <w:pPr>
        <w:keepNext/>
        <w:jc w:val="both"/>
      </w:pPr>
      <w:r w:rsidRPr="000129B6">
        <w:t xml:space="preserve">Addiction is </w:t>
      </w:r>
      <w:r>
        <w:t xml:space="preserve">conceptualised as </w:t>
      </w:r>
      <w:r w:rsidRPr="000129B6">
        <w:t>a “complex and multidimensional phenomenon” (Larkin, Wood, &amp; Griffiths, 2006, p.210)</w:t>
      </w:r>
      <w:r>
        <w:t>. A</w:t>
      </w:r>
      <w:r w:rsidRPr="000129B6">
        <w:t xml:space="preserve">ddiction </w:t>
      </w:r>
      <w:r>
        <w:t xml:space="preserve">support should therefore engage with </w:t>
      </w:r>
      <w:r w:rsidRPr="000129B6">
        <w:t xml:space="preserve">the </w:t>
      </w:r>
      <w:r>
        <w:t xml:space="preserve">multiple </w:t>
      </w:r>
      <w:r w:rsidR="0096266E">
        <w:t>mechanisms through which</w:t>
      </w:r>
      <w:r w:rsidRPr="000129B6">
        <w:t xml:space="preserve"> </w:t>
      </w:r>
      <w:r>
        <w:t>addiction</w:t>
      </w:r>
      <w:r w:rsidRPr="000129B6">
        <w:t xml:space="preserve"> develops</w:t>
      </w:r>
      <w:r>
        <w:t xml:space="preserve">, is </w:t>
      </w:r>
      <w:r w:rsidRPr="000129B6">
        <w:t xml:space="preserve">maintained </w:t>
      </w:r>
      <w:r>
        <w:t xml:space="preserve">and harm experienced </w:t>
      </w:r>
      <w:r w:rsidRPr="000129B6">
        <w:t>(Adams, 2008; B. Alexander, 2010; Kazdin 2007).</w:t>
      </w:r>
      <w:r>
        <w:t xml:space="preserve"> </w:t>
      </w:r>
      <w:r w:rsidRPr="005E0A43">
        <w:t xml:space="preserve">An integrative approach requires the understanding of diverse approaches to addiction harm reduction: their conceptualisation, respective measurement techniques, and evaluation standards. A ‘human prerogative of care’ involves accepting that no single treatment system can address all addiction-related problems for families </w:t>
      </w:r>
      <w:r w:rsidRPr="005E0A43">
        <w:fldChar w:fldCharType="begin"/>
      </w:r>
      <w:r w:rsidR="0017796C">
        <w:instrText xml:space="preserve"> ADDIN EN.CITE &lt;EndNote&gt;&lt;Cite&gt;&lt;Author&gt;Broekaert&lt;/Author&gt;&lt;Year&gt;2010&lt;/Year&gt;&lt;RecNum&gt;136&lt;/RecNum&gt;&lt;DisplayText&gt;(Broekaert, Autrique, Vanderplasschen, &amp;amp; Colpaert, 2010)&lt;/DisplayText&gt;&lt;record&gt;&lt;rec-number&gt;136&lt;/rec-number&gt;&lt;foreign-keys&gt;&lt;key app="EN" db-id="25rszwft292ev3esrpvpde0cpxrd9ex0xspp" timestamp="1585699841"&gt;136&lt;/key&gt;&lt;/foreign-keys&gt;&lt;ref-type name="Journal Article"&gt;17&lt;/ref-type&gt;&lt;contributors&gt;&lt;authors&gt;&lt;author&gt;Broekaert, Eric&lt;/author&gt;&lt;author&gt;Autrique, Mieke&lt;/author&gt;&lt;author&gt;Vanderplasschen, Wouter&lt;/author&gt;&lt;author&gt;Colpaert, Kathy&lt;/author&gt;&lt;/authors&gt;&lt;/contributors&gt;&lt;titles&gt;&lt;title&gt;‘The human prerogative’: a critical analysis of evidence-based and other paradigms of care in substance abuse treatment&lt;/title&gt;&lt;secondary-title&gt;Psychiatric Quarterly&lt;/secondary-title&gt;&lt;/titles&gt;&lt;periodical&gt;&lt;full-title&gt;Psychiatric Quarterly&lt;/full-title&gt;&lt;/periodical&gt;&lt;pages&gt;227-238&lt;/pages&gt;&lt;volume&gt;81&lt;/volume&gt;&lt;number&gt;3&lt;/number&gt;&lt;dates&gt;&lt;year&gt;2010&lt;/year&gt;&lt;/dates&gt;&lt;isbn&gt;0033-2720&lt;/isbn&gt;&lt;urls&gt;&lt;/urls&gt;&lt;/record&gt;&lt;/Cite&gt;&lt;/EndNote&gt;</w:instrText>
      </w:r>
      <w:r w:rsidRPr="005E0A43">
        <w:fldChar w:fldCharType="separate"/>
      </w:r>
      <w:r w:rsidR="0017796C">
        <w:rPr>
          <w:noProof/>
        </w:rPr>
        <w:t>(Broekaert, Autrique, Vanderplasschen, &amp; Colpaert, 2010)</w:t>
      </w:r>
      <w:r w:rsidRPr="005E0A43">
        <w:fldChar w:fldCharType="end"/>
      </w:r>
      <w:r w:rsidRPr="005E0A43">
        <w:t>.</w:t>
      </w:r>
      <w:r>
        <w:t xml:space="preserve"> </w:t>
      </w:r>
    </w:p>
    <w:p w14:paraId="1D298A81" w14:textId="77777777" w:rsidR="00767BA2" w:rsidRDefault="00767BA2" w:rsidP="00767BA2">
      <w:pPr>
        <w:keepNext/>
        <w:jc w:val="both"/>
      </w:pPr>
    </w:p>
    <w:p w14:paraId="585ABC2F" w14:textId="63891E20" w:rsidR="00767BA2" w:rsidRDefault="00767BA2" w:rsidP="00767BA2">
      <w:pPr>
        <w:keepNext/>
        <w:jc w:val="both"/>
      </w:pPr>
      <w:r w:rsidRPr="008F7B3C">
        <w:t xml:space="preserve">The range of </w:t>
      </w:r>
      <w:r>
        <w:t>gambling support</w:t>
      </w:r>
      <w:r w:rsidRPr="008F7B3C">
        <w:t xml:space="preserve"> options </w:t>
      </w:r>
      <w:r>
        <w:t>explored</w:t>
      </w:r>
      <w:r w:rsidRPr="008F7B3C">
        <w:t xml:space="preserve"> in New Zealand </w:t>
      </w:r>
      <w:r>
        <w:t>and international</w:t>
      </w:r>
      <w:r w:rsidR="00EC672B">
        <w:t xml:space="preserve"> literature</w:t>
      </w:r>
      <w:r>
        <w:t xml:space="preserve"> </w:t>
      </w:r>
      <w:r w:rsidRPr="008F7B3C">
        <w:t xml:space="preserve">has for the most part reflected international trends in </w:t>
      </w:r>
      <w:r w:rsidR="00EC672B">
        <w:t>addictions</w:t>
      </w:r>
      <w:r w:rsidR="0096266E">
        <w:t>:</w:t>
      </w:r>
      <w:r w:rsidR="00EC672B">
        <w:t xml:space="preserve"> </w:t>
      </w:r>
      <w:r w:rsidRPr="008F7B3C">
        <w:t xml:space="preserve">psychosocial modalities incorporating motivational, cognitive behavioural and group interventions in conjunction with financial advice and relationship counselling </w:t>
      </w:r>
      <w:r w:rsidRPr="008F7B3C">
        <w:fldChar w:fldCharType="begin"/>
      </w:r>
      <w:r>
        <w:instrText xml:space="preserve"> ADDIN EN.CITE &lt;EndNote&gt;&lt;Cite&gt;&lt;Author&gt;Adams&lt;/Author&gt;&lt;Year&gt;2003&lt;/Year&gt;&lt;RecNum&gt;238&lt;/RecNum&gt;&lt;DisplayText&gt;(Adams et al., 2003)&lt;/DisplayText&gt;&lt;record&gt;&lt;rec-number&gt;238&lt;/rec-number&gt;&lt;foreign-keys&gt;&lt;key app="EN" db-id="25rszwft292ev3esrpvpde0cpxrd9ex0xspp" timestamp="1589317364"&gt;238&lt;/key&gt;&lt;/foreign-keys&gt;&lt;ref-type name="Journal Article"&gt;17&lt;/ref-type&gt;&lt;contributors&gt;&lt;authors&gt;&lt;author&gt;Adams, Peter&lt;/author&gt;&lt;author&gt;Morrison, L&lt;/author&gt;&lt;author&gt;McMillan, L&lt;/author&gt;&lt;author&gt;Orme, C&lt;/author&gt;&lt;author&gt;Sloan, M&lt;/author&gt;&lt;author&gt;Tse, S&lt;/author&gt;&lt;author&gt;Campbell, C&lt;/author&gt;&lt;/authors&gt;&lt;/contributors&gt;&lt;titles&gt;&lt;title&gt;Problem gambling workforce development 2003: The first step in developing counsellor practitioner competencies&lt;/title&gt;&lt;secondary-title&gt;Auckland, NZ: Problem Gambling Foundation of New Zealand&lt;/secondary-title&gt;&lt;/titles&gt;&lt;periodical&gt;&lt;full-title&gt;Auckland, NZ: Problem Gambling Foundation of New Zealand&lt;/full-title&gt;&lt;/periodical&gt;&lt;dates&gt;&lt;year&gt;2003&lt;/year&gt;&lt;/dates&gt;&lt;urls&gt;&lt;/urls&gt;&lt;/record&gt;&lt;/Cite&gt;&lt;/EndNote&gt;</w:instrText>
      </w:r>
      <w:r w:rsidRPr="008F7B3C">
        <w:fldChar w:fldCharType="separate"/>
      </w:r>
      <w:r>
        <w:rPr>
          <w:noProof/>
        </w:rPr>
        <w:t>(Adams et al., 2003)</w:t>
      </w:r>
      <w:r w:rsidRPr="008F7B3C">
        <w:fldChar w:fldCharType="end"/>
      </w:r>
      <w:r w:rsidRPr="008F7B3C">
        <w:t>.</w:t>
      </w:r>
      <w:r>
        <w:t xml:space="preserve"> These approaches are important and have been associated with improvements in FAO wellbeing, however they do not reflect the full range of conceptualisation of addiction, harm and support available</w:t>
      </w:r>
      <w:r w:rsidR="008E0A23">
        <w:t>. O</w:t>
      </w:r>
      <w:r>
        <w:t xml:space="preserve">pportunities for creative reimagining of more FAO-centric services and offerings may be </w:t>
      </w:r>
      <w:r w:rsidR="008E0A23">
        <w:t>obscured</w:t>
      </w:r>
      <w:r>
        <w:t xml:space="preserve">. </w:t>
      </w:r>
    </w:p>
    <w:p w14:paraId="046B1CC5" w14:textId="77777777" w:rsidR="00767BA2" w:rsidRDefault="00767BA2" w:rsidP="00767BA2">
      <w:pPr>
        <w:keepNext/>
        <w:jc w:val="both"/>
      </w:pPr>
    </w:p>
    <w:p w14:paraId="6B87FF28" w14:textId="2555EE36" w:rsidR="00767BA2" w:rsidRDefault="00767BA2" w:rsidP="008E0A23">
      <w:pPr>
        <w:keepNext/>
        <w:jc w:val="both"/>
      </w:pPr>
      <w:r>
        <w:t xml:space="preserve">It remains unclear exactly what family members affected by gambling find most helpful relative to the full range of current intervention thinking and possibilities. This is a clear limiting factor in service design and delivery. In addition, exploration of how support functions to help FAOs cope with gambling harm and improve their health and well-being is only just beginning </w:t>
      </w:r>
      <w:r>
        <w:fldChar w:fldCharType="begin"/>
      </w:r>
      <w:r>
        <w:instrText xml:space="preserve"> ADDIN EN.CITE &lt;EndNote&gt;&lt;Cite&gt;&lt;Author&gt;Kourgiantakis&lt;/Author&gt;&lt;Year&gt;2018&lt;/Year&gt;&lt;RecNum&gt;107&lt;/RecNum&gt;&lt;DisplayText&gt;(Kourgiantakis &amp;amp; Ashcroft, 2018)&lt;/DisplayText&gt;&lt;record&gt;&lt;rec-number&gt;107&lt;/rec-number&gt;&lt;foreign-keys&gt;&lt;key app="EN" db-id="25rszwft292ev3esrpvpde0cpxrd9ex0xspp" timestamp="1584485344"&gt;107&lt;/key&gt;&lt;/foreign-keys&gt;&lt;ref-type name="Journal Article"&gt;17&lt;/ref-type&gt;&lt;contributors&gt;&lt;authors&gt;&lt;author&gt;Kourgiantakis, Toula&lt;/author&gt;&lt;author&gt;Ashcroft, Rachelle&lt;/author&gt;&lt;/authors&gt;&lt;/contributors&gt;&lt;titles&gt;&lt;title&gt;Family-focused practices in addictions: a scoping review protocol&lt;/title&gt;&lt;secondary-title&gt;BMJ open&lt;/secondary-title&gt;&lt;/titles&gt;&lt;periodical&gt;&lt;full-title&gt;BMJ open&lt;/full-title&gt;&lt;/periodical&gt;&lt;pages&gt;e019433&lt;/pages&gt;&lt;volume&gt;8&lt;/volume&gt;&lt;number&gt;1&lt;/number&gt;&lt;dates&gt;&lt;year&gt;2018&lt;/year&gt;&lt;/dates&gt;&lt;isbn&gt;2044-6055&lt;/isbn&gt;&lt;urls&gt;&lt;/urls&gt;&lt;/record&gt;&lt;/Cite&gt;&lt;/EndNote&gt;</w:instrText>
      </w:r>
      <w:r>
        <w:fldChar w:fldCharType="separate"/>
      </w:r>
      <w:r>
        <w:rPr>
          <w:noProof/>
        </w:rPr>
        <w:t>(Kourgiantakis &amp; Ashcroft, 2018)</w:t>
      </w:r>
      <w:r>
        <w:fldChar w:fldCharType="end"/>
      </w:r>
      <w:r>
        <w:t>. It seems at this point that exposing FAOs to m</w:t>
      </w:r>
      <w:r w:rsidRPr="00D50ECC">
        <w:t xml:space="preserve">ultiple service offerings </w:t>
      </w:r>
      <w:r>
        <w:t>(based around multiple ways of making sense of what is going on for them) is</w:t>
      </w:r>
      <w:r w:rsidRPr="00D50ECC">
        <w:t xml:space="preserve"> </w:t>
      </w:r>
      <w:r>
        <w:t xml:space="preserve">important to ensure their needs are met. </w:t>
      </w:r>
      <w:r w:rsidR="008E0A23">
        <w:t xml:space="preserve">There is also the recognition that recovery is something that is grounded in the community and that it is a transition that can occur without professional input. Where professional input is involved, the nature and extent of its role is far from clear </w:t>
      </w:r>
      <w:r w:rsidR="008E0A23">
        <w:fldChar w:fldCharType="begin"/>
      </w:r>
      <w:r w:rsidR="008E0A23">
        <w:instrText xml:space="preserve"> ADDIN EN.CITE &lt;EndNote&gt;&lt;Cite&gt;&lt;Author&gt;Best&lt;/Author&gt;&lt;Year&gt;2010&lt;/Year&gt;&lt;RecNum&gt;321&lt;/RecNum&gt;&lt;DisplayText&gt;(Best &amp;amp; Laudet, 2010)&lt;/DisplayText&gt;&lt;record&gt;&lt;rec-number&gt;321&lt;/rec-number&gt;&lt;foreign-keys&gt;&lt;key app="EN" db-id="25rszwft292ev3esrpvpde0cpxrd9ex0xspp" timestamp="1601937829"&gt;321&lt;/key&gt;&lt;/foreign-keys&gt;&lt;ref-type name="Journal Article"&gt;17&lt;/ref-type&gt;&lt;contributors&gt;&lt;authors&gt;&lt;author&gt;Best, David&lt;/author&gt;&lt;author&gt;Laudet, Alexandre&lt;/author&gt;&lt;/authors&gt;&lt;/contributors&gt;&lt;titles&gt;&lt;title&gt;The potential of recovery capital&lt;/title&gt;&lt;secondary-title&gt;London: RSA&lt;/secondary-title&gt;&lt;/titles&gt;&lt;periodical&gt;&lt;full-title&gt;London: RSA&lt;/full-title&gt;&lt;/periodical&gt;&lt;dates&gt;&lt;year&gt;2010&lt;/year&gt;&lt;/dates&gt;&lt;urls&gt;&lt;/urls&gt;&lt;/record&gt;&lt;/Cite&gt;&lt;/EndNote&gt;</w:instrText>
      </w:r>
      <w:r w:rsidR="008E0A23">
        <w:fldChar w:fldCharType="separate"/>
      </w:r>
      <w:r w:rsidR="008E0A23">
        <w:rPr>
          <w:noProof/>
        </w:rPr>
        <w:t>(Best &amp; Laudet, 2010)</w:t>
      </w:r>
      <w:r w:rsidR="008E0A23">
        <w:fldChar w:fldCharType="end"/>
      </w:r>
      <w:r w:rsidR="008E0A23">
        <w:t xml:space="preserve">. </w:t>
      </w:r>
      <w:r w:rsidRPr="00816C25">
        <w:t>The notion of services as a</w:t>
      </w:r>
      <w:r w:rsidR="008E0A23">
        <w:t>n iterative</w:t>
      </w:r>
      <w:r w:rsidRPr="00816C25">
        <w:t xml:space="preserve"> ‘toolbox’ </w:t>
      </w:r>
      <w:r>
        <w:t xml:space="preserve">of current thinking/approaches </w:t>
      </w:r>
      <w:r w:rsidRPr="00816C25">
        <w:t xml:space="preserve">has been suggested as a way of enabling FAOs’ to </w:t>
      </w:r>
      <w:r w:rsidR="008E0A23">
        <w:t xml:space="preserve">link to and </w:t>
      </w:r>
      <w:r w:rsidRPr="00816C25">
        <w:t xml:space="preserve">access a wider range of approaches and interventions they may find helpful to support their wellbeing </w:t>
      </w:r>
      <w:r w:rsidRPr="00816C25">
        <w:fldChar w:fldCharType="begin"/>
      </w:r>
      <w:r w:rsidRPr="00816C25">
        <w:instrText xml:space="preserve"> ADDIN EN.CITE &lt;EndNote&gt;&lt;Cite&gt;&lt;Author&gt;Selbekk&lt;/Author&gt;&lt;Year&gt;2015&lt;/Year&gt;&lt;RecNum&gt;253&lt;/RecNum&gt;&lt;DisplayText&gt;(Selbekk et al., 2015)&lt;/DisplayText&gt;&lt;record&gt;&lt;rec-number&gt;253&lt;/rec-number&gt;&lt;foreign-keys&gt;&lt;key app="EN" db-id="25rszwft292ev3esrpvpde0cpxrd9ex0xspp" timestamp="1589769561"&gt;253&lt;/key&gt;&lt;/foreign-keys&gt;&lt;ref-type name="Journal Article"&gt;17&lt;/ref-type&gt;&lt;contributors&gt;&lt;authors&gt;&lt;author&gt;Selbekk, Anne Schanche&lt;/author&gt;&lt;author&gt;Sagvaag, Hildegunn&lt;/author&gt;&lt;author&gt;Fauske, Halvor&lt;/author&gt;&lt;/authors&gt;&lt;/contributors&gt;&lt;titles&gt;&lt;title&gt;Addiction, families and treatment: a critical realist search for theories that can improve practice&lt;/title&gt;&lt;secondary-title&gt;Addiction Research &amp;amp; Theory&lt;/secondary-title&gt;&lt;/titles&gt;&lt;periodical&gt;&lt;full-title&gt;Addiction Research &amp;amp; Theory&lt;/full-title&gt;&lt;/periodical&gt;&lt;pages&gt;196-204&lt;/pages&gt;&lt;volume&gt;23&lt;/volume&gt;&lt;number&gt;3&lt;/number&gt;&lt;dates&gt;&lt;year&gt;2015&lt;/year&gt;&lt;/dates&gt;&lt;isbn&gt;1606-6359&lt;/isbn&gt;&lt;urls&gt;&lt;/urls&gt;&lt;/record&gt;&lt;/Cite&gt;&lt;/EndNote&gt;</w:instrText>
      </w:r>
      <w:r w:rsidRPr="00816C25">
        <w:fldChar w:fldCharType="separate"/>
      </w:r>
      <w:r w:rsidRPr="00816C25">
        <w:t>(Selbekk et al., 2015)</w:t>
      </w:r>
      <w:r w:rsidRPr="00816C25">
        <w:fldChar w:fldCharType="end"/>
      </w:r>
      <w:r w:rsidRPr="00816C25">
        <w:t>.</w:t>
      </w:r>
      <w:r w:rsidR="006150EF">
        <w:t xml:space="preserve"> </w:t>
      </w:r>
      <w:r w:rsidR="00B86EFF">
        <w:t xml:space="preserve">Emerging models for </w:t>
      </w:r>
      <w:r w:rsidR="006150EF">
        <w:t>‘</w:t>
      </w:r>
      <w:r w:rsidR="00B86EFF">
        <w:t>s</w:t>
      </w:r>
      <w:r w:rsidR="006150EF">
        <w:t>hared’ and ‘supported’ decision making in mental health recognises that r</w:t>
      </w:r>
      <w:r w:rsidR="006150EF" w:rsidRPr="006150EF">
        <w:t>especting a person’s choices about the services they do or do not use is a mark of quality support</w:t>
      </w:r>
      <w:r w:rsidR="0084160B">
        <w:t xml:space="preserve"> and a human rights issue</w:t>
      </w:r>
      <w:r w:rsidR="006150EF">
        <w:t>. P</w:t>
      </w:r>
      <w:r w:rsidR="006150EF" w:rsidRPr="006150EF">
        <w:t xml:space="preserve">roviding information and assistance for people making decisions about mental health services </w:t>
      </w:r>
      <w:r w:rsidR="006150EF">
        <w:t>is</w:t>
      </w:r>
      <w:r w:rsidR="006150EF" w:rsidRPr="006150EF">
        <w:t xml:space="preserve"> a complex process</w:t>
      </w:r>
      <w:r w:rsidR="006150EF">
        <w:t>: a plethora of</w:t>
      </w:r>
      <w:r w:rsidR="006150EF" w:rsidRPr="006150EF">
        <w:t xml:space="preserve"> supportive practices </w:t>
      </w:r>
      <w:r w:rsidR="006150EF">
        <w:t xml:space="preserve">are </w:t>
      </w:r>
      <w:r w:rsidR="006150EF" w:rsidRPr="006150EF">
        <w:t>required to promote active involvement</w:t>
      </w:r>
      <w:r w:rsidR="006150EF">
        <w:t xml:space="preserve">, which tend not to be prioritised in service delivery </w:t>
      </w:r>
      <w:r w:rsidR="006150EF">
        <w:fldChar w:fldCharType="begin"/>
      </w:r>
      <w:r w:rsidR="006150EF">
        <w:instrText xml:space="preserve"> ADDIN EN.CITE &lt;EndNote&gt;&lt;Cite&gt;&lt;Author&gt;Simmons&lt;/Author&gt;&lt;Year&gt;2017&lt;/Year&gt;&lt;RecNum&gt;327&lt;/RecNum&gt;&lt;DisplayText&gt;(Simmons &amp;amp; Gooding, 2017)&lt;/DisplayText&gt;&lt;record&gt;&lt;rec-number&gt;327&lt;/rec-number&gt;&lt;foreign-keys&gt;&lt;key app="EN" db-id="25rszwft292ev3esrpvpde0cpxrd9ex0xspp" timestamp="1603146296"&gt;327&lt;/key&gt;&lt;/foreign-keys&gt;&lt;ref-type name="Journal Article"&gt;17&lt;/ref-type&gt;&lt;contributors&gt;&lt;authors&gt;&lt;author&gt;Simmons, MB&lt;/author&gt;&lt;author&gt;Gooding, Piers M&lt;/author&gt;&lt;/authors&gt;&lt;/contributors&gt;&lt;titles&gt;&lt;title&gt;Spot the difference: shared decision-making and supported decision-making in mental health&lt;/title&gt;&lt;secondary-title&gt;Irish Journal of Psychological Medicine&lt;/secondary-title&gt;&lt;/titles&gt;&lt;periodical&gt;&lt;full-title&gt;Irish Journal of Psychological Medicine&lt;/full-title&gt;&lt;/periodical&gt;&lt;pages&gt;275-286&lt;/pages&gt;&lt;volume&gt;34&lt;/volume&gt;&lt;number&gt;4&lt;/number&gt;&lt;dates&gt;&lt;year&gt;2017&lt;/year&gt;&lt;/dates&gt;&lt;isbn&gt;0790-9667&lt;/isbn&gt;&lt;urls&gt;&lt;/urls&gt;&lt;/record&gt;&lt;/Cite&gt;&lt;/EndNote&gt;</w:instrText>
      </w:r>
      <w:r w:rsidR="006150EF">
        <w:fldChar w:fldCharType="separate"/>
      </w:r>
      <w:r w:rsidR="006150EF">
        <w:rPr>
          <w:noProof/>
        </w:rPr>
        <w:t>(Simmons &amp; Gooding, 2017)</w:t>
      </w:r>
      <w:r w:rsidR="006150EF">
        <w:fldChar w:fldCharType="end"/>
      </w:r>
      <w:r w:rsidR="006150EF">
        <w:t>.</w:t>
      </w:r>
    </w:p>
    <w:p w14:paraId="5B548A94" w14:textId="77777777" w:rsidR="00767BA2" w:rsidRDefault="00767BA2" w:rsidP="00767BA2">
      <w:pPr>
        <w:spacing w:line="259" w:lineRule="auto"/>
        <w:jc w:val="both"/>
      </w:pPr>
    </w:p>
    <w:p w14:paraId="55554314" w14:textId="77777777" w:rsidR="00767BA2" w:rsidRPr="00C32ACA" w:rsidRDefault="00767BA2" w:rsidP="00767BA2">
      <w:pPr>
        <w:spacing w:line="259" w:lineRule="auto"/>
        <w:jc w:val="both"/>
      </w:pPr>
      <w:bookmarkStart w:id="58" w:name="_Hlk53137742"/>
      <w:r>
        <w:t xml:space="preserve">The service-user and person-centred movements within mental health care identify the role of services/interventions in helping FAOs to both conceptualise and articulate their needs. </w:t>
      </w:r>
      <w:r w:rsidRPr="00C32ACA">
        <w:t>International</w:t>
      </w:r>
      <w:r>
        <w:t xml:space="preserve"> research has suggested that a</w:t>
      </w:r>
      <w:r w:rsidRPr="00C32ACA">
        <w:t xml:space="preserve">ddictions services tend to be guided by one approach </w:t>
      </w:r>
      <w:r w:rsidRPr="00C32ACA">
        <w:lastRenderedPageBreak/>
        <w:t xml:space="preserve">to </w:t>
      </w:r>
      <w:r>
        <w:t xml:space="preserve">engaging and </w:t>
      </w:r>
      <w:r w:rsidRPr="00C32ACA">
        <w:t xml:space="preserve">supporting FAOs at best, and little is known about how to achieve successful implementation and sustainability of family-focused practice within addictions treatment services </w:t>
      </w:r>
      <w:r w:rsidRPr="00C32ACA">
        <w:fldChar w:fldCharType="begin"/>
      </w:r>
      <w:r w:rsidRPr="00C32ACA">
        <w:instrText xml:space="preserve"> ADDIN EN.CITE &lt;EndNote&gt;&lt;Cite&gt;&lt;Author&gt;Hampson&lt;/Author&gt;&lt;Year&gt;2012&lt;/Year&gt;&lt;RecNum&gt;255&lt;/RecNum&gt;&lt;DisplayText&gt;(Hampson, 2012; Orford et al., 2009)&lt;/DisplayText&gt;&lt;record&gt;&lt;rec-number&gt;255&lt;/rec-number&gt;&lt;foreign-keys&gt;&lt;key app="EN" db-id="25rszwft292ev3esrpvpde0cpxrd9ex0xspp" timestamp="1589926892"&gt;255&lt;/key&gt;&lt;/foreign-keys&gt;&lt;ref-type name="Thesis"&gt;32&lt;/ref-type&gt;&lt;contributors&gt;&lt;authors&gt;&lt;author&gt;Hampson, Claire&lt;/author&gt;&lt;/authors&gt;&lt;/contributors&gt;&lt;titles&gt;&lt;title&gt;Integrating family-focussed practice into routine addiction services&lt;/title&gt;&lt;secondary-title&gt;School of Psychology&lt;/secondary-title&gt;&lt;/titles&gt;&lt;volume&gt;Doctor of Philosophy&lt;/volume&gt;&lt;dates&gt;&lt;year&gt;2012&lt;/year&gt;&lt;/dates&gt;&lt;pub-location&gt;Birmingham, UK.&lt;/pub-location&gt;&lt;publisher&gt;The University of Birmingham&lt;/publisher&gt;&lt;urls&gt;&lt;/urls&gt;&lt;/record&gt;&lt;/Cite&gt;&lt;Cite&gt;&lt;Author&gt;Orford&lt;/Author&gt;&lt;Year&gt;2009&lt;/Year&gt;&lt;RecNum&gt;256&lt;/RecNum&gt;&lt;record&gt;&lt;rec-number&gt;256&lt;/rec-number&gt;&lt;foreign-keys&gt;&lt;key app="EN" db-id="25rszwft292ev3esrpvpde0cpxrd9ex0xspp" timestamp="1589926972"&gt;256&lt;/key&gt;&lt;/foreign-keys&gt;&lt;ref-type name="Journal Article"&gt;17&lt;/ref-type&gt;&lt;contributors&gt;&lt;authors&gt;&lt;author&gt;Orford, Jim&lt;/author&gt;&lt;author&gt;Templeton, Lorna&lt;/author&gt;&lt;author&gt;Copello, Alex&lt;/author&gt;&lt;author&gt;Velleman, Richard&lt;/author&gt;&lt;author&gt;Ibanga, Akan&lt;/author&gt;&lt;author&gt;Binnie, Charlotte&lt;/author&gt;&lt;/authors&gt;&lt;/contributors&gt;&lt;titles&gt;&lt;title&gt;Increasing the involvement of family members in alcohol and drug treatment services: The results of an action research project in two specialist agencies&lt;/title&gt;&lt;secondary-title&gt;Drugs: education, prevention and policy&lt;/secondary-title&gt;&lt;/titles&gt;&lt;periodical&gt;&lt;full-title&gt;Drugs: education, prevention and policy&lt;/full-title&gt;&lt;/periodical&gt;&lt;pages&gt;379-408&lt;/pages&gt;&lt;volume&gt;16&lt;/volume&gt;&lt;number&gt;5&lt;/number&gt;&lt;dates&gt;&lt;year&gt;2009&lt;/year&gt;&lt;/dates&gt;&lt;isbn&gt;0968-7637&lt;/isbn&gt;&lt;urls&gt;&lt;/urls&gt;&lt;/record&gt;&lt;/Cite&gt;&lt;/EndNote&gt;</w:instrText>
      </w:r>
      <w:r w:rsidRPr="00C32ACA">
        <w:fldChar w:fldCharType="separate"/>
      </w:r>
      <w:r w:rsidRPr="00C32ACA">
        <w:t>(Hampson, 2012; Orford et al., 2009)</w:t>
      </w:r>
      <w:r w:rsidRPr="00C32ACA">
        <w:fldChar w:fldCharType="end"/>
      </w:r>
      <w:r w:rsidRPr="00C32ACA">
        <w:t>.</w:t>
      </w:r>
      <w:r>
        <w:t xml:space="preserve"> Co-design and action research has demonstrated the value of in-depth and collaborative engagement between addictions service providers and FAOs in reshaping services to enhance the range and quality of support provided for FAOs </w:t>
      </w:r>
      <w:r>
        <w:fldChar w:fldCharType="begin"/>
      </w:r>
      <w:r>
        <w:instrText xml:space="preserve"> ADDIN EN.CITE &lt;EndNote&gt;&lt;Cite&gt;&lt;Author&gt;Orford&lt;/Author&gt;&lt;Year&gt;2009&lt;/Year&gt;&lt;RecNum&gt;50&lt;/RecNum&gt;&lt;DisplayText&gt;(Hampson, 2012; Orford et al., 2009)&lt;/DisplayText&gt;&lt;record&gt;&lt;rec-number&gt;50&lt;/rec-number&gt;&lt;foreign-keys&gt;&lt;key app="EN" db-id="25rszwft292ev3esrpvpde0cpxrd9ex0xspp" timestamp="1550453823"&gt;50&lt;/key&gt;&lt;/foreign-keys&gt;&lt;ref-type name="Journal Article"&gt;17&lt;/ref-type&gt;&lt;contributors&gt;&lt;authors&gt;&lt;author&gt;Orford, Jim&lt;/author&gt;&lt;author&gt;Templeton, Lorna&lt;/author&gt;&lt;author&gt;Copello, Alex&lt;/author&gt;&lt;author&gt;Velleman, Richard&lt;/author&gt;&lt;author&gt;Ibanga, Akan&lt;/author&gt;&lt;author&gt;Binnie, Charlotte&lt;/author&gt;&lt;/authors&gt;&lt;/contributors&gt;&lt;titles&gt;&lt;title&gt;Increasing the involvement of family members in alcohol and drug treatment services: The results of an action research project in two specialist agencies&lt;/title&gt;&lt;secondary-title&gt;Drugs: education, prevention and policy&lt;/secondary-title&gt;&lt;/titles&gt;&lt;periodical&gt;&lt;full-title&gt;Drugs: education, prevention and policy&lt;/full-title&gt;&lt;/periodical&gt;&lt;pages&gt;379-408&lt;/pages&gt;&lt;volume&gt;16&lt;/volume&gt;&lt;number&gt;5&lt;/number&gt;&lt;dates&gt;&lt;year&gt;2009&lt;/year&gt;&lt;/dates&gt;&lt;isbn&gt;0968-7637&lt;/isbn&gt;&lt;urls&gt;&lt;/urls&gt;&lt;/record&gt;&lt;/Cite&gt;&lt;Cite&gt;&lt;Author&gt;Hampson&lt;/Author&gt;&lt;Year&gt;2012&lt;/Year&gt;&lt;RecNum&gt;255&lt;/RecNum&gt;&lt;record&gt;&lt;rec-number&gt;255&lt;/rec-number&gt;&lt;foreign-keys&gt;&lt;key app="EN" db-id="25rszwft292ev3esrpvpde0cpxrd9ex0xspp" timestamp="1589926892"&gt;255&lt;/key&gt;&lt;/foreign-keys&gt;&lt;ref-type name="Thesis"&gt;32&lt;/ref-type&gt;&lt;contributors&gt;&lt;authors&gt;&lt;author&gt;Hampson, Claire&lt;/author&gt;&lt;/authors&gt;&lt;/contributors&gt;&lt;titles&gt;&lt;title&gt;Integrating family-focussed practice into routine addiction services&lt;/title&gt;&lt;secondary-title&gt;School of Psychology&lt;/secondary-title&gt;&lt;/titles&gt;&lt;volume&gt;Doctor of Philosophy&lt;/volume&gt;&lt;dates&gt;&lt;year&gt;2012&lt;/year&gt;&lt;/dates&gt;&lt;pub-location&gt;Birmingham, UK.&lt;/pub-location&gt;&lt;publisher&gt;The University of Birmingham&lt;/publisher&gt;&lt;urls&gt;&lt;/urls&gt;&lt;/record&gt;&lt;/Cite&gt;&lt;/EndNote&gt;</w:instrText>
      </w:r>
      <w:r>
        <w:fldChar w:fldCharType="separate"/>
      </w:r>
      <w:r>
        <w:rPr>
          <w:noProof/>
        </w:rPr>
        <w:t>(Hampson, 2012; Orford et al., 2009)</w:t>
      </w:r>
      <w:r>
        <w:fldChar w:fldCharType="end"/>
      </w:r>
      <w:r>
        <w:t xml:space="preserve">. This review suggests that such collaborative techniques and processes could be usefully employed to conceptualise, design, plan and evaluate enhanced gambling harm reduction services for FAOs. </w:t>
      </w:r>
    </w:p>
    <w:bookmarkEnd w:id="58"/>
    <w:p w14:paraId="7973A891" w14:textId="77777777" w:rsidR="00767BA2" w:rsidRDefault="00767BA2" w:rsidP="00767BA2">
      <w:pPr>
        <w:spacing w:after="160" w:line="259" w:lineRule="auto"/>
        <w:rPr>
          <w:b/>
        </w:rPr>
      </w:pPr>
      <w:r>
        <w:br w:type="page"/>
      </w:r>
    </w:p>
    <w:p w14:paraId="62790D9D" w14:textId="191B5C5F" w:rsidR="00DD03C8" w:rsidRDefault="00DD03C8" w:rsidP="00C13E89">
      <w:pPr>
        <w:pStyle w:val="Heading2"/>
        <w:pBdr>
          <w:top w:val="single" w:sz="4" w:space="1" w:color="auto"/>
          <w:left w:val="single" w:sz="4" w:space="4" w:color="auto"/>
          <w:bottom w:val="single" w:sz="4" w:space="1" w:color="auto"/>
          <w:right w:val="single" w:sz="4" w:space="4" w:color="auto"/>
        </w:pBdr>
      </w:pPr>
      <w:bookmarkStart w:id="59" w:name="_Toc58400772"/>
      <w:r>
        <w:lastRenderedPageBreak/>
        <w:t>Structured engagement with expert opinion</w:t>
      </w:r>
      <w:bookmarkEnd w:id="59"/>
    </w:p>
    <w:p w14:paraId="325D8D21" w14:textId="3DFF153C" w:rsidR="00D10F3B" w:rsidRDefault="00D10F3B" w:rsidP="00D10F3B">
      <w:pPr>
        <w:jc w:val="both"/>
      </w:pPr>
      <w:r>
        <w:t xml:space="preserve">The approach taken </w:t>
      </w:r>
      <w:r w:rsidR="00B86EFF">
        <w:t xml:space="preserve">to our structured engagement with expert opinion </w:t>
      </w:r>
      <w:r>
        <w:t>was developed d</w:t>
      </w:r>
      <w:r w:rsidRPr="005C46A2">
        <w:t xml:space="preserve">rawing on qualitative </w:t>
      </w:r>
      <w:r>
        <w:t xml:space="preserve">and dissensus </w:t>
      </w:r>
      <w:r w:rsidRPr="005C46A2">
        <w:t>Delphi study methodolog</w:t>
      </w:r>
      <w:r>
        <w:t>ies</w:t>
      </w:r>
      <w:r w:rsidRPr="005C46A2">
        <w:t>.</w:t>
      </w:r>
      <w:r>
        <w:t xml:space="preserve"> </w:t>
      </w:r>
      <w:r w:rsidRPr="00EF6D19">
        <w:t>Delphi is a structure</w:t>
      </w:r>
      <w:r>
        <w:t>d</w:t>
      </w:r>
      <w:r w:rsidRPr="00EF6D19">
        <w:t xml:space="preserve"> iterative technique used to gather information </w:t>
      </w:r>
      <w:r>
        <w:t xml:space="preserve">and opinion </w:t>
      </w:r>
      <w:r w:rsidRPr="00EF6D19">
        <w:t xml:space="preserve">from a group of </w:t>
      </w:r>
      <w:r>
        <w:t xml:space="preserve">people with </w:t>
      </w:r>
      <w:r w:rsidRPr="00EF6D19">
        <w:t>expert</w:t>
      </w:r>
      <w:r>
        <w:t xml:space="preserve">ise and experience relevant to a particular topic </w:t>
      </w:r>
      <w:r>
        <w:fldChar w:fldCharType="begin">
          <w:fldData xml:space="preserve">PEVuZE5vdGU+PENpdGU+PEF1dGhvcj5MaW5zdG9uZTwvQXV0aG9yPjxZZWFyPjE5NzU8L1llYXI+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</w:fldData>
        </w:fldChar>
      </w:r>
      <w:r>
        <w:instrText xml:space="preserve"> ADDIN EN.CITE </w:instrText>
      </w:r>
      <w:r>
        <w:fldChar w:fldCharType="begin">
          <w:fldData xml:space="preserve">PEVuZE5vdGU+PENpdGU+PEF1dGhvcj5MaW5zdG9uZTwvQXV0aG9yPjxZZWFyPjE5NzU8L1llYXI+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</w:fldData>
        </w:fldChar>
      </w:r>
      <w:r>
        <w:instrText xml:space="preserve"> ADDIN EN.CITE.DATA </w:instrText>
      </w:r>
      <w:r>
        <w:fldChar w:fldCharType="end"/>
      </w:r>
      <w:r>
        <w:fldChar w:fldCharType="separate"/>
      </w:r>
      <w:r>
        <w:rPr>
          <w:noProof/>
        </w:rPr>
        <w:t>(Brady, 2015; Jorm, 2015; Linstone &amp; Turoff, 1975)</w:t>
      </w:r>
      <w:r>
        <w:fldChar w:fldCharType="end"/>
      </w:r>
      <w:r w:rsidRPr="00EF6D19">
        <w:t>.</w:t>
      </w:r>
      <w:r>
        <w:t xml:space="preserve"> While t</w:t>
      </w:r>
      <w:r w:rsidRPr="00BC133B">
        <w:t xml:space="preserve">he classic Delphi method focuses on the establishment of consensus and facts about a specific topic </w:t>
      </w:r>
      <w:r>
        <w:t xml:space="preserve">(often </w:t>
      </w:r>
      <w:r w:rsidRPr="00BC133B">
        <w:t>determining outcomes and</w:t>
      </w:r>
      <w:r>
        <w:t>/or</w:t>
      </w:r>
      <w:r w:rsidRPr="00BC133B">
        <w:t xml:space="preserve"> decisions</w:t>
      </w:r>
      <w:r>
        <w:t>), p</w:t>
      </w:r>
      <w:r w:rsidRPr="00BC133B">
        <w:t>olicy</w:t>
      </w:r>
      <w:r>
        <w:t xml:space="preserve"> and dissensus </w:t>
      </w:r>
      <w:r w:rsidRPr="00BC133B">
        <w:t xml:space="preserve">Delphi </w:t>
      </w:r>
      <w:r>
        <w:t>processes are u</w:t>
      </w:r>
      <w:r w:rsidRPr="00BC133B">
        <w:t xml:space="preserve">sed for idea generation and </w:t>
      </w:r>
      <w:r>
        <w:t xml:space="preserve">to </w:t>
      </w:r>
      <w:r w:rsidRPr="00BC133B">
        <w:t xml:space="preserve">explore policy </w:t>
      </w:r>
      <w:r>
        <w:t xml:space="preserve">and practice relevant </w:t>
      </w:r>
      <w:r w:rsidRPr="00BC133B">
        <w:t>issue</w:t>
      </w:r>
      <w:r>
        <w:t>s and multiple arguments</w:t>
      </w:r>
      <w:r w:rsidRPr="00BC133B">
        <w:t xml:space="preserve"> </w:t>
      </w:r>
      <w:r>
        <w:t xml:space="preserve">around how to achieve a goal </w:t>
      </w:r>
      <w:r w:rsidRPr="00BC133B">
        <w:fldChar w:fldCharType="begin">
          <w:fldData xml:space="preserve">PEVuZE5vdGU+PENpdGU+PEF1dGhvcj5MaW5zdG9uZTwvQXV0aG9yPjxZZWFyPjE5NzU8L1llYXI+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</w:fldData>
        </w:fldChar>
      </w:r>
      <w:r>
        <w:instrText xml:space="preserve"> ADDIN EN.CITE </w:instrText>
      </w:r>
      <w:r>
        <w:fldChar w:fldCharType="begin">
          <w:fldData xml:space="preserve">PEVuZE5vdGU+PENpdGU+PEF1dGhvcj5MaW5zdG9uZTwvQXV0aG9yPjxZZWFyPjE5NzU8L1llYXI+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</w:fldData>
        </w:fldChar>
      </w:r>
      <w:r>
        <w:instrText xml:space="preserve"> ADDIN EN.CITE.DATA </w:instrText>
      </w:r>
      <w:r>
        <w:fldChar w:fldCharType="end"/>
      </w:r>
      <w:r w:rsidRPr="00BC133B">
        <w:fldChar w:fldCharType="separate"/>
      </w:r>
      <w:r>
        <w:rPr>
          <w:noProof/>
        </w:rPr>
        <w:t>(Linstone &amp; Turoff, 1975; Manley, 2013; Turoff, 1975)</w:t>
      </w:r>
      <w:r w:rsidRPr="00BC133B">
        <w:fldChar w:fldCharType="end"/>
      </w:r>
      <w:r w:rsidRPr="00BC133B">
        <w:t xml:space="preserve">. </w:t>
      </w:r>
    </w:p>
    <w:p w14:paraId="49FC0953" w14:textId="77777777" w:rsidR="00D10F3B" w:rsidRDefault="00D10F3B" w:rsidP="00D10F3B">
      <w:pPr>
        <w:jc w:val="both"/>
      </w:pPr>
    </w:p>
    <w:p w14:paraId="5C7DBFE8" w14:textId="1EA47269" w:rsidR="00D10F3B" w:rsidRDefault="00D10F3B" w:rsidP="00D10F3B">
      <w:pPr>
        <w:jc w:val="both"/>
      </w:pPr>
      <w:r>
        <w:t>A dissensus approach was taken in alignment with</w:t>
      </w:r>
      <w:r w:rsidRPr="00FC6760">
        <w:t xml:space="preserve"> </w:t>
      </w:r>
      <w:r>
        <w:t>a</w:t>
      </w:r>
      <w:r w:rsidRPr="00FC6760">
        <w:t xml:space="preserve"> ‘human prerogative of care’ </w:t>
      </w:r>
      <w:r>
        <w:t xml:space="preserve">which </w:t>
      </w:r>
      <w:r w:rsidRPr="00FC6760">
        <w:t xml:space="preserve">involves accepting that no single treatment system can address all addiction-related problems for families </w:t>
      </w:r>
      <w:r w:rsidRPr="00FC6760">
        <w:fldChar w:fldCharType="begin"/>
      </w:r>
      <w:r>
        <w:instrText xml:space="preserve"> ADDIN EN.CITE &lt;EndNote&gt;&lt;Cite&gt;&lt;Author&gt;Broekaert&lt;/Author&gt;&lt;Year&gt;2010&lt;/Year&gt;&lt;RecNum&gt;136&lt;/RecNum&gt;&lt;DisplayText&gt;(Broekaert et al., 2010)&lt;/DisplayText&gt;&lt;record&gt;&lt;rec-number&gt;136&lt;/rec-number&gt;&lt;foreign-keys&gt;&lt;key app="EN" db-id="25rszwft292ev3esrpvpde0cpxrd9ex0xspp" timestamp="1585699841"&gt;136&lt;/key&gt;&lt;/foreign-keys&gt;&lt;ref-type name="Journal Article"&gt;17&lt;/ref-type&gt;&lt;contributors&gt;&lt;authors&gt;&lt;author&gt;Broekaert, Eric&lt;/author&gt;&lt;author&gt;Autrique, Mieke&lt;/author&gt;&lt;author&gt;Vanderplasschen, Wouter&lt;/author&gt;&lt;author&gt;Colpaert, Kathy&lt;/author&gt;&lt;/authors&gt;&lt;/contributors&gt;&lt;titles&gt;&lt;title&gt;‘The human prerogative’: a critical analysis of evidence-based and other paradigms of care in substance abuse treatment&lt;/title&gt;&lt;secondary-title&gt;Psychiatric Quarterly&lt;/secondary-title&gt;&lt;/titles&gt;&lt;periodical&gt;&lt;full-title&gt;Psychiatric Quarterly&lt;/full-title&gt;&lt;/periodical&gt;&lt;pages&gt;227-238&lt;/pages&gt;&lt;volume&gt;81&lt;/volume&gt;&lt;number&gt;3&lt;/number&gt;&lt;dates&gt;&lt;year&gt;2010&lt;/year&gt;&lt;/dates&gt;&lt;isbn&gt;0033-2720&lt;/isbn&gt;&lt;urls&gt;&lt;/urls&gt;&lt;/record&gt;&lt;/Cite&gt;&lt;/EndNote&gt;</w:instrText>
      </w:r>
      <w:r w:rsidRPr="00FC6760">
        <w:fldChar w:fldCharType="separate"/>
      </w:r>
      <w:r>
        <w:rPr>
          <w:noProof/>
        </w:rPr>
        <w:t>(Broekaert et al., 2010)</w:t>
      </w:r>
      <w:r w:rsidRPr="00FC6760">
        <w:fldChar w:fldCharType="end"/>
      </w:r>
      <w:r w:rsidRPr="00FC6760">
        <w:t xml:space="preserve">. </w:t>
      </w:r>
      <w:r w:rsidRPr="00BC133B">
        <w:t xml:space="preserve">The aim </w:t>
      </w:r>
      <w:r>
        <w:t>wa</w:t>
      </w:r>
      <w:r w:rsidRPr="00BC133B">
        <w:t xml:space="preserve">s to maximise </w:t>
      </w:r>
      <w:r>
        <w:t xml:space="preserve">the </w:t>
      </w:r>
      <w:r w:rsidRPr="00BC133B">
        <w:t>range of opinions given by the experts</w:t>
      </w:r>
      <w:r>
        <w:t xml:space="preserve">, </w:t>
      </w:r>
      <w:r w:rsidRPr="00BC133B">
        <w:t>allow</w:t>
      </w:r>
      <w:r>
        <w:t xml:space="preserve"> </w:t>
      </w:r>
      <w:r w:rsidRPr="00BC133B">
        <w:t>for a divergence of opinion whilst also seeking</w:t>
      </w:r>
      <w:r>
        <w:t xml:space="preserve"> and highlighting</w:t>
      </w:r>
      <w:r w:rsidRPr="00BC133B">
        <w:t xml:space="preserve"> consensus</w:t>
      </w:r>
      <w:r>
        <w:t xml:space="preserve"> where possible. O</w:t>
      </w:r>
      <w:r w:rsidRPr="00BC133B">
        <w:t>ngoing discussion</w:t>
      </w:r>
      <w:r>
        <w:t>, d</w:t>
      </w:r>
      <w:r w:rsidRPr="00BC133B">
        <w:t xml:space="preserve">iscovery </w:t>
      </w:r>
      <w:r>
        <w:t xml:space="preserve">and exploration </w:t>
      </w:r>
      <w:r w:rsidRPr="00BC133B">
        <w:t xml:space="preserve">of relevant arguments </w:t>
      </w:r>
      <w:r>
        <w:t>were</w:t>
      </w:r>
      <w:r w:rsidRPr="00BC133B">
        <w:t xml:space="preserve"> </w:t>
      </w:r>
      <w:r>
        <w:t xml:space="preserve">prioritised over achieving </w:t>
      </w:r>
      <w:r w:rsidRPr="00BC133B">
        <w:t xml:space="preserve">consensus </w:t>
      </w:r>
      <w:r w:rsidRPr="00BC133B">
        <w:fldChar w:fldCharType="begin"/>
      </w:r>
      <w:r>
        <w:instrText xml:space="preserve"> ADDIN EN.CITE &lt;EndNote&gt;&lt;Cite&gt;&lt;Author&gt;Kuusi&lt;/Author&gt;&lt;Year&gt;1999&lt;/Year&gt;&lt;RecNum&gt;563&lt;/RecNum&gt;&lt;Prefix&gt;see &lt;/Prefix&gt;&lt;DisplayText&gt;(see Kuusi, 1999)&lt;/DisplayText&gt;&lt;record&gt;&lt;rec-number&gt;563&lt;/rec-number&gt;&lt;foreign-keys&gt;&lt;key app="EN" db-id="5v2daxed8wv0eoesd9av5dd8exsxdewpfpwd" timestamp="1585781088"&gt;563&lt;/key&gt;&lt;/foreign-keys&gt;&lt;ref-type name="Book"&gt;6&lt;/ref-type&gt;&lt;contributors&gt;&lt;authors&gt;&lt;author&gt;Kuusi, Osmo&lt;/author&gt;&lt;/authors&gt;&lt;/contributors&gt;&lt;titles&gt;&lt;title&gt;Expertise in the future use of generic technologies&lt;/title&gt;&lt;/titles&gt;&lt;dates&gt;&lt;year&gt;1999&lt;/year&gt;&lt;/dates&gt;&lt;publisher&gt;Valtion taloudellinen tutkimuskeskus VATT&lt;/publisher&gt;&lt;isbn&gt;9515612934&lt;/isbn&gt;&lt;urls&gt;&lt;/urls&gt;&lt;/record&gt;&lt;/Cite&gt;&lt;/EndNote&gt;</w:instrText>
      </w:r>
      <w:r w:rsidRPr="00BC133B">
        <w:fldChar w:fldCharType="separate"/>
      </w:r>
      <w:r>
        <w:rPr>
          <w:noProof/>
        </w:rPr>
        <w:t>(see Kuusi, 1999)</w:t>
      </w:r>
      <w:r w:rsidRPr="00BC133B">
        <w:fldChar w:fldCharType="end"/>
      </w:r>
      <w:r w:rsidRPr="00BC133B">
        <w:t>.</w:t>
      </w:r>
      <w:r>
        <w:t xml:space="preserve"> D</w:t>
      </w:r>
      <w:r w:rsidRPr="00312D13">
        <w:t>iversity of expertise, independent and autonomous thinking, and anonymous participation</w:t>
      </w:r>
      <w:r>
        <w:t xml:space="preserve"> were emphasised </w:t>
      </w:r>
      <w:r w:rsidRPr="00312D13">
        <w:fldChar w:fldCharType="begin"/>
      </w:r>
      <w:r>
        <w:instrText xml:space="preserve"> ADDIN EN.CITE &lt;EndNote&gt;&lt;Cite&gt;&lt;Author&gt;Surowiecki&lt;/Author&gt;&lt;Year&gt;2004&lt;/Year&gt;&lt;RecNum&gt;358&lt;/RecNum&gt;&lt;DisplayText&gt;(Surowiecki, 2004)&lt;/DisplayText&gt;&lt;record&gt;&lt;rec-number&gt;358&lt;/rec-number&gt;&lt;foreign-keys&gt;&lt;key app="EN" db-id="rpt5255teda5p3exew8ptpftwv0s20t2xd2a" timestamp="1564701417"&gt;358&lt;/key&gt;&lt;/foreign-keys&gt;&lt;ref-type name="Book"&gt;6&lt;/ref-type&gt;&lt;contributors&gt;&lt;authors&gt;&lt;author&gt;Surowiecki, James&lt;/author&gt;&lt;/authors&gt;&lt;/contributors&gt;&lt;titles&gt;&lt;title&gt;The wisdom of crowds: why the many are smarter than the few&lt;/title&gt;&lt;/titles&gt;&lt;dates&gt;&lt;year&gt;2004&lt;/year&gt;&lt;/dates&gt;&lt;pub-location&gt;London&lt;/pub-location&gt;&lt;publisher&gt;Abacus&lt;/publisher&gt;&lt;isbn&gt;0385721706&lt;/isbn&gt;&lt;urls&gt;&lt;/urls&gt;&lt;/record&gt;&lt;/Cite&gt;&lt;/EndNote&gt;</w:instrText>
      </w:r>
      <w:r w:rsidRPr="00312D13">
        <w:fldChar w:fldCharType="separate"/>
      </w:r>
      <w:r>
        <w:rPr>
          <w:noProof/>
        </w:rPr>
        <w:t>(Surowiecki, 2004)</w:t>
      </w:r>
      <w:r w:rsidRPr="00312D13">
        <w:fldChar w:fldCharType="end"/>
      </w:r>
      <w:r w:rsidRPr="00312D13">
        <w:t>.</w:t>
      </w:r>
      <w:r>
        <w:t xml:space="preserve"> R</w:t>
      </w:r>
      <w:r w:rsidRPr="00D73679">
        <w:t xml:space="preserve">eliability and credibility </w:t>
      </w:r>
      <w:r>
        <w:t>wa</w:t>
      </w:r>
      <w:r w:rsidRPr="00D73679">
        <w:t xml:space="preserve">s </w:t>
      </w:r>
      <w:r>
        <w:t xml:space="preserve">demonstrated through evidence of </w:t>
      </w:r>
      <w:r w:rsidRPr="00D73679">
        <w:t xml:space="preserve">active and reflective participation from both the researchers and participants </w:t>
      </w:r>
      <w:r w:rsidRPr="00D73679">
        <w:fldChar w:fldCharType="begin"/>
      </w:r>
      <w:r>
        <w:instrText xml:space="preserve"> ADDIN EN.CITE &lt;EndNote&gt;&lt;Cite&gt;&lt;Author&gt;Fink-Hafner&lt;/Author&gt;&lt;Year&gt;2019&lt;/Year&gt;&lt;RecNum&gt;469&lt;/RecNum&gt;&lt;DisplayText&gt;(Fink-Hafner, Dagen, Doušak, Novak, &amp;amp; Hafner-Fink, 2019)&lt;/DisplayText&gt;&lt;record&gt;&lt;rec-number&gt;469&lt;/rec-number&gt;&lt;foreign-keys&gt;&lt;key app="EN" db-id="5v2daxed8wv0eoesd9av5dd8exsxdewpfpwd" timestamp="1584650836"&gt;469&lt;/key&gt;&lt;/foreign-keys&gt;&lt;ref-type name="Journal Article"&gt;17&lt;/ref-type&gt;&lt;contributors&gt;&lt;authors&gt;&lt;author&gt;Fink-Hafner, Danica&lt;/author&gt;&lt;author&gt;Dagen, Tamara&lt;/author&gt;&lt;author&gt;Doušak, May&lt;/author&gt;&lt;author&gt;Novak, Meta&lt;/author&gt;&lt;author&gt;Hafner-Fink, Mitja&lt;/author&gt;&lt;/authors&gt;&lt;/contributors&gt;&lt;titles&gt;&lt;title&gt;Delphi Method: Strengths and Weaknesses&lt;/title&gt;&lt;secondary-title&gt;Advances in Methodology &amp;amp; Statistics/Metodoloski zvezki&lt;/secondary-title&gt;&lt;/titles&gt;&lt;periodical&gt;&lt;full-title&gt;Advances in Methodology &amp;amp; Statistics/Metodoloski zvezki&lt;/full-title&gt;&lt;/periodical&gt;&lt;volume&gt;16&lt;/volume&gt;&lt;number&gt;2&lt;/number&gt;&lt;dates&gt;&lt;year&gt;2019&lt;/year&gt;&lt;/dates&gt;&lt;isbn&gt;1854-0023&lt;/isbn&gt;&lt;urls&gt;&lt;/urls&gt;&lt;/record&gt;&lt;/Cite&gt;&lt;/EndNote&gt;</w:instrText>
      </w:r>
      <w:r w:rsidRPr="00D73679">
        <w:fldChar w:fldCharType="separate"/>
      </w:r>
      <w:r>
        <w:rPr>
          <w:noProof/>
        </w:rPr>
        <w:t>(Fink-Hafner, Dagen, Doušak, Novak, &amp; Hafner-Fink, 2019)</w:t>
      </w:r>
      <w:r w:rsidRPr="00D73679">
        <w:fldChar w:fldCharType="end"/>
      </w:r>
      <w:r w:rsidRPr="00D73679">
        <w:t>.</w:t>
      </w:r>
      <w:r>
        <w:t xml:space="preserve"> </w:t>
      </w:r>
      <w:r w:rsidRPr="00412155">
        <w:t xml:space="preserve">The overarching research question for the </w:t>
      </w:r>
      <w:r w:rsidR="00AD30C7">
        <w:t>engagement with expert opinion</w:t>
      </w:r>
      <w:r w:rsidRPr="00412155">
        <w:t xml:space="preserve"> was: How could support provided for family members and affected others (FAOs) in New Zealand gambling services be enhanced?</w:t>
      </w:r>
    </w:p>
    <w:p w14:paraId="5F3805EA" w14:textId="77777777" w:rsidR="00D10F3B" w:rsidRPr="005C46A2" w:rsidRDefault="00D10F3B" w:rsidP="00D10F3B">
      <w:pPr>
        <w:jc w:val="both"/>
      </w:pPr>
    </w:p>
    <w:p w14:paraId="0347CBA9" w14:textId="77777777" w:rsidR="00D10F3B" w:rsidRPr="00412155" w:rsidRDefault="00D10F3B" w:rsidP="00D10F3B">
      <w:pPr>
        <w:pStyle w:val="Heading3"/>
      </w:pPr>
      <w:bookmarkStart w:id="60" w:name="_Toc58400773"/>
      <w:r w:rsidRPr="00412155">
        <w:t>Defining the area</w:t>
      </w:r>
      <w:r>
        <w:t>s</w:t>
      </w:r>
      <w:r w:rsidRPr="00412155">
        <w:t xml:space="preserve"> of inquiry</w:t>
      </w:r>
      <w:bookmarkEnd w:id="60"/>
      <w:r w:rsidRPr="00412155">
        <w:t xml:space="preserve"> </w:t>
      </w:r>
    </w:p>
    <w:p w14:paraId="2916A0B4" w14:textId="2712AEBC" w:rsidR="00D10F3B" w:rsidRDefault="00D10F3B" w:rsidP="00D10F3B">
      <w:pPr>
        <w:spacing w:line="259" w:lineRule="auto"/>
        <w:jc w:val="both"/>
      </w:pPr>
      <w:r>
        <w:t>D</w:t>
      </w:r>
      <w:r w:rsidRPr="00412155">
        <w:t xml:space="preserve">evelopment </w:t>
      </w:r>
      <w:r>
        <w:t>o</w:t>
      </w:r>
      <w:r w:rsidRPr="00412155">
        <w:t xml:space="preserve">f a dissensus Delphi methodology requires extensive literature analysis to establish areas of inquiry (Fink-Hafner et al., 2019). </w:t>
      </w:r>
      <w:r w:rsidR="00AD30C7">
        <w:t>Our study was informed by the</w:t>
      </w:r>
      <w:r w:rsidRPr="00412155">
        <w:t xml:space="preserve"> conceptual literature review</w:t>
      </w:r>
      <w:r w:rsidR="00AD30C7">
        <w:t>, which</w:t>
      </w:r>
      <w:r w:rsidRPr="00412155">
        <w:t xml:space="preserve"> identified multiple understandings of addictions, FAOs, the purpose of intervention and outcomes</w:t>
      </w:r>
      <w:r>
        <w:t xml:space="preserve"> in operation</w:t>
      </w:r>
      <w:r w:rsidR="00AD30C7">
        <w:t>. E</w:t>
      </w:r>
      <w:r>
        <w:t xml:space="preserve">ach </w:t>
      </w:r>
      <w:r w:rsidR="00AD30C7">
        <w:t>understanding of FAO support carried</w:t>
      </w:r>
      <w:r>
        <w:t xml:space="preserve"> implications for quality and effective gambling service design and practice. In the initial engagement with experts (Round 1) w</w:t>
      </w:r>
      <w:r w:rsidRPr="00412155">
        <w:t xml:space="preserve">e </w:t>
      </w:r>
      <w:r>
        <w:t>invited participants to comment on</w:t>
      </w:r>
      <w:r w:rsidRPr="00412155">
        <w:t xml:space="preserve"> </w:t>
      </w:r>
      <w:r>
        <w:t xml:space="preserve">the possibilities and constraints of each of </w:t>
      </w:r>
      <w:r w:rsidRPr="00412155">
        <w:t>these approaches</w:t>
      </w:r>
      <w:r>
        <w:t xml:space="preserve"> for service design and delivery, alongside</w:t>
      </w:r>
      <w:r w:rsidRPr="00412155">
        <w:t xml:space="preserve"> more general </w:t>
      </w:r>
      <w:r>
        <w:t>exploration of</w:t>
      </w:r>
      <w:r w:rsidRPr="00412155">
        <w:t xml:space="preserve"> the purpose of providing support for FAOs (including key features and outcomes)</w:t>
      </w:r>
      <w:r>
        <w:t xml:space="preserve"> and what constitutes quality and effective service design and practice for FAOs. Areas of inquiry for the second engagement (Round 2) were derived from content analysis of the first round in relation to the overarching research question:</w:t>
      </w:r>
      <w:r w:rsidRPr="004F7F13">
        <w:t xml:space="preserve"> </w:t>
      </w:r>
      <w:r w:rsidRPr="00412155">
        <w:t>How could support provided for family members and affected others (FAOs) in New Zealand gambling services be enhanced?</w:t>
      </w:r>
      <w:r>
        <w:t xml:space="preserve"> This content analysis is presented in Appendix </w:t>
      </w:r>
      <w:r w:rsidR="00341FAE">
        <w:t>One</w:t>
      </w:r>
      <w:r w:rsidR="00AD30C7">
        <w:t xml:space="preserve"> (Results of </w:t>
      </w:r>
      <w:r w:rsidR="00B86EFF">
        <w:t>R</w:t>
      </w:r>
      <w:r w:rsidR="00AD30C7">
        <w:t>ound 1 engagement</w:t>
      </w:r>
      <w:r w:rsidR="00341FAE">
        <w:t xml:space="preserve"> with expert opinion</w:t>
      </w:r>
      <w:r w:rsidR="00AD30C7">
        <w:t>)</w:t>
      </w:r>
      <w:r>
        <w:t>. The Delphi process and content of each of the two questionnaires are discussed further in the following sections.</w:t>
      </w:r>
    </w:p>
    <w:p w14:paraId="641FD4E2" w14:textId="77777777" w:rsidR="00D10F3B" w:rsidRDefault="00D10F3B" w:rsidP="00D10F3B">
      <w:pPr>
        <w:spacing w:line="259" w:lineRule="auto"/>
        <w:jc w:val="both"/>
      </w:pPr>
    </w:p>
    <w:p w14:paraId="3436C47C" w14:textId="77777777" w:rsidR="00D10F3B" w:rsidRDefault="00D10F3B" w:rsidP="00D10F3B">
      <w:pPr>
        <w:pStyle w:val="Heading3"/>
      </w:pPr>
      <w:bookmarkStart w:id="61" w:name="_Toc58400774"/>
      <w:r w:rsidRPr="00942D86">
        <w:lastRenderedPageBreak/>
        <w:t>Ethical approval</w:t>
      </w:r>
      <w:bookmarkEnd w:id="61"/>
    </w:p>
    <w:p w14:paraId="341C8F7B" w14:textId="77777777" w:rsidR="00D10F3B" w:rsidRDefault="00D10F3B" w:rsidP="00D10F3B">
      <w:pPr>
        <w:spacing w:line="259" w:lineRule="auto"/>
        <w:jc w:val="both"/>
      </w:pPr>
      <w:r>
        <w:t xml:space="preserve">Full review of protocols and approval to conduct the study was provided by the Auckland University of Technology Ethics Committee (AUTEC), approval number 19/387. </w:t>
      </w:r>
    </w:p>
    <w:p w14:paraId="46B931A2" w14:textId="77777777" w:rsidR="00D10F3B" w:rsidRDefault="00D10F3B" w:rsidP="00D10F3B">
      <w:pPr>
        <w:spacing w:line="259" w:lineRule="auto"/>
        <w:jc w:val="both"/>
      </w:pPr>
    </w:p>
    <w:p w14:paraId="49B1E66C" w14:textId="77777777" w:rsidR="00D10F3B" w:rsidRPr="005C46A2" w:rsidRDefault="00D10F3B" w:rsidP="00D10F3B">
      <w:pPr>
        <w:pStyle w:val="Heading3"/>
      </w:pPr>
      <w:bookmarkStart w:id="62" w:name="_Toc58400775"/>
      <w:r w:rsidRPr="005C46A2">
        <w:t>Methods</w:t>
      </w:r>
      <w:bookmarkEnd w:id="62"/>
    </w:p>
    <w:p w14:paraId="48E19D84" w14:textId="77777777" w:rsidR="00D10F3B" w:rsidRPr="005C46A2" w:rsidRDefault="00D10F3B" w:rsidP="00D10F3B">
      <w:pPr>
        <w:jc w:val="both"/>
      </w:pPr>
    </w:p>
    <w:p w14:paraId="1264BA75" w14:textId="77777777" w:rsidR="00D10F3B" w:rsidRPr="00D10F3B" w:rsidRDefault="00D10F3B" w:rsidP="00D10F3B">
      <w:pPr>
        <w:rPr>
          <w:u w:val="single"/>
        </w:rPr>
      </w:pPr>
      <w:r w:rsidRPr="00D10F3B">
        <w:rPr>
          <w:u w:val="single"/>
        </w:rPr>
        <w:t>Panel selection, recruitment and engagement</w:t>
      </w:r>
    </w:p>
    <w:p w14:paraId="3D51C464" w14:textId="6E5E52B4" w:rsidR="00D10F3B" w:rsidRDefault="00D10F3B" w:rsidP="00D10F3B">
      <w:pPr>
        <w:spacing w:line="259" w:lineRule="auto"/>
        <w:jc w:val="both"/>
      </w:pPr>
      <w:r>
        <w:t xml:space="preserve">The development of criteria through which to establish appropriate expertise/experience of a topic is a delicate art in structured engagement with ‘experts’, and largely topic-dependent </w:t>
      </w:r>
      <w:r>
        <w:fldChar w:fldCharType="begin">
          <w:fldData xml:space="preserve">PEVuZE5vdGU+PENpdGU+PEF1dGhvcj5CcmFkeTwvQXV0aG9yPjxZZWFyPjIwMTU8L1llYXI+PFJl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</w:fldData>
        </w:fldChar>
      </w:r>
      <w:r w:rsidR="00017161">
        <w:instrText xml:space="preserve"> ADDIN EN.CITE </w:instrText>
      </w:r>
      <w:r w:rsidR="00017161">
        <w:fldChar w:fldCharType="begin">
          <w:fldData xml:space="preserve">PEVuZE5vdGU+PENpdGU+PEF1dGhvcj5CcmFkeTwvQXV0aG9yPjxZZWFyPjIwMTU8L1llYXI+PFJl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</w:fldData>
        </w:fldChar>
      </w:r>
      <w:r w:rsidR="00017161">
        <w:instrText xml:space="preserve"> ADDIN EN.CITE.DATA </w:instrText>
      </w:r>
      <w:r w:rsidR="00017161">
        <w:fldChar w:fldCharType="end"/>
      </w:r>
      <w:r>
        <w:fldChar w:fldCharType="separate"/>
      </w:r>
      <w:r w:rsidR="00017161">
        <w:rPr>
          <w:noProof/>
        </w:rPr>
        <w:t>(Brady, 2015; Fletcher &amp; Marchildon, 2014; Jorm, 2015)</w:t>
      </w:r>
      <w:r>
        <w:fldChar w:fldCharType="end"/>
      </w:r>
      <w:r>
        <w:t>. A</w:t>
      </w:r>
      <w:r w:rsidRPr="008710F5">
        <w:t xml:space="preserve"> panel of </w:t>
      </w:r>
      <w:r>
        <w:t>20</w:t>
      </w:r>
      <w:r w:rsidRPr="008710F5">
        <w:t>-40 participants has been identified as normative in Delphi health studies</w:t>
      </w:r>
      <w:r>
        <w:t xml:space="preserve"> </w:t>
      </w:r>
      <w:r w:rsidRPr="008710F5">
        <w:fldChar w:fldCharType="begin"/>
      </w:r>
      <w:r w:rsidRPr="008710F5">
        <w:instrText xml:space="preserve"> ADDIN EN.CITE &lt;EndNote&gt;&lt;Cite&gt;&lt;Author&gt;Keeney&lt;/Author&gt;&lt;Year&gt;2010&lt;/Year&gt;&lt;RecNum&gt;361&lt;/RecNum&gt;&lt;DisplayText&gt;(Keeney, McKenna, &amp;amp; Hasson, 2010)&lt;/DisplayText&gt;&lt;record&gt;&lt;rec-number&gt;361&lt;/rec-number&gt;&lt;foreign-keys&gt;&lt;key app="EN" db-id="rpt5255teda5p3exew8ptpftwv0s20t2xd2a" timestamp="1565222429"&gt;361&lt;/key&gt;&lt;/foreign-keys&gt;&lt;ref-type name="Book"&gt;6&lt;/ref-type&gt;&lt;contributors&gt;&lt;authors&gt;&lt;author&gt;Keeney, Sinead&lt;/author&gt;&lt;author&gt;McKenna, Hugh&lt;/author&gt;&lt;author&gt;Hasson, Felicity&lt;/author&gt;&lt;/authors&gt;&lt;/contributors&gt;&lt;titles&gt;&lt;title&gt;The Delphi technique in nursing and health research&lt;/title&gt;&lt;/titles&gt;&lt;dates&gt;&lt;year&gt;2010&lt;/year&gt;&lt;/dates&gt;&lt;publisher&gt;John Wiley &amp;amp; Sons&lt;/publisher&gt;&lt;isbn&gt;1444392018&lt;/isbn&gt;&lt;urls&gt;&lt;/urls&gt;&lt;/record&gt;&lt;/Cite&gt;&lt;/EndNote&gt;</w:instrText>
      </w:r>
      <w:r w:rsidRPr="008710F5">
        <w:fldChar w:fldCharType="separate"/>
      </w:r>
      <w:r w:rsidRPr="008710F5">
        <w:t>(Keeney, McKenna, &amp; Hasson, 2010)</w:t>
      </w:r>
      <w:r w:rsidRPr="008710F5">
        <w:fldChar w:fldCharType="end"/>
      </w:r>
      <w:r w:rsidRPr="008710F5">
        <w:t xml:space="preserve">. </w:t>
      </w:r>
      <w:r>
        <w:t>In keeping with the dissensus Delphi methodology, we sought to encourage as much diversity of perspectives on support for FAOs as possible (e.g. service management, research, policy, consumer/lived-experience service advisors, clinician, workforce development). The following criteria and stratification were developed to guide recruitment (</w:t>
      </w:r>
      <w:r>
        <w:fldChar w:fldCharType="begin"/>
      </w:r>
      <w:r>
        <w:instrText xml:space="preserve"> REF _Ref51681153 \h </w:instrText>
      </w:r>
      <w:r>
        <w:fldChar w:fldCharType="separate"/>
      </w:r>
      <w:r w:rsidR="00DF0799">
        <w:t xml:space="preserve">Table </w:t>
      </w:r>
      <w:r w:rsidR="00DF0799">
        <w:rPr>
          <w:noProof/>
        </w:rPr>
        <w:t>1</w:t>
      </w:r>
      <w:r>
        <w:fldChar w:fldCharType="end"/>
      </w:r>
      <w:r>
        <w:t>):</w:t>
      </w:r>
    </w:p>
    <w:p w14:paraId="04E7F86A" w14:textId="77777777" w:rsidR="00D10F3B" w:rsidRDefault="00D10F3B" w:rsidP="00D10F3B">
      <w:pPr>
        <w:spacing w:line="259" w:lineRule="auto"/>
        <w:jc w:val="both"/>
      </w:pPr>
    </w:p>
    <w:p w14:paraId="5231A3F1" w14:textId="7571FD5A" w:rsidR="00D10F3B" w:rsidRDefault="00D10F3B" w:rsidP="00D10F3B">
      <w:pPr>
        <w:pStyle w:val="Caption"/>
      </w:pPr>
      <w:bookmarkStart w:id="63" w:name="_Ref51681153"/>
      <w:bookmarkStart w:id="64" w:name="_Toc58400634"/>
      <w:r>
        <w:t xml:space="preserve">Table </w:t>
      </w:r>
      <w:r w:rsidR="00D04B86">
        <w:fldChar w:fldCharType="begin"/>
      </w:r>
      <w:r w:rsidR="00D04B86">
        <w:instrText xml:space="preserve"> SEQ Tabl</w:instrText>
      </w:r>
      <w:r w:rsidR="00D04B86">
        <w:instrText xml:space="preserve">e \* ARABIC </w:instrText>
      </w:r>
      <w:r w:rsidR="00D04B86">
        <w:fldChar w:fldCharType="separate"/>
      </w:r>
      <w:r w:rsidR="00DF0799">
        <w:rPr>
          <w:noProof/>
        </w:rPr>
        <w:t>1</w:t>
      </w:r>
      <w:r w:rsidR="00D04B86">
        <w:rPr>
          <w:noProof/>
        </w:rPr>
        <w:fldChar w:fldCharType="end"/>
      </w:r>
      <w:bookmarkEnd w:id="63"/>
      <w:r>
        <w:t>. Panel selection criteria</w:t>
      </w:r>
      <w:bookmarkEnd w:id="64"/>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6392"/>
        <w:gridCol w:w="993"/>
      </w:tblGrid>
      <w:tr w:rsidR="00D10F3B" w:rsidRPr="008710F5" w14:paraId="1D3301FD" w14:textId="77777777" w:rsidTr="003632F4">
        <w:trPr>
          <w:trHeight w:val="211"/>
        </w:trPr>
        <w:tc>
          <w:tcPr>
            <w:tcW w:w="1654" w:type="dxa"/>
          </w:tcPr>
          <w:p w14:paraId="556B3F8C" w14:textId="77777777" w:rsidR="00D10F3B" w:rsidRPr="008710F5" w:rsidRDefault="00D10F3B" w:rsidP="003632F4">
            <w:pPr>
              <w:spacing w:line="259" w:lineRule="auto"/>
              <w:jc w:val="both"/>
              <w:rPr>
                <w:b/>
              </w:rPr>
            </w:pPr>
            <w:bookmarkStart w:id="65" w:name="_Hlk51683068"/>
            <w:r>
              <w:rPr>
                <w:b/>
              </w:rPr>
              <w:t>Perspective</w:t>
            </w:r>
          </w:p>
        </w:tc>
        <w:tc>
          <w:tcPr>
            <w:tcW w:w="6392" w:type="dxa"/>
          </w:tcPr>
          <w:p w14:paraId="0E71C663" w14:textId="77777777" w:rsidR="00D10F3B" w:rsidRPr="008710F5" w:rsidRDefault="00D10F3B" w:rsidP="003632F4">
            <w:pPr>
              <w:spacing w:line="259" w:lineRule="auto"/>
              <w:jc w:val="both"/>
              <w:rPr>
                <w:b/>
              </w:rPr>
            </w:pPr>
            <w:r w:rsidRPr="008710F5">
              <w:rPr>
                <w:b/>
              </w:rPr>
              <w:t>Selection criteria</w:t>
            </w:r>
          </w:p>
        </w:tc>
        <w:tc>
          <w:tcPr>
            <w:tcW w:w="993" w:type="dxa"/>
          </w:tcPr>
          <w:p w14:paraId="3DD4865A" w14:textId="77777777" w:rsidR="00D10F3B" w:rsidRPr="008710F5" w:rsidRDefault="00D10F3B" w:rsidP="003632F4">
            <w:pPr>
              <w:spacing w:line="259" w:lineRule="auto"/>
              <w:jc w:val="both"/>
              <w:rPr>
                <w:b/>
              </w:rPr>
            </w:pPr>
            <w:r w:rsidRPr="008710F5">
              <w:rPr>
                <w:b/>
              </w:rPr>
              <w:t>Max n</w:t>
            </w:r>
          </w:p>
        </w:tc>
      </w:tr>
      <w:tr w:rsidR="00D10F3B" w:rsidRPr="008710F5" w14:paraId="4A118700" w14:textId="77777777" w:rsidTr="003632F4">
        <w:trPr>
          <w:trHeight w:val="892"/>
        </w:trPr>
        <w:tc>
          <w:tcPr>
            <w:tcW w:w="1654" w:type="dxa"/>
          </w:tcPr>
          <w:p w14:paraId="48E011D7" w14:textId="77777777" w:rsidR="00D10F3B" w:rsidRPr="008710F5" w:rsidRDefault="00D10F3B" w:rsidP="003632F4">
            <w:pPr>
              <w:spacing w:line="259" w:lineRule="auto"/>
              <w:jc w:val="both"/>
            </w:pPr>
            <w:r w:rsidRPr="008710F5">
              <w:t>Researchers</w:t>
            </w:r>
          </w:p>
        </w:tc>
        <w:tc>
          <w:tcPr>
            <w:tcW w:w="6392" w:type="dxa"/>
          </w:tcPr>
          <w:p w14:paraId="57193128" w14:textId="77777777" w:rsidR="00D10F3B" w:rsidRPr="008710F5" w:rsidRDefault="00D10F3B" w:rsidP="003632F4">
            <w:pPr>
              <w:spacing w:line="259" w:lineRule="auto"/>
              <w:jc w:val="both"/>
            </w:pPr>
            <w:r>
              <w:t>L</w:t>
            </w:r>
            <w:r w:rsidRPr="008710F5">
              <w:t xml:space="preserve">ead author on at least one publication </w:t>
            </w:r>
            <w:r>
              <w:t xml:space="preserve">focussed on addiction related FAO support issues </w:t>
            </w:r>
            <w:r w:rsidRPr="008710F5">
              <w:t xml:space="preserve">in a peer-reviewed journal </w:t>
            </w:r>
            <w:r w:rsidRPr="008710F5">
              <w:fldChar w:fldCharType="begin"/>
            </w:r>
            <w:r>
              <w:instrText xml:space="preserve"> ADDIN EN.CITE &lt;EndNote&gt;&lt;Cite&gt;&lt;Author&gt;Addington&lt;/Author&gt;&lt;Year&gt;2013&lt;/Year&gt;&lt;RecNum&gt;87&lt;/RecNum&gt;&lt;Prefix&gt;e.g. &lt;/Prefix&gt;&lt;DisplayText&gt;(e.g. Addington, McKenzie, Norman, Wang, &amp;amp; Bond, 2013)&lt;/DisplayText&gt;&lt;record&gt;&lt;rec-number&gt;87&lt;/rec-number&gt;&lt;foreign-keys&gt;&lt;key app="EN" db-id="25rszwft292ev3esrpvpde0cpxrd9ex0xspp" timestamp="1570397598"&gt;87&lt;/key&gt;&lt;/foreign-keys&gt;&lt;ref-type name="Journal Article"&gt;17&lt;/ref-type&gt;&lt;contributors&gt;&lt;authors&gt;&lt;author&gt;Addington, Donald Emile&lt;/author&gt;&lt;author&gt;McKenzie, Emily&lt;/author&gt;&lt;author&gt;Norman, Ross&lt;/author&gt;&lt;author&gt;Wang, JianLi&lt;/author&gt;&lt;author&gt;Bond, Gary R&lt;/author&gt;&lt;/authors&gt;&lt;/contributors&gt;&lt;titles&gt;&lt;title&gt;Essential evidence-based components of first-episode psychosis services&lt;/title&gt;&lt;secondary-title&gt;Psychiatric Services&lt;/secondary-title&gt;&lt;/titles&gt;&lt;periodical&gt;&lt;full-title&gt;Psychiatric Services&lt;/full-title&gt;&lt;/periodical&gt;&lt;pages&gt;452-457&lt;/pages&gt;&lt;volume&gt;64&lt;/volume&gt;&lt;number&gt;5&lt;/number&gt;&lt;dates&gt;&lt;year&gt;2013&lt;/year&gt;&lt;/dates&gt;&lt;isbn&gt;1075-2730&lt;/isbn&gt;&lt;urls&gt;&lt;/urls&gt;&lt;/record&gt;&lt;/Cite&gt;&lt;/EndNote&gt;</w:instrText>
            </w:r>
            <w:r w:rsidRPr="008710F5">
              <w:fldChar w:fldCharType="separate"/>
            </w:r>
            <w:r>
              <w:rPr>
                <w:noProof/>
              </w:rPr>
              <w:t>(e.g. Addington, McKenzie, Norman, Wang, &amp; Bond, 2013)</w:t>
            </w:r>
            <w:r w:rsidRPr="008710F5">
              <w:fldChar w:fldCharType="end"/>
            </w:r>
            <w:r w:rsidRPr="008710F5">
              <w:t>.</w:t>
            </w:r>
          </w:p>
        </w:tc>
        <w:tc>
          <w:tcPr>
            <w:tcW w:w="993" w:type="dxa"/>
          </w:tcPr>
          <w:p w14:paraId="7C7FB361" w14:textId="77777777" w:rsidR="00D10F3B" w:rsidRPr="008710F5" w:rsidRDefault="00D10F3B" w:rsidP="003632F4">
            <w:pPr>
              <w:spacing w:line="259" w:lineRule="auto"/>
              <w:jc w:val="right"/>
            </w:pPr>
            <w:r w:rsidRPr="008710F5">
              <w:t>10</w:t>
            </w:r>
          </w:p>
        </w:tc>
      </w:tr>
      <w:tr w:rsidR="00D10F3B" w:rsidRPr="008710F5" w14:paraId="488B01A9" w14:textId="77777777" w:rsidTr="003632F4">
        <w:trPr>
          <w:trHeight w:val="650"/>
        </w:trPr>
        <w:tc>
          <w:tcPr>
            <w:tcW w:w="1654" w:type="dxa"/>
          </w:tcPr>
          <w:p w14:paraId="1D74E118" w14:textId="77777777" w:rsidR="00D10F3B" w:rsidRPr="008710F5" w:rsidRDefault="00D10F3B" w:rsidP="003632F4">
            <w:pPr>
              <w:spacing w:line="259" w:lineRule="auto"/>
              <w:jc w:val="both"/>
            </w:pPr>
            <w:r w:rsidRPr="008710F5">
              <w:t>Clinicians</w:t>
            </w:r>
          </w:p>
        </w:tc>
        <w:tc>
          <w:tcPr>
            <w:tcW w:w="6392" w:type="dxa"/>
          </w:tcPr>
          <w:p w14:paraId="27EC243F" w14:textId="77777777" w:rsidR="00D10F3B" w:rsidRPr="008710F5" w:rsidRDefault="00D10F3B" w:rsidP="003632F4">
            <w:pPr>
              <w:spacing w:line="259" w:lineRule="auto"/>
              <w:jc w:val="both"/>
            </w:pPr>
            <w:r w:rsidRPr="008710F5">
              <w:t>Minimum of 5 years of experience in delivering</w:t>
            </w:r>
            <w:r>
              <w:t xml:space="preserve"> support for</w:t>
            </w:r>
            <w:r w:rsidRPr="008710F5">
              <w:t xml:space="preserve"> FAOs </w:t>
            </w:r>
            <w:r>
              <w:t xml:space="preserve">harmed by addiction </w:t>
            </w:r>
            <w:r w:rsidRPr="008710F5">
              <w:fldChar w:fldCharType="begin"/>
            </w:r>
            <w:r>
              <w:instrText xml:space="preserve"> ADDIN EN.CITE &lt;EndNote&gt;&lt;Cite&gt;&lt;Author&gt;Yap&lt;/Author&gt;&lt;Year&gt;2014&lt;/Year&gt;&lt;RecNum&gt;88&lt;/RecNum&gt;&lt;Prefix&gt;e.g. &lt;/Prefix&gt;&lt;DisplayText&gt;(e.g. Yap, Pilkington, Ryan, Kelly, &amp;amp; Jorm, 2014)&lt;/DisplayText&gt;&lt;record&gt;&lt;rec-number&gt;88&lt;/rec-number&gt;&lt;foreign-keys&gt;&lt;key app="EN" db-id="25rszwft292ev3esrpvpde0cpxrd9ex0xspp" timestamp="1570397677"&gt;88&lt;/key&gt;&lt;/foreign-keys&gt;&lt;ref-type name="Journal Article"&gt;17&lt;/ref-type&gt;&lt;contributors&gt;&lt;authors&gt;&lt;author&gt;Yap, Marie BH&lt;/author&gt;&lt;author&gt;Pilkington, Pamela D&lt;/author&gt;&lt;author&gt;Ryan, Siobhan M&lt;/author&gt;&lt;author&gt;Kelly, Claire M&lt;/author&gt;&lt;author&gt;Jorm, Anthony F&lt;/author&gt;&lt;/authors&gt;&lt;/contributors&gt;&lt;titles&gt;&lt;title&gt;Parenting strategies for reducing the risk of adolescent depression and anxiety disorders: a Delphi consensus study&lt;/title&gt;&lt;secondary-title&gt;Journal of affective disorders&lt;/secondary-title&gt;&lt;/titles&gt;&lt;periodical&gt;&lt;full-title&gt;Journal of affective disorders&lt;/full-title&gt;&lt;/periodical&gt;&lt;pages&gt;67-75&lt;/pages&gt;&lt;volume&gt;156&lt;/volume&gt;&lt;dates&gt;&lt;year&gt;2014&lt;/year&gt;&lt;/dates&gt;&lt;isbn&gt;0165-0327&lt;/isbn&gt;&lt;urls&gt;&lt;/urls&gt;&lt;/record&gt;&lt;/Cite&gt;&lt;/EndNote&gt;</w:instrText>
            </w:r>
            <w:r w:rsidRPr="008710F5">
              <w:fldChar w:fldCharType="separate"/>
            </w:r>
            <w:r>
              <w:rPr>
                <w:noProof/>
              </w:rPr>
              <w:t>(e.g. Yap, Pilkington, Ryan, Kelly, &amp; Jorm, 2014)</w:t>
            </w:r>
            <w:r w:rsidRPr="008710F5">
              <w:fldChar w:fldCharType="end"/>
            </w:r>
            <w:r w:rsidRPr="008710F5">
              <w:t>.</w:t>
            </w:r>
          </w:p>
        </w:tc>
        <w:tc>
          <w:tcPr>
            <w:tcW w:w="993" w:type="dxa"/>
          </w:tcPr>
          <w:p w14:paraId="29374627" w14:textId="77777777" w:rsidR="00D10F3B" w:rsidRPr="008710F5" w:rsidRDefault="00D10F3B" w:rsidP="003632F4">
            <w:pPr>
              <w:spacing w:line="259" w:lineRule="auto"/>
              <w:jc w:val="right"/>
            </w:pPr>
            <w:r w:rsidRPr="008710F5">
              <w:t>10</w:t>
            </w:r>
          </w:p>
        </w:tc>
      </w:tr>
      <w:tr w:rsidR="00D10F3B" w:rsidRPr="008710F5" w14:paraId="089585F7" w14:textId="77777777" w:rsidTr="003632F4">
        <w:trPr>
          <w:trHeight w:val="665"/>
        </w:trPr>
        <w:tc>
          <w:tcPr>
            <w:tcW w:w="1654" w:type="dxa"/>
          </w:tcPr>
          <w:p w14:paraId="17CB92C7" w14:textId="77777777" w:rsidR="00D10F3B" w:rsidRPr="008710F5" w:rsidRDefault="00D10F3B" w:rsidP="003632F4">
            <w:pPr>
              <w:spacing w:line="259" w:lineRule="auto"/>
              <w:jc w:val="both"/>
            </w:pPr>
            <w:r w:rsidRPr="008710F5">
              <w:t>Consumer advisors</w:t>
            </w:r>
          </w:p>
        </w:tc>
        <w:tc>
          <w:tcPr>
            <w:tcW w:w="6392" w:type="dxa"/>
          </w:tcPr>
          <w:p w14:paraId="77CAA2B9" w14:textId="661D63D2" w:rsidR="00D10F3B" w:rsidRPr="008710F5" w:rsidRDefault="00D10F3B" w:rsidP="003632F4">
            <w:pPr>
              <w:spacing w:line="259" w:lineRule="auto"/>
              <w:jc w:val="both"/>
            </w:pPr>
            <w:r w:rsidRPr="008710F5">
              <w:t>Lived experience of gambling harm</w:t>
            </w:r>
            <w:r w:rsidR="00AC351B">
              <w:t xml:space="preserve"> </w:t>
            </w:r>
            <w:r w:rsidR="00AC351B" w:rsidRPr="00AC351B">
              <w:t>as people who gamble and</w:t>
            </w:r>
            <w:r w:rsidR="00AC351B">
              <w:t>/or</w:t>
            </w:r>
            <w:r w:rsidR="00AC351B" w:rsidRPr="00AC351B">
              <w:t xml:space="preserve"> as FAOs</w:t>
            </w:r>
            <w:r w:rsidRPr="008710F5">
              <w:t>. Engaged in consumer advisor role with a</w:t>
            </w:r>
            <w:r>
              <w:t xml:space="preserve">n addictions </w:t>
            </w:r>
            <w:r w:rsidRPr="008710F5">
              <w:t>support service or policy agency.</w:t>
            </w:r>
          </w:p>
        </w:tc>
        <w:tc>
          <w:tcPr>
            <w:tcW w:w="993" w:type="dxa"/>
          </w:tcPr>
          <w:p w14:paraId="33D18985" w14:textId="77777777" w:rsidR="00D10F3B" w:rsidRPr="008710F5" w:rsidRDefault="00D10F3B" w:rsidP="003632F4">
            <w:pPr>
              <w:spacing w:line="259" w:lineRule="auto"/>
              <w:jc w:val="right"/>
            </w:pPr>
            <w:r w:rsidRPr="008710F5">
              <w:t>10</w:t>
            </w:r>
          </w:p>
        </w:tc>
      </w:tr>
      <w:tr w:rsidR="00D10F3B" w:rsidRPr="008710F5" w14:paraId="4AE9C0CD" w14:textId="77777777" w:rsidTr="003632F4">
        <w:trPr>
          <w:trHeight w:val="438"/>
        </w:trPr>
        <w:tc>
          <w:tcPr>
            <w:tcW w:w="1654" w:type="dxa"/>
          </w:tcPr>
          <w:p w14:paraId="6B41159E" w14:textId="77777777" w:rsidR="00D10F3B" w:rsidRPr="008710F5" w:rsidRDefault="00D10F3B" w:rsidP="003632F4">
            <w:pPr>
              <w:spacing w:line="259" w:lineRule="auto"/>
              <w:jc w:val="both"/>
            </w:pPr>
            <w:r w:rsidRPr="008710F5">
              <w:t>Service managers</w:t>
            </w:r>
          </w:p>
        </w:tc>
        <w:tc>
          <w:tcPr>
            <w:tcW w:w="6392" w:type="dxa"/>
          </w:tcPr>
          <w:p w14:paraId="3AE733C7" w14:textId="77777777" w:rsidR="00D10F3B" w:rsidRPr="008710F5" w:rsidRDefault="00D10F3B" w:rsidP="003632F4">
            <w:pPr>
              <w:spacing w:line="259" w:lineRule="auto"/>
              <w:jc w:val="both"/>
            </w:pPr>
            <w:r w:rsidRPr="008710F5">
              <w:t xml:space="preserve">Minimum of 5 years of </w:t>
            </w:r>
            <w:r>
              <w:t xml:space="preserve">addictions </w:t>
            </w:r>
            <w:r w:rsidRPr="008710F5">
              <w:t>service planning and/or delivery for FAOs.</w:t>
            </w:r>
          </w:p>
        </w:tc>
        <w:tc>
          <w:tcPr>
            <w:tcW w:w="993" w:type="dxa"/>
          </w:tcPr>
          <w:p w14:paraId="52BA29FD" w14:textId="77777777" w:rsidR="00D10F3B" w:rsidRPr="008710F5" w:rsidRDefault="00D10F3B" w:rsidP="003632F4">
            <w:pPr>
              <w:spacing w:line="259" w:lineRule="auto"/>
              <w:jc w:val="right"/>
            </w:pPr>
            <w:r w:rsidRPr="008710F5">
              <w:t>5</w:t>
            </w:r>
          </w:p>
        </w:tc>
      </w:tr>
      <w:tr w:rsidR="00D10F3B" w:rsidRPr="008710F5" w14:paraId="13AA60E6" w14:textId="77777777" w:rsidTr="003632F4">
        <w:trPr>
          <w:trHeight w:val="423"/>
        </w:trPr>
        <w:tc>
          <w:tcPr>
            <w:tcW w:w="1654" w:type="dxa"/>
          </w:tcPr>
          <w:p w14:paraId="049655EA" w14:textId="20E13258" w:rsidR="00D10F3B" w:rsidRPr="008710F5" w:rsidRDefault="0001065E" w:rsidP="003632F4">
            <w:pPr>
              <w:spacing w:line="259" w:lineRule="auto"/>
              <w:jc w:val="both"/>
            </w:pPr>
            <w:r>
              <w:t>Policymakers</w:t>
            </w:r>
          </w:p>
        </w:tc>
        <w:tc>
          <w:tcPr>
            <w:tcW w:w="6392" w:type="dxa"/>
          </w:tcPr>
          <w:p w14:paraId="166A9288" w14:textId="77777777" w:rsidR="00D10F3B" w:rsidRPr="008710F5" w:rsidRDefault="00D10F3B" w:rsidP="003632F4">
            <w:pPr>
              <w:spacing w:line="259" w:lineRule="auto"/>
              <w:jc w:val="both"/>
            </w:pPr>
            <w:r w:rsidRPr="008710F5">
              <w:t xml:space="preserve">Minimum of 5 years of experience in </w:t>
            </w:r>
            <w:r>
              <w:t>addictions harm reduction</w:t>
            </w:r>
            <w:r w:rsidRPr="008710F5">
              <w:t xml:space="preserve"> policy role.</w:t>
            </w:r>
          </w:p>
        </w:tc>
        <w:tc>
          <w:tcPr>
            <w:tcW w:w="993" w:type="dxa"/>
          </w:tcPr>
          <w:p w14:paraId="11841871" w14:textId="77777777" w:rsidR="00D10F3B" w:rsidRPr="008710F5" w:rsidRDefault="00D10F3B" w:rsidP="003632F4">
            <w:pPr>
              <w:spacing w:line="259" w:lineRule="auto"/>
              <w:jc w:val="right"/>
            </w:pPr>
            <w:r w:rsidRPr="008710F5">
              <w:t>5</w:t>
            </w:r>
          </w:p>
        </w:tc>
      </w:tr>
      <w:bookmarkEnd w:id="65"/>
    </w:tbl>
    <w:p w14:paraId="0A5413BA" w14:textId="77777777" w:rsidR="00D10F3B" w:rsidRDefault="00D10F3B" w:rsidP="00D10F3B">
      <w:pPr>
        <w:spacing w:line="259" w:lineRule="auto"/>
        <w:jc w:val="both"/>
      </w:pPr>
    </w:p>
    <w:p w14:paraId="56857493" w14:textId="77777777" w:rsidR="00D10F3B" w:rsidRDefault="00D10F3B" w:rsidP="00D10F3B">
      <w:pPr>
        <w:spacing w:line="259" w:lineRule="auto"/>
        <w:jc w:val="both"/>
      </w:pPr>
      <w:r>
        <w:t>We sought to include those with expertise/experience in FAO support issues for women, indigenous peoples, and other minority groups. We also aimed to include experience of both the New Zealand, and international contexts in order to open up consideration of a range of possibilities for service enhancement (that may not yet have made it to New Zealand shores).</w:t>
      </w:r>
    </w:p>
    <w:p w14:paraId="58D61979" w14:textId="77777777" w:rsidR="00D10F3B" w:rsidRDefault="00D10F3B" w:rsidP="00D10F3B">
      <w:pPr>
        <w:spacing w:line="259" w:lineRule="auto"/>
        <w:jc w:val="both"/>
      </w:pPr>
    </w:p>
    <w:p w14:paraId="289C0A47" w14:textId="3446FDC9" w:rsidR="00D10F3B" w:rsidRDefault="00D10F3B" w:rsidP="00D10F3B">
      <w:pPr>
        <w:spacing w:line="259" w:lineRule="auto"/>
        <w:jc w:val="both"/>
      </w:pPr>
      <w:r>
        <w:t xml:space="preserve">A list of potential panellists was assembled through the literature review component of this research, by accessing records of gambling and addictions conferences and sector events online, and in consultation with management of the following addictions harm reduction services: GamCare (UK), National Problem Gambling Clinic (UK), Turning Point (Australia), Victorian Responsible Gambling Foundation (Australia), Raukura Hauora o Tainui (NZ), The Problem Gambling Foundation (NZ), and The Salvation Army Oasis Problem Gambling Service (NZ). Snowball sampling was used to gain access to additional participants with </w:t>
      </w:r>
      <w:r>
        <w:lastRenderedPageBreak/>
        <w:t xml:space="preserve">expertise/experience as a consumer of services or in relation to issues for women and minorities. Interested panel members were provided with a Participant Information Sheet (Appendix </w:t>
      </w:r>
      <w:r w:rsidR="00341FAE">
        <w:t>Two</w:t>
      </w:r>
      <w:r>
        <w:t xml:space="preserve">). </w:t>
      </w:r>
      <w:bookmarkStart w:id="66" w:name="_Hlk57881428"/>
      <w:r w:rsidR="00AC351B">
        <w:t xml:space="preserve">We found that consumer advisors with experience as FAOs-only were rare in service </w:t>
      </w:r>
      <w:r w:rsidR="008D2B42">
        <w:t>settings and</w:t>
      </w:r>
      <w:r w:rsidR="00AC351B">
        <w:t xml:space="preserve"> </w:t>
      </w:r>
      <w:r w:rsidR="008D2B42">
        <w:t xml:space="preserve">were therefore </w:t>
      </w:r>
      <w:r w:rsidR="00AC351B">
        <w:t xml:space="preserve">underrepresented in our consultation (just 1 participant out of 9 consumers). Experience as FAOs and as people who gamble was more common (3 out of 9 consumers). </w:t>
      </w:r>
      <w:bookmarkEnd w:id="66"/>
    </w:p>
    <w:p w14:paraId="05431F09" w14:textId="77777777" w:rsidR="00D10F3B" w:rsidRDefault="00D10F3B" w:rsidP="00D10F3B">
      <w:pPr>
        <w:spacing w:line="259" w:lineRule="auto"/>
        <w:jc w:val="both"/>
      </w:pPr>
    </w:p>
    <w:p w14:paraId="7B0A5C8E" w14:textId="627436FC" w:rsidR="00D10F3B" w:rsidRDefault="00D10F3B" w:rsidP="00D10F3B">
      <w:pPr>
        <w:spacing w:line="259" w:lineRule="auto"/>
        <w:jc w:val="both"/>
      </w:pPr>
      <w:r>
        <w:t>A panel of 40 participants completed the Round 1 survey, and 29 participants (73%) also participated in Round 2. Panel recruitment structure and retention of perspectives across the study is presented below (</w:t>
      </w:r>
      <w:r>
        <w:fldChar w:fldCharType="begin"/>
      </w:r>
      <w:r>
        <w:instrText xml:space="preserve"> REF _Ref51237529 \h </w:instrText>
      </w:r>
      <w:r>
        <w:fldChar w:fldCharType="separate"/>
      </w:r>
      <w:r w:rsidR="00DF0799">
        <w:t xml:space="preserve">Table </w:t>
      </w:r>
      <w:r w:rsidR="00DF0799">
        <w:rPr>
          <w:noProof/>
        </w:rPr>
        <w:t>2</w:t>
      </w:r>
      <w:r>
        <w:fldChar w:fldCharType="end"/>
      </w:r>
      <w:r>
        <w:t>). All of the panel members identified expertise/experience in support for FAOs affected by gambling, often in addition to expertise in the broader addictions field. This was particularly the case for participants based outside of New Zealand. Participants could fulfil the criteria for and therefore offer multiple perspectives. A similar balance of perspectives was included in each survey round (</w:t>
      </w:r>
      <w:r>
        <w:fldChar w:fldCharType="begin"/>
      </w:r>
      <w:r>
        <w:instrText xml:space="preserve"> REF _Ref51237529 \h </w:instrText>
      </w:r>
      <w:r>
        <w:fldChar w:fldCharType="separate"/>
      </w:r>
      <w:r w:rsidR="00DF0799">
        <w:t xml:space="preserve">Table </w:t>
      </w:r>
      <w:r w:rsidR="00DF0799">
        <w:rPr>
          <w:noProof/>
        </w:rPr>
        <w:t>2</w:t>
      </w:r>
      <w:r>
        <w:fldChar w:fldCharType="end"/>
      </w:r>
      <w:r>
        <w:t xml:space="preserve">), with research and clinical views comprising approximately half the panel. </w:t>
      </w:r>
      <w:r w:rsidR="00B86EFF">
        <w:t>While numbers dropped overall, proportional</w:t>
      </w:r>
      <w:r>
        <w:t xml:space="preserve"> representation of policy, consumer and workforce development views </w:t>
      </w:r>
      <w:r w:rsidR="00B86EFF">
        <w:t xml:space="preserve">remained </w:t>
      </w:r>
      <w:r>
        <w:t xml:space="preserve">in Round 2. </w:t>
      </w:r>
    </w:p>
    <w:p w14:paraId="578DADF1" w14:textId="77777777" w:rsidR="00D10F3B" w:rsidRDefault="00D10F3B" w:rsidP="00D10F3B">
      <w:pPr>
        <w:jc w:val="both"/>
      </w:pPr>
    </w:p>
    <w:p w14:paraId="7156E837" w14:textId="36630578" w:rsidR="00D10F3B" w:rsidRDefault="00D10F3B" w:rsidP="00D10F3B">
      <w:pPr>
        <w:pStyle w:val="Caption"/>
      </w:pPr>
      <w:bookmarkStart w:id="67" w:name="_Ref51237529"/>
      <w:bookmarkStart w:id="68" w:name="_Toc51240653"/>
      <w:bookmarkStart w:id="69" w:name="_Toc58400635"/>
      <w:r>
        <w:t xml:space="preserve">Table </w:t>
      </w:r>
      <w:r w:rsidR="00D04B86">
        <w:fldChar w:fldCharType="begin"/>
      </w:r>
      <w:r w:rsidR="00D04B86">
        <w:instrText xml:space="preserve"> SEQ Table \* ARABIC </w:instrText>
      </w:r>
      <w:r w:rsidR="00D04B86">
        <w:fldChar w:fldCharType="separate"/>
      </w:r>
      <w:r w:rsidR="00DF0799">
        <w:rPr>
          <w:noProof/>
        </w:rPr>
        <w:t>2</w:t>
      </w:r>
      <w:r w:rsidR="00D04B86">
        <w:rPr>
          <w:noProof/>
        </w:rPr>
        <w:fldChar w:fldCharType="end"/>
      </w:r>
      <w:bookmarkEnd w:id="67"/>
      <w:r>
        <w:t>. Panel structure by sector group perspective</w:t>
      </w:r>
      <w:bookmarkEnd w:id="68"/>
      <w:bookmarkEnd w:id="69"/>
    </w:p>
    <w:tbl>
      <w:tblPr>
        <w:tblStyle w:val="TableGrid"/>
        <w:tblW w:w="0" w:type="auto"/>
        <w:tblLook w:val="04A0" w:firstRow="1" w:lastRow="0" w:firstColumn="1" w:lastColumn="0" w:noHBand="0" w:noVBand="1"/>
      </w:tblPr>
      <w:tblGrid>
        <w:gridCol w:w="2689"/>
        <w:gridCol w:w="1630"/>
        <w:gridCol w:w="1630"/>
      </w:tblGrid>
      <w:tr w:rsidR="00D10F3B" w:rsidRPr="008B7F50" w14:paraId="1E5C3314" w14:textId="77777777" w:rsidTr="003632F4">
        <w:tc>
          <w:tcPr>
            <w:tcW w:w="2689" w:type="dxa"/>
          </w:tcPr>
          <w:p w14:paraId="2E1774E0" w14:textId="77777777" w:rsidR="00D10F3B" w:rsidRPr="008B7F50" w:rsidRDefault="00D10F3B" w:rsidP="003632F4">
            <w:pPr>
              <w:jc w:val="both"/>
              <w:rPr>
                <w:b/>
                <w:bCs/>
                <w:sz w:val="22"/>
                <w:szCs w:val="22"/>
              </w:rPr>
            </w:pPr>
            <w:r w:rsidRPr="008B7F50">
              <w:rPr>
                <w:b/>
                <w:bCs/>
                <w:sz w:val="22"/>
                <w:szCs w:val="22"/>
              </w:rPr>
              <w:t>Perspective</w:t>
            </w:r>
          </w:p>
        </w:tc>
        <w:tc>
          <w:tcPr>
            <w:tcW w:w="1630" w:type="dxa"/>
          </w:tcPr>
          <w:p w14:paraId="54EB889F" w14:textId="77777777" w:rsidR="00D10F3B" w:rsidRDefault="00D10F3B" w:rsidP="003632F4">
            <w:pPr>
              <w:jc w:val="center"/>
              <w:rPr>
                <w:b/>
                <w:bCs/>
                <w:sz w:val="22"/>
                <w:szCs w:val="22"/>
              </w:rPr>
            </w:pPr>
            <w:r w:rsidRPr="008B7F50">
              <w:rPr>
                <w:b/>
                <w:bCs/>
                <w:sz w:val="22"/>
                <w:szCs w:val="22"/>
              </w:rPr>
              <w:t>Round 1</w:t>
            </w:r>
          </w:p>
          <w:p w14:paraId="6AE50E08" w14:textId="77777777" w:rsidR="00D10F3B" w:rsidRPr="008B7F50" w:rsidRDefault="00D10F3B" w:rsidP="003632F4">
            <w:pPr>
              <w:jc w:val="center"/>
              <w:rPr>
                <w:b/>
                <w:bCs/>
                <w:sz w:val="22"/>
                <w:szCs w:val="22"/>
              </w:rPr>
            </w:pPr>
            <w:r>
              <w:rPr>
                <w:b/>
                <w:bCs/>
                <w:sz w:val="22"/>
                <w:szCs w:val="22"/>
              </w:rPr>
              <w:t>n=40</w:t>
            </w:r>
          </w:p>
        </w:tc>
        <w:tc>
          <w:tcPr>
            <w:tcW w:w="1630" w:type="dxa"/>
          </w:tcPr>
          <w:p w14:paraId="705833AD" w14:textId="77777777" w:rsidR="00D10F3B" w:rsidRDefault="00D10F3B" w:rsidP="003632F4">
            <w:pPr>
              <w:jc w:val="center"/>
              <w:rPr>
                <w:b/>
                <w:bCs/>
                <w:sz w:val="22"/>
                <w:szCs w:val="22"/>
              </w:rPr>
            </w:pPr>
            <w:r>
              <w:rPr>
                <w:b/>
                <w:bCs/>
                <w:sz w:val="22"/>
                <w:szCs w:val="22"/>
              </w:rPr>
              <w:t>Round 2</w:t>
            </w:r>
          </w:p>
          <w:p w14:paraId="02C36DE9" w14:textId="77777777" w:rsidR="00D10F3B" w:rsidRPr="008B7F50" w:rsidRDefault="00D10F3B" w:rsidP="003632F4">
            <w:pPr>
              <w:jc w:val="center"/>
              <w:rPr>
                <w:b/>
                <w:bCs/>
                <w:sz w:val="22"/>
                <w:szCs w:val="22"/>
              </w:rPr>
            </w:pPr>
            <w:r>
              <w:rPr>
                <w:b/>
                <w:bCs/>
                <w:sz w:val="22"/>
                <w:szCs w:val="22"/>
              </w:rPr>
              <w:t>n=29</w:t>
            </w:r>
          </w:p>
        </w:tc>
      </w:tr>
      <w:tr w:rsidR="00D10F3B" w:rsidRPr="008B7F50" w14:paraId="37AE5684" w14:textId="77777777" w:rsidTr="003632F4">
        <w:tc>
          <w:tcPr>
            <w:tcW w:w="2689" w:type="dxa"/>
          </w:tcPr>
          <w:p w14:paraId="522038EB" w14:textId="77777777" w:rsidR="00D10F3B" w:rsidRPr="008B7F50" w:rsidRDefault="00D10F3B" w:rsidP="003632F4">
            <w:pPr>
              <w:jc w:val="both"/>
              <w:rPr>
                <w:b/>
                <w:bCs/>
                <w:sz w:val="22"/>
                <w:szCs w:val="22"/>
              </w:rPr>
            </w:pPr>
          </w:p>
        </w:tc>
        <w:tc>
          <w:tcPr>
            <w:tcW w:w="1630" w:type="dxa"/>
          </w:tcPr>
          <w:p w14:paraId="3934781F" w14:textId="77777777" w:rsidR="00D10F3B" w:rsidRPr="00C5044E" w:rsidRDefault="00D10F3B" w:rsidP="003632F4">
            <w:pPr>
              <w:jc w:val="right"/>
              <w:rPr>
                <w:sz w:val="22"/>
                <w:szCs w:val="22"/>
              </w:rPr>
            </w:pPr>
            <w:r w:rsidRPr="00C5044E">
              <w:rPr>
                <w:sz w:val="22"/>
                <w:szCs w:val="22"/>
              </w:rPr>
              <w:t>n (%)</w:t>
            </w:r>
          </w:p>
        </w:tc>
        <w:tc>
          <w:tcPr>
            <w:tcW w:w="1630" w:type="dxa"/>
          </w:tcPr>
          <w:p w14:paraId="2CF1148E" w14:textId="77777777" w:rsidR="00D10F3B" w:rsidRPr="00C5044E" w:rsidRDefault="00D10F3B" w:rsidP="003632F4">
            <w:pPr>
              <w:jc w:val="right"/>
              <w:rPr>
                <w:sz w:val="22"/>
                <w:szCs w:val="22"/>
              </w:rPr>
            </w:pPr>
            <w:r w:rsidRPr="00C5044E">
              <w:rPr>
                <w:sz w:val="22"/>
                <w:szCs w:val="22"/>
              </w:rPr>
              <w:t>n (%)</w:t>
            </w:r>
          </w:p>
        </w:tc>
      </w:tr>
      <w:tr w:rsidR="00D10F3B" w14:paraId="359C8D42" w14:textId="77777777" w:rsidTr="003632F4">
        <w:tc>
          <w:tcPr>
            <w:tcW w:w="2689" w:type="dxa"/>
          </w:tcPr>
          <w:p w14:paraId="3639D202" w14:textId="77777777" w:rsidR="00D10F3B" w:rsidRPr="008B7F50" w:rsidRDefault="00D10F3B" w:rsidP="003632F4">
            <w:pPr>
              <w:jc w:val="both"/>
              <w:rPr>
                <w:sz w:val="22"/>
                <w:szCs w:val="22"/>
              </w:rPr>
            </w:pPr>
            <w:r w:rsidRPr="008B7F50">
              <w:rPr>
                <w:sz w:val="22"/>
                <w:szCs w:val="22"/>
              </w:rPr>
              <w:t xml:space="preserve">Research </w:t>
            </w:r>
          </w:p>
        </w:tc>
        <w:tc>
          <w:tcPr>
            <w:tcW w:w="1630" w:type="dxa"/>
          </w:tcPr>
          <w:p w14:paraId="633A5836" w14:textId="77777777" w:rsidR="00D10F3B" w:rsidRPr="008B7F50" w:rsidRDefault="00D10F3B" w:rsidP="003632F4">
            <w:pPr>
              <w:jc w:val="right"/>
              <w:rPr>
                <w:sz w:val="22"/>
                <w:szCs w:val="22"/>
              </w:rPr>
            </w:pPr>
            <w:r>
              <w:rPr>
                <w:sz w:val="22"/>
                <w:szCs w:val="22"/>
              </w:rPr>
              <w:t>20 (50)</w:t>
            </w:r>
          </w:p>
        </w:tc>
        <w:tc>
          <w:tcPr>
            <w:tcW w:w="1630" w:type="dxa"/>
          </w:tcPr>
          <w:p w14:paraId="50570661" w14:textId="77777777" w:rsidR="00D10F3B" w:rsidRPr="008B7F50" w:rsidRDefault="00D10F3B" w:rsidP="003632F4">
            <w:pPr>
              <w:jc w:val="right"/>
              <w:rPr>
                <w:sz w:val="22"/>
                <w:szCs w:val="22"/>
              </w:rPr>
            </w:pPr>
            <w:r>
              <w:rPr>
                <w:sz w:val="22"/>
                <w:szCs w:val="22"/>
              </w:rPr>
              <w:t>14 (48)</w:t>
            </w:r>
          </w:p>
        </w:tc>
      </w:tr>
      <w:tr w:rsidR="00D10F3B" w14:paraId="1DFAE436" w14:textId="77777777" w:rsidTr="003632F4">
        <w:tc>
          <w:tcPr>
            <w:tcW w:w="2689" w:type="dxa"/>
          </w:tcPr>
          <w:p w14:paraId="51E3E488" w14:textId="77777777" w:rsidR="00D10F3B" w:rsidRPr="008B7F50" w:rsidRDefault="00D10F3B" w:rsidP="003632F4">
            <w:pPr>
              <w:jc w:val="both"/>
              <w:rPr>
                <w:sz w:val="22"/>
                <w:szCs w:val="22"/>
              </w:rPr>
            </w:pPr>
            <w:r>
              <w:rPr>
                <w:sz w:val="22"/>
                <w:szCs w:val="22"/>
              </w:rPr>
              <w:t>Clinician/practitioner</w:t>
            </w:r>
          </w:p>
        </w:tc>
        <w:tc>
          <w:tcPr>
            <w:tcW w:w="1630" w:type="dxa"/>
          </w:tcPr>
          <w:p w14:paraId="2EC32128" w14:textId="77777777" w:rsidR="00D10F3B" w:rsidRPr="008B7F50" w:rsidRDefault="00D10F3B" w:rsidP="003632F4">
            <w:pPr>
              <w:jc w:val="right"/>
              <w:rPr>
                <w:sz w:val="22"/>
                <w:szCs w:val="22"/>
              </w:rPr>
            </w:pPr>
            <w:r>
              <w:rPr>
                <w:sz w:val="22"/>
                <w:szCs w:val="22"/>
              </w:rPr>
              <w:t>18 (45)</w:t>
            </w:r>
          </w:p>
        </w:tc>
        <w:tc>
          <w:tcPr>
            <w:tcW w:w="1630" w:type="dxa"/>
          </w:tcPr>
          <w:p w14:paraId="0EDBB6A7" w14:textId="77777777" w:rsidR="00D10F3B" w:rsidRPr="008B7F50" w:rsidRDefault="00D10F3B" w:rsidP="003632F4">
            <w:pPr>
              <w:jc w:val="right"/>
              <w:rPr>
                <w:sz w:val="22"/>
                <w:szCs w:val="22"/>
              </w:rPr>
            </w:pPr>
            <w:r>
              <w:rPr>
                <w:sz w:val="22"/>
                <w:szCs w:val="22"/>
              </w:rPr>
              <w:t>13 (45)</w:t>
            </w:r>
          </w:p>
        </w:tc>
      </w:tr>
      <w:tr w:rsidR="00D10F3B" w14:paraId="415D1A50" w14:textId="77777777" w:rsidTr="003632F4">
        <w:tc>
          <w:tcPr>
            <w:tcW w:w="2689" w:type="dxa"/>
          </w:tcPr>
          <w:p w14:paraId="3D11A04B" w14:textId="77777777" w:rsidR="00D10F3B" w:rsidRPr="008B7F50" w:rsidRDefault="00D10F3B" w:rsidP="003632F4">
            <w:pPr>
              <w:jc w:val="both"/>
              <w:rPr>
                <w:sz w:val="22"/>
                <w:szCs w:val="22"/>
              </w:rPr>
            </w:pPr>
            <w:r w:rsidRPr="008B7F50">
              <w:rPr>
                <w:sz w:val="22"/>
                <w:szCs w:val="22"/>
              </w:rPr>
              <w:t xml:space="preserve">Service management </w:t>
            </w:r>
          </w:p>
        </w:tc>
        <w:tc>
          <w:tcPr>
            <w:tcW w:w="1630" w:type="dxa"/>
          </w:tcPr>
          <w:p w14:paraId="683F2B52" w14:textId="77777777" w:rsidR="00D10F3B" w:rsidRPr="008B7F50" w:rsidRDefault="00D10F3B" w:rsidP="003632F4">
            <w:pPr>
              <w:jc w:val="right"/>
              <w:rPr>
                <w:sz w:val="22"/>
                <w:szCs w:val="22"/>
              </w:rPr>
            </w:pPr>
            <w:r>
              <w:rPr>
                <w:sz w:val="22"/>
                <w:szCs w:val="22"/>
              </w:rPr>
              <w:t xml:space="preserve">14 (35) </w:t>
            </w:r>
          </w:p>
        </w:tc>
        <w:tc>
          <w:tcPr>
            <w:tcW w:w="1630" w:type="dxa"/>
          </w:tcPr>
          <w:p w14:paraId="5A6DCCF8" w14:textId="77777777" w:rsidR="00D10F3B" w:rsidRPr="008B7F50" w:rsidRDefault="00D10F3B" w:rsidP="003632F4">
            <w:pPr>
              <w:jc w:val="right"/>
              <w:rPr>
                <w:sz w:val="22"/>
                <w:szCs w:val="22"/>
              </w:rPr>
            </w:pPr>
            <w:r>
              <w:rPr>
                <w:sz w:val="22"/>
                <w:szCs w:val="22"/>
              </w:rPr>
              <w:t>11 (38)</w:t>
            </w:r>
          </w:p>
        </w:tc>
      </w:tr>
      <w:tr w:rsidR="00D10F3B" w14:paraId="61757124" w14:textId="77777777" w:rsidTr="003632F4">
        <w:tc>
          <w:tcPr>
            <w:tcW w:w="2689" w:type="dxa"/>
          </w:tcPr>
          <w:p w14:paraId="2BC74F32" w14:textId="77777777" w:rsidR="00D10F3B" w:rsidRPr="008B7F50" w:rsidRDefault="00D10F3B" w:rsidP="003632F4">
            <w:pPr>
              <w:jc w:val="both"/>
              <w:rPr>
                <w:sz w:val="22"/>
                <w:szCs w:val="22"/>
              </w:rPr>
            </w:pPr>
            <w:r>
              <w:rPr>
                <w:sz w:val="22"/>
                <w:szCs w:val="22"/>
              </w:rPr>
              <w:t>Policy</w:t>
            </w:r>
          </w:p>
        </w:tc>
        <w:tc>
          <w:tcPr>
            <w:tcW w:w="1630" w:type="dxa"/>
          </w:tcPr>
          <w:p w14:paraId="18360CBB" w14:textId="77777777" w:rsidR="00D10F3B" w:rsidRPr="008B7F50" w:rsidRDefault="00D10F3B" w:rsidP="003632F4">
            <w:pPr>
              <w:jc w:val="right"/>
              <w:rPr>
                <w:sz w:val="22"/>
                <w:szCs w:val="22"/>
              </w:rPr>
            </w:pPr>
            <w:r>
              <w:rPr>
                <w:sz w:val="22"/>
                <w:szCs w:val="22"/>
              </w:rPr>
              <w:t>9 (23)</w:t>
            </w:r>
          </w:p>
        </w:tc>
        <w:tc>
          <w:tcPr>
            <w:tcW w:w="1630" w:type="dxa"/>
          </w:tcPr>
          <w:p w14:paraId="6C93140F" w14:textId="77777777" w:rsidR="00D10F3B" w:rsidRPr="008B7F50" w:rsidRDefault="00D10F3B" w:rsidP="003632F4">
            <w:pPr>
              <w:jc w:val="right"/>
              <w:rPr>
                <w:sz w:val="22"/>
                <w:szCs w:val="22"/>
              </w:rPr>
            </w:pPr>
            <w:r>
              <w:rPr>
                <w:sz w:val="22"/>
                <w:szCs w:val="22"/>
              </w:rPr>
              <w:t>8 (28)</w:t>
            </w:r>
          </w:p>
        </w:tc>
      </w:tr>
      <w:tr w:rsidR="00D10F3B" w14:paraId="0472EEA4" w14:textId="77777777" w:rsidTr="003632F4">
        <w:tc>
          <w:tcPr>
            <w:tcW w:w="2689" w:type="dxa"/>
          </w:tcPr>
          <w:p w14:paraId="71826F48" w14:textId="77777777" w:rsidR="00D10F3B" w:rsidRPr="008B7F50" w:rsidRDefault="00D10F3B" w:rsidP="003632F4">
            <w:pPr>
              <w:jc w:val="both"/>
              <w:rPr>
                <w:sz w:val="22"/>
                <w:szCs w:val="22"/>
              </w:rPr>
            </w:pPr>
            <w:r>
              <w:rPr>
                <w:sz w:val="22"/>
                <w:szCs w:val="22"/>
              </w:rPr>
              <w:t>Consumer</w:t>
            </w:r>
          </w:p>
        </w:tc>
        <w:tc>
          <w:tcPr>
            <w:tcW w:w="1630" w:type="dxa"/>
          </w:tcPr>
          <w:p w14:paraId="33F40B01" w14:textId="77777777" w:rsidR="00D10F3B" w:rsidRPr="008B7F50" w:rsidRDefault="00D10F3B" w:rsidP="003632F4">
            <w:pPr>
              <w:jc w:val="right"/>
              <w:rPr>
                <w:sz w:val="22"/>
                <w:szCs w:val="22"/>
              </w:rPr>
            </w:pPr>
            <w:r>
              <w:rPr>
                <w:sz w:val="22"/>
                <w:szCs w:val="22"/>
              </w:rPr>
              <w:t>9 (23)</w:t>
            </w:r>
          </w:p>
        </w:tc>
        <w:tc>
          <w:tcPr>
            <w:tcW w:w="1630" w:type="dxa"/>
          </w:tcPr>
          <w:p w14:paraId="3456E3EE" w14:textId="77777777" w:rsidR="00D10F3B" w:rsidRPr="008B7F50" w:rsidRDefault="00D10F3B" w:rsidP="003632F4">
            <w:pPr>
              <w:jc w:val="right"/>
              <w:rPr>
                <w:sz w:val="22"/>
                <w:szCs w:val="22"/>
              </w:rPr>
            </w:pPr>
            <w:r>
              <w:rPr>
                <w:sz w:val="22"/>
                <w:szCs w:val="22"/>
              </w:rPr>
              <w:t>6 (21)</w:t>
            </w:r>
          </w:p>
        </w:tc>
      </w:tr>
      <w:tr w:rsidR="00D10F3B" w14:paraId="6D414633" w14:textId="77777777" w:rsidTr="003632F4">
        <w:tc>
          <w:tcPr>
            <w:tcW w:w="2689" w:type="dxa"/>
          </w:tcPr>
          <w:p w14:paraId="4839C080" w14:textId="77777777" w:rsidR="00D10F3B" w:rsidRDefault="00D10F3B" w:rsidP="003632F4">
            <w:pPr>
              <w:jc w:val="both"/>
              <w:rPr>
                <w:sz w:val="22"/>
                <w:szCs w:val="22"/>
              </w:rPr>
            </w:pPr>
            <w:r>
              <w:rPr>
                <w:sz w:val="22"/>
                <w:szCs w:val="22"/>
              </w:rPr>
              <w:t>Workforce development</w:t>
            </w:r>
          </w:p>
        </w:tc>
        <w:tc>
          <w:tcPr>
            <w:tcW w:w="1630" w:type="dxa"/>
          </w:tcPr>
          <w:p w14:paraId="6A9ACDCE" w14:textId="77777777" w:rsidR="00D10F3B" w:rsidRDefault="00D10F3B" w:rsidP="003632F4">
            <w:pPr>
              <w:jc w:val="right"/>
              <w:rPr>
                <w:sz w:val="22"/>
                <w:szCs w:val="22"/>
              </w:rPr>
            </w:pPr>
            <w:r>
              <w:rPr>
                <w:sz w:val="22"/>
                <w:szCs w:val="22"/>
              </w:rPr>
              <w:t>2 (5)</w:t>
            </w:r>
          </w:p>
        </w:tc>
        <w:tc>
          <w:tcPr>
            <w:tcW w:w="1630" w:type="dxa"/>
          </w:tcPr>
          <w:p w14:paraId="4FD659D6" w14:textId="77777777" w:rsidR="00D10F3B" w:rsidRPr="008B7F50" w:rsidRDefault="00D10F3B" w:rsidP="003632F4">
            <w:pPr>
              <w:jc w:val="right"/>
              <w:rPr>
                <w:sz w:val="22"/>
                <w:szCs w:val="22"/>
              </w:rPr>
            </w:pPr>
            <w:r>
              <w:rPr>
                <w:sz w:val="22"/>
                <w:szCs w:val="22"/>
              </w:rPr>
              <w:t>2 (7)</w:t>
            </w:r>
          </w:p>
        </w:tc>
      </w:tr>
    </w:tbl>
    <w:p w14:paraId="7C2EFC19" w14:textId="77777777" w:rsidR="00D10F3B" w:rsidRDefault="00D10F3B" w:rsidP="00D10F3B">
      <w:pPr>
        <w:jc w:val="both"/>
      </w:pPr>
    </w:p>
    <w:p w14:paraId="318A48BD" w14:textId="7231AFC3" w:rsidR="00D10F3B" w:rsidRDefault="00D10F3B" w:rsidP="00D10F3B">
      <w:pPr>
        <w:jc w:val="both"/>
      </w:pPr>
      <w:r w:rsidRPr="00A71CF6">
        <w:t xml:space="preserve">The panel identified additional expertise and/or experience working and/or conducting research with specific FAO population groups. The distribution of this expertise/experience across the </w:t>
      </w:r>
      <w:r w:rsidR="00C35682">
        <w:t xml:space="preserve">two survey rounds </w:t>
      </w:r>
      <w:r w:rsidRPr="00A71CF6">
        <w:t xml:space="preserve">is shown in </w:t>
      </w:r>
      <w:r w:rsidRPr="00A71CF6">
        <w:fldChar w:fldCharType="begin"/>
      </w:r>
      <w:r w:rsidRPr="00A71CF6">
        <w:instrText xml:space="preserve"> REF _Ref51238283 \h  \* MERGEFORMAT </w:instrText>
      </w:r>
      <w:r w:rsidRPr="00A71CF6">
        <w:fldChar w:fldCharType="separate"/>
      </w:r>
      <w:r w:rsidR="00DF0799">
        <w:t xml:space="preserve">Table </w:t>
      </w:r>
      <w:r w:rsidR="00DF0799">
        <w:rPr>
          <w:noProof/>
        </w:rPr>
        <w:t>3</w:t>
      </w:r>
      <w:r w:rsidRPr="00A71CF6">
        <w:fldChar w:fldCharType="end"/>
      </w:r>
      <w:r w:rsidRPr="00A71CF6">
        <w:t>.</w:t>
      </w:r>
      <w:r>
        <w:t xml:space="preserve"> Around a fifth of experts had knowledge of issues for women, </w:t>
      </w:r>
      <w:r w:rsidRPr="008710F5">
        <w:t>Māori</w:t>
      </w:r>
      <w:r>
        <w:t xml:space="preserve"> and other indigenous populations. Five participants identified expertise in relation to Asian communities, and three participants held knowledge of issues for FAOs in communities of people with Pacific Island heritage. </w:t>
      </w:r>
    </w:p>
    <w:p w14:paraId="211545AA" w14:textId="77777777" w:rsidR="00D10F3B" w:rsidRDefault="00D10F3B" w:rsidP="00D10F3B">
      <w:pPr>
        <w:jc w:val="both"/>
      </w:pPr>
    </w:p>
    <w:p w14:paraId="481E5DC7" w14:textId="609142D9" w:rsidR="00D10F3B" w:rsidRDefault="00D10F3B" w:rsidP="00D10F3B">
      <w:pPr>
        <w:pStyle w:val="Caption"/>
      </w:pPr>
      <w:bookmarkStart w:id="70" w:name="_Ref51238283"/>
      <w:bookmarkStart w:id="71" w:name="_Toc51240654"/>
      <w:bookmarkStart w:id="72" w:name="_Toc58400636"/>
      <w:r>
        <w:t xml:space="preserve">Table </w:t>
      </w:r>
      <w:r w:rsidR="00D04B86">
        <w:fldChar w:fldCharType="begin"/>
      </w:r>
      <w:r w:rsidR="00D04B86">
        <w:instrText xml:space="preserve"> SEQ Table \* ARABIC </w:instrText>
      </w:r>
      <w:r w:rsidR="00D04B86">
        <w:fldChar w:fldCharType="separate"/>
      </w:r>
      <w:r w:rsidR="00DF0799">
        <w:rPr>
          <w:noProof/>
        </w:rPr>
        <w:t>3</w:t>
      </w:r>
      <w:r w:rsidR="00D04B86">
        <w:rPr>
          <w:noProof/>
        </w:rPr>
        <w:fldChar w:fldCharType="end"/>
      </w:r>
      <w:bookmarkEnd w:id="70"/>
      <w:r>
        <w:t>. Panel identified expertise/experience with FAO population groups</w:t>
      </w:r>
      <w:bookmarkEnd w:id="71"/>
      <w:bookmarkEnd w:id="72"/>
    </w:p>
    <w:tbl>
      <w:tblPr>
        <w:tblStyle w:val="TableGrid"/>
        <w:tblW w:w="0" w:type="auto"/>
        <w:tblLook w:val="04A0" w:firstRow="1" w:lastRow="0" w:firstColumn="1" w:lastColumn="0" w:noHBand="0" w:noVBand="1"/>
      </w:tblPr>
      <w:tblGrid>
        <w:gridCol w:w="3114"/>
        <w:gridCol w:w="1417"/>
        <w:gridCol w:w="1418"/>
      </w:tblGrid>
      <w:tr w:rsidR="00D10F3B" w:rsidRPr="000F0280" w14:paraId="57A3DD21" w14:textId="77777777" w:rsidTr="003632F4">
        <w:tc>
          <w:tcPr>
            <w:tcW w:w="3114" w:type="dxa"/>
          </w:tcPr>
          <w:p w14:paraId="50007F06" w14:textId="77777777" w:rsidR="00D10F3B" w:rsidRPr="000F0280" w:rsidRDefault="00D10F3B" w:rsidP="003632F4">
            <w:pPr>
              <w:jc w:val="both"/>
              <w:rPr>
                <w:b/>
                <w:bCs/>
                <w:sz w:val="22"/>
                <w:szCs w:val="22"/>
              </w:rPr>
            </w:pPr>
            <w:r>
              <w:rPr>
                <w:b/>
                <w:bCs/>
                <w:sz w:val="22"/>
                <w:szCs w:val="22"/>
              </w:rPr>
              <w:t>FAO population groups</w:t>
            </w:r>
          </w:p>
        </w:tc>
        <w:tc>
          <w:tcPr>
            <w:tcW w:w="1417" w:type="dxa"/>
          </w:tcPr>
          <w:p w14:paraId="3E15D9F4" w14:textId="77777777" w:rsidR="00D10F3B" w:rsidRDefault="00D10F3B" w:rsidP="003632F4">
            <w:pPr>
              <w:jc w:val="center"/>
              <w:rPr>
                <w:b/>
                <w:bCs/>
                <w:sz w:val="22"/>
                <w:szCs w:val="22"/>
              </w:rPr>
            </w:pPr>
            <w:r w:rsidRPr="008B7F50">
              <w:rPr>
                <w:b/>
                <w:bCs/>
                <w:sz w:val="22"/>
                <w:szCs w:val="22"/>
              </w:rPr>
              <w:t>Round 1</w:t>
            </w:r>
          </w:p>
          <w:p w14:paraId="67573822" w14:textId="77777777" w:rsidR="00D10F3B" w:rsidRPr="000F0280" w:rsidRDefault="00D10F3B" w:rsidP="003632F4">
            <w:pPr>
              <w:jc w:val="center"/>
              <w:rPr>
                <w:b/>
                <w:bCs/>
                <w:sz w:val="22"/>
                <w:szCs w:val="22"/>
              </w:rPr>
            </w:pPr>
            <w:r>
              <w:rPr>
                <w:b/>
                <w:bCs/>
                <w:sz w:val="22"/>
                <w:szCs w:val="22"/>
              </w:rPr>
              <w:t>n=40</w:t>
            </w:r>
          </w:p>
        </w:tc>
        <w:tc>
          <w:tcPr>
            <w:tcW w:w="1418" w:type="dxa"/>
          </w:tcPr>
          <w:p w14:paraId="18117008" w14:textId="77777777" w:rsidR="00D10F3B" w:rsidRDefault="00D10F3B" w:rsidP="003632F4">
            <w:pPr>
              <w:jc w:val="center"/>
              <w:rPr>
                <w:b/>
                <w:bCs/>
                <w:sz w:val="22"/>
                <w:szCs w:val="22"/>
              </w:rPr>
            </w:pPr>
            <w:r>
              <w:rPr>
                <w:b/>
                <w:bCs/>
                <w:sz w:val="22"/>
                <w:szCs w:val="22"/>
              </w:rPr>
              <w:t>Round 2</w:t>
            </w:r>
          </w:p>
          <w:p w14:paraId="7003AA29" w14:textId="77777777" w:rsidR="00D10F3B" w:rsidRPr="000F0280" w:rsidRDefault="00D10F3B" w:rsidP="003632F4">
            <w:pPr>
              <w:jc w:val="center"/>
              <w:rPr>
                <w:b/>
                <w:bCs/>
                <w:sz w:val="22"/>
                <w:szCs w:val="22"/>
              </w:rPr>
            </w:pPr>
            <w:r>
              <w:rPr>
                <w:b/>
                <w:bCs/>
                <w:sz w:val="22"/>
                <w:szCs w:val="22"/>
              </w:rPr>
              <w:t>n=29</w:t>
            </w:r>
          </w:p>
        </w:tc>
      </w:tr>
      <w:tr w:rsidR="00D10F3B" w:rsidRPr="000F0280" w14:paraId="7BC7C56F" w14:textId="77777777" w:rsidTr="003632F4">
        <w:tc>
          <w:tcPr>
            <w:tcW w:w="3114" w:type="dxa"/>
          </w:tcPr>
          <w:p w14:paraId="44672D1B" w14:textId="77777777" w:rsidR="00D10F3B" w:rsidRDefault="00D10F3B" w:rsidP="003632F4">
            <w:pPr>
              <w:jc w:val="both"/>
              <w:rPr>
                <w:b/>
                <w:bCs/>
                <w:sz w:val="22"/>
                <w:szCs w:val="22"/>
              </w:rPr>
            </w:pPr>
          </w:p>
        </w:tc>
        <w:tc>
          <w:tcPr>
            <w:tcW w:w="1417" w:type="dxa"/>
          </w:tcPr>
          <w:p w14:paraId="453A30C9" w14:textId="77777777" w:rsidR="00D10F3B" w:rsidRPr="000F0280" w:rsidRDefault="00D10F3B" w:rsidP="003632F4">
            <w:pPr>
              <w:jc w:val="right"/>
              <w:rPr>
                <w:b/>
                <w:bCs/>
                <w:sz w:val="22"/>
                <w:szCs w:val="22"/>
              </w:rPr>
            </w:pPr>
            <w:r w:rsidRPr="00C5044E">
              <w:rPr>
                <w:sz w:val="22"/>
                <w:szCs w:val="22"/>
              </w:rPr>
              <w:t>n (%)</w:t>
            </w:r>
          </w:p>
        </w:tc>
        <w:tc>
          <w:tcPr>
            <w:tcW w:w="1418" w:type="dxa"/>
          </w:tcPr>
          <w:p w14:paraId="646E6FE6" w14:textId="77777777" w:rsidR="00D10F3B" w:rsidRPr="000F0280" w:rsidRDefault="00D10F3B" w:rsidP="003632F4">
            <w:pPr>
              <w:jc w:val="right"/>
              <w:rPr>
                <w:b/>
                <w:bCs/>
                <w:sz w:val="22"/>
                <w:szCs w:val="22"/>
              </w:rPr>
            </w:pPr>
            <w:r w:rsidRPr="00C5044E">
              <w:rPr>
                <w:sz w:val="22"/>
                <w:szCs w:val="22"/>
              </w:rPr>
              <w:t>n (%)</w:t>
            </w:r>
          </w:p>
        </w:tc>
      </w:tr>
      <w:tr w:rsidR="00D10F3B" w14:paraId="11EF93C7" w14:textId="77777777" w:rsidTr="003632F4">
        <w:tc>
          <w:tcPr>
            <w:tcW w:w="3114" w:type="dxa"/>
          </w:tcPr>
          <w:p w14:paraId="39EE2F55" w14:textId="77777777" w:rsidR="00D10F3B" w:rsidRDefault="00D10F3B" w:rsidP="003632F4">
            <w:pPr>
              <w:jc w:val="both"/>
              <w:rPr>
                <w:sz w:val="22"/>
                <w:szCs w:val="22"/>
              </w:rPr>
            </w:pPr>
            <w:r>
              <w:rPr>
                <w:sz w:val="22"/>
                <w:szCs w:val="22"/>
              </w:rPr>
              <w:t>Women</w:t>
            </w:r>
          </w:p>
        </w:tc>
        <w:tc>
          <w:tcPr>
            <w:tcW w:w="1417" w:type="dxa"/>
          </w:tcPr>
          <w:p w14:paraId="019A9B09" w14:textId="77777777" w:rsidR="00D10F3B" w:rsidRDefault="00D10F3B" w:rsidP="003632F4">
            <w:pPr>
              <w:jc w:val="right"/>
              <w:rPr>
                <w:sz w:val="22"/>
                <w:szCs w:val="22"/>
              </w:rPr>
            </w:pPr>
            <w:r>
              <w:rPr>
                <w:sz w:val="22"/>
                <w:szCs w:val="22"/>
              </w:rPr>
              <w:t>7 (18)</w:t>
            </w:r>
          </w:p>
        </w:tc>
        <w:tc>
          <w:tcPr>
            <w:tcW w:w="1418" w:type="dxa"/>
          </w:tcPr>
          <w:p w14:paraId="233A62DE" w14:textId="77777777" w:rsidR="00D10F3B" w:rsidRDefault="00D10F3B" w:rsidP="003632F4">
            <w:pPr>
              <w:jc w:val="right"/>
              <w:rPr>
                <w:sz w:val="22"/>
                <w:szCs w:val="22"/>
              </w:rPr>
            </w:pPr>
            <w:r>
              <w:rPr>
                <w:sz w:val="22"/>
                <w:szCs w:val="22"/>
              </w:rPr>
              <w:t>7 (24)</w:t>
            </w:r>
          </w:p>
        </w:tc>
      </w:tr>
      <w:tr w:rsidR="00D10F3B" w14:paraId="48CA141A" w14:textId="77777777" w:rsidTr="003632F4">
        <w:tc>
          <w:tcPr>
            <w:tcW w:w="3114" w:type="dxa"/>
          </w:tcPr>
          <w:p w14:paraId="2F04EFF4" w14:textId="77777777" w:rsidR="00D10F3B" w:rsidRDefault="00D10F3B" w:rsidP="003632F4">
            <w:pPr>
              <w:jc w:val="both"/>
              <w:rPr>
                <w:sz w:val="22"/>
                <w:szCs w:val="22"/>
              </w:rPr>
            </w:pPr>
            <w:r>
              <w:rPr>
                <w:sz w:val="22"/>
                <w:szCs w:val="22"/>
              </w:rPr>
              <w:t>Men</w:t>
            </w:r>
          </w:p>
        </w:tc>
        <w:tc>
          <w:tcPr>
            <w:tcW w:w="1417" w:type="dxa"/>
          </w:tcPr>
          <w:p w14:paraId="6B763DBD" w14:textId="77777777" w:rsidR="00D10F3B" w:rsidRDefault="00D10F3B" w:rsidP="003632F4">
            <w:pPr>
              <w:jc w:val="right"/>
              <w:rPr>
                <w:sz w:val="22"/>
                <w:szCs w:val="22"/>
              </w:rPr>
            </w:pPr>
            <w:r>
              <w:rPr>
                <w:sz w:val="22"/>
                <w:szCs w:val="22"/>
              </w:rPr>
              <w:t>1 (3)</w:t>
            </w:r>
          </w:p>
        </w:tc>
        <w:tc>
          <w:tcPr>
            <w:tcW w:w="1418" w:type="dxa"/>
          </w:tcPr>
          <w:p w14:paraId="322B78E7" w14:textId="77777777" w:rsidR="00D10F3B" w:rsidRDefault="00D10F3B" w:rsidP="003632F4">
            <w:pPr>
              <w:jc w:val="right"/>
              <w:rPr>
                <w:sz w:val="22"/>
                <w:szCs w:val="22"/>
              </w:rPr>
            </w:pPr>
            <w:r>
              <w:rPr>
                <w:sz w:val="22"/>
                <w:szCs w:val="22"/>
              </w:rPr>
              <w:t>1 (3)</w:t>
            </w:r>
          </w:p>
        </w:tc>
      </w:tr>
      <w:tr w:rsidR="00D10F3B" w14:paraId="6353057B" w14:textId="77777777" w:rsidTr="003632F4">
        <w:tc>
          <w:tcPr>
            <w:tcW w:w="3114" w:type="dxa"/>
          </w:tcPr>
          <w:p w14:paraId="0B720FA7" w14:textId="77777777" w:rsidR="00D10F3B" w:rsidRDefault="00D10F3B" w:rsidP="003632F4">
            <w:pPr>
              <w:jc w:val="both"/>
              <w:rPr>
                <w:sz w:val="22"/>
                <w:szCs w:val="22"/>
              </w:rPr>
            </w:pPr>
            <w:r>
              <w:rPr>
                <w:sz w:val="22"/>
                <w:szCs w:val="22"/>
              </w:rPr>
              <w:t>Gender non-binary</w:t>
            </w:r>
          </w:p>
        </w:tc>
        <w:tc>
          <w:tcPr>
            <w:tcW w:w="1417" w:type="dxa"/>
          </w:tcPr>
          <w:p w14:paraId="31CF23DB" w14:textId="77777777" w:rsidR="00D10F3B" w:rsidRDefault="00D10F3B" w:rsidP="003632F4">
            <w:pPr>
              <w:jc w:val="right"/>
              <w:rPr>
                <w:sz w:val="22"/>
                <w:szCs w:val="22"/>
              </w:rPr>
            </w:pPr>
            <w:r>
              <w:rPr>
                <w:sz w:val="22"/>
                <w:szCs w:val="22"/>
              </w:rPr>
              <w:t>1 (3)</w:t>
            </w:r>
          </w:p>
        </w:tc>
        <w:tc>
          <w:tcPr>
            <w:tcW w:w="1418" w:type="dxa"/>
          </w:tcPr>
          <w:p w14:paraId="729F4626" w14:textId="77777777" w:rsidR="00D10F3B" w:rsidRDefault="00D10F3B" w:rsidP="003632F4">
            <w:pPr>
              <w:jc w:val="right"/>
              <w:rPr>
                <w:sz w:val="22"/>
                <w:szCs w:val="22"/>
              </w:rPr>
            </w:pPr>
            <w:r>
              <w:rPr>
                <w:sz w:val="22"/>
                <w:szCs w:val="22"/>
              </w:rPr>
              <w:t>1 (3)</w:t>
            </w:r>
          </w:p>
        </w:tc>
      </w:tr>
      <w:tr w:rsidR="00D10F3B" w14:paraId="3334D4EA" w14:textId="77777777" w:rsidTr="003632F4">
        <w:tc>
          <w:tcPr>
            <w:tcW w:w="3114" w:type="dxa"/>
          </w:tcPr>
          <w:p w14:paraId="03062C42" w14:textId="77777777" w:rsidR="00D10F3B" w:rsidRDefault="00D10F3B" w:rsidP="003632F4">
            <w:pPr>
              <w:jc w:val="both"/>
              <w:rPr>
                <w:sz w:val="22"/>
                <w:szCs w:val="22"/>
              </w:rPr>
            </w:pPr>
            <w:r w:rsidRPr="008710F5">
              <w:t>Māori</w:t>
            </w:r>
          </w:p>
        </w:tc>
        <w:tc>
          <w:tcPr>
            <w:tcW w:w="1417" w:type="dxa"/>
          </w:tcPr>
          <w:p w14:paraId="1EDC9B06" w14:textId="77777777" w:rsidR="00D10F3B" w:rsidRDefault="00D10F3B" w:rsidP="003632F4">
            <w:pPr>
              <w:jc w:val="right"/>
              <w:rPr>
                <w:sz w:val="22"/>
                <w:szCs w:val="22"/>
              </w:rPr>
            </w:pPr>
            <w:r>
              <w:rPr>
                <w:sz w:val="22"/>
                <w:szCs w:val="22"/>
              </w:rPr>
              <w:t>6 (15)</w:t>
            </w:r>
          </w:p>
        </w:tc>
        <w:tc>
          <w:tcPr>
            <w:tcW w:w="1418" w:type="dxa"/>
          </w:tcPr>
          <w:p w14:paraId="1033EDC2" w14:textId="77777777" w:rsidR="00D10F3B" w:rsidRDefault="00D10F3B" w:rsidP="003632F4">
            <w:pPr>
              <w:jc w:val="right"/>
              <w:rPr>
                <w:sz w:val="22"/>
                <w:szCs w:val="22"/>
              </w:rPr>
            </w:pPr>
            <w:r>
              <w:rPr>
                <w:sz w:val="22"/>
                <w:szCs w:val="22"/>
              </w:rPr>
              <w:t>4 (14)</w:t>
            </w:r>
          </w:p>
        </w:tc>
      </w:tr>
      <w:tr w:rsidR="00D10F3B" w14:paraId="7481C49A" w14:textId="77777777" w:rsidTr="003632F4">
        <w:tc>
          <w:tcPr>
            <w:tcW w:w="3114" w:type="dxa"/>
          </w:tcPr>
          <w:p w14:paraId="0CD8D9A5" w14:textId="77777777" w:rsidR="00D10F3B" w:rsidRDefault="00D10F3B" w:rsidP="003632F4">
            <w:pPr>
              <w:jc w:val="both"/>
              <w:rPr>
                <w:sz w:val="22"/>
                <w:szCs w:val="22"/>
              </w:rPr>
            </w:pPr>
            <w:r>
              <w:rPr>
                <w:sz w:val="22"/>
                <w:szCs w:val="22"/>
              </w:rPr>
              <w:t>Other indigenous populations</w:t>
            </w:r>
          </w:p>
        </w:tc>
        <w:tc>
          <w:tcPr>
            <w:tcW w:w="1417" w:type="dxa"/>
          </w:tcPr>
          <w:p w14:paraId="7622511A" w14:textId="77777777" w:rsidR="00D10F3B" w:rsidRDefault="00D10F3B" w:rsidP="003632F4">
            <w:pPr>
              <w:jc w:val="right"/>
              <w:rPr>
                <w:sz w:val="22"/>
                <w:szCs w:val="22"/>
              </w:rPr>
            </w:pPr>
            <w:r>
              <w:rPr>
                <w:sz w:val="22"/>
                <w:szCs w:val="22"/>
              </w:rPr>
              <w:t>5 (13)</w:t>
            </w:r>
          </w:p>
        </w:tc>
        <w:tc>
          <w:tcPr>
            <w:tcW w:w="1418" w:type="dxa"/>
          </w:tcPr>
          <w:p w14:paraId="1D8E3B33" w14:textId="77777777" w:rsidR="00D10F3B" w:rsidRDefault="00D10F3B" w:rsidP="003632F4">
            <w:pPr>
              <w:jc w:val="right"/>
              <w:rPr>
                <w:sz w:val="22"/>
                <w:szCs w:val="22"/>
              </w:rPr>
            </w:pPr>
            <w:r>
              <w:rPr>
                <w:sz w:val="22"/>
                <w:szCs w:val="22"/>
              </w:rPr>
              <w:t>5 (17)</w:t>
            </w:r>
          </w:p>
        </w:tc>
      </w:tr>
      <w:tr w:rsidR="00D10F3B" w14:paraId="766B157C" w14:textId="77777777" w:rsidTr="003632F4">
        <w:tc>
          <w:tcPr>
            <w:tcW w:w="3114" w:type="dxa"/>
          </w:tcPr>
          <w:p w14:paraId="3160472D" w14:textId="77777777" w:rsidR="00D10F3B" w:rsidRDefault="00D10F3B" w:rsidP="003632F4">
            <w:pPr>
              <w:jc w:val="both"/>
              <w:rPr>
                <w:sz w:val="22"/>
                <w:szCs w:val="22"/>
              </w:rPr>
            </w:pPr>
            <w:r>
              <w:rPr>
                <w:sz w:val="22"/>
                <w:szCs w:val="22"/>
              </w:rPr>
              <w:lastRenderedPageBreak/>
              <w:t>Asian peoples</w:t>
            </w:r>
          </w:p>
        </w:tc>
        <w:tc>
          <w:tcPr>
            <w:tcW w:w="1417" w:type="dxa"/>
          </w:tcPr>
          <w:p w14:paraId="55974D4E" w14:textId="77777777" w:rsidR="00D10F3B" w:rsidRDefault="00D10F3B" w:rsidP="003632F4">
            <w:pPr>
              <w:jc w:val="right"/>
              <w:rPr>
                <w:sz w:val="22"/>
                <w:szCs w:val="22"/>
              </w:rPr>
            </w:pPr>
            <w:r>
              <w:rPr>
                <w:sz w:val="22"/>
                <w:szCs w:val="22"/>
              </w:rPr>
              <w:t>5 (13)</w:t>
            </w:r>
          </w:p>
        </w:tc>
        <w:tc>
          <w:tcPr>
            <w:tcW w:w="1418" w:type="dxa"/>
          </w:tcPr>
          <w:p w14:paraId="287D9FE0" w14:textId="77777777" w:rsidR="00D10F3B" w:rsidRDefault="00D10F3B" w:rsidP="003632F4">
            <w:pPr>
              <w:jc w:val="right"/>
              <w:rPr>
                <w:sz w:val="22"/>
                <w:szCs w:val="22"/>
              </w:rPr>
            </w:pPr>
            <w:r>
              <w:rPr>
                <w:sz w:val="22"/>
                <w:szCs w:val="22"/>
              </w:rPr>
              <w:t>5 (17)</w:t>
            </w:r>
          </w:p>
        </w:tc>
      </w:tr>
      <w:tr w:rsidR="00D10F3B" w14:paraId="6C778AD4" w14:textId="77777777" w:rsidTr="003632F4">
        <w:tc>
          <w:tcPr>
            <w:tcW w:w="3114" w:type="dxa"/>
          </w:tcPr>
          <w:p w14:paraId="05243055" w14:textId="77777777" w:rsidR="00D10F3B" w:rsidRDefault="00D10F3B" w:rsidP="003632F4">
            <w:pPr>
              <w:jc w:val="both"/>
              <w:rPr>
                <w:sz w:val="22"/>
                <w:szCs w:val="22"/>
              </w:rPr>
            </w:pPr>
            <w:r>
              <w:rPr>
                <w:sz w:val="22"/>
                <w:szCs w:val="22"/>
              </w:rPr>
              <w:t>Pacific peoples</w:t>
            </w:r>
          </w:p>
        </w:tc>
        <w:tc>
          <w:tcPr>
            <w:tcW w:w="1417" w:type="dxa"/>
          </w:tcPr>
          <w:p w14:paraId="585EF123" w14:textId="77777777" w:rsidR="00D10F3B" w:rsidRDefault="00D10F3B" w:rsidP="003632F4">
            <w:pPr>
              <w:jc w:val="right"/>
              <w:rPr>
                <w:sz w:val="22"/>
                <w:szCs w:val="22"/>
              </w:rPr>
            </w:pPr>
            <w:r>
              <w:rPr>
                <w:sz w:val="22"/>
                <w:szCs w:val="22"/>
              </w:rPr>
              <w:t>3 (8)</w:t>
            </w:r>
          </w:p>
        </w:tc>
        <w:tc>
          <w:tcPr>
            <w:tcW w:w="1418" w:type="dxa"/>
          </w:tcPr>
          <w:p w14:paraId="4D55B7C3" w14:textId="77777777" w:rsidR="00D10F3B" w:rsidRDefault="00D10F3B" w:rsidP="003632F4">
            <w:pPr>
              <w:jc w:val="right"/>
              <w:rPr>
                <w:sz w:val="22"/>
                <w:szCs w:val="22"/>
              </w:rPr>
            </w:pPr>
            <w:r>
              <w:rPr>
                <w:sz w:val="22"/>
                <w:szCs w:val="22"/>
              </w:rPr>
              <w:t>2 (7)</w:t>
            </w:r>
          </w:p>
        </w:tc>
      </w:tr>
      <w:tr w:rsidR="00D10F3B" w14:paraId="28D003E2" w14:textId="77777777" w:rsidTr="003632F4">
        <w:tc>
          <w:tcPr>
            <w:tcW w:w="3114" w:type="dxa"/>
          </w:tcPr>
          <w:p w14:paraId="4115E2CC" w14:textId="77777777" w:rsidR="00D10F3B" w:rsidRDefault="00D10F3B" w:rsidP="003632F4">
            <w:pPr>
              <w:jc w:val="both"/>
              <w:rPr>
                <w:sz w:val="22"/>
                <w:szCs w:val="22"/>
              </w:rPr>
            </w:pPr>
            <w:r>
              <w:rPr>
                <w:sz w:val="22"/>
                <w:szCs w:val="22"/>
              </w:rPr>
              <w:t xml:space="preserve">Other ethnic minority groups </w:t>
            </w:r>
          </w:p>
        </w:tc>
        <w:tc>
          <w:tcPr>
            <w:tcW w:w="1417" w:type="dxa"/>
          </w:tcPr>
          <w:p w14:paraId="7FAA88A4" w14:textId="77777777" w:rsidR="00D10F3B" w:rsidRDefault="00D10F3B" w:rsidP="003632F4">
            <w:pPr>
              <w:jc w:val="right"/>
              <w:rPr>
                <w:sz w:val="22"/>
                <w:szCs w:val="22"/>
              </w:rPr>
            </w:pPr>
            <w:r>
              <w:rPr>
                <w:sz w:val="22"/>
                <w:szCs w:val="22"/>
              </w:rPr>
              <w:t>2 (5)</w:t>
            </w:r>
          </w:p>
        </w:tc>
        <w:tc>
          <w:tcPr>
            <w:tcW w:w="1418" w:type="dxa"/>
          </w:tcPr>
          <w:p w14:paraId="4C49084B" w14:textId="77777777" w:rsidR="00D10F3B" w:rsidRDefault="00D10F3B" w:rsidP="003632F4">
            <w:pPr>
              <w:jc w:val="right"/>
              <w:rPr>
                <w:sz w:val="22"/>
                <w:szCs w:val="22"/>
              </w:rPr>
            </w:pPr>
            <w:r>
              <w:rPr>
                <w:sz w:val="22"/>
                <w:szCs w:val="22"/>
              </w:rPr>
              <w:t>2 (7)</w:t>
            </w:r>
          </w:p>
        </w:tc>
      </w:tr>
    </w:tbl>
    <w:p w14:paraId="4F31B863" w14:textId="77777777" w:rsidR="00D10F3B" w:rsidRDefault="00D10F3B" w:rsidP="00D10F3B">
      <w:pPr>
        <w:jc w:val="both"/>
      </w:pPr>
    </w:p>
    <w:p w14:paraId="417B8C26" w14:textId="77777777" w:rsidR="00D10F3B" w:rsidRDefault="00D10F3B" w:rsidP="00D10F3B">
      <w:pPr>
        <w:jc w:val="both"/>
      </w:pPr>
      <w:r>
        <w:t xml:space="preserve">About two thirds of the panel was currently engaged around FAO support in the New Zealand context (26 participants, 65%). International research, service management, clinical practice, consumer, and policy perspectives were contributed by participants based in Australia, the United Kingdom, Canada and the United States of America. </w:t>
      </w:r>
    </w:p>
    <w:p w14:paraId="3BBC7402" w14:textId="77777777" w:rsidR="00D10F3B" w:rsidRDefault="00D10F3B" w:rsidP="00D10F3B">
      <w:pPr>
        <w:jc w:val="both"/>
      </w:pPr>
    </w:p>
    <w:p w14:paraId="47BB4146" w14:textId="5D613CA9" w:rsidR="00D10F3B" w:rsidRPr="00D10F3B" w:rsidRDefault="00D10F3B" w:rsidP="00D10F3B">
      <w:pPr>
        <w:rPr>
          <w:u w:val="single"/>
        </w:rPr>
      </w:pPr>
      <w:r>
        <w:rPr>
          <w:u w:val="single"/>
        </w:rPr>
        <w:t>D</w:t>
      </w:r>
      <w:r w:rsidRPr="00D10F3B">
        <w:rPr>
          <w:u w:val="single"/>
        </w:rPr>
        <w:t xml:space="preserve">ata generation </w:t>
      </w:r>
      <w:r>
        <w:rPr>
          <w:u w:val="single"/>
        </w:rPr>
        <w:t>procedure</w:t>
      </w:r>
      <w:r w:rsidRPr="00D10F3B">
        <w:rPr>
          <w:u w:val="single"/>
        </w:rPr>
        <w:t xml:space="preserve"> </w:t>
      </w:r>
    </w:p>
    <w:p w14:paraId="75C3FE62" w14:textId="0A9C41CE" w:rsidR="00D10F3B" w:rsidRDefault="00D10F3B" w:rsidP="00D10F3B">
      <w:pPr>
        <w:jc w:val="both"/>
      </w:pPr>
      <w:r>
        <w:t xml:space="preserve">The study procedure is presented below in </w:t>
      </w:r>
      <w:r>
        <w:fldChar w:fldCharType="begin"/>
      </w:r>
      <w:r>
        <w:instrText xml:space="preserve"> REF _Ref51245069 \h </w:instrText>
      </w:r>
      <w:r>
        <w:fldChar w:fldCharType="separate"/>
      </w:r>
      <w:r w:rsidR="00DF0799">
        <w:t xml:space="preserve">Figure </w:t>
      </w:r>
      <w:r w:rsidR="00DF0799">
        <w:rPr>
          <w:noProof/>
        </w:rPr>
        <w:t>5</w:t>
      </w:r>
      <w:r>
        <w:fldChar w:fldCharType="end"/>
      </w:r>
      <w:r>
        <w:t xml:space="preserve">. </w:t>
      </w:r>
      <w:r w:rsidRPr="00D32F50">
        <w:t xml:space="preserve">Data collection was carried out using two </w:t>
      </w:r>
      <w:r>
        <w:t xml:space="preserve">rounds of </w:t>
      </w:r>
      <w:r w:rsidRPr="00D32F50">
        <w:t>online questionnaires</w:t>
      </w:r>
      <w:r>
        <w:t xml:space="preserve">. </w:t>
      </w:r>
    </w:p>
    <w:p w14:paraId="7B02DB47" w14:textId="77777777" w:rsidR="00D10F3B" w:rsidRDefault="00D10F3B" w:rsidP="00D10F3B">
      <w:pPr>
        <w:jc w:val="both"/>
      </w:pPr>
    </w:p>
    <w:p w14:paraId="37A31F5D" w14:textId="270CA647" w:rsidR="00D10F3B" w:rsidRDefault="00D10F3B" w:rsidP="00D10F3B">
      <w:pPr>
        <w:jc w:val="both"/>
      </w:pPr>
      <w:r>
        <w:t xml:space="preserve">The Round 1 questionnaire (see Appendix </w:t>
      </w:r>
      <w:r w:rsidR="00341FAE">
        <w:t>Three</w:t>
      </w:r>
      <w:r>
        <w:t xml:space="preserve">) was divided into four main parts: introduction and demographic questions, views on approaches to FAO support identified in the gambling and broader addictions literature, rating of agreement with statements about FAO support practice inspired by the literature, and participants’ own views on quality and effective support and services for FAOs. </w:t>
      </w:r>
    </w:p>
    <w:p w14:paraId="07F71445" w14:textId="77777777" w:rsidR="00D10F3B" w:rsidRDefault="00D10F3B" w:rsidP="00D10F3B">
      <w:pPr>
        <w:jc w:val="both"/>
      </w:pPr>
    </w:p>
    <w:p w14:paraId="2CD15A9B" w14:textId="6B428ADA" w:rsidR="00D10F3B" w:rsidRDefault="00D10F3B" w:rsidP="00D10F3B">
      <w:pPr>
        <w:jc w:val="both"/>
      </w:pPr>
      <w:r>
        <w:t xml:space="preserve">The Round 2 questionnaire (Appendix </w:t>
      </w:r>
      <w:r w:rsidR="00341FAE">
        <w:t>Four</w:t>
      </w:r>
      <w:r>
        <w:t xml:space="preserve">) focussed on our analysis of issues, notions and practices relevant to enhancing support provided for FAOs in Round 1: The inclusion of a social approach to gambling addiction and recovery, barriers and enablers of FAO centred design and practice, enhancing cultural awareness, building and sustaining a culture of curiosity and learning, the role of lived experience and bridging gaps between research and practice.  </w:t>
      </w:r>
    </w:p>
    <w:p w14:paraId="01D37D63" w14:textId="77777777" w:rsidR="00C35682" w:rsidRDefault="00C35682" w:rsidP="00D10F3B">
      <w:pPr>
        <w:jc w:val="both"/>
      </w:pPr>
    </w:p>
    <w:p w14:paraId="768DC758" w14:textId="77777777" w:rsidR="00D10F3B" w:rsidRDefault="00D10F3B" w:rsidP="00D10F3B">
      <w:pPr>
        <w:jc w:val="both"/>
      </w:pPr>
    </w:p>
    <w:p w14:paraId="38256F68" w14:textId="77777777" w:rsidR="00D10F3B" w:rsidRDefault="00D10F3B" w:rsidP="00D10F3B">
      <w:pPr>
        <w:jc w:val="both"/>
      </w:pPr>
      <w:r>
        <w:rPr>
          <w:noProof/>
          <w:lang w:eastAsia="en-NZ"/>
        </w:rPr>
        <w:lastRenderedPageBreak/>
        <w:drawing>
          <wp:inline distT="0" distB="0" distL="0" distR="0" wp14:anchorId="15924F66" wp14:editId="2EB5E72E">
            <wp:extent cx="5591175" cy="4305300"/>
            <wp:effectExtent l="0" t="0" r="9525"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F2FCD1D" w14:textId="7F45E629" w:rsidR="00D10F3B" w:rsidRDefault="00D10F3B" w:rsidP="00D10F3B">
      <w:pPr>
        <w:pStyle w:val="Caption"/>
      </w:pPr>
      <w:bookmarkStart w:id="73" w:name="_Ref51245069"/>
      <w:bookmarkStart w:id="74" w:name="_Toc58400810"/>
      <w:r>
        <w:t xml:space="preserve">Figure </w:t>
      </w:r>
      <w:r w:rsidR="00D04B86">
        <w:fldChar w:fldCharType="begin"/>
      </w:r>
      <w:r w:rsidR="00D04B86">
        <w:instrText xml:space="preserve"> SEQ Figure \* ARABIC </w:instrText>
      </w:r>
      <w:r w:rsidR="00D04B86">
        <w:fldChar w:fldCharType="separate"/>
      </w:r>
      <w:r w:rsidR="00DF0799">
        <w:rPr>
          <w:noProof/>
        </w:rPr>
        <w:t>5</w:t>
      </w:r>
      <w:r w:rsidR="00D04B86">
        <w:rPr>
          <w:noProof/>
        </w:rPr>
        <w:fldChar w:fldCharType="end"/>
      </w:r>
      <w:bookmarkEnd w:id="73"/>
      <w:r>
        <w:t>. Structured engagement with expert opinion</w:t>
      </w:r>
      <w:bookmarkEnd w:id="74"/>
      <w:r>
        <w:t xml:space="preserve"> </w:t>
      </w:r>
    </w:p>
    <w:p w14:paraId="37DC8D54" w14:textId="77777777" w:rsidR="00D10F3B" w:rsidRDefault="00D10F3B" w:rsidP="00D10F3B">
      <w:pPr>
        <w:jc w:val="both"/>
      </w:pPr>
    </w:p>
    <w:p w14:paraId="2326A769" w14:textId="77777777" w:rsidR="00D10F3B" w:rsidRPr="00D10F3B" w:rsidRDefault="00D10F3B" w:rsidP="00D10F3B">
      <w:pPr>
        <w:rPr>
          <w:u w:val="single"/>
        </w:rPr>
      </w:pPr>
      <w:r w:rsidRPr="00D10F3B">
        <w:rPr>
          <w:u w:val="single"/>
        </w:rPr>
        <w:t>Data analysis</w:t>
      </w:r>
    </w:p>
    <w:p w14:paraId="1CF11D18" w14:textId="77777777" w:rsidR="00D10F3B" w:rsidRDefault="00D10F3B" w:rsidP="00D10F3B">
      <w:pPr>
        <w:spacing w:line="259" w:lineRule="auto"/>
        <w:jc w:val="both"/>
      </w:pPr>
      <w:r>
        <w:t>Qualitative d</w:t>
      </w:r>
      <w:r w:rsidRPr="000D44CE">
        <w:t>escriptive analys</w:t>
      </w:r>
      <w:r>
        <w:t>i</w:t>
      </w:r>
      <w:r w:rsidRPr="000D44CE">
        <w:t>s</w:t>
      </w:r>
      <w:r>
        <w:t xml:space="preserve"> was carried out to categorise and summarise the responses made by participants to the questions that were asked of them</w:t>
      </w:r>
      <w:r w:rsidRPr="000D44CE">
        <w:t xml:space="preserve"> </w:t>
      </w:r>
      <w:r>
        <w:fldChar w:fldCharType="begin"/>
      </w:r>
      <w:r>
        <w:instrText xml:space="preserve"> ADDIN EN.CITE &lt;EndNote&gt;&lt;Cite&gt;&lt;Author&gt;Sandelowski&lt;/Author&gt;&lt;Year&gt;2000&lt;/Year&gt;&lt;RecNum&gt;290&lt;/RecNum&gt;&lt;DisplayText&gt;(Sandelowski, 2000)&lt;/DisplayText&gt;&lt;record&gt;&lt;rec-number&gt;290&lt;/rec-number&gt;&lt;foreign-keys&gt;&lt;key app="EN" db-id="25rszwft292ev3esrpvpde0cpxrd9ex0xspp" timestamp="1600381293"&gt;290&lt;/key&gt;&lt;/foreign-keys&gt;&lt;ref-type name="Journal Article"&gt;17&lt;/ref-type&gt;&lt;contributors&gt;&lt;authors&gt;&lt;author&gt;Sandelowski, Margarete&lt;/author&gt;&lt;/authors&gt;&lt;/contributors&gt;&lt;titles&gt;&lt;title&gt;Whatever happened to qualitative description?&lt;/title&gt;&lt;secondary-title&gt;Research in nursing &amp;amp; health&lt;/secondary-title&gt;&lt;/titles&gt;&lt;periodical&gt;&lt;full-title&gt;Research in nursing &amp;amp; health&lt;/full-title&gt;&lt;/periodical&gt;&lt;pages&gt;334-340&lt;/pages&gt;&lt;volume&gt;23&lt;/volume&gt;&lt;number&gt;4&lt;/number&gt;&lt;dates&gt;&lt;year&gt;2000&lt;/year&gt;&lt;/dates&gt;&lt;isbn&gt;0160-6891&lt;/isbn&gt;&lt;urls&gt;&lt;/urls&gt;&lt;/record&gt;&lt;/Cite&gt;&lt;/EndNote&gt;</w:instrText>
      </w:r>
      <w:r>
        <w:fldChar w:fldCharType="separate"/>
      </w:r>
      <w:r>
        <w:rPr>
          <w:noProof/>
        </w:rPr>
        <w:t>(Sandelowski, 2000)</w:t>
      </w:r>
      <w:r>
        <w:fldChar w:fldCharType="end"/>
      </w:r>
      <w:r>
        <w:t xml:space="preserve">. Data were coded independently by two researchers who met to discuss and refine the coding of data collected in relation to each question. Short quotes that best illustrated each code were assembled. Coding was then examined for examples of convergence (agreement), divergence (disagreement) and uncertainty within the panel, e.g. ‘convergence’ could be seen where a large proportion of the panel made a similar coded response to a question. Further exploration of convergence, divergence and uncertainty was carried out by participant perspective (e.g. research, clinician, policy) to look for any patterns in views on enhancing services for FAOs. </w:t>
      </w:r>
    </w:p>
    <w:p w14:paraId="68F5F32A" w14:textId="77777777" w:rsidR="00D10F3B" w:rsidRDefault="00D10F3B" w:rsidP="00D10F3B">
      <w:pPr>
        <w:spacing w:line="259" w:lineRule="auto"/>
        <w:jc w:val="both"/>
      </w:pPr>
    </w:p>
    <w:p w14:paraId="3E7E7D1B" w14:textId="7197B6A8" w:rsidR="00D10F3B" w:rsidRDefault="00D10F3B" w:rsidP="00D10F3B">
      <w:pPr>
        <w:spacing w:line="259" w:lineRule="auto"/>
        <w:jc w:val="both"/>
      </w:pPr>
      <w:r>
        <w:t xml:space="preserve">Quantitative data (e.g. rating and ranking of approaches and statements about FAO support found in the literature) were analysed and presented descriptively. Quantitative </w:t>
      </w:r>
      <w:r w:rsidR="00E56939">
        <w:t>data</w:t>
      </w:r>
      <w:r>
        <w:t xml:space="preserve"> were also examined for indication of convergence (agreement), divergence (disagreement) and uncertainty within the panel. For example, in a</w:t>
      </w:r>
      <w:r w:rsidRPr="000D44CE">
        <w:t>nalysis of key statement ratings</w:t>
      </w:r>
      <w:r>
        <w:t xml:space="preserve"> during Round 1 (see Appendix </w:t>
      </w:r>
      <w:r w:rsidR="00341FAE">
        <w:t>One</w:t>
      </w:r>
      <w:r>
        <w:t>), c</w:t>
      </w:r>
      <w:r w:rsidRPr="000D44CE">
        <w:t>onvergence</w:t>
      </w:r>
      <w:r>
        <w:t xml:space="preserve"> was suggested by </w:t>
      </w:r>
      <w:r w:rsidRPr="000D44CE">
        <w:t>over 80% agreement</w:t>
      </w:r>
      <w:r>
        <w:t>, d</w:t>
      </w:r>
      <w:r w:rsidRPr="000D44CE">
        <w:t>ivergence</w:t>
      </w:r>
      <w:r>
        <w:t xml:space="preserve"> by </w:t>
      </w:r>
      <w:r w:rsidRPr="000D44CE">
        <w:t>less than 80%</w:t>
      </w:r>
      <w:r>
        <w:t xml:space="preserve"> agreement </w:t>
      </w:r>
      <w:r w:rsidR="00E56939">
        <w:t>and</w:t>
      </w:r>
      <w:r>
        <w:t xml:space="preserve"> </w:t>
      </w:r>
      <w:r w:rsidRPr="000D44CE">
        <w:t>more disagreement than neutral responses. Uncertainty</w:t>
      </w:r>
      <w:r>
        <w:t xml:space="preserve"> among the panel was suggested when n</w:t>
      </w:r>
      <w:r w:rsidRPr="000D44CE">
        <w:t>either the conditions for convergence nor divergence were met.</w:t>
      </w:r>
      <w:r>
        <w:t xml:space="preserve"> </w:t>
      </w:r>
    </w:p>
    <w:p w14:paraId="0713806F" w14:textId="77777777" w:rsidR="00D10F3B" w:rsidRDefault="00D10F3B" w:rsidP="00757D78">
      <w:pPr>
        <w:jc w:val="both"/>
      </w:pPr>
    </w:p>
    <w:p w14:paraId="2CDD2D41" w14:textId="3BDDC164" w:rsidR="00D50B98" w:rsidRDefault="00D50B98" w:rsidP="00D50B98">
      <w:pPr>
        <w:pStyle w:val="Heading3"/>
      </w:pPr>
      <w:bookmarkStart w:id="75" w:name="_Toc58400776"/>
      <w:r>
        <w:lastRenderedPageBreak/>
        <w:t>Views on enhancing support for FAOs in gambling services</w:t>
      </w:r>
      <w:bookmarkEnd w:id="75"/>
    </w:p>
    <w:p w14:paraId="4E5D1AF9" w14:textId="7AC712A3" w:rsidR="00AD0040" w:rsidRDefault="00E56939" w:rsidP="00757D78">
      <w:pPr>
        <w:jc w:val="both"/>
      </w:pPr>
      <w:r w:rsidRPr="0074729A">
        <w:t xml:space="preserve">Results of the Round 1 survey </w:t>
      </w:r>
      <w:r>
        <w:t>(</w:t>
      </w:r>
      <w:r w:rsidRPr="0074729A">
        <w:t xml:space="preserve">presented in </w:t>
      </w:r>
      <w:r>
        <w:t xml:space="preserve">Appendix </w:t>
      </w:r>
      <w:r w:rsidR="00341FAE">
        <w:t>One</w:t>
      </w:r>
      <w:r>
        <w:t xml:space="preserve">) </w:t>
      </w:r>
      <w:r w:rsidRPr="0074729A">
        <w:t xml:space="preserve">were provided to </w:t>
      </w:r>
      <w:r>
        <w:t xml:space="preserve">all </w:t>
      </w:r>
      <w:r w:rsidRPr="0074729A">
        <w:t>participants and used to inform the development of Round Two</w:t>
      </w:r>
      <w:r>
        <w:t xml:space="preserve">. </w:t>
      </w:r>
      <w:r w:rsidR="00AD0040" w:rsidRPr="005C46A2">
        <w:t xml:space="preserve">The results of Round 2 are presented in </w:t>
      </w:r>
      <w:r w:rsidR="007D71C8" w:rsidRPr="005C46A2">
        <w:t>th</w:t>
      </w:r>
      <w:r w:rsidR="00D10F3B">
        <w:t>e following</w:t>
      </w:r>
      <w:r w:rsidR="00AD0040" w:rsidRPr="005C46A2">
        <w:t xml:space="preserve"> section</w:t>
      </w:r>
      <w:r w:rsidR="00D10F3B">
        <w:t>s</w:t>
      </w:r>
      <w:r w:rsidR="00AD0040" w:rsidRPr="005C46A2">
        <w:t xml:space="preserve"> as the culmination of the iterative exploration with experts of how FAO inclusive and FAO centred service design and practice could be enhanced</w:t>
      </w:r>
      <w:r w:rsidR="007D71C8" w:rsidRPr="005C46A2">
        <w:t>.</w:t>
      </w:r>
      <w:r w:rsidR="0074729A" w:rsidRPr="0074729A">
        <w:t xml:space="preserve"> </w:t>
      </w:r>
    </w:p>
    <w:p w14:paraId="41DC17AB" w14:textId="3384E0BA" w:rsidR="00D974A8" w:rsidRDefault="00D974A8" w:rsidP="00757D78">
      <w:pPr>
        <w:jc w:val="both"/>
      </w:pPr>
    </w:p>
    <w:p w14:paraId="17B9DE75" w14:textId="5A0634D6" w:rsidR="00736532" w:rsidRPr="00D50B98" w:rsidRDefault="00EA3800" w:rsidP="00D50B98">
      <w:pPr>
        <w:pStyle w:val="Heading4"/>
      </w:pPr>
      <w:r w:rsidRPr="00D50B98">
        <w:t xml:space="preserve">Endorsement of </w:t>
      </w:r>
      <w:r w:rsidR="000B211E" w:rsidRPr="00D50B98">
        <w:t>a</w:t>
      </w:r>
      <w:r w:rsidR="00E065C6" w:rsidRPr="00D50B98">
        <w:t xml:space="preserve"> </w:t>
      </w:r>
      <w:r w:rsidR="000B211E" w:rsidRPr="00D50B98">
        <w:t xml:space="preserve">wide </w:t>
      </w:r>
      <w:r w:rsidR="00E065C6" w:rsidRPr="00D50B98">
        <w:t xml:space="preserve">range </w:t>
      </w:r>
      <w:r w:rsidRPr="00D50B98">
        <w:t xml:space="preserve">of </w:t>
      </w:r>
      <w:r w:rsidR="00E065C6" w:rsidRPr="00D50B98">
        <w:t>approaches</w:t>
      </w:r>
      <w:r w:rsidR="003D270E" w:rsidRPr="00D50B98">
        <w:t xml:space="preserve"> to FAO support</w:t>
      </w:r>
    </w:p>
    <w:p w14:paraId="2902ABB5" w14:textId="5445BD79" w:rsidR="006977DA" w:rsidRPr="006977DA" w:rsidRDefault="00736532" w:rsidP="006977DA">
      <w:pPr>
        <w:jc w:val="both"/>
      </w:pPr>
      <w:r>
        <w:t>Participants rated t</w:t>
      </w:r>
      <w:r w:rsidRPr="00AD0040">
        <w:t xml:space="preserve">he extent that </w:t>
      </w:r>
      <w:r>
        <w:t xml:space="preserve">FAO </w:t>
      </w:r>
      <w:r w:rsidRPr="00AD0040">
        <w:t xml:space="preserve">services should </w:t>
      </w:r>
      <w:r>
        <w:t>be designed</w:t>
      </w:r>
      <w:r w:rsidRPr="00AD0040">
        <w:t xml:space="preserve"> </w:t>
      </w:r>
      <w:r>
        <w:t xml:space="preserve">around </w:t>
      </w:r>
      <w:r w:rsidRPr="00AD0040">
        <w:t>f</w:t>
      </w:r>
      <w:r>
        <w:t>ive</w:t>
      </w:r>
      <w:r w:rsidRPr="00AD0040">
        <w:t xml:space="preserve"> approaches</w:t>
      </w:r>
      <w:r w:rsidR="000A428B">
        <w:t xml:space="preserve"> </w:t>
      </w:r>
      <w:r w:rsidR="002336FB">
        <w:t xml:space="preserve">to conceptualising FAO support needs and delivering support in practice </w:t>
      </w:r>
      <w:r w:rsidR="000A428B">
        <w:t>(</w:t>
      </w:r>
      <w:r w:rsidR="000A428B">
        <w:fldChar w:fldCharType="begin"/>
      </w:r>
      <w:r w:rsidR="000A428B">
        <w:instrText xml:space="preserve"> REF _Ref50975214 \h  \* MERGEFORMAT </w:instrText>
      </w:r>
      <w:r w:rsidR="000A428B">
        <w:fldChar w:fldCharType="separate"/>
      </w:r>
      <w:r w:rsidR="00DF0799">
        <w:t xml:space="preserve">Figure </w:t>
      </w:r>
      <w:r w:rsidR="00DF0799">
        <w:rPr>
          <w:noProof/>
        </w:rPr>
        <w:t>6</w:t>
      </w:r>
      <w:r w:rsidR="000A428B">
        <w:fldChar w:fldCharType="end"/>
      </w:r>
      <w:r w:rsidR="000A428B">
        <w:t>)</w:t>
      </w:r>
      <w:r w:rsidR="00D62211">
        <w:t>. F</w:t>
      </w:r>
      <w:r>
        <w:t xml:space="preserve">our </w:t>
      </w:r>
      <w:r w:rsidR="00D62211">
        <w:t>were as</w:t>
      </w:r>
      <w:r>
        <w:t xml:space="preserve"> identified </w:t>
      </w:r>
      <w:r w:rsidR="00A714D9">
        <w:t xml:space="preserve">and defined </w:t>
      </w:r>
      <w:r>
        <w:t>in the conceptual literature review</w:t>
      </w:r>
      <w:r w:rsidR="002336FB">
        <w:t xml:space="preserve"> conducted for this project</w:t>
      </w:r>
      <w:r w:rsidR="000A428B">
        <w:t>, a fifth ‘social approach’ was as identified by participants in Round 1</w:t>
      </w:r>
      <w:r w:rsidR="006977DA">
        <w:t>.</w:t>
      </w:r>
      <w:r w:rsidR="00A714D9">
        <w:t xml:space="preserve"> Participants argued that a</w:t>
      </w:r>
      <w:r w:rsidR="006977DA" w:rsidRPr="006977DA">
        <w:t xml:space="preserve"> ‘social approach’ to supporting FAOs is needed to complement the more individual bio-psychological approaches that </w:t>
      </w:r>
      <w:r w:rsidR="00A714D9">
        <w:t xml:space="preserve">currently </w:t>
      </w:r>
      <w:r w:rsidR="006977DA" w:rsidRPr="006977DA">
        <w:t xml:space="preserve">dominate the addictions field. </w:t>
      </w:r>
      <w:bookmarkStart w:id="76" w:name="_Hlk57884497"/>
      <w:r w:rsidR="006977DA" w:rsidRPr="006977DA">
        <w:t>The social approach holds that 'gambling harm', 'recovery' and 'wellbeing' are socially and culturally constructed and enacted phenomena. The meanings that are given to them, the way they are experienced, and what constitutes quality and effective support/intervention are shaped by particular family, community, cultural, gender and broader societal dynamics in play. This includes the practices of industries and governments, service organisational contexts and funding models. Participants who drew on this way of understanding harm/recovery described the integrity and wealth of relationships available to people as a defining feature of wellbeing and recovery capital</w:t>
      </w:r>
      <w:bookmarkEnd w:id="76"/>
      <w:r w:rsidR="006977DA" w:rsidRPr="006977DA">
        <w:t>:</w:t>
      </w:r>
    </w:p>
    <w:p w14:paraId="6682033D" w14:textId="77777777" w:rsidR="006977DA" w:rsidRPr="006977DA" w:rsidRDefault="006977DA" w:rsidP="006977DA">
      <w:pPr>
        <w:jc w:val="both"/>
      </w:pPr>
    </w:p>
    <w:p w14:paraId="24C315C0" w14:textId="4ED7DC64" w:rsidR="006977DA" w:rsidRPr="006977DA" w:rsidRDefault="006977DA" w:rsidP="00A714D9">
      <w:pPr>
        <w:ind w:left="720"/>
        <w:jc w:val="both"/>
        <w:rPr>
          <w:i/>
          <w:iCs/>
        </w:rPr>
      </w:pPr>
      <w:r w:rsidRPr="006977DA">
        <w:rPr>
          <w:i/>
          <w:iCs/>
        </w:rPr>
        <w:t>Recovery involves ‘family’ (defined in the broadest sense, could be flatmates), and questioning where are the opportunities for strengthening relationships in this nexus? How safe is it to connect? From a service development perspective this suggests being set up to support incremental change in relationships over a long period of time, family inclusion to equip them, culturally based approaches and community engagement to strengthen social capital.” (Researcher, clinician, NZ)</w:t>
      </w:r>
    </w:p>
    <w:p w14:paraId="6B263160" w14:textId="77777777" w:rsidR="006977DA" w:rsidRPr="006977DA" w:rsidRDefault="006977DA" w:rsidP="006977DA">
      <w:pPr>
        <w:jc w:val="both"/>
      </w:pPr>
    </w:p>
    <w:p w14:paraId="33412CC8" w14:textId="77777777" w:rsidR="006977DA" w:rsidRPr="006977DA" w:rsidRDefault="006977DA" w:rsidP="006977DA">
      <w:pPr>
        <w:jc w:val="both"/>
      </w:pPr>
      <w:r w:rsidRPr="006977DA">
        <w:t xml:space="preserve">This approach directs ongoing service attention to the social contexts in which harm/recovery is produced in the families/communities they serve, e.g. through community development and advocacy work. It also encourages the conceptualisation of additional social process and outcomes evaluation criteria: </w:t>
      </w:r>
    </w:p>
    <w:p w14:paraId="665FC6B3" w14:textId="77777777" w:rsidR="006977DA" w:rsidRPr="006977DA" w:rsidRDefault="006977DA" w:rsidP="006977DA">
      <w:pPr>
        <w:jc w:val="both"/>
      </w:pPr>
    </w:p>
    <w:p w14:paraId="0356BD43" w14:textId="4A2EBD39" w:rsidR="006977DA" w:rsidRPr="006977DA" w:rsidRDefault="006977DA" w:rsidP="00A714D9">
      <w:pPr>
        <w:ind w:left="720"/>
        <w:jc w:val="both"/>
        <w:rPr>
          <w:i/>
          <w:iCs/>
        </w:rPr>
      </w:pPr>
      <w:r w:rsidRPr="006977DA">
        <w:rPr>
          <w:i/>
          <w:iCs/>
        </w:rPr>
        <w:t>Missing key outcomes are to support local and national political action to change the environments either causing or exacerbating harm” (Service manager, NZ).</w:t>
      </w:r>
    </w:p>
    <w:p w14:paraId="31A76CF6" w14:textId="77777777" w:rsidR="006977DA" w:rsidRPr="006977DA" w:rsidRDefault="006977DA" w:rsidP="006977DA">
      <w:pPr>
        <w:jc w:val="both"/>
        <w:rPr>
          <w:i/>
          <w:iCs/>
        </w:rPr>
      </w:pPr>
    </w:p>
    <w:p w14:paraId="7F0BE6FD" w14:textId="7E1E05D3" w:rsidR="006977DA" w:rsidRPr="006977DA" w:rsidRDefault="006977DA" w:rsidP="00A714D9">
      <w:pPr>
        <w:ind w:left="720"/>
        <w:jc w:val="both"/>
        <w:rPr>
          <w:i/>
          <w:iCs/>
        </w:rPr>
      </w:pPr>
      <w:r w:rsidRPr="006977DA">
        <w:rPr>
          <w:i/>
          <w:iCs/>
        </w:rPr>
        <w:t>Engagement with families and communities would be my preferred starting point. The key outcome here is tino rangatiratanga.” (Service manager, NZ)</w:t>
      </w:r>
    </w:p>
    <w:p w14:paraId="06A97F02" w14:textId="77777777" w:rsidR="006977DA" w:rsidRPr="006977DA" w:rsidRDefault="006977DA" w:rsidP="006977DA">
      <w:pPr>
        <w:jc w:val="both"/>
      </w:pPr>
    </w:p>
    <w:p w14:paraId="2F7A3663" w14:textId="77777777" w:rsidR="006977DA" w:rsidRPr="006977DA" w:rsidRDefault="006977DA" w:rsidP="006977DA">
      <w:pPr>
        <w:jc w:val="both"/>
      </w:pPr>
      <w:r w:rsidRPr="006977DA">
        <w:t xml:space="preserve">Five participants reported that the approaches models and frameworks identified in the addictions literature did not recognise and properly provide for tino rangatiratanga </w:t>
      </w:r>
      <w:r w:rsidRPr="006977DA">
        <w:lastRenderedPageBreak/>
        <w:t xml:space="preserve">(sovereignty) and mana motuhake (autonomy) of hauora Māori (indigenous Māori health). It was suggested that partnerships and processes are reviewed to ensure that Māori are able to participate in decision making about service delivery for whānau.  </w:t>
      </w:r>
    </w:p>
    <w:p w14:paraId="489A6EB5" w14:textId="6795E879" w:rsidR="006977DA" w:rsidRDefault="006977DA" w:rsidP="00E75138">
      <w:pPr>
        <w:jc w:val="both"/>
      </w:pPr>
    </w:p>
    <w:p w14:paraId="512C5694" w14:textId="77777777" w:rsidR="00E56939" w:rsidRPr="002E74CE" w:rsidRDefault="00E56939" w:rsidP="00E56939">
      <w:pPr>
        <w:pStyle w:val="ListParagraph"/>
        <w:numPr>
          <w:ilvl w:val="0"/>
          <w:numId w:val="17"/>
        </w:numPr>
        <w:spacing w:line="259" w:lineRule="auto"/>
        <w:jc w:val="both"/>
      </w:pPr>
      <w:r w:rsidRPr="002E74CE">
        <w:t>Supporting FAOs to enhance their own wellbeing;</w:t>
      </w:r>
    </w:p>
    <w:p w14:paraId="32157D5E" w14:textId="02D6B7DF" w:rsidR="00E56939" w:rsidRPr="002E74CE" w:rsidRDefault="00E56939" w:rsidP="00E56939">
      <w:pPr>
        <w:pStyle w:val="ListParagraph"/>
        <w:numPr>
          <w:ilvl w:val="0"/>
          <w:numId w:val="17"/>
        </w:numPr>
        <w:spacing w:line="259" w:lineRule="auto"/>
        <w:jc w:val="both"/>
      </w:pPr>
      <w:r>
        <w:t xml:space="preserve">A social approach to gambling harm reduction. </w:t>
      </w:r>
    </w:p>
    <w:p w14:paraId="12FC8955" w14:textId="77777777" w:rsidR="00E56939" w:rsidRPr="002E74CE" w:rsidRDefault="00E56939" w:rsidP="00E56939">
      <w:pPr>
        <w:pStyle w:val="ListParagraph"/>
        <w:numPr>
          <w:ilvl w:val="0"/>
          <w:numId w:val="17"/>
        </w:numPr>
        <w:spacing w:line="259" w:lineRule="auto"/>
        <w:jc w:val="both"/>
      </w:pPr>
      <w:r w:rsidRPr="002E74CE">
        <w:t>Improving the relationships between FAOs and the person who is gambling;</w:t>
      </w:r>
    </w:p>
    <w:p w14:paraId="0767470C" w14:textId="77777777" w:rsidR="00E56939" w:rsidRDefault="00E56939" w:rsidP="00E56939">
      <w:pPr>
        <w:pStyle w:val="ListParagraph"/>
        <w:numPr>
          <w:ilvl w:val="0"/>
          <w:numId w:val="17"/>
        </w:numPr>
        <w:spacing w:line="259" w:lineRule="auto"/>
        <w:jc w:val="both"/>
      </w:pPr>
      <w:r w:rsidRPr="002E74CE">
        <w:t>Engaging FAOs and communities to develop gambling harm reduction techniques.</w:t>
      </w:r>
    </w:p>
    <w:p w14:paraId="72C42979" w14:textId="77777777" w:rsidR="000A428B" w:rsidRPr="002E74CE" w:rsidRDefault="000A428B" w:rsidP="007E15CF">
      <w:pPr>
        <w:pStyle w:val="ListParagraph"/>
        <w:numPr>
          <w:ilvl w:val="0"/>
          <w:numId w:val="17"/>
        </w:numPr>
        <w:spacing w:line="259" w:lineRule="auto"/>
        <w:jc w:val="both"/>
      </w:pPr>
      <w:r w:rsidRPr="002E74CE">
        <w:t>Supporting FAOs to influence the person who is gambling;</w:t>
      </w:r>
    </w:p>
    <w:p w14:paraId="1FB7A0B2" w14:textId="77777777" w:rsidR="00E75138" w:rsidRDefault="00E75138" w:rsidP="00E75138">
      <w:pPr>
        <w:jc w:val="both"/>
      </w:pPr>
    </w:p>
    <w:p w14:paraId="4E14CA92" w14:textId="4124CCEE" w:rsidR="00E75138" w:rsidRDefault="00E75138" w:rsidP="00E75138">
      <w:pPr>
        <w:jc w:val="both"/>
      </w:pPr>
      <w:r>
        <w:rPr>
          <w:noProof/>
        </w:rPr>
        <w:drawing>
          <wp:inline distT="0" distB="0" distL="0" distR="0" wp14:anchorId="3BD6A53F" wp14:editId="348E331C">
            <wp:extent cx="5705475" cy="2743200"/>
            <wp:effectExtent l="0" t="0" r="9525" b="0"/>
            <wp:docPr id="1" name="Chart 1">
              <a:extLst xmlns:a="http://schemas.openxmlformats.org/drawingml/2006/main">
                <a:ext uri="{FF2B5EF4-FFF2-40B4-BE49-F238E27FC236}">
                  <a16:creationId xmlns:a16="http://schemas.microsoft.com/office/drawing/2014/main" id="{24544BAB-2E33-478E-8643-47BD678E6F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2A3AEE9" w14:textId="4F1EF062" w:rsidR="00E75138" w:rsidRDefault="00E75138" w:rsidP="00E75138">
      <w:pPr>
        <w:pStyle w:val="Caption"/>
      </w:pPr>
      <w:bookmarkStart w:id="77" w:name="_Ref50975214"/>
      <w:bookmarkStart w:id="78" w:name="_Toc58400811"/>
      <w:r>
        <w:t xml:space="preserve">Figure </w:t>
      </w:r>
      <w:r w:rsidR="00D04B86">
        <w:fldChar w:fldCharType="begin"/>
      </w:r>
      <w:r w:rsidR="00D04B86">
        <w:instrText xml:space="preserve"> SEQ Figure \* ARABIC </w:instrText>
      </w:r>
      <w:r w:rsidR="00D04B86">
        <w:fldChar w:fldCharType="separate"/>
      </w:r>
      <w:r w:rsidR="00DF0799">
        <w:rPr>
          <w:noProof/>
        </w:rPr>
        <w:t>6</w:t>
      </w:r>
      <w:r w:rsidR="00D04B86">
        <w:rPr>
          <w:noProof/>
        </w:rPr>
        <w:fldChar w:fldCharType="end"/>
      </w:r>
      <w:bookmarkEnd w:id="77"/>
      <w:r>
        <w:t xml:space="preserve">. </w:t>
      </w:r>
      <w:r w:rsidRPr="003F381A">
        <w:t xml:space="preserve">The extent that services should designed/orientated to </w:t>
      </w:r>
      <w:r>
        <w:t>five</w:t>
      </w:r>
      <w:r w:rsidRPr="003F381A">
        <w:t xml:space="preserve"> approaches</w:t>
      </w:r>
      <w:bookmarkEnd w:id="78"/>
    </w:p>
    <w:p w14:paraId="27499837" w14:textId="77777777" w:rsidR="00E75138" w:rsidRDefault="00E75138" w:rsidP="00E75138">
      <w:pPr>
        <w:jc w:val="both"/>
      </w:pPr>
    </w:p>
    <w:p w14:paraId="32BF7676" w14:textId="67623AD2" w:rsidR="00736532" w:rsidRDefault="00E56939" w:rsidP="00E75138">
      <w:pPr>
        <w:jc w:val="both"/>
      </w:pPr>
      <w:r>
        <w:fldChar w:fldCharType="begin"/>
      </w:r>
      <w:r>
        <w:instrText xml:space="preserve"> REF _Ref50975214 \h </w:instrText>
      </w:r>
      <w:r>
        <w:fldChar w:fldCharType="separate"/>
      </w:r>
      <w:r w:rsidR="00DF0799">
        <w:t xml:space="preserve">Figure </w:t>
      </w:r>
      <w:r w:rsidR="00DF0799">
        <w:rPr>
          <w:noProof/>
        </w:rPr>
        <w:t>6</w:t>
      </w:r>
      <w:r>
        <w:fldChar w:fldCharType="end"/>
      </w:r>
      <w:r>
        <w:t xml:space="preserve"> shows that i</w:t>
      </w:r>
      <w:r w:rsidR="00E75138">
        <w:t>n addition to ‘enhancing FAO wellbeing’</w:t>
      </w:r>
      <w:r w:rsidR="00E75138" w:rsidRPr="00AD0040">
        <w:t xml:space="preserve">, </w:t>
      </w:r>
      <w:r w:rsidR="00E75138">
        <w:t>‘</w:t>
      </w:r>
      <w:r w:rsidR="00E75138" w:rsidRPr="00AD0040">
        <w:t>improving family relationships</w:t>
      </w:r>
      <w:r w:rsidR="00E75138">
        <w:t>’, ‘</w:t>
      </w:r>
      <w:r w:rsidR="00E75138" w:rsidRPr="00AD0040">
        <w:t xml:space="preserve">engaging FAOs and communities in harm reduction </w:t>
      </w:r>
      <w:r w:rsidR="00E75138">
        <w:t xml:space="preserve">activities’, a social approach was valued highly by the panel. </w:t>
      </w:r>
      <w:r w:rsidR="002336FB">
        <w:t>A</w:t>
      </w:r>
      <w:r w:rsidR="00CB0CC0">
        <w:t>pproaches which focus on influencing the gambler were least favoured in influencing service design</w:t>
      </w:r>
      <w:r w:rsidR="007C0D4C">
        <w:t xml:space="preserve">, though there was less uncertainty and more support for their incorporation as part of a suite of offerings in Round 2 compared to Round 1. </w:t>
      </w:r>
      <w:r w:rsidR="00EA3800">
        <w:t xml:space="preserve">Taken together, the panel supported the incorporation of </w:t>
      </w:r>
      <w:r w:rsidR="002336FB">
        <w:t>a wide</w:t>
      </w:r>
      <w:r w:rsidR="00EA3800">
        <w:t xml:space="preserve"> range of approaches to supporting FAOs in service design and delivery, </w:t>
      </w:r>
      <w:r w:rsidR="005F79C9">
        <w:t xml:space="preserve">and </w:t>
      </w:r>
      <w:r w:rsidR="00EA3800">
        <w:t xml:space="preserve">FAO focussed </w:t>
      </w:r>
      <w:r w:rsidR="002336FB">
        <w:t>approaches</w:t>
      </w:r>
      <w:r w:rsidR="00EA3800">
        <w:t xml:space="preserve">. </w:t>
      </w:r>
    </w:p>
    <w:p w14:paraId="1290A883" w14:textId="77777777" w:rsidR="00D62211" w:rsidRDefault="00D62211" w:rsidP="00AD0040"/>
    <w:p w14:paraId="27FBCF71" w14:textId="13604F75" w:rsidR="00AD0040" w:rsidRPr="005C46A2" w:rsidRDefault="005C19D4" w:rsidP="00D50B98">
      <w:pPr>
        <w:pStyle w:val="Heading4"/>
      </w:pPr>
      <w:r>
        <w:t>Prioritising</w:t>
      </w:r>
      <w:r w:rsidR="0087726B">
        <w:t xml:space="preserve"> </w:t>
      </w:r>
      <w:r w:rsidR="00AD0040" w:rsidRPr="005C46A2">
        <w:t xml:space="preserve">FAO </w:t>
      </w:r>
      <w:r>
        <w:t xml:space="preserve">centric recovery models </w:t>
      </w:r>
    </w:p>
    <w:p w14:paraId="0251F8D2" w14:textId="77777777" w:rsidR="00AD0040" w:rsidRPr="005C46A2" w:rsidRDefault="00AD0040" w:rsidP="00AD0040">
      <w:pPr>
        <w:jc w:val="both"/>
      </w:pPr>
      <w:r w:rsidRPr="005C46A2">
        <w:t xml:space="preserve">Reorientation of services away from the gambler/gambling problem to focus on families’ issues and needs was supported by the panel, </w:t>
      </w:r>
    </w:p>
    <w:p w14:paraId="1DC350CE" w14:textId="77777777" w:rsidR="00AD0040" w:rsidRPr="005C46A2" w:rsidRDefault="00AD0040" w:rsidP="00AD0040">
      <w:pPr>
        <w:jc w:val="both"/>
      </w:pPr>
    </w:p>
    <w:p w14:paraId="68FFB15F" w14:textId="60E7ACB4" w:rsidR="00AD0040" w:rsidRPr="005C46A2" w:rsidRDefault="00AD0040" w:rsidP="00AD0040">
      <w:pPr>
        <w:ind w:left="720"/>
        <w:jc w:val="both"/>
        <w:rPr>
          <w:i/>
          <w:iCs/>
        </w:rPr>
      </w:pPr>
      <w:r w:rsidRPr="005C46A2">
        <w:t>“</w:t>
      </w:r>
      <w:r w:rsidRPr="005C46A2">
        <w:rPr>
          <w:i/>
          <w:iCs/>
        </w:rPr>
        <w:t>There is a need to shift from a gambler-</w:t>
      </w:r>
      <w:r w:rsidR="003B734D" w:rsidRPr="005C46A2">
        <w:rPr>
          <w:i/>
          <w:iCs/>
        </w:rPr>
        <w:t>centred</w:t>
      </w:r>
      <w:r w:rsidRPr="005C46A2">
        <w:rPr>
          <w:i/>
          <w:iCs/>
        </w:rPr>
        <w:t xml:space="preserve"> model to </w:t>
      </w:r>
      <w:r w:rsidR="007D71C8" w:rsidRPr="005C46A2">
        <w:rPr>
          <w:i/>
          <w:iCs/>
        </w:rPr>
        <w:t xml:space="preserve">(at minimum) </w:t>
      </w:r>
      <w:r w:rsidRPr="005C46A2">
        <w:rPr>
          <w:i/>
          <w:iCs/>
        </w:rPr>
        <w:t xml:space="preserve">a bi-foci model in addressing addiction problems i.e. FAOs and gamblers/addicts as independent </w:t>
      </w:r>
      <w:r w:rsidR="00E56939">
        <w:rPr>
          <w:i/>
          <w:iCs/>
        </w:rPr>
        <w:t>and as</w:t>
      </w:r>
      <w:r w:rsidRPr="005C46A2">
        <w:rPr>
          <w:i/>
          <w:iCs/>
        </w:rPr>
        <w:t xml:space="preserve"> interrelated units of analysis, planning and actions.” (Clinician, UK)</w:t>
      </w:r>
    </w:p>
    <w:p w14:paraId="344485BE" w14:textId="77777777" w:rsidR="00AD0040" w:rsidRPr="005C46A2" w:rsidRDefault="00AD0040" w:rsidP="00AD0040">
      <w:pPr>
        <w:jc w:val="both"/>
      </w:pPr>
    </w:p>
    <w:p w14:paraId="43CBAA02" w14:textId="77777777" w:rsidR="00AD0040" w:rsidRPr="005C46A2" w:rsidRDefault="00AD0040" w:rsidP="00AD0040">
      <w:pPr>
        <w:ind w:left="720"/>
        <w:jc w:val="both"/>
        <w:rPr>
          <w:i/>
          <w:iCs/>
        </w:rPr>
      </w:pPr>
      <w:r w:rsidRPr="005C46A2">
        <w:rPr>
          <w:i/>
          <w:iCs/>
        </w:rPr>
        <w:lastRenderedPageBreak/>
        <w:t>“Support is not just about individual gambler need. It is critical we shift our mindset to include families and whānau” (Policy, NZ)</w:t>
      </w:r>
    </w:p>
    <w:p w14:paraId="7745DC59" w14:textId="77777777" w:rsidR="00AD0040" w:rsidRPr="005C46A2" w:rsidRDefault="00AD0040" w:rsidP="00AD0040">
      <w:pPr>
        <w:ind w:left="720"/>
        <w:jc w:val="both"/>
        <w:rPr>
          <w:i/>
          <w:iCs/>
        </w:rPr>
      </w:pPr>
    </w:p>
    <w:p w14:paraId="4E23496D" w14:textId="0A263F24" w:rsidR="00AD0040" w:rsidRPr="005C46A2" w:rsidRDefault="00AD0040" w:rsidP="00AD0040">
      <w:pPr>
        <w:jc w:val="both"/>
      </w:pPr>
      <w:r w:rsidRPr="005C46A2">
        <w:t xml:space="preserve">Participants reported that the primary purpose of providing support/intervention services for FAOs should be to support FAOs to identify and address their needs, provide family/whānau focused care, to educate and empower families and communities and to prevent gambling-related harm in families. </w:t>
      </w:r>
    </w:p>
    <w:p w14:paraId="3AC4C79E" w14:textId="77777777" w:rsidR="00AD0040" w:rsidRPr="005C46A2" w:rsidRDefault="00AD0040" w:rsidP="00AD0040">
      <w:pPr>
        <w:jc w:val="both"/>
      </w:pPr>
    </w:p>
    <w:p w14:paraId="2A2ADD41" w14:textId="1E19C2FB" w:rsidR="00AD0040" w:rsidRPr="005C46A2" w:rsidRDefault="00AD0040" w:rsidP="00AD0040">
      <w:pPr>
        <w:ind w:left="720"/>
        <w:jc w:val="both"/>
        <w:rPr>
          <w:i/>
          <w:iCs/>
        </w:rPr>
      </w:pPr>
      <w:r w:rsidRPr="005C46A2">
        <w:rPr>
          <w:i/>
          <w:iCs/>
        </w:rPr>
        <w:t>“Supporting FAO in their own right is a priority - feelings of lack of control along with all the harms means this should remain a priority. Many women may also have caring responsibilities and should receive support that avoids placing additional pressure on the need to care for another” (Service manager, UK)</w:t>
      </w:r>
    </w:p>
    <w:p w14:paraId="4976CCD2" w14:textId="77777777" w:rsidR="00AD0040" w:rsidRPr="005C46A2" w:rsidRDefault="00AD0040" w:rsidP="00AD0040">
      <w:pPr>
        <w:ind w:left="720"/>
        <w:jc w:val="both"/>
        <w:rPr>
          <w:i/>
          <w:iCs/>
        </w:rPr>
      </w:pPr>
    </w:p>
    <w:p w14:paraId="6D9C75B2" w14:textId="77777777" w:rsidR="00AD0040" w:rsidRPr="005C46A2" w:rsidRDefault="00AD0040" w:rsidP="00AD0040">
      <w:pPr>
        <w:ind w:left="720"/>
        <w:jc w:val="both"/>
        <w:rPr>
          <w:i/>
          <w:iCs/>
        </w:rPr>
      </w:pPr>
      <w:r w:rsidRPr="005C46A2">
        <w:rPr>
          <w:i/>
          <w:iCs/>
        </w:rPr>
        <w:t>“In support FAOs, culturally safe services that align with the specific needs of the whaiora must be the foundation” (Clinician, NZ)</w:t>
      </w:r>
    </w:p>
    <w:p w14:paraId="265C0C9A" w14:textId="77777777" w:rsidR="00AD0040" w:rsidRPr="005C46A2" w:rsidRDefault="00AD0040" w:rsidP="00AD0040">
      <w:pPr>
        <w:jc w:val="both"/>
      </w:pPr>
    </w:p>
    <w:p w14:paraId="345C28D1" w14:textId="0E220E9A" w:rsidR="00AD0040" w:rsidRPr="005C46A2" w:rsidRDefault="000B211E" w:rsidP="00AD0040">
      <w:pPr>
        <w:jc w:val="both"/>
      </w:pPr>
      <w:r w:rsidRPr="000B211E">
        <w:t xml:space="preserve">Limits on FAOs’ ability to create change in/for gamblers were discussed, as well as the potential for interventions emphasising gambler change to ‘set FAOs up to fail’ (basing support around the needs/behaviours of another, often treatment-resistant, person). FAO safety could be jeopardised given (1) gendered power differentials in family dynamics, and (2) the rate of domestic violence in the addictions field. </w:t>
      </w:r>
      <w:r w:rsidR="00AD0040" w:rsidRPr="005C46A2">
        <w:t xml:space="preserve">A significant minority of panel members </w:t>
      </w:r>
      <w:r w:rsidR="002336FB">
        <w:t>(n=</w:t>
      </w:r>
      <w:r w:rsidR="00984781">
        <w:t>7</w:t>
      </w:r>
      <w:r w:rsidR="002336FB">
        <w:t xml:space="preserve">) </w:t>
      </w:r>
      <w:r w:rsidR="00AD0040" w:rsidRPr="005C46A2">
        <w:t xml:space="preserve">endorsed a secondary purpose to reduce gambling behaviour in families – but tended to qualify this approach by stating that tools to influence/reduce gambling in families should only be provided if requested by FAOs (they should not be the default approach). Teaching FAOs to influence gamblers/gambling was identified as the most researched approach in supporting FAO wellbeing, however views on effectiveness varied:  </w:t>
      </w:r>
    </w:p>
    <w:p w14:paraId="4E96AE98" w14:textId="77777777" w:rsidR="00AD0040" w:rsidRPr="005C46A2" w:rsidRDefault="00AD0040" w:rsidP="00AD0040">
      <w:pPr>
        <w:jc w:val="both"/>
        <w:rPr>
          <w:i/>
          <w:iCs/>
        </w:rPr>
      </w:pPr>
    </w:p>
    <w:p w14:paraId="05B4E0CD" w14:textId="36908785" w:rsidR="00AD0040" w:rsidRPr="005C46A2" w:rsidRDefault="00AD0040" w:rsidP="00AD0040">
      <w:pPr>
        <w:ind w:left="720"/>
        <w:jc w:val="both"/>
        <w:rPr>
          <w:i/>
          <w:iCs/>
        </w:rPr>
      </w:pPr>
      <w:r w:rsidRPr="005C46A2">
        <w:rPr>
          <w:i/>
          <w:iCs/>
        </w:rPr>
        <w:t>My disagreement with CRAFT [anti-gambling behavioural reinforcement training for FAOs] is NOT that it does not work! It is that it uses the family members not to help themselves (although that can be a knock-on benefit) but to help the user. I am not against helping users, but my philosophy is that family-focused work should focus MAINLY on helping the FMs and not mainly on helping the users.” (Researcher, UK)</w:t>
      </w:r>
    </w:p>
    <w:p w14:paraId="0720DB50" w14:textId="77777777" w:rsidR="00AD0040" w:rsidRPr="005C46A2" w:rsidRDefault="00AD0040" w:rsidP="00AD0040">
      <w:pPr>
        <w:jc w:val="both"/>
      </w:pPr>
    </w:p>
    <w:p w14:paraId="128A4071" w14:textId="2667810B" w:rsidR="00AD0040" w:rsidRPr="005C46A2" w:rsidRDefault="00AD0040" w:rsidP="00AD0040">
      <w:pPr>
        <w:ind w:left="720"/>
        <w:jc w:val="both"/>
        <w:rPr>
          <w:i/>
          <w:iCs/>
        </w:rPr>
      </w:pPr>
      <w:r w:rsidRPr="005C46A2">
        <w:rPr>
          <w:i/>
          <w:iCs/>
        </w:rPr>
        <w:t xml:space="preserve">“There is relatively little evidence to support that pressure or influence from families works on the gambler. Evidence </w:t>
      </w:r>
      <w:r w:rsidR="00984781">
        <w:rPr>
          <w:i/>
          <w:iCs/>
        </w:rPr>
        <w:t xml:space="preserve">also </w:t>
      </w:r>
      <w:r w:rsidRPr="005C46A2">
        <w:rPr>
          <w:i/>
          <w:iCs/>
        </w:rPr>
        <w:t>does not reflect this as a reason for help-seeking by gamblers… However, FAOs who are only focussed upon the gambler may not connect with services unless they are able to think they can change the behaviour of the gambler (initially), or as one of several tools to improve their family's situation.” (Researcher/clinician, NZ)</w:t>
      </w:r>
    </w:p>
    <w:p w14:paraId="5CD6E140" w14:textId="77777777" w:rsidR="00AD0040" w:rsidRPr="005C46A2" w:rsidRDefault="00AD0040" w:rsidP="00AD0040">
      <w:pPr>
        <w:jc w:val="both"/>
      </w:pPr>
    </w:p>
    <w:p w14:paraId="3A8C48EA" w14:textId="0E37822B" w:rsidR="00AD0040" w:rsidRPr="005C46A2" w:rsidRDefault="00AD0040" w:rsidP="00AD0040">
      <w:pPr>
        <w:jc w:val="both"/>
        <w:rPr>
          <w:i/>
          <w:iCs/>
        </w:rPr>
      </w:pPr>
      <w:r w:rsidRPr="005C46A2">
        <w:lastRenderedPageBreak/>
        <w:t xml:space="preserve">Participants converged on the notion </w:t>
      </w:r>
      <w:r w:rsidR="005F641C">
        <w:t>that</w:t>
      </w:r>
      <w:r w:rsidRPr="005C46A2">
        <w:t xml:space="preserve"> expanded access and enhanced diversity (choice) </w:t>
      </w:r>
      <w:r w:rsidR="002336FB">
        <w:t xml:space="preserve">in approaches </w:t>
      </w:r>
      <w:r w:rsidRPr="005C46A2">
        <w:t>for famil</w:t>
      </w:r>
      <w:r w:rsidR="002336FB">
        <w:t xml:space="preserve">y support </w:t>
      </w:r>
      <w:r w:rsidR="005F641C">
        <w:t xml:space="preserve">was necessary </w:t>
      </w:r>
      <w:r w:rsidRPr="005C46A2">
        <w:t xml:space="preserve">at </w:t>
      </w:r>
      <w:r w:rsidR="00984781">
        <w:t>every</w:t>
      </w:r>
      <w:r w:rsidRPr="005C46A2">
        <w:t xml:space="preserve"> level of harm reduction practice: health promotion, harm reduction (</w:t>
      </w:r>
      <w:r w:rsidR="003807F9">
        <w:t xml:space="preserve">e.g. </w:t>
      </w:r>
      <w:r w:rsidRPr="005C46A2">
        <w:t xml:space="preserve">community support) and treatment. </w:t>
      </w:r>
    </w:p>
    <w:p w14:paraId="32D60BBB" w14:textId="77777777" w:rsidR="00AD0040" w:rsidRPr="005C46A2" w:rsidRDefault="00AD0040" w:rsidP="00AD0040">
      <w:pPr>
        <w:spacing w:line="259" w:lineRule="auto"/>
        <w:jc w:val="both"/>
      </w:pPr>
    </w:p>
    <w:p w14:paraId="2B2A313C" w14:textId="10C2EEED" w:rsidR="00316B89" w:rsidRPr="005C46A2" w:rsidRDefault="00C70D0D" w:rsidP="00D50B98">
      <w:pPr>
        <w:pStyle w:val="Heading4"/>
      </w:pPr>
      <w:r w:rsidRPr="005C46A2">
        <w:t>Barriers to FAO centred service design and practice</w:t>
      </w:r>
    </w:p>
    <w:p w14:paraId="251AAAEE" w14:textId="768136FD" w:rsidR="00A12566" w:rsidRPr="005C46A2" w:rsidRDefault="00704180" w:rsidP="00704180">
      <w:pPr>
        <w:spacing w:line="259" w:lineRule="auto"/>
        <w:jc w:val="both"/>
      </w:pPr>
      <w:r w:rsidRPr="005C46A2">
        <w:t>A k</w:t>
      </w:r>
      <w:r w:rsidR="00AB7B06" w:rsidRPr="005C46A2">
        <w:t xml:space="preserve">ey </w:t>
      </w:r>
      <w:r w:rsidR="00765639" w:rsidRPr="005C46A2">
        <w:t>barrier identified by participants included policy and funding models that participants did not believe were supportive of service engagement with FAO</w:t>
      </w:r>
      <w:r w:rsidRPr="005C46A2">
        <w:t>s</w:t>
      </w:r>
      <w:r w:rsidR="003807F9">
        <w:t xml:space="preserve"> (</w:t>
      </w:r>
      <w:r w:rsidR="003807F9">
        <w:fldChar w:fldCharType="begin"/>
      </w:r>
      <w:r w:rsidR="003807F9">
        <w:instrText xml:space="preserve"> REF _Ref50982879 \h </w:instrText>
      </w:r>
      <w:r w:rsidR="003807F9">
        <w:fldChar w:fldCharType="separate"/>
      </w:r>
      <w:r w:rsidR="00DF0799" w:rsidRPr="005C46A2">
        <w:t xml:space="preserve">Table </w:t>
      </w:r>
      <w:r w:rsidR="00DF0799">
        <w:rPr>
          <w:noProof/>
        </w:rPr>
        <w:t>4</w:t>
      </w:r>
      <w:r w:rsidR="003807F9">
        <w:fldChar w:fldCharType="end"/>
      </w:r>
      <w:r w:rsidR="003807F9">
        <w:t>)</w:t>
      </w:r>
      <w:r w:rsidRPr="005C46A2">
        <w:t xml:space="preserve">. For example comments included: Funding models based on a narrow understanding of client and case (Researcher, NZ), no budget for service promotion and lack of clinician and FAO input into centralised advertising campaigns (clinician, NZ), </w:t>
      </w:r>
      <w:r w:rsidR="00E56939">
        <w:t xml:space="preserve">and </w:t>
      </w:r>
      <w:r w:rsidRPr="00A3617D">
        <w:t>lack of budget for family specific intervention training and remodelling of current intervention strategies with families and children (service managers NZ and international).</w:t>
      </w:r>
      <w:r w:rsidRPr="005C46A2">
        <w:t xml:space="preserve"> </w:t>
      </w:r>
      <w:r w:rsidR="00A12566" w:rsidRPr="005C46A2">
        <w:t xml:space="preserve">A researcher from the UK noted that national guidelines can lack coherent strategy around family support, connected to a limited evidence base and low service engagement in research. </w:t>
      </w:r>
      <w:r w:rsidRPr="005C46A2">
        <w:t>Two panel members from New Zealand commented that services</w:t>
      </w:r>
      <w:r w:rsidR="00A714D9">
        <w:t>’</w:t>
      </w:r>
      <w:r w:rsidRPr="005C46A2">
        <w:t xml:space="preserve"> engagement with a </w:t>
      </w:r>
      <w:r w:rsidR="00A714D9">
        <w:t xml:space="preserve">designated </w:t>
      </w:r>
      <w:r w:rsidRPr="005C46A2">
        <w:t>FAO consumer advisor would ensure that services are oriented more fully towards FAOs</w:t>
      </w:r>
      <w:r w:rsidR="00A12566" w:rsidRPr="005C46A2">
        <w:t>:</w:t>
      </w:r>
    </w:p>
    <w:p w14:paraId="51C862EF" w14:textId="77777777" w:rsidR="00A12566" w:rsidRPr="005C46A2" w:rsidRDefault="00A12566" w:rsidP="00704180">
      <w:pPr>
        <w:spacing w:line="259" w:lineRule="auto"/>
        <w:jc w:val="both"/>
      </w:pPr>
    </w:p>
    <w:p w14:paraId="79C33B84" w14:textId="6FAEBD95" w:rsidR="00704180" w:rsidRPr="005C46A2" w:rsidRDefault="00A12566" w:rsidP="0087726B">
      <w:pPr>
        <w:spacing w:line="259" w:lineRule="auto"/>
        <w:ind w:left="720"/>
        <w:jc w:val="both"/>
        <w:rPr>
          <w:i/>
          <w:iCs/>
        </w:rPr>
      </w:pPr>
      <w:r w:rsidRPr="005C46A2">
        <w:rPr>
          <w:i/>
          <w:iCs/>
        </w:rPr>
        <w:t>“</w:t>
      </w:r>
      <w:r w:rsidR="00A714D9">
        <w:rPr>
          <w:i/>
          <w:iCs/>
        </w:rPr>
        <w:t>FAO w</w:t>
      </w:r>
      <w:r w:rsidRPr="005C46A2">
        <w:rPr>
          <w:i/>
          <w:iCs/>
        </w:rPr>
        <w:t>haiora voice in general is not a contract service delivery requirement</w:t>
      </w:r>
      <w:r w:rsidR="0087726B">
        <w:rPr>
          <w:i/>
          <w:iCs/>
        </w:rPr>
        <w:t xml:space="preserve"> in New Zealand and it should be</w:t>
      </w:r>
      <w:r w:rsidRPr="005C46A2">
        <w:rPr>
          <w:i/>
          <w:iCs/>
        </w:rPr>
        <w:t>” (Clinician, NZ)</w:t>
      </w:r>
    </w:p>
    <w:p w14:paraId="11954A22" w14:textId="77777777" w:rsidR="00704180" w:rsidRPr="005C46A2" w:rsidRDefault="00704180" w:rsidP="00495C74">
      <w:pPr>
        <w:spacing w:line="259" w:lineRule="auto"/>
        <w:jc w:val="both"/>
      </w:pPr>
    </w:p>
    <w:p w14:paraId="7567FC15" w14:textId="098A522F" w:rsidR="00E54E52" w:rsidRPr="005C46A2" w:rsidRDefault="00E54E52" w:rsidP="00E54E52">
      <w:pPr>
        <w:pStyle w:val="Caption"/>
      </w:pPr>
      <w:bookmarkStart w:id="79" w:name="_Ref50982879"/>
      <w:bookmarkStart w:id="80" w:name="_Toc51240666"/>
      <w:bookmarkStart w:id="81" w:name="_Toc58400637"/>
      <w:r w:rsidRPr="005C46A2">
        <w:t xml:space="preserve">Table </w:t>
      </w:r>
      <w:r w:rsidR="00D04B86">
        <w:fldChar w:fldCharType="begin"/>
      </w:r>
      <w:r w:rsidR="00D04B86">
        <w:instrText xml:space="preserve"> SEQ Table \* ARABIC </w:instrText>
      </w:r>
      <w:r w:rsidR="00D04B86">
        <w:fldChar w:fldCharType="separate"/>
      </w:r>
      <w:r w:rsidR="00DF0799">
        <w:rPr>
          <w:noProof/>
        </w:rPr>
        <w:t>4</w:t>
      </w:r>
      <w:r w:rsidR="00D04B86">
        <w:rPr>
          <w:noProof/>
        </w:rPr>
        <w:fldChar w:fldCharType="end"/>
      </w:r>
      <w:bookmarkEnd w:id="79"/>
      <w:r w:rsidRPr="005C46A2">
        <w:t>. Barriers to FAO centred service design and practice</w:t>
      </w:r>
      <w:bookmarkEnd w:id="80"/>
      <w:bookmarkEnd w:id="81"/>
    </w:p>
    <w:tbl>
      <w:tblPr>
        <w:tblStyle w:val="TableGrid"/>
        <w:tblW w:w="0" w:type="auto"/>
        <w:tblLook w:val="04A0" w:firstRow="1" w:lastRow="0" w:firstColumn="1" w:lastColumn="0" w:noHBand="0" w:noVBand="1"/>
      </w:tblPr>
      <w:tblGrid>
        <w:gridCol w:w="7225"/>
        <w:gridCol w:w="850"/>
        <w:gridCol w:w="941"/>
      </w:tblGrid>
      <w:tr w:rsidR="00E54E52" w:rsidRPr="005C46A2" w14:paraId="48CA9795" w14:textId="02A25AAC" w:rsidTr="00E54E52">
        <w:tc>
          <w:tcPr>
            <w:tcW w:w="7225" w:type="dxa"/>
          </w:tcPr>
          <w:p w14:paraId="3B8B996E" w14:textId="3DC9D873" w:rsidR="00E54E52" w:rsidRPr="005C46A2" w:rsidRDefault="00E54E52" w:rsidP="00DB3E8C">
            <w:pPr>
              <w:jc w:val="both"/>
              <w:rPr>
                <w:b/>
                <w:bCs/>
                <w:sz w:val="22"/>
                <w:szCs w:val="22"/>
              </w:rPr>
            </w:pPr>
            <w:r w:rsidRPr="005C46A2">
              <w:rPr>
                <w:b/>
                <w:bCs/>
                <w:sz w:val="22"/>
                <w:szCs w:val="22"/>
              </w:rPr>
              <w:t>Coded qualitative responses</w:t>
            </w:r>
            <w:r w:rsidR="002B73EB">
              <w:rPr>
                <w:b/>
                <w:bCs/>
                <w:sz w:val="22"/>
                <w:szCs w:val="22"/>
              </w:rPr>
              <w:t xml:space="preserve"> </w:t>
            </w:r>
            <w:r w:rsidR="002B73EB" w:rsidRPr="002B73EB">
              <w:rPr>
                <w:b/>
                <w:bCs/>
                <w:sz w:val="22"/>
                <w:szCs w:val="22"/>
                <w:vertAlign w:val="superscript"/>
              </w:rPr>
              <w:t>#</w:t>
            </w:r>
          </w:p>
        </w:tc>
        <w:tc>
          <w:tcPr>
            <w:tcW w:w="850" w:type="dxa"/>
          </w:tcPr>
          <w:p w14:paraId="7589F6B6" w14:textId="5FA22144" w:rsidR="00E54E52" w:rsidRPr="005C46A2" w:rsidRDefault="00E54E52" w:rsidP="00DB3E8C">
            <w:pPr>
              <w:jc w:val="both"/>
              <w:rPr>
                <w:b/>
                <w:bCs/>
                <w:sz w:val="22"/>
                <w:szCs w:val="22"/>
              </w:rPr>
            </w:pPr>
            <w:r w:rsidRPr="005C46A2">
              <w:rPr>
                <w:b/>
                <w:bCs/>
                <w:sz w:val="22"/>
                <w:szCs w:val="22"/>
              </w:rPr>
              <w:t>N</w:t>
            </w:r>
          </w:p>
        </w:tc>
        <w:tc>
          <w:tcPr>
            <w:tcW w:w="941" w:type="dxa"/>
          </w:tcPr>
          <w:p w14:paraId="297D1D33" w14:textId="6870E20C" w:rsidR="00E54E52" w:rsidRPr="005C46A2" w:rsidRDefault="00E54E52" w:rsidP="00DB3E8C">
            <w:pPr>
              <w:jc w:val="both"/>
              <w:rPr>
                <w:b/>
                <w:bCs/>
                <w:sz w:val="22"/>
                <w:szCs w:val="22"/>
              </w:rPr>
            </w:pPr>
            <w:r w:rsidRPr="005C46A2">
              <w:rPr>
                <w:b/>
                <w:bCs/>
                <w:sz w:val="22"/>
                <w:szCs w:val="22"/>
              </w:rPr>
              <w:t>%</w:t>
            </w:r>
            <w:r w:rsidR="00FF2D89" w:rsidRPr="002B73EB">
              <w:rPr>
                <w:b/>
                <w:bCs/>
                <w:sz w:val="22"/>
                <w:szCs w:val="22"/>
                <w:vertAlign w:val="superscript"/>
              </w:rPr>
              <w:t>#</w:t>
            </w:r>
          </w:p>
        </w:tc>
      </w:tr>
      <w:tr w:rsidR="00074164" w:rsidRPr="005C46A2" w14:paraId="3FFDB7C9" w14:textId="77777777" w:rsidTr="002B4226">
        <w:tc>
          <w:tcPr>
            <w:tcW w:w="7225" w:type="dxa"/>
          </w:tcPr>
          <w:p w14:paraId="608E9D76" w14:textId="77777777" w:rsidR="00074164" w:rsidRPr="005C46A2" w:rsidRDefault="00074164" w:rsidP="00DB3E8C">
            <w:pPr>
              <w:jc w:val="both"/>
              <w:rPr>
                <w:sz w:val="22"/>
                <w:szCs w:val="22"/>
              </w:rPr>
            </w:pPr>
            <w:r w:rsidRPr="005C46A2">
              <w:rPr>
                <w:sz w:val="22"/>
                <w:szCs w:val="22"/>
              </w:rPr>
              <w:t>Policy and funding models do not support engagement with FAOs</w:t>
            </w:r>
          </w:p>
        </w:tc>
        <w:tc>
          <w:tcPr>
            <w:tcW w:w="850" w:type="dxa"/>
          </w:tcPr>
          <w:p w14:paraId="5A3BB36C" w14:textId="77777777" w:rsidR="00074164" w:rsidRPr="005C46A2" w:rsidRDefault="00074164" w:rsidP="00572CEB">
            <w:pPr>
              <w:jc w:val="right"/>
              <w:rPr>
                <w:sz w:val="22"/>
                <w:szCs w:val="22"/>
              </w:rPr>
            </w:pPr>
            <w:r w:rsidRPr="005C46A2">
              <w:rPr>
                <w:sz w:val="22"/>
                <w:szCs w:val="22"/>
              </w:rPr>
              <w:t>10</w:t>
            </w:r>
          </w:p>
        </w:tc>
        <w:tc>
          <w:tcPr>
            <w:tcW w:w="941" w:type="dxa"/>
          </w:tcPr>
          <w:p w14:paraId="3F5F243B" w14:textId="77777777" w:rsidR="00074164" w:rsidRPr="005C46A2" w:rsidRDefault="00074164" w:rsidP="00DB3E8C">
            <w:pPr>
              <w:jc w:val="right"/>
              <w:rPr>
                <w:sz w:val="22"/>
                <w:szCs w:val="22"/>
              </w:rPr>
            </w:pPr>
            <w:r w:rsidRPr="005C46A2">
              <w:rPr>
                <w:sz w:val="22"/>
                <w:szCs w:val="22"/>
              </w:rPr>
              <w:t>34</w:t>
            </w:r>
          </w:p>
        </w:tc>
      </w:tr>
      <w:tr w:rsidR="00074164" w:rsidRPr="005C46A2" w14:paraId="2B8A186E" w14:textId="77777777" w:rsidTr="002B4226">
        <w:tc>
          <w:tcPr>
            <w:tcW w:w="7225" w:type="dxa"/>
          </w:tcPr>
          <w:p w14:paraId="03807762" w14:textId="77777777" w:rsidR="00074164" w:rsidRPr="005C46A2" w:rsidRDefault="00074164" w:rsidP="00DB3E8C">
            <w:pPr>
              <w:jc w:val="both"/>
              <w:rPr>
                <w:sz w:val="22"/>
                <w:szCs w:val="22"/>
              </w:rPr>
            </w:pPr>
            <w:r w:rsidRPr="005C46A2">
              <w:rPr>
                <w:sz w:val="22"/>
                <w:szCs w:val="22"/>
              </w:rPr>
              <w:t>Practitioner/expert centric approaches and systems</w:t>
            </w:r>
          </w:p>
        </w:tc>
        <w:tc>
          <w:tcPr>
            <w:tcW w:w="850" w:type="dxa"/>
          </w:tcPr>
          <w:p w14:paraId="7270AA83" w14:textId="77777777" w:rsidR="00074164" w:rsidRPr="005C46A2" w:rsidRDefault="00074164" w:rsidP="00572CEB">
            <w:pPr>
              <w:jc w:val="right"/>
              <w:rPr>
                <w:sz w:val="22"/>
                <w:szCs w:val="22"/>
              </w:rPr>
            </w:pPr>
            <w:r w:rsidRPr="005C46A2">
              <w:rPr>
                <w:sz w:val="22"/>
                <w:szCs w:val="22"/>
              </w:rPr>
              <w:t>10</w:t>
            </w:r>
          </w:p>
        </w:tc>
        <w:tc>
          <w:tcPr>
            <w:tcW w:w="941" w:type="dxa"/>
          </w:tcPr>
          <w:p w14:paraId="674A6178" w14:textId="77777777" w:rsidR="00074164" w:rsidRPr="005C46A2" w:rsidRDefault="00074164" w:rsidP="00DB3E8C">
            <w:pPr>
              <w:jc w:val="right"/>
              <w:rPr>
                <w:sz w:val="22"/>
                <w:szCs w:val="22"/>
              </w:rPr>
            </w:pPr>
            <w:r w:rsidRPr="005C46A2">
              <w:rPr>
                <w:sz w:val="22"/>
                <w:szCs w:val="22"/>
              </w:rPr>
              <w:t>34</w:t>
            </w:r>
          </w:p>
        </w:tc>
      </w:tr>
      <w:tr w:rsidR="00074164" w:rsidRPr="005C46A2" w14:paraId="566EBA30" w14:textId="77777777" w:rsidTr="002B4226">
        <w:tc>
          <w:tcPr>
            <w:tcW w:w="7225" w:type="dxa"/>
          </w:tcPr>
          <w:p w14:paraId="298BCE86" w14:textId="77777777" w:rsidR="00074164" w:rsidRPr="005C46A2" w:rsidRDefault="00074164" w:rsidP="00DB3E8C">
            <w:pPr>
              <w:jc w:val="both"/>
              <w:rPr>
                <w:sz w:val="22"/>
                <w:szCs w:val="22"/>
              </w:rPr>
            </w:pPr>
            <w:r w:rsidRPr="005C46A2">
              <w:rPr>
                <w:sz w:val="22"/>
                <w:szCs w:val="22"/>
              </w:rPr>
              <w:t>Low practitioner confidence and competence</w:t>
            </w:r>
          </w:p>
        </w:tc>
        <w:tc>
          <w:tcPr>
            <w:tcW w:w="850" w:type="dxa"/>
          </w:tcPr>
          <w:p w14:paraId="737EA51F" w14:textId="77777777" w:rsidR="00074164" w:rsidRPr="005C46A2" w:rsidRDefault="00074164" w:rsidP="00572CEB">
            <w:pPr>
              <w:jc w:val="right"/>
              <w:rPr>
                <w:sz w:val="22"/>
                <w:szCs w:val="22"/>
              </w:rPr>
            </w:pPr>
            <w:r w:rsidRPr="005C46A2">
              <w:rPr>
                <w:sz w:val="22"/>
                <w:szCs w:val="22"/>
              </w:rPr>
              <w:t>7</w:t>
            </w:r>
          </w:p>
        </w:tc>
        <w:tc>
          <w:tcPr>
            <w:tcW w:w="941" w:type="dxa"/>
          </w:tcPr>
          <w:p w14:paraId="5C918A2D" w14:textId="77777777" w:rsidR="00074164" w:rsidRPr="005C46A2" w:rsidRDefault="00074164" w:rsidP="00DB3E8C">
            <w:pPr>
              <w:jc w:val="right"/>
              <w:rPr>
                <w:sz w:val="22"/>
                <w:szCs w:val="22"/>
              </w:rPr>
            </w:pPr>
            <w:r w:rsidRPr="005C46A2">
              <w:rPr>
                <w:sz w:val="22"/>
                <w:szCs w:val="22"/>
              </w:rPr>
              <w:t>24</w:t>
            </w:r>
          </w:p>
        </w:tc>
      </w:tr>
      <w:tr w:rsidR="00E54E52" w:rsidRPr="005C46A2" w14:paraId="17B1A8A0" w14:textId="3FD60785" w:rsidTr="00E54E52">
        <w:tc>
          <w:tcPr>
            <w:tcW w:w="7225" w:type="dxa"/>
          </w:tcPr>
          <w:p w14:paraId="1F260586" w14:textId="47C0D485" w:rsidR="00E54E52" w:rsidRPr="005C46A2" w:rsidRDefault="00E54E52" w:rsidP="00DB3E8C">
            <w:pPr>
              <w:jc w:val="both"/>
              <w:rPr>
                <w:sz w:val="22"/>
                <w:szCs w:val="22"/>
              </w:rPr>
            </w:pPr>
            <w:r w:rsidRPr="005C46A2">
              <w:rPr>
                <w:sz w:val="22"/>
                <w:szCs w:val="22"/>
              </w:rPr>
              <w:t>Family mistrust of services and social stigma</w:t>
            </w:r>
          </w:p>
        </w:tc>
        <w:tc>
          <w:tcPr>
            <w:tcW w:w="850" w:type="dxa"/>
          </w:tcPr>
          <w:p w14:paraId="10AEA9B8" w14:textId="4BA5D645" w:rsidR="00E54E52" w:rsidRPr="005C46A2" w:rsidRDefault="00E54E52" w:rsidP="00572CEB">
            <w:pPr>
              <w:jc w:val="right"/>
              <w:rPr>
                <w:sz w:val="22"/>
                <w:szCs w:val="22"/>
              </w:rPr>
            </w:pPr>
            <w:r w:rsidRPr="005C46A2">
              <w:rPr>
                <w:sz w:val="22"/>
                <w:szCs w:val="22"/>
              </w:rPr>
              <w:t>6</w:t>
            </w:r>
          </w:p>
        </w:tc>
        <w:tc>
          <w:tcPr>
            <w:tcW w:w="941" w:type="dxa"/>
          </w:tcPr>
          <w:p w14:paraId="10EB4991" w14:textId="2709C6D3" w:rsidR="00E54E52" w:rsidRPr="005C46A2" w:rsidRDefault="00074164" w:rsidP="00DB3E8C">
            <w:pPr>
              <w:jc w:val="right"/>
              <w:rPr>
                <w:sz w:val="22"/>
                <w:szCs w:val="22"/>
              </w:rPr>
            </w:pPr>
            <w:r w:rsidRPr="005C46A2">
              <w:rPr>
                <w:sz w:val="22"/>
                <w:szCs w:val="22"/>
              </w:rPr>
              <w:t>21</w:t>
            </w:r>
          </w:p>
        </w:tc>
      </w:tr>
      <w:tr w:rsidR="00074164" w:rsidRPr="005C46A2" w14:paraId="005CAF82" w14:textId="77777777" w:rsidTr="002B4226">
        <w:tc>
          <w:tcPr>
            <w:tcW w:w="7225" w:type="dxa"/>
          </w:tcPr>
          <w:p w14:paraId="7A248620" w14:textId="77777777" w:rsidR="00074164" w:rsidRPr="005C46A2" w:rsidRDefault="00074164" w:rsidP="00DB3E8C">
            <w:pPr>
              <w:jc w:val="both"/>
              <w:rPr>
                <w:sz w:val="22"/>
                <w:szCs w:val="22"/>
              </w:rPr>
            </w:pPr>
            <w:r w:rsidRPr="005C46A2">
              <w:rPr>
                <w:sz w:val="22"/>
                <w:szCs w:val="22"/>
              </w:rPr>
              <w:t>Lack of evidence-based family centred approaches and resources</w:t>
            </w:r>
          </w:p>
        </w:tc>
        <w:tc>
          <w:tcPr>
            <w:tcW w:w="850" w:type="dxa"/>
          </w:tcPr>
          <w:p w14:paraId="663A6F56" w14:textId="77777777" w:rsidR="00074164" w:rsidRPr="005C46A2" w:rsidRDefault="00074164" w:rsidP="00572CEB">
            <w:pPr>
              <w:jc w:val="right"/>
              <w:rPr>
                <w:sz w:val="22"/>
                <w:szCs w:val="22"/>
              </w:rPr>
            </w:pPr>
            <w:r w:rsidRPr="005C46A2">
              <w:rPr>
                <w:sz w:val="22"/>
                <w:szCs w:val="22"/>
              </w:rPr>
              <w:t>5</w:t>
            </w:r>
          </w:p>
        </w:tc>
        <w:tc>
          <w:tcPr>
            <w:tcW w:w="941" w:type="dxa"/>
          </w:tcPr>
          <w:p w14:paraId="6ACE1DDE" w14:textId="77777777" w:rsidR="00074164" w:rsidRPr="005C46A2" w:rsidRDefault="00074164" w:rsidP="00DB3E8C">
            <w:pPr>
              <w:jc w:val="right"/>
              <w:rPr>
                <w:sz w:val="22"/>
                <w:szCs w:val="22"/>
              </w:rPr>
            </w:pPr>
            <w:r w:rsidRPr="005C46A2">
              <w:rPr>
                <w:sz w:val="22"/>
                <w:szCs w:val="22"/>
              </w:rPr>
              <w:t>17</w:t>
            </w:r>
          </w:p>
        </w:tc>
      </w:tr>
      <w:tr w:rsidR="00074164" w:rsidRPr="005C46A2" w14:paraId="6C10487A" w14:textId="77777777" w:rsidTr="002B4226">
        <w:tc>
          <w:tcPr>
            <w:tcW w:w="7225" w:type="dxa"/>
          </w:tcPr>
          <w:p w14:paraId="602C4E38" w14:textId="77777777" w:rsidR="00074164" w:rsidRPr="005C46A2" w:rsidRDefault="00074164" w:rsidP="00DB3E8C">
            <w:pPr>
              <w:jc w:val="both"/>
              <w:rPr>
                <w:sz w:val="22"/>
                <w:szCs w:val="22"/>
              </w:rPr>
            </w:pPr>
            <w:r w:rsidRPr="005C46A2">
              <w:rPr>
                <w:sz w:val="22"/>
                <w:szCs w:val="22"/>
              </w:rPr>
              <w:t>Services designed for individual gamblers not families</w:t>
            </w:r>
          </w:p>
        </w:tc>
        <w:tc>
          <w:tcPr>
            <w:tcW w:w="850" w:type="dxa"/>
          </w:tcPr>
          <w:p w14:paraId="1EC195C2" w14:textId="77777777" w:rsidR="00074164" w:rsidRPr="005C46A2" w:rsidRDefault="00074164" w:rsidP="00572CEB">
            <w:pPr>
              <w:jc w:val="right"/>
              <w:rPr>
                <w:sz w:val="22"/>
                <w:szCs w:val="22"/>
              </w:rPr>
            </w:pPr>
            <w:r w:rsidRPr="005C46A2">
              <w:rPr>
                <w:sz w:val="22"/>
                <w:szCs w:val="22"/>
              </w:rPr>
              <w:t>5</w:t>
            </w:r>
          </w:p>
        </w:tc>
        <w:tc>
          <w:tcPr>
            <w:tcW w:w="941" w:type="dxa"/>
          </w:tcPr>
          <w:p w14:paraId="039AFE09" w14:textId="77777777" w:rsidR="00074164" w:rsidRPr="005C46A2" w:rsidRDefault="00074164" w:rsidP="00DB3E8C">
            <w:pPr>
              <w:jc w:val="right"/>
              <w:rPr>
                <w:sz w:val="22"/>
                <w:szCs w:val="22"/>
              </w:rPr>
            </w:pPr>
            <w:r w:rsidRPr="005C46A2">
              <w:rPr>
                <w:sz w:val="22"/>
                <w:szCs w:val="22"/>
              </w:rPr>
              <w:t>17</w:t>
            </w:r>
          </w:p>
        </w:tc>
      </w:tr>
      <w:tr w:rsidR="00074164" w:rsidRPr="005C46A2" w14:paraId="59E6A450" w14:textId="77777777" w:rsidTr="002B4226">
        <w:tc>
          <w:tcPr>
            <w:tcW w:w="7225" w:type="dxa"/>
          </w:tcPr>
          <w:p w14:paraId="7A64F491" w14:textId="77777777" w:rsidR="00074164" w:rsidRPr="005C46A2" w:rsidRDefault="00074164" w:rsidP="00DB3E8C">
            <w:pPr>
              <w:jc w:val="both"/>
              <w:rPr>
                <w:sz w:val="22"/>
                <w:szCs w:val="22"/>
              </w:rPr>
            </w:pPr>
            <w:r w:rsidRPr="005C46A2">
              <w:rPr>
                <w:sz w:val="22"/>
                <w:szCs w:val="22"/>
              </w:rPr>
              <w:t>Low cultural awareness and competency</w:t>
            </w:r>
          </w:p>
        </w:tc>
        <w:tc>
          <w:tcPr>
            <w:tcW w:w="850" w:type="dxa"/>
          </w:tcPr>
          <w:p w14:paraId="0E07646D" w14:textId="77777777" w:rsidR="00074164" w:rsidRPr="005C46A2" w:rsidRDefault="00074164" w:rsidP="00572CEB">
            <w:pPr>
              <w:jc w:val="right"/>
              <w:rPr>
                <w:sz w:val="22"/>
                <w:szCs w:val="22"/>
              </w:rPr>
            </w:pPr>
            <w:r w:rsidRPr="005C46A2">
              <w:rPr>
                <w:sz w:val="22"/>
                <w:szCs w:val="22"/>
              </w:rPr>
              <w:t>3</w:t>
            </w:r>
          </w:p>
        </w:tc>
        <w:tc>
          <w:tcPr>
            <w:tcW w:w="941" w:type="dxa"/>
          </w:tcPr>
          <w:p w14:paraId="4CA465EA" w14:textId="77777777" w:rsidR="00074164" w:rsidRPr="005C46A2" w:rsidRDefault="00074164" w:rsidP="00DB3E8C">
            <w:pPr>
              <w:jc w:val="right"/>
              <w:rPr>
                <w:sz w:val="22"/>
                <w:szCs w:val="22"/>
              </w:rPr>
            </w:pPr>
            <w:r w:rsidRPr="005C46A2">
              <w:rPr>
                <w:sz w:val="22"/>
                <w:szCs w:val="22"/>
              </w:rPr>
              <w:t>14</w:t>
            </w:r>
          </w:p>
        </w:tc>
      </w:tr>
    </w:tbl>
    <w:p w14:paraId="7ED65B8F" w14:textId="583B30ED" w:rsidR="00E54E52" w:rsidRPr="00FF2D89" w:rsidRDefault="00FF2D89" w:rsidP="00495C74">
      <w:pPr>
        <w:spacing w:line="259" w:lineRule="auto"/>
        <w:jc w:val="both"/>
      </w:pPr>
      <w:bookmarkStart w:id="82" w:name="_Hlk57722715"/>
      <w:r w:rsidRPr="00FF2D89">
        <w:rPr>
          <w:sz w:val="22"/>
          <w:szCs w:val="22"/>
          <w:vertAlign w:val="superscript"/>
        </w:rPr>
        <w:t xml:space="preserve"># </w:t>
      </w:r>
      <w:r w:rsidRPr="00FF2D89">
        <w:rPr>
          <w:sz w:val="22"/>
          <w:szCs w:val="22"/>
        </w:rPr>
        <w:t xml:space="preserve">Note </w:t>
      </w:r>
      <w:r>
        <w:rPr>
          <w:sz w:val="22"/>
          <w:szCs w:val="22"/>
        </w:rPr>
        <w:t>that participant responses could be coded at multiple categories.</w:t>
      </w:r>
    </w:p>
    <w:bookmarkEnd w:id="82"/>
    <w:p w14:paraId="634B3DEA" w14:textId="77777777" w:rsidR="00FF2D89" w:rsidRPr="005C46A2" w:rsidRDefault="00FF2D89" w:rsidP="00495C74">
      <w:pPr>
        <w:spacing w:line="259" w:lineRule="auto"/>
        <w:jc w:val="both"/>
      </w:pPr>
    </w:p>
    <w:p w14:paraId="05EB9938" w14:textId="2923D330" w:rsidR="006851D2" w:rsidRPr="005C46A2" w:rsidRDefault="00A12566" w:rsidP="00A12566">
      <w:pPr>
        <w:spacing w:line="259" w:lineRule="auto"/>
        <w:jc w:val="both"/>
      </w:pPr>
      <w:bookmarkStart w:id="83" w:name="_Hlk57884867"/>
      <w:r w:rsidRPr="005C46A2">
        <w:t xml:space="preserve">In addition, expert/practitioner-based and individualized models were seen to dominate the field of mental health and addiction generally, limiting possibilities for FAO engagement. For example, a clinician from the UK stated that wider societal discourses and clinical conceptualisation of gambling harm as an </w:t>
      </w:r>
      <w:r w:rsidR="002336FB">
        <w:t>‘</w:t>
      </w:r>
      <w:r w:rsidRPr="005C46A2">
        <w:t>individual problem</w:t>
      </w:r>
      <w:r w:rsidR="002336FB">
        <w:t>’</w:t>
      </w:r>
      <w:r w:rsidRPr="005C46A2">
        <w:t xml:space="preserve"> limits </w:t>
      </w:r>
      <w:r w:rsidR="002336FB">
        <w:t xml:space="preserve">the </w:t>
      </w:r>
      <w:r w:rsidRPr="005C46A2">
        <w:t xml:space="preserve">ability </w:t>
      </w:r>
      <w:r w:rsidR="002336FB">
        <w:t xml:space="preserve">of </w:t>
      </w:r>
      <w:r w:rsidRPr="005C46A2">
        <w:t xml:space="preserve">services to create space for families. A New Zealand based researcher mentioned as barriers: </w:t>
      </w:r>
    </w:p>
    <w:p w14:paraId="4DE28079" w14:textId="77777777" w:rsidR="006851D2" w:rsidRPr="005C46A2" w:rsidRDefault="006851D2" w:rsidP="00A12566">
      <w:pPr>
        <w:spacing w:line="259" w:lineRule="auto"/>
        <w:jc w:val="both"/>
      </w:pPr>
    </w:p>
    <w:p w14:paraId="3B541077" w14:textId="5BA23F8E" w:rsidR="00A12566" w:rsidRPr="005C46A2" w:rsidRDefault="00A12566" w:rsidP="006851D2">
      <w:pPr>
        <w:spacing w:line="259" w:lineRule="auto"/>
        <w:ind w:left="720"/>
        <w:jc w:val="both"/>
      </w:pPr>
      <w:r w:rsidRPr="005C46A2">
        <w:rPr>
          <w:i/>
          <w:iCs/>
        </w:rPr>
        <w:t xml:space="preserve">“The mythologies of practitioner and service capacities to </w:t>
      </w:r>
      <w:r w:rsidR="002336FB">
        <w:rPr>
          <w:i/>
          <w:iCs/>
        </w:rPr>
        <w:t>‘</w:t>
      </w:r>
      <w:r w:rsidRPr="005C46A2">
        <w:rPr>
          <w:i/>
          <w:iCs/>
        </w:rPr>
        <w:t>fix addictions</w:t>
      </w:r>
      <w:r w:rsidR="002336FB">
        <w:rPr>
          <w:i/>
          <w:iCs/>
        </w:rPr>
        <w:t>’</w:t>
      </w:r>
      <w:r w:rsidRPr="005C46A2">
        <w:rPr>
          <w:i/>
          <w:iCs/>
        </w:rPr>
        <w:t xml:space="preserve">, and the privileging of therapeutic relationships over the more important </w:t>
      </w:r>
      <w:r w:rsidR="00947895" w:rsidRPr="005C46A2">
        <w:rPr>
          <w:i/>
          <w:iCs/>
        </w:rPr>
        <w:t>long-term</w:t>
      </w:r>
      <w:r w:rsidRPr="005C46A2">
        <w:rPr>
          <w:i/>
          <w:iCs/>
        </w:rPr>
        <w:t xml:space="preserve"> relationships within a family</w:t>
      </w:r>
      <w:r w:rsidR="002336FB">
        <w:rPr>
          <w:i/>
          <w:iCs/>
        </w:rPr>
        <w:t xml:space="preserve"> and communities</w:t>
      </w:r>
      <w:r w:rsidRPr="005C46A2">
        <w:rPr>
          <w:i/>
          <w:iCs/>
        </w:rPr>
        <w:t xml:space="preserve">.” </w:t>
      </w:r>
      <w:r w:rsidR="006851D2" w:rsidRPr="005C46A2">
        <w:rPr>
          <w:i/>
          <w:iCs/>
        </w:rPr>
        <w:t>(Researcher, NZ)</w:t>
      </w:r>
    </w:p>
    <w:bookmarkEnd w:id="83"/>
    <w:p w14:paraId="2308722F" w14:textId="77777777" w:rsidR="00A12566" w:rsidRPr="005C46A2" w:rsidRDefault="00A12566" w:rsidP="00A12566">
      <w:pPr>
        <w:spacing w:line="259" w:lineRule="auto"/>
        <w:jc w:val="both"/>
      </w:pPr>
    </w:p>
    <w:p w14:paraId="4E00A2F3" w14:textId="6A2425BB" w:rsidR="00E54E52" w:rsidRPr="005C46A2" w:rsidRDefault="00947895" w:rsidP="00495C74">
      <w:pPr>
        <w:spacing w:line="259" w:lineRule="auto"/>
        <w:jc w:val="both"/>
      </w:pPr>
      <w:r w:rsidRPr="005C46A2">
        <w:t xml:space="preserve">Additional barriers included low practitioner confidence and competence working with families. </w:t>
      </w:r>
      <w:r w:rsidRPr="00654B3B">
        <w:t>Gambling support workers were described as eclectic in background</w:t>
      </w:r>
      <w:r w:rsidR="001D2655" w:rsidRPr="00654B3B">
        <w:t xml:space="preserve">, particularly in </w:t>
      </w:r>
      <w:r w:rsidR="001D2655" w:rsidRPr="00654B3B">
        <w:lastRenderedPageBreak/>
        <w:t>New Zealand,</w:t>
      </w:r>
      <w:r w:rsidRPr="00654B3B">
        <w:t xml:space="preserve"> with few trained in basic social/relational approaches to working with families</w:t>
      </w:r>
      <w:r w:rsidR="001D2655" w:rsidRPr="005C46A2">
        <w:t>, e.g.:</w:t>
      </w:r>
    </w:p>
    <w:p w14:paraId="23D5F64E" w14:textId="6256CD33" w:rsidR="001D2655" w:rsidRPr="005C46A2" w:rsidRDefault="001D2655" w:rsidP="00495C74">
      <w:pPr>
        <w:spacing w:line="259" w:lineRule="auto"/>
        <w:jc w:val="both"/>
      </w:pPr>
    </w:p>
    <w:p w14:paraId="370B0694" w14:textId="601BE479" w:rsidR="001D2655" w:rsidRPr="005C46A2" w:rsidRDefault="001D2655" w:rsidP="001D2655">
      <w:pPr>
        <w:spacing w:line="259" w:lineRule="auto"/>
        <w:ind w:left="720"/>
        <w:jc w:val="both"/>
        <w:rPr>
          <w:i/>
          <w:iCs/>
        </w:rPr>
      </w:pPr>
      <w:r w:rsidRPr="005C46A2">
        <w:rPr>
          <w:i/>
          <w:iCs/>
        </w:rPr>
        <w:t>“Clinicians' can have biases about families (i.e. that they create conflict and are too intrusive, too dependent, too critical etc). Clinicians' express discomfort working with a family or family subsystems, worry about managing strong emotions. Lack of training in services and lack of family focus in most clinical education programs (i.e. social work, psychology). Even social work which is known for its systems approach and person</w:t>
      </w:r>
      <w:r w:rsidR="002336FB">
        <w:rPr>
          <w:i/>
          <w:iCs/>
        </w:rPr>
        <w:t>-</w:t>
      </w:r>
      <w:r w:rsidRPr="005C46A2">
        <w:rPr>
          <w:i/>
          <w:iCs/>
        </w:rPr>
        <w:t>in</w:t>
      </w:r>
      <w:r w:rsidR="002336FB">
        <w:rPr>
          <w:i/>
          <w:iCs/>
        </w:rPr>
        <w:t>-</w:t>
      </w:r>
      <w:r w:rsidRPr="005C46A2">
        <w:rPr>
          <w:i/>
          <w:iCs/>
        </w:rPr>
        <w:t>environment perspective, has few courses that teach students how to work with families and few that focus on addictions</w:t>
      </w:r>
      <w:r w:rsidR="0087726B">
        <w:rPr>
          <w:i/>
          <w:iCs/>
        </w:rPr>
        <w:t>!</w:t>
      </w:r>
      <w:r w:rsidRPr="005C46A2">
        <w:rPr>
          <w:i/>
          <w:iCs/>
        </w:rPr>
        <w:t>” (Researcher</w:t>
      </w:r>
      <w:r w:rsidR="002336FB">
        <w:rPr>
          <w:i/>
          <w:iCs/>
        </w:rPr>
        <w:t xml:space="preserve"> and clinician</w:t>
      </w:r>
      <w:r w:rsidRPr="005C46A2">
        <w:rPr>
          <w:i/>
          <w:iCs/>
        </w:rPr>
        <w:t>, Canada).</w:t>
      </w:r>
    </w:p>
    <w:p w14:paraId="14AFECF0" w14:textId="0F689E66" w:rsidR="001D2655" w:rsidRPr="005C46A2" w:rsidRDefault="001D2655" w:rsidP="001D2655">
      <w:pPr>
        <w:spacing w:line="259" w:lineRule="auto"/>
        <w:jc w:val="both"/>
      </w:pPr>
    </w:p>
    <w:p w14:paraId="16C1F4E6" w14:textId="7750DE5A" w:rsidR="00C31D7C" w:rsidRPr="005C46A2" w:rsidRDefault="006851D2" w:rsidP="00495C74">
      <w:pPr>
        <w:spacing w:line="259" w:lineRule="auto"/>
        <w:jc w:val="both"/>
      </w:pPr>
      <w:r w:rsidRPr="005C46A2">
        <w:t xml:space="preserve">Family mistrust of services related to social stigma was identified as a </w:t>
      </w:r>
      <w:r w:rsidR="002336FB">
        <w:t xml:space="preserve">powerful </w:t>
      </w:r>
      <w:r w:rsidRPr="005C46A2">
        <w:t>barrier to service engagement</w:t>
      </w:r>
      <w:r w:rsidR="003807F9">
        <w:t xml:space="preserve">. Additionally, </w:t>
      </w:r>
      <w:r w:rsidR="00C31D7C" w:rsidRPr="005C46A2">
        <w:t xml:space="preserve">service design </w:t>
      </w:r>
      <w:r w:rsidR="00FA34D7" w:rsidRPr="005C46A2">
        <w:t>around</w:t>
      </w:r>
      <w:r w:rsidR="00C31D7C" w:rsidRPr="005C46A2">
        <w:t xml:space="preserve"> individual gamblers, and low cultural awareness and competency</w:t>
      </w:r>
      <w:r w:rsidR="00FA34D7" w:rsidRPr="005C46A2">
        <w:t xml:space="preserve"> (e.g. lack of appropriate space for large families to gather</w:t>
      </w:r>
      <w:r w:rsidR="003807F9">
        <w:t>, lack of diversity in the workforce)</w:t>
      </w:r>
      <w:r w:rsidR="00C31D7C" w:rsidRPr="005C46A2">
        <w:t xml:space="preserve">. </w:t>
      </w:r>
    </w:p>
    <w:p w14:paraId="1B69B2E5" w14:textId="13310571" w:rsidR="007818EC" w:rsidRPr="005C46A2" w:rsidRDefault="007818EC" w:rsidP="00495C74">
      <w:pPr>
        <w:spacing w:line="259" w:lineRule="auto"/>
        <w:jc w:val="both"/>
      </w:pPr>
    </w:p>
    <w:p w14:paraId="5AAA6AC2" w14:textId="2CF47EAC" w:rsidR="00FA34D7" w:rsidRDefault="00FA34D7" w:rsidP="00FA34D7">
      <w:pPr>
        <w:spacing w:line="259" w:lineRule="auto"/>
        <w:ind w:left="720"/>
        <w:jc w:val="both"/>
        <w:rPr>
          <w:i/>
          <w:iCs/>
        </w:rPr>
      </w:pPr>
      <w:r w:rsidRPr="005C46A2">
        <w:rPr>
          <w:i/>
          <w:iCs/>
        </w:rPr>
        <w:t>“The design of the service environment should be comforting to the eye and less clinical and individual. A homely feeling</w:t>
      </w:r>
      <w:r w:rsidR="0050182F">
        <w:rPr>
          <w:i/>
          <w:iCs/>
        </w:rPr>
        <w:t xml:space="preserve"> is important,</w:t>
      </w:r>
      <w:r w:rsidRPr="005C46A2">
        <w:rPr>
          <w:i/>
          <w:iCs/>
        </w:rPr>
        <w:t xml:space="preserve"> something most people are used to and feel comfortable </w:t>
      </w:r>
      <w:r w:rsidRPr="00654B3B">
        <w:rPr>
          <w:i/>
          <w:iCs/>
        </w:rPr>
        <w:t xml:space="preserve">in. Diversity of the practitioners especially </w:t>
      </w:r>
      <w:r w:rsidR="00831123" w:rsidRPr="00654B3B">
        <w:rPr>
          <w:i/>
          <w:iCs/>
        </w:rPr>
        <w:t>Māori</w:t>
      </w:r>
      <w:r w:rsidRPr="00654B3B">
        <w:rPr>
          <w:i/>
          <w:iCs/>
        </w:rPr>
        <w:t xml:space="preserve"> and Pasifika would support this.” (Clinician, NZ)</w:t>
      </w:r>
    </w:p>
    <w:p w14:paraId="3AAC4F05" w14:textId="642FA44F" w:rsidR="002C51E2" w:rsidRDefault="002C51E2" w:rsidP="002C51E2">
      <w:pPr>
        <w:spacing w:line="259" w:lineRule="auto"/>
        <w:jc w:val="both"/>
      </w:pPr>
    </w:p>
    <w:p w14:paraId="12BF5972" w14:textId="3B4D0101" w:rsidR="002C51E2" w:rsidRPr="002C51E2" w:rsidRDefault="002C51E2" w:rsidP="002C51E2">
      <w:pPr>
        <w:spacing w:line="259" w:lineRule="auto"/>
        <w:jc w:val="both"/>
      </w:pPr>
      <w:r>
        <w:t>FAO input into the physical/aesthetic environment in which services are offered would support engagement.</w:t>
      </w:r>
    </w:p>
    <w:p w14:paraId="0296D966" w14:textId="77777777" w:rsidR="00C31D7C" w:rsidRPr="005C46A2" w:rsidRDefault="00C31D7C" w:rsidP="00495C74">
      <w:pPr>
        <w:spacing w:line="259" w:lineRule="auto"/>
        <w:jc w:val="both"/>
      </w:pPr>
    </w:p>
    <w:p w14:paraId="7A63F997" w14:textId="5DA88BBE" w:rsidR="00C70D0D" w:rsidRPr="005C46A2" w:rsidRDefault="00C70D0D" w:rsidP="00D50B98">
      <w:pPr>
        <w:pStyle w:val="Heading4"/>
      </w:pPr>
      <w:r w:rsidRPr="005C46A2">
        <w:t>Enablers of FAO centred service design and practice</w:t>
      </w:r>
    </w:p>
    <w:p w14:paraId="06B064A7" w14:textId="144D4097" w:rsidR="00FA34D7" w:rsidRPr="005C46A2" w:rsidRDefault="00FA34D7" w:rsidP="00495C74">
      <w:pPr>
        <w:spacing w:line="259" w:lineRule="auto"/>
        <w:jc w:val="both"/>
      </w:pPr>
      <w:r w:rsidRPr="005C46A2">
        <w:t>Developing and promoting an understanding of gambling harm as a social issue alongside holistic models of recovery were identified as key enablers of FAO centres services</w:t>
      </w:r>
      <w:r w:rsidR="00A708A9">
        <w:t xml:space="preserve"> (</w:t>
      </w:r>
      <w:r w:rsidR="00A708A9">
        <w:fldChar w:fldCharType="begin"/>
      </w:r>
      <w:r w:rsidR="00A708A9">
        <w:instrText xml:space="preserve"> REF _Ref51665565 \h </w:instrText>
      </w:r>
      <w:r w:rsidR="00A708A9">
        <w:fldChar w:fldCharType="separate"/>
      </w:r>
      <w:r w:rsidR="00DF0799" w:rsidRPr="005C46A2">
        <w:t xml:space="preserve">Table </w:t>
      </w:r>
      <w:r w:rsidR="00DF0799">
        <w:rPr>
          <w:noProof/>
        </w:rPr>
        <w:t>5</w:t>
      </w:r>
      <w:r w:rsidR="00A708A9">
        <w:fldChar w:fldCharType="end"/>
      </w:r>
      <w:r w:rsidR="00A708A9">
        <w:t>)</w:t>
      </w:r>
      <w:r w:rsidRPr="005C46A2">
        <w:t>, e.g.:</w:t>
      </w:r>
    </w:p>
    <w:p w14:paraId="37A268CD" w14:textId="6C9B4FE5" w:rsidR="00FA34D7" w:rsidRPr="005C46A2" w:rsidRDefault="00FA34D7" w:rsidP="00495C74">
      <w:pPr>
        <w:spacing w:line="259" w:lineRule="auto"/>
        <w:jc w:val="both"/>
        <w:rPr>
          <w:i/>
          <w:iCs/>
        </w:rPr>
      </w:pPr>
    </w:p>
    <w:p w14:paraId="1D54F2B7" w14:textId="7020F264" w:rsidR="00FA34D7" w:rsidRPr="005C46A2" w:rsidRDefault="00FA34D7" w:rsidP="00357E0C">
      <w:pPr>
        <w:spacing w:line="259" w:lineRule="auto"/>
        <w:ind w:left="720"/>
        <w:jc w:val="both"/>
        <w:rPr>
          <w:i/>
          <w:iCs/>
        </w:rPr>
      </w:pPr>
      <w:r w:rsidRPr="005C46A2">
        <w:rPr>
          <w:i/>
          <w:iCs/>
        </w:rPr>
        <w:t xml:space="preserve">“Broader understanding in wider society that gambling problems are not just centred </w:t>
      </w:r>
      <w:r w:rsidR="00C05215">
        <w:rPr>
          <w:i/>
          <w:iCs/>
        </w:rPr>
        <w:t>i</w:t>
      </w:r>
      <w:r w:rsidRPr="005C46A2">
        <w:rPr>
          <w:i/>
          <w:iCs/>
        </w:rPr>
        <w:t>n an individual but in families and communities.” (Clinician, UK)</w:t>
      </w:r>
    </w:p>
    <w:p w14:paraId="7356F215" w14:textId="1A2D3416" w:rsidR="00FA34D7" w:rsidRPr="005C46A2" w:rsidRDefault="00FA34D7" w:rsidP="00495C74">
      <w:pPr>
        <w:spacing w:line="259" w:lineRule="auto"/>
        <w:jc w:val="both"/>
      </w:pPr>
    </w:p>
    <w:p w14:paraId="5333E2DE" w14:textId="668E2556" w:rsidR="00FA34D7" w:rsidRPr="005C46A2" w:rsidRDefault="00FA34D7" w:rsidP="00357E0C">
      <w:pPr>
        <w:spacing w:line="259" w:lineRule="auto"/>
        <w:ind w:left="720"/>
        <w:jc w:val="both"/>
        <w:rPr>
          <w:i/>
          <w:iCs/>
        </w:rPr>
      </w:pPr>
      <w:r w:rsidRPr="005C46A2">
        <w:rPr>
          <w:i/>
          <w:iCs/>
        </w:rPr>
        <w:t>“The use of a working model that puts FAOs centre stage e.g. a 'triangle approach' that sees services for gambling problems as a collaboration between three parties - person with gambling problem, FAO(s), and professional(s)” (Researcher, UK)</w:t>
      </w:r>
    </w:p>
    <w:p w14:paraId="44E245AF" w14:textId="2212FAAA" w:rsidR="00FA34D7" w:rsidRPr="005C46A2" w:rsidRDefault="00FA34D7" w:rsidP="00495C74">
      <w:pPr>
        <w:spacing w:line="259" w:lineRule="auto"/>
        <w:jc w:val="both"/>
      </w:pPr>
    </w:p>
    <w:p w14:paraId="6BEF5468" w14:textId="75E03ADB" w:rsidR="00964E61" w:rsidRPr="005C46A2" w:rsidRDefault="00964E61" w:rsidP="00964E61">
      <w:pPr>
        <w:jc w:val="both"/>
      </w:pPr>
      <w:r w:rsidRPr="005C46A2">
        <w:t xml:space="preserve">Family systems and social models of addiction/recovery, the notion of recovery as relational reintegration and a conceptualisation of ‘the client’ as the family, were </w:t>
      </w:r>
      <w:r w:rsidR="00EB7E32">
        <w:t>seen</w:t>
      </w:r>
      <w:r w:rsidRPr="005C46A2">
        <w:t xml:space="preserve"> as necessary to enhance family inclusive and family focussed practice in gambling services. These approaches would necessitate re-thinking service design from conceptualisation through to consideration of appropriate outcomes and evaluation. For example, evaluating the impact of support, and identifying key outcomes from a social perspective could involve: </w:t>
      </w:r>
    </w:p>
    <w:p w14:paraId="57860A9F" w14:textId="77777777" w:rsidR="00964E61" w:rsidRPr="005C46A2" w:rsidRDefault="00964E61" w:rsidP="00964E61">
      <w:pPr>
        <w:jc w:val="both"/>
      </w:pPr>
    </w:p>
    <w:p w14:paraId="4C5264E1" w14:textId="296B03BA" w:rsidR="00964E61" w:rsidRPr="005C46A2" w:rsidRDefault="00964E61" w:rsidP="00964E61">
      <w:pPr>
        <w:ind w:left="720"/>
        <w:jc w:val="both"/>
        <w:rPr>
          <w:i/>
          <w:iCs/>
        </w:rPr>
      </w:pPr>
      <w:r w:rsidRPr="005C46A2">
        <w:rPr>
          <w:i/>
          <w:iCs/>
        </w:rPr>
        <w:lastRenderedPageBreak/>
        <w:t xml:space="preserve">“Using indicators of strength in the form of social cohesion, family mobilisation, collective action etc. But this is </w:t>
      </w:r>
      <w:r w:rsidR="001138F6">
        <w:rPr>
          <w:i/>
          <w:iCs/>
        </w:rPr>
        <w:t xml:space="preserve">almost </w:t>
      </w:r>
      <w:r w:rsidRPr="005C46A2">
        <w:rPr>
          <w:i/>
          <w:iCs/>
        </w:rPr>
        <w:t>never the case.” (Researcher, NZ)</w:t>
      </w:r>
    </w:p>
    <w:p w14:paraId="0FF4F3E4" w14:textId="77777777" w:rsidR="00964E61" w:rsidRPr="005C46A2" w:rsidRDefault="00964E61" w:rsidP="00964E61">
      <w:pPr>
        <w:jc w:val="both"/>
      </w:pPr>
    </w:p>
    <w:p w14:paraId="433D37BD" w14:textId="77777777" w:rsidR="00964E61" w:rsidRPr="005C46A2" w:rsidRDefault="00964E61" w:rsidP="00964E61">
      <w:pPr>
        <w:jc w:val="both"/>
      </w:pPr>
      <w:r w:rsidRPr="005C46A2">
        <w:t xml:space="preserve">Such social models of addiction/recovery were described as underdeveloped in the gambling field. </w:t>
      </w:r>
    </w:p>
    <w:p w14:paraId="6D4D1763" w14:textId="77777777" w:rsidR="00964E61" w:rsidRPr="005C46A2" w:rsidRDefault="00964E61" w:rsidP="00964E61">
      <w:pPr>
        <w:spacing w:line="259" w:lineRule="auto"/>
        <w:jc w:val="both"/>
      </w:pPr>
    </w:p>
    <w:p w14:paraId="41871D9C" w14:textId="0D10B266" w:rsidR="00964E61" w:rsidRPr="005C46A2" w:rsidRDefault="00964E61" w:rsidP="00964E61">
      <w:pPr>
        <w:pStyle w:val="Caption"/>
      </w:pPr>
      <w:bookmarkStart w:id="84" w:name="_Ref51665565"/>
      <w:bookmarkStart w:id="85" w:name="_Toc51240667"/>
      <w:bookmarkStart w:id="86" w:name="_Toc58400638"/>
      <w:r w:rsidRPr="005C46A2">
        <w:t xml:space="preserve">Table </w:t>
      </w:r>
      <w:r w:rsidR="00D04B86">
        <w:fldChar w:fldCharType="begin"/>
      </w:r>
      <w:r w:rsidR="00D04B86">
        <w:instrText xml:space="preserve"> SEQ Table \* ARABIC </w:instrText>
      </w:r>
      <w:r w:rsidR="00D04B86">
        <w:fldChar w:fldCharType="separate"/>
      </w:r>
      <w:r w:rsidR="00DF0799">
        <w:rPr>
          <w:noProof/>
        </w:rPr>
        <w:t>5</w:t>
      </w:r>
      <w:r w:rsidR="00D04B86">
        <w:rPr>
          <w:noProof/>
        </w:rPr>
        <w:fldChar w:fldCharType="end"/>
      </w:r>
      <w:bookmarkEnd w:id="84"/>
      <w:r w:rsidRPr="005C46A2">
        <w:t xml:space="preserve">. Enablers </w:t>
      </w:r>
      <w:r w:rsidR="00A708A9">
        <w:t xml:space="preserve">of </w:t>
      </w:r>
      <w:r w:rsidRPr="005C46A2">
        <w:t>FAO centred service design and practice</w:t>
      </w:r>
      <w:bookmarkEnd w:id="85"/>
      <w:bookmarkEnd w:id="86"/>
    </w:p>
    <w:tbl>
      <w:tblPr>
        <w:tblStyle w:val="TableGrid"/>
        <w:tblW w:w="0" w:type="auto"/>
        <w:tblLook w:val="04A0" w:firstRow="1" w:lastRow="0" w:firstColumn="1" w:lastColumn="0" w:noHBand="0" w:noVBand="1"/>
      </w:tblPr>
      <w:tblGrid>
        <w:gridCol w:w="7225"/>
        <w:gridCol w:w="850"/>
        <w:gridCol w:w="941"/>
      </w:tblGrid>
      <w:tr w:rsidR="00964E61" w:rsidRPr="005C46A2" w14:paraId="0BFE8CA5" w14:textId="77777777" w:rsidTr="000C4959">
        <w:tc>
          <w:tcPr>
            <w:tcW w:w="7225" w:type="dxa"/>
          </w:tcPr>
          <w:p w14:paraId="7787D232" w14:textId="77777777" w:rsidR="00964E61" w:rsidRPr="005C46A2" w:rsidRDefault="00964E61" w:rsidP="000C4959">
            <w:pPr>
              <w:jc w:val="both"/>
              <w:rPr>
                <w:b/>
                <w:bCs/>
                <w:sz w:val="22"/>
                <w:szCs w:val="22"/>
              </w:rPr>
            </w:pPr>
            <w:r w:rsidRPr="005C46A2">
              <w:rPr>
                <w:b/>
                <w:bCs/>
                <w:sz w:val="22"/>
                <w:szCs w:val="22"/>
              </w:rPr>
              <w:t>Coded qualitative responses</w:t>
            </w:r>
          </w:p>
        </w:tc>
        <w:tc>
          <w:tcPr>
            <w:tcW w:w="850" w:type="dxa"/>
          </w:tcPr>
          <w:p w14:paraId="3097B0EA" w14:textId="77777777" w:rsidR="00964E61" w:rsidRPr="005C46A2" w:rsidRDefault="00964E61" w:rsidP="000C4959">
            <w:pPr>
              <w:jc w:val="both"/>
              <w:rPr>
                <w:b/>
                <w:bCs/>
                <w:sz w:val="22"/>
                <w:szCs w:val="22"/>
              </w:rPr>
            </w:pPr>
            <w:r w:rsidRPr="005C46A2">
              <w:rPr>
                <w:b/>
                <w:bCs/>
                <w:sz w:val="22"/>
                <w:szCs w:val="22"/>
              </w:rPr>
              <w:t>N</w:t>
            </w:r>
          </w:p>
        </w:tc>
        <w:tc>
          <w:tcPr>
            <w:tcW w:w="941" w:type="dxa"/>
          </w:tcPr>
          <w:p w14:paraId="466AD873" w14:textId="2FE93A86" w:rsidR="00964E61" w:rsidRPr="005C46A2" w:rsidRDefault="00964E61" w:rsidP="000C4959">
            <w:pPr>
              <w:jc w:val="both"/>
              <w:rPr>
                <w:b/>
                <w:bCs/>
                <w:sz w:val="22"/>
                <w:szCs w:val="22"/>
              </w:rPr>
            </w:pPr>
            <w:r w:rsidRPr="005C46A2">
              <w:rPr>
                <w:b/>
                <w:bCs/>
                <w:sz w:val="22"/>
                <w:szCs w:val="22"/>
              </w:rPr>
              <w:t>%</w:t>
            </w:r>
            <w:r w:rsidR="00FF2D89" w:rsidRPr="00FF2D89">
              <w:rPr>
                <w:sz w:val="22"/>
                <w:szCs w:val="22"/>
                <w:vertAlign w:val="superscript"/>
              </w:rPr>
              <w:t>#</w:t>
            </w:r>
          </w:p>
        </w:tc>
      </w:tr>
      <w:tr w:rsidR="00964E61" w:rsidRPr="005C46A2" w14:paraId="52B58EE4" w14:textId="77777777" w:rsidTr="000C4959">
        <w:tc>
          <w:tcPr>
            <w:tcW w:w="7225" w:type="dxa"/>
          </w:tcPr>
          <w:p w14:paraId="3F6659C0" w14:textId="77777777" w:rsidR="00964E61" w:rsidRPr="005C46A2" w:rsidRDefault="00964E61" w:rsidP="000C4959">
            <w:pPr>
              <w:jc w:val="both"/>
              <w:rPr>
                <w:sz w:val="22"/>
                <w:szCs w:val="22"/>
              </w:rPr>
            </w:pPr>
            <w:r w:rsidRPr="005C46A2">
              <w:rPr>
                <w:sz w:val="22"/>
                <w:szCs w:val="22"/>
              </w:rPr>
              <w:t xml:space="preserve">Gambling is conceptualised as a social issue/holistic models of recovery </w:t>
            </w:r>
          </w:p>
        </w:tc>
        <w:tc>
          <w:tcPr>
            <w:tcW w:w="850" w:type="dxa"/>
          </w:tcPr>
          <w:p w14:paraId="548E0359" w14:textId="77777777" w:rsidR="00964E61" w:rsidRPr="005C46A2" w:rsidRDefault="00964E61" w:rsidP="000C4959">
            <w:pPr>
              <w:jc w:val="right"/>
              <w:rPr>
                <w:sz w:val="22"/>
                <w:szCs w:val="22"/>
              </w:rPr>
            </w:pPr>
            <w:r w:rsidRPr="005C46A2">
              <w:rPr>
                <w:sz w:val="22"/>
                <w:szCs w:val="22"/>
              </w:rPr>
              <w:t>11</w:t>
            </w:r>
          </w:p>
        </w:tc>
        <w:tc>
          <w:tcPr>
            <w:tcW w:w="941" w:type="dxa"/>
          </w:tcPr>
          <w:p w14:paraId="67235D0C" w14:textId="77777777" w:rsidR="00964E61" w:rsidRPr="005C46A2" w:rsidRDefault="00964E61" w:rsidP="000C4959">
            <w:pPr>
              <w:jc w:val="right"/>
              <w:rPr>
                <w:sz w:val="22"/>
                <w:szCs w:val="22"/>
              </w:rPr>
            </w:pPr>
            <w:r w:rsidRPr="005C46A2">
              <w:rPr>
                <w:sz w:val="22"/>
                <w:szCs w:val="22"/>
              </w:rPr>
              <w:t>38</w:t>
            </w:r>
          </w:p>
        </w:tc>
      </w:tr>
      <w:tr w:rsidR="00964E61" w:rsidRPr="005C46A2" w14:paraId="61D5796B" w14:textId="77777777" w:rsidTr="000C4959">
        <w:tc>
          <w:tcPr>
            <w:tcW w:w="7225" w:type="dxa"/>
          </w:tcPr>
          <w:p w14:paraId="1A37B27F" w14:textId="77777777" w:rsidR="00964E61" w:rsidRPr="005C46A2" w:rsidRDefault="00964E61" w:rsidP="000C4959">
            <w:pPr>
              <w:jc w:val="both"/>
              <w:rPr>
                <w:sz w:val="22"/>
                <w:szCs w:val="22"/>
              </w:rPr>
            </w:pPr>
            <w:r w:rsidRPr="005C46A2">
              <w:rPr>
                <w:sz w:val="22"/>
                <w:szCs w:val="22"/>
              </w:rPr>
              <w:t>Family inclusive policy and funding models</w:t>
            </w:r>
          </w:p>
        </w:tc>
        <w:tc>
          <w:tcPr>
            <w:tcW w:w="850" w:type="dxa"/>
          </w:tcPr>
          <w:p w14:paraId="65C77AAA" w14:textId="77777777" w:rsidR="00964E61" w:rsidRPr="005C46A2" w:rsidRDefault="00964E61" w:rsidP="000C4959">
            <w:pPr>
              <w:jc w:val="right"/>
              <w:rPr>
                <w:sz w:val="22"/>
                <w:szCs w:val="22"/>
              </w:rPr>
            </w:pPr>
            <w:r w:rsidRPr="005C46A2">
              <w:rPr>
                <w:sz w:val="22"/>
                <w:szCs w:val="22"/>
              </w:rPr>
              <w:t>8</w:t>
            </w:r>
          </w:p>
        </w:tc>
        <w:tc>
          <w:tcPr>
            <w:tcW w:w="941" w:type="dxa"/>
          </w:tcPr>
          <w:p w14:paraId="30B9C55E" w14:textId="77777777" w:rsidR="00964E61" w:rsidRPr="005C46A2" w:rsidRDefault="00964E61" w:rsidP="000C4959">
            <w:pPr>
              <w:jc w:val="right"/>
              <w:rPr>
                <w:sz w:val="22"/>
                <w:szCs w:val="22"/>
              </w:rPr>
            </w:pPr>
            <w:r w:rsidRPr="005C46A2">
              <w:rPr>
                <w:sz w:val="22"/>
                <w:szCs w:val="22"/>
              </w:rPr>
              <w:t>28</w:t>
            </w:r>
          </w:p>
        </w:tc>
      </w:tr>
      <w:tr w:rsidR="00964E61" w:rsidRPr="005C46A2" w14:paraId="1F33700F" w14:textId="77777777" w:rsidTr="000C4959">
        <w:tc>
          <w:tcPr>
            <w:tcW w:w="7225" w:type="dxa"/>
          </w:tcPr>
          <w:p w14:paraId="559FE8A5" w14:textId="77777777" w:rsidR="00964E61" w:rsidRPr="005C46A2" w:rsidRDefault="00964E61" w:rsidP="000C4959">
            <w:pPr>
              <w:jc w:val="both"/>
              <w:rPr>
                <w:sz w:val="22"/>
                <w:szCs w:val="22"/>
              </w:rPr>
            </w:pPr>
            <w:r w:rsidRPr="005C46A2">
              <w:rPr>
                <w:sz w:val="22"/>
                <w:szCs w:val="22"/>
              </w:rPr>
              <w:t>Partnership with families</w:t>
            </w:r>
          </w:p>
        </w:tc>
        <w:tc>
          <w:tcPr>
            <w:tcW w:w="850" w:type="dxa"/>
          </w:tcPr>
          <w:p w14:paraId="72ACD58F" w14:textId="77777777" w:rsidR="00964E61" w:rsidRPr="005C46A2" w:rsidRDefault="00964E61" w:rsidP="000C4959">
            <w:pPr>
              <w:jc w:val="right"/>
              <w:rPr>
                <w:sz w:val="22"/>
                <w:szCs w:val="22"/>
              </w:rPr>
            </w:pPr>
            <w:r w:rsidRPr="005C46A2">
              <w:rPr>
                <w:sz w:val="22"/>
                <w:szCs w:val="22"/>
              </w:rPr>
              <w:t>8</w:t>
            </w:r>
          </w:p>
        </w:tc>
        <w:tc>
          <w:tcPr>
            <w:tcW w:w="941" w:type="dxa"/>
          </w:tcPr>
          <w:p w14:paraId="6B89C40F" w14:textId="77777777" w:rsidR="00964E61" w:rsidRPr="005C46A2" w:rsidRDefault="00964E61" w:rsidP="000C4959">
            <w:pPr>
              <w:jc w:val="right"/>
              <w:rPr>
                <w:sz w:val="22"/>
                <w:szCs w:val="22"/>
              </w:rPr>
            </w:pPr>
            <w:r w:rsidRPr="005C46A2">
              <w:rPr>
                <w:sz w:val="22"/>
                <w:szCs w:val="22"/>
              </w:rPr>
              <w:t>28</w:t>
            </w:r>
          </w:p>
        </w:tc>
      </w:tr>
      <w:tr w:rsidR="00964E61" w:rsidRPr="005C46A2" w14:paraId="0261D988" w14:textId="77777777" w:rsidTr="000C4959">
        <w:tc>
          <w:tcPr>
            <w:tcW w:w="7225" w:type="dxa"/>
          </w:tcPr>
          <w:p w14:paraId="135EA5A0" w14:textId="77777777" w:rsidR="00964E61" w:rsidRPr="005C46A2" w:rsidRDefault="00964E61" w:rsidP="000C4959">
            <w:pPr>
              <w:jc w:val="both"/>
              <w:rPr>
                <w:sz w:val="22"/>
                <w:szCs w:val="22"/>
              </w:rPr>
            </w:pPr>
            <w:r w:rsidRPr="005C46A2">
              <w:rPr>
                <w:sz w:val="22"/>
                <w:szCs w:val="22"/>
              </w:rPr>
              <w:t>Growing the evidence base</w:t>
            </w:r>
          </w:p>
        </w:tc>
        <w:tc>
          <w:tcPr>
            <w:tcW w:w="850" w:type="dxa"/>
          </w:tcPr>
          <w:p w14:paraId="3104AB1D" w14:textId="77777777" w:rsidR="00964E61" w:rsidRPr="005C46A2" w:rsidRDefault="00964E61" w:rsidP="000C4959">
            <w:pPr>
              <w:jc w:val="right"/>
              <w:rPr>
                <w:sz w:val="22"/>
                <w:szCs w:val="22"/>
              </w:rPr>
            </w:pPr>
            <w:r w:rsidRPr="005C46A2">
              <w:rPr>
                <w:sz w:val="22"/>
                <w:szCs w:val="22"/>
              </w:rPr>
              <w:t>7</w:t>
            </w:r>
          </w:p>
        </w:tc>
        <w:tc>
          <w:tcPr>
            <w:tcW w:w="941" w:type="dxa"/>
          </w:tcPr>
          <w:p w14:paraId="1B255606" w14:textId="77777777" w:rsidR="00964E61" w:rsidRPr="005C46A2" w:rsidRDefault="00964E61" w:rsidP="000C4959">
            <w:pPr>
              <w:jc w:val="right"/>
              <w:rPr>
                <w:sz w:val="22"/>
                <w:szCs w:val="22"/>
              </w:rPr>
            </w:pPr>
            <w:r w:rsidRPr="005C46A2">
              <w:rPr>
                <w:sz w:val="22"/>
                <w:szCs w:val="22"/>
              </w:rPr>
              <w:t>24</w:t>
            </w:r>
          </w:p>
        </w:tc>
      </w:tr>
      <w:tr w:rsidR="00964E61" w:rsidRPr="005C46A2" w14:paraId="22245740" w14:textId="77777777" w:rsidTr="000C4959">
        <w:tc>
          <w:tcPr>
            <w:tcW w:w="7225" w:type="dxa"/>
          </w:tcPr>
          <w:p w14:paraId="7EE2F677" w14:textId="77777777" w:rsidR="00964E61" w:rsidRPr="005C46A2" w:rsidRDefault="00964E61" w:rsidP="000C4959">
            <w:pPr>
              <w:jc w:val="both"/>
              <w:rPr>
                <w:sz w:val="22"/>
                <w:szCs w:val="22"/>
              </w:rPr>
            </w:pPr>
            <w:r w:rsidRPr="005C46A2">
              <w:rPr>
                <w:sz w:val="22"/>
                <w:szCs w:val="22"/>
              </w:rPr>
              <w:t xml:space="preserve">Staff competency </w:t>
            </w:r>
          </w:p>
        </w:tc>
        <w:tc>
          <w:tcPr>
            <w:tcW w:w="850" w:type="dxa"/>
          </w:tcPr>
          <w:p w14:paraId="64163F0C" w14:textId="77777777" w:rsidR="00964E61" w:rsidRPr="005C46A2" w:rsidRDefault="00964E61" w:rsidP="000C4959">
            <w:pPr>
              <w:jc w:val="right"/>
              <w:rPr>
                <w:sz w:val="22"/>
                <w:szCs w:val="22"/>
              </w:rPr>
            </w:pPr>
            <w:r w:rsidRPr="005C46A2">
              <w:rPr>
                <w:sz w:val="22"/>
                <w:szCs w:val="22"/>
              </w:rPr>
              <w:t>6</w:t>
            </w:r>
          </w:p>
        </w:tc>
        <w:tc>
          <w:tcPr>
            <w:tcW w:w="941" w:type="dxa"/>
          </w:tcPr>
          <w:p w14:paraId="447D9E07" w14:textId="77777777" w:rsidR="00964E61" w:rsidRPr="005C46A2" w:rsidRDefault="00964E61" w:rsidP="000C4959">
            <w:pPr>
              <w:jc w:val="right"/>
              <w:rPr>
                <w:sz w:val="22"/>
                <w:szCs w:val="22"/>
              </w:rPr>
            </w:pPr>
            <w:r w:rsidRPr="005C46A2">
              <w:rPr>
                <w:sz w:val="22"/>
                <w:szCs w:val="22"/>
              </w:rPr>
              <w:t>21</w:t>
            </w:r>
          </w:p>
        </w:tc>
      </w:tr>
      <w:tr w:rsidR="00964E61" w:rsidRPr="005C46A2" w14:paraId="490C1536" w14:textId="77777777" w:rsidTr="000C4959">
        <w:tc>
          <w:tcPr>
            <w:tcW w:w="7225" w:type="dxa"/>
          </w:tcPr>
          <w:p w14:paraId="6733EA85" w14:textId="77777777" w:rsidR="00964E61" w:rsidRPr="005C46A2" w:rsidRDefault="00964E61" w:rsidP="000C4959">
            <w:pPr>
              <w:jc w:val="both"/>
              <w:rPr>
                <w:sz w:val="22"/>
                <w:szCs w:val="22"/>
              </w:rPr>
            </w:pPr>
            <w:r w:rsidRPr="005C46A2">
              <w:rPr>
                <w:sz w:val="22"/>
                <w:szCs w:val="22"/>
              </w:rPr>
              <w:t>Targeted promotion and awareness raising for families</w:t>
            </w:r>
          </w:p>
        </w:tc>
        <w:tc>
          <w:tcPr>
            <w:tcW w:w="850" w:type="dxa"/>
          </w:tcPr>
          <w:p w14:paraId="4DB8D9F7" w14:textId="77777777" w:rsidR="00964E61" w:rsidRPr="005C46A2" w:rsidRDefault="00964E61" w:rsidP="000C4959">
            <w:pPr>
              <w:jc w:val="right"/>
              <w:rPr>
                <w:sz w:val="22"/>
                <w:szCs w:val="22"/>
              </w:rPr>
            </w:pPr>
            <w:r w:rsidRPr="005C46A2">
              <w:rPr>
                <w:sz w:val="22"/>
                <w:szCs w:val="22"/>
              </w:rPr>
              <w:t>5</w:t>
            </w:r>
          </w:p>
        </w:tc>
        <w:tc>
          <w:tcPr>
            <w:tcW w:w="941" w:type="dxa"/>
          </w:tcPr>
          <w:p w14:paraId="478EB6EA" w14:textId="77777777" w:rsidR="00964E61" w:rsidRPr="005C46A2" w:rsidRDefault="00964E61" w:rsidP="000C4959">
            <w:pPr>
              <w:jc w:val="right"/>
              <w:rPr>
                <w:sz w:val="22"/>
                <w:szCs w:val="22"/>
              </w:rPr>
            </w:pPr>
            <w:r w:rsidRPr="005C46A2">
              <w:rPr>
                <w:sz w:val="22"/>
                <w:szCs w:val="22"/>
              </w:rPr>
              <w:t>17</w:t>
            </w:r>
          </w:p>
        </w:tc>
      </w:tr>
    </w:tbl>
    <w:p w14:paraId="646141D2" w14:textId="77777777" w:rsidR="00FF2D89" w:rsidRPr="00FF2D89" w:rsidRDefault="00FF2D89" w:rsidP="00FF2D89">
      <w:pPr>
        <w:spacing w:line="259" w:lineRule="auto"/>
        <w:jc w:val="both"/>
      </w:pPr>
      <w:r w:rsidRPr="00FF2D89">
        <w:rPr>
          <w:sz w:val="22"/>
          <w:szCs w:val="22"/>
          <w:vertAlign w:val="superscript"/>
        </w:rPr>
        <w:t xml:space="preserve"># </w:t>
      </w:r>
      <w:r w:rsidRPr="00FF2D89">
        <w:rPr>
          <w:sz w:val="22"/>
          <w:szCs w:val="22"/>
        </w:rPr>
        <w:t xml:space="preserve">Note </w:t>
      </w:r>
      <w:r>
        <w:rPr>
          <w:sz w:val="22"/>
          <w:szCs w:val="22"/>
        </w:rPr>
        <w:t>that participant responses could be coded at multiple categories.</w:t>
      </w:r>
    </w:p>
    <w:p w14:paraId="28306A0D" w14:textId="77777777" w:rsidR="00FF2D89" w:rsidRPr="005C46A2" w:rsidRDefault="00FF2D89" w:rsidP="00964E61">
      <w:pPr>
        <w:spacing w:line="259" w:lineRule="auto"/>
        <w:jc w:val="both"/>
      </w:pPr>
    </w:p>
    <w:p w14:paraId="241CE8A0" w14:textId="12B232F7" w:rsidR="00FA34D7" w:rsidRPr="005C46A2" w:rsidRDefault="00FA34D7" w:rsidP="00FA34D7">
      <w:pPr>
        <w:spacing w:line="259" w:lineRule="auto"/>
        <w:jc w:val="both"/>
      </w:pPr>
      <w:r w:rsidRPr="005C46A2">
        <w:t>Family centred policies were identified as important, for example, changing mission statements from referring to ‘client-centred’ or ‘family sensitive’ services only. Rather, services could state that they offer client and family-centred services. Funding to support champions to lead initiatives for family-centred services was suggested as a model to kick-stark development of these practices</w:t>
      </w:r>
      <w:r w:rsidR="00B774E2" w:rsidRPr="005C46A2">
        <w:t xml:space="preserve">. </w:t>
      </w:r>
      <w:r w:rsidR="00D93E4D" w:rsidRPr="005C46A2">
        <w:t>The need for e</w:t>
      </w:r>
      <w:r w:rsidR="00B774E2" w:rsidRPr="005C46A2">
        <w:t xml:space="preserve">nhanced and </w:t>
      </w:r>
      <w:r w:rsidR="00D93E4D" w:rsidRPr="005C46A2">
        <w:t xml:space="preserve">focussed </w:t>
      </w:r>
      <w:r w:rsidR="00B774E2" w:rsidRPr="005C46A2">
        <w:t xml:space="preserve">evaluation practice </w:t>
      </w:r>
      <w:r w:rsidR="00D93E4D" w:rsidRPr="005C46A2">
        <w:t xml:space="preserve">in the FAO support space </w:t>
      </w:r>
      <w:r w:rsidR="00B774E2" w:rsidRPr="005C46A2">
        <w:t>was noted</w:t>
      </w:r>
      <w:r w:rsidR="00D93E4D" w:rsidRPr="005C46A2">
        <w:t xml:space="preserve"> with enthusiasm:</w:t>
      </w:r>
    </w:p>
    <w:p w14:paraId="5B9BDDD2" w14:textId="0599B3EF" w:rsidR="00CB20D3" w:rsidRPr="005C46A2" w:rsidRDefault="00CB20D3" w:rsidP="00FA34D7">
      <w:pPr>
        <w:spacing w:line="259" w:lineRule="auto"/>
        <w:jc w:val="both"/>
      </w:pPr>
    </w:p>
    <w:p w14:paraId="749887DA" w14:textId="766B7EC1" w:rsidR="00CB20D3" w:rsidRPr="005C46A2" w:rsidRDefault="00CB20D3" w:rsidP="001138F6">
      <w:pPr>
        <w:spacing w:line="259" w:lineRule="auto"/>
        <w:ind w:left="720"/>
        <w:jc w:val="both"/>
        <w:rPr>
          <w:i/>
          <w:iCs/>
        </w:rPr>
      </w:pPr>
      <w:r w:rsidRPr="005C46A2">
        <w:rPr>
          <w:i/>
          <w:iCs/>
        </w:rPr>
        <w:t xml:space="preserve">“We need to be funded to work and research with FAOs exclusively. Knowledge of the work and what’s needed is broad and strong in the sector already, we need the evaluations and </w:t>
      </w:r>
      <w:r w:rsidR="00EB7E32">
        <w:rPr>
          <w:i/>
          <w:iCs/>
        </w:rPr>
        <w:t xml:space="preserve">genuine </w:t>
      </w:r>
      <w:r w:rsidRPr="005C46A2">
        <w:rPr>
          <w:i/>
          <w:iCs/>
        </w:rPr>
        <w:t>shared learning to develop practice further.” (Clinician and service manager, NZ)</w:t>
      </w:r>
    </w:p>
    <w:p w14:paraId="415DA172" w14:textId="77777777" w:rsidR="00964E61" w:rsidRPr="005C46A2" w:rsidRDefault="00964E61" w:rsidP="00495C74">
      <w:pPr>
        <w:spacing w:line="259" w:lineRule="auto"/>
        <w:jc w:val="both"/>
      </w:pPr>
    </w:p>
    <w:p w14:paraId="720CC981" w14:textId="3CB3622F" w:rsidR="00316B89" w:rsidRPr="005C46A2" w:rsidRDefault="00893588" w:rsidP="00495C74">
      <w:pPr>
        <w:spacing w:line="259" w:lineRule="auto"/>
        <w:jc w:val="both"/>
      </w:pPr>
      <w:r w:rsidRPr="005C46A2">
        <w:t>Partnership with FAOs from the start of service and policy design was identified as helpful, in addition to clearly identifying family systems as the focus for support and change. For example, one researcher from New Zealand commented that family must not be seen as an adjunct but as an essential element in all service activities.</w:t>
      </w:r>
      <w:r w:rsidR="00CB20D3" w:rsidRPr="005C46A2">
        <w:t xml:space="preserve"> From a </w:t>
      </w:r>
      <w:r w:rsidR="00831123">
        <w:t>Māori</w:t>
      </w:r>
      <w:r w:rsidR="00CB20D3" w:rsidRPr="005C46A2">
        <w:t xml:space="preserve"> health perspective, partnership with whanau was held to be vital: </w:t>
      </w:r>
    </w:p>
    <w:p w14:paraId="5B793627" w14:textId="77777777" w:rsidR="00CB20D3" w:rsidRPr="005C46A2" w:rsidRDefault="00CB20D3" w:rsidP="00495C74">
      <w:pPr>
        <w:spacing w:line="259" w:lineRule="auto"/>
        <w:jc w:val="both"/>
      </w:pPr>
    </w:p>
    <w:p w14:paraId="70B06B7D" w14:textId="11B16811" w:rsidR="00CB20D3" w:rsidRPr="005C46A2" w:rsidRDefault="00CB20D3" w:rsidP="00CB20D3">
      <w:pPr>
        <w:spacing w:line="259" w:lineRule="auto"/>
        <w:ind w:left="720"/>
        <w:jc w:val="both"/>
        <w:rPr>
          <w:i/>
          <w:iCs/>
        </w:rPr>
      </w:pPr>
      <w:r w:rsidRPr="005C46A2">
        <w:rPr>
          <w:i/>
          <w:iCs/>
        </w:rPr>
        <w:t>“The basics are an empowerment lens, tino rangatiratanga (self-determination) here are the tools we have to do it and let me share our resources with you” (Clinician, NZ)</w:t>
      </w:r>
    </w:p>
    <w:p w14:paraId="5DF21E94" w14:textId="2C8BFBC5" w:rsidR="00CB20D3" w:rsidRPr="005C46A2" w:rsidRDefault="00CB20D3" w:rsidP="00495C74">
      <w:pPr>
        <w:spacing w:line="259" w:lineRule="auto"/>
        <w:jc w:val="both"/>
      </w:pPr>
    </w:p>
    <w:p w14:paraId="11466C8B" w14:textId="3B2D675A" w:rsidR="00CB20D3" w:rsidRPr="005C46A2" w:rsidRDefault="00CB20D3" w:rsidP="00495C74">
      <w:pPr>
        <w:spacing w:line="259" w:lineRule="auto"/>
        <w:jc w:val="both"/>
      </w:pPr>
      <w:r w:rsidRPr="005C46A2">
        <w:t>Two consumer participants noted that partnerships with communities and families must be adequately resourced if they are to have meaningful impact on practice, e.g.:</w:t>
      </w:r>
    </w:p>
    <w:p w14:paraId="39DC2B9D" w14:textId="301CDAA0" w:rsidR="00CB20D3" w:rsidRPr="005C46A2" w:rsidRDefault="00CB20D3" w:rsidP="00495C74">
      <w:pPr>
        <w:spacing w:line="259" w:lineRule="auto"/>
        <w:jc w:val="both"/>
      </w:pPr>
    </w:p>
    <w:p w14:paraId="5DFC05AA" w14:textId="3A21C350" w:rsidR="00CB20D3" w:rsidRPr="005C46A2" w:rsidRDefault="00CB20D3" w:rsidP="00CB20D3">
      <w:pPr>
        <w:spacing w:line="259" w:lineRule="auto"/>
        <w:ind w:left="720"/>
        <w:jc w:val="both"/>
        <w:rPr>
          <w:i/>
          <w:iCs/>
        </w:rPr>
      </w:pPr>
      <w:r w:rsidRPr="005C46A2">
        <w:rPr>
          <w:i/>
          <w:iCs/>
        </w:rPr>
        <w:t xml:space="preserve">“Resources enable </w:t>
      </w:r>
      <w:r w:rsidR="001138F6">
        <w:rPr>
          <w:i/>
          <w:iCs/>
        </w:rPr>
        <w:t>client-centredness</w:t>
      </w:r>
      <w:r w:rsidRPr="005C46A2">
        <w:rPr>
          <w:i/>
          <w:iCs/>
        </w:rPr>
        <w:t xml:space="preserve"> to happen, going out to where FAOs are and keeping them involved in the process e.g. not just going into a community to take stuff away. Resources include travel expenses, koha, kai etc.” (Consumer, NZ)</w:t>
      </w:r>
    </w:p>
    <w:p w14:paraId="5E360733" w14:textId="59BF2503" w:rsidR="00CB20D3" w:rsidRPr="005C46A2" w:rsidRDefault="00CB20D3" w:rsidP="00CB20D3">
      <w:pPr>
        <w:spacing w:line="259" w:lineRule="auto"/>
        <w:jc w:val="both"/>
        <w:rPr>
          <w:i/>
          <w:iCs/>
        </w:rPr>
      </w:pPr>
    </w:p>
    <w:p w14:paraId="14FBDD1A" w14:textId="608B7D67" w:rsidR="00CB20D3" w:rsidRPr="005C46A2" w:rsidRDefault="00CB20D3" w:rsidP="00CB20D3">
      <w:pPr>
        <w:spacing w:line="259" w:lineRule="auto"/>
        <w:jc w:val="both"/>
      </w:pPr>
      <w:r w:rsidRPr="005C46A2">
        <w:lastRenderedPageBreak/>
        <w:t xml:space="preserve">Growing the evidence base for quality and effective practice </w:t>
      </w:r>
      <w:r w:rsidR="00D93E4D" w:rsidRPr="005C46A2">
        <w:t xml:space="preserve">necessitated developing (or defining) and testing out a range of specific FAO treatment offers, and targeted marketing and communications approaches, research carried out with the few specialist FAO counsellors who are currently practicing, and exploring how </w:t>
      </w:r>
      <w:r w:rsidR="00EB7E32">
        <w:t>‘</w:t>
      </w:r>
      <w:r w:rsidR="00D93E4D" w:rsidRPr="005C46A2">
        <w:t>FAO champions</w:t>
      </w:r>
      <w:r w:rsidR="00EB7E32">
        <w:t>’</w:t>
      </w:r>
      <w:r w:rsidR="00D93E4D" w:rsidRPr="005C46A2">
        <w:t xml:space="preserve"> in services could enhance the range and quality of service delivery for families.  </w:t>
      </w:r>
    </w:p>
    <w:p w14:paraId="5C21E3C6" w14:textId="1B2C09A9" w:rsidR="00901FF2" w:rsidRPr="005C46A2" w:rsidRDefault="00901FF2" w:rsidP="00CB20D3">
      <w:pPr>
        <w:spacing w:line="259" w:lineRule="auto"/>
        <w:jc w:val="both"/>
      </w:pPr>
    </w:p>
    <w:p w14:paraId="037B4D00" w14:textId="22BB83C7" w:rsidR="00901FF2" w:rsidRDefault="00901FF2" w:rsidP="00CB20D3">
      <w:pPr>
        <w:spacing w:line="259" w:lineRule="auto"/>
        <w:jc w:val="both"/>
      </w:pPr>
      <w:r w:rsidRPr="005C46A2">
        <w:t>There was significant convergence on the notion that improving staff confidence in working with families could be achieved through general training, rather than specialist training in FAO intervention approaches (such as the 5-Step model) e.g.:</w:t>
      </w:r>
    </w:p>
    <w:p w14:paraId="0EBB2BE8" w14:textId="77777777" w:rsidR="00F632DE" w:rsidRPr="005C46A2" w:rsidRDefault="00F632DE" w:rsidP="00CB20D3">
      <w:pPr>
        <w:spacing w:line="259" w:lineRule="auto"/>
        <w:jc w:val="both"/>
      </w:pPr>
    </w:p>
    <w:p w14:paraId="183B9092" w14:textId="2A12C132" w:rsidR="00901FF2" w:rsidRPr="005C46A2" w:rsidRDefault="00901FF2" w:rsidP="00901FF2">
      <w:pPr>
        <w:ind w:left="720"/>
        <w:rPr>
          <w:i/>
          <w:iCs/>
        </w:rPr>
      </w:pPr>
      <w:r w:rsidRPr="005C46A2">
        <w:rPr>
          <w:i/>
          <w:iCs/>
        </w:rPr>
        <w:t>“Training for clinicians and leadership on the impact of PG on families, the role of families in recovery, and ways to involve families in services.  Also, training on how to maintain confidentiality and client self-determination, while also providing families with psycho education and an opportunity to get involved.” (Researcher, Canada)</w:t>
      </w:r>
    </w:p>
    <w:p w14:paraId="240B0B30" w14:textId="77777777" w:rsidR="00901FF2" w:rsidRPr="005C46A2" w:rsidRDefault="00901FF2" w:rsidP="00901FF2"/>
    <w:p w14:paraId="7DB7420C" w14:textId="4007668F" w:rsidR="00901FF2" w:rsidRPr="005C46A2" w:rsidRDefault="00901FF2" w:rsidP="00CB20D3">
      <w:pPr>
        <w:spacing w:line="259" w:lineRule="auto"/>
        <w:jc w:val="both"/>
      </w:pPr>
      <w:r w:rsidRPr="005C46A2">
        <w:t>Targeted promotion and awareness raising around family harm and family support options</w:t>
      </w:r>
      <w:r w:rsidR="00FC303D" w:rsidRPr="005C46A2">
        <w:t>, developed by services in partnership with FAOs</w:t>
      </w:r>
      <w:r w:rsidRPr="005C46A2">
        <w:t xml:space="preserve"> was recommended</w:t>
      </w:r>
      <w:r w:rsidR="00C86AC4" w:rsidRPr="005C46A2">
        <w:t xml:space="preserve">. </w:t>
      </w:r>
    </w:p>
    <w:p w14:paraId="4BB95639" w14:textId="77777777" w:rsidR="00901FF2" w:rsidRPr="005C46A2" w:rsidRDefault="00901FF2" w:rsidP="00CB20D3">
      <w:pPr>
        <w:spacing w:line="259" w:lineRule="auto"/>
        <w:jc w:val="both"/>
      </w:pPr>
    </w:p>
    <w:p w14:paraId="499D8EF4" w14:textId="77777777" w:rsidR="006633D5" w:rsidRPr="005C46A2" w:rsidRDefault="006633D5" w:rsidP="00D50B98">
      <w:pPr>
        <w:pStyle w:val="Heading4"/>
      </w:pPr>
      <w:r>
        <w:t>Increasing</w:t>
      </w:r>
      <w:r w:rsidRPr="005C46A2">
        <w:t xml:space="preserve"> client-centredness in gambling service design and practice </w:t>
      </w:r>
    </w:p>
    <w:p w14:paraId="3C81FBAF" w14:textId="51698D61" w:rsidR="006633D5" w:rsidRPr="005C46A2" w:rsidRDefault="006633D5" w:rsidP="006633D5">
      <w:pPr>
        <w:spacing w:line="259" w:lineRule="auto"/>
        <w:jc w:val="both"/>
      </w:pPr>
      <w:r w:rsidRPr="005C46A2">
        <w:t>In alignment with the notion of ‘practitioner-centric’ systems and approaches</w:t>
      </w:r>
      <w:r>
        <w:t>, enhancing support was associated with increasing</w:t>
      </w:r>
      <w:r w:rsidRPr="005C46A2">
        <w:t xml:space="preserve"> client-centredness</w:t>
      </w:r>
      <w:r>
        <w:t xml:space="preserve">. A key aspect </w:t>
      </w:r>
      <w:r w:rsidRPr="005C46A2">
        <w:t>involve</w:t>
      </w:r>
      <w:r>
        <w:t>d</w:t>
      </w:r>
      <w:r w:rsidRPr="005C46A2">
        <w:t xml:space="preserve"> co-designing approaches with families</w:t>
      </w:r>
      <w:r>
        <w:t xml:space="preserve"> and</w:t>
      </w:r>
      <w:r w:rsidRPr="005C46A2">
        <w:t xml:space="preserve"> engaging with more social and indigenous models and philosophies</w:t>
      </w:r>
      <w:r>
        <w:t xml:space="preserve"> (</w:t>
      </w:r>
      <w:r>
        <w:fldChar w:fldCharType="begin"/>
      </w:r>
      <w:r>
        <w:instrText xml:space="preserve"> REF _Ref50983557 \h </w:instrText>
      </w:r>
      <w:r>
        <w:fldChar w:fldCharType="separate"/>
      </w:r>
      <w:r w:rsidR="00DF0799" w:rsidRPr="005C46A2">
        <w:t xml:space="preserve">Table </w:t>
      </w:r>
      <w:r w:rsidR="00DF0799">
        <w:rPr>
          <w:noProof/>
        </w:rPr>
        <w:t>6</w:t>
      </w:r>
      <w:r>
        <w:fldChar w:fldCharType="end"/>
      </w:r>
      <w:r>
        <w:t>)</w:t>
      </w:r>
      <w:r w:rsidRPr="005C46A2">
        <w:t>. Taken together these practices and ideas could effectively support expanded choice of approach/delivery for FAOs. Client choice was positioned as paramount and referral to allied services and professionals encouraged</w:t>
      </w:r>
      <w:r>
        <w:t>. Collaborative practice among services with complementary strengths was seen to be severely constrained by competitive funding models.</w:t>
      </w:r>
      <w:r w:rsidRPr="005C46A2">
        <w:t xml:space="preserve"> </w:t>
      </w:r>
      <w:r>
        <w:t xml:space="preserve">Supporting client choice </w:t>
      </w:r>
      <w:r w:rsidRPr="005C46A2">
        <w:t xml:space="preserve">could </w:t>
      </w:r>
      <w:r>
        <w:t xml:space="preserve">also </w:t>
      </w:r>
      <w:r w:rsidRPr="005C46A2">
        <w:t xml:space="preserve">mean </w:t>
      </w:r>
      <w:r w:rsidR="00E56939">
        <w:t>questioning</w:t>
      </w:r>
      <w:r w:rsidRPr="005C46A2">
        <w:t xml:space="preserve"> </w:t>
      </w:r>
      <w:r>
        <w:t xml:space="preserve">some </w:t>
      </w:r>
      <w:r w:rsidRPr="005C46A2">
        <w:t xml:space="preserve">traditional understandings of expert-patient dynamics, and the possibility of discomfort for some clinicians.  </w:t>
      </w:r>
    </w:p>
    <w:p w14:paraId="61A148A1" w14:textId="77777777" w:rsidR="006633D5" w:rsidRPr="005C46A2" w:rsidRDefault="006633D5" w:rsidP="006633D5">
      <w:pPr>
        <w:spacing w:line="259" w:lineRule="auto"/>
        <w:jc w:val="both"/>
      </w:pPr>
    </w:p>
    <w:p w14:paraId="036C4373" w14:textId="77777777" w:rsidR="006633D5" w:rsidRPr="005C46A2" w:rsidRDefault="006633D5" w:rsidP="006633D5">
      <w:pPr>
        <w:spacing w:line="259" w:lineRule="auto"/>
        <w:ind w:left="720"/>
        <w:jc w:val="both"/>
        <w:rPr>
          <w:i/>
          <w:iCs/>
        </w:rPr>
      </w:pPr>
      <w:r w:rsidRPr="005C46A2">
        <w:rPr>
          <w:i/>
          <w:iCs/>
        </w:rPr>
        <w:t>“Staff need to be encouraged and supported to work with those feelings of being challenged and feeling uncomfortable</w:t>
      </w:r>
      <w:r>
        <w:rPr>
          <w:i/>
          <w:iCs/>
        </w:rPr>
        <w:t>,</w:t>
      </w:r>
      <w:r w:rsidRPr="005C46A2">
        <w:rPr>
          <w:i/>
          <w:iCs/>
        </w:rPr>
        <w:t xml:space="preserve"> not knowing</w:t>
      </w:r>
      <w:r>
        <w:rPr>
          <w:i/>
          <w:iCs/>
        </w:rPr>
        <w:t>,</w:t>
      </w:r>
      <w:r w:rsidRPr="005C46A2">
        <w:rPr>
          <w:i/>
          <w:iCs/>
        </w:rPr>
        <w:t xml:space="preserve"> and follow this up to be able to develop our work around FAOs. Systems need to be embedded to be able to follow this up so we can review our work, understand gaps in services and staff knowledge.” (Service manager, UK)</w:t>
      </w:r>
    </w:p>
    <w:p w14:paraId="6B644906" w14:textId="77777777" w:rsidR="006633D5" w:rsidRPr="005C46A2" w:rsidRDefault="006633D5" w:rsidP="006633D5">
      <w:pPr>
        <w:spacing w:line="259" w:lineRule="auto"/>
        <w:jc w:val="both"/>
      </w:pPr>
    </w:p>
    <w:p w14:paraId="01525881" w14:textId="67109759" w:rsidR="006633D5" w:rsidRDefault="006633D5" w:rsidP="00D863CE">
      <w:r w:rsidRPr="005C46A2">
        <w:t>Recommended practice to enhance client-centredness included: Consumer advice structures are in place and funded to support FAOs to participate in co-design of services (Clinician and service manager, NZ); People with gambling issues and affected others are actively involved in co-production</w:t>
      </w:r>
      <w:r>
        <w:t xml:space="preserve">, </w:t>
      </w:r>
      <w:r w:rsidRPr="005C46A2">
        <w:t xml:space="preserve">design, delivery and evaluation of services (Consumer, NZ); Support plans and goal setting is designed specifically for the FAO's circumstance with their input </w:t>
      </w:r>
      <w:r>
        <w:t>and</w:t>
      </w:r>
      <w:r w:rsidRPr="005C46A2">
        <w:t xml:space="preserve"> family dynamic taken into consideration (Clinician, UK)</w:t>
      </w:r>
      <w:r>
        <w:t xml:space="preserve">. </w:t>
      </w:r>
      <w:r w:rsidR="00D863CE">
        <w:t xml:space="preserve">Participants emphasised the unique needs and perspectives of each angle of the lived experience of FAOs - including that </w:t>
      </w:r>
      <w:r w:rsidR="00D863CE">
        <w:lastRenderedPageBreak/>
        <w:t xml:space="preserve">children and partners and parents and siblings may all have different needs. </w:t>
      </w:r>
      <w:r>
        <w:t>Again, flexibility and multiplicity of service offerings were emphasised</w:t>
      </w:r>
      <w:r w:rsidR="00A708A9">
        <w:t>:</w:t>
      </w:r>
      <w:r>
        <w:t xml:space="preserve"> </w:t>
      </w:r>
    </w:p>
    <w:p w14:paraId="4F1A00F0" w14:textId="77777777" w:rsidR="006633D5" w:rsidRDefault="006633D5" w:rsidP="006633D5">
      <w:pPr>
        <w:spacing w:line="259" w:lineRule="auto"/>
        <w:jc w:val="both"/>
      </w:pPr>
    </w:p>
    <w:p w14:paraId="33A2DA3F" w14:textId="77777777" w:rsidR="006633D5" w:rsidRPr="008C6513" w:rsidRDefault="006633D5" w:rsidP="006633D5">
      <w:pPr>
        <w:spacing w:line="259" w:lineRule="auto"/>
        <w:ind w:left="720"/>
        <w:jc w:val="both"/>
        <w:rPr>
          <w:i/>
          <w:iCs/>
        </w:rPr>
      </w:pPr>
      <w:r w:rsidRPr="008C6513">
        <w:rPr>
          <w:i/>
          <w:iCs/>
        </w:rPr>
        <w:t>“</w:t>
      </w:r>
      <w:r>
        <w:rPr>
          <w:i/>
          <w:iCs/>
        </w:rPr>
        <w:t xml:space="preserve">[Enhancing client-centredness means] </w:t>
      </w:r>
      <w:r w:rsidRPr="008C6513">
        <w:rPr>
          <w:i/>
          <w:iCs/>
        </w:rPr>
        <w:t>Welcoming the concern and involvement of FAOs; allowing FAOs to be involved in their preferred comfortable way, about themselves or about their gambling relatives or both, individually, with the relative, in a 'carers' group, by phone or other remote or face-to-face, etc. i.e. a flexible approach.” (Researcher, UK).</w:t>
      </w:r>
    </w:p>
    <w:p w14:paraId="099B66C7" w14:textId="77777777" w:rsidR="006633D5" w:rsidRPr="005C46A2" w:rsidRDefault="006633D5" w:rsidP="006633D5">
      <w:pPr>
        <w:spacing w:line="259" w:lineRule="auto"/>
        <w:jc w:val="both"/>
      </w:pPr>
    </w:p>
    <w:p w14:paraId="29C28323" w14:textId="7A07AB3D" w:rsidR="006633D5" w:rsidRPr="005C46A2" w:rsidRDefault="006633D5" w:rsidP="006633D5">
      <w:pPr>
        <w:pStyle w:val="Caption"/>
      </w:pPr>
      <w:bookmarkStart w:id="87" w:name="_Ref50983557"/>
      <w:bookmarkStart w:id="88" w:name="_Toc51240668"/>
      <w:bookmarkStart w:id="89" w:name="_Toc58400639"/>
      <w:r w:rsidRPr="005C46A2">
        <w:t xml:space="preserve">Table </w:t>
      </w:r>
      <w:r w:rsidR="00D04B86">
        <w:fldChar w:fldCharType="begin"/>
      </w:r>
      <w:r w:rsidR="00D04B86">
        <w:instrText xml:space="preserve"> SEQ Table \* ARABIC </w:instrText>
      </w:r>
      <w:r w:rsidR="00D04B86">
        <w:fldChar w:fldCharType="separate"/>
      </w:r>
      <w:r w:rsidR="00DF0799">
        <w:rPr>
          <w:noProof/>
        </w:rPr>
        <w:t>6</w:t>
      </w:r>
      <w:r w:rsidR="00D04B86">
        <w:rPr>
          <w:noProof/>
        </w:rPr>
        <w:fldChar w:fldCharType="end"/>
      </w:r>
      <w:bookmarkEnd w:id="87"/>
      <w:r w:rsidRPr="005C46A2">
        <w:t>. Enhancing client-centredness in gambling service design and practice</w:t>
      </w:r>
      <w:bookmarkEnd w:id="88"/>
      <w:bookmarkEnd w:id="89"/>
    </w:p>
    <w:tbl>
      <w:tblPr>
        <w:tblStyle w:val="TableGrid"/>
        <w:tblW w:w="0" w:type="auto"/>
        <w:tblLook w:val="04A0" w:firstRow="1" w:lastRow="0" w:firstColumn="1" w:lastColumn="0" w:noHBand="0" w:noVBand="1"/>
      </w:tblPr>
      <w:tblGrid>
        <w:gridCol w:w="7225"/>
        <w:gridCol w:w="850"/>
        <w:gridCol w:w="941"/>
      </w:tblGrid>
      <w:tr w:rsidR="006633D5" w:rsidRPr="005C46A2" w14:paraId="1548719E" w14:textId="77777777" w:rsidTr="00AA0F46">
        <w:tc>
          <w:tcPr>
            <w:tcW w:w="7225" w:type="dxa"/>
          </w:tcPr>
          <w:p w14:paraId="262D9AF3" w14:textId="77777777" w:rsidR="006633D5" w:rsidRPr="005C46A2" w:rsidRDefault="006633D5" w:rsidP="00AA0F46">
            <w:pPr>
              <w:jc w:val="both"/>
              <w:rPr>
                <w:b/>
                <w:bCs/>
                <w:sz w:val="22"/>
                <w:szCs w:val="22"/>
              </w:rPr>
            </w:pPr>
            <w:r w:rsidRPr="005C46A2">
              <w:rPr>
                <w:b/>
                <w:bCs/>
                <w:sz w:val="22"/>
                <w:szCs w:val="22"/>
              </w:rPr>
              <w:t>Coded qualitative responses</w:t>
            </w:r>
          </w:p>
        </w:tc>
        <w:tc>
          <w:tcPr>
            <w:tcW w:w="850" w:type="dxa"/>
          </w:tcPr>
          <w:p w14:paraId="3E9E2FD3" w14:textId="77777777" w:rsidR="006633D5" w:rsidRPr="005C46A2" w:rsidRDefault="006633D5" w:rsidP="00AA0F46">
            <w:pPr>
              <w:jc w:val="both"/>
              <w:rPr>
                <w:b/>
                <w:bCs/>
                <w:sz w:val="22"/>
                <w:szCs w:val="22"/>
              </w:rPr>
            </w:pPr>
            <w:r w:rsidRPr="005C46A2">
              <w:rPr>
                <w:b/>
                <w:bCs/>
                <w:sz w:val="22"/>
                <w:szCs w:val="22"/>
              </w:rPr>
              <w:t>N</w:t>
            </w:r>
          </w:p>
        </w:tc>
        <w:tc>
          <w:tcPr>
            <w:tcW w:w="941" w:type="dxa"/>
          </w:tcPr>
          <w:p w14:paraId="559D796F" w14:textId="5A6FF4A6" w:rsidR="006633D5" w:rsidRPr="005C46A2" w:rsidRDefault="006633D5" w:rsidP="00AA0F46">
            <w:pPr>
              <w:jc w:val="both"/>
              <w:rPr>
                <w:b/>
                <w:bCs/>
                <w:sz w:val="22"/>
                <w:szCs w:val="22"/>
              </w:rPr>
            </w:pPr>
            <w:r w:rsidRPr="005C46A2">
              <w:rPr>
                <w:b/>
                <w:bCs/>
                <w:sz w:val="22"/>
                <w:szCs w:val="22"/>
              </w:rPr>
              <w:t>%</w:t>
            </w:r>
            <w:r w:rsidR="00FF2D89" w:rsidRPr="00FF2D89">
              <w:rPr>
                <w:sz w:val="22"/>
                <w:szCs w:val="22"/>
                <w:vertAlign w:val="superscript"/>
              </w:rPr>
              <w:t>#</w:t>
            </w:r>
          </w:p>
        </w:tc>
      </w:tr>
      <w:tr w:rsidR="006633D5" w:rsidRPr="005C46A2" w14:paraId="7805A433" w14:textId="77777777" w:rsidTr="00AA0F46">
        <w:tc>
          <w:tcPr>
            <w:tcW w:w="7225" w:type="dxa"/>
          </w:tcPr>
          <w:p w14:paraId="173B6928" w14:textId="77777777" w:rsidR="006633D5" w:rsidRPr="005C46A2" w:rsidRDefault="006633D5" w:rsidP="00AA0F46">
            <w:pPr>
              <w:jc w:val="both"/>
              <w:rPr>
                <w:sz w:val="22"/>
                <w:szCs w:val="22"/>
              </w:rPr>
            </w:pPr>
            <w:r w:rsidRPr="005C46A2">
              <w:rPr>
                <w:sz w:val="22"/>
                <w:szCs w:val="22"/>
              </w:rPr>
              <w:t>Co-design approaches with families</w:t>
            </w:r>
          </w:p>
        </w:tc>
        <w:tc>
          <w:tcPr>
            <w:tcW w:w="850" w:type="dxa"/>
          </w:tcPr>
          <w:p w14:paraId="5D3DE431" w14:textId="77777777" w:rsidR="006633D5" w:rsidRPr="005C46A2" w:rsidRDefault="006633D5" w:rsidP="00AA0F46">
            <w:pPr>
              <w:jc w:val="right"/>
              <w:rPr>
                <w:sz w:val="22"/>
                <w:szCs w:val="22"/>
              </w:rPr>
            </w:pPr>
            <w:r w:rsidRPr="005C46A2">
              <w:rPr>
                <w:sz w:val="22"/>
                <w:szCs w:val="22"/>
              </w:rPr>
              <w:t>14</w:t>
            </w:r>
          </w:p>
        </w:tc>
        <w:tc>
          <w:tcPr>
            <w:tcW w:w="941" w:type="dxa"/>
          </w:tcPr>
          <w:p w14:paraId="2A6822A4" w14:textId="77777777" w:rsidR="006633D5" w:rsidRPr="005C46A2" w:rsidRDefault="006633D5" w:rsidP="00AA0F46">
            <w:pPr>
              <w:jc w:val="right"/>
              <w:rPr>
                <w:sz w:val="22"/>
                <w:szCs w:val="22"/>
              </w:rPr>
            </w:pPr>
            <w:r w:rsidRPr="005C46A2">
              <w:rPr>
                <w:sz w:val="22"/>
                <w:szCs w:val="22"/>
              </w:rPr>
              <w:t>48</w:t>
            </w:r>
          </w:p>
        </w:tc>
      </w:tr>
      <w:tr w:rsidR="006633D5" w:rsidRPr="005C46A2" w14:paraId="6FDCC29F" w14:textId="77777777" w:rsidTr="00AA0F46">
        <w:tc>
          <w:tcPr>
            <w:tcW w:w="7225" w:type="dxa"/>
          </w:tcPr>
          <w:p w14:paraId="0B792254" w14:textId="77777777" w:rsidR="006633D5" w:rsidRPr="005C46A2" w:rsidRDefault="006633D5" w:rsidP="00AA0F46">
            <w:pPr>
              <w:jc w:val="both"/>
              <w:rPr>
                <w:sz w:val="22"/>
                <w:szCs w:val="22"/>
              </w:rPr>
            </w:pPr>
            <w:r w:rsidRPr="005C46A2">
              <w:rPr>
                <w:sz w:val="22"/>
                <w:szCs w:val="22"/>
              </w:rPr>
              <w:t xml:space="preserve">Social and indigenous models and philosophies </w:t>
            </w:r>
          </w:p>
        </w:tc>
        <w:tc>
          <w:tcPr>
            <w:tcW w:w="850" w:type="dxa"/>
          </w:tcPr>
          <w:p w14:paraId="4126B646" w14:textId="77777777" w:rsidR="006633D5" w:rsidRPr="005C46A2" w:rsidRDefault="006633D5" w:rsidP="00AA0F46">
            <w:pPr>
              <w:jc w:val="right"/>
              <w:rPr>
                <w:sz w:val="22"/>
                <w:szCs w:val="22"/>
              </w:rPr>
            </w:pPr>
            <w:r w:rsidRPr="005C46A2">
              <w:rPr>
                <w:sz w:val="22"/>
                <w:szCs w:val="22"/>
              </w:rPr>
              <w:t>9</w:t>
            </w:r>
          </w:p>
        </w:tc>
        <w:tc>
          <w:tcPr>
            <w:tcW w:w="941" w:type="dxa"/>
          </w:tcPr>
          <w:p w14:paraId="052B7965" w14:textId="77777777" w:rsidR="006633D5" w:rsidRPr="005C46A2" w:rsidRDefault="006633D5" w:rsidP="00AA0F46">
            <w:pPr>
              <w:jc w:val="right"/>
              <w:rPr>
                <w:sz w:val="22"/>
                <w:szCs w:val="22"/>
              </w:rPr>
            </w:pPr>
            <w:r w:rsidRPr="005C46A2">
              <w:rPr>
                <w:sz w:val="22"/>
                <w:szCs w:val="22"/>
              </w:rPr>
              <w:t>31</w:t>
            </w:r>
          </w:p>
        </w:tc>
      </w:tr>
      <w:tr w:rsidR="006633D5" w:rsidRPr="005C46A2" w14:paraId="5894A8D1" w14:textId="77777777" w:rsidTr="00AA0F46">
        <w:tc>
          <w:tcPr>
            <w:tcW w:w="7225" w:type="dxa"/>
          </w:tcPr>
          <w:p w14:paraId="0323510A" w14:textId="77777777" w:rsidR="006633D5" w:rsidRPr="005C46A2" w:rsidRDefault="006633D5" w:rsidP="00AA0F46">
            <w:pPr>
              <w:jc w:val="both"/>
              <w:rPr>
                <w:sz w:val="22"/>
                <w:szCs w:val="22"/>
              </w:rPr>
            </w:pPr>
            <w:r w:rsidRPr="005C46A2">
              <w:rPr>
                <w:sz w:val="22"/>
                <w:szCs w:val="22"/>
              </w:rPr>
              <w:t>Wide range of choice for FAOs in approach and delivery</w:t>
            </w:r>
          </w:p>
        </w:tc>
        <w:tc>
          <w:tcPr>
            <w:tcW w:w="850" w:type="dxa"/>
          </w:tcPr>
          <w:p w14:paraId="7CE8A919" w14:textId="77777777" w:rsidR="006633D5" w:rsidRPr="005C46A2" w:rsidRDefault="006633D5" w:rsidP="00AA0F46">
            <w:pPr>
              <w:jc w:val="right"/>
              <w:rPr>
                <w:sz w:val="22"/>
                <w:szCs w:val="22"/>
              </w:rPr>
            </w:pPr>
            <w:r w:rsidRPr="005C46A2">
              <w:rPr>
                <w:sz w:val="22"/>
                <w:szCs w:val="22"/>
              </w:rPr>
              <w:t>7</w:t>
            </w:r>
          </w:p>
        </w:tc>
        <w:tc>
          <w:tcPr>
            <w:tcW w:w="941" w:type="dxa"/>
          </w:tcPr>
          <w:p w14:paraId="04AC1455" w14:textId="77777777" w:rsidR="006633D5" w:rsidRPr="005C46A2" w:rsidRDefault="006633D5" w:rsidP="00AA0F46">
            <w:pPr>
              <w:jc w:val="right"/>
              <w:rPr>
                <w:sz w:val="22"/>
                <w:szCs w:val="22"/>
              </w:rPr>
            </w:pPr>
            <w:r w:rsidRPr="005C46A2">
              <w:rPr>
                <w:sz w:val="22"/>
                <w:szCs w:val="22"/>
              </w:rPr>
              <w:t>24</w:t>
            </w:r>
          </w:p>
        </w:tc>
      </w:tr>
      <w:tr w:rsidR="006633D5" w:rsidRPr="005C46A2" w14:paraId="0A6A9B2B" w14:textId="77777777" w:rsidTr="00AA0F46">
        <w:tc>
          <w:tcPr>
            <w:tcW w:w="7225" w:type="dxa"/>
          </w:tcPr>
          <w:p w14:paraId="5A1D2CA5" w14:textId="77777777" w:rsidR="006633D5" w:rsidRPr="005C46A2" w:rsidRDefault="006633D5" w:rsidP="00AA0F46">
            <w:pPr>
              <w:jc w:val="both"/>
              <w:rPr>
                <w:sz w:val="22"/>
                <w:szCs w:val="22"/>
              </w:rPr>
            </w:pPr>
            <w:r w:rsidRPr="005C46A2">
              <w:rPr>
                <w:sz w:val="22"/>
                <w:szCs w:val="22"/>
              </w:rPr>
              <w:t>Prioritise evidence derived with FAOs</w:t>
            </w:r>
          </w:p>
        </w:tc>
        <w:tc>
          <w:tcPr>
            <w:tcW w:w="850" w:type="dxa"/>
          </w:tcPr>
          <w:p w14:paraId="2C46A42A" w14:textId="77777777" w:rsidR="006633D5" w:rsidRPr="005C46A2" w:rsidRDefault="006633D5" w:rsidP="00AA0F46">
            <w:pPr>
              <w:jc w:val="right"/>
              <w:rPr>
                <w:sz w:val="22"/>
                <w:szCs w:val="22"/>
              </w:rPr>
            </w:pPr>
            <w:r w:rsidRPr="005C46A2">
              <w:rPr>
                <w:sz w:val="22"/>
                <w:szCs w:val="22"/>
              </w:rPr>
              <w:t>5</w:t>
            </w:r>
          </w:p>
        </w:tc>
        <w:tc>
          <w:tcPr>
            <w:tcW w:w="941" w:type="dxa"/>
          </w:tcPr>
          <w:p w14:paraId="2D149A27" w14:textId="77777777" w:rsidR="006633D5" w:rsidRPr="005C46A2" w:rsidRDefault="006633D5" w:rsidP="00AA0F46">
            <w:pPr>
              <w:jc w:val="right"/>
              <w:rPr>
                <w:sz w:val="22"/>
                <w:szCs w:val="22"/>
              </w:rPr>
            </w:pPr>
            <w:r w:rsidRPr="005C46A2">
              <w:rPr>
                <w:sz w:val="22"/>
                <w:szCs w:val="22"/>
              </w:rPr>
              <w:t>17</w:t>
            </w:r>
          </w:p>
        </w:tc>
      </w:tr>
      <w:tr w:rsidR="006633D5" w:rsidRPr="005C46A2" w14:paraId="2C7DBCCA" w14:textId="77777777" w:rsidTr="00AA0F46">
        <w:tc>
          <w:tcPr>
            <w:tcW w:w="7225" w:type="dxa"/>
          </w:tcPr>
          <w:p w14:paraId="36CF81A9" w14:textId="77777777" w:rsidR="006633D5" w:rsidRPr="005C46A2" w:rsidRDefault="006633D5" w:rsidP="00AA0F46">
            <w:pPr>
              <w:jc w:val="both"/>
              <w:rPr>
                <w:sz w:val="22"/>
                <w:szCs w:val="22"/>
              </w:rPr>
            </w:pPr>
            <w:r w:rsidRPr="005C46A2">
              <w:rPr>
                <w:sz w:val="22"/>
                <w:szCs w:val="22"/>
              </w:rPr>
              <w:t xml:space="preserve">Family friendly environmental design </w:t>
            </w:r>
          </w:p>
        </w:tc>
        <w:tc>
          <w:tcPr>
            <w:tcW w:w="850" w:type="dxa"/>
          </w:tcPr>
          <w:p w14:paraId="51ADFD58" w14:textId="77777777" w:rsidR="006633D5" w:rsidRPr="005C46A2" w:rsidRDefault="006633D5" w:rsidP="00AA0F46">
            <w:pPr>
              <w:jc w:val="right"/>
              <w:rPr>
                <w:sz w:val="22"/>
                <w:szCs w:val="22"/>
              </w:rPr>
            </w:pPr>
            <w:r w:rsidRPr="005C46A2">
              <w:rPr>
                <w:sz w:val="22"/>
                <w:szCs w:val="22"/>
              </w:rPr>
              <w:t>4</w:t>
            </w:r>
          </w:p>
        </w:tc>
        <w:tc>
          <w:tcPr>
            <w:tcW w:w="941" w:type="dxa"/>
          </w:tcPr>
          <w:p w14:paraId="1ADD07B7" w14:textId="77777777" w:rsidR="006633D5" w:rsidRPr="005C46A2" w:rsidRDefault="006633D5" w:rsidP="00AA0F46">
            <w:pPr>
              <w:jc w:val="right"/>
              <w:rPr>
                <w:sz w:val="22"/>
                <w:szCs w:val="22"/>
              </w:rPr>
            </w:pPr>
            <w:r w:rsidRPr="005C46A2">
              <w:rPr>
                <w:sz w:val="22"/>
                <w:szCs w:val="22"/>
              </w:rPr>
              <w:t>14</w:t>
            </w:r>
          </w:p>
        </w:tc>
      </w:tr>
      <w:tr w:rsidR="006633D5" w:rsidRPr="005C46A2" w14:paraId="7D608D68" w14:textId="77777777" w:rsidTr="00AA0F46">
        <w:tc>
          <w:tcPr>
            <w:tcW w:w="7225" w:type="dxa"/>
          </w:tcPr>
          <w:p w14:paraId="6EC06BE5" w14:textId="77777777" w:rsidR="006633D5" w:rsidRPr="005C46A2" w:rsidRDefault="006633D5" w:rsidP="00AA0F46">
            <w:pPr>
              <w:jc w:val="both"/>
              <w:rPr>
                <w:sz w:val="22"/>
                <w:szCs w:val="22"/>
              </w:rPr>
            </w:pPr>
            <w:r w:rsidRPr="005C46A2">
              <w:rPr>
                <w:sz w:val="22"/>
                <w:szCs w:val="22"/>
              </w:rPr>
              <w:t>Enhanced practitioner diversity</w:t>
            </w:r>
          </w:p>
        </w:tc>
        <w:tc>
          <w:tcPr>
            <w:tcW w:w="850" w:type="dxa"/>
          </w:tcPr>
          <w:p w14:paraId="66F81A37" w14:textId="77777777" w:rsidR="006633D5" w:rsidRPr="005C46A2" w:rsidRDefault="006633D5" w:rsidP="00AA0F46">
            <w:pPr>
              <w:jc w:val="right"/>
              <w:rPr>
                <w:sz w:val="22"/>
                <w:szCs w:val="22"/>
              </w:rPr>
            </w:pPr>
            <w:r w:rsidRPr="005C46A2">
              <w:rPr>
                <w:sz w:val="22"/>
                <w:szCs w:val="22"/>
              </w:rPr>
              <w:t>1</w:t>
            </w:r>
          </w:p>
        </w:tc>
        <w:tc>
          <w:tcPr>
            <w:tcW w:w="941" w:type="dxa"/>
          </w:tcPr>
          <w:p w14:paraId="57128AB8" w14:textId="77777777" w:rsidR="006633D5" w:rsidRPr="005C46A2" w:rsidRDefault="006633D5" w:rsidP="00AA0F46">
            <w:pPr>
              <w:jc w:val="right"/>
              <w:rPr>
                <w:sz w:val="22"/>
                <w:szCs w:val="22"/>
              </w:rPr>
            </w:pPr>
            <w:r w:rsidRPr="005C46A2">
              <w:rPr>
                <w:sz w:val="22"/>
                <w:szCs w:val="22"/>
              </w:rPr>
              <w:t>3</w:t>
            </w:r>
          </w:p>
        </w:tc>
      </w:tr>
    </w:tbl>
    <w:p w14:paraId="1148486A" w14:textId="77777777" w:rsidR="00FF2D89" w:rsidRPr="00FF2D89" w:rsidRDefault="00FF2D89" w:rsidP="00FF2D89">
      <w:pPr>
        <w:spacing w:line="259" w:lineRule="auto"/>
        <w:jc w:val="both"/>
      </w:pPr>
      <w:r w:rsidRPr="00FF2D89">
        <w:rPr>
          <w:sz w:val="22"/>
          <w:szCs w:val="22"/>
          <w:vertAlign w:val="superscript"/>
        </w:rPr>
        <w:t xml:space="preserve"># </w:t>
      </w:r>
      <w:r w:rsidRPr="00FF2D89">
        <w:rPr>
          <w:sz w:val="22"/>
          <w:szCs w:val="22"/>
        </w:rPr>
        <w:t xml:space="preserve">Note </w:t>
      </w:r>
      <w:r>
        <w:rPr>
          <w:sz w:val="22"/>
          <w:szCs w:val="22"/>
        </w:rPr>
        <w:t>that participant responses could be coded at multiple categories.</w:t>
      </w:r>
    </w:p>
    <w:p w14:paraId="1CA21690" w14:textId="77777777" w:rsidR="00FF2D89" w:rsidRPr="005C46A2" w:rsidRDefault="00FF2D89" w:rsidP="006633D5">
      <w:pPr>
        <w:spacing w:line="259" w:lineRule="auto"/>
        <w:jc w:val="both"/>
      </w:pPr>
    </w:p>
    <w:p w14:paraId="1CDFBF36" w14:textId="1C500471" w:rsidR="006633D5" w:rsidRPr="005C46A2" w:rsidRDefault="006633D5" w:rsidP="006633D5">
      <w:pPr>
        <w:spacing w:line="259" w:lineRule="auto"/>
        <w:jc w:val="both"/>
      </w:pPr>
      <w:r w:rsidRPr="005C46A2">
        <w:t xml:space="preserve">Prioritising evidence derived with FAOs through careful review of ongoing practice was emphasised by </w:t>
      </w:r>
      <w:r w:rsidR="00E56939">
        <w:t>five</w:t>
      </w:r>
      <w:r w:rsidRPr="005C46A2">
        <w:t xml:space="preserve"> participants who described the need for a ‘quality improvement’ focus in services which could be grown and sustained by fostering a culture of curiosity and learning. </w:t>
      </w:r>
    </w:p>
    <w:p w14:paraId="4EB74984" w14:textId="77777777" w:rsidR="006633D5" w:rsidRPr="005C46A2" w:rsidRDefault="006633D5" w:rsidP="006633D5">
      <w:pPr>
        <w:spacing w:line="259" w:lineRule="auto"/>
        <w:jc w:val="both"/>
      </w:pPr>
    </w:p>
    <w:p w14:paraId="7167DC70" w14:textId="41C4A8E4" w:rsidR="006633D5" w:rsidRPr="005C46A2" w:rsidRDefault="004D7E00" w:rsidP="00D50B98">
      <w:pPr>
        <w:pStyle w:val="Heading4"/>
      </w:pPr>
      <w:r>
        <w:t>Exploring t</w:t>
      </w:r>
      <w:r w:rsidR="006633D5" w:rsidRPr="005C46A2">
        <w:t xml:space="preserve">he role of lived experience in service design and delivery </w:t>
      </w:r>
    </w:p>
    <w:p w14:paraId="3880B20B" w14:textId="0040C1BC" w:rsidR="006633D5" w:rsidRDefault="006633D5" w:rsidP="006633D5">
      <w:pPr>
        <w:spacing w:line="259" w:lineRule="auto"/>
        <w:jc w:val="both"/>
      </w:pPr>
      <w:r>
        <w:t>The idea that FAOs should have some involvement in service conceptualisation, design and delivery was supported by over a third of panel members (e.g. co-design, FAO consumer advisers in senior management roles, FAO representation in lived experience advisory panels) (</w:t>
      </w:r>
      <w:r>
        <w:fldChar w:fldCharType="begin"/>
      </w:r>
      <w:r>
        <w:instrText xml:space="preserve"> REF _Ref50984584 \h </w:instrText>
      </w:r>
      <w:r>
        <w:fldChar w:fldCharType="separate"/>
      </w:r>
      <w:r w:rsidR="00DF0799" w:rsidRPr="005C46A2">
        <w:t xml:space="preserve">Table </w:t>
      </w:r>
      <w:r w:rsidR="00DF0799">
        <w:rPr>
          <w:noProof/>
        </w:rPr>
        <w:t>7</w:t>
      </w:r>
      <w:r>
        <w:fldChar w:fldCharType="end"/>
      </w:r>
      <w:r>
        <w:t>). Around a fifth of the panel endorsed FAO involvement in producing and selecting treatment models and approaches:</w:t>
      </w:r>
    </w:p>
    <w:p w14:paraId="3C3B257D" w14:textId="77777777" w:rsidR="006633D5" w:rsidRDefault="006633D5" w:rsidP="006633D5">
      <w:pPr>
        <w:spacing w:line="259" w:lineRule="auto"/>
        <w:jc w:val="both"/>
      </w:pPr>
    </w:p>
    <w:p w14:paraId="441A0FEA" w14:textId="77777777" w:rsidR="006633D5" w:rsidRPr="00151DC1" w:rsidRDefault="006633D5" w:rsidP="006633D5">
      <w:pPr>
        <w:spacing w:line="259" w:lineRule="auto"/>
        <w:ind w:left="720"/>
        <w:jc w:val="both"/>
        <w:rPr>
          <w:i/>
          <w:iCs/>
        </w:rPr>
      </w:pPr>
      <w:r w:rsidRPr="00151DC1">
        <w:rPr>
          <w:i/>
          <w:iCs/>
        </w:rPr>
        <w:t xml:space="preserve">“Firstly, lived experience needs to be unpacked </w:t>
      </w:r>
      <w:r>
        <w:rPr>
          <w:i/>
          <w:iCs/>
        </w:rPr>
        <w:t>for family and</w:t>
      </w:r>
      <w:r w:rsidRPr="00151DC1">
        <w:rPr>
          <w:i/>
          <w:iCs/>
        </w:rPr>
        <w:t xml:space="preserve"> affected others first and foremost, as most focus has been on the gambler. Then there's engaging the lived experience workforce e.g. gamblers and FAOs working in the reducing gambling harm sector e.g. clinician, public health workers, counsellor, manager, researcher. Each area of lived experience that I've outlined above needs to be involved in service design and delivery</w:t>
      </w:r>
      <w:r>
        <w:rPr>
          <w:i/>
          <w:iCs/>
        </w:rPr>
        <w:t xml:space="preserve"> in partnership with</w:t>
      </w:r>
      <w:r w:rsidRPr="00151DC1">
        <w:rPr>
          <w:i/>
          <w:iCs/>
        </w:rPr>
        <w:t xml:space="preserve"> other workers who do not have </w:t>
      </w:r>
      <w:r>
        <w:rPr>
          <w:i/>
          <w:iCs/>
        </w:rPr>
        <w:t>lived experience</w:t>
      </w:r>
      <w:r w:rsidRPr="00151DC1">
        <w:rPr>
          <w:i/>
          <w:iCs/>
        </w:rPr>
        <w:t xml:space="preserve"> in reducing gambling harm.”  (Consumer, NZ)</w:t>
      </w:r>
    </w:p>
    <w:p w14:paraId="36E1663D" w14:textId="77777777" w:rsidR="006633D5" w:rsidRDefault="006633D5" w:rsidP="006633D5">
      <w:pPr>
        <w:spacing w:line="259" w:lineRule="auto"/>
        <w:jc w:val="both"/>
      </w:pPr>
    </w:p>
    <w:p w14:paraId="001C1106" w14:textId="69817762" w:rsidR="006633D5" w:rsidRPr="005C46A2" w:rsidRDefault="006633D5" w:rsidP="006633D5">
      <w:pPr>
        <w:pStyle w:val="Caption"/>
      </w:pPr>
      <w:bookmarkStart w:id="90" w:name="_Ref50984584"/>
      <w:bookmarkStart w:id="91" w:name="_Toc51240672"/>
      <w:bookmarkStart w:id="92" w:name="_Toc58400640"/>
      <w:r w:rsidRPr="005C46A2">
        <w:t xml:space="preserve">Table </w:t>
      </w:r>
      <w:r w:rsidR="00D04B86">
        <w:fldChar w:fldCharType="begin"/>
      </w:r>
      <w:r w:rsidR="00D04B86">
        <w:instrText xml:space="preserve"> SEQ Table \* AR</w:instrText>
      </w:r>
      <w:r w:rsidR="00D04B86">
        <w:instrText xml:space="preserve">ABIC </w:instrText>
      </w:r>
      <w:r w:rsidR="00D04B86">
        <w:fldChar w:fldCharType="separate"/>
      </w:r>
      <w:r w:rsidR="00DF0799">
        <w:rPr>
          <w:noProof/>
        </w:rPr>
        <w:t>7</w:t>
      </w:r>
      <w:r w:rsidR="00D04B86">
        <w:rPr>
          <w:noProof/>
        </w:rPr>
        <w:fldChar w:fldCharType="end"/>
      </w:r>
      <w:bookmarkEnd w:id="90"/>
      <w:r w:rsidRPr="005C46A2">
        <w:t>. The role of lived experience in service design and delivery</w:t>
      </w:r>
      <w:bookmarkEnd w:id="91"/>
      <w:bookmarkEnd w:id="92"/>
    </w:p>
    <w:tbl>
      <w:tblPr>
        <w:tblStyle w:val="TableGrid"/>
        <w:tblW w:w="0" w:type="auto"/>
        <w:tblLook w:val="04A0" w:firstRow="1" w:lastRow="0" w:firstColumn="1" w:lastColumn="0" w:noHBand="0" w:noVBand="1"/>
      </w:tblPr>
      <w:tblGrid>
        <w:gridCol w:w="7225"/>
        <w:gridCol w:w="850"/>
        <w:gridCol w:w="941"/>
      </w:tblGrid>
      <w:tr w:rsidR="006633D5" w:rsidRPr="005C46A2" w14:paraId="3E4E5FAA" w14:textId="77777777" w:rsidTr="00AA0F46">
        <w:tc>
          <w:tcPr>
            <w:tcW w:w="7225" w:type="dxa"/>
          </w:tcPr>
          <w:p w14:paraId="4FC5C502" w14:textId="77777777" w:rsidR="006633D5" w:rsidRPr="005C46A2" w:rsidRDefault="006633D5" w:rsidP="00AA0F46">
            <w:pPr>
              <w:jc w:val="both"/>
              <w:rPr>
                <w:b/>
                <w:bCs/>
                <w:sz w:val="22"/>
                <w:szCs w:val="22"/>
              </w:rPr>
            </w:pPr>
            <w:r w:rsidRPr="005C46A2">
              <w:rPr>
                <w:b/>
                <w:bCs/>
                <w:sz w:val="22"/>
                <w:szCs w:val="22"/>
              </w:rPr>
              <w:t>Coded qualitative responses</w:t>
            </w:r>
          </w:p>
        </w:tc>
        <w:tc>
          <w:tcPr>
            <w:tcW w:w="850" w:type="dxa"/>
          </w:tcPr>
          <w:p w14:paraId="7123AF8C" w14:textId="77777777" w:rsidR="006633D5" w:rsidRPr="005C46A2" w:rsidRDefault="006633D5" w:rsidP="00AA0F46">
            <w:pPr>
              <w:jc w:val="both"/>
              <w:rPr>
                <w:b/>
                <w:bCs/>
                <w:sz w:val="22"/>
                <w:szCs w:val="22"/>
              </w:rPr>
            </w:pPr>
            <w:r w:rsidRPr="005C46A2">
              <w:rPr>
                <w:b/>
                <w:bCs/>
                <w:sz w:val="22"/>
                <w:szCs w:val="22"/>
              </w:rPr>
              <w:t>N</w:t>
            </w:r>
          </w:p>
        </w:tc>
        <w:tc>
          <w:tcPr>
            <w:tcW w:w="941" w:type="dxa"/>
          </w:tcPr>
          <w:p w14:paraId="01128393" w14:textId="40134CF3" w:rsidR="006633D5" w:rsidRPr="005C46A2" w:rsidRDefault="006633D5" w:rsidP="00AA0F46">
            <w:pPr>
              <w:jc w:val="both"/>
              <w:rPr>
                <w:b/>
                <w:bCs/>
                <w:sz w:val="22"/>
                <w:szCs w:val="22"/>
              </w:rPr>
            </w:pPr>
            <w:r w:rsidRPr="005C46A2">
              <w:rPr>
                <w:b/>
                <w:bCs/>
                <w:sz w:val="22"/>
                <w:szCs w:val="22"/>
              </w:rPr>
              <w:t>%</w:t>
            </w:r>
            <w:r w:rsidR="00FF2D89" w:rsidRPr="00FF2D89">
              <w:rPr>
                <w:sz w:val="22"/>
                <w:szCs w:val="22"/>
                <w:vertAlign w:val="superscript"/>
              </w:rPr>
              <w:t>#</w:t>
            </w:r>
          </w:p>
        </w:tc>
      </w:tr>
      <w:tr w:rsidR="006633D5" w:rsidRPr="005C46A2" w14:paraId="7186C38E" w14:textId="77777777" w:rsidTr="00AA0F46">
        <w:tc>
          <w:tcPr>
            <w:tcW w:w="7225" w:type="dxa"/>
          </w:tcPr>
          <w:p w14:paraId="5FB8DE9D" w14:textId="77777777" w:rsidR="006633D5" w:rsidRPr="005C46A2" w:rsidRDefault="006633D5" w:rsidP="00AA0F46">
            <w:pPr>
              <w:jc w:val="both"/>
              <w:rPr>
                <w:sz w:val="22"/>
                <w:szCs w:val="22"/>
              </w:rPr>
            </w:pPr>
            <w:r w:rsidRPr="005C46A2">
              <w:rPr>
                <w:sz w:val="22"/>
                <w:szCs w:val="22"/>
              </w:rPr>
              <w:t xml:space="preserve">FAO advisers should guide service design and delivery </w:t>
            </w:r>
          </w:p>
        </w:tc>
        <w:tc>
          <w:tcPr>
            <w:tcW w:w="850" w:type="dxa"/>
          </w:tcPr>
          <w:p w14:paraId="52411AE1" w14:textId="77777777" w:rsidR="006633D5" w:rsidRPr="005C46A2" w:rsidRDefault="006633D5" w:rsidP="00AA0F46">
            <w:pPr>
              <w:jc w:val="right"/>
              <w:rPr>
                <w:sz w:val="22"/>
                <w:szCs w:val="22"/>
              </w:rPr>
            </w:pPr>
            <w:r w:rsidRPr="005C46A2">
              <w:rPr>
                <w:sz w:val="22"/>
                <w:szCs w:val="22"/>
              </w:rPr>
              <w:t>11</w:t>
            </w:r>
          </w:p>
        </w:tc>
        <w:tc>
          <w:tcPr>
            <w:tcW w:w="941" w:type="dxa"/>
          </w:tcPr>
          <w:p w14:paraId="26B10E85" w14:textId="77777777" w:rsidR="006633D5" w:rsidRPr="005C46A2" w:rsidRDefault="006633D5" w:rsidP="00AA0F46">
            <w:pPr>
              <w:jc w:val="right"/>
              <w:rPr>
                <w:sz w:val="22"/>
                <w:szCs w:val="22"/>
              </w:rPr>
            </w:pPr>
            <w:r w:rsidRPr="005C46A2">
              <w:rPr>
                <w:sz w:val="22"/>
                <w:szCs w:val="22"/>
              </w:rPr>
              <w:t>38</w:t>
            </w:r>
          </w:p>
        </w:tc>
      </w:tr>
      <w:tr w:rsidR="006633D5" w:rsidRPr="005C46A2" w14:paraId="690D8740" w14:textId="77777777" w:rsidTr="00AA0F46">
        <w:tc>
          <w:tcPr>
            <w:tcW w:w="7225" w:type="dxa"/>
          </w:tcPr>
          <w:p w14:paraId="5A09041D" w14:textId="77777777" w:rsidR="006633D5" w:rsidRPr="005C46A2" w:rsidRDefault="006633D5" w:rsidP="00AA0F46">
            <w:pPr>
              <w:jc w:val="both"/>
              <w:rPr>
                <w:sz w:val="22"/>
                <w:szCs w:val="22"/>
              </w:rPr>
            </w:pPr>
            <w:r w:rsidRPr="005C46A2">
              <w:rPr>
                <w:sz w:val="22"/>
                <w:szCs w:val="22"/>
              </w:rPr>
              <w:t>Input into treatment models and approaches selected and delivered</w:t>
            </w:r>
          </w:p>
        </w:tc>
        <w:tc>
          <w:tcPr>
            <w:tcW w:w="850" w:type="dxa"/>
          </w:tcPr>
          <w:p w14:paraId="26EFAB2C" w14:textId="77777777" w:rsidR="006633D5" w:rsidRPr="005C46A2" w:rsidRDefault="006633D5" w:rsidP="00AA0F46">
            <w:pPr>
              <w:jc w:val="right"/>
              <w:rPr>
                <w:sz w:val="22"/>
                <w:szCs w:val="22"/>
              </w:rPr>
            </w:pPr>
            <w:r w:rsidRPr="005C46A2">
              <w:rPr>
                <w:sz w:val="22"/>
                <w:szCs w:val="22"/>
              </w:rPr>
              <w:t>6</w:t>
            </w:r>
          </w:p>
        </w:tc>
        <w:tc>
          <w:tcPr>
            <w:tcW w:w="941" w:type="dxa"/>
          </w:tcPr>
          <w:p w14:paraId="53867A45" w14:textId="77777777" w:rsidR="006633D5" w:rsidRPr="005C46A2" w:rsidRDefault="006633D5" w:rsidP="00AA0F46">
            <w:pPr>
              <w:jc w:val="right"/>
              <w:rPr>
                <w:sz w:val="22"/>
                <w:szCs w:val="22"/>
              </w:rPr>
            </w:pPr>
            <w:r w:rsidRPr="005C46A2">
              <w:rPr>
                <w:sz w:val="22"/>
                <w:szCs w:val="22"/>
              </w:rPr>
              <w:t>21</w:t>
            </w:r>
          </w:p>
        </w:tc>
      </w:tr>
      <w:tr w:rsidR="006633D5" w:rsidRPr="005C46A2" w14:paraId="657851A7" w14:textId="77777777" w:rsidTr="00AA0F46">
        <w:tc>
          <w:tcPr>
            <w:tcW w:w="7225" w:type="dxa"/>
          </w:tcPr>
          <w:p w14:paraId="470A8874" w14:textId="77777777" w:rsidR="006633D5" w:rsidRPr="005C46A2" w:rsidRDefault="006633D5" w:rsidP="00AA0F46">
            <w:pPr>
              <w:jc w:val="both"/>
              <w:rPr>
                <w:sz w:val="22"/>
                <w:szCs w:val="22"/>
              </w:rPr>
            </w:pPr>
            <w:r w:rsidRPr="005C46A2">
              <w:rPr>
                <w:sz w:val="22"/>
                <w:szCs w:val="22"/>
              </w:rPr>
              <w:t xml:space="preserve">Important resource for service promotion and delivery  </w:t>
            </w:r>
          </w:p>
        </w:tc>
        <w:tc>
          <w:tcPr>
            <w:tcW w:w="850" w:type="dxa"/>
          </w:tcPr>
          <w:p w14:paraId="7A219AAF" w14:textId="77777777" w:rsidR="006633D5" w:rsidRPr="005C46A2" w:rsidRDefault="006633D5" w:rsidP="00AA0F46">
            <w:pPr>
              <w:jc w:val="right"/>
              <w:rPr>
                <w:sz w:val="22"/>
                <w:szCs w:val="22"/>
              </w:rPr>
            </w:pPr>
            <w:r w:rsidRPr="005C46A2">
              <w:rPr>
                <w:sz w:val="22"/>
                <w:szCs w:val="22"/>
              </w:rPr>
              <w:t>6</w:t>
            </w:r>
          </w:p>
        </w:tc>
        <w:tc>
          <w:tcPr>
            <w:tcW w:w="941" w:type="dxa"/>
          </w:tcPr>
          <w:p w14:paraId="763835E4" w14:textId="77777777" w:rsidR="006633D5" w:rsidRPr="005C46A2" w:rsidRDefault="006633D5" w:rsidP="00AA0F46">
            <w:pPr>
              <w:jc w:val="right"/>
              <w:rPr>
                <w:sz w:val="22"/>
                <w:szCs w:val="22"/>
              </w:rPr>
            </w:pPr>
            <w:r w:rsidRPr="005C46A2">
              <w:rPr>
                <w:sz w:val="22"/>
                <w:szCs w:val="22"/>
              </w:rPr>
              <w:t>21</w:t>
            </w:r>
          </w:p>
        </w:tc>
      </w:tr>
      <w:tr w:rsidR="006633D5" w:rsidRPr="005C46A2" w14:paraId="163FE78C" w14:textId="77777777" w:rsidTr="00AA0F46">
        <w:tc>
          <w:tcPr>
            <w:tcW w:w="7225" w:type="dxa"/>
          </w:tcPr>
          <w:p w14:paraId="53E16E2D" w14:textId="77777777" w:rsidR="006633D5" w:rsidRPr="005C46A2" w:rsidRDefault="006633D5" w:rsidP="00AA0F46">
            <w:pPr>
              <w:jc w:val="both"/>
              <w:rPr>
                <w:sz w:val="22"/>
                <w:szCs w:val="22"/>
              </w:rPr>
            </w:pPr>
            <w:r w:rsidRPr="005C46A2">
              <w:rPr>
                <w:sz w:val="22"/>
                <w:szCs w:val="22"/>
              </w:rPr>
              <w:t>Constrained and underfunded</w:t>
            </w:r>
          </w:p>
        </w:tc>
        <w:tc>
          <w:tcPr>
            <w:tcW w:w="850" w:type="dxa"/>
          </w:tcPr>
          <w:p w14:paraId="0A4C8D84" w14:textId="77777777" w:rsidR="006633D5" w:rsidRPr="005C46A2" w:rsidRDefault="006633D5" w:rsidP="00AA0F46">
            <w:pPr>
              <w:jc w:val="right"/>
              <w:rPr>
                <w:sz w:val="22"/>
                <w:szCs w:val="22"/>
              </w:rPr>
            </w:pPr>
            <w:r w:rsidRPr="005C46A2">
              <w:rPr>
                <w:sz w:val="22"/>
                <w:szCs w:val="22"/>
              </w:rPr>
              <w:t>4</w:t>
            </w:r>
          </w:p>
        </w:tc>
        <w:tc>
          <w:tcPr>
            <w:tcW w:w="941" w:type="dxa"/>
          </w:tcPr>
          <w:p w14:paraId="35DDBA46" w14:textId="77777777" w:rsidR="006633D5" w:rsidRPr="005C46A2" w:rsidRDefault="006633D5" w:rsidP="00AA0F46">
            <w:pPr>
              <w:jc w:val="right"/>
              <w:rPr>
                <w:sz w:val="22"/>
                <w:szCs w:val="22"/>
              </w:rPr>
            </w:pPr>
            <w:r w:rsidRPr="005C46A2">
              <w:rPr>
                <w:sz w:val="22"/>
                <w:szCs w:val="22"/>
              </w:rPr>
              <w:t>14</w:t>
            </w:r>
          </w:p>
        </w:tc>
      </w:tr>
      <w:tr w:rsidR="006633D5" w:rsidRPr="005C46A2" w14:paraId="2C09299F" w14:textId="77777777" w:rsidTr="00AA0F46">
        <w:tc>
          <w:tcPr>
            <w:tcW w:w="7225" w:type="dxa"/>
          </w:tcPr>
          <w:p w14:paraId="2CA2B0B7" w14:textId="77777777" w:rsidR="006633D5" w:rsidRPr="005C46A2" w:rsidRDefault="006633D5" w:rsidP="00AA0F46">
            <w:pPr>
              <w:jc w:val="both"/>
              <w:rPr>
                <w:sz w:val="22"/>
                <w:szCs w:val="22"/>
              </w:rPr>
            </w:pPr>
            <w:r w:rsidRPr="005C46A2">
              <w:rPr>
                <w:sz w:val="22"/>
                <w:szCs w:val="22"/>
              </w:rPr>
              <w:lastRenderedPageBreak/>
              <w:t>Key part of evidence base for approaches and their ongoing development</w:t>
            </w:r>
          </w:p>
        </w:tc>
        <w:tc>
          <w:tcPr>
            <w:tcW w:w="850" w:type="dxa"/>
          </w:tcPr>
          <w:p w14:paraId="78622190" w14:textId="77777777" w:rsidR="006633D5" w:rsidRPr="005C46A2" w:rsidRDefault="006633D5" w:rsidP="00AA0F46">
            <w:pPr>
              <w:jc w:val="right"/>
              <w:rPr>
                <w:sz w:val="22"/>
                <w:szCs w:val="22"/>
              </w:rPr>
            </w:pPr>
            <w:r w:rsidRPr="005C46A2">
              <w:rPr>
                <w:sz w:val="22"/>
                <w:szCs w:val="22"/>
              </w:rPr>
              <w:t>3</w:t>
            </w:r>
          </w:p>
        </w:tc>
        <w:tc>
          <w:tcPr>
            <w:tcW w:w="941" w:type="dxa"/>
          </w:tcPr>
          <w:p w14:paraId="67AE7D48" w14:textId="77777777" w:rsidR="006633D5" w:rsidRPr="005C46A2" w:rsidRDefault="006633D5" w:rsidP="00AA0F46">
            <w:pPr>
              <w:jc w:val="right"/>
              <w:rPr>
                <w:sz w:val="22"/>
                <w:szCs w:val="22"/>
              </w:rPr>
            </w:pPr>
            <w:r w:rsidRPr="005C46A2">
              <w:rPr>
                <w:sz w:val="22"/>
                <w:szCs w:val="22"/>
              </w:rPr>
              <w:t>10</w:t>
            </w:r>
          </w:p>
        </w:tc>
      </w:tr>
      <w:tr w:rsidR="006633D5" w:rsidRPr="005C46A2" w14:paraId="2356C2B6" w14:textId="77777777" w:rsidTr="00AA0F46">
        <w:tc>
          <w:tcPr>
            <w:tcW w:w="7225" w:type="dxa"/>
          </w:tcPr>
          <w:p w14:paraId="768E72E7" w14:textId="77777777" w:rsidR="006633D5" w:rsidRPr="005C46A2" w:rsidRDefault="006633D5" w:rsidP="00AA0F46">
            <w:pPr>
              <w:jc w:val="both"/>
              <w:rPr>
                <w:sz w:val="22"/>
                <w:szCs w:val="22"/>
              </w:rPr>
            </w:pPr>
            <w:r w:rsidRPr="005C46A2">
              <w:rPr>
                <w:sz w:val="22"/>
                <w:szCs w:val="22"/>
              </w:rPr>
              <w:t>Must be balanced with other perspectives</w:t>
            </w:r>
          </w:p>
        </w:tc>
        <w:tc>
          <w:tcPr>
            <w:tcW w:w="850" w:type="dxa"/>
          </w:tcPr>
          <w:p w14:paraId="51DB0652" w14:textId="77777777" w:rsidR="006633D5" w:rsidRPr="005C46A2" w:rsidRDefault="006633D5" w:rsidP="00AA0F46">
            <w:pPr>
              <w:jc w:val="right"/>
              <w:rPr>
                <w:sz w:val="22"/>
                <w:szCs w:val="22"/>
              </w:rPr>
            </w:pPr>
            <w:r w:rsidRPr="005C46A2">
              <w:rPr>
                <w:sz w:val="22"/>
                <w:szCs w:val="22"/>
              </w:rPr>
              <w:t>3</w:t>
            </w:r>
          </w:p>
        </w:tc>
        <w:tc>
          <w:tcPr>
            <w:tcW w:w="941" w:type="dxa"/>
          </w:tcPr>
          <w:p w14:paraId="5A8E621C" w14:textId="77777777" w:rsidR="006633D5" w:rsidRPr="005C46A2" w:rsidRDefault="006633D5" w:rsidP="00AA0F46">
            <w:pPr>
              <w:jc w:val="right"/>
              <w:rPr>
                <w:sz w:val="22"/>
                <w:szCs w:val="22"/>
              </w:rPr>
            </w:pPr>
            <w:r w:rsidRPr="005C46A2">
              <w:rPr>
                <w:sz w:val="22"/>
                <w:szCs w:val="22"/>
              </w:rPr>
              <w:t>10</w:t>
            </w:r>
          </w:p>
        </w:tc>
      </w:tr>
      <w:tr w:rsidR="006633D5" w:rsidRPr="005C46A2" w14:paraId="4B5F428C" w14:textId="77777777" w:rsidTr="00AA0F46">
        <w:tc>
          <w:tcPr>
            <w:tcW w:w="7225" w:type="dxa"/>
          </w:tcPr>
          <w:p w14:paraId="5278813B" w14:textId="77777777" w:rsidR="006633D5" w:rsidRPr="005C46A2" w:rsidRDefault="006633D5" w:rsidP="00AA0F46">
            <w:pPr>
              <w:jc w:val="both"/>
              <w:rPr>
                <w:sz w:val="22"/>
                <w:szCs w:val="22"/>
              </w:rPr>
            </w:pPr>
            <w:r w:rsidRPr="005C46A2">
              <w:rPr>
                <w:sz w:val="22"/>
                <w:szCs w:val="22"/>
              </w:rPr>
              <w:t>Practitioner-inquirers</w:t>
            </w:r>
          </w:p>
        </w:tc>
        <w:tc>
          <w:tcPr>
            <w:tcW w:w="850" w:type="dxa"/>
          </w:tcPr>
          <w:p w14:paraId="7402885A" w14:textId="77777777" w:rsidR="006633D5" w:rsidRPr="005C46A2" w:rsidRDefault="006633D5" w:rsidP="00AA0F46">
            <w:pPr>
              <w:jc w:val="right"/>
              <w:rPr>
                <w:sz w:val="22"/>
                <w:szCs w:val="22"/>
              </w:rPr>
            </w:pPr>
            <w:r w:rsidRPr="005C46A2">
              <w:rPr>
                <w:sz w:val="22"/>
                <w:szCs w:val="22"/>
              </w:rPr>
              <w:t>2</w:t>
            </w:r>
          </w:p>
        </w:tc>
        <w:tc>
          <w:tcPr>
            <w:tcW w:w="941" w:type="dxa"/>
          </w:tcPr>
          <w:p w14:paraId="2035CF52" w14:textId="77777777" w:rsidR="006633D5" w:rsidRPr="005C46A2" w:rsidRDefault="006633D5" w:rsidP="00AA0F46">
            <w:pPr>
              <w:jc w:val="right"/>
              <w:rPr>
                <w:sz w:val="22"/>
                <w:szCs w:val="22"/>
              </w:rPr>
            </w:pPr>
            <w:r w:rsidRPr="005C46A2">
              <w:rPr>
                <w:sz w:val="22"/>
                <w:szCs w:val="22"/>
              </w:rPr>
              <w:t>7</w:t>
            </w:r>
          </w:p>
        </w:tc>
      </w:tr>
    </w:tbl>
    <w:p w14:paraId="148BE14A" w14:textId="77777777" w:rsidR="00FF2D89" w:rsidRPr="00FF2D89" w:rsidRDefault="00FF2D89" w:rsidP="00FF2D89">
      <w:pPr>
        <w:spacing w:line="259" w:lineRule="auto"/>
        <w:jc w:val="both"/>
      </w:pPr>
      <w:r w:rsidRPr="00FF2D89">
        <w:rPr>
          <w:sz w:val="22"/>
          <w:szCs w:val="22"/>
          <w:vertAlign w:val="superscript"/>
        </w:rPr>
        <w:t xml:space="preserve"># </w:t>
      </w:r>
      <w:r w:rsidRPr="00FF2D89">
        <w:rPr>
          <w:sz w:val="22"/>
          <w:szCs w:val="22"/>
        </w:rPr>
        <w:t xml:space="preserve">Note </w:t>
      </w:r>
      <w:r>
        <w:rPr>
          <w:sz w:val="22"/>
          <w:szCs w:val="22"/>
        </w:rPr>
        <w:t>that participant responses could be coded at multiple categories.</w:t>
      </w:r>
    </w:p>
    <w:p w14:paraId="225E3E61" w14:textId="77777777" w:rsidR="00FF2D89" w:rsidRDefault="00FF2D89" w:rsidP="006633D5">
      <w:pPr>
        <w:spacing w:line="259" w:lineRule="auto"/>
        <w:jc w:val="both"/>
      </w:pPr>
    </w:p>
    <w:p w14:paraId="3C0C9396" w14:textId="44C725BD" w:rsidR="006633D5" w:rsidRDefault="006633D5" w:rsidP="006633D5">
      <w:pPr>
        <w:spacing w:line="259" w:lineRule="auto"/>
        <w:jc w:val="both"/>
      </w:pPr>
      <w:r>
        <w:t>FAOs were held to be an important resource for service promotion and delivery, e.g. through p</w:t>
      </w:r>
      <w:r w:rsidRPr="006C5E1A">
        <w:t xml:space="preserve">roviding FAO narrative that could support and influence FAOs in dealing with their situation (Researcher, Australia), </w:t>
      </w:r>
      <w:r>
        <w:t xml:space="preserve">or </w:t>
      </w:r>
      <w:r w:rsidRPr="006C5E1A">
        <w:t>ensuring information about harm and support needs resonates with people (</w:t>
      </w:r>
      <w:r>
        <w:t>C</w:t>
      </w:r>
      <w:r w:rsidRPr="006C5E1A">
        <w:t>linician, NZ). People with lived experience were seen to bring a deeper understanding by having been through harm themselves, enabling them to provide practical advice on strategies for recovery</w:t>
      </w:r>
      <w:r>
        <w:t>:</w:t>
      </w:r>
      <w:r w:rsidRPr="006C5E1A">
        <w:t xml:space="preserve"> FAOs could be mobilised in engagement and reaching out to those who historically </w:t>
      </w:r>
      <w:r>
        <w:t>do not</w:t>
      </w:r>
      <w:r w:rsidRPr="006C5E1A">
        <w:t xml:space="preserve"> access services (Clinician, UK). These kinds of activities and engagement with lived experience</w:t>
      </w:r>
      <w:r>
        <w:t xml:space="preserve"> were seen to be constrained and underfunded at present by four participants (all based in New Zealand), e.g.:</w:t>
      </w:r>
    </w:p>
    <w:p w14:paraId="4986BE67" w14:textId="77777777" w:rsidR="006633D5" w:rsidRDefault="006633D5" w:rsidP="006633D5">
      <w:pPr>
        <w:spacing w:line="259" w:lineRule="auto"/>
        <w:jc w:val="both"/>
      </w:pPr>
    </w:p>
    <w:p w14:paraId="5143583F" w14:textId="3A72BD66" w:rsidR="006633D5" w:rsidRDefault="006633D5" w:rsidP="006633D5">
      <w:pPr>
        <w:spacing w:line="259" w:lineRule="auto"/>
        <w:ind w:left="720"/>
        <w:jc w:val="both"/>
        <w:rPr>
          <w:i/>
          <w:iCs/>
        </w:rPr>
      </w:pPr>
      <w:r w:rsidRPr="00671646">
        <w:rPr>
          <w:i/>
          <w:iCs/>
        </w:rPr>
        <w:t>“In an ideal world, funding would be provided for a consumer advisor - FAO</w:t>
      </w:r>
      <w:r>
        <w:rPr>
          <w:i/>
          <w:iCs/>
        </w:rPr>
        <w:t>s</w:t>
      </w:r>
      <w:r w:rsidRPr="00671646">
        <w:rPr>
          <w:i/>
          <w:iCs/>
        </w:rPr>
        <w:t xml:space="preserve"> to provide their lens/feedback on all relevant policies, procedures, programmes, etc. However this has not happened and </w:t>
      </w:r>
      <w:r>
        <w:rPr>
          <w:i/>
          <w:iCs/>
        </w:rPr>
        <w:t xml:space="preserve">we </w:t>
      </w:r>
      <w:r w:rsidRPr="00671646">
        <w:rPr>
          <w:i/>
          <w:iCs/>
        </w:rPr>
        <w:t>have insufficient access to FAO input.” (Service manager, clinician, NZ)</w:t>
      </w:r>
    </w:p>
    <w:p w14:paraId="5ED8CBD1" w14:textId="77777777" w:rsidR="00E56939" w:rsidRPr="00671646" w:rsidRDefault="00E56939" w:rsidP="006633D5">
      <w:pPr>
        <w:spacing w:line="259" w:lineRule="auto"/>
        <w:ind w:left="720"/>
        <w:jc w:val="both"/>
        <w:rPr>
          <w:i/>
          <w:iCs/>
        </w:rPr>
      </w:pPr>
    </w:p>
    <w:p w14:paraId="1F9D5922" w14:textId="77777777" w:rsidR="006633D5" w:rsidRDefault="006633D5" w:rsidP="006633D5">
      <w:pPr>
        <w:spacing w:line="259" w:lineRule="auto"/>
        <w:jc w:val="both"/>
      </w:pPr>
      <w:r>
        <w:t xml:space="preserve">Three participants commented on the role of FAO peer support in creating and delivering harm reduction work, as part of </w:t>
      </w:r>
      <w:r w:rsidRPr="00716E3E">
        <w:t>community mental health-care model</w:t>
      </w:r>
      <w:r>
        <w:t>s:</w:t>
      </w:r>
    </w:p>
    <w:p w14:paraId="72712492" w14:textId="77777777" w:rsidR="006633D5" w:rsidRDefault="006633D5" w:rsidP="006633D5">
      <w:pPr>
        <w:spacing w:line="259" w:lineRule="auto"/>
        <w:jc w:val="both"/>
      </w:pPr>
      <w:r>
        <w:t xml:space="preserve"> </w:t>
      </w:r>
    </w:p>
    <w:p w14:paraId="7994F038" w14:textId="77777777" w:rsidR="006633D5" w:rsidRPr="00716E3E" w:rsidRDefault="006633D5" w:rsidP="006633D5">
      <w:pPr>
        <w:spacing w:line="259" w:lineRule="auto"/>
        <w:ind w:left="720"/>
        <w:jc w:val="both"/>
        <w:rPr>
          <w:i/>
          <w:iCs/>
        </w:rPr>
      </w:pPr>
      <w:r w:rsidRPr="00716E3E">
        <w:rPr>
          <w:i/>
          <w:iCs/>
        </w:rPr>
        <w:t xml:space="preserve">“The Italian Club model focuses on removing therapy and engaging affected families to help other </w:t>
      </w:r>
      <w:r>
        <w:rPr>
          <w:i/>
          <w:iCs/>
        </w:rPr>
        <w:t>affected</w:t>
      </w:r>
      <w:r w:rsidRPr="00716E3E">
        <w:rPr>
          <w:i/>
          <w:iCs/>
        </w:rPr>
        <w:t xml:space="preserve"> families. These meetings are facilitated by "servant teachers", respected members of a community who facilitate family contact without assuming therapeutic roles. I've seen it working well.” (Researcher, NZ)</w:t>
      </w:r>
    </w:p>
    <w:p w14:paraId="61D085DC" w14:textId="77777777" w:rsidR="006633D5" w:rsidRPr="005C46A2" w:rsidRDefault="006633D5" w:rsidP="006633D5">
      <w:pPr>
        <w:spacing w:line="259" w:lineRule="auto"/>
        <w:jc w:val="both"/>
      </w:pPr>
    </w:p>
    <w:p w14:paraId="17AC29F5" w14:textId="11386445" w:rsidR="006633D5" w:rsidRDefault="006633D5" w:rsidP="006633D5">
      <w:pPr>
        <w:spacing w:line="259" w:lineRule="auto"/>
        <w:jc w:val="both"/>
      </w:pPr>
      <w:r>
        <w:t xml:space="preserve">The idea that lived experience should be balanced by other perspectives in service delivery, was encapsulated by the following comments from researchers based in the UK and </w:t>
      </w:r>
      <w:r w:rsidR="007709D4">
        <w:t>NZ</w:t>
      </w:r>
      <w:r>
        <w:t>:</w:t>
      </w:r>
    </w:p>
    <w:p w14:paraId="42D25819" w14:textId="77777777" w:rsidR="006633D5" w:rsidRDefault="006633D5" w:rsidP="006633D5">
      <w:pPr>
        <w:spacing w:line="259" w:lineRule="auto"/>
        <w:jc w:val="both"/>
      </w:pPr>
    </w:p>
    <w:p w14:paraId="1A8A847C" w14:textId="77777777" w:rsidR="006633D5" w:rsidRDefault="006633D5" w:rsidP="006633D5">
      <w:pPr>
        <w:spacing w:line="259" w:lineRule="auto"/>
        <w:ind w:left="720"/>
        <w:jc w:val="both"/>
        <w:rPr>
          <w:i/>
          <w:iCs/>
        </w:rPr>
      </w:pPr>
      <w:r w:rsidRPr="00F95A3F">
        <w:rPr>
          <w:i/>
          <w:iCs/>
        </w:rPr>
        <w:t>“As with the design of ANY service, for ANY problem, of course lived experience is fundamental. BUT lived experience is but one element. In some ways good research brings together LOTS of lived experiences, to enable generalisation to be made from that. The danger always is that one person's lived experience dominates, and that may be an unusual example - not to be ignored because it is unusual, but not to dominate either, if it is unusual. In my experience of developing and running services, individuals with lived experience make either the best counsellors, or the worst! (</w:t>
      </w:r>
      <w:r>
        <w:rPr>
          <w:i/>
          <w:iCs/>
        </w:rPr>
        <w:t>R</w:t>
      </w:r>
      <w:r w:rsidRPr="00F95A3F">
        <w:rPr>
          <w:i/>
          <w:iCs/>
        </w:rPr>
        <w:t>esearcher, clinician, UK)</w:t>
      </w:r>
    </w:p>
    <w:p w14:paraId="4F0954E0" w14:textId="77777777" w:rsidR="006633D5" w:rsidRDefault="006633D5" w:rsidP="006633D5">
      <w:pPr>
        <w:spacing w:line="259" w:lineRule="auto"/>
        <w:jc w:val="both"/>
        <w:rPr>
          <w:i/>
          <w:iCs/>
        </w:rPr>
      </w:pPr>
    </w:p>
    <w:p w14:paraId="3409E852" w14:textId="20A6B137" w:rsidR="006633D5" w:rsidRPr="00F95A3F" w:rsidRDefault="006633D5" w:rsidP="006633D5">
      <w:pPr>
        <w:spacing w:line="259" w:lineRule="auto"/>
        <w:ind w:left="720"/>
        <w:jc w:val="both"/>
        <w:rPr>
          <w:i/>
          <w:iCs/>
        </w:rPr>
      </w:pPr>
      <w:r>
        <w:rPr>
          <w:i/>
          <w:iCs/>
        </w:rPr>
        <w:t>“I</w:t>
      </w:r>
      <w:r w:rsidRPr="00E02753">
        <w:rPr>
          <w:i/>
          <w:iCs/>
        </w:rPr>
        <w:t xml:space="preserve">t’s important that consumers have a voice, but they often don’t recognise they have an issue until very late, and their view on what services should look like </w:t>
      </w:r>
      <w:r>
        <w:rPr>
          <w:i/>
          <w:iCs/>
        </w:rPr>
        <w:t>is</w:t>
      </w:r>
      <w:r w:rsidRPr="00E02753">
        <w:rPr>
          <w:i/>
          <w:iCs/>
        </w:rPr>
        <w:t xml:space="preserve"> heavily influence</w:t>
      </w:r>
      <w:r>
        <w:rPr>
          <w:i/>
          <w:iCs/>
        </w:rPr>
        <w:t>d</w:t>
      </w:r>
      <w:r w:rsidRPr="00E02753">
        <w:rPr>
          <w:i/>
          <w:iCs/>
        </w:rPr>
        <w:t xml:space="preserve"> by the service they accessed and their perception of its success</w:t>
      </w:r>
      <w:r>
        <w:rPr>
          <w:i/>
          <w:iCs/>
        </w:rPr>
        <w:t xml:space="preserve">. Diversity of experience is important to capture and feed </w:t>
      </w:r>
      <w:r w:rsidR="007709D4">
        <w:rPr>
          <w:i/>
          <w:iCs/>
        </w:rPr>
        <w:t>into</w:t>
      </w:r>
      <w:r>
        <w:rPr>
          <w:i/>
          <w:iCs/>
        </w:rPr>
        <w:t xml:space="preserve"> service design, but this is much easier said than done” (Researcher, NZ)</w:t>
      </w:r>
    </w:p>
    <w:p w14:paraId="7B226E8C" w14:textId="77777777" w:rsidR="006633D5" w:rsidRDefault="006633D5" w:rsidP="006633D5">
      <w:pPr>
        <w:spacing w:line="259" w:lineRule="auto"/>
        <w:jc w:val="both"/>
        <w:rPr>
          <w:i/>
          <w:iCs/>
        </w:rPr>
      </w:pPr>
    </w:p>
    <w:p w14:paraId="72F7EC1D" w14:textId="77777777" w:rsidR="006633D5" w:rsidRDefault="006633D5" w:rsidP="006633D5">
      <w:pPr>
        <w:spacing w:line="259" w:lineRule="auto"/>
        <w:jc w:val="both"/>
      </w:pPr>
      <w:r w:rsidRPr="00671646">
        <w:t xml:space="preserve">The </w:t>
      </w:r>
      <w:r>
        <w:t>need for practitioners to be flexible and to acknowledge their own experience as partial (not reflective of all experiences) was noted. Inquiry into lived experience of both harm and accessing/receiving support was advanced by two panel members as relevant to establishing a practitioner-inquirer model for workforce development, e.g.:</w:t>
      </w:r>
    </w:p>
    <w:p w14:paraId="2C2A0D19" w14:textId="77777777" w:rsidR="006633D5" w:rsidRDefault="006633D5" w:rsidP="006633D5">
      <w:pPr>
        <w:jc w:val="both"/>
      </w:pPr>
    </w:p>
    <w:p w14:paraId="64453599" w14:textId="77777777" w:rsidR="006633D5" w:rsidRPr="00870645" w:rsidRDefault="006633D5" w:rsidP="006633D5">
      <w:pPr>
        <w:ind w:left="720"/>
        <w:jc w:val="both"/>
        <w:rPr>
          <w:i/>
          <w:iCs/>
        </w:rPr>
      </w:pPr>
      <w:r w:rsidRPr="00870645">
        <w:rPr>
          <w:i/>
          <w:iCs/>
        </w:rPr>
        <w:t>“The role of lived experience in service design is a big one. Materials, staff training etc etc need to be informed by what FAOs have said about their experience</w:t>
      </w:r>
      <w:r>
        <w:rPr>
          <w:i/>
          <w:iCs/>
        </w:rPr>
        <w:t xml:space="preserve"> of harm and support. U</w:t>
      </w:r>
      <w:r w:rsidRPr="00870645">
        <w:rPr>
          <w:i/>
          <w:iCs/>
        </w:rPr>
        <w:t xml:space="preserve">se of qualitative </w:t>
      </w:r>
      <w:r>
        <w:rPr>
          <w:i/>
          <w:iCs/>
        </w:rPr>
        <w:t>i</w:t>
      </w:r>
      <w:r w:rsidRPr="00870645">
        <w:rPr>
          <w:i/>
          <w:iCs/>
        </w:rPr>
        <w:t>nquiry with experts by experience (EBEs), quotations on hand, some staff recruited as EBEs</w:t>
      </w:r>
      <w:r>
        <w:rPr>
          <w:i/>
          <w:iCs/>
        </w:rPr>
        <w:t>, as supportive of quality practice-relevant research and evaluation</w:t>
      </w:r>
      <w:r w:rsidRPr="00870645">
        <w:rPr>
          <w:i/>
          <w:iCs/>
        </w:rPr>
        <w:t xml:space="preserve">” (Researcher, clinician, UK). </w:t>
      </w:r>
    </w:p>
    <w:p w14:paraId="4E260D4A" w14:textId="77777777" w:rsidR="006633D5" w:rsidRDefault="006633D5" w:rsidP="006633D5">
      <w:pPr>
        <w:jc w:val="both"/>
      </w:pPr>
    </w:p>
    <w:p w14:paraId="24D8C081" w14:textId="73C1A776" w:rsidR="006633D5" w:rsidRDefault="006633D5" w:rsidP="006633D5">
      <w:pPr>
        <w:jc w:val="both"/>
      </w:pPr>
      <w:r>
        <w:t xml:space="preserve">Several participants cautioned against the potential exploitation of ‘lived experience’ in service design, promotion, mental health support work, and public health practice (awareness raising) given that significant shame and stigma remains in the community regarding gambling addiction. Families affected by gambling harm may be vulnerable and underserved in a range of areas of their lives. </w:t>
      </w:r>
      <w:r w:rsidR="007709D4">
        <w:t xml:space="preserve">The need to protect client anonymity was described as vital to protecting clients from an additional ‘second wave’ of harm. </w:t>
      </w:r>
    </w:p>
    <w:p w14:paraId="2A5DC891" w14:textId="77777777" w:rsidR="006633D5" w:rsidRPr="005C46A2" w:rsidRDefault="006633D5" w:rsidP="006633D5">
      <w:pPr>
        <w:jc w:val="both"/>
      </w:pPr>
    </w:p>
    <w:p w14:paraId="3C2EA538" w14:textId="77777777" w:rsidR="006633D5" w:rsidRPr="005C46A2" w:rsidRDefault="006633D5" w:rsidP="00D50B98">
      <w:pPr>
        <w:pStyle w:val="Heading4"/>
      </w:pPr>
      <w:bookmarkStart w:id="93" w:name="_Hlk49938660"/>
      <w:r w:rsidRPr="005C46A2">
        <w:t>Enhancing cultural awareness in gambling service design and practice</w:t>
      </w:r>
    </w:p>
    <w:p w14:paraId="64852BBC" w14:textId="5A7FFA45" w:rsidR="006633D5" w:rsidRPr="005C46A2" w:rsidRDefault="006633D5" w:rsidP="006633D5">
      <w:pPr>
        <w:spacing w:line="259" w:lineRule="auto"/>
        <w:jc w:val="both"/>
      </w:pPr>
      <w:r w:rsidRPr="005C46A2">
        <w:t xml:space="preserve">The panel </w:t>
      </w:r>
      <w:r>
        <w:t>reported</w:t>
      </w:r>
      <w:r w:rsidRPr="005C46A2">
        <w:t xml:space="preserve"> that services that are sensitive to clients' cultural beliefs and practices </w:t>
      </w:r>
      <w:r>
        <w:t xml:space="preserve">are more likely to </w:t>
      </w:r>
      <w:r w:rsidRPr="005C46A2">
        <w:t>include family as an important part of recovery</w:t>
      </w:r>
      <w:r>
        <w:t xml:space="preserve"> (</w:t>
      </w:r>
      <w:r>
        <w:fldChar w:fldCharType="begin"/>
      </w:r>
      <w:r>
        <w:instrText xml:space="preserve"> REF _Ref50984193 \h </w:instrText>
      </w:r>
      <w:r>
        <w:fldChar w:fldCharType="separate"/>
      </w:r>
      <w:r w:rsidR="00DF0799" w:rsidRPr="005C46A2">
        <w:t xml:space="preserve">Table </w:t>
      </w:r>
      <w:r w:rsidR="00DF0799">
        <w:rPr>
          <w:noProof/>
        </w:rPr>
        <w:t>8</w:t>
      </w:r>
      <w:r>
        <w:fldChar w:fldCharType="end"/>
      </w:r>
      <w:r>
        <w:t>)</w:t>
      </w:r>
      <w:r w:rsidRPr="005C46A2">
        <w:t xml:space="preserve">. For example: </w:t>
      </w:r>
    </w:p>
    <w:p w14:paraId="63EBB5B1" w14:textId="77777777" w:rsidR="006633D5" w:rsidRPr="005C46A2" w:rsidRDefault="006633D5" w:rsidP="006633D5">
      <w:pPr>
        <w:spacing w:line="259" w:lineRule="auto"/>
        <w:jc w:val="both"/>
      </w:pPr>
    </w:p>
    <w:p w14:paraId="64A644CE" w14:textId="1D3530B3" w:rsidR="006633D5" w:rsidRPr="005C46A2" w:rsidRDefault="006633D5" w:rsidP="006633D5">
      <w:pPr>
        <w:spacing w:line="259" w:lineRule="auto"/>
        <w:ind w:left="720"/>
        <w:jc w:val="both"/>
        <w:rPr>
          <w:i/>
          <w:iCs/>
        </w:rPr>
      </w:pPr>
      <w:r w:rsidRPr="005C46A2">
        <w:rPr>
          <w:i/>
          <w:iCs/>
        </w:rPr>
        <w:t>“Cultural awareness involves practitioners having done their own self-work, understanding their cultural positioning and identity in relation to others, and knowing their blind spots. They must be careful not to judge FAOs for their plight, and take a broader historical, socio-cultural perspective of their clients and their clients' issues. That awareness might be conveyed to clients via correct pronunciation of names, asking about cultural practices the client might like to observe, being open to wider whānau attendance and support, but also acknowledging the collective orientation of many non-European groups, and what that means. Some awareness of culturally-specific details would be important too.” (Policy, NZ)</w:t>
      </w:r>
    </w:p>
    <w:p w14:paraId="59AA7631" w14:textId="26C7BDDC" w:rsidR="006633D5" w:rsidRDefault="006633D5" w:rsidP="006633D5">
      <w:pPr>
        <w:spacing w:line="259" w:lineRule="auto"/>
        <w:jc w:val="both"/>
      </w:pPr>
    </w:p>
    <w:p w14:paraId="7B850A18" w14:textId="4F080141" w:rsidR="006633D5" w:rsidRPr="005C46A2" w:rsidRDefault="006633D5" w:rsidP="006633D5">
      <w:pPr>
        <w:pStyle w:val="Caption"/>
      </w:pPr>
      <w:bookmarkStart w:id="94" w:name="_Ref50984193"/>
      <w:bookmarkStart w:id="95" w:name="_Toc51240670"/>
      <w:bookmarkStart w:id="96" w:name="_Toc58400641"/>
      <w:r w:rsidRPr="005C46A2">
        <w:t xml:space="preserve">Table </w:t>
      </w:r>
      <w:r w:rsidR="00D04B86">
        <w:fldChar w:fldCharType="begin"/>
      </w:r>
      <w:r w:rsidR="00D04B86">
        <w:instrText xml:space="preserve"> SEQ T</w:instrText>
      </w:r>
      <w:r w:rsidR="00D04B86">
        <w:instrText xml:space="preserve">able \* ARABIC </w:instrText>
      </w:r>
      <w:r w:rsidR="00D04B86">
        <w:fldChar w:fldCharType="separate"/>
      </w:r>
      <w:r w:rsidR="00DF0799">
        <w:rPr>
          <w:noProof/>
        </w:rPr>
        <w:t>8</w:t>
      </w:r>
      <w:r w:rsidR="00D04B86">
        <w:rPr>
          <w:noProof/>
        </w:rPr>
        <w:fldChar w:fldCharType="end"/>
      </w:r>
      <w:bookmarkEnd w:id="94"/>
      <w:r w:rsidRPr="005C46A2">
        <w:t>. Enhancing cultural awareness in gambling service design and practice</w:t>
      </w:r>
      <w:bookmarkEnd w:id="95"/>
      <w:bookmarkEnd w:id="96"/>
    </w:p>
    <w:tbl>
      <w:tblPr>
        <w:tblStyle w:val="TableGrid"/>
        <w:tblW w:w="0" w:type="auto"/>
        <w:tblLook w:val="04A0" w:firstRow="1" w:lastRow="0" w:firstColumn="1" w:lastColumn="0" w:noHBand="0" w:noVBand="1"/>
      </w:tblPr>
      <w:tblGrid>
        <w:gridCol w:w="7225"/>
        <w:gridCol w:w="850"/>
        <w:gridCol w:w="941"/>
      </w:tblGrid>
      <w:tr w:rsidR="006633D5" w:rsidRPr="005C46A2" w14:paraId="3D42CE49" w14:textId="77777777" w:rsidTr="00AA0F46">
        <w:tc>
          <w:tcPr>
            <w:tcW w:w="7225" w:type="dxa"/>
          </w:tcPr>
          <w:p w14:paraId="39E121D2" w14:textId="77777777" w:rsidR="006633D5" w:rsidRPr="005C46A2" w:rsidRDefault="006633D5" w:rsidP="00AA0F46">
            <w:pPr>
              <w:jc w:val="both"/>
              <w:rPr>
                <w:b/>
                <w:bCs/>
                <w:sz w:val="22"/>
                <w:szCs w:val="22"/>
              </w:rPr>
            </w:pPr>
            <w:r w:rsidRPr="005C46A2">
              <w:rPr>
                <w:b/>
                <w:bCs/>
                <w:sz w:val="22"/>
                <w:szCs w:val="22"/>
              </w:rPr>
              <w:t>Coded qualitative responses</w:t>
            </w:r>
          </w:p>
        </w:tc>
        <w:tc>
          <w:tcPr>
            <w:tcW w:w="850" w:type="dxa"/>
          </w:tcPr>
          <w:p w14:paraId="0CDB4CBC" w14:textId="77777777" w:rsidR="006633D5" w:rsidRPr="005C46A2" w:rsidRDefault="006633D5" w:rsidP="00AA0F46">
            <w:pPr>
              <w:jc w:val="both"/>
              <w:rPr>
                <w:b/>
                <w:bCs/>
                <w:sz w:val="22"/>
                <w:szCs w:val="22"/>
              </w:rPr>
            </w:pPr>
            <w:r w:rsidRPr="005C46A2">
              <w:rPr>
                <w:b/>
                <w:bCs/>
                <w:sz w:val="22"/>
                <w:szCs w:val="22"/>
              </w:rPr>
              <w:t>N</w:t>
            </w:r>
          </w:p>
        </w:tc>
        <w:tc>
          <w:tcPr>
            <w:tcW w:w="941" w:type="dxa"/>
          </w:tcPr>
          <w:p w14:paraId="541B7ACC" w14:textId="579D0015" w:rsidR="006633D5" w:rsidRPr="005C46A2" w:rsidRDefault="006633D5" w:rsidP="00AA0F46">
            <w:pPr>
              <w:jc w:val="both"/>
              <w:rPr>
                <w:b/>
                <w:bCs/>
                <w:sz w:val="22"/>
                <w:szCs w:val="22"/>
              </w:rPr>
            </w:pPr>
            <w:r w:rsidRPr="005C46A2">
              <w:rPr>
                <w:b/>
                <w:bCs/>
                <w:sz w:val="22"/>
                <w:szCs w:val="22"/>
              </w:rPr>
              <w:t>%</w:t>
            </w:r>
            <w:r w:rsidR="00FF2D89" w:rsidRPr="00FF2D89">
              <w:rPr>
                <w:sz w:val="22"/>
                <w:szCs w:val="22"/>
                <w:vertAlign w:val="superscript"/>
              </w:rPr>
              <w:t>#</w:t>
            </w:r>
          </w:p>
        </w:tc>
      </w:tr>
      <w:tr w:rsidR="006633D5" w:rsidRPr="005C46A2" w14:paraId="23158D87" w14:textId="77777777" w:rsidTr="00AA0F46">
        <w:tc>
          <w:tcPr>
            <w:tcW w:w="7225" w:type="dxa"/>
          </w:tcPr>
          <w:p w14:paraId="46F088C2" w14:textId="77777777" w:rsidR="006633D5" w:rsidRPr="005C46A2" w:rsidRDefault="006633D5" w:rsidP="00AA0F46">
            <w:pPr>
              <w:jc w:val="both"/>
              <w:rPr>
                <w:sz w:val="22"/>
                <w:szCs w:val="22"/>
              </w:rPr>
            </w:pPr>
            <w:r w:rsidRPr="005C46A2">
              <w:rPr>
                <w:sz w:val="22"/>
                <w:szCs w:val="22"/>
              </w:rPr>
              <w:t>Culturally competent staff</w:t>
            </w:r>
          </w:p>
        </w:tc>
        <w:tc>
          <w:tcPr>
            <w:tcW w:w="850" w:type="dxa"/>
          </w:tcPr>
          <w:p w14:paraId="14BB43D6" w14:textId="77777777" w:rsidR="006633D5" w:rsidRPr="005C46A2" w:rsidRDefault="006633D5" w:rsidP="00AA0F46">
            <w:pPr>
              <w:jc w:val="right"/>
              <w:rPr>
                <w:sz w:val="22"/>
                <w:szCs w:val="22"/>
              </w:rPr>
            </w:pPr>
            <w:r w:rsidRPr="005C46A2">
              <w:rPr>
                <w:sz w:val="22"/>
                <w:szCs w:val="22"/>
              </w:rPr>
              <w:t>13</w:t>
            </w:r>
          </w:p>
        </w:tc>
        <w:tc>
          <w:tcPr>
            <w:tcW w:w="941" w:type="dxa"/>
          </w:tcPr>
          <w:p w14:paraId="6F26158C" w14:textId="77777777" w:rsidR="006633D5" w:rsidRPr="005C46A2" w:rsidRDefault="006633D5" w:rsidP="00AA0F46">
            <w:pPr>
              <w:jc w:val="right"/>
              <w:rPr>
                <w:sz w:val="22"/>
                <w:szCs w:val="22"/>
              </w:rPr>
            </w:pPr>
            <w:r w:rsidRPr="005C46A2">
              <w:rPr>
                <w:sz w:val="22"/>
                <w:szCs w:val="22"/>
              </w:rPr>
              <w:t>45</w:t>
            </w:r>
          </w:p>
        </w:tc>
      </w:tr>
      <w:tr w:rsidR="006633D5" w:rsidRPr="005C46A2" w14:paraId="7E2C4260" w14:textId="77777777" w:rsidTr="00AA0F46">
        <w:tc>
          <w:tcPr>
            <w:tcW w:w="7225" w:type="dxa"/>
          </w:tcPr>
          <w:p w14:paraId="0CE33CA7" w14:textId="77777777" w:rsidR="006633D5" w:rsidRPr="005C46A2" w:rsidRDefault="006633D5" w:rsidP="00AA0F46">
            <w:pPr>
              <w:jc w:val="both"/>
              <w:rPr>
                <w:sz w:val="22"/>
                <w:szCs w:val="22"/>
              </w:rPr>
            </w:pPr>
            <w:r w:rsidRPr="005C46A2">
              <w:rPr>
                <w:sz w:val="22"/>
                <w:szCs w:val="22"/>
              </w:rPr>
              <w:t>Developing a culturally nuanced evidence base</w:t>
            </w:r>
          </w:p>
        </w:tc>
        <w:tc>
          <w:tcPr>
            <w:tcW w:w="850" w:type="dxa"/>
          </w:tcPr>
          <w:p w14:paraId="049A8686" w14:textId="77777777" w:rsidR="006633D5" w:rsidRPr="005C46A2" w:rsidRDefault="006633D5" w:rsidP="00AA0F46">
            <w:pPr>
              <w:jc w:val="right"/>
              <w:rPr>
                <w:sz w:val="22"/>
                <w:szCs w:val="22"/>
              </w:rPr>
            </w:pPr>
            <w:r w:rsidRPr="005C46A2">
              <w:rPr>
                <w:sz w:val="22"/>
                <w:szCs w:val="22"/>
              </w:rPr>
              <w:t>10</w:t>
            </w:r>
          </w:p>
        </w:tc>
        <w:tc>
          <w:tcPr>
            <w:tcW w:w="941" w:type="dxa"/>
          </w:tcPr>
          <w:p w14:paraId="37276A78" w14:textId="77777777" w:rsidR="006633D5" w:rsidRPr="005C46A2" w:rsidRDefault="006633D5" w:rsidP="00AA0F46">
            <w:pPr>
              <w:jc w:val="right"/>
              <w:rPr>
                <w:sz w:val="22"/>
                <w:szCs w:val="22"/>
              </w:rPr>
            </w:pPr>
            <w:r w:rsidRPr="005C46A2">
              <w:rPr>
                <w:sz w:val="22"/>
                <w:szCs w:val="22"/>
              </w:rPr>
              <w:t>34</w:t>
            </w:r>
          </w:p>
        </w:tc>
      </w:tr>
      <w:tr w:rsidR="006633D5" w:rsidRPr="005C46A2" w14:paraId="2ECF739A" w14:textId="77777777" w:rsidTr="00AA0F46">
        <w:tc>
          <w:tcPr>
            <w:tcW w:w="7225" w:type="dxa"/>
          </w:tcPr>
          <w:p w14:paraId="02FB5357" w14:textId="77777777" w:rsidR="006633D5" w:rsidRPr="005C46A2" w:rsidRDefault="006633D5" w:rsidP="00AA0F46">
            <w:pPr>
              <w:jc w:val="both"/>
              <w:rPr>
                <w:sz w:val="22"/>
                <w:szCs w:val="22"/>
              </w:rPr>
            </w:pPr>
            <w:r w:rsidRPr="005C46A2">
              <w:rPr>
                <w:sz w:val="22"/>
                <w:szCs w:val="22"/>
              </w:rPr>
              <w:t xml:space="preserve">Cultural awareness in service design </w:t>
            </w:r>
          </w:p>
        </w:tc>
        <w:tc>
          <w:tcPr>
            <w:tcW w:w="850" w:type="dxa"/>
          </w:tcPr>
          <w:p w14:paraId="7EB8EAD2" w14:textId="77777777" w:rsidR="006633D5" w:rsidRPr="005C46A2" w:rsidRDefault="006633D5" w:rsidP="00AA0F46">
            <w:pPr>
              <w:jc w:val="right"/>
              <w:rPr>
                <w:sz w:val="22"/>
                <w:szCs w:val="22"/>
              </w:rPr>
            </w:pPr>
            <w:r w:rsidRPr="005C46A2">
              <w:rPr>
                <w:sz w:val="22"/>
                <w:szCs w:val="22"/>
              </w:rPr>
              <w:t>7</w:t>
            </w:r>
          </w:p>
        </w:tc>
        <w:tc>
          <w:tcPr>
            <w:tcW w:w="941" w:type="dxa"/>
          </w:tcPr>
          <w:p w14:paraId="17157FAB" w14:textId="77777777" w:rsidR="006633D5" w:rsidRPr="005C46A2" w:rsidRDefault="006633D5" w:rsidP="00AA0F46">
            <w:pPr>
              <w:jc w:val="right"/>
              <w:rPr>
                <w:sz w:val="22"/>
                <w:szCs w:val="22"/>
              </w:rPr>
            </w:pPr>
            <w:r w:rsidRPr="005C46A2">
              <w:rPr>
                <w:sz w:val="22"/>
                <w:szCs w:val="22"/>
              </w:rPr>
              <w:t>24</w:t>
            </w:r>
          </w:p>
        </w:tc>
      </w:tr>
      <w:tr w:rsidR="006633D5" w:rsidRPr="005C46A2" w14:paraId="3EEA09D9" w14:textId="77777777" w:rsidTr="00AA0F46">
        <w:tc>
          <w:tcPr>
            <w:tcW w:w="7225" w:type="dxa"/>
          </w:tcPr>
          <w:p w14:paraId="6792A26D" w14:textId="77777777" w:rsidR="006633D5" w:rsidRPr="005C46A2" w:rsidRDefault="006633D5" w:rsidP="00AA0F46">
            <w:pPr>
              <w:jc w:val="both"/>
              <w:rPr>
                <w:sz w:val="22"/>
                <w:szCs w:val="22"/>
              </w:rPr>
            </w:pPr>
            <w:r w:rsidRPr="005C46A2">
              <w:rPr>
                <w:sz w:val="22"/>
                <w:szCs w:val="22"/>
              </w:rPr>
              <w:t>Working for equity and social justice</w:t>
            </w:r>
          </w:p>
        </w:tc>
        <w:tc>
          <w:tcPr>
            <w:tcW w:w="850" w:type="dxa"/>
          </w:tcPr>
          <w:p w14:paraId="7F6E145F" w14:textId="77777777" w:rsidR="006633D5" w:rsidRPr="005C46A2" w:rsidRDefault="006633D5" w:rsidP="00AA0F46">
            <w:pPr>
              <w:jc w:val="right"/>
              <w:rPr>
                <w:sz w:val="22"/>
                <w:szCs w:val="22"/>
              </w:rPr>
            </w:pPr>
            <w:r w:rsidRPr="005C46A2">
              <w:rPr>
                <w:sz w:val="22"/>
                <w:szCs w:val="22"/>
              </w:rPr>
              <w:t>5</w:t>
            </w:r>
          </w:p>
        </w:tc>
        <w:tc>
          <w:tcPr>
            <w:tcW w:w="941" w:type="dxa"/>
          </w:tcPr>
          <w:p w14:paraId="3D108C7A" w14:textId="77777777" w:rsidR="006633D5" w:rsidRPr="005C46A2" w:rsidRDefault="006633D5" w:rsidP="00AA0F46">
            <w:pPr>
              <w:jc w:val="right"/>
              <w:rPr>
                <w:sz w:val="22"/>
                <w:szCs w:val="22"/>
              </w:rPr>
            </w:pPr>
            <w:r w:rsidRPr="005C46A2">
              <w:rPr>
                <w:sz w:val="22"/>
                <w:szCs w:val="22"/>
              </w:rPr>
              <w:t>17</w:t>
            </w:r>
          </w:p>
        </w:tc>
      </w:tr>
      <w:tr w:rsidR="006633D5" w:rsidRPr="005C46A2" w14:paraId="5E428ABB" w14:textId="77777777" w:rsidTr="00AA0F46">
        <w:tc>
          <w:tcPr>
            <w:tcW w:w="7225" w:type="dxa"/>
          </w:tcPr>
          <w:p w14:paraId="3388A865" w14:textId="77777777" w:rsidR="006633D5" w:rsidRPr="005C46A2" w:rsidRDefault="006633D5" w:rsidP="00AA0F46">
            <w:pPr>
              <w:jc w:val="both"/>
              <w:rPr>
                <w:sz w:val="22"/>
                <w:szCs w:val="22"/>
              </w:rPr>
            </w:pPr>
            <w:r w:rsidRPr="005C46A2">
              <w:rPr>
                <w:sz w:val="22"/>
                <w:szCs w:val="22"/>
              </w:rPr>
              <w:t>Cultural diversity represented in governance design and practice</w:t>
            </w:r>
          </w:p>
        </w:tc>
        <w:tc>
          <w:tcPr>
            <w:tcW w:w="850" w:type="dxa"/>
          </w:tcPr>
          <w:p w14:paraId="1CB0E703" w14:textId="77777777" w:rsidR="006633D5" w:rsidRPr="005C46A2" w:rsidRDefault="006633D5" w:rsidP="00AA0F46">
            <w:pPr>
              <w:jc w:val="right"/>
              <w:rPr>
                <w:sz w:val="22"/>
                <w:szCs w:val="22"/>
              </w:rPr>
            </w:pPr>
            <w:r w:rsidRPr="005C46A2">
              <w:rPr>
                <w:sz w:val="22"/>
                <w:szCs w:val="22"/>
              </w:rPr>
              <w:t>4</w:t>
            </w:r>
          </w:p>
        </w:tc>
        <w:tc>
          <w:tcPr>
            <w:tcW w:w="941" w:type="dxa"/>
          </w:tcPr>
          <w:p w14:paraId="499B1A08" w14:textId="77777777" w:rsidR="006633D5" w:rsidRPr="005C46A2" w:rsidRDefault="006633D5" w:rsidP="00AA0F46">
            <w:pPr>
              <w:jc w:val="right"/>
              <w:rPr>
                <w:sz w:val="22"/>
                <w:szCs w:val="22"/>
              </w:rPr>
            </w:pPr>
            <w:r w:rsidRPr="005C46A2">
              <w:rPr>
                <w:sz w:val="22"/>
                <w:szCs w:val="22"/>
              </w:rPr>
              <w:t>14</w:t>
            </w:r>
          </w:p>
        </w:tc>
      </w:tr>
    </w:tbl>
    <w:p w14:paraId="7E63F212" w14:textId="77777777" w:rsidR="00FF2D89" w:rsidRPr="00FF2D89" w:rsidRDefault="00FF2D89" w:rsidP="00FF2D89">
      <w:pPr>
        <w:spacing w:line="259" w:lineRule="auto"/>
        <w:jc w:val="both"/>
      </w:pPr>
      <w:r w:rsidRPr="00FF2D89">
        <w:rPr>
          <w:sz w:val="22"/>
          <w:szCs w:val="22"/>
          <w:vertAlign w:val="superscript"/>
        </w:rPr>
        <w:t xml:space="preserve"># </w:t>
      </w:r>
      <w:r w:rsidRPr="00FF2D89">
        <w:rPr>
          <w:sz w:val="22"/>
          <w:szCs w:val="22"/>
        </w:rPr>
        <w:t xml:space="preserve">Note </w:t>
      </w:r>
      <w:r>
        <w:rPr>
          <w:sz w:val="22"/>
          <w:szCs w:val="22"/>
        </w:rPr>
        <w:t>that participant responses could be coded at multiple categories.</w:t>
      </w:r>
    </w:p>
    <w:p w14:paraId="61D2FB22" w14:textId="77777777" w:rsidR="00FF2D89" w:rsidRPr="005C46A2" w:rsidRDefault="00FF2D89" w:rsidP="006633D5">
      <w:pPr>
        <w:spacing w:line="259" w:lineRule="auto"/>
        <w:jc w:val="both"/>
      </w:pPr>
    </w:p>
    <w:p w14:paraId="27204259" w14:textId="3FABF86A" w:rsidR="006633D5" w:rsidRPr="005C46A2" w:rsidRDefault="006633D5" w:rsidP="006633D5">
      <w:pPr>
        <w:spacing w:line="259" w:lineRule="auto"/>
        <w:jc w:val="both"/>
      </w:pPr>
      <w:r w:rsidRPr="005C46A2">
        <w:t xml:space="preserve">Developing a culturally nuanced evidence base, engaging cultural models, conceptualising and measuring culturally relevant outcomes </w:t>
      </w:r>
      <w:r>
        <w:t>were</w:t>
      </w:r>
      <w:r w:rsidRPr="005C46A2">
        <w:t xml:space="preserve"> highlighted as </w:t>
      </w:r>
      <w:r>
        <w:t>p</w:t>
      </w:r>
      <w:r w:rsidRPr="005C46A2">
        <w:t>riorit</w:t>
      </w:r>
      <w:r>
        <w:t>ies</w:t>
      </w:r>
      <w:r w:rsidRPr="005C46A2">
        <w:t xml:space="preserve"> for enhancing work with </w:t>
      </w:r>
      <w:r w:rsidRPr="005C46A2">
        <w:lastRenderedPageBreak/>
        <w:t xml:space="preserve">families by over a third of the panel. New Zealand participants particularly emphasised </w:t>
      </w:r>
      <w:r>
        <w:t xml:space="preserve">an </w:t>
      </w:r>
      <w:r w:rsidRPr="005C46A2">
        <w:t>equity and social justice focus for service development and delivery</w:t>
      </w:r>
      <w:r>
        <w:t xml:space="preserve"> </w:t>
      </w:r>
      <w:r w:rsidRPr="005C46A2">
        <w:t>(Clinician, NZ)</w:t>
      </w:r>
      <w:r>
        <w:t xml:space="preserve">, </w:t>
      </w:r>
      <w:r w:rsidRPr="005C46A2">
        <w:t>understanding th</w:t>
      </w:r>
      <w:r>
        <w:t>at</w:t>
      </w:r>
      <w:r w:rsidRPr="005C46A2">
        <w:t xml:space="preserve"> health equity means more resources to our ethnic minorities (</w:t>
      </w:r>
      <w:r>
        <w:t>service manager</w:t>
      </w:r>
      <w:r w:rsidRPr="005C46A2">
        <w:t xml:space="preserve">, NZ); awareness of the traumatic impacts of </w:t>
      </w:r>
      <w:r w:rsidR="00F85117">
        <w:t xml:space="preserve">colonisation, </w:t>
      </w:r>
      <w:r w:rsidRPr="005C46A2">
        <w:t xml:space="preserve">racism, discrimination, </w:t>
      </w:r>
      <w:r w:rsidR="00F85117">
        <w:t xml:space="preserve">and other </w:t>
      </w:r>
      <w:r w:rsidRPr="005C46A2">
        <w:t>oppression</w:t>
      </w:r>
      <w:r w:rsidR="00F85117">
        <w:t xml:space="preserve">s </w:t>
      </w:r>
      <w:r w:rsidRPr="005C46A2">
        <w:t>(Policy, NZ); addressing systemic racism within organizations (Research</w:t>
      </w:r>
      <w:r>
        <w:t>er</w:t>
      </w:r>
      <w:r w:rsidRPr="005C46A2">
        <w:t xml:space="preserve">, </w:t>
      </w:r>
      <w:r>
        <w:t>Canada</w:t>
      </w:r>
      <w:r w:rsidRPr="005C46A2">
        <w:t xml:space="preserve">) and the notion that clinicians need to be have heightened self-awareness and to be able to reflect on the impact of their intersecting identities on the client (Service manager, </w:t>
      </w:r>
      <w:r>
        <w:t>Australia</w:t>
      </w:r>
      <w:r w:rsidRPr="005C46A2">
        <w:t xml:space="preserve">). </w:t>
      </w:r>
    </w:p>
    <w:p w14:paraId="1B9E0DC7" w14:textId="77777777" w:rsidR="006633D5" w:rsidRPr="005C46A2" w:rsidRDefault="006633D5" w:rsidP="006633D5">
      <w:pPr>
        <w:spacing w:line="259" w:lineRule="auto"/>
        <w:jc w:val="both"/>
      </w:pPr>
    </w:p>
    <w:p w14:paraId="19833CAC" w14:textId="204B37C0" w:rsidR="006633D5" w:rsidRPr="005C46A2" w:rsidRDefault="006633D5" w:rsidP="006633D5">
      <w:pPr>
        <w:jc w:val="both"/>
      </w:pPr>
      <w:r>
        <w:t>Two</w:t>
      </w:r>
      <w:r w:rsidRPr="005C46A2">
        <w:t xml:space="preserve"> participant</w:t>
      </w:r>
      <w:r>
        <w:t>s</w:t>
      </w:r>
      <w:r w:rsidRPr="005C46A2">
        <w:t xml:space="preserve"> </w:t>
      </w:r>
      <w:r>
        <w:t>noted</w:t>
      </w:r>
      <w:r w:rsidRPr="005C46A2">
        <w:t xml:space="preserve"> that gambling </w:t>
      </w:r>
      <w:r w:rsidR="00F85117">
        <w:t xml:space="preserve">harm </w:t>
      </w:r>
      <w:r w:rsidRPr="005C46A2">
        <w:t xml:space="preserve">is </w:t>
      </w:r>
      <w:r>
        <w:t xml:space="preserve">disproportionality </w:t>
      </w:r>
      <w:r w:rsidRPr="005C46A2">
        <w:t xml:space="preserve">a </w:t>
      </w:r>
      <w:r>
        <w:t>Māori</w:t>
      </w:r>
      <w:r w:rsidRPr="005C46A2">
        <w:t xml:space="preserve"> health issue, </w:t>
      </w:r>
      <w:r w:rsidR="00F85117">
        <w:t xml:space="preserve">as tangata whenua (Indigenous people) </w:t>
      </w:r>
      <w:r>
        <w:t>Māori</w:t>
      </w:r>
      <w:r w:rsidRPr="005C46A2">
        <w:t xml:space="preserve"> involvement at all levels of practice is paramount</w:t>
      </w:r>
      <w:r>
        <w:t>: Tino rangatiratanga means ensuring Māori input into decision making</w:t>
      </w:r>
      <w:r w:rsidRPr="005C46A2">
        <w:t xml:space="preserve"> from practitioners right through to upper management, board members and government. Others held that whilst designing a gambling service a variety of people from different cultural background should be involved so that services can be shaped appropriately for all those needing support, e.g. “</w:t>
      </w:r>
      <w:r>
        <w:t>[Enhancing cultural awareness means] p</w:t>
      </w:r>
      <w:r w:rsidRPr="005C46A2">
        <w:t>ractitioners from a wide variety of backgrounds are involved and</w:t>
      </w:r>
      <w:r>
        <w:t xml:space="preserve"> there is</w:t>
      </w:r>
      <w:r w:rsidRPr="005C46A2">
        <w:t xml:space="preserve"> translation of material both in verbal and written form so that any information, advice and therapy can be accessed in FAO's first language.” (Clinician, UK). </w:t>
      </w:r>
    </w:p>
    <w:p w14:paraId="617FB19C" w14:textId="77777777" w:rsidR="006633D5" w:rsidRPr="005C46A2" w:rsidRDefault="006633D5" w:rsidP="006633D5">
      <w:pPr>
        <w:spacing w:line="259" w:lineRule="auto"/>
        <w:jc w:val="both"/>
      </w:pPr>
    </w:p>
    <w:p w14:paraId="01AB5F70" w14:textId="77777777" w:rsidR="00537816" w:rsidRPr="005C46A2" w:rsidRDefault="00537816" w:rsidP="00D50B98">
      <w:pPr>
        <w:pStyle w:val="Heading4"/>
      </w:pPr>
      <w:r w:rsidRPr="005C46A2">
        <w:t>Building and sustaining a culture of curiosity and learning in services</w:t>
      </w:r>
    </w:p>
    <w:p w14:paraId="25A512E0" w14:textId="7E88EBF2" w:rsidR="00DF3288" w:rsidRPr="005C46A2" w:rsidRDefault="00DF3288" w:rsidP="00DF3288">
      <w:pPr>
        <w:spacing w:line="259" w:lineRule="auto"/>
        <w:jc w:val="both"/>
      </w:pPr>
      <w:r w:rsidRPr="005C46A2">
        <w:t>Embedding ongoing inquiry, learning and adaptation/growth within practice settings, e.g. described by one researcher/clinician as ‘</w:t>
      </w:r>
      <w:r w:rsidR="00AF6641" w:rsidRPr="005C46A2">
        <w:t xml:space="preserve">safe-space </w:t>
      </w:r>
      <w:r w:rsidRPr="005C46A2">
        <w:t xml:space="preserve">feedback loops’, was held to be a </w:t>
      </w:r>
      <w:r w:rsidR="00740870">
        <w:t xml:space="preserve">singular </w:t>
      </w:r>
      <w:r w:rsidRPr="005C46A2">
        <w:t xml:space="preserve">challenge. For example, </w:t>
      </w:r>
      <w:r w:rsidR="00AF6641" w:rsidRPr="005C46A2">
        <w:t>one researcher</w:t>
      </w:r>
      <w:r w:rsidR="00246203">
        <w:t>/clinician</w:t>
      </w:r>
      <w:r w:rsidR="00AF6641" w:rsidRPr="005C46A2">
        <w:t xml:space="preserve"> noted:</w:t>
      </w:r>
    </w:p>
    <w:p w14:paraId="37A29A1E" w14:textId="73FF5440" w:rsidR="00AF6641" w:rsidRPr="005C46A2" w:rsidRDefault="00AF6641" w:rsidP="00DF3288">
      <w:pPr>
        <w:spacing w:line="259" w:lineRule="auto"/>
        <w:jc w:val="both"/>
      </w:pPr>
    </w:p>
    <w:p w14:paraId="255015E9" w14:textId="47052913" w:rsidR="00AF6641" w:rsidRPr="005C46A2" w:rsidRDefault="00AF6641" w:rsidP="00AF6641">
      <w:pPr>
        <w:spacing w:line="259" w:lineRule="auto"/>
        <w:ind w:left="720"/>
        <w:jc w:val="both"/>
        <w:rPr>
          <w:i/>
          <w:iCs/>
        </w:rPr>
      </w:pPr>
      <w:r w:rsidRPr="005C46A2">
        <w:rPr>
          <w:i/>
          <w:iCs/>
        </w:rPr>
        <w:t>“In all services, most practitioners find change difficult and find developing and changing their practice in the light of emerging evidence very difficult! This is across the board, in ALL areas of practice.  Getting practitioners to learn to wash their hands was one of the most difficult of all changes in medicine to introduce 100+ years ago!” (Researcher,</w:t>
      </w:r>
      <w:r w:rsidR="00246203">
        <w:rPr>
          <w:i/>
          <w:iCs/>
        </w:rPr>
        <w:t xml:space="preserve"> clinician,</w:t>
      </w:r>
      <w:r w:rsidRPr="005C46A2">
        <w:rPr>
          <w:i/>
          <w:iCs/>
        </w:rPr>
        <w:t xml:space="preserve"> </w:t>
      </w:r>
      <w:r w:rsidR="00740870">
        <w:rPr>
          <w:i/>
          <w:iCs/>
        </w:rPr>
        <w:t xml:space="preserve">service manager </w:t>
      </w:r>
      <w:r w:rsidRPr="005C46A2">
        <w:rPr>
          <w:i/>
          <w:iCs/>
        </w:rPr>
        <w:t>UK)</w:t>
      </w:r>
    </w:p>
    <w:p w14:paraId="17C67006" w14:textId="368CDBC0" w:rsidR="00DF3288" w:rsidRDefault="00DF3288" w:rsidP="00DF3288">
      <w:pPr>
        <w:spacing w:line="259" w:lineRule="auto"/>
        <w:jc w:val="both"/>
      </w:pPr>
    </w:p>
    <w:p w14:paraId="0B8B48A1" w14:textId="407BB971" w:rsidR="00246203" w:rsidRDefault="00E44B66" w:rsidP="00E44B66">
      <w:pPr>
        <w:spacing w:line="259" w:lineRule="auto"/>
        <w:ind w:left="720"/>
        <w:jc w:val="both"/>
        <w:rPr>
          <w:i/>
          <w:iCs/>
        </w:rPr>
      </w:pPr>
      <w:r w:rsidRPr="00E44B66">
        <w:rPr>
          <w:i/>
          <w:iCs/>
        </w:rPr>
        <w:t>“</w:t>
      </w:r>
      <w:r w:rsidR="00740870">
        <w:rPr>
          <w:i/>
          <w:iCs/>
        </w:rPr>
        <w:t xml:space="preserve">Unfortunately </w:t>
      </w:r>
      <w:r w:rsidRPr="00E44B66">
        <w:rPr>
          <w:i/>
          <w:iCs/>
        </w:rPr>
        <w:t xml:space="preserve">I don't believe that the distinction between approaches [in the literature] or awareness of other competing ways of addressing the issue is widely recognised within the service </w:t>
      </w:r>
      <w:r w:rsidR="00740870">
        <w:rPr>
          <w:i/>
          <w:iCs/>
        </w:rPr>
        <w:t xml:space="preserve">planning and </w:t>
      </w:r>
      <w:r w:rsidRPr="00E44B66">
        <w:rPr>
          <w:i/>
          <w:iCs/>
        </w:rPr>
        <w:t>delivery sector.” (Researcher, Australia)</w:t>
      </w:r>
    </w:p>
    <w:p w14:paraId="431CF291" w14:textId="77777777" w:rsidR="00E44B66" w:rsidRPr="005C46A2" w:rsidRDefault="00E44B66" w:rsidP="00DF3288">
      <w:pPr>
        <w:spacing w:line="259" w:lineRule="auto"/>
        <w:jc w:val="both"/>
      </w:pPr>
    </w:p>
    <w:p w14:paraId="624BB864" w14:textId="4EC96923" w:rsidR="00CD7689" w:rsidRDefault="00DF3288" w:rsidP="00537816">
      <w:pPr>
        <w:spacing w:line="259" w:lineRule="auto"/>
        <w:jc w:val="both"/>
      </w:pPr>
      <w:r w:rsidRPr="005C46A2">
        <w:t>The idea that practitioners could be</w:t>
      </w:r>
      <w:r w:rsidR="00AF6641" w:rsidRPr="005C46A2">
        <w:t xml:space="preserve"> better supported to undertake</w:t>
      </w:r>
      <w:r w:rsidRPr="005C46A2">
        <w:t xml:space="preserve"> ‘inquir</w:t>
      </w:r>
      <w:r w:rsidR="00AF6641" w:rsidRPr="005C46A2">
        <w:t>y</w:t>
      </w:r>
      <w:r w:rsidRPr="005C46A2">
        <w:t xml:space="preserve">’ </w:t>
      </w:r>
      <w:r w:rsidR="00AF6641" w:rsidRPr="005C46A2">
        <w:t xml:space="preserve">and critical reflection on practice </w:t>
      </w:r>
      <w:r w:rsidR="00D863CE">
        <w:t xml:space="preserve">(critical reflexivity) </w:t>
      </w:r>
      <w:r w:rsidRPr="005C46A2">
        <w:t xml:space="preserve">was </w:t>
      </w:r>
      <w:r w:rsidR="00AF6641" w:rsidRPr="005C46A2">
        <w:t>advanced</w:t>
      </w:r>
      <w:r w:rsidR="002B6483">
        <w:t xml:space="preserve"> (</w:t>
      </w:r>
      <w:r w:rsidR="002B6483">
        <w:fldChar w:fldCharType="begin"/>
      </w:r>
      <w:r w:rsidR="002B6483">
        <w:instrText xml:space="preserve"> REF _Ref50984029 \h </w:instrText>
      </w:r>
      <w:r w:rsidR="002B6483">
        <w:fldChar w:fldCharType="separate"/>
      </w:r>
      <w:r w:rsidR="00DF0799" w:rsidRPr="005C46A2">
        <w:t xml:space="preserve">Table </w:t>
      </w:r>
      <w:r w:rsidR="00DF0799">
        <w:rPr>
          <w:noProof/>
        </w:rPr>
        <w:t>9</w:t>
      </w:r>
      <w:r w:rsidR="002B6483">
        <w:fldChar w:fldCharType="end"/>
      </w:r>
      <w:r w:rsidR="002B6483">
        <w:t>)</w:t>
      </w:r>
      <w:r w:rsidR="00AF6641" w:rsidRPr="005C46A2">
        <w:t xml:space="preserve">, e.g. </w:t>
      </w:r>
      <w:r w:rsidR="00CD7689">
        <w:t>c</w:t>
      </w:r>
      <w:r w:rsidR="00AF6641" w:rsidRPr="00CD7689">
        <w:t xml:space="preserve">areer structures where learning and qualification are supported </w:t>
      </w:r>
      <w:r w:rsidR="00CD7689">
        <w:t>were</w:t>
      </w:r>
      <w:r w:rsidR="00AF6641" w:rsidRPr="00CD7689">
        <w:t xml:space="preserve"> critical</w:t>
      </w:r>
      <w:r w:rsidR="00CD7689">
        <w:t xml:space="preserve">: </w:t>
      </w:r>
    </w:p>
    <w:p w14:paraId="3CCD5989" w14:textId="77777777" w:rsidR="00CD7689" w:rsidRDefault="00CD7689" w:rsidP="00537816">
      <w:pPr>
        <w:spacing w:line="259" w:lineRule="auto"/>
        <w:jc w:val="both"/>
      </w:pPr>
    </w:p>
    <w:p w14:paraId="66B42CFC" w14:textId="7C50828B" w:rsidR="00DF3288" w:rsidRPr="00CD7689" w:rsidRDefault="00CD7689" w:rsidP="00CD7689">
      <w:pPr>
        <w:spacing w:line="259" w:lineRule="auto"/>
        <w:ind w:left="720"/>
        <w:jc w:val="both"/>
        <w:rPr>
          <w:i/>
          <w:iCs/>
        </w:rPr>
      </w:pPr>
      <w:r w:rsidRPr="00CD7689">
        <w:rPr>
          <w:i/>
          <w:iCs/>
        </w:rPr>
        <w:t>“</w:t>
      </w:r>
      <w:r w:rsidR="00AF6641" w:rsidRPr="00CD7689">
        <w:rPr>
          <w:i/>
          <w:iCs/>
        </w:rPr>
        <w:t>If learning becomes an extra burden, it is unlikely to foster engagement. We have qualifications for advanced learning in this area but few in the gambling field have engaged. It suggests ongoing learning is not encouraged.” (Researcher, NZ)</w:t>
      </w:r>
      <w:r w:rsidR="00FF7F60" w:rsidRPr="00CD7689">
        <w:rPr>
          <w:i/>
          <w:iCs/>
        </w:rPr>
        <w:t xml:space="preserve">. </w:t>
      </w:r>
    </w:p>
    <w:p w14:paraId="2E41265C" w14:textId="34600290" w:rsidR="00AF6641" w:rsidRPr="005C46A2" w:rsidRDefault="00AF6641" w:rsidP="00537816">
      <w:pPr>
        <w:spacing w:line="259" w:lineRule="auto"/>
        <w:jc w:val="both"/>
      </w:pPr>
    </w:p>
    <w:p w14:paraId="13D284B1" w14:textId="58218D8F" w:rsidR="00D863CE" w:rsidRDefault="00AF6641" w:rsidP="00AE6EBC">
      <w:pPr>
        <w:spacing w:line="259" w:lineRule="auto"/>
        <w:jc w:val="both"/>
      </w:pPr>
      <w:r w:rsidRPr="005C46A2">
        <w:t xml:space="preserve">Clinicians </w:t>
      </w:r>
      <w:r w:rsidR="00CD7689">
        <w:t>held</w:t>
      </w:r>
      <w:r w:rsidRPr="005C46A2">
        <w:t xml:space="preserve"> th</w:t>
      </w:r>
      <w:r w:rsidR="00CD7689">
        <w:t>at</w:t>
      </w:r>
      <w:r w:rsidRPr="005C46A2">
        <w:t xml:space="preserve"> being open to learning</w:t>
      </w:r>
      <w:r w:rsidR="00CD7689">
        <w:t xml:space="preserve">, </w:t>
      </w:r>
      <w:r w:rsidRPr="005C46A2">
        <w:t xml:space="preserve">acknowledging </w:t>
      </w:r>
      <w:r w:rsidR="00CD7689">
        <w:t>continual</w:t>
      </w:r>
      <w:r w:rsidRPr="005C46A2">
        <w:t xml:space="preserve"> room for improvement, growth and development</w:t>
      </w:r>
      <w:r w:rsidR="007B0E74" w:rsidRPr="005C46A2">
        <w:t xml:space="preserve"> </w:t>
      </w:r>
      <w:r w:rsidR="00CD7689">
        <w:t xml:space="preserve">were all an important part of </w:t>
      </w:r>
      <w:r w:rsidR="007B0E74" w:rsidRPr="005C46A2">
        <w:t>job satisfaction</w:t>
      </w:r>
      <w:r w:rsidRPr="005C46A2">
        <w:t>,</w:t>
      </w:r>
      <w:r w:rsidR="00CD7689">
        <w:t xml:space="preserve"> including</w:t>
      </w:r>
      <w:r w:rsidRPr="005C46A2">
        <w:t xml:space="preserve"> that “everyone </w:t>
      </w:r>
      <w:r w:rsidRPr="005C46A2">
        <w:lastRenderedPageBreak/>
        <w:t xml:space="preserve">involved </w:t>
      </w:r>
      <w:r w:rsidR="007B0E74" w:rsidRPr="005C46A2">
        <w:t>wants</w:t>
      </w:r>
      <w:r w:rsidRPr="005C46A2">
        <w:t xml:space="preserve"> to be more opened minded</w:t>
      </w:r>
      <w:r w:rsidR="00044596">
        <w:t xml:space="preserve"> about families</w:t>
      </w:r>
      <w:r w:rsidRPr="005C46A2">
        <w:t>, try new things and new ways and be supported</w:t>
      </w:r>
      <w:r w:rsidR="007B0E74" w:rsidRPr="005C46A2">
        <w:t>,</w:t>
      </w:r>
      <w:r w:rsidRPr="005C46A2">
        <w:t xml:space="preserve"> we're always asking ourselves how we can do things better.” (Clinician, NZ). </w:t>
      </w:r>
      <w:bookmarkStart w:id="97" w:name="_Hlk51580677"/>
      <w:r w:rsidR="00D863CE">
        <w:t xml:space="preserve">A culture of curiosity and learning involved </w:t>
      </w:r>
      <w:r w:rsidR="00D863CE" w:rsidRPr="00D863CE">
        <w:t>using evidence appropriately</w:t>
      </w:r>
      <w:r w:rsidR="00D863CE">
        <w:t xml:space="preserve">, </w:t>
      </w:r>
      <w:r w:rsidR="00D863CE" w:rsidRPr="00D863CE">
        <w:t>acknowledging the limits of existing evidence</w:t>
      </w:r>
      <w:r w:rsidR="00D863CE">
        <w:t xml:space="preserve"> and working to create and share new knowledge.</w:t>
      </w:r>
    </w:p>
    <w:p w14:paraId="46A02ECC" w14:textId="77777777" w:rsidR="00D863CE" w:rsidRDefault="00D863CE" w:rsidP="00AE6EBC">
      <w:pPr>
        <w:spacing w:line="259" w:lineRule="auto"/>
        <w:jc w:val="both"/>
      </w:pPr>
    </w:p>
    <w:p w14:paraId="446CABB3" w14:textId="2B5BFBD9" w:rsidR="00AE6EBC" w:rsidRPr="005C46A2" w:rsidRDefault="003C61B6" w:rsidP="00AE6EBC">
      <w:pPr>
        <w:spacing w:line="259" w:lineRule="auto"/>
        <w:jc w:val="both"/>
      </w:pPr>
      <w:r>
        <w:t>A</w:t>
      </w:r>
      <w:r w:rsidR="00AF6641" w:rsidRPr="00044596">
        <w:t xml:space="preserve"> flourishing learning environment was seen to be inadequately supported by funding for frontline staff to have time to spend further developing their skills.</w:t>
      </w:r>
      <w:r w:rsidR="00AF6641" w:rsidRPr="005C46A2">
        <w:t xml:space="preserve"> </w:t>
      </w:r>
      <w:bookmarkEnd w:id="97"/>
      <w:r w:rsidR="00AF6641" w:rsidRPr="005C46A2">
        <w:t xml:space="preserve">Policy and service management participants noted the need for governance and management to value the insights of </w:t>
      </w:r>
      <w:r w:rsidR="007B0E74" w:rsidRPr="005C46A2">
        <w:t>practitioners and</w:t>
      </w:r>
      <w:r w:rsidR="00AF6641" w:rsidRPr="005C46A2">
        <w:t xml:space="preserve"> support their pursuit of ongoing practice/continual improvement.</w:t>
      </w:r>
      <w:r w:rsidR="00AE6EBC" w:rsidRPr="005C46A2">
        <w:t xml:space="preserve"> </w:t>
      </w:r>
    </w:p>
    <w:p w14:paraId="6509F14F" w14:textId="15DCD3A1" w:rsidR="00AE6EBC" w:rsidRPr="005C46A2" w:rsidRDefault="00AE6EBC" w:rsidP="00AE6EBC">
      <w:pPr>
        <w:spacing w:line="259" w:lineRule="auto"/>
        <w:jc w:val="both"/>
      </w:pPr>
    </w:p>
    <w:p w14:paraId="2668CA5C" w14:textId="0209DCB7" w:rsidR="00FF7F60" w:rsidRPr="005C46A2" w:rsidRDefault="00FF7F60" w:rsidP="00E44B66">
      <w:pPr>
        <w:spacing w:line="259" w:lineRule="auto"/>
        <w:ind w:left="720"/>
        <w:jc w:val="both"/>
        <w:rPr>
          <w:i/>
          <w:iCs/>
        </w:rPr>
      </w:pPr>
      <w:r w:rsidRPr="005C46A2">
        <w:rPr>
          <w:i/>
          <w:iCs/>
        </w:rPr>
        <w:t>“Give front line staff flexibility and a clear role in service design AND improvement; use of rewards - what do we value? Use of measures - outcomes vs process; create culture that values people</w:t>
      </w:r>
      <w:r w:rsidR="002B6483">
        <w:rPr>
          <w:i/>
          <w:iCs/>
        </w:rPr>
        <w:t>’</w:t>
      </w:r>
      <w:r w:rsidRPr="005C46A2">
        <w:rPr>
          <w:i/>
          <w:iCs/>
        </w:rPr>
        <w:t>s experience and expertise and our desire to learn from it (rather assuming we know it all).” (Policy, NZ)</w:t>
      </w:r>
    </w:p>
    <w:p w14:paraId="74DF5406" w14:textId="77777777" w:rsidR="00537816" w:rsidRPr="005C46A2" w:rsidRDefault="00537816" w:rsidP="00537816">
      <w:pPr>
        <w:spacing w:line="259" w:lineRule="auto"/>
        <w:jc w:val="both"/>
      </w:pPr>
    </w:p>
    <w:p w14:paraId="0C828D2F" w14:textId="1EAB764D" w:rsidR="00537816" w:rsidRPr="005C46A2" w:rsidRDefault="00537816" w:rsidP="00537816">
      <w:pPr>
        <w:pStyle w:val="Caption"/>
      </w:pPr>
      <w:bookmarkStart w:id="98" w:name="_Ref50984029"/>
      <w:bookmarkStart w:id="99" w:name="_Toc51240669"/>
      <w:bookmarkStart w:id="100" w:name="_Toc58400642"/>
      <w:r w:rsidRPr="005C46A2">
        <w:t xml:space="preserve">Table </w:t>
      </w:r>
      <w:r w:rsidR="00D04B86">
        <w:fldChar w:fldCharType="begin"/>
      </w:r>
      <w:r w:rsidR="00D04B86">
        <w:instrText xml:space="preserve"> SEQ Table \* ARABIC </w:instrText>
      </w:r>
      <w:r w:rsidR="00D04B86">
        <w:fldChar w:fldCharType="separate"/>
      </w:r>
      <w:r w:rsidR="00DF0799">
        <w:rPr>
          <w:noProof/>
        </w:rPr>
        <w:t>9</w:t>
      </w:r>
      <w:r w:rsidR="00D04B86">
        <w:rPr>
          <w:noProof/>
        </w:rPr>
        <w:fldChar w:fldCharType="end"/>
      </w:r>
      <w:bookmarkEnd w:id="98"/>
      <w:r w:rsidRPr="005C46A2">
        <w:t>. Building and sustaining a culture of curiosity and learning in services</w:t>
      </w:r>
      <w:bookmarkEnd w:id="99"/>
      <w:bookmarkEnd w:id="100"/>
    </w:p>
    <w:tbl>
      <w:tblPr>
        <w:tblStyle w:val="TableGrid"/>
        <w:tblW w:w="0" w:type="auto"/>
        <w:tblLook w:val="04A0" w:firstRow="1" w:lastRow="0" w:firstColumn="1" w:lastColumn="0" w:noHBand="0" w:noVBand="1"/>
      </w:tblPr>
      <w:tblGrid>
        <w:gridCol w:w="7225"/>
        <w:gridCol w:w="850"/>
        <w:gridCol w:w="941"/>
      </w:tblGrid>
      <w:tr w:rsidR="00537816" w:rsidRPr="005C46A2" w14:paraId="65BF1A92" w14:textId="77777777" w:rsidTr="000C4959">
        <w:tc>
          <w:tcPr>
            <w:tcW w:w="7225" w:type="dxa"/>
          </w:tcPr>
          <w:p w14:paraId="076EF801" w14:textId="77777777" w:rsidR="00537816" w:rsidRPr="005C46A2" w:rsidRDefault="00537816" w:rsidP="000C4959">
            <w:pPr>
              <w:jc w:val="both"/>
              <w:rPr>
                <w:b/>
                <w:bCs/>
                <w:sz w:val="22"/>
                <w:szCs w:val="22"/>
              </w:rPr>
            </w:pPr>
            <w:r w:rsidRPr="005C46A2">
              <w:rPr>
                <w:b/>
                <w:bCs/>
                <w:sz w:val="22"/>
                <w:szCs w:val="22"/>
              </w:rPr>
              <w:t>Coded qualitative responses</w:t>
            </w:r>
          </w:p>
        </w:tc>
        <w:tc>
          <w:tcPr>
            <w:tcW w:w="850" w:type="dxa"/>
          </w:tcPr>
          <w:p w14:paraId="472CED1E" w14:textId="77777777" w:rsidR="00537816" w:rsidRPr="005C46A2" w:rsidRDefault="00537816" w:rsidP="000C4959">
            <w:pPr>
              <w:jc w:val="both"/>
              <w:rPr>
                <w:b/>
                <w:bCs/>
                <w:sz w:val="22"/>
                <w:szCs w:val="22"/>
              </w:rPr>
            </w:pPr>
            <w:r w:rsidRPr="005C46A2">
              <w:rPr>
                <w:b/>
                <w:bCs/>
                <w:sz w:val="22"/>
                <w:szCs w:val="22"/>
              </w:rPr>
              <w:t>N</w:t>
            </w:r>
          </w:p>
        </w:tc>
        <w:tc>
          <w:tcPr>
            <w:tcW w:w="941" w:type="dxa"/>
          </w:tcPr>
          <w:p w14:paraId="21917EED" w14:textId="4FFD9947" w:rsidR="00537816" w:rsidRPr="005C46A2" w:rsidRDefault="00537816" w:rsidP="000C4959">
            <w:pPr>
              <w:jc w:val="both"/>
              <w:rPr>
                <w:b/>
                <w:bCs/>
                <w:sz w:val="22"/>
                <w:szCs w:val="22"/>
              </w:rPr>
            </w:pPr>
            <w:r w:rsidRPr="005C46A2">
              <w:rPr>
                <w:b/>
                <w:bCs/>
                <w:sz w:val="22"/>
                <w:szCs w:val="22"/>
              </w:rPr>
              <w:t>%</w:t>
            </w:r>
            <w:r w:rsidR="00D776E5" w:rsidRPr="00FF2D89">
              <w:rPr>
                <w:sz w:val="22"/>
                <w:szCs w:val="22"/>
                <w:vertAlign w:val="superscript"/>
              </w:rPr>
              <w:t>#</w:t>
            </w:r>
          </w:p>
        </w:tc>
      </w:tr>
      <w:tr w:rsidR="00537816" w:rsidRPr="005C46A2" w14:paraId="524D0C96" w14:textId="77777777" w:rsidTr="000C4959">
        <w:tc>
          <w:tcPr>
            <w:tcW w:w="7225" w:type="dxa"/>
          </w:tcPr>
          <w:p w14:paraId="6F6B3006" w14:textId="77777777" w:rsidR="00537816" w:rsidRPr="005C46A2" w:rsidRDefault="00537816" w:rsidP="000C4959">
            <w:pPr>
              <w:jc w:val="both"/>
              <w:rPr>
                <w:sz w:val="22"/>
                <w:szCs w:val="22"/>
              </w:rPr>
            </w:pPr>
            <w:r w:rsidRPr="005C46A2">
              <w:rPr>
                <w:sz w:val="22"/>
                <w:szCs w:val="22"/>
              </w:rPr>
              <w:t>Practitioner-inquirers</w:t>
            </w:r>
          </w:p>
        </w:tc>
        <w:tc>
          <w:tcPr>
            <w:tcW w:w="850" w:type="dxa"/>
          </w:tcPr>
          <w:p w14:paraId="7E1E3FFA" w14:textId="77777777" w:rsidR="00537816" w:rsidRPr="005C46A2" w:rsidRDefault="00537816" w:rsidP="000C4959">
            <w:pPr>
              <w:jc w:val="right"/>
              <w:rPr>
                <w:sz w:val="22"/>
                <w:szCs w:val="22"/>
              </w:rPr>
            </w:pPr>
            <w:r w:rsidRPr="005C46A2">
              <w:rPr>
                <w:sz w:val="22"/>
                <w:szCs w:val="22"/>
              </w:rPr>
              <w:t>12</w:t>
            </w:r>
          </w:p>
        </w:tc>
        <w:tc>
          <w:tcPr>
            <w:tcW w:w="941" w:type="dxa"/>
          </w:tcPr>
          <w:p w14:paraId="698945F1" w14:textId="77777777" w:rsidR="00537816" w:rsidRPr="005C46A2" w:rsidRDefault="00537816" w:rsidP="000C4959">
            <w:pPr>
              <w:jc w:val="right"/>
              <w:rPr>
                <w:sz w:val="22"/>
                <w:szCs w:val="22"/>
              </w:rPr>
            </w:pPr>
            <w:r w:rsidRPr="005C46A2">
              <w:rPr>
                <w:sz w:val="22"/>
                <w:szCs w:val="22"/>
              </w:rPr>
              <w:t>41</w:t>
            </w:r>
          </w:p>
        </w:tc>
      </w:tr>
      <w:tr w:rsidR="00537816" w:rsidRPr="005C46A2" w14:paraId="614A60DF" w14:textId="77777777" w:rsidTr="000C4959">
        <w:tc>
          <w:tcPr>
            <w:tcW w:w="7225" w:type="dxa"/>
          </w:tcPr>
          <w:p w14:paraId="70E8AEC1" w14:textId="77777777" w:rsidR="00537816" w:rsidRPr="005C46A2" w:rsidRDefault="00537816" w:rsidP="000C4959">
            <w:pPr>
              <w:jc w:val="both"/>
              <w:rPr>
                <w:sz w:val="22"/>
                <w:szCs w:val="22"/>
              </w:rPr>
            </w:pPr>
            <w:r w:rsidRPr="005C46A2">
              <w:rPr>
                <w:sz w:val="22"/>
                <w:szCs w:val="22"/>
              </w:rPr>
              <w:t>Creative, collaborative and diverse evaluation</w:t>
            </w:r>
          </w:p>
        </w:tc>
        <w:tc>
          <w:tcPr>
            <w:tcW w:w="850" w:type="dxa"/>
          </w:tcPr>
          <w:p w14:paraId="29852145" w14:textId="77777777" w:rsidR="00537816" w:rsidRPr="005C46A2" w:rsidRDefault="00537816" w:rsidP="000C4959">
            <w:pPr>
              <w:jc w:val="right"/>
              <w:rPr>
                <w:sz w:val="22"/>
                <w:szCs w:val="22"/>
              </w:rPr>
            </w:pPr>
            <w:r w:rsidRPr="005C46A2">
              <w:rPr>
                <w:sz w:val="22"/>
                <w:szCs w:val="22"/>
              </w:rPr>
              <w:t>10</w:t>
            </w:r>
          </w:p>
        </w:tc>
        <w:tc>
          <w:tcPr>
            <w:tcW w:w="941" w:type="dxa"/>
          </w:tcPr>
          <w:p w14:paraId="735A10FB" w14:textId="77777777" w:rsidR="00537816" w:rsidRPr="005C46A2" w:rsidRDefault="00537816" w:rsidP="000C4959">
            <w:pPr>
              <w:jc w:val="right"/>
              <w:rPr>
                <w:sz w:val="22"/>
                <w:szCs w:val="22"/>
              </w:rPr>
            </w:pPr>
            <w:r w:rsidRPr="005C46A2">
              <w:rPr>
                <w:sz w:val="22"/>
                <w:szCs w:val="22"/>
              </w:rPr>
              <w:t>34</w:t>
            </w:r>
          </w:p>
        </w:tc>
      </w:tr>
      <w:tr w:rsidR="00537816" w:rsidRPr="005C46A2" w14:paraId="5313B2A4" w14:textId="77777777" w:rsidTr="000C4959">
        <w:tc>
          <w:tcPr>
            <w:tcW w:w="7225" w:type="dxa"/>
          </w:tcPr>
          <w:p w14:paraId="7D73363B" w14:textId="0E8D7009" w:rsidR="00537816" w:rsidRPr="005C46A2" w:rsidRDefault="00537816" w:rsidP="000C4959">
            <w:pPr>
              <w:jc w:val="both"/>
              <w:rPr>
                <w:sz w:val="22"/>
                <w:szCs w:val="22"/>
              </w:rPr>
            </w:pPr>
            <w:r w:rsidRPr="005C46A2">
              <w:rPr>
                <w:sz w:val="22"/>
                <w:szCs w:val="22"/>
              </w:rPr>
              <w:t>Funding and policy support</w:t>
            </w:r>
            <w:r w:rsidR="00AF6641" w:rsidRPr="005C46A2">
              <w:rPr>
                <w:sz w:val="22"/>
                <w:szCs w:val="22"/>
              </w:rPr>
              <w:t xml:space="preserve"> </w:t>
            </w:r>
          </w:p>
        </w:tc>
        <w:tc>
          <w:tcPr>
            <w:tcW w:w="850" w:type="dxa"/>
          </w:tcPr>
          <w:p w14:paraId="47F472DD" w14:textId="77777777" w:rsidR="00537816" w:rsidRPr="005C46A2" w:rsidRDefault="00537816" w:rsidP="000C4959">
            <w:pPr>
              <w:jc w:val="right"/>
              <w:rPr>
                <w:sz w:val="22"/>
                <w:szCs w:val="22"/>
              </w:rPr>
            </w:pPr>
            <w:r w:rsidRPr="005C46A2">
              <w:rPr>
                <w:sz w:val="22"/>
                <w:szCs w:val="22"/>
              </w:rPr>
              <w:t>6</w:t>
            </w:r>
          </w:p>
        </w:tc>
        <w:tc>
          <w:tcPr>
            <w:tcW w:w="941" w:type="dxa"/>
          </w:tcPr>
          <w:p w14:paraId="07E764D3" w14:textId="77777777" w:rsidR="00537816" w:rsidRPr="005C46A2" w:rsidRDefault="00537816" w:rsidP="000C4959">
            <w:pPr>
              <w:jc w:val="right"/>
              <w:rPr>
                <w:sz w:val="22"/>
                <w:szCs w:val="22"/>
              </w:rPr>
            </w:pPr>
            <w:r w:rsidRPr="005C46A2">
              <w:rPr>
                <w:sz w:val="22"/>
                <w:szCs w:val="22"/>
              </w:rPr>
              <w:t>21</w:t>
            </w:r>
          </w:p>
        </w:tc>
      </w:tr>
      <w:tr w:rsidR="00537816" w:rsidRPr="005C46A2" w14:paraId="1AC2B544" w14:textId="77777777" w:rsidTr="000C4959">
        <w:tc>
          <w:tcPr>
            <w:tcW w:w="7225" w:type="dxa"/>
          </w:tcPr>
          <w:p w14:paraId="35B91C10" w14:textId="77777777" w:rsidR="00537816" w:rsidRPr="005C46A2" w:rsidRDefault="00537816" w:rsidP="000C4959">
            <w:pPr>
              <w:jc w:val="both"/>
              <w:rPr>
                <w:sz w:val="22"/>
                <w:szCs w:val="22"/>
              </w:rPr>
            </w:pPr>
            <w:r w:rsidRPr="005C46A2">
              <w:rPr>
                <w:sz w:val="22"/>
                <w:szCs w:val="22"/>
              </w:rPr>
              <w:t>Improved stakeholder/sector communication</w:t>
            </w:r>
          </w:p>
        </w:tc>
        <w:tc>
          <w:tcPr>
            <w:tcW w:w="850" w:type="dxa"/>
          </w:tcPr>
          <w:p w14:paraId="19766D87" w14:textId="77777777" w:rsidR="00537816" w:rsidRPr="005C46A2" w:rsidRDefault="00537816" w:rsidP="000C4959">
            <w:pPr>
              <w:jc w:val="right"/>
              <w:rPr>
                <w:sz w:val="22"/>
                <w:szCs w:val="22"/>
              </w:rPr>
            </w:pPr>
            <w:r w:rsidRPr="005C46A2">
              <w:rPr>
                <w:sz w:val="22"/>
                <w:szCs w:val="22"/>
              </w:rPr>
              <w:t>6</w:t>
            </w:r>
          </w:p>
        </w:tc>
        <w:tc>
          <w:tcPr>
            <w:tcW w:w="941" w:type="dxa"/>
          </w:tcPr>
          <w:p w14:paraId="6F54941B" w14:textId="77777777" w:rsidR="00537816" w:rsidRPr="005C46A2" w:rsidRDefault="00537816" w:rsidP="000C4959">
            <w:pPr>
              <w:jc w:val="right"/>
              <w:rPr>
                <w:sz w:val="22"/>
                <w:szCs w:val="22"/>
              </w:rPr>
            </w:pPr>
            <w:r w:rsidRPr="005C46A2">
              <w:rPr>
                <w:sz w:val="22"/>
                <w:szCs w:val="22"/>
              </w:rPr>
              <w:t>21</w:t>
            </w:r>
          </w:p>
        </w:tc>
      </w:tr>
      <w:tr w:rsidR="00537816" w:rsidRPr="005C46A2" w14:paraId="6D3D9FD2" w14:textId="77777777" w:rsidTr="000C4959">
        <w:tc>
          <w:tcPr>
            <w:tcW w:w="7225" w:type="dxa"/>
          </w:tcPr>
          <w:p w14:paraId="3AB0A315" w14:textId="77777777" w:rsidR="00537816" w:rsidRPr="005C46A2" w:rsidRDefault="00537816" w:rsidP="000C4959">
            <w:pPr>
              <w:jc w:val="both"/>
              <w:rPr>
                <w:sz w:val="22"/>
                <w:szCs w:val="22"/>
              </w:rPr>
            </w:pPr>
            <w:r w:rsidRPr="005C46A2">
              <w:rPr>
                <w:sz w:val="22"/>
                <w:szCs w:val="22"/>
              </w:rPr>
              <w:t>Enhanced cultural competency</w:t>
            </w:r>
          </w:p>
        </w:tc>
        <w:tc>
          <w:tcPr>
            <w:tcW w:w="850" w:type="dxa"/>
          </w:tcPr>
          <w:p w14:paraId="256D2B01" w14:textId="77777777" w:rsidR="00537816" w:rsidRPr="005C46A2" w:rsidRDefault="00537816" w:rsidP="000C4959">
            <w:pPr>
              <w:jc w:val="right"/>
              <w:rPr>
                <w:sz w:val="22"/>
                <w:szCs w:val="22"/>
              </w:rPr>
            </w:pPr>
            <w:r w:rsidRPr="005C46A2">
              <w:rPr>
                <w:sz w:val="22"/>
                <w:szCs w:val="22"/>
              </w:rPr>
              <w:t>2</w:t>
            </w:r>
          </w:p>
        </w:tc>
        <w:tc>
          <w:tcPr>
            <w:tcW w:w="941" w:type="dxa"/>
          </w:tcPr>
          <w:p w14:paraId="68179F0D" w14:textId="77777777" w:rsidR="00537816" w:rsidRPr="005C46A2" w:rsidRDefault="00537816" w:rsidP="000C4959">
            <w:pPr>
              <w:jc w:val="right"/>
              <w:rPr>
                <w:sz w:val="22"/>
                <w:szCs w:val="22"/>
              </w:rPr>
            </w:pPr>
            <w:r w:rsidRPr="005C46A2">
              <w:rPr>
                <w:sz w:val="22"/>
                <w:szCs w:val="22"/>
              </w:rPr>
              <w:t>7</w:t>
            </w:r>
          </w:p>
        </w:tc>
      </w:tr>
    </w:tbl>
    <w:p w14:paraId="72049911" w14:textId="77777777" w:rsidR="00D776E5" w:rsidRPr="00FF2D89" w:rsidRDefault="00D776E5" w:rsidP="00D776E5">
      <w:pPr>
        <w:spacing w:line="259" w:lineRule="auto"/>
        <w:jc w:val="both"/>
      </w:pPr>
      <w:r w:rsidRPr="00FF2D89">
        <w:rPr>
          <w:sz w:val="22"/>
          <w:szCs w:val="22"/>
          <w:vertAlign w:val="superscript"/>
        </w:rPr>
        <w:t xml:space="preserve"># </w:t>
      </w:r>
      <w:r w:rsidRPr="00FF2D89">
        <w:rPr>
          <w:sz w:val="22"/>
          <w:szCs w:val="22"/>
        </w:rPr>
        <w:t xml:space="preserve">Note </w:t>
      </w:r>
      <w:r>
        <w:rPr>
          <w:sz w:val="22"/>
          <w:szCs w:val="22"/>
        </w:rPr>
        <w:t>that participant responses could be coded at multiple categories.</w:t>
      </w:r>
    </w:p>
    <w:p w14:paraId="70291CEB" w14:textId="14C599EF" w:rsidR="00537816" w:rsidRPr="005C46A2" w:rsidRDefault="00537816" w:rsidP="00537816">
      <w:pPr>
        <w:spacing w:line="259" w:lineRule="auto"/>
        <w:jc w:val="both"/>
      </w:pPr>
    </w:p>
    <w:p w14:paraId="7BAF1746" w14:textId="3694FAF4" w:rsidR="00AF6641" w:rsidRPr="005C46A2" w:rsidRDefault="00AF6641" w:rsidP="00537816">
      <w:pPr>
        <w:spacing w:line="259" w:lineRule="auto"/>
        <w:jc w:val="both"/>
      </w:pPr>
      <w:r w:rsidRPr="005C46A2">
        <w:t xml:space="preserve">Creative, collaborative and diverse evaluation approaches carried out with support from researchers </w:t>
      </w:r>
      <w:r w:rsidR="00044596">
        <w:t>were</w:t>
      </w:r>
      <w:r w:rsidRPr="005C46A2">
        <w:t xml:space="preserve"> identified as a possible solution (to the extent that these processes were supported by adequate funding). Funding and policy support could involve embedded monitoring and evaluation practices, feedback loops, and emphasis on </w:t>
      </w:r>
      <w:r w:rsidR="005734B0">
        <w:t xml:space="preserve">researcher, </w:t>
      </w:r>
      <w:r w:rsidR="00D62799">
        <w:t>practitioner</w:t>
      </w:r>
      <w:r w:rsidR="005734B0">
        <w:t>,</w:t>
      </w:r>
      <w:r w:rsidR="00D62799">
        <w:t xml:space="preserve"> and client-led </w:t>
      </w:r>
      <w:r w:rsidRPr="005C46A2">
        <w:t>innovation (while furthering knowledge at the same time):</w:t>
      </w:r>
    </w:p>
    <w:p w14:paraId="7ADB668A" w14:textId="4DF9C5B3" w:rsidR="00AF6641" w:rsidRPr="005C46A2" w:rsidRDefault="00AF6641" w:rsidP="00537816">
      <w:pPr>
        <w:spacing w:line="259" w:lineRule="auto"/>
        <w:jc w:val="both"/>
      </w:pPr>
    </w:p>
    <w:p w14:paraId="5CE01646" w14:textId="02D18231" w:rsidR="00AF6641" w:rsidRPr="005C46A2" w:rsidRDefault="00AE6EBC" w:rsidP="00E44B66">
      <w:pPr>
        <w:spacing w:line="259" w:lineRule="auto"/>
        <w:ind w:left="720"/>
        <w:jc w:val="both"/>
        <w:rPr>
          <w:i/>
          <w:iCs/>
        </w:rPr>
      </w:pPr>
      <w:r w:rsidRPr="005C46A2">
        <w:rPr>
          <w:i/>
          <w:iCs/>
        </w:rPr>
        <w:t>“We need to e</w:t>
      </w:r>
      <w:r w:rsidR="00AF6641" w:rsidRPr="005C46A2">
        <w:rPr>
          <w:i/>
          <w:iCs/>
        </w:rPr>
        <w:t>ncourage a systemic approach that supports learning and knowledge sharing from communities, service users, professionals, internal staff. At local, regional, national levels and from grass roots right up to central government</w:t>
      </w:r>
      <w:r w:rsidRPr="005C46A2">
        <w:rPr>
          <w:i/>
          <w:iCs/>
        </w:rPr>
        <w:t xml:space="preserve">. </w:t>
      </w:r>
      <w:r w:rsidR="002B6483">
        <w:rPr>
          <w:i/>
          <w:iCs/>
        </w:rPr>
        <w:t>Collaborative p</w:t>
      </w:r>
      <w:r w:rsidR="00AF6641" w:rsidRPr="005C46A2">
        <w:rPr>
          <w:i/>
          <w:iCs/>
        </w:rPr>
        <w:t>roblem structuring</w:t>
      </w:r>
      <w:r w:rsidRPr="005C46A2">
        <w:rPr>
          <w:i/>
          <w:iCs/>
        </w:rPr>
        <w:t xml:space="preserve">/diagnosis is needed </w:t>
      </w:r>
      <w:r w:rsidR="00AF6641" w:rsidRPr="005C46A2">
        <w:rPr>
          <w:i/>
          <w:iCs/>
        </w:rPr>
        <w:t xml:space="preserve">to better </w:t>
      </w:r>
      <w:r w:rsidR="006633D5" w:rsidRPr="005C46A2">
        <w:rPr>
          <w:i/>
          <w:iCs/>
        </w:rPr>
        <w:t>understand</w:t>
      </w:r>
      <w:r w:rsidR="00AF6641" w:rsidRPr="005C46A2">
        <w:rPr>
          <w:i/>
          <w:iCs/>
        </w:rPr>
        <w:t xml:space="preserve"> the problem without focussing on a solution to what we think the problem may be...Ask the question 'what isn't working' and ask the right people. Use participatory approaches to gather learning via workshops, social media, interviews.</w:t>
      </w:r>
      <w:r w:rsidRPr="005C46A2">
        <w:rPr>
          <w:i/>
          <w:iCs/>
        </w:rPr>
        <w:t>” (Service manager, NZ)</w:t>
      </w:r>
    </w:p>
    <w:p w14:paraId="74475748" w14:textId="77777777" w:rsidR="00537816" w:rsidRPr="005C46A2" w:rsidRDefault="00537816" w:rsidP="00537816">
      <w:pPr>
        <w:spacing w:line="259" w:lineRule="auto"/>
        <w:jc w:val="both"/>
      </w:pPr>
    </w:p>
    <w:bookmarkEnd w:id="93"/>
    <w:p w14:paraId="3F651110" w14:textId="6FA7D50F" w:rsidR="00C70D0D" w:rsidRPr="005C46A2" w:rsidRDefault="00C70D0D" w:rsidP="00D50B98">
      <w:pPr>
        <w:pStyle w:val="Heading4"/>
      </w:pPr>
      <w:r w:rsidRPr="005C46A2">
        <w:t>Bridging gaps between researchers/research and practitioners/practice</w:t>
      </w:r>
    </w:p>
    <w:p w14:paraId="4B9EE00B" w14:textId="77777777" w:rsidR="006633D5" w:rsidRDefault="006633D5" w:rsidP="00216124">
      <w:pPr>
        <w:spacing w:line="259" w:lineRule="auto"/>
        <w:ind w:left="720"/>
        <w:jc w:val="both"/>
        <w:rPr>
          <w:i/>
          <w:iCs/>
        </w:rPr>
      </w:pPr>
    </w:p>
    <w:p w14:paraId="14A59C1F" w14:textId="0E82D12A" w:rsidR="00C70D0D" w:rsidRPr="00A45F6E" w:rsidRDefault="00A45F6E" w:rsidP="00216124">
      <w:pPr>
        <w:spacing w:line="259" w:lineRule="auto"/>
        <w:ind w:left="720"/>
        <w:jc w:val="both"/>
        <w:rPr>
          <w:i/>
          <w:iCs/>
        </w:rPr>
      </w:pPr>
      <w:r w:rsidRPr="00A45F6E">
        <w:rPr>
          <w:i/>
          <w:iCs/>
        </w:rPr>
        <w:t>“What is the purpose of research if it does not involve everybody? Unless research can be translated into practice then it's just a theoretical exercise, hence the importance of being inclusive</w:t>
      </w:r>
      <w:r w:rsidR="00216124">
        <w:rPr>
          <w:i/>
          <w:iCs/>
        </w:rPr>
        <w:t>. F</w:t>
      </w:r>
      <w:r w:rsidRPr="00A45F6E">
        <w:rPr>
          <w:i/>
          <w:iCs/>
        </w:rPr>
        <w:t>rom my perspective people working at the coalface want to better engage with both the gambler and FAO, so everyone wins!” (Consumer</w:t>
      </w:r>
      <w:r>
        <w:rPr>
          <w:i/>
          <w:iCs/>
        </w:rPr>
        <w:t>, NZ</w:t>
      </w:r>
      <w:r w:rsidRPr="00A45F6E">
        <w:rPr>
          <w:i/>
          <w:iCs/>
        </w:rPr>
        <w:t>)</w:t>
      </w:r>
    </w:p>
    <w:p w14:paraId="53CCC1D0" w14:textId="77777777" w:rsidR="00A45F6E" w:rsidRDefault="00A45F6E" w:rsidP="00495C74">
      <w:pPr>
        <w:spacing w:line="259" w:lineRule="auto"/>
        <w:jc w:val="both"/>
      </w:pPr>
    </w:p>
    <w:p w14:paraId="742BAB72" w14:textId="0C391208" w:rsidR="00537C59" w:rsidRDefault="00537C59" w:rsidP="00495C74">
      <w:pPr>
        <w:spacing w:line="259" w:lineRule="auto"/>
        <w:jc w:val="both"/>
      </w:pPr>
      <w:bookmarkStart w:id="101" w:name="_Hlk57896641"/>
      <w:r>
        <w:lastRenderedPageBreak/>
        <w:t xml:space="preserve">The need for enhanced knowledge translation and exchange between researchers and practitioners, supported by </w:t>
      </w:r>
      <w:r w:rsidR="00F43ADF">
        <w:t xml:space="preserve">government </w:t>
      </w:r>
      <w:r>
        <w:t>policy and funding enabling quality engagement was discussed by over two fifths of the panel</w:t>
      </w:r>
      <w:r w:rsidR="00216124">
        <w:t xml:space="preserve"> </w:t>
      </w:r>
      <w:bookmarkEnd w:id="101"/>
      <w:r w:rsidR="00216124">
        <w:t>(</w:t>
      </w:r>
      <w:r w:rsidR="00216124">
        <w:fldChar w:fldCharType="begin"/>
      </w:r>
      <w:r w:rsidR="00216124">
        <w:instrText xml:space="preserve"> REF _Ref50984430 \h </w:instrText>
      </w:r>
      <w:r w:rsidR="00216124">
        <w:fldChar w:fldCharType="separate"/>
      </w:r>
      <w:r w:rsidR="00DF0799" w:rsidRPr="005C46A2">
        <w:t xml:space="preserve">Table </w:t>
      </w:r>
      <w:r w:rsidR="00DF0799">
        <w:rPr>
          <w:noProof/>
        </w:rPr>
        <w:t>10</w:t>
      </w:r>
      <w:r w:rsidR="00216124">
        <w:fldChar w:fldCharType="end"/>
      </w:r>
      <w:r w:rsidR="00216124">
        <w:t>)</w:t>
      </w:r>
      <w:r>
        <w:t xml:space="preserve">. </w:t>
      </w:r>
    </w:p>
    <w:p w14:paraId="6724EAA4" w14:textId="77777777" w:rsidR="00537C59" w:rsidRDefault="00537C59" w:rsidP="00495C74">
      <w:pPr>
        <w:spacing w:line="259" w:lineRule="auto"/>
        <w:jc w:val="both"/>
      </w:pPr>
    </w:p>
    <w:p w14:paraId="50171624" w14:textId="0F4BBADA" w:rsidR="001931AB" w:rsidRPr="001931AB" w:rsidRDefault="001931AB" w:rsidP="00216124">
      <w:pPr>
        <w:spacing w:line="259" w:lineRule="auto"/>
        <w:ind w:left="720"/>
        <w:jc w:val="both"/>
        <w:rPr>
          <w:i/>
          <w:iCs/>
        </w:rPr>
      </w:pPr>
      <w:r w:rsidRPr="001931AB">
        <w:rPr>
          <w:i/>
          <w:iCs/>
        </w:rPr>
        <w:t>“We need to foster more accessibility to research findings for practitioners, and have practitioners actively translate research into practice. Many practitioners do not have access to research articles, and often fail to read these when available on the mistaken assumption it is irrelevant to their practice.” (Researcher, Australia)</w:t>
      </w:r>
    </w:p>
    <w:p w14:paraId="7E17ECE4" w14:textId="77777777" w:rsidR="001931AB" w:rsidRPr="005C46A2" w:rsidRDefault="001931AB" w:rsidP="00495C74">
      <w:pPr>
        <w:spacing w:line="259" w:lineRule="auto"/>
        <w:jc w:val="both"/>
      </w:pPr>
    </w:p>
    <w:p w14:paraId="27275529" w14:textId="3011F1F3" w:rsidR="002B4226" w:rsidRPr="005976C9" w:rsidRDefault="005976C9" w:rsidP="00216124">
      <w:pPr>
        <w:spacing w:line="259" w:lineRule="auto"/>
        <w:ind w:left="720"/>
        <w:jc w:val="both"/>
        <w:rPr>
          <w:i/>
          <w:iCs/>
        </w:rPr>
      </w:pPr>
      <w:r w:rsidRPr="005976C9">
        <w:rPr>
          <w:i/>
          <w:iCs/>
        </w:rPr>
        <w:t xml:space="preserve">Putting </w:t>
      </w:r>
      <w:r w:rsidR="00537C59">
        <w:rPr>
          <w:i/>
          <w:iCs/>
        </w:rPr>
        <w:t>researchers and practitioners</w:t>
      </w:r>
      <w:r w:rsidRPr="005976C9">
        <w:rPr>
          <w:i/>
          <w:iCs/>
        </w:rPr>
        <w:t xml:space="preserve"> together in settings with space and time to explain the practice gaps and jointly discover ways, through research, to fill these gaps. Personally, I have found being responsive to </w:t>
      </w:r>
      <w:r w:rsidR="00537C59" w:rsidRPr="005976C9">
        <w:rPr>
          <w:i/>
          <w:iCs/>
        </w:rPr>
        <w:t>practitioners’</w:t>
      </w:r>
      <w:r w:rsidRPr="005976C9">
        <w:rPr>
          <w:i/>
          <w:iCs/>
        </w:rPr>
        <w:t xml:space="preserve"> quest for answers a most rewarding task. (Policy, UK)</w:t>
      </w:r>
    </w:p>
    <w:p w14:paraId="195402B7" w14:textId="674BFBC2" w:rsidR="005976C9" w:rsidRDefault="005976C9" w:rsidP="00495C74">
      <w:pPr>
        <w:spacing w:line="259" w:lineRule="auto"/>
        <w:jc w:val="both"/>
      </w:pPr>
    </w:p>
    <w:p w14:paraId="69063504" w14:textId="282B27A3" w:rsidR="00537C59" w:rsidRDefault="00A45F6E" w:rsidP="00495C74">
      <w:pPr>
        <w:spacing w:line="259" w:lineRule="auto"/>
        <w:jc w:val="both"/>
      </w:pPr>
      <w:r>
        <w:t xml:space="preserve">Again, participants </w:t>
      </w:r>
      <w:r w:rsidR="00662970">
        <w:t>across the spectrum (from researchers, to service managers and clinicians) emphasised</w:t>
      </w:r>
      <w:r>
        <w:t xml:space="preserve"> that practitioners could and should be supported to develop research skills and carry out inquiries in collaboration with researchers and/or independently.</w:t>
      </w:r>
      <w:r w:rsidR="00662970">
        <w:t xml:space="preserve"> Post graduate qualifications were noted as important (ideally), and a broader emphasis on supporting practitioners to be research active through building links between universities and services. In New Zealand, gambling practitioner engagement in further study and/or research was reported by three panel members to be low. The three panel members were speaking from research, clinical and service manager perspectives. One researcher noted that the AOD field has had a longer history in promoting practitioner-inquiry, and post graduate Masters and dissertation studies have been the most successful</w:t>
      </w:r>
      <w:r w:rsidR="00F85117">
        <w:t xml:space="preserve"> in attracting practitioners interested in enhancing service provision</w:t>
      </w:r>
      <w:r w:rsidR="00662970">
        <w:t xml:space="preserve">. </w:t>
      </w:r>
    </w:p>
    <w:p w14:paraId="536CA212" w14:textId="77777777" w:rsidR="005976C9" w:rsidRPr="005C46A2" w:rsidRDefault="005976C9" w:rsidP="00495C74">
      <w:pPr>
        <w:spacing w:line="259" w:lineRule="auto"/>
        <w:jc w:val="both"/>
      </w:pPr>
    </w:p>
    <w:p w14:paraId="76C46C02" w14:textId="07FCB91D" w:rsidR="00572CEB" w:rsidRPr="005C46A2" w:rsidRDefault="00572CEB" w:rsidP="00572CEB">
      <w:pPr>
        <w:pStyle w:val="Caption"/>
      </w:pPr>
      <w:bookmarkStart w:id="102" w:name="_Ref50984430"/>
      <w:bookmarkStart w:id="103" w:name="_Toc51240671"/>
      <w:bookmarkStart w:id="104" w:name="_Toc58400643"/>
      <w:r w:rsidRPr="005C46A2">
        <w:t xml:space="preserve">Table </w:t>
      </w:r>
      <w:r w:rsidR="00D04B86">
        <w:fldChar w:fldCharType="begin"/>
      </w:r>
      <w:r w:rsidR="00D04B86">
        <w:instrText xml:space="preserve"> SEQ Table \* ARABIC </w:instrText>
      </w:r>
      <w:r w:rsidR="00D04B86">
        <w:fldChar w:fldCharType="separate"/>
      </w:r>
      <w:r w:rsidR="00DF0799">
        <w:rPr>
          <w:noProof/>
        </w:rPr>
        <w:t>10</w:t>
      </w:r>
      <w:r w:rsidR="00D04B86">
        <w:rPr>
          <w:noProof/>
        </w:rPr>
        <w:fldChar w:fldCharType="end"/>
      </w:r>
      <w:bookmarkEnd w:id="102"/>
      <w:r w:rsidRPr="005C46A2">
        <w:t>. Bridging gaps between researchers/research and practitioners/practice</w:t>
      </w:r>
      <w:bookmarkEnd w:id="103"/>
      <w:bookmarkEnd w:id="104"/>
    </w:p>
    <w:tbl>
      <w:tblPr>
        <w:tblStyle w:val="TableGrid"/>
        <w:tblW w:w="0" w:type="auto"/>
        <w:tblLook w:val="04A0" w:firstRow="1" w:lastRow="0" w:firstColumn="1" w:lastColumn="0" w:noHBand="0" w:noVBand="1"/>
      </w:tblPr>
      <w:tblGrid>
        <w:gridCol w:w="7225"/>
        <w:gridCol w:w="850"/>
        <w:gridCol w:w="941"/>
      </w:tblGrid>
      <w:tr w:rsidR="00572CEB" w:rsidRPr="005C46A2" w14:paraId="2CA80E80" w14:textId="77777777" w:rsidTr="002B4226">
        <w:tc>
          <w:tcPr>
            <w:tcW w:w="7225" w:type="dxa"/>
          </w:tcPr>
          <w:p w14:paraId="68707F69" w14:textId="77777777" w:rsidR="00572CEB" w:rsidRPr="005C46A2" w:rsidRDefault="00572CEB" w:rsidP="002B4226">
            <w:pPr>
              <w:jc w:val="both"/>
              <w:rPr>
                <w:b/>
                <w:bCs/>
                <w:sz w:val="22"/>
                <w:szCs w:val="22"/>
              </w:rPr>
            </w:pPr>
            <w:r w:rsidRPr="005C46A2">
              <w:rPr>
                <w:b/>
                <w:bCs/>
                <w:sz w:val="22"/>
                <w:szCs w:val="22"/>
              </w:rPr>
              <w:t>Coded qualitative responses</w:t>
            </w:r>
          </w:p>
        </w:tc>
        <w:tc>
          <w:tcPr>
            <w:tcW w:w="850" w:type="dxa"/>
          </w:tcPr>
          <w:p w14:paraId="3ED4D48F" w14:textId="77777777" w:rsidR="00572CEB" w:rsidRPr="005C46A2" w:rsidRDefault="00572CEB" w:rsidP="002B4226">
            <w:pPr>
              <w:jc w:val="both"/>
              <w:rPr>
                <w:b/>
                <w:bCs/>
                <w:sz w:val="22"/>
                <w:szCs w:val="22"/>
              </w:rPr>
            </w:pPr>
            <w:r w:rsidRPr="005C46A2">
              <w:rPr>
                <w:b/>
                <w:bCs/>
                <w:sz w:val="22"/>
                <w:szCs w:val="22"/>
              </w:rPr>
              <w:t>N</w:t>
            </w:r>
          </w:p>
        </w:tc>
        <w:tc>
          <w:tcPr>
            <w:tcW w:w="941" w:type="dxa"/>
          </w:tcPr>
          <w:p w14:paraId="05EB3DA1" w14:textId="6BF9DC27" w:rsidR="00572CEB" w:rsidRPr="005C46A2" w:rsidRDefault="00572CEB" w:rsidP="002B4226">
            <w:pPr>
              <w:jc w:val="both"/>
              <w:rPr>
                <w:b/>
                <w:bCs/>
                <w:sz w:val="22"/>
                <w:szCs w:val="22"/>
              </w:rPr>
            </w:pPr>
            <w:r w:rsidRPr="005C46A2">
              <w:rPr>
                <w:b/>
                <w:bCs/>
                <w:sz w:val="22"/>
                <w:szCs w:val="22"/>
              </w:rPr>
              <w:t>%</w:t>
            </w:r>
            <w:r w:rsidR="00D776E5" w:rsidRPr="00FF2D89">
              <w:rPr>
                <w:sz w:val="22"/>
                <w:szCs w:val="22"/>
                <w:vertAlign w:val="superscript"/>
              </w:rPr>
              <w:t>#</w:t>
            </w:r>
          </w:p>
        </w:tc>
      </w:tr>
      <w:tr w:rsidR="007D60F1" w:rsidRPr="005C46A2" w14:paraId="0C09F029" w14:textId="77777777" w:rsidTr="007D60F1">
        <w:tc>
          <w:tcPr>
            <w:tcW w:w="7225" w:type="dxa"/>
          </w:tcPr>
          <w:p w14:paraId="58837393" w14:textId="77777777" w:rsidR="007D60F1" w:rsidRPr="005C46A2" w:rsidRDefault="007D60F1" w:rsidP="007D60F1">
            <w:pPr>
              <w:jc w:val="both"/>
              <w:rPr>
                <w:sz w:val="22"/>
                <w:szCs w:val="22"/>
              </w:rPr>
            </w:pPr>
            <w:r w:rsidRPr="005C46A2">
              <w:rPr>
                <w:sz w:val="22"/>
                <w:szCs w:val="22"/>
              </w:rPr>
              <w:t xml:space="preserve">Knowledge translation and exchange </w:t>
            </w:r>
          </w:p>
        </w:tc>
        <w:tc>
          <w:tcPr>
            <w:tcW w:w="850" w:type="dxa"/>
          </w:tcPr>
          <w:p w14:paraId="45F5B847" w14:textId="77777777" w:rsidR="007D60F1" w:rsidRPr="005C46A2" w:rsidRDefault="007D60F1" w:rsidP="007D60F1">
            <w:pPr>
              <w:jc w:val="right"/>
              <w:rPr>
                <w:sz w:val="22"/>
                <w:szCs w:val="22"/>
              </w:rPr>
            </w:pPr>
            <w:r w:rsidRPr="005C46A2">
              <w:rPr>
                <w:sz w:val="22"/>
                <w:szCs w:val="22"/>
              </w:rPr>
              <w:t>1</w:t>
            </w:r>
            <w:r>
              <w:rPr>
                <w:sz w:val="22"/>
                <w:szCs w:val="22"/>
              </w:rPr>
              <w:t>3</w:t>
            </w:r>
            <w:r w:rsidRPr="005C46A2">
              <w:rPr>
                <w:sz w:val="22"/>
                <w:szCs w:val="22"/>
              </w:rPr>
              <w:t xml:space="preserve"> </w:t>
            </w:r>
          </w:p>
        </w:tc>
        <w:tc>
          <w:tcPr>
            <w:tcW w:w="941" w:type="dxa"/>
          </w:tcPr>
          <w:p w14:paraId="7EAB4884" w14:textId="77777777" w:rsidR="007D60F1" w:rsidRPr="005C46A2" w:rsidRDefault="007D60F1" w:rsidP="007D60F1">
            <w:pPr>
              <w:jc w:val="right"/>
              <w:rPr>
                <w:sz w:val="22"/>
                <w:szCs w:val="22"/>
              </w:rPr>
            </w:pPr>
            <w:r>
              <w:rPr>
                <w:sz w:val="22"/>
                <w:szCs w:val="22"/>
              </w:rPr>
              <w:t>45</w:t>
            </w:r>
          </w:p>
        </w:tc>
      </w:tr>
      <w:tr w:rsidR="002B4226" w:rsidRPr="005C46A2" w14:paraId="2791167A" w14:textId="77777777" w:rsidTr="002B4226">
        <w:tc>
          <w:tcPr>
            <w:tcW w:w="7225" w:type="dxa"/>
          </w:tcPr>
          <w:p w14:paraId="790D8CE5" w14:textId="77777777" w:rsidR="002B4226" w:rsidRPr="005C46A2" w:rsidRDefault="002B4226" w:rsidP="002B4226">
            <w:pPr>
              <w:jc w:val="both"/>
              <w:rPr>
                <w:sz w:val="22"/>
                <w:szCs w:val="22"/>
              </w:rPr>
            </w:pPr>
            <w:r w:rsidRPr="005C46A2">
              <w:rPr>
                <w:sz w:val="22"/>
                <w:szCs w:val="22"/>
              </w:rPr>
              <w:t>Policy and funding to support quality engagement</w:t>
            </w:r>
          </w:p>
        </w:tc>
        <w:tc>
          <w:tcPr>
            <w:tcW w:w="850" w:type="dxa"/>
          </w:tcPr>
          <w:p w14:paraId="17E319EA" w14:textId="4C72F911" w:rsidR="002B4226" w:rsidRPr="005C46A2" w:rsidRDefault="002B4226" w:rsidP="002B4226">
            <w:pPr>
              <w:jc w:val="right"/>
              <w:rPr>
                <w:sz w:val="22"/>
                <w:szCs w:val="22"/>
              </w:rPr>
            </w:pPr>
            <w:r w:rsidRPr="005C46A2">
              <w:rPr>
                <w:sz w:val="22"/>
                <w:szCs w:val="22"/>
              </w:rPr>
              <w:t>1</w:t>
            </w:r>
            <w:r w:rsidR="007D60F1">
              <w:rPr>
                <w:sz w:val="22"/>
                <w:szCs w:val="22"/>
              </w:rPr>
              <w:t>2</w:t>
            </w:r>
          </w:p>
        </w:tc>
        <w:tc>
          <w:tcPr>
            <w:tcW w:w="941" w:type="dxa"/>
          </w:tcPr>
          <w:p w14:paraId="7E65EF0F" w14:textId="69DB037E" w:rsidR="002B4226" w:rsidRPr="005C46A2" w:rsidRDefault="007D60F1" w:rsidP="002B4226">
            <w:pPr>
              <w:jc w:val="right"/>
              <w:rPr>
                <w:sz w:val="22"/>
                <w:szCs w:val="22"/>
              </w:rPr>
            </w:pPr>
            <w:r>
              <w:rPr>
                <w:sz w:val="22"/>
                <w:szCs w:val="22"/>
              </w:rPr>
              <w:t>41</w:t>
            </w:r>
          </w:p>
        </w:tc>
      </w:tr>
      <w:tr w:rsidR="00572CEB" w:rsidRPr="005C46A2" w14:paraId="60EA5074" w14:textId="77777777" w:rsidTr="002B4226">
        <w:tc>
          <w:tcPr>
            <w:tcW w:w="7225" w:type="dxa"/>
          </w:tcPr>
          <w:p w14:paraId="6701B1C7" w14:textId="3764B74A" w:rsidR="00572CEB" w:rsidRPr="005C46A2" w:rsidRDefault="002B4226" w:rsidP="002B4226">
            <w:pPr>
              <w:jc w:val="both"/>
              <w:rPr>
                <w:sz w:val="22"/>
                <w:szCs w:val="22"/>
              </w:rPr>
            </w:pPr>
            <w:r w:rsidRPr="005C46A2">
              <w:rPr>
                <w:sz w:val="22"/>
                <w:szCs w:val="22"/>
              </w:rPr>
              <w:t>Collaborative research design</w:t>
            </w:r>
          </w:p>
        </w:tc>
        <w:tc>
          <w:tcPr>
            <w:tcW w:w="850" w:type="dxa"/>
          </w:tcPr>
          <w:p w14:paraId="470E1082" w14:textId="2DD85698" w:rsidR="00572CEB" w:rsidRPr="005C46A2" w:rsidRDefault="002B4226" w:rsidP="002B4226">
            <w:pPr>
              <w:jc w:val="right"/>
              <w:rPr>
                <w:sz w:val="22"/>
                <w:szCs w:val="22"/>
              </w:rPr>
            </w:pPr>
            <w:r w:rsidRPr="005C46A2">
              <w:rPr>
                <w:sz w:val="22"/>
                <w:szCs w:val="22"/>
              </w:rPr>
              <w:t>6</w:t>
            </w:r>
          </w:p>
        </w:tc>
        <w:tc>
          <w:tcPr>
            <w:tcW w:w="941" w:type="dxa"/>
          </w:tcPr>
          <w:p w14:paraId="019C36AE" w14:textId="4516D777" w:rsidR="00572CEB" w:rsidRPr="005C46A2" w:rsidRDefault="002B4226" w:rsidP="002B4226">
            <w:pPr>
              <w:jc w:val="right"/>
              <w:rPr>
                <w:sz w:val="22"/>
                <w:szCs w:val="22"/>
              </w:rPr>
            </w:pPr>
            <w:r w:rsidRPr="005C46A2">
              <w:rPr>
                <w:sz w:val="22"/>
                <w:szCs w:val="22"/>
              </w:rPr>
              <w:t>21</w:t>
            </w:r>
          </w:p>
        </w:tc>
      </w:tr>
      <w:tr w:rsidR="00572CEB" w:rsidRPr="005C46A2" w14:paraId="55051154" w14:textId="77777777" w:rsidTr="002B4226">
        <w:tc>
          <w:tcPr>
            <w:tcW w:w="7225" w:type="dxa"/>
          </w:tcPr>
          <w:p w14:paraId="74ADCA39" w14:textId="26961627" w:rsidR="00572CEB" w:rsidRPr="005C46A2" w:rsidRDefault="002B4226" w:rsidP="002B4226">
            <w:pPr>
              <w:jc w:val="both"/>
              <w:rPr>
                <w:sz w:val="22"/>
                <w:szCs w:val="22"/>
              </w:rPr>
            </w:pPr>
            <w:r w:rsidRPr="005C46A2">
              <w:rPr>
                <w:sz w:val="22"/>
                <w:szCs w:val="22"/>
              </w:rPr>
              <w:t>Practitioner-inquirers</w:t>
            </w:r>
          </w:p>
        </w:tc>
        <w:tc>
          <w:tcPr>
            <w:tcW w:w="850" w:type="dxa"/>
          </w:tcPr>
          <w:p w14:paraId="4A33EB30" w14:textId="66DC940F" w:rsidR="00572CEB" w:rsidRPr="005C46A2" w:rsidRDefault="002B4226" w:rsidP="002B4226">
            <w:pPr>
              <w:jc w:val="right"/>
              <w:rPr>
                <w:sz w:val="22"/>
                <w:szCs w:val="22"/>
              </w:rPr>
            </w:pPr>
            <w:r w:rsidRPr="005C46A2">
              <w:rPr>
                <w:sz w:val="22"/>
                <w:szCs w:val="22"/>
              </w:rPr>
              <w:t>4</w:t>
            </w:r>
          </w:p>
        </w:tc>
        <w:tc>
          <w:tcPr>
            <w:tcW w:w="941" w:type="dxa"/>
          </w:tcPr>
          <w:p w14:paraId="44D25B4A" w14:textId="7C42F5E5" w:rsidR="00572CEB" w:rsidRPr="005C46A2" w:rsidRDefault="002B4226" w:rsidP="002B4226">
            <w:pPr>
              <w:jc w:val="right"/>
              <w:rPr>
                <w:sz w:val="22"/>
                <w:szCs w:val="22"/>
              </w:rPr>
            </w:pPr>
            <w:r w:rsidRPr="005C46A2">
              <w:rPr>
                <w:sz w:val="22"/>
                <w:szCs w:val="22"/>
              </w:rPr>
              <w:t>14</w:t>
            </w:r>
          </w:p>
        </w:tc>
      </w:tr>
      <w:tr w:rsidR="00572CEB" w:rsidRPr="005C46A2" w14:paraId="4D923772" w14:textId="77777777" w:rsidTr="002B4226">
        <w:tc>
          <w:tcPr>
            <w:tcW w:w="7225" w:type="dxa"/>
          </w:tcPr>
          <w:p w14:paraId="3E76AF7D" w14:textId="395B78F6" w:rsidR="00572CEB" w:rsidRPr="005C46A2" w:rsidRDefault="002B4226" w:rsidP="002B4226">
            <w:pPr>
              <w:jc w:val="both"/>
              <w:rPr>
                <w:sz w:val="22"/>
                <w:szCs w:val="22"/>
              </w:rPr>
            </w:pPr>
            <w:r w:rsidRPr="005C46A2">
              <w:rPr>
                <w:sz w:val="22"/>
                <w:szCs w:val="22"/>
              </w:rPr>
              <w:t>Development of practice forms a coherent research stream</w:t>
            </w:r>
          </w:p>
        </w:tc>
        <w:tc>
          <w:tcPr>
            <w:tcW w:w="850" w:type="dxa"/>
          </w:tcPr>
          <w:p w14:paraId="6A371E6E" w14:textId="053C48D7" w:rsidR="00572CEB" w:rsidRPr="005C46A2" w:rsidRDefault="002B4226" w:rsidP="002B4226">
            <w:pPr>
              <w:jc w:val="right"/>
              <w:rPr>
                <w:sz w:val="22"/>
                <w:szCs w:val="22"/>
              </w:rPr>
            </w:pPr>
            <w:r w:rsidRPr="005C46A2">
              <w:rPr>
                <w:sz w:val="22"/>
                <w:szCs w:val="22"/>
              </w:rPr>
              <w:t>4</w:t>
            </w:r>
          </w:p>
        </w:tc>
        <w:tc>
          <w:tcPr>
            <w:tcW w:w="941" w:type="dxa"/>
          </w:tcPr>
          <w:p w14:paraId="5F9761DD" w14:textId="492DD351" w:rsidR="00572CEB" w:rsidRPr="005C46A2" w:rsidRDefault="002B4226" w:rsidP="002B4226">
            <w:pPr>
              <w:jc w:val="right"/>
              <w:rPr>
                <w:sz w:val="22"/>
                <w:szCs w:val="22"/>
              </w:rPr>
            </w:pPr>
            <w:r w:rsidRPr="005C46A2">
              <w:rPr>
                <w:sz w:val="22"/>
                <w:szCs w:val="22"/>
              </w:rPr>
              <w:t>14</w:t>
            </w:r>
          </w:p>
        </w:tc>
      </w:tr>
    </w:tbl>
    <w:p w14:paraId="7BC27C66" w14:textId="77777777" w:rsidR="00D776E5" w:rsidRPr="00FF2D89" w:rsidRDefault="00D776E5" w:rsidP="00D776E5">
      <w:pPr>
        <w:spacing w:line="259" w:lineRule="auto"/>
        <w:jc w:val="both"/>
      </w:pPr>
      <w:r w:rsidRPr="00FF2D89">
        <w:rPr>
          <w:sz w:val="22"/>
          <w:szCs w:val="22"/>
          <w:vertAlign w:val="superscript"/>
        </w:rPr>
        <w:t xml:space="preserve"># </w:t>
      </w:r>
      <w:r w:rsidRPr="00FF2D89">
        <w:rPr>
          <w:sz w:val="22"/>
          <w:szCs w:val="22"/>
        </w:rPr>
        <w:t xml:space="preserve">Note </w:t>
      </w:r>
      <w:r>
        <w:rPr>
          <w:sz w:val="22"/>
          <w:szCs w:val="22"/>
        </w:rPr>
        <w:t>that participant responses could be coded at multiple categories.</w:t>
      </w:r>
    </w:p>
    <w:p w14:paraId="760B0809" w14:textId="6C076B93" w:rsidR="00572CEB" w:rsidRDefault="00572CEB" w:rsidP="00572CEB">
      <w:pPr>
        <w:spacing w:line="259" w:lineRule="auto"/>
        <w:jc w:val="both"/>
      </w:pPr>
    </w:p>
    <w:p w14:paraId="73B6E4A7" w14:textId="0101862D" w:rsidR="00CB1453" w:rsidRDefault="00CB1453" w:rsidP="00572CEB">
      <w:pPr>
        <w:spacing w:line="259" w:lineRule="auto"/>
        <w:jc w:val="both"/>
      </w:pPr>
      <w:r>
        <w:t xml:space="preserve">In relation to policy, the following were mentioned: funding to support meaningful collaboration within research projects, a designated research stream that is about reflecting on and improving practice, incorporation of collaborative evaluation strategy and planning into service contracts, and resourcing clinicians to undertake professional development which includes a research/inquiry component. Service managers and clinicians noted that </w:t>
      </w:r>
      <w:r w:rsidR="0001065E">
        <w:t>policymakers</w:t>
      </w:r>
      <w:r>
        <w:t xml:space="preserve"> and researchers regularly request data, at a level which can become overwhelming. </w:t>
      </w:r>
    </w:p>
    <w:p w14:paraId="6E11D8DA" w14:textId="3DB91D1B" w:rsidR="00CB1453" w:rsidRDefault="00CB1453" w:rsidP="00572CEB">
      <w:pPr>
        <w:spacing w:line="259" w:lineRule="auto"/>
        <w:jc w:val="both"/>
      </w:pPr>
    </w:p>
    <w:p w14:paraId="019E5CAB" w14:textId="0858BBE2" w:rsidR="00CB1453" w:rsidRPr="00CB1453" w:rsidRDefault="00CB1453" w:rsidP="006C5E1A">
      <w:pPr>
        <w:spacing w:line="259" w:lineRule="auto"/>
        <w:ind w:left="720"/>
        <w:jc w:val="both"/>
        <w:rPr>
          <w:i/>
          <w:iCs/>
        </w:rPr>
      </w:pPr>
      <w:r w:rsidRPr="00CB1453">
        <w:rPr>
          <w:i/>
          <w:iCs/>
        </w:rPr>
        <w:t xml:space="preserve">“Early involvement and co-design </w:t>
      </w:r>
      <w:r>
        <w:rPr>
          <w:i/>
          <w:iCs/>
        </w:rPr>
        <w:t xml:space="preserve">of </w:t>
      </w:r>
      <w:r w:rsidRPr="00CB1453">
        <w:rPr>
          <w:i/>
          <w:iCs/>
        </w:rPr>
        <w:t>the research and process are ideal. However, with the current situation, where services are</w:t>
      </w:r>
      <w:r w:rsidR="00DF0EA9">
        <w:rPr>
          <w:i/>
          <w:iCs/>
        </w:rPr>
        <w:t xml:space="preserve"> just</w:t>
      </w:r>
      <w:r w:rsidRPr="00CB1453">
        <w:rPr>
          <w:i/>
          <w:iCs/>
        </w:rPr>
        <w:t xml:space="preserve"> trying to meet the demand, it has become </w:t>
      </w:r>
      <w:r w:rsidRPr="00CB1453">
        <w:rPr>
          <w:i/>
          <w:iCs/>
        </w:rPr>
        <w:lastRenderedPageBreak/>
        <w:t>a big challenge for some services. Any further request</w:t>
      </w:r>
      <w:r w:rsidR="00DF0EA9">
        <w:rPr>
          <w:i/>
          <w:iCs/>
        </w:rPr>
        <w:t>s</w:t>
      </w:r>
      <w:r w:rsidRPr="00CB1453">
        <w:rPr>
          <w:i/>
          <w:iCs/>
        </w:rPr>
        <w:t xml:space="preserve"> from research can </w:t>
      </w:r>
      <w:r w:rsidR="00DF0EA9">
        <w:rPr>
          <w:i/>
          <w:iCs/>
        </w:rPr>
        <w:t xml:space="preserve">be </w:t>
      </w:r>
      <w:r w:rsidRPr="00CB1453">
        <w:rPr>
          <w:i/>
          <w:iCs/>
        </w:rPr>
        <w:t>perceive</w:t>
      </w:r>
      <w:r w:rsidR="00DF0EA9">
        <w:rPr>
          <w:i/>
          <w:iCs/>
        </w:rPr>
        <w:t>d</w:t>
      </w:r>
      <w:r w:rsidRPr="00CB1453">
        <w:rPr>
          <w:i/>
          <w:iCs/>
        </w:rPr>
        <w:t xml:space="preserve"> as a burden due to under resources.” (</w:t>
      </w:r>
      <w:r w:rsidR="00DF0EA9">
        <w:rPr>
          <w:i/>
          <w:iCs/>
        </w:rPr>
        <w:t>C</w:t>
      </w:r>
      <w:r w:rsidRPr="00CB1453">
        <w:rPr>
          <w:i/>
          <w:iCs/>
        </w:rPr>
        <w:t>linician, NZ).</w:t>
      </w:r>
    </w:p>
    <w:p w14:paraId="3265783E" w14:textId="6B191E1F" w:rsidR="00CB1453" w:rsidRDefault="00CB1453" w:rsidP="00572CEB">
      <w:pPr>
        <w:spacing w:line="259" w:lineRule="auto"/>
        <w:jc w:val="both"/>
      </w:pPr>
    </w:p>
    <w:p w14:paraId="53F67208" w14:textId="6B9631CF" w:rsidR="00ED7018" w:rsidRDefault="00163FC4" w:rsidP="00572CEB">
      <w:pPr>
        <w:spacing w:line="259" w:lineRule="auto"/>
        <w:jc w:val="both"/>
      </w:pPr>
      <w:r>
        <w:t>The need for research and evaluation to have a clear practice improvement focus was described</w:t>
      </w:r>
      <w:r w:rsidR="00ED7018">
        <w:t>, particularly the idea of a series of pilots with evaluation of a range of services for FAOs that are currently active (e.g. culturally specific services) or emerging (e.g. the 5-Step intervention</w:t>
      </w:r>
      <w:r w:rsidR="008F69DE">
        <w:t>, couples and family therapeutic techniques</w:t>
      </w:r>
      <w:r w:rsidR="00970D1A">
        <w:t xml:space="preserve"> for gambling harm</w:t>
      </w:r>
      <w:r w:rsidR="00ED7018">
        <w:t xml:space="preserve">) in New Zealand.  </w:t>
      </w:r>
    </w:p>
    <w:p w14:paraId="3DA57F1A" w14:textId="39AA43C3" w:rsidR="00163FC4" w:rsidRPr="005C46A2" w:rsidRDefault="00163FC4" w:rsidP="00572CEB">
      <w:pPr>
        <w:spacing w:line="259" w:lineRule="auto"/>
        <w:jc w:val="both"/>
      </w:pPr>
      <w:r>
        <w:t xml:space="preserve"> </w:t>
      </w:r>
    </w:p>
    <w:p w14:paraId="1862390B" w14:textId="2FDACF71" w:rsidR="00C70D0D" w:rsidRPr="00DF0EA9" w:rsidRDefault="00DF0EA9" w:rsidP="006C5E1A">
      <w:pPr>
        <w:spacing w:line="259" w:lineRule="auto"/>
        <w:ind w:left="720"/>
        <w:jc w:val="both"/>
        <w:rPr>
          <w:i/>
          <w:iCs/>
        </w:rPr>
      </w:pPr>
      <w:r w:rsidRPr="00DF0EA9">
        <w:rPr>
          <w:i/>
          <w:iCs/>
        </w:rPr>
        <w:t>“There seems to be a constant need to verify the existence of your service with number crunching with little focus on quality and unique individual outcomes… more buy in from practitioners would be achieved if some training was provided. Fo</w:t>
      </w:r>
      <w:r w:rsidR="00163FC4">
        <w:rPr>
          <w:i/>
          <w:iCs/>
        </w:rPr>
        <w:t>r</w:t>
      </w:r>
      <w:r w:rsidRPr="00DF0EA9">
        <w:rPr>
          <w:i/>
          <w:iCs/>
        </w:rPr>
        <w:t xml:space="preserve"> example, if the </w:t>
      </w:r>
      <w:r w:rsidR="006633D5">
        <w:rPr>
          <w:i/>
          <w:iCs/>
        </w:rPr>
        <w:t xml:space="preserve">process and </w:t>
      </w:r>
      <w:r w:rsidRPr="00DF0EA9">
        <w:rPr>
          <w:i/>
          <w:iCs/>
        </w:rPr>
        <w:t>effectiveness of approaches for working with couples or family members was evaluated. Practitioners really enjoy up skilling.” (Service manager and clinician, NZ).</w:t>
      </w:r>
    </w:p>
    <w:p w14:paraId="066A9C52" w14:textId="3640FDE6" w:rsidR="00DF0EA9" w:rsidRDefault="00DF0EA9" w:rsidP="00DF0EA9">
      <w:pPr>
        <w:spacing w:line="259" w:lineRule="auto"/>
        <w:jc w:val="both"/>
      </w:pPr>
    </w:p>
    <w:p w14:paraId="76592F3A" w14:textId="08ADF2F9" w:rsidR="00D50B98" w:rsidRDefault="00966D1C" w:rsidP="00821838">
      <w:pPr>
        <w:pStyle w:val="Heading3"/>
      </w:pPr>
      <w:bookmarkStart w:id="105" w:name="_Toc58400777"/>
      <w:r>
        <w:t>Discussion of views on e</w:t>
      </w:r>
      <w:r w:rsidR="00D50B98">
        <w:t>nhancing FAO support in New Zealand gambling services</w:t>
      </w:r>
      <w:bookmarkEnd w:id="105"/>
      <w:r w:rsidR="00D50B98">
        <w:t xml:space="preserve"> </w:t>
      </w:r>
    </w:p>
    <w:p w14:paraId="537B692A" w14:textId="77777777" w:rsidR="00D50B98" w:rsidRDefault="00D50B98" w:rsidP="00D50B98">
      <w:pPr>
        <w:jc w:val="both"/>
      </w:pPr>
      <w:bookmarkStart w:id="106" w:name="_Hlk51667206"/>
      <w:r>
        <w:t>Our analysis of the views of panel members has suggested that enhancing support for FAOs in New Zealand gambling services should involve a combination of:</w:t>
      </w:r>
    </w:p>
    <w:p w14:paraId="407E3FC2" w14:textId="77777777" w:rsidR="00D50B98" w:rsidRDefault="00D50B98" w:rsidP="007E15CF">
      <w:pPr>
        <w:pStyle w:val="ListParagraph"/>
        <w:numPr>
          <w:ilvl w:val="0"/>
          <w:numId w:val="18"/>
        </w:numPr>
        <w:jc w:val="both"/>
      </w:pPr>
      <w:r>
        <w:t>Expanding the range of approaches to FAO support that exist in practice, and facilitating FAO choice among diverse service offerings</w:t>
      </w:r>
    </w:p>
    <w:p w14:paraId="0BCB0866" w14:textId="1D4EB18A" w:rsidR="00F85117" w:rsidRDefault="00F85117" w:rsidP="007E15CF">
      <w:pPr>
        <w:pStyle w:val="ListParagraph"/>
        <w:numPr>
          <w:ilvl w:val="0"/>
          <w:numId w:val="18"/>
        </w:numPr>
        <w:jc w:val="both"/>
      </w:pPr>
      <w:r w:rsidRPr="00F85117">
        <w:t>Tino rangatiratanga</w:t>
      </w:r>
      <w:r w:rsidR="00FE6EBD">
        <w:t xml:space="preserve"> and </w:t>
      </w:r>
      <w:r w:rsidR="00FE6EBD" w:rsidRPr="00FE6EBD">
        <w:t>mana motuhake</w:t>
      </w:r>
      <w:r>
        <w:t>: E</w:t>
      </w:r>
      <w:r w:rsidRPr="00F85117">
        <w:t xml:space="preserve">nsuring Māori </w:t>
      </w:r>
      <w:r w:rsidR="00FE6EBD">
        <w:t xml:space="preserve">leadership, design and management of </w:t>
      </w:r>
      <w:r>
        <w:t>gambling harm reduction</w:t>
      </w:r>
      <w:r w:rsidR="00FE6EBD">
        <w:t xml:space="preserve"> strategies and services</w:t>
      </w:r>
      <w:r w:rsidRPr="00F85117">
        <w:t xml:space="preserve">. </w:t>
      </w:r>
    </w:p>
    <w:p w14:paraId="4660C49A" w14:textId="62F27DA5" w:rsidR="00D50B98" w:rsidRDefault="00D50B98" w:rsidP="007E15CF">
      <w:pPr>
        <w:pStyle w:val="ListParagraph"/>
        <w:numPr>
          <w:ilvl w:val="0"/>
          <w:numId w:val="18"/>
        </w:numPr>
        <w:jc w:val="both"/>
      </w:pPr>
      <w:r>
        <w:t xml:space="preserve">Implementing social and cultural FAO recovery models to balance approaches that focus on the individual </w:t>
      </w:r>
    </w:p>
    <w:p w14:paraId="09631A98" w14:textId="77777777" w:rsidR="00D50B98" w:rsidRDefault="00D50B98" w:rsidP="007E15CF">
      <w:pPr>
        <w:pStyle w:val="ListParagraph"/>
        <w:numPr>
          <w:ilvl w:val="0"/>
          <w:numId w:val="18"/>
        </w:numPr>
        <w:jc w:val="both"/>
      </w:pPr>
      <w:r>
        <w:t>Exploring the role of FAO lived experience in service design and practice (peer support, consumer panels, community health models)</w:t>
      </w:r>
    </w:p>
    <w:p w14:paraId="39FFFA1B" w14:textId="77777777" w:rsidR="00D50B98" w:rsidRDefault="00D50B98" w:rsidP="007E15CF">
      <w:pPr>
        <w:pStyle w:val="ListParagraph"/>
        <w:numPr>
          <w:ilvl w:val="0"/>
          <w:numId w:val="18"/>
        </w:numPr>
        <w:jc w:val="both"/>
      </w:pPr>
      <w:r w:rsidRPr="00B536C9">
        <w:t>Building and sustaining a culture of curiosity and learning in services</w:t>
      </w:r>
      <w:r>
        <w:t xml:space="preserve"> (practitioner-inquirers, community engagement, creative and participatory evaluation)</w:t>
      </w:r>
    </w:p>
    <w:p w14:paraId="2C2AC330" w14:textId="77777777" w:rsidR="00D50B98" w:rsidRDefault="00D50B98" w:rsidP="007E15CF">
      <w:pPr>
        <w:pStyle w:val="ListParagraph"/>
        <w:numPr>
          <w:ilvl w:val="0"/>
          <w:numId w:val="18"/>
        </w:numPr>
        <w:jc w:val="both"/>
      </w:pPr>
      <w:r w:rsidRPr="00B536C9">
        <w:t>Bridging gaps between researchers/research and practitioners/practice</w:t>
      </w:r>
      <w:r>
        <w:t>.</w:t>
      </w:r>
    </w:p>
    <w:p w14:paraId="7F8ED90F" w14:textId="77777777" w:rsidR="00D50B98" w:rsidRDefault="00D50B98" w:rsidP="00D50B98">
      <w:pPr>
        <w:jc w:val="both"/>
      </w:pPr>
    </w:p>
    <w:p w14:paraId="2629FF60" w14:textId="2B08AEB7" w:rsidR="00D50B98" w:rsidRDefault="00D50B98" w:rsidP="00D50B98">
      <w:pPr>
        <w:jc w:val="both"/>
      </w:pPr>
      <w:r>
        <w:t xml:space="preserve">In achieving the above, a particular role for policy has been identified in funding and support activities for practitioner-inquirers (i.e. clinicians and service managers who critically engage with a research/practice nexus e.g. in postgraduate study or in partnership with researchers). Policy (and particularly funding) support for collaborative and participatory service design, development and evaluation was advised. Additional policy suggestions included: actively ensuring the workforce is culturally diverse </w:t>
      </w:r>
      <w:r w:rsidR="00FE6EBD">
        <w:t xml:space="preserve">and aware </w:t>
      </w:r>
      <w:r>
        <w:t xml:space="preserve">enough to reflect New Zealand families, and broader workforce development around cultural and family responsiveness. </w:t>
      </w:r>
    </w:p>
    <w:bookmarkEnd w:id="106"/>
    <w:p w14:paraId="3436C125" w14:textId="77777777" w:rsidR="00D50B98" w:rsidRDefault="00D50B98" w:rsidP="00D50B98">
      <w:pPr>
        <w:jc w:val="both"/>
      </w:pPr>
    </w:p>
    <w:p w14:paraId="339C75EB" w14:textId="77777777" w:rsidR="00D50B98" w:rsidRDefault="00D50B98" w:rsidP="00821838">
      <w:pPr>
        <w:pStyle w:val="Heading4"/>
      </w:pPr>
      <w:r>
        <w:t>Engaging multiple paradigms</w:t>
      </w:r>
    </w:p>
    <w:p w14:paraId="14648B2B" w14:textId="51F3309C" w:rsidR="00D50B98" w:rsidRDefault="00D50B98" w:rsidP="00D50B98">
      <w:pPr>
        <w:jc w:val="both"/>
      </w:pPr>
      <w:r w:rsidRPr="00D12935">
        <w:t xml:space="preserve">In many countries, reliance on the objectivity of science to drive equity and rigor in healthcare has led to a situation of decreased explicit consideration of how socio-cultural dynamics contribute to what is considered good practice and appropriate systems </w:t>
      </w:r>
      <w:r>
        <w:fldChar w:fldCharType="begin"/>
      </w:r>
      <w:r>
        <w:instrText xml:space="preserve"> ADDIN EN.CITE &lt;EndNote&gt;&lt;Cite&gt;&lt;Author&gt;Mykhalovskiy&lt;/Author&gt;&lt;Year&gt;2004&lt;/Year&gt;&lt;RecNum&gt;291&lt;/RecNum&gt;&lt;DisplayText&gt;(Mykhalovskiy &amp;amp; Weir, 2004)&lt;/DisplayText&gt;&lt;record&gt;&lt;rec-number&gt;291&lt;/rec-number&gt;&lt;foreign-keys&gt;&lt;key app="EN" db-id="25rszwft292ev3esrpvpde0cpxrd9ex0xspp" timestamp="1600721856"&gt;291&lt;/key&gt;&lt;/foreign-keys&gt;&lt;ref-type name="Journal Article"&gt;17&lt;/ref-type&gt;&lt;contributors&gt;&lt;authors&gt;&lt;author&gt;Mykhalovskiy, Eric&lt;/author&gt;&lt;author&gt;Weir, Lorna&lt;/author&gt;&lt;/authors&gt;&lt;/contributors&gt;&lt;titles&gt;&lt;title&gt;The problem of evidence-based medicine: directions for social science&lt;/title&gt;&lt;secondary-title&gt;Social science &amp;amp; medicine&lt;/secondary-title&gt;&lt;/titles&gt;&lt;periodical&gt;&lt;full-title&gt;Social science &amp;amp; medicine&lt;/full-title&gt;&lt;/periodical&gt;&lt;pages&gt;1059-1069&lt;/pages&gt;&lt;volume&gt;59&lt;/volume&gt;&lt;number&gt;5&lt;/number&gt;&lt;dates&gt;&lt;year&gt;2004&lt;/year&gt;&lt;/dates&gt;&lt;isbn&gt;0277-9536&lt;/isbn&gt;&lt;urls&gt;&lt;/urls&gt;&lt;/record&gt;&lt;/Cite&gt;&lt;/EndNote&gt;</w:instrText>
      </w:r>
      <w:r>
        <w:fldChar w:fldCharType="separate"/>
      </w:r>
      <w:r>
        <w:rPr>
          <w:noProof/>
        </w:rPr>
        <w:t xml:space="preserve">(Mykhalovskiy &amp; Weir, </w:t>
      </w:r>
      <w:r>
        <w:rPr>
          <w:noProof/>
        </w:rPr>
        <w:lastRenderedPageBreak/>
        <w:t>2004)</w:t>
      </w:r>
      <w:r>
        <w:fldChar w:fldCharType="end"/>
      </w:r>
      <w:r>
        <w:t xml:space="preserve">. </w:t>
      </w:r>
      <w:r w:rsidRPr="00BA706C">
        <w:t>Expanding the range of approaches to FAO support that exist in practice</w:t>
      </w:r>
      <w:r>
        <w:t xml:space="preserve"> involves</w:t>
      </w:r>
      <w:r w:rsidRPr="00BA706C">
        <w:t xml:space="preserve"> a commitment to multiple </w:t>
      </w:r>
      <w:r>
        <w:t>ways of making sense of FAOs and their support needs. A key issue is opening up ways of thinking about support that conceptualise addiction and recovery beyond ‘problematic individuals’ in ways that work for families. T</w:t>
      </w:r>
      <w:r w:rsidRPr="007E18E0">
        <w:t xml:space="preserve">he ‘forgotten family’ </w:t>
      </w:r>
      <w:r>
        <w:t xml:space="preserve">in addiction services </w:t>
      </w:r>
      <w:r w:rsidRPr="007E18E0">
        <w:fldChar w:fldCharType="begin"/>
      </w:r>
      <w:r w:rsidRPr="007E18E0">
        <w:instrText xml:space="preserve"> ADDIN EN.CITE &lt;EndNote&gt;&lt;Cite&gt;&lt;Author&gt;Cooke&lt;/Author&gt;&lt;Year&gt;2007&lt;/Year&gt;&lt;RecNum&gt;80&lt;/RecNum&gt;&lt;Prefix&gt;e.g. &lt;/Prefix&gt;&lt;DisplayText&gt;(e.g. Cooke, 2007, 2018)&lt;/DisplayText&gt;&lt;record&gt;&lt;rec-number&gt;80&lt;/rec-number&gt;&lt;foreign-keys&gt;&lt;key app="EN" db-id="25rszwft292ev3esrpvpde0cpxrd9ex0xspp" timestamp="1551990294"&gt;80&lt;/key&gt;&lt;/foreign-keys&gt;&lt;ref-type name="Web Page"&gt;12&lt;/ref-type&gt;&lt;contributors&gt;&lt;authors&gt;&lt;author&gt;Cooke, Mary Anne&lt;/author&gt;&lt;/authors&gt;&lt;/contributors&gt;&lt;titles&gt;&lt;title&gt;The Forgotten Family&lt;/title&gt;&lt;/titles&gt;&lt;dates&gt;&lt;year&gt;2007&lt;/year&gt;&lt;/dates&gt;&lt;urls&gt;&lt;related-urls&gt;&lt;url&gt;https://www.acts.co.nz/Art-The-Forgotten-Family-Gambling-Additiction.php&lt;/url&gt;&lt;/related-urls&gt;&lt;/urls&gt;&lt;/record&gt;&lt;/Cite&gt;&lt;Cite&gt;&lt;Author&gt;Cooke&lt;/Author&gt;&lt;Year&gt;2018&lt;/Year&gt;&lt;RecNum&gt;81&lt;/RecNum&gt;&lt;record&gt;&lt;rec-number&gt;81&lt;/rec-number&gt;&lt;foreign-keys&gt;&lt;key app="EN" db-id="25rszwft292ev3esrpvpde0cpxrd9ex0xspp" timestamp="1551990505"&gt;81&lt;/key&gt;&lt;/foreign-keys&gt;&lt;ref-type name="Conference Paper"&gt;47&lt;/ref-type&gt;&lt;contributors&gt;&lt;authors&gt;&lt;author&gt;Cooke, Mary Anne&lt;/author&gt;&lt;/authors&gt;&lt;/contributors&gt;&lt;titles&gt;&lt;title&gt;Supporting Parents Healthy Children: Bringing that green book to life in addiction and minimising gambling harm services&lt;/title&gt;&lt;secondary-title&gt;International Gambling Conference&lt;/secondary-title&gt;&lt;/titles&gt;&lt;dates&gt;&lt;year&gt;2018&lt;/year&gt;&lt;/dates&gt;&lt;pub-location&gt;Auckland, New Zealand &lt;/pub-location&gt;&lt;urls&gt;&lt;related-urls&gt;&lt;url&gt;http://www.internationalgamblingconference.com/wp-content/uploads/2018/03/Supporting-parents-healthy-children...-Anna-Nelson-Bronwyn-Dunnachie-Mary-Anne-Cooke.pdf&lt;/url&gt;&lt;/related-urls&gt;&lt;/urls&gt;&lt;/record&gt;&lt;/Cite&gt;&lt;/EndNote&gt;</w:instrText>
      </w:r>
      <w:r w:rsidRPr="007E18E0">
        <w:fldChar w:fldCharType="separate"/>
      </w:r>
      <w:r w:rsidRPr="007E18E0">
        <w:t>(e.g. Cooke, 2007, 2018)</w:t>
      </w:r>
      <w:r w:rsidRPr="007E18E0">
        <w:fldChar w:fldCharType="end"/>
      </w:r>
      <w:r w:rsidRPr="007E18E0">
        <w:t xml:space="preserve"> has been linked to </w:t>
      </w:r>
      <w:r>
        <w:t>over-</w:t>
      </w:r>
      <w:r w:rsidRPr="007E18E0">
        <w:t xml:space="preserve">emphasis on addressing the ‘problem behaviour’ within individual psychological frameworks that prioritise medical and psychiatric expertise and devalue family experience and knowledge </w:t>
      </w:r>
      <w:r w:rsidRPr="007E18E0">
        <w:fldChar w:fldCharType="begin"/>
      </w:r>
      <w:r w:rsidR="001D57D0">
        <w:instrText xml:space="preserve"> ADDIN EN.CITE &lt;EndNote&gt;&lt;Cite&gt;&lt;Author&gt;Johnstone&lt;/Author&gt;&lt;Year&gt;2018&lt;/Year&gt;&lt;RecNum&gt;258&lt;/RecNum&gt;&lt;DisplayText&gt;(Adams, 2007a; Johnstone &amp;amp; Boyle, 2018)&lt;/DisplayText&gt;&lt;record&gt;&lt;rec-number&gt;258&lt;/rec-number&gt;&lt;foreign-keys&gt;&lt;key app="EN" db-id="25rszwft292ev3esrpvpde0cpxrd9ex0xspp" timestamp="1589932147"&gt;258&lt;/key&gt;&lt;/foreign-keys&gt;&lt;ref-type name="Journal Article"&gt;17&lt;/ref-type&gt;&lt;contributors&gt;&lt;authors&gt;&lt;author&gt;Johnstone, Lucy&lt;/author&gt;&lt;author&gt;Boyle, Mary&lt;/author&gt;&lt;/authors&gt;&lt;/contributors&gt;&lt;titles&gt;&lt;title&gt;The power threat meaning framework: An alternative nondiagnostic conceptual system&lt;/title&gt;&lt;secondary-title&gt;Journal of Humanistic Psychology&lt;/secondary-title&gt;&lt;/titles&gt;&lt;periodical&gt;&lt;full-title&gt;Journal of Humanistic Psychology&lt;/full-title&gt;&lt;/periodical&gt;&lt;pages&gt;0022167818793289&lt;/pages&gt;&lt;dates&gt;&lt;year&gt;2018&lt;/year&gt;&lt;/dates&gt;&lt;isbn&gt;0022-1678&lt;/isbn&gt;&lt;urls&gt;&lt;/urls&gt;&lt;/record&gt;&lt;/Cite&gt;&lt;Cite&gt;&lt;Author&gt;Adams&lt;/Author&gt;&lt;Year&gt;2007&lt;/Year&gt;&lt;RecNum&gt;224&lt;/RecNum&gt;&lt;record&gt;&lt;rec-number&gt;224&lt;/rec-number&gt;&lt;foreign-keys&gt;&lt;key app="EN" db-id="25rszwft292ev3esrpvpde0cpxrd9ex0xspp" timestamp="1589145904"&gt;224&lt;/key&gt;&lt;/foreign-keys&gt;&lt;ref-type name="Book"&gt;6&lt;/ref-type&gt;&lt;contributors&gt;&lt;authors&gt;&lt;author&gt;Adams, Peter&lt;/author&gt;&lt;/authors&gt;&lt;/contributors&gt;&lt;titles&gt;&lt;title&gt;Fragmented intimacy: Addiction in a social world&lt;/title&gt;&lt;/titles&gt;&lt;dates&gt;&lt;year&gt;2007&lt;/year&gt;&lt;/dates&gt;&lt;publisher&gt;Springer &lt;/publisher&gt;&lt;isbn&gt;0387726616&lt;/isbn&gt;&lt;urls&gt;&lt;/urls&gt;&lt;/record&gt;&lt;/Cite&gt;&lt;/EndNote&gt;</w:instrText>
      </w:r>
      <w:r w:rsidRPr="007E18E0">
        <w:fldChar w:fldCharType="separate"/>
      </w:r>
      <w:r w:rsidR="001D57D0">
        <w:rPr>
          <w:noProof/>
        </w:rPr>
        <w:t>(Adams, 2007a; Johnstone &amp; Boyle, 2018)</w:t>
      </w:r>
      <w:r w:rsidRPr="007E18E0">
        <w:fldChar w:fldCharType="end"/>
      </w:r>
      <w:r w:rsidRPr="007E18E0">
        <w:t>.</w:t>
      </w:r>
      <w:r>
        <w:t xml:space="preserve"> Adams </w:t>
      </w:r>
      <w:r>
        <w:fldChar w:fldCharType="begin"/>
      </w:r>
      <w:r w:rsidR="0039407A">
        <w:instrText xml:space="preserve"> ADDIN EN.CITE &lt;EndNote&gt;&lt;Cite ExcludeAuth="1"&gt;&lt;Author&gt;Adams&lt;/Author&gt;&lt;Year&gt;2007&lt;/Year&gt;&lt;RecNum&gt;224&lt;/RecNum&gt;&lt;DisplayText&gt;(2007a)&lt;/DisplayText&gt;&lt;record&gt;&lt;rec-number&gt;224&lt;/rec-number&gt;&lt;foreign-keys&gt;&lt;key app="EN" db-id="25rszwft292ev3esrpvpde0cpxrd9ex0xspp" timestamp="1589145904"&gt;224&lt;/key&gt;&lt;/foreign-keys&gt;&lt;ref-type name="Book"&gt;6&lt;/ref-type&gt;&lt;contributors&gt;&lt;authors&gt;&lt;author&gt;Adams, Peter&lt;/author&gt;&lt;/authors&gt;&lt;/contributors&gt;&lt;titles&gt;&lt;title&gt;Fragmented intimacy: Addiction in a social world&lt;/title&gt;&lt;/titles&gt;&lt;dates&gt;&lt;year&gt;2007&lt;/year&gt;&lt;/dates&gt;&lt;publisher&gt;Springer &lt;/publisher&gt;&lt;isbn&gt;0387726616&lt;/isbn&gt;&lt;urls&gt;&lt;/urls&gt;&lt;/record&gt;&lt;/Cite&gt;&lt;/EndNote&gt;</w:instrText>
      </w:r>
      <w:r>
        <w:fldChar w:fldCharType="separate"/>
      </w:r>
      <w:r w:rsidR="0039407A">
        <w:rPr>
          <w:noProof/>
        </w:rPr>
        <w:t>(2007a)</w:t>
      </w:r>
      <w:r>
        <w:fldChar w:fldCharType="end"/>
      </w:r>
      <w:r>
        <w:t xml:space="preserve"> described how dominant ways of conceptualising people affected by addictions (as individual ‘particles’ to which psychological, biological and social factors are attached) tend to crowd out sociocultural perspectives and approaches which focus on the reflexive nature of relationships between individuals in their family and community contexts. </w:t>
      </w:r>
      <w:bookmarkStart w:id="107" w:name="_Hlk51662401"/>
    </w:p>
    <w:bookmarkEnd w:id="107"/>
    <w:p w14:paraId="703BBF71" w14:textId="77777777" w:rsidR="00D50B98" w:rsidRDefault="00D50B98" w:rsidP="00D50B98">
      <w:pPr>
        <w:jc w:val="both"/>
      </w:pPr>
    </w:p>
    <w:p w14:paraId="3F2C558D" w14:textId="12F59523" w:rsidR="00D50B98" w:rsidRDefault="00D50B98" w:rsidP="00D50B98">
      <w:pPr>
        <w:jc w:val="both"/>
      </w:pPr>
      <w:r>
        <w:t xml:space="preserve">Making visible a range of approaches is key to enhancing the ability of </w:t>
      </w:r>
      <w:r w:rsidRPr="00BA706C">
        <w:t>FAO</w:t>
      </w:r>
      <w:r>
        <w:t xml:space="preserve">s to choose the approach that is right for them, and enhancing person and family-centredness in mental health </w:t>
      </w:r>
      <w:r>
        <w:fldChar w:fldCharType="begin"/>
      </w:r>
      <w:r w:rsidR="00042DC4">
        <w:instrText xml:space="preserve"> ADDIN EN.CITE &lt;EndNote&gt;&lt;Cite&gt;&lt;Author&gt;Hummelvoll&lt;/Author&gt;&lt;Year&gt;2015&lt;/Year&gt;&lt;RecNum&gt;112&lt;/RecNum&gt;&lt;DisplayText&gt;(Hummelvoll, Karlsson, &amp;amp; Borg, 2015)&lt;/DisplayText&gt;&lt;record&gt;&lt;rec-number&gt;112&lt;/rec-number&gt;&lt;foreign-keys&gt;&lt;key app="EN" db-id="25rszwft292ev3esrpvpde0cpxrd9ex0xspp" timestamp="1584496423"&gt;112&lt;/key&gt;&lt;/foreign-keys&gt;&lt;ref-type name="Journal Article"&gt;17&lt;/ref-type&gt;&lt;contributors&gt;&lt;authors&gt;&lt;author&gt;Hummelvoll, Jan Kåre&lt;/author&gt;&lt;author&gt;Karlsson, Bengt&lt;/author&gt;&lt;author&gt;Borg, Marit&lt;/author&gt;&lt;/authors&gt;&lt;/contributors&gt;&lt;titles&gt;&lt;title&gt;Recovery and person-centredness in mental health services: roots of the concepts and implications for practice&lt;/title&gt;&lt;secondary-title&gt;International Practice Development Journal&lt;/secondary-title&gt;&lt;/titles&gt;&lt;periodical&gt;&lt;full-title&gt;International Practice Development Journal&lt;/full-title&gt;&lt;/periodical&gt;&lt;volume&gt;5&lt;/volume&gt;&lt;dates&gt;&lt;year&gt;2015&lt;/year&gt;&lt;/dates&gt;&lt;isbn&gt;2046-9292&lt;/isbn&gt;&lt;urls&gt;&lt;/urls&gt;&lt;/record&gt;&lt;/Cite&gt;&lt;/EndNote&gt;</w:instrText>
      </w:r>
      <w:r>
        <w:fldChar w:fldCharType="separate"/>
      </w:r>
      <w:r w:rsidR="00042DC4">
        <w:rPr>
          <w:noProof/>
        </w:rPr>
        <w:t>(Hummelvoll, Karlsson, &amp; Borg, 2015)</w:t>
      </w:r>
      <w:r>
        <w:fldChar w:fldCharType="end"/>
      </w:r>
      <w:r>
        <w:t xml:space="preserve">. Sociocultural and individual approaches can wrap around each other in service provision, provided that those involved are committed and also clear on the theoretical underpinnings of practice </w:t>
      </w:r>
      <w:r>
        <w:fldChar w:fldCharType="begin">
          <w:fldData xml:space="preserve">PEVuZE5vdGU+PENpdGU+PEF1dGhvcj5IdXJpd2FpPC9BdXRob3I+PFllYXI+MjAwMjwvWWVhcj48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</w:fldData>
        </w:fldChar>
      </w:r>
      <w:r w:rsidR="001D57D0">
        <w:instrText xml:space="preserve"> ADDIN EN.CITE </w:instrText>
      </w:r>
      <w:r w:rsidR="001D57D0">
        <w:fldChar w:fldCharType="begin">
          <w:fldData xml:space="preserve">PEVuZE5vdGU+PENpdGU+PEF1dGhvcj5IdXJpd2FpPC9BdXRob3I+PFllYXI+MjAwMjwvWWVhcj48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</w:fldData>
        </w:fldChar>
      </w:r>
      <w:r w:rsidR="001D57D0">
        <w:instrText xml:space="preserve"> ADDIN EN.CITE.DATA </w:instrText>
      </w:r>
      <w:r w:rsidR="001D57D0">
        <w:fldChar w:fldCharType="end"/>
      </w:r>
      <w:r>
        <w:fldChar w:fldCharType="separate"/>
      </w:r>
      <w:r w:rsidR="001D57D0">
        <w:rPr>
          <w:noProof/>
        </w:rPr>
        <w:t>(Adams, 2007a, 2016; Huriwai, 2002)</w:t>
      </w:r>
      <w:r>
        <w:fldChar w:fldCharType="end"/>
      </w:r>
      <w:r>
        <w:t xml:space="preserve">. Multiple ways of looking at things enable all parties involved to become aware of their assumptions, and to be challenged to reflect and justify their various positions </w:t>
      </w:r>
      <w:r>
        <w:fldChar w:fldCharType="begin"/>
      </w:r>
      <w:r w:rsidR="001D57D0">
        <w:instrText xml:space="preserve"> ADDIN EN.CITE &lt;EndNote&gt;&lt;Cite&gt;&lt;Author&gt;Adams&lt;/Author&gt;&lt;Year&gt;2007&lt;/Year&gt;&lt;RecNum&gt;224&lt;/RecNum&gt;&lt;DisplayText&gt;(Adams, 2007a)&lt;/DisplayText&gt;&lt;record&gt;&lt;rec-number&gt;224&lt;/rec-number&gt;&lt;foreign-keys&gt;&lt;key app="EN" db-id="25rszwft292ev3esrpvpde0cpxrd9ex0xspp" timestamp="1589145904"&gt;224&lt;/key&gt;&lt;/foreign-keys&gt;&lt;ref-type name="Book"&gt;6&lt;/ref-type&gt;&lt;contributors&gt;&lt;authors&gt;&lt;author&gt;Adams, Peter&lt;/author&gt;&lt;/authors&gt;&lt;/contributors&gt;&lt;titles&gt;&lt;title&gt;Fragmented intimacy: Addiction in a social world&lt;/title&gt;&lt;/titles&gt;&lt;dates&gt;&lt;year&gt;2007&lt;/year&gt;&lt;/dates&gt;&lt;publisher&gt;Springer &lt;/publisher&gt;&lt;isbn&gt;0387726616&lt;/isbn&gt;&lt;urls&gt;&lt;/urls&gt;&lt;/record&gt;&lt;/Cite&gt;&lt;/EndNote&gt;</w:instrText>
      </w:r>
      <w:r>
        <w:fldChar w:fldCharType="separate"/>
      </w:r>
      <w:r w:rsidR="001D57D0">
        <w:rPr>
          <w:noProof/>
        </w:rPr>
        <w:t>(Adams, 2007a)</w:t>
      </w:r>
      <w:r>
        <w:fldChar w:fldCharType="end"/>
      </w:r>
      <w:r>
        <w:t>.</w:t>
      </w:r>
      <w:r w:rsidRPr="00E6268A">
        <w:t xml:space="preserve"> </w:t>
      </w:r>
      <w:r w:rsidRPr="00D12935">
        <w:t xml:space="preserve">Discussion of the influence of culture and values in </w:t>
      </w:r>
      <w:r>
        <w:t>support</w:t>
      </w:r>
      <w:r w:rsidRPr="00D12935">
        <w:t xml:space="preserve"> and </w:t>
      </w:r>
      <w:r>
        <w:t>recovery</w:t>
      </w:r>
      <w:r w:rsidRPr="00D12935">
        <w:t xml:space="preserve"> can be controversial</w:t>
      </w:r>
      <w:r>
        <w:t xml:space="preserve"> and uncomfortable: however research has consistently demonstrated how societal culture and values structure what services are available, produce unconscious bias in healthcare provision and construct the intended goal/s of support and intervention </w:t>
      </w:r>
      <w:r>
        <w:fldChar w:fldCharType="begin">
          <w:fldData xml:space="preserve">PEVuZE5vdGU+PENpdGU+PEF1dGhvcj5GaXR6R2VyYWxkPC9BdXRob3I+PFllYXI+MjAxNzwvWWVh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</w:fldData>
        </w:fldChar>
      </w:r>
      <w:r w:rsidR="00CE7584">
        <w:instrText xml:space="preserve"> ADDIN EN.CITE </w:instrText>
      </w:r>
      <w:r w:rsidR="00CE7584">
        <w:fldChar w:fldCharType="begin">
          <w:fldData xml:space="preserve">PEVuZE5vdGU+PENpdGU+PEF1dGhvcj5GaXR6R2VyYWxkPC9BdXRob3I+PFllYXI+MjAxNzwvWWVh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</w:fldData>
        </w:fldChar>
      </w:r>
      <w:r w:rsidR="00CE7584">
        <w:instrText xml:space="preserve"> ADDIN EN.CITE.DATA </w:instrText>
      </w:r>
      <w:r w:rsidR="00CE7584">
        <w:fldChar w:fldCharType="end"/>
      </w:r>
      <w:r>
        <w:fldChar w:fldCharType="separate"/>
      </w:r>
      <w:r w:rsidR="00CE7584">
        <w:rPr>
          <w:noProof/>
        </w:rPr>
        <w:t>(Cassell, 1998; FitzGerald &amp; Hurst, 2017; Stephens, Porter, Nettleton, &amp; Willis, 2006)</w:t>
      </w:r>
      <w:r>
        <w:fldChar w:fldCharType="end"/>
      </w:r>
      <w:r>
        <w:t xml:space="preserve">. For example, </w:t>
      </w:r>
      <w:r w:rsidRPr="00CE7B3B">
        <w:rPr>
          <w:lang w:val="en-US"/>
        </w:rPr>
        <w:t>Māori in Aotearoa New Zealand have seen the individualized nature of Western treatment systems creating access barriers and poorer outcomes when compared to treatment that encompasses vital cultural concepts such as whānau (family systems) and wairua (spirit)</w:t>
      </w:r>
      <w:r>
        <w:rPr>
          <w:lang w:val="en-US"/>
        </w:rPr>
        <w:t xml:space="preserve"> </w:t>
      </w:r>
      <w:r>
        <w:rPr>
          <w:lang w:val="en-US"/>
        </w:rPr>
        <w:fldChar w:fldCharType="begin"/>
      </w:r>
      <w:r w:rsidR="008454DB">
        <w:rPr>
          <w:lang w:val="en-US"/>
        </w:rPr>
        <w:instrText xml:space="preserve"> ADDIN EN.CITE &lt;EndNote&gt;&lt;Cite&gt;&lt;Author&gt;Graham&lt;/Author&gt;&lt;Year&gt;2020&lt;/Year&gt;&lt;RecNum&gt;292&lt;/RecNum&gt;&lt;DisplayText&gt;(R. Graham &amp;amp; Masters‐Awatere, 2020; Patterson et al., 2018)&lt;/DisplayText&gt;&lt;record&gt;&lt;rec-number&gt;292&lt;/rec-number&gt;&lt;foreign-keys&gt;&lt;key app="EN" db-id="25rszwft292ev3esrpvpde0cpxrd9ex0xspp" timestamp="1600722382"&gt;292&lt;/key&gt;&lt;/foreign-keys&gt;&lt;ref-type name="Journal Article"&gt;17&lt;/ref-type&gt;&lt;contributors&gt;&lt;authors&gt;&lt;author&gt;Graham, Rebekah&lt;/author&gt;&lt;author&gt;Masters‐Awatere, Bridgette&lt;/author&gt;&lt;/authors&gt;&lt;/contributors&gt;&lt;titles&gt;&lt;title&gt;Experiences of Māori of Aotearoa New Zealand&amp;apos;s public health system: a systematic review of two decades of published qualitative research&lt;/title&gt;&lt;secondary-title&gt;Australian and New Zealand Journal of Public Health&lt;/secondary-title&gt;&lt;/titles&gt;&lt;periodical&gt;&lt;full-title&gt;Australian and New Zealand Journal of Public Health&lt;/full-title&gt;&lt;/periodical&gt;&lt;pages&gt;193-200&lt;/pages&gt;&lt;volume&gt;44&lt;/volume&gt;&lt;number&gt;3&lt;/number&gt;&lt;dates&gt;&lt;year&gt;2020&lt;/year&gt;&lt;/dates&gt;&lt;isbn&gt;1326-0200&lt;/isbn&gt;&lt;urls&gt;&lt;/urls&gt;&lt;/record&gt;&lt;/Cite&gt;&lt;Cite&gt;&lt;Author&gt;Patterson&lt;/Author&gt;&lt;Year&gt;2018&lt;/Year&gt;&lt;RecNum&gt;240&lt;/RecNum&gt;&lt;record&gt;&lt;rec-number&gt;240&lt;/rec-number&gt;&lt;foreign-keys&gt;&lt;key app="EN" db-id="25rszwft292ev3esrpvpde0cpxrd9ex0xspp" timestamp="1589319428"&gt;240&lt;/key&gt;&lt;/foreign-keys&gt;&lt;ref-type name="Journal Article"&gt;17&lt;/ref-type&gt;&lt;contributors&gt;&lt;authors&gt;&lt;author&gt;Patterson, R&lt;/author&gt;&lt;author&gt;Durie, M&lt;/author&gt;&lt;author&gt;Disley, B&lt;/author&gt;&lt;author&gt;Tiatia-Seath, Sipaea&lt;/author&gt;&lt;author&gt;Tualamali&amp;apos;i, J&lt;/author&gt;&lt;/authors&gt;&lt;/contributors&gt;&lt;titles&gt;&lt;title&gt;He Ara Oranga: Report of the government inquiry into mental health and addiction&lt;/title&gt;&lt;/titles&gt;&lt;dates&gt;&lt;year&gt;2018&lt;/year&gt;&lt;/dates&gt;&lt;isbn&gt;0994124538&lt;/isbn&gt;&lt;urls&gt;&lt;/urls&gt;&lt;/record&gt;&lt;/Cite&gt;&lt;/EndNote&gt;</w:instrText>
      </w:r>
      <w:r>
        <w:rPr>
          <w:lang w:val="en-US"/>
        </w:rPr>
        <w:fldChar w:fldCharType="separate"/>
      </w:r>
      <w:r w:rsidR="008454DB">
        <w:rPr>
          <w:noProof/>
          <w:lang w:val="en-US"/>
        </w:rPr>
        <w:t>(R. Graham &amp; Masters‐Awatere, 2020; Patterson et al., 2018)</w:t>
      </w:r>
      <w:r>
        <w:rPr>
          <w:lang w:val="en-US"/>
        </w:rPr>
        <w:fldChar w:fldCharType="end"/>
      </w:r>
      <w:r>
        <w:rPr>
          <w:lang w:val="en-US"/>
        </w:rPr>
        <w:t>. P</w:t>
      </w:r>
      <w:r w:rsidRPr="00F334D8">
        <w:t xml:space="preserve">luralistic </w:t>
      </w:r>
      <w:r>
        <w:t xml:space="preserve">FAO support </w:t>
      </w:r>
      <w:r w:rsidRPr="00F334D8">
        <w:t>environments</w:t>
      </w:r>
      <w:r>
        <w:t xml:space="preserve"> and systems </w:t>
      </w:r>
      <w:r w:rsidRPr="00F334D8">
        <w:t xml:space="preserve">require </w:t>
      </w:r>
      <w:r>
        <w:t>conscious</w:t>
      </w:r>
      <w:r w:rsidRPr="00F334D8">
        <w:t xml:space="preserve"> effort and commitment to </w:t>
      </w:r>
      <w:r w:rsidR="0096622A" w:rsidRPr="00F334D8">
        <w:t>maintain</w:t>
      </w:r>
      <w:r w:rsidR="0096622A">
        <w:t xml:space="preserve"> and</w:t>
      </w:r>
      <w:r>
        <w:t xml:space="preserve"> should be supported by appropriate policy</w:t>
      </w:r>
      <w:r w:rsidR="00E75281">
        <w:t xml:space="preserve"> </w:t>
      </w:r>
      <w:r w:rsidR="00FE6EBD">
        <w:t>and evaluation</w:t>
      </w:r>
      <w:r>
        <w:t xml:space="preserve">. </w:t>
      </w:r>
    </w:p>
    <w:p w14:paraId="22DAD3AC" w14:textId="77777777" w:rsidR="00D50B98" w:rsidRDefault="00D50B98" w:rsidP="00D50B98">
      <w:pPr>
        <w:jc w:val="both"/>
      </w:pPr>
    </w:p>
    <w:p w14:paraId="3FF731F8" w14:textId="77777777" w:rsidR="00D50B98" w:rsidRDefault="00D50B98" w:rsidP="00821838">
      <w:pPr>
        <w:pStyle w:val="Heading4"/>
      </w:pPr>
      <w:r>
        <w:t>Participatory research, service design and evaluation</w:t>
      </w:r>
    </w:p>
    <w:p w14:paraId="0944D1B0" w14:textId="19A0445A" w:rsidR="00D50B98" w:rsidRDefault="00D50B98" w:rsidP="00D50B98">
      <w:pPr>
        <w:jc w:val="both"/>
      </w:pPr>
      <w:r w:rsidRPr="001C6EB7">
        <w:t xml:space="preserve">There is a dual need to explore current </w:t>
      </w:r>
      <w:r>
        <w:t>support</w:t>
      </w:r>
      <w:r w:rsidRPr="001C6EB7">
        <w:t xml:space="preserve"> practice more deeply, and </w:t>
      </w:r>
      <w:r>
        <w:t>to further</w:t>
      </w:r>
      <w:r w:rsidRPr="001C6EB7">
        <w:t xml:space="preserve"> </w:t>
      </w:r>
      <w:r>
        <w:t>understanding of</w:t>
      </w:r>
      <w:r w:rsidRPr="001C6EB7">
        <w:t xml:space="preserve"> </w:t>
      </w:r>
      <w:r>
        <w:t xml:space="preserve">quality and </w:t>
      </w:r>
      <w:r w:rsidRPr="001C6EB7">
        <w:t xml:space="preserve">effective </w:t>
      </w:r>
      <w:r>
        <w:t>support for</w:t>
      </w:r>
      <w:r w:rsidRPr="001C6EB7">
        <w:t xml:space="preserve"> FAOs. </w:t>
      </w:r>
      <w:r>
        <w:t xml:space="preserve">In present services much of what is talked about, decided upon and done is based around the views, perspectives and culture of service systems and professionals </w:t>
      </w:r>
      <w:r w:rsidR="0096622A">
        <w:fldChar w:fldCharType="begin">
          <w:fldData xml:space="preserve">PEVuZE5vdGU+PENpdGU+PEF1dGhvcj5PcmZvcmQ8L0F1dGhvcj48WWVhcj4yMDA5PC9ZZWFyPjxS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</w:fldData>
        </w:fldChar>
      </w:r>
      <w:r w:rsidR="0096622A">
        <w:instrText xml:space="preserve"> ADDIN EN.CITE </w:instrText>
      </w:r>
      <w:r w:rsidR="0096622A">
        <w:fldChar w:fldCharType="begin">
          <w:fldData xml:space="preserve">PEVuZE5vdGU+PENpdGU+PEF1dGhvcj5PcmZvcmQ8L0F1dGhvcj48WWVhcj4yMDA5PC9ZZWFyPjxS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</w:fldData>
        </w:fldChar>
      </w:r>
      <w:r w:rsidR="0096622A">
        <w:instrText xml:space="preserve"> ADDIN EN.CITE.DATA </w:instrText>
      </w:r>
      <w:r w:rsidR="0096622A">
        <w:fldChar w:fldCharType="end"/>
      </w:r>
      <w:r w:rsidR="0096622A">
        <w:fldChar w:fldCharType="separate"/>
      </w:r>
      <w:r w:rsidR="0096622A">
        <w:rPr>
          <w:noProof/>
        </w:rPr>
        <w:t>(Borg &amp; Karlsson, 2017; Hampson, 2012; Orford et al., 2009)</w:t>
      </w:r>
      <w:r w:rsidR="0096622A">
        <w:fldChar w:fldCharType="end"/>
      </w:r>
      <w:r>
        <w:t xml:space="preserve">. The belief in and power of expertise is problematic if we are to </w:t>
      </w:r>
      <w:r w:rsidR="00E75281">
        <w:t>make</w:t>
      </w:r>
      <w:r>
        <w:t xml:space="preserve"> collaboration and dialogues with families</w:t>
      </w:r>
      <w:r w:rsidR="00E75281">
        <w:t xml:space="preserve"> a key component</w:t>
      </w:r>
      <w:r>
        <w:t xml:space="preserve">. Meeting the person as an autonomous individual in her/his social and cultural context involves developing collaborative partnerships. Harlene Anderson </w:t>
      </w:r>
      <w:r>
        <w:fldChar w:fldCharType="begin"/>
      </w:r>
      <w:r>
        <w:instrText xml:space="preserve"> ADDIN EN.CITE &lt;EndNote&gt;&lt;Cite ExcludeAuth="1"&gt;&lt;Author&gt;Anderson&lt;/Author&gt;&lt;Year&gt;2016&lt;/Year&gt;&lt;RecNum&gt;298&lt;/RecNum&gt;&lt;DisplayText&gt;(2016)&lt;/DisplayText&gt;&lt;record&gt;&lt;rec-number&gt;298&lt;/rec-number&gt;&lt;foreign-keys&gt;&lt;key app="EN" db-id="25rszwft292ev3esrpvpde0cpxrd9ex0xspp" timestamp="1600728904"&gt;298&lt;/key&gt;&lt;/foreign-keys&gt;&lt;ref-type name="Journal Article"&gt;17&lt;/ref-type&gt;&lt;contributors&gt;&lt;authors&gt;&lt;author&gt;Anderson, Harlene&lt;/author&gt;&lt;/authors&gt;&lt;/contributors&gt;&lt;titles&gt;&lt;title&gt;Listening, hearing and speaking: Brief thoughts on the relationship to dialogue&lt;/title&gt;&lt;secondary-title&gt;Psychological Opinions&lt;/secondary-title&gt;&lt;/titles&gt;&lt;periodical&gt;&lt;full-title&gt;Psychological Opinions&lt;/full-title&gt;&lt;/periodical&gt;&lt;pages&gt;10-14&lt;/pages&gt;&lt;volume&gt;7&lt;/volume&gt;&lt;dates&gt;&lt;year&gt;2016&lt;/year&gt;&lt;/dates&gt;&lt;urls&gt;&lt;/urls&gt;&lt;/record&gt;&lt;/Cite&gt;&lt;/EndNote&gt;</w:instrText>
      </w:r>
      <w:r>
        <w:fldChar w:fldCharType="separate"/>
      </w:r>
      <w:r>
        <w:rPr>
          <w:noProof/>
        </w:rPr>
        <w:t>(2016)</w:t>
      </w:r>
      <w:r>
        <w:fldChar w:fldCharType="end"/>
      </w:r>
      <w:r>
        <w:t xml:space="preserve"> developed the concept of dialogue in mental health service provision to include the notions of mutual inquiry, relational and social competence, privileging the wisdom and expertise of the person and his/her network, and learning to live with uncertainty</w:t>
      </w:r>
      <w:r w:rsidR="00E75281">
        <w:t xml:space="preserve">. To be </w:t>
      </w:r>
      <w:r w:rsidR="00E75281">
        <w:lastRenderedPageBreak/>
        <w:t xml:space="preserve">avoided are quick and </w:t>
      </w:r>
      <w:r>
        <w:t xml:space="preserve">premature decisions and letting procedures stand in the way of the person’s </w:t>
      </w:r>
      <w:r w:rsidR="00E75281">
        <w:t xml:space="preserve">recovery and </w:t>
      </w:r>
      <w:r>
        <w:t xml:space="preserve">life. </w:t>
      </w:r>
    </w:p>
    <w:p w14:paraId="302CF134" w14:textId="77777777" w:rsidR="00D50B98" w:rsidRDefault="00D50B98" w:rsidP="00D50B98">
      <w:pPr>
        <w:jc w:val="both"/>
      </w:pPr>
    </w:p>
    <w:p w14:paraId="472E2E6F" w14:textId="7C6F615B" w:rsidR="00D50B98" w:rsidRDefault="00D50B98" w:rsidP="00D50B98">
      <w:pPr>
        <w:jc w:val="both"/>
      </w:pPr>
      <w:r>
        <w:t xml:space="preserve">Community based and participatory research, service design and evaluation was strongly advocated by the panel, and is currently rare in the addictions field in comparison to broader mental health </w:t>
      </w:r>
      <w:r>
        <w:fldChar w:fldCharType="begin"/>
      </w:r>
      <w:r>
        <w:instrText xml:space="preserve"> ADDIN EN.CITE &lt;EndNote&gt;&lt;Cite&gt;&lt;Author&gt;Nieweglowski&lt;/Author&gt;&lt;Year&gt;2018&lt;/Year&gt;&lt;RecNum&gt;296&lt;/RecNum&gt;&lt;DisplayText&gt;(Nieweglowski et al., 2018)&lt;/DisplayText&gt;&lt;record&gt;&lt;rec-number&gt;296&lt;/rec-number&gt;&lt;foreign-keys&gt;&lt;key app="EN" db-id="25rszwft292ev3esrpvpde0cpxrd9ex0xspp" timestamp="1600724278"&gt;296&lt;/key&gt;&lt;/foreign-keys&gt;&lt;ref-type name="Journal Article"&gt;17&lt;/ref-type&gt;&lt;contributors&gt;&lt;authors&gt;&lt;author&gt;Nieweglowski, Katherine&lt;/author&gt;&lt;author&gt;Corrigan, Patrick W&lt;/author&gt;&lt;author&gt;Tyas, Tri&lt;/author&gt;&lt;author&gt;Tooley, Anastasia&lt;/author&gt;&lt;author&gt;Dubke, Rachel&lt;/author&gt;&lt;author&gt;Lara, Juana&lt;/author&gt;&lt;author&gt;Washington, Lorenzo&lt;/author&gt;&lt;author&gt;Sayer, Janis&lt;/author&gt;&lt;author&gt;Sheehan, Lindsay&lt;/author&gt;&lt;author&gt;Addiction Stigma Research Team&lt;/author&gt;&lt;/authors&gt;&lt;/contributors&gt;&lt;titles&gt;&lt;title&gt;Exploring the public stigma of substance use disorder through community-based participatory research&lt;/title&gt;&lt;secondary-title&gt;Addiction Research &amp;amp; Theory&lt;/secondary-title&gt;&lt;/titles&gt;&lt;periodical&gt;&lt;full-title&gt;Addiction Research &amp;amp; Theory&lt;/full-title&gt;&lt;/periodical&gt;&lt;pages&gt;323-329&lt;/pages&gt;&lt;volume&gt;26&lt;/volume&gt;&lt;number&gt;4&lt;/number&gt;&lt;dates&gt;&lt;year&gt;2018&lt;/year&gt;&lt;/dates&gt;&lt;isbn&gt;1606-6359&lt;/isbn&gt;&lt;urls&gt;&lt;/urls&gt;&lt;/record&gt;&lt;/Cite&gt;&lt;/EndNote&gt;</w:instrText>
      </w:r>
      <w:r>
        <w:fldChar w:fldCharType="separate"/>
      </w:r>
      <w:r>
        <w:rPr>
          <w:noProof/>
        </w:rPr>
        <w:t>(Nieweglowski et al., 2018)</w:t>
      </w:r>
      <w:r>
        <w:fldChar w:fldCharType="end"/>
      </w:r>
      <w:r>
        <w:t xml:space="preserve">. </w:t>
      </w:r>
      <w:r w:rsidRPr="001C6EB7">
        <w:t>Participatory research, service design and evaluation</w:t>
      </w:r>
      <w:r>
        <w:t xml:space="preserve"> i</w:t>
      </w:r>
      <w:r w:rsidRPr="001C6EB7">
        <w:t>ncludes people with lived health conditions, family members and service providers, as active constituents in the process</w:t>
      </w:r>
      <w:r>
        <w:t xml:space="preserve"> </w:t>
      </w:r>
      <w:r>
        <w:fldChar w:fldCharType="begin"/>
      </w:r>
      <w:r>
        <w:instrText xml:space="preserve"> ADDIN EN.CITE &lt;EndNote&gt;&lt;Cite&gt;&lt;Author&gt;Wallerstein&lt;/Author&gt;&lt;Year&gt;2020&lt;/Year&gt;&lt;RecNum&gt;299&lt;/RecNum&gt;&lt;DisplayText&gt;(Wallerstein et al., 2020)&lt;/DisplayText&gt;&lt;record&gt;&lt;rec-number&gt;299&lt;/rec-number&gt;&lt;foreign-keys&gt;&lt;key app="EN" db-id="25rszwft292ev3esrpvpde0cpxrd9ex0xspp" timestamp="1600729192"&gt;299&lt;/key&gt;&lt;/foreign-keys&gt;&lt;ref-type name="Journal Article"&gt;17&lt;/ref-type&gt;&lt;contributors&gt;&lt;authors&gt;&lt;author&gt;Wallerstein, Nina&lt;/author&gt;&lt;author&gt;Oetzel, John G&lt;/author&gt;&lt;author&gt;Sanchez-Youngman, Shannon&lt;/author&gt;&lt;author&gt;Boursaw, Blake&lt;/author&gt;&lt;author&gt;Dickson, Elizabeth&lt;/author&gt;&lt;author&gt;Kastelic, Sarah&lt;/author&gt;&lt;author&gt;Koegel, Paul&lt;/author&gt;&lt;author&gt;Lucero, Julie E&lt;/author&gt;&lt;author&gt;Magarati, Maya&lt;/author&gt;&lt;author&gt;Ortiz, Kasim&lt;/author&gt;&lt;/authors&gt;&lt;/contributors&gt;&lt;titles&gt;&lt;title&gt;Engage for equity: A long-term study of community-based participatory research and community-engaged research practices and outcomes&lt;/title&gt;&lt;secondary-title&gt;Health Education &amp;amp; Behavior&lt;/secondary-title&gt;&lt;/titles&gt;&lt;periodical&gt;&lt;full-title&gt;Health Education &amp;amp; Behavior&lt;/full-title&gt;&lt;/periodical&gt;&lt;pages&gt;380-390&lt;/pages&gt;&lt;volume&gt;47&lt;/volume&gt;&lt;number&gt;3&lt;/number&gt;&lt;dates&gt;&lt;year&gt;2020&lt;/year&gt;&lt;/dates&gt;&lt;isbn&gt;1090-1981&lt;/isbn&gt;&lt;urls&gt;&lt;/urls&gt;&lt;/record&gt;&lt;/Cite&gt;&lt;/EndNote&gt;</w:instrText>
      </w:r>
      <w:r>
        <w:fldChar w:fldCharType="separate"/>
      </w:r>
      <w:r>
        <w:rPr>
          <w:noProof/>
        </w:rPr>
        <w:t>(Wallerstein et al., 2020)</w:t>
      </w:r>
      <w:r>
        <w:fldChar w:fldCharType="end"/>
      </w:r>
      <w:r w:rsidRPr="001C6EB7">
        <w:t xml:space="preserve">. </w:t>
      </w:r>
      <w:r>
        <w:t>Teams of stakeholders</w:t>
      </w:r>
      <w:r w:rsidRPr="001C6EB7">
        <w:t xml:space="preserve"> work together to </w:t>
      </w:r>
      <w:r>
        <w:t>generate insight</w:t>
      </w:r>
      <w:r w:rsidRPr="001C6EB7">
        <w:t xml:space="preserve"> </w:t>
      </w:r>
      <w:r>
        <w:t xml:space="preserve">for practice </w:t>
      </w:r>
      <w:r w:rsidRPr="001C6EB7">
        <w:t xml:space="preserve">that may be </w:t>
      </w:r>
      <w:r>
        <w:t>missed</w:t>
      </w:r>
      <w:r w:rsidRPr="001C6EB7">
        <w:t xml:space="preserve"> without such community involvement. The core principles of this active </w:t>
      </w:r>
      <w:r>
        <w:t>inquiry</w:t>
      </w:r>
      <w:r w:rsidRPr="001C6EB7">
        <w:t xml:space="preserve"> process </w:t>
      </w:r>
      <w:r>
        <w:t>are</w:t>
      </w:r>
      <w:r w:rsidRPr="001C6EB7">
        <w:t>: participation of community members, cooperation and equal contribution between community members</w:t>
      </w:r>
      <w:r>
        <w:t xml:space="preserve">, </w:t>
      </w:r>
      <w:r w:rsidRPr="001C6EB7">
        <w:t>researchers</w:t>
      </w:r>
      <w:r>
        <w:t xml:space="preserve"> and service providers</w:t>
      </w:r>
      <w:r w:rsidRPr="001C6EB7">
        <w:t xml:space="preserve">, co-learning, systems development and local community capacity building, empowerment, and a balance between </w:t>
      </w:r>
      <w:r>
        <w:t>inquiry</w:t>
      </w:r>
      <w:r w:rsidRPr="001C6EB7">
        <w:t xml:space="preserve"> and action </w:t>
      </w:r>
      <w:r>
        <w:fldChar w:fldCharType="begin"/>
      </w:r>
      <w:r>
        <w:instrText xml:space="preserve"> ADDIN EN.CITE &lt;EndNote&gt;&lt;Cite&gt;&lt;Author&gt;Wallerstein&lt;/Author&gt;&lt;Year&gt;2020&lt;/Year&gt;&lt;RecNum&gt;299&lt;/RecNum&gt;&lt;DisplayText&gt;(Wallerstein et al., 2020)&lt;/DisplayText&gt;&lt;record&gt;&lt;rec-number&gt;299&lt;/rec-number&gt;&lt;foreign-keys&gt;&lt;key app="EN" db-id="25rszwft292ev3esrpvpde0cpxrd9ex0xspp" timestamp="1600729192"&gt;299&lt;/key&gt;&lt;/foreign-keys&gt;&lt;ref-type name="Journal Article"&gt;17&lt;/ref-type&gt;&lt;contributors&gt;&lt;authors&gt;&lt;author&gt;Wallerstein, Nina&lt;/author&gt;&lt;author&gt;Oetzel, John G&lt;/author&gt;&lt;author&gt;Sanchez-Youngman, Shannon&lt;/author&gt;&lt;author&gt;Boursaw, Blake&lt;/author&gt;&lt;author&gt;Dickson, Elizabeth&lt;/author&gt;&lt;author&gt;Kastelic, Sarah&lt;/author&gt;&lt;author&gt;Koegel, Paul&lt;/author&gt;&lt;author&gt;Lucero, Julie E&lt;/author&gt;&lt;author&gt;Magarati, Maya&lt;/author&gt;&lt;author&gt;Ortiz, Kasim&lt;/author&gt;&lt;/authors&gt;&lt;/contributors&gt;&lt;titles&gt;&lt;title&gt;Engage for equity: A long-term study of community-based participatory research and community-engaged research practices and outcomes&lt;/title&gt;&lt;secondary-title&gt;Health Education &amp;amp; Behavior&lt;/secondary-title&gt;&lt;/titles&gt;&lt;periodical&gt;&lt;full-title&gt;Health Education &amp;amp; Behavior&lt;/full-title&gt;&lt;/periodical&gt;&lt;pages&gt;380-390&lt;/pages&gt;&lt;volume&gt;47&lt;/volume&gt;&lt;number&gt;3&lt;/number&gt;&lt;dates&gt;&lt;year&gt;2020&lt;/year&gt;&lt;/dates&gt;&lt;isbn&gt;1090-1981&lt;/isbn&gt;&lt;urls&gt;&lt;/urls&gt;&lt;/record&gt;&lt;/Cite&gt;&lt;/EndNote&gt;</w:instrText>
      </w:r>
      <w:r>
        <w:fldChar w:fldCharType="separate"/>
      </w:r>
      <w:r>
        <w:rPr>
          <w:noProof/>
        </w:rPr>
        <w:t>(Wallerstein et al., 2020)</w:t>
      </w:r>
      <w:r>
        <w:fldChar w:fldCharType="end"/>
      </w:r>
      <w:r w:rsidRPr="001C6EB7">
        <w:t xml:space="preserve">. </w:t>
      </w:r>
      <w:r>
        <w:t xml:space="preserve">Such approaches appear especially well suited to gambling services in New Zealand, where work with families is ostensibly being carried in diverse ways not currently captured by traditional evaluation techniques </w:t>
      </w:r>
      <w:r>
        <w:fldChar w:fldCharType="begin"/>
      </w:r>
      <w:r>
        <w:instrText xml:space="preserve"> ADDIN EN.CITE &lt;EndNote&gt;&lt;Cite&gt;&lt;Author&gt;Kolandai-Matchett&lt;/Author&gt;&lt;Year&gt;2015&lt;/Year&gt;&lt;RecNum&gt;43&lt;/RecNum&gt;&lt;DisplayText&gt;(Kolandai-Matchett et al., 2015)&lt;/DisplayText&gt;&lt;record&gt;&lt;rec-number&gt;43&lt;/rec-number&gt;&lt;foreign-keys&gt;&lt;key app="EN" db-id="25rszwft292ev3esrpvpde0cpxrd9ex0xspp" timestamp="1550440518"&gt;43&lt;/key&gt;&lt;/foreign-keys&gt;&lt;ref-type name="Report"&gt;27&lt;/ref-type&gt;&lt;contributors&gt;&lt;authors&gt;&lt;author&gt;Kolandai-Matchett, Komathi&lt;/author&gt;&lt;author&gt;Landon, Jason&lt;/author&gt;&lt;author&gt;Bellringer, Maria&lt;/author&gt;&lt;author&gt;Garrett, Nick&lt;/author&gt;&lt;author&gt;Mundy-McPherson, Stuart&lt;/author&gt;&lt;author&gt;Abbott, Max&lt;/author&gt;&lt;author&gt;Haapu, Brylee&lt;/author&gt;&lt;author&gt;Cumming, Souella&lt;/author&gt;&lt;/authors&gt;&lt;/contributors&gt;&lt;titles&gt;&lt;title&gt;Evaluation and clinical audit of problem gambling intervention and public health services&lt;/title&gt;&lt;/titles&gt;&lt;dates&gt;&lt;year&gt;2015&lt;/year&gt;&lt;/dates&gt;&lt;pub-location&gt;Auckland&lt;/pub-location&gt;&lt;publisher&gt;Gambling and Addictions Research Centre, AUT University&lt;/publisher&gt;&lt;urls&gt;&lt;/urls&gt;&lt;/record&gt;&lt;/Cite&gt;&lt;/EndNote&gt;</w:instrText>
      </w:r>
      <w:r>
        <w:fldChar w:fldCharType="separate"/>
      </w:r>
      <w:r>
        <w:rPr>
          <w:noProof/>
        </w:rPr>
        <w:t>(Kolandai-Matchett et al., 2015)</w:t>
      </w:r>
      <w:r>
        <w:fldChar w:fldCharType="end"/>
      </w:r>
      <w:r>
        <w:t xml:space="preserve">. Existing MOH policy </w:t>
      </w:r>
      <w:r w:rsidRPr="00C54755">
        <w:rPr>
          <w:lang w:val="en-GB"/>
        </w:rPr>
        <w:t>recommend</w:t>
      </w:r>
      <w:r>
        <w:rPr>
          <w:lang w:val="en-GB"/>
        </w:rPr>
        <w:t>s</w:t>
      </w:r>
      <w:r w:rsidRPr="00C54755">
        <w:rPr>
          <w:lang w:val="en-GB"/>
        </w:rPr>
        <w:t xml:space="preserve"> that services ask about and seek to involve family and whānau </w:t>
      </w:r>
      <w:r>
        <w:rPr>
          <w:lang w:val="en-GB"/>
        </w:rPr>
        <w:t>‘</w:t>
      </w:r>
      <w:r w:rsidRPr="00C54755">
        <w:rPr>
          <w:lang w:val="en-GB"/>
        </w:rPr>
        <w:t>in ways that work</w:t>
      </w:r>
      <w:r>
        <w:rPr>
          <w:lang w:val="en-GB"/>
        </w:rPr>
        <w:t>’,</w:t>
      </w:r>
      <w:r w:rsidRPr="00C54755">
        <w:rPr>
          <w:lang w:val="en-GB"/>
        </w:rPr>
        <w:t xml:space="preserve"> and that partnership with families/</w:t>
      </w:r>
      <w:r w:rsidRPr="00C54755">
        <w:t xml:space="preserve">whānau </w:t>
      </w:r>
      <w:r>
        <w:t>‘</w:t>
      </w:r>
      <w:r w:rsidRPr="00C54755">
        <w:t>should be evident in service design</w:t>
      </w:r>
      <w:r>
        <w:t>’</w:t>
      </w:r>
      <w:r w:rsidRPr="00C54755">
        <w:t xml:space="preserve"> </w:t>
      </w:r>
      <w:r w:rsidRPr="00C54755">
        <w:fldChar w:fldCharType="begin"/>
      </w:r>
      <w:r w:rsidRPr="00C54755">
        <w:instrText xml:space="preserve"> ADDIN EN.CITE &lt;EndNote&gt;&lt;Cite&gt;&lt;Author&gt;Ministry of Health&lt;/Author&gt;&lt;Year&gt;2015&lt;/Year&gt;&lt;RecNum&gt;98&lt;/RecNum&gt;&lt;DisplayText&gt;(Ministry of Health, 2015)&lt;/DisplayText&gt;&lt;record&gt;&lt;rec-number&gt;98&lt;/rec-number&gt;&lt;foreign-keys&gt;&lt;key app="EN" db-id="25rszwft292ev3esrpvpde0cpxrd9ex0xspp" timestamp="1583186750"&gt;98&lt;/key&gt;&lt;/foreign-keys&gt;&lt;ref-type name="Report"&gt;27&lt;/ref-type&gt;&lt;contributors&gt;&lt;authors&gt;&lt;author&gt;Ministry of Health,&lt;/author&gt;&lt;/authors&gt;&lt;/contributors&gt;&lt;titles&gt;&lt;title&gt;Supporting Parents Healthy CHildren&lt;/title&gt;&lt;/titles&gt;&lt;dates&gt;&lt;year&gt;2015&lt;/year&gt;&lt;/dates&gt;&lt;pub-location&gt;Wellington&lt;/pub-location&gt;&lt;publisher&gt;Ministry of Health&lt;/publisher&gt;&lt;urls&gt;&lt;/urls&gt;&lt;/record&gt;&lt;/Cite&gt;&lt;/EndNote&gt;</w:instrText>
      </w:r>
      <w:r w:rsidRPr="00C54755">
        <w:fldChar w:fldCharType="separate"/>
      </w:r>
      <w:r w:rsidRPr="00C54755">
        <w:t>(Ministry of Health, 2015)</w:t>
      </w:r>
      <w:r w:rsidRPr="00C54755">
        <w:fldChar w:fldCharType="end"/>
      </w:r>
      <w:r w:rsidRPr="00C54755">
        <w:t>.</w:t>
      </w:r>
      <w:r>
        <w:t xml:space="preserve"> </w:t>
      </w:r>
      <w:r w:rsidR="00E75281">
        <w:t xml:space="preserve">No guidance is given around which inclusive practices ‘work’ and what minimal standards for ‘partnership’ might entail. </w:t>
      </w:r>
      <w:r>
        <w:t xml:space="preserve">Comments from the panel suggest that these policies be revitalised </w:t>
      </w:r>
      <w:r w:rsidR="00E75281">
        <w:t xml:space="preserve">and reflected in </w:t>
      </w:r>
      <w:r>
        <w:t>service commissioning and funding structures supportive of p</w:t>
      </w:r>
      <w:r w:rsidRPr="00A714F9">
        <w:t>articipatory research, service design and evaluation</w:t>
      </w:r>
      <w:r>
        <w:t>.</w:t>
      </w:r>
    </w:p>
    <w:p w14:paraId="51B82A4C" w14:textId="77777777" w:rsidR="00D50B98" w:rsidRDefault="00D50B98" w:rsidP="00D50B98">
      <w:pPr>
        <w:jc w:val="both"/>
      </w:pPr>
    </w:p>
    <w:p w14:paraId="213B7483" w14:textId="77777777" w:rsidR="00D50B98" w:rsidRDefault="00D50B98" w:rsidP="00821838">
      <w:pPr>
        <w:pStyle w:val="Heading4"/>
      </w:pPr>
      <w:r>
        <w:t xml:space="preserve">Creative workforce development </w:t>
      </w:r>
    </w:p>
    <w:p w14:paraId="00F18356" w14:textId="736F2742" w:rsidR="00D50B98" w:rsidRDefault="00D50B98" w:rsidP="00D50B98">
      <w:pPr>
        <w:pStyle w:val="Style1"/>
        <w:spacing w:before="0"/>
        <w:jc w:val="both"/>
        <w:rPr>
          <w:rFonts w:ascii="Times New Roman" w:hAnsi="Times New Roman"/>
          <w:sz w:val="24"/>
          <w:szCs w:val="24"/>
          <w:lang w:eastAsia="en-US"/>
        </w:rPr>
      </w:pPr>
      <w:r w:rsidRPr="00EA7445">
        <w:rPr>
          <w:rFonts w:ascii="Times New Roman" w:hAnsi="Times New Roman"/>
          <w:sz w:val="24"/>
          <w:szCs w:val="24"/>
          <w:lang w:eastAsia="en-US"/>
        </w:rPr>
        <w:t>Knowledge translation, or developing a close and productive relationship between research</w:t>
      </w:r>
      <w:r>
        <w:rPr>
          <w:rFonts w:ascii="Times New Roman" w:hAnsi="Times New Roman"/>
          <w:sz w:val="24"/>
          <w:szCs w:val="24"/>
          <w:lang w:eastAsia="en-US"/>
        </w:rPr>
        <w:t>,</w:t>
      </w:r>
      <w:r w:rsidRPr="00EA7445">
        <w:rPr>
          <w:rFonts w:ascii="Times New Roman" w:hAnsi="Times New Roman"/>
          <w:sz w:val="24"/>
          <w:szCs w:val="24"/>
          <w:lang w:eastAsia="en-US"/>
        </w:rPr>
        <w:t xml:space="preserve"> knowledge creation and practice implementation, is a key priority </w:t>
      </w:r>
      <w:r>
        <w:rPr>
          <w:rFonts w:ascii="Times New Roman" w:hAnsi="Times New Roman"/>
          <w:sz w:val="24"/>
          <w:szCs w:val="24"/>
          <w:lang w:eastAsia="en-US"/>
        </w:rPr>
        <w:t xml:space="preserve">and challenge </w:t>
      </w:r>
      <w:r w:rsidRPr="00EA7445">
        <w:rPr>
          <w:rFonts w:ascii="Times New Roman" w:hAnsi="Times New Roman"/>
          <w:sz w:val="24"/>
          <w:szCs w:val="24"/>
          <w:lang w:eastAsia="en-US"/>
        </w:rPr>
        <w:t xml:space="preserve">in health care internationally </w:t>
      </w:r>
      <w:r w:rsidRPr="00EA7445">
        <w:rPr>
          <w:rFonts w:ascii="Times New Roman" w:hAnsi="Times New Roman"/>
          <w:sz w:val="24"/>
          <w:szCs w:val="24"/>
          <w:lang w:eastAsia="en-US"/>
        </w:rPr>
        <w:fldChar w:fldCharType="begin"/>
      </w:r>
      <w:r>
        <w:rPr>
          <w:rFonts w:ascii="Times New Roman" w:hAnsi="Times New Roman"/>
          <w:sz w:val="24"/>
          <w:szCs w:val="24"/>
          <w:lang w:eastAsia="en-US"/>
        </w:rPr>
        <w:instrText xml:space="preserve"> ADDIN EN.CITE &lt;EndNote&gt;&lt;Cite&gt;&lt;Author&gt;Straus&lt;/Author&gt;&lt;Year&gt;2013&lt;/Year&gt;&lt;RecNum&gt;73&lt;/RecNum&gt;&lt;DisplayText&gt;(Straus, Tetroe, &amp;amp; Graham, 2013)&lt;/DisplayText&gt;&lt;record&gt;&lt;rec-number&gt;73&lt;/rec-number&gt;&lt;foreign-keys&gt;&lt;key app="EN" db-id="25rszwft292ev3esrpvpde0cpxrd9ex0xspp" timestamp="1551057111"&gt;73&lt;/key&gt;&lt;/foreign-keys&gt;&lt;ref-type name="Book"&gt;6&lt;/ref-type&gt;&lt;contributors&gt;&lt;authors&gt;&lt;author&gt;Straus, Sharon&lt;/author&gt;&lt;author&gt;Tetroe, Jacqueline&lt;/author&gt;&lt;author&gt;Graham, Ian D&lt;/author&gt;&lt;/authors&gt;&lt;/contributors&gt;&lt;titles&gt;&lt;title&gt;Knowledge translation in health care: moving from evidence to practice&lt;/title&gt;&lt;/titles&gt;&lt;dates&gt;&lt;year&gt;2013&lt;/year&gt;&lt;/dates&gt;&lt;publisher&gt;John Wiley &amp;amp; Sons&lt;/publisher&gt;&lt;isbn&gt;1118413571&lt;/isbn&gt;&lt;urls&gt;&lt;/urls&gt;&lt;/record&gt;&lt;/Cite&gt;&lt;/EndNote&gt;</w:instrText>
      </w:r>
      <w:r w:rsidRPr="00EA7445">
        <w:rPr>
          <w:rFonts w:ascii="Times New Roman" w:hAnsi="Times New Roman"/>
          <w:sz w:val="24"/>
          <w:szCs w:val="24"/>
          <w:lang w:eastAsia="en-US"/>
        </w:rPr>
        <w:fldChar w:fldCharType="separate"/>
      </w:r>
      <w:r>
        <w:rPr>
          <w:rFonts w:ascii="Times New Roman" w:hAnsi="Times New Roman"/>
          <w:noProof/>
          <w:sz w:val="24"/>
          <w:szCs w:val="24"/>
          <w:lang w:eastAsia="en-US"/>
        </w:rPr>
        <w:t>(Straus, Tetroe, &amp; Graham, 2013)</w:t>
      </w:r>
      <w:r w:rsidRPr="00EA7445">
        <w:rPr>
          <w:rFonts w:ascii="Times New Roman" w:hAnsi="Times New Roman"/>
          <w:sz w:val="24"/>
          <w:szCs w:val="24"/>
          <w:lang w:eastAsia="en-US"/>
        </w:rPr>
        <w:fldChar w:fldCharType="end"/>
      </w:r>
      <w:r w:rsidRPr="00EA7445">
        <w:rPr>
          <w:rFonts w:ascii="Times New Roman" w:hAnsi="Times New Roman"/>
          <w:sz w:val="24"/>
          <w:szCs w:val="24"/>
          <w:lang w:eastAsia="en-US"/>
        </w:rPr>
        <w:t xml:space="preserve">. Developing an evidence base together with those who are directly involved in shaping and delivering services, improves the likelihood that the knowledge generated will ultimately inform practice </w:t>
      </w:r>
      <w:r w:rsidRPr="00EA7445">
        <w:rPr>
          <w:rFonts w:ascii="Times New Roman" w:hAnsi="Times New Roman"/>
          <w:sz w:val="24"/>
          <w:szCs w:val="24"/>
          <w:lang w:eastAsia="en-US"/>
        </w:rPr>
        <w:fldChar w:fldCharType="begin"/>
      </w:r>
      <w:r>
        <w:rPr>
          <w:rFonts w:ascii="Times New Roman" w:hAnsi="Times New Roman"/>
          <w:sz w:val="24"/>
          <w:szCs w:val="24"/>
          <w:lang w:eastAsia="en-US"/>
        </w:rPr>
        <w:instrText xml:space="preserve"> ADDIN EN.CITE &lt;EndNote&gt;&lt;Cite&gt;&lt;Author&gt;Straus&lt;/Author&gt;&lt;Year&gt;2013&lt;/Year&gt;&lt;RecNum&gt;73&lt;/RecNum&gt;&lt;DisplayText&gt;(Straus et al., 2013)&lt;/DisplayText&gt;&lt;record&gt;&lt;rec-number&gt;73&lt;/rec-number&gt;&lt;foreign-keys&gt;&lt;key app="EN" db-id="25rszwft292ev3esrpvpde0cpxrd9ex0xspp" timestamp="1551057111"&gt;73&lt;/key&gt;&lt;/foreign-keys&gt;&lt;ref-type name="Book"&gt;6&lt;/ref-type&gt;&lt;contributors&gt;&lt;authors&gt;&lt;author&gt;Straus, Sharon&lt;/author&gt;&lt;author&gt;Tetroe, Jacqueline&lt;/author&gt;&lt;author&gt;Graham, Ian D&lt;/author&gt;&lt;/authors&gt;&lt;/contributors&gt;&lt;titles&gt;&lt;title&gt;Knowledge translation in health care: moving from evidence to practice&lt;/title&gt;&lt;/titles&gt;&lt;dates&gt;&lt;year&gt;2013&lt;/year&gt;&lt;/dates&gt;&lt;publisher&gt;John Wiley &amp;amp; Sons&lt;/publisher&gt;&lt;isbn&gt;1118413571&lt;/isbn&gt;&lt;urls&gt;&lt;/urls&gt;&lt;/record&gt;&lt;/Cite&gt;&lt;/EndNote&gt;</w:instrText>
      </w:r>
      <w:r w:rsidRPr="00EA7445">
        <w:rPr>
          <w:rFonts w:ascii="Times New Roman" w:hAnsi="Times New Roman"/>
          <w:sz w:val="24"/>
          <w:szCs w:val="24"/>
          <w:lang w:eastAsia="en-US"/>
        </w:rPr>
        <w:fldChar w:fldCharType="separate"/>
      </w:r>
      <w:r>
        <w:rPr>
          <w:rFonts w:ascii="Times New Roman" w:hAnsi="Times New Roman"/>
          <w:noProof/>
          <w:sz w:val="24"/>
          <w:szCs w:val="24"/>
          <w:lang w:eastAsia="en-US"/>
        </w:rPr>
        <w:t>(Straus et al., 2013)</w:t>
      </w:r>
      <w:r w:rsidRPr="00EA7445">
        <w:rPr>
          <w:rFonts w:ascii="Times New Roman" w:hAnsi="Times New Roman"/>
          <w:sz w:val="24"/>
          <w:szCs w:val="24"/>
          <w:lang w:eastAsia="en-US"/>
        </w:rPr>
        <w:fldChar w:fldCharType="end"/>
      </w:r>
      <w:r w:rsidRPr="00EA7445">
        <w:rPr>
          <w:rFonts w:ascii="Times New Roman" w:hAnsi="Times New Roman"/>
          <w:sz w:val="24"/>
          <w:szCs w:val="24"/>
          <w:lang w:eastAsia="en-US"/>
        </w:rPr>
        <w:t xml:space="preserve">. </w:t>
      </w:r>
      <w:r>
        <w:rPr>
          <w:rFonts w:ascii="Times New Roman" w:hAnsi="Times New Roman"/>
          <w:sz w:val="24"/>
          <w:szCs w:val="24"/>
          <w:lang w:eastAsia="en-US"/>
        </w:rPr>
        <w:t xml:space="preserve">For example, </w:t>
      </w:r>
      <w:r w:rsidRPr="000E6DD6">
        <w:rPr>
          <w:rFonts w:ascii="Times New Roman" w:hAnsi="Times New Roman"/>
          <w:sz w:val="24"/>
          <w:szCs w:val="24"/>
          <w:lang w:eastAsia="en-US"/>
        </w:rPr>
        <w:t xml:space="preserve">Orford’s </w:t>
      </w:r>
      <w:r w:rsidRPr="000E6DD6">
        <w:rPr>
          <w:rFonts w:ascii="Times New Roman" w:hAnsi="Times New Roman"/>
          <w:sz w:val="24"/>
          <w:szCs w:val="24"/>
          <w:lang w:eastAsia="en-US"/>
        </w:rPr>
        <w:fldChar w:fldCharType="begin"/>
      </w:r>
      <w:r w:rsidRPr="000E6DD6">
        <w:rPr>
          <w:rFonts w:ascii="Times New Roman" w:hAnsi="Times New Roman"/>
          <w:sz w:val="24"/>
          <w:szCs w:val="24"/>
          <w:lang w:eastAsia="en-US"/>
        </w:rPr>
        <w:instrText xml:space="preserve"> ADDIN EN.CITE &lt;EndNote&gt;&lt;Cite ExcludeAuth="1"&gt;&lt;Author&gt;Orford&lt;/Author&gt;&lt;Year&gt;2009&lt;/Year&gt;&lt;RecNum&gt;50&lt;/RecNum&gt;&lt;DisplayText&gt;(2009)&lt;/DisplayText&gt;&lt;record&gt;&lt;rec-number&gt;50&lt;/rec-number&gt;&lt;foreign-keys&gt;&lt;key app="EN" db-id="25rszwft292ev3esrpvpde0cpxrd9ex0xspp" timestamp="1550453823"&gt;50&lt;/key&gt;&lt;/foreign-keys&gt;&lt;ref-type name="Journal Article"&gt;17&lt;/ref-type&gt;&lt;contributors&gt;&lt;authors&gt;&lt;author&gt;Orford, Jim&lt;/author&gt;&lt;author&gt;Templeton, Lorna&lt;/author&gt;&lt;author&gt;Copello, Alex&lt;/author&gt;&lt;author&gt;Velleman, Richard&lt;/author&gt;&lt;author&gt;Ibanga, Akan&lt;/author&gt;&lt;author&gt;Binnie, Charlotte&lt;/author&gt;&lt;/authors&gt;&lt;/contributors&gt;&lt;titles&gt;&lt;title&gt;Increasing the involvement of family members in alcohol and drug treatment services: The results of an action research project in two specialist agencies&lt;/title&gt;&lt;secondary-title&gt;Drugs: education, prevention and policy&lt;/secondary-title&gt;&lt;/titles&gt;&lt;periodical&gt;&lt;full-title&gt;Drugs: education, prevention and policy&lt;/full-title&gt;&lt;/periodical&gt;&lt;pages&gt;379-408&lt;/pages&gt;&lt;volume&gt;16&lt;/volume&gt;&lt;number&gt;5&lt;/number&gt;&lt;dates&gt;&lt;year&gt;2009&lt;/year&gt;&lt;/dates&gt;&lt;isbn&gt;0968-7637&lt;/isbn&gt;&lt;urls&gt;&lt;/urls&gt;&lt;/record&gt;&lt;/Cite&gt;&lt;/EndNote&gt;</w:instrText>
      </w:r>
      <w:r w:rsidRPr="000E6DD6">
        <w:rPr>
          <w:rFonts w:ascii="Times New Roman" w:hAnsi="Times New Roman"/>
          <w:sz w:val="24"/>
          <w:szCs w:val="24"/>
          <w:lang w:eastAsia="en-US"/>
        </w:rPr>
        <w:fldChar w:fldCharType="separate"/>
      </w:r>
      <w:r w:rsidRPr="000E6DD6">
        <w:rPr>
          <w:rFonts w:ascii="Times New Roman" w:hAnsi="Times New Roman"/>
          <w:sz w:val="24"/>
          <w:szCs w:val="24"/>
          <w:lang w:eastAsia="en-US"/>
        </w:rPr>
        <w:t>(2009)</w:t>
      </w:r>
      <w:r w:rsidRPr="000E6DD6">
        <w:rPr>
          <w:rFonts w:ascii="Times New Roman" w:hAnsi="Times New Roman"/>
          <w:sz w:val="24"/>
          <w:szCs w:val="24"/>
          <w:lang w:eastAsia="en-US"/>
        </w:rPr>
        <w:fldChar w:fldCharType="end"/>
      </w:r>
      <w:r w:rsidRPr="000E6DD6">
        <w:rPr>
          <w:rFonts w:ascii="Times New Roman" w:hAnsi="Times New Roman"/>
          <w:sz w:val="24"/>
          <w:szCs w:val="24"/>
          <w:lang w:eastAsia="en-US"/>
        </w:rPr>
        <w:t xml:space="preserve"> action research to increase the involvement of family members in two alcohol and drug treatment services, produced a nuanced account of the types of family work conducted, barriers to family involvement, and </w:t>
      </w:r>
      <w:r>
        <w:rPr>
          <w:rFonts w:ascii="Times New Roman" w:hAnsi="Times New Roman"/>
          <w:sz w:val="24"/>
          <w:szCs w:val="24"/>
          <w:lang w:eastAsia="en-US"/>
        </w:rPr>
        <w:t>how to ensure</w:t>
      </w:r>
      <w:r w:rsidRPr="000E6DD6">
        <w:rPr>
          <w:rFonts w:ascii="Times New Roman" w:hAnsi="Times New Roman"/>
          <w:sz w:val="24"/>
          <w:szCs w:val="24"/>
          <w:lang w:eastAsia="en-US"/>
        </w:rPr>
        <w:t xml:space="preserve"> changes in practice were sustainable in these particular organisations. </w:t>
      </w:r>
      <w:bookmarkStart w:id="108" w:name="_Hlk57896840"/>
      <w:r w:rsidR="00F43ADF">
        <w:rPr>
          <w:rFonts w:ascii="Times New Roman" w:hAnsi="Times New Roman"/>
          <w:sz w:val="24"/>
          <w:szCs w:val="24"/>
          <w:lang w:eastAsia="en-US"/>
        </w:rPr>
        <w:t>T</w:t>
      </w:r>
      <w:r w:rsidR="00F43ADF" w:rsidRPr="00F43ADF">
        <w:rPr>
          <w:rFonts w:ascii="Times New Roman" w:hAnsi="Times New Roman"/>
          <w:sz w:val="24"/>
          <w:szCs w:val="24"/>
          <w:lang w:eastAsia="en-US"/>
        </w:rPr>
        <w:t>h</w:t>
      </w:r>
      <w:r w:rsidR="00F43ADF">
        <w:rPr>
          <w:rFonts w:ascii="Times New Roman" w:hAnsi="Times New Roman"/>
          <w:sz w:val="24"/>
          <w:szCs w:val="24"/>
          <w:lang w:eastAsia="en-US"/>
        </w:rPr>
        <w:t xml:space="preserve">e issues of </w:t>
      </w:r>
      <w:r w:rsidR="00F43ADF" w:rsidRPr="00F43ADF">
        <w:rPr>
          <w:rFonts w:ascii="Times New Roman" w:hAnsi="Times New Roman"/>
          <w:sz w:val="24"/>
          <w:szCs w:val="24"/>
          <w:lang w:eastAsia="en-US"/>
        </w:rPr>
        <w:t xml:space="preserve">knowledge translation </w:t>
      </w:r>
      <w:r w:rsidR="00A06C88">
        <w:rPr>
          <w:rFonts w:ascii="Times New Roman" w:hAnsi="Times New Roman"/>
          <w:sz w:val="24"/>
          <w:szCs w:val="24"/>
          <w:lang w:eastAsia="en-US"/>
        </w:rPr>
        <w:t>are</w:t>
      </w:r>
      <w:r w:rsidR="00F43ADF" w:rsidRPr="00F43ADF">
        <w:rPr>
          <w:rFonts w:ascii="Times New Roman" w:hAnsi="Times New Roman"/>
          <w:sz w:val="24"/>
          <w:szCs w:val="24"/>
          <w:lang w:eastAsia="en-US"/>
        </w:rPr>
        <w:t xml:space="preserve"> </w:t>
      </w:r>
      <w:r w:rsidR="00A06C88">
        <w:rPr>
          <w:rFonts w:ascii="Times New Roman" w:hAnsi="Times New Roman"/>
          <w:sz w:val="24"/>
          <w:szCs w:val="24"/>
          <w:lang w:eastAsia="en-US"/>
        </w:rPr>
        <w:t>complicated</w:t>
      </w:r>
      <w:r w:rsidR="00F43ADF" w:rsidRPr="00F43ADF">
        <w:rPr>
          <w:rFonts w:ascii="Times New Roman" w:hAnsi="Times New Roman"/>
          <w:sz w:val="24"/>
          <w:szCs w:val="24"/>
          <w:lang w:eastAsia="en-US"/>
        </w:rPr>
        <w:t xml:space="preserve"> in the context of gambling where appropriate levels of evidence for treatments are still in development.</w:t>
      </w:r>
    </w:p>
    <w:bookmarkEnd w:id="108"/>
    <w:p w14:paraId="4C482121" w14:textId="77777777" w:rsidR="00D50B98" w:rsidRDefault="00D50B98" w:rsidP="00D50B98">
      <w:pPr>
        <w:pStyle w:val="Style1"/>
        <w:spacing w:before="0"/>
        <w:jc w:val="both"/>
        <w:rPr>
          <w:rFonts w:ascii="Times New Roman" w:hAnsi="Times New Roman"/>
          <w:sz w:val="24"/>
          <w:szCs w:val="24"/>
          <w:lang w:eastAsia="en-US"/>
        </w:rPr>
      </w:pPr>
    </w:p>
    <w:p w14:paraId="062BD33F" w14:textId="77777777" w:rsidR="00D50B98" w:rsidRDefault="00D50B98" w:rsidP="00D50B98">
      <w:pPr>
        <w:pStyle w:val="Style1"/>
        <w:spacing w:before="0"/>
        <w:jc w:val="both"/>
        <w:rPr>
          <w:rFonts w:ascii="Times New Roman" w:hAnsi="Times New Roman"/>
          <w:sz w:val="24"/>
          <w:szCs w:val="24"/>
          <w:lang w:eastAsia="en-US"/>
        </w:rPr>
      </w:pPr>
      <w:r w:rsidRPr="000E6DD6">
        <w:rPr>
          <w:rFonts w:ascii="Times New Roman" w:hAnsi="Times New Roman"/>
          <w:sz w:val="24"/>
          <w:szCs w:val="24"/>
          <w:lang w:eastAsia="en-US"/>
        </w:rPr>
        <w:t xml:space="preserve">Improving services can often require ‘un-thinking’ established modes of practice and delivery so that creativity can take place </w:t>
      </w:r>
      <w:r w:rsidRPr="000E6DD6">
        <w:rPr>
          <w:rFonts w:ascii="Times New Roman" w:hAnsi="Times New Roman"/>
          <w:sz w:val="24"/>
          <w:szCs w:val="24"/>
          <w:lang w:eastAsia="en-US"/>
        </w:rPr>
        <w:fldChar w:fldCharType="begin"/>
      </w:r>
      <w:r>
        <w:rPr>
          <w:rFonts w:ascii="Times New Roman" w:hAnsi="Times New Roman"/>
          <w:sz w:val="24"/>
          <w:szCs w:val="24"/>
          <w:lang w:eastAsia="en-US"/>
        </w:rPr>
        <w:instrText xml:space="preserve"> ADDIN EN.CITE &lt;EndNote&gt;&lt;Cite&gt;&lt;Author&gt;Abercrombie&lt;/Author&gt;&lt;Year&gt;2015&lt;/Year&gt;&lt;RecNum&gt;51&lt;/RecNum&gt;&lt;DisplayText&gt;(Abercrombie, Harries, &amp;amp; Wharton, 2015)&lt;/DisplayText&gt;&lt;record&gt;&lt;rec-number&gt;51&lt;/rec-number&gt;&lt;foreign-keys&gt;&lt;key app="EN" db-id="25rszwft292ev3esrpvpde0cpxrd9ex0xspp" timestamp="1550454445"&gt;51&lt;/key&gt;&lt;/foreign-keys&gt;&lt;ref-type name="Journal Article"&gt;17&lt;/ref-type&gt;&lt;contributors&gt;&lt;authors&gt;&lt;author&gt;Abercrombie, Rob&lt;/author&gt;&lt;author&gt;Harries, Ellen&lt;/author&gt;&lt;author&gt;Wharton, Rachel&lt;/author&gt;&lt;/authors&gt;&lt;/contributors&gt;&lt;titles&gt;&lt;title&gt;Systems change: A guide to what it is and how to do it&lt;/title&gt;&lt;secondary-title&gt;New Philanthrophy Capital&lt;/secondary-title&gt;&lt;/titles&gt;&lt;periodical&gt;&lt;full-title&gt;New Philanthrophy Capital&lt;/full-title&gt;&lt;/periodical&gt;&lt;dates&gt;&lt;year&gt;2015&lt;/year&gt;&lt;/dates&gt;&lt;urls&gt;&lt;/urls&gt;&lt;/record&gt;&lt;/Cite&gt;&lt;/EndNote&gt;</w:instrText>
      </w:r>
      <w:r w:rsidRPr="000E6DD6">
        <w:rPr>
          <w:rFonts w:ascii="Times New Roman" w:hAnsi="Times New Roman"/>
          <w:sz w:val="24"/>
          <w:szCs w:val="24"/>
          <w:lang w:eastAsia="en-US"/>
        </w:rPr>
        <w:fldChar w:fldCharType="separate"/>
      </w:r>
      <w:r>
        <w:rPr>
          <w:rFonts w:ascii="Times New Roman" w:hAnsi="Times New Roman"/>
          <w:noProof/>
          <w:sz w:val="24"/>
          <w:szCs w:val="24"/>
          <w:lang w:eastAsia="en-US"/>
        </w:rPr>
        <w:t>(Abercrombie, Harries, &amp; Wharton, 2015)</w:t>
      </w:r>
      <w:r w:rsidRPr="000E6DD6">
        <w:rPr>
          <w:rFonts w:ascii="Times New Roman" w:hAnsi="Times New Roman"/>
          <w:sz w:val="24"/>
          <w:szCs w:val="24"/>
          <w:lang w:eastAsia="en-US"/>
        </w:rPr>
        <w:fldChar w:fldCharType="end"/>
      </w:r>
      <w:r w:rsidRPr="000E6DD6">
        <w:rPr>
          <w:rFonts w:ascii="Times New Roman" w:hAnsi="Times New Roman"/>
          <w:sz w:val="24"/>
          <w:szCs w:val="24"/>
          <w:lang w:eastAsia="en-US"/>
        </w:rPr>
        <w:t xml:space="preserve">, a practice that is also referred to as ‘making the familiar strange’ </w:t>
      </w:r>
      <w:r w:rsidRPr="000E6DD6">
        <w:rPr>
          <w:rFonts w:ascii="Times New Roman" w:hAnsi="Times New Roman"/>
          <w:sz w:val="24"/>
          <w:szCs w:val="24"/>
          <w:lang w:eastAsia="en-US"/>
        </w:rPr>
        <w:fldChar w:fldCharType="begin"/>
      </w:r>
      <w:r w:rsidRPr="000E6DD6">
        <w:rPr>
          <w:rFonts w:ascii="Times New Roman" w:hAnsi="Times New Roman"/>
          <w:sz w:val="24"/>
          <w:szCs w:val="24"/>
          <w:lang w:eastAsia="en-US"/>
        </w:rPr>
        <w:instrText xml:space="preserve"> ADDIN EN.CITE &lt;EndNote&gt;&lt;Cite&gt;&lt;Author&gt;Kumagai&lt;/Author&gt;&lt;Year&gt;2014&lt;/Year&gt;&lt;RecNum&gt;67&lt;/RecNum&gt;&lt;DisplayText&gt;(Kumagai &amp;amp; Wear, 2014)&lt;/DisplayText&gt;&lt;record&gt;&lt;rec-number&gt;67&lt;/rec-number&gt;&lt;foreign-keys&gt;&lt;key app="EN" db-id="25rszwft292ev3esrpvpde0cpxrd9ex0xspp" timestamp="1550699199"&gt;67&lt;/key&gt;&lt;/foreign-keys&gt;&lt;ref-type name="Journal Article"&gt;17&lt;/ref-type&gt;&lt;contributors&gt;&lt;authors&gt;&lt;author&gt;Kumagai, Arno K&lt;/author&gt;&lt;author&gt;Wear, Delese&lt;/author&gt;&lt;/authors&gt;&lt;/contributors&gt;&lt;titles&gt;&lt;title&gt;“Making strange”: a role for the humanities in medical education&lt;/title&gt;&lt;secondary-title&gt;Academic Medicine&lt;/secondary-title&gt;&lt;/titles&gt;&lt;periodical&gt;&lt;full-title&gt;Academic Medicine&lt;/full-title&gt;&lt;/periodical&gt;&lt;pages&gt;973-977&lt;/pages&gt;&lt;volume&gt;89&lt;/volume&gt;&lt;number&gt;7&lt;/number&gt;&lt;dates&gt;&lt;year&gt;2014&lt;/year&gt;&lt;/dates&gt;&lt;isbn&gt;1040-2446&lt;/isbn&gt;&lt;urls&gt;&lt;/urls&gt;&lt;/record&gt;&lt;/Cite&gt;&lt;/EndNote&gt;</w:instrText>
      </w:r>
      <w:r w:rsidRPr="000E6DD6">
        <w:rPr>
          <w:rFonts w:ascii="Times New Roman" w:hAnsi="Times New Roman"/>
          <w:sz w:val="24"/>
          <w:szCs w:val="24"/>
          <w:lang w:eastAsia="en-US"/>
        </w:rPr>
        <w:fldChar w:fldCharType="separate"/>
      </w:r>
      <w:r w:rsidRPr="000E6DD6">
        <w:rPr>
          <w:rFonts w:ascii="Times New Roman" w:hAnsi="Times New Roman"/>
          <w:sz w:val="24"/>
          <w:szCs w:val="24"/>
          <w:lang w:eastAsia="en-US"/>
        </w:rPr>
        <w:t>(Kumagai &amp; Wear, 2014)</w:t>
      </w:r>
      <w:r w:rsidRPr="000E6DD6">
        <w:rPr>
          <w:rFonts w:ascii="Times New Roman" w:hAnsi="Times New Roman"/>
          <w:sz w:val="24"/>
          <w:szCs w:val="24"/>
          <w:lang w:eastAsia="en-US"/>
        </w:rPr>
        <w:fldChar w:fldCharType="end"/>
      </w:r>
      <w:r w:rsidRPr="000E6DD6">
        <w:rPr>
          <w:rFonts w:ascii="Times New Roman" w:hAnsi="Times New Roman"/>
          <w:sz w:val="24"/>
          <w:szCs w:val="24"/>
          <w:lang w:eastAsia="en-US"/>
        </w:rPr>
        <w:t xml:space="preserve">. </w:t>
      </w:r>
      <w:r>
        <w:rPr>
          <w:rFonts w:ascii="Times New Roman" w:hAnsi="Times New Roman"/>
          <w:sz w:val="24"/>
          <w:szCs w:val="24"/>
          <w:lang w:eastAsia="en-US"/>
        </w:rPr>
        <w:t xml:space="preserve">Sustaining a culture of learning and improvement and bridging gaps between research and practice suggested using ‘critical reflectivity’ in enhancing support for families. </w:t>
      </w:r>
      <w:r w:rsidRPr="00EA7445">
        <w:rPr>
          <w:rFonts w:ascii="Times New Roman" w:hAnsi="Times New Roman"/>
          <w:sz w:val="24"/>
          <w:szCs w:val="24"/>
          <w:lang w:eastAsia="en-US"/>
        </w:rPr>
        <w:t xml:space="preserve">Critical reflexivity happens when professionals working in a field are supported to actively consider how their practices interact </w:t>
      </w:r>
      <w:r w:rsidRPr="00EA7445">
        <w:rPr>
          <w:rFonts w:ascii="Times New Roman" w:hAnsi="Times New Roman"/>
          <w:sz w:val="24"/>
          <w:szCs w:val="24"/>
          <w:lang w:eastAsia="en-US"/>
        </w:rPr>
        <w:lastRenderedPageBreak/>
        <w:t xml:space="preserve">with prevailing knowledge systems, generally through exposure to different ways of thinking about intervention, and particularly as grounded in client’s experiences </w:t>
      </w:r>
      <w:r w:rsidRPr="00EA7445">
        <w:rPr>
          <w:rFonts w:ascii="Times New Roman" w:hAnsi="Times New Roman"/>
          <w:sz w:val="24"/>
          <w:szCs w:val="24"/>
          <w:lang w:eastAsia="en-US"/>
        </w:rPr>
        <w:fldChar w:fldCharType="begin">
          <w:fldData xml:space="preserve">PEVuZE5vdGU+PENpdGU+PEF1dGhvcj5HaWJzb248L0F1dGhvcj48WWVhcj4yMDE2PC9ZZWFyPjxS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</w:fldData>
        </w:fldChar>
      </w:r>
      <w:r w:rsidRPr="00EA7445">
        <w:rPr>
          <w:rFonts w:ascii="Times New Roman" w:hAnsi="Times New Roman"/>
          <w:sz w:val="24"/>
          <w:szCs w:val="24"/>
          <w:lang w:eastAsia="en-US"/>
        </w:rPr>
        <w:instrText xml:space="preserve"> ADDIN EN.CITE </w:instrText>
      </w:r>
      <w:r w:rsidRPr="00EA7445">
        <w:rPr>
          <w:rFonts w:ascii="Times New Roman" w:hAnsi="Times New Roman"/>
          <w:sz w:val="24"/>
          <w:szCs w:val="24"/>
          <w:lang w:eastAsia="en-US"/>
        </w:rPr>
        <w:fldChar w:fldCharType="begin">
          <w:fldData xml:space="preserve">PEVuZE5vdGU+PENpdGU+PEF1dGhvcj5HaWJzb248L0F1dGhvcj48WWVhcj4yMDE2PC9ZZWFyPjxS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</w:fldData>
        </w:fldChar>
      </w:r>
      <w:r w:rsidRPr="00EA7445">
        <w:rPr>
          <w:rFonts w:ascii="Times New Roman" w:hAnsi="Times New Roman"/>
          <w:sz w:val="24"/>
          <w:szCs w:val="24"/>
          <w:lang w:eastAsia="en-US"/>
        </w:rPr>
        <w:instrText xml:space="preserve"> ADDIN EN.CITE.DATA </w:instrText>
      </w:r>
      <w:r w:rsidRPr="00EA7445">
        <w:rPr>
          <w:rFonts w:ascii="Times New Roman" w:hAnsi="Times New Roman"/>
          <w:sz w:val="24"/>
          <w:szCs w:val="24"/>
          <w:lang w:eastAsia="en-US"/>
        </w:rPr>
      </w:r>
      <w:r w:rsidRPr="00EA7445">
        <w:rPr>
          <w:rFonts w:ascii="Times New Roman" w:hAnsi="Times New Roman"/>
          <w:sz w:val="24"/>
          <w:szCs w:val="24"/>
          <w:lang w:eastAsia="en-US"/>
        </w:rPr>
        <w:fldChar w:fldCharType="end"/>
      </w:r>
      <w:r w:rsidRPr="00EA7445">
        <w:rPr>
          <w:rFonts w:ascii="Times New Roman" w:hAnsi="Times New Roman"/>
          <w:sz w:val="24"/>
          <w:szCs w:val="24"/>
          <w:lang w:eastAsia="en-US"/>
        </w:rPr>
      </w:r>
      <w:r w:rsidRPr="00EA7445">
        <w:rPr>
          <w:rFonts w:ascii="Times New Roman" w:hAnsi="Times New Roman"/>
          <w:sz w:val="24"/>
          <w:szCs w:val="24"/>
          <w:lang w:eastAsia="en-US"/>
        </w:rPr>
        <w:fldChar w:fldCharType="separate"/>
      </w:r>
      <w:r w:rsidRPr="00EA7445">
        <w:rPr>
          <w:rFonts w:ascii="Times New Roman" w:hAnsi="Times New Roman"/>
          <w:sz w:val="24"/>
          <w:szCs w:val="24"/>
          <w:lang w:eastAsia="en-US"/>
        </w:rPr>
        <w:t>(Gibson, 2016; Kinsella, Caty, Ng, &amp; Jenkins, 2012; Kinsella &amp; Whiteford, 2009)</w:t>
      </w:r>
      <w:r w:rsidRPr="00EA7445">
        <w:rPr>
          <w:rFonts w:ascii="Times New Roman" w:hAnsi="Times New Roman"/>
          <w:sz w:val="24"/>
          <w:szCs w:val="24"/>
          <w:lang w:eastAsia="en-US"/>
        </w:rPr>
        <w:fldChar w:fldCharType="end"/>
      </w:r>
      <w:r w:rsidRPr="00EA7445">
        <w:rPr>
          <w:rFonts w:ascii="Times New Roman" w:hAnsi="Times New Roman"/>
          <w:sz w:val="24"/>
          <w:szCs w:val="24"/>
          <w:lang w:eastAsia="en-US"/>
        </w:rPr>
        <w:t xml:space="preserve">. When facilitated in clinical settings, critical reflexivity generates new insight into intervention and engagement strategies, and understanding of desired endpoints or outcomes, that can contribute directly to service improvement </w:t>
      </w:r>
      <w:r w:rsidRPr="00EA7445">
        <w:rPr>
          <w:rFonts w:ascii="Times New Roman" w:hAnsi="Times New Roman"/>
          <w:sz w:val="24"/>
          <w:szCs w:val="24"/>
          <w:lang w:eastAsia="en-US"/>
        </w:rPr>
        <w:fldChar w:fldCharType="begin"/>
      </w:r>
      <w:r w:rsidRPr="00EA7445">
        <w:rPr>
          <w:rFonts w:ascii="Times New Roman" w:hAnsi="Times New Roman"/>
          <w:sz w:val="24"/>
          <w:szCs w:val="24"/>
          <w:lang w:eastAsia="en-US"/>
        </w:rPr>
        <w:instrText xml:space="preserve"> ADDIN EN.CITE &lt;EndNote&gt;&lt;Cite&gt;&lt;Author&gt;Gibson&lt;/Author&gt;&lt;Year&gt;2016&lt;/Year&gt;&lt;RecNum&gt;57&lt;/RecNum&gt;&lt;DisplayText&gt;(Gibson, 2016)&lt;/DisplayText&gt;&lt;record&gt;&lt;rec-number&gt;57&lt;/rec-number&gt;&lt;foreign-keys&gt;&lt;key app="EN" db-id="25rszwft292ev3esrpvpde0cpxrd9ex0xspp" timestamp="1550459652"&gt;57&lt;/key&gt;&lt;/foreign-keys&gt;&lt;ref-type name="Book"&gt;6&lt;/ref-type&gt;&lt;contributors&gt;&lt;authors&gt;&lt;author&gt;Gibson, Barbara&lt;/author&gt;&lt;/authors&gt;&lt;/contributors&gt;&lt;titles&gt;&lt;title&gt;Rehabilitation: A post-critical approach&lt;/title&gt;&lt;/titles&gt;&lt;dates&gt;&lt;year&gt;2016&lt;/year&gt;&lt;/dates&gt;&lt;publisher&gt;CRC Press&lt;/publisher&gt;&lt;isbn&gt;1482237245&lt;/isbn&gt;&lt;urls&gt;&lt;/urls&gt;&lt;/record&gt;&lt;/Cite&gt;&lt;/EndNote&gt;</w:instrText>
      </w:r>
      <w:r w:rsidRPr="00EA7445">
        <w:rPr>
          <w:rFonts w:ascii="Times New Roman" w:hAnsi="Times New Roman"/>
          <w:sz w:val="24"/>
          <w:szCs w:val="24"/>
          <w:lang w:eastAsia="en-US"/>
        </w:rPr>
        <w:fldChar w:fldCharType="separate"/>
      </w:r>
      <w:r w:rsidRPr="00EA7445">
        <w:rPr>
          <w:rFonts w:ascii="Times New Roman" w:hAnsi="Times New Roman"/>
          <w:sz w:val="24"/>
          <w:szCs w:val="24"/>
          <w:lang w:eastAsia="en-US"/>
        </w:rPr>
        <w:t>(Gibson, 2016)</w:t>
      </w:r>
      <w:r w:rsidRPr="00EA7445">
        <w:rPr>
          <w:rFonts w:ascii="Times New Roman" w:hAnsi="Times New Roman"/>
          <w:sz w:val="24"/>
          <w:szCs w:val="24"/>
          <w:lang w:eastAsia="en-US"/>
        </w:rPr>
        <w:fldChar w:fldCharType="end"/>
      </w:r>
      <w:r w:rsidRPr="00EA7445">
        <w:rPr>
          <w:rFonts w:ascii="Times New Roman" w:hAnsi="Times New Roman"/>
          <w:sz w:val="24"/>
          <w:szCs w:val="24"/>
          <w:lang w:eastAsia="en-US"/>
        </w:rPr>
        <w:t xml:space="preserve">. </w:t>
      </w:r>
    </w:p>
    <w:p w14:paraId="5A53D82D" w14:textId="77777777" w:rsidR="00D50B98" w:rsidRDefault="00D50B98" w:rsidP="00D50B98">
      <w:pPr>
        <w:pStyle w:val="Style1"/>
        <w:spacing w:before="0"/>
        <w:jc w:val="both"/>
        <w:rPr>
          <w:rFonts w:ascii="Times New Roman" w:hAnsi="Times New Roman"/>
          <w:sz w:val="24"/>
          <w:szCs w:val="24"/>
          <w:lang w:eastAsia="en-US"/>
        </w:rPr>
      </w:pPr>
    </w:p>
    <w:p w14:paraId="5D990A57" w14:textId="77777777" w:rsidR="00D50B98" w:rsidRPr="00035C00" w:rsidRDefault="00D50B98" w:rsidP="00D50B98">
      <w:pPr>
        <w:pStyle w:val="Style1"/>
        <w:spacing w:before="0"/>
        <w:jc w:val="both"/>
        <w:rPr>
          <w:rFonts w:ascii="Times New Roman" w:hAnsi="Times New Roman"/>
          <w:sz w:val="24"/>
          <w:szCs w:val="24"/>
          <w:lang w:eastAsia="en-US"/>
        </w:rPr>
      </w:pPr>
      <w:r>
        <w:rPr>
          <w:rFonts w:ascii="Times New Roman" w:hAnsi="Times New Roman"/>
          <w:sz w:val="24"/>
          <w:szCs w:val="24"/>
          <w:lang w:eastAsia="en-US"/>
        </w:rPr>
        <w:t xml:space="preserve">Enhancing addictions workforce diversity was suggested as a key strategy to enhance work with families. New Zealand’s current </w:t>
      </w:r>
      <w:r w:rsidRPr="00035C00">
        <w:rPr>
          <w:rFonts w:ascii="Times New Roman" w:hAnsi="Times New Roman"/>
          <w:sz w:val="24"/>
          <w:szCs w:val="24"/>
          <w:lang w:eastAsia="en-US"/>
        </w:rPr>
        <w:t>Mental Health</w:t>
      </w:r>
      <w:r>
        <w:rPr>
          <w:rFonts w:ascii="Times New Roman" w:hAnsi="Times New Roman"/>
          <w:sz w:val="24"/>
          <w:szCs w:val="24"/>
          <w:lang w:eastAsia="en-US"/>
        </w:rPr>
        <w:t xml:space="preserve"> </w:t>
      </w:r>
      <w:r w:rsidRPr="00035C00">
        <w:rPr>
          <w:rFonts w:ascii="Times New Roman" w:hAnsi="Times New Roman"/>
          <w:sz w:val="24"/>
          <w:szCs w:val="24"/>
          <w:lang w:eastAsia="en-US"/>
        </w:rPr>
        <w:t>and Addiction</w:t>
      </w:r>
      <w:r>
        <w:rPr>
          <w:rFonts w:ascii="Times New Roman" w:hAnsi="Times New Roman"/>
          <w:sz w:val="24"/>
          <w:szCs w:val="24"/>
          <w:lang w:eastAsia="en-US"/>
        </w:rPr>
        <w:t xml:space="preserve"> </w:t>
      </w:r>
      <w:r w:rsidRPr="00035C00">
        <w:rPr>
          <w:rFonts w:ascii="Times New Roman" w:hAnsi="Times New Roman"/>
          <w:sz w:val="24"/>
          <w:szCs w:val="24"/>
          <w:lang w:eastAsia="en-US"/>
        </w:rPr>
        <w:t>Workforce</w:t>
      </w:r>
      <w:r>
        <w:rPr>
          <w:rFonts w:ascii="Times New Roman" w:hAnsi="Times New Roman"/>
          <w:sz w:val="24"/>
          <w:szCs w:val="24"/>
          <w:lang w:eastAsia="en-US"/>
        </w:rPr>
        <w:t xml:space="preserve"> </w:t>
      </w:r>
      <w:r w:rsidRPr="00035C00">
        <w:rPr>
          <w:rFonts w:ascii="Times New Roman" w:hAnsi="Times New Roman"/>
          <w:sz w:val="24"/>
          <w:szCs w:val="24"/>
          <w:lang w:eastAsia="en-US"/>
        </w:rPr>
        <w:t>Action Plan</w:t>
      </w:r>
      <w:r>
        <w:rPr>
          <w:rFonts w:ascii="Times New Roman" w:hAnsi="Times New Roman"/>
          <w:sz w:val="24"/>
          <w:szCs w:val="24"/>
          <w:lang w:eastAsia="en-US"/>
        </w:rPr>
        <w:t xml:space="preserve"> </w:t>
      </w:r>
      <w:r w:rsidRPr="00035C00">
        <w:rPr>
          <w:rFonts w:ascii="Times New Roman" w:hAnsi="Times New Roman"/>
          <w:sz w:val="24"/>
          <w:szCs w:val="24"/>
          <w:lang w:eastAsia="en-US"/>
        </w:rPr>
        <w:t>2017–2021</w:t>
      </w:r>
      <w:r>
        <w:rPr>
          <w:rFonts w:ascii="Times New Roman" w:hAnsi="Times New Roman"/>
          <w:sz w:val="24"/>
          <w:szCs w:val="24"/>
          <w:lang w:eastAsia="en-US"/>
        </w:rPr>
        <w:t xml:space="preserve"> already identifies creating ‘a workforce that is the right size and skill mix’ within the top four priorities for enabling people to thrive and experience wellbeing </w:t>
      </w:r>
      <w:r>
        <w:rPr>
          <w:rFonts w:ascii="Times New Roman" w:hAnsi="Times New Roman"/>
          <w:sz w:val="24"/>
          <w:szCs w:val="24"/>
          <w:lang w:eastAsia="en-US"/>
        </w:rPr>
        <w:fldChar w:fldCharType="begin"/>
      </w:r>
      <w:r>
        <w:rPr>
          <w:rFonts w:ascii="Times New Roman" w:hAnsi="Times New Roman"/>
          <w:sz w:val="24"/>
          <w:szCs w:val="24"/>
          <w:lang w:eastAsia="en-US"/>
        </w:rPr>
        <w:instrText xml:space="preserve"> ADDIN EN.CITE &lt;EndNote&gt;&lt;Cite&gt;&lt;Author&gt;Ministry of Health&lt;/Author&gt;&lt;Year&gt;2018&lt;/Year&gt;&lt;RecNum&gt;300&lt;/RecNum&gt;&lt;DisplayText&gt;(Ministry of Health, 2018)&lt;/DisplayText&gt;&lt;record&gt;&lt;rec-number&gt;300&lt;/rec-number&gt;&lt;foreign-keys&gt;&lt;key app="EN" db-id="25rszwft292ev3esrpvpde0cpxrd9ex0xspp" timestamp="1600730608"&gt;300&lt;/key&gt;&lt;/foreign-keys&gt;&lt;ref-type name="Report"&gt;27&lt;/ref-type&gt;&lt;contributors&gt;&lt;authors&gt;&lt;author&gt;Ministry of Health,&lt;/author&gt;&lt;/authors&gt;&lt;/contributors&gt;&lt;titles&gt;&lt;title&gt;Mental Health and Addiction Workforce Action Plan 2017-2021 (2nd edn).&lt;/title&gt;&lt;/titles&gt;&lt;dates&gt;&lt;year&gt;2018&lt;/year&gt;&lt;/dates&gt;&lt;pub-location&gt;Wellington&lt;/pub-location&gt;&lt;publisher&gt;Ministry of Health&lt;/publisher&gt;&lt;urls&gt;&lt;/urls&gt;&lt;/record&gt;&lt;/Cite&gt;&lt;/EndNote&gt;</w:instrText>
      </w:r>
      <w:r>
        <w:rPr>
          <w:rFonts w:ascii="Times New Roman" w:hAnsi="Times New Roman"/>
          <w:sz w:val="24"/>
          <w:szCs w:val="24"/>
          <w:lang w:eastAsia="en-US"/>
        </w:rPr>
        <w:fldChar w:fldCharType="separate"/>
      </w:r>
      <w:r>
        <w:rPr>
          <w:rFonts w:ascii="Times New Roman" w:hAnsi="Times New Roman"/>
          <w:noProof/>
          <w:sz w:val="24"/>
          <w:szCs w:val="24"/>
          <w:lang w:eastAsia="en-US"/>
        </w:rPr>
        <w:t>(Ministry of Health, 2018)</w:t>
      </w:r>
      <w:r>
        <w:rPr>
          <w:rFonts w:ascii="Times New Roman" w:hAnsi="Times New Roman"/>
          <w:sz w:val="24"/>
          <w:szCs w:val="24"/>
          <w:lang w:eastAsia="en-US"/>
        </w:rPr>
        <w:fldChar w:fldCharType="end"/>
      </w:r>
      <w:r>
        <w:rPr>
          <w:rFonts w:ascii="Times New Roman" w:hAnsi="Times New Roman"/>
          <w:sz w:val="24"/>
          <w:szCs w:val="24"/>
          <w:lang w:eastAsia="en-US"/>
        </w:rPr>
        <w:t>. Our findings suggest that targeted action around the following key outcomes would support the enhancement of support for FAOs in gambling services: “</w:t>
      </w:r>
      <w:r w:rsidRPr="00035C00">
        <w:rPr>
          <w:rFonts w:ascii="Times New Roman" w:hAnsi="Times New Roman"/>
          <w:sz w:val="24"/>
          <w:szCs w:val="24"/>
          <w:lang w:eastAsia="en-US"/>
        </w:rPr>
        <w:t>The workforce is</w:t>
      </w:r>
    </w:p>
    <w:p w14:paraId="532E9D32" w14:textId="77777777" w:rsidR="00D50B98" w:rsidRDefault="00D50B98" w:rsidP="00D50B98">
      <w:pPr>
        <w:pStyle w:val="Style1"/>
        <w:spacing w:before="0"/>
        <w:jc w:val="both"/>
        <w:rPr>
          <w:rFonts w:ascii="Times New Roman" w:hAnsi="Times New Roman"/>
          <w:sz w:val="24"/>
          <w:szCs w:val="24"/>
          <w:lang w:eastAsia="en-US"/>
        </w:rPr>
      </w:pPr>
      <w:r w:rsidRPr="00035C00">
        <w:rPr>
          <w:rFonts w:ascii="Times New Roman" w:hAnsi="Times New Roman"/>
          <w:sz w:val="24"/>
          <w:szCs w:val="24"/>
          <w:lang w:eastAsia="en-US"/>
        </w:rPr>
        <w:t>culturally diverse to</w:t>
      </w:r>
      <w:r>
        <w:rPr>
          <w:rFonts w:ascii="Times New Roman" w:hAnsi="Times New Roman"/>
          <w:sz w:val="24"/>
          <w:szCs w:val="24"/>
          <w:lang w:eastAsia="en-US"/>
        </w:rPr>
        <w:t xml:space="preserve"> </w:t>
      </w:r>
      <w:r w:rsidRPr="00035C00">
        <w:rPr>
          <w:rFonts w:ascii="Times New Roman" w:hAnsi="Times New Roman"/>
          <w:sz w:val="24"/>
          <w:szCs w:val="24"/>
          <w:lang w:eastAsia="en-US"/>
        </w:rPr>
        <w:t>reflect the population,</w:t>
      </w:r>
      <w:r>
        <w:rPr>
          <w:rFonts w:ascii="Times New Roman" w:hAnsi="Times New Roman"/>
          <w:sz w:val="24"/>
          <w:szCs w:val="24"/>
          <w:lang w:eastAsia="en-US"/>
        </w:rPr>
        <w:t xml:space="preserve"> </w:t>
      </w:r>
      <w:r w:rsidRPr="00035C00">
        <w:rPr>
          <w:rFonts w:ascii="Times New Roman" w:hAnsi="Times New Roman"/>
          <w:sz w:val="24"/>
          <w:szCs w:val="24"/>
          <w:lang w:eastAsia="en-US"/>
        </w:rPr>
        <w:t>particularly Māori and</w:t>
      </w:r>
      <w:r>
        <w:rPr>
          <w:rFonts w:ascii="Times New Roman" w:hAnsi="Times New Roman"/>
          <w:sz w:val="24"/>
          <w:szCs w:val="24"/>
          <w:lang w:eastAsia="en-US"/>
        </w:rPr>
        <w:t xml:space="preserve"> </w:t>
      </w:r>
      <w:r w:rsidRPr="00035C00">
        <w:rPr>
          <w:rFonts w:ascii="Times New Roman" w:hAnsi="Times New Roman"/>
          <w:sz w:val="24"/>
          <w:szCs w:val="24"/>
          <w:lang w:eastAsia="en-US"/>
        </w:rPr>
        <w:t>Pacific peoples</w:t>
      </w:r>
      <w:r>
        <w:rPr>
          <w:rFonts w:ascii="Times New Roman" w:hAnsi="Times New Roman"/>
          <w:sz w:val="24"/>
          <w:szCs w:val="24"/>
          <w:lang w:eastAsia="en-US"/>
        </w:rPr>
        <w:t xml:space="preserve">; </w:t>
      </w:r>
      <w:r w:rsidRPr="00035C00">
        <w:rPr>
          <w:rFonts w:ascii="Times New Roman" w:hAnsi="Times New Roman"/>
          <w:sz w:val="24"/>
          <w:szCs w:val="24"/>
          <w:lang w:eastAsia="en-US"/>
        </w:rPr>
        <w:t>The workforce reflects</w:t>
      </w:r>
      <w:r>
        <w:rPr>
          <w:rFonts w:ascii="Times New Roman" w:hAnsi="Times New Roman"/>
          <w:sz w:val="24"/>
          <w:szCs w:val="24"/>
          <w:lang w:eastAsia="en-US"/>
        </w:rPr>
        <w:t xml:space="preserve"> </w:t>
      </w:r>
      <w:r w:rsidRPr="00035C00">
        <w:rPr>
          <w:rFonts w:ascii="Times New Roman" w:hAnsi="Times New Roman"/>
          <w:sz w:val="24"/>
          <w:szCs w:val="24"/>
          <w:lang w:eastAsia="en-US"/>
        </w:rPr>
        <w:t>the diversity and</w:t>
      </w:r>
      <w:r>
        <w:rPr>
          <w:rFonts w:ascii="Times New Roman" w:hAnsi="Times New Roman"/>
          <w:sz w:val="24"/>
          <w:szCs w:val="24"/>
          <w:lang w:eastAsia="en-US"/>
        </w:rPr>
        <w:t xml:space="preserve"> </w:t>
      </w:r>
      <w:r w:rsidRPr="00035C00">
        <w:rPr>
          <w:rFonts w:ascii="Times New Roman" w:hAnsi="Times New Roman"/>
          <w:sz w:val="24"/>
          <w:szCs w:val="24"/>
          <w:lang w:eastAsia="en-US"/>
        </w:rPr>
        <w:t>experience of service</w:t>
      </w:r>
      <w:r>
        <w:rPr>
          <w:rFonts w:ascii="Times New Roman" w:hAnsi="Times New Roman"/>
          <w:sz w:val="24"/>
          <w:szCs w:val="24"/>
          <w:lang w:eastAsia="en-US"/>
        </w:rPr>
        <w:t xml:space="preserve"> </w:t>
      </w:r>
      <w:r w:rsidRPr="00035C00">
        <w:rPr>
          <w:rFonts w:ascii="Times New Roman" w:hAnsi="Times New Roman"/>
          <w:sz w:val="24"/>
          <w:szCs w:val="24"/>
          <w:lang w:eastAsia="en-US"/>
        </w:rPr>
        <w:t>users, and works in</w:t>
      </w:r>
      <w:r>
        <w:rPr>
          <w:rFonts w:ascii="Times New Roman" w:hAnsi="Times New Roman"/>
          <w:sz w:val="24"/>
          <w:szCs w:val="24"/>
          <w:lang w:eastAsia="en-US"/>
        </w:rPr>
        <w:t xml:space="preserve"> </w:t>
      </w:r>
      <w:r w:rsidRPr="00035C00">
        <w:rPr>
          <w:rFonts w:ascii="Times New Roman" w:hAnsi="Times New Roman"/>
          <w:sz w:val="24"/>
          <w:szCs w:val="24"/>
          <w:lang w:eastAsia="en-US"/>
        </w:rPr>
        <w:t>collaboration with the</w:t>
      </w:r>
      <w:r>
        <w:rPr>
          <w:rFonts w:ascii="Times New Roman" w:hAnsi="Times New Roman"/>
          <w:sz w:val="24"/>
          <w:szCs w:val="24"/>
          <w:lang w:eastAsia="en-US"/>
        </w:rPr>
        <w:t xml:space="preserve"> </w:t>
      </w:r>
      <w:r w:rsidRPr="00035C00">
        <w:rPr>
          <w:rFonts w:ascii="Times New Roman" w:hAnsi="Times New Roman"/>
          <w:sz w:val="24"/>
          <w:szCs w:val="24"/>
          <w:lang w:eastAsia="en-US"/>
        </w:rPr>
        <w:t>service user and their</w:t>
      </w:r>
      <w:r>
        <w:rPr>
          <w:rFonts w:ascii="Times New Roman" w:hAnsi="Times New Roman"/>
          <w:sz w:val="24"/>
          <w:szCs w:val="24"/>
          <w:lang w:eastAsia="en-US"/>
        </w:rPr>
        <w:t xml:space="preserve"> </w:t>
      </w:r>
      <w:r w:rsidRPr="00035C00">
        <w:rPr>
          <w:rFonts w:ascii="Times New Roman" w:hAnsi="Times New Roman"/>
          <w:sz w:val="24"/>
          <w:szCs w:val="24"/>
          <w:lang w:eastAsia="en-US"/>
        </w:rPr>
        <w:t>family and whānau</w:t>
      </w:r>
      <w:r>
        <w:rPr>
          <w:rFonts w:ascii="Times New Roman" w:hAnsi="Times New Roman"/>
          <w:sz w:val="24"/>
          <w:szCs w:val="24"/>
          <w:lang w:eastAsia="en-US"/>
        </w:rPr>
        <w:t xml:space="preserve">” </w:t>
      </w:r>
      <w:r>
        <w:rPr>
          <w:rFonts w:ascii="Times New Roman" w:hAnsi="Times New Roman"/>
          <w:sz w:val="24"/>
          <w:szCs w:val="24"/>
          <w:lang w:eastAsia="en-US"/>
        </w:rPr>
        <w:fldChar w:fldCharType="begin"/>
      </w:r>
      <w:r>
        <w:rPr>
          <w:rFonts w:ascii="Times New Roman" w:hAnsi="Times New Roman"/>
          <w:sz w:val="24"/>
          <w:szCs w:val="24"/>
          <w:lang w:eastAsia="en-US"/>
        </w:rPr>
        <w:instrText xml:space="preserve"> ADDIN EN.CITE &lt;EndNote&gt;&lt;Cite&gt;&lt;Author&gt;Ministry of Health&lt;/Author&gt;&lt;Year&gt;2018&lt;/Year&gt;&lt;RecNum&gt;300&lt;/RecNum&gt;&lt;Pages&gt;15&lt;/Pages&gt;&lt;DisplayText&gt;(Ministry of Health, 2018, p. 15)&lt;/DisplayText&gt;&lt;record&gt;&lt;rec-number&gt;300&lt;/rec-number&gt;&lt;foreign-keys&gt;&lt;key app="EN" db-id="25rszwft292ev3esrpvpde0cpxrd9ex0xspp" timestamp="1600730608"&gt;300&lt;/key&gt;&lt;/foreign-keys&gt;&lt;ref-type name="Report"&gt;27&lt;/ref-type&gt;&lt;contributors&gt;&lt;authors&gt;&lt;author&gt;Ministry of Health,&lt;/author&gt;&lt;/authors&gt;&lt;/contributors&gt;&lt;titles&gt;&lt;title&gt;Mental Health and Addiction Workforce Action Plan 2017-2021 (2nd edn).&lt;/title&gt;&lt;/titles&gt;&lt;dates&gt;&lt;year&gt;2018&lt;/year&gt;&lt;/dates&gt;&lt;pub-location&gt;Wellington&lt;/pub-location&gt;&lt;publisher&gt;Ministry of Health&lt;/publisher&gt;&lt;urls&gt;&lt;/urls&gt;&lt;/record&gt;&lt;/Cite&gt;&lt;/EndNote&gt;</w:instrText>
      </w:r>
      <w:r>
        <w:rPr>
          <w:rFonts w:ascii="Times New Roman" w:hAnsi="Times New Roman"/>
          <w:sz w:val="24"/>
          <w:szCs w:val="24"/>
          <w:lang w:eastAsia="en-US"/>
        </w:rPr>
        <w:fldChar w:fldCharType="separate"/>
      </w:r>
      <w:r>
        <w:rPr>
          <w:rFonts w:ascii="Times New Roman" w:hAnsi="Times New Roman"/>
          <w:noProof/>
          <w:sz w:val="24"/>
          <w:szCs w:val="24"/>
          <w:lang w:eastAsia="en-US"/>
        </w:rPr>
        <w:t>(Ministry of Health, 2018, p. 15)</w:t>
      </w:r>
      <w:r>
        <w:rPr>
          <w:rFonts w:ascii="Times New Roman" w:hAnsi="Times New Roman"/>
          <w:sz w:val="24"/>
          <w:szCs w:val="24"/>
          <w:lang w:eastAsia="en-US"/>
        </w:rPr>
        <w:fldChar w:fldCharType="end"/>
      </w:r>
      <w:r w:rsidRPr="00035C00">
        <w:rPr>
          <w:rFonts w:ascii="Times New Roman" w:hAnsi="Times New Roman"/>
          <w:sz w:val="24"/>
          <w:szCs w:val="24"/>
          <w:lang w:eastAsia="en-US"/>
        </w:rPr>
        <w:t>.</w:t>
      </w:r>
    </w:p>
    <w:p w14:paraId="3E516F17" w14:textId="77777777" w:rsidR="00D50B98" w:rsidRDefault="00D50B98" w:rsidP="00D50B98">
      <w:pPr>
        <w:pStyle w:val="Style1"/>
        <w:spacing w:before="0"/>
        <w:jc w:val="both"/>
        <w:rPr>
          <w:rFonts w:ascii="Times New Roman" w:hAnsi="Times New Roman"/>
          <w:sz w:val="24"/>
          <w:szCs w:val="24"/>
          <w:lang w:eastAsia="en-US"/>
        </w:rPr>
      </w:pPr>
    </w:p>
    <w:p w14:paraId="551F9CB9" w14:textId="77774ABD" w:rsidR="00D50B98" w:rsidRDefault="00D50B98" w:rsidP="00821838">
      <w:pPr>
        <w:pStyle w:val="Heading4"/>
      </w:pPr>
      <w:r>
        <w:t>Limitations of the structured engagement with expert opinion</w:t>
      </w:r>
    </w:p>
    <w:p w14:paraId="38CC371B" w14:textId="3FDB1C37" w:rsidR="00D50B98" w:rsidRDefault="00D50B98" w:rsidP="00D50B98">
      <w:pPr>
        <w:jc w:val="both"/>
      </w:pPr>
      <w:bookmarkStart w:id="109" w:name="_Hlk57721125"/>
      <w:r>
        <w:t xml:space="preserve">This engagement with expert opinion has been necessarily limited by the availability of panel members during a year of many challenges and disruptions related to the COVID-19 pandemic and public health responses. </w:t>
      </w:r>
      <w:bookmarkEnd w:id="109"/>
      <w:r>
        <w:t>Consumer representation was particularly low in this engagement with expertise/experience and should be addressed in future work with different methodologies designed to improve links with consumers (e.g. face</w:t>
      </w:r>
      <w:r w:rsidR="00656428">
        <w:t>-</w:t>
      </w:r>
      <w:r>
        <w:t>to</w:t>
      </w:r>
      <w:r w:rsidR="00656428">
        <w:t>-</w:t>
      </w:r>
      <w:r>
        <w:t xml:space="preserve">face engagement alongside the construction of consumer governance panels for mental health services). </w:t>
      </w:r>
      <w:bookmarkStart w:id="110" w:name="_Hlk57721095"/>
      <w:r>
        <w:t xml:space="preserve">Additional convergence and validation of Round 2 analysis and recommendations with the panel would have further strengthened the conclusions made in this report. However, a third round of engagement was not possible within the lifecycle of the project. </w:t>
      </w:r>
      <w:bookmarkEnd w:id="110"/>
    </w:p>
    <w:p w14:paraId="0D6ACEBE" w14:textId="32F1C372" w:rsidR="00D50B98" w:rsidRDefault="00D50B98" w:rsidP="00D50B98">
      <w:pPr>
        <w:jc w:val="both"/>
      </w:pPr>
    </w:p>
    <w:p w14:paraId="7FE3B82A" w14:textId="1ADBBCF1" w:rsidR="00D50B98" w:rsidRDefault="00D50B98" w:rsidP="00821838">
      <w:pPr>
        <w:pStyle w:val="Heading4"/>
      </w:pPr>
      <w:r>
        <w:t>Conclusion</w:t>
      </w:r>
    </w:p>
    <w:p w14:paraId="67A8738A" w14:textId="5F0A82AA" w:rsidR="00D50B98" w:rsidRPr="005C46A2" w:rsidRDefault="00D50B98" w:rsidP="00D50B98">
      <w:pPr>
        <w:jc w:val="both"/>
      </w:pPr>
      <w:r>
        <w:t xml:space="preserve">This structured engagement with expert opinion on enhancing gambling and addictions service design and delivery for FAOs was carried out in the spirit of </w:t>
      </w:r>
      <w:r w:rsidRPr="00BB2AB4">
        <w:t>a ‘human prerogative of care’</w:t>
      </w:r>
      <w:r>
        <w:t xml:space="preserve">: </w:t>
      </w:r>
      <w:r w:rsidRPr="00BB2AB4">
        <w:t>accepting that no single treatment system can address all addiction-related problems for families</w:t>
      </w:r>
      <w:r>
        <w:t xml:space="preserve">. Our analysis of recommendations has shown that enhancing support for FAOs in New Zealand gambling services should involve expanding the range of approaches to FAO support that exist in practice, through commitment to engaging a range of </w:t>
      </w:r>
      <w:bookmarkStart w:id="111" w:name="_Hlk53134657"/>
      <w:r>
        <w:t>individual psychological and broader social, cultural and relational</w:t>
      </w:r>
      <w:bookmarkEnd w:id="111"/>
      <w:r>
        <w:t xml:space="preserve"> paradigms. </w:t>
      </w:r>
      <w:bookmarkStart w:id="112" w:name="_Hlk53134613"/>
      <w:r w:rsidRPr="00847BEE">
        <w:t>In present services much of what is talked about, decided upon and done is based around the views, perspectives and culture of service systems and professionals</w:t>
      </w:r>
      <w:r>
        <w:t>.</w:t>
      </w:r>
      <w:r w:rsidRPr="00847BEE">
        <w:t xml:space="preserve"> </w:t>
      </w:r>
      <w:bookmarkEnd w:id="112"/>
      <w:r w:rsidRPr="00847BEE">
        <w:t xml:space="preserve">The belief in and power of expertise </w:t>
      </w:r>
      <w:r>
        <w:t>must be challenged</w:t>
      </w:r>
      <w:r w:rsidRPr="00847BEE">
        <w:t xml:space="preserve"> if we </w:t>
      </w:r>
      <w:r>
        <w:t>wish</w:t>
      </w:r>
      <w:r w:rsidRPr="00847BEE">
        <w:t xml:space="preserve"> to base our practices on collaboration and dialogue with families.</w:t>
      </w:r>
      <w:r>
        <w:t xml:space="preserve"> A</w:t>
      </w:r>
      <w:r w:rsidRPr="00847BEE">
        <w:t xml:space="preserve">ctive inquiry </w:t>
      </w:r>
      <w:r>
        <w:t>to support service design and practice should involve</w:t>
      </w:r>
      <w:r w:rsidRPr="00847BEE">
        <w:t xml:space="preserve">: participation of community members, cooperation and equal contribution between community members, researchers and service providers, co-learning, systems development and local community capacity building, empowerment, and a </w:t>
      </w:r>
      <w:r w:rsidRPr="00847BEE">
        <w:lastRenderedPageBreak/>
        <w:t>balance between inquiry and action</w:t>
      </w:r>
      <w:r>
        <w:t xml:space="preserve">. The idea of </w:t>
      </w:r>
      <w:r w:rsidRPr="00847BEE">
        <w:t>‘critical refle</w:t>
      </w:r>
      <w:r w:rsidR="00C35682">
        <w:t>x</w:t>
      </w:r>
      <w:r w:rsidRPr="00847BEE">
        <w:t xml:space="preserve">ivity’ </w:t>
      </w:r>
      <w:r>
        <w:t xml:space="preserve">could support </w:t>
      </w:r>
      <w:r w:rsidRPr="00847BEE">
        <w:t xml:space="preserve">a culture of learning and improvement </w:t>
      </w:r>
      <w:r>
        <w:t xml:space="preserve">in services where </w:t>
      </w:r>
      <w:r w:rsidRPr="00847BEE">
        <w:t xml:space="preserve">professionals are supported to actively consider how their practices interact with prevailing knowledge systems, generally through exposure to different ways of thinking about </w:t>
      </w:r>
      <w:r>
        <w:t>support/intervention</w:t>
      </w:r>
      <w:r w:rsidRPr="00847BEE">
        <w:t>, and particularly as grounded in client’s experiences</w:t>
      </w:r>
      <w:r>
        <w:t xml:space="preserve">. </w:t>
      </w:r>
      <w:bookmarkStart w:id="113" w:name="_Hlk53134775"/>
      <w:r>
        <w:t>Promising avenues for enhancing support provided for FAOs through service commissioning include support and initiatives for: practitioner-inquirers, collaborative and participatory service design, development and evaluation, workforce diversity and broader workforce development around cultural and family responsiveness.</w:t>
      </w:r>
    </w:p>
    <w:bookmarkEnd w:id="113"/>
    <w:p w14:paraId="242C58C5" w14:textId="77777777" w:rsidR="00D50B98" w:rsidRPr="005C46A2" w:rsidRDefault="00D50B98" w:rsidP="00DF0EA9">
      <w:pPr>
        <w:spacing w:line="259" w:lineRule="auto"/>
        <w:jc w:val="both"/>
      </w:pPr>
    </w:p>
    <w:p w14:paraId="7C480DF3" w14:textId="77777777" w:rsidR="004D7E00" w:rsidRDefault="004D7E00">
      <w:pPr>
        <w:spacing w:after="160" w:line="259" w:lineRule="auto"/>
        <w:rPr>
          <w:b/>
        </w:rPr>
      </w:pPr>
      <w:r>
        <w:br w:type="page"/>
      </w:r>
    </w:p>
    <w:p w14:paraId="1280336C" w14:textId="544F5880" w:rsidR="00820874" w:rsidRDefault="00DD03C8" w:rsidP="00C13E89">
      <w:pPr>
        <w:pStyle w:val="Heading1"/>
        <w:jc w:val="both"/>
      </w:pPr>
      <w:bookmarkStart w:id="114" w:name="_Toc58400778"/>
      <w:r>
        <w:lastRenderedPageBreak/>
        <w:t>E</w:t>
      </w:r>
      <w:r w:rsidR="003E195A">
        <w:t>XPLORATION OF CURRENT FAO SUPPORT PRACTICES</w:t>
      </w:r>
      <w:bookmarkEnd w:id="114"/>
      <w:r w:rsidR="003E195A">
        <w:t xml:space="preserve"> </w:t>
      </w:r>
    </w:p>
    <w:p w14:paraId="4264FB11" w14:textId="7489400C" w:rsidR="00E24F65" w:rsidRDefault="00E24F65" w:rsidP="00E24F65">
      <w:r>
        <w:t xml:space="preserve">This section details the results of part two of the study, an exploration of current FAO support practices. Part two involved a review of FAO support service provision, and an exploration of FAO engagement with New Zealand gambling services. </w:t>
      </w:r>
    </w:p>
    <w:p w14:paraId="1ABF9287" w14:textId="77777777" w:rsidR="00E24F65" w:rsidRDefault="00E24F65" w:rsidP="00820874"/>
    <w:p w14:paraId="10A0F13F" w14:textId="09855EFA" w:rsidR="00E81F83" w:rsidRDefault="00E81F83" w:rsidP="00C13E89">
      <w:pPr>
        <w:pStyle w:val="Heading2"/>
        <w:pBdr>
          <w:top w:val="single" w:sz="4" w:space="1" w:color="auto"/>
          <w:left w:val="single" w:sz="4" w:space="4" w:color="auto"/>
          <w:bottom w:val="single" w:sz="4" w:space="1" w:color="auto"/>
          <w:right w:val="single" w:sz="4" w:space="4" w:color="auto"/>
        </w:pBdr>
      </w:pPr>
      <w:bookmarkStart w:id="115" w:name="_Toc58400779"/>
      <w:r>
        <w:t>Review of FAO support service provision</w:t>
      </w:r>
      <w:bookmarkEnd w:id="115"/>
    </w:p>
    <w:p w14:paraId="5AFFAEC7" w14:textId="28CE4F76" w:rsidR="00966D1C" w:rsidRDefault="008B75DB" w:rsidP="00966D1C">
      <w:pPr>
        <w:spacing w:line="240" w:lineRule="auto"/>
        <w:jc w:val="both"/>
        <w:rPr>
          <w:rFonts w:eastAsia="Times New Roman"/>
        </w:rPr>
      </w:pPr>
      <w:r>
        <w:rPr>
          <w:rFonts w:eastAsia="Times New Roman"/>
        </w:rPr>
        <w:t xml:space="preserve">A review of FAO support service provision was conducted </w:t>
      </w:r>
      <w:r w:rsidR="00966D1C" w:rsidRPr="00126BA8">
        <w:rPr>
          <w:rFonts w:eastAsia="Times New Roman"/>
        </w:rPr>
        <w:t xml:space="preserve">to explore how services </w:t>
      </w:r>
      <w:r w:rsidR="00D1019D" w:rsidRPr="00126BA8">
        <w:rPr>
          <w:rFonts w:eastAsia="Times New Roman"/>
        </w:rPr>
        <w:t>were presented, orientated, and engaging with the needs of FAOs</w:t>
      </w:r>
      <w:r w:rsidR="00966D1C" w:rsidRPr="00126BA8">
        <w:rPr>
          <w:rFonts w:eastAsia="Times New Roman"/>
        </w:rPr>
        <w:t xml:space="preserve">. </w:t>
      </w:r>
      <w:bookmarkStart w:id="116" w:name="_Hlk57898081"/>
      <w:r w:rsidR="00884754">
        <w:rPr>
          <w:rFonts w:eastAsia="Times New Roman"/>
        </w:rPr>
        <w:t xml:space="preserve">During the structured engagement with expert opinion, panellists were invited to suggest </w:t>
      </w:r>
      <w:r w:rsidR="00884754" w:rsidRPr="00126BA8">
        <w:rPr>
          <w:rFonts w:eastAsia="Times New Roman"/>
        </w:rPr>
        <w:t>a range of national and international gambling support services</w:t>
      </w:r>
      <w:r w:rsidR="00884754">
        <w:rPr>
          <w:rFonts w:eastAsia="Times New Roman"/>
        </w:rPr>
        <w:t xml:space="preserve"> who they felt were engaged with families. </w:t>
      </w:r>
      <w:r w:rsidR="00966D1C" w:rsidRPr="00126BA8">
        <w:rPr>
          <w:rFonts w:eastAsia="Times New Roman"/>
        </w:rPr>
        <w:t>Th</w:t>
      </w:r>
      <w:r w:rsidR="00884754">
        <w:rPr>
          <w:rFonts w:eastAsia="Times New Roman"/>
        </w:rPr>
        <w:t>is</w:t>
      </w:r>
      <w:r w:rsidR="00966D1C" w:rsidRPr="00126BA8">
        <w:rPr>
          <w:rFonts w:eastAsia="Times New Roman"/>
        </w:rPr>
        <w:t xml:space="preserve"> </w:t>
      </w:r>
      <w:r w:rsidR="00D1019D">
        <w:rPr>
          <w:rFonts w:eastAsia="Times New Roman"/>
        </w:rPr>
        <w:t>review</w:t>
      </w:r>
      <w:r w:rsidR="00966D1C" w:rsidRPr="00126BA8">
        <w:rPr>
          <w:rFonts w:eastAsia="Times New Roman"/>
        </w:rPr>
        <w:t xml:space="preserve"> examined information </w:t>
      </w:r>
      <w:r w:rsidR="00884754">
        <w:rPr>
          <w:rFonts w:eastAsia="Times New Roman"/>
        </w:rPr>
        <w:t>relating to these services.</w:t>
      </w:r>
      <w:r w:rsidR="00966D1C" w:rsidRPr="00126BA8">
        <w:rPr>
          <w:rFonts w:eastAsia="Times New Roman"/>
        </w:rPr>
        <w:t xml:space="preserve"> The purpose was to gain a sense of the support options available to FAOs affected by gambling harm at present. </w:t>
      </w:r>
      <w:bookmarkEnd w:id="116"/>
    </w:p>
    <w:p w14:paraId="2464C394" w14:textId="77777777" w:rsidR="00966D1C" w:rsidRPr="00126BA8" w:rsidRDefault="00966D1C" w:rsidP="00966D1C">
      <w:pPr>
        <w:spacing w:line="240" w:lineRule="auto"/>
        <w:jc w:val="both"/>
        <w:rPr>
          <w:rFonts w:eastAsia="Times New Roman"/>
        </w:rPr>
      </w:pPr>
    </w:p>
    <w:p w14:paraId="1DE0E55B" w14:textId="576EAFD5" w:rsidR="00966D1C" w:rsidRPr="00126BA8" w:rsidRDefault="0043547B" w:rsidP="00966D1C">
      <w:r>
        <w:t>Research</w:t>
      </w:r>
      <w:r w:rsidR="00966D1C" w:rsidRPr="00126BA8">
        <w:t xml:space="preserve"> questions</w:t>
      </w:r>
      <w:r w:rsidR="00D1019D">
        <w:t>:</w:t>
      </w:r>
    </w:p>
    <w:p w14:paraId="57CB9E76" w14:textId="77777777" w:rsidR="00966D1C" w:rsidRPr="00126BA8" w:rsidRDefault="00966D1C" w:rsidP="007E15CF">
      <w:pPr>
        <w:pStyle w:val="ListParagraph"/>
        <w:numPr>
          <w:ilvl w:val="0"/>
          <w:numId w:val="23"/>
        </w:numPr>
        <w:spacing w:line="240" w:lineRule="auto"/>
        <w:jc w:val="both"/>
        <w:rPr>
          <w:rFonts w:eastAsia="Times New Roman"/>
        </w:rPr>
      </w:pPr>
      <w:r w:rsidRPr="00126BA8">
        <w:rPr>
          <w:rFonts w:eastAsia="Times New Roman"/>
        </w:rPr>
        <w:t>How do gambling services appear to be oriented to FAOs at present?</w:t>
      </w:r>
    </w:p>
    <w:p w14:paraId="398AFCDE" w14:textId="77777777" w:rsidR="00966D1C" w:rsidRPr="00126BA8" w:rsidRDefault="00966D1C" w:rsidP="007E15CF">
      <w:pPr>
        <w:pStyle w:val="ListParagraph"/>
        <w:numPr>
          <w:ilvl w:val="0"/>
          <w:numId w:val="23"/>
        </w:numPr>
        <w:spacing w:line="240" w:lineRule="auto"/>
        <w:jc w:val="both"/>
        <w:rPr>
          <w:rFonts w:eastAsia="Times New Roman"/>
        </w:rPr>
      </w:pPr>
      <w:r w:rsidRPr="00126BA8">
        <w:rPr>
          <w:rFonts w:eastAsia="Times New Roman"/>
        </w:rPr>
        <w:t>What evidence is there of the kinds of support that FAOs are offered in gambling services?</w:t>
      </w:r>
    </w:p>
    <w:p w14:paraId="2413AEFC" w14:textId="3DF34A32" w:rsidR="00966D1C" w:rsidRPr="00966D1C" w:rsidRDefault="00966D1C" w:rsidP="007E15CF">
      <w:pPr>
        <w:pStyle w:val="ListParagraph"/>
        <w:numPr>
          <w:ilvl w:val="0"/>
          <w:numId w:val="23"/>
        </w:numPr>
        <w:spacing w:line="240" w:lineRule="auto"/>
        <w:jc w:val="both"/>
        <w:rPr>
          <w:rFonts w:eastAsia="Times New Roman"/>
        </w:rPr>
      </w:pPr>
      <w:r w:rsidRPr="00126BA8">
        <w:t>How are gender, ethnicity and/or cultural issues/perspectives incorporated into service design and delivery?</w:t>
      </w:r>
    </w:p>
    <w:p w14:paraId="791D965A" w14:textId="30C8E393" w:rsidR="00966D1C" w:rsidRDefault="00966D1C" w:rsidP="00966D1C">
      <w:pPr>
        <w:spacing w:line="240" w:lineRule="auto"/>
        <w:jc w:val="both"/>
        <w:rPr>
          <w:rFonts w:eastAsia="Times New Roman"/>
        </w:rPr>
      </w:pPr>
    </w:p>
    <w:p w14:paraId="25CF54A6" w14:textId="79B8670E" w:rsidR="00966D1C" w:rsidRPr="00966D1C" w:rsidRDefault="00966D1C" w:rsidP="00966D1C">
      <w:pPr>
        <w:pStyle w:val="Heading3"/>
        <w:spacing w:before="0"/>
        <w:jc w:val="both"/>
        <w:rPr>
          <w:rFonts w:eastAsia="Times New Roman"/>
        </w:rPr>
      </w:pPr>
      <w:bookmarkStart w:id="117" w:name="_Toc58400780"/>
      <w:r>
        <w:rPr>
          <w:rFonts w:eastAsia="Times New Roman"/>
        </w:rPr>
        <w:t>Approach to data collection and analysis</w:t>
      </w:r>
      <w:bookmarkEnd w:id="117"/>
    </w:p>
    <w:p w14:paraId="2AE78376" w14:textId="39CAEE67" w:rsidR="00966D1C" w:rsidRPr="00126BA8" w:rsidRDefault="00966D1C" w:rsidP="00966D1C">
      <w:pPr>
        <w:spacing w:line="240" w:lineRule="auto"/>
        <w:jc w:val="both"/>
        <w:rPr>
          <w:rFonts w:eastAsia="Times New Roman"/>
        </w:rPr>
      </w:pPr>
      <w:r w:rsidRPr="00126BA8">
        <w:rPr>
          <w:rFonts w:eastAsia="Times New Roman"/>
        </w:rPr>
        <w:t>Data for analysis comprise</w:t>
      </w:r>
      <w:r>
        <w:rPr>
          <w:rFonts w:eastAsia="Times New Roman"/>
        </w:rPr>
        <w:t>d</w:t>
      </w:r>
      <w:r w:rsidRPr="00126BA8">
        <w:rPr>
          <w:rFonts w:eastAsia="Times New Roman"/>
        </w:rPr>
        <w:t xml:space="preserve">: </w:t>
      </w:r>
    </w:p>
    <w:p w14:paraId="0EAB0436" w14:textId="77777777" w:rsidR="00966D1C" w:rsidRPr="00126BA8" w:rsidRDefault="00966D1C" w:rsidP="007E15CF">
      <w:pPr>
        <w:pStyle w:val="ListParagraph"/>
        <w:numPr>
          <w:ilvl w:val="0"/>
          <w:numId w:val="21"/>
        </w:numPr>
        <w:spacing w:line="240" w:lineRule="auto"/>
        <w:jc w:val="both"/>
        <w:rPr>
          <w:rFonts w:eastAsia="Times New Roman"/>
        </w:rPr>
      </w:pPr>
      <w:r w:rsidRPr="00126BA8">
        <w:rPr>
          <w:rFonts w:eastAsia="Times New Roman"/>
        </w:rPr>
        <w:t xml:space="preserve">National and international gambling support service summaries and/or copies of programme documentation, practice resources and policies in use within the service that are relevant to support that is currently provided for FAOs, including any available evidence for the incorporation of gender, ethnicity and/or cultural issues/perspectives into service delivery. </w:t>
      </w:r>
    </w:p>
    <w:p w14:paraId="51CD43E3" w14:textId="12BF746D" w:rsidR="00966D1C" w:rsidRDefault="00966D1C" w:rsidP="007E15CF">
      <w:pPr>
        <w:pStyle w:val="ListParagraph"/>
        <w:numPr>
          <w:ilvl w:val="0"/>
          <w:numId w:val="21"/>
        </w:numPr>
        <w:spacing w:line="240" w:lineRule="auto"/>
        <w:jc w:val="both"/>
        <w:rPr>
          <w:rFonts w:eastAsia="Times New Roman"/>
        </w:rPr>
      </w:pPr>
      <w:r w:rsidRPr="00126BA8">
        <w:rPr>
          <w:rFonts w:eastAsia="Times New Roman"/>
        </w:rPr>
        <w:t>The websites and/or publicly available material associated with these services.</w:t>
      </w:r>
    </w:p>
    <w:p w14:paraId="55E23AA2" w14:textId="77777777" w:rsidR="00D1019D" w:rsidRPr="00126BA8" w:rsidRDefault="00D1019D" w:rsidP="00D1019D">
      <w:pPr>
        <w:pStyle w:val="ListParagraph"/>
        <w:spacing w:line="240" w:lineRule="auto"/>
        <w:jc w:val="both"/>
        <w:rPr>
          <w:rFonts w:eastAsia="Times New Roman"/>
        </w:rPr>
      </w:pPr>
    </w:p>
    <w:p w14:paraId="4AB2451D" w14:textId="228594A5" w:rsidR="00966D1C" w:rsidRDefault="00966D1C" w:rsidP="00966D1C">
      <w:pPr>
        <w:spacing w:line="240" w:lineRule="auto"/>
        <w:jc w:val="both"/>
        <w:rPr>
          <w:rFonts w:eastAsia="Times New Roman"/>
        </w:rPr>
      </w:pPr>
      <w:r w:rsidRPr="00126BA8">
        <w:rPr>
          <w:rFonts w:eastAsia="Times New Roman"/>
        </w:rPr>
        <w:t>Data was collected from the organisations</w:t>
      </w:r>
      <w:r w:rsidR="00065A27">
        <w:rPr>
          <w:rFonts w:eastAsia="Times New Roman"/>
        </w:rPr>
        <w:t xml:space="preserve"> listed in </w:t>
      </w:r>
      <w:r w:rsidR="00065A27">
        <w:rPr>
          <w:rFonts w:eastAsia="Times New Roman"/>
        </w:rPr>
        <w:fldChar w:fldCharType="begin"/>
      </w:r>
      <w:r w:rsidR="00065A27">
        <w:rPr>
          <w:rFonts w:eastAsia="Times New Roman"/>
        </w:rPr>
        <w:instrText xml:space="preserve"> REF _Ref52356892 \h </w:instrText>
      </w:r>
      <w:r w:rsidR="00065A27">
        <w:rPr>
          <w:rFonts w:eastAsia="Times New Roman"/>
        </w:rPr>
      </w:r>
      <w:r w:rsidR="00065A27">
        <w:rPr>
          <w:rFonts w:eastAsia="Times New Roman"/>
        </w:rPr>
        <w:fldChar w:fldCharType="separate"/>
      </w:r>
      <w:r w:rsidR="00DF0799">
        <w:t xml:space="preserve">Table </w:t>
      </w:r>
      <w:r w:rsidR="00DF0799">
        <w:rPr>
          <w:noProof/>
        </w:rPr>
        <w:t>11</w:t>
      </w:r>
      <w:r w:rsidR="00065A27">
        <w:rPr>
          <w:rFonts w:eastAsia="Times New Roman"/>
        </w:rPr>
        <w:fldChar w:fldCharType="end"/>
      </w:r>
      <w:r w:rsidR="00065A27">
        <w:rPr>
          <w:rFonts w:eastAsia="Times New Roman"/>
        </w:rPr>
        <w:t xml:space="preserve"> below. </w:t>
      </w:r>
    </w:p>
    <w:p w14:paraId="1B043D57" w14:textId="0CB1F6B8" w:rsidR="00D1019D" w:rsidRDefault="00D1019D" w:rsidP="00966D1C">
      <w:pPr>
        <w:spacing w:line="240" w:lineRule="auto"/>
        <w:jc w:val="both"/>
        <w:rPr>
          <w:rFonts w:eastAsia="Times New Roman"/>
        </w:rPr>
      </w:pPr>
    </w:p>
    <w:p w14:paraId="2252A898" w14:textId="60FA13BA" w:rsidR="00D1019D" w:rsidRPr="00126BA8" w:rsidRDefault="00065A27" w:rsidP="00065A27">
      <w:pPr>
        <w:pStyle w:val="Caption"/>
        <w:rPr>
          <w:rFonts w:eastAsia="Times New Roman"/>
        </w:rPr>
      </w:pPr>
      <w:bookmarkStart w:id="118" w:name="_Ref52356892"/>
      <w:bookmarkStart w:id="119" w:name="_Toc58400644"/>
      <w:r>
        <w:t xml:space="preserve">Table </w:t>
      </w:r>
      <w:r w:rsidR="00D04B86">
        <w:fldChar w:fldCharType="begin"/>
      </w:r>
      <w:r w:rsidR="00D04B86">
        <w:instrText xml:space="preserve"> SEQ Table \* ARABIC </w:instrText>
      </w:r>
      <w:r w:rsidR="00D04B86">
        <w:fldChar w:fldCharType="separate"/>
      </w:r>
      <w:r w:rsidR="00DF0799">
        <w:rPr>
          <w:noProof/>
        </w:rPr>
        <w:t>11</w:t>
      </w:r>
      <w:r w:rsidR="00D04B86">
        <w:rPr>
          <w:noProof/>
        </w:rPr>
        <w:fldChar w:fldCharType="end"/>
      </w:r>
      <w:bookmarkEnd w:id="118"/>
      <w:r>
        <w:t>. Organisations involved in review of service provision</w:t>
      </w:r>
      <w:bookmarkEnd w:id="1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946"/>
      </w:tblGrid>
      <w:tr w:rsidR="00966D1C" w:rsidRPr="00126BA8" w14:paraId="547D50E8" w14:textId="77777777" w:rsidTr="003632F4">
        <w:tc>
          <w:tcPr>
            <w:tcW w:w="1838" w:type="dxa"/>
            <w:tcBorders>
              <w:top w:val="single" w:sz="4" w:space="0" w:color="auto"/>
              <w:bottom w:val="single" w:sz="4" w:space="0" w:color="auto"/>
            </w:tcBorders>
          </w:tcPr>
          <w:p w14:paraId="341247B9" w14:textId="77777777" w:rsidR="00966D1C" w:rsidRPr="00126BA8" w:rsidRDefault="00966D1C" w:rsidP="00966D1C">
            <w:pPr>
              <w:jc w:val="both"/>
              <w:rPr>
                <w:b/>
              </w:rPr>
            </w:pPr>
            <w:r w:rsidRPr="00126BA8">
              <w:rPr>
                <w:b/>
              </w:rPr>
              <w:t>Country</w:t>
            </w:r>
          </w:p>
        </w:tc>
        <w:tc>
          <w:tcPr>
            <w:tcW w:w="6946" w:type="dxa"/>
            <w:tcBorders>
              <w:top w:val="single" w:sz="4" w:space="0" w:color="auto"/>
              <w:bottom w:val="single" w:sz="4" w:space="0" w:color="auto"/>
            </w:tcBorders>
          </w:tcPr>
          <w:p w14:paraId="3C56440C" w14:textId="77777777" w:rsidR="00966D1C" w:rsidRPr="00126BA8" w:rsidRDefault="00966D1C" w:rsidP="00966D1C">
            <w:pPr>
              <w:jc w:val="both"/>
              <w:rPr>
                <w:b/>
              </w:rPr>
            </w:pPr>
            <w:r w:rsidRPr="00126BA8">
              <w:rPr>
                <w:b/>
              </w:rPr>
              <w:t>Service/Organisation</w:t>
            </w:r>
          </w:p>
        </w:tc>
      </w:tr>
      <w:tr w:rsidR="00966D1C" w:rsidRPr="00126BA8" w14:paraId="0E29FD75" w14:textId="77777777" w:rsidTr="003632F4">
        <w:tc>
          <w:tcPr>
            <w:tcW w:w="1838" w:type="dxa"/>
            <w:tcBorders>
              <w:top w:val="single" w:sz="4" w:space="0" w:color="auto"/>
            </w:tcBorders>
          </w:tcPr>
          <w:p w14:paraId="6695B83C" w14:textId="77777777" w:rsidR="00966D1C" w:rsidRPr="00126BA8" w:rsidRDefault="00966D1C" w:rsidP="00966D1C">
            <w:pPr>
              <w:jc w:val="both"/>
              <w:rPr>
                <w:b/>
              </w:rPr>
            </w:pPr>
            <w:r w:rsidRPr="00126BA8">
              <w:t>New Zealand</w:t>
            </w:r>
          </w:p>
        </w:tc>
        <w:tc>
          <w:tcPr>
            <w:tcW w:w="6946" w:type="dxa"/>
            <w:tcBorders>
              <w:top w:val="single" w:sz="4" w:space="0" w:color="auto"/>
            </w:tcBorders>
          </w:tcPr>
          <w:p w14:paraId="18C9BB7A" w14:textId="77777777" w:rsidR="00966D1C" w:rsidRPr="00126BA8" w:rsidRDefault="00966D1C" w:rsidP="00966D1C">
            <w:pPr>
              <w:jc w:val="both"/>
            </w:pPr>
            <w:r w:rsidRPr="00126BA8">
              <w:t>Asian Family Services</w:t>
            </w:r>
          </w:p>
        </w:tc>
      </w:tr>
      <w:tr w:rsidR="00966D1C" w:rsidRPr="00126BA8" w14:paraId="27CC343A" w14:textId="77777777" w:rsidTr="003632F4">
        <w:tc>
          <w:tcPr>
            <w:tcW w:w="1838" w:type="dxa"/>
          </w:tcPr>
          <w:p w14:paraId="7BED2593" w14:textId="77777777" w:rsidR="00966D1C" w:rsidRPr="00126BA8" w:rsidRDefault="00966D1C" w:rsidP="00966D1C">
            <w:pPr>
              <w:jc w:val="both"/>
            </w:pPr>
          </w:p>
        </w:tc>
        <w:tc>
          <w:tcPr>
            <w:tcW w:w="6946" w:type="dxa"/>
          </w:tcPr>
          <w:p w14:paraId="53C781D2" w14:textId="77777777" w:rsidR="00966D1C" w:rsidRPr="00126BA8" w:rsidRDefault="00966D1C" w:rsidP="00966D1C">
            <w:pPr>
              <w:jc w:val="both"/>
            </w:pPr>
            <w:r w:rsidRPr="00126BA8">
              <w:t>Homecare Medical</w:t>
            </w:r>
          </w:p>
        </w:tc>
      </w:tr>
      <w:tr w:rsidR="00966D1C" w:rsidRPr="00126BA8" w14:paraId="66743D08" w14:textId="77777777" w:rsidTr="003632F4">
        <w:tc>
          <w:tcPr>
            <w:tcW w:w="1838" w:type="dxa"/>
          </w:tcPr>
          <w:p w14:paraId="5FFC4DDD" w14:textId="77777777" w:rsidR="00966D1C" w:rsidRPr="00126BA8" w:rsidRDefault="00966D1C" w:rsidP="00966D1C">
            <w:pPr>
              <w:jc w:val="both"/>
            </w:pPr>
          </w:p>
        </w:tc>
        <w:tc>
          <w:tcPr>
            <w:tcW w:w="6946" w:type="dxa"/>
          </w:tcPr>
          <w:p w14:paraId="6D440B59" w14:textId="77777777" w:rsidR="00966D1C" w:rsidRPr="00126BA8" w:rsidRDefault="00966D1C" w:rsidP="00966D1C">
            <w:pPr>
              <w:jc w:val="both"/>
            </w:pPr>
            <w:r w:rsidRPr="00126BA8">
              <w:t>NZ Salvation Army Oasis Reducing Gambling Harm (Oasis)</w:t>
            </w:r>
          </w:p>
        </w:tc>
      </w:tr>
      <w:tr w:rsidR="00966D1C" w:rsidRPr="00126BA8" w14:paraId="6EB67CF8" w14:textId="77777777" w:rsidTr="003632F4">
        <w:tc>
          <w:tcPr>
            <w:tcW w:w="1838" w:type="dxa"/>
          </w:tcPr>
          <w:p w14:paraId="145644BC" w14:textId="77777777" w:rsidR="00966D1C" w:rsidRPr="00126BA8" w:rsidRDefault="00966D1C" w:rsidP="00966D1C">
            <w:pPr>
              <w:jc w:val="both"/>
            </w:pPr>
          </w:p>
        </w:tc>
        <w:tc>
          <w:tcPr>
            <w:tcW w:w="6946" w:type="dxa"/>
          </w:tcPr>
          <w:p w14:paraId="4C979831" w14:textId="77777777" w:rsidR="00966D1C" w:rsidRPr="00126BA8" w:rsidRDefault="00966D1C" w:rsidP="00966D1C">
            <w:pPr>
              <w:jc w:val="both"/>
            </w:pPr>
            <w:r w:rsidRPr="00126BA8">
              <w:t>Mapu Maia</w:t>
            </w:r>
          </w:p>
        </w:tc>
      </w:tr>
      <w:tr w:rsidR="00966D1C" w:rsidRPr="00126BA8" w14:paraId="175A401F" w14:textId="77777777" w:rsidTr="003632F4">
        <w:tc>
          <w:tcPr>
            <w:tcW w:w="1838" w:type="dxa"/>
          </w:tcPr>
          <w:p w14:paraId="69E528E2" w14:textId="77777777" w:rsidR="00966D1C" w:rsidRPr="00126BA8" w:rsidRDefault="00966D1C" w:rsidP="00966D1C">
            <w:pPr>
              <w:jc w:val="both"/>
            </w:pPr>
          </w:p>
        </w:tc>
        <w:tc>
          <w:tcPr>
            <w:tcW w:w="6946" w:type="dxa"/>
          </w:tcPr>
          <w:p w14:paraId="175E4A6F" w14:textId="77777777" w:rsidR="00966D1C" w:rsidRPr="00126BA8" w:rsidRDefault="00966D1C" w:rsidP="00966D1C">
            <w:pPr>
              <w:jc w:val="both"/>
            </w:pPr>
            <w:r w:rsidRPr="00126BA8">
              <w:t>PGF Services</w:t>
            </w:r>
          </w:p>
        </w:tc>
      </w:tr>
      <w:tr w:rsidR="00966D1C" w:rsidRPr="00126BA8" w14:paraId="4E96411C" w14:textId="77777777" w:rsidTr="003632F4">
        <w:tc>
          <w:tcPr>
            <w:tcW w:w="1838" w:type="dxa"/>
          </w:tcPr>
          <w:p w14:paraId="7C5A96C9" w14:textId="77777777" w:rsidR="00966D1C" w:rsidRPr="00126BA8" w:rsidRDefault="00966D1C" w:rsidP="00966D1C">
            <w:pPr>
              <w:jc w:val="both"/>
            </w:pPr>
          </w:p>
        </w:tc>
        <w:tc>
          <w:tcPr>
            <w:tcW w:w="6946" w:type="dxa"/>
          </w:tcPr>
          <w:p w14:paraId="3A579FB2" w14:textId="77777777" w:rsidR="00966D1C" w:rsidRPr="00126BA8" w:rsidRDefault="00966D1C" w:rsidP="00966D1C">
            <w:pPr>
              <w:jc w:val="both"/>
            </w:pPr>
            <w:r w:rsidRPr="00126BA8">
              <w:t>Raukura Hauora o Tainui</w:t>
            </w:r>
          </w:p>
        </w:tc>
      </w:tr>
      <w:tr w:rsidR="00966D1C" w:rsidRPr="00126BA8" w14:paraId="78795C7B" w14:textId="77777777" w:rsidTr="003632F4">
        <w:tc>
          <w:tcPr>
            <w:tcW w:w="1838" w:type="dxa"/>
            <w:tcBorders>
              <w:bottom w:val="single" w:sz="4" w:space="0" w:color="auto"/>
            </w:tcBorders>
          </w:tcPr>
          <w:p w14:paraId="754CBA04" w14:textId="77777777" w:rsidR="00966D1C" w:rsidRPr="00126BA8" w:rsidRDefault="00966D1C" w:rsidP="00966D1C">
            <w:pPr>
              <w:jc w:val="both"/>
            </w:pPr>
          </w:p>
        </w:tc>
        <w:tc>
          <w:tcPr>
            <w:tcW w:w="6946" w:type="dxa"/>
            <w:tcBorders>
              <w:bottom w:val="single" w:sz="4" w:space="0" w:color="auto"/>
            </w:tcBorders>
          </w:tcPr>
          <w:p w14:paraId="1B892C68" w14:textId="77777777" w:rsidR="00966D1C" w:rsidRPr="00126BA8" w:rsidRDefault="00966D1C" w:rsidP="00966D1C">
            <w:pPr>
              <w:jc w:val="both"/>
            </w:pPr>
            <w:r w:rsidRPr="00126BA8">
              <w:t>South Seas</w:t>
            </w:r>
          </w:p>
        </w:tc>
      </w:tr>
      <w:tr w:rsidR="00966D1C" w:rsidRPr="00126BA8" w14:paraId="1A7644C0" w14:textId="77777777" w:rsidTr="003632F4">
        <w:tc>
          <w:tcPr>
            <w:tcW w:w="1838" w:type="dxa"/>
            <w:tcBorders>
              <w:top w:val="single" w:sz="4" w:space="0" w:color="auto"/>
            </w:tcBorders>
          </w:tcPr>
          <w:p w14:paraId="62DDDE8E" w14:textId="77777777" w:rsidR="00966D1C" w:rsidRPr="00126BA8" w:rsidRDefault="00966D1C" w:rsidP="00966D1C">
            <w:pPr>
              <w:jc w:val="both"/>
            </w:pPr>
            <w:r w:rsidRPr="00126BA8">
              <w:t>Australia</w:t>
            </w:r>
          </w:p>
        </w:tc>
        <w:tc>
          <w:tcPr>
            <w:tcW w:w="6946" w:type="dxa"/>
            <w:tcBorders>
              <w:top w:val="single" w:sz="4" w:space="0" w:color="auto"/>
            </w:tcBorders>
          </w:tcPr>
          <w:p w14:paraId="74AFE1CC" w14:textId="77777777" w:rsidR="00966D1C" w:rsidRPr="00126BA8" w:rsidRDefault="00966D1C" w:rsidP="00966D1C">
            <w:pPr>
              <w:jc w:val="both"/>
            </w:pPr>
            <w:r w:rsidRPr="00126BA8">
              <w:t xml:space="preserve">Gambling Help NSW </w:t>
            </w:r>
          </w:p>
        </w:tc>
      </w:tr>
      <w:tr w:rsidR="00966D1C" w:rsidRPr="00126BA8" w14:paraId="72E7EF5A" w14:textId="77777777" w:rsidTr="003632F4">
        <w:tc>
          <w:tcPr>
            <w:tcW w:w="1838" w:type="dxa"/>
          </w:tcPr>
          <w:p w14:paraId="4638341E" w14:textId="77777777" w:rsidR="00966D1C" w:rsidRPr="00126BA8" w:rsidRDefault="00966D1C" w:rsidP="00966D1C">
            <w:pPr>
              <w:jc w:val="both"/>
            </w:pPr>
          </w:p>
        </w:tc>
        <w:tc>
          <w:tcPr>
            <w:tcW w:w="6946" w:type="dxa"/>
          </w:tcPr>
          <w:p w14:paraId="75344FD7" w14:textId="77777777" w:rsidR="00966D1C" w:rsidRPr="00126BA8" w:rsidRDefault="00966D1C" w:rsidP="00966D1C">
            <w:pPr>
              <w:jc w:val="both"/>
            </w:pPr>
            <w:r w:rsidRPr="00126BA8">
              <w:t>Self Help Addiction Resource Centre (SHARC)</w:t>
            </w:r>
          </w:p>
        </w:tc>
      </w:tr>
      <w:tr w:rsidR="00966D1C" w:rsidRPr="00126BA8" w14:paraId="0B09C0DB" w14:textId="77777777" w:rsidTr="003632F4">
        <w:tc>
          <w:tcPr>
            <w:tcW w:w="1838" w:type="dxa"/>
          </w:tcPr>
          <w:p w14:paraId="46D64076" w14:textId="77777777" w:rsidR="00966D1C" w:rsidRPr="00126BA8" w:rsidRDefault="00966D1C" w:rsidP="00966D1C">
            <w:pPr>
              <w:jc w:val="both"/>
            </w:pPr>
          </w:p>
        </w:tc>
        <w:tc>
          <w:tcPr>
            <w:tcW w:w="6946" w:type="dxa"/>
          </w:tcPr>
          <w:p w14:paraId="2473D6F2" w14:textId="77777777" w:rsidR="00966D1C" w:rsidRPr="00126BA8" w:rsidRDefault="00966D1C" w:rsidP="00966D1C">
            <w:pPr>
              <w:jc w:val="both"/>
            </w:pPr>
            <w:r w:rsidRPr="00126BA8">
              <w:t>The Victorian Responsible Gambling Foundation (VGRF)</w:t>
            </w:r>
          </w:p>
        </w:tc>
      </w:tr>
      <w:tr w:rsidR="00966D1C" w:rsidRPr="00126BA8" w14:paraId="4D1BD593" w14:textId="77777777" w:rsidTr="003632F4">
        <w:tc>
          <w:tcPr>
            <w:tcW w:w="1838" w:type="dxa"/>
          </w:tcPr>
          <w:p w14:paraId="10385B37" w14:textId="77777777" w:rsidR="00966D1C" w:rsidRPr="00126BA8" w:rsidRDefault="00966D1C" w:rsidP="00966D1C">
            <w:pPr>
              <w:jc w:val="both"/>
            </w:pPr>
          </w:p>
        </w:tc>
        <w:tc>
          <w:tcPr>
            <w:tcW w:w="6946" w:type="dxa"/>
          </w:tcPr>
          <w:p w14:paraId="5D1015A9" w14:textId="77777777" w:rsidR="00966D1C" w:rsidRPr="00126BA8" w:rsidRDefault="00966D1C" w:rsidP="00966D1C">
            <w:pPr>
              <w:jc w:val="both"/>
            </w:pPr>
            <w:r w:rsidRPr="00126BA8">
              <w:t>Turning Point/Gambling Help Online</w:t>
            </w:r>
          </w:p>
        </w:tc>
      </w:tr>
      <w:tr w:rsidR="00966D1C" w:rsidRPr="00126BA8" w14:paraId="1F81D6A5" w14:textId="77777777" w:rsidTr="003632F4">
        <w:tc>
          <w:tcPr>
            <w:tcW w:w="1838" w:type="dxa"/>
            <w:tcBorders>
              <w:bottom w:val="single" w:sz="4" w:space="0" w:color="auto"/>
            </w:tcBorders>
          </w:tcPr>
          <w:p w14:paraId="3FDD58CC" w14:textId="77777777" w:rsidR="00966D1C" w:rsidRPr="00126BA8" w:rsidRDefault="00966D1C" w:rsidP="00966D1C">
            <w:pPr>
              <w:jc w:val="both"/>
            </w:pPr>
          </w:p>
        </w:tc>
        <w:tc>
          <w:tcPr>
            <w:tcW w:w="6946" w:type="dxa"/>
            <w:tcBorders>
              <w:bottom w:val="single" w:sz="4" w:space="0" w:color="auto"/>
            </w:tcBorders>
          </w:tcPr>
          <w:p w14:paraId="29A44F45" w14:textId="7C15844A" w:rsidR="00966D1C" w:rsidRPr="00126BA8" w:rsidRDefault="00966D1C" w:rsidP="00966D1C">
            <w:pPr>
              <w:jc w:val="both"/>
            </w:pPr>
            <w:r w:rsidRPr="00126BA8">
              <w:t>Warru</w:t>
            </w:r>
            <w:r w:rsidR="00AD367B">
              <w:t>w</w:t>
            </w:r>
            <w:r w:rsidRPr="00126BA8">
              <w:t xml:space="preserve">i Gambling Help  </w:t>
            </w:r>
          </w:p>
        </w:tc>
      </w:tr>
      <w:tr w:rsidR="00966D1C" w:rsidRPr="00126BA8" w14:paraId="5E387B3D" w14:textId="77777777" w:rsidTr="003632F4">
        <w:tc>
          <w:tcPr>
            <w:tcW w:w="1838" w:type="dxa"/>
            <w:tcBorders>
              <w:top w:val="single" w:sz="4" w:space="0" w:color="auto"/>
            </w:tcBorders>
          </w:tcPr>
          <w:p w14:paraId="531443D8" w14:textId="77777777" w:rsidR="00966D1C" w:rsidRPr="00126BA8" w:rsidRDefault="00966D1C" w:rsidP="00966D1C">
            <w:pPr>
              <w:jc w:val="both"/>
            </w:pPr>
            <w:r w:rsidRPr="00126BA8">
              <w:lastRenderedPageBreak/>
              <w:t>United Kingdom</w:t>
            </w:r>
          </w:p>
        </w:tc>
        <w:tc>
          <w:tcPr>
            <w:tcW w:w="6946" w:type="dxa"/>
            <w:tcBorders>
              <w:top w:val="single" w:sz="4" w:space="0" w:color="auto"/>
            </w:tcBorders>
          </w:tcPr>
          <w:p w14:paraId="4B7B8F62" w14:textId="77777777" w:rsidR="00966D1C" w:rsidRPr="00126BA8" w:rsidRDefault="00966D1C" w:rsidP="00966D1C">
            <w:pPr>
              <w:jc w:val="both"/>
            </w:pPr>
            <w:r w:rsidRPr="00126BA8">
              <w:t>GamCare UK</w:t>
            </w:r>
          </w:p>
        </w:tc>
      </w:tr>
      <w:tr w:rsidR="00966D1C" w:rsidRPr="00126BA8" w14:paraId="76DDEE8F" w14:textId="77777777" w:rsidTr="003632F4">
        <w:tc>
          <w:tcPr>
            <w:tcW w:w="1838" w:type="dxa"/>
            <w:tcBorders>
              <w:bottom w:val="single" w:sz="4" w:space="0" w:color="auto"/>
            </w:tcBorders>
          </w:tcPr>
          <w:p w14:paraId="37DCCECB" w14:textId="77777777" w:rsidR="00966D1C" w:rsidRPr="00126BA8" w:rsidRDefault="00966D1C" w:rsidP="00966D1C">
            <w:pPr>
              <w:jc w:val="both"/>
            </w:pPr>
          </w:p>
        </w:tc>
        <w:tc>
          <w:tcPr>
            <w:tcW w:w="6946" w:type="dxa"/>
            <w:tcBorders>
              <w:bottom w:val="single" w:sz="4" w:space="0" w:color="auto"/>
            </w:tcBorders>
          </w:tcPr>
          <w:p w14:paraId="2CF61059" w14:textId="77777777" w:rsidR="00966D1C" w:rsidRPr="00126BA8" w:rsidRDefault="00966D1C" w:rsidP="00966D1C">
            <w:pPr>
              <w:jc w:val="both"/>
            </w:pPr>
            <w:r w:rsidRPr="00126BA8">
              <w:t>National Problem Gambling Clinic</w:t>
            </w:r>
          </w:p>
        </w:tc>
      </w:tr>
      <w:tr w:rsidR="00966D1C" w:rsidRPr="00126BA8" w14:paraId="45DEDCAE" w14:textId="77777777" w:rsidTr="003632F4">
        <w:tc>
          <w:tcPr>
            <w:tcW w:w="1838" w:type="dxa"/>
            <w:tcBorders>
              <w:top w:val="single" w:sz="4" w:space="0" w:color="auto"/>
              <w:bottom w:val="single" w:sz="4" w:space="0" w:color="auto"/>
            </w:tcBorders>
          </w:tcPr>
          <w:p w14:paraId="3B15E80C" w14:textId="77777777" w:rsidR="00966D1C" w:rsidRPr="00126BA8" w:rsidRDefault="00966D1C" w:rsidP="00966D1C">
            <w:pPr>
              <w:jc w:val="both"/>
            </w:pPr>
            <w:r w:rsidRPr="00126BA8">
              <w:t>Canada</w:t>
            </w:r>
          </w:p>
        </w:tc>
        <w:tc>
          <w:tcPr>
            <w:tcW w:w="6946" w:type="dxa"/>
            <w:tcBorders>
              <w:top w:val="single" w:sz="4" w:space="0" w:color="auto"/>
              <w:bottom w:val="single" w:sz="4" w:space="0" w:color="auto"/>
            </w:tcBorders>
          </w:tcPr>
          <w:p w14:paraId="5273F730" w14:textId="77777777" w:rsidR="00966D1C" w:rsidRPr="00126BA8" w:rsidRDefault="00966D1C" w:rsidP="00966D1C">
            <w:pPr>
              <w:jc w:val="both"/>
            </w:pPr>
            <w:r w:rsidRPr="00126BA8">
              <w:t>The Centre for Addiction and Mental Health (CAMH)</w:t>
            </w:r>
          </w:p>
        </w:tc>
      </w:tr>
      <w:tr w:rsidR="00966D1C" w:rsidRPr="00126BA8" w14:paraId="59153F9D" w14:textId="77777777" w:rsidTr="003632F4">
        <w:tc>
          <w:tcPr>
            <w:tcW w:w="1838" w:type="dxa"/>
            <w:tcBorders>
              <w:top w:val="single" w:sz="4" w:space="0" w:color="auto"/>
              <w:bottom w:val="single" w:sz="4" w:space="0" w:color="auto"/>
            </w:tcBorders>
          </w:tcPr>
          <w:p w14:paraId="11C4DCCD" w14:textId="77777777" w:rsidR="00966D1C" w:rsidRPr="00126BA8" w:rsidRDefault="00966D1C" w:rsidP="00966D1C">
            <w:pPr>
              <w:jc w:val="both"/>
            </w:pPr>
            <w:r w:rsidRPr="00126BA8">
              <w:t>United States</w:t>
            </w:r>
          </w:p>
        </w:tc>
        <w:tc>
          <w:tcPr>
            <w:tcW w:w="6946" w:type="dxa"/>
            <w:tcBorders>
              <w:top w:val="single" w:sz="4" w:space="0" w:color="auto"/>
              <w:bottom w:val="single" w:sz="4" w:space="0" w:color="auto"/>
            </w:tcBorders>
          </w:tcPr>
          <w:p w14:paraId="485752EE" w14:textId="77777777" w:rsidR="00966D1C" w:rsidRPr="00126BA8" w:rsidRDefault="00966D1C" w:rsidP="00966D1C">
            <w:pPr>
              <w:jc w:val="both"/>
            </w:pPr>
            <w:r w:rsidRPr="00126BA8">
              <w:t>GAM-ANON International</w:t>
            </w:r>
          </w:p>
        </w:tc>
      </w:tr>
    </w:tbl>
    <w:p w14:paraId="1F364AFF" w14:textId="62F04C2A" w:rsidR="00966D1C" w:rsidRDefault="00966D1C" w:rsidP="00966D1C">
      <w:pPr>
        <w:spacing w:line="240" w:lineRule="auto"/>
        <w:jc w:val="both"/>
        <w:rPr>
          <w:rFonts w:eastAsia="Times New Roman"/>
        </w:rPr>
      </w:pPr>
    </w:p>
    <w:p w14:paraId="00E7CDC4" w14:textId="77777777" w:rsidR="00966D1C" w:rsidRPr="00126BA8" w:rsidRDefault="00966D1C" w:rsidP="00966D1C">
      <w:pPr>
        <w:spacing w:line="240" w:lineRule="auto"/>
        <w:jc w:val="both"/>
        <w:rPr>
          <w:rFonts w:eastAsia="Times New Roman"/>
        </w:rPr>
      </w:pPr>
      <w:r w:rsidRPr="00126BA8">
        <w:rPr>
          <w:rFonts w:eastAsia="Times New Roman"/>
        </w:rPr>
        <w:t xml:space="preserve">Data collection occurred in two stages: </w:t>
      </w:r>
    </w:p>
    <w:p w14:paraId="57CD835C" w14:textId="4F8966F6" w:rsidR="00966D1C" w:rsidRPr="00126BA8" w:rsidRDefault="00966D1C" w:rsidP="007E15CF">
      <w:pPr>
        <w:pStyle w:val="ListParagraph"/>
        <w:numPr>
          <w:ilvl w:val="0"/>
          <w:numId w:val="24"/>
        </w:numPr>
        <w:spacing w:line="240" w:lineRule="auto"/>
        <w:jc w:val="both"/>
        <w:rPr>
          <w:rFonts w:eastAsia="Times New Roman"/>
        </w:rPr>
      </w:pPr>
      <w:r w:rsidRPr="00126BA8">
        <w:rPr>
          <w:rFonts w:eastAsia="Times New Roman"/>
        </w:rPr>
        <w:t>Discussions were held with service managers and programme coordinators to ascertain and understand the availability of support specific to FAOs within their service. The service managers and programmes coordinators were also asked to provide practice resources, programme documentation, and policies relevant to FAOs. Data collected from service managers/programme coordinators was not restricted to the previous 12-months.</w:t>
      </w:r>
    </w:p>
    <w:p w14:paraId="0235523E" w14:textId="4965745F" w:rsidR="00966D1C" w:rsidRDefault="00966D1C" w:rsidP="007E15CF">
      <w:pPr>
        <w:pStyle w:val="ListParagraph"/>
        <w:numPr>
          <w:ilvl w:val="0"/>
          <w:numId w:val="24"/>
        </w:numPr>
        <w:spacing w:line="240" w:lineRule="auto"/>
        <w:jc w:val="both"/>
        <w:rPr>
          <w:rFonts w:eastAsia="Times New Roman"/>
        </w:rPr>
      </w:pPr>
      <w:r w:rsidRPr="00126BA8">
        <w:rPr>
          <w:rFonts w:eastAsia="Times New Roman"/>
        </w:rPr>
        <w:t>The researchers systematically reviewed websites, social media pages, and other publicly available information to collect data regarding support available for FAOs. Publicly available information was collected between February 2020 and April 2020 from the previous 12 months (January 2019 – January 2020). Screenshots were taken of relevant material and uploaded to NVivo 12 for analysis.</w:t>
      </w:r>
    </w:p>
    <w:p w14:paraId="542E40F2" w14:textId="77777777" w:rsidR="008B75DB" w:rsidRPr="00126BA8" w:rsidRDefault="008B75DB" w:rsidP="008B75DB">
      <w:pPr>
        <w:pStyle w:val="ListParagraph"/>
        <w:spacing w:line="240" w:lineRule="auto"/>
        <w:jc w:val="both"/>
        <w:rPr>
          <w:rFonts w:eastAsia="Times New Roman"/>
        </w:rPr>
      </w:pPr>
    </w:p>
    <w:p w14:paraId="52A0D017" w14:textId="24ED3CF8" w:rsidR="00966D1C" w:rsidRDefault="00966D1C" w:rsidP="00966D1C">
      <w:pPr>
        <w:spacing w:line="240" w:lineRule="auto"/>
        <w:jc w:val="both"/>
        <w:rPr>
          <w:rFonts w:eastAsia="Times New Roman"/>
        </w:rPr>
      </w:pPr>
      <w:r w:rsidRPr="00126BA8">
        <w:rPr>
          <w:rFonts w:eastAsia="Times New Roman"/>
        </w:rPr>
        <w:t>Data available and collected for analysis</w:t>
      </w:r>
      <w:r w:rsidR="00D10CFF">
        <w:rPr>
          <w:rFonts w:eastAsia="Times New Roman"/>
        </w:rPr>
        <w:t xml:space="preserve"> is summarised in </w:t>
      </w:r>
      <w:r w:rsidR="00D10CFF">
        <w:rPr>
          <w:rFonts w:eastAsia="Times New Roman"/>
        </w:rPr>
        <w:fldChar w:fldCharType="begin"/>
      </w:r>
      <w:r w:rsidR="00D10CFF">
        <w:rPr>
          <w:rFonts w:eastAsia="Times New Roman"/>
        </w:rPr>
        <w:instrText xml:space="preserve"> REF _Ref52357012 \h </w:instrText>
      </w:r>
      <w:r w:rsidR="00D10CFF">
        <w:rPr>
          <w:rFonts w:eastAsia="Times New Roman"/>
        </w:rPr>
      </w:r>
      <w:r w:rsidR="00D10CFF">
        <w:rPr>
          <w:rFonts w:eastAsia="Times New Roman"/>
        </w:rPr>
        <w:fldChar w:fldCharType="separate"/>
      </w:r>
      <w:r w:rsidR="00DF0799">
        <w:t xml:space="preserve">Table </w:t>
      </w:r>
      <w:r w:rsidR="00DF0799">
        <w:rPr>
          <w:noProof/>
        </w:rPr>
        <w:t>12</w:t>
      </w:r>
      <w:r w:rsidR="00D10CFF">
        <w:rPr>
          <w:rFonts w:eastAsia="Times New Roman"/>
        </w:rPr>
        <w:fldChar w:fldCharType="end"/>
      </w:r>
      <w:r w:rsidR="00D10CFF">
        <w:rPr>
          <w:rFonts w:eastAsia="Times New Roman"/>
        </w:rPr>
        <w:t xml:space="preserve"> below. </w:t>
      </w:r>
    </w:p>
    <w:p w14:paraId="4B6ED79E" w14:textId="7652B0C5" w:rsidR="00D10CFF" w:rsidRDefault="00D10CFF" w:rsidP="00966D1C">
      <w:pPr>
        <w:spacing w:line="240" w:lineRule="auto"/>
        <w:jc w:val="both"/>
        <w:rPr>
          <w:rFonts w:eastAsia="Times New Roman"/>
        </w:rPr>
      </w:pPr>
    </w:p>
    <w:p w14:paraId="5D5476BE" w14:textId="0AA10CFA" w:rsidR="00D10CFF" w:rsidRPr="00126BA8" w:rsidRDefault="00D10CFF" w:rsidP="00D10CFF">
      <w:pPr>
        <w:pStyle w:val="Caption"/>
        <w:rPr>
          <w:rFonts w:eastAsia="Times New Roman"/>
        </w:rPr>
      </w:pPr>
      <w:bookmarkStart w:id="120" w:name="_Ref52357012"/>
      <w:bookmarkStart w:id="121" w:name="_Toc58400645"/>
      <w:r>
        <w:t xml:space="preserve">Table </w:t>
      </w:r>
      <w:r w:rsidR="00D04B86">
        <w:fldChar w:fldCharType="begin"/>
      </w:r>
      <w:r w:rsidR="00D04B86">
        <w:instrText xml:space="preserve"> SEQ Table \* ARABIC </w:instrText>
      </w:r>
      <w:r w:rsidR="00D04B86">
        <w:fldChar w:fldCharType="separate"/>
      </w:r>
      <w:r w:rsidR="00DF0799">
        <w:rPr>
          <w:noProof/>
        </w:rPr>
        <w:t>12</w:t>
      </w:r>
      <w:r w:rsidR="00D04B86">
        <w:rPr>
          <w:noProof/>
        </w:rPr>
        <w:fldChar w:fldCharType="end"/>
      </w:r>
      <w:bookmarkEnd w:id="120"/>
      <w:r>
        <w:t xml:space="preserve">. </w:t>
      </w:r>
      <w:r>
        <w:rPr>
          <w:rFonts w:eastAsia="Times New Roman"/>
        </w:rPr>
        <w:t>Summary of data sources for review of FAO service provision</w:t>
      </w:r>
      <w:bookmarkEnd w:id="121"/>
    </w:p>
    <w:tbl>
      <w:tblPr>
        <w:tblStyle w:val="TableGrid"/>
        <w:tblW w:w="9394" w:type="dxa"/>
        <w:tblLook w:val="04A0" w:firstRow="1" w:lastRow="0" w:firstColumn="1" w:lastColumn="0" w:noHBand="0" w:noVBand="1"/>
      </w:tblPr>
      <w:tblGrid>
        <w:gridCol w:w="2569"/>
        <w:gridCol w:w="1390"/>
        <w:gridCol w:w="1593"/>
        <w:gridCol w:w="1062"/>
        <w:gridCol w:w="1390"/>
        <w:gridCol w:w="1390"/>
      </w:tblGrid>
      <w:tr w:rsidR="00966D1C" w:rsidRPr="00126BA8" w14:paraId="3C17C561" w14:textId="77777777" w:rsidTr="00D00FE6">
        <w:trPr>
          <w:trHeight w:val="600"/>
        </w:trPr>
        <w:tc>
          <w:tcPr>
            <w:tcW w:w="2830" w:type="dxa"/>
          </w:tcPr>
          <w:p w14:paraId="7E5BEBB4" w14:textId="77777777" w:rsidR="00966D1C" w:rsidRPr="00126BA8" w:rsidRDefault="00966D1C" w:rsidP="00966D1C">
            <w:pPr>
              <w:rPr>
                <w:b/>
              </w:rPr>
            </w:pPr>
            <w:r w:rsidRPr="00126BA8">
              <w:rPr>
                <w:b/>
              </w:rPr>
              <w:t>Service/Organisation</w:t>
            </w:r>
          </w:p>
        </w:tc>
        <w:tc>
          <w:tcPr>
            <w:tcW w:w="936" w:type="dxa"/>
          </w:tcPr>
          <w:p w14:paraId="276E5812" w14:textId="77777777" w:rsidR="00966D1C" w:rsidRPr="00126BA8" w:rsidRDefault="00966D1C" w:rsidP="00966D1C">
            <w:pPr>
              <w:rPr>
                <w:b/>
              </w:rPr>
            </w:pPr>
            <w:r w:rsidRPr="00126BA8">
              <w:rPr>
                <w:b/>
              </w:rPr>
              <w:t>Discussions with managers</w:t>
            </w:r>
          </w:p>
        </w:tc>
        <w:tc>
          <w:tcPr>
            <w:tcW w:w="1670" w:type="dxa"/>
          </w:tcPr>
          <w:p w14:paraId="4F3571CC" w14:textId="77777777" w:rsidR="00966D1C" w:rsidRPr="00126BA8" w:rsidRDefault="00966D1C" w:rsidP="00966D1C">
            <w:pPr>
              <w:rPr>
                <w:b/>
              </w:rPr>
            </w:pPr>
            <w:r w:rsidRPr="00126BA8">
              <w:rPr>
                <w:b/>
              </w:rPr>
              <w:t>Resources (from service manager or downloaded)</w:t>
            </w:r>
          </w:p>
        </w:tc>
        <w:tc>
          <w:tcPr>
            <w:tcW w:w="1178" w:type="dxa"/>
          </w:tcPr>
          <w:p w14:paraId="505B6EFB" w14:textId="77777777" w:rsidR="00966D1C" w:rsidRPr="00126BA8" w:rsidRDefault="00966D1C" w:rsidP="00966D1C">
            <w:pPr>
              <w:rPr>
                <w:b/>
              </w:rPr>
            </w:pPr>
            <w:r w:rsidRPr="00126BA8">
              <w:rPr>
                <w:b/>
              </w:rPr>
              <w:t>Annual reports / Policy</w:t>
            </w:r>
          </w:p>
        </w:tc>
        <w:tc>
          <w:tcPr>
            <w:tcW w:w="1390" w:type="dxa"/>
          </w:tcPr>
          <w:p w14:paraId="5EBD8526" w14:textId="77777777" w:rsidR="00966D1C" w:rsidRPr="00126BA8" w:rsidRDefault="00966D1C" w:rsidP="00966D1C">
            <w:pPr>
              <w:rPr>
                <w:b/>
              </w:rPr>
            </w:pPr>
            <w:r w:rsidRPr="00126BA8">
              <w:rPr>
                <w:b/>
              </w:rPr>
              <w:t>Service website screenshots</w:t>
            </w:r>
          </w:p>
        </w:tc>
        <w:tc>
          <w:tcPr>
            <w:tcW w:w="1390" w:type="dxa"/>
          </w:tcPr>
          <w:p w14:paraId="27A9E736" w14:textId="77777777" w:rsidR="00966D1C" w:rsidRPr="00126BA8" w:rsidRDefault="00966D1C" w:rsidP="00966D1C">
            <w:pPr>
              <w:rPr>
                <w:b/>
              </w:rPr>
            </w:pPr>
            <w:r w:rsidRPr="00126BA8">
              <w:rPr>
                <w:b/>
              </w:rPr>
              <w:t>Social media screenshots</w:t>
            </w:r>
          </w:p>
        </w:tc>
      </w:tr>
      <w:tr w:rsidR="00966D1C" w:rsidRPr="00126BA8" w14:paraId="5432290E" w14:textId="77777777" w:rsidTr="00D00FE6">
        <w:trPr>
          <w:trHeight w:val="288"/>
        </w:trPr>
        <w:tc>
          <w:tcPr>
            <w:tcW w:w="2830" w:type="dxa"/>
          </w:tcPr>
          <w:p w14:paraId="76FBEE01" w14:textId="77777777" w:rsidR="00966D1C" w:rsidRPr="00126BA8" w:rsidRDefault="00966D1C" w:rsidP="00966D1C">
            <w:r w:rsidRPr="00126BA8">
              <w:t>Homecare Medical</w:t>
            </w:r>
          </w:p>
        </w:tc>
        <w:tc>
          <w:tcPr>
            <w:tcW w:w="936" w:type="dxa"/>
          </w:tcPr>
          <w:p w14:paraId="39E69F6A" w14:textId="77777777" w:rsidR="00966D1C" w:rsidRPr="00126BA8" w:rsidRDefault="00966D1C" w:rsidP="00966D1C"/>
        </w:tc>
        <w:tc>
          <w:tcPr>
            <w:tcW w:w="1670" w:type="dxa"/>
            <w:shd w:val="clear" w:color="auto" w:fill="A8D08D" w:themeFill="accent6" w:themeFillTint="99"/>
          </w:tcPr>
          <w:p w14:paraId="5F7E7382" w14:textId="77777777" w:rsidR="00966D1C" w:rsidRPr="00126BA8" w:rsidRDefault="00966D1C" w:rsidP="00966D1C"/>
        </w:tc>
        <w:tc>
          <w:tcPr>
            <w:tcW w:w="1178" w:type="dxa"/>
            <w:shd w:val="clear" w:color="auto" w:fill="A8D08D" w:themeFill="accent6" w:themeFillTint="99"/>
          </w:tcPr>
          <w:p w14:paraId="11221F71" w14:textId="77777777" w:rsidR="00966D1C" w:rsidRPr="00126BA8" w:rsidRDefault="00966D1C" w:rsidP="00966D1C"/>
        </w:tc>
        <w:tc>
          <w:tcPr>
            <w:tcW w:w="1390" w:type="dxa"/>
            <w:shd w:val="clear" w:color="auto" w:fill="A8D08D" w:themeFill="accent6" w:themeFillTint="99"/>
          </w:tcPr>
          <w:p w14:paraId="651CE407" w14:textId="77777777" w:rsidR="00966D1C" w:rsidRPr="00126BA8" w:rsidRDefault="00966D1C" w:rsidP="00966D1C"/>
        </w:tc>
        <w:tc>
          <w:tcPr>
            <w:tcW w:w="1390" w:type="dxa"/>
            <w:shd w:val="clear" w:color="auto" w:fill="A8D08D" w:themeFill="accent6" w:themeFillTint="99"/>
          </w:tcPr>
          <w:p w14:paraId="2064C04E" w14:textId="77777777" w:rsidR="00966D1C" w:rsidRPr="00126BA8" w:rsidRDefault="00966D1C" w:rsidP="00966D1C"/>
        </w:tc>
      </w:tr>
      <w:tr w:rsidR="00966D1C" w:rsidRPr="00126BA8" w14:paraId="79639615" w14:textId="77777777" w:rsidTr="00D00FE6">
        <w:trPr>
          <w:trHeight w:val="251"/>
        </w:trPr>
        <w:tc>
          <w:tcPr>
            <w:tcW w:w="2830" w:type="dxa"/>
          </w:tcPr>
          <w:p w14:paraId="235DEB2F" w14:textId="77777777" w:rsidR="00966D1C" w:rsidRPr="00126BA8" w:rsidRDefault="00966D1C" w:rsidP="00966D1C">
            <w:r w:rsidRPr="00126BA8">
              <w:t>Oasis</w:t>
            </w:r>
          </w:p>
        </w:tc>
        <w:tc>
          <w:tcPr>
            <w:tcW w:w="936" w:type="dxa"/>
            <w:shd w:val="clear" w:color="auto" w:fill="A8D08D" w:themeFill="accent6" w:themeFillTint="99"/>
          </w:tcPr>
          <w:p w14:paraId="65142F88" w14:textId="77777777" w:rsidR="00966D1C" w:rsidRPr="00126BA8" w:rsidRDefault="00966D1C" w:rsidP="00966D1C"/>
        </w:tc>
        <w:tc>
          <w:tcPr>
            <w:tcW w:w="1670" w:type="dxa"/>
            <w:shd w:val="clear" w:color="auto" w:fill="A8D08D" w:themeFill="accent6" w:themeFillTint="99"/>
          </w:tcPr>
          <w:p w14:paraId="52705CDB" w14:textId="77777777" w:rsidR="00966D1C" w:rsidRPr="00126BA8" w:rsidRDefault="00966D1C" w:rsidP="00966D1C"/>
        </w:tc>
        <w:tc>
          <w:tcPr>
            <w:tcW w:w="1178" w:type="dxa"/>
            <w:shd w:val="clear" w:color="auto" w:fill="A8D08D" w:themeFill="accent6" w:themeFillTint="99"/>
          </w:tcPr>
          <w:p w14:paraId="3BA71F57" w14:textId="77777777" w:rsidR="00966D1C" w:rsidRPr="00126BA8" w:rsidRDefault="00966D1C" w:rsidP="00966D1C"/>
        </w:tc>
        <w:tc>
          <w:tcPr>
            <w:tcW w:w="1390" w:type="dxa"/>
            <w:shd w:val="clear" w:color="auto" w:fill="A8D08D" w:themeFill="accent6" w:themeFillTint="99"/>
          </w:tcPr>
          <w:p w14:paraId="156A2805" w14:textId="77777777" w:rsidR="00966D1C" w:rsidRPr="00126BA8" w:rsidRDefault="00966D1C" w:rsidP="00966D1C"/>
        </w:tc>
        <w:tc>
          <w:tcPr>
            <w:tcW w:w="1390" w:type="dxa"/>
            <w:shd w:val="clear" w:color="auto" w:fill="A8D08D" w:themeFill="accent6" w:themeFillTint="99"/>
          </w:tcPr>
          <w:p w14:paraId="248E125F" w14:textId="77777777" w:rsidR="00966D1C" w:rsidRPr="00126BA8" w:rsidRDefault="00966D1C" w:rsidP="00966D1C"/>
        </w:tc>
      </w:tr>
      <w:tr w:rsidR="00966D1C" w:rsidRPr="00126BA8" w14:paraId="483BAAC0" w14:textId="77777777" w:rsidTr="00D00FE6">
        <w:trPr>
          <w:trHeight w:val="288"/>
        </w:trPr>
        <w:tc>
          <w:tcPr>
            <w:tcW w:w="2830" w:type="dxa"/>
          </w:tcPr>
          <w:p w14:paraId="7C81A015" w14:textId="77777777" w:rsidR="00966D1C" w:rsidRPr="00126BA8" w:rsidRDefault="00966D1C" w:rsidP="00966D1C">
            <w:r w:rsidRPr="00126BA8">
              <w:t>PGF Group</w:t>
            </w:r>
          </w:p>
        </w:tc>
        <w:tc>
          <w:tcPr>
            <w:tcW w:w="936" w:type="dxa"/>
            <w:shd w:val="clear" w:color="auto" w:fill="A8D08D" w:themeFill="accent6" w:themeFillTint="99"/>
          </w:tcPr>
          <w:p w14:paraId="13E73A98" w14:textId="77777777" w:rsidR="00966D1C" w:rsidRPr="00126BA8" w:rsidRDefault="00966D1C" w:rsidP="00966D1C"/>
        </w:tc>
        <w:tc>
          <w:tcPr>
            <w:tcW w:w="1670" w:type="dxa"/>
            <w:shd w:val="clear" w:color="auto" w:fill="A8D08D" w:themeFill="accent6" w:themeFillTint="99"/>
          </w:tcPr>
          <w:p w14:paraId="28BFA187" w14:textId="77777777" w:rsidR="00966D1C" w:rsidRPr="00126BA8" w:rsidRDefault="00966D1C" w:rsidP="00966D1C"/>
        </w:tc>
        <w:tc>
          <w:tcPr>
            <w:tcW w:w="1178" w:type="dxa"/>
            <w:shd w:val="clear" w:color="auto" w:fill="A8D08D" w:themeFill="accent6" w:themeFillTint="99"/>
          </w:tcPr>
          <w:p w14:paraId="5AA47662" w14:textId="77777777" w:rsidR="00966D1C" w:rsidRPr="00126BA8" w:rsidRDefault="00966D1C" w:rsidP="00966D1C"/>
        </w:tc>
        <w:tc>
          <w:tcPr>
            <w:tcW w:w="1390" w:type="dxa"/>
            <w:shd w:val="clear" w:color="auto" w:fill="A8D08D" w:themeFill="accent6" w:themeFillTint="99"/>
          </w:tcPr>
          <w:p w14:paraId="725E6C3C" w14:textId="77777777" w:rsidR="00966D1C" w:rsidRPr="00126BA8" w:rsidRDefault="00966D1C" w:rsidP="00966D1C"/>
        </w:tc>
        <w:tc>
          <w:tcPr>
            <w:tcW w:w="1390" w:type="dxa"/>
            <w:shd w:val="clear" w:color="auto" w:fill="A8D08D" w:themeFill="accent6" w:themeFillTint="99"/>
          </w:tcPr>
          <w:p w14:paraId="2B6B2373" w14:textId="77777777" w:rsidR="00966D1C" w:rsidRPr="00126BA8" w:rsidRDefault="00966D1C" w:rsidP="00966D1C"/>
        </w:tc>
      </w:tr>
      <w:tr w:rsidR="00966D1C" w:rsidRPr="00126BA8" w14:paraId="504F6720" w14:textId="77777777" w:rsidTr="00D00FE6">
        <w:trPr>
          <w:trHeight w:val="324"/>
        </w:trPr>
        <w:tc>
          <w:tcPr>
            <w:tcW w:w="2830" w:type="dxa"/>
          </w:tcPr>
          <w:p w14:paraId="34125587" w14:textId="77777777" w:rsidR="00966D1C" w:rsidRPr="00126BA8" w:rsidRDefault="00966D1C" w:rsidP="00966D1C">
            <w:r w:rsidRPr="00126BA8">
              <w:t>Raukura Hauora o Tainui</w:t>
            </w:r>
          </w:p>
        </w:tc>
        <w:tc>
          <w:tcPr>
            <w:tcW w:w="936" w:type="dxa"/>
            <w:shd w:val="clear" w:color="auto" w:fill="A8D08D" w:themeFill="accent6" w:themeFillTint="99"/>
          </w:tcPr>
          <w:p w14:paraId="3E67E459" w14:textId="77777777" w:rsidR="00966D1C" w:rsidRPr="00126BA8" w:rsidRDefault="00966D1C" w:rsidP="00966D1C"/>
        </w:tc>
        <w:tc>
          <w:tcPr>
            <w:tcW w:w="1670" w:type="dxa"/>
            <w:shd w:val="clear" w:color="auto" w:fill="A8D08D" w:themeFill="accent6" w:themeFillTint="99"/>
          </w:tcPr>
          <w:p w14:paraId="32B00F09" w14:textId="77777777" w:rsidR="00966D1C" w:rsidRPr="00126BA8" w:rsidRDefault="00966D1C" w:rsidP="00966D1C"/>
        </w:tc>
        <w:tc>
          <w:tcPr>
            <w:tcW w:w="1178" w:type="dxa"/>
          </w:tcPr>
          <w:p w14:paraId="273DAAE8" w14:textId="77777777" w:rsidR="00966D1C" w:rsidRPr="00126BA8" w:rsidRDefault="00966D1C" w:rsidP="00966D1C"/>
        </w:tc>
        <w:tc>
          <w:tcPr>
            <w:tcW w:w="1390" w:type="dxa"/>
            <w:shd w:val="clear" w:color="auto" w:fill="A8D08D" w:themeFill="accent6" w:themeFillTint="99"/>
          </w:tcPr>
          <w:p w14:paraId="03D24992" w14:textId="77777777" w:rsidR="00966D1C" w:rsidRPr="00126BA8" w:rsidRDefault="00966D1C" w:rsidP="00966D1C"/>
        </w:tc>
        <w:tc>
          <w:tcPr>
            <w:tcW w:w="1390" w:type="dxa"/>
            <w:shd w:val="clear" w:color="auto" w:fill="A8D08D" w:themeFill="accent6" w:themeFillTint="99"/>
          </w:tcPr>
          <w:p w14:paraId="355D1DDD" w14:textId="77777777" w:rsidR="00966D1C" w:rsidRPr="00126BA8" w:rsidRDefault="00966D1C" w:rsidP="00966D1C"/>
        </w:tc>
      </w:tr>
      <w:tr w:rsidR="00966D1C" w:rsidRPr="00126BA8" w14:paraId="6B0F40B6" w14:textId="77777777" w:rsidTr="00D00FE6">
        <w:trPr>
          <w:trHeight w:val="288"/>
        </w:trPr>
        <w:tc>
          <w:tcPr>
            <w:tcW w:w="2830" w:type="dxa"/>
          </w:tcPr>
          <w:p w14:paraId="1134072D" w14:textId="77777777" w:rsidR="00966D1C" w:rsidRPr="00126BA8" w:rsidRDefault="00966D1C" w:rsidP="00966D1C">
            <w:r w:rsidRPr="00126BA8">
              <w:t>South Seas</w:t>
            </w:r>
          </w:p>
        </w:tc>
        <w:tc>
          <w:tcPr>
            <w:tcW w:w="936" w:type="dxa"/>
          </w:tcPr>
          <w:p w14:paraId="140406F1" w14:textId="77777777" w:rsidR="00966D1C" w:rsidRPr="00126BA8" w:rsidRDefault="00966D1C" w:rsidP="00966D1C"/>
        </w:tc>
        <w:tc>
          <w:tcPr>
            <w:tcW w:w="1670" w:type="dxa"/>
          </w:tcPr>
          <w:p w14:paraId="798B0ADD" w14:textId="77777777" w:rsidR="00966D1C" w:rsidRPr="00126BA8" w:rsidRDefault="00966D1C" w:rsidP="00966D1C"/>
        </w:tc>
        <w:tc>
          <w:tcPr>
            <w:tcW w:w="1178" w:type="dxa"/>
          </w:tcPr>
          <w:p w14:paraId="662CACC8" w14:textId="77777777" w:rsidR="00966D1C" w:rsidRPr="00126BA8" w:rsidRDefault="00966D1C" w:rsidP="00966D1C"/>
        </w:tc>
        <w:tc>
          <w:tcPr>
            <w:tcW w:w="1390" w:type="dxa"/>
            <w:shd w:val="clear" w:color="auto" w:fill="A8D08D" w:themeFill="accent6" w:themeFillTint="99"/>
          </w:tcPr>
          <w:p w14:paraId="5AED4F18" w14:textId="77777777" w:rsidR="00966D1C" w:rsidRPr="00126BA8" w:rsidRDefault="00966D1C" w:rsidP="00966D1C"/>
        </w:tc>
        <w:tc>
          <w:tcPr>
            <w:tcW w:w="1390" w:type="dxa"/>
            <w:shd w:val="clear" w:color="auto" w:fill="A8D08D" w:themeFill="accent6" w:themeFillTint="99"/>
          </w:tcPr>
          <w:p w14:paraId="5D002EC6" w14:textId="77777777" w:rsidR="00966D1C" w:rsidRPr="00126BA8" w:rsidRDefault="00966D1C" w:rsidP="00966D1C"/>
        </w:tc>
      </w:tr>
      <w:tr w:rsidR="00966D1C" w:rsidRPr="00126BA8" w14:paraId="5D9D7113" w14:textId="77777777" w:rsidTr="00D00FE6">
        <w:trPr>
          <w:trHeight w:val="288"/>
        </w:trPr>
        <w:tc>
          <w:tcPr>
            <w:tcW w:w="2830" w:type="dxa"/>
          </w:tcPr>
          <w:p w14:paraId="43327DB4" w14:textId="77777777" w:rsidR="00966D1C" w:rsidRPr="00126BA8" w:rsidRDefault="00966D1C" w:rsidP="00966D1C">
            <w:r w:rsidRPr="00126BA8">
              <w:t xml:space="preserve">Gambling Help NSW </w:t>
            </w:r>
          </w:p>
        </w:tc>
        <w:tc>
          <w:tcPr>
            <w:tcW w:w="936" w:type="dxa"/>
          </w:tcPr>
          <w:p w14:paraId="030D3856" w14:textId="77777777" w:rsidR="00966D1C" w:rsidRPr="00126BA8" w:rsidRDefault="00966D1C" w:rsidP="00966D1C"/>
        </w:tc>
        <w:tc>
          <w:tcPr>
            <w:tcW w:w="1670" w:type="dxa"/>
            <w:shd w:val="clear" w:color="auto" w:fill="A8D08D" w:themeFill="accent6" w:themeFillTint="99"/>
          </w:tcPr>
          <w:p w14:paraId="2D36FBD5" w14:textId="77777777" w:rsidR="00966D1C" w:rsidRPr="00126BA8" w:rsidRDefault="00966D1C" w:rsidP="00966D1C"/>
        </w:tc>
        <w:tc>
          <w:tcPr>
            <w:tcW w:w="1178" w:type="dxa"/>
            <w:shd w:val="clear" w:color="auto" w:fill="A8D08D" w:themeFill="accent6" w:themeFillTint="99"/>
          </w:tcPr>
          <w:p w14:paraId="3167E3E3" w14:textId="77777777" w:rsidR="00966D1C" w:rsidRPr="00126BA8" w:rsidRDefault="00966D1C" w:rsidP="00966D1C"/>
        </w:tc>
        <w:tc>
          <w:tcPr>
            <w:tcW w:w="1390" w:type="dxa"/>
            <w:shd w:val="clear" w:color="auto" w:fill="A8D08D" w:themeFill="accent6" w:themeFillTint="99"/>
          </w:tcPr>
          <w:p w14:paraId="799E4D35" w14:textId="77777777" w:rsidR="00966D1C" w:rsidRPr="00126BA8" w:rsidRDefault="00966D1C" w:rsidP="00966D1C"/>
        </w:tc>
        <w:tc>
          <w:tcPr>
            <w:tcW w:w="1390" w:type="dxa"/>
            <w:shd w:val="clear" w:color="auto" w:fill="A8D08D" w:themeFill="accent6" w:themeFillTint="99"/>
          </w:tcPr>
          <w:p w14:paraId="4904F0FA" w14:textId="77777777" w:rsidR="00966D1C" w:rsidRPr="00126BA8" w:rsidRDefault="00966D1C" w:rsidP="00966D1C"/>
        </w:tc>
      </w:tr>
      <w:tr w:rsidR="00D00FE6" w:rsidRPr="00126BA8" w14:paraId="01645D78" w14:textId="77777777" w:rsidTr="00D00FE6">
        <w:trPr>
          <w:trHeight w:val="288"/>
        </w:trPr>
        <w:tc>
          <w:tcPr>
            <w:tcW w:w="2830" w:type="dxa"/>
          </w:tcPr>
          <w:p w14:paraId="4676ACCD" w14:textId="4FB8D227" w:rsidR="00D00FE6" w:rsidRPr="00126BA8" w:rsidRDefault="00D00FE6" w:rsidP="00966D1C">
            <w:r w:rsidRPr="00D00FE6">
              <w:t>Warru</w:t>
            </w:r>
            <w:r w:rsidR="00AD367B">
              <w:t>w</w:t>
            </w:r>
            <w:r w:rsidRPr="00D00FE6">
              <w:t>i Gambling Help</w:t>
            </w:r>
          </w:p>
        </w:tc>
        <w:tc>
          <w:tcPr>
            <w:tcW w:w="936" w:type="dxa"/>
            <w:shd w:val="clear" w:color="auto" w:fill="auto"/>
          </w:tcPr>
          <w:p w14:paraId="51D0179A" w14:textId="77777777" w:rsidR="00D00FE6" w:rsidRPr="00126BA8" w:rsidRDefault="00D00FE6" w:rsidP="00966D1C"/>
        </w:tc>
        <w:tc>
          <w:tcPr>
            <w:tcW w:w="1670" w:type="dxa"/>
            <w:shd w:val="clear" w:color="auto" w:fill="auto"/>
          </w:tcPr>
          <w:p w14:paraId="372654B3" w14:textId="77777777" w:rsidR="00D00FE6" w:rsidRPr="00126BA8" w:rsidRDefault="00D00FE6" w:rsidP="00966D1C"/>
        </w:tc>
        <w:tc>
          <w:tcPr>
            <w:tcW w:w="1178" w:type="dxa"/>
            <w:shd w:val="clear" w:color="auto" w:fill="auto"/>
          </w:tcPr>
          <w:p w14:paraId="548C2421" w14:textId="77777777" w:rsidR="00D00FE6" w:rsidRPr="00126BA8" w:rsidRDefault="00D00FE6" w:rsidP="00966D1C"/>
        </w:tc>
        <w:tc>
          <w:tcPr>
            <w:tcW w:w="1390" w:type="dxa"/>
            <w:shd w:val="clear" w:color="auto" w:fill="A8D08D" w:themeFill="accent6" w:themeFillTint="99"/>
          </w:tcPr>
          <w:p w14:paraId="1F52DC4F" w14:textId="77777777" w:rsidR="00D00FE6" w:rsidRPr="00126BA8" w:rsidRDefault="00D00FE6" w:rsidP="00966D1C"/>
        </w:tc>
        <w:tc>
          <w:tcPr>
            <w:tcW w:w="1390" w:type="dxa"/>
            <w:shd w:val="clear" w:color="auto" w:fill="A8D08D" w:themeFill="accent6" w:themeFillTint="99"/>
          </w:tcPr>
          <w:p w14:paraId="48DA7FC4" w14:textId="77777777" w:rsidR="00D00FE6" w:rsidRPr="00126BA8" w:rsidRDefault="00D00FE6" w:rsidP="00966D1C"/>
        </w:tc>
      </w:tr>
      <w:tr w:rsidR="00966D1C" w:rsidRPr="00126BA8" w14:paraId="13FF6219" w14:textId="77777777" w:rsidTr="00D00FE6">
        <w:trPr>
          <w:trHeight w:val="243"/>
        </w:trPr>
        <w:tc>
          <w:tcPr>
            <w:tcW w:w="2830" w:type="dxa"/>
          </w:tcPr>
          <w:p w14:paraId="7C07BFF6" w14:textId="77777777" w:rsidR="00966D1C" w:rsidRPr="00126BA8" w:rsidRDefault="00966D1C" w:rsidP="00966D1C">
            <w:r w:rsidRPr="00126BA8">
              <w:t>SHARC</w:t>
            </w:r>
          </w:p>
        </w:tc>
        <w:tc>
          <w:tcPr>
            <w:tcW w:w="936" w:type="dxa"/>
          </w:tcPr>
          <w:p w14:paraId="505C4D4E" w14:textId="77777777" w:rsidR="00966D1C" w:rsidRPr="00126BA8" w:rsidRDefault="00966D1C" w:rsidP="00966D1C"/>
        </w:tc>
        <w:tc>
          <w:tcPr>
            <w:tcW w:w="1670" w:type="dxa"/>
            <w:shd w:val="clear" w:color="auto" w:fill="A8D08D" w:themeFill="accent6" w:themeFillTint="99"/>
          </w:tcPr>
          <w:p w14:paraId="000E9CCE" w14:textId="77777777" w:rsidR="00966D1C" w:rsidRPr="00126BA8" w:rsidRDefault="00966D1C" w:rsidP="00966D1C"/>
        </w:tc>
        <w:tc>
          <w:tcPr>
            <w:tcW w:w="1178" w:type="dxa"/>
            <w:shd w:val="clear" w:color="auto" w:fill="A8D08D" w:themeFill="accent6" w:themeFillTint="99"/>
          </w:tcPr>
          <w:p w14:paraId="4BA23ACA" w14:textId="77777777" w:rsidR="00966D1C" w:rsidRPr="00126BA8" w:rsidRDefault="00966D1C" w:rsidP="00966D1C"/>
        </w:tc>
        <w:tc>
          <w:tcPr>
            <w:tcW w:w="1390" w:type="dxa"/>
            <w:shd w:val="clear" w:color="auto" w:fill="A8D08D" w:themeFill="accent6" w:themeFillTint="99"/>
          </w:tcPr>
          <w:p w14:paraId="29B63AD1" w14:textId="77777777" w:rsidR="00966D1C" w:rsidRPr="00126BA8" w:rsidRDefault="00966D1C" w:rsidP="00966D1C"/>
        </w:tc>
        <w:tc>
          <w:tcPr>
            <w:tcW w:w="1390" w:type="dxa"/>
            <w:shd w:val="clear" w:color="auto" w:fill="A8D08D" w:themeFill="accent6" w:themeFillTint="99"/>
          </w:tcPr>
          <w:p w14:paraId="4EFB2676" w14:textId="77777777" w:rsidR="00966D1C" w:rsidRPr="00126BA8" w:rsidRDefault="00966D1C" w:rsidP="00966D1C"/>
        </w:tc>
      </w:tr>
      <w:tr w:rsidR="00966D1C" w:rsidRPr="00126BA8" w14:paraId="3272D191" w14:textId="77777777" w:rsidTr="00D00FE6">
        <w:trPr>
          <w:trHeight w:val="233"/>
        </w:trPr>
        <w:tc>
          <w:tcPr>
            <w:tcW w:w="2830" w:type="dxa"/>
          </w:tcPr>
          <w:p w14:paraId="47631BC5" w14:textId="77777777" w:rsidR="00966D1C" w:rsidRPr="00126BA8" w:rsidRDefault="00966D1C" w:rsidP="00966D1C">
            <w:r w:rsidRPr="00126BA8">
              <w:t>VGRF</w:t>
            </w:r>
          </w:p>
        </w:tc>
        <w:tc>
          <w:tcPr>
            <w:tcW w:w="936" w:type="dxa"/>
            <w:shd w:val="clear" w:color="auto" w:fill="A8D08D" w:themeFill="accent6" w:themeFillTint="99"/>
          </w:tcPr>
          <w:p w14:paraId="402D215E" w14:textId="77777777" w:rsidR="00966D1C" w:rsidRPr="00126BA8" w:rsidRDefault="00966D1C" w:rsidP="00966D1C"/>
        </w:tc>
        <w:tc>
          <w:tcPr>
            <w:tcW w:w="1670" w:type="dxa"/>
            <w:shd w:val="clear" w:color="auto" w:fill="A8D08D" w:themeFill="accent6" w:themeFillTint="99"/>
          </w:tcPr>
          <w:p w14:paraId="1E65F3F5" w14:textId="77777777" w:rsidR="00966D1C" w:rsidRPr="00126BA8" w:rsidRDefault="00966D1C" w:rsidP="00966D1C"/>
        </w:tc>
        <w:tc>
          <w:tcPr>
            <w:tcW w:w="1178" w:type="dxa"/>
            <w:shd w:val="clear" w:color="auto" w:fill="A8D08D" w:themeFill="accent6" w:themeFillTint="99"/>
          </w:tcPr>
          <w:p w14:paraId="484CCB8E" w14:textId="77777777" w:rsidR="00966D1C" w:rsidRPr="00126BA8" w:rsidRDefault="00966D1C" w:rsidP="00966D1C"/>
        </w:tc>
        <w:tc>
          <w:tcPr>
            <w:tcW w:w="1390" w:type="dxa"/>
            <w:shd w:val="clear" w:color="auto" w:fill="A8D08D" w:themeFill="accent6" w:themeFillTint="99"/>
          </w:tcPr>
          <w:p w14:paraId="4529E05A" w14:textId="77777777" w:rsidR="00966D1C" w:rsidRPr="00126BA8" w:rsidRDefault="00966D1C" w:rsidP="00966D1C"/>
        </w:tc>
        <w:tc>
          <w:tcPr>
            <w:tcW w:w="1390" w:type="dxa"/>
            <w:shd w:val="clear" w:color="auto" w:fill="A8D08D" w:themeFill="accent6" w:themeFillTint="99"/>
          </w:tcPr>
          <w:p w14:paraId="7290A765" w14:textId="77777777" w:rsidR="00966D1C" w:rsidRPr="00126BA8" w:rsidRDefault="00966D1C" w:rsidP="00966D1C"/>
        </w:tc>
      </w:tr>
      <w:tr w:rsidR="00966D1C" w:rsidRPr="00126BA8" w14:paraId="75A96407" w14:textId="77777777" w:rsidTr="00D00FE6">
        <w:trPr>
          <w:trHeight w:val="303"/>
        </w:trPr>
        <w:tc>
          <w:tcPr>
            <w:tcW w:w="2830" w:type="dxa"/>
          </w:tcPr>
          <w:p w14:paraId="79DE7586" w14:textId="77777777" w:rsidR="00966D1C" w:rsidRPr="00126BA8" w:rsidRDefault="00966D1C" w:rsidP="00966D1C">
            <w:r w:rsidRPr="00126BA8">
              <w:t>Turning Point</w:t>
            </w:r>
          </w:p>
        </w:tc>
        <w:tc>
          <w:tcPr>
            <w:tcW w:w="936" w:type="dxa"/>
            <w:shd w:val="clear" w:color="auto" w:fill="A8D08D" w:themeFill="accent6" w:themeFillTint="99"/>
          </w:tcPr>
          <w:p w14:paraId="664F8B51" w14:textId="77777777" w:rsidR="00966D1C" w:rsidRPr="00126BA8" w:rsidRDefault="00966D1C" w:rsidP="00966D1C"/>
        </w:tc>
        <w:tc>
          <w:tcPr>
            <w:tcW w:w="1670" w:type="dxa"/>
            <w:shd w:val="clear" w:color="auto" w:fill="A8D08D" w:themeFill="accent6" w:themeFillTint="99"/>
          </w:tcPr>
          <w:p w14:paraId="14A08329" w14:textId="77777777" w:rsidR="00966D1C" w:rsidRPr="00126BA8" w:rsidRDefault="00966D1C" w:rsidP="00966D1C"/>
        </w:tc>
        <w:tc>
          <w:tcPr>
            <w:tcW w:w="1178" w:type="dxa"/>
            <w:shd w:val="clear" w:color="auto" w:fill="A8D08D" w:themeFill="accent6" w:themeFillTint="99"/>
          </w:tcPr>
          <w:p w14:paraId="6CD48279" w14:textId="77777777" w:rsidR="00966D1C" w:rsidRPr="00126BA8" w:rsidRDefault="00966D1C" w:rsidP="00966D1C"/>
        </w:tc>
        <w:tc>
          <w:tcPr>
            <w:tcW w:w="1390" w:type="dxa"/>
            <w:shd w:val="clear" w:color="auto" w:fill="A8D08D" w:themeFill="accent6" w:themeFillTint="99"/>
          </w:tcPr>
          <w:p w14:paraId="2F9E6035" w14:textId="77777777" w:rsidR="00966D1C" w:rsidRPr="00126BA8" w:rsidRDefault="00966D1C" w:rsidP="00966D1C"/>
        </w:tc>
        <w:tc>
          <w:tcPr>
            <w:tcW w:w="1390" w:type="dxa"/>
            <w:shd w:val="clear" w:color="auto" w:fill="A8D08D" w:themeFill="accent6" w:themeFillTint="99"/>
          </w:tcPr>
          <w:p w14:paraId="69DD9BA8" w14:textId="77777777" w:rsidR="00966D1C" w:rsidRPr="00126BA8" w:rsidRDefault="00966D1C" w:rsidP="00966D1C"/>
        </w:tc>
      </w:tr>
      <w:tr w:rsidR="00966D1C" w:rsidRPr="00126BA8" w14:paraId="226DCE71" w14:textId="77777777" w:rsidTr="00D00FE6">
        <w:trPr>
          <w:trHeight w:val="288"/>
        </w:trPr>
        <w:tc>
          <w:tcPr>
            <w:tcW w:w="2830" w:type="dxa"/>
          </w:tcPr>
          <w:p w14:paraId="7E6F653D" w14:textId="77777777" w:rsidR="00966D1C" w:rsidRPr="00126BA8" w:rsidRDefault="00966D1C" w:rsidP="00966D1C">
            <w:r w:rsidRPr="00126BA8">
              <w:t>GamCare UK</w:t>
            </w:r>
          </w:p>
        </w:tc>
        <w:tc>
          <w:tcPr>
            <w:tcW w:w="936" w:type="dxa"/>
            <w:shd w:val="clear" w:color="auto" w:fill="A8D08D" w:themeFill="accent6" w:themeFillTint="99"/>
          </w:tcPr>
          <w:p w14:paraId="128BC961" w14:textId="77777777" w:rsidR="00966D1C" w:rsidRPr="00126BA8" w:rsidRDefault="00966D1C" w:rsidP="00966D1C"/>
        </w:tc>
        <w:tc>
          <w:tcPr>
            <w:tcW w:w="1670" w:type="dxa"/>
            <w:shd w:val="clear" w:color="auto" w:fill="A8D08D" w:themeFill="accent6" w:themeFillTint="99"/>
          </w:tcPr>
          <w:p w14:paraId="17B9373A" w14:textId="77777777" w:rsidR="00966D1C" w:rsidRPr="00126BA8" w:rsidRDefault="00966D1C" w:rsidP="00966D1C"/>
        </w:tc>
        <w:tc>
          <w:tcPr>
            <w:tcW w:w="1178" w:type="dxa"/>
            <w:shd w:val="clear" w:color="auto" w:fill="A8D08D" w:themeFill="accent6" w:themeFillTint="99"/>
          </w:tcPr>
          <w:p w14:paraId="37886D42" w14:textId="77777777" w:rsidR="00966D1C" w:rsidRPr="00126BA8" w:rsidRDefault="00966D1C" w:rsidP="00966D1C"/>
        </w:tc>
        <w:tc>
          <w:tcPr>
            <w:tcW w:w="1390" w:type="dxa"/>
            <w:shd w:val="clear" w:color="auto" w:fill="A8D08D" w:themeFill="accent6" w:themeFillTint="99"/>
          </w:tcPr>
          <w:p w14:paraId="07D457DE" w14:textId="77777777" w:rsidR="00966D1C" w:rsidRPr="00126BA8" w:rsidRDefault="00966D1C" w:rsidP="00966D1C"/>
        </w:tc>
        <w:tc>
          <w:tcPr>
            <w:tcW w:w="1390" w:type="dxa"/>
            <w:shd w:val="clear" w:color="auto" w:fill="A8D08D" w:themeFill="accent6" w:themeFillTint="99"/>
          </w:tcPr>
          <w:p w14:paraId="783B9FC9" w14:textId="77777777" w:rsidR="00966D1C" w:rsidRPr="00126BA8" w:rsidRDefault="00966D1C" w:rsidP="00966D1C"/>
        </w:tc>
      </w:tr>
      <w:tr w:rsidR="00966D1C" w:rsidRPr="00126BA8" w14:paraId="662DBF89" w14:textId="77777777" w:rsidTr="00D00FE6">
        <w:trPr>
          <w:trHeight w:val="578"/>
        </w:trPr>
        <w:tc>
          <w:tcPr>
            <w:tcW w:w="2830" w:type="dxa"/>
          </w:tcPr>
          <w:p w14:paraId="69959898" w14:textId="77777777" w:rsidR="00966D1C" w:rsidRPr="00126BA8" w:rsidRDefault="00966D1C" w:rsidP="00966D1C">
            <w:r w:rsidRPr="00126BA8">
              <w:t>National Problem Gambling Clinic</w:t>
            </w:r>
          </w:p>
        </w:tc>
        <w:tc>
          <w:tcPr>
            <w:tcW w:w="936" w:type="dxa"/>
            <w:shd w:val="clear" w:color="auto" w:fill="A8D08D" w:themeFill="accent6" w:themeFillTint="99"/>
          </w:tcPr>
          <w:p w14:paraId="2B0BED5D" w14:textId="77777777" w:rsidR="00966D1C" w:rsidRPr="00126BA8" w:rsidRDefault="00966D1C" w:rsidP="00966D1C"/>
        </w:tc>
        <w:tc>
          <w:tcPr>
            <w:tcW w:w="1670" w:type="dxa"/>
            <w:shd w:val="clear" w:color="auto" w:fill="A8D08D" w:themeFill="accent6" w:themeFillTint="99"/>
          </w:tcPr>
          <w:p w14:paraId="039DE314" w14:textId="77777777" w:rsidR="00966D1C" w:rsidRPr="00126BA8" w:rsidRDefault="00966D1C" w:rsidP="00966D1C"/>
        </w:tc>
        <w:tc>
          <w:tcPr>
            <w:tcW w:w="1178" w:type="dxa"/>
            <w:shd w:val="clear" w:color="auto" w:fill="A8D08D" w:themeFill="accent6" w:themeFillTint="99"/>
          </w:tcPr>
          <w:p w14:paraId="5B1D2505" w14:textId="77777777" w:rsidR="00966D1C" w:rsidRPr="00126BA8" w:rsidRDefault="00966D1C" w:rsidP="00966D1C"/>
        </w:tc>
        <w:tc>
          <w:tcPr>
            <w:tcW w:w="1390" w:type="dxa"/>
            <w:shd w:val="clear" w:color="auto" w:fill="A8D08D" w:themeFill="accent6" w:themeFillTint="99"/>
          </w:tcPr>
          <w:p w14:paraId="082217D9" w14:textId="77777777" w:rsidR="00966D1C" w:rsidRPr="00126BA8" w:rsidRDefault="00966D1C" w:rsidP="00966D1C"/>
        </w:tc>
        <w:tc>
          <w:tcPr>
            <w:tcW w:w="1390" w:type="dxa"/>
            <w:shd w:val="clear" w:color="auto" w:fill="A8D08D" w:themeFill="accent6" w:themeFillTint="99"/>
          </w:tcPr>
          <w:p w14:paraId="1EF989F2" w14:textId="77777777" w:rsidR="00966D1C" w:rsidRPr="00126BA8" w:rsidRDefault="00966D1C" w:rsidP="00966D1C"/>
        </w:tc>
      </w:tr>
      <w:tr w:rsidR="00966D1C" w:rsidRPr="00126BA8" w14:paraId="65FE7CC8" w14:textId="77777777" w:rsidTr="00D00FE6">
        <w:trPr>
          <w:trHeight w:val="297"/>
        </w:trPr>
        <w:tc>
          <w:tcPr>
            <w:tcW w:w="2830" w:type="dxa"/>
          </w:tcPr>
          <w:p w14:paraId="0419D492" w14:textId="77777777" w:rsidR="00966D1C" w:rsidRPr="00126BA8" w:rsidRDefault="00966D1C" w:rsidP="00966D1C">
            <w:r w:rsidRPr="00126BA8">
              <w:t>CAMH</w:t>
            </w:r>
          </w:p>
        </w:tc>
        <w:tc>
          <w:tcPr>
            <w:tcW w:w="936" w:type="dxa"/>
          </w:tcPr>
          <w:p w14:paraId="6DFCAACB" w14:textId="77777777" w:rsidR="00966D1C" w:rsidRPr="00126BA8" w:rsidRDefault="00966D1C" w:rsidP="00966D1C"/>
        </w:tc>
        <w:tc>
          <w:tcPr>
            <w:tcW w:w="1670" w:type="dxa"/>
            <w:shd w:val="clear" w:color="auto" w:fill="A8D08D" w:themeFill="accent6" w:themeFillTint="99"/>
          </w:tcPr>
          <w:p w14:paraId="11313213" w14:textId="77777777" w:rsidR="00966D1C" w:rsidRPr="00126BA8" w:rsidRDefault="00966D1C" w:rsidP="00966D1C"/>
        </w:tc>
        <w:tc>
          <w:tcPr>
            <w:tcW w:w="1178" w:type="dxa"/>
            <w:shd w:val="clear" w:color="auto" w:fill="A8D08D" w:themeFill="accent6" w:themeFillTint="99"/>
          </w:tcPr>
          <w:p w14:paraId="275AADFD" w14:textId="77777777" w:rsidR="00966D1C" w:rsidRPr="00126BA8" w:rsidRDefault="00966D1C" w:rsidP="00966D1C"/>
        </w:tc>
        <w:tc>
          <w:tcPr>
            <w:tcW w:w="1390" w:type="dxa"/>
            <w:shd w:val="clear" w:color="auto" w:fill="A8D08D" w:themeFill="accent6" w:themeFillTint="99"/>
          </w:tcPr>
          <w:p w14:paraId="5CD18765" w14:textId="77777777" w:rsidR="00966D1C" w:rsidRPr="00126BA8" w:rsidRDefault="00966D1C" w:rsidP="00966D1C"/>
        </w:tc>
        <w:tc>
          <w:tcPr>
            <w:tcW w:w="1390" w:type="dxa"/>
            <w:shd w:val="clear" w:color="auto" w:fill="A8D08D" w:themeFill="accent6" w:themeFillTint="99"/>
          </w:tcPr>
          <w:p w14:paraId="6D440847" w14:textId="77777777" w:rsidR="00966D1C" w:rsidRPr="00126BA8" w:rsidRDefault="00966D1C" w:rsidP="00966D1C"/>
        </w:tc>
      </w:tr>
      <w:tr w:rsidR="00966D1C" w:rsidRPr="00126BA8" w14:paraId="7FE89D52" w14:textId="77777777" w:rsidTr="00D00FE6">
        <w:trPr>
          <w:trHeight w:val="288"/>
        </w:trPr>
        <w:tc>
          <w:tcPr>
            <w:tcW w:w="2830" w:type="dxa"/>
          </w:tcPr>
          <w:p w14:paraId="6F06018F" w14:textId="77777777" w:rsidR="00966D1C" w:rsidRPr="00126BA8" w:rsidRDefault="00966D1C" w:rsidP="00966D1C">
            <w:r w:rsidRPr="00126BA8">
              <w:t>GAM-ANON International</w:t>
            </w:r>
          </w:p>
        </w:tc>
        <w:tc>
          <w:tcPr>
            <w:tcW w:w="936" w:type="dxa"/>
          </w:tcPr>
          <w:p w14:paraId="5476C348" w14:textId="77777777" w:rsidR="00966D1C" w:rsidRPr="00126BA8" w:rsidRDefault="00966D1C" w:rsidP="00966D1C"/>
        </w:tc>
        <w:tc>
          <w:tcPr>
            <w:tcW w:w="1670" w:type="dxa"/>
            <w:shd w:val="clear" w:color="auto" w:fill="A8D08D" w:themeFill="accent6" w:themeFillTint="99"/>
          </w:tcPr>
          <w:p w14:paraId="6B2E9691" w14:textId="77777777" w:rsidR="00966D1C" w:rsidRPr="00126BA8" w:rsidRDefault="00966D1C" w:rsidP="00966D1C"/>
        </w:tc>
        <w:tc>
          <w:tcPr>
            <w:tcW w:w="1178" w:type="dxa"/>
          </w:tcPr>
          <w:p w14:paraId="75532AB7" w14:textId="77777777" w:rsidR="00966D1C" w:rsidRPr="00126BA8" w:rsidRDefault="00966D1C" w:rsidP="00966D1C"/>
        </w:tc>
        <w:tc>
          <w:tcPr>
            <w:tcW w:w="1390" w:type="dxa"/>
            <w:shd w:val="clear" w:color="auto" w:fill="A8D08D" w:themeFill="accent6" w:themeFillTint="99"/>
          </w:tcPr>
          <w:p w14:paraId="129A9A01" w14:textId="77777777" w:rsidR="00966D1C" w:rsidRPr="00126BA8" w:rsidRDefault="00966D1C" w:rsidP="00966D1C"/>
        </w:tc>
        <w:tc>
          <w:tcPr>
            <w:tcW w:w="1390" w:type="dxa"/>
            <w:shd w:val="clear" w:color="auto" w:fill="auto"/>
          </w:tcPr>
          <w:p w14:paraId="5012E504" w14:textId="77777777" w:rsidR="00966D1C" w:rsidRPr="00126BA8" w:rsidRDefault="00966D1C" w:rsidP="00966D1C"/>
        </w:tc>
      </w:tr>
    </w:tbl>
    <w:p w14:paraId="19E84EF3" w14:textId="4C03C838" w:rsidR="00966D1C" w:rsidRDefault="00966D1C" w:rsidP="00966D1C">
      <w:r w:rsidRPr="00126BA8">
        <w:rPr>
          <w:i/>
        </w:rPr>
        <w:t xml:space="preserve">Note: </w:t>
      </w:r>
      <w:r w:rsidRPr="00126BA8">
        <w:t>Blank spaces indicate unavailable data.</w:t>
      </w:r>
    </w:p>
    <w:p w14:paraId="4824D972" w14:textId="77777777" w:rsidR="00966D1C" w:rsidRPr="00126BA8" w:rsidRDefault="00966D1C" w:rsidP="00966D1C"/>
    <w:p w14:paraId="512DC614" w14:textId="77777777" w:rsidR="00966D1C" w:rsidRPr="00126BA8" w:rsidRDefault="00966D1C" w:rsidP="00966D1C">
      <w:pPr>
        <w:spacing w:line="240" w:lineRule="auto"/>
        <w:jc w:val="both"/>
        <w:rPr>
          <w:rFonts w:eastAsia="Times New Roman"/>
        </w:rPr>
      </w:pPr>
      <w:r w:rsidRPr="00126BA8">
        <w:rPr>
          <w:rFonts w:eastAsia="Times New Roman"/>
        </w:rPr>
        <w:t xml:space="preserve">In total, 139 units of data were collected for analysis, including notes of conversations and email correspondence with service managers, website and social media screenshots, annual reports, and resources supplied by service managers or downloaded from service websites. </w:t>
      </w:r>
    </w:p>
    <w:p w14:paraId="0C8332BB" w14:textId="22036AD9" w:rsidR="00966D1C" w:rsidRDefault="00966D1C" w:rsidP="00966D1C">
      <w:pPr>
        <w:spacing w:line="240" w:lineRule="auto"/>
        <w:jc w:val="both"/>
        <w:rPr>
          <w:rFonts w:eastAsia="Times New Roman"/>
        </w:rPr>
      </w:pPr>
      <w:r w:rsidRPr="00126BA8">
        <w:rPr>
          <w:rFonts w:eastAsia="Times New Roman"/>
        </w:rPr>
        <w:t xml:space="preserve">All data was uploaded to NVivo 12, a programme used to organise data for qualitative research. Data were analysed using a qualitative descriptive thematic analysis </w:t>
      </w:r>
      <w:r w:rsidRPr="00126BA8">
        <w:rPr>
          <w:rFonts w:eastAsia="Times New Roman"/>
        </w:rPr>
        <w:fldChar w:fldCharType="begin">
          <w:fldData xml:space="preserve">PEVuZE5vdGU+PENpdGU+PEF1dGhvcj5CcmF1bjwvQXV0aG9yPjxZZWFyPjIwMDY8L1llYXI+PFJl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</w:fldData>
        </w:fldChar>
      </w:r>
      <w:r>
        <w:rPr>
          <w:rFonts w:eastAsia="Times New Roman"/>
        </w:rPr>
        <w:instrText xml:space="preserve"> ADDIN EN.CITE </w:instrText>
      </w:r>
      <w:r>
        <w:rPr>
          <w:rFonts w:eastAsia="Times New Roman"/>
        </w:rPr>
        <w:fldChar w:fldCharType="begin">
          <w:fldData xml:space="preserve">PEVuZE5vdGU+PENpdGU+PEF1dGhvcj5CcmF1bjwvQXV0aG9yPjxZZWFyPjIwMDY8L1llYXI+PFJl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</w:fldData>
        </w:fldChar>
      </w:r>
      <w:r>
        <w:rPr>
          <w:rFonts w:eastAsia="Times New Roman"/>
        </w:rPr>
        <w:instrText xml:space="preserve"> ADDIN EN.CITE.DATA </w:instrText>
      </w:r>
      <w:r>
        <w:rPr>
          <w:rFonts w:eastAsia="Times New Roman"/>
        </w:rPr>
      </w:r>
      <w:r>
        <w:rPr>
          <w:rFonts w:eastAsia="Times New Roman"/>
        </w:rPr>
        <w:fldChar w:fldCharType="end"/>
      </w:r>
      <w:r w:rsidRPr="00126BA8">
        <w:rPr>
          <w:rFonts w:eastAsia="Times New Roman"/>
        </w:rPr>
      </w:r>
      <w:r w:rsidRPr="00126BA8">
        <w:rPr>
          <w:rFonts w:eastAsia="Times New Roman"/>
        </w:rPr>
        <w:fldChar w:fldCharType="separate"/>
      </w:r>
      <w:r w:rsidRPr="00126BA8">
        <w:rPr>
          <w:rFonts w:eastAsia="Times New Roman"/>
          <w:noProof/>
        </w:rPr>
        <w:t>(Braun &amp; Clarke, 2006; Sandelowski, 2000, 2010)</w:t>
      </w:r>
      <w:r w:rsidRPr="00126BA8">
        <w:rPr>
          <w:rFonts w:eastAsia="Times New Roman"/>
        </w:rPr>
        <w:fldChar w:fldCharType="end"/>
      </w:r>
      <w:r w:rsidRPr="00126BA8">
        <w:rPr>
          <w:rFonts w:eastAsia="Times New Roman"/>
        </w:rPr>
        <w:t xml:space="preserve">. A qualitative descriptive approach provides a rich and comprehensive summary of data </w:t>
      </w:r>
      <w:r w:rsidRPr="00126BA8">
        <w:rPr>
          <w:rFonts w:eastAsia="Times New Roman"/>
        </w:rPr>
        <w:fldChar w:fldCharType="begin">
          <w:fldData xml:space="preserve">PEVuZE5vdGU+PENpdGU+PEF1dGhvcj5Db2xvcmFmaTwvQXV0aG9yPjxZZWFyPjIwMTY8L1llYXI+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</w:fldData>
        </w:fldChar>
      </w:r>
      <w:r>
        <w:rPr>
          <w:rFonts w:eastAsia="Times New Roman"/>
        </w:rPr>
        <w:instrText xml:space="preserve"> ADDIN EN.CITE </w:instrText>
      </w:r>
      <w:r>
        <w:rPr>
          <w:rFonts w:eastAsia="Times New Roman"/>
        </w:rPr>
        <w:fldChar w:fldCharType="begin">
          <w:fldData xml:space="preserve">PEVuZE5vdGU+PENpdGU+PEF1dGhvcj5Db2xvcmFmaTwvQXV0aG9yPjxZZWFyPjIwMTY8L1llYXI+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</w:fldData>
        </w:fldChar>
      </w:r>
      <w:r>
        <w:rPr>
          <w:rFonts w:eastAsia="Times New Roman"/>
        </w:rPr>
        <w:instrText xml:space="preserve"> ADDIN EN.CITE.DATA </w:instrText>
      </w:r>
      <w:r>
        <w:rPr>
          <w:rFonts w:eastAsia="Times New Roman"/>
        </w:rPr>
      </w:r>
      <w:r>
        <w:rPr>
          <w:rFonts w:eastAsia="Times New Roman"/>
        </w:rPr>
        <w:fldChar w:fldCharType="end"/>
      </w:r>
      <w:r w:rsidRPr="00126BA8">
        <w:rPr>
          <w:rFonts w:eastAsia="Times New Roman"/>
        </w:rPr>
      </w:r>
      <w:r w:rsidRPr="00126BA8">
        <w:rPr>
          <w:rFonts w:eastAsia="Times New Roman"/>
        </w:rPr>
        <w:fldChar w:fldCharType="separate"/>
      </w:r>
      <w:r w:rsidRPr="00126BA8">
        <w:rPr>
          <w:rFonts w:eastAsia="Times New Roman"/>
          <w:noProof/>
        </w:rPr>
        <w:t>(Colorafi &amp; Evans, 2016; Sandelowski, 2000, 2010)</w:t>
      </w:r>
      <w:r w:rsidRPr="00126BA8">
        <w:rPr>
          <w:rFonts w:eastAsia="Times New Roman"/>
        </w:rPr>
        <w:fldChar w:fldCharType="end"/>
      </w:r>
      <w:r w:rsidRPr="00126BA8">
        <w:rPr>
          <w:rFonts w:eastAsia="Times New Roman"/>
        </w:rPr>
        <w:t>. This approach was chosen because the outcome is an in-depth description and summary of the subject of interest, using the language of the participant/data pool. Finally, analysis also examined evidence for the incorporation of gender, ethnicity and/or cultural issues/perspectives into service delivery for FAOs.</w:t>
      </w:r>
    </w:p>
    <w:p w14:paraId="260CA95E" w14:textId="77777777" w:rsidR="00966D1C" w:rsidRDefault="00966D1C" w:rsidP="00966D1C">
      <w:pPr>
        <w:spacing w:line="240" w:lineRule="auto"/>
        <w:jc w:val="both"/>
        <w:rPr>
          <w:rFonts w:eastAsia="Times New Roman"/>
        </w:rPr>
      </w:pPr>
    </w:p>
    <w:p w14:paraId="03BCA8A1" w14:textId="4ECA300C" w:rsidR="00966D1C" w:rsidRDefault="00966D1C" w:rsidP="00966D1C">
      <w:pPr>
        <w:pStyle w:val="Heading3"/>
        <w:spacing w:before="0"/>
      </w:pPr>
      <w:bookmarkStart w:id="122" w:name="_Toc58400781"/>
      <w:r w:rsidRPr="00966D1C">
        <w:t>How do gambling services appear to be oriented to FAOs?</w:t>
      </w:r>
      <w:bookmarkEnd w:id="122"/>
    </w:p>
    <w:p w14:paraId="3DA21F57" w14:textId="77777777" w:rsidR="00966D1C" w:rsidRPr="00966D1C" w:rsidRDefault="00966D1C" w:rsidP="00966D1C"/>
    <w:p w14:paraId="779DCB7A" w14:textId="77777777" w:rsidR="00966D1C" w:rsidRPr="00966D1C" w:rsidRDefault="00966D1C" w:rsidP="00966D1C">
      <w:pPr>
        <w:pStyle w:val="Heading4"/>
        <w:spacing w:before="0"/>
      </w:pPr>
      <w:r w:rsidRPr="00966D1C">
        <w:t>A broad definition of FAOs establishes an inclusive orientation</w:t>
      </w:r>
    </w:p>
    <w:p w14:paraId="7B9400DA" w14:textId="1B039DEA" w:rsidR="00966D1C" w:rsidRDefault="00966D1C" w:rsidP="00966D1C">
      <w:pPr>
        <w:spacing w:line="240" w:lineRule="auto"/>
        <w:jc w:val="both"/>
      </w:pPr>
      <w:r w:rsidRPr="00126BA8">
        <w:t xml:space="preserve">The way FAOs were defined by a service </w:t>
      </w:r>
      <w:r w:rsidR="00DA0385">
        <w:t>suggested</w:t>
      </w:r>
      <w:r w:rsidRPr="00126BA8">
        <w:t xml:space="preserve"> the focus of support and whether an inclusive approach has been taken. Generally, a broad definition of FAOs was used by services; the definitions included family/whānau as well as friends and other close support people (e.g. colleagues, teachers). For example, in the Family Support and </w:t>
      </w:r>
      <w:r w:rsidRPr="00D00FE6">
        <w:t>Psychoeducational Group Manual for Problem Gambling</w:t>
      </w:r>
      <w:r w:rsidRPr="00126BA8">
        <w:t xml:space="preserve"> available from the Centre for Addiction and Mental Health (CAMH) in Canada, it was stated that </w:t>
      </w:r>
      <w:r w:rsidRPr="00B35A3D">
        <w:t>“Family is used as a broad term to describe anyone who has a significant relationship or role in the life of the gambling individual”</w:t>
      </w:r>
      <w:r w:rsidRPr="00126BA8">
        <w:t xml:space="preserve"> </w:t>
      </w:r>
      <w:r w:rsidR="00D00FE6" w:rsidRPr="00D00FE6">
        <w:fldChar w:fldCharType="begin"/>
      </w:r>
      <w:r w:rsidR="00D945BB">
        <w:instrText xml:space="preserve"> ADDIN EN.CITE &lt;EndNote&gt;&lt;Cite&gt;&lt;Author&gt;Kourgiantakis&lt;/Author&gt;&lt;Year&gt;2013&lt;/Year&gt;&lt;RecNum&gt;485&lt;/RecNum&gt;&lt;Pages&gt;2&lt;/Pages&gt;&lt;DisplayText&gt;(Kourgiantakis, Weyman, Teasell, &amp;amp; Pont, 2013a, p. 2)&lt;/DisplayText&gt;&lt;record&gt;&lt;rec-number&gt;485&lt;/rec-number&gt;&lt;foreign-keys&gt;&lt;key app="EN" db-id="5v2daxed8wv0eoesd9av5dd8exsxdewpfpwd" timestamp="1602016993"&gt;485&lt;/key&gt;&lt;/foreign-keys&gt;&lt;ref-type name="Report"&gt;27&lt;/ref-type&gt;&lt;contributors&gt;&lt;authors&gt;&lt;author&gt;Kourgiantakis, Toula&lt;/author&gt;&lt;author&gt;Weyman, M&lt;/author&gt;&lt;author&gt;Teasell, B&lt;/author&gt;&lt;author&gt;Pont, L&lt;/author&gt;&lt;/authors&gt;&lt;tertiary-authors&gt;&lt;author&gt;Centre for Addiction and Mental Health, Problem Gambling Institute of Ontario&lt;/author&gt;&lt;/tertiary-authors&gt;&lt;/contributors&gt;&lt;titles&gt;&lt;title&gt;Family support and psychoeducational group manual for problem gambling &lt;/title&gt;&lt;/titles&gt;&lt;dates&gt;&lt;year&gt;2013&lt;/year&gt;&lt;/dates&gt;&lt;pub-location&gt;Toronto, ON&lt;/pub-location&gt;&lt;urls&gt;&lt;/urls&gt;&lt;/record&gt;&lt;/Cite&gt;&lt;/EndNote&gt;</w:instrText>
      </w:r>
      <w:r w:rsidR="00D00FE6" w:rsidRPr="00D00FE6">
        <w:fldChar w:fldCharType="separate"/>
      </w:r>
      <w:r w:rsidR="00D945BB">
        <w:rPr>
          <w:noProof/>
        </w:rPr>
        <w:t>(Kourgiantakis, Weyman, Teasell, &amp; Pont, 2013a, p. 2)</w:t>
      </w:r>
      <w:r w:rsidR="00D00FE6" w:rsidRPr="00D00FE6">
        <w:fldChar w:fldCharType="end"/>
      </w:r>
      <w:r w:rsidRPr="00126BA8">
        <w:t xml:space="preserve">. In New Zealand, the New Zealand Salvation Army Oasis (Oasis) utilised the </w:t>
      </w:r>
      <w:r w:rsidR="00B35A3D">
        <w:t xml:space="preserve">following </w:t>
      </w:r>
      <w:r w:rsidRPr="00126BA8">
        <w:t>definition:</w:t>
      </w:r>
    </w:p>
    <w:p w14:paraId="35250F86" w14:textId="77777777" w:rsidR="00B35A3D" w:rsidRPr="00126BA8" w:rsidRDefault="00B35A3D" w:rsidP="00966D1C">
      <w:pPr>
        <w:spacing w:line="240" w:lineRule="auto"/>
        <w:jc w:val="both"/>
      </w:pPr>
    </w:p>
    <w:p w14:paraId="77F19D02" w14:textId="40A25E95" w:rsidR="00966D1C" w:rsidRPr="00126BA8" w:rsidRDefault="00B35A3D" w:rsidP="00966D1C">
      <w:pPr>
        <w:spacing w:line="240" w:lineRule="auto"/>
        <w:ind w:left="1440"/>
        <w:jc w:val="both"/>
        <w:rPr>
          <w:i/>
          <w:iCs/>
        </w:rPr>
      </w:pPr>
      <w:r>
        <w:rPr>
          <w:i/>
          <w:iCs/>
        </w:rPr>
        <w:t xml:space="preserve">“[Definition of] </w:t>
      </w:r>
      <w:r w:rsidR="00966D1C" w:rsidRPr="00126BA8">
        <w:rPr>
          <w:i/>
          <w:iCs/>
        </w:rPr>
        <w:t xml:space="preserve">Family &amp; whānau: </w:t>
      </w:r>
    </w:p>
    <w:p w14:paraId="0B2152A3" w14:textId="77777777" w:rsidR="00966D1C" w:rsidRPr="00126BA8" w:rsidRDefault="00966D1C" w:rsidP="00966D1C">
      <w:pPr>
        <w:spacing w:line="240" w:lineRule="auto"/>
        <w:ind w:left="1440"/>
        <w:jc w:val="both"/>
        <w:rPr>
          <w:i/>
          <w:iCs/>
        </w:rPr>
      </w:pPr>
      <w:r w:rsidRPr="00126BA8">
        <w:rPr>
          <w:i/>
          <w:iCs/>
        </w:rPr>
        <w:t xml:space="preserve">A client’s family or an extended family/group of people who are important to the client. It is a set of relationships that is not limited to blood ties. </w:t>
      </w:r>
    </w:p>
    <w:p w14:paraId="186BE2E7" w14:textId="77777777" w:rsidR="00966D1C" w:rsidRPr="00126BA8" w:rsidRDefault="00966D1C" w:rsidP="00966D1C">
      <w:pPr>
        <w:spacing w:line="240" w:lineRule="auto"/>
        <w:ind w:left="1440"/>
        <w:jc w:val="both"/>
        <w:rPr>
          <w:i/>
          <w:iCs/>
        </w:rPr>
      </w:pPr>
      <w:r w:rsidRPr="00126BA8">
        <w:rPr>
          <w:i/>
          <w:iCs/>
        </w:rPr>
        <w:t xml:space="preserve">Family &amp; whānau may include: </w:t>
      </w:r>
    </w:p>
    <w:p w14:paraId="7DEC676B" w14:textId="77777777" w:rsidR="00966D1C" w:rsidRPr="00126BA8" w:rsidRDefault="00966D1C" w:rsidP="007E15CF">
      <w:pPr>
        <w:pStyle w:val="ListParagraph"/>
        <w:numPr>
          <w:ilvl w:val="0"/>
          <w:numId w:val="22"/>
        </w:numPr>
        <w:spacing w:line="240" w:lineRule="auto"/>
        <w:ind w:left="2160"/>
        <w:jc w:val="both"/>
        <w:rPr>
          <w:i/>
          <w:iCs/>
        </w:rPr>
      </w:pPr>
      <w:r w:rsidRPr="00126BA8">
        <w:rPr>
          <w:i/>
          <w:iCs/>
        </w:rPr>
        <w:t xml:space="preserve">Relatives – including a spouse or partner </w:t>
      </w:r>
    </w:p>
    <w:p w14:paraId="71487A37" w14:textId="77777777" w:rsidR="00966D1C" w:rsidRPr="00126BA8" w:rsidRDefault="00966D1C" w:rsidP="007E15CF">
      <w:pPr>
        <w:pStyle w:val="ListParagraph"/>
        <w:numPr>
          <w:ilvl w:val="0"/>
          <w:numId w:val="22"/>
        </w:numPr>
        <w:spacing w:line="240" w:lineRule="auto"/>
        <w:ind w:left="2160"/>
        <w:jc w:val="both"/>
        <w:rPr>
          <w:i/>
          <w:iCs/>
        </w:rPr>
      </w:pPr>
      <w:r w:rsidRPr="00126BA8">
        <w:rPr>
          <w:i/>
          <w:iCs/>
        </w:rPr>
        <w:t xml:space="preserve">A mixture of relatives, friends and others in a support network such as: </w:t>
      </w:r>
    </w:p>
    <w:p w14:paraId="0485840C" w14:textId="77777777" w:rsidR="00966D1C" w:rsidRPr="00126BA8" w:rsidRDefault="00966D1C" w:rsidP="007E15CF">
      <w:pPr>
        <w:pStyle w:val="ListParagraph"/>
        <w:numPr>
          <w:ilvl w:val="1"/>
          <w:numId w:val="22"/>
        </w:numPr>
        <w:spacing w:line="240" w:lineRule="auto"/>
        <w:ind w:left="2880"/>
        <w:jc w:val="both"/>
        <w:rPr>
          <w:i/>
          <w:iCs/>
        </w:rPr>
      </w:pPr>
      <w:r w:rsidRPr="00126BA8">
        <w:rPr>
          <w:i/>
          <w:iCs/>
        </w:rPr>
        <w:t xml:space="preserve">Whānau, hapu and/or iwi </w:t>
      </w:r>
    </w:p>
    <w:p w14:paraId="112781C6" w14:textId="77777777" w:rsidR="00966D1C" w:rsidRPr="00126BA8" w:rsidRDefault="00966D1C" w:rsidP="007E15CF">
      <w:pPr>
        <w:pStyle w:val="ListParagraph"/>
        <w:numPr>
          <w:ilvl w:val="1"/>
          <w:numId w:val="22"/>
        </w:numPr>
        <w:spacing w:line="240" w:lineRule="auto"/>
        <w:ind w:left="2880"/>
        <w:jc w:val="both"/>
        <w:rPr>
          <w:i/>
          <w:iCs/>
        </w:rPr>
      </w:pPr>
      <w:r w:rsidRPr="00126BA8">
        <w:rPr>
          <w:i/>
          <w:iCs/>
        </w:rPr>
        <w:t xml:space="preserve">Nuclear or extended family </w:t>
      </w:r>
    </w:p>
    <w:p w14:paraId="33AA525C" w14:textId="77777777" w:rsidR="00966D1C" w:rsidRPr="00126BA8" w:rsidRDefault="00966D1C" w:rsidP="007E15CF">
      <w:pPr>
        <w:pStyle w:val="ListParagraph"/>
        <w:numPr>
          <w:ilvl w:val="1"/>
          <w:numId w:val="22"/>
        </w:numPr>
        <w:spacing w:line="240" w:lineRule="auto"/>
        <w:ind w:left="2880"/>
        <w:jc w:val="both"/>
        <w:rPr>
          <w:i/>
          <w:iCs/>
        </w:rPr>
      </w:pPr>
      <w:r w:rsidRPr="00126BA8">
        <w:rPr>
          <w:i/>
          <w:iCs/>
        </w:rPr>
        <w:t xml:space="preserve">Families of a particular community (refugees, migrants, gender base, gay or lesbian, gang, deaf etc.) </w:t>
      </w:r>
    </w:p>
    <w:p w14:paraId="28266D90" w14:textId="77777777" w:rsidR="00966D1C" w:rsidRPr="00126BA8" w:rsidRDefault="00966D1C" w:rsidP="007E15CF">
      <w:pPr>
        <w:pStyle w:val="ListParagraph"/>
        <w:numPr>
          <w:ilvl w:val="1"/>
          <w:numId w:val="22"/>
        </w:numPr>
        <w:spacing w:line="240" w:lineRule="auto"/>
        <w:ind w:left="2880"/>
        <w:jc w:val="both"/>
        <w:rPr>
          <w:i/>
          <w:iCs/>
        </w:rPr>
      </w:pPr>
      <w:r w:rsidRPr="00126BA8">
        <w:rPr>
          <w:i/>
          <w:iCs/>
        </w:rPr>
        <w:t xml:space="preserve">Families made up of people such as a client support group. </w:t>
      </w:r>
    </w:p>
    <w:p w14:paraId="6545F47E" w14:textId="14B77833" w:rsidR="00966D1C" w:rsidRPr="00126BA8" w:rsidRDefault="00966D1C" w:rsidP="00966D1C">
      <w:pPr>
        <w:spacing w:line="240" w:lineRule="auto"/>
        <w:ind w:left="1440"/>
        <w:jc w:val="both"/>
      </w:pPr>
      <w:r w:rsidRPr="00126BA8">
        <w:rPr>
          <w:i/>
          <w:iCs/>
        </w:rPr>
        <w:t>Each of these family styles requires its own recognition and considerations.</w:t>
      </w:r>
      <w:r w:rsidR="00B35A3D">
        <w:rPr>
          <w:i/>
          <w:iCs/>
        </w:rPr>
        <w:t>”</w:t>
      </w:r>
      <w:r w:rsidRPr="00126BA8">
        <w:t xml:space="preserve"> </w:t>
      </w:r>
      <w:r w:rsidR="00D72541" w:rsidRPr="00D72541">
        <w:fldChar w:fldCharType="begin"/>
      </w:r>
      <w:r w:rsidR="00D72541" w:rsidRPr="00D72541">
        <w:instrText xml:space="preserve"> ADDIN EN.CITE &lt;EndNote&gt;&lt;Cite&gt;&lt;Author&gt;The Salvation Army&lt;/Author&gt;&lt;Year&gt;2020&lt;/Year&gt;&lt;RecNum&gt;486&lt;/RecNum&gt;&lt;DisplayText&gt;(The Salvation Army, 2020)&lt;/DisplayText&gt;&lt;record&gt;&lt;rec-number&gt;486&lt;/rec-number&gt;&lt;foreign-keys&gt;&lt;key app="EN" db-id="5v2daxed8wv0eoesd9av5dd8exsxdewpfpwd" timestamp="1602017813"&gt;486&lt;/key&gt;&lt;/foreign-keys&gt;&lt;ref-type name="Report"&gt;27&lt;/ref-type&gt;&lt;contributors&gt;&lt;authors&gt;&lt;author&gt;The Salvation Army,&lt;/author&gt;&lt;/authors&gt;&lt;tertiary-authors&gt;&lt;author&gt;The Salvation Army&lt;/author&gt;&lt;/tertiary-authors&gt;&lt;/contributors&gt;&lt;titles&gt;&lt;title&gt;&lt;style face="normal" font="default" size="100%"&gt; Addiction, supportive accommodation &amp;amp; reintegration services policy: Family/wh&lt;/style&gt;&lt;style face="normal" font="default" charset="238" size="100%"&gt;ānau&lt;/style&gt;&lt;style face="normal" font="default" size="100%"&gt; participation [Policy: FWP 0619]&lt;/style&gt;&lt;/title&gt;&lt;/titles&gt;&lt;dates&gt;&lt;year&gt;2020&lt;/year&gt;&lt;/dates&gt;&lt;urls&gt;&lt;/urls&gt;&lt;/record&gt;&lt;/Cite&gt;&lt;/EndNote&gt;</w:instrText>
      </w:r>
      <w:r w:rsidR="00D72541" w:rsidRPr="00D72541">
        <w:fldChar w:fldCharType="separate"/>
      </w:r>
      <w:r w:rsidR="00D72541" w:rsidRPr="00D72541">
        <w:t>(The Salvation Army, 2020)</w:t>
      </w:r>
      <w:r w:rsidR="00D72541" w:rsidRPr="00D72541">
        <w:fldChar w:fldCharType="end"/>
      </w:r>
    </w:p>
    <w:p w14:paraId="1F522B9B" w14:textId="77777777" w:rsidR="00B35A3D" w:rsidRDefault="00B35A3D" w:rsidP="00966D1C">
      <w:pPr>
        <w:spacing w:line="240" w:lineRule="auto"/>
        <w:jc w:val="both"/>
      </w:pPr>
    </w:p>
    <w:p w14:paraId="47C1750B" w14:textId="4958A4D9" w:rsidR="00966D1C" w:rsidRDefault="00966D1C" w:rsidP="00966D1C">
      <w:pPr>
        <w:spacing w:line="240" w:lineRule="auto"/>
        <w:jc w:val="both"/>
      </w:pPr>
      <w:r w:rsidRPr="00126BA8">
        <w:t>Most gambling services included an element of practice aimed at FAOs. The extent of inclusion ranged from a clear family-</w:t>
      </w:r>
      <w:r w:rsidR="00B35A3D">
        <w:t>centred</w:t>
      </w:r>
      <w:r w:rsidRPr="00126BA8">
        <w:t xml:space="preserve"> approach, as taken by culturally based approaches, with little to no distinction made between the individual gambling and the FAO</w:t>
      </w:r>
      <w:r w:rsidR="00B35A3D">
        <w:t>, e.g.</w:t>
      </w:r>
      <w:r w:rsidRPr="00126BA8">
        <w:t>:</w:t>
      </w:r>
    </w:p>
    <w:p w14:paraId="68B90567" w14:textId="77777777" w:rsidR="00B35A3D" w:rsidRPr="00126BA8" w:rsidRDefault="00B35A3D" w:rsidP="00966D1C">
      <w:pPr>
        <w:spacing w:line="240" w:lineRule="auto"/>
        <w:jc w:val="both"/>
      </w:pPr>
    </w:p>
    <w:p w14:paraId="63B3F6B8" w14:textId="32D0D06E" w:rsidR="00966D1C" w:rsidRDefault="00B35A3D" w:rsidP="00966D1C">
      <w:pPr>
        <w:spacing w:line="240" w:lineRule="auto"/>
        <w:ind w:left="720"/>
        <w:jc w:val="both"/>
      </w:pPr>
      <w:r>
        <w:rPr>
          <w:i/>
        </w:rPr>
        <w:t xml:space="preserve">[Mission statement] </w:t>
      </w:r>
      <w:r w:rsidR="00966D1C" w:rsidRPr="00126BA8">
        <w:rPr>
          <w:i/>
        </w:rPr>
        <w:t>Working with families and communities to be healthy and resilient; free from gambling harm.</w:t>
      </w:r>
      <w:r w:rsidR="00966D1C" w:rsidRPr="00126BA8">
        <w:t xml:space="preserve"> </w:t>
      </w:r>
      <w:r w:rsidR="00966D1C" w:rsidRPr="00126BA8">
        <w:fldChar w:fldCharType="begin"/>
      </w:r>
      <w:r w:rsidR="009A4571">
        <w:instrText xml:space="preserve"> ADDIN EN.CITE &lt;EndNote&gt;&lt;Cite&gt;&lt;Author&gt;Mapu Maia&lt;/Author&gt;&lt;Year&gt;2020&lt;/Year&gt;&lt;RecNum&gt;638&lt;/RecNum&gt;&lt;DisplayText&gt;(Mapu Maia, 2020a)&lt;/DisplayText&gt;&lt;record&gt;&lt;rec-number&gt;638&lt;/rec-number&gt;&lt;foreign-keys&gt;&lt;key app="EN" db-id="5v2daxed8wv0eoesd9av5dd8exsxdewpfpwd" timestamp="1600899383"&gt;638&lt;/key&gt;&lt;/foreign-keys&gt;&lt;ref-type name="Web Page"&gt;12&lt;/ref-type&gt;&lt;contributors&gt;&lt;authors&gt;&lt;author&gt;Mapu Maia,&lt;/author&gt;&lt;/authors&gt;&lt;/contributors&gt;&lt;titles&gt;&lt;title&gt;Our Mission&lt;/title&gt;&lt;/titles&gt;&lt;dates&gt;&lt;year&gt;2020&lt;/year&gt;&lt;/dates&gt;&lt;urls&gt;&lt;related-urls&gt;&lt;url&gt;https://www.mapumaia.nz/&lt;/url&gt;&lt;/related-urls&gt;&lt;/urls&gt;&lt;/record&gt;&lt;/Cite&gt;&lt;/EndNote&gt;</w:instrText>
      </w:r>
      <w:r w:rsidR="00966D1C" w:rsidRPr="00126BA8">
        <w:fldChar w:fldCharType="separate"/>
      </w:r>
      <w:r w:rsidR="009A4571">
        <w:rPr>
          <w:noProof/>
        </w:rPr>
        <w:t>(Mapu Maia, 2020a)</w:t>
      </w:r>
      <w:r w:rsidR="00966D1C" w:rsidRPr="00126BA8">
        <w:fldChar w:fldCharType="end"/>
      </w:r>
    </w:p>
    <w:p w14:paraId="354B7A96" w14:textId="77777777" w:rsidR="00B35A3D" w:rsidRPr="00126BA8" w:rsidRDefault="00B35A3D" w:rsidP="00966D1C">
      <w:pPr>
        <w:spacing w:line="240" w:lineRule="auto"/>
        <w:ind w:left="720"/>
        <w:jc w:val="both"/>
      </w:pPr>
    </w:p>
    <w:p w14:paraId="0A0CD4E0" w14:textId="13D49F73" w:rsidR="00966D1C" w:rsidRPr="00126BA8" w:rsidRDefault="00966D1C" w:rsidP="00966D1C">
      <w:pPr>
        <w:spacing w:line="240" w:lineRule="auto"/>
        <w:jc w:val="both"/>
      </w:pPr>
      <w:r w:rsidRPr="00126BA8">
        <w:lastRenderedPageBreak/>
        <w:t xml:space="preserve">Other services specified that support was available for both the individual gambling and the FAO. </w:t>
      </w:r>
    </w:p>
    <w:p w14:paraId="294F5BA9" w14:textId="010557C3" w:rsidR="00966D1C" w:rsidRPr="00126BA8" w:rsidRDefault="00966D1C" w:rsidP="00966D1C">
      <w:pPr>
        <w:spacing w:line="240" w:lineRule="auto"/>
        <w:ind w:left="720"/>
        <w:jc w:val="both"/>
      </w:pPr>
      <w:r w:rsidRPr="00126BA8">
        <w:rPr>
          <w:i/>
        </w:rPr>
        <w:t>We know it can be hard to ask for help, but if gambling is impacting your life, or the life of someone you care about, we're here to help</w:t>
      </w:r>
      <w:r w:rsidRPr="00126BA8">
        <w:t xml:space="preserve">. </w:t>
      </w:r>
      <w:r w:rsidRPr="00126BA8">
        <w:fldChar w:fldCharType="begin"/>
      </w:r>
      <w:r w:rsidR="007C4A13">
        <w:instrText xml:space="preserve"> ADDIN EN.CITE &lt;EndNote&gt;&lt;Cite&gt;&lt;Author&gt;PGF Services&lt;/Author&gt;&lt;Year&gt;n.d.&lt;/Year&gt;&lt;RecNum&gt;639&lt;/RecNum&gt;&lt;DisplayText&gt;(PGF Services, n.d.-c)&lt;/DisplayText&gt;&lt;record&gt;&lt;rec-number&gt;639&lt;/rec-number&gt;&lt;foreign-keys&gt;&lt;key app="EN" db-id="5v2daxed8wv0eoesd9av5dd8exsxdewpfpwd" timestamp="1600899614"&gt;639&lt;/key&gt;&lt;/foreign-keys&gt;&lt;ref-type name="Journal Article"&gt;17&lt;/ref-type&gt;&lt;contributors&gt;&lt;authors&gt;&lt;author&gt;PGF Services,&lt;/author&gt;&lt;/authors&gt;&lt;/contributors&gt;&lt;titles&gt;&lt;title&gt;Get Help&lt;/title&gt;&lt;/titles&gt;&lt;dates&gt;&lt;year&gt;n.d.&lt;/year&gt;&lt;/dates&gt;&lt;urls&gt;&lt;related-urls&gt;&lt;url&gt;https://www.pgf.nz/gethelp.html&lt;/url&gt;&lt;/related-urls&gt;&lt;/urls&gt;&lt;/record&gt;&lt;/Cite&gt;&lt;/EndNote&gt;</w:instrText>
      </w:r>
      <w:r w:rsidRPr="00126BA8">
        <w:fldChar w:fldCharType="separate"/>
      </w:r>
      <w:r w:rsidR="007C4A13">
        <w:rPr>
          <w:noProof/>
        </w:rPr>
        <w:t>(PGF Services, n.d.-c)</w:t>
      </w:r>
      <w:r w:rsidRPr="00126BA8">
        <w:fldChar w:fldCharType="end"/>
      </w:r>
    </w:p>
    <w:p w14:paraId="647C2468" w14:textId="38CBB807" w:rsidR="00966D1C" w:rsidRDefault="00966D1C" w:rsidP="00966D1C">
      <w:pPr>
        <w:spacing w:line="240" w:lineRule="auto"/>
        <w:ind w:left="720"/>
        <w:jc w:val="both"/>
      </w:pPr>
      <w:r w:rsidRPr="00126BA8">
        <w:rPr>
          <w:i/>
        </w:rPr>
        <w:t>Support is available for anyone affected by a gambling issue, not just the gambler themselves.</w:t>
      </w:r>
      <w:r w:rsidRPr="00126BA8">
        <w:t xml:space="preserve"> </w:t>
      </w:r>
      <w:r w:rsidRPr="00126BA8">
        <w:fldChar w:fldCharType="begin"/>
      </w:r>
      <w:r w:rsidR="007C4A13">
        <w:instrText xml:space="preserve"> ADDIN EN.CITE &lt;EndNote&gt;&lt;Cite&gt;&lt;Author&gt;Gambling Help Online&lt;/Author&gt;&lt;Year&gt;2020&lt;/Year&gt;&lt;RecNum&gt;640&lt;/RecNum&gt;&lt;DisplayText&gt;(Gambling Help Online, 2020a)&lt;/DisplayText&gt;&lt;record&gt;&lt;rec-number&gt;640&lt;/rec-number&gt;&lt;foreign-keys&gt;&lt;key app="EN" db-id="5v2daxed8wv0eoesd9av5dd8exsxdewpfpwd" timestamp="1600899679"&gt;640&lt;/key&gt;&lt;/foreign-keys&gt;&lt;ref-type name="Journal Article"&gt;17&lt;/ref-type&gt;&lt;contributors&gt;&lt;authors&gt;&lt;author&gt;Gambling Help Online,&lt;/author&gt;&lt;/authors&gt;&lt;/contributors&gt;&lt;titles&gt;&lt;title&gt;Accessing Help&lt;/title&gt;&lt;/titles&gt;&lt;dates&gt;&lt;year&gt;2020&lt;/year&gt;&lt;/dates&gt;&lt;urls&gt;&lt;related-urls&gt;&lt;url&gt;https://www.gamblinghelponline.org.au/helping-others/accessing-support&lt;/url&gt;&lt;/related-urls&gt;&lt;/urls&gt;&lt;/record&gt;&lt;/Cite&gt;&lt;/EndNote&gt;</w:instrText>
      </w:r>
      <w:r w:rsidRPr="00126BA8">
        <w:fldChar w:fldCharType="separate"/>
      </w:r>
      <w:r w:rsidR="007C4A13">
        <w:rPr>
          <w:noProof/>
        </w:rPr>
        <w:t>(Gambling Help Online, 2020a)</w:t>
      </w:r>
      <w:r w:rsidRPr="00126BA8">
        <w:fldChar w:fldCharType="end"/>
      </w:r>
    </w:p>
    <w:p w14:paraId="160B9386" w14:textId="77777777" w:rsidR="00B35A3D" w:rsidRPr="00126BA8" w:rsidRDefault="00B35A3D" w:rsidP="00966D1C">
      <w:pPr>
        <w:spacing w:line="240" w:lineRule="auto"/>
        <w:ind w:left="720"/>
        <w:jc w:val="both"/>
      </w:pPr>
    </w:p>
    <w:p w14:paraId="098D8499" w14:textId="7BBC708A" w:rsidR="00966D1C" w:rsidRDefault="00966D1C" w:rsidP="00966D1C">
      <w:pPr>
        <w:spacing w:line="240" w:lineRule="auto"/>
        <w:jc w:val="both"/>
      </w:pPr>
      <w:r w:rsidRPr="00126BA8">
        <w:t xml:space="preserve">Most services highlighted in some way that </w:t>
      </w:r>
      <w:r w:rsidR="00626949">
        <w:t>‘</w:t>
      </w:r>
      <w:r w:rsidRPr="00126BA8">
        <w:t>support</w:t>
      </w:r>
      <w:r w:rsidR="00626949">
        <w:t>’</w:t>
      </w:r>
      <w:r w:rsidRPr="00126BA8">
        <w:t xml:space="preserve"> was available for anyone affected by gambling. </w:t>
      </w:r>
      <w:bookmarkStart w:id="123" w:name="_Hlk57898774"/>
      <w:r w:rsidR="00626949">
        <w:t xml:space="preserve">We found the majority of </w:t>
      </w:r>
      <w:r w:rsidR="00626949" w:rsidRPr="00626949">
        <w:t xml:space="preserve">statements </w:t>
      </w:r>
      <w:r w:rsidR="00626949">
        <w:t xml:space="preserve">were ambiguous </w:t>
      </w:r>
      <w:r w:rsidR="00626949" w:rsidRPr="00626949">
        <w:t xml:space="preserve">about </w:t>
      </w:r>
      <w:r w:rsidR="00626949">
        <w:t>what ‘support’ might entail,</w:t>
      </w:r>
      <w:r w:rsidR="00626949" w:rsidRPr="00626949">
        <w:t xml:space="preserve"> few services were clear about service offerings. </w:t>
      </w:r>
      <w:r w:rsidR="00626949">
        <w:t xml:space="preserve">This is likely to be problematic to the extent that </w:t>
      </w:r>
      <w:r w:rsidR="00626949" w:rsidRPr="00626949">
        <w:t xml:space="preserve">clients might </w:t>
      </w:r>
      <w:r w:rsidR="00626949">
        <w:t>need</w:t>
      </w:r>
      <w:r w:rsidR="00626949" w:rsidRPr="00626949">
        <w:t xml:space="preserve"> to know the kind of services/support that could be provided to encourage them to make contact</w:t>
      </w:r>
      <w:r w:rsidR="00626949">
        <w:t>.</w:t>
      </w:r>
      <w:bookmarkEnd w:id="123"/>
      <w:r w:rsidR="00626949">
        <w:t xml:space="preserve"> F</w:t>
      </w:r>
      <w:r w:rsidRPr="00126BA8">
        <w:t xml:space="preserve">ew services were clear </w:t>
      </w:r>
      <w:r w:rsidR="00B35A3D">
        <w:t>which</w:t>
      </w:r>
      <w:r w:rsidRPr="00126BA8">
        <w:t xml:space="preserve"> </w:t>
      </w:r>
      <w:r w:rsidR="00B35A3D">
        <w:t xml:space="preserve">approaches or </w:t>
      </w:r>
      <w:r w:rsidRPr="00126BA8">
        <w:t>options of support were available to FAOs</w:t>
      </w:r>
      <w:r w:rsidR="00B35A3D">
        <w:t xml:space="preserve"> independently of gamblers</w:t>
      </w:r>
      <w:r w:rsidRPr="00126BA8">
        <w:t>. The homepage for Oasis is an example of (1) a clear inclusive orientation toward FAOs, and (2) detailing that support was available for FAOs in their own right:</w:t>
      </w:r>
    </w:p>
    <w:p w14:paraId="5EDAFA13" w14:textId="77777777" w:rsidR="00B35A3D" w:rsidRPr="00126BA8" w:rsidRDefault="00B35A3D" w:rsidP="00966D1C">
      <w:pPr>
        <w:spacing w:line="240" w:lineRule="auto"/>
        <w:jc w:val="both"/>
      </w:pPr>
    </w:p>
    <w:p w14:paraId="15249AC1" w14:textId="77777777" w:rsidR="00966D1C" w:rsidRPr="00126BA8" w:rsidRDefault="00966D1C" w:rsidP="00966D1C">
      <w:pPr>
        <w:jc w:val="both"/>
      </w:pPr>
      <w:r w:rsidRPr="00126BA8">
        <w:rPr>
          <w:noProof/>
          <w:lang w:eastAsia="en-NZ"/>
        </w:rPr>
        <w:drawing>
          <wp:inline distT="0" distB="0" distL="0" distR="0" wp14:anchorId="377B8C56" wp14:editId="19C3A380">
            <wp:extent cx="5731510" cy="1216025"/>
            <wp:effectExtent l="0" t="0" r="254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216025"/>
                    </a:xfrm>
                    <a:prstGeom prst="rect">
                      <a:avLst/>
                    </a:prstGeom>
                  </pic:spPr>
                </pic:pic>
              </a:graphicData>
            </a:graphic>
          </wp:inline>
        </w:drawing>
      </w:r>
    </w:p>
    <w:p w14:paraId="3851A84B" w14:textId="77777777" w:rsidR="00966D1C" w:rsidRPr="00126BA8" w:rsidRDefault="00966D1C" w:rsidP="00966D1C">
      <w:pPr>
        <w:jc w:val="both"/>
      </w:pPr>
      <w:r w:rsidRPr="00126BA8">
        <w:fldChar w:fldCharType="begin"/>
      </w:r>
      <w:r w:rsidRPr="00126BA8">
        <w:instrText xml:space="preserve"> ADDIN EN.CITE &lt;EndNote&gt;&lt;Cite&gt;&lt;Author&gt;The Salvation Army Oasis&lt;/Author&gt;&lt;Year&gt;2020&lt;/Year&gt;&lt;RecNum&gt;641&lt;/RecNum&gt;&lt;DisplayText&gt;(The Salvation Army Oasis, 2020b)&lt;/DisplayText&gt;&lt;record&gt;&lt;rec-number&gt;641&lt;/rec-number&gt;&lt;foreign-keys&gt;&lt;key app="EN" db-id="5v2daxed8wv0eoesd9av5dd8exsxdewpfpwd" timestamp="1600900170"&gt;641&lt;/key&gt;&lt;/foreign-keys&gt;&lt;ref-type name="Journal Article"&gt;17&lt;/ref-type&gt;&lt;contributors&gt;&lt;authors&gt;&lt;author&gt;The Salvation Army Oasis,&lt;/author&gt;&lt;/authors&gt;&lt;/contributors&gt;&lt;titles&gt;&lt;title&gt;Oasis Reducing Gambling Harm&lt;/title&gt;&lt;/titles&gt;&lt;dates&gt;&lt;year&gt;2020&lt;/year&gt;&lt;/dates&gt;&lt;urls&gt;&lt;related-urls&gt;&lt;url&gt;https://oasis.salvationarmy.org.nz/)&lt;/url&gt;&lt;/related-urls&gt;&lt;/urls&gt;&lt;/record&gt;&lt;/Cite&gt;&lt;/EndNote&gt;</w:instrText>
      </w:r>
      <w:r w:rsidRPr="00126BA8">
        <w:fldChar w:fldCharType="separate"/>
      </w:r>
      <w:r w:rsidRPr="00126BA8">
        <w:rPr>
          <w:noProof/>
        </w:rPr>
        <w:t>(The Salvation Army Oasis, 2020b)</w:t>
      </w:r>
      <w:r w:rsidRPr="00126BA8">
        <w:fldChar w:fldCharType="end"/>
      </w:r>
    </w:p>
    <w:p w14:paraId="738C07DC" w14:textId="77777777" w:rsidR="00B35A3D" w:rsidRDefault="00B35A3D" w:rsidP="00966D1C">
      <w:pPr>
        <w:spacing w:line="240" w:lineRule="auto"/>
        <w:jc w:val="both"/>
      </w:pPr>
    </w:p>
    <w:p w14:paraId="2FB21858" w14:textId="41F4710D" w:rsidR="00966D1C" w:rsidRPr="00134371" w:rsidRDefault="00966D1C" w:rsidP="00966D1C">
      <w:pPr>
        <w:spacing w:line="240" w:lineRule="auto"/>
        <w:jc w:val="both"/>
      </w:pPr>
      <w:r w:rsidRPr="00126BA8">
        <w:t xml:space="preserve">A service that appeared to be not generally aimed at FAOs was the </w:t>
      </w:r>
      <w:r w:rsidR="00A61631">
        <w:t xml:space="preserve">UK </w:t>
      </w:r>
      <w:r w:rsidRPr="00126BA8">
        <w:t>National Problem Gambling Clinic (</w:t>
      </w:r>
      <w:r w:rsidR="00A61631">
        <w:t>NPGC</w:t>
      </w:r>
      <w:r w:rsidRPr="00126BA8">
        <w:t xml:space="preserve">). The clinic is a </w:t>
      </w:r>
      <w:r w:rsidR="004B61AD">
        <w:t>National Health Service (</w:t>
      </w:r>
      <w:r w:rsidRPr="00126BA8">
        <w:t>NHS</w:t>
      </w:r>
      <w:r w:rsidR="004B61AD">
        <w:t>)</w:t>
      </w:r>
      <w:r w:rsidRPr="00126BA8">
        <w:t xml:space="preserve"> provider “commissioned to deliver care and support to problem gamblers who have difficulties that might be described as complex</w:t>
      </w:r>
      <w:r w:rsidRPr="00A61631">
        <w:t>”</w:t>
      </w:r>
      <w:r w:rsidR="00B35A3D" w:rsidRPr="00A61631">
        <w:t xml:space="preserve"> </w:t>
      </w:r>
      <w:r w:rsidR="00A61631" w:rsidRPr="00A61631">
        <w:fldChar w:fldCharType="begin"/>
      </w:r>
      <w:r w:rsidR="00A61631" w:rsidRPr="00A61631">
        <w:instrText xml:space="preserve"> ADDIN EN.CITE &lt;EndNote&gt;&lt;Cite&gt;&lt;Author&gt;Central and North West London NHS Foundation Trust&lt;/Author&gt;&lt;Year&gt;2020&lt;/Year&gt;&lt;RecNum&gt;487&lt;/RecNum&gt;&lt;DisplayText&gt;(Central and North West London NHS Foundation Trust, 2020b)&lt;/DisplayText&gt;&lt;record&gt;&lt;rec-number&gt;487&lt;/rec-number&gt;&lt;foreign-keys&gt;&lt;key app="EN" db-id="5v2daxed8wv0eoesd9av5dd8exsxdewpfpwd" timestamp="1602018411"&gt;487&lt;/key&gt;&lt;/foreign-keys&gt;&lt;ref-type name="Web Page"&gt;12&lt;/ref-type&gt;&lt;contributors&gt;&lt;authors&gt;&lt;author&gt;Central and North West London NHS Foundation Trust,&lt;/author&gt;&lt;/authors&gt;&lt;/contributors&gt;&lt;titles&gt;&lt;title&gt;National Problem Gambling Clinic: How to refer&lt;/title&gt;&lt;/titles&gt;&lt;dates&gt;&lt;year&gt;2020&lt;/year&gt;&lt;/dates&gt;&lt;urls&gt;&lt;related-urls&gt;&lt;url&gt;https://www.cnwl.nhs.uk/services/mental-health-services/addictions-and-substance-misuse/national-problem-gambling-clinic&lt;/url&gt;&lt;/related-urls&gt;&lt;/urls&gt;&lt;/record&gt;&lt;/Cite&gt;&lt;/EndNote&gt;</w:instrText>
      </w:r>
      <w:r w:rsidR="00A61631" w:rsidRPr="00A61631">
        <w:fldChar w:fldCharType="separate"/>
      </w:r>
      <w:r w:rsidR="00A61631" w:rsidRPr="00A61631">
        <w:t>(Central and North West London NHS Foundation Trust, 2020b)</w:t>
      </w:r>
      <w:r w:rsidR="00A61631" w:rsidRPr="00A61631">
        <w:fldChar w:fldCharType="end"/>
      </w:r>
      <w:r w:rsidRPr="00A61631">
        <w:t>. Potential clients who d</w:t>
      </w:r>
      <w:r w:rsidRPr="00126BA8">
        <w:t xml:space="preserve">o not meet the service criteria (e.g. lengthy period of problem gambling, with little or no abstinence, previous unsuccessful structured psychological support for problem gambling, mental health difficulties, homelessness or unstable </w:t>
      </w:r>
      <w:r w:rsidRPr="00A61631">
        <w:t>housing etc.) are referred to the National Gambling Helpline. However, the clinic does state that “The team assesses the needs of problem gamblers as well as those of their partners and family members”</w:t>
      </w:r>
      <w:r w:rsidRPr="00126BA8">
        <w:t xml:space="preserve"> </w:t>
      </w:r>
      <w:r w:rsidRPr="00126BA8">
        <w:fldChar w:fldCharType="begin"/>
      </w:r>
      <w:r w:rsidR="00A61631">
        <w:instrText xml:space="preserve"> ADDIN EN.CITE &lt;EndNote&gt;&lt;Cite&gt;&lt;Author&gt;Central and North West London NHS Foundation Trust&lt;/Author&gt;&lt;Year&gt;2020&lt;/Year&gt;&lt;RecNum&gt;642&lt;/RecNum&gt;&lt;DisplayText&gt;(Central and North West London NHS Foundation Trust, 2020a)&lt;/DisplayText&gt;&lt;record&gt;&lt;rec-number&gt;642&lt;/rec-number&gt;&lt;foreign-keys&gt;&lt;key app="EN" db-id="5v2daxed8wv0eoesd9av5dd8exsxdewpfpwd" timestamp="1600900341"&gt;642&lt;/key&gt;&lt;/foreign-keys&gt;&lt;ref-type name="Journal Article"&gt;17&lt;/ref-type&gt;&lt;contributors&gt;&lt;authors&gt;&lt;author&gt;Central and North West London NHS Foundation Trust,&lt;/author&gt;&lt;/authors&gt;&lt;/contributors&gt;&lt;titles&gt;&lt;title&gt;National Problem Gambling Clinic: About Us&lt;/title&gt;&lt;/titles&gt;&lt;dates&gt;&lt;year&gt;2020&lt;/year&gt;&lt;/dates&gt;&lt;urls&gt;&lt;related-urls&gt;&lt;url&gt;https://www.cnwl.nhs.uk/services/mental-health-services/addictions-and-substance-misuse/national-problem-gambling-clinic&lt;/url&gt;&lt;/related-urls&gt;&lt;/urls&gt;&lt;/record&gt;&lt;/Cite&gt;&lt;/EndNote&gt;</w:instrText>
      </w:r>
      <w:r w:rsidRPr="00126BA8">
        <w:fldChar w:fldCharType="separate"/>
      </w:r>
      <w:r w:rsidR="00A61631">
        <w:rPr>
          <w:noProof/>
        </w:rPr>
        <w:t>(Central and North West London NHS Foundation Trust, 2020a)</w:t>
      </w:r>
      <w:r w:rsidRPr="00126BA8">
        <w:fldChar w:fldCharType="end"/>
      </w:r>
      <w:r w:rsidRPr="00126BA8">
        <w:t>.</w:t>
      </w:r>
      <w:r w:rsidR="00B35A3D">
        <w:t xml:space="preserve"> Conversation with service managers at NPGC revealed that in fact three broad options for families were in operation</w:t>
      </w:r>
      <w:r w:rsidR="00134371">
        <w:t xml:space="preserve"> there</w:t>
      </w:r>
      <w:r w:rsidR="00B35A3D">
        <w:t xml:space="preserve">: the 5-step programme </w:t>
      </w:r>
      <w:r w:rsidR="00B35A3D" w:rsidRPr="00134371">
        <w:t xml:space="preserve">informed by the work of </w:t>
      </w:r>
      <w:r w:rsidR="00134371">
        <w:t xml:space="preserve">Jim </w:t>
      </w:r>
      <w:r w:rsidR="00B35A3D" w:rsidRPr="00134371">
        <w:t>Orford</w:t>
      </w:r>
      <w:r w:rsidR="00134371">
        <w:t xml:space="preserve"> </w:t>
      </w:r>
      <w:r w:rsidR="00134371">
        <w:fldChar w:fldCharType="begin"/>
      </w:r>
      <w:r w:rsidR="00134371">
        <w:instrText xml:space="preserve"> ADDIN EN.CITE &lt;EndNote&gt;&lt;Cite&gt;&lt;Author&gt;Orford&lt;/Author&gt;&lt;Year&gt;2017&lt;/Year&gt;&lt;RecNum&gt;208&lt;/RecNum&gt;&lt;Prefix&gt;see &lt;/Prefix&gt;&lt;DisplayText&gt;(see Orford et al., 2017)&lt;/DisplayText&gt;&lt;record&gt;&lt;rec-number&gt;208&lt;/rec-number&gt;&lt;foreign-keys&gt;&lt;key app="EN" db-id="25rszwft292ev3esrpvpde0cpxrd9ex0xspp" timestamp="1588284494"&gt;208&lt;/key&gt;&lt;/foreign-keys&gt;&lt;ref-type name="Journal Article"&gt;17&lt;/ref-type&gt;&lt;contributors&gt;&lt;authors&gt;&lt;author&gt;Orford, Jim&lt;/author&gt;&lt;author&gt;Cousins, Jenny&lt;/author&gt;&lt;author&gt;Smith, Neil&lt;/author&gt;&lt;author&gt;Bowden-Jones, Henrietta&lt;/author&gt;&lt;/authors&gt;&lt;/contributors&gt;&lt;titles&gt;&lt;title&gt;Stress, strain, coping and social support for affected family members attending the National Problem Gambling Clinic, London&lt;/title&gt;&lt;secondary-title&gt;International Gambling Studies&lt;/secondary-title&gt;&lt;/titles&gt;&lt;periodical&gt;&lt;full-title&gt;International Gambling Studies&lt;/full-title&gt;&lt;/periodical&gt;&lt;pages&gt;259-275&lt;/pages&gt;&lt;volume&gt;17&lt;/volume&gt;&lt;number&gt;2&lt;/number&gt;&lt;dates&gt;&lt;year&gt;2017&lt;/year&gt;&lt;/dates&gt;&lt;isbn&gt;1445-9795&lt;/isbn&gt;&lt;urls&gt;&lt;/urls&gt;&lt;/record&gt;&lt;/Cite&gt;&lt;/EndNote&gt;</w:instrText>
      </w:r>
      <w:r w:rsidR="00134371">
        <w:fldChar w:fldCharType="separate"/>
      </w:r>
      <w:r w:rsidR="00134371">
        <w:rPr>
          <w:noProof/>
        </w:rPr>
        <w:t>(see Orford et al., 2017)</w:t>
      </w:r>
      <w:r w:rsidR="00134371">
        <w:fldChar w:fldCharType="end"/>
      </w:r>
      <w:r w:rsidR="00B35A3D" w:rsidRPr="00134371">
        <w:t xml:space="preserve">, monthly group psychoeducation courses, and family therapy conducted from a family systems perspective. </w:t>
      </w:r>
    </w:p>
    <w:p w14:paraId="1D7B195D" w14:textId="77777777" w:rsidR="00B35A3D" w:rsidRPr="00134371" w:rsidRDefault="00B35A3D" w:rsidP="00966D1C">
      <w:pPr>
        <w:spacing w:line="240" w:lineRule="auto"/>
        <w:jc w:val="both"/>
      </w:pPr>
    </w:p>
    <w:p w14:paraId="5E5CAC4D" w14:textId="77777777" w:rsidR="00966D1C" w:rsidRPr="00134371" w:rsidRDefault="00966D1C" w:rsidP="00966D1C">
      <w:pPr>
        <w:pStyle w:val="Heading4"/>
        <w:spacing w:before="0"/>
        <w:rPr>
          <w:rFonts w:eastAsia="Times New Roman"/>
        </w:rPr>
      </w:pPr>
      <w:r w:rsidRPr="00134371">
        <w:rPr>
          <w:rFonts w:eastAsia="Times New Roman"/>
        </w:rPr>
        <w:t xml:space="preserve">Advertising can demonstrate service availability and orientation toward FAOs </w:t>
      </w:r>
    </w:p>
    <w:p w14:paraId="6B3ED4C7" w14:textId="63B14571" w:rsidR="00966D1C" w:rsidRDefault="00966D1C" w:rsidP="00966D1C">
      <w:pPr>
        <w:spacing w:line="240" w:lineRule="auto"/>
        <w:jc w:val="both"/>
        <w:rPr>
          <w:rFonts w:eastAsia="Times New Roman"/>
        </w:rPr>
      </w:pPr>
      <w:r w:rsidRPr="00126BA8">
        <w:rPr>
          <w:rFonts w:eastAsia="Times New Roman"/>
        </w:rPr>
        <w:t xml:space="preserve">Searches of services’ social media pages (Facebook, Twitter, Instagram) </w:t>
      </w:r>
      <w:r w:rsidR="00527741">
        <w:rPr>
          <w:rFonts w:eastAsia="Times New Roman"/>
        </w:rPr>
        <w:t>yielded</w:t>
      </w:r>
      <w:r w:rsidRPr="00126BA8">
        <w:rPr>
          <w:rFonts w:eastAsia="Times New Roman"/>
        </w:rPr>
        <w:t xml:space="preserve"> promotional material aimed at both individuals who gamble and those affected by someone else’s gambling (e.g. parents, partners/spouses, colleagues, teachers). The way in which a service advertised or promoted their services provided an indication of the orientation of the service toward FAOs. For example, although there was slight variation in the advertisement of the service number, most utilised a line similar to below: </w:t>
      </w:r>
    </w:p>
    <w:p w14:paraId="22C1FA09" w14:textId="77777777" w:rsidR="00527741" w:rsidRPr="00126BA8" w:rsidRDefault="00527741" w:rsidP="00966D1C">
      <w:pPr>
        <w:spacing w:line="240" w:lineRule="auto"/>
        <w:jc w:val="both"/>
        <w:rPr>
          <w:rFonts w:eastAsia="Times New Roman"/>
        </w:rPr>
      </w:pPr>
    </w:p>
    <w:p w14:paraId="6475D272" w14:textId="77777777" w:rsidR="00966D1C" w:rsidRPr="00126BA8" w:rsidRDefault="00966D1C" w:rsidP="00966D1C">
      <w:pPr>
        <w:spacing w:line="240" w:lineRule="auto"/>
        <w:ind w:firstLine="720"/>
        <w:jc w:val="both"/>
        <w:rPr>
          <w:rFonts w:eastAsia="Times New Roman"/>
        </w:rPr>
      </w:pPr>
      <w:r w:rsidRPr="00126BA8">
        <w:rPr>
          <w:noProof/>
          <w:lang w:eastAsia="en-NZ"/>
        </w:rPr>
        <w:lastRenderedPageBreak/>
        <w:drawing>
          <wp:inline distT="0" distB="0" distL="0" distR="0" wp14:anchorId="01641A54" wp14:editId="7852BE29">
            <wp:extent cx="4914900" cy="1292528"/>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2469" cy="1307668"/>
                    </a:xfrm>
                    <a:prstGeom prst="rect">
                      <a:avLst/>
                    </a:prstGeom>
                    <a:noFill/>
                    <a:ln>
                      <a:noFill/>
                    </a:ln>
                  </pic:spPr>
                </pic:pic>
              </a:graphicData>
            </a:graphic>
          </wp:inline>
        </w:drawing>
      </w:r>
    </w:p>
    <w:p w14:paraId="17175EDF" w14:textId="77777777" w:rsidR="00966D1C" w:rsidRPr="00126BA8" w:rsidRDefault="00966D1C" w:rsidP="00966D1C">
      <w:pPr>
        <w:spacing w:line="240" w:lineRule="auto"/>
        <w:ind w:firstLine="720"/>
        <w:rPr>
          <w:rFonts w:eastAsia="Times New Roman"/>
        </w:rPr>
      </w:pPr>
      <w:r w:rsidRPr="00126BA8">
        <w:rPr>
          <w:rFonts w:eastAsia="Times New Roman"/>
        </w:rPr>
        <w:fldChar w:fldCharType="begin"/>
      </w:r>
      <w:r w:rsidRPr="00126BA8">
        <w:rPr>
          <w:rFonts w:eastAsia="Times New Roman"/>
        </w:rPr>
        <w:instrText xml:space="preserve"> ADDIN EN.CITE &lt;EndNote&gt;&lt;Cite&gt;&lt;Author&gt;Centre for Addiction and Mental Health [@CAMH_GGTU]&lt;/Author&gt;&lt;Year&gt;2019&lt;/Year&gt;&lt;RecNum&gt;643&lt;/RecNum&gt;&lt;DisplayText&gt;(Centre for Addiction and Mental Health [@CAMH_GGTU], 2019)&lt;/DisplayText&gt;&lt;record&gt;&lt;rec-number&gt;643&lt;/rec-number&gt;&lt;foreign-keys&gt;&lt;key app="EN" db-id="5v2daxed8wv0eoesd9av5dd8exsxdewpfpwd" timestamp="1600900569"&gt;643&lt;/key&gt;&lt;/foreign-keys&gt;&lt;ref-type name="Journal Article"&gt;17&lt;/ref-type&gt;&lt;contributors&gt;&lt;authors&gt;&lt;author&gt;Centre for Addiction and Mental Health [@CAMH_GGTU],&lt;/author&gt;&lt;/authors&gt;&lt;/contributors&gt;&lt;titles&gt;&lt;title&gt;Gambling, Gaming &amp;amp; Technology Use&lt;/title&gt;&lt;/titles&gt;&lt;dates&gt;&lt;year&gt;2019&lt;/year&gt;&lt;/dates&gt;&lt;urls&gt;&lt;related-urls&gt;&lt;url&gt;https://twitter.com/camh_ggtu&lt;/url&gt;&lt;/related-urls&gt;&lt;/urls&gt;&lt;/record&gt;&lt;/Cite&gt;&lt;/EndNote&gt;</w:instrText>
      </w:r>
      <w:r w:rsidRPr="00126BA8">
        <w:rPr>
          <w:rFonts w:eastAsia="Times New Roman"/>
        </w:rPr>
        <w:fldChar w:fldCharType="separate"/>
      </w:r>
      <w:r w:rsidRPr="00126BA8">
        <w:rPr>
          <w:rFonts w:eastAsia="Times New Roman"/>
          <w:noProof/>
        </w:rPr>
        <w:t>(Centre for Addiction and Mental Health [@CAMH_GGTU], 2019)</w:t>
      </w:r>
      <w:r w:rsidRPr="00126BA8">
        <w:rPr>
          <w:rFonts w:eastAsia="Times New Roman"/>
        </w:rPr>
        <w:fldChar w:fldCharType="end"/>
      </w:r>
    </w:p>
    <w:p w14:paraId="0F0167FD" w14:textId="77777777" w:rsidR="00527741" w:rsidRDefault="00527741" w:rsidP="00966D1C">
      <w:pPr>
        <w:spacing w:line="240" w:lineRule="auto"/>
        <w:jc w:val="both"/>
        <w:rPr>
          <w:rFonts w:eastAsia="Times New Roman"/>
        </w:rPr>
      </w:pPr>
    </w:p>
    <w:p w14:paraId="769F435C" w14:textId="3A2B18E8" w:rsidR="00966D1C" w:rsidRDefault="00966D1C" w:rsidP="00966D1C">
      <w:pPr>
        <w:spacing w:line="240" w:lineRule="auto"/>
        <w:jc w:val="both"/>
        <w:rPr>
          <w:rFonts w:eastAsia="Times New Roman"/>
        </w:rPr>
      </w:pPr>
      <w:r w:rsidRPr="00126BA8">
        <w:rPr>
          <w:rFonts w:eastAsia="Times New Roman"/>
        </w:rPr>
        <w:t>In general, social media promotional material indicated that support was available for individuals concerned about their own gambling as well as someone else’s gambling. Alongside advertising for both the gambling individual and FAOs, there was promotional material which focussed solely on FAOs. This material could be placed in two categories: First, there were promotional materials which focussed on FAOs needs</w:t>
      </w:r>
      <w:r w:rsidR="00527741">
        <w:rPr>
          <w:rFonts w:eastAsia="Times New Roman"/>
        </w:rPr>
        <w:t xml:space="preserve">, </w:t>
      </w:r>
      <w:r w:rsidRPr="00126BA8">
        <w:rPr>
          <w:rFonts w:eastAsia="Times New Roman"/>
        </w:rPr>
        <w:t>aimed at informing FAOs that they could access support services in their own right. For example, the below Facebook post highlighted that FAOs can be negatively affected by gambling behaviour and also need support</w:t>
      </w:r>
      <w:r w:rsidR="00A61631">
        <w:rPr>
          <w:rFonts w:eastAsia="Times New Roman"/>
        </w:rPr>
        <w:t>:</w:t>
      </w:r>
    </w:p>
    <w:p w14:paraId="294AD724" w14:textId="77777777" w:rsidR="00527741" w:rsidRPr="00126BA8" w:rsidRDefault="00527741" w:rsidP="00966D1C">
      <w:pPr>
        <w:spacing w:line="240" w:lineRule="auto"/>
        <w:jc w:val="both"/>
        <w:rPr>
          <w:rFonts w:eastAsia="Times New Roman"/>
        </w:rPr>
      </w:pPr>
    </w:p>
    <w:p w14:paraId="56E82305" w14:textId="77777777" w:rsidR="00966D1C" w:rsidRPr="00126BA8" w:rsidRDefault="00966D1C" w:rsidP="00966D1C">
      <w:pPr>
        <w:spacing w:line="240" w:lineRule="auto"/>
        <w:ind w:left="1440" w:firstLine="720"/>
        <w:jc w:val="both"/>
        <w:rPr>
          <w:rFonts w:eastAsia="Times New Roman"/>
        </w:rPr>
      </w:pPr>
      <w:r w:rsidRPr="00126BA8">
        <w:rPr>
          <w:noProof/>
          <w:lang w:eastAsia="en-NZ"/>
        </w:rPr>
        <w:drawing>
          <wp:inline distT="0" distB="0" distL="0" distR="0" wp14:anchorId="19562D33" wp14:editId="1A10B7C0">
            <wp:extent cx="2943225" cy="3695187"/>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77305" cy="3737974"/>
                    </a:xfrm>
                    <a:prstGeom prst="rect">
                      <a:avLst/>
                    </a:prstGeom>
                  </pic:spPr>
                </pic:pic>
              </a:graphicData>
            </a:graphic>
          </wp:inline>
        </w:drawing>
      </w:r>
    </w:p>
    <w:p w14:paraId="229467BC" w14:textId="77777777" w:rsidR="00966D1C" w:rsidRPr="00126BA8" w:rsidRDefault="00966D1C" w:rsidP="00966D1C">
      <w:pPr>
        <w:spacing w:line="240" w:lineRule="auto"/>
        <w:ind w:left="1440" w:firstLine="720"/>
        <w:rPr>
          <w:rFonts w:eastAsia="Times New Roman"/>
        </w:rPr>
      </w:pPr>
      <w:r w:rsidRPr="00126BA8">
        <w:rPr>
          <w:rFonts w:eastAsia="Times New Roman"/>
        </w:rPr>
        <w:fldChar w:fldCharType="begin"/>
      </w:r>
      <w:r w:rsidRPr="00126BA8">
        <w:rPr>
          <w:rFonts w:eastAsia="Times New Roman"/>
        </w:rPr>
        <w:instrText xml:space="preserve"> ADDIN EN.CITE &lt;EndNote&gt;&lt;Cite&gt;&lt;Author&gt;Victorian Responsible Gambling Foundation&lt;/Author&gt;&lt;Year&gt;2019&lt;/Year&gt;&lt;RecNum&gt;644&lt;/RecNum&gt;&lt;DisplayText&gt;(Victorian Responsible Gambling Foundation, 2019a)&lt;/DisplayText&gt;&lt;record&gt;&lt;rec-number&gt;644&lt;/rec-number&gt;&lt;foreign-keys&gt;&lt;key app="EN" db-id="5v2daxed8wv0eoesd9av5dd8exsxdewpfpwd" timestamp="1600900779"&gt;644&lt;/key&gt;&lt;/foreign-keys&gt;&lt;ref-type name="Web Page"&gt;12&lt;/ref-type&gt;&lt;contributors&gt;&lt;authors&gt;&lt;author&gt;Victorian Responsible Gambling Foundation,&lt;/author&gt;&lt;/authors&gt;&lt;/contributors&gt;&lt;titles&gt;&lt;title&gt;It&amp;apos;s not just gamblers that need support [Facebook status update]&lt;/title&gt;&lt;/titles&gt;&lt;dates&gt;&lt;year&gt;2019&lt;/year&gt;&lt;/dates&gt;&lt;urls&gt;&lt;related-urls&gt;&lt;url&gt;https://www.facebook.com/responsiblegambling&lt;/url&gt;&lt;/related-urls&gt;&lt;/urls&gt;&lt;/record&gt;&lt;/Cite&gt;&lt;/EndNote&gt;</w:instrText>
      </w:r>
      <w:r w:rsidRPr="00126BA8">
        <w:rPr>
          <w:rFonts w:eastAsia="Times New Roman"/>
        </w:rPr>
        <w:fldChar w:fldCharType="separate"/>
      </w:r>
      <w:r w:rsidRPr="00126BA8">
        <w:rPr>
          <w:rFonts w:eastAsia="Times New Roman"/>
          <w:noProof/>
        </w:rPr>
        <w:t>(Victorian Responsible Gambling Foundation, 2019a)</w:t>
      </w:r>
      <w:r w:rsidRPr="00126BA8">
        <w:rPr>
          <w:rFonts w:eastAsia="Times New Roman"/>
        </w:rPr>
        <w:fldChar w:fldCharType="end"/>
      </w:r>
    </w:p>
    <w:p w14:paraId="12F87681" w14:textId="77777777" w:rsidR="00527741" w:rsidRDefault="00527741" w:rsidP="00966D1C">
      <w:pPr>
        <w:spacing w:line="240" w:lineRule="auto"/>
        <w:jc w:val="both"/>
        <w:rPr>
          <w:rFonts w:eastAsia="Times New Roman"/>
        </w:rPr>
      </w:pPr>
    </w:p>
    <w:p w14:paraId="325C66DF" w14:textId="339D1223" w:rsidR="00966D1C" w:rsidRPr="00126BA8" w:rsidRDefault="00966D1C" w:rsidP="00966D1C">
      <w:pPr>
        <w:spacing w:line="240" w:lineRule="auto"/>
        <w:jc w:val="both"/>
        <w:rPr>
          <w:rFonts w:eastAsia="Times New Roman"/>
        </w:rPr>
      </w:pPr>
      <w:r w:rsidRPr="00126BA8">
        <w:rPr>
          <w:rFonts w:eastAsia="Times New Roman"/>
        </w:rPr>
        <w:t xml:space="preserve">Second, it was </w:t>
      </w:r>
      <w:r w:rsidR="00527741">
        <w:rPr>
          <w:rFonts w:eastAsia="Times New Roman"/>
        </w:rPr>
        <w:t xml:space="preserve">most </w:t>
      </w:r>
      <w:r w:rsidRPr="00126BA8">
        <w:rPr>
          <w:rFonts w:eastAsia="Times New Roman"/>
        </w:rPr>
        <w:t xml:space="preserve">common for services to advertise that they were able to help the FAO to identify whether their loved one had a problem with gambling and how the FAO could assist and support the individual gambling. On social media pages, holiday seasons, going back to school or work, and other life changes were often used as opportunities to provide information to FAOs on how to identify and support someone who might have a gambling problem. For example, Gambling Help NSW provided a check-in quiz for individuals to identify if they or </w:t>
      </w:r>
      <w:r w:rsidRPr="00126BA8">
        <w:rPr>
          <w:rFonts w:eastAsia="Times New Roman"/>
        </w:rPr>
        <w:lastRenderedPageBreak/>
        <w:t xml:space="preserve">someone they care about has a gambling problem; this check-in quiz was regularly advertised through their Facebook page as a way for FAOs to </w:t>
      </w:r>
      <w:r w:rsidR="00527741">
        <w:rPr>
          <w:rFonts w:eastAsia="Times New Roman"/>
        </w:rPr>
        <w:t>‘</w:t>
      </w:r>
      <w:r w:rsidRPr="00126BA8">
        <w:rPr>
          <w:rFonts w:eastAsia="Times New Roman"/>
        </w:rPr>
        <w:t>identify a problem</w:t>
      </w:r>
      <w:r w:rsidR="00527741">
        <w:rPr>
          <w:rFonts w:eastAsia="Times New Roman"/>
        </w:rPr>
        <w:t>’:</w:t>
      </w:r>
    </w:p>
    <w:p w14:paraId="1DE34F1B" w14:textId="77777777" w:rsidR="00966D1C" w:rsidRPr="00126BA8" w:rsidRDefault="00966D1C" w:rsidP="00966D1C">
      <w:pPr>
        <w:spacing w:line="240" w:lineRule="auto"/>
        <w:ind w:left="1440" w:firstLine="720"/>
        <w:jc w:val="both"/>
        <w:rPr>
          <w:rFonts w:eastAsia="Times New Roman"/>
        </w:rPr>
      </w:pPr>
      <w:r w:rsidRPr="00126BA8">
        <w:rPr>
          <w:noProof/>
          <w:lang w:eastAsia="en-NZ"/>
        </w:rPr>
        <w:drawing>
          <wp:inline distT="0" distB="0" distL="0" distR="0" wp14:anchorId="0E65F966" wp14:editId="791D7DD1">
            <wp:extent cx="3471081" cy="3217653"/>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40516" cy="3282019"/>
                    </a:xfrm>
                    <a:prstGeom prst="rect">
                      <a:avLst/>
                    </a:prstGeom>
                  </pic:spPr>
                </pic:pic>
              </a:graphicData>
            </a:graphic>
          </wp:inline>
        </w:drawing>
      </w:r>
      <w:r w:rsidRPr="00126BA8">
        <w:rPr>
          <w:rFonts w:eastAsia="Times New Roman"/>
        </w:rPr>
        <w:t xml:space="preserve"> </w:t>
      </w:r>
    </w:p>
    <w:p w14:paraId="345E8D56" w14:textId="77777777" w:rsidR="00966D1C" w:rsidRPr="00126BA8" w:rsidRDefault="00966D1C" w:rsidP="00966D1C">
      <w:pPr>
        <w:spacing w:line="240" w:lineRule="auto"/>
        <w:ind w:left="1440" w:firstLine="720"/>
        <w:rPr>
          <w:rFonts w:eastAsia="Times New Roman"/>
        </w:rPr>
      </w:pPr>
      <w:r w:rsidRPr="00126BA8">
        <w:rPr>
          <w:rFonts w:eastAsia="Times New Roman"/>
        </w:rPr>
        <w:fldChar w:fldCharType="begin"/>
      </w:r>
      <w:r w:rsidRPr="00126BA8">
        <w:rPr>
          <w:rFonts w:eastAsia="Times New Roman"/>
        </w:rPr>
        <w:instrText xml:space="preserve"> ADDIN EN.CITE &lt;EndNote&gt;&lt;Cite&gt;&lt;Author&gt;Gambling Help NSW&lt;/Author&gt;&lt;Year&gt;2020&lt;/Year&gt;&lt;RecNum&gt;645&lt;/RecNum&gt;&lt;DisplayText&gt;(Gambling Help NSW, 2020)&lt;/DisplayText&gt;&lt;record&gt;&lt;rec-number&gt;645&lt;/rec-number&gt;&lt;foreign-keys&gt;&lt;key app="EN" db-id="5v2daxed8wv0eoesd9av5dd8exsxdewpfpwd" timestamp="1600900883"&gt;645&lt;/key&gt;&lt;/foreign-keys&gt;&lt;ref-type name="Journal Article"&gt;17&lt;/ref-type&gt;&lt;contributors&gt;&lt;authors&gt;&lt;author&gt;Gambling Help NSW,&lt;/author&gt;&lt;/authors&gt;&lt;/contributors&gt;&lt;titles&gt;&lt;title&gt;Have a mate you&amp;apos;re concerned might be spending to much time or money gambling? [Facebook status update]&lt;/title&gt;&lt;/titles&gt;&lt;dates&gt;&lt;year&gt;2020&lt;/year&gt;&lt;/dates&gt;&lt;urls&gt;&lt;related-urls&gt;&lt;url&gt;https://www.facebook.com/GamblingHelpNSW/&lt;/url&gt;&lt;/related-urls&gt;&lt;/urls&gt;&lt;/record&gt;&lt;/Cite&gt;&lt;/EndNote&gt;</w:instrText>
      </w:r>
      <w:r w:rsidRPr="00126BA8">
        <w:rPr>
          <w:rFonts w:eastAsia="Times New Roman"/>
        </w:rPr>
        <w:fldChar w:fldCharType="separate"/>
      </w:r>
      <w:r w:rsidRPr="00126BA8">
        <w:rPr>
          <w:rFonts w:eastAsia="Times New Roman"/>
          <w:noProof/>
        </w:rPr>
        <w:t>(Gambling Help NSW, 2020)</w:t>
      </w:r>
      <w:r w:rsidRPr="00126BA8">
        <w:rPr>
          <w:rFonts w:eastAsia="Times New Roman"/>
        </w:rPr>
        <w:fldChar w:fldCharType="end"/>
      </w:r>
    </w:p>
    <w:p w14:paraId="5107B199" w14:textId="77777777" w:rsidR="00527741" w:rsidRDefault="00527741" w:rsidP="00527741"/>
    <w:p w14:paraId="2A60DD82" w14:textId="1EFFA91E" w:rsidR="00966D1C" w:rsidRPr="00126BA8" w:rsidRDefault="00966D1C" w:rsidP="00966D1C">
      <w:pPr>
        <w:pStyle w:val="Heading3"/>
        <w:spacing w:before="0"/>
        <w:rPr>
          <w:i w:val="0"/>
        </w:rPr>
      </w:pPr>
      <w:bookmarkStart w:id="124" w:name="_Toc58400782"/>
      <w:r w:rsidRPr="00126BA8">
        <w:rPr>
          <w:i w:val="0"/>
        </w:rPr>
        <w:t>What kinds of support do FAOs appear to be offered by gambling services?</w:t>
      </w:r>
      <w:bookmarkEnd w:id="124"/>
      <w:r w:rsidRPr="00126BA8">
        <w:rPr>
          <w:i w:val="0"/>
        </w:rPr>
        <w:t xml:space="preserve"> </w:t>
      </w:r>
    </w:p>
    <w:p w14:paraId="611E7FB8" w14:textId="2896F38D" w:rsidR="00966D1C" w:rsidRPr="00126BA8" w:rsidRDefault="00966D1C" w:rsidP="00966D1C">
      <w:pPr>
        <w:spacing w:line="240" w:lineRule="auto"/>
        <w:jc w:val="both"/>
        <w:rPr>
          <w:bCs/>
        </w:rPr>
      </w:pPr>
      <w:r w:rsidRPr="00126BA8">
        <w:rPr>
          <w:bCs/>
        </w:rPr>
        <w:t xml:space="preserve">Service documentation and discussions with service managers suggested that a range of support and intervention types were available to FAOs, including psychoeducation and general education, therapy and counselling, support groups, and different forms of lived experience representation (consumer advisors, peer support, articles/blogs </w:t>
      </w:r>
      <w:r w:rsidR="00527741">
        <w:rPr>
          <w:bCs/>
        </w:rPr>
        <w:t>exploring the experiences of</w:t>
      </w:r>
      <w:r w:rsidRPr="00126BA8">
        <w:rPr>
          <w:bCs/>
        </w:rPr>
        <w:t xml:space="preserve"> FAOs). Additionally, support/information was available for specific groups such as family and friends, parents, teachers, and colleagues and employers. </w:t>
      </w:r>
    </w:p>
    <w:p w14:paraId="06B4AEDF" w14:textId="77777777" w:rsidR="00527741" w:rsidRDefault="00527741" w:rsidP="00966D1C">
      <w:pPr>
        <w:spacing w:line="240" w:lineRule="auto"/>
        <w:jc w:val="both"/>
        <w:rPr>
          <w:bCs/>
        </w:rPr>
      </w:pPr>
    </w:p>
    <w:p w14:paraId="6A169839" w14:textId="7E0B06AC" w:rsidR="00966D1C" w:rsidRPr="00126BA8" w:rsidRDefault="00966D1C" w:rsidP="00966D1C">
      <w:pPr>
        <w:spacing w:line="240" w:lineRule="auto"/>
        <w:jc w:val="both"/>
        <w:rPr>
          <w:bCs/>
        </w:rPr>
      </w:pPr>
      <w:bookmarkStart w:id="125" w:name="_Hlk54182877"/>
      <w:r w:rsidRPr="00126BA8">
        <w:rPr>
          <w:bCs/>
        </w:rPr>
        <w:t xml:space="preserve">The interventions and support available could be differentiated by type and focus. For example, the types of support included family therapy, support groups, counselling/intervention approaches (5-Step, Motivational Interviewing, Single Session Family Consultation etc), and public health and health promotion. The focus of interventions included stress reduction and mindfulness, shame reduction and healing, relationship dynamics and boundaries, enabling behaviour, communication tools, personal safety, and practical steps and financial skills. </w:t>
      </w:r>
      <w:r w:rsidR="00614D9D" w:rsidRPr="00614D9D">
        <w:rPr>
          <w:bCs/>
        </w:rPr>
        <w:t>There were few geographical differences in the scope of what was offered. However, the NZ and Australian services appeared to include more public health/health promotion activities than the UK, U.S, and Canadian services (i.e. there was a greater clinical orientation in services outside of Australasia).</w:t>
      </w:r>
    </w:p>
    <w:bookmarkEnd w:id="125"/>
    <w:p w14:paraId="1C36ACC6" w14:textId="77777777" w:rsidR="00527741" w:rsidRDefault="00527741" w:rsidP="00966D1C">
      <w:pPr>
        <w:spacing w:line="240" w:lineRule="auto"/>
        <w:jc w:val="both"/>
        <w:rPr>
          <w:lang w:eastAsia="en-NZ"/>
        </w:rPr>
      </w:pPr>
    </w:p>
    <w:p w14:paraId="7FDAAF80" w14:textId="32617BBA" w:rsidR="00966D1C" w:rsidRDefault="00966D1C" w:rsidP="00966D1C">
      <w:pPr>
        <w:spacing w:line="240" w:lineRule="auto"/>
        <w:jc w:val="both"/>
        <w:rPr>
          <w:lang w:eastAsia="en-NZ"/>
        </w:rPr>
      </w:pPr>
      <w:r w:rsidRPr="00126BA8">
        <w:rPr>
          <w:lang w:eastAsia="en-NZ"/>
        </w:rPr>
        <w:t xml:space="preserve">As an indication of the orientation of services for FAOs, the material on services’ websites and social media was split between providing information on (1) FAO and gambler orientated information: how to support the gambling individual/enable access of services, enhancing FAO understanding of gambling and the gambler, and how to start a conversation about gambling with their loved one; and (2) FAO orientated information: how FAOs can support themselves (self-help) or access help in their own right. Commonly, on service websites there are tabs </w:t>
      </w:r>
      <w:r w:rsidRPr="00126BA8">
        <w:rPr>
          <w:lang w:eastAsia="en-NZ"/>
        </w:rPr>
        <w:lastRenderedPageBreak/>
        <w:t>labelled “Get Help”, “Reducing Harm”, “Treatment and Support”, or “Helping Others”</w:t>
      </w:r>
      <w:r w:rsidR="00DB5062">
        <w:rPr>
          <w:lang w:eastAsia="en-NZ"/>
        </w:rPr>
        <w:t xml:space="preserve">. “Helping Others” commonly links </w:t>
      </w:r>
      <w:r w:rsidRPr="00126BA8">
        <w:rPr>
          <w:lang w:eastAsia="en-NZ"/>
        </w:rPr>
        <w:t xml:space="preserve">to more information about the available services for FAOs.  </w:t>
      </w:r>
    </w:p>
    <w:p w14:paraId="4F8E4B29" w14:textId="6DEA662C" w:rsidR="00527741" w:rsidRDefault="007C4A13" w:rsidP="00966D1C">
      <w:pPr>
        <w:spacing w:line="240" w:lineRule="auto"/>
        <w:jc w:val="both"/>
        <w:rPr>
          <w:lang w:eastAsia="en-NZ"/>
        </w:rPr>
      </w:pPr>
      <w:r w:rsidRPr="007C4A13">
        <w:rPr>
          <w:lang w:eastAsia="en-NZ"/>
        </w:rPr>
        <w:t xml:space="preserve">For example, below, selecting the tab “Helping others” on the </w:t>
      </w:r>
      <w:r>
        <w:rPr>
          <w:lang w:eastAsia="en-NZ"/>
        </w:rPr>
        <w:t xml:space="preserve">Australian </w:t>
      </w:r>
      <w:r w:rsidRPr="007C4A13">
        <w:rPr>
          <w:lang w:eastAsia="en-NZ"/>
        </w:rPr>
        <w:t>Gambling Help Online website led to further sections of information on “Signs of a problem”, “Understanding the gambler”, “Starting the conversation”, “Helping yourself”, “Accessing support”, and the “Impact on others”:</w:t>
      </w:r>
    </w:p>
    <w:p w14:paraId="545E8D62" w14:textId="4A62DBEA" w:rsidR="007C4A13" w:rsidRDefault="007C4A13" w:rsidP="00966D1C">
      <w:pPr>
        <w:spacing w:line="240" w:lineRule="auto"/>
        <w:jc w:val="both"/>
        <w:rPr>
          <w:lang w:eastAsia="en-NZ"/>
        </w:rPr>
      </w:pPr>
    </w:p>
    <w:p w14:paraId="4D9B8EC0" w14:textId="2CD10C0C" w:rsidR="007C4A13" w:rsidRDefault="007C4A13" w:rsidP="00966D1C">
      <w:pPr>
        <w:spacing w:line="240" w:lineRule="auto"/>
        <w:jc w:val="both"/>
        <w:rPr>
          <w:lang w:eastAsia="en-NZ"/>
        </w:rPr>
      </w:pPr>
      <w:r>
        <w:rPr>
          <w:noProof/>
          <w:lang w:eastAsia="en-NZ"/>
        </w:rPr>
        <w:drawing>
          <wp:inline distT="0" distB="0" distL="0" distR="0" wp14:anchorId="18D7ADA5" wp14:editId="1097DB9F">
            <wp:extent cx="5730875" cy="902335"/>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902335"/>
                    </a:xfrm>
                    <a:prstGeom prst="rect">
                      <a:avLst/>
                    </a:prstGeom>
                    <a:noFill/>
                  </pic:spPr>
                </pic:pic>
              </a:graphicData>
            </a:graphic>
          </wp:inline>
        </w:drawing>
      </w:r>
    </w:p>
    <w:p w14:paraId="6280D4BF" w14:textId="47B79CC2" w:rsidR="007C4A13" w:rsidRDefault="007C4A13" w:rsidP="00966D1C">
      <w:pPr>
        <w:spacing w:line="240" w:lineRule="auto"/>
        <w:jc w:val="both"/>
        <w:rPr>
          <w:lang w:eastAsia="en-NZ"/>
        </w:rPr>
      </w:pPr>
      <w:r w:rsidRPr="007C4A13">
        <w:rPr>
          <w:lang w:eastAsia="en-NZ"/>
        </w:rPr>
        <w:fldChar w:fldCharType="begin"/>
      </w:r>
      <w:r>
        <w:rPr>
          <w:lang w:eastAsia="en-NZ"/>
        </w:rPr>
        <w:instrText xml:space="preserve"> ADDIN EN.CITE &lt;EndNote&gt;&lt;Cite&gt;&lt;Author&gt;Gambling Help Online&lt;/Author&gt;&lt;Year&gt;2020&lt;/Year&gt;&lt;RecNum&gt;489&lt;/RecNum&gt;&lt;DisplayText&gt;(Gambling Help Online, 2020b)&lt;/DisplayText&gt;&lt;record&gt;&lt;rec-number&gt;489&lt;/rec-number&gt;&lt;foreign-keys&gt;&lt;key app="EN" db-id="5v2daxed8wv0eoesd9av5dd8exsxdewpfpwd" timestamp="1602019038"&gt;489&lt;/key&gt;&lt;/foreign-keys&gt;&lt;ref-type name="Web Page"&gt;12&lt;/ref-type&gt;&lt;contributors&gt;&lt;authors&gt;&lt;author&gt;Gambling Help Online,&lt;/author&gt;&lt;/authors&gt;&lt;/contributors&gt;&lt;titles&gt;&lt;title&gt;Gambling Help Online: Support for anyone affected by gambling&lt;/title&gt;&lt;/titles&gt;&lt;dates&gt;&lt;year&gt;2020&lt;/year&gt;&lt;/dates&gt;&lt;urls&gt;&lt;related-urls&gt;&lt;url&gt;https://www.gamblinghelponline.org.au/&lt;/url&gt;&lt;/related-urls&gt;&lt;/urls&gt;&lt;/record&gt;&lt;/Cite&gt;&lt;/EndNote&gt;</w:instrText>
      </w:r>
      <w:r w:rsidRPr="007C4A13">
        <w:rPr>
          <w:lang w:eastAsia="en-NZ"/>
        </w:rPr>
        <w:fldChar w:fldCharType="separate"/>
      </w:r>
      <w:r>
        <w:rPr>
          <w:noProof/>
          <w:lang w:eastAsia="en-NZ"/>
        </w:rPr>
        <w:t>(Gambling Help Online, 2020b)</w:t>
      </w:r>
      <w:r w:rsidRPr="007C4A13">
        <w:rPr>
          <w:lang w:eastAsia="en-NZ"/>
        </w:rPr>
        <w:fldChar w:fldCharType="end"/>
      </w:r>
    </w:p>
    <w:p w14:paraId="4333CFCF" w14:textId="77777777" w:rsidR="007C4A13" w:rsidRPr="00126BA8" w:rsidRDefault="007C4A13" w:rsidP="00966D1C">
      <w:pPr>
        <w:spacing w:line="240" w:lineRule="auto"/>
        <w:jc w:val="both"/>
        <w:rPr>
          <w:lang w:eastAsia="en-NZ"/>
        </w:rPr>
      </w:pPr>
    </w:p>
    <w:p w14:paraId="038BB7D1" w14:textId="77777777" w:rsidR="00966D1C" w:rsidRPr="00126BA8" w:rsidRDefault="00966D1C" w:rsidP="00966D1C">
      <w:pPr>
        <w:pStyle w:val="Heading4"/>
        <w:spacing w:before="0"/>
        <w:jc w:val="both"/>
        <w:rPr>
          <w:rFonts w:eastAsia="Times New Roman"/>
        </w:rPr>
      </w:pPr>
      <w:r w:rsidRPr="00126BA8">
        <w:rPr>
          <w:rFonts w:eastAsia="Times New Roman"/>
        </w:rPr>
        <w:t>There is a wealth of information provided for FAOs on how to support the gambling individual and improve the wellbeing and functioning of the family/whānau</w:t>
      </w:r>
    </w:p>
    <w:p w14:paraId="22177936" w14:textId="669B68FE" w:rsidR="00966D1C" w:rsidRPr="00126BA8" w:rsidRDefault="00966D1C" w:rsidP="00966D1C">
      <w:pPr>
        <w:spacing w:line="240" w:lineRule="auto"/>
        <w:jc w:val="both"/>
        <w:rPr>
          <w:bCs/>
        </w:rPr>
      </w:pPr>
      <w:r w:rsidRPr="00126BA8">
        <w:rPr>
          <w:bCs/>
        </w:rPr>
        <w:t xml:space="preserve">Publicly available information for FAOs provided a significant amount of information, advice and tips, and </w:t>
      </w:r>
      <w:r w:rsidR="002839AA">
        <w:rPr>
          <w:bCs/>
        </w:rPr>
        <w:t xml:space="preserve">some </w:t>
      </w:r>
      <w:r w:rsidRPr="00126BA8">
        <w:rPr>
          <w:bCs/>
        </w:rPr>
        <w:t xml:space="preserve">lived experiences of FAOs supporting loved ones through problem gambling. This information generally covered three key areas: (1) how to identify if someone has a problem with gambling, (2) how to bring up and discuss gambling with the individual or family/whānau, and (3) how to support the individual or encourage treatment access. The information was presented in infographics, online information sheets, social media posts, lived experience articles, and blog posts. </w:t>
      </w:r>
    </w:p>
    <w:p w14:paraId="1EF7086C" w14:textId="77777777" w:rsidR="002839AA" w:rsidRDefault="002839AA" w:rsidP="00966D1C">
      <w:pPr>
        <w:spacing w:line="240" w:lineRule="auto"/>
        <w:jc w:val="both"/>
        <w:rPr>
          <w:bCs/>
        </w:rPr>
      </w:pPr>
    </w:p>
    <w:p w14:paraId="7991CD80" w14:textId="3C899923" w:rsidR="00966D1C" w:rsidRDefault="00966D1C" w:rsidP="00966D1C">
      <w:pPr>
        <w:spacing w:line="240" w:lineRule="auto"/>
        <w:jc w:val="both"/>
        <w:rPr>
          <w:bCs/>
        </w:rPr>
      </w:pPr>
      <w:r w:rsidRPr="00126BA8">
        <w:rPr>
          <w:bCs/>
        </w:rPr>
        <w:t xml:space="preserve">Identifying if someone has a problem with gambling was a key part of information specific to FAOs. For example, a number of services included a questionnaire or checklist on their website: PGF Services used </w:t>
      </w:r>
      <w:r w:rsidRPr="007C4A13">
        <w:rPr>
          <w:bCs/>
        </w:rPr>
        <w:t>20 questions from GAM-ANON</w:t>
      </w:r>
      <w:r w:rsidRPr="00126BA8">
        <w:rPr>
          <w:bCs/>
        </w:rPr>
        <w:t xml:space="preserve"> to “help you determine if someone you live with is experiencing harm from gambling” </w:t>
      </w:r>
      <w:r w:rsidR="007C4A13" w:rsidRPr="007C4A13">
        <w:rPr>
          <w:bCs/>
        </w:rPr>
        <w:fldChar w:fldCharType="begin"/>
      </w:r>
      <w:r w:rsidR="007C4A13" w:rsidRPr="007C4A13">
        <w:rPr>
          <w:bCs/>
        </w:rPr>
        <w:instrText xml:space="preserve"> ADDIN EN.CITE &lt;EndNote&gt;&lt;Cite&gt;&lt;Author&gt;PGF Services&lt;/Author&gt;&lt;Year&gt;n.d.&lt;/Year&gt;&lt;RecNum&gt;490&lt;/RecNum&gt;&lt;DisplayText&gt;(PGF Services, n.d.-a)&lt;/DisplayText&gt;&lt;record&gt;&lt;rec-number&gt;490&lt;/rec-number&gt;&lt;foreign-keys&gt;&lt;key app="EN" db-id="5v2daxed8wv0eoesd9av5dd8exsxdewpfpwd" timestamp="1602032230"&gt;490&lt;/key&gt;&lt;/foreign-keys&gt;&lt;ref-type name="Web Page"&gt;12&lt;/ref-type&gt;&lt;contributors&gt;&lt;authors&gt;&lt;author&gt;PGF Services,&lt;/author&gt;&lt;/authors&gt;&lt;/contributors&gt;&lt;titles&gt;&lt;title&gt;20 questions from Gam-Anon&lt;/title&gt;&lt;/titles&gt;&lt;dates&gt;&lt;year&gt;n.d.&lt;/year&gt;&lt;/dates&gt;&lt;urls&gt;&lt;related-urls&gt;&lt;url&gt;https://www.pgf.nz/test-someone-elses-gambling.html&lt;/url&gt;&lt;/related-urls&gt;&lt;/urls&gt;&lt;/record&gt;&lt;/Cite&gt;&lt;/EndNote&gt;</w:instrText>
      </w:r>
      <w:r w:rsidR="007C4A13" w:rsidRPr="007C4A13">
        <w:rPr>
          <w:bCs/>
        </w:rPr>
        <w:fldChar w:fldCharType="separate"/>
      </w:r>
      <w:r w:rsidR="007C4A13" w:rsidRPr="007C4A13">
        <w:rPr>
          <w:bCs/>
        </w:rPr>
        <w:t>(PGF Services, n.d.-a)</w:t>
      </w:r>
      <w:r w:rsidR="007C4A13" w:rsidRPr="007C4A13">
        <w:rPr>
          <w:bCs/>
        </w:rPr>
        <w:fldChar w:fldCharType="end"/>
      </w:r>
      <w:r w:rsidR="007C4A13">
        <w:rPr>
          <w:bCs/>
        </w:rPr>
        <w:t xml:space="preserve">. </w:t>
      </w:r>
      <w:r w:rsidRPr="00126BA8">
        <w:rPr>
          <w:bCs/>
        </w:rPr>
        <w:t xml:space="preserve">Responsible gambling NSW regularly advertised their </w:t>
      </w:r>
      <w:r w:rsidRPr="007C4A13">
        <w:rPr>
          <w:bCs/>
        </w:rPr>
        <w:t>6-item “check-in tool”</w:t>
      </w:r>
      <w:r w:rsidR="007C4A13">
        <w:rPr>
          <w:bCs/>
        </w:rPr>
        <w:t xml:space="preserve"> </w:t>
      </w:r>
      <w:r w:rsidR="007C4A13" w:rsidRPr="007C4A13">
        <w:rPr>
          <w:bCs/>
        </w:rPr>
        <w:fldChar w:fldCharType="begin"/>
      </w:r>
      <w:r w:rsidR="007C4A13" w:rsidRPr="007C4A13">
        <w:rPr>
          <w:bCs/>
        </w:rPr>
        <w:instrText xml:space="preserve"> ADDIN EN.CITE &lt;EndNote&gt;&lt;Cite&gt;&lt;Author&gt;Responsible Gambling NSW&lt;/Author&gt;&lt;Year&gt;n.d.&lt;/Year&gt;&lt;RecNum&gt;491&lt;/RecNum&gt;&lt;DisplayText&gt;(Responsible Gambling NSW, n.d.)&lt;/DisplayText&gt;&lt;record&gt;&lt;rec-number&gt;491&lt;/rec-number&gt;&lt;foreign-keys&gt;&lt;key app="EN" db-id="5v2daxed8wv0eoesd9av5dd8exsxdewpfpwd" timestamp="1602032379"&gt;491&lt;/key&gt;&lt;/foreign-keys&gt;&lt;ref-type name="Web Page"&gt;12&lt;/ref-type&gt;&lt;contributors&gt;&lt;authors&gt;&lt;author&gt;Responsible Gambling NSW,&lt;/author&gt;&lt;/authors&gt;&lt;/contributors&gt;&lt;titles&gt;&lt;title&gt;Gambling check-in tool&lt;/title&gt;&lt;/titles&gt;&lt;dates&gt;&lt;year&gt;n.d.&lt;/year&gt;&lt;/dates&gt;&lt;urls&gt;&lt;related-urls&gt;&lt;url&gt;https://www.responsiblegambling.nsw.gov.au/check-in/quiz&lt;/url&gt;&lt;/related-urls&gt;&lt;/urls&gt;&lt;/record&gt;&lt;/Cite&gt;&lt;/EndNote&gt;</w:instrText>
      </w:r>
      <w:r w:rsidR="007C4A13" w:rsidRPr="007C4A13">
        <w:rPr>
          <w:bCs/>
        </w:rPr>
        <w:fldChar w:fldCharType="separate"/>
      </w:r>
      <w:r w:rsidR="007C4A13" w:rsidRPr="007C4A13">
        <w:rPr>
          <w:bCs/>
        </w:rPr>
        <w:t>(Responsible Gambling NSW, n.d.)</w:t>
      </w:r>
      <w:r w:rsidR="007C4A13" w:rsidRPr="007C4A13">
        <w:rPr>
          <w:bCs/>
        </w:rPr>
        <w:fldChar w:fldCharType="end"/>
      </w:r>
      <w:r w:rsidR="0093485C">
        <w:rPr>
          <w:bCs/>
        </w:rPr>
        <w:t xml:space="preserve"> </w:t>
      </w:r>
      <w:r w:rsidRPr="00126BA8">
        <w:rPr>
          <w:bCs/>
        </w:rPr>
        <w:t xml:space="preserve">which included questions on gambling location, the device(s) used to gamble, social or isolated gambling, and how they felt about their loved one’s time and money spent on gambling. Following the questionnaire, tips for big and small changes the FAO could suggest were given – all tips were suggestions to give </w:t>
      </w:r>
      <w:r w:rsidR="0093485C">
        <w:rPr>
          <w:bCs/>
        </w:rPr>
        <w:t xml:space="preserve">to </w:t>
      </w:r>
      <w:r w:rsidRPr="00126BA8">
        <w:rPr>
          <w:bCs/>
        </w:rPr>
        <w:t>the individual gambling and there did not appear to be any suggestion</w:t>
      </w:r>
      <w:r w:rsidR="0093485C">
        <w:rPr>
          <w:bCs/>
        </w:rPr>
        <w:t>s</w:t>
      </w:r>
      <w:r w:rsidRPr="00126BA8">
        <w:rPr>
          <w:bCs/>
        </w:rPr>
        <w:t xml:space="preserve"> for the FAO to seek additional help/support. Suggestions for FAOs to give the individual gambling included: </w:t>
      </w:r>
    </w:p>
    <w:p w14:paraId="082B3FDD" w14:textId="77777777" w:rsidR="0093485C" w:rsidRPr="00126BA8" w:rsidRDefault="0093485C" w:rsidP="00966D1C">
      <w:pPr>
        <w:spacing w:line="240" w:lineRule="auto"/>
        <w:jc w:val="both"/>
        <w:rPr>
          <w:bCs/>
        </w:rPr>
      </w:pPr>
    </w:p>
    <w:p w14:paraId="6985B33D" w14:textId="77777777" w:rsidR="00966D1C" w:rsidRPr="00126BA8" w:rsidRDefault="00966D1C" w:rsidP="00966D1C">
      <w:pPr>
        <w:ind w:left="1440"/>
        <w:jc w:val="both"/>
        <w:rPr>
          <w:bCs/>
          <w:i/>
        </w:rPr>
      </w:pPr>
      <w:r w:rsidRPr="00126BA8">
        <w:rPr>
          <w:bCs/>
          <w:i/>
        </w:rPr>
        <w:t>• Do something different with the friends you normally gamble with</w:t>
      </w:r>
    </w:p>
    <w:p w14:paraId="493A2239" w14:textId="77777777" w:rsidR="00966D1C" w:rsidRPr="00126BA8" w:rsidRDefault="00966D1C" w:rsidP="00966D1C">
      <w:pPr>
        <w:ind w:left="1440"/>
        <w:jc w:val="both"/>
        <w:rPr>
          <w:bCs/>
          <w:i/>
        </w:rPr>
      </w:pPr>
      <w:r w:rsidRPr="00126BA8">
        <w:rPr>
          <w:bCs/>
          <w:i/>
        </w:rPr>
        <w:t>• Set an alarm on your phone to limit the time you spend gambling</w:t>
      </w:r>
    </w:p>
    <w:p w14:paraId="563FB03C" w14:textId="77777777" w:rsidR="00966D1C" w:rsidRPr="00126BA8" w:rsidRDefault="00966D1C" w:rsidP="00966D1C">
      <w:pPr>
        <w:ind w:left="1440"/>
        <w:jc w:val="both"/>
        <w:rPr>
          <w:bCs/>
          <w:i/>
        </w:rPr>
      </w:pPr>
      <w:r w:rsidRPr="00126BA8">
        <w:rPr>
          <w:bCs/>
          <w:i/>
        </w:rPr>
        <w:t>• Avoid borrowing money or getting money on credit to gamble with</w:t>
      </w:r>
    </w:p>
    <w:p w14:paraId="594F3478" w14:textId="77777777" w:rsidR="007C4A13" w:rsidRPr="007C4A13" w:rsidRDefault="00966D1C" w:rsidP="007C4A13">
      <w:pPr>
        <w:ind w:left="1440"/>
        <w:jc w:val="both"/>
        <w:rPr>
          <w:bCs/>
          <w:i/>
        </w:rPr>
      </w:pPr>
      <w:r w:rsidRPr="00126BA8">
        <w:rPr>
          <w:bCs/>
          <w:i/>
        </w:rPr>
        <w:t>• Try keeping a record of how much time you spend gambling each week</w:t>
      </w:r>
      <w:r w:rsidR="007C4A13">
        <w:rPr>
          <w:bCs/>
          <w:i/>
        </w:rPr>
        <w:t xml:space="preserve"> </w:t>
      </w:r>
      <w:r w:rsidR="007C4A13" w:rsidRPr="007C4A13">
        <w:rPr>
          <w:bCs/>
          <w:i/>
        </w:rPr>
        <w:fldChar w:fldCharType="begin"/>
      </w:r>
      <w:r w:rsidR="007C4A13" w:rsidRPr="007C4A13">
        <w:rPr>
          <w:bCs/>
          <w:i/>
        </w:rPr>
        <w:instrText xml:space="preserve"> ADDIN EN.CITE &lt;EndNote&gt;&lt;Cite&gt;&lt;Author&gt;Responsible Gambling NSW&lt;/Author&gt;&lt;Year&gt;n.d.&lt;/Year&gt;&lt;RecNum&gt;491&lt;/RecNum&gt;&lt;DisplayText&gt;(Responsible Gambling NSW, n.d.)&lt;/DisplayText&gt;&lt;record&gt;&lt;rec-number&gt;491&lt;/rec-number&gt;&lt;foreign-keys&gt;&lt;key app="EN" db-id="5v2daxed8wv0eoesd9av5dd8exsxdewpfpwd" timestamp="1602032379"&gt;491&lt;/key&gt;&lt;/foreign-keys&gt;&lt;ref-type name="Web Page"&gt;12&lt;/ref-type&gt;&lt;contributors&gt;&lt;authors&gt;&lt;author&gt;Responsible Gambling NSW,&lt;/author&gt;&lt;/authors&gt;&lt;/contributors&gt;&lt;titles&gt;&lt;title&gt;Gambling check-in tool&lt;/title&gt;&lt;/titles&gt;&lt;dates&gt;&lt;year&gt;n.d.&lt;/year&gt;&lt;/dates&gt;&lt;urls&gt;&lt;related-urls&gt;&lt;url&gt;https://www.responsiblegambling.nsw.gov.au/check-in/quiz&lt;/url&gt;&lt;/related-urls&gt;&lt;/urls&gt;&lt;/record&gt;&lt;/Cite&gt;&lt;/EndNote&gt;</w:instrText>
      </w:r>
      <w:r w:rsidR="007C4A13" w:rsidRPr="007C4A13">
        <w:rPr>
          <w:bCs/>
          <w:i/>
        </w:rPr>
        <w:fldChar w:fldCharType="separate"/>
      </w:r>
      <w:r w:rsidR="007C4A13" w:rsidRPr="007C4A13">
        <w:rPr>
          <w:bCs/>
          <w:i/>
        </w:rPr>
        <w:t>(Responsible Gambling NSW, n.d.)</w:t>
      </w:r>
      <w:r w:rsidR="007C4A13" w:rsidRPr="007C4A13">
        <w:rPr>
          <w:bCs/>
          <w:i/>
        </w:rPr>
        <w:fldChar w:fldCharType="end"/>
      </w:r>
    </w:p>
    <w:p w14:paraId="1E4425EC" w14:textId="77777777" w:rsidR="0093485C" w:rsidRDefault="0093485C" w:rsidP="00966D1C">
      <w:pPr>
        <w:spacing w:line="240" w:lineRule="auto"/>
        <w:jc w:val="both"/>
        <w:rPr>
          <w:bCs/>
        </w:rPr>
      </w:pPr>
    </w:p>
    <w:p w14:paraId="3D7983AE" w14:textId="6826AA7B" w:rsidR="00966D1C" w:rsidRDefault="0093485C" w:rsidP="00966D1C">
      <w:pPr>
        <w:spacing w:line="240" w:lineRule="auto"/>
        <w:jc w:val="both"/>
        <w:rPr>
          <w:bCs/>
        </w:rPr>
      </w:pPr>
      <w:r>
        <w:rPr>
          <w:bCs/>
        </w:rPr>
        <w:t xml:space="preserve">Suggested timing, wording and manner of approaching a </w:t>
      </w:r>
      <w:r w:rsidR="00966D1C" w:rsidRPr="00126BA8">
        <w:rPr>
          <w:bCs/>
        </w:rPr>
        <w:t>discuss</w:t>
      </w:r>
      <w:r>
        <w:rPr>
          <w:bCs/>
        </w:rPr>
        <w:t>ion about a</w:t>
      </w:r>
      <w:r w:rsidR="00966D1C" w:rsidRPr="00126BA8">
        <w:rPr>
          <w:bCs/>
        </w:rPr>
        <w:t xml:space="preserve"> possible gambling problem with a family member was another key part of the information specific for FAOs. For example, Turning Point </w:t>
      </w:r>
      <w:r w:rsidR="007C4A13">
        <w:rPr>
          <w:bCs/>
        </w:rPr>
        <w:t xml:space="preserve">(Australia) </w:t>
      </w:r>
      <w:r w:rsidR="00966D1C" w:rsidRPr="00126BA8">
        <w:rPr>
          <w:bCs/>
        </w:rPr>
        <w:t xml:space="preserve">provided detailed information on </w:t>
      </w:r>
      <w:r>
        <w:rPr>
          <w:bCs/>
        </w:rPr>
        <w:t>‘</w:t>
      </w:r>
      <w:r w:rsidR="00966D1C" w:rsidRPr="00126BA8">
        <w:rPr>
          <w:bCs/>
        </w:rPr>
        <w:t>identifying the signs</w:t>
      </w:r>
      <w:r>
        <w:rPr>
          <w:bCs/>
        </w:rPr>
        <w:t>’</w:t>
      </w:r>
      <w:r w:rsidR="00966D1C" w:rsidRPr="00126BA8">
        <w:rPr>
          <w:bCs/>
        </w:rPr>
        <w:t xml:space="preserve"> of a problem and </w:t>
      </w:r>
      <w:r>
        <w:rPr>
          <w:bCs/>
        </w:rPr>
        <w:t>‘</w:t>
      </w:r>
      <w:r w:rsidR="00966D1C" w:rsidRPr="00126BA8">
        <w:rPr>
          <w:bCs/>
        </w:rPr>
        <w:t>starting the conversation</w:t>
      </w:r>
      <w:r>
        <w:rPr>
          <w:bCs/>
        </w:rPr>
        <w:t>’</w:t>
      </w:r>
      <w:r w:rsidR="00966D1C" w:rsidRPr="00126BA8">
        <w:rPr>
          <w:bCs/>
        </w:rPr>
        <w:t xml:space="preserve">. Advice for starting the conversation included using </w:t>
      </w:r>
      <w:r w:rsidR="007C4A13">
        <w:rPr>
          <w:bCs/>
        </w:rPr>
        <w:t>‘</w:t>
      </w:r>
      <w:r w:rsidR="00966D1C" w:rsidRPr="00126BA8">
        <w:rPr>
          <w:bCs/>
        </w:rPr>
        <w:t xml:space="preserve">connecting </w:t>
      </w:r>
      <w:r w:rsidR="00966D1C" w:rsidRPr="007C4A13">
        <w:rPr>
          <w:bCs/>
        </w:rPr>
        <w:t>statements</w:t>
      </w:r>
      <w:r w:rsidR="007C4A13">
        <w:rPr>
          <w:bCs/>
        </w:rPr>
        <w:t xml:space="preserve">’, i.e. </w:t>
      </w:r>
      <w:r w:rsidR="007C4A13" w:rsidRPr="007C4A13">
        <w:rPr>
          <w:bCs/>
        </w:rPr>
        <w:t xml:space="preserve">a truthful and positive statement about the relationship between </w:t>
      </w:r>
      <w:r w:rsidR="007C4A13" w:rsidRPr="007C4A13">
        <w:rPr>
          <w:bCs/>
        </w:rPr>
        <w:lastRenderedPageBreak/>
        <w:t xml:space="preserve">the FAO and the gambling individual that contributes to connectedness; e.g. “I really care about you and what happens to us and because of that I feel have to talk about what I've been noticing” </w:t>
      </w:r>
      <w:r w:rsidR="007C4A13" w:rsidRPr="007C4A13">
        <w:rPr>
          <w:bCs/>
        </w:rPr>
        <w:fldChar w:fldCharType="begin"/>
      </w:r>
      <w:r w:rsidR="00D90464">
        <w:rPr>
          <w:bCs/>
        </w:rPr>
        <w:instrText xml:space="preserve"> ADDIN EN.CITE &lt;EndNote&gt;&lt;Cite&gt;&lt;Author&gt;Gambling Help Online&lt;/Author&gt;&lt;Year&gt;2020&lt;/Year&gt;&lt;RecNum&gt;492&lt;/RecNum&gt;&lt;DisplayText&gt;(Gambling Help Online, 2020d)&lt;/DisplayText&gt;&lt;record&gt;&lt;rec-number&gt;492&lt;/rec-number&gt;&lt;foreign-keys&gt;&lt;key app="EN" db-id="5v2daxed8wv0eoesd9av5dd8exsxdewpfpwd" timestamp="1602032739"&gt;492&lt;/key&gt;&lt;/foreign-keys&gt;&lt;ref-type name="Web Page"&gt;12&lt;/ref-type&gt;&lt;contributors&gt;&lt;authors&gt;&lt;author&gt;Gambling Help Online,&lt;/author&gt;&lt;/authors&gt;&lt;/contributors&gt;&lt;titles&gt;&lt;title&gt;Helping others: Starting the conversation&lt;/title&gt;&lt;/titles&gt;&lt;dates&gt;&lt;year&gt;2020&lt;/year&gt;&lt;/dates&gt;&lt;urls&gt;&lt;related-urls&gt;&lt;url&gt;https://www.gamblinghelponline.org.au/helping-others/starting-the-conversation&lt;/url&gt;&lt;/related-urls&gt;&lt;/urls&gt;&lt;/record&gt;&lt;/Cite&gt;&lt;/EndNote&gt;</w:instrText>
      </w:r>
      <w:r w:rsidR="007C4A13" w:rsidRPr="007C4A13">
        <w:rPr>
          <w:bCs/>
        </w:rPr>
        <w:fldChar w:fldCharType="separate"/>
      </w:r>
      <w:r w:rsidR="00D90464">
        <w:rPr>
          <w:bCs/>
          <w:noProof/>
        </w:rPr>
        <w:t>(Gambling Help Online, 2020d)</w:t>
      </w:r>
      <w:r w:rsidR="007C4A13" w:rsidRPr="007C4A13">
        <w:rPr>
          <w:bCs/>
        </w:rPr>
        <w:fldChar w:fldCharType="end"/>
      </w:r>
      <w:r w:rsidR="007C4A13" w:rsidRPr="007C4A13">
        <w:rPr>
          <w:bCs/>
        </w:rPr>
        <w:t>.</w:t>
      </w:r>
      <w:r w:rsidR="007C4A13">
        <w:rPr>
          <w:bCs/>
        </w:rPr>
        <w:t xml:space="preserve"> Advice for </w:t>
      </w:r>
      <w:r w:rsidR="00966D1C" w:rsidRPr="00126BA8">
        <w:rPr>
          <w:bCs/>
        </w:rPr>
        <w:t xml:space="preserve">avoiding </w:t>
      </w:r>
      <w:r w:rsidR="007C4A13">
        <w:rPr>
          <w:bCs/>
        </w:rPr>
        <w:t xml:space="preserve">showing </w:t>
      </w:r>
      <w:r w:rsidR="00966D1C" w:rsidRPr="00126BA8">
        <w:rPr>
          <w:bCs/>
        </w:rPr>
        <w:t>judgement, and ensuring the gambling individual felt safe</w:t>
      </w:r>
      <w:r w:rsidR="007C4A13">
        <w:rPr>
          <w:bCs/>
        </w:rPr>
        <w:t xml:space="preserve"> was also given</w:t>
      </w:r>
      <w:r w:rsidR="00966D1C" w:rsidRPr="00126BA8">
        <w:rPr>
          <w:bCs/>
        </w:rPr>
        <w:t xml:space="preserve">. Given the sensitive nature of bringing up a potential problem with gambling, caution </w:t>
      </w:r>
      <w:r>
        <w:rPr>
          <w:bCs/>
        </w:rPr>
        <w:t>around potential</w:t>
      </w:r>
      <w:r w:rsidR="00966D1C" w:rsidRPr="00126BA8">
        <w:rPr>
          <w:bCs/>
        </w:rPr>
        <w:t xml:space="preserve"> escalation and information about dealing with denial and anger was </w:t>
      </w:r>
      <w:r w:rsidR="007C4A13">
        <w:rPr>
          <w:bCs/>
        </w:rPr>
        <w:t>emphasised</w:t>
      </w:r>
      <w:r w:rsidR="00966D1C" w:rsidRPr="00126BA8">
        <w:rPr>
          <w:bCs/>
        </w:rPr>
        <w:t xml:space="preserve">. Advice on dealing with anger provided by Gambling Help NSW included, validating the anger, acknowledging that anger is ok but aggression is not, informing the individual about how the anger is affecting them, and encouraging emotional expression in more productive ways. Further information on speaking to counsellors to help develop an action </w:t>
      </w:r>
      <w:r>
        <w:rPr>
          <w:bCs/>
        </w:rPr>
        <w:t xml:space="preserve">plan </w:t>
      </w:r>
      <w:r w:rsidR="00966D1C" w:rsidRPr="00126BA8">
        <w:rPr>
          <w:bCs/>
        </w:rPr>
        <w:t xml:space="preserve">or to seek additional support was also provided. Two sections were provided on starting a conversation in a booklet provided by Gambling Help NSW; starting a conversation and developing the conversation: </w:t>
      </w:r>
    </w:p>
    <w:p w14:paraId="53C6CFF1" w14:textId="77777777" w:rsidR="007C4A13" w:rsidRPr="00126BA8" w:rsidRDefault="007C4A13" w:rsidP="00966D1C">
      <w:pPr>
        <w:spacing w:line="240" w:lineRule="auto"/>
        <w:jc w:val="both"/>
        <w:rPr>
          <w:bCs/>
        </w:rPr>
      </w:pPr>
    </w:p>
    <w:p w14:paraId="79BD7D9A" w14:textId="77777777" w:rsidR="00966D1C" w:rsidRPr="00126BA8" w:rsidRDefault="00966D1C" w:rsidP="00966D1C">
      <w:pPr>
        <w:jc w:val="both"/>
        <w:rPr>
          <w:bCs/>
        </w:rPr>
      </w:pPr>
      <w:r w:rsidRPr="00126BA8">
        <w:rPr>
          <w:noProof/>
          <w:lang w:eastAsia="en-NZ"/>
        </w:rPr>
        <w:drawing>
          <wp:inline distT="0" distB="0" distL="0" distR="0" wp14:anchorId="7B70AADE" wp14:editId="2C57EEE0">
            <wp:extent cx="1834722" cy="25879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63113" cy="2627971"/>
                    </a:xfrm>
                    <a:prstGeom prst="rect">
                      <a:avLst/>
                    </a:prstGeom>
                  </pic:spPr>
                </pic:pic>
              </a:graphicData>
            </a:graphic>
          </wp:inline>
        </w:drawing>
      </w:r>
      <w:r w:rsidRPr="00126BA8">
        <w:rPr>
          <w:noProof/>
          <w:lang w:eastAsia="en-NZ"/>
        </w:rPr>
        <w:t xml:space="preserve"> </w:t>
      </w:r>
      <w:r w:rsidRPr="00126BA8">
        <w:rPr>
          <w:noProof/>
          <w:lang w:eastAsia="en-NZ"/>
        </w:rPr>
        <w:drawing>
          <wp:inline distT="0" distB="0" distL="0" distR="0" wp14:anchorId="4473D454" wp14:editId="2AA562E6">
            <wp:extent cx="3859397" cy="2113135"/>
            <wp:effectExtent l="0" t="0" r="825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79667" cy="2124234"/>
                    </a:xfrm>
                    <a:prstGeom prst="rect">
                      <a:avLst/>
                    </a:prstGeom>
                  </pic:spPr>
                </pic:pic>
              </a:graphicData>
            </a:graphic>
          </wp:inline>
        </w:drawing>
      </w:r>
    </w:p>
    <w:p w14:paraId="75888383" w14:textId="23F60643" w:rsidR="00966D1C" w:rsidRPr="00126BA8" w:rsidRDefault="00966D1C" w:rsidP="00966D1C">
      <w:pPr>
        <w:jc w:val="both"/>
        <w:rPr>
          <w:bCs/>
        </w:rPr>
      </w:pPr>
      <w:r w:rsidRPr="00126BA8">
        <w:rPr>
          <w:bCs/>
        </w:rPr>
        <w:fldChar w:fldCharType="begin"/>
      </w:r>
      <w:r w:rsidR="00682101">
        <w:rPr>
          <w:bCs/>
        </w:rPr>
        <w:instrText xml:space="preserve"> ADDIN EN.CITE &lt;EndNote&gt;&lt;Cite&gt;&lt;Author&gt;Gambling Help NSW&lt;/Author&gt;&lt;Year&gt;n.d.&lt;/Year&gt;&lt;RecNum&gt;646&lt;/RecNum&gt;&lt;Pages&gt;33-43&lt;/Pages&gt;&lt;DisplayText&gt;(Gambling Help NSW, n.d.-b, pp. 33-43)&lt;/DisplayText&gt;&lt;record&gt;&lt;rec-number&gt;646&lt;/rec-number&gt;&lt;foreign-keys&gt;&lt;key app="EN" db-id="5v2daxed8wv0eoesd9av5dd8exsxdewpfpwd" timestamp="1600901049"&gt;646&lt;/key&gt;&lt;/foreign-keys&gt;&lt;ref-type name="Report"&gt;27&lt;/ref-type&gt;&lt;contributors&gt;&lt;authors&gt;&lt;author&gt;Gambling Help NSW,&lt;/author&gt;&lt;/authors&gt;&lt;tertiary-authors&gt;&lt;author&gt;Gambling Help NSW,&lt;/author&gt;&lt;/tertiary-authors&gt;&lt;/contributors&gt;&lt;titles&gt;&lt;title&gt;Problem Gambling: A guide for family and friends&lt;/title&gt;&lt;/titles&gt;&lt;dates&gt;&lt;year&gt;n.d.&lt;/year&gt;&lt;/dates&gt;&lt;pub-location&gt;Victoria, NSW&lt;/pub-location&gt;&lt;urls&gt;&lt;/urls&gt;&lt;/record&gt;&lt;/Cite&gt;&lt;/EndNote&gt;</w:instrText>
      </w:r>
      <w:r w:rsidRPr="00126BA8">
        <w:rPr>
          <w:bCs/>
        </w:rPr>
        <w:fldChar w:fldCharType="separate"/>
      </w:r>
      <w:r w:rsidR="00682101">
        <w:rPr>
          <w:bCs/>
          <w:noProof/>
        </w:rPr>
        <w:t>(Gambling Help NSW, n.d.-b, pp. 33-43)</w:t>
      </w:r>
      <w:r w:rsidRPr="00126BA8">
        <w:rPr>
          <w:bCs/>
        </w:rPr>
        <w:fldChar w:fldCharType="end"/>
      </w:r>
      <w:r w:rsidRPr="00126BA8">
        <w:rPr>
          <w:bCs/>
        </w:rPr>
        <w:t xml:space="preserve"> </w:t>
      </w:r>
    </w:p>
    <w:p w14:paraId="344A2A65" w14:textId="77777777" w:rsidR="0093485C" w:rsidRDefault="0093485C" w:rsidP="00966D1C">
      <w:pPr>
        <w:jc w:val="both"/>
        <w:rPr>
          <w:bCs/>
        </w:rPr>
      </w:pPr>
    </w:p>
    <w:p w14:paraId="112A417D" w14:textId="38F5444E" w:rsidR="00966D1C" w:rsidRPr="00126BA8" w:rsidRDefault="00966D1C" w:rsidP="00966D1C">
      <w:pPr>
        <w:jc w:val="both"/>
        <w:rPr>
          <w:bCs/>
        </w:rPr>
      </w:pPr>
      <w:r w:rsidRPr="00126BA8">
        <w:rPr>
          <w:bCs/>
        </w:rPr>
        <w:t>The information on starting a conversation indicated a perception that FAOs might recognise a problem prior to the gambling individual and are a valuable resource for (1) getting gambling individuals to seek help and (2) taking control of the situation and enabling change within their family/whānau.</w:t>
      </w:r>
    </w:p>
    <w:p w14:paraId="3FFC6412" w14:textId="77777777" w:rsidR="0093485C" w:rsidRDefault="0093485C" w:rsidP="00966D1C">
      <w:pPr>
        <w:jc w:val="both"/>
        <w:rPr>
          <w:bCs/>
        </w:rPr>
      </w:pPr>
    </w:p>
    <w:p w14:paraId="1D1F067E" w14:textId="19FB94DF" w:rsidR="00966D1C" w:rsidRDefault="00966D1C" w:rsidP="00966D1C">
      <w:pPr>
        <w:jc w:val="both"/>
        <w:rPr>
          <w:bCs/>
        </w:rPr>
      </w:pPr>
      <w:r w:rsidRPr="00126BA8">
        <w:rPr>
          <w:bCs/>
        </w:rPr>
        <w:t>The third key area of information for FAOs focussed on advice for supporting their loved one to access support or manage their gambling (without external support). Information on referring a loved one to a service was given as well as advice on how to support them while they were in treatment (or not seeking treatment). For example, on PGF Service’s Facebook page</w:t>
      </w:r>
      <w:r w:rsidR="007C4A13">
        <w:rPr>
          <w:bCs/>
        </w:rPr>
        <w:t xml:space="preserve"> (below)</w:t>
      </w:r>
      <w:r w:rsidRPr="00126BA8">
        <w:rPr>
          <w:bCs/>
        </w:rPr>
        <w:t>, a link to a blog provided information and advice for FAOs during the Christmas holiday season on how to support their loved one</w:t>
      </w:r>
      <w:r w:rsidR="007C4A13">
        <w:rPr>
          <w:bCs/>
        </w:rPr>
        <w:t xml:space="preserve">. </w:t>
      </w:r>
      <w:r w:rsidR="007C4A13" w:rsidRPr="007C4A13">
        <w:rPr>
          <w:bCs/>
        </w:rPr>
        <w:t xml:space="preserve">Advice included watching for signs their loved one was struggling with gambling (e.g. selling possessions, becoming secretive, isolating themselves), checking in and listening to their loved one, avoiding enabling behaviour (e.g. lending money, paying fines or debt, gambling with them), </w:t>
      </w:r>
      <w:r w:rsidR="00D90464">
        <w:rPr>
          <w:bCs/>
        </w:rPr>
        <w:t xml:space="preserve">scheduling and </w:t>
      </w:r>
      <w:r w:rsidR="007C4A13" w:rsidRPr="007C4A13">
        <w:rPr>
          <w:bCs/>
        </w:rPr>
        <w:t xml:space="preserve">encouraging alternative activities, encouraging the gambling individual to seek professional support, </w:t>
      </w:r>
      <w:r w:rsidR="00D90464">
        <w:rPr>
          <w:bCs/>
        </w:rPr>
        <w:t>whilst</w:t>
      </w:r>
      <w:r w:rsidR="007C4A13" w:rsidRPr="007C4A13">
        <w:rPr>
          <w:bCs/>
        </w:rPr>
        <w:t xml:space="preserve"> not forgetting to focus on their own wellbeing</w:t>
      </w:r>
      <w:r w:rsidR="007C4A13">
        <w:rPr>
          <w:bCs/>
        </w:rPr>
        <w:t>.</w:t>
      </w:r>
    </w:p>
    <w:p w14:paraId="6E371305" w14:textId="77777777" w:rsidR="0093485C" w:rsidRPr="00126BA8" w:rsidRDefault="0093485C" w:rsidP="00966D1C">
      <w:pPr>
        <w:jc w:val="both"/>
      </w:pPr>
    </w:p>
    <w:p w14:paraId="4A48DE73" w14:textId="77777777" w:rsidR="00966D1C" w:rsidRPr="00126BA8" w:rsidRDefault="00966D1C" w:rsidP="00966D1C">
      <w:pPr>
        <w:ind w:left="1440" w:firstLine="720"/>
        <w:jc w:val="both"/>
        <w:rPr>
          <w:bCs/>
        </w:rPr>
      </w:pPr>
      <w:r w:rsidRPr="00126BA8">
        <w:rPr>
          <w:noProof/>
          <w:lang w:eastAsia="en-NZ"/>
        </w:rPr>
        <w:drawing>
          <wp:inline distT="0" distB="0" distL="0" distR="0" wp14:anchorId="25CFD6DE" wp14:editId="3172B6CD">
            <wp:extent cx="2432050" cy="2602636"/>
            <wp:effectExtent l="0" t="0" r="635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81361" cy="2655405"/>
                    </a:xfrm>
                    <a:prstGeom prst="rect">
                      <a:avLst/>
                    </a:prstGeom>
                  </pic:spPr>
                </pic:pic>
              </a:graphicData>
            </a:graphic>
          </wp:inline>
        </w:drawing>
      </w:r>
    </w:p>
    <w:p w14:paraId="688AB0F9" w14:textId="78D36A06" w:rsidR="00966D1C" w:rsidRPr="00126BA8" w:rsidRDefault="00966D1C" w:rsidP="00966D1C">
      <w:pPr>
        <w:ind w:left="1440" w:firstLine="720"/>
        <w:rPr>
          <w:bCs/>
        </w:rPr>
      </w:pPr>
      <w:r w:rsidRPr="00126BA8">
        <w:rPr>
          <w:bCs/>
        </w:rPr>
        <w:fldChar w:fldCharType="begin"/>
      </w:r>
      <w:r w:rsidR="00BA157B">
        <w:rPr>
          <w:bCs/>
        </w:rPr>
        <w:instrText xml:space="preserve"> ADDIN EN.CITE &lt;EndNote&gt;&lt;Cite&gt;&lt;Author&gt;PGF Services&lt;/Author&gt;&lt;Year&gt;2019&lt;/Year&gt;&lt;RecNum&gt;647&lt;/RecNum&gt;&lt;DisplayText&gt;(PGF Services, 2019b)&lt;/DisplayText&gt;&lt;record&gt;&lt;rec-number&gt;647&lt;/rec-number&gt;&lt;foreign-keys&gt;&lt;key app="EN" db-id="5v2daxed8wv0eoesd9av5dd8exsxdewpfpwd" timestamp="1600901171"&gt;647&lt;/key&gt;&lt;/foreign-keys&gt;&lt;ref-type name="Web Page"&gt;12&lt;/ref-type&gt;&lt;contributors&gt;&lt;authors&gt;&lt;author&gt;PGF Services,&lt;/author&gt;&lt;/authors&gt;&lt;/contributors&gt;&lt;titles&gt;&lt;title&gt;How can you support someone struggling with a gambling problem this holiday season? [Facebook status update]&lt;/title&gt;&lt;/titles&gt;&lt;dates&gt;&lt;year&gt;2019&lt;/year&gt;&lt;/dates&gt;&lt;urls&gt;&lt;related-urls&gt;&lt;url&gt;https://www.facebook.com/PGFNZ/posts/10157577083600482&lt;/url&gt;&lt;/related-urls&gt;&lt;/urls&gt;&lt;/record&gt;&lt;/Cite&gt;&lt;/EndNote&gt;</w:instrText>
      </w:r>
      <w:r w:rsidRPr="00126BA8">
        <w:rPr>
          <w:bCs/>
        </w:rPr>
        <w:fldChar w:fldCharType="separate"/>
      </w:r>
      <w:r w:rsidR="00BA157B">
        <w:rPr>
          <w:bCs/>
          <w:noProof/>
        </w:rPr>
        <w:t>(PGF Services, 2019b)</w:t>
      </w:r>
      <w:r w:rsidRPr="00126BA8">
        <w:rPr>
          <w:bCs/>
        </w:rPr>
        <w:fldChar w:fldCharType="end"/>
      </w:r>
    </w:p>
    <w:p w14:paraId="665E3632" w14:textId="77777777" w:rsidR="00D90464" w:rsidRDefault="00D90464" w:rsidP="00966D1C">
      <w:pPr>
        <w:spacing w:line="240" w:lineRule="auto"/>
        <w:jc w:val="both"/>
        <w:rPr>
          <w:bCs/>
        </w:rPr>
      </w:pPr>
    </w:p>
    <w:p w14:paraId="01EB63E1" w14:textId="4E0CC017" w:rsidR="00D90464" w:rsidRDefault="00966D1C" w:rsidP="00D90464">
      <w:pPr>
        <w:spacing w:line="240" w:lineRule="auto"/>
        <w:jc w:val="both"/>
        <w:rPr>
          <w:bCs/>
        </w:rPr>
      </w:pPr>
      <w:r w:rsidRPr="00126BA8">
        <w:rPr>
          <w:bCs/>
        </w:rPr>
        <w:t xml:space="preserve">Parallel to advice on </w:t>
      </w:r>
      <w:r w:rsidR="00333767">
        <w:rPr>
          <w:bCs/>
        </w:rPr>
        <w:t>treatment referral</w:t>
      </w:r>
      <w:r w:rsidRPr="00126BA8">
        <w:rPr>
          <w:bCs/>
        </w:rPr>
        <w:t xml:space="preserve"> was information regarding situations in which the gambling individual was unwilling to seek help. It was acknowledged that often the gambling individual might be reluctant or resistant to seeking external support. Thus, information aimed at FAOs presented that this was a normal situation and that there were options for both the FAO and gambler</w:t>
      </w:r>
      <w:r w:rsidR="00D90464">
        <w:rPr>
          <w:bCs/>
        </w:rPr>
        <w:t xml:space="preserve">: </w:t>
      </w:r>
    </w:p>
    <w:p w14:paraId="048AF75E" w14:textId="77777777" w:rsidR="00D90464" w:rsidRDefault="00D90464" w:rsidP="00D90464">
      <w:pPr>
        <w:spacing w:line="240" w:lineRule="auto"/>
        <w:jc w:val="both"/>
        <w:rPr>
          <w:bCs/>
        </w:rPr>
      </w:pPr>
    </w:p>
    <w:p w14:paraId="4EF8F604" w14:textId="77777777" w:rsidR="00D90464" w:rsidRDefault="00D90464" w:rsidP="00D90464">
      <w:pPr>
        <w:spacing w:line="240" w:lineRule="auto"/>
        <w:ind w:left="720"/>
        <w:jc w:val="both"/>
        <w:rPr>
          <w:bCs/>
        </w:rPr>
      </w:pPr>
      <w:r w:rsidRPr="00126BA8">
        <w:rPr>
          <w:bCs/>
          <w:i/>
          <w:iCs/>
        </w:rPr>
        <w:t>People experiencing mental health or addiction problems are not always willing to seek treatment. They may not believe there is a problem. Or they may feel that they can address the issue on their own, without treatment. The person may also have fears about the mental health system, or concerns about the stigma of a mental health or addiction diagnosis. This is a difficult situation for families. While your family member may not see the need for treatment, you are witnessing the situation and feel they need support</w:t>
      </w:r>
      <w:r w:rsidRPr="00126BA8">
        <w:rPr>
          <w:bCs/>
        </w:rPr>
        <w:t xml:space="preserve">. </w:t>
      </w:r>
      <w:r w:rsidRPr="00126BA8">
        <w:rPr>
          <w:bCs/>
        </w:rPr>
        <w:fldChar w:fldCharType="begin"/>
      </w:r>
      <w:r w:rsidRPr="00126BA8">
        <w:rPr>
          <w:bCs/>
        </w:rPr>
        <w:instrText xml:space="preserve"> ADDIN EN.CITE &lt;EndNote&gt;&lt;Cite&gt;&lt;Author&gt;Centre for Addiction and Mental Health&lt;/Author&gt;&lt;Year&gt;2020&lt;/Year&gt;&lt;RecNum&gt;648&lt;/RecNum&gt;&lt;DisplayText&gt;(Centre for Addiction and Mental Health, 2020)&lt;/DisplayText&gt;&lt;record&gt;&lt;rec-number&gt;648&lt;/rec-number&gt;&lt;foreign-keys&gt;&lt;key app="EN" db-id="5v2daxed8wv0eoesd9av5dd8exsxdewpfpwd" timestamp="1600901304"&gt;648&lt;/key&gt;&lt;/foreign-keys&gt;&lt;ref-type name="Web Page"&gt;12&lt;/ref-type&gt;&lt;contributors&gt;&lt;authors&gt;&lt;author&gt;Centre for Addiction and Mental Health,&lt;/author&gt;&lt;/authors&gt;&lt;/contributors&gt;&lt;titles&gt;&lt;title&gt;When a family member is unwilling to seek help&lt;/title&gt;&lt;/titles&gt;&lt;dates&gt;&lt;year&gt;2020&lt;/year&gt;&lt;/dates&gt;&lt;urls&gt;&lt;related-urls&gt;&lt;url&gt;https://www.camh.ca/en/health-info/guides-and-publications/when-a-family-member-is-unwilling-to-seek-help&lt;/url&gt;&lt;/related-urls&gt;&lt;/urls&gt;&lt;/record&gt;&lt;/Cite&gt;&lt;/EndNote&gt;</w:instrText>
      </w:r>
      <w:r w:rsidRPr="00126BA8">
        <w:rPr>
          <w:bCs/>
        </w:rPr>
        <w:fldChar w:fldCharType="separate"/>
      </w:r>
      <w:r w:rsidRPr="00126BA8">
        <w:rPr>
          <w:bCs/>
          <w:noProof/>
        </w:rPr>
        <w:t>(Centre for Addiction and Mental Health, 2020)</w:t>
      </w:r>
      <w:r w:rsidRPr="00126BA8">
        <w:rPr>
          <w:bCs/>
        </w:rPr>
        <w:fldChar w:fldCharType="end"/>
      </w:r>
    </w:p>
    <w:p w14:paraId="6007617A" w14:textId="77777777" w:rsidR="00D90464" w:rsidRDefault="00D90464" w:rsidP="00D90464">
      <w:pPr>
        <w:spacing w:line="240" w:lineRule="auto"/>
        <w:jc w:val="both"/>
        <w:rPr>
          <w:bCs/>
        </w:rPr>
      </w:pPr>
    </w:p>
    <w:p w14:paraId="7A5BD8E4" w14:textId="2C8BDC96" w:rsidR="00966D1C" w:rsidRDefault="00D90464" w:rsidP="00966D1C">
      <w:pPr>
        <w:spacing w:line="240" w:lineRule="auto"/>
        <w:jc w:val="both"/>
        <w:rPr>
          <w:bCs/>
        </w:rPr>
      </w:pPr>
      <w:r>
        <w:rPr>
          <w:bCs/>
        </w:rPr>
        <w:t>A</w:t>
      </w:r>
      <w:r w:rsidRPr="00D90464">
        <w:rPr>
          <w:bCs/>
        </w:rPr>
        <w:t xml:space="preserve">dvice given by CAMH </w:t>
      </w:r>
      <w:r>
        <w:rPr>
          <w:bCs/>
        </w:rPr>
        <w:t>(Canada) involved</w:t>
      </w:r>
      <w:r w:rsidRPr="00D90464">
        <w:rPr>
          <w:bCs/>
        </w:rPr>
        <w:t xml:space="preserve"> avoiding pleading or criticism, learn</w:t>
      </w:r>
      <w:r>
        <w:rPr>
          <w:bCs/>
        </w:rPr>
        <w:t>ing</w:t>
      </w:r>
      <w:r w:rsidRPr="00D90464">
        <w:rPr>
          <w:bCs/>
        </w:rPr>
        <w:t xml:space="preserve"> more about mental illness and addiction, and </w:t>
      </w:r>
      <w:r>
        <w:rPr>
          <w:bCs/>
        </w:rPr>
        <w:t>practicing</w:t>
      </w:r>
      <w:r w:rsidRPr="00D90464">
        <w:rPr>
          <w:bCs/>
        </w:rPr>
        <w:t xml:space="preserve"> self-care </w:t>
      </w:r>
      <w:r>
        <w:rPr>
          <w:bCs/>
        </w:rPr>
        <w:t>which could include seeking</w:t>
      </w:r>
      <w:r w:rsidRPr="00D90464">
        <w:rPr>
          <w:bCs/>
        </w:rPr>
        <w:t xml:space="preserve"> support independently of the gambling individual </w:t>
      </w:r>
      <w:r w:rsidRPr="00D90464">
        <w:rPr>
          <w:bCs/>
        </w:rPr>
        <w:fldChar w:fldCharType="begin"/>
      </w:r>
      <w:r w:rsidRPr="00D90464">
        <w:rPr>
          <w:bCs/>
        </w:rPr>
        <w:instrText xml:space="preserve"> ADDIN EN.CITE &lt;EndNote&gt;&lt;Cite&gt;&lt;Author&gt;Centre for Addiction and Mental Health&lt;/Author&gt;&lt;Year&gt;2020&lt;/Year&gt;&lt;RecNum&gt;648&lt;/RecNum&gt;&lt;DisplayText&gt;(Centre for Addiction and Mental Health, 2020)&lt;/DisplayText&gt;&lt;record&gt;&lt;rec-number&gt;648&lt;/rec-number&gt;&lt;foreign-keys&gt;&lt;key app="EN" db-id="5v2daxed8wv0eoesd9av5dd8exsxdewpfpwd" timestamp="1600901304"&gt;648&lt;/key&gt;&lt;/foreign-keys&gt;&lt;ref-type name="Web Page"&gt;12&lt;/ref-type&gt;&lt;contributors&gt;&lt;authors&gt;&lt;author&gt;Centre for Addiction and Mental Health,&lt;/author&gt;&lt;/authors&gt;&lt;/contributors&gt;&lt;titles&gt;&lt;title&gt;When a family member is unwilling to seek help&lt;/title&gt;&lt;/titles&gt;&lt;dates&gt;&lt;year&gt;2020&lt;/year&gt;&lt;/dates&gt;&lt;urls&gt;&lt;related-urls&gt;&lt;url&gt;https://www.camh.ca/en/health-info/guides-and-publications/when-a-family-member-is-unwilling-to-seek-help&lt;/url&gt;&lt;/related-urls&gt;&lt;/urls&gt;&lt;/record&gt;&lt;/Cite&gt;&lt;/EndNote&gt;</w:instrText>
      </w:r>
      <w:r w:rsidRPr="00D90464">
        <w:rPr>
          <w:bCs/>
        </w:rPr>
        <w:fldChar w:fldCharType="separate"/>
      </w:r>
      <w:r w:rsidRPr="00D90464">
        <w:rPr>
          <w:bCs/>
        </w:rPr>
        <w:t>(Centre for Addiction and Mental Health, 2020)</w:t>
      </w:r>
      <w:r w:rsidRPr="00D90464">
        <w:rPr>
          <w:bCs/>
        </w:rPr>
        <w:fldChar w:fldCharType="end"/>
      </w:r>
      <w:r w:rsidRPr="00D90464">
        <w:rPr>
          <w:bCs/>
        </w:rPr>
        <w:t>.</w:t>
      </w:r>
      <w:r>
        <w:rPr>
          <w:bCs/>
        </w:rPr>
        <w:t xml:space="preserve"> </w:t>
      </w:r>
      <w:r w:rsidR="00966D1C" w:rsidRPr="00126BA8">
        <w:rPr>
          <w:bCs/>
        </w:rPr>
        <w:t>Some services clear</w:t>
      </w:r>
      <w:r w:rsidR="005F2F22">
        <w:rPr>
          <w:bCs/>
        </w:rPr>
        <w:t xml:space="preserve">ly </w:t>
      </w:r>
      <w:r w:rsidR="00966D1C" w:rsidRPr="00126BA8">
        <w:rPr>
          <w:bCs/>
        </w:rPr>
        <w:t>position</w:t>
      </w:r>
      <w:r w:rsidR="005F2F22">
        <w:rPr>
          <w:bCs/>
        </w:rPr>
        <w:t xml:space="preserve">ed </w:t>
      </w:r>
      <w:r w:rsidR="00966D1C" w:rsidRPr="00126BA8">
        <w:rPr>
          <w:bCs/>
        </w:rPr>
        <w:t>FAO</w:t>
      </w:r>
      <w:r w:rsidR="004F2AC2">
        <w:rPr>
          <w:bCs/>
        </w:rPr>
        <w:t xml:space="preserve"> involvement</w:t>
      </w:r>
      <w:r w:rsidR="00966D1C" w:rsidRPr="00126BA8">
        <w:rPr>
          <w:bCs/>
        </w:rPr>
        <w:t xml:space="preserve"> as beneficial in the support of the gambling individual. For example, </w:t>
      </w:r>
      <w:r>
        <w:rPr>
          <w:bCs/>
        </w:rPr>
        <w:t>Gambler’s Help (Australia) and CAMH</w:t>
      </w:r>
      <w:r w:rsidRPr="00126BA8">
        <w:rPr>
          <w:bCs/>
        </w:rPr>
        <w:t xml:space="preserve"> </w:t>
      </w:r>
      <w:r>
        <w:rPr>
          <w:bCs/>
        </w:rPr>
        <w:t xml:space="preserve">(Canada) </w:t>
      </w:r>
      <w:r w:rsidR="00966D1C" w:rsidRPr="00126BA8">
        <w:rPr>
          <w:bCs/>
        </w:rPr>
        <w:t>below:</w:t>
      </w:r>
    </w:p>
    <w:p w14:paraId="129944CC" w14:textId="77777777" w:rsidR="00333767" w:rsidRPr="00126BA8" w:rsidRDefault="00333767" w:rsidP="00966D1C">
      <w:pPr>
        <w:spacing w:line="240" w:lineRule="auto"/>
        <w:jc w:val="both"/>
        <w:rPr>
          <w:bCs/>
        </w:rPr>
      </w:pPr>
    </w:p>
    <w:p w14:paraId="309C964B" w14:textId="77777777" w:rsidR="00966D1C" w:rsidRPr="00126BA8" w:rsidRDefault="00966D1C" w:rsidP="00966D1C">
      <w:pPr>
        <w:spacing w:line="240" w:lineRule="auto"/>
        <w:ind w:left="720"/>
        <w:jc w:val="both"/>
        <w:rPr>
          <w:bCs/>
        </w:rPr>
      </w:pPr>
      <w:r w:rsidRPr="00126BA8">
        <w:rPr>
          <w:bCs/>
          <w:i/>
          <w:iCs/>
        </w:rPr>
        <w:t>If you suspect that someone you know has a problem with gambling, it’s important for you to help them because there can be significant negative consequences. These can include relationship breakdown, financial problems, loss of employment, and mental health problems, including suicide.</w:t>
      </w:r>
      <w:r w:rsidRPr="00126BA8">
        <w:rPr>
          <w:bCs/>
        </w:rPr>
        <w:t xml:space="preserve"> </w:t>
      </w:r>
      <w:r w:rsidRPr="00126BA8">
        <w:rPr>
          <w:bCs/>
        </w:rPr>
        <w:fldChar w:fldCharType="begin"/>
      </w:r>
      <w:r w:rsidRPr="00126BA8">
        <w:rPr>
          <w:bCs/>
        </w:rPr>
        <w:instrText xml:space="preserve"> ADDIN EN.CITE &lt;EndNote&gt;&lt;Cite&gt;&lt;Author&gt;Gambler&amp;apos;s Help&lt;/Author&gt;&lt;Year&gt;2020&lt;/Year&gt;&lt;RecNum&gt;649&lt;/RecNum&gt;&lt;DisplayText&gt;(Gambler&amp;apos;s Help, 2020b)&lt;/DisplayText&gt;&lt;record&gt;&lt;rec-number&gt;649&lt;/rec-number&gt;&lt;foreign-keys&gt;&lt;key app="EN" db-id="5v2daxed8wv0eoesd9av5dd8exsxdewpfpwd" timestamp="1600901437"&gt;649&lt;/key&gt;&lt;/foreign-keys&gt;&lt;ref-type name="Web Page"&gt;12&lt;/ref-type&gt;&lt;contributors&gt;&lt;authors&gt;&lt;author&gt;Gambler&amp;apos;s Help,&lt;/author&gt;&lt;/authors&gt;&lt;/contributors&gt;&lt;titles&gt;&lt;title&gt;Support Someone: Having the conversation&lt;/title&gt;&lt;/titles&gt;&lt;dates&gt;&lt;year&gt;2020&lt;/year&gt;&lt;/dates&gt;&lt;urls&gt;&lt;related-urls&gt;&lt;url&gt;https://gamblershelp.com.au/support-someone/having-conversation/&lt;/url&gt;&lt;/related-urls&gt;&lt;/urls&gt;&lt;/record&gt;&lt;/Cite&gt;&lt;Cite&gt;&lt;Author&gt;Gambler&amp;apos;s Help&lt;/Author&gt;&lt;Year&gt;2020&lt;/Year&gt;&lt;RecNum&gt;649&lt;/RecNum&gt;&lt;record&gt;&lt;rec-number&gt;649&lt;/rec-number&gt;&lt;foreign-keys&gt;&lt;key app="EN" db-id="5v2daxed8wv0eoesd9av5dd8exsxdewpfpwd" timestamp="1600901437"&gt;649&lt;/key&gt;&lt;/foreign-keys&gt;&lt;ref-type name="Web Page"&gt;12&lt;/ref-type&gt;&lt;contributors&gt;&lt;authors&gt;&lt;author&gt;Gambler&amp;apos;s Help,&lt;/author&gt;&lt;/authors&gt;&lt;/contributors&gt;&lt;titles&gt;&lt;title&gt;Support Someone: Having the conversation&lt;/title&gt;&lt;/titles&gt;&lt;dates&gt;&lt;year&gt;2020&lt;/year&gt;&lt;/dates&gt;&lt;urls&gt;&lt;related-urls&gt;&lt;url&gt;https://gamblershelp.com.au/support-someone/having-conversation/&lt;/url&gt;&lt;/related-urls&gt;&lt;/urls&gt;&lt;/record&gt;&lt;/Cite&gt;&lt;/EndNote&gt;</w:instrText>
      </w:r>
      <w:r w:rsidRPr="00126BA8">
        <w:rPr>
          <w:bCs/>
        </w:rPr>
        <w:fldChar w:fldCharType="separate"/>
      </w:r>
      <w:r w:rsidRPr="00126BA8">
        <w:rPr>
          <w:bCs/>
          <w:noProof/>
        </w:rPr>
        <w:t>(Gambler's Help, 2020b)</w:t>
      </w:r>
      <w:r w:rsidRPr="00126BA8">
        <w:rPr>
          <w:bCs/>
        </w:rPr>
        <w:fldChar w:fldCharType="end"/>
      </w:r>
    </w:p>
    <w:p w14:paraId="6BAF7504" w14:textId="77777777" w:rsidR="00333767" w:rsidRDefault="00333767" w:rsidP="00966D1C">
      <w:pPr>
        <w:spacing w:line="240" w:lineRule="auto"/>
        <w:ind w:left="720"/>
        <w:jc w:val="both"/>
        <w:rPr>
          <w:bCs/>
          <w:i/>
        </w:rPr>
      </w:pPr>
    </w:p>
    <w:p w14:paraId="3566049D" w14:textId="6A1CAD4E" w:rsidR="00966D1C" w:rsidRPr="00126BA8" w:rsidRDefault="00966D1C" w:rsidP="00966D1C">
      <w:pPr>
        <w:spacing w:line="240" w:lineRule="auto"/>
        <w:ind w:left="720"/>
        <w:jc w:val="both"/>
        <w:rPr>
          <w:bCs/>
        </w:rPr>
      </w:pPr>
      <w:r w:rsidRPr="00126BA8">
        <w:rPr>
          <w:bCs/>
          <w:i/>
        </w:rPr>
        <w:t xml:space="preserve">Why is family involvement important? Research supports the value of involving family members in treatment for problem gambling and substance use problems. Here are some salient findings: People remain in treatment longer when a family member is involved, and those who stay in treatment longer have better </w:t>
      </w:r>
      <w:r w:rsidRPr="00D90464">
        <w:rPr>
          <w:bCs/>
          <w:i/>
        </w:rPr>
        <w:t>outcomes</w:t>
      </w:r>
      <w:r w:rsidRPr="00D90464">
        <w:rPr>
          <w:bCs/>
        </w:rPr>
        <w:t xml:space="preserve">  </w:t>
      </w:r>
      <w:r w:rsidRPr="00D90464">
        <w:rPr>
          <w:bCs/>
        </w:rPr>
        <w:fldChar w:fldCharType="begin"/>
      </w:r>
      <w:r w:rsidR="00D945BB">
        <w:rPr>
          <w:bCs/>
        </w:rPr>
        <w:instrText xml:space="preserve"> ADDIN EN.CITE &lt;EndNote&gt;&lt;Cite&gt;&lt;Author&gt;Kourgiantakis&lt;/Author&gt;&lt;Year&gt;2013&lt;/Year&gt;&lt;RecNum&gt;650&lt;/RecNum&gt;&lt;Prefix&gt;CAMH family support manual &lt;/Prefix&gt;&lt;Pages&gt;6&lt;/Pages&gt;&lt;DisplayText&gt;(CAMH family support manual Kourgiantakis, Weyman, Teasell, &amp;amp; Pont, 2013b, p. 6)&lt;/DisplayText&gt;&lt;record&gt;&lt;rec-number&gt;650&lt;/rec-number&gt;&lt;foreign-keys&gt;&lt;key app="EN" db-id="5v2daxed8wv0eoesd9av5dd8exsxdewpfpwd" timestamp="1600901876"&gt;650&lt;/key&gt;&lt;/foreign-keys&gt;&lt;ref-type name="Report"&gt;27&lt;/ref-type&gt;&lt;contributors&gt;&lt;authors&gt;&lt;author&gt;Kourgiantakis, Toula&lt;/author&gt;&lt;author&gt;Weyman, M&lt;/author&gt;&lt;author&gt;Teasell, B&lt;/author&gt;&lt;author&gt;Pont, L&lt;/author&gt;&lt;/authors&gt;&lt;secondary-authors&gt;&lt;author&gt;Problem Gambling Institute of Ontario&lt;/author&gt;&lt;/secondary-authors&gt;&lt;tertiary-authors&gt;&lt;author&gt;Centre for Addiction and Mental Health&lt;/author&gt;&lt;/tertiary-authors&gt;&lt;/contributors&gt;&lt;titles&gt;&lt;title&gt;Family support and psychoeducational group manual for problem gambling&lt;/title&gt;&lt;/titles&gt;&lt;dates&gt;&lt;year&gt;2013&lt;/year&gt;&lt;/dates&gt;&lt;pub-location&gt;Toronto, ON&lt;/pub-location&gt;&lt;urls&gt;&lt;/urls&gt;&lt;/record&gt;&lt;/Cite&gt;&lt;/EndNote&gt;</w:instrText>
      </w:r>
      <w:r w:rsidRPr="00D90464">
        <w:rPr>
          <w:bCs/>
        </w:rPr>
        <w:fldChar w:fldCharType="separate"/>
      </w:r>
      <w:r w:rsidR="00D945BB">
        <w:rPr>
          <w:bCs/>
          <w:noProof/>
        </w:rPr>
        <w:t>(CAMH family support manual Kourgiantakis, Weyman, Teasell, &amp; Pont, 2013b, p. 6)</w:t>
      </w:r>
      <w:r w:rsidRPr="00D90464">
        <w:rPr>
          <w:bCs/>
        </w:rPr>
        <w:fldChar w:fldCharType="end"/>
      </w:r>
      <w:r w:rsidR="005F2F22">
        <w:rPr>
          <w:bCs/>
        </w:rPr>
        <w:t xml:space="preserve"> </w:t>
      </w:r>
    </w:p>
    <w:p w14:paraId="6372E35C" w14:textId="77777777" w:rsidR="00333767" w:rsidRDefault="00333767" w:rsidP="00966D1C">
      <w:pPr>
        <w:spacing w:line="240" w:lineRule="auto"/>
        <w:jc w:val="both"/>
        <w:rPr>
          <w:bCs/>
        </w:rPr>
      </w:pPr>
    </w:p>
    <w:p w14:paraId="25CBD22E" w14:textId="0F8D79B7" w:rsidR="00966D1C" w:rsidRDefault="0041016A" w:rsidP="00966D1C">
      <w:pPr>
        <w:spacing w:line="240" w:lineRule="auto"/>
        <w:jc w:val="both"/>
        <w:rPr>
          <w:bCs/>
        </w:rPr>
      </w:pPr>
      <w:r>
        <w:rPr>
          <w:bCs/>
        </w:rPr>
        <w:t>S</w:t>
      </w:r>
      <w:r w:rsidR="00966D1C" w:rsidRPr="00126BA8">
        <w:rPr>
          <w:bCs/>
        </w:rPr>
        <w:t>ervices provided information as to why FAO supporting the gambling individual would benefit themselves, their loved, and their family/whānau. For example, some services referenced research which indicated that family member involvement in support and treatment led to better outcomes for the gambling individual, as well as the family/whānau. The negative impact of the gambling behaviour was acknowledged alongside the notion that family involvement in therapy could assist the gambling individual and the FAOs, in turn, improving the wellbeing and functioning of the family. The below quote was from a pamphlet from SHARC, detailing the negative effects of problem gambling and how working together as a family can alleviate the negative effects.</w:t>
      </w:r>
    </w:p>
    <w:p w14:paraId="5E7506AB" w14:textId="77777777" w:rsidR="004F2AC2" w:rsidRPr="00126BA8" w:rsidRDefault="004F2AC2" w:rsidP="00966D1C">
      <w:pPr>
        <w:spacing w:line="240" w:lineRule="auto"/>
        <w:jc w:val="both"/>
        <w:rPr>
          <w:bCs/>
        </w:rPr>
      </w:pPr>
    </w:p>
    <w:p w14:paraId="174B02B5" w14:textId="77777777" w:rsidR="00966D1C" w:rsidRPr="00126BA8" w:rsidRDefault="00966D1C" w:rsidP="00966D1C">
      <w:pPr>
        <w:spacing w:line="240" w:lineRule="auto"/>
        <w:ind w:left="720"/>
        <w:jc w:val="both"/>
        <w:rPr>
          <w:bCs/>
        </w:rPr>
      </w:pPr>
      <w:r w:rsidRPr="00126BA8">
        <w:rPr>
          <w:bCs/>
          <w:i/>
          <w:iCs/>
        </w:rPr>
        <w:t>When people are working on changing their problem gambling behaviour, the involvement of those close to them can really help. Having a gambler in the family can have negative effects on close relationships and can create financial difficulty, damage trust and increase stress. These effects don’t go away overnight and the change process can take time. When families work together, gambling problems and negative effects can be dealt with more quickly. Research has shown that individuals do better when families are involved.</w:t>
      </w:r>
      <w:r w:rsidRPr="00126BA8">
        <w:rPr>
          <w:bCs/>
        </w:rPr>
        <w:t xml:space="preserve"> </w:t>
      </w:r>
      <w:r w:rsidRPr="00126BA8">
        <w:rPr>
          <w:bCs/>
        </w:rPr>
        <w:fldChar w:fldCharType="begin"/>
      </w:r>
      <w:r w:rsidRPr="00126BA8">
        <w:rPr>
          <w:bCs/>
        </w:rPr>
        <w:instrText xml:space="preserve"> ADDIN EN.CITE &lt;EndNote&gt;&lt;Cite&gt;&lt;Author&gt;Family Drug Help&lt;/Author&gt;&lt;Year&gt;2017&lt;/Year&gt;&lt;RecNum&gt;651&lt;/RecNum&gt;&lt;Pages&gt;5&lt;/Pages&gt;&lt;DisplayText&gt;(Family Drug Help, 2017, p. 5)&lt;/DisplayText&gt;&lt;record&gt;&lt;rec-number&gt;651&lt;/rec-number&gt;&lt;foreign-keys&gt;&lt;key app="EN" db-id="5v2daxed8wv0eoesd9av5dd8exsxdewpfpwd" timestamp="1600901987"&gt;651&lt;/key&gt;&lt;/foreign-keys&gt;&lt;ref-type name="Magazine Article"&gt;19&lt;/ref-type&gt;&lt;contributors&gt;&lt;authors&gt;&lt;author&gt;Family Drug Help,&lt;/author&gt;&lt;/authors&gt;&lt;/contributors&gt;&lt;titles&gt;&lt;title&gt;Reducing gambling harm for families&lt;/title&gt;&lt;/titles&gt;&lt;edition&gt;67&lt;/edition&gt;&lt;dates&gt;&lt;year&gt;2017&lt;/year&gt;&lt;/dates&gt;&lt;urls&gt;&lt;/urls&gt;&lt;/record&gt;&lt;/Cite&gt;&lt;/EndNote&gt;</w:instrText>
      </w:r>
      <w:r w:rsidRPr="00126BA8">
        <w:rPr>
          <w:bCs/>
        </w:rPr>
        <w:fldChar w:fldCharType="separate"/>
      </w:r>
      <w:r w:rsidRPr="00126BA8">
        <w:rPr>
          <w:bCs/>
          <w:noProof/>
        </w:rPr>
        <w:t>(Family Drug Help, 2017, p. 5)</w:t>
      </w:r>
      <w:r w:rsidRPr="00126BA8">
        <w:rPr>
          <w:bCs/>
        </w:rPr>
        <w:fldChar w:fldCharType="end"/>
      </w:r>
    </w:p>
    <w:p w14:paraId="5F0992AE" w14:textId="77777777" w:rsidR="0041016A" w:rsidRPr="00126BA8" w:rsidRDefault="0041016A" w:rsidP="00966D1C">
      <w:pPr>
        <w:spacing w:line="240" w:lineRule="auto"/>
        <w:jc w:val="both"/>
        <w:rPr>
          <w:bCs/>
          <w:iCs/>
        </w:rPr>
      </w:pPr>
    </w:p>
    <w:p w14:paraId="0C879D9D" w14:textId="77777777" w:rsidR="00682101" w:rsidRPr="00126BA8" w:rsidRDefault="00682101" w:rsidP="00682101">
      <w:pPr>
        <w:pStyle w:val="Heading4"/>
        <w:spacing w:before="0"/>
        <w:rPr>
          <w:rFonts w:eastAsia="Times New Roman"/>
        </w:rPr>
      </w:pPr>
      <w:r w:rsidRPr="00126BA8">
        <w:rPr>
          <w:rFonts w:eastAsia="Times New Roman"/>
        </w:rPr>
        <w:t xml:space="preserve">Online information for parents focussed </w:t>
      </w:r>
      <w:r>
        <w:rPr>
          <w:rFonts w:eastAsia="Times New Roman"/>
        </w:rPr>
        <w:t xml:space="preserve">on </w:t>
      </w:r>
      <w:r w:rsidRPr="00126BA8">
        <w:rPr>
          <w:rFonts w:eastAsia="Times New Roman"/>
        </w:rPr>
        <w:t>online gambling and gaming</w:t>
      </w:r>
    </w:p>
    <w:p w14:paraId="49B655B8" w14:textId="0FF737F3" w:rsidR="00682101" w:rsidRDefault="00682101" w:rsidP="00682101">
      <w:pPr>
        <w:jc w:val="both"/>
      </w:pPr>
      <w:r w:rsidRPr="00126BA8">
        <w:t>The</w:t>
      </w:r>
      <w:r>
        <w:t>re was</w:t>
      </w:r>
      <w:r w:rsidRPr="00126BA8">
        <w:t xml:space="preserve"> information available specifically for parents</w:t>
      </w:r>
      <w:r>
        <w:t>,</w:t>
      </w:r>
      <w:r w:rsidRPr="00126BA8">
        <w:t xml:space="preserve"> </w:t>
      </w:r>
      <w:r>
        <w:t xml:space="preserve">which </w:t>
      </w:r>
      <w:r w:rsidRPr="00126BA8">
        <w:t>focussed on identifying the signs of a gambling problem in their teenage child and then how to approach</w:t>
      </w:r>
      <w:r>
        <w:t xml:space="preserve"> them. This i</w:t>
      </w:r>
      <w:r w:rsidRPr="00126BA8">
        <w:t xml:space="preserve">nformation was available from CAMH, VGRF, Gambling Help NSW, GAM-ANON, and Mapu Maia. Information </w:t>
      </w:r>
      <w:r>
        <w:t xml:space="preserve">available focussed </w:t>
      </w:r>
      <w:r w:rsidRPr="00126BA8">
        <w:t>on forms of gambling (online, sports betting etc.), the gambling industry and advertising, gambling and gaming convergence (e.g. loot boxes), and adolescent risk-taking behaviour. The information for parents was split between (1) preventing problem gambling through knowledge, awareness, and open discussion; and (2) identifying and responding to a gambling problem</w:t>
      </w:r>
      <w:r>
        <w:t>:</w:t>
      </w:r>
    </w:p>
    <w:p w14:paraId="73034AD5" w14:textId="77777777" w:rsidR="00682101" w:rsidRPr="00126BA8" w:rsidRDefault="00682101" w:rsidP="00682101">
      <w:pPr>
        <w:jc w:val="both"/>
      </w:pPr>
    </w:p>
    <w:p w14:paraId="605AC929" w14:textId="77777777" w:rsidR="00682101" w:rsidRPr="00126BA8" w:rsidRDefault="00682101" w:rsidP="00682101">
      <w:pPr>
        <w:jc w:val="center"/>
      </w:pPr>
      <w:r w:rsidRPr="00126BA8">
        <w:rPr>
          <w:noProof/>
          <w:lang w:eastAsia="en-NZ"/>
        </w:rPr>
        <w:lastRenderedPageBreak/>
        <w:drawing>
          <wp:inline distT="0" distB="0" distL="0" distR="0" wp14:anchorId="53C82B8C" wp14:editId="413B7592">
            <wp:extent cx="2930441" cy="3529579"/>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76101" cy="3584574"/>
                    </a:xfrm>
                    <a:prstGeom prst="rect">
                      <a:avLst/>
                    </a:prstGeom>
                  </pic:spPr>
                </pic:pic>
              </a:graphicData>
            </a:graphic>
          </wp:inline>
        </w:drawing>
      </w:r>
    </w:p>
    <w:p w14:paraId="15E4066F" w14:textId="77777777" w:rsidR="00682101" w:rsidRDefault="00682101" w:rsidP="00682101">
      <w:pPr>
        <w:ind w:left="720" w:firstLine="720"/>
        <w:jc w:val="both"/>
      </w:pPr>
      <w:r w:rsidRPr="00126BA8">
        <w:tab/>
      </w:r>
      <w:r w:rsidRPr="00126BA8">
        <w:fldChar w:fldCharType="begin"/>
      </w:r>
      <w:r w:rsidRPr="00126BA8">
        <w:instrText xml:space="preserve"> ADDIN EN.CITE &lt;EndNote&gt;&lt;Cite&gt;&lt;Author&gt;Victorian Responsible Gambling Foundation&lt;/Author&gt;&lt;Year&gt;2019&lt;/Year&gt;&lt;RecNum&gt;666&lt;/RecNum&gt;&lt;DisplayText&gt;(Victorian Responsible Gambling Foundation, 2019b)&lt;/DisplayText&gt;&lt;record&gt;&lt;rec-number&gt;666&lt;/rec-number&gt;&lt;foreign-keys&gt;&lt;key app="EN" db-id="5v2daxed8wv0eoesd9av5dd8exsxdewpfpwd" timestamp="1600905488"&gt;666&lt;/key&gt;&lt;/foreign-keys&gt;&lt;ref-type name="Web Page"&gt;12&lt;/ref-type&gt;&lt;contributors&gt;&lt;authors&gt;&lt;author&gt;Victorian Responsible Gambling Foundation,&lt;/author&gt;&lt;/authors&gt;&lt;/contributors&gt;&lt;titles&gt;&lt;title&gt;It can be hard to tell, but there are signs a young person is beginning to gamble [Facebook status update]&lt;/title&gt;&lt;/titles&gt;&lt;dates&gt;&lt;year&gt;2019&lt;/year&gt;&lt;/dates&gt;&lt;urls&gt;&lt;related-urls&gt;&lt;url&gt;https://www.facebook.com/responsiblegambling/posts/2352312375044323&lt;/url&gt;&lt;/related-urls&gt;&lt;/urls&gt;&lt;/record&gt;&lt;/Cite&gt;&lt;Cite&gt;&lt;Author&gt;Victorian Responsible Gambling Foundation&lt;/Author&gt;&lt;Year&gt;2019&lt;/Year&gt;&lt;RecNum&gt;666&lt;/RecNum&gt;&lt;record&gt;&lt;rec-number&gt;666&lt;/rec-number&gt;&lt;foreign-keys&gt;&lt;key app="EN" db-id="5v2daxed8wv0eoesd9av5dd8exsxdewpfpwd" timestamp="1600905488"&gt;666&lt;/key&gt;&lt;/foreign-keys&gt;&lt;ref-type name="Web Page"&gt;12&lt;/ref-type&gt;&lt;contributors&gt;&lt;authors&gt;&lt;author&gt;Victorian Responsible Gambling Foundation,&lt;/author&gt;&lt;/authors&gt;&lt;/contributors&gt;&lt;titles&gt;&lt;title&gt;It can be hard to tell, but there are signs a young person is beginning to gamble [Facebook status update]&lt;/title&gt;&lt;/titles&gt;&lt;dates&gt;&lt;year&gt;2019&lt;/year&gt;&lt;/dates&gt;&lt;urls&gt;&lt;related-urls&gt;&lt;url&gt;https://www.facebook.com/responsiblegambling/posts/2352312375044323&lt;/url&gt;&lt;/related-urls&gt;&lt;/urls&gt;&lt;/record&gt;&lt;/Cite&gt;&lt;/EndNote&gt;</w:instrText>
      </w:r>
      <w:r w:rsidRPr="00126BA8">
        <w:fldChar w:fldCharType="separate"/>
      </w:r>
      <w:r w:rsidRPr="00126BA8">
        <w:rPr>
          <w:noProof/>
        </w:rPr>
        <w:t>(Victorian Responsible Gambling Foundation, 2019b)</w:t>
      </w:r>
      <w:r w:rsidRPr="00126BA8">
        <w:fldChar w:fldCharType="end"/>
      </w:r>
    </w:p>
    <w:p w14:paraId="67D79050" w14:textId="77777777" w:rsidR="00682101" w:rsidRPr="00126BA8" w:rsidRDefault="00682101" w:rsidP="00682101">
      <w:pPr>
        <w:jc w:val="both"/>
      </w:pPr>
    </w:p>
    <w:p w14:paraId="7586D64D" w14:textId="77777777" w:rsidR="00682101" w:rsidRPr="00126BA8" w:rsidRDefault="00682101" w:rsidP="00682101">
      <w:pPr>
        <w:pStyle w:val="Heading4"/>
        <w:spacing w:before="0"/>
        <w:rPr>
          <w:rFonts w:eastAsia="Times New Roman"/>
        </w:rPr>
      </w:pPr>
      <w:r>
        <w:rPr>
          <w:rFonts w:eastAsia="Times New Roman"/>
        </w:rPr>
        <w:t>Information f</w:t>
      </w:r>
      <w:r w:rsidRPr="00126BA8">
        <w:rPr>
          <w:rFonts w:eastAsia="Times New Roman"/>
        </w:rPr>
        <w:t>or colleagues and teachers</w:t>
      </w:r>
      <w:r>
        <w:rPr>
          <w:rFonts w:eastAsia="Times New Roman"/>
        </w:rPr>
        <w:t>:</w:t>
      </w:r>
      <w:r w:rsidRPr="00126BA8">
        <w:rPr>
          <w:rFonts w:eastAsia="Times New Roman"/>
        </w:rPr>
        <w:t xml:space="preserve"> </w:t>
      </w:r>
      <w:r>
        <w:rPr>
          <w:rFonts w:eastAsia="Times New Roman"/>
        </w:rPr>
        <w:t>R</w:t>
      </w:r>
      <w:r w:rsidRPr="00126BA8">
        <w:rPr>
          <w:rFonts w:eastAsia="Times New Roman"/>
        </w:rPr>
        <w:t xml:space="preserve">ecognising and responding to the signs </w:t>
      </w:r>
    </w:p>
    <w:p w14:paraId="57A56A4E" w14:textId="11935FDC" w:rsidR="00682101" w:rsidRDefault="00682101" w:rsidP="00682101">
      <w:pPr>
        <w:spacing w:line="240" w:lineRule="auto"/>
        <w:jc w:val="both"/>
        <w:rPr>
          <w:rFonts w:eastAsia="Times New Roman"/>
        </w:rPr>
      </w:pPr>
      <w:r w:rsidRPr="00126BA8">
        <w:rPr>
          <w:rFonts w:eastAsia="Times New Roman"/>
        </w:rPr>
        <w:t xml:space="preserve">Information for colleagues, </w:t>
      </w:r>
      <w:r>
        <w:rPr>
          <w:rFonts w:eastAsia="Times New Roman"/>
        </w:rPr>
        <w:t xml:space="preserve">employers </w:t>
      </w:r>
      <w:r w:rsidRPr="00126BA8">
        <w:rPr>
          <w:rFonts w:eastAsia="Times New Roman"/>
        </w:rPr>
        <w:t xml:space="preserve">and teachers was provided by VGRF and Gambling Help NSW. The information and resources related to identifying the signs of problem gambling (e.g. students: anxiety and depression, abandoning study, alienation from friends; colleagues/employees: arriving late, gambling during work hours, borrowing money or requesting advance on salary), how to respond to someone exhibiting the signs of problem gambling (e.g. express facts, use “I” statements, show that you are listening), and the number to call for more information or to give to the student/employee. </w:t>
      </w:r>
      <w:r w:rsidRPr="00682101">
        <w:rPr>
          <w:rFonts w:eastAsia="Times New Roman"/>
        </w:rPr>
        <w:t xml:space="preserve">A brochure with frequently asked questions and classroom resources with common phrases (e.g. </w:t>
      </w:r>
      <w:r w:rsidRPr="00682101">
        <w:rPr>
          <w:rFonts w:eastAsia="Times New Roman"/>
          <w:u w:val="single"/>
        </w:rPr>
        <w:t xml:space="preserve"> “o</w:t>
      </w:r>
      <w:r w:rsidRPr="00682101">
        <w:rPr>
          <w:rFonts w:eastAsia="Times New Roman"/>
        </w:rPr>
        <w:t>ne more punt”) w</w:t>
      </w:r>
      <w:r>
        <w:rPr>
          <w:rFonts w:eastAsia="Times New Roman"/>
        </w:rPr>
        <w:t>as</w:t>
      </w:r>
      <w:r w:rsidRPr="00682101">
        <w:rPr>
          <w:rFonts w:eastAsia="Times New Roman"/>
        </w:rPr>
        <w:t xml:space="preserve"> also provided by Gambling Help NSW for teachers to print and display in their classroom </w:t>
      </w:r>
      <w:r w:rsidRPr="00682101">
        <w:rPr>
          <w:rFonts w:eastAsia="Times New Roman"/>
        </w:rPr>
        <w:fldChar w:fldCharType="begin"/>
      </w:r>
      <w:r w:rsidRPr="00682101">
        <w:rPr>
          <w:rFonts w:eastAsia="Times New Roman"/>
        </w:rPr>
        <w:instrText xml:space="preserve"> ADDIN EN.CITE &lt;EndNote&gt;&lt;Cite&gt;&lt;Author&gt;Gambling Help NSW&lt;/Author&gt;&lt;Year&gt;n.d.&lt;/Year&gt;&lt;RecNum&gt;503&lt;/RecNum&gt;&lt;DisplayText&gt;(Gambling Help NSW, n.d.-a)&lt;/DisplayText&gt;&lt;record&gt;&lt;rec-number&gt;503&lt;/rec-number&gt;&lt;foreign-keys&gt;&lt;key app="EN" db-id="5v2daxed8wv0eoesd9av5dd8exsxdewpfpwd" timestamp="1602104074"&gt;503&lt;/key&gt;&lt;/foreign-keys&gt;&lt;ref-type name="Web Page"&gt;12&lt;/ref-type&gt;&lt;contributors&gt;&lt;authors&gt;&lt;author&gt;Gambling Help NSW,&lt;/author&gt;&lt;/authors&gt;&lt;/contributors&gt;&lt;titles&gt;&lt;title&gt;Classroom resources&lt;/title&gt;&lt;/titles&gt;&lt;dates&gt;&lt;year&gt;n.d.&lt;/year&gt;&lt;/dates&gt;&lt;urls&gt;&lt;related-urls&gt;&lt;url&gt;https://gamblinghelp.nsw.gov.au/support-someone/classroom-resources/&lt;/url&gt;&lt;/related-urls&gt;&lt;/urls&gt;&lt;/record&gt;&lt;/Cite&gt;&lt;/EndNote&gt;</w:instrText>
      </w:r>
      <w:r w:rsidRPr="00682101">
        <w:rPr>
          <w:rFonts w:eastAsia="Times New Roman"/>
        </w:rPr>
        <w:fldChar w:fldCharType="separate"/>
      </w:r>
      <w:r w:rsidRPr="00682101">
        <w:rPr>
          <w:rFonts w:eastAsia="Times New Roman"/>
        </w:rPr>
        <w:t>(Gambling Help NSW, n.d.-a)</w:t>
      </w:r>
      <w:r w:rsidRPr="00682101">
        <w:rPr>
          <w:rFonts w:eastAsia="Times New Roman"/>
        </w:rPr>
        <w:fldChar w:fldCharType="end"/>
      </w:r>
      <w:r w:rsidRPr="00682101">
        <w:rPr>
          <w:rFonts w:eastAsia="Times New Roman"/>
        </w:rPr>
        <w:t>.</w:t>
      </w:r>
    </w:p>
    <w:p w14:paraId="77B3CFCC" w14:textId="77777777" w:rsidR="00682101" w:rsidRPr="00126BA8" w:rsidRDefault="00682101" w:rsidP="00682101">
      <w:pPr>
        <w:spacing w:line="240" w:lineRule="auto"/>
        <w:jc w:val="both"/>
        <w:rPr>
          <w:rFonts w:eastAsia="Times New Roman"/>
        </w:rPr>
      </w:pPr>
    </w:p>
    <w:p w14:paraId="60808C2C" w14:textId="6F4DF04C" w:rsidR="00682101" w:rsidRPr="00126BA8" w:rsidRDefault="00682101" w:rsidP="00682101">
      <w:pPr>
        <w:pStyle w:val="Heading4"/>
        <w:spacing w:before="0"/>
        <w:rPr>
          <w:rFonts w:eastAsia="Times New Roman"/>
        </w:rPr>
      </w:pPr>
      <w:r>
        <w:rPr>
          <w:rFonts w:eastAsia="Times New Roman"/>
        </w:rPr>
        <w:t xml:space="preserve">Acknowledgement of the </w:t>
      </w:r>
      <w:r w:rsidR="001C7761" w:rsidRPr="00126BA8">
        <w:rPr>
          <w:rFonts w:eastAsia="Times New Roman"/>
        </w:rPr>
        <w:t>wide-ranging</w:t>
      </w:r>
      <w:r w:rsidRPr="00126BA8">
        <w:rPr>
          <w:rFonts w:eastAsia="Times New Roman"/>
        </w:rPr>
        <w:t xml:space="preserve"> benefits for engaging with the family/whānau</w:t>
      </w:r>
    </w:p>
    <w:p w14:paraId="3E8E6D72" w14:textId="77777777" w:rsidR="00682101" w:rsidRDefault="00682101" w:rsidP="00682101">
      <w:pPr>
        <w:spacing w:line="240" w:lineRule="auto"/>
        <w:jc w:val="both"/>
        <w:rPr>
          <w:bCs/>
        </w:rPr>
      </w:pPr>
      <w:r>
        <w:rPr>
          <w:bCs/>
        </w:rPr>
        <w:t>Service FAO policies identified e</w:t>
      </w:r>
      <w:r w:rsidRPr="00126BA8">
        <w:rPr>
          <w:bCs/>
        </w:rPr>
        <w:t xml:space="preserve">ngaging with the whole family as beneficial for broad improvements in family/whānau wellbeing and functioning. The Family Support and Psychoeducational Group Manual for Problem Gambling developed by CAMH detailed </w:t>
      </w:r>
      <w:r>
        <w:rPr>
          <w:bCs/>
        </w:rPr>
        <w:t>that</w:t>
      </w:r>
      <w:r w:rsidRPr="00126BA8">
        <w:rPr>
          <w:bCs/>
        </w:rPr>
        <w:t xml:space="preserve"> involvement of family members </w:t>
      </w:r>
      <w:r>
        <w:rPr>
          <w:bCs/>
        </w:rPr>
        <w:t xml:space="preserve">improves </w:t>
      </w:r>
      <w:r w:rsidRPr="00126BA8">
        <w:rPr>
          <w:bCs/>
        </w:rPr>
        <w:t>treatment retention, reduc</w:t>
      </w:r>
      <w:r>
        <w:rPr>
          <w:bCs/>
        </w:rPr>
        <w:t>es</w:t>
      </w:r>
      <w:r w:rsidRPr="00126BA8">
        <w:rPr>
          <w:bCs/>
        </w:rPr>
        <w:t xml:space="preserve"> isolation, ameliorat</w:t>
      </w:r>
      <w:r>
        <w:rPr>
          <w:bCs/>
        </w:rPr>
        <w:t>es</w:t>
      </w:r>
      <w:r w:rsidRPr="00126BA8">
        <w:rPr>
          <w:bCs/>
        </w:rPr>
        <w:t xml:space="preserve"> the harm within relationships caused by gambling, and </w:t>
      </w:r>
      <w:r>
        <w:rPr>
          <w:bCs/>
        </w:rPr>
        <w:t xml:space="preserve">creates </w:t>
      </w:r>
      <w:r w:rsidRPr="00126BA8">
        <w:rPr>
          <w:bCs/>
        </w:rPr>
        <w:t>improvements for children even when not directly involved in therapy. Best practice for involving family members was also detailed:</w:t>
      </w:r>
    </w:p>
    <w:p w14:paraId="790972BF" w14:textId="77777777" w:rsidR="00682101" w:rsidRPr="00126BA8" w:rsidRDefault="00682101" w:rsidP="00682101">
      <w:pPr>
        <w:spacing w:line="240" w:lineRule="auto"/>
        <w:jc w:val="both"/>
        <w:rPr>
          <w:bCs/>
        </w:rPr>
      </w:pPr>
    </w:p>
    <w:p w14:paraId="7A83FC66" w14:textId="77777777" w:rsidR="00682101" w:rsidRPr="00126BA8" w:rsidRDefault="00682101" w:rsidP="00682101">
      <w:pPr>
        <w:pStyle w:val="ListParagraph"/>
        <w:numPr>
          <w:ilvl w:val="0"/>
          <w:numId w:val="25"/>
        </w:numPr>
        <w:spacing w:line="240" w:lineRule="auto"/>
        <w:jc w:val="both"/>
        <w:rPr>
          <w:bCs/>
          <w:i/>
        </w:rPr>
      </w:pPr>
      <w:r w:rsidRPr="00126BA8">
        <w:rPr>
          <w:bCs/>
          <w:i/>
        </w:rPr>
        <w:t>Involve families in treatment as early as possible.</w:t>
      </w:r>
    </w:p>
    <w:p w14:paraId="3476CE5D" w14:textId="77777777" w:rsidR="00682101" w:rsidRPr="00126BA8" w:rsidRDefault="00682101" w:rsidP="00682101">
      <w:pPr>
        <w:pStyle w:val="ListParagraph"/>
        <w:numPr>
          <w:ilvl w:val="0"/>
          <w:numId w:val="25"/>
        </w:numPr>
        <w:spacing w:line="240" w:lineRule="auto"/>
        <w:jc w:val="both"/>
        <w:rPr>
          <w:bCs/>
          <w:i/>
        </w:rPr>
      </w:pPr>
      <w:r w:rsidRPr="00126BA8">
        <w:rPr>
          <w:bCs/>
          <w:i/>
        </w:rPr>
        <w:t>Involve families in collaborative treatment planning as much as possible.</w:t>
      </w:r>
    </w:p>
    <w:p w14:paraId="4CD7A29F" w14:textId="77777777" w:rsidR="00682101" w:rsidRPr="00126BA8" w:rsidRDefault="00682101" w:rsidP="00682101">
      <w:pPr>
        <w:pStyle w:val="ListParagraph"/>
        <w:numPr>
          <w:ilvl w:val="0"/>
          <w:numId w:val="25"/>
        </w:numPr>
        <w:spacing w:line="240" w:lineRule="auto"/>
        <w:jc w:val="both"/>
        <w:rPr>
          <w:bCs/>
          <w:i/>
        </w:rPr>
      </w:pPr>
      <w:r w:rsidRPr="00126BA8">
        <w:rPr>
          <w:bCs/>
          <w:i/>
        </w:rPr>
        <w:t>Clarify your role as a therapist (e.g., who your client is, what information you can share with others).</w:t>
      </w:r>
    </w:p>
    <w:p w14:paraId="078689A1" w14:textId="77777777" w:rsidR="00682101" w:rsidRPr="00126BA8" w:rsidRDefault="00682101" w:rsidP="00682101">
      <w:pPr>
        <w:pStyle w:val="ListParagraph"/>
        <w:numPr>
          <w:ilvl w:val="0"/>
          <w:numId w:val="25"/>
        </w:numPr>
        <w:spacing w:line="240" w:lineRule="auto"/>
        <w:jc w:val="both"/>
        <w:rPr>
          <w:bCs/>
          <w:i/>
        </w:rPr>
      </w:pPr>
      <w:r w:rsidRPr="00126BA8">
        <w:rPr>
          <w:bCs/>
          <w:i/>
        </w:rPr>
        <w:lastRenderedPageBreak/>
        <w:t>Clarify the limits of confidentiality and develop strategies for resolving problems related confidentiality.</w:t>
      </w:r>
    </w:p>
    <w:p w14:paraId="4F5A8D20" w14:textId="77777777" w:rsidR="00682101" w:rsidRPr="00126BA8" w:rsidRDefault="00682101" w:rsidP="00682101">
      <w:pPr>
        <w:pStyle w:val="ListParagraph"/>
        <w:numPr>
          <w:ilvl w:val="0"/>
          <w:numId w:val="25"/>
        </w:numPr>
        <w:spacing w:line="240" w:lineRule="auto"/>
        <w:jc w:val="both"/>
        <w:rPr>
          <w:bCs/>
          <w:i/>
        </w:rPr>
      </w:pPr>
      <w:r w:rsidRPr="00126BA8">
        <w:rPr>
          <w:bCs/>
          <w:i/>
        </w:rPr>
        <w:t>Even when clients do not consent to the release of information about their treatment, give families general information about problem gambling treatment and the help available for families.</w:t>
      </w:r>
    </w:p>
    <w:p w14:paraId="5FE4E1D6" w14:textId="77777777" w:rsidR="00682101" w:rsidRPr="00126BA8" w:rsidRDefault="00682101" w:rsidP="00682101">
      <w:pPr>
        <w:pStyle w:val="ListParagraph"/>
        <w:numPr>
          <w:ilvl w:val="0"/>
          <w:numId w:val="25"/>
        </w:numPr>
        <w:spacing w:line="240" w:lineRule="auto"/>
        <w:jc w:val="both"/>
        <w:rPr>
          <w:bCs/>
          <w:i/>
        </w:rPr>
      </w:pPr>
      <w:r w:rsidRPr="00126BA8">
        <w:rPr>
          <w:bCs/>
          <w:i/>
        </w:rPr>
        <w:t>Discuss the impact of problem gambling on family relationships in individual sessions and group treatment for gambling clients.</w:t>
      </w:r>
    </w:p>
    <w:p w14:paraId="6AB8A715" w14:textId="77777777" w:rsidR="00682101" w:rsidRPr="00126BA8" w:rsidRDefault="00682101" w:rsidP="00682101">
      <w:pPr>
        <w:pStyle w:val="ListParagraph"/>
        <w:numPr>
          <w:ilvl w:val="0"/>
          <w:numId w:val="25"/>
        </w:numPr>
        <w:spacing w:line="240" w:lineRule="auto"/>
        <w:jc w:val="both"/>
        <w:rPr>
          <w:bCs/>
          <w:i/>
        </w:rPr>
      </w:pPr>
      <w:r w:rsidRPr="00126BA8">
        <w:rPr>
          <w:bCs/>
          <w:i/>
        </w:rPr>
        <w:t>Provide services for families, such as individual sessions for family members and family psychoeducational support groups.</w:t>
      </w:r>
    </w:p>
    <w:p w14:paraId="48EEB063" w14:textId="77777777" w:rsidR="00682101" w:rsidRPr="00126BA8" w:rsidRDefault="00682101" w:rsidP="00682101">
      <w:pPr>
        <w:pStyle w:val="ListParagraph"/>
        <w:numPr>
          <w:ilvl w:val="0"/>
          <w:numId w:val="25"/>
        </w:numPr>
        <w:spacing w:line="240" w:lineRule="auto"/>
        <w:jc w:val="both"/>
        <w:rPr>
          <w:bCs/>
          <w:i/>
        </w:rPr>
      </w:pPr>
      <w:r w:rsidRPr="00126BA8">
        <w:rPr>
          <w:bCs/>
          <w:i/>
        </w:rPr>
        <w:t>Help families learn to cope and relate effectively.</w:t>
      </w:r>
    </w:p>
    <w:p w14:paraId="07F1A50D" w14:textId="77777777" w:rsidR="00682101" w:rsidRPr="00126BA8" w:rsidRDefault="00682101" w:rsidP="00682101">
      <w:pPr>
        <w:pStyle w:val="ListParagraph"/>
        <w:numPr>
          <w:ilvl w:val="0"/>
          <w:numId w:val="25"/>
        </w:numPr>
        <w:spacing w:line="240" w:lineRule="auto"/>
        <w:jc w:val="both"/>
        <w:rPr>
          <w:bCs/>
          <w:i/>
        </w:rPr>
      </w:pPr>
      <w:r w:rsidRPr="00126BA8">
        <w:rPr>
          <w:bCs/>
          <w:i/>
        </w:rPr>
        <w:t>Treat family members with dignity and respect; avoid judging or blaming family members.</w:t>
      </w:r>
    </w:p>
    <w:p w14:paraId="5C55AA74" w14:textId="77777777" w:rsidR="00682101" w:rsidRPr="00126BA8" w:rsidRDefault="00682101" w:rsidP="00682101">
      <w:pPr>
        <w:pStyle w:val="ListParagraph"/>
        <w:numPr>
          <w:ilvl w:val="0"/>
          <w:numId w:val="25"/>
        </w:numPr>
        <w:spacing w:line="240" w:lineRule="auto"/>
        <w:jc w:val="both"/>
        <w:rPr>
          <w:bCs/>
          <w:i/>
        </w:rPr>
      </w:pPr>
      <w:r w:rsidRPr="00126BA8">
        <w:rPr>
          <w:bCs/>
          <w:i/>
        </w:rPr>
        <w:t>Focus treatment on a family’s strengths, expertise and contribution to treatment planning.</w:t>
      </w:r>
    </w:p>
    <w:p w14:paraId="5D790FF6" w14:textId="6B4E5C2D" w:rsidR="00682101" w:rsidRDefault="00682101" w:rsidP="00682101">
      <w:pPr>
        <w:spacing w:line="240" w:lineRule="auto"/>
        <w:ind w:left="1440"/>
        <w:jc w:val="both"/>
        <w:rPr>
          <w:bCs/>
        </w:rPr>
      </w:pPr>
      <w:r w:rsidRPr="00126BA8">
        <w:rPr>
          <w:bCs/>
        </w:rPr>
        <w:fldChar w:fldCharType="begin"/>
      </w:r>
      <w:r w:rsidR="00D945BB">
        <w:rPr>
          <w:bCs/>
        </w:rPr>
        <w:instrText xml:space="preserve"> ADDIN EN.CITE &lt;EndNote&gt;&lt;Cite&gt;&lt;Author&gt;Kourgiantakis&lt;/Author&gt;&lt;Year&gt;2013&lt;/Year&gt;&lt;RecNum&gt;650&lt;/RecNum&gt;&lt;Prefix&gt;CAMH family support manual`, &lt;/Prefix&gt;&lt;Pages&gt;7&lt;/Pages&gt;&lt;DisplayText&gt;(CAMH family support manual, Kourgiantakis, Weyman, et al., 2013b, p. 7)&lt;/DisplayText&gt;&lt;record&gt;&lt;rec-number&gt;650&lt;/rec-number&gt;&lt;foreign-keys&gt;&lt;key app="EN" db-id="5v2daxed8wv0eoesd9av5dd8exsxdewpfpwd" timestamp="1600901876"&gt;650&lt;/key&gt;&lt;/foreign-keys&gt;&lt;ref-type name="Report"&gt;27&lt;/ref-type&gt;&lt;contributors&gt;&lt;authors&gt;&lt;author&gt;Kourgiantakis, Toula&lt;/author&gt;&lt;author&gt;Weyman, M&lt;/author&gt;&lt;author&gt;Teasell, B&lt;/author&gt;&lt;author&gt;Pont, L&lt;/author&gt;&lt;/authors&gt;&lt;secondary-authors&gt;&lt;author&gt;Problem Gambling Institute of Ontario&lt;/author&gt;&lt;/secondary-authors&gt;&lt;tertiary-authors&gt;&lt;author&gt;Centre for Addiction and Mental Health&lt;/author&gt;&lt;/tertiary-authors&gt;&lt;/contributors&gt;&lt;titles&gt;&lt;title&gt;Family support and psychoeducational group manual for problem gambling&lt;/title&gt;&lt;/titles&gt;&lt;dates&gt;&lt;year&gt;2013&lt;/year&gt;&lt;/dates&gt;&lt;pub-location&gt;Toronto, ON&lt;/pub-location&gt;&lt;urls&gt;&lt;/urls&gt;&lt;/record&gt;&lt;/Cite&gt;&lt;/EndNote&gt;</w:instrText>
      </w:r>
      <w:r w:rsidRPr="00126BA8">
        <w:rPr>
          <w:bCs/>
        </w:rPr>
        <w:fldChar w:fldCharType="separate"/>
      </w:r>
      <w:r w:rsidR="00D945BB">
        <w:rPr>
          <w:bCs/>
          <w:noProof/>
        </w:rPr>
        <w:t>(CAMH family support manual, Kourgiantakis, Weyman, et al., 2013b, p. 7)</w:t>
      </w:r>
      <w:r w:rsidRPr="00126BA8">
        <w:rPr>
          <w:bCs/>
        </w:rPr>
        <w:fldChar w:fldCharType="end"/>
      </w:r>
    </w:p>
    <w:p w14:paraId="086638D2" w14:textId="77777777" w:rsidR="00682101" w:rsidRPr="00126BA8" w:rsidRDefault="00682101" w:rsidP="00682101">
      <w:pPr>
        <w:spacing w:line="240" w:lineRule="auto"/>
        <w:ind w:left="1440"/>
        <w:jc w:val="both"/>
        <w:rPr>
          <w:bCs/>
        </w:rPr>
      </w:pPr>
    </w:p>
    <w:p w14:paraId="549E8BB5" w14:textId="77777777" w:rsidR="00682101" w:rsidRPr="00126BA8" w:rsidRDefault="00682101" w:rsidP="00682101">
      <w:pPr>
        <w:spacing w:line="240" w:lineRule="auto"/>
        <w:jc w:val="both"/>
        <w:rPr>
          <w:bCs/>
        </w:rPr>
      </w:pPr>
      <w:r w:rsidRPr="00126BA8">
        <w:rPr>
          <w:bCs/>
        </w:rPr>
        <w:t>Some services included family therapy or family groups as part of a range of programmes available. For example, PGF Services and Oasis use Single Session Family Consultation (SSFC) which is a model for engaging with families/whānau to identify and clarify (1) how they will be involved in the gambling individual’s care or support and (2) identify and address the FAOs own needs. Family members are welcome and encouraged to attend services alongside the gambling individual.</w:t>
      </w:r>
    </w:p>
    <w:p w14:paraId="61627A2A" w14:textId="77777777" w:rsidR="00682101" w:rsidRDefault="00682101" w:rsidP="00682101">
      <w:pPr>
        <w:spacing w:line="240" w:lineRule="auto"/>
        <w:jc w:val="both"/>
        <w:rPr>
          <w:bCs/>
        </w:rPr>
      </w:pPr>
    </w:p>
    <w:p w14:paraId="19F58E2D" w14:textId="77777777" w:rsidR="00682101" w:rsidRDefault="00682101" w:rsidP="00682101">
      <w:pPr>
        <w:spacing w:line="240" w:lineRule="auto"/>
        <w:jc w:val="both"/>
        <w:rPr>
          <w:bCs/>
        </w:rPr>
      </w:pPr>
      <w:r w:rsidRPr="00126BA8">
        <w:rPr>
          <w:bCs/>
        </w:rPr>
        <w:t>Culturally diverse services (e.g. Raukura, AFS, Mapu Maia, and</w:t>
      </w:r>
      <w:r w:rsidRPr="00126BA8">
        <w:t xml:space="preserve"> </w:t>
      </w:r>
      <w:r w:rsidRPr="00126BA8">
        <w:rPr>
          <w:bCs/>
        </w:rPr>
        <w:t>Warruwi Gambling Help) were developed with a family-inclusive approach as an inherent part of their framework. For example, in the PGF Group’s annual report, it was detailed that the Pacific Advisory Board provides strategic advice and direction to the PGF Board and Mapu Maia which ensures that the voices of families and communities were reflected in the service:</w:t>
      </w:r>
    </w:p>
    <w:p w14:paraId="7C5C23EB" w14:textId="77777777" w:rsidR="00682101" w:rsidRPr="00126BA8" w:rsidRDefault="00682101" w:rsidP="00682101">
      <w:pPr>
        <w:spacing w:line="240" w:lineRule="auto"/>
        <w:jc w:val="both"/>
        <w:rPr>
          <w:bCs/>
        </w:rPr>
      </w:pPr>
    </w:p>
    <w:p w14:paraId="75DAEAD3" w14:textId="77777777" w:rsidR="00682101" w:rsidRDefault="00682101" w:rsidP="00682101">
      <w:pPr>
        <w:spacing w:line="240" w:lineRule="auto"/>
        <w:ind w:left="720"/>
        <w:jc w:val="both"/>
        <w:rPr>
          <w:bCs/>
        </w:rPr>
      </w:pPr>
      <w:r w:rsidRPr="00126BA8">
        <w:rPr>
          <w:bCs/>
          <w:i/>
        </w:rPr>
        <w:t xml:space="preserve">…This has led to the development of a Pacific Strategy involving a year-long talanoa process, reflecting the voices of our families and communities. This strategy highlights the interactions and conversations we shared, including their health and social needs. As the Pacific Advisory Board we place our Pacific peoples, families and communities at the heart of development, thinking and forward planning. Pacific communities expressed a strong desire to actively design and lead their own innovative solutions and as a Board we wish to create opportunities to share, understand and plan so that these objectives can be realised. </w:t>
      </w:r>
      <w:r w:rsidRPr="00126BA8">
        <w:rPr>
          <w:bCs/>
        </w:rPr>
        <w:t>(PGF Group Annual report 2019, p. 22)</w:t>
      </w:r>
    </w:p>
    <w:p w14:paraId="6A6F959D" w14:textId="77777777" w:rsidR="00682101" w:rsidRPr="00126BA8" w:rsidRDefault="00682101" w:rsidP="00682101">
      <w:pPr>
        <w:spacing w:line="240" w:lineRule="auto"/>
        <w:ind w:left="720"/>
        <w:jc w:val="both"/>
        <w:rPr>
          <w:bCs/>
        </w:rPr>
      </w:pPr>
    </w:p>
    <w:p w14:paraId="0DCD191D" w14:textId="617F30CB" w:rsidR="00966D1C" w:rsidRPr="00126BA8" w:rsidRDefault="00D90464" w:rsidP="00966D1C">
      <w:pPr>
        <w:pStyle w:val="Heading4"/>
        <w:spacing w:before="0"/>
      </w:pPr>
      <w:r>
        <w:t xml:space="preserve">Limited </w:t>
      </w:r>
      <w:r w:rsidR="00966D1C" w:rsidRPr="00126BA8">
        <w:t xml:space="preserve">recognition of FAO support </w:t>
      </w:r>
      <w:r>
        <w:t xml:space="preserve">needs </w:t>
      </w:r>
      <w:r w:rsidR="00966D1C" w:rsidRPr="00126BA8">
        <w:t>in their own right</w:t>
      </w:r>
    </w:p>
    <w:p w14:paraId="10491E8B" w14:textId="1E6B0D81" w:rsidR="00966D1C" w:rsidRPr="00126BA8" w:rsidRDefault="00617D65" w:rsidP="00966D1C">
      <w:pPr>
        <w:spacing w:line="240" w:lineRule="auto"/>
        <w:jc w:val="both"/>
      </w:pPr>
      <w:r>
        <w:t>Few</w:t>
      </w:r>
      <w:r w:rsidR="00966D1C" w:rsidRPr="00126BA8">
        <w:t xml:space="preserve"> services were clear in their ability to offer support to FAOs in their own right. In particular, it was clear in the discussions with service managers that enhancing support for FAOs was a</w:t>
      </w:r>
      <w:r>
        <w:t xml:space="preserve"> developing</w:t>
      </w:r>
      <w:r w:rsidR="00966D1C" w:rsidRPr="00126BA8">
        <w:t xml:space="preserve"> focus for services going forward as work was still needed. For example, it was discussed that barriers and constraints to providing a family-centred practice included limited resources specifically for FAOs, no clinical manual or model of care for working with family, and limited FAO specific policy. In general, it was reported that culturally and linguistically diverse services (e.g. A</w:t>
      </w:r>
      <w:r>
        <w:t xml:space="preserve">sian </w:t>
      </w:r>
      <w:r w:rsidR="00966D1C" w:rsidRPr="00126BA8">
        <w:t>F</w:t>
      </w:r>
      <w:r>
        <w:t xml:space="preserve">amily </w:t>
      </w:r>
      <w:r w:rsidR="00966D1C" w:rsidRPr="00126BA8">
        <w:t>S</w:t>
      </w:r>
      <w:r>
        <w:t>ervices</w:t>
      </w:r>
      <w:r w:rsidR="00966D1C" w:rsidRPr="00126BA8">
        <w:t xml:space="preserve">, Mapu Maia, Raukura, and Warruwi Gambling Help) were at the forefront of providing holistic family-centred services that catered to FAOs (discussed </w:t>
      </w:r>
      <w:r>
        <w:t xml:space="preserve">further below in </w:t>
      </w:r>
      <w:r w:rsidR="00D90464">
        <w:t xml:space="preserve">the </w:t>
      </w:r>
      <w:r w:rsidR="00D90464" w:rsidRPr="00D90464">
        <w:t xml:space="preserve">sections titled: “Acknowledgement of the wide ranging benefits </w:t>
      </w:r>
      <w:r w:rsidR="00D90464" w:rsidRPr="00D90464">
        <w:lastRenderedPageBreak/>
        <w:t>for engaging with the family/whānau” and “Culturally based services tend to conceptualise families/whānau as the client from the outset”</w:t>
      </w:r>
      <w:r w:rsidR="00966D1C" w:rsidRPr="00617D65">
        <w:rPr>
          <w:iCs/>
        </w:rPr>
        <w:t>)</w:t>
      </w:r>
      <w:r w:rsidR="00966D1C" w:rsidRPr="00126BA8">
        <w:t>.</w:t>
      </w:r>
    </w:p>
    <w:p w14:paraId="01656BF1" w14:textId="77777777" w:rsidR="00617D65" w:rsidRDefault="00617D65" w:rsidP="00966D1C">
      <w:pPr>
        <w:spacing w:line="240" w:lineRule="auto"/>
        <w:jc w:val="both"/>
      </w:pPr>
    </w:p>
    <w:p w14:paraId="60256607" w14:textId="292F6F9F" w:rsidR="00966D1C" w:rsidRDefault="00D90464" w:rsidP="00966D1C">
      <w:pPr>
        <w:spacing w:line="240" w:lineRule="auto"/>
        <w:jc w:val="both"/>
      </w:pPr>
      <w:r>
        <w:t>M</w:t>
      </w:r>
      <w:r w:rsidR="00966D1C" w:rsidRPr="00126BA8">
        <w:t xml:space="preserve">ost </w:t>
      </w:r>
      <w:r w:rsidR="00617D65">
        <w:t xml:space="preserve">of </w:t>
      </w:r>
      <w:r w:rsidR="00966D1C" w:rsidRPr="00126BA8">
        <w:t xml:space="preserve">the online/publicly available information appeared to lean more towards informing FAOs on how to support or approach the gambling individual. </w:t>
      </w:r>
      <w:r>
        <w:t xml:space="preserve">In contrast, </w:t>
      </w:r>
      <w:r w:rsidR="00966D1C" w:rsidRPr="00126BA8">
        <w:t xml:space="preserve">SHARC’s Family Gambling Help </w:t>
      </w:r>
      <w:r w:rsidR="00617D65">
        <w:t xml:space="preserve">programme </w:t>
      </w:r>
      <w:r w:rsidR="00966D1C" w:rsidRPr="00126BA8">
        <w:t xml:space="preserve">was established following the identification of gaps in meeting the needs of family members. </w:t>
      </w:r>
      <w:r w:rsidRPr="00D90464">
        <w:t xml:space="preserve">Family Gambling Help includes the InFocus Education Program (support, information, coping strategies and community referral for anyone affected by problem gambling), an FAO support group in a remote community, and online resources for FAOs such as an interactive website, a radio show, and online support groups </w:t>
      </w:r>
      <w:r w:rsidRPr="00D90464">
        <w:fldChar w:fldCharType="begin"/>
      </w:r>
      <w:r w:rsidRPr="00D90464">
        <w:instrText xml:space="preserve"> ADDIN EN.CITE &lt;EndNote&gt;&lt;Cite&gt;&lt;Author&gt;SHARC&lt;/Author&gt;&lt;Year&gt;n.d.&lt;/Year&gt;&lt;RecNum&gt;494&lt;/RecNum&gt;&lt;DisplayText&gt;(SHARC, n.d.)&lt;/DisplayText&gt;&lt;record&gt;&lt;rec-number&gt;494&lt;/rec-number&gt;&lt;foreign-keys&gt;&lt;key app="EN" db-id="5v2daxed8wv0eoesd9av5dd8exsxdewpfpwd" timestamp="1602034759"&gt;494&lt;/key&gt;&lt;/foreign-keys&gt;&lt;ref-type name="Web Page"&gt;12&lt;/ref-type&gt;&lt;contributors&gt;&lt;authors&gt;&lt;author&gt;SHARC,&lt;/author&gt;&lt;/authors&gt;&lt;/contributors&gt;&lt;titles&gt;&lt;title&gt;Family Gambling Help&lt;/title&gt;&lt;/titles&gt;&lt;dates&gt;&lt;year&gt;n.d.&lt;/year&gt;&lt;/dates&gt;&lt;urls&gt;&lt;related-urls&gt;&lt;url&gt;https://www.sharc.org.au/family-drug-help/family-gambling-help/&lt;/url&gt;&lt;/related-urls&gt;&lt;/urls&gt;&lt;/record&gt;&lt;/Cite&gt;&lt;/EndNote&gt;</w:instrText>
      </w:r>
      <w:r w:rsidRPr="00D90464">
        <w:fldChar w:fldCharType="separate"/>
      </w:r>
      <w:r w:rsidRPr="00D90464">
        <w:t>(SHARC, n.d.)</w:t>
      </w:r>
      <w:r w:rsidRPr="00D90464">
        <w:fldChar w:fldCharType="end"/>
      </w:r>
      <w:r w:rsidRPr="00D90464">
        <w:t xml:space="preserve">. </w:t>
      </w:r>
      <w:r>
        <w:t>S</w:t>
      </w:r>
      <w:r w:rsidR="00966D1C" w:rsidRPr="00126BA8">
        <w:t xml:space="preserve">ervices that utilised the 5-step method (e.g. The Salvation Army Oasis) recognised that the needs of FAOs have been overlooked. For example, The Salvation Army Oasis policy document on the 5-Step Method stated that one of the key reasons to adopt the method was because </w:t>
      </w:r>
      <w:r w:rsidR="00966D1C" w:rsidRPr="00617D65">
        <w:t>“The needs of the family and whanau member in these situations are important in addition to the needs of the relative/friend with the addiction but are often overlooked.”</w:t>
      </w:r>
      <w:r w:rsidR="00966D1C" w:rsidRPr="00126BA8">
        <w:t xml:space="preserve"> </w:t>
      </w:r>
      <w:r w:rsidR="00966D1C" w:rsidRPr="00126BA8">
        <w:fldChar w:fldCharType="begin"/>
      </w:r>
      <w:r w:rsidR="00966D1C" w:rsidRPr="00126BA8">
        <w:instrText xml:space="preserve"> ADDIN EN.CITE &lt;EndNote&gt;&lt;Cite&gt;&lt;Author&gt;The Salvation Army Oasis&lt;/Author&gt;&lt;Year&gt;n.d.&lt;/Year&gt;&lt;RecNum&gt;652&lt;/RecNum&gt;&lt;DisplayText&gt;(The Salvation Army Oasis, n.d.-a)&lt;/DisplayText&gt;&lt;record&gt;&lt;rec-number&gt;652&lt;/rec-number&gt;&lt;foreign-keys&gt;&lt;key app="EN" db-id="5v2daxed8wv0eoesd9av5dd8exsxdewpfpwd" timestamp="1600902192"&gt;652&lt;/key&gt;&lt;/foreign-keys&gt;&lt;ref-type name="Report"&gt;27&lt;/ref-type&gt;&lt;contributors&gt;&lt;authors&gt;&lt;author&gt;The Salvation Army Oasis,&lt;/author&gt;&lt;/authors&gt;&lt;/contributors&gt;&lt;titles&gt;&lt;title&gt;The 5-Step method of counselling&lt;/title&gt;&lt;/titles&gt;&lt;dates&gt;&lt;year&gt;n.d.&lt;/year&gt;&lt;/dates&gt;&lt;publisher&gt;The Salvation Army Oasis&lt;/publisher&gt;&lt;urls&gt;&lt;/urls&gt;&lt;/record&gt;&lt;/Cite&gt;&lt;/EndNote&gt;</w:instrText>
      </w:r>
      <w:r w:rsidR="00966D1C" w:rsidRPr="00126BA8">
        <w:fldChar w:fldCharType="separate"/>
      </w:r>
      <w:r w:rsidR="00966D1C" w:rsidRPr="00126BA8">
        <w:rPr>
          <w:noProof/>
        </w:rPr>
        <w:t>(The Salvation Army Oasis, n.d.-a)</w:t>
      </w:r>
      <w:r w:rsidR="00966D1C" w:rsidRPr="00126BA8">
        <w:fldChar w:fldCharType="end"/>
      </w:r>
      <w:r w:rsidR="00966D1C" w:rsidRPr="00126BA8">
        <w:t>. Indeed, the negative impact from gambling is presented on the front page of the 5-Step handbook:</w:t>
      </w:r>
    </w:p>
    <w:p w14:paraId="31B8D5DC" w14:textId="77777777" w:rsidR="00617D65" w:rsidRPr="00126BA8" w:rsidRDefault="00617D65" w:rsidP="00966D1C">
      <w:pPr>
        <w:spacing w:line="240" w:lineRule="auto"/>
        <w:jc w:val="both"/>
      </w:pPr>
    </w:p>
    <w:p w14:paraId="15C808D7" w14:textId="77777777" w:rsidR="00966D1C" w:rsidRPr="00126BA8" w:rsidRDefault="00966D1C" w:rsidP="00966D1C">
      <w:pPr>
        <w:spacing w:line="240" w:lineRule="auto"/>
        <w:ind w:left="720" w:firstLine="720"/>
        <w:jc w:val="both"/>
      </w:pPr>
      <w:r w:rsidRPr="00126BA8">
        <w:rPr>
          <w:noProof/>
          <w:lang w:eastAsia="en-NZ"/>
        </w:rPr>
        <w:drawing>
          <wp:inline distT="0" distB="0" distL="0" distR="0" wp14:anchorId="18DB9A23" wp14:editId="3BB4E504">
            <wp:extent cx="3631721" cy="2689389"/>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43559" cy="2698156"/>
                    </a:xfrm>
                    <a:prstGeom prst="rect">
                      <a:avLst/>
                    </a:prstGeom>
                  </pic:spPr>
                </pic:pic>
              </a:graphicData>
            </a:graphic>
          </wp:inline>
        </w:drawing>
      </w:r>
    </w:p>
    <w:p w14:paraId="3607E1F8" w14:textId="48DD905D" w:rsidR="00966D1C" w:rsidRPr="00126BA8" w:rsidRDefault="00966D1C" w:rsidP="00966D1C">
      <w:pPr>
        <w:spacing w:line="240" w:lineRule="auto"/>
        <w:ind w:firstLine="720"/>
        <w:jc w:val="both"/>
      </w:pPr>
      <w:r w:rsidRPr="00126BA8">
        <w:fldChar w:fldCharType="begin"/>
      </w:r>
      <w:r w:rsidR="006129C2">
        <w:instrText xml:space="preserve"> ADDIN EN.CITE &lt;EndNote&gt;&lt;Cite&gt;&lt;Author&gt;Copello&lt;/Author&gt;&lt;Year&gt;n.d.&lt;/Year&gt;&lt;RecNum&gt;653&lt;/RecNum&gt;&lt;Pages&gt;0&lt;/Pages&gt;&lt;DisplayText&gt;(Copello, Bowden-Jones, Cousins, Orford, &amp;amp; George, n.d., p. 0)&lt;/DisplayText&gt;&lt;record&gt;&lt;rec-number&gt;653&lt;/rec-number&gt;&lt;foreign-keys&gt;&lt;key app="EN" db-id="5v2daxed8wv0eoesd9av5dd8exsxdewpfpwd" timestamp="1600902492"&gt;653&lt;/key&gt;&lt;/foreign-keys&gt;&lt;ref-type name="Report"&gt;27&lt;/ref-type&gt;&lt;contributors&gt;&lt;authors&gt;&lt;author&gt;Copello, A&lt;/author&gt;&lt;author&gt;Bowden-Jones, H&lt;/author&gt;&lt;author&gt;Cousins, J&lt;/author&gt;&lt;author&gt;Orford, J&lt;/author&gt;&lt;author&gt;George, S&lt;/author&gt;&lt;/authors&gt;&lt;secondary-authors&gt;&lt;author&gt;Central and North West London NHS&lt;/author&gt;&lt;/secondary-authors&gt;&lt;tertiary-authors&gt;&lt;author&gt;The National Problem Gambling Clinic.&lt;/author&gt;&lt;author&gt;The UK ADF Research Group,&lt;/author&gt;&lt;/tertiary-authors&gt;&lt;/contributors&gt;&lt;titles&gt;&lt;title&gt;Gambling, the family and you: A self-help handbook for family members&lt;/title&gt;&lt;/titles&gt;&lt;dates&gt;&lt;year&gt;n.d.&lt;/year&gt;&lt;/dates&gt;&lt;pub-location&gt;UK&lt;/pub-location&gt;&lt;urls&gt;&lt;/urls&gt;&lt;/record&gt;&lt;/Cite&gt;&lt;/EndNote&gt;</w:instrText>
      </w:r>
      <w:r w:rsidRPr="00126BA8">
        <w:fldChar w:fldCharType="separate"/>
      </w:r>
      <w:r w:rsidR="006129C2">
        <w:rPr>
          <w:noProof/>
        </w:rPr>
        <w:t>(Copello, Bowden-Jones, Cousins, Orford, &amp; George, n.d., p. 0)</w:t>
      </w:r>
      <w:r w:rsidRPr="00126BA8">
        <w:fldChar w:fldCharType="end"/>
      </w:r>
    </w:p>
    <w:p w14:paraId="6774B3F8" w14:textId="77777777" w:rsidR="00966D1C" w:rsidRPr="00126BA8" w:rsidRDefault="00966D1C" w:rsidP="00966D1C">
      <w:pPr>
        <w:spacing w:line="240" w:lineRule="auto"/>
        <w:jc w:val="both"/>
      </w:pPr>
    </w:p>
    <w:p w14:paraId="032918E0" w14:textId="0B5B8BC7" w:rsidR="00966D1C" w:rsidRDefault="00D90464" w:rsidP="00966D1C">
      <w:pPr>
        <w:spacing w:line="240" w:lineRule="auto"/>
        <w:jc w:val="both"/>
      </w:pPr>
      <w:r>
        <w:t>R</w:t>
      </w:r>
      <w:r w:rsidR="00966D1C" w:rsidRPr="00126BA8">
        <w:t xml:space="preserve">ecognition of the stress and negative impact of gambling on FAOs was evident </w:t>
      </w:r>
      <w:r>
        <w:t>in</w:t>
      </w:r>
      <w:r w:rsidR="00966D1C" w:rsidRPr="00126BA8">
        <w:t xml:space="preserve"> sections such the </w:t>
      </w:r>
      <w:r w:rsidR="00966D1C" w:rsidRPr="00D90464">
        <w:t>Impacts on Others</w:t>
      </w:r>
      <w:r w:rsidR="00966D1C" w:rsidRPr="00126BA8">
        <w:t xml:space="preserve"> on the Gambling Help Online website</w:t>
      </w:r>
      <w:r>
        <w:t xml:space="preserve"> </w:t>
      </w:r>
      <w:r w:rsidRPr="00D90464">
        <w:fldChar w:fldCharType="begin"/>
      </w:r>
      <w:r w:rsidRPr="00D90464">
        <w:instrText xml:space="preserve"> ADDIN EN.CITE &lt;EndNote&gt;&lt;Cite&gt;&lt;Author&gt;Gambling Help Online&lt;/Author&gt;&lt;Year&gt;2020&lt;/Year&gt;&lt;RecNum&gt;495&lt;/RecNum&gt;&lt;DisplayText&gt;(Gambling Help Online, 2020c)&lt;/DisplayText&gt;&lt;record&gt;&lt;rec-number&gt;495&lt;/rec-number&gt;&lt;foreign-keys&gt;&lt;key app="EN" db-id="5v2daxed8wv0eoesd9av5dd8exsxdewpfpwd" timestamp="1602035025"&gt;495&lt;/key&gt;&lt;/foreign-keys&gt;&lt;ref-type name="Web Page"&gt;12&lt;/ref-type&gt;&lt;contributors&gt;&lt;authors&gt;&lt;author&gt;Gambling Help Online,&lt;/author&gt;&lt;/authors&gt;&lt;/contributors&gt;&lt;titles&gt;&lt;title&gt;Helping others: Impacts of gambling&lt;/title&gt;&lt;/titles&gt;&lt;dates&gt;&lt;year&gt;2020&lt;/year&gt;&lt;/dates&gt;&lt;urls&gt;&lt;related-urls&gt;&lt;url&gt;https://www.gamblinghelponline.org.au/helping-others/impact-on-others&lt;/url&gt;&lt;/related-urls&gt;&lt;/urls&gt;&lt;/record&gt;&lt;/Cite&gt;&lt;/EndNote&gt;</w:instrText>
      </w:r>
      <w:r w:rsidRPr="00D90464">
        <w:fldChar w:fldCharType="separate"/>
      </w:r>
      <w:r w:rsidRPr="00D90464">
        <w:t>(Gambling Help Online, 2020c)</w:t>
      </w:r>
      <w:r w:rsidRPr="00D90464">
        <w:fldChar w:fldCharType="end"/>
      </w:r>
      <w:r w:rsidR="00966D1C" w:rsidRPr="00126BA8">
        <w:t xml:space="preserve">. Additionally, online information highlighted the importance of self-care, normalised the difficulty for FAOs seeking help, and presented support options for FAOs. </w:t>
      </w:r>
      <w:r w:rsidR="0068007E">
        <w:t>Service managers emphasised that</w:t>
      </w:r>
      <w:r w:rsidR="00966D1C" w:rsidRPr="0068007E">
        <w:t xml:space="preserve"> there is still significant work to be done to ensure that FAO needs are not lost amongst the wealth of information for or aimed at </w:t>
      </w:r>
      <w:r w:rsidR="00EE768C">
        <w:t xml:space="preserve">supporting </w:t>
      </w:r>
      <w:r w:rsidR="00966D1C" w:rsidRPr="0068007E">
        <w:t>the gambling individual.</w:t>
      </w:r>
      <w:r w:rsidR="00156DE0" w:rsidRPr="0068007E">
        <w:t xml:space="preserve">  </w:t>
      </w:r>
    </w:p>
    <w:p w14:paraId="3EB15C5F" w14:textId="77777777" w:rsidR="00156DE0" w:rsidRPr="00126BA8" w:rsidRDefault="00156DE0" w:rsidP="00966D1C">
      <w:pPr>
        <w:spacing w:line="240" w:lineRule="auto"/>
        <w:jc w:val="both"/>
      </w:pPr>
    </w:p>
    <w:p w14:paraId="3EFC1654" w14:textId="77777777" w:rsidR="00966D1C" w:rsidRPr="00126BA8" w:rsidRDefault="00966D1C" w:rsidP="00966D1C">
      <w:pPr>
        <w:pStyle w:val="Heading4"/>
        <w:spacing w:before="0"/>
        <w:jc w:val="both"/>
        <w:rPr>
          <w:rFonts w:eastAsia="Times New Roman"/>
        </w:rPr>
      </w:pPr>
      <w:r w:rsidRPr="00126BA8">
        <w:rPr>
          <w:rFonts w:eastAsia="Times New Roman"/>
        </w:rPr>
        <w:t xml:space="preserve">Promotion of and engagement with lived experience </w:t>
      </w:r>
    </w:p>
    <w:p w14:paraId="67F16A75" w14:textId="49B544EF" w:rsidR="00966D1C" w:rsidRDefault="00E92476" w:rsidP="00966D1C">
      <w:pPr>
        <w:spacing w:line="240" w:lineRule="auto"/>
        <w:jc w:val="both"/>
        <w:rPr>
          <w:bCs/>
        </w:rPr>
      </w:pPr>
      <w:r>
        <w:rPr>
          <w:bCs/>
        </w:rPr>
        <w:t>L</w:t>
      </w:r>
      <w:r w:rsidR="00966D1C" w:rsidRPr="00126BA8">
        <w:rPr>
          <w:bCs/>
        </w:rPr>
        <w:t xml:space="preserve">ived experience articles and blog posts </w:t>
      </w:r>
      <w:r>
        <w:rPr>
          <w:bCs/>
        </w:rPr>
        <w:t>were</w:t>
      </w:r>
      <w:r w:rsidR="00966D1C" w:rsidRPr="00126BA8">
        <w:rPr>
          <w:bCs/>
        </w:rPr>
        <w:t xml:space="preserve"> available on </w:t>
      </w:r>
      <w:r>
        <w:rPr>
          <w:bCs/>
        </w:rPr>
        <w:t xml:space="preserve">some </w:t>
      </w:r>
      <w:r w:rsidR="00966D1C" w:rsidRPr="00126BA8">
        <w:rPr>
          <w:bCs/>
        </w:rPr>
        <w:t>service websites and social media focussing on FAO perspectives</w:t>
      </w:r>
      <w:r>
        <w:rPr>
          <w:bCs/>
        </w:rPr>
        <w:t>, though this was less common in New Zealand</w:t>
      </w:r>
      <w:r w:rsidR="00966D1C" w:rsidRPr="00126BA8">
        <w:rPr>
          <w:bCs/>
        </w:rPr>
        <w:t xml:space="preserve">. For example, within the Oasis website, there is a section called “Stories of Change” which provide personal stories from gamblers and FAOs about their involvement with gambling and Oasis </w:t>
      </w:r>
      <w:r w:rsidR="00966D1C" w:rsidRPr="00126BA8">
        <w:rPr>
          <w:bCs/>
        </w:rPr>
        <w:lastRenderedPageBreak/>
        <w:t xml:space="preserve">services. </w:t>
      </w:r>
      <w:r>
        <w:rPr>
          <w:bCs/>
        </w:rPr>
        <w:t>O</w:t>
      </w:r>
      <w:r w:rsidR="00966D1C" w:rsidRPr="00126BA8">
        <w:rPr>
          <w:bCs/>
        </w:rPr>
        <w:t>f the eight stories of change currently available on the website, one is a story from an FAO:</w:t>
      </w:r>
    </w:p>
    <w:p w14:paraId="7CE74C08" w14:textId="77777777" w:rsidR="00E92476" w:rsidRPr="00126BA8" w:rsidRDefault="00E92476" w:rsidP="00966D1C">
      <w:pPr>
        <w:spacing w:line="240" w:lineRule="auto"/>
        <w:jc w:val="both"/>
        <w:rPr>
          <w:bCs/>
        </w:rPr>
      </w:pPr>
    </w:p>
    <w:p w14:paraId="338DF175" w14:textId="77777777" w:rsidR="00966D1C" w:rsidRPr="00126BA8" w:rsidRDefault="00966D1C" w:rsidP="00966D1C">
      <w:pPr>
        <w:jc w:val="both"/>
        <w:rPr>
          <w:bCs/>
        </w:rPr>
      </w:pPr>
      <w:r w:rsidRPr="00126BA8">
        <w:rPr>
          <w:noProof/>
          <w:lang w:eastAsia="en-NZ"/>
        </w:rPr>
        <w:drawing>
          <wp:inline distT="0" distB="0" distL="0" distR="0" wp14:anchorId="25C29C0D" wp14:editId="35E97125">
            <wp:extent cx="5517034" cy="383857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38430" cy="3853461"/>
                    </a:xfrm>
                    <a:prstGeom prst="rect">
                      <a:avLst/>
                    </a:prstGeom>
                  </pic:spPr>
                </pic:pic>
              </a:graphicData>
            </a:graphic>
          </wp:inline>
        </w:drawing>
      </w:r>
    </w:p>
    <w:p w14:paraId="6774DF02" w14:textId="77777777" w:rsidR="00966D1C" w:rsidRPr="00126BA8" w:rsidRDefault="00966D1C" w:rsidP="00966D1C">
      <w:pPr>
        <w:rPr>
          <w:bCs/>
        </w:rPr>
      </w:pPr>
      <w:r w:rsidRPr="00126BA8">
        <w:rPr>
          <w:bCs/>
        </w:rPr>
        <w:fldChar w:fldCharType="begin"/>
      </w:r>
      <w:r w:rsidRPr="00126BA8">
        <w:rPr>
          <w:bCs/>
        </w:rPr>
        <w:instrText xml:space="preserve"> ADDIN EN.CITE &lt;EndNote&gt;&lt;Cite&gt;&lt;Author&gt;The Salvation Army Oasis&lt;/Author&gt;&lt;Year&gt;2020&lt;/Year&gt;&lt;RecNum&gt;654&lt;/RecNum&gt;&lt;DisplayText&gt;(The Salvation Army Oasis, 2020c)&lt;/DisplayText&gt;&lt;record&gt;&lt;rec-number&gt;654&lt;/rec-number&gt;&lt;foreign-keys&gt;&lt;key app="EN" db-id="5v2daxed8wv0eoesd9av5dd8exsxdewpfpwd" timestamp="1600902707"&gt;654&lt;/key&gt;&lt;/foreign-keys&gt;&lt;ref-type name="Web Page"&gt;12&lt;/ref-type&gt;&lt;contributors&gt;&lt;authors&gt;&lt;author&gt;The Salvation Army Oasis,&lt;/author&gt;&lt;/authors&gt;&lt;/contributors&gt;&lt;titles&gt;&lt;title&gt;Stories of change&lt;/title&gt;&lt;/titles&gt;&lt;dates&gt;&lt;year&gt;2020&lt;/year&gt;&lt;/dates&gt;&lt;urls&gt;&lt;related-urls&gt;&lt;url&gt;https://oasis.salvationarmy.org.nz/stories-change&lt;/url&gt;&lt;/related-urls&gt;&lt;/urls&gt;&lt;/record&gt;&lt;/Cite&gt;&lt;/EndNote&gt;</w:instrText>
      </w:r>
      <w:r w:rsidRPr="00126BA8">
        <w:rPr>
          <w:bCs/>
        </w:rPr>
        <w:fldChar w:fldCharType="separate"/>
      </w:r>
      <w:r w:rsidRPr="00126BA8">
        <w:rPr>
          <w:bCs/>
          <w:noProof/>
        </w:rPr>
        <w:t>(The Salvation Army Oasis, 2020c)</w:t>
      </w:r>
      <w:r w:rsidRPr="00126BA8">
        <w:rPr>
          <w:bCs/>
        </w:rPr>
        <w:fldChar w:fldCharType="end"/>
      </w:r>
    </w:p>
    <w:p w14:paraId="2396716F" w14:textId="77777777" w:rsidR="00E92476" w:rsidRDefault="00E92476" w:rsidP="00966D1C">
      <w:pPr>
        <w:spacing w:line="240" w:lineRule="auto"/>
        <w:jc w:val="both"/>
        <w:rPr>
          <w:bCs/>
        </w:rPr>
      </w:pPr>
    </w:p>
    <w:p w14:paraId="099C30D6" w14:textId="0587F956" w:rsidR="00966D1C" w:rsidRPr="00126BA8" w:rsidRDefault="00966D1C" w:rsidP="00966D1C">
      <w:pPr>
        <w:spacing w:line="240" w:lineRule="auto"/>
        <w:jc w:val="both"/>
        <w:rPr>
          <w:bCs/>
        </w:rPr>
      </w:pPr>
      <w:r w:rsidRPr="00126BA8">
        <w:rPr>
          <w:bCs/>
        </w:rPr>
        <w:t xml:space="preserve">Most services posted articles on social media that included an FAO’s perspective or story, for example: </w:t>
      </w:r>
      <w:r w:rsidR="00BA157B" w:rsidRPr="00BA157B">
        <w:rPr>
          <w:bCs/>
        </w:rPr>
        <w:t xml:space="preserve">on Facebook, AFS shared a story of a newlywed discovering her husband’s gambling problem and highlighted that there few support services available for FAOs </w:t>
      </w:r>
      <w:r w:rsidR="00BA157B" w:rsidRPr="00BA157B">
        <w:rPr>
          <w:bCs/>
        </w:rPr>
        <w:fldChar w:fldCharType="begin"/>
      </w:r>
      <w:r w:rsidR="00BA157B" w:rsidRPr="00BA157B">
        <w:rPr>
          <w:bCs/>
        </w:rPr>
        <w:instrText xml:space="preserve"> ADDIN EN.CITE &lt;EndNote&gt;&lt;Cite&gt;&lt;Author&gt;Asian Family Services&lt;/Author&gt;&lt;Year&gt;2019&lt;/Year&gt;&lt;RecNum&gt;497&lt;/RecNum&gt;&lt;DisplayText&gt;(Asian Family Services, 2019)&lt;/DisplayText&gt;&lt;record&gt;&lt;rec-number&gt;497&lt;/rec-number&gt;&lt;foreign-keys&gt;&lt;key app="EN" db-id="5v2daxed8wv0eoesd9av5dd8exsxdewpfpwd" timestamp="1602102356"&gt;497&lt;/key&gt;&lt;/foreign-keys&gt;&lt;ref-type name="Web Page"&gt;12&lt;/ref-type&gt;&lt;contributors&gt;&lt;authors&gt;&lt;author&gt;Asian Family Services,&lt;/author&gt;&lt;/authors&gt;&lt;/contributors&gt;&lt;titles&gt;&lt;title&gt;Six weeks after her dream wedding Ahalya discovered her husband was a problem gambling [Facebook status update]&lt;/title&gt;&lt;/titles&gt;&lt;dates&gt;&lt;year&gt;2019&lt;/year&gt;&lt;/dates&gt;&lt;urls&gt;&lt;related-urls&gt;&lt;url&gt;https://www.facebook.com/NZAFS/posts/1681376495328524&lt;/url&gt;&lt;/related-urls&gt;&lt;/urls&gt;&lt;/record&gt;&lt;/Cite&gt;&lt;/EndNote&gt;</w:instrText>
      </w:r>
      <w:r w:rsidR="00BA157B" w:rsidRPr="00BA157B">
        <w:rPr>
          <w:bCs/>
        </w:rPr>
        <w:fldChar w:fldCharType="separate"/>
      </w:r>
      <w:r w:rsidR="00BA157B" w:rsidRPr="00BA157B">
        <w:rPr>
          <w:bCs/>
        </w:rPr>
        <w:t>(Asian Family Services, 2019)</w:t>
      </w:r>
      <w:r w:rsidR="00BA157B" w:rsidRPr="00BA157B">
        <w:fldChar w:fldCharType="end"/>
      </w:r>
      <w:r w:rsidR="00BA157B" w:rsidRPr="00BA157B">
        <w:rPr>
          <w:bCs/>
        </w:rPr>
        <w:t xml:space="preserve">; VGRF shared a story of a woman discovery her husband “had been leading a double life” while spending significant amounts of money on EGMs </w:t>
      </w:r>
      <w:r w:rsidR="00BA157B" w:rsidRPr="00BA157B">
        <w:rPr>
          <w:bCs/>
        </w:rPr>
        <w:fldChar w:fldCharType="begin"/>
      </w:r>
      <w:r w:rsidR="00BA157B" w:rsidRPr="00BA157B">
        <w:rPr>
          <w:bCs/>
        </w:rPr>
        <w:instrText xml:space="preserve"> ADDIN EN.CITE &lt;EndNote&gt;&lt;Cite&gt;&lt;Author&gt;Victorian Responsible Gambling Foundation&lt;/Author&gt;&lt;Year&gt;2019&lt;/Year&gt;&lt;RecNum&gt;498&lt;/RecNum&gt;&lt;DisplayText&gt;(Victorian Responsible Gambling Foundation, 2019c)&lt;/DisplayText&gt;&lt;record&gt;&lt;rec-number&gt;498&lt;/rec-number&gt;&lt;foreign-keys&gt;&lt;key app="EN" db-id="5v2daxed8wv0eoesd9av5dd8exsxdewpfpwd" timestamp="1602102751"&gt;498&lt;/key&gt;&lt;/foreign-keys&gt;&lt;ref-type name="Web Page"&gt;12&lt;/ref-type&gt;&lt;contributors&gt;&lt;authors&gt;&lt;author&gt;Victorian Responsible Gambling Foundation,&lt;/author&gt;&lt;/authors&gt;&lt;/contributors&gt;&lt;titles&gt;&lt;title&gt;Read Lucy&amp;apos;s and more personal stories of #gambling harm [Facebook status update]&lt;/title&gt;&lt;/titles&gt;&lt;dates&gt;&lt;year&gt;2019&lt;/year&gt;&lt;/dates&gt;&lt;urls&gt;&lt;related-urls&gt;&lt;url&gt;https://www.facebook.com/responsiblegambling/posts/2417176411891252&lt;/url&gt;&lt;/related-urls&gt;&lt;/urls&gt;&lt;/record&gt;&lt;/Cite&gt;&lt;/EndNote&gt;</w:instrText>
      </w:r>
      <w:r w:rsidR="00BA157B" w:rsidRPr="00BA157B">
        <w:rPr>
          <w:bCs/>
        </w:rPr>
        <w:fldChar w:fldCharType="separate"/>
      </w:r>
      <w:r w:rsidR="00BA157B" w:rsidRPr="00BA157B">
        <w:rPr>
          <w:bCs/>
        </w:rPr>
        <w:t>(Victorian Responsible Gambling Foundation, 2019c)</w:t>
      </w:r>
      <w:r w:rsidR="00BA157B" w:rsidRPr="00BA157B">
        <w:fldChar w:fldCharType="end"/>
      </w:r>
      <w:r w:rsidR="00BA157B" w:rsidRPr="00BA157B">
        <w:rPr>
          <w:bCs/>
        </w:rPr>
        <w:t xml:space="preserve">; and PGF Services shared a story about the likelihood of children experiencing abuse if they have parents with a gambling problem </w:t>
      </w:r>
      <w:r w:rsidR="00BA157B" w:rsidRPr="00BA157B">
        <w:rPr>
          <w:bCs/>
        </w:rPr>
        <w:fldChar w:fldCharType="begin"/>
      </w:r>
      <w:r w:rsidR="00BA157B" w:rsidRPr="00BA157B">
        <w:rPr>
          <w:bCs/>
        </w:rPr>
        <w:instrText xml:space="preserve"> ADDIN EN.CITE &lt;EndNote&gt;&lt;Cite&gt;&lt;Author&gt;PGF Services&lt;/Author&gt;&lt;Year&gt;2019&lt;/Year&gt;&lt;RecNum&gt;499&lt;/RecNum&gt;&lt;DisplayText&gt;(PGF Services, 2019a)&lt;/DisplayText&gt;&lt;record&gt;&lt;rec-number&gt;499&lt;/rec-number&gt;&lt;foreign-keys&gt;&lt;key app="EN" db-id="5v2daxed8wv0eoesd9av5dd8exsxdewpfpwd" timestamp="1602102881"&gt;499&lt;/key&gt;&lt;/foreign-keys&gt;&lt;ref-type name="Web Page"&gt;12&lt;/ref-type&gt;&lt;contributors&gt;&lt;authors&gt;&lt;author&gt;PGF Services,&lt;/author&gt;&lt;/authors&gt;&lt;/contributors&gt;&lt;titles&gt;&lt;title&gt;Children are more likely to suffer physical violence or abuse if they have parents with problem gambling, especially when combined with other problems such as alcohol abuse [Facebook status update]&lt;/title&gt;&lt;/titles&gt;&lt;dates&gt;&lt;year&gt;2019&lt;/year&gt;&lt;/dates&gt;&lt;urls&gt;&lt;related-urls&gt;&lt;url&gt;https://www.facebook.com/PGFNZ/posts/10156885378840482&lt;/url&gt;&lt;/related-urls&gt;&lt;/urls&gt;&lt;/record&gt;&lt;/Cite&gt;&lt;/EndNote&gt;</w:instrText>
      </w:r>
      <w:r w:rsidR="00BA157B" w:rsidRPr="00BA157B">
        <w:rPr>
          <w:bCs/>
        </w:rPr>
        <w:fldChar w:fldCharType="separate"/>
      </w:r>
      <w:r w:rsidR="00BA157B" w:rsidRPr="00BA157B">
        <w:rPr>
          <w:bCs/>
        </w:rPr>
        <w:t>(PGF Services, 2019a)</w:t>
      </w:r>
      <w:r w:rsidR="00BA157B" w:rsidRPr="00BA157B">
        <w:fldChar w:fldCharType="end"/>
      </w:r>
      <w:r w:rsidR="00BA157B" w:rsidRPr="00BA157B">
        <w:rPr>
          <w:bCs/>
        </w:rPr>
        <w:t xml:space="preserve">. Further, </w:t>
      </w:r>
      <w:r w:rsidR="00BA157B" w:rsidRPr="00BA157B">
        <w:t>VGRF</w:t>
      </w:r>
      <w:r w:rsidR="00BA157B" w:rsidRPr="00BA157B">
        <w:rPr>
          <w:bCs/>
        </w:rPr>
        <w:t xml:space="preserve"> and </w:t>
      </w:r>
      <w:r w:rsidR="00BA157B" w:rsidRPr="00BA157B">
        <w:t>Gambling Help NSW</w:t>
      </w:r>
      <w:r w:rsidR="00BA157B">
        <w:t xml:space="preserve"> </w:t>
      </w:r>
      <w:r w:rsidRPr="00126BA8">
        <w:rPr>
          <w:bCs/>
        </w:rPr>
        <w:t xml:space="preserve">included stories, tips, and awareness raising articles that included famous individuals (mostly sporting stars) in order to reach a wider audience and increase normalisation of seeking help or </w:t>
      </w:r>
      <w:r w:rsidR="00BA157B">
        <w:rPr>
          <w:bCs/>
        </w:rPr>
        <w:t xml:space="preserve">promote recognition of </w:t>
      </w:r>
      <w:r w:rsidRPr="00126BA8">
        <w:rPr>
          <w:bCs/>
        </w:rPr>
        <w:t>a gambling problem in a family member. However, stories that focussed on FAOs were far less common than other stories from a gambler’s perspective, service advertisement, or encouraging gambling individuals to seek help.</w:t>
      </w:r>
    </w:p>
    <w:p w14:paraId="20EBE4EC" w14:textId="77777777" w:rsidR="00E92476" w:rsidRDefault="00E92476" w:rsidP="00966D1C">
      <w:pPr>
        <w:spacing w:line="240" w:lineRule="auto"/>
        <w:jc w:val="both"/>
        <w:rPr>
          <w:bCs/>
        </w:rPr>
      </w:pPr>
    </w:p>
    <w:p w14:paraId="480A44CE" w14:textId="5D8A6259" w:rsidR="00966D1C" w:rsidRPr="00E92476" w:rsidRDefault="00966D1C" w:rsidP="00966D1C">
      <w:pPr>
        <w:spacing w:line="240" w:lineRule="auto"/>
        <w:jc w:val="both"/>
        <w:rPr>
          <w:bCs/>
        </w:rPr>
      </w:pPr>
      <w:r w:rsidRPr="00126BA8">
        <w:rPr>
          <w:bCs/>
        </w:rPr>
        <w:t xml:space="preserve">Engaging with lived experience and community members at a service level was evident in annual reports, discussion with service managers, and social media posts. For example, the PGF Group 2019 Annual Report stated that </w:t>
      </w:r>
      <w:r w:rsidRPr="00E92476">
        <w:rPr>
          <w:bCs/>
        </w:rPr>
        <w:t xml:space="preserve">“One of our key areas of focus is communities, particularly those where the need is greatest, ensuring our public health work supports harm minimisation and promotes wellbeing.” </w:t>
      </w:r>
      <w:r w:rsidRPr="00E92476">
        <w:rPr>
          <w:bCs/>
        </w:rPr>
        <w:fldChar w:fldCharType="begin"/>
      </w:r>
      <w:r w:rsidRPr="00E92476">
        <w:rPr>
          <w:bCs/>
        </w:rPr>
        <w:instrText xml:space="preserve"> ADDIN EN.CITE &lt;EndNote&gt;&lt;Cite&gt;&lt;Author&gt;PGF Group&lt;/Author&gt;&lt;Year&gt;2019&lt;/Year&gt;&lt;RecNum&gt;655&lt;/RecNum&gt;&lt;Pages&gt;15&lt;/Pages&gt;&lt;DisplayText&gt;(PGF Group, 2019, p. 15)&lt;/DisplayText&gt;&lt;record&gt;&lt;rec-number&gt;655&lt;/rec-number&gt;&lt;foreign-keys&gt;&lt;key app="EN" db-id="5v2daxed8wv0eoesd9av5dd8exsxdewpfpwd" timestamp="1600902896"&gt;655&lt;/key&gt;&lt;/foreign-keys&gt;&lt;ref-type name="Report"&gt;27&lt;/ref-type&gt;&lt;contributors&gt;&lt;authors&gt;&lt;author&gt;PGF Group,&lt;/author&gt;&lt;/authors&gt;&lt;tertiary-authors&gt;&lt;author&gt;PGF Group&lt;/author&gt;&lt;/tertiary-authors&gt;&lt;/contributors&gt;&lt;titles&gt;&lt;title&gt;PGF Group: Healthy and resilient communities in a just society [Report to stakeholders]&lt;/title&gt;&lt;/titles&gt;&lt;dates&gt;&lt;year&gt;2019&lt;/year&gt;&lt;/dates&gt;&lt;urls&gt;&lt;/urls&gt;&lt;/record&gt;&lt;/Cite&gt;&lt;/EndNote&gt;</w:instrText>
      </w:r>
      <w:r w:rsidRPr="00E92476">
        <w:rPr>
          <w:bCs/>
        </w:rPr>
        <w:fldChar w:fldCharType="separate"/>
      </w:r>
      <w:r w:rsidRPr="00E92476">
        <w:rPr>
          <w:bCs/>
          <w:noProof/>
        </w:rPr>
        <w:t>(PGF Group, 2019, p. 15)</w:t>
      </w:r>
      <w:r w:rsidRPr="00E92476">
        <w:rPr>
          <w:bCs/>
        </w:rPr>
        <w:fldChar w:fldCharType="end"/>
      </w:r>
      <w:r w:rsidRPr="00126BA8">
        <w:rPr>
          <w:bCs/>
        </w:rPr>
        <w:t xml:space="preserve">. An example of community engagement included active encouragement of community members to make submissions on the SkyCity application to the Gambling </w:t>
      </w:r>
      <w:r w:rsidRPr="00E92476">
        <w:rPr>
          <w:bCs/>
        </w:rPr>
        <w:t xml:space="preserve">Commission to substitute three Blackjack tables with </w:t>
      </w:r>
      <w:r w:rsidRPr="00E92476">
        <w:rPr>
          <w:bCs/>
        </w:rPr>
        <w:lastRenderedPageBreak/>
        <w:t xml:space="preserve">60 gaming machines. The Annual Report stated that “We encouraged people to have their say and supported a group of community champions with resources and information to inform their submissions” </w:t>
      </w:r>
      <w:r w:rsidRPr="00E92476">
        <w:rPr>
          <w:bCs/>
        </w:rPr>
        <w:fldChar w:fldCharType="begin"/>
      </w:r>
      <w:r w:rsidRPr="00E92476">
        <w:rPr>
          <w:bCs/>
        </w:rPr>
        <w:instrText xml:space="preserve"> ADDIN EN.CITE &lt;EndNote&gt;&lt;Cite&gt;&lt;Author&gt;PGF Group&lt;/Author&gt;&lt;Year&gt;2019&lt;/Year&gt;&lt;RecNum&gt;655&lt;/RecNum&gt;&lt;Pages&gt;15&lt;/Pages&gt;&lt;DisplayText&gt;(PGF Group, 2019, p. 15)&lt;/DisplayText&gt;&lt;record&gt;&lt;rec-number&gt;655&lt;/rec-number&gt;&lt;foreign-keys&gt;&lt;key app="EN" db-id="5v2daxed8wv0eoesd9av5dd8exsxdewpfpwd" timestamp="1600902896"&gt;655&lt;/key&gt;&lt;/foreign-keys&gt;&lt;ref-type name="Report"&gt;27&lt;/ref-type&gt;&lt;contributors&gt;&lt;authors&gt;&lt;author&gt;PGF Group,&lt;/author&gt;&lt;/authors&gt;&lt;tertiary-authors&gt;&lt;author&gt;PGF Group&lt;/author&gt;&lt;/tertiary-authors&gt;&lt;/contributors&gt;&lt;titles&gt;&lt;title&gt;PGF Group: Healthy and resilient communities in a just society [Report to stakeholders]&lt;/title&gt;&lt;/titles&gt;&lt;dates&gt;&lt;year&gt;2019&lt;/year&gt;&lt;/dates&gt;&lt;urls&gt;&lt;/urls&gt;&lt;/record&gt;&lt;/Cite&gt;&lt;/EndNote&gt;</w:instrText>
      </w:r>
      <w:r w:rsidRPr="00E92476">
        <w:rPr>
          <w:bCs/>
        </w:rPr>
        <w:fldChar w:fldCharType="separate"/>
      </w:r>
      <w:r w:rsidRPr="00E92476">
        <w:rPr>
          <w:bCs/>
          <w:noProof/>
        </w:rPr>
        <w:t>(PGF Group, 2019, p. 15)</w:t>
      </w:r>
      <w:r w:rsidRPr="00E92476">
        <w:rPr>
          <w:bCs/>
        </w:rPr>
        <w:fldChar w:fldCharType="end"/>
      </w:r>
      <w:r w:rsidRPr="00E92476">
        <w:rPr>
          <w:bCs/>
        </w:rPr>
        <w:t xml:space="preserve">. </w:t>
      </w:r>
    </w:p>
    <w:p w14:paraId="4E96D4C8" w14:textId="77777777" w:rsidR="00E92476" w:rsidRDefault="00E92476" w:rsidP="00966D1C">
      <w:pPr>
        <w:spacing w:line="240" w:lineRule="auto"/>
        <w:jc w:val="both"/>
        <w:rPr>
          <w:bCs/>
        </w:rPr>
      </w:pPr>
    </w:p>
    <w:p w14:paraId="4CFE5C1E" w14:textId="4A4CCD9D" w:rsidR="00966D1C" w:rsidRDefault="00966D1C" w:rsidP="00966D1C">
      <w:pPr>
        <w:spacing w:line="240" w:lineRule="auto"/>
        <w:jc w:val="both"/>
        <w:rPr>
          <w:bCs/>
        </w:rPr>
      </w:pPr>
      <w:r w:rsidRPr="00126BA8">
        <w:rPr>
          <w:bCs/>
        </w:rPr>
        <w:t>Community and service users</w:t>
      </w:r>
      <w:r w:rsidR="00C41F36">
        <w:rPr>
          <w:bCs/>
        </w:rPr>
        <w:t>’</w:t>
      </w:r>
      <w:r w:rsidRPr="00126BA8">
        <w:rPr>
          <w:bCs/>
        </w:rPr>
        <w:t xml:space="preserve"> (</w:t>
      </w:r>
      <w:r w:rsidR="00C41F36">
        <w:rPr>
          <w:bCs/>
        </w:rPr>
        <w:t xml:space="preserve">people who </w:t>
      </w:r>
      <w:r w:rsidRPr="00126BA8">
        <w:rPr>
          <w:bCs/>
        </w:rPr>
        <w:t>gamble and FAOs) feedback and engagement was also sought for service review and development in international services</w:t>
      </w:r>
      <w:r w:rsidR="00C41F36">
        <w:rPr>
          <w:bCs/>
        </w:rPr>
        <w:t>. This type of engagement was not clearly evident in New Zealand services</w:t>
      </w:r>
      <w:r w:rsidRPr="00126BA8">
        <w:rPr>
          <w:bCs/>
        </w:rPr>
        <w:t>. For example, the 2018-19 NSW Department of Industry Annual Report stated that</w:t>
      </w:r>
      <w:r w:rsidR="00E92476">
        <w:rPr>
          <w:bCs/>
        </w:rPr>
        <w:t>:</w:t>
      </w:r>
    </w:p>
    <w:p w14:paraId="24A043BC" w14:textId="77777777" w:rsidR="00E92476" w:rsidRPr="00126BA8" w:rsidRDefault="00E92476" w:rsidP="00966D1C">
      <w:pPr>
        <w:spacing w:line="240" w:lineRule="auto"/>
        <w:jc w:val="both"/>
        <w:rPr>
          <w:bCs/>
        </w:rPr>
      </w:pPr>
    </w:p>
    <w:p w14:paraId="5520B719" w14:textId="5AEE6614" w:rsidR="00966D1C" w:rsidRPr="00126BA8" w:rsidRDefault="00966D1C" w:rsidP="00966D1C">
      <w:pPr>
        <w:spacing w:line="240" w:lineRule="auto"/>
        <w:ind w:left="720"/>
        <w:jc w:val="both"/>
        <w:rPr>
          <w:bCs/>
        </w:rPr>
      </w:pPr>
      <w:r w:rsidRPr="00126BA8">
        <w:rPr>
          <w:bCs/>
          <w:i/>
        </w:rPr>
        <w:t xml:space="preserve">In 2018–19, the Office of Responsible Gambling began redesigning the way Gambling Help services in NSW are delivered to better meet the needs of the community. This is about designing a flexible and dynamic service model that can respond to the changing needs of people in NSW who are negatively affected by gambling (…) In June 2019, the office started the second stage of the project, which includes </w:t>
      </w:r>
      <w:r w:rsidRPr="00126BA8">
        <w:rPr>
          <w:bCs/>
          <w:i/>
          <w:u w:val="single"/>
        </w:rPr>
        <w:t>co-designing a new service model with service users</w:t>
      </w:r>
      <w:r w:rsidRPr="00126BA8">
        <w:rPr>
          <w:bCs/>
          <w:i/>
        </w:rPr>
        <w:t>, current service providers, other support services, academics and industry representatives.</w:t>
      </w:r>
      <w:r w:rsidRPr="00126BA8">
        <w:rPr>
          <w:bCs/>
          <w:iCs/>
        </w:rPr>
        <w:t xml:space="preserve"> </w:t>
      </w:r>
      <w:r w:rsidRPr="00126BA8">
        <w:rPr>
          <w:bCs/>
          <w:iCs/>
        </w:rPr>
        <w:fldChar w:fldCharType="begin"/>
      </w:r>
      <w:r w:rsidR="00C41F36">
        <w:rPr>
          <w:bCs/>
          <w:iCs/>
        </w:rPr>
        <w:instrText xml:space="preserve"> ADDIN EN.CITE &lt;EndNote&gt;&lt;Cite&gt;&lt;Author&gt;NSW Department of Industry&lt;/Author&gt;&lt;Year&gt;2019&lt;/Year&gt;&lt;RecNum&gt;656&lt;/RecNum&gt;&lt;Suffix&gt; emphasis added &lt;/Suffix&gt;&lt;Pages&gt;23&lt;/Pages&gt;&lt;DisplayText&gt;(NSW Department of Industry, 2019, p. 23 emphasis added )&lt;/DisplayText&gt;&lt;record&gt;&lt;rec-number&gt;656&lt;/rec-number&gt;&lt;foreign-keys&gt;&lt;key app="EN" db-id="5v2daxed8wv0eoesd9av5dd8exsxdewpfpwd" timestamp="1600903134"&gt;656&lt;/key&gt;&lt;/foreign-keys&gt;&lt;ref-type name="Report"&gt;27&lt;/ref-type&gt;&lt;contributors&gt;&lt;authors&gt;&lt;author&gt;NSW Department of Industry,&lt;/author&gt;&lt;/authors&gt;&lt;tertiary-authors&gt;&lt;author&gt;NSW Department of Industry&lt;/author&gt;&lt;/tertiary-authors&gt;&lt;/contributors&gt;&lt;titles&gt;&lt;title&gt;Department of industry annual report [Report to stakeholders]&lt;/title&gt;&lt;/titles&gt;&lt;dates&gt;&lt;year&gt;2019&lt;/year&gt;&lt;/dates&gt;&lt;pub-location&gt;Australia, NSW&lt;/pub-location&gt;&lt;urls&gt;&lt;/urls&gt;&lt;/record&gt;&lt;/Cite&gt;&lt;/EndNote&gt;</w:instrText>
      </w:r>
      <w:r w:rsidRPr="00126BA8">
        <w:rPr>
          <w:bCs/>
          <w:iCs/>
        </w:rPr>
        <w:fldChar w:fldCharType="separate"/>
      </w:r>
      <w:r w:rsidR="00C41F36">
        <w:rPr>
          <w:bCs/>
          <w:iCs/>
          <w:noProof/>
        </w:rPr>
        <w:t>(NSW Department of Industry, 2019, p. 23 emphasis added )</w:t>
      </w:r>
      <w:r w:rsidRPr="00126BA8">
        <w:rPr>
          <w:bCs/>
          <w:iCs/>
        </w:rPr>
        <w:fldChar w:fldCharType="end"/>
      </w:r>
    </w:p>
    <w:p w14:paraId="1AC23798" w14:textId="77777777" w:rsidR="00E92476" w:rsidRDefault="00E92476" w:rsidP="00966D1C">
      <w:pPr>
        <w:spacing w:line="240" w:lineRule="auto"/>
        <w:jc w:val="both"/>
        <w:rPr>
          <w:bCs/>
        </w:rPr>
      </w:pPr>
    </w:p>
    <w:p w14:paraId="631D2FDE" w14:textId="43A9E9F3" w:rsidR="00966D1C" w:rsidRDefault="00966D1C" w:rsidP="00966D1C">
      <w:pPr>
        <w:spacing w:line="240" w:lineRule="auto"/>
        <w:jc w:val="both"/>
        <w:rPr>
          <w:bCs/>
        </w:rPr>
      </w:pPr>
      <w:r w:rsidRPr="00126BA8">
        <w:rPr>
          <w:bCs/>
        </w:rPr>
        <w:t xml:space="preserve">Additionally, </w:t>
      </w:r>
      <w:r w:rsidR="00C41F36">
        <w:rPr>
          <w:bCs/>
        </w:rPr>
        <w:t xml:space="preserve">during the data collection period </w:t>
      </w:r>
      <w:r w:rsidRPr="00126BA8">
        <w:rPr>
          <w:bCs/>
        </w:rPr>
        <w:t>CAMH (below left) and Gambling Help NSW (below right) advertised on social media for current or previous service users and community members with lived experience to take part in service development and review</w:t>
      </w:r>
      <w:r w:rsidR="00C41F36">
        <w:rPr>
          <w:bCs/>
        </w:rPr>
        <w:t xml:space="preserve"> processes</w:t>
      </w:r>
      <w:r w:rsidRPr="00126BA8">
        <w:rPr>
          <w:bCs/>
        </w:rPr>
        <w:t>:</w:t>
      </w:r>
    </w:p>
    <w:p w14:paraId="2D07B3C1" w14:textId="77777777" w:rsidR="00E92476" w:rsidRPr="00126BA8" w:rsidRDefault="00E92476" w:rsidP="00966D1C">
      <w:pPr>
        <w:spacing w:line="240" w:lineRule="auto"/>
        <w:jc w:val="both"/>
        <w:rPr>
          <w:bCs/>
        </w:rPr>
      </w:pPr>
    </w:p>
    <w:p w14:paraId="71C2462A" w14:textId="77777777" w:rsidR="00966D1C" w:rsidRPr="00126BA8" w:rsidRDefault="00966D1C" w:rsidP="00966D1C">
      <w:pPr>
        <w:jc w:val="both"/>
        <w:rPr>
          <w:noProof/>
          <w:lang w:eastAsia="en-NZ"/>
        </w:rPr>
      </w:pPr>
      <w:r w:rsidRPr="00126BA8">
        <w:rPr>
          <w:noProof/>
          <w:lang w:eastAsia="en-NZ"/>
        </w:rPr>
        <w:drawing>
          <wp:inline distT="0" distB="0" distL="0" distR="0" wp14:anchorId="57A66AC9" wp14:editId="265B92C3">
            <wp:extent cx="2877616" cy="21240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88983" cy="2132465"/>
                    </a:xfrm>
                    <a:prstGeom prst="rect">
                      <a:avLst/>
                    </a:prstGeom>
                  </pic:spPr>
                </pic:pic>
              </a:graphicData>
            </a:graphic>
          </wp:inline>
        </w:drawing>
      </w:r>
      <w:r w:rsidRPr="00126BA8">
        <w:rPr>
          <w:noProof/>
          <w:lang w:eastAsia="en-NZ"/>
        </w:rPr>
        <w:t xml:space="preserve"> </w:t>
      </w:r>
      <w:r w:rsidRPr="00126BA8">
        <w:rPr>
          <w:noProof/>
          <w:lang w:eastAsia="en-NZ"/>
        </w:rPr>
        <w:drawing>
          <wp:inline distT="0" distB="0" distL="0" distR="0" wp14:anchorId="221A1257" wp14:editId="5D3E62BA">
            <wp:extent cx="2798213" cy="189166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20457" cy="1906703"/>
                    </a:xfrm>
                    <a:prstGeom prst="rect">
                      <a:avLst/>
                    </a:prstGeom>
                  </pic:spPr>
                </pic:pic>
              </a:graphicData>
            </a:graphic>
          </wp:inline>
        </w:drawing>
      </w:r>
    </w:p>
    <w:p w14:paraId="450AB663" w14:textId="77777777" w:rsidR="00966D1C" w:rsidRPr="00126BA8" w:rsidRDefault="00966D1C" w:rsidP="00966D1C">
      <w:pPr>
        <w:jc w:val="both"/>
        <w:rPr>
          <w:bCs/>
        </w:rPr>
      </w:pPr>
      <w:r w:rsidRPr="00126BA8">
        <w:rPr>
          <w:bCs/>
        </w:rPr>
        <w:fldChar w:fldCharType="begin"/>
      </w:r>
      <w:r w:rsidRPr="00126BA8">
        <w:rPr>
          <w:bCs/>
        </w:rPr>
        <w:instrText xml:space="preserve"> ADDIN EN.CITE &lt;EndNote&gt;&lt;Cite&gt;&lt;Author&gt;Provincial System Support Program [@CAMH_PSSP]&lt;/Author&gt;&lt;Year&gt;2018&lt;/Year&gt;&lt;RecNum&gt;657&lt;/RecNum&gt;&lt;DisplayText&gt;(Gambling Help NSW, 2019; Provincial System Support Program [@CAMH_PSSP], 2018)&lt;/DisplayText&gt;&lt;record&gt;&lt;rec-number&gt;657&lt;/rec-number&gt;&lt;foreign-keys&gt;&lt;key app="EN" db-id="5v2daxed8wv0eoesd9av5dd8exsxdewpfpwd" timestamp="1600903386"&gt;657&lt;/key&gt;&lt;/foreign-keys&gt;&lt;ref-type name="Web Page"&gt;12&lt;/ref-type&gt;&lt;contributors&gt;&lt;authors&gt;&lt;author&gt;Provincial System Support Program [@CAMH_PSSP],&lt;/author&gt;&lt;/authors&gt;&lt;/contributors&gt;&lt;titles&gt;&lt;title&gt;Call for members: Lived experience and family advisory panel [Twitter post]&lt;/title&gt;&lt;/titles&gt;&lt;dates&gt;&lt;year&gt;2018&lt;/year&gt;&lt;/dates&gt;&lt;urls&gt;&lt;related-urls&gt;&lt;url&gt;https://www.eenet.ca/article/call-members-lived-experience-family-advisory-panel&lt;/url&gt;&lt;/related-urls&gt;&lt;/urls&gt;&lt;/record&gt;&lt;/Cite&gt;&lt;Cite&gt;&lt;Author&gt;Gambling Help NSW&lt;/Author&gt;&lt;Year&gt;2019&lt;/Year&gt;&lt;RecNum&gt;658&lt;/RecNum&gt;&lt;record&gt;&lt;rec-number&gt;658&lt;/rec-number&gt;&lt;foreign-keys&gt;&lt;key app="EN" db-id="5v2daxed8wv0eoesd9av5dd8exsxdewpfpwd" timestamp="1600903516"&gt;658&lt;/key&gt;&lt;/foreign-keys&gt;&lt;ref-type name="Web Page"&gt;12&lt;/ref-type&gt;&lt;contributors&gt;&lt;authors&gt;&lt;author&gt;Gambling Help NSW,&lt;/author&gt;&lt;/authors&gt;&lt;/contributors&gt;&lt;titles&gt;&lt;title&gt;Do you use Gambling Help services? [Facebook status update]&lt;/title&gt;&lt;/titles&gt;&lt;dates&gt;&lt;year&gt;2019&lt;/year&gt;&lt;/dates&gt;&lt;urls&gt;&lt;related-urls&gt;&lt;url&gt;http://ow.ly/yVWR50uuSgt&lt;/url&gt;&lt;/related-urls&gt;&lt;/urls&gt;&lt;/record&gt;&lt;/Cite&gt;&lt;/EndNote&gt;</w:instrText>
      </w:r>
      <w:r w:rsidRPr="00126BA8">
        <w:rPr>
          <w:bCs/>
        </w:rPr>
        <w:fldChar w:fldCharType="separate"/>
      </w:r>
      <w:r w:rsidRPr="00126BA8">
        <w:rPr>
          <w:bCs/>
          <w:noProof/>
        </w:rPr>
        <w:t>(Gambling Help NSW, 2019; Provincial System Support Program [@CAMH_PSSP], 2018)</w:t>
      </w:r>
      <w:r w:rsidRPr="00126BA8">
        <w:rPr>
          <w:bCs/>
        </w:rPr>
        <w:fldChar w:fldCharType="end"/>
      </w:r>
    </w:p>
    <w:p w14:paraId="42952C69" w14:textId="77777777" w:rsidR="00E92476" w:rsidRDefault="00E92476" w:rsidP="00966D1C">
      <w:pPr>
        <w:spacing w:line="240" w:lineRule="auto"/>
        <w:jc w:val="both"/>
        <w:rPr>
          <w:bCs/>
        </w:rPr>
      </w:pPr>
    </w:p>
    <w:p w14:paraId="2C797354" w14:textId="1BC49509" w:rsidR="00C41F36" w:rsidRDefault="00966D1C" w:rsidP="00966D1C">
      <w:pPr>
        <w:spacing w:line="240" w:lineRule="auto"/>
        <w:jc w:val="both"/>
        <w:rPr>
          <w:bCs/>
        </w:rPr>
      </w:pPr>
      <w:r w:rsidRPr="00126BA8">
        <w:rPr>
          <w:bCs/>
        </w:rPr>
        <w:t>The CAMH call for members for the Lived Experience and Family Advisory Panel stated that panel members would</w:t>
      </w:r>
      <w:r w:rsidR="00C41F36">
        <w:rPr>
          <w:bCs/>
        </w:rPr>
        <w:t>:</w:t>
      </w:r>
    </w:p>
    <w:p w14:paraId="5F963CCE" w14:textId="77777777" w:rsidR="00C41F36" w:rsidRDefault="00C41F36" w:rsidP="00966D1C">
      <w:pPr>
        <w:spacing w:line="240" w:lineRule="auto"/>
        <w:jc w:val="both"/>
        <w:rPr>
          <w:bCs/>
        </w:rPr>
      </w:pPr>
    </w:p>
    <w:p w14:paraId="4703DAFE" w14:textId="4A4A3448" w:rsidR="00966D1C" w:rsidRPr="00126BA8" w:rsidRDefault="00966D1C" w:rsidP="00C41F36">
      <w:pPr>
        <w:spacing w:line="240" w:lineRule="auto"/>
        <w:ind w:left="720"/>
        <w:jc w:val="both"/>
        <w:rPr>
          <w:bCs/>
        </w:rPr>
      </w:pPr>
      <w:r w:rsidRPr="00126BA8">
        <w:rPr>
          <w:bCs/>
        </w:rPr>
        <w:t>“</w:t>
      </w:r>
      <w:r w:rsidRPr="00126BA8">
        <w:rPr>
          <w:bCs/>
          <w:i/>
        </w:rPr>
        <w:t xml:space="preserve">…work with other panel members to provide advice and feedback to PSSP </w:t>
      </w:r>
      <w:r w:rsidRPr="00126BA8">
        <w:rPr>
          <w:bCs/>
        </w:rPr>
        <w:t>[Provincial System Support Program]</w:t>
      </w:r>
      <w:r w:rsidRPr="00126BA8">
        <w:rPr>
          <w:bCs/>
          <w:i/>
        </w:rPr>
        <w:t xml:space="preserve"> projects and initiatives, as well as to external partners and organizations doing system-level work in Ontario. You would also be able to participate in regular capacity-building opportunities offered to panel members to strengthen and support their work.</w:t>
      </w:r>
      <w:r w:rsidRPr="00126BA8">
        <w:rPr>
          <w:bCs/>
        </w:rPr>
        <w:t xml:space="preserve">” </w:t>
      </w:r>
      <w:r w:rsidRPr="00126BA8">
        <w:rPr>
          <w:bCs/>
        </w:rPr>
        <w:fldChar w:fldCharType="begin"/>
      </w:r>
      <w:r w:rsidRPr="00126BA8">
        <w:rPr>
          <w:bCs/>
        </w:rPr>
        <w:instrText xml:space="preserve"> ADDIN EN.CITE &lt;EndNote&gt;&lt;Cite&gt;&lt;Author&gt;Provincial System Support Program&lt;/Author&gt;&lt;Year&gt;2020&lt;/Year&gt;&lt;RecNum&gt;659&lt;/RecNum&gt;&lt;DisplayText&gt;(Provincial System Support Program, 2020)&lt;/DisplayText&gt;&lt;record&gt;&lt;rec-number&gt;659&lt;/rec-number&gt;&lt;foreign-keys&gt;&lt;key app="EN" db-id="5v2daxed8wv0eoesd9av5dd8exsxdewpfpwd" timestamp="1600903718"&gt;659&lt;/key&gt;&lt;/foreign-keys&gt;&lt;ref-type name="Web Page"&gt;12&lt;/ref-type&gt;&lt;contributors&gt;&lt;authors&gt;&lt;author&gt;Provincial System Support Program,&lt;/author&gt;&lt;/authors&gt;&lt;/contributors&gt;&lt;titles&gt;&lt;title&gt;Call for members: Lived experience and advisory panel&lt;/title&gt;&lt;/titles&gt;&lt;dates&gt;&lt;year&gt;2020&lt;/year&gt;&lt;/dates&gt;&lt;publisher&gt;Centre for Addiction and Mental Health&lt;/publisher&gt;&lt;urls&gt;&lt;related-urls&gt;&lt;url&gt;https://www.eenet.ca/article/call-members-lived-experience-family-advisory-panel&lt;/url&gt;&lt;/related-urls&gt;&lt;/urls&gt;&lt;/record&gt;&lt;/Cite&gt;&lt;/EndNote&gt;</w:instrText>
      </w:r>
      <w:r w:rsidRPr="00126BA8">
        <w:rPr>
          <w:bCs/>
        </w:rPr>
        <w:fldChar w:fldCharType="separate"/>
      </w:r>
      <w:r w:rsidRPr="00126BA8">
        <w:rPr>
          <w:bCs/>
          <w:noProof/>
        </w:rPr>
        <w:t>(Provincial System Support Program, 2020)</w:t>
      </w:r>
      <w:r w:rsidRPr="00126BA8">
        <w:rPr>
          <w:bCs/>
        </w:rPr>
        <w:fldChar w:fldCharType="end"/>
      </w:r>
    </w:p>
    <w:p w14:paraId="79F512BE" w14:textId="6A7CFEF2" w:rsidR="00966D1C" w:rsidRDefault="00966D1C" w:rsidP="00966D1C">
      <w:pPr>
        <w:spacing w:line="240" w:lineRule="auto"/>
        <w:jc w:val="both"/>
        <w:rPr>
          <w:bCs/>
        </w:rPr>
      </w:pPr>
      <w:r w:rsidRPr="00126BA8">
        <w:rPr>
          <w:bCs/>
        </w:rPr>
        <w:t xml:space="preserve">The engagement with lived experience and community members discussed above was targeted at ‘service user’ or those with lived experience, and thus, </w:t>
      </w:r>
      <w:r w:rsidR="00C41F36">
        <w:rPr>
          <w:bCs/>
        </w:rPr>
        <w:t xml:space="preserve">inclusive of but </w:t>
      </w:r>
      <w:r w:rsidRPr="00126BA8">
        <w:rPr>
          <w:bCs/>
        </w:rPr>
        <w:t xml:space="preserve">not restricted to FAOs. The proportion of </w:t>
      </w:r>
      <w:r w:rsidR="00C41F36">
        <w:rPr>
          <w:bCs/>
        </w:rPr>
        <w:t xml:space="preserve">actual </w:t>
      </w:r>
      <w:r w:rsidRPr="00126BA8">
        <w:rPr>
          <w:bCs/>
        </w:rPr>
        <w:t xml:space="preserve">engagement with FAOs versus gamblers </w:t>
      </w:r>
      <w:r w:rsidR="00C41F36">
        <w:rPr>
          <w:bCs/>
        </w:rPr>
        <w:t xml:space="preserve">was </w:t>
      </w:r>
      <w:r w:rsidRPr="00126BA8">
        <w:rPr>
          <w:bCs/>
        </w:rPr>
        <w:t xml:space="preserve">not </w:t>
      </w:r>
      <w:r w:rsidR="00C41F36">
        <w:rPr>
          <w:bCs/>
        </w:rPr>
        <w:t>ascertained</w:t>
      </w:r>
      <w:r w:rsidRPr="00126BA8">
        <w:rPr>
          <w:bCs/>
        </w:rPr>
        <w:t>.</w:t>
      </w:r>
    </w:p>
    <w:p w14:paraId="344E9EDD" w14:textId="77777777" w:rsidR="00C41F36" w:rsidRPr="00126BA8" w:rsidRDefault="00C41F36" w:rsidP="00966D1C">
      <w:pPr>
        <w:spacing w:line="240" w:lineRule="auto"/>
        <w:jc w:val="both"/>
        <w:rPr>
          <w:bCs/>
        </w:rPr>
      </w:pPr>
    </w:p>
    <w:p w14:paraId="49DD065F" w14:textId="67C8B9D8" w:rsidR="00966D1C" w:rsidRPr="00126BA8" w:rsidRDefault="007473AD" w:rsidP="00966D1C">
      <w:pPr>
        <w:pStyle w:val="Heading4"/>
        <w:spacing w:before="0"/>
        <w:jc w:val="both"/>
        <w:rPr>
          <w:rFonts w:eastAsia="Times New Roman"/>
        </w:rPr>
      </w:pPr>
      <w:r>
        <w:rPr>
          <w:rFonts w:eastAsia="Times New Roman"/>
        </w:rPr>
        <w:lastRenderedPageBreak/>
        <w:t>Limited p</w:t>
      </w:r>
      <w:r w:rsidR="00966D1C" w:rsidRPr="00126BA8">
        <w:rPr>
          <w:rFonts w:eastAsia="Times New Roman"/>
        </w:rPr>
        <w:t>eer support</w:t>
      </w:r>
    </w:p>
    <w:p w14:paraId="3F4A5463" w14:textId="4FD9C170" w:rsidR="00966D1C" w:rsidRDefault="00966D1C" w:rsidP="00966D1C">
      <w:pPr>
        <w:spacing w:line="240" w:lineRule="auto"/>
        <w:jc w:val="both"/>
        <w:rPr>
          <w:bCs/>
        </w:rPr>
      </w:pPr>
      <w:r w:rsidRPr="00126BA8">
        <w:rPr>
          <w:bCs/>
        </w:rPr>
        <w:t xml:space="preserve">There was evidence of peer support groups </w:t>
      </w:r>
      <w:r w:rsidR="007473AD">
        <w:rPr>
          <w:bCs/>
        </w:rPr>
        <w:t xml:space="preserve">inclusive of FAOs </w:t>
      </w:r>
      <w:r w:rsidRPr="00126BA8">
        <w:rPr>
          <w:bCs/>
        </w:rPr>
        <w:t xml:space="preserve">in both national and international services; however, within national services the peer support groups </w:t>
      </w:r>
      <w:r w:rsidR="007473AD">
        <w:rPr>
          <w:bCs/>
        </w:rPr>
        <w:t>were</w:t>
      </w:r>
      <w:r w:rsidRPr="00126BA8">
        <w:rPr>
          <w:bCs/>
        </w:rPr>
        <w:t xml:space="preserve"> </w:t>
      </w:r>
      <w:r w:rsidR="007473AD">
        <w:rPr>
          <w:bCs/>
        </w:rPr>
        <w:t>mostly</w:t>
      </w:r>
      <w:r w:rsidRPr="00126BA8">
        <w:rPr>
          <w:bCs/>
        </w:rPr>
        <w:t xml:space="preserve"> orientated towards to the gambling individual. For example, PGF Services state</w:t>
      </w:r>
      <w:r w:rsidR="0088235F">
        <w:rPr>
          <w:bCs/>
        </w:rPr>
        <w:t>d</w:t>
      </w:r>
      <w:r w:rsidRPr="00126BA8">
        <w:rPr>
          <w:bCs/>
        </w:rPr>
        <w:t>:</w:t>
      </w:r>
    </w:p>
    <w:p w14:paraId="71851AC0" w14:textId="77777777" w:rsidR="0088235F" w:rsidRPr="00126BA8" w:rsidRDefault="0088235F" w:rsidP="00966D1C">
      <w:pPr>
        <w:spacing w:line="240" w:lineRule="auto"/>
        <w:jc w:val="both"/>
        <w:rPr>
          <w:bCs/>
        </w:rPr>
      </w:pPr>
    </w:p>
    <w:p w14:paraId="4B9D2E24" w14:textId="01ADB407" w:rsidR="00966D1C" w:rsidRPr="00126BA8" w:rsidRDefault="00966D1C" w:rsidP="00966D1C">
      <w:pPr>
        <w:spacing w:line="240" w:lineRule="auto"/>
        <w:ind w:left="720"/>
        <w:jc w:val="both"/>
        <w:rPr>
          <w:bCs/>
        </w:rPr>
      </w:pPr>
      <w:r w:rsidRPr="00126BA8">
        <w:rPr>
          <w:bCs/>
          <w:i/>
        </w:rPr>
        <w:t>The PGF Services "Gambling Support and Maintenance Groups" regularly meet in Auckland.</w:t>
      </w:r>
      <w:r w:rsidR="0088235F">
        <w:rPr>
          <w:bCs/>
          <w:i/>
        </w:rPr>
        <w:t xml:space="preserve"> </w:t>
      </w:r>
      <w:r w:rsidRPr="00126BA8">
        <w:rPr>
          <w:bCs/>
          <w:i/>
        </w:rPr>
        <w:t xml:space="preserve">Entry into the gambling support group meetings is by referral from a PGF Services counsellor. Please call 0800 664 262 and ask to book an assessment session with a counsellor from Auckland. </w:t>
      </w:r>
      <w:r w:rsidRPr="00126BA8">
        <w:rPr>
          <w:bCs/>
          <w:i/>
          <w:u w:val="single"/>
        </w:rPr>
        <w:t>These support groups are for people who would like to work towards and maintain being 'gamble free'. Significant others are also welcome</w:t>
      </w:r>
      <w:r w:rsidRPr="00126BA8">
        <w:rPr>
          <w:bCs/>
          <w:i/>
        </w:rPr>
        <w:t>. The meetings have a semi-structured group format. The facilitators lead the group in a learning activity and support the group to remain focussed and supportive of one another.</w:t>
      </w:r>
      <w:r w:rsidRPr="00126BA8">
        <w:rPr>
          <w:bCs/>
        </w:rPr>
        <w:t xml:space="preserve"> </w:t>
      </w:r>
      <w:r w:rsidRPr="00126BA8">
        <w:rPr>
          <w:bCs/>
        </w:rPr>
        <w:fldChar w:fldCharType="begin"/>
      </w:r>
      <w:r w:rsidR="007C4A13">
        <w:rPr>
          <w:bCs/>
        </w:rPr>
        <w:instrText xml:space="preserve"> ADDIN EN.CITE &lt;EndNote&gt;&lt;Cite&gt;&lt;Author&gt;PGF Services&lt;/Author&gt;&lt;Year&gt;n.d.&lt;/Year&gt;&lt;RecNum&gt;660&lt;/RecNum&gt;&lt;Suffix&gt; emphasis added&lt;/Suffix&gt;&lt;DisplayText&gt;(PGF Services, n.d.-b emphasis added)&lt;/DisplayText&gt;&lt;record&gt;&lt;rec-number&gt;660&lt;/rec-number&gt;&lt;foreign-keys&gt;&lt;key app="EN" db-id="5v2daxed8wv0eoesd9av5dd8exsxdewpfpwd" timestamp="1600903842"&gt;660&lt;/key&gt;&lt;/foreign-keys&gt;&lt;ref-type name="Web Page"&gt;12&lt;/ref-type&gt;&lt;contributors&gt;&lt;authors&gt;&lt;author&gt;PGF Services,&lt;/author&gt;&lt;/authors&gt;&lt;/contributors&gt;&lt;titles&gt;&lt;title&gt;Gambling support groups: Auckland&lt;/title&gt;&lt;/titles&gt;&lt;dates&gt;&lt;year&gt;n.d.&lt;/year&gt;&lt;/dates&gt;&lt;urls&gt;&lt;related-urls&gt;&lt;url&gt;https://www.pgf.nz/gambling-support-groups.html&lt;/url&gt;&lt;/related-urls&gt;&lt;/urls&gt;&lt;/record&gt;&lt;/Cite&gt;&lt;/EndNote&gt;</w:instrText>
      </w:r>
      <w:r w:rsidRPr="00126BA8">
        <w:rPr>
          <w:bCs/>
        </w:rPr>
        <w:fldChar w:fldCharType="separate"/>
      </w:r>
      <w:r w:rsidR="007C4A13">
        <w:rPr>
          <w:bCs/>
          <w:noProof/>
        </w:rPr>
        <w:t>(PGF Services, n.d.-b emphasis added)</w:t>
      </w:r>
      <w:r w:rsidRPr="00126BA8">
        <w:rPr>
          <w:bCs/>
        </w:rPr>
        <w:fldChar w:fldCharType="end"/>
      </w:r>
    </w:p>
    <w:p w14:paraId="7718EB5A" w14:textId="77777777" w:rsidR="0088235F" w:rsidRDefault="0088235F" w:rsidP="00966D1C">
      <w:pPr>
        <w:spacing w:line="240" w:lineRule="auto"/>
        <w:jc w:val="both"/>
        <w:rPr>
          <w:bCs/>
        </w:rPr>
      </w:pPr>
    </w:p>
    <w:p w14:paraId="67FFECBF" w14:textId="0DC06CC9" w:rsidR="00966D1C" w:rsidRDefault="00966D1C" w:rsidP="00966D1C">
      <w:pPr>
        <w:spacing w:line="240" w:lineRule="auto"/>
        <w:jc w:val="both"/>
      </w:pPr>
      <w:r w:rsidRPr="00126BA8">
        <w:rPr>
          <w:bCs/>
        </w:rPr>
        <w:t xml:space="preserve">AFS also advertised group counselling and a peer support group for all service users. The peer support was advertised </w:t>
      </w:r>
      <w:r w:rsidRPr="0088235F">
        <w:rPr>
          <w:bCs/>
        </w:rPr>
        <w:t xml:space="preserve">“To provide knowledge, experience, emotional, social or practical help to each other” </w:t>
      </w:r>
      <w:r w:rsidRPr="0088235F">
        <w:rPr>
          <w:bCs/>
        </w:rPr>
        <w:fldChar w:fldCharType="begin"/>
      </w:r>
      <w:r w:rsidRPr="0088235F">
        <w:rPr>
          <w:bCs/>
        </w:rPr>
        <w:instrText xml:space="preserve"> ADDIN EN.CITE &lt;EndNote&gt;&lt;Cite&gt;&lt;Author&gt;Asian Family Services&lt;/Author&gt;&lt;Year&gt;n.d.&lt;/Year&gt;&lt;RecNum&gt;661&lt;/RecNum&gt;&lt;DisplayText&gt;(Asian Family Services, n.d.)&lt;/DisplayText&gt;&lt;record&gt;&lt;rec-number&gt;661&lt;/rec-number&gt;&lt;foreign-keys&gt;&lt;key app="EN" db-id="5v2daxed8wv0eoesd9av5dd8exsxdewpfpwd" timestamp="1600904122"&gt;661&lt;/key&gt;&lt;/foreign-keys&gt;&lt;ref-type name="Web Page"&gt;12&lt;/ref-type&gt;&lt;contributors&gt;&lt;authors&gt;&lt;author&gt;Asian Family Services,&lt;/author&gt;&lt;/authors&gt;&lt;/contributors&gt;&lt;titles&gt;&lt;title&gt;Working with Asian families and communities to be healthy and resilient [General brochure]&lt;/title&gt;&lt;/titles&gt;&lt;dates&gt;&lt;year&gt;n.d.&lt;/year&gt;&lt;/dates&gt;&lt;publisher&gt;Asian Family Services&lt;/publisher&gt;&lt;urls&gt;&lt;/urls&gt;&lt;/record&gt;&lt;/Cite&gt;&lt;/EndNote&gt;</w:instrText>
      </w:r>
      <w:r w:rsidRPr="0088235F">
        <w:rPr>
          <w:bCs/>
        </w:rPr>
        <w:fldChar w:fldCharType="separate"/>
      </w:r>
      <w:r w:rsidRPr="0088235F">
        <w:rPr>
          <w:bCs/>
          <w:noProof/>
        </w:rPr>
        <w:t>(Asian Family Services, n.d.)</w:t>
      </w:r>
      <w:r w:rsidRPr="0088235F">
        <w:rPr>
          <w:bCs/>
        </w:rPr>
        <w:fldChar w:fldCharType="end"/>
      </w:r>
      <w:r w:rsidRPr="00126BA8">
        <w:rPr>
          <w:bCs/>
        </w:rPr>
        <w:t xml:space="preserve">; not specifying that the group was for individuals gambling or FAOs, this aligned with their orientation of working with the whole family. </w:t>
      </w:r>
      <w:r w:rsidRPr="00126BA8">
        <w:t>Finally, Oasis advertised ongoing support groups in pamphlets, as well as a support group for women which appeared to be more inclusive of FAOs whereby all women impacted by gambling harm were welcomed. Indeed, gamblers and affected others were invited within a single sentence, rather than FAOs being a secondary sentence</w:t>
      </w:r>
      <w:r w:rsidR="007473AD">
        <w:t>:</w:t>
      </w:r>
    </w:p>
    <w:p w14:paraId="5E918F35" w14:textId="77777777" w:rsidR="007473AD" w:rsidRPr="00126BA8" w:rsidRDefault="007473AD" w:rsidP="00966D1C">
      <w:pPr>
        <w:spacing w:line="240" w:lineRule="auto"/>
        <w:jc w:val="both"/>
        <w:rPr>
          <w:bCs/>
        </w:rPr>
      </w:pPr>
    </w:p>
    <w:p w14:paraId="602A5B23" w14:textId="77777777" w:rsidR="00966D1C" w:rsidRPr="00126BA8" w:rsidRDefault="00966D1C" w:rsidP="00966D1C">
      <w:pPr>
        <w:ind w:left="1440" w:firstLine="720"/>
        <w:jc w:val="both"/>
        <w:rPr>
          <w:bCs/>
        </w:rPr>
      </w:pPr>
      <w:r w:rsidRPr="00126BA8">
        <w:rPr>
          <w:noProof/>
          <w:lang w:eastAsia="en-NZ"/>
        </w:rPr>
        <w:lastRenderedPageBreak/>
        <w:drawing>
          <wp:inline distT="0" distB="0" distL="0" distR="0" wp14:anchorId="3D5E7294" wp14:editId="4E17A208">
            <wp:extent cx="3411766" cy="4794728"/>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15090" cy="4939934"/>
                    </a:xfrm>
                    <a:prstGeom prst="rect">
                      <a:avLst/>
                    </a:prstGeom>
                  </pic:spPr>
                </pic:pic>
              </a:graphicData>
            </a:graphic>
          </wp:inline>
        </w:drawing>
      </w:r>
    </w:p>
    <w:p w14:paraId="53F7424D" w14:textId="77777777" w:rsidR="00966D1C" w:rsidRPr="00126BA8" w:rsidRDefault="00966D1C" w:rsidP="00966D1C">
      <w:pPr>
        <w:ind w:left="1440" w:firstLine="720"/>
        <w:jc w:val="both"/>
        <w:rPr>
          <w:bCs/>
        </w:rPr>
      </w:pPr>
      <w:r w:rsidRPr="00126BA8">
        <w:rPr>
          <w:bCs/>
        </w:rPr>
        <w:fldChar w:fldCharType="begin"/>
      </w:r>
      <w:r w:rsidRPr="00126BA8">
        <w:rPr>
          <w:bCs/>
        </w:rPr>
        <w:instrText xml:space="preserve"> ADDIN EN.CITE &lt;EndNote&gt;&lt;Cite&gt;&lt;Author&gt;The Salvation Army Oasis&lt;/Author&gt;&lt;Year&gt;n.d.&lt;/Year&gt;&lt;RecNum&gt;662&lt;/RecNum&gt;&lt;DisplayText&gt;(The Salvation Army Oasis, n.d.-c)&lt;/DisplayText&gt;&lt;record&gt;&lt;rec-number&gt;662&lt;/rec-number&gt;&lt;foreign-keys&gt;&lt;key app="EN" db-id="5v2daxed8wv0eoesd9av5dd8exsxdewpfpwd" timestamp="1600904302"&gt;662&lt;/key&gt;&lt;/foreign-keys&gt;&lt;ref-type name="Web Page"&gt;12&lt;/ref-type&gt;&lt;contributors&gt;&lt;authors&gt;&lt;author&gt;The Salvation Army Oasis,&lt;/author&gt;&lt;/authors&gt;&lt;/contributors&gt;&lt;titles&gt;&lt;title&gt;Matara Uru women&amp;apos;s support group&lt;/title&gt;&lt;/titles&gt;&lt;dates&gt;&lt;year&gt;n.d.&lt;/year&gt;&lt;/dates&gt;&lt;publisher&gt;The Salvation Army Oasis&lt;/publisher&gt;&lt;urls&gt;&lt;related-urls&gt;&lt;url&gt;https://oasis.salvationarmy.org.nz/sites/default/files/files/%5Bfile_field%3Atype%5D/womens_support_group_flyer_16_july_2020-merged.pdf&lt;/url&gt;&lt;/related-urls&gt;&lt;/urls&gt;&lt;/record&gt;&lt;/Cite&gt;&lt;/EndNote&gt;</w:instrText>
      </w:r>
      <w:r w:rsidRPr="00126BA8">
        <w:rPr>
          <w:bCs/>
        </w:rPr>
        <w:fldChar w:fldCharType="separate"/>
      </w:r>
      <w:r w:rsidRPr="00126BA8">
        <w:rPr>
          <w:bCs/>
          <w:noProof/>
        </w:rPr>
        <w:t>(The Salvation Army Oasis, n.d.-c)</w:t>
      </w:r>
      <w:r w:rsidRPr="00126BA8">
        <w:rPr>
          <w:bCs/>
        </w:rPr>
        <w:fldChar w:fldCharType="end"/>
      </w:r>
    </w:p>
    <w:p w14:paraId="61850037" w14:textId="77777777" w:rsidR="007473AD" w:rsidRDefault="007473AD" w:rsidP="00966D1C">
      <w:pPr>
        <w:spacing w:line="240" w:lineRule="auto"/>
        <w:jc w:val="both"/>
        <w:rPr>
          <w:bCs/>
        </w:rPr>
      </w:pPr>
    </w:p>
    <w:p w14:paraId="4FB77616" w14:textId="7BAFDD14" w:rsidR="00966D1C" w:rsidRDefault="00966D1C" w:rsidP="00966D1C">
      <w:pPr>
        <w:spacing w:line="240" w:lineRule="auto"/>
        <w:jc w:val="both"/>
        <w:rPr>
          <w:bCs/>
        </w:rPr>
      </w:pPr>
      <w:r w:rsidRPr="00126BA8">
        <w:rPr>
          <w:bCs/>
        </w:rPr>
        <w:t>Internationally, GAM-ANON is the largest peer support programme. The programme follows the 12-step approach and is solely focussed on FAO wellbeing. At the time of the current study, GAM-ANON was not available in New Zealand. GAM-ANON is a “12 Step self-help fellowship of men and women who have been affected by the gambling problem of another.” The support group is set up solely for FAOs with four key purposes:</w:t>
      </w:r>
    </w:p>
    <w:p w14:paraId="50100815" w14:textId="77777777" w:rsidR="007473AD" w:rsidRPr="00126BA8" w:rsidRDefault="007473AD" w:rsidP="00966D1C">
      <w:pPr>
        <w:spacing w:line="240" w:lineRule="auto"/>
        <w:jc w:val="both"/>
        <w:rPr>
          <w:bCs/>
        </w:rPr>
      </w:pPr>
    </w:p>
    <w:p w14:paraId="4C3A1C55" w14:textId="77777777" w:rsidR="00966D1C" w:rsidRPr="00126BA8" w:rsidRDefault="00966D1C" w:rsidP="00966D1C">
      <w:pPr>
        <w:spacing w:line="240" w:lineRule="auto"/>
        <w:ind w:left="720"/>
        <w:jc w:val="both"/>
        <w:rPr>
          <w:bCs/>
          <w:i/>
        </w:rPr>
      </w:pPr>
      <w:r w:rsidRPr="00126BA8">
        <w:rPr>
          <w:bCs/>
          <w:i/>
        </w:rPr>
        <w:t>1. To welcome and give assistance and comfort to those affected by someone else's gambling problem.</w:t>
      </w:r>
    </w:p>
    <w:p w14:paraId="6C5DC9C2" w14:textId="77777777" w:rsidR="00966D1C" w:rsidRPr="00126BA8" w:rsidRDefault="00966D1C" w:rsidP="00966D1C">
      <w:pPr>
        <w:spacing w:line="240" w:lineRule="auto"/>
        <w:ind w:left="720"/>
        <w:jc w:val="both"/>
        <w:rPr>
          <w:bCs/>
          <w:i/>
        </w:rPr>
      </w:pPr>
      <w:r w:rsidRPr="00126BA8">
        <w:rPr>
          <w:bCs/>
          <w:i/>
        </w:rPr>
        <w:t>2. To communicate Gam-Anon's understanding of compulsive gambling and its impact on our lives.</w:t>
      </w:r>
    </w:p>
    <w:p w14:paraId="6512125B" w14:textId="77777777" w:rsidR="00966D1C" w:rsidRPr="00126BA8" w:rsidRDefault="00966D1C" w:rsidP="00966D1C">
      <w:pPr>
        <w:spacing w:line="240" w:lineRule="auto"/>
        <w:ind w:left="720"/>
        <w:jc w:val="both"/>
        <w:rPr>
          <w:bCs/>
          <w:i/>
        </w:rPr>
      </w:pPr>
      <w:r w:rsidRPr="00126BA8">
        <w:rPr>
          <w:bCs/>
          <w:i/>
        </w:rPr>
        <w:t>3. To share our experience, strength, and hope in coping with the gambling problem.</w:t>
      </w:r>
    </w:p>
    <w:p w14:paraId="01572912" w14:textId="77777777" w:rsidR="00966D1C" w:rsidRPr="00126BA8" w:rsidRDefault="00966D1C" w:rsidP="00966D1C">
      <w:pPr>
        <w:spacing w:line="240" w:lineRule="auto"/>
        <w:ind w:left="720"/>
        <w:jc w:val="both"/>
        <w:rPr>
          <w:bCs/>
        </w:rPr>
      </w:pPr>
      <w:r w:rsidRPr="00126BA8">
        <w:rPr>
          <w:bCs/>
          <w:i/>
        </w:rPr>
        <w:t>4. To use the Steps and Tools of the Gam-Anon program which nurture our spiritual and emotional growth and recovery.</w:t>
      </w:r>
      <w:r w:rsidRPr="00126BA8">
        <w:rPr>
          <w:bCs/>
        </w:rPr>
        <w:t xml:space="preserve"> </w:t>
      </w:r>
      <w:r w:rsidRPr="00126BA8">
        <w:rPr>
          <w:bCs/>
        </w:rPr>
        <w:fldChar w:fldCharType="begin"/>
      </w:r>
      <w:r w:rsidRPr="00126BA8">
        <w:rPr>
          <w:bCs/>
        </w:rPr>
        <w:instrText xml:space="preserve"> ADDIN EN.CITE &lt;EndNote&gt;&lt;Cite&gt;&lt;Author&gt;GAM-ANON&lt;/Author&gt;&lt;Year&gt;n.d.&lt;/Year&gt;&lt;RecNum&gt;663&lt;/RecNum&gt;&lt;DisplayText&gt;(GAM-ANON, n.d.)&lt;/DisplayText&gt;&lt;record&gt;&lt;rec-number&gt;663&lt;/rec-number&gt;&lt;foreign-keys&gt;&lt;key app="EN" db-id="5v2daxed8wv0eoesd9av5dd8exsxdewpfpwd" timestamp="1600904417"&gt;663&lt;/key&gt;&lt;/foreign-keys&gt;&lt;ref-type name="Web Page"&gt;12&lt;/ref-type&gt;&lt;contributors&gt;&lt;authors&gt;&lt;author&gt;GAM-ANON,&lt;/author&gt;&lt;/authors&gt;&lt;/contributors&gt;&lt;titles&gt;&lt;title&gt;Homepage: Welcome&lt;/title&gt;&lt;/titles&gt;&lt;dates&gt;&lt;year&gt;n.d.&lt;/year&gt;&lt;/dates&gt;&lt;urls&gt;&lt;related-urls&gt;&lt;url&gt;https://www.gam-anon.org/&lt;/url&gt;&lt;/related-urls&gt;&lt;/urls&gt;&lt;/record&gt;&lt;/Cite&gt;&lt;/EndNote&gt;</w:instrText>
      </w:r>
      <w:r w:rsidRPr="00126BA8">
        <w:rPr>
          <w:bCs/>
        </w:rPr>
        <w:fldChar w:fldCharType="separate"/>
      </w:r>
      <w:r w:rsidRPr="00126BA8">
        <w:rPr>
          <w:bCs/>
          <w:noProof/>
        </w:rPr>
        <w:t>(GAM-ANON, n.d.)</w:t>
      </w:r>
      <w:r w:rsidRPr="00126BA8">
        <w:rPr>
          <w:bCs/>
        </w:rPr>
        <w:fldChar w:fldCharType="end"/>
      </w:r>
    </w:p>
    <w:p w14:paraId="7E06CD11" w14:textId="77777777" w:rsidR="007473AD" w:rsidRDefault="007473AD" w:rsidP="00966D1C">
      <w:pPr>
        <w:spacing w:line="240" w:lineRule="auto"/>
        <w:jc w:val="both"/>
        <w:rPr>
          <w:bCs/>
        </w:rPr>
      </w:pPr>
    </w:p>
    <w:p w14:paraId="46A31B8D" w14:textId="77777777" w:rsidR="00682101" w:rsidRDefault="00966D1C" w:rsidP="00682101">
      <w:pPr>
        <w:spacing w:line="240" w:lineRule="auto"/>
        <w:jc w:val="both"/>
        <w:rPr>
          <w:bCs/>
        </w:rPr>
      </w:pPr>
      <w:r w:rsidRPr="00126BA8">
        <w:rPr>
          <w:bCs/>
        </w:rPr>
        <w:t>Other international support groups included those run by SHARC (Australia; Family and Friends Gambling Group), Gamblers Help (Australia; Peer Connection / Online Forum), Turning Point (Australia; Peer Support Forum), and GamCare (UK; Peer Aid). The</w:t>
      </w:r>
      <w:r w:rsidR="007473AD">
        <w:rPr>
          <w:bCs/>
        </w:rPr>
        <w:t>se</w:t>
      </w:r>
      <w:r w:rsidRPr="00126BA8">
        <w:rPr>
          <w:bCs/>
        </w:rPr>
        <w:t xml:space="preserve"> support groups or forums were aimed at providing a supportive, understanding and non-judgmental </w:t>
      </w:r>
      <w:r w:rsidRPr="00126BA8">
        <w:rPr>
          <w:bCs/>
        </w:rPr>
        <w:lastRenderedPageBreak/>
        <w:t xml:space="preserve">environment for FAOs to share experiences, learn from each other, and receive support. For example, the Gamblers Help Peer Connection programme was available for individuals not experiencing a crisis. Peer </w:t>
      </w:r>
      <w:r w:rsidRPr="007473AD">
        <w:rPr>
          <w:bCs/>
        </w:rPr>
        <w:t>Connection “matches your friend or family with a volunteer for regular phone contact. Volunteers have dealt with their own gambling addiction or worked through the impact of someone else's, so they know what your loved one is going through”</w:t>
      </w:r>
      <w:r w:rsidRPr="00126BA8">
        <w:rPr>
          <w:bCs/>
        </w:rPr>
        <w:t xml:space="preserve"> </w:t>
      </w:r>
      <w:r w:rsidRPr="00126BA8">
        <w:rPr>
          <w:bCs/>
        </w:rPr>
        <w:fldChar w:fldCharType="begin"/>
      </w:r>
      <w:r w:rsidRPr="00126BA8">
        <w:rPr>
          <w:bCs/>
        </w:rPr>
        <w:instrText xml:space="preserve"> ADDIN EN.CITE &lt;EndNote&gt;&lt;Cite&gt;&lt;Author&gt;Gambler&amp;apos;s Help&lt;/Author&gt;&lt;Year&gt;2020&lt;/Year&gt;&lt;RecNum&gt;664&lt;/RecNum&gt;&lt;DisplayText&gt;(Gambler&amp;apos;s Help, 2020a)&lt;/DisplayText&gt;&lt;record&gt;&lt;rec-number&gt;664&lt;/rec-number&gt;&lt;foreign-keys&gt;&lt;key app="EN" db-id="5v2daxed8wv0eoesd9av5dd8exsxdewpfpwd" timestamp="1600904580"&gt;664&lt;/key&gt;&lt;/foreign-keys&gt;&lt;ref-type name="Web Page"&gt;12&lt;/ref-type&gt;&lt;contributors&gt;&lt;authors&gt;&lt;author&gt;Gambler&amp;apos;s Help,&lt;/author&gt;&lt;/authors&gt;&lt;/contributors&gt;&lt;titles&gt;&lt;title&gt;Find support&lt;/title&gt;&lt;/titles&gt;&lt;dates&gt;&lt;year&gt;2020&lt;/year&gt;&lt;/dates&gt;&lt;urls&gt;&lt;related-urls&gt;&lt;url&gt;https://gamblershelp.com.au/get-help/find-support/&lt;/url&gt;&lt;/related-urls&gt;&lt;/urls&gt;&lt;/record&gt;&lt;/Cite&gt;&lt;/EndNote&gt;</w:instrText>
      </w:r>
      <w:r w:rsidRPr="00126BA8">
        <w:rPr>
          <w:bCs/>
        </w:rPr>
        <w:fldChar w:fldCharType="separate"/>
      </w:r>
      <w:r w:rsidRPr="00126BA8">
        <w:rPr>
          <w:bCs/>
          <w:noProof/>
        </w:rPr>
        <w:t>(Gambler's Help, 2020a)</w:t>
      </w:r>
      <w:r w:rsidRPr="00126BA8">
        <w:rPr>
          <w:bCs/>
        </w:rPr>
        <w:fldChar w:fldCharType="end"/>
      </w:r>
      <w:r w:rsidRPr="00126BA8">
        <w:rPr>
          <w:bCs/>
        </w:rPr>
        <w:t xml:space="preserve">. In addition, the Gamblers Help Online Forum includes tailored areas/forums for FAOs to connect with people who share similar experiences and foster encouraging and useful discussions relevant to them. </w:t>
      </w:r>
    </w:p>
    <w:p w14:paraId="05EE0468" w14:textId="77777777" w:rsidR="00682101" w:rsidRDefault="00682101" w:rsidP="00682101">
      <w:pPr>
        <w:spacing w:line="240" w:lineRule="auto"/>
        <w:jc w:val="both"/>
        <w:rPr>
          <w:bCs/>
        </w:rPr>
      </w:pPr>
    </w:p>
    <w:p w14:paraId="6E68D462" w14:textId="7A64BE86" w:rsidR="00682101" w:rsidRPr="00682101" w:rsidRDefault="00966D1C" w:rsidP="00682101">
      <w:pPr>
        <w:spacing w:line="240" w:lineRule="auto"/>
        <w:jc w:val="both"/>
        <w:rPr>
          <w:bCs/>
        </w:rPr>
      </w:pPr>
      <w:r w:rsidRPr="00126BA8">
        <w:rPr>
          <w:bCs/>
        </w:rPr>
        <w:t>Another example of peer support is the Peer Aid programme provided by GamCare; the new service provides one to one and group support by connecting individuals with Peer Supporters who have lived experience of gambling harms</w:t>
      </w:r>
      <w:r w:rsidR="00682101">
        <w:rPr>
          <w:bCs/>
        </w:rPr>
        <w:t xml:space="preserve">. </w:t>
      </w:r>
      <w:r w:rsidRPr="00126BA8">
        <w:rPr>
          <w:bCs/>
        </w:rPr>
        <w:t xml:space="preserve"> The peer supporters are provided with training to achieve the NCFE (Northern Council for Further Education) Level 2 Award in Gambling Peer Support.</w:t>
      </w:r>
      <w:r w:rsidR="00682101">
        <w:rPr>
          <w:bCs/>
        </w:rPr>
        <w:t xml:space="preserve"> </w:t>
      </w:r>
      <w:r w:rsidR="00682101" w:rsidRPr="00682101">
        <w:rPr>
          <w:bCs/>
        </w:rPr>
        <w:t>The website details that Peer Aid is</w:t>
      </w:r>
      <w:r w:rsidR="00682101" w:rsidRPr="00682101">
        <w:rPr>
          <w:bCs/>
          <w:i/>
        </w:rPr>
        <w:t xml:space="preserve"> </w:t>
      </w:r>
      <w:r w:rsidR="00682101" w:rsidRPr="00682101">
        <w:rPr>
          <w:bCs/>
          <w:iCs/>
        </w:rPr>
        <w:t>“a new peer support service for those affected by gambling harms across London and the South East”,</w:t>
      </w:r>
      <w:r w:rsidR="00682101" w:rsidRPr="00682101">
        <w:rPr>
          <w:bCs/>
        </w:rPr>
        <w:t xml:space="preserve"> was designed and developed by individuals with lived experience of gambling harms, and will provide one-to-one and group support to complement treatment received from GamCare </w:t>
      </w:r>
      <w:r w:rsidR="00682101" w:rsidRPr="00682101">
        <w:rPr>
          <w:bCs/>
        </w:rPr>
        <w:fldChar w:fldCharType="begin"/>
      </w:r>
      <w:r w:rsidR="00682101" w:rsidRPr="00682101">
        <w:rPr>
          <w:bCs/>
        </w:rPr>
        <w:instrText xml:space="preserve"> ADDIN EN.CITE &lt;EndNote&gt;&lt;Cite&gt;&lt;Author&gt;GamCare&lt;/Author&gt;&lt;Year&gt;2020&lt;/Year&gt;&lt;RecNum&gt;502&lt;/RecNum&gt;&lt;DisplayText&gt;(GamCare, 2020)&lt;/DisplayText&gt;&lt;record&gt;&lt;rec-number&gt;502&lt;/rec-number&gt;&lt;foreign-keys&gt;&lt;key app="EN" db-id="5v2daxed8wv0eoesd9av5dd8exsxdewpfpwd" timestamp="1602103851"&gt;502&lt;/key&gt;&lt;/foreign-keys&gt;&lt;ref-type name="Web Page"&gt;12&lt;/ref-type&gt;&lt;contributors&gt;&lt;authors&gt;&lt;author&gt;GamCare,&lt;/author&gt;&lt;/authors&gt;&lt;/contributors&gt;&lt;titles&gt;&lt;title&gt;Peer Aid: Supporting you through shared experience&lt;/title&gt;&lt;/titles&gt;&lt;dates&gt;&lt;year&gt;2020&lt;/year&gt;&lt;/dates&gt;&lt;urls&gt;&lt;related-urls&gt;&lt;url&gt;https://www.gamcare.org.uk/get-support/find-local-treatment/gamcare-london/peer-aid/&lt;/url&gt;&lt;/related-urls&gt;&lt;/urls&gt;&lt;/record&gt;&lt;/Cite&gt;&lt;/EndNote&gt;</w:instrText>
      </w:r>
      <w:r w:rsidR="00682101" w:rsidRPr="00682101">
        <w:rPr>
          <w:bCs/>
        </w:rPr>
        <w:fldChar w:fldCharType="separate"/>
      </w:r>
      <w:r w:rsidR="00682101" w:rsidRPr="00682101">
        <w:rPr>
          <w:bCs/>
        </w:rPr>
        <w:t>(GamCare, 2020)</w:t>
      </w:r>
      <w:r w:rsidR="00682101" w:rsidRPr="00682101">
        <w:rPr>
          <w:bCs/>
        </w:rPr>
        <w:fldChar w:fldCharType="end"/>
      </w:r>
      <w:r w:rsidR="00682101" w:rsidRPr="00682101">
        <w:rPr>
          <w:bCs/>
        </w:rPr>
        <w:t>. FAOs might fall under the umbrella of “those affected by gambling harms” but this is not made explicit on the website.</w:t>
      </w:r>
    </w:p>
    <w:p w14:paraId="07CF3C42" w14:textId="46A8B18E" w:rsidR="00966D1C" w:rsidRDefault="00966D1C" w:rsidP="00966D1C">
      <w:pPr>
        <w:spacing w:line="240" w:lineRule="auto"/>
        <w:jc w:val="both"/>
        <w:rPr>
          <w:bCs/>
        </w:rPr>
      </w:pPr>
    </w:p>
    <w:p w14:paraId="17606CED" w14:textId="77777777" w:rsidR="007473AD" w:rsidRPr="00126BA8" w:rsidRDefault="007473AD" w:rsidP="00966D1C">
      <w:pPr>
        <w:spacing w:line="240" w:lineRule="auto"/>
        <w:jc w:val="both"/>
        <w:rPr>
          <w:bCs/>
        </w:rPr>
      </w:pPr>
    </w:p>
    <w:p w14:paraId="3447639B" w14:textId="40B65079" w:rsidR="00966D1C" w:rsidRPr="00126BA8" w:rsidRDefault="00EC563E" w:rsidP="00966D1C">
      <w:pPr>
        <w:pStyle w:val="Heading4"/>
        <w:spacing w:before="0"/>
        <w:jc w:val="both"/>
        <w:rPr>
          <w:rFonts w:eastAsia="Times New Roman"/>
        </w:rPr>
      </w:pPr>
      <w:r>
        <w:rPr>
          <w:rFonts w:eastAsia="Times New Roman"/>
        </w:rPr>
        <w:t>L</w:t>
      </w:r>
      <w:r w:rsidR="00966D1C" w:rsidRPr="00126BA8">
        <w:rPr>
          <w:rFonts w:eastAsia="Times New Roman"/>
        </w:rPr>
        <w:t xml:space="preserve">imited publicly available information on managing safety risks to FAOs </w:t>
      </w:r>
    </w:p>
    <w:p w14:paraId="31C4F60E" w14:textId="453CD065" w:rsidR="00966D1C" w:rsidRDefault="00966D1C" w:rsidP="00966D1C">
      <w:pPr>
        <w:spacing w:line="240" w:lineRule="auto"/>
        <w:jc w:val="both"/>
        <w:rPr>
          <w:bCs/>
          <w:iCs/>
        </w:rPr>
      </w:pPr>
      <w:r w:rsidRPr="00126BA8">
        <w:t>Despite safety risk being a significant concern for FAOs</w:t>
      </w:r>
      <w:r w:rsidR="00EC563E">
        <w:t xml:space="preserve"> </w:t>
      </w:r>
      <w:r w:rsidR="00EC563E">
        <w:fldChar w:fldCharType="begin">
          <w:fldData xml:space="preserve">PEVuZE5vdGU+PENpdGU+PEF1dGhvcj5Eb3dsaW5nPC9BdXRob3I+PFllYXI+MjAwOTwvWWVhcj48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</w:fldData>
        </w:fldChar>
      </w:r>
      <w:r w:rsidR="00EC563E">
        <w:instrText xml:space="preserve"> ADDIN EN.CITE </w:instrText>
      </w:r>
      <w:r w:rsidR="00EC563E">
        <w:fldChar w:fldCharType="begin">
          <w:fldData xml:space="preserve">PEVuZE5vdGU+PENpdGU+PEF1dGhvcj5Eb3dsaW5nPC9BdXRob3I+PFllYXI+MjAwOTwvWWVhcj48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</w:fldData>
        </w:fldChar>
      </w:r>
      <w:r w:rsidR="00EC563E">
        <w:instrText xml:space="preserve"> ADDIN EN.CITE.DATA </w:instrText>
      </w:r>
      <w:r w:rsidR="00EC563E">
        <w:fldChar w:fldCharType="end"/>
      </w:r>
      <w:r w:rsidR="00EC563E">
        <w:fldChar w:fldCharType="separate"/>
      </w:r>
      <w:r w:rsidR="00EC563E">
        <w:rPr>
          <w:noProof/>
        </w:rPr>
        <w:t>(Dowling et al., 2018; Dowling, Smith, &amp; Thomas, 2009; Palmer du Preez et al., 2018)</w:t>
      </w:r>
      <w:r w:rsidR="00EC563E">
        <w:fldChar w:fldCharType="end"/>
      </w:r>
      <w:r w:rsidRPr="00126BA8">
        <w:t xml:space="preserve">, there was limited information about where to seek help or manage the risk. These risks include domestic violence (physical, emotional / psychological, financial etc) as well as significant mental health risks for self-harm and suicide. In general, international services included a number or link to a domestic violence service on their service websites. </w:t>
      </w:r>
      <w:r w:rsidR="00EC563E">
        <w:t xml:space="preserve">Only </w:t>
      </w:r>
      <w:r w:rsidRPr="00126BA8">
        <w:t>Gambling Help NSW and Oasis websites included information about safety management and further support</w:t>
      </w:r>
      <w:r w:rsidR="00EC563E">
        <w:t>:</w:t>
      </w:r>
    </w:p>
    <w:p w14:paraId="275F143A" w14:textId="77777777" w:rsidR="00EC563E" w:rsidRPr="00126BA8" w:rsidRDefault="00EC563E" w:rsidP="00966D1C">
      <w:pPr>
        <w:spacing w:line="240" w:lineRule="auto"/>
        <w:jc w:val="both"/>
        <w:rPr>
          <w:bCs/>
        </w:rPr>
      </w:pPr>
    </w:p>
    <w:p w14:paraId="6C2056E1" w14:textId="77777777" w:rsidR="00966D1C" w:rsidRPr="00126BA8" w:rsidRDefault="00966D1C" w:rsidP="00966D1C">
      <w:pPr>
        <w:spacing w:line="240" w:lineRule="auto"/>
        <w:ind w:left="720"/>
        <w:jc w:val="both"/>
        <w:rPr>
          <w:bCs/>
          <w:i/>
          <w:iCs/>
        </w:rPr>
      </w:pPr>
      <w:r w:rsidRPr="00126BA8">
        <w:rPr>
          <w:bCs/>
          <w:i/>
          <w:iCs/>
        </w:rPr>
        <w:t xml:space="preserve">Keeping yourself safe: If you have ever felt threatened or unsafe, or if you are concerned about the welfare of children affected by a parent’s gambling, it’s important that you know that there is support available. Call the domestic violence line on 1800 65 64 63 or Gambling Help on 1800 858 858. There are many options available to you including counselling, temporary accommodation, and Apprehended Violence Orders (AVOs). See domesticviolence.nsw.gov.au for more information. </w:t>
      </w:r>
    </w:p>
    <w:p w14:paraId="2FB1EB7D" w14:textId="6F28CF08" w:rsidR="00966D1C" w:rsidRPr="00126BA8" w:rsidRDefault="00966D1C" w:rsidP="00966D1C">
      <w:pPr>
        <w:spacing w:line="240" w:lineRule="auto"/>
        <w:ind w:left="720"/>
        <w:jc w:val="both"/>
        <w:rPr>
          <w:bCs/>
        </w:rPr>
      </w:pPr>
      <w:r w:rsidRPr="00126BA8">
        <w:rPr>
          <w:bCs/>
          <w:i/>
          <w:iCs/>
        </w:rPr>
        <w:t>Keeping them safe: Unfortunately, people with gambling problems are at a greater risk of self-harm and suicide than the general population. If you think your loved one is at imminent risk of hurting themselves, call emergency on 000, or your local community mental health crisis team.</w:t>
      </w:r>
      <w:r w:rsidRPr="00126BA8">
        <w:rPr>
          <w:bCs/>
        </w:rPr>
        <w:t xml:space="preserve"> </w:t>
      </w:r>
      <w:r w:rsidRPr="00126BA8">
        <w:rPr>
          <w:bCs/>
        </w:rPr>
        <w:fldChar w:fldCharType="begin"/>
      </w:r>
      <w:r w:rsidR="00682101">
        <w:rPr>
          <w:bCs/>
        </w:rPr>
        <w:instrText xml:space="preserve"> ADDIN EN.CITE &lt;EndNote&gt;&lt;Cite&gt;&lt;Author&gt;Gambling Help NSW&lt;/Author&gt;&lt;Year&gt;n.d.&lt;/Year&gt;&lt;RecNum&gt;646&lt;/RecNum&gt;&lt;Pages&gt;25&lt;/Pages&gt;&lt;DisplayText&gt;(Gambling Help NSW, n.d.-b, p. 25)&lt;/DisplayText&gt;&lt;record&gt;&lt;rec-number&gt;646&lt;/rec-number&gt;&lt;foreign-keys&gt;&lt;key app="EN" db-id="5v2daxed8wv0eoesd9av5dd8exsxdewpfpwd" timestamp="1600901049"&gt;646&lt;/key&gt;&lt;/foreign-keys&gt;&lt;ref-type name="Report"&gt;27&lt;/ref-type&gt;&lt;contributors&gt;&lt;authors&gt;&lt;author&gt;Gambling Help NSW,&lt;/author&gt;&lt;/authors&gt;&lt;tertiary-authors&gt;&lt;author&gt;Gambling Help NSW,&lt;/author&gt;&lt;/tertiary-authors&gt;&lt;/contributors&gt;&lt;titles&gt;&lt;title&gt;Problem Gambling: A guide for family and friends&lt;/title&gt;&lt;/titles&gt;&lt;dates&gt;&lt;year&gt;n.d.&lt;/year&gt;&lt;/dates&gt;&lt;pub-location&gt;Victoria, NSW&lt;/pub-location&gt;&lt;urls&gt;&lt;/urls&gt;&lt;/record&gt;&lt;/Cite&gt;&lt;/EndNote&gt;</w:instrText>
      </w:r>
      <w:r w:rsidRPr="00126BA8">
        <w:rPr>
          <w:bCs/>
        </w:rPr>
        <w:fldChar w:fldCharType="separate"/>
      </w:r>
      <w:r w:rsidR="00682101">
        <w:rPr>
          <w:bCs/>
          <w:noProof/>
        </w:rPr>
        <w:t>(Gambling Help NSW, n.d.-b, p. 25)</w:t>
      </w:r>
      <w:r w:rsidRPr="00126BA8">
        <w:rPr>
          <w:bCs/>
        </w:rPr>
        <w:fldChar w:fldCharType="end"/>
      </w:r>
    </w:p>
    <w:p w14:paraId="32135A9D" w14:textId="77777777" w:rsidR="00EC563E" w:rsidRDefault="00EC563E" w:rsidP="00966D1C">
      <w:pPr>
        <w:spacing w:line="240" w:lineRule="auto"/>
        <w:ind w:left="720"/>
        <w:jc w:val="both"/>
        <w:rPr>
          <w:bCs/>
          <w:i/>
        </w:rPr>
      </w:pPr>
    </w:p>
    <w:p w14:paraId="57A3F24D" w14:textId="67513962" w:rsidR="00966D1C" w:rsidRPr="00126BA8" w:rsidRDefault="00966D1C" w:rsidP="00966D1C">
      <w:pPr>
        <w:spacing w:line="240" w:lineRule="auto"/>
        <w:ind w:left="720"/>
        <w:jc w:val="both"/>
        <w:rPr>
          <w:bCs/>
        </w:rPr>
      </w:pPr>
      <w:r w:rsidRPr="00126BA8">
        <w:rPr>
          <w:bCs/>
          <w:i/>
        </w:rPr>
        <w:t>Safety: If you are living with the gambler and they are emotionally volatile: quick to anger and yell or to put you down, then it is important that you reach out to Oasis to discuss next steps for safety and your emotional wellbeing and prevent family violence and abuse. This is an important step to create safety for your whole family/whānau, especially children. We can assist you to be in touch with family violence organisations if this is required and work on an immediate safety plan with you.</w:t>
      </w:r>
      <w:r w:rsidRPr="00126BA8">
        <w:rPr>
          <w:bCs/>
        </w:rPr>
        <w:t xml:space="preserve"> </w:t>
      </w:r>
      <w:r w:rsidRPr="00126BA8">
        <w:rPr>
          <w:bCs/>
        </w:rPr>
        <w:fldChar w:fldCharType="begin"/>
      </w:r>
      <w:r w:rsidRPr="00126BA8">
        <w:rPr>
          <w:bCs/>
        </w:rPr>
        <w:instrText xml:space="preserve"> ADDIN EN.CITE &lt;EndNote&gt;&lt;Cite&gt;&lt;Author&gt;The Salvation Army Oasis&lt;/Author&gt;&lt;Year&gt;2020&lt;/Year&gt;&lt;RecNum&gt;665&lt;/RecNum&gt;&lt;DisplayText&gt;(The Salvation Army Oasis, 2020a)&lt;/DisplayText&gt;&lt;record&gt;&lt;rec-number&gt;665&lt;/rec-number&gt;&lt;foreign-keys&gt;&lt;key app="EN" db-id="5v2daxed8wv0eoesd9av5dd8exsxdewpfpwd" timestamp="1600905037"&gt;665&lt;/key&gt;&lt;/foreign-keys&gt;&lt;ref-type name="Web Page"&gt;12&lt;/ref-type&gt;&lt;contributors&gt;&lt;authors&gt;&lt;author&gt;The Salvation Army Oasis,&lt;/author&gt;&lt;/authors&gt;&lt;/contributors&gt;&lt;titles&gt;&lt;title&gt;&lt;style face="normal" font="default" size="100%"&gt;Family and Wh&lt;/style&gt;&lt;style face="normal" font="default" charset="238" size="100%"&gt;ānau &lt;/style&gt;&lt;style face="normal" font="default" size="100%"&gt;counselling with Oasis&lt;/style&gt;&lt;/title&gt;&lt;/titles&gt;&lt;dates&gt;&lt;year&gt;2020&lt;/year&gt;&lt;/dates&gt;&lt;urls&gt;&lt;related-urls&gt;&lt;url&gt;https://oasis.salvationarmy.org.nz/resource/family-and-wh%C4%81nau-counselling-oasis&lt;/url&gt;&lt;/related-urls&gt;&lt;/urls&gt;&lt;/record&gt;&lt;/Cite&gt;&lt;/EndNote&gt;</w:instrText>
      </w:r>
      <w:r w:rsidRPr="00126BA8">
        <w:rPr>
          <w:bCs/>
        </w:rPr>
        <w:fldChar w:fldCharType="separate"/>
      </w:r>
      <w:r w:rsidRPr="00126BA8">
        <w:rPr>
          <w:bCs/>
          <w:noProof/>
        </w:rPr>
        <w:t>(The Salvation Army Oasis, 2020a)</w:t>
      </w:r>
      <w:r w:rsidRPr="00126BA8">
        <w:rPr>
          <w:bCs/>
        </w:rPr>
        <w:fldChar w:fldCharType="end"/>
      </w:r>
      <w:r w:rsidRPr="00126BA8">
        <w:rPr>
          <w:bCs/>
        </w:rPr>
        <w:t xml:space="preserve"> </w:t>
      </w:r>
    </w:p>
    <w:p w14:paraId="26ED4BBD" w14:textId="77777777" w:rsidR="00EC563E" w:rsidRDefault="00EC563E" w:rsidP="00966D1C">
      <w:pPr>
        <w:spacing w:line="240" w:lineRule="auto"/>
        <w:jc w:val="both"/>
        <w:rPr>
          <w:bCs/>
        </w:rPr>
      </w:pPr>
    </w:p>
    <w:p w14:paraId="47935049" w14:textId="41559ECC" w:rsidR="00966D1C" w:rsidRDefault="00EC563E" w:rsidP="00966D1C">
      <w:pPr>
        <w:spacing w:line="240" w:lineRule="auto"/>
        <w:jc w:val="both"/>
        <w:rPr>
          <w:bCs/>
        </w:rPr>
      </w:pPr>
      <w:r>
        <w:rPr>
          <w:bCs/>
          <w:iCs/>
        </w:rPr>
        <w:t>I</w:t>
      </w:r>
      <w:r w:rsidRPr="00126BA8">
        <w:rPr>
          <w:bCs/>
          <w:iCs/>
        </w:rPr>
        <w:t>n conversations with Oasis practice leaders, it was reported that patriarchal systems and relationship forms were covered by clinicians</w:t>
      </w:r>
      <w:r>
        <w:rPr>
          <w:bCs/>
          <w:iCs/>
        </w:rPr>
        <w:t xml:space="preserve"> and were a focus of the support group for women</w:t>
      </w:r>
      <w:r w:rsidRPr="00126BA8">
        <w:rPr>
          <w:bCs/>
          <w:iCs/>
        </w:rPr>
        <w:t>.</w:t>
      </w:r>
      <w:r>
        <w:rPr>
          <w:bCs/>
          <w:iCs/>
        </w:rPr>
        <w:t xml:space="preserve"> </w:t>
      </w:r>
      <w:r w:rsidR="00682101">
        <w:rPr>
          <w:bCs/>
          <w:iCs/>
        </w:rPr>
        <w:t>Finally, t</w:t>
      </w:r>
      <w:r w:rsidR="00966D1C" w:rsidRPr="00126BA8">
        <w:rPr>
          <w:bCs/>
        </w:rPr>
        <w:t>he 5-Step Self-Help Handbook</w:t>
      </w:r>
      <w:r>
        <w:rPr>
          <w:bCs/>
        </w:rPr>
        <w:t xml:space="preserve"> </w:t>
      </w:r>
      <w:r w:rsidR="00966D1C" w:rsidRPr="00126BA8">
        <w:rPr>
          <w:bCs/>
        </w:rPr>
        <w:t xml:space="preserve">supplied to the researchers by the National Problem Gambling Clinic (UK) included information and caution about domestic violence </w:t>
      </w:r>
      <w:r w:rsidR="00966D1C" w:rsidRPr="00126BA8">
        <w:rPr>
          <w:bCs/>
        </w:rPr>
        <w:fldChar w:fldCharType="begin"/>
      </w:r>
      <w:r w:rsidR="006129C2">
        <w:rPr>
          <w:bCs/>
        </w:rPr>
        <w:instrText xml:space="preserve"> ADDIN EN.CITE &lt;EndNote&gt;&lt;Cite&gt;&lt;Author&gt;Copello&lt;/Author&gt;&lt;Year&gt;n.d.&lt;/Year&gt;&lt;RecNum&gt;653&lt;/RecNum&gt;&lt;DisplayText&gt;(Copello et al., n.d.)&lt;/DisplayText&gt;&lt;record&gt;&lt;rec-number&gt;653&lt;/rec-number&gt;&lt;foreign-keys&gt;&lt;key app="EN" db-id="5v2daxed8wv0eoesd9av5dd8exsxdewpfpwd" timestamp="1600902492"&gt;653&lt;/key&gt;&lt;/foreign-keys&gt;&lt;ref-type name="Report"&gt;27&lt;/ref-type&gt;&lt;contributors&gt;&lt;authors&gt;&lt;author&gt;Copello, A&lt;/author&gt;&lt;author&gt;Bowden-Jones, H&lt;/author&gt;&lt;author&gt;Cousins, J&lt;/author&gt;&lt;author&gt;Orford, J&lt;/author&gt;&lt;author&gt;George, S&lt;/author&gt;&lt;/authors&gt;&lt;secondary-authors&gt;&lt;author&gt;Central and North West London NHS&lt;/author&gt;&lt;/secondary-authors&gt;&lt;tertiary-authors&gt;&lt;author&gt;The National Problem Gambling Clinic.&lt;/author&gt;&lt;author&gt;The UK ADF Research Group,&lt;/author&gt;&lt;/tertiary-authors&gt;&lt;/contributors&gt;&lt;titles&gt;&lt;title&gt;Gambling, the family and you: A self-help handbook for family members&lt;/title&gt;&lt;/titles&gt;&lt;dates&gt;&lt;year&gt;n.d.&lt;/year&gt;&lt;/dates&gt;&lt;pub-location&gt;UK&lt;/pub-location&gt;&lt;urls&gt;&lt;/urls&gt;&lt;/record&gt;&lt;/Cite&gt;&lt;/EndNote&gt;</w:instrText>
      </w:r>
      <w:r w:rsidR="00966D1C" w:rsidRPr="00126BA8">
        <w:rPr>
          <w:bCs/>
        </w:rPr>
        <w:fldChar w:fldCharType="separate"/>
      </w:r>
      <w:r w:rsidR="006129C2">
        <w:rPr>
          <w:bCs/>
          <w:noProof/>
        </w:rPr>
        <w:t>(Copello et al., n.d.)</w:t>
      </w:r>
      <w:r w:rsidR="00966D1C" w:rsidRPr="00126BA8">
        <w:rPr>
          <w:bCs/>
        </w:rPr>
        <w:fldChar w:fldCharType="end"/>
      </w:r>
      <w:r w:rsidR="00966D1C" w:rsidRPr="00126BA8">
        <w:rPr>
          <w:bCs/>
        </w:rPr>
        <w:t xml:space="preserve">. The handbook provided information for cases where the FAO is wary about the information being seen (e.g. keep the workbook at work or a friend’s house), links to domestic violence websites, and advice about services that are not appropriate due to safety concerns for individuals experiencing domestic violence (marital or couples counselling and Family Therapy). There was also a section on dealing with violence and abuse </w:t>
      </w:r>
      <w:r w:rsidR="00966D1C" w:rsidRPr="00126BA8">
        <w:rPr>
          <w:bCs/>
        </w:rPr>
        <w:fldChar w:fldCharType="begin"/>
      </w:r>
      <w:r w:rsidR="006129C2">
        <w:rPr>
          <w:bCs/>
        </w:rPr>
        <w:instrText xml:space="preserve"> ADDIN EN.CITE &lt;EndNote&gt;&lt;Cite&gt;&lt;Author&gt;Copello&lt;/Author&gt;&lt;Year&gt;n.d.&lt;/Year&gt;&lt;RecNum&gt;653&lt;/RecNum&gt;&lt;DisplayText&gt;(Copello et al., n.d.)&lt;/DisplayText&gt;&lt;record&gt;&lt;rec-number&gt;653&lt;/rec-number&gt;&lt;foreign-keys&gt;&lt;key app="EN" db-id="5v2daxed8wv0eoesd9av5dd8exsxdewpfpwd" timestamp="1600902492"&gt;653&lt;/key&gt;&lt;/foreign-keys&gt;&lt;ref-type name="Report"&gt;27&lt;/ref-type&gt;&lt;contributors&gt;&lt;authors&gt;&lt;author&gt;Copello, A&lt;/author&gt;&lt;author&gt;Bowden-Jones, H&lt;/author&gt;&lt;author&gt;Cousins, J&lt;/author&gt;&lt;author&gt;Orford, J&lt;/author&gt;&lt;author&gt;George, S&lt;/author&gt;&lt;/authors&gt;&lt;secondary-authors&gt;&lt;author&gt;Central and North West London NHS&lt;/author&gt;&lt;/secondary-authors&gt;&lt;tertiary-authors&gt;&lt;author&gt;The National Problem Gambling Clinic.&lt;/author&gt;&lt;author&gt;The UK ADF Research Group,&lt;/author&gt;&lt;/tertiary-authors&gt;&lt;/contributors&gt;&lt;titles&gt;&lt;title&gt;Gambling, the family and you: A self-help handbook for family members&lt;/title&gt;&lt;/titles&gt;&lt;dates&gt;&lt;year&gt;n.d.&lt;/year&gt;&lt;/dates&gt;&lt;pub-location&gt;UK&lt;/pub-location&gt;&lt;urls&gt;&lt;/urls&gt;&lt;/record&gt;&lt;/Cite&gt;&lt;/EndNote&gt;</w:instrText>
      </w:r>
      <w:r w:rsidR="00966D1C" w:rsidRPr="00126BA8">
        <w:rPr>
          <w:bCs/>
        </w:rPr>
        <w:fldChar w:fldCharType="separate"/>
      </w:r>
      <w:r w:rsidR="006129C2">
        <w:rPr>
          <w:bCs/>
          <w:noProof/>
        </w:rPr>
        <w:t>(Copello et al., n.d.)</w:t>
      </w:r>
      <w:r w:rsidR="00966D1C" w:rsidRPr="00126BA8">
        <w:rPr>
          <w:bCs/>
        </w:rPr>
        <w:fldChar w:fldCharType="end"/>
      </w:r>
      <w:r w:rsidR="00966D1C" w:rsidRPr="00126BA8">
        <w:rPr>
          <w:bCs/>
        </w:rPr>
        <w:t>.</w:t>
      </w:r>
    </w:p>
    <w:p w14:paraId="73431290" w14:textId="77777777" w:rsidR="00EC563E" w:rsidRPr="00126BA8" w:rsidRDefault="00EC563E" w:rsidP="00966D1C">
      <w:pPr>
        <w:spacing w:line="240" w:lineRule="auto"/>
        <w:jc w:val="both"/>
        <w:rPr>
          <w:bCs/>
        </w:rPr>
      </w:pPr>
    </w:p>
    <w:p w14:paraId="204FB8AC" w14:textId="77777777" w:rsidR="00966D1C" w:rsidRPr="00126BA8" w:rsidRDefault="00966D1C" w:rsidP="00966D1C">
      <w:pPr>
        <w:pStyle w:val="Heading3"/>
        <w:spacing w:before="0"/>
        <w:rPr>
          <w:i w:val="0"/>
        </w:rPr>
      </w:pPr>
      <w:bookmarkStart w:id="126" w:name="_Hlk51756442"/>
      <w:bookmarkStart w:id="127" w:name="_Toc58400783"/>
      <w:r w:rsidRPr="00126BA8">
        <w:rPr>
          <w:i w:val="0"/>
        </w:rPr>
        <w:t>How do gender, ethnicity and/or cultural issues/perspectives appear to be incorporated into service design and delivery for FAOs</w:t>
      </w:r>
      <w:bookmarkEnd w:id="126"/>
      <w:r w:rsidRPr="00126BA8">
        <w:rPr>
          <w:i w:val="0"/>
        </w:rPr>
        <w:t>?</w:t>
      </w:r>
      <w:bookmarkEnd w:id="127"/>
    </w:p>
    <w:p w14:paraId="4D1B9F51" w14:textId="2B6CF274" w:rsidR="00903A1B" w:rsidRPr="00903A1B" w:rsidRDefault="00966D1C" w:rsidP="00903A1B">
      <w:pPr>
        <w:spacing w:line="240" w:lineRule="auto"/>
        <w:jc w:val="both"/>
      </w:pPr>
      <w:r w:rsidRPr="00126BA8">
        <w:t>In New Zealand it is imperative that gambling services cater for culturally diverse groups</w:t>
      </w:r>
      <w:r w:rsidR="00F344AA">
        <w:t xml:space="preserve"> </w:t>
      </w:r>
      <w:r w:rsidR="00F344AA">
        <w:fldChar w:fldCharType="begin"/>
      </w:r>
      <w:r w:rsidR="00F344AA">
        <w:instrText xml:space="preserve"> ADDIN EN.CITE &lt;EndNote&gt;&lt;Cite&gt;&lt;Author&gt;Ministry of Health&lt;/Author&gt;&lt;Year&gt;2018&lt;/Year&gt;&lt;RecNum&gt;300&lt;/RecNum&gt;&lt;DisplayText&gt;(Ministry of Health, 2018, 2019)&lt;/DisplayText&gt;&lt;record&gt;&lt;rec-number&gt;300&lt;/rec-number&gt;&lt;foreign-keys&gt;&lt;key app="EN" db-id="25rszwft292ev3esrpvpde0cpxrd9ex0xspp" timestamp="1600730608"&gt;300&lt;/key&gt;&lt;/foreign-keys&gt;&lt;ref-type name="Report"&gt;27&lt;/ref-type&gt;&lt;contributors&gt;&lt;authors&gt;&lt;author&gt;Ministry of Health,&lt;/author&gt;&lt;/authors&gt;&lt;/contributors&gt;&lt;titles&gt;&lt;title&gt;Mental Health and Addiction Workforce Action Plan 2017-2021 (2nd edn).&lt;/title&gt;&lt;/titles&gt;&lt;dates&gt;&lt;year&gt;2018&lt;/year&gt;&lt;/dates&gt;&lt;pub-location&gt;Wellington&lt;/pub-location&gt;&lt;publisher&gt;Ministry of Health&lt;/publisher&gt;&lt;urls&gt;&lt;/urls&gt;&lt;/record&gt;&lt;/Cite&gt;&lt;Cite&gt;&lt;Author&gt;Ministry of Health&lt;/Author&gt;&lt;Year&gt;2019&lt;/Year&gt;&lt;RecNum&gt;223&lt;/RecNum&gt;&lt;record&gt;&lt;rec-number&gt;223&lt;/rec-number&gt;&lt;foreign-keys&gt;&lt;key app="EN" db-id="25rszwft292ev3esrpvpde0cpxrd9ex0xspp" timestamp="1588887840"&gt;223&lt;/key&gt;&lt;/foreign-keys&gt;&lt;ref-type name="Report"&gt;27&lt;/ref-type&gt;&lt;contributors&gt;&lt;authors&gt;&lt;author&gt;Ministry of Health,&lt;/author&gt;&lt;/authors&gt;&lt;/contributors&gt;&lt;titles&gt;&lt;title&gt;Preventing and Minimising Gambling Harm: Practitioner’s Guide&lt;/title&gt;&lt;/titles&gt;&lt;dates&gt;&lt;year&gt;2019&lt;/year&gt;&lt;/dates&gt;&lt;pub-location&gt;Wellington&lt;/pub-location&gt;&lt;publisher&gt;Ministry of Health&lt;/publisher&gt;&lt;urls&gt;&lt;/urls&gt;&lt;/record&gt;&lt;/Cite&gt;&lt;/EndNote&gt;</w:instrText>
      </w:r>
      <w:r w:rsidR="00F344AA">
        <w:fldChar w:fldCharType="separate"/>
      </w:r>
      <w:r w:rsidR="00F344AA">
        <w:rPr>
          <w:noProof/>
        </w:rPr>
        <w:t>(Ministry of Health, 2018, 2019)</w:t>
      </w:r>
      <w:r w:rsidR="00F344AA">
        <w:fldChar w:fldCharType="end"/>
      </w:r>
      <w:r w:rsidRPr="00126BA8">
        <w:t xml:space="preserve">. Within the gambling sector, Māori, Pacific, and Asian communities are priority populations for services; with specific services </w:t>
      </w:r>
      <w:r w:rsidR="00903A1B">
        <w:t xml:space="preserve">designed around the priorities and needs of </w:t>
      </w:r>
      <w:r w:rsidRPr="00126BA8">
        <w:t>each group (e.g., Raukura</w:t>
      </w:r>
      <w:r w:rsidR="00903A1B">
        <w:t xml:space="preserve"> - </w:t>
      </w:r>
      <w:r w:rsidR="00903A1B" w:rsidRPr="00126BA8">
        <w:t>Māori</w:t>
      </w:r>
      <w:r w:rsidRPr="00126BA8">
        <w:t>, Mapu Maia</w:t>
      </w:r>
      <w:r w:rsidR="00903A1B">
        <w:t xml:space="preserve"> - Pacific peoples</w:t>
      </w:r>
      <w:r w:rsidRPr="00126BA8">
        <w:t>, and AFS</w:t>
      </w:r>
      <w:r w:rsidR="00903A1B">
        <w:t xml:space="preserve"> – Asian families</w:t>
      </w:r>
      <w:r w:rsidRPr="00126BA8">
        <w:t>). Mapu Maia and AFS were described in the 2019 PGF Group Annual Report</w:t>
      </w:r>
      <w:r w:rsidR="00903A1B">
        <w:t xml:space="preserve"> </w:t>
      </w:r>
      <w:r w:rsidR="00903A1B" w:rsidRPr="00903A1B">
        <w:t xml:space="preserve">as </w:t>
      </w:r>
      <w:r w:rsidRPr="00903A1B">
        <w:t xml:space="preserve">specialist teams </w:t>
      </w:r>
      <w:r w:rsidR="00903A1B" w:rsidRPr="00903A1B">
        <w:t xml:space="preserve">who </w:t>
      </w:r>
      <w:r w:rsidRPr="00903A1B">
        <w:t>provide culturally and linguistically appropriate support to Asian and Pasifika communities living in New Zealand</w:t>
      </w:r>
      <w:r w:rsidR="00903A1B" w:rsidRPr="00903A1B">
        <w:t xml:space="preserve">: </w:t>
      </w:r>
    </w:p>
    <w:p w14:paraId="3A8C2E33" w14:textId="77777777" w:rsidR="00903A1B" w:rsidRDefault="00903A1B" w:rsidP="00903A1B">
      <w:pPr>
        <w:spacing w:line="240" w:lineRule="auto"/>
        <w:jc w:val="both"/>
        <w:rPr>
          <w:i/>
        </w:rPr>
      </w:pPr>
    </w:p>
    <w:p w14:paraId="30ADAF3D" w14:textId="20394EFE" w:rsidR="00966D1C" w:rsidRPr="00126BA8" w:rsidRDefault="00903A1B" w:rsidP="00903A1B">
      <w:pPr>
        <w:spacing w:line="240" w:lineRule="auto"/>
        <w:ind w:left="720"/>
        <w:jc w:val="both"/>
      </w:pPr>
      <w:r>
        <w:rPr>
          <w:i/>
        </w:rPr>
        <w:t>“</w:t>
      </w:r>
      <w:r w:rsidR="00966D1C" w:rsidRPr="00126BA8">
        <w:rPr>
          <w:i/>
        </w:rPr>
        <w:t>Asian Family Services provide free, professional and confidential counselling, information and support in several languages and operate a nationwide helpline. Mapu Maia (Pasifika Services) provide a holistic, family-centred service which is free and confidential delivered by experienced and qualified staff who can support people in English, Samoan and Tongan.</w:t>
      </w:r>
      <w:r>
        <w:rPr>
          <w:i/>
        </w:rPr>
        <w:t>”</w:t>
      </w:r>
      <w:r w:rsidR="00966D1C" w:rsidRPr="00126BA8">
        <w:t xml:space="preserve"> </w:t>
      </w:r>
      <w:r w:rsidR="00966D1C" w:rsidRPr="00126BA8">
        <w:fldChar w:fldCharType="begin"/>
      </w:r>
      <w:r w:rsidR="00966D1C" w:rsidRPr="00126BA8">
        <w:instrText xml:space="preserve"> ADDIN EN.CITE &lt;EndNote&gt;&lt;Cite&gt;&lt;Author&gt;PGF Group&lt;/Author&gt;&lt;Year&gt;2018&lt;/Year&gt;&lt;RecNum&gt;667&lt;/RecNum&gt;&lt;Pages&gt;4&lt;/Pages&gt;&lt;DisplayText&gt;(PGF Group, 2018, p. 4)&lt;/DisplayText&gt;&lt;record&gt;&lt;rec-number&gt;667&lt;/rec-number&gt;&lt;foreign-keys&gt;&lt;key app="EN" db-id="5v2daxed8wv0eoesd9av5dd8exsxdewpfpwd" timestamp="1600905662"&gt;667&lt;/key&gt;&lt;/foreign-keys&gt;&lt;ref-type name="Report"&gt;27&lt;/ref-type&gt;&lt;contributors&gt;&lt;authors&gt;&lt;author&gt;PGF Group,&lt;/author&gt;&lt;/authors&gt;&lt;tertiary-authors&gt;&lt;author&gt;PGF Group&lt;/author&gt;&lt;/tertiary-authors&gt;&lt;/contributors&gt;&lt;titles&gt;&lt;title&gt;Problem Gambling Foundation of NZ: Report to stakeholders 2018 [Report to stakeholders]&lt;/title&gt;&lt;/titles&gt;&lt;dates&gt;&lt;year&gt;2018&lt;/year&gt;&lt;/dates&gt;&lt;urls&gt;&lt;/urls&gt;&lt;/record&gt;&lt;/Cite&gt;&lt;/EndNote&gt;</w:instrText>
      </w:r>
      <w:r w:rsidR="00966D1C" w:rsidRPr="00126BA8">
        <w:fldChar w:fldCharType="separate"/>
      </w:r>
      <w:r w:rsidR="00966D1C" w:rsidRPr="00126BA8">
        <w:rPr>
          <w:noProof/>
        </w:rPr>
        <w:t>(PGF Group, 2018, p. 4)</w:t>
      </w:r>
      <w:r w:rsidR="00966D1C" w:rsidRPr="00126BA8">
        <w:fldChar w:fldCharType="end"/>
      </w:r>
    </w:p>
    <w:p w14:paraId="3465A437" w14:textId="77777777" w:rsidR="00F344AA" w:rsidRDefault="00F344AA" w:rsidP="00966D1C">
      <w:pPr>
        <w:spacing w:line="240" w:lineRule="auto"/>
        <w:ind w:left="720"/>
        <w:jc w:val="both"/>
        <w:rPr>
          <w:rFonts w:eastAsia="Times New Roman"/>
          <w:i/>
        </w:rPr>
      </w:pPr>
    </w:p>
    <w:p w14:paraId="3598097B" w14:textId="1A1FC5C6" w:rsidR="00966D1C" w:rsidRPr="00126BA8" w:rsidRDefault="009A4571" w:rsidP="00966D1C">
      <w:pPr>
        <w:pStyle w:val="Heading4"/>
        <w:spacing w:before="0"/>
      </w:pPr>
      <w:r>
        <w:t>C</w:t>
      </w:r>
      <w:r w:rsidR="00966D1C" w:rsidRPr="00126BA8">
        <w:t xml:space="preserve">ulturally </w:t>
      </w:r>
      <w:r>
        <w:t>based</w:t>
      </w:r>
      <w:r w:rsidR="00966D1C" w:rsidRPr="00126BA8">
        <w:t xml:space="preserve"> services </w:t>
      </w:r>
      <w:r>
        <w:t>tend to conceptualise</w:t>
      </w:r>
      <w:r w:rsidRPr="009A4571">
        <w:t xml:space="preserve"> families/whānau </w:t>
      </w:r>
      <w:r>
        <w:t xml:space="preserve">as the client </w:t>
      </w:r>
      <w:r w:rsidRPr="009A4571">
        <w:t>from the outset</w:t>
      </w:r>
    </w:p>
    <w:p w14:paraId="24B07C11" w14:textId="5FDEE303" w:rsidR="00966D1C" w:rsidRDefault="00966D1C" w:rsidP="00966D1C">
      <w:pPr>
        <w:spacing w:line="240" w:lineRule="auto"/>
        <w:jc w:val="both"/>
        <w:rPr>
          <w:rFonts w:eastAsia="Times New Roman"/>
        </w:rPr>
      </w:pPr>
      <w:r w:rsidRPr="00126BA8">
        <w:t xml:space="preserve">Services for FAOs/family/whānau appeared to be inherent within Māori and Pacific </w:t>
      </w:r>
      <w:r w:rsidR="00903A1B">
        <w:t xml:space="preserve">worldview informed systems and </w:t>
      </w:r>
      <w:r w:rsidRPr="00126BA8">
        <w:t>services</w:t>
      </w:r>
      <w:r w:rsidR="00903A1B">
        <w:t>. T</w:t>
      </w:r>
      <w:r w:rsidRPr="00126BA8">
        <w:t>he preferred way of working was held to be with the family/whānau, rather than the individual. For example, in conversations with practice leaders at Raukura, g</w:t>
      </w:r>
      <w:r w:rsidRPr="00126BA8">
        <w:rPr>
          <w:rFonts w:eastAsia="Times New Roman"/>
        </w:rPr>
        <w:t>ambling harm reduction services, FAOs were incorporated within wrap-around Māori health and wellbeing services for whānau</w:t>
      </w:r>
      <w:r w:rsidR="00903A1B">
        <w:rPr>
          <w:rFonts w:eastAsia="Times New Roman"/>
        </w:rPr>
        <w:t xml:space="preserve">, provided at a community based hub offering </w:t>
      </w:r>
      <w:r w:rsidR="00903A1B">
        <w:t xml:space="preserve">medical, community health, mental health and other addictions services. Engagement with families affected by gambling harm could be through any of these pathways. </w:t>
      </w:r>
    </w:p>
    <w:p w14:paraId="1C44E9DB" w14:textId="77777777" w:rsidR="00F344AA" w:rsidRPr="00126BA8" w:rsidRDefault="00F344AA" w:rsidP="00966D1C">
      <w:pPr>
        <w:spacing w:line="240" w:lineRule="auto"/>
        <w:jc w:val="both"/>
        <w:rPr>
          <w:rFonts w:eastAsia="Times New Roman"/>
        </w:rPr>
      </w:pPr>
    </w:p>
    <w:p w14:paraId="21945D7D" w14:textId="51FDCE44" w:rsidR="00966D1C" w:rsidRPr="00903A1B" w:rsidRDefault="00966D1C" w:rsidP="00966D1C">
      <w:pPr>
        <w:spacing w:line="240" w:lineRule="auto"/>
        <w:jc w:val="both"/>
        <w:rPr>
          <w:rFonts w:eastAsia="Times New Roman"/>
        </w:rPr>
      </w:pPr>
      <w:r w:rsidRPr="00126BA8">
        <w:rPr>
          <w:rFonts w:eastAsia="Times New Roman"/>
        </w:rPr>
        <w:t>In Pacific services, Mapu Maia engage with families/whānau from the outset using culturally appropriate clinical intervention/Talatalanoa in Samoan, Tongan, or English.</w:t>
      </w:r>
      <w:r w:rsidRPr="00126BA8">
        <w:rPr>
          <w:rFonts w:eastAsia="Times New Roman"/>
          <w:i/>
        </w:rPr>
        <w:t xml:space="preserve"> </w:t>
      </w:r>
      <w:r w:rsidRPr="00126BA8">
        <w:rPr>
          <w:rFonts w:eastAsia="Times New Roman"/>
        </w:rPr>
        <w:t xml:space="preserve">Talatalanoa is </w:t>
      </w:r>
      <w:r w:rsidR="00D63FD2">
        <w:rPr>
          <w:rFonts w:eastAsia="Times New Roman"/>
        </w:rPr>
        <w:t>available</w:t>
      </w:r>
      <w:r w:rsidRPr="00126BA8">
        <w:rPr>
          <w:rFonts w:eastAsia="Times New Roman"/>
        </w:rPr>
        <w:t xml:space="preserve"> through one to one, couples, family, group, and online/phone services. </w:t>
      </w:r>
      <w:r w:rsidR="00D63FD2" w:rsidRPr="00D63FD2">
        <w:rPr>
          <w:rFonts w:eastAsia="Times New Roman"/>
        </w:rPr>
        <w:t xml:space="preserve">Talatalanoa is </w:t>
      </w:r>
      <w:r w:rsidR="00D63FD2">
        <w:rPr>
          <w:rFonts w:eastAsia="Times New Roman"/>
        </w:rPr>
        <w:t>defined as a</w:t>
      </w:r>
      <w:r w:rsidR="00D63FD2" w:rsidRPr="00D63FD2">
        <w:rPr>
          <w:rFonts w:eastAsia="Times New Roman"/>
        </w:rPr>
        <w:t xml:space="preserve"> deep conversation</w:t>
      </w:r>
      <w:r w:rsidR="00D63FD2">
        <w:rPr>
          <w:rFonts w:eastAsia="Times New Roman"/>
        </w:rPr>
        <w:t xml:space="preserve"> involving the curation of space or ‘va’ between those involved, b</w:t>
      </w:r>
      <w:r w:rsidR="00D63FD2" w:rsidRPr="00D63FD2">
        <w:rPr>
          <w:rFonts w:eastAsia="Times New Roman"/>
        </w:rPr>
        <w:t>uild</w:t>
      </w:r>
      <w:r w:rsidR="00D63FD2">
        <w:rPr>
          <w:rFonts w:eastAsia="Times New Roman"/>
        </w:rPr>
        <w:t>ing</w:t>
      </w:r>
      <w:r w:rsidR="00D63FD2" w:rsidRPr="00D63FD2">
        <w:rPr>
          <w:rFonts w:eastAsia="Times New Roman"/>
        </w:rPr>
        <w:t xml:space="preserve"> trust, rapport and respect </w:t>
      </w:r>
      <w:r w:rsidR="00D63FD2">
        <w:rPr>
          <w:rFonts w:eastAsia="Times New Roman"/>
        </w:rPr>
        <w:t xml:space="preserve">in culturally congruent ways </w:t>
      </w:r>
      <w:r w:rsidR="00D63FD2">
        <w:rPr>
          <w:rFonts w:eastAsia="Times New Roman"/>
        </w:rPr>
        <w:fldChar w:fldCharType="begin"/>
      </w:r>
      <w:r w:rsidR="00D63FD2">
        <w:rPr>
          <w:rFonts w:eastAsia="Times New Roman"/>
        </w:rPr>
        <w:instrText xml:space="preserve"> ADDIN EN.CITE &lt;EndNote&gt;&lt;Cite&gt;&lt;Author&gt;Mapu Maia&lt;/Author&gt;&lt;Year&gt;2020&lt;/Year&gt;&lt;RecNum&gt;303&lt;/RecNum&gt;&lt;DisplayText&gt;(Mapu Maia, 2020b)&lt;/DisplayText&gt;&lt;record&gt;&lt;rec-number&gt;303&lt;/rec-number&gt;&lt;foreign-keys&gt;&lt;key app="EN" db-id="25rszwft292ev3esrpvpde0cpxrd9ex0xspp" timestamp="1601591567"&gt;303&lt;/key&gt;&lt;/foreign-keys&gt;&lt;ref-type name="Web Page"&gt;12&lt;/ref-type&gt;&lt;contributors&gt;&lt;authors&gt;&lt;author&gt;Mapu Maia,&lt;/author&gt;&lt;/authors&gt;&lt;/contributors&gt;&lt;titles&gt;&lt;title&gt;Our process: Va tagata&lt;/title&gt;&lt;/titles&gt;&lt;volume&gt;2020&lt;/volume&gt;&lt;number&gt;2 October&lt;/number&gt;&lt;dates&gt;&lt;year&gt;2020&lt;/year&gt;&lt;/dates&gt;&lt;publisher&gt;Mapu Maia&lt;/publisher&gt;&lt;urls&gt;&lt;/urls&gt;&lt;/record&gt;&lt;/Cite&gt;&lt;/EndNote&gt;</w:instrText>
      </w:r>
      <w:r w:rsidR="00D63FD2">
        <w:rPr>
          <w:rFonts w:eastAsia="Times New Roman"/>
        </w:rPr>
        <w:fldChar w:fldCharType="separate"/>
      </w:r>
      <w:r w:rsidR="00D63FD2">
        <w:rPr>
          <w:rFonts w:eastAsia="Times New Roman"/>
          <w:noProof/>
        </w:rPr>
        <w:t>(Mapu Maia, 2020b)</w:t>
      </w:r>
      <w:r w:rsidR="00D63FD2">
        <w:rPr>
          <w:rFonts w:eastAsia="Times New Roman"/>
        </w:rPr>
        <w:fldChar w:fldCharType="end"/>
      </w:r>
      <w:r w:rsidR="00D63FD2" w:rsidRPr="00D63FD2">
        <w:rPr>
          <w:rFonts w:eastAsia="Times New Roman"/>
        </w:rPr>
        <w:t xml:space="preserve">. </w:t>
      </w:r>
      <w:r w:rsidRPr="00126BA8">
        <w:rPr>
          <w:rFonts w:eastAsia="Times New Roman"/>
        </w:rPr>
        <w:t xml:space="preserve">Mapu Maia </w:t>
      </w:r>
      <w:r w:rsidR="00D63FD2">
        <w:rPr>
          <w:rFonts w:eastAsia="Times New Roman"/>
        </w:rPr>
        <w:t xml:space="preserve">rarely see individuals alone, </w:t>
      </w:r>
      <w:r w:rsidRPr="00126BA8">
        <w:rPr>
          <w:rFonts w:eastAsia="Times New Roman"/>
        </w:rPr>
        <w:t>utilis</w:t>
      </w:r>
      <w:r w:rsidR="00D63FD2">
        <w:rPr>
          <w:rFonts w:eastAsia="Times New Roman"/>
        </w:rPr>
        <w:t>ing</w:t>
      </w:r>
      <w:r w:rsidRPr="00126BA8">
        <w:rPr>
          <w:rFonts w:eastAsia="Times New Roman"/>
        </w:rPr>
        <w:t xml:space="preserve"> holistic and collective approaches, </w:t>
      </w:r>
      <w:r w:rsidRPr="00903A1B">
        <w:rPr>
          <w:rFonts w:eastAsia="Times New Roman"/>
        </w:rPr>
        <w:t>“grounded in the notions of spirituality, connectedness and a complex set of inter-relationships between individuals, their families and their communities</w:t>
      </w:r>
      <w:r w:rsidR="009A4571">
        <w:rPr>
          <w:rFonts w:eastAsia="Times New Roman"/>
        </w:rPr>
        <w:t xml:space="preserve">” </w:t>
      </w:r>
      <w:r w:rsidR="001C7761" w:rsidRPr="001C7761">
        <w:rPr>
          <w:rFonts w:eastAsia="Times New Roman"/>
        </w:rPr>
        <w:fldChar w:fldCharType="begin"/>
      </w:r>
      <w:r w:rsidR="001C7761" w:rsidRPr="001C7761">
        <w:rPr>
          <w:rFonts w:eastAsia="Times New Roman"/>
        </w:rPr>
        <w:instrText xml:space="preserve"> ADDIN EN.CITE &lt;EndNote&gt;&lt;Cite&gt;&lt;Author&gt;Langi&lt;/Author&gt;&lt;Year&gt;2017&lt;/Year&gt;&lt;RecNum&gt;504&lt;/RecNum&gt;&lt;DisplayText&gt;(Langi, 2017)&lt;/DisplayText&gt;&lt;record&gt;&lt;rec-number&gt;504&lt;/rec-number&gt;&lt;foreign-keys&gt;&lt;key app="EN" db-id="5v2daxed8wv0eoesd9av5dd8exsxdewpfpwd" timestamp="1602104459"&gt;504&lt;/key&gt;&lt;/foreign-keys&gt;&lt;ref-type name="Web Page"&gt;12&lt;/ref-type&gt;&lt;contributors&gt;&lt;authors&gt;&lt;author&gt;Langi, B&lt;/author&gt;&lt;/authors&gt;&lt;/contributors&gt;&lt;titles&gt;&lt;title&gt;Pasifika counselling: A Mapu Maia approach [Blog post]&lt;/title&gt;&lt;/titles&gt;&lt;dates&gt;&lt;year&gt;2017&lt;/year&gt;&lt;/dates&gt;&lt;publisher&gt;PGF Services&lt;/publisher&gt;&lt;urls&gt;&lt;related-urls&gt;&lt;url&gt;https://www.pgf.nz/blog/pasifika-counselling-a-mapu-maia-approach&lt;/url&gt;&lt;/related-urls&gt;&lt;/urls&gt;&lt;/record&gt;&lt;/Cite&gt;&lt;/EndNote&gt;</w:instrText>
      </w:r>
      <w:r w:rsidR="001C7761" w:rsidRPr="001C7761">
        <w:rPr>
          <w:rFonts w:eastAsia="Times New Roman"/>
        </w:rPr>
        <w:fldChar w:fldCharType="separate"/>
      </w:r>
      <w:r w:rsidR="001C7761" w:rsidRPr="001C7761">
        <w:rPr>
          <w:rFonts w:eastAsia="Times New Roman"/>
        </w:rPr>
        <w:t>(Langi, 2017)</w:t>
      </w:r>
      <w:r w:rsidR="001C7761" w:rsidRPr="001C7761">
        <w:rPr>
          <w:rFonts w:eastAsia="Times New Roman"/>
        </w:rPr>
        <w:fldChar w:fldCharType="end"/>
      </w:r>
      <w:r w:rsidRPr="00903A1B">
        <w:rPr>
          <w:rFonts w:eastAsia="Times New Roman"/>
        </w:rPr>
        <w:t xml:space="preserve">. </w:t>
      </w:r>
      <w:r w:rsidR="009A4571">
        <w:rPr>
          <w:rFonts w:eastAsia="Times New Roman"/>
        </w:rPr>
        <w:t>For example, in describing their approach, Mapu Maia state that a person is never seen as an individual alone: “</w:t>
      </w:r>
      <w:r w:rsidR="009A4571" w:rsidRPr="009A4571">
        <w:rPr>
          <w:rFonts w:eastAsia="Times New Roman"/>
        </w:rPr>
        <w:t xml:space="preserve">As Figiel (1996) aptly states, </w:t>
      </w:r>
      <w:r w:rsidR="009A4571">
        <w:rPr>
          <w:rFonts w:eastAsia="Times New Roman"/>
        </w:rPr>
        <w:t>‘</w:t>
      </w:r>
      <w:r w:rsidR="009A4571" w:rsidRPr="009A4571">
        <w:rPr>
          <w:rFonts w:eastAsia="Times New Roman"/>
          <w:u w:val="single"/>
        </w:rPr>
        <w:t>I does not exist, I is always we</w:t>
      </w:r>
      <w:r w:rsidR="009A4571" w:rsidRPr="009A4571">
        <w:rPr>
          <w:rFonts w:eastAsia="Times New Roman"/>
        </w:rPr>
        <w:t>, because I is always part of the aiga (family) part of the nu’u (village) part of Samoa</w:t>
      </w:r>
      <w:r w:rsidR="009A4571">
        <w:rPr>
          <w:rFonts w:eastAsia="Times New Roman"/>
        </w:rPr>
        <w:t xml:space="preserve">’” </w:t>
      </w:r>
      <w:r w:rsidR="009A4571">
        <w:rPr>
          <w:rFonts w:eastAsia="Times New Roman"/>
        </w:rPr>
        <w:fldChar w:fldCharType="begin"/>
      </w:r>
      <w:r w:rsidR="009A4571">
        <w:rPr>
          <w:rFonts w:eastAsia="Times New Roman"/>
        </w:rPr>
        <w:instrText xml:space="preserve"> ADDIN EN.CITE &lt;EndNote&gt;&lt;Cite&gt;&lt;Author&gt;Mapu Maia&lt;/Author&gt;&lt;Year&gt;2020&lt;/Year&gt;&lt;RecNum&gt;303&lt;/RecNum&gt;&lt;Suffix&gt;emphasis added &lt;/Suffix&gt;&lt;DisplayText&gt;(Mapu Maia, 2020bemphasis added )&lt;/DisplayText&gt;&lt;record&gt;&lt;rec-number&gt;303&lt;/rec-number&gt;&lt;foreign-keys&gt;&lt;key app="EN" db-id="25rszwft292ev3esrpvpde0cpxrd9ex0xspp" timestamp="1601591567"&gt;303&lt;/key&gt;&lt;/foreign-keys&gt;&lt;ref-type name="Web Page"&gt;12&lt;/ref-type&gt;&lt;contributors&gt;&lt;authors&gt;&lt;author&gt;Mapu Maia,&lt;/author&gt;&lt;/authors&gt;&lt;/contributors&gt;&lt;titles&gt;&lt;title&gt;Our process: Va tagata&lt;/title&gt;&lt;/titles&gt;&lt;volume&gt;2020&lt;/volume&gt;&lt;number&gt;2 October&lt;/number&gt;&lt;dates&gt;&lt;year&gt;2020&lt;/year&gt;&lt;/dates&gt;&lt;publisher&gt;Mapu Maia&lt;/publisher&gt;&lt;urls&gt;&lt;/urls&gt;&lt;/record&gt;&lt;/Cite&gt;&lt;/EndNote&gt;</w:instrText>
      </w:r>
      <w:r w:rsidR="009A4571">
        <w:rPr>
          <w:rFonts w:eastAsia="Times New Roman"/>
        </w:rPr>
        <w:fldChar w:fldCharType="separate"/>
      </w:r>
      <w:r w:rsidR="009A4571">
        <w:rPr>
          <w:rFonts w:eastAsia="Times New Roman"/>
          <w:noProof/>
        </w:rPr>
        <w:t>(Mapu Maia, 2020bemphasis added )</w:t>
      </w:r>
      <w:r w:rsidR="009A4571">
        <w:rPr>
          <w:rFonts w:eastAsia="Times New Roman"/>
        </w:rPr>
        <w:fldChar w:fldCharType="end"/>
      </w:r>
      <w:r w:rsidR="009A4571">
        <w:rPr>
          <w:rFonts w:eastAsia="Times New Roman"/>
        </w:rPr>
        <w:t xml:space="preserve">. </w:t>
      </w:r>
      <w:r w:rsidRPr="00903A1B">
        <w:rPr>
          <w:rFonts w:eastAsia="Times New Roman"/>
        </w:rPr>
        <w:t>The values highlighted by Mapu Maia are respect, relationships, collectivity, and culture</w:t>
      </w:r>
      <w:r w:rsidR="009A4571">
        <w:rPr>
          <w:rFonts w:eastAsia="Times New Roman"/>
        </w:rPr>
        <w:t>:</w:t>
      </w:r>
    </w:p>
    <w:p w14:paraId="1C458C35" w14:textId="77777777" w:rsidR="00903A1B" w:rsidRPr="00126BA8" w:rsidRDefault="00903A1B" w:rsidP="00966D1C">
      <w:pPr>
        <w:spacing w:line="240" w:lineRule="auto"/>
        <w:jc w:val="both"/>
        <w:rPr>
          <w:rFonts w:eastAsia="Times New Roman"/>
        </w:rPr>
      </w:pPr>
    </w:p>
    <w:p w14:paraId="53D3388F" w14:textId="77777777" w:rsidR="00966D1C" w:rsidRPr="00126BA8" w:rsidRDefault="00966D1C" w:rsidP="00966D1C">
      <w:pPr>
        <w:spacing w:line="240" w:lineRule="auto"/>
        <w:jc w:val="both"/>
        <w:rPr>
          <w:rFonts w:eastAsia="Times New Roman"/>
        </w:rPr>
      </w:pPr>
      <w:r w:rsidRPr="00126BA8">
        <w:rPr>
          <w:rFonts w:eastAsia="Times New Roman"/>
        </w:rPr>
        <w:t xml:space="preserve"> </w:t>
      </w:r>
      <w:r w:rsidRPr="00126BA8">
        <w:rPr>
          <w:noProof/>
          <w:lang w:eastAsia="en-NZ"/>
        </w:rPr>
        <w:drawing>
          <wp:inline distT="0" distB="0" distL="0" distR="0" wp14:anchorId="6CE67FCA" wp14:editId="1CEDC1DD">
            <wp:extent cx="5883564" cy="2727326"/>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30000"/>
                              </a14:imgEffect>
                              <a14:imgEffect>
                                <a14:brightnessContrast contrast="-40000"/>
                              </a14:imgEffect>
                            </a14:imgLayer>
                          </a14:imgProps>
                        </a:ext>
                      </a:extLst>
                    </a:blip>
                    <a:stretch>
                      <a:fillRect/>
                    </a:stretch>
                  </pic:blipFill>
                  <pic:spPr>
                    <a:xfrm>
                      <a:off x="0" y="0"/>
                      <a:ext cx="5941302" cy="2754090"/>
                    </a:xfrm>
                    <a:prstGeom prst="rect">
                      <a:avLst/>
                    </a:prstGeom>
                  </pic:spPr>
                </pic:pic>
              </a:graphicData>
            </a:graphic>
          </wp:inline>
        </w:drawing>
      </w:r>
    </w:p>
    <w:p w14:paraId="692DAFF8" w14:textId="138729A6" w:rsidR="00966D1C" w:rsidRPr="00126BA8" w:rsidRDefault="00966D1C" w:rsidP="00966D1C">
      <w:pPr>
        <w:spacing w:line="240" w:lineRule="auto"/>
        <w:jc w:val="both"/>
        <w:rPr>
          <w:rFonts w:eastAsia="Times New Roman"/>
        </w:rPr>
      </w:pPr>
      <w:r w:rsidRPr="00126BA8">
        <w:rPr>
          <w:rFonts w:eastAsia="Times New Roman"/>
        </w:rPr>
        <w:fldChar w:fldCharType="begin"/>
      </w:r>
      <w:r w:rsidR="009A4571">
        <w:rPr>
          <w:rFonts w:eastAsia="Times New Roman"/>
        </w:rPr>
        <w:instrText xml:space="preserve"> ADDIN EN.CITE &lt;EndNote&gt;&lt;Cite&gt;&lt;Author&gt;Mapu Maia&lt;/Author&gt;&lt;Year&gt;2020&lt;/Year&gt;&lt;RecNum&gt;638&lt;/RecNum&gt;&lt;DisplayText&gt;(Mapu Maia, 2020a)&lt;/DisplayText&gt;&lt;record&gt;&lt;rec-number&gt;638&lt;/rec-number&gt;&lt;foreign-keys&gt;&lt;key app="EN" db-id="5v2daxed8wv0eoesd9av5dd8exsxdewpfpwd" timestamp="1600899383"&gt;638&lt;/key&gt;&lt;/foreign-keys&gt;&lt;ref-type name="Web Page"&gt;12&lt;/ref-type&gt;&lt;contributors&gt;&lt;authors&gt;&lt;author&gt;Mapu Maia,&lt;/author&gt;&lt;/authors&gt;&lt;/contributors&gt;&lt;titles&gt;&lt;title&gt;Our Mission&lt;/title&gt;&lt;/titles&gt;&lt;dates&gt;&lt;year&gt;2020&lt;/year&gt;&lt;/dates&gt;&lt;urls&gt;&lt;related-urls&gt;&lt;url&gt;https://www.mapumaia.nz/&lt;/url&gt;&lt;/related-urls&gt;&lt;/urls&gt;&lt;/record&gt;&lt;/Cite&gt;&lt;/EndNote&gt;</w:instrText>
      </w:r>
      <w:r w:rsidRPr="00126BA8">
        <w:rPr>
          <w:rFonts w:eastAsia="Times New Roman"/>
        </w:rPr>
        <w:fldChar w:fldCharType="separate"/>
      </w:r>
      <w:r w:rsidR="009A4571">
        <w:rPr>
          <w:rFonts w:eastAsia="Times New Roman"/>
          <w:noProof/>
        </w:rPr>
        <w:t>(Mapu Maia, 2020a)</w:t>
      </w:r>
      <w:r w:rsidRPr="00126BA8">
        <w:rPr>
          <w:rFonts w:eastAsia="Times New Roman"/>
        </w:rPr>
        <w:fldChar w:fldCharType="end"/>
      </w:r>
    </w:p>
    <w:p w14:paraId="695FCB2D" w14:textId="77777777" w:rsidR="00903A1B" w:rsidRDefault="00903A1B" w:rsidP="00966D1C">
      <w:pPr>
        <w:spacing w:line="240" w:lineRule="auto"/>
        <w:jc w:val="both"/>
        <w:rPr>
          <w:rFonts w:eastAsia="Times New Roman"/>
        </w:rPr>
      </w:pPr>
    </w:p>
    <w:p w14:paraId="18C4BE1F" w14:textId="6FAD402A" w:rsidR="00966D1C" w:rsidRDefault="00966D1C" w:rsidP="00966D1C">
      <w:pPr>
        <w:spacing w:line="240" w:lineRule="auto"/>
        <w:jc w:val="both"/>
        <w:rPr>
          <w:rFonts w:eastAsia="Times New Roman"/>
        </w:rPr>
      </w:pPr>
      <w:r w:rsidRPr="00126BA8">
        <w:rPr>
          <w:rFonts w:eastAsia="Times New Roman"/>
        </w:rPr>
        <w:t xml:space="preserve">Mapu Maia also take part in public health initiatives, delivering free education and presentations to community organisations, social services, government departments (etc), and taking part in community events. The concept of </w:t>
      </w:r>
      <w:r w:rsidRPr="00126BA8">
        <w:rPr>
          <w:rFonts w:eastAsia="Times New Roman"/>
          <w:i/>
        </w:rPr>
        <w:t>va</w:t>
      </w:r>
      <w:r w:rsidRPr="00126BA8">
        <w:rPr>
          <w:rFonts w:eastAsia="Times New Roman"/>
        </w:rPr>
        <w:t xml:space="preserve"> underpins Mapu Maia’s approach:</w:t>
      </w:r>
    </w:p>
    <w:p w14:paraId="64837235" w14:textId="77777777" w:rsidR="009A4571" w:rsidRPr="00126BA8" w:rsidRDefault="009A4571" w:rsidP="00966D1C">
      <w:pPr>
        <w:spacing w:line="240" w:lineRule="auto"/>
        <w:jc w:val="both"/>
        <w:rPr>
          <w:rFonts w:eastAsia="Times New Roman"/>
        </w:rPr>
      </w:pPr>
    </w:p>
    <w:p w14:paraId="4EBE7CDC" w14:textId="6732211D" w:rsidR="00966D1C" w:rsidRDefault="00966D1C" w:rsidP="00966D1C">
      <w:pPr>
        <w:spacing w:line="240" w:lineRule="auto"/>
        <w:ind w:left="720"/>
        <w:jc w:val="both"/>
        <w:rPr>
          <w:rFonts w:eastAsia="Times New Roman"/>
          <w:i/>
        </w:rPr>
      </w:pPr>
      <w:r w:rsidRPr="00126BA8">
        <w:rPr>
          <w:rFonts w:eastAsia="Times New Roman"/>
          <w:i/>
        </w:rPr>
        <w:t>Literally va can mean ‘space’ va “can mean ‘space’ – not the space that divides, but the space or relationships that connects.</w:t>
      </w:r>
      <w:r w:rsidRPr="00126BA8">
        <w:rPr>
          <w:i/>
        </w:rPr>
        <w:t xml:space="preserve"> </w:t>
      </w:r>
      <w:r w:rsidRPr="00126BA8">
        <w:rPr>
          <w:rFonts w:eastAsia="Times New Roman"/>
          <w:i/>
        </w:rPr>
        <w:t xml:space="preserve">Health to Pasifika people is not just about the absence of illness (being unwell) but whether or not they are happy with their relationships with each other, with their family, with God and to the land and environment. Maintaining respectful relationships is a very important cultural belief throughout Pasifika culture. An individual’s health and well-being is dependent on a safe and balanced connection with others. </w:t>
      </w:r>
      <w:r w:rsidR="001C7761" w:rsidRPr="001C7761">
        <w:rPr>
          <w:rFonts w:eastAsia="Times New Roman"/>
          <w:i/>
        </w:rPr>
        <w:fldChar w:fldCharType="begin"/>
      </w:r>
      <w:r w:rsidR="001C7761" w:rsidRPr="001C7761">
        <w:rPr>
          <w:rFonts w:eastAsia="Times New Roman"/>
          <w:i/>
        </w:rPr>
        <w:instrText xml:space="preserve"> ADDIN EN.CITE &lt;EndNote&gt;&lt;Cite&gt;&lt;Author&gt;Langi&lt;/Author&gt;&lt;Year&gt;2017&lt;/Year&gt;&lt;RecNum&gt;504&lt;/RecNum&gt;&lt;DisplayText&gt;(Langi, 2017)&lt;/DisplayText&gt;&lt;record&gt;&lt;rec-number&gt;504&lt;/rec-number&gt;&lt;foreign-keys&gt;&lt;key app="EN" db-id="5v2daxed8wv0eoesd9av5dd8exsxdewpfpwd" timestamp="1602104459"&gt;504&lt;/key&gt;&lt;/foreign-keys&gt;&lt;ref-type name="Web Page"&gt;12&lt;/ref-type&gt;&lt;contributors&gt;&lt;authors&gt;&lt;author&gt;Langi, B&lt;/author&gt;&lt;/authors&gt;&lt;/contributors&gt;&lt;titles&gt;&lt;title&gt;Pasifika counselling: A Mapu Maia approach [Blog post]&lt;/title&gt;&lt;/titles&gt;&lt;dates&gt;&lt;year&gt;2017&lt;/year&gt;&lt;/dates&gt;&lt;publisher&gt;PGF Services&lt;/publisher&gt;&lt;urls&gt;&lt;related-urls&gt;&lt;url&gt;https://www.pgf.nz/blog/pasifika-counselling-a-mapu-maia-approach&lt;/url&gt;&lt;/related-urls&gt;&lt;/urls&gt;&lt;/record&gt;&lt;/Cite&gt;&lt;/EndNote&gt;</w:instrText>
      </w:r>
      <w:r w:rsidR="001C7761" w:rsidRPr="001C7761">
        <w:rPr>
          <w:rFonts w:eastAsia="Times New Roman"/>
          <w:i/>
        </w:rPr>
        <w:fldChar w:fldCharType="separate"/>
      </w:r>
      <w:r w:rsidR="001C7761" w:rsidRPr="001C7761">
        <w:rPr>
          <w:rFonts w:eastAsia="Times New Roman"/>
          <w:i/>
        </w:rPr>
        <w:t>(Langi, 2017)</w:t>
      </w:r>
      <w:r w:rsidR="001C7761" w:rsidRPr="001C7761">
        <w:rPr>
          <w:rFonts w:eastAsia="Times New Roman"/>
          <w:i/>
        </w:rPr>
        <w:fldChar w:fldCharType="end"/>
      </w:r>
    </w:p>
    <w:p w14:paraId="092D3ED0" w14:textId="27CF6CE8" w:rsidR="00AD7D16" w:rsidRDefault="00AD7D16" w:rsidP="00AD7D16">
      <w:pPr>
        <w:spacing w:line="240" w:lineRule="auto"/>
        <w:jc w:val="both"/>
        <w:rPr>
          <w:rFonts w:eastAsia="Times New Roman"/>
          <w:iCs/>
        </w:rPr>
      </w:pPr>
    </w:p>
    <w:p w14:paraId="5B91D4B9" w14:textId="0A397D44" w:rsidR="00AD7D16" w:rsidRPr="00AD7D16" w:rsidRDefault="00AD7D16" w:rsidP="00AD7D16">
      <w:pPr>
        <w:spacing w:line="240" w:lineRule="auto"/>
        <w:jc w:val="both"/>
        <w:rPr>
          <w:rFonts w:eastAsia="Times New Roman"/>
          <w:iCs/>
        </w:rPr>
      </w:pPr>
      <w:r>
        <w:rPr>
          <w:rFonts w:eastAsia="Times New Roman"/>
          <w:iCs/>
        </w:rPr>
        <w:t xml:space="preserve">The explication of ‘health to Pacific people’ above is commensurate with </w:t>
      </w:r>
      <w:r w:rsidRPr="00AD7D16">
        <w:rPr>
          <w:rFonts w:eastAsia="Times New Roman"/>
          <w:iCs/>
        </w:rPr>
        <w:t xml:space="preserve">the World Health Organisation’s definition of health as “a state of complete physical, mental and social well-being and not merely the absence of disease or infirmity” </w:t>
      </w:r>
      <w:r w:rsidRPr="00AD7D16">
        <w:rPr>
          <w:rFonts w:eastAsia="Times New Roman"/>
          <w:iCs/>
        </w:rPr>
        <w:fldChar w:fldCharType="begin"/>
      </w:r>
      <w:r w:rsidRPr="00AD7D16">
        <w:rPr>
          <w:rFonts w:eastAsia="Times New Roman"/>
          <w:iCs/>
        </w:rPr>
        <w:instrText xml:space="preserve"> ADDIN EN.CITE &lt;EndNote&gt;&lt;Cite&gt;&lt;Author&gt;World Health Organisation&lt;/Author&gt;&lt;Year&gt;1948&lt;/Year&gt;&lt;RecNum&gt;629&lt;/RecNum&gt;&lt;Pages&gt;100&lt;/Pages&gt;&lt;DisplayText&gt;(World Health Organisation, 1948, p. 100)&lt;/DisplayText&gt;&lt;record&gt;&lt;rec-number&gt;629&lt;/rec-number&gt;&lt;foreign-keys&gt;&lt;key app="EN" db-id="ez5zzp2rp2wpwgezzx0vpp2t2w225v5trafx" timestamp="1476831668"&gt;629&lt;/key&gt;&lt;/foreign-keys&gt;&lt;ref-type name="Journal Article"&gt;17&lt;/ref-type&gt;&lt;contributors&gt;&lt;authors&gt;&lt;author&gt;World Health Organisation,&lt;/author&gt;&lt;/authors&gt;&lt;/contributors&gt;&lt;titles&gt;&lt;title&gt;Preamble to the Constitution of the World Health Organization as adopted by the International Health Conference, New York, 19-22 June, 1946; signed on 22 July 1946 by the representatives of 61 States snd entered into force on 7 April 1948.&lt;/title&gt;&lt;secondary-title&gt;Official Records of the World Health Organization&lt;/secondary-title&gt;&lt;/titles&gt;&lt;periodical&gt;&lt;full-title&gt;Official Records of the World Health Organization&lt;/full-title&gt;&lt;/periodical&gt;&lt;pages&gt;100&lt;/pages&gt;&lt;volume&gt;2&lt;/volume&gt;&lt;dates&gt;&lt;year&gt;1948&lt;/year&gt;&lt;/dates&gt;&lt;urls&gt;&lt;/urls&gt;&lt;/record&gt;&lt;/Cite&gt;&lt;/EndNote&gt;</w:instrText>
      </w:r>
      <w:r w:rsidRPr="00AD7D16">
        <w:rPr>
          <w:rFonts w:eastAsia="Times New Roman"/>
          <w:iCs/>
        </w:rPr>
        <w:fldChar w:fldCharType="separate"/>
      </w:r>
      <w:r w:rsidRPr="00AD7D16">
        <w:rPr>
          <w:rFonts w:eastAsia="Times New Roman"/>
          <w:iCs/>
        </w:rPr>
        <w:t>(World Health Organisation, 1948, p. 100)</w:t>
      </w:r>
      <w:r w:rsidRPr="00AD7D16">
        <w:rPr>
          <w:rFonts w:eastAsia="Times New Roman"/>
          <w:iCs/>
        </w:rPr>
        <w:fldChar w:fldCharType="end"/>
      </w:r>
      <w:r w:rsidRPr="00AD7D16">
        <w:rPr>
          <w:rFonts w:eastAsia="Times New Roman"/>
          <w:iCs/>
        </w:rPr>
        <w:t>.</w:t>
      </w:r>
      <w:r>
        <w:rPr>
          <w:rFonts w:eastAsia="Times New Roman"/>
          <w:iCs/>
        </w:rPr>
        <w:t xml:space="preserve"> Within a holistic framing, health and wellbeing can be seen as a product of societal and environmental issues such as income inequality and climate change. </w:t>
      </w:r>
    </w:p>
    <w:p w14:paraId="04BA4C49" w14:textId="77777777" w:rsidR="00903A1B" w:rsidRPr="00126BA8" w:rsidRDefault="00903A1B" w:rsidP="00966D1C">
      <w:pPr>
        <w:spacing w:line="240" w:lineRule="auto"/>
        <w:ind w:left="720"/>
        <w:jc w:val="both"/>
        <w:rPr>
          <w:rFonts w:eastAsia="Times New Roman"/>
        </w:rPr>
      </w:pPr>
    </w:p>
    <w:p w14:paraId="7CC8D657" w14:textId="5298AC84" w:rsidR="00966D1C" w:rsidRPr="00126BA8" w:rsidRDefault="001C7761" w:rsidP="00966D1C">
      <w:pPr>
        <w:pStyle w:val="Heading4"/>
        <w:spacing w:before="0"/>
        <w:rPr>
          <w:rFonts w:eastAsia="Times New Roman"/>
        </w:rPr>
      </w:pPr>
      <w:r>
        <w:rPr>
          <w:rFonts w:eastAsia="Times New Roman"/>
        </w:rPr>
        <w:t>U</w:t>
      </w:r>
      <w:r w:rsidR="00966D1C" w:rsidRPr="00126BA8">
        <w:rPr>
          <w:rFonts w:eastAsia="Times New Roman"/>
        </w:rPr>
        <w:t xml:space="preserve">nderstanding wellness from a Māori perspective </w:t>
      </w:r>
    </w:p>
    <w:p w14:paraId="3FD3C051" w14:textId="5754D560" w:rsidR="00966D1C" w:rsidRPr="00126BA8" w:rsidRDefault="00966D1C" w:rsidP="00966D1C">
      <w:pPr>
        <w:spacing w:line="240" w:lineRule="auto"/>
        <w:jc w:val="both"/>
        <w:rPr>
          <w:rFonts w:eastAsia="Times New Roman"/>
        </w:rPr>
      </w:pPr>
      <w:r w:rsidRPr="00126BA8">
        <w:rPr>
          <w:rFonts w:eastAsia="Times New Roman"/>
        </w:rPr>
        <w:t xml:space="preserve">According to the PGF Group 2019 Annual Report, </w:t>
      </w:r>
      <w:r w:rsidRPr="00F65573">
        <w:rPr>
          <w:rFonts w:eastAsia="Times New Roman"/>
        </w:rPr>
        <w:t xml:space="preserve">“PGF Services provide free counselling, advice and support to gamblers and their families and works to ensure that support for our Māori clients fits a kaupapa Māori way of working” </w:t>
      </w:r>
      <w:r w:rsidRPr="00F65573">
        <w:rPr>
          <w:rFonts w:eastAsia="Times New Roman"/>
        </w:rPr>
        <w:fldChar w:fldCharType="begin"/>
      </w:r>
      <w:r w:rsidRPr="00F65573">
        <w:rPr>
          <w:rFonts w:eastAsia="Times New Roman"/>
        </w:rPr>
        <w:instrText xml:space="preserve"> ADDIN EN.CITE &lt;EndNote&gt;&lt;Cite&gt;&lt;Author&gt;PGF Group&lt;/Author&gt;&lt;Year&gt;2019&lt;/Year&gt;&lt;RecNum&gt;655&lt;/RecNum&gt;&lt;Pages&gt;4&lt;/Pages&gt;&lt;DisplayText&gt;(PGF Group, 2019, p. 4)&lt;/DisplayText&gt;&lt;record&gt;&lt;rec-number&gt;655&lt;/rec-number&gt;&lt;foreign-keys&gt;&lt;key app="EN" db-id="5v2daxed8wv0eoesd9av5dd8exsxdewpfpwd" timestamp="1600902896"&gt;655&lt;/key&gt;&lt;/foreign-keys&gt;&lt;ref-type name="Report"&gt;27&lt;/ref-type&gt;&lt;contributors&gt;&lt;authors&gt;&lt;author&gt;PGF Group,&lt;/author&gt;&lt;/authors&gt;&lt;tertiary-authors&gt;&lt;author&gt;PGF Group&lt;/author&gt;&lt;/tertiary-authors&gt;&lt;/contributors&gt;&lt;titles&gt;&lt;title&gt;PGF Group: Healthy and resilient communities in a just society [Report to stakeholders]&lt;/title&gt;&lt;/titles&gt;&lt;dates&gt;&lt;year&gt;2019&lt;/year&gt;&lt;/dates&gt;&lt;urls&gt;&lt;/urls&gt;&lt;/record&gt;&lt;/Cite&gt;&lt;/EndNote&gt;</w:instrText>
      </w:r>
      <w:r w:rsidRPr="00F65573">
        <w:rPr>
          <w:rFonts w:eastAsia="Times New Roman"/>
        </w:rPr>
        <w:fldChar w:fldCharType="separate"/>
      </w:r>
      <w:r w:rsidRPr="00F65573">
        <w:rPr>
          <w:rFonts w:eastAsia="Times New Roman"/>
          <w:noProof/>
        </w:rPr>
        <w:t>(PGF Group, 2019, p. 4)</w:t>
      </w:r>
      <w:r w:rsidRPr="00F65573">
        <w:rPr>
          <w:rFonts w:eastAsia="Times New Roman"/>
        </w:rPr>
        <w:fldChar w:fldCharType="end"/>
      </w:r>
      <w:r w:rsidRPr="00126BA8">
        <w:rPr>
          <w:rFonts w:eastAsia="Times New Roman"/>
        </w:rPr>
        <w:t xml:space="preserve">; however, there is limited publicly available information with more detail on working with </w:t>
      </w:r>
      <w:r w:rsidR="008454DB">
        <w:rPr>
          <w:rFonts w:eastAsia="Times New Roman"/>
        </w:rPr>
        <w:t xml:space="preserve">and for </w:t>
      </w:r>
      <w:r w:rsidRPr="00126BA8">
        <w:rPr>
          <w:rFonts w:eastAsia="Times New Roman"/>
        </w:rPr>
        <w:t>Māori</w:t>
      </w:r>
      <w:r w:rsidR="00F65573">
        <w:rPr>
          <w:rFonts w:eastAsia="Times New Roman"/>
        </w:rPr>
        <w:t xml:space="preserve"> at PGF</w:t>
      </w:r>
      <w:r w:rsidRPr="00126BA8">
        <w:rPr>
          <w:rFonts w:eastAsia="Times New Roman"/>
          <w:i/>
        </w:rPr>
        <w:t>.</w:t>
      </w:r>
      <w:r w:rsidRPr="00126BA8">
        <w:rPr>
          <w:rFonts w:eastAsia="Times New Roman"/>
        </w:rPr>
        <w:t xml:space="preserve"> A pamphlet available from Oasis outlined a Māori approach and pathway to wellness that informed their service and concept of wellness (below). </w:t>
      </w:r>
      <w:r w:rsidR="00F65573">
        <w:rPr>
          <w:rFonts w:eastAsia="Times New Roman"/>
        </w:rPr>
        <w:t>T</w:t>
      </w:r>
      <w:r w:rsidRPr="00126BA8">
        <w:rPr>
          <w:rFonts w:eastAsia="Times New Roman"/>
        </w:rPr>
        <w:t>he approach appear</w:t>
      </w:r>
      <w:r w:rsidR="00F65573">
        <w:rPr>
          <w:rFonts w:eastAsia="Times New Roman"/>
        </w:rPr>
        <w:t>s</w:t>
      </w:r>
      <w:r w:rsidRPr="00126BA8">
        <w:rPr>
          <w:rFonts w:eastAsia="Times New Roman"/>
        </w:rPr>
        <w:t xml:space="preserve"> more orientated towards individuals seeking help for their own gambling, however within the same pamphlet, it was made clear that Oasis services were available for FAOs as well.</w:t>
      </w:r>
    </w:p>
    <w:p w14:paraId="3985AEE1" w14:textId="77777777" w:rsidR="00966D1C" w:rsidRPr="00126BA8" w:rsidRDefault="00966D1C" w:rsidP="00966D1C">
      <w:pPr>
        <w:spacing w:line="240" w:lineRule="auto"/>
        <w:jc w:val="both"/>
        <w:rPr>
          <w:rFonts w:eastAsia="Times New Roman"/>
        </w:rPr>
      </w:pPr>
      <w:r w:rsidRPr="00126BA8">
        <w:rPr>
          <w:noProof/>
          <w:lang w:eastAsia="en-NZ"/>
        </w:rPr>
        <w:lastRenderedPageBreak/>
        <w:drawing>
          <wp:inline distT="0" distB="0" distL="0" distR="0" wp14:anchorId="54600E08" wp14:editId="04072346">
            <wp:extent cx="5624423" cy="4369426"/>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24423" cy="4369426"/>
                    </a:xfrm>
                    <a:prstGeom prst="rect">
                      <a:avLst/>
                    </a:prstGeom>
                  </pic:spPr>
                </pic:pic>
              </a:graphicData>
            </a:graphic>
          </wp:inline>
        </w:drawing>
      </w:r>
    </w:p>
    <w:p w14:paraId="5892C434" w14:textId="77777777" w:rsidR="00966D1C" w:rsidRPr="00126BA8" w:rsidRDefault="00966D1C" w:rsidP="00966D1C">
      <w:pPr>
        <w:spacing w:line="240" w:lineRule="auto"/>
        <w:jc w:val="both"/>
        <w:rPr>
          <w:rFonts w:eastAsia="Times New Roman"/>
        </w:rPr>
      </w:pPr>
      <w:r w:rsidRPr="00126BA8">
        <w:rPr>
          <w:rFonts w:eastAsia="Times New Roman"/>
        </w:rPr>
        <w:fldChar w:fldCharType="begin"/>
      </w:r>
      <w:r w:rsidRPr="00126BA8">
        <w:rPr>
          <w:rFonts w:eastAsia="Times New Roman"/>
        </w:rPr>
        <w:instrText xml:space="preserve"> ADDIN EN.CITE &lt;EndNote&gt;&lt;Cite&gt;&lt;Author&gt;The Salvation Army Oasis&lt;/Author&gt;&lt;Year&gt;n.d.&lt;/Year&gt;&lt;RecNum&gt;669&lt;/RecNum&gt;&lt;Pages&gt;2&lt;/Pages&gt;&lt;DisplayText&gt;(The Salvation Army Oasis, n.d.-b, p. 2)&lt;/DisplayText&gt;&lt;record&gt;&lt;rec-number&gt;669&lt;/rec-number&gt;&lt;foreign-keys&gt;&lt;key app="EN" db-id="5v2daxed8wv0eoesd9av5dd8exsxdewpfpwd" timestamp="1600910413"&gt;669&lt;/key&gt;&lt;/foreign-keys&gt;&lt;ref-type name="Web Page"&gt;12&lt;/ref-type&gt;&lt;contributors&gt;&lt;authors&gt;&lt;author&gt;The Salvation Army Oasis,&lt;/author&gt;&lt;/authors&gt;&lt;/contributors&gt;&lt;titles&gt;&lt;title&gt;Caring for people, transforming lives and reforming society: A free and confidential service [Brochure]&lt;/title&gt;&lt;/titles&gt;&lt;dates&gt;&lt;year&gt;n.d.&lt;/year&gt;&lt;/dates&gt;&lt;publisher&gt;The Salvation Army Oasis&lt;/publisher&gt;&lt;urls&gt;&lt;/urls&gt;&lt;/record&gt;&lt;/Cite&gt;&lt;/EndNote&gt;</w:instrText>
      </w:r>
      <w:r w:rsidRPr="00126BA8">
        <w:rPr>
          <w:rFonts w:eastAsia="Times New Roman"/>
        </w:rPr>
        <w:fldChar w:fldCharType="separate"/>
      </w:r>
      <w:r w:rsidRPr="00126BA8">
        <w:rPr>
          <w:rFonts w:eastAsia="Times New Roman"/>
          <w:noProof/>
        </w:rPr>
        <w:t>(The Salvation Army Oasis, n.d.-b, p. 2)</w:t>
      </w:r>
      <w:r w:rsidRPr="00126BA8">
        <w:rPr>
          <w:rFonts w:eastAsia="Times New Roman"/>
        </w:rPr>
        <w:fldChar w:fldCharType="end"/>
      </w:r>
    </w:p>
    <w:p w14:paraId="48EAE3A7" w14:textId="77777777" w:rsidR="00903A1B" w:rsidRDefault="00903A1B" w:rsidP="00966D1C">
      <w:pPr>
        <w:spacing w:line="240" w:lineRule="auto"/>
        <w:jc w:val="both"/>
      </w:pPr>
    </w:p>
    <w:p w14:paraId="117DF043" w14:textId="756A38F3" w:rsidR="00966D1C" w:rsidRDefault="00966D1C" w:rsidP="00966D1C">
      <w:pPr>
        <w:spacing w:line="240" w:lineRule="auto"/>
        <w:jc w:val="both"/>
      </w:pPr>
      <w:r w:rsidRPr="00126BA8">
        <w:t xml:space="preserve">Raukura Hauora o Tainui is a kaupapa Māori service underpinned by </w:t>
      </w:r>
      <w:r w:rsidR="00F65573">
        <w:t>t</w:t>
      </w:r>
      <w:r w:rsidRPr="00126BA8">
        <w:t>ikanga</w:t>
      </w:r>
      <w:r w:rsidR="00F65573">
        <w:t xml:space="preserve"> (</w:t>
      </w:r>
      <w:r w:rsidR="00F65573" w:rsidRPr="00F65573">
        <w:t xml:space="preserve">customary system of </w:t>
      </w:r>
      <w:r w:rsidR="00F65573" w:rsidRPr="00126BA8">
        <w:t>Māori</w:t>
      </w:r>
      <w:r w:rsidR="00F65573" w:rsidRPr="00F65573">
        <w:t xml:space="preserve"> values and practices that have developed over time and are embedded in social context</w:t>
      </w:r>
      <w:r w:rsidR="00F65573">
        <w:t>)</w:t>
      </w:r>
      <w:r w:rsidRPr="00126BA8">
        <w:t xml:space="preserve"> and whakawhanaungatanga</w:t>
      </w:r>
      <w:r w:rsidR="00F65573">
        <w:t xml:space="preserve"> </w:t>
      </w:r>
      <w:r w:rsidR="00D63FD2">
        <w:t>(</w:t>
      </w:r>
      <w:r w:rsidR="00D63FD2" w:rsidRPr="00D63FD2">
        <w:t>process of establishing relationships</w:t>
      </w:r>
      <w:r w:rsidR="00D63FD2">
        <w:t xml:space="preserve"> and </w:t>
      </w:r>
      <w:r w:rsidR="00D63FD2" w:rsidRPr="00D63FD2">
        <w:t>relating well to others</w:t>
      </w:r>
      <w:r w:rsidR="00D63FD2">
        <w:t xml:space="preserve">) </w:t>
      </w:r>
      <w:r w:rsidRPr="00126BA8">
        <w:t xml:space="preserve">as a holistic framework for </w:t>
      </w:r>
      <w:r w:rsidR="007D328C">
        <w:t>serving</w:t>
      </w:r>
      <w:r w:rsidRPr="00126BA8">
        <w:t xml:space="preserve"> communities</w:t>
      </w:r>
      <w:r w:rsidR="007D328C">
        <w:t xml:space="preserve"> affected by gambling harm</w:t>
      </w:r>
      <w:r w:rsidRPr="00126BA8">
        <w:t xml:space="preserve">. A number of kaupapa Māori ways of working are utilised at Raukura. An example of a kaupapa Māori model is Te Whare Tapa Whā </w:t>
      </w:r>
      <w:r w:rsidR="00AD7D16">
        <w:fldChar w:fldCharType="begin"/>
      </w:r>
      <w:r w:rsidR="00AD7D16">
        <w:instrText xml:space="preserve"> ADDIN EN.CITE &lt;EndNote&gt;&lt;Cite&gt;&lt;Author&gt;Durie&lt;/Author&gt;&lt;Year&gt;1997&lt;/Year&gt;&lt;RecNum&gt;241&lt;/RecNum&gt;&lt;DisplayText&gt;(Durie, 1997)&lt;/DisplayText&gt;&lt;record&gt;&lt;rec-number&gt;241&lt;/rec-number&gt;&lt;foreign-keys&gt;&lt;key app="EN" db-id="25rszwft292ev3esrpvpde0cpxrd9ex0xspp" timestamp="1589319643"&gt;241&lt;/key&gt;&lt;/foreign-keys&gt;&lt;ref-type name="Journal Article"&gt;17&lt;/ref-type&gt;&lt;contributors&gt;&lt;authors&gt;&lt;author&gt;Durie, Mason&lt;/author&gt;&lt;/authors&gt;&lt;/contributors&gt;&lt;titles&gt;&lt;title&gt;Whanau, whanaungatanga and healthy Maori development&lt;/title&gt;&lt;secondary-title&gt;Mai i Rangiatea: Maori wellbeing and development. Bridget Williams Books, Auckland&lt;/secondary-title&gt;&lt;/titles&gt;&lt;periodical&gt;&lt;full-title&gt;Mai i Rangiatea: Maori wellbeing and development. Bridget Williams Books, Auckland&lt;/full-title&gt;&lt;/periodical&gt;&lt;dates&gt;&lt;year&gt;1997&lt;/year&gt;&lt;/dates&gt;&lt;urls&gt;&lt;/urls&gt;&lt;/record&gt;&lt;/Cite&gt;&lt;/EndNote&gt;</w:instrText>
      </w:r>
      <w:r w:rsidR="00AD7D16">
        <w:fldChar w:fldCharType="separate"/>
      </w:r>
      <w:r w:rsidR="00AD7D16">
        <w:rPr>
          <w:noProof/>
        </w:rPr>
        <w:t>(Durie, 1997)</w:t>
      </w:r>
      <w:r w:rsidR="00AD7D16">
        <w:fldChar w:fldCharType="end"/>
      </w:r>
      <w:r w:rsidR="00AD7D16">
        <w:t xml:space="preserve"> </w:t>
      </w:r>
      <w:r w:rsidRPr="00126BA8">
        <w:t xml:space="preserve">which encompasses the four cornerstones (pillars or sides) of Māori health: Taha Tinana (physical health), Taha Wairua (spiritual health), Taha Whānau (family/social health), and Taha Hinengaro (mental health). The Raukura website explains another model/pathway to wellness that underpins Raukura objectives: </w:t>
      </w:r>
    </w:p>
    <w:p w14:paraId="5DBC0E27" w14:textId="77777777" w:rsidR="00903A1B" w:rsidRPr="00126BA8" w:rsidRDefault="00903A1B" w:rsidP="00966D1C">
      <w:pPr>
        <w:spacing w:line="240" w:lineRule="auto"/>
        <w:jc w:val="both"/>
      </w:pPr>
    </w:p>
    <w:p w14:paraId="2776E700" w14:textId="77777777" w:rsidR="00966D1C" w:rsidRPr="00126BA8" w:rsidRDefault="00966D1C" w:rsidP="00966D1C">
      <w:pPr>
        <w:spacing w:line="240" w:lineRule="auto"/>
        <w:ind w:left="720"/>
        <w:jc w:val="both"/>
        <w:rPr>
          <w:rFonts w:eastAsia="Times New Roman"/>
          <w:i/>
        </w:rPr>
      </w:pPr>
      <w:r w:rsidRPr="00126BA8">
        <w:rPr>
          <w:rFonts w:eastAsia="Times New Roman"/>
          <w:i/>
        </w:rPr>
        <w:t>TE PIRINGA TUPONO</w:t>
      </w:r>
    </w:p>
    <w:p w14:paraId="1788A85E" w14:textId="77777777" w:rsidR="00966D1C" w:rsidRPr="00126BA8" w:rsidRDefault="00966D1C" w:rsidP="00966D1C">
      <w:pPr>
        <w:spacing w:line="240" w:lineRule="auto"/>
        <w:ind w:left="720"/>
        <w:jc w:val="both"/>
        <w:rPr>
          <w:rFonts w:eastAsia="Times New Roman"/>
          <w:i/>
        </w:rPr>
      </w:pPr>
      <w:r w:rsidRPr="00126BA8">
        <w:rPr>
          <w:rFonts w:eastAsia="Times New Roman"/>
          <w:i/>
        </w:rPr>
        <w:t> Te Piringa Tupono is a pathway to wellness, pursue the new pathway and you will find wellness. Our aim is “empowering positive change within whanau and community”.</w:t>
      </w:r>
      <w:r w:rsidRPr="00126BA8">
        <w:rPr>
          <w:rFonts w:eastAsia="Times New Roman"/>
        </w:rPr>
        <w:t xml:space="preserve"> </w:t>
      </w:r>
      <w:r w:rsidRPr="00126BA8">
        <w:rPr>
          <w:rFonts w:eastAsia="Times New Roman"/>
        </w:rPr>
        <w:fldChar w:fldCharType="begin"/>
      </w:r>
      <w:r w:rsidRPr="00126BA8">
        <w:rPr>
          <w:rFonts w:eastAsia="Times New Roman"/>
        </w:rPr>
        <w:instrText xml:space="preserve"> ADDIN EN.CITE &lt;EndNote&gt;&lt;Cite&gt;&lt;Author&gt;Raukura Hauora O Tainui&lt;/Author&gt;&lt;Year&gt;2020&lt;/Year&gt;&lt;RecNum&gt;670&lt;/RecNum&gt;&lt;DisplayText&gt;(Raukura Hauora O Tainui, 2020)&lt;/DisplayText&gt;&lt;record&gt;&lt;rec-number&gt;670&lt;/rec-number&gt;&lt;foreign-keys&gt;&lt;key app="EN" db-id="5v2daxed8wv0eoesd9av5dd8exsxdewpfpwd" timestamp="1600910655"&gt;670&lt;/key&gt;&lt;/foreign-keys&gt;&lt;ref-type name="Web Page"&gt;12&lt;/ref-type&gt;&lt;contributors&gt;&lt;authors&gt;&lt;author&gt;Raukura Hauora O Tainui,&lt;/author&gt;&lt;/authors&gt;&lt;/contributors&gt;&lt;titles&gt;&lt;title&gt;&lt;style face="normal" font="default" size="100%"&gt;Problem Gambling Services - M&lt;/style&gt;&lt;style face="normal" font="default" charset="238" size="100%"&gt;āori&lt;/style&gt;&lt;style face="normal" font="default" size="100%"&gt;: Te Piringa Tupono&lt;/style&gt;&lt;/title&gt;&lt;/titles&gt;&lt;dates&gt;&lt;year&gt;2020&lt;/year&gt;&lt;/dates&gt;&lt;urls&gt;&lt;related-urls&gt;&lt;url&gt;https://www.raukura.org.nz/english/services/addictions-services/problem-gambling-services-maori/&lt;/url&gt;&lt;/related-urls&gt;&lt;/urls&gt;&lt;/record&gt;&lt;/Cite&gt;&lt;/EndNote&gt;</w:instrText>
      </w:r>
      <w:r w:rsidRPr="00126BA8">
        <w:rPr>
          <w:rFonts w:eastAsia="Times New Roman"/>
        </w:rPr>
        <w:fldChar w:fldCharType="separate"/>
      </w:r>
      <w:r w:rsidRPr="00126BA8">
        <w:rPr>
          <w:rFonts w:eastAsia="Times New Roman"/>
          <w:noProof/>
        </w:rPr>
        <w:t>(Raukura Hauora O Tainui, 2020)</w:t>
      </w:r>
      <w:r w:rsidRPr="00126BA8">
        <w:rPr>
          <w:rFonts w:eastAsia="Times New Roman"/>
        </w:rPr>
        <w:fldChar w:fldCharType="end"/>
      </w:r>
    </w:p>
    <w:p w14:paraId="0A888FF6" w14:textId="77777777" w:rsidR="007D328C" w:rsidRDefault="007D328C" w:rsidP="00966D1C">
      <w:pPr>
        <w:spacing w:line="240" w:lineRule="auto"/>
        <w:ind w:left="720"/>
        <w:jc w:val="both"/>
        <w:rPr>
          <w:rFonts w:eastAsia="Times New Roman"/>
          <w:i/>
        </w:rPr>
      </w:pPr>
    </w:p>
    <w:p w14:paraId="70AFEEEB" w14:textId="372B131A" w:rsidR="00966D1C" w:rsidRPr="00126BA8" w:rsidRDefault="00966D1C" w:rsidP="00966D1C">
      <w:pPr>
        <w:spacing w:line="240" w:lineRule="auto"/>
        <w:ind w:left="720"/>
        <w:jc w:val="both"/>
        <w:rPr>
          <w:rFonts w:eastAsia="Times New Roman"/>
        </w:rPr>
      </w:pPr>
      <w:r w:rsidRPr="00126BA8">
        <w:rPr>
          <w:rFonts w:eastAsia="Times New Roman"/>
          <w:i/>
        </w:rPr>
        <w:t>Te Toi O Matariki is the model used which is known as an "awakening" model. The model works on the concept that, in order to realise your need for change, one must understand who they are as individuals, then as Māori, then their cultural value base.  Ownership of the way we behave is realigned with the traditional Māori philosophy of wellness.</w:t>
      </w:r>
      <w:r w:rsidRPr="00126BA8">
        <w:rPr>
          <w:rFonts w:eastAsia="Times New Roman"/>
        </w:rPr>
        <w:t xml:space="preserve"> </w:t>
      </w:r>
      <w:r w:rsidRPr="00126BA8">
        <w:rPr>
          <w:rFonts w:eastAsia="Times New Roman"/>
        </w:rPr>
        <w:fldChar w:fldCharType="begin"/>
      </w:r>
      <w:r w:rsidRPr="00126BA8">
        <w:rPr>
          <w:rFonts w:eastAsia="Times New Roman"/>
        </w:rPr>
        <w:instrText xml:space="preserve"> ADDIN EN.CITE &lt;EndNote&gt;&lt;Cite&gt;&lt;Author&gt;Raukura Hauora O Tainui&lt;/Author&gt;&lt;Year&gt;2020&lt;/Year&gt;&lt;RecNum&gt;670&lt;/RecNum&gt;&lt;DisplayText&gt;(Raukura Hauora O Tainui, 2020)&lt;/DisplayText&gt;&lt;record&gt;&lt;rec-number&gt;670&lt;/rec-number&gt;&lt;foreign-keys&gt;&lt;key app="EN" db-id="5v2daxed8wv0eoesd9av5dd8exsxdewpfpwd" timestamp="1600910655"&gt;670&lt;/key&gt;&lt;/foreign-keys&gt;&lt;ref-type name="Web Page"&gt;12&lt;/ref-type&gt;&lt;contributors&gt;&lt;authors&gt;&lt;author&gt;Raukura Hauora O Tainui,&lt;/author&gt;&lt;/authors&gt;&lt;/contributors&gt;&lt;titles&gt;&lt;title&gt;&lt;style face="normal" font="default" size="100%"&gt;Problem Gambling Services - M&lt;/style&gt;&lt;style face="normal" font="default" charset="238" size="100%"&gt;āori&lt;/style&gt;&lt;style face="normal" font="default" size="100%"&gt;: Te Piringa Tupono&lt;/style&gt;&lt;/title&gt;&lt;/titles&gt;&lt;dates&gt;&lt;year&gt;2020&lt;/year&gt;&lt;/dates&gt;&lt;urls&gt;&lt;related-urls&gt;&lt;url&gt;https://www.raukura.org.nz/english/services/addictions-services/problem-gambling-services-maori/&lt;/url&gt;&lt;/related-urls&gt;&lt;/urls&gt;&lt;/record&gt;&lt;/Cite&gt;&lt;/EndNote&gt;</w:instrText>
      </w:r>
      <w:r w:rsidRPr="00126BA8">
        <w:rPr>
          <w:rFonts w:eastAsia="Times New Roman"/>
        </w:rPr>
        <w:fldChar w:fldCharType="separate"/>
      </w:r>
      <w:r w:rsidRPr="00126BA8">
        <w:rPr>
          <w:rFonts w:eastAsia="Times New Roman"/>
          <w:noProof/>
        </w:rPr>
        <w:t>(Raukura Hauora O Tainui, 2020)</w:t>
      </w:r>
      <w:r w:rsidRPr="00126BA8">
        <w:rPr>
          <w:rFonts w:eastAsia="Times New Roman"/>
        </w:rPr>
        <w:fldChar w:fldCharType="end"/>
      </w:r>
    </w:p>
    <w:p w14:paraId="20A40B31" w14:textId="77777777" w:rsidR="00903A1B" w:rsidRDefault="00903A1B" w:rsidP="00966D1C">
      <w:pPr>
        <w:spacing w:line="240" w:lineRule="auto"/>
        <w:jc w:val="both"/>
      </w:pPr>
    </w:p>
    <w:p w14:paraId="0E860FB2" w14:textId="59FD75FA" w:rsidR="0044492E" w:rsidRDefault="007D328C" w:rsidP="00966D1C">
      <w:pPr>
        <w:spacing w:line="240" w:lineRule="auto"/>
        <w:jc w:val="both"/>
      </w:pPr>
      <w:r>
        <w:lastRenderedPageBreak/>
        <w:t>Raukura’s c</w:t>
      </w:r>
      <w:r w:rsidRPr="007D328C">
        <w:t>ommunity gambling harm reduction programme</w:t>
      </w:r>
      <w:r>
        <w:t xml:space="preserve"> </w:t>
      </w:r>
      <w:r w:rsidRPr="007D328C">
        <w:t>charters an akonga (client’s) journey from the darkness of the mind, Te Kore, (abyss) to Te Ao Marama (the world of light)</w:t>
      </w:r>
      <w:r>
        <w:t>, drawing on culturally significant t</w:t>
      </w:r>
      <w:r w:rsidRPr="007D328C">
        <w:t>ransformative concepts</w:t>
      </w:r>
      <w:r>
        <w:t xml:space="preserve">. </w:t>
      </w:r>
      <w:r w:rsidR="0044492E" w:rsidRPr="0044492E">
        <w:t>There are many story telling elements</w:t>
      </w:r>
      <w:r w:rsidR="0044492E">
        <w:t xml:space="preserve"> to engage families, as well as a focus on e</w:t>
      </w:r>
      <w:r w:rsidR="0044492E" w:rsidRPr="0044492E">
        <w:t>ducating and empowering whānau to become advocates in their communities for mauri ora</w:t>
      </w:r>
      <w:r w:rsidR="0044492E">
        <w:t xml:space="preserve"> (wellbeing). As explained by the indigenous research collective K.I.N (Knowledge in Indigenous Networks)</w:t>
      </w:r>
      <w:r w:rsidR="000A0CD9">
        <w:t xml:space="preserve">, mauri ora means being alive to the </w:t>
      </w:r>
      <w:r w:rsidR="008454DB" w:rsidRPr="008454DB">
        <w:t>Māori</w:t>
      </w:r>
      <w:r w:rsidR="000A0CD9">
        <w:t xml:space="preserve"> world:</w:t>
      </w:r>
    </w:p>
    <w:p w14:paraId="60BE6BB7" w14:textId="77777777" w:rsidR="0044492E" w:rsidRDefault="0044492E" w:rsidP="00966D1C">
      <w:pPr>
        <w:spacing w:line="240" w:lineRule="auto"/>
        <w:jc w:val="both"/>
      </w:pPr>
    </w:p>
    <w:p w14:paraId="106CAB57" w14:textId="385451A4" w:rsidR="0044492E" w:rsidRPr="0044492E" w:rsidRDefault="000A0CD9" w:rsidP="0044492E">
      <w:pPr>
        <w:spacing w:line="240" w:lineRule="auto"/>
        <w:ind w:left="720"/>
        <w:jc w:val="both"/>
        <w:rPr>
          <w:i/>
          <w:iCs/>
        </w:rPr>
      </w:pPr>
      <w:r>
        <w:rPr>
          <w:i/>
          <w:iCs/>
        </w:rPr>
        <w:t>“</w:t>
      </w:r>
      <w:r w:rsidR="0044492E" w:rsidRPr="0044492E">
        <w:rPr>
          <w:i/>
          <w:iCs/>
        </w:rPr>
        <w:t>It is what gives us our get up and go. A Māori person with a Māori life force is alive to things Māori. Potential is being realized and activated. When you have mauri ora you are getting involved in many different ways with Te Ao Māori.</w:t>
      </w:r>
      <w:r w:rsidR="0044492E">
        <w:rPr>
          <w:i/>
          <w:iCs/>
        </w:rPr>
        <w:t xml:space="preserve"> </w:t>
      </w:r>
      <w:r w:rsidR="0044492E" w:rsidRPr="0044492E">
        <w:rPr>
          <w:i/>
          <w:iCs/>
        </w:rPr>
        <w:t>You might be seeking out tohunga</w:t>
      </w:r>
      <w:r>
        <w:rPr>
          <w:i/>
          <w:iCs/>
        </w:rPr>
        <w:t xml:space="preserve"> [leaders] </w:t>
      </w:r>
      <w:r w:rsidR="0044492E" w:rsidRPr="0044492E">
        <w:rPr>
          <w:i/>
          <w:iCs/>
        </w:rPr>
        <w:t>to help you with karakia</w:t>
      </w:r>
      <w:r>
        <w:rPr>
          <w:i/>
          <w:iCs/>
        </w:rPr>
        <w:t xml:space="preserve"> [prayer]</w:t>
      </w:r>
      <w:r w:rsidR="0044492E" w:rsidRPr="0044492E">
        <w:rPr>
          <w:i/>
          <w:iCs/>
        </w:rPr>
        <w:t xml:space="preserve">, you may be organizing a whanau reunion, you may be becoming an active owner in Māori land rather than a passive owner, you may find ways to attend Māori gatherings, you may even go along to school Māori parent evenings for your tamariki </w:t>
      </w:r>
      <w:r>
        <w:rPr>
          <w:i/>
          <w:iCs/>
        </w:rPr>
        <w:t xml:space="preserve">[children] </w:t>
      </w:r>
      <w:r w:rsidR="0044492E" w:rsidRPr="0044492E">
        <w:rPr>
          <w:i/>
          <w:iCs/>
        </w:rPr>
        <w:t>or mokopuna</w:t>
      </w:r>
      <w:r>
        <w:rPr>
          <w:i/>
          <w:iCs/>
        </w:rPr>
        <w:t xml:space="preserve"> [grandchildren]</w:t>
      </w:r>
      <w:r w:rsidR="0044492E" w:rsidRPr="0044492E">
        <w:rPr>
          <w:i/>
          <w:iCs/>
        </w:rPr>
        <w:t>, you may go to Māori weaving classes and so on. To activate your mauri ora is to be getting up and going in the Māori world.”</w:t>
      </w:r>
      <w:r w:rsidR="0044492E">
        <w:rPr>
          <w:i/>
          <w:iCs/>
        </w:rPr>
        <w:t xml:space="preserve"> </w:t>
      </w:r>
      <w:r w:rsidR="0044492E">
        <w:rPr>
          <w:i/>
          <w:iCs/>
        </w:rPr>
        <w:fldChar w:fldCharType="begin"/>
      </w:r>
      <w:r w:rsidR="0044492E">
        <w:rPr>
          <w:i/>
          <w:iCs/>
        </w:rPr>
        <w:instrText xml:space="preserve"> ADDIN EN.CITE &lt;EndNote&gt;&lt;Cite&gt;&lt;Author&gt;KIN&lt;/Author&gt;&lt;Year&gt;2015&lt;/Year&gt;&lt;RecNum&gt;304&lt;/RecNum&gt;&lt;DisplayText&gt;(KIN &amp;amp; Arohaina Riwaka Thorpe, 2015)&lt;/DisplayText&gt;&lt;record&gt;&lt;rec-number&gt;304&lt;/rec-number&gt;&lt;foreign-keys&gt;&lt;key app="EN" db-id="25rszwft292ev3esrpvpde0cpxrd9ex0xspp" timestamp="1601593605"&gt;304&lt;/key&gt;&lt;/foreign-keys&gt;&lt;ref-type name="Web Page"&gt;12&lt;/ref-type&gt;&lt;contributors&gt;&lt;authors&gt;&lt;author&gt;KIN,&lt;/author&gt;&lt;author&gt;Arohaina Riwaka Thorpe, J&lt;/author&gt;&lt;/authors&gt;&lt;/contributors&gt;&lt;titles&gt;&lt;title&gt;Tihei Mauri Ora! Knowledge Maori&lt;/title&gt;&lt;/titles&gt;&lt;volume&gt;2020&lt;/volume&gt;&lt;number&gt;2 October&lt;/number&gt;&lt;dates&gt;&lt;year&gt;2015&lt;/year&gt;&lt;/dates&gt;&lt;urls&gt;&lt;related-urls&gt;&lt;url&gt;https://indigenousknowledgenetwork.net/2015/11/14/tihei-mauri-ora/#:~:text=Mauri%20ora%2C%20literally%20means%20mauri,ways%20with%20Te%20Ao%20M%C4%81ori.&lt;/url&gt;&lt;/related-urls&gt;&lt;/urls&gt;&lt;/record&gt;&lt;/Cite&gt;&lt;/EndNote&gt;</w:instrText>
      </w:r>
      <w:r w:rsidR="0044492E">
        <w:rPr>
          <w:i/>
          <w:iCs/>
        </w:rPr>
        <w:fldChar w:fldCharType="separate"/>
      </w:r>
      <w:r w:rsidR="0044492E">
        <w:rPr>
          <w:i/>
          <w:iCs/>
          <w:noProof/>
        </w:rPr>
        <w:t>(KIN &amp; Arohaina Riwaka Thorpe, 2015)</w:t>
      </w:r>
      <w:r w:rsidR="0044492E">
        <w:rPr>
          <w:i/>
          <w:iCs/>
        </w:rPr>
        <w:fldChar w:fldCharType="end"/>
      </w:r>
    </w:p>
    <w:p w14:paraId="7CB7E463" w14:textId="77777777" w:rsidR="0044492E" w:rsidRDefault="0044492E" w:rsidP="00966D1C">
      <w:pPr>
        <w:spacing w:line="240" w:lineRule="auto"/>
        <w:jc w:val="both"/>
      </w:pPr>
    </w:p>
    <w:p w14:paraId="286DA63B" w14:textId="2686C8DB" w:rsidR="00966D1C" w:rsidRDefault="00BF76A5" w:rsidP="00966D1C">
      <w:pPr>
        <w:spacing w:line="240" w:lineRule="auto"/>
        <w:jc w:val="both"/>
      </w:pPr>
      <w:r>
        <w:t>At Raukura g</w:t>
      </w:r>
      <w:r w:rsidRPr="00126BA8">
        <w:t>ambling harm reduction services include one</w:t>
      </w:r>
      <w:r w:rsidR="007B565F">
        <w:t>-</w:t>
      </w:r>
      <w:r w:rsidRPr="00126BA8">
        <w:t>to</w:t>
      </w:r>
      <w:r w:rsidR="007B565F">
        <w:t>-</w:t>
      </w:r>
      <w:r w:rsidRPr="00126BA8">
        <w:t xml:space="preserve">one or couple/whānau counselling (usually eight sessions with follow-up support), community gambling harm reduction programmes, a financial literacy programme, and ongoing follow-up support. </w:t>
      </w:r>
      <w:r w:rsidR="007D328C">
        <w:t>Importantly, g</w:t>
      </w:r>
      <w:r w:rsidR="00966D1C" w:rsidRPr="00126BA8">
        <w:t xml:space="preserve">ambling support is among a number of other services available </w:t>
      </w:r>
      <w:r w:rsidR="007D328C">
        <w:t xml:space="preserve">to support family wellbeing </w:t>
      </w:r>
      <w:r w:rsidR="000A0CD9">
        <w:t xml:space="preserve">within a kaupapa </w:t>
      </w:r>
      <w:r w:rsidR="000A0CD9" w:rsidRPr="000A0CD9">
        <w:t>Māori</w:t>
      </w:r>
      <w:r w:rsidR="000A0CD9">
        <w:t xml:space="preserve"> context</w:t>
      </w:r>
      <w:r w:rsidR="007B565F">
        <w:t xml:space="preserve"> (e.g. primary health and social services)</w:t>
      </w:r>
      <w:r w:rsidR="00966D1C" w:rsidRPr="00126BA8">
        <w:t>.</w:t>
      </w:r>
      <w:r w:rsidR="000A0CD9">
        <w:t xml:space="preserve"> </w:t>
      </w:r>
      <w:r w:rsidR="00966D1C" w:rsidRPr="00126BA8">
        <w:t>There is little distinction between the gambling individual and FAOs as the service aims to work with the family/whānau.</w:t>
      </w:r>
    </w:p>
    <w:p w14:paraId="19B67597" w14:textId="77777777" w:rsidR="00903A1B" w:rsidRPr="00126BA8" w:rsidRDefault="00903A1B" w:rsidP="00966D1C">
      <w:pPr>
        <w:spacing w:line="240" w:lineRule="auto"/>
        <w:jc w:val="both"/>
      </w:pPr>
    </w:p>
    <w:p w14:paraId="118EFED4" w14:textId="0DCA8683" w:rsidR="00966D1C" w:rsidRPr="00126BA8" w:rsidRDefault="00077A07" w:rsidP="00966D1C">
      <w:pPr>
        <w:pStyle w:val="Heading4"/>
        <w:spacing w:before="0"/>
        <w:rPr>
          <w:rFonts w:eastAsia="Times New Roman"/>
        </w:rPr>
      </w:pPr>
      <w:r>
        <w:rPr>
          <w:rFonts w:eastAsia="Times New Roman"/>
        </w:rPr>
        <w:t>M</w:t>
      </w:r>
      <w:r w:rsidR="003F1895">
        <w:rPr>
          <w:rFonts w:eastAsia="Times New Roman"/>
        </w:rPr>
        <w:t>aking sense of migration and gambling harm</w:t>
      </w:r>
    </w:p>
    <w:p w14:paraId="004F06C1" w14:textId="0186C5FA" w:rsidR="00966D1C" w:rsidRDefault="00966D1C" w:rsidP="00966D1C">
      <w:pPr>
        <w:spacing w:line="240" w:lineRule="auto"/>
        <w:jc w:val="both"/>
      </w:pPr>
      <w:r w:rsidRPr="00126BA8">
        <w:t xml:space="preserve">AFS </w:t>
      </w:r>
      <w:r w:rsidR="007E569D">
        <w:t>were</w:t>
      </w:r>
      <w:r w:rsidRPr="00126BA8">
        <w:t xml:space="preserve"> the only service </w:t>
      </w:r>
      <w:r w:rsidR="007E569D">
        <w:t xml:space="preserve">reviewed in this study that was </w:t>
      </w:r>
      <w:r w:rsidRPr="00126BA8">
        <w:t>orientated towards Asian communities. Their services are available in a range of languages including Mandarin, Cantonese, Korean, Vietnamese, Japanese, Thai, Hindi, and English (an interpreter can be arranged for other languages if needed). Within their promotional material there is no specific mention of FAOs, instead, a holistic and whole family approach is taken. For example, in their general brochure, the heading reads</w:t>
      </w:r>
      <w:r w:rsidRPr="003F299F">
        <w:t>:</w:t>
      </w:r>
      <w:r w:rsidR="003F299F" w:rsidRPr="003F299F">
        <w:t xml:space="preserve"> </w:t>
      </w:r>
      <w:r w:rsidRPr="003F299F">
        <w:t xml:space="preserve">Working with Asian Families and Communities to be Healthy and Resilient </w:t>
      </w:r>
      <w:r w:rsidRPr="003F299F">
        <w:fldChar w:fldCharType="begin"/>
      </w:r>
      <w:r w:rsidRPr="003F299F">
        <w:instrText xml:space="preserve"> ADDIN EN.CITE &lt;EndNote&gt;&lt;Cite&gt;&lt;Author&gt;Asian Family Services&lt;/Author&gt;&lt;Year&gt;n.d.&lt;/Year&gt;&lt;RecNum&gt;661&lt;/RecNum&gt;&lt;DisplayText&gt;(Asian Family Services, n.d.)&lt;/DisplayText&gt;&lt;record&gt;&lt;rec-number&gt;661&lt;/rec-number&gt;&lt;foreign-keys&gt;&lt;key app="EN" db-id="5v2daxed8wv0eoesd9av5dd8exsxdewpfpwd" timestamp="1600904122"&gt;661&lt;/key&gt;&lt;/foreign-keys&gt;&lt;ref-type name="Web Page"&gt;12&lt;/ref-type&gt;&lt;contributors&gt;&lt;authors&gt;&lt;author&gt;Asian Family Services,&lt;/author&gt;&lt;/authors&gt;&lt;/contributors&gt;&lt;titles&gt;&lt;title&gt;Working with Asian families and communities to be healthy and resilient [General brochure]&lt;/title&gt;&lt;/titles&gt;&lt;dates&gt;&lt;year&gt;n.d.&lt;/year&gt;&lt;/dates&gt;&lt;publisher&gt;Asian Family Services&lt;/publisher&gt;&lt;urls&gt;&lt;/urls&gt;&lt;/record&gt;&lt;/Cite&gt;&lt;/EndNote&gt;</w:instrText>
      </w:r>
      <w:r w:rsidRPr="003F299F">
        <w:fldChar w:fldCharType="separate"/>
      </w:r>
      <w:r w:rsidRPr="003F299F">
        <w:rPr>
          <w:noProof/>
        </w:rPr>
        <w:t>(Asian Family Services, n.d.)</w:t>
      </w:r>
      <w:r w:rsidRPr="003F299F">
        <w:fldChar w:fldCharType="end"/>
      </w:r>
      <w:r w:rsidR="003F299F">
        <w:t xml:space="preserve">. </w:t>
      </w:r>
      <w:r w:rsidRPr="00126BA8">
        <w:t xml:space="preserve">Additionally, their list of services details that they offer </w:t>
      </w:r>
      <w:r w:rsidRPr="003F299F">
        <w:t xml:space="preserve">“free counselling for anyone affected by gambling harm” </w:t>
      </w:r>
      <w:r w:rsidRPr="003F299F">
        <w:fldChar w:fldCharType="begin"/>
      </w:r>
      <w:r w:rsidRPr="003F299F">
        <w:instrText xml:space="preserve"> ADDIN EN.CITE &lt;EndNote&gt;&lt;Cite&gt;&lt;Author&gt;Asian Family Services&lt;/Author&gt;&lt;Year&gt;n.d.&lt;/Year&gt;&lt;RecNum&gt;661&lt;/RecNum&gt;&lt;DisplayText&gt;(Asian Family Services, n.d.)&lt;/DisplayText&gt;&lt;record&gt;&lt;rec-number&gt;661&lt;/rec-number&gt;&lt;foreign-keys&gt;&lt;key app="EN" db-id="5v2daxed8wv0eoesd9av5dd8exsxdewpfpwd" timestamp="1600904122"&gt;661&lt;/key&gt;&lt;/foreign-keys&gt;&lt;ref-type name="Web Page"&gt;12&lt;/ref-type&gt;&lt;contributors&gt;&lt;authors&gt;&lt;author&gt;Asian Family Services,&lt;/author&gt;&lt;/authors&gt;&lt;/contributors&gt;&lt;titles&gt;&lt;title&gt;Working with Asian families and communities to be healthy and resilient [General brochure]&lt;/title&gt;&lt;/titles&gt;&lt;dates&gt;&lt;year&gt;n.d.&lt;/year&gt;&lt;/dates&gt;&lt;publisher&gt;Asian Family Services&lt;/publisher&gt;&lt;urls&gt;&lt;/urls&gt;&lt;/record&gt;&lt;/Cite&gt;&lt;/EndNote&gt;</w:instrText>
      </w:r>
      <w:r w:rsidRPr="003F299F">
        <w:fldChar w:fldCharType="separate"/>
      </w:r>
      <w:r w:rsidRPr="003F299F">
        <w:rPr>
          <w:noProof/>
        </w:rPr>
        <w:t>(Asian Family Services, n.d.)</w:t>
      </w:r>
      <w:r w:rsidRPr="003F299F">
        <w:fldChar w:fldCharType="end"/>
      </w:r>
      <w:r w:rsidRPr="003F299F">
        <w:t xml:space="preserve">. </w:t>
      </w:r>
      <w:r w:rsidR="007E569D">
        <w:t>Conversation with service managers indicated that the purpose of the framing as ‘family services’ is to counter significant stigma within the Asian community around mental health issues in general and addiction is particular, as well as the notion of seeking support.</w:t>
      </w:r>
    </w:p>
    <w:p w14:paraId="49256A9E" w14:textId="3B780198" w:rsidR="00426645" w:rsidRDefault="00426645" w:rsidP="00966D1C">
      <w:pPr>
        <w:spacing w:line="240" w:lineRule="auto"/>
        <w:jc w:val="both"/>
      </w:pPr>
    </w:p>
    <w:p w14:paraId="05E20807" w14:textId="0E97BE62" w:rsidR="00426645" w:rsidRDefault="002404E3" w:rsidP="00966D1C">
      <w:pPr>
        <w:spacing w:line="240" w:lineRule="auto"/>
        <w:jc w:val="both"/>
      </w:pPr>
      <w:r>
        <w:t xml:space="preserve">An introduction to </w:t>
      </w:r>
      <w:r w:rsidR="00426645">
        <w:t xml:space="preserve">AFS </w:t>
      </w:r>
      <w:r>
        <w:t xml:space="preserve">on New Zealand’s national addictions workforce development organisation webpage </w:t>
      </w:r>
      <w:r w:rsidR="00426645">
        <w:t xml:space="preserve">articulates </w:t>
      </w:r>
      <w:r>
        <w:t>the purpose of AFS as h</w:t>
      </w:r>
      <w:r w:rsidRPr="002404E3">
        <w:t xml:space="preserve">elping </w:t>
      </w:r>
      <w:r>
        <w:t xml:space="preserve">migrant </w:t>
      </w:r>
      <w:r w:rsidRPr="002404E3">
        <w:t xml:space="preserve">families to </w:t>
      </w:r>
      <w:r>
        <w:t>“</w:t>
      </w:r>
      <w:r w:rsidRPr="002404E3">
        <w:t>find a balance in an unbalanced world</w:t>
      </w:r>
      <w:r>
        <w:t xml:space="preserve">” </w:t>
      </w:r>
      <w:r>
        <w:fldChar w:fldCharType="begin"/>
      </w:r>
      <w:r>
        <w:instrText xml:space="preserve"> ADDIN EN.CITE &lt;EndNote&gt;&lt;Cite&gt;&lt;Author&gt;Raki&lt;/Author&gt;&lt;Year&gt;2017&lt;/Year&gt;&lt;RecNum&gt;305&lt;/RecNum&gt;&lt;DisplayText&gt;(Raki, 2017)&lt;/DisplayText&gt;&lt;record&gt;&lt;rec-number&gt;305&lt;/rec-number&gt;&lt;foreign-keys&gt;&lt;key app="EN" db-id="25rszwft292ev3esrpvpde0cpxrd9ex0xspp" timestamp="1601594305"&gt;305&lt;/key&gt;&lt;/foreign-keys&gt;&lt;ref-type name="Web Page"&gt;12&lt;/ref-type&gt;&lt;contributors&gt;&lt;authors&gt;&lt;author&gt;Matua Raki&lt;/author&gt;&lt;/authors&gt;&lt;/contributors&gt;&lt;titles&gt;&lt;title&gt;Helping families to find a balance in an unbalanced world&lt;/title&gt;&lt;/titles&gt;&lt;volume&gt;2020&lt;/volume&gt;&lt;number&gt;2 October&lt;/number&gt;&lt;dates&gt;&lt;year&gt;2017&lt;/year&gt;&lt;/dates&gt;&lt;publisher&gt;Matua Raki&lt;/publisher&gt;&lt;urls&gt;&lt;related-urls&gt;&lt;url&gt;https://www.matuaraki.org.nz/news/helping-families-to-find-a-balance-in-an-unbalanced-world/1036&lt;/url&gt;&lt;/related-urls&gt;&lt;/urls&gt;&lt;/record&gt;&lt;/Cite&gt;&lt;/EndNote&gt;</w:instrText>
      </w:r>
      <w:r>
        <w:fldChar w:fldCharType="separate"/>
      </w:r>
      <w:r>
        <w:rPr>
          <w:noProof/>
        </w:rPr>
        <w:t>(Raki, 2017)</w:t>
      </w:r>
      <w:r>
        <w:fldChar w:fldCharType="end"/>
      </w:r>
      <w:r w:rsidR="00D3752C">
        <w:t xml:space="preserve">. Gambling is seen as a response to the disconnect between dreams of </w:t>
      </w:r>
      <w:r w:rsidR="00D3752C" w:rsidRPr="00D3752C">
        <w:t>having a better and enriched life in New Zealand</w:t>
      </w:r>
      <w:r w:rsidR="00D3752C">
        <w:t xml:space="preserve">, and the impact and struggle that immigration often brings to families. </w:t>
      </w:r>
      <w:r w:rsidR="00D3752C" w:rsidRPr="00D3752C">
        <w:t xml:space="preserve">To assist with the impact of immigration on Asian communities, </w:t>
      </w:r>
      <w:r w:rsidR="003F299F">
        <w:t>AFS</w:t>
      </w:r>
      <w:r w:rsidR="00D3752C" w:rsidRPr="00D3752C">
        <w:t xml:space="preserve"> has developed the ‘Tree Model’ to depict the challenges, struggles, grief and loss and growth of individuals and families</w:t>
      </w:r>
      <w:r w:rsidR="00D3752C">
        <w:t xml:space="preserve">: </w:t>
      </w:r>
    </w:p>
    <w:p w14:paraId="4202B98A" w14:textId="7D94CA61" w:rsidR="002404E3" w:rsidRDefault="002404E3" w:rsidP="00966D1C">
      <w:pPr>
        <w:spacing w:line="240" w:lineRule="auto"/>
        <w:jc w:val="both"/>
      </w:pPr>
    </w:p>
    <w:p w14:paraId="5024F6FB" w14:textId="43343527" w:rsidR="002404E3" w:rsidRPr="002404E3" w:rsidRDefault="002404E3" w:rsidP="002404E3">
      <w:pPr>
        <w:spacing w:line="240" w:lineRule="auto"/>
        <w:ind w:left="720"/>
        <w:jc w:val="both"/>
        <w:rPr>
          <w:i/>
          <w:iCs/>
        </w:rPr>
      </w:pPr>
      <w:r w:rsidRPr="002404E3">
        <w:rPr>
          <w:i/>
          <w:iCs/>
        </w:rPr>
        <w:lastRenderedPageBreak/>
        <w:t xml:space="preserve">“The ‘Tree Model’, illustrates how a firmly grounded tree can lose its roots during transplantation and how much it takes to adjust to the different climate of a new ground. It is likened to the experience that an Asian migrant goes through during the immigration process. The roots represent culture, values, beliefs, identity and family including extended family. The trunk represents status and self-esteem. The branches represent language ability and education. The leaves represent achievements, social network and friends. The fruit represent health.” </w:t>
      </w:r>
      <w:r w:rsidRPr="002404E3">
        <w:rPr>
          <w:i/>
          <w:iCs/>
        </w:rPr>
        <w:fldChar w:fldCharType="begin"/>
      </w:r>
      <w:r w:rsidRPr="002404E3">
        <w:rPr>
          <w:i/>
          <w:iCs/>
        </w:rPr>
        <w:instrText xml:space="preserve"> ADDIN EN.CITE &lt;EndNote&gt;&lt;Cite&gt;&lt;Author&gt;Raki&lt;/Author&gt;&lt;Year&gt;2017&lt;/Year&gt;&lt;RecNum&gt;305&lt;/RecNum&gt;&lt;DisplayText&gt;(Raki, 2017)&lt;/DisplayText&gt;&lt;record&gt;&lt;rec-number&gt;305&lt;/rec-number&gt;&lt;foreign-keys&gt;&lt;key app="EN" db-id="25rszwft292ev3esrpvpde0cpxrd9ex0xspp" timestamp="1601594305"&gt;305&lt;/key&gt;&lt;/foreign-keys&gt;&lt;ref-type name="Web Page"&gt;12&lt;/ref-type&gt;&lt;contributors&gt;&lt;authors&gt;&lt;author&gt;Matua Raki&lt;/author&gt;&lt;/authors&gt;&lt;/contributors&gt;&lt;titles&gt;&lt;title&gt;Helping families to find a balance in an unbalanced world&lt;/title&gt;&lt;/titles&gt;&lt;volume&gt;2020&lt;/volume&gt;&lt;number&gt;2 October&lt;/number&gt;&lt;dates&gt;&lt;year&gt;2017&lt;/year&gt;&lt;/dates&gt;&lt;publisher&gt;Matua Raki&lt;/publisher&gt;&lt;urls&gt;&lt;related-urls&gt;&lt;url&gt;https://www.matuaraki.org.nz/news/helping-families-to-find-a-balance-in-an-unbalanced-world/1036&lt;/url&gt;&lt;/related-urls&gt;&lt;/urls&gt;&lt;/record&gt;&lt;/Cite&gt;&lt;/EndNote&gt;</w:instrText>
      </w:r>
      <w:r w:rsidRPr="002404E3">
        <w:rPr>
          <w:i/>
          <w:iCs/>
        </w:rPr>
        <w:fldChar w:fldCharType="separate"/>
      </w:r>
      <w:r w:rsidRPr="002404E3">
        <w:rPr>
          <w:i/>
          <w:iCs/>
          <w:noProof/>
        </w:rPr>
        <w:t>(Raki, 2017)</w:t>
      </w:r>
      <w:r w:rsidRPr="002404E3">
        <w:rPr>
          <w:i/>
          <w:iCs/>
        </w:rPr>
        <w:fldChar w:fldCharType="end"/>
      </w:r>
    </w:p>
    <w:p w14:paraId="518C4048" w14:textId="699B776D" w:rsidR="00426645" w:rsidRDefault="00426645" w:rsidP="00966D1C">
      <w:pPr>
        <w:spacing w:line="240" w:lineRule="auto"/>
        <w:jc w:val="both"/>
      </w:pPr>
    </w:p>
    <w:p w14:paraId="0C418424" w14:textId="5286DF7D" w:rsidR="002404E3" w:rsidRDefault="002404E3" w:rsidP="00966D1C">
      <w:pPr>
        <w:spacing w:line="240" w:lineRule="auto"/>
        <w:jc w:val="both"/>
      </w:pPr>
      <w:r>
        <w:t>T</w:t>
      </w:r>
      <w:r w:rsidRPr="002404E3">
        <w:t xml:space="preserve">he </w:t>
      </w:r>
      <w:r w:rsidR="007E569D">
        <w:t>AFS</w:t>
      </w:r>
      <w:r w:rsidRPr="002404E3">
        <w:t xml:space="preserve"> team uses the ‘Tree Model’</w:t>
      </w:r>
      <w:r w:rsidR="007E569D">
        <w:t xml:space="preserve"> </w:t>
      </w:r>
      <w:r w:rsidRPr="002404E3">
        <w:t xml:space="preserve">to help Asian communities understand their experiences, develop empathy for themselves and those who are going through a similar process and to encourage them to grow stronger </w:t>
      </w:r>
      <w:r w:rsidR="00A920EB">
        <w:t>connections with others</w:t>
      </w:r>
      <w:r w:rsidRPr="002404E3">
        <w:t xml:space="preserve"> to produce </w:t>
      </w:r>
      <w:r w:rsidR="00A920EB">
        <w:t>‘</w:t>
      </w:r>
      <w:r w:rsidRPr="002404E3">
        <w:t>healthy fruit</w:t>
      </w:r>
      <w:r w:rsidR="00A920EB">
        <w:t>’</w:t>
      </w:r>
      <w:r w:rsidRPr="002404E3">
        <w:t>.</w:t>
      </w:r>
      <w:r w:rsidR="007E569D">
        <w:t xml:space="preserve"> </w:t>
      </w:r>
    </w:p>
    <w:p w14:paraId="31171BEA" w14:textId="77777777" w:rsidR="007E569D" w:rsidRDefault="007E569D" w:rsidP="00966D1C">
      <w:pPr>
        <w:spacing w:line="240" w:lineRule="auto"/>
        <w:jc w:val="both"/>
      </w:pPr>
    </w:p>
    <w:p w14:paraId="72C2D4C8" w14:textId="77777777" w:rsidR="00966D1C" w:rsidRPr="00126BA8" w:rsidRDefault="00966D1C" w:rsidP="00966D1C">
      <w:pPr>
        <w:pStyle w:val="Heading4"/>
        <w:spacing w:before="0"/>
      </w:pPr>
      <w:r w:rsidRPr="00126BA8">
        <w:t>Warruwi Gambling Help: An Aboriginal service designed and operated by Aboriginal communities</w:t>
      </w:r>
    </w:p>
    <w:p w14:paraId="3769DF1D" w14:textId="66F7EA73" w:rsidR="00966D1C" w:rsidRDefault="00966D1C" w:rsidP="00966D1C">
      <w:pPr>
        <w:spacing w:line="240" w:lineRule="auto"/>
        <w:jc w:val="both"/>
      </w:pPr>
      <w:r w:rsidRPr="00126BA8">
        <w:t>Warruwi Gambling Help is an Aboriginal owned and operated gambling help programme</w:t>
      </w:r>
      <w:r w:rsidR="006F129E" w:rsidRPr="006F129E">
        <w:t xml:space="preserve"> </w:t>
      </w:r>
      <w:r w:rsidR="006F129E">
        <w:t>i</w:t>
      </w:r>
      <w:r w:rsidR="006F129E" w:rsidRPr="00126BA8">
        <w:t>n Australia</w:t>
      </w:r>
      <w:r w:rsidRPr="00126BA8">
        <w:t>. The service takes a broad family and community perspective: “</w:t>
      </w:r>
      <w:r w:rsidRPr="00CC49FC">
        <w:rPr>
          <w:iCs/>
        </w:rPr>
        <w:t>If gambling is creating problems for you, your family, your community and your culture, then the Warruwi Gambling Help Program can help you. The program works with communities to promote a healthy approach to gambling and seeking help”</w:t>
      </w:r>
      <w:r w:rsidRPr="00126BA8">
        <w:t xml:space="preserve"> </w:t>
      </w:r>
      <w:r w:rsidRPr="00126BA8">
        <w:fldChar w:fldCharType="begin"/>
      </w:r>
      <w:r w:rsidRPr="00126BA8">
        <w:instrText xml:space="preserve"> ADDIN EN.CITE &lt;EndNote&gt;&lt;Cite&gt;&lt;Author&gt;Warruwi Gambling Help&lt;/Author&gt;&lt;Year&gt;n.d.&lt;/Year&gt;&lt;RecNum&gt;671&lt;/RecNum&gt;&lt;DisplayText&gt;(Warruwi Gambling Help, n.d.-b)&lt;/DisplayText&gt;&lt;record&gt;&lt;rec-number&gt;671&lt;/rec-number&gt;&lt;foreign-keys&gt;&lt;key app="EN" db-id="5v2daxed8wv0eoesd9av5dd8exsxdewpfpwd" timestamp="1600910830"&gt;671&lt;/key&gt;&lt;/foreign-keys&gt;&lt;ref-type name="Web Page"&gt;12&lt;/ref-type&gt;&lt;contributors&gt;&lt;authors&gt;&lt;author&gt;Warruwi Gambling Help,&lt;/author&gt;&lt;/authors&gt;&lt;/contributors&gt;&lt;titles&gt;&lt;title&gt;Aboriginal Safe Gambling Services NSW: Warruwi Gamblng Help&lt;/title&gt;&lt;/titles&gt;&lt;dates&gt;&lt;year&gt;n.d.&lt;/year&gt;&lt;/dates&gt;&lt;urls&gt;&lt;related-urls&gt;&lt;url&gt;https://aboriginalsafegambling.com.au/&lt;/url&gt;&lt;/related-urls&gt;&lt;/urls&gt;&lt;/record&gt;&lt;/Cite&gt;&lt;/EndNote&gt;</w:instrText>
      </w:r>
      <w:r w:rsidRPr="00126BA8">
        <w:fldChar w:fldCharType="separate"/>
      </w:r>
      <w:r w:rsidRPr="00126BA8">
        <w:rPr>
          <w:noProof/>
        </w:rPr>
        <w:t>(Warruwi Gambling Help, n.d.-b)</w:t>
      </w:r>
      <w:r w:rsidRPr="00126BA8">
        <w:fldChar w:fldCharType="end"/>
      </w:r>
      <w:r w:rsidRPr="00126BA8">
        <w:t xml:space="preserve">. One of the key objectives of the Warruwi Gambling Help programme </w:t>
      </w:r>
      <w:r w:rsidRPr="00CC49FC">
        <w:t xml:space="preserve">is “To provide opportunities for Aboriginal Community members &amp; service providers to talk about gambling issues and impacts on their families” </w:t>
      </w:r>
      <w:r w:rsidRPr="00CC49FC">
        <w:fldChar w:fldCharType="begin"/>
      </w:r>
      <w:r w:rsidRPr="00CC49FC">
        <w:instrText xml:space="preserve"> ADDIN EN.CITE &lt;EndNote&gt;&lt;Cite&gt;&lt;Author&gt;Warruwi Gambling Help&lt;/Author&gt;&lt;Year&gt;n.d.&lt;/Year&gt;&lt;RecNum&gt;672&lt;/RecNum&gt;&lt;DisplayText&gt;(Warruwi Gambling Help, n.d.-a)&lt;/DisplayText&gt;&lt;record&gt;&lt;rec-number&gt;672&lt;/rec-number&gt;&lt;foreign-keys&gt;&lt;key app="EN" db-id="5v2daxed8wv0eoesd9av5dd8exsxdewpfpwd" timestamp="1600911016"&gt;672&lt;/key&gt;&lt;/foreign-keys&gt;&lt;ref-type name="Web Page"&gt;12&lt;/ref-type&gt;&lt;contributors&gt;&lt;authors&gt;&lt;author&gt;Warruwi Gambling Help,&lt;/author&gt;&lt;/authors&gt;&lt;/contributors&gt;&lt;titles&gt;&lt;title&gt;Aboriginal Safe Gambling Services NSW: About us&lt;/title&gt;&lt;/titles&gt;&lt;dates&gt;&lt;year&gt;n.d.&lt;/year&gt;&lt;/dates&gt;&lt;urls&gt;&lt;related-urls&gt;&lt;url&gt;https://aboriginalsafegambling.com.au/about-us/&lt;/url&gt;&lt;/related-urls&gt;&lt;/urls&gt;&lt;/record&gt;&lt;/Cite&gt;&lt;/EndNote&gt;</w:instrText>
      </w:r>
      <w:r w:rsidRPr="00CC49FC">
        <w:fldChar w:fldCharType="separate"/>
      </w:r>
      <w:r w:rsidRPr="00CC49FC">
        <w:rPr>
          <w:noProof/>
        </w:rPr>
        <w:t>(Warruwi Gambling Help, n.d.-a)</w:t>
      </w:r>
      <w:r w:rsidRPr="00CC49FC">
        <w:fldChar w:fldCharType="end"/>
      </w:r>
      <w:r w:rsidRPr="00CC49FC">
        <w:t xml:space="preserve">. </w:t>
      </w:r>
      <w:r w:rsidR="00B8521E">
        <w:t xml:space="preserve">A related objective is to identify, support and foster </w:t>
      </w:r>
      <w:r w:rsidR="00B8521E" w:rsidRPr="00B8521E">
        <w:t>Aboriginal Safe Gambling Ambassadors in each community</w:t>
      </w:r>
      <w:r w:rsidR="00B8521E">
        <w:t xml:space="preserve"> to:</w:t>
      </w:r>
    </w:p>
    <w:p w14:paraId="4FEA2481" w14:textId="648743D3" w:rsidR="00B8521E" w:rsidRDefault="00B8521E" w:rsidP="00966D1C">
      <w:pPr>
        <w:spacing w:line="240" w:lineRule="auto"/>
        <w:jc w:val="both"/>
      </w:pPr>
    </w:p>
    <w:p w14:paraId="0C2C8E9C" w14:textId="4FB20B29" w:rsidR="00B8521E" w:rsidRPr="00B8521E" w:rsidRDefault="00B8521E" w:rsidP="00B8521E">
      <w:pPr>
        <w:pStyle w:val="ListParagraph"/>
        <w:spacing w:line="240" w:lineRule="auto"/>
        <w:jc w:val="both"/>
        <w:rPr>
          <w:i/>
          <w:iCs/>
        </w:rPr>
      </w:pPr>
      <w:r>
        <w:rPr>
          <w:i/>
          <w:iCs/>
        </w:rPr>
        <w:t>“</w:t>
      </w:r>
      <w:r w:rsidRPr="00B8521E">
        <w:rPr>
          <w:i/>
          <w:iCs/>
        </w:rPr>
        <w:t>Raise community awareness about Aboriginal gambling and its impacts on families and the community</w:t>
      </w:r>
      <w:r>
        <w:rPr>
          <w:i/>
          <w:iCs/>
        </w:rPr>
        <w:t xml:space="preserve"> [and] p</w:t>
      </w:r>
      <w:r w:rsidRPr="00B8521E">
        <w:rPr>
          <w:i/>
          <w:iCs/>
        </w:rPr>
        <w:t>rovide ownership in the community of any gambling issues and the direction to address them – becoming the key contact in the community</w:t>
      </w:r>
      <w:r>
        <w:rPr>
          <w:i/>
          <w:iCs/>
        </w:rPr>
        <w:t xml:space="preserve">. </w:t>
      </w:r>
      <w:r>
        <w:rPr>
          <w:i/>
          <w:iCs/>
        </w:rPr>
        <w:fldChar w:fldCharType="begin"/>
      </w:r>
      <w:r>
        <w:rPr>
          <w:i/>
          <w:iCs/>
        </w:rPr>
        <w:instrText xml:space="preserve"> ADDIN EN.CITE &lt;EndNote&gt;&lt;Cite&gt;&lt;Author&gt;Warruwi Gambling Help&lt;/Author&gt;&lt;Year&gt;2020&lt;/Year&gt;&lt;RecNum&gt;306&lt;/RecNum&gt;&lt;DisplayText&gt;(Warruwi Gambling Help, 2020)&lt;/DisplayText&gt;&lt;record&gt;&lt;rec-number&gt;306&lt;/rec-number&gt;&lt;foreign-keys&gt;&lt;key app="EN" db-id="25rszwft292ev3esrpvpde0cpxrd9ex0xspp" timestamp="1601605239"&gt;306&lt;/key&gt;&lt;/foreign-keys&gt;&lt;ref-type name="Web Page"&gt;12&lt;/ref-type&gt;&lt;contributors&gt;&lt;authors&gt;&lt;author&gt;Warruwi Gambling Help,&lt;/author&gt;&lt;/authors&gt;&lt;/contributors&gt;&lt;titles&gt;&lt;title&gt;Community Engagement Objectives&lt;/title&gt;&lt;/titles&gt;&lt;volume&gt;2020&lt;/volume&gt;&lt;number&gt;2 October&lt;/number&gt;&lt;dates&gt;&lt;year&gt;2020&lt;/year&gt;&lt;/dates&gt;&lt;publisher&gt;Aboriginal Safe Gambling&lt;/publisher&gt;&lt;urls&gt;&lt;related-urls&gt;&lt;url&gt;https://aboriginalsafegambling.com.au/community-engagement/&lt;/url&gt;&lt;/related-urls&gt;&lt;/urls&gt;&lt;/record&gt;&lt;/Cite&gt;&lt;/EndNote&gt;</w:instrText>
      </w:r>
      <w:r>
        <w:rPr>
          <w:i/>
          <w:iCs/>
        </w:rPr>
        <w:fldChar w:fldCharType="separate"/>
      </w:r>
      <w:r>
        <w:rPr>
          <w:i/>
          <w:iCs/>
          <w:noProof/>
        </w:rPr>
        <w:t>(Warruwi Gambling Help, 2020)</w:t>
      </w:r>
      <w:r>
        <w:rPr>
          <w:i/>
          <w:iCs/>
        </w:rPr>
        <w:fldChar w:fldCharType="end"/>
      </w:r>
    </w:p>
    <w:p w14:paraId="0B17AE88" w14:textId="77777777" w:rsidR="00CC49FC" w:rsidRPr="00126BA8" w:rsidRDefault="00CC49FC" w:rsidP="00966D1C">
      <w:pPr>
        <w:spacing w:line="240" w:lineRule="auto"/>
        <w:jc w:val="both"/>
      </w:pPr>
    </w:p>
    <w:p w14:paraId="73A13752" w14:textId="48C647D9" w:rsidR="00966D1C" w:rsidRDefault="00B8521E" w:rsidP="00966D1C">
      <w:pPr>
        <w:spacing w:line="240" w:lineRule="auto"/>
        <w:jc w:val="both"/>
      </w:pPr>
      <w:r>
        <w:t xml:space="preserve">Co-design and delivery of services for FAOs is alluded to, but no further detail is given on service development mechanisms. </w:t>
      </w:r>
      <w:r w:rsidR="00966D1C" w:rsidRPr="00126BA8">
        <w:t xml:space="preserve">Australian Aboriginal FAOs needing support are able to call or email an Aboriginal counsellor at any time. The service also runs educational workshops, raises awareness of gambling within Aboriginal communities and relevant services (promotional activities, advertising and social media), and takes part in community engagement (building meaningful relationships with people, key </w:t>
      </w:r>
      <w:r w:rsidR="008454DB">
        <w:t>organisations</w:t>
      </w:r>
      <w:r w:rsidR="00966D1C" w:rsidRPr="00126BA8">
        <w:t xml:space="preserve">, and relevant services). The service is closely linked with Gambling Help NSW, and thus, a number of the resources for FAOs </w:t>
      </w:r>
      <w:r>
        <w:t xml:space="preserve">provided on the website </w:t>
      </w:r>
      <w:r w:rsidR="00966D1C" w:rsidRPr="00126BA8">
        <w:t>are the same. Finally, the service has a gambling support line for individuals and families worried about their own or someone else’s gambling:</w:t>
      </w:r>
    </w:p>
    <w:p w14:paraId="571A2019" w14:textId="77777777" w:rsidR="00B8521E" w:rsidRDefault="00B8521E" w:rsidP="00966D1C">
      <w:pPr>
        <w:spacing w:line="240" w:lineRule="auto"/>
        <w:jc w:val="both"/>
      </w:pPr>
    </w:p>
    <w:p w14:paraId="622192CE" w14:textId="77777777" w:rsidR="00CC49FC" w:rsidRPr="00126BA8" w:rsidRDefault="00CC49FC" w:rsidP="00966D1C">
      <w:pPr>
        <w:spacing w:line="240" w:lineRule="auto"/>
        <w:jc w:val="both"/>
      </w:pPr>
    </w:p>
    <w:p w14:paraId="0AD43230" w14:textId="77777777" w:rsidR="00966D1C" w:rsidRPr="00126BA8" w:rsidRDefault="00966D1C" w:rsidP="00966D1C">
      <w:pPr>
        <w:spacing w:line="240" w:lineRule="auto"/>
        <w:jc w:val="both"/>
      </w:pPr>
      <w:r w:rsidRPr="00126BA8">
        <w:rPr>
          <w:noProof/>
          <w:lang w:eastAsia="en-NZ"/>
        </w:rPr>
        <w:drawing>
          <wp:inline distT="0" distB="0" distL="0" distR="0" wp14:anchorId="20E0EA28" wp14:editId="6F83BD12">
            <wp:extent cx="5731510" cy="87820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878205"/>
                    </a:xfrm>
                    <a:prstGeom prst="rect">
                      <a:avLst/>
                    </a:prstGeom>
                  </pic:spPr>
                </pic:pic>
              </a:graphicData>
            </a:graphic>
          </wp:inline>
        </w:drawing>
      </w:r>
    </w:p>
    <w:p w14:paraId="09961669" w14:textId="77777777" w:rsidR="00966D1C" w:rsidRPr="00126BA8" w:rsidRDefault="00966D1C" w:rsidP="00966D1C">
      <w:pPr>
        <w:spacing w:line="240" w:lineRule="auto"/>
        <w:jc w:val="both"/>
      </w:pPr>
      <w:r w:rsidRPr="00126BA8">
        <w:fldChar w:fldCharType="begin"/>
      </w:r>
      <w:r w:rsidRPr="00126BA8">
        <w:instrText xml:space="preserve"> ADDIN EN.CITE &lt;EndNote&gt;&lt;Cite&gt;&lt;Author&gt;Warruwi Gambling Help&lt;/Author&gt;&lt;Year&gt;n.d.&lt;/Year&gt;&lt;RecNum&gt;671&lt;/RecNum&gt;&lt;DisplayText&gt;(Warruwi Gambling Help, n.d.-b)&lt;/DisplayText&gt;&lt;record&gt;&lt;rec-number&gt;671&lt;/rec-number&gt;&lt;foreign-keys&gt;&lt;key app="EN" db-id="5v2daxed8wv0eoesd9av5dd8exsxdewpfpwd" timestamp="1600910830"&gt;671&lt;/key&gt;&lt;/foreign-keys&gt;&lt;ref-type name="Web Page"&gt;12&lt;/ref-type&gt;&lt;contributors&gt;&lt;authors&gt;&lt;author&gt;Warruwi Gambling Help,&lt;/author&gt;&lt;/authors&gt;&lt;/contributors&gt;&lt;titles&gt;&lt;title&gt;Aboriginal Safe Gambling Services NSW: Warruwi Gamblng Help&lt;/title&gt;&lt;/titles&gt;&lt;dates&gt;&lt;year&gt;n.d.&lt;/year&gt;&lt;/dates&gt;&lt;urls&gt;&lt;related-urls&gt;&lt;url&gt;https://aboriginalsafegambling.com.au/&lt;/url&gt;&lt;/related-urls&gt;&lt;/urls&gt;&lt;/record&gt;&lt;/Cite&gt;&lt;/EndNote&gt;</w:instrText>
      </w:r>
      <w:r w:rsidRPr="00126BA8">
        <w:fldChar w:fldCharType="separate"/>
      </w:r>
      <w:r w:rsidRPr="00126BA8">
        <w:rPr>
          <w:noProof/>
        </w:rPr>
        <w:t>(Warruwi Gambling Help, n.d.-b)</w:t>
      </w:r>
      <w:r w:rsidRPr="00126BA8">
        <w:fldChar w:fldCharType="end"/>
      </w:r>
    </w:p>
    <w:p w14:paraId="3F5DC064" w14:textId="77777777" w:rsidR="00CC49FC" w:rsidRDefault="00CC49FC" w:rsidP="00CC49FC"/>
    <w:p w14:paraId="5DE66BBF" w14:textId="033D874C" w:rsidR="00966D1C" w:rsidRPr="00EA1495" w:rsidRDefault="00B8521E" w:rsidP="00966D1C">
      <w:pPr>
        <w:pStyle w:val="Heading4"/>
        <w:spacing w:before="0"/>
      </w:pPr>
      <w:r w:rsidRPr="00EA1495">
        <w:lastRenderedPageBreak/>
        <w:t>L</w:t>
      </w:r>
      <w:r w:rsidR="00966D1C" w:rsidRPr="00EA1495">
        <w:t xml:space="preserve">imited </w:t>
      </w:r>
      <w:r w:rsidRPr="00EA1495">
        <w:t>gender-</w:t>
      </w:r>
      <w:r w:rsidR="00D109BC">
        <w:t>responsive</w:t>
      </w:r>
      <w:r w:rsidR="00B13160">
        <w:t xml:space="preserve"> or gender-aware</w:t>
      </w:r>
      <w:r w:rsidRPr="00EA1495">
        <w:t xml:space="preserve"> s</w:t>
      </w:r>
      <w:r w:rsidR="00966D1C" w:rsidRPr="00EA1495">
        <w:t xml:space="preserve">upport </w:t>
      </w:r>
    </w:p>
    <w:p w14:paraId="640B8774" w14:textId="068916B0" w:rsidR="00EA1495" w:rsidRDefault="00966D1C" w:rsidP="00966D1C">
      <w:pPr>
        <w:spacing w:line="240" w:lineRule="auto"/>
        <w:jc w:val="both"/>
        <w:rPr>
          <w:iCs/>
        </w:rPr>
      </w:pPr>
      <w:r w:rsidRPr="00EA1495">
        <w:rPr>
          <w:iCs/>
        </w:rPr>
        <w:t>Few services included support groups or specific counselling for FAOs who were women</w:t>
      </w:r>
      <w:r w:rsidR="00B8521E" w:rsidRPr="00EA1495">
        <w:rPr>
          <w:iCs/>
        </w:rPr>
        <w:t>, and none mentioned resources specifically to support FAOs who are men</w:t>
      </w:r>
      <w:r w:rsidRPr="00EA1495">
        <w:rPr>
          <w:iCs/>
        </w:rPr>
        <w:t xml:space="preserve">. FAOs seeking help </w:t>
      </w:r>
      <w:r w:rsidR="007B565F">
        <w:rPr>
          <w:iCs/>
        </w:rPr>
        <w:t>are predominantly</w:t>
      </w:r>
      <w:r w:rsidRPr="00EA1495">
        <w:rPr>
          <w:iCs/>
        </w:rPr>
        <w:t xml:space="preserve"> women, </w:t>
      </w:r>
      <w:r w:rsidR="00EA1495">
        <w:rPr>
          <w:iCs/>
        </w:rPr>
        <w:t>with</w:t>
      </w:r>
      <w:r w:rsidRPr="00EA1495">
        <w:rPr>
          <w:iCs/>
        </w:rPr>
        <w:t xml:space="preserve"> significant gender-based issues </w:t>
      </w:r>
      <w:r w:rsidR="00B8521E" w:rsidRPr="00EA1495">
        <w:rPr>
          <w:iCs/>
        </w:rPr>
        <w:t>intersectional with gambling harm</w:t>
      </w:r>
      <w:r w:rsidRPr="00EA1495">
        <w:rPr>
          <w:iCs/>
        </w:rPr>
        <w:t xml:space="preserve"> (e.g. domestic violence, </w:t>
      </w:r>
      <w:r w:rsidR="00B8521E" w:rsidRPr="00EA1495">
        <w:rPr>
          <w:iCs/>
        </w:rPr>
        <w:t xml:space="preserve">distribution of </w:t>
      </w:r>
      <w:r w:rsidRPr="00EA1495">
        <w:rPr>
          <w:iCs/>
        </w:rPr>
        <w:t>childcare</w:t>
      </w:r>
      <w:r w:rsidR="00B8521E" w:rsidRPr="00EA1495">
        <w:rPr>
          <w:iCs/>
        </w:rPr>
        <w:t xml:space="preserve"> and other family responsibilities</w:t>
      </w:r>
      <w:r w:rsidRPr="00EA1495">
        <w:rPr>
          <w:iCs/>
        </w:rPr>
        <w:t xml:space="preserve">, financial </w:t>
      </w:r>
      <w:r w:rsidR="00B8521E" w:rsidRPr="00EA1495">
        <w:rPr>
          <w:iCs/>
        </w:rPr>
        <w:t>support</w:t>
      </w:r>
      <w:r w:rsidRPr="00EA1495">
        <w:rPr>
          <w:iCs/>
        </w:rPr>
        <w:t xml:space="preserve">). </w:t>
      </w:r>
      <w:r w:rsidR="008454DB">
        <w:rPr>
          <w:iCs/>
        </w:rPr>
        <w:t>Conversations with Oasis service managers revealed that</w:t>
      </w:r>
      <w:r w:rsidR="008454DB" w:rsidRPr="00EA1495">
        <w:rPr>
          <w:iCs/>
        </w:rPr>
        <w:t xml:space="preserve"> cultural</w:t>
      </w:r>
      <w:r w:rsidR="008454DB">
        <w:rPr>
          <w:iCs/>
        </w:rPr>
        <w:t xml:space="preserve"> and gender</w:t>
      </w:r>
      <w:r w:rsidR="008454DB" w:rsidRPr="00EA1495">
        <w:rPr>
          <w:iCs/>
        </w:rPr>
        <w:t xml:space="preserve"> specific support and counselling was available </w:t>
      </w:r>
      <w:r w:rsidR="008454DB">
        <w:rPr>
          <w:iCs/>
        </w:rPr>
        <w:t xml:space="preserve">for women </w:t>
      </w:r>
      <w:r w:rsidR="008454DB" w:rsidRPr="00EA1495">
        <w:rPr>
          <w:iCs/>
        </w:rPr>
        <w:t xml:space="preserve">which covered traditional marriages, patriarchal systems, and relationships forms. </w:t>
      </w:r>
      <w:r w:rsidRPr="00EA1495">
        <w:rPr>
          <w:iCs/>
        </w:rPr>
        <w:t>The Oasis women’s support groups were held fortnightly and covered communication tools, family dynamics, mindfulness, shame reduction, and healing</w:t>
      </w:r>
      <w:r w:rsidR="00EA1495">
        <w:rPr>
          <w:iCs/>
        </w:rPr>
        <w:t>:</w:t>
      </w:r>
    </w:p>
    <w:p w14:paraId="1F7C1536" w14:textId="77777777" w:rsidR="00B8521E" w:rsidRPr="00126BA8" w:rsidRDefault="00B8521E" w:rsidP="00966D1C">
      <w:pPr>
        <w:spacing w:line="240" w:lineRule="auto"/>
        <w:jc w:val="both"/>
        <w:rPr>
          <w:iCs/>
        </w:rPr>
      </w:pPr>
    </w:p>
    <w:p w14:paraId="4E6FAA72" w14:textId="77777777" w:rsidR="00966D1C" w:rsidRPr="00126BA8" w:rsidRDefault="00966D1C" w:rsidP="00966D1C">
      <w:pPr>
        <w:ind w:left="720" w:firstLine="720"/>
        <w:rPr>
          <w:iCs/>
        </w:rPr>
      </w:pPr>
      <w:r w:rsidRPr="00126BA8">
        <w:rPr>
          <w:noProof/>
          <w:lang w:eastAsia="en-NZ"/>
        </w:rPr>
        <w:drawing>
          <wp:inline distT="0" distB="0" distL="0" distR="0" wp14:anchorId="2BF952C0" wp14:editId="16E8694B">
            <wp:extent cx="3954661" cy="27432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76419" cy="2758293"/>
                    </a:xfrm>
                    <a:prstGeom prst="rect">
                      <a:avLst/>
                    </a:prstGeom>
                  </pic:spPr>
                </pic:pic>
              </a:graphicData>
            </a:graphic>
          </wp:inline>
        </w:drawing>
      </w:r>
    </w:p>
    <w:p w14:paraId="2CEAC2A3" w14:textId="77777777" w:rsidR="00966D1C" w:rsidRPr="00126BA8" w:rsidRDefault="00966D1C" w:rsidP="00966D1C">
      <w:pPr>
        <w:ind w:left="720" w:firstLine="720"/>
        <w:rPr>
          <w:iCs/>
        </w:rPr>
      </w:pPr>
      <w:r w:rsidRPr="00126BA8">
        <w:rPr>
          <w:iCs/>
        </w:rPr>
        <w:fldChar w:fldCharType="begin"/>
      </w:r>
      <w:r w:rsidRPr="00126BA8">
        <w:rPr>
          <w:iCs/>
        </w:rPr>
        <w:instrText xml:space="preserve"> ADDIN EN.CITE &lt;EndNote&gt;&lt;Cite&gt;&lt;Author&gt;The Salvation Army Oasis&lt;/Author&gt;&lt;Year&gt;n.d.&lt;/Year&gt;&lt;RecNum&gt;662&lt;/RecNum&gt;&lt;DisplayText&gt;(The Salvation Army Oasis, n.d.-c)&lt;/DisplayText&gt;&lt;record&gt;&lt;rec-number&gt;662&lt;/rec-number&gt;&lt;foreign-keys&gt;&lt;key app="EN" db-id="5v2daxed8wv0eoesd9av5dd8exsxdewpfpwd" timestamp="1600904302"&gt;662&lt;/key&gt;&lt;/foreign-keys&gt;&lt;ref-type name="Web Page"&gt;12&lt;/ref-type&gt;&lt;contributors&gt;&lt;authors&gt;&lt;author&gt;The Salvation Army Oasis,&lt;/author&gt;&lt;/authors&gt;&lt;/contributors&gt;&lt;titles&gt;&lt;title&gt;Matara Uru women&amp;apos;s support group&lt;/title&gt;&lt;/titles&gt;&lt;dates&gt;&lt;year&gt;n.d.&lt;/year&gt;&lt;/dates&gt;&lt;publisher&gt;The Salvation Army Oasis&lt;/publisher&gt;&lt;urls&gt;&lt;related-urls&gt;&lt;url&gt;https://oasis.salvationarmy.org.nz/sites/default/files/files/%5Bfile_field%3Atype%5D/womens_support_group_flyer_16_july_2020-merged.pdf&lt;/url&gt;&lt;/related-urls&gt;&lt;/urls&gt;&lt;/record&gt;&lt;/Cite&gt;&lt;/EndNote&gt;</w:instrText>
      </w:r>
      <w:r w:rsidRPr="00126BA8">
        <w:rPr>
          <w:iCs/>
        </w:rPr>
        <w:fldChar w:fldCharType="separate"/>
      </w:r>
      <w:r w:rsidRPr="00126BA8">
        <w:rPr>
          <w:iCs/>
          <w:noProof/>
        </w:rPr>
        <w:t>(The Salvation Army Oasis, n.d.-c)</w:t>
      </w:r>
      <w:r w:rsidRPr="00126BA8">
        <w:rPr>
          <w:iCs/>
        </w:rPr>
        <w:fldChar w:fldCharType="end"/>
      </w:r>
    </w:p>
    <w:p w14:paraId="4539BE48" w14:textId="77777777" w:rsidR="00966D1C" w:rsidRPr="00126BA8" w:rsidRDefault="00966D1C" w:rsidP="00966D1C">
      <w:pPr>
        <w:ind w:left="720" w:firstLine="720"/>
        <w:rPr>
          <w:iCs/>
        </w:rPr>
      </w:pPr>
    </w:p>
    <w:p w14:paraId="3F0A2C06" w14:textId="78C65C88" w:rsidR="00966D1C" w:rsidRPr="00126BA8" w:rsidRDefault="00966D1C" w:rsidP="00DE74BB">
      <w:pPr>
        <w:pStyle w:val="Heading3"/>
        <w:spacing w:before="0"/>
        <w:rPr>
          <w:noProof/>
          <w:lang w:eastAsia="en-NZ"/>
        </w:rPr>
      </w:pPr>
      <w:bookmarkStart w:id="128" w:name="_Toc58400784"/>
      <w:r w:rsidRPr="00126BA8">
        <w:rPr>
          <w:noProof/>
          <w:lang w:eastAsia="en-NZ"/>
        </w:rPr>
        <w:t>Summary of Key Findings</w:t>
      </w:r>
      <w:bookmarkEnd w:id="128"/>
    </w:p>
    <w:p w14:paraId="0447C11E" w14:textId="77777777" w:rsidR="00966D1C" w:rsidRPr="00126BA8" w:rsidRDefault="00966D1C" w:rsidP="00DE74BB">
      <w:pPr>
        <w:spacing w:line="240" w:lineRule="auto"/>
        <w:jc w:val="both"/>
        <w:rPr>
          <w:rFonts w:eastAsia="Times New Roman"/>
        </w:rPr>
      </w:pPr>
      <w:r w:rsidRPr="00126BA8">
        <w:rPr>
          <w:rFonts w:eastAsia="Times New Roman"/>
        </w:rPr>
        <w:t>The present analysis aimed to answer three key questions: (1) How do gambling services appear to be oriented to FAOs at present? (2) What are the kinds of support that FAOs are offered in gambling services? And (3) How are gender, ethnicity and/or cultural issues/perspectives incorporated into service design and delivery? Below is an integrated discussion of key findings.</w:t>
      </w:r>
    </w:p>
    <w:p w14:paraId="40125500" w14:textId="77777777" w:rsidR="00DE74BB" w:rsidRDefault="00DE74BB" w:rsidP="00DE74BB"/>
    <w:p w14:paraId="4FC854B2" w14:textId="4F7113D3" w:rsidR="00966D1C" w:rsidRPr="00126BA8" w:rsidRDefault="00966D1C" w:rsidP="00DE74BB">
      <w:pPr>
        <w:pStyle w:val="Heading4"/>
        <w:spacing w:before="0"/>
        <w:rPr>
          <w:rFonts w:eastAsia="Times New Roman"/>
        </w:rPr>
      </w:pPr>
      <w:r w:rsidRPr="00126BA8">
        <w:rPr>
          <w:rFonts w:eastAsia="Times New Roman"/>
        </w:rPr>
        <w:t>Service</w:t>
      </w:r>
      <w:r w:rsidR="00DE74BB">
        <w:rPr>
          <w:rFonts w:eastAsia="Times New Roman"/>
        </w:rPr>
        <w:t>s</w:t>
      </w:r>
      <w:r w:rsidRPr="00126BA8">
        <w:rPr>
          <w:rFonts w:eastAsia="Times New Roman"/>
        </w:rPr>
        <w:t xml:space="preserve"> </w:t>
      </w:r>
      <w:r w:rsidR="00DE74BB">
        <w:rPr>
          <w:rFonts w:eastAsia="Times New Roman"/>
        </w:rPr>
        <w:t>signal</w:t>
      </w:r>
      <w:r w:rsidRPr="00126BA8">
        <w:rPr>
          <w:rFonts w:eastAsia="Times New Roman"/>
        </w:rPr>
        <w:t xml:space="preserve"> </w:t>
      </w:r>
      <w:r w:rsidR="00DE74BB">
        <w:rPr>
          <w:rFonts w:eastAsia="Times New Roman"/>
        </w:rPr>
        <w:t>inclusiveness of FAOs</w:t>
      </w:r>
      <w:r w:rsidRPr="00126BA8">
        <w:rPr>
          <w:rFonts w:eastAsia="Times New Roman"/>
        </w:rPr>
        <w:t xml:space="preserve"> </w:t>
      </w:r>
    </w:p>
    <w:p w14:paraId="5365FE5D" w14:textId="7A364DC0" w:rsidR="00966D1C" w:rsidRDefault="00966D1C" w:rsidP="00DE74BB">
      <w:pPr>
        <w:spacing w:line="240" w:lineRule="auto"/>
        <w:jc w:val="both"/>
        <w:rPr>
          <w:rFonts w:eastAsia="Times New Roman"/>
        </w:rPr>
      </w:pPr>
      <w:r w:rsidRPr="00126BA8">
        <w:rPr>
          <w:rFonts w:eastAsia="Times New Roman"/>
        </w:rPr>
        <w:t xml:space="preserve">A service’s orientation and position towards FAOs was ascertained through examination of (1) the definition of FAOs utilised by the service and (2) the advertising and promotional material aimed at FAOs. Most services utilised an inclusive definition whereby FAOs generally included anyone close to or affected by the gambling behaviour – including immediate family, whānau, friends, colleagues and teachers. </w:t>
      </w:r>
    </w:p>
    <w:p w14:paraId="1051A5EE" w14:textId="77777777" w:rsidR="00DE74BB" w:rsidRPr="00126BA8" w:rsidRDefault="00DE74BB" w:rsidP="00DE74BB">
      <w:pPr>
        <w:spacing w:line="240" w:lineRule="auto"/>
        <w:jc w:val="both"/>
        <w:rPr>
          <w:rFonts w:eastAsia="Times New Roman"/>
        </w:rPr>
      </w:pPr>
    </w:p>
    <w:p w14:paraId="0ADC1D7D" w14:textId="64FCEE7C" w:rsidR="00966D1C" w:rsidRDefault="00966D1C" w:rsidP="00DE74BB">
      <w:pPr>
        <w:spacing w:line="240" w:lineRule="auto"/>
        <w:jc w:val="both"/>
        <w:rPr>
          <w:rFonts w:eastAsia="Times New Roman"/>
        </w:rPr>
      </w:pPr>
      <w:r w:rsidRPr="00126BA8">
        <w:rPr>
          <w:rFonts w:eastAsia="Times New Roman"/>
        </w:rPr>
        <w:t>FAO</w:t>
      </w:r>
      <w:r w:rsidR="00DE74BB">
        <w:rPr>
          <w:rFonts w:eastAsia="Times New Roman"/>
        </w:rPr>
        <w:t>s</w:t>
      </w:r>
      <w:r w:rsidRPr="00126BA8">
        <w:rPr>
          <w:rFonts w:eastAsia="Times New Roman"/>
        </w:rPr>
        <w:t xml:space="preserve"> seeking support might search online for services nearby or accessible information. Thus, it is important that the information is presented in a clear, inclusive, and straightforward manner. Most services included a broad and inclusive definition of family and affected others whereby anyone close to, or impacted by, the gambling was considered eligible for service </w:t>
      </w:r>
      <w:r w:rsidRPr="00126BA8">
        <w:rPr>
          <w:rFonts w:eastAsia="Times New Roman"/>
        </w:rPr>
        <w:lastRenderedPageBreak/>
        <w:t>support. Indeed, websites detailed that services were available for ‘families and communities’, ‘anyone affected by gambling’, or ‘for individual impacted by their own or someone else’s gambling’. This definition was continued throughout advertising and promotional material aimed at FAOs on social media. Thus, at a glance, an FAO seeking out assistance would recognise through the language used by services that there were support options available.</w:t>
      </w:r>
      <w:r w:rsidR="00DE74BB">
        <w:rPr>
          <w:rFonts w:eastAsia="Times New Roman"/>
        </w:rPr>
        <w:t xml:space="preserve"> However, we found that the kind of support and approach to service delivery for FAOs was generally unclear in publicly available information. </w:t>
      </w:r>
    </w:p>
    <w:p w14:paraId="505279AA" w14:textId="77777777" w:rsidR="00DE74BB" w:rsidRDefault="00DE74BB" w:rsidP="00DE74BB">
      <w:pPr>
        <w:spacing w:line="240" w:lineRule="auto"/>
        <w:jc w:val="both"/>
        <w:rPr>
          <w:rFonts w:eastAsia="Times New Roman"/>
        </w:rPr>
      </w:pPr>
    </w:p>
    <w:p w14:paraId="396406DF" w14:textId="0A30764A" w:rsidR="00966D1C" w:rsidRPr="00126BA8" w:rsidRDefault="00966D1C" w:rsidP="00DE74BB">
      <w:pPr>
        <w:pStyle w:val="Heading4"/>
        <w:spacing w:before="0"/>
        <w:rPr>
          <w:rFonts w:eastAsia="Times New Roman"/>
        </w:rPr>
      </w:pPr>
      <w:r w:rsidRPr="00126BA8">
        <w:rPr>
          <w:rFonts w:eastAsia="Times New Roman"/>
        </w:rPr>
        <w:t xml:space="preserve">There </w:t>
      </w:r>
      <w:r w:rsidR="00C542C9">
        <w:rPr>
          <w:rFonts w:eastAsia="Times New Roman"/>
        </w:rPr>
        <w:t>are</w:t>
      </w:r>
      <w:r w:rsidRPr="00126BA8">
        <w:rPr>
          <w:rFonts w:eastAsia="Times New Roman"/>
        </w:rPr>
        <w:t xml:space="preserve"> support options available for FAOs, but much of it appears ad hoc</w:t>
      </w:r>
    </w:p>
    <w:p w14:paraId="4D687745" w14:textId="146DA543" w:rsidR="00966D1C" w:rsidRDefault="00966D1C" w:rsidP="00DE74BB">
      <w:pPr>
        <w:spacing w:line="240" w:lineRule="auto"/>
        <w:jc w:val="both"/>
        <w:rPr>
          <w:rFonts w:eastAsia="Times New Roman"/>
        </w:rPr>
      </w:pPr>
      <w:r w:rsidRPr="00126BA8">
        <w:rPr>
          <w:rFonts w:eastAsia="Times New Roman"/>
        </w:rPr>
        <w:t xml:space="preserve">The evidence </w:t>
      </w:r>
      <w:r w:rsidR="00DE74BB">
        <w:rPr>
          <w:rFonts w:eastAsia="Times New Roman"/>
        </w:rPr>
        <w:t xml:space="preserve">provided by services </w:t>
      </w:r>
      <w:r w:rsidRPr="00126BA8">
        <w:rPr>
          <w:rFonts w:eastAsia="Times New Roman"/>
        </w:rPr>
        <w:t xml:space="preserve">indicated that there was a range of support options available for FAOs: clinical intervention or counselling (in-person, online, via phone or text), psychoeducation and information on recognising a gambling problem and supporting the gambling individual, family/whānau inclusive therapies or group support, peer support groups, and engagement with lived experience in service review or development. Despite the range available, the support for FAOs was limited </w:t>
      </w:r>
      <w:r w:rsidR="00DE74BB">
        <w:rPr>
          <w:rFonts w:eastAsia="Times New Roman"/>
        </w:rPr>
        <w:t>in comparison to support and</w:t>
      </w:r>
      <w:r w:rsidRPr="00126BA8">
        <w:rPr>
          <w:rFonts w:eastAsia="Times New Roman"/>
        </w:rPr>
        <w:t xml:space="preserve"> intervention aimed at the gambling individual. </w:t>
      </w:r>
    </w:p>
    <w:p w14:paraId="09974286" w14:textId="77777777" w:rsidR="00DE74BB" w:rsidRPr="00126BA8" w:rsidRDefault="00DE74BB" w:rsidP="00DE74BB">
      <w:pPr>
        <w:spacing w:line="240" w:lineRule="auto"/>
        <w:jc w:val="both"/>
        <w:rPr>
          <w:rFonts w:eastAsia="Times New Roman"/>
        </w:rPr>
      </w:pPr>
    </w:p>
    <w:p w14:paraId="3BB47F3D" w14:textId="287D259F" w:rsidR="00966D1C" w:rsidRDefault="00966D1C" w:rsidP="00DE74BB">
      <w:pPr>
        <w:spacing w:line="240" w:lineRule="auto"/>
        <w:jc w:val="both"/>
        <w:rPr>
          <w:rFonts w:eastAsia="Times New Roman"/>
        </w:rPr>
      </w:pPr>
      <w:r w:rsidRPr="00126BA8">
        <w:rPr>
          <w:rFonts w:eastAsia="Times New Roman"/>
        </w:rPr>
        <w:t xml:space="preserve">The evidence of the kinds of support available for FAOs in gambling services was diverse, however, it appeared relatively ad hoc. That is, there appeared to be gap between what service managers and practice leaders discussed as being available within their service for FAOs and information that was publicly available. Discussions with service managers and practice leaders highlighted a growing reflection and recognition of the support needs of FAOs in their own right. These </w:t>
      </w:r>
      <w:r w:rsidR="00DE74BB">
        <w:rPr>
          <w:rFonts w:eastAsia="Times New Roman"/>
        </w:rPr>
        <w:t>professionals</w:t>
      </w:r>
      <w:r w:rsidRPr="00126BA8">
        <w:rPr>
          <w:rFonts w:eastAsia="Times New Roman"/>
        </w:rPr>
        <w:t xml:space="preserve"> also </w:t>
      </w:r>
      <w:r w:rsidR="00DE74BB">
        <w:rPr>
          <w:rFonts w:eastAsia="Times New Roman"/>
        </w:rPr>
        <w:t>suggested</w:t>
      </w:r>
      <w:r w:rsidRPr="00126BA8">
        <w:rPr>
          <w:rFonts w:eastAsia="Times New Roman"/>
        </w:rPr>
        <w:t xml:space="preserve"> that FAOs remained a low proportion of clients seeking gambling support services; however, it was also reported in annual reports that there was a growing number of FAOs seeking help. As such, services in </w:t>
      </w:r>
      <w:r w:rsidR="00DE74BB">
        <w:rPr>
          <w:rFonts w:eastAsia="Times New Roman"/>
        </w:rPr>
        <w:t>New Zealand</w:t>
      </w:r>
      <w:r w:rsidRPr="00126BA8">
        <w:rPr>
          <w:rFonts w:eastAsia="Times New Roman"/>
        </w:rPr>
        <w:t xml:space="preserve"> were aiming to increase the inclusion of support available specifically for FAOs. Services for FAOs in the United Kingdom were informed by Copello’s 5-Step method, but like </w:t>
      </w:r>
      <w:r w:rsidR="00DE74BB">
        <w:rPr>
          <w:rFonts w:eastAsia="Times New Roman"/>
        </w:rPr>
        <w:t>New Zealand</w:t>
      </w:r>
      <w:r w:rsidRPr="00126BA8">
        <w:rPr>
          <w:rFonts w:eastAsia="Times New Roman"/>
        </w:rPr>
        <w:t xml:space="preserve">, most interventions were aimed at the gambling individual. In </w:t>
      </w:r>
      <w:r w:rsidR="00DE74BB">
        <w:rPr>
          <w:rFonts w:eastAsia="Times New Roman"/>
        </w:rPr>
        <w:t>New Zealand</w:t>
      </w:r>
      <w:r w:rsidRPr="00126BA8">
        <w:rPr>
          <w:rFonts w:eastAsia="Times New Roman"/>
        </w:rPr>
        <w:t xml:space="preserve">, the </w:t>
      </w:r>
      <w:r w:rsidR="00DE74BB">
        <w:rPr>
          <w:rFonts w:eastAsia="Times New Roman"/>
        </w:rPr>
        <w:t>creation and implementation</w:t>
      </w:r>
      <w:r w:rsidRPr="00126BA8">
        <w:rPr>
          <w:rFonts w:eastAsia="Times New Roman"/>
        </w:rPr>
        <w:t xml:space="preserve"> of services for FAOs was reported as slow due to workload and intensive training involved in </w:t>
      </w:r>
      <w:r w:rsidR="00DE74BB">
        <w:rPr>
          <w:rFonts w:eastAsia="Times New Roman"/>
        </w:rPr>
        <w:t xml:space="preserve">specialised interventions (e.g. </w:t>
      </w:r>
      <w:r w:rsidRPr="00126BA8">
        <w:rPr>
          <w:rFonts w:eastAsia="Times New Roman"/>
        </w:rPr>
        <w:t>5-Step</w:t>
      </w:r>
      <w:r w:rsidR="00DE74BB">
        <w:rPr>
          <w:rFonts w:eastAsia="Times New Roman"/>
        </w:rPr>
        <w:t>)</w:t>
      </w:r>
      <w:r w:rsidRPr="00126BA8">
        <w:rPr>
          <w:rFonts w:eastAsia="Times New Roman"/>
        </w:rPr>
        <w:t xml:space="preserve">, the lack of policy </w:t>
      </w:r>
      <w:r w:rsidR="00DE74BB">
        <w:rPr>
          <w:rFonts w:eastAsia="Times New Roman"/>
        </w:rPr>
        <w:t xml:space="preserve">support </w:t>
      </w:r>
      <w:r w:rsidRPr="00126BA8">
        <w:rPr>
          <w:rFonts w:eastAsia="Times New Roman"/>
        </w:rPr>
        <w:t>and/or clinical manual</w:t>
      </w:r>
      <w:r w:rsidR="00DE74BB">
        <w:rPr>
          <w:rFonts w:eastAsia="Times New Roman"/>
        </w:rPr>
        <w:t>s</w:t>
      </w:r>
      <w:r w:rsidRPr="00126BA8">
        <w:rPr>
          <w:rFonts w:eastAsia="Times New Roman"/>
        </w:rPr>
        <w:t xml:space="preserve"> for working with FAOs, no </w:t>
      </w:r>
      <w:r w:rsidR="00DE74BB">
        <w:rPr>
          <w:rFonts w:eastAsia="Times New Roman"/>
        </w:rPr>
        <w:t xml:space="preserve">widely accepted </w:t>
      </w:r>
      <w:r w:rsidRPr="00126BA8">
        <w:rPr>
          <w:rFonts w:eastAsia="Times New Roman"/>
        </w:rPr>
        <w:t>model of care for FAOs, and limited resources</w:t>
      </w:r>
      <w:r w:rsidR="00DE74BB">
        <w:rPr>
          <w:rFonts w:eastAsia="Times New Roman"/>
        </w:rPr>
        <w:t xml:space="preserve"> for service development (funding)</w:t>
      </w:r>
      <w:r w:rsidRPr="00126BA8">
        <w:rPr>
          <w:rFonts w:eastAsia="Times New Roman"/>
        </w:rPr>
        <w:t>. Taken together, this points towards the need for greater support for services to enable FAO specific intervention through collaborative inquiry and engagement with service users and communities.</w:t>
      </w:r>
    </w:p>
    <w:p w14:paraId="3DAFAB49" w14:textId="77777777" w:rsidR="00DE74BB" w:rsidRPr="00126BA8" w:rsidRDefault="00DE74BB" w:rsidP="00DE74BB">
      <w:pPr>
        <w:spacing w:line="240" w:lineRule="auto"/>
        <w:jc w:val="both"/>
        <w:rPr>
          <w:rFonts w:eastAsia="Times New Roman"/>
        </w:rPr>
      </w:pPr>
    </w:p>
    <w:p w14:paraId="16821397" w14:textId="76F8BF5B" w:rsidR="00966D1C" w:rsidRPr="00126BA8" w:rsidRDefault="00966D1C" w:rsidP="008454DB">
      <w:pPr>
        <w:pStyle w:val="Heading4"/>
        <w:spacing w:before="0"/>
        <w:jc w:val="both"/>
        <w:rPr>
          <w:rFonts w:eastAsia="Times New Roman"/>
        </w:rPr>
      </w:pPr>
      <w:r w:rsidRPr="00126BA8">
        <w:rPr>
          <w:rFonts w:eastAsia="Times New Roman"/>
        </w:rPr>
        <w:t xml:space="preserve">Despite increasing recognition of FAO needs, much of the publicly available information </w:t>
      </w:r>
      <w:r w:rsidR="00DE74BB">
        <w:rPr>
          <w:rFonts w:eastAsia="Times New Roman"/>
        </w:rPr>
        <w:t>appears</w:t>
      </w:r>
      <w:r w:rsidRPr="00126BA8">
        <w:rPr>
          <w:rFonts w:eastAsia="Times New Roman"/>
        </w:rPr>
        <w:t xml:space="preserve"> targeted toward the gambling individual</w:t>
      </w:r>
    </w:p>
    <w:p w14:paraId="173645D3" w14:textId="4F0CF353" w:rsidR="00966D1C" w:rsidRDefault="00966D1C" w:rsidP="00DE74BB">
      <w:pPr>
        <w:spacing w:line="240" w:lineRule="auto"/>
        <w:jc w:val="both"/>
        <w:rPr>
          <w:rFonts w:eastAsia="Times New Roman"/>
        </w:rPr>
      </w:pPr>
      <w:r w:rsidRPr="00126BA8">
        <w:rPr>
          <w:rFonts w:eastAsia="Times New Roman"/>
        </w:rPr>
        <w:t xml:space="preserve">Despite the growing recognition of FAO needs in research and practice, it remained that a significant amount of the online information was targeted at the gambling individual or for the FAO to support/assist the gambling individual into treatment. This information included identification of a gambling problem, tips on initiating a conversation, and advice on how to support a gambling individual into treatment / how to support them if they do not want to access treatment. As highlighted before, FAOs are </w:t>
      </w:r>
      <w:r w:rsidR="00DE74BB">
        <w:rPr>
          <w:rFonts w:eastAsia="Times New Roman"/>
        </w:rPr>
        <w:t xml:space="preserve">highly </w:t>
      </w:r>
      <w:r w:rsidRPr="00126BA8">
        <w:rPr>
          <w:rFonts w:eastAsia="Times New Roman"/>
        </w:rPr>
        <w:t xml:space="preserve">likely to come across this material </w:t>
      </w:r>
      <w:r w:rsidR="00DE74BB">
        <w:rPr>
          <w:rFonts w:eastAsia="Times New Roman"/>
        </w:rPr>
        <w:t xml:space="preserve">first </w:t>
      </w:r>
      <w:r w:rsidRPr="00126BA8">
        <w:rPr>
          <w:rFonts w:eastAsia="Times New Roman"/>
        </w:rPr>
        <w:t xml:space="preserve">if searching for available support options or information. </w:t>
      </w:r>
      <w:r w:rsidR="00DE74BB">
        <w:rPr>
          <w:rFonts w:eastAsia="Times New Roman"/>
        </w:rPr>
        <w:t>W</w:t>
      </w:r>
      <w:r w:rsidRPr="00126BA8">
        <w:rPr>
          <w:rFonts w:eastAsia="Times New Roman"/>
        </w:rPr>
        <w:t>hen the majority of online information i</w:t>
      </w:r>
      <w:r w:rsidR="00DE74BB">
        <w:rPr>
          <w:rFonts w:eastAsia="Times New Roman"/>
        </w:rPr>
        <w:t>s</w:t>
      </w:r>
      <w:r w:rsidRPr="00126BA8">
        <w:rPr>
          <w:rFonts w:eastAsia="Times New Roman"/>
        </w:rPr>
        <w:t xml:space="preserve"> gambler-focussed </w:t>
      </w:r>
      <w:r w:rsidR="00DE74BB">
        <w:rPr>
          <w:rFonts w:eastAsia="Times New Roman"/>
        </w:rPr>
        <w:t xml:space="preserve">this could </w:t>
      </w:r>
      <w:r w:rsidRPr="00126BA8">
        <w:rPr>
          <w:rFonts w:eastAsia="Times New Roman"/>
        </w:rPr>
        <w:t xml:space="preserve">(1) overlook the impact and experiences of FAOs and potentially contribute to FAOs not recognising their own needs, and (2) place undue responsibility on the FAO to resolve or be accountable for the gambling behaviour. The latter </w:t>
      </w:r>
      <w:r w:rsidRPr="00126BA8">
        <w:rPr>
          <w:rFonts w:eastAsia="Times New Roman"/>
        </w:rPr>
        <w:lastRenderedPageBreak/>
        <w:t xml:space="preserve">point is problematic given high rates of domestic violence or unhealthy relationship patterns, patriarchal relationship systems, and normalised gender roles.  </w:t>
      </w:r>
    </w:p>
    <w:p w14:paraId="3EDF9556" w14:textId="2270EA72" w:rsidR="008454DB" w:rsidRDefault="008454DB" w:rsidP="00DE74BB">
      <w:pPr>
        <w:spacing w:line="240" w:lineRule="auto"/>
        <w:jc w:val="both"/>
        <w:rPr>
          <w:rFonts w:eastAsia="Times New Roman"/>
        </w:rPr>
      </w:pPr>
    </w:p>
    <w:p w14:paraId="60DEE7F6" w14:textId="15C9A4CC" w:rsidR="008454DB" w:rsidRDefault="008454DB" w:rsidP="00DE74BB">
      <w:pPr>
        <w:spacing w:line="240" w:lineRule="auto"/>
        <w:jc w:val="both"/>
        <w:rPr>
          <w:rFonts w:eastAsia="Times New Roman"/>
        </w:rPr>
      </w:pPr>
      <w:r w:rsidRPr="008454DB">
        <w:rPr>
          <w:rFonts w:eastAsia="Times New Roman"/>
        </w:rPr>
        <w:t>The emphasis on FAO support of the gambler has the potential to place undue responsibility on the FAO. Although many FAOs might be willing to support their loved one and will opt for this approach, the responsibility of FAOs to identify and manage the problem gambling behaviour whilst they are experiencing the negative impact can present a significant challenge. For example, the FAO might not recognise their own need for support and, the harm they are experiencing, or there might power dynamics or safety issues within the relationship/family. Therefore, it is important that this perspective is not the main or sole focus of information presented to FAOs.</w:t>
      </w:r>
    </w:p>
    <w:p w14:paraId="36B81064" w14:textId="77777777" w:rsidR="00B120C7" w:rsidRPr="00126BA8" w:rsidRDefault="00B120C7" w:rsidP="00DE74BB">
      <w:pPr>
        <w:spacing w:line="240" w:lineRule="auto"/>
        <w:jc w:val="both"/>
        <w:rPr>
          <w:rFonts w:eastAsia="Times New Roman"/>
        </w:rPr>
      </w:pPr>
    </w:p>
    <w:p w14:paraId="18216B73" w14:textId="3E8C6316" w:rsidR="00966D1C" w:rsidRDefault="00966D1C" w:rsidP="00DE74BB">
      <w:pPr>
        <w:spacing w:line="240" w:lineRule="auto"/>
        <w:jc w:val="both"/>
      </w:pPr>
      <w:r w:rsidRPr="00126BA8">
        <w:rPr>
          <w:rFonts w:eastAsia="Times New Roman"/>
        </w:rPr>
        <w:t xml:space="preserve">The engagement with FAO lived experience </w:t>
      </w:r>
      <w:r w:rsidR="00B120C7">
        <w:rPr>
          <w:rFonts w:eastAsia="Times New Roman"/>
        </w:rPr>
        <w:t>was</w:t>
      </w:r>
      <w:r w:rsidRPr="00126BA8">
        <w:rPr>
          <w:rFonts w:eastAsia="Times New Roman"/>
        </w:rPr>
        <w:t xml:space="preserve"> limited</w:t>
      </w:r>
      <w:r w:rsidR="00B120C7">
        <w:rPr>
          <w:rFonts w:eastAsia="Times New Roman"/>
        </w:rPr>
        <w:t>,</w:t>
      </w:r>
      <w:r w:rsidRPr="00126BA8">
        <w:rPr>
          <w:rFonts w:eastAsia="Times New Roman"/>
        </w:rPr>
        <w:t xml:space="preserve"> but </w:t>
      </w:r>
      <w:r w:rsidR="00B120C7">
        <w:rPr>
          <w:rFonts w:eastAsia="Times New Roman"/>
        </w:rPr>
        <w:t xml:space="preserve">regarded by some services as </w:t>
      </w:r>
      <w:r w:rsidRPr="00126BA8">
        <w:rPr>
          <w:rFonts w:eastAsia="Times New Roman"/>
        </w:rPr>
        <w:t xml:space="preserve">crucial to ensuring </w:t>
      </w:r>
      <w:r w:rsidR="00B120C7">
        <w:rPr>
          <w:rFonts w:eastAsia="Times New Roman"/>
        </w:rPr>
        <w:t xml:space="preserve">the </w:t>
      </w:r>
      <w:r w:rsidRPr="00126BA8">
        <w:rPr>
          <w:rFonts w:eastAsia="Times New Roman"/>
        </w:rPr>
        <w:t xml:space="preserve">service meet the needs of service users. </w:t>
      </w:r>
      <w:r w:rsidR="00B120C7">
        <w:rPr>
          <w:rFonts w:eastAsia="Times New Roman"/>
        </w:rPr>
        <w:t>S</w:t>
      </w:r>
      <w:r w:rsidRPr="00126BA8">
        <w:rPr>
          <w:rFonts w:eastAsia="Times New Roman"/>
        </w:rPr>
        <w:t>ome service</w:t>
      </w:r>
      <w:r w:rsidR="00B120C7">
        <w:rPr>
          <w:rFonts w:eastAsia="Times New Roman"/>
        </w:rPr>
        <w:t>s</w:t>
      </w:r>
      <w:r w:rsidRPr="00126BA8">
        <w:rPr>
          <w:rFonts w:eastAsia="Times New Roman"/>
        </w:rPr>
        <w:t xml:space="preserve"> included blogs or articles focussing on an FAO</w:t>
      </w:r>
      <w:r w:rsidR="00B120C7">
        <w:rPr>
          <w:rFonts w:eastAsia="Times New Roman"/>
        </w:rPr>
        <w:t>’</w:t>
      </w:r>
      <w:r w:rsidRPr="00126BA8">
        <w:rPr>
          <w:rFonts w:eastAsia="Times New Roman"/>
        </w:rPr>
        <w:t>s perspective and a couple of others actively recruited for lived experience to design and review service development. However, again, much of the lived experience engagement concentrated on the gambling individual. For a service to become truly family/whānau-inclusive, engagement with a diverse range of services users is imperative.</w:t>
      </w:r>
      <w:r w:rsidRPr="00126BA8">
        <w:t xml:space="preserve">  </w:t>
      </w:r>
    </w:p>
    <w:p w14:paraId="6028F2B7" w14:textId="77777777" w:rsidR="00B120C7" w:rsidRPr="00126BA8" w:rsidRDefault="00B120C7" w:rsidP="00DE74BB">
      <w:pPr>
        <w:spacing w:line="240" w:lineRule="auto"/>
        <w:jc w:val="both"/>
      </w:pPr>
    </w:p>
    <w:p w14:paraId="5523CC4E" w14:textId="55912558" w:rsidR="00966D1C" w:rsidRPr="00126BA8" w:rsidRDefault="00966D1C" w:rsidP="00DE74BB">
      <w:pPr>
        <w:pStyle w:val="Heading4"/>
        <w:spacing w:before="0"/>
        <w:rPr>
          <w:rFonts w:eastAsia="Times New Roman"/>
        </w:rPr>
      </w:pPr>
      <w:r w:rsidRPr="00126BA8">
        <w:rPr>
          <w:rFonts w:eastAsia="Times New Roman"/>
        </w:rPr>
        <w:t xml:space="preserve">There are limited support </w:t>
      </w:r>
      <w:r w:rsidR="00B120C7">
        <w:rPr>
          <w:rFonts w:eastAsia="Times New Roman"/>
        </w:rPr>
        <w:t>options</w:t>
      </w:r>
      <w:r w:rsidRPr="00126BA8">
        <w:rPr>
          <w:rFonts w:eastAsia="Times New Roman"/>
        </w:rPr>
        <w:t xml:space="preserve"> that incorporate gender-based issues</w:t>
      </w:r>
    </w:p>
    <w:p w14:paraId="5961A8A5" w14:textId="2AC21C3C" w:rsidR="00966D1C" w:rsidRDefault="00966D1C" w:rsidP="00DE74BB">
      <w:pPr>
        <w:spacing w:line="240" w:lineRule="auto"/>
        <w:jc w:val="both"/>
      </w:pPr>
      <w:r w:rsidRPr="00126BA8">
        <w:t xml:space="preserve">The Salvation Army Oasis (NZ) and GamCare (UK) offered support groups for women (both gamblers and FAOs). These groups offered an option for women to come together, share their experiences, foster meaningful support, and learn from each other. The support groups also included the exploration of gender-based dynamics such patriarchal systems, family dynamics, and the reinforcement of gender roles in care. There is little evidence of other support groups for women. </w:t>
      </w:r>
    </w:p>
    <w:p w14:paraId="73C1EA15" w14:textId="77777777" w:rsidR="00B120C7" w:rsidRPr="00126BA8" w:rsidRDefault="00B120C7" w:rsidP="00DE74BB">
      <w:pPr>
        <w:spacing w:line="240" w:lineRule="auto"/>
        <w:jc w:val="both"/>
      </w:pPr>
    </w:p>
    <w:p w14:paraId="128FB9C1" w14:textId="6A760AF2" w:rsidR="00966D1C" w:rsidRDefault="00966D1C" w:rsidP="00DE74BB">
      <w:pPr>
        <w:spacing w:line="240" w:lineRule="auto"/>
        <w:jc w:val="both"/>
      </w:pPr>
      <w:r w:rsidRPr="00126BA8">
        <w:t xml:space="preserve">As a significant portion of the publicly available information focussed on supporting the gambling individual into treatment (or assisting them if they are unwilling to seek treatment), the reinforcement of women and female partners as ‘carers’ is prevalent. Further to this, the comparatively limited information on the impact of gambling harm and support for FAOs reinforces the ‘self-sacrifice’ </w:t>
      </w:r>
      <w:r w:rsidR="008454DB">
        <w:t xml:space="preserve">and carer </w:t>
      </w:r>
      <w:r w:rsidRPr="00126BA8">
        <w:t>role experienced by women in many cultures</w:t>
      </w:r>
      <w:r w:rsidR="002D5C54">
        <w:t xml:space="preserve"> </w:t>
      </w:r>
      <w:r w:rsidR="008454DB" w:rsidRPr="008454DB">
        <w:fldChar w:fldCharType="begin">
          <w:fldData xml:space="preserve">PEVuZE5vdGU+PENpdGU+PEF1dGhvcj5HcmFoYW08L0F1dGhvcj48WWVhcj4xOTgyPC9ZZWFyPjxS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</w:fldData>
        </w:fldChar>
      </w:r>
      <w:r w:rsidR="008454DB">
        <w:instrText xml:space="preserve"> ADDIN EN.CITE </w:instrText>
      </w:r>
      <w:r w:rsidR="008454DB">
        <w:fldChar w:fldCharType="begin">
          <w:fldData xml:space="preserve">PEVuZE5vdGU+PENpdGU+PEF1dGhvcj5HcmFoYW08L0F1dGhvcj48WWVhcj4xOTgyPC9ZZWFyPjxS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</w:fldData>
        </w:fldChar>
      </w:r>
      <w:r w:rsidR="008454DB">
        <w:instrText xml:space="preserve"> ADDIN EN.CITE.DATA </w:instrText>
      </w:r>
      <w:r w:rsidR="008454DB">
        <w:fldChar w:fldCharType="end"/>
      </w:r>
      <w:r w:rsidR="008454DB" w:rsidRPr="008454DB">
        <w:fldChar w:fldCharType="separate"/>
      </w:r>
      <w:r w:rsidR="008454DB">
        <w:rPr>
          <w:noProof/>
        </w:rPr>
        <w:t>(e.g., H. Graham, 1982; Holdsworth, Hing, &amp; Breen, 2012; Kwan, Tse, &amp; Jackson, 2020; Rey et al., 2010; Rey &amp; Sainz, 2007)</w:t>
      </w:r>
      <w:r w:rsidR="008454DB" w:rsidRPr="008454DB">
        <w:fldChar w:fldCharType="end"/>
      </w:r>
      <w:r w:rsidRPr="00126BA8">
        <w:t>. Facilitated support groups offer a safe and effective method of sharing experiences, exploring family dynamics, challenging attitudes and beliefs, and developing practical coping techniques. Further, a safe space to heal and connect with shared experiences is important in the FAO gambling field, particularly as domestic violence, control issues, and relationship dynamics are prevalent issues. It is important that these groups are continued, enhanced, and become a routine option for women.</w:t>
      </w:r>
    </w:p>
    <w:p w14:paraId="77AAB236" w14:textId="77777777" w:rsidR="00B120C7" w:rsidRPr="00126BA8" w:rsidRDefault="00B120C7" w:rsidP="00DE74BB">
      <w:pPr>
        <w:spacing w:line="240" w:lineRule="auto"/>
        <w:jc w:val="both"/>
      </w:pPr>
    </w:p>
    <w:p w14:paraId="2ED5E599" w14:textId="49CF727C" w:rsidR="00966D1C" w:rsidRDefault="007B565F" w:rsidP="00DE74BB">
      <w:pPr>
        <w:spacing w:line="240" w:lineRule="auto"/>
        <w:jc w:val="both"/>
      </w:pPr>
      <w:r>
        <w:t>Historically i</w:t>
      </w:r>
      <w:r w:rsidR="00966D1C" w:rsidRPr="00126BA8">
        <w:t xml:space="preserve">t has been recognised in research and practice that most FAOs are women (partners/spouses) whilst problematic gambling has been associated more with men. However, research has also indicated that an increasing number of women are gambling </w:t>
      </w:r>
      <w:r w:rsidR="00966D1C" w:rsidRPr="00126BA8">
        <w:fldChar w:fldCharType="begin"/>
      </w:r>
      <w:r w:rsidR="00966D1C" w:rsidRPr="00126BA8">
        <w:instrText xml:space="preserve"> ADDIN EN.CITE &lt;EndNote&gt;&lt;Cite&gt;&lt;Author&gt;Granero&lt;/Author&gt;&lt;Year&gt;2018&lt;/Year&gt;&lt;RecNum&gt;676&lt;/RecNum&gt;&lt;Prefix&gt;e.g.`, &lt;/Prefix&gt;&lt;DisplayText&gt;(e.g., Granero et al., 2018; Volberg, 2003)&lt;/DisplayText&gt;&lt;record&gt;&lt;rec-number&gt;676&lt;/rec-number&gt;&lt;foreign-keys&gt;&lt;key app="EN" db-id="5v2daxed8wv0eoesd9av5dd8exsxdewpfpwd" timestamp="1600999279"&gt;676&lt;/key&gt;&lt;/foreign-keys&gt;&lt;ref-type name="Journal Article"&gt;17&lt;/ref-type&gt;&lt;contributors&gt;&lt;authors&gt;&lt;author&gt;Granero, Roser&lt;/author&gt;&lt;author&gt;Fernández-Aranda, Fernando&lt;/author&gt;&lt;author&gt;Mestre-Bach, Gemma&lt;/author&gt;&lt;author&gt;Steward, Trevor&lt;/author&gt;&lt;author&gt;García-Caro, Bárbara&lt;/author&gt;&lt;author&gt;Prever, Fulvia&lt;/author&gt;&lt;author&gt;Gavriel-Fried, Belle&lt;/author&gt;&lt;author&gt;del Pino-Gutiérrez, Amparo&lt;/author&gt;&lt;author&gt;Moragas, Laura&lt;/author&gt;&lt;author&gt;Aymamí, Neus&lt;/author&gt;&lt;/authors&gt;&lt;/contributors&gt;&lt;titles&gt;&lt;title&gt;Clustering of treatment-seeking women with gambling disorder&lt;/title&gt;&lt;secondary-title&gt;Journal of Behavioral Addictions&lt;/secondary-title&gt;&lt;/titles&gt;&lt;periodical&gt;&lt;full-title&gt;Journal of behavioral addictions&lt;/full-title&gt;&lt;/periodical&gt;&lt;pages&gt;770-780&lt;/pages&gt;&lt;volume&gt;7&lt;/volume&gt;&lt;number&gt;3&lt;/number&gt;&lt;dates&gt;&lt;year&gt;2018&lt;/year&gt;&lt;/dates&gt;&lt;isbn&gt;2062-5871&lt;/isbn&gt;&lt;urls&gt;&lt;/urls&gt;&lt;/record&gt;&lt;/Cite&gt;&lt;Cite&gt;&lt;Author&gt;Volberg&lt;/Author&gt;&lt;Year&gt;2003&lt;/Year&gt;&lt;RecNum&gt;677&lt;/RecNum&gt;&lt;record&gt;&lt;rec-number&gt;677&lt;/rec-number&gt;&lt;foreign-keys&gt;&lt;key app="EN" db-id="5v2daxed8wv0eoesd9av5dd8exsxdewpfpwd" timestamp="1600999389"&gt;677&lt;/key&gt;&lt;/foreign-keys&gt;&lt;ref-type name="Journal Article"&gt;17&lt;/ref-type&gt;&lt;contributors&gt;&lt;authors&gt;&lt;author&gt;Volberg, Rachel A&lt;/author&gt;&lt;/authors&gt;&lt;/contributors&gt;&lt;titles&gt;&lt;title&gt;Has there been a&amp;quot; feminization&amp;quot; of gambling and problem gambling in the United States?&lt;/title&gt;&lt;secondary-title&gt;Journal of Gambling Issues&lt;/secondary-title&gt;&lt;/titles&gt;&lt;periodical&gt;&lt;full-title&gt;Journal of Gambling Issues&lt;/full-title&gt;&lt;/periodical&gt;&lt;number&gt;8&lt;/number&gt;&lt;dates&gt;&lt;year&gt;2003&lt;/year&gt;&lt;/dates&gt;&lt;isbn&gt;1910-7595&lt;/isbn&gt;&lt;urls&gt;&lt;/urls&gt;&lt;/record&gt;&lt;/Cite&gt;&lt;/EndNote&gt;</w:instrText>
      </w:r>
      <w:r w:rsidR="00966D1C" w:rsidRPr="00126BA8">
        <w:fldChar w:fldCharType="separate"/>
      </w:r>
      <w:r w:rsidR="00966D1C" w:rsidRPr="00126BA8">
        <w:rPr>
          <w:noProof/>
        </w:rPr>
        <w:t>(e.g., Granero et al., 2018; Volberg, 2003)</w:t>
      </w:r>
      <w:r w:rsidR="00966D1C" w:rsidRPr="00126BA8">
        <w:fldChar w:fldCharType="end"/>
      </w:r>
      <w:r w:rsidR="00966D1C" w:rsidRPr="00126BA8">
        <w:t>; thus, it follows that greater numbers of FAOs are likely to be men. Further, it is likely that gender-based issues are important for FAO</w:t>
      </w:r>
      <w:r>
        <w:t>s who are</w:t>
      </w:r>
      <w:r w:rsidR="00966D1C" w:rsidRPr="00126BA8">
        <w:t xml:space="preserve"> men, including gender-roles, domestic violence and control over their gambling partner, and normalising help-seeking behaviour </w:t>
      </w:r>
      <w:r>
        <w:t>for</w:t>
      </w:r>
      <w:r w:rsidR="00966D1C" w:rsidRPr="00126BA8">
        <w:t xml:space="preserve"> men. </w:t>
      </w:r>
      <w:r w:rsidR="008454DB">
        <w:t xml:space="preserve">We identified no evidence of support groups or resources </w:t>
      </w:r>
      <w:r w:rsidR="008454DB">
        <w:lastRenderedPageBreak/>
        <w:t>specifically for FAOs who are men.</w:t>
      </w:r>
      <w:r w:rsidR="008454DB" w:rsidRPr="00126BA8">
        <w:t xml:space="preserve"> </w:t>
      </w:r>
      <w:r w:rsidR="00966D1C" w:rsidRPr="00126BA8">
        <w:t>Enhancing the understanding of the needs of FAOs who are men through research and service user engagement is needed.</w:t>
      </w:r>
    </w:p>
    <w:p w14:paraId="1B45041E" w14:textId="77777777" w:rsidR="00DE74BB" w:rsidRPr="00126BA8" w:rsidRDefault="00DE74BB" w:rsidP="00DE74BB">
      <w:pPr>
        <w:spacing w:line="240" w:lineRule="auto"/>
        <w:jc w:val="both"/>
      </w:pPr>
    </w:p>
    <w:p w14:paraId="5ED5F92B" w14:textId="77777777" w:rsidR="00966D1C" w:rsidRPr="00126BA8" w:rsidRDefault="00966D1C" w:rsidP="00DE74BB">
      <w:pPr>
        <w:pStyle w:val="Heading4"/>
        <w:spacing w:before="0"/>
        <w:rPr>
          <w:lang w:eastAsia="en-NZ"/>
        </w:rPr>
      </w:pPr>
      <w:r w:rsidRPr="00126BA8">
        <w:rPr>
          <w:lang w:eastAsia="en-NZ"/>
        </w:rPr>
        <w:t>There are a range of culturally appropriate services which can model meaningful and responsive engagement with service users and communities</w:t>
      </w:r>
    </w:p>
    <w:p w14:paraId="51C4D79D" w14:textId="5E9BA6F3" w:rsidR="00966D1C" w:rsidRDefault="002D5C54" w:rsidP="00DE74BB">
      <w:pPr>
        <w:spacing w:line="240" w:lineRule="auto"/>
        <w:jc w:val="both"/>
        <w:rPr>
          <w:lang w:eastAsia="en-NZ"/>
        </w:rPr>
      </w:pPr>
      <w:r>
        <w:rPr>
          <w:lang w:eastAsia="en-NZ"/>
        </w:rPr>
        <w:t>New Zealand</w:t>
      </w:r>
      <w:r w:rsidR="00966D1C" w:rsidRPr="00126BA8">
        <w:rPr>
          <w:lang w:eastAsia="en-NZ"/>
        </w:rPr>
        <w:t xml:space="preserve"> </w:t>
      </w:r>
      <w:r w:rsidR="00FD1D9E" w:rsidRPr="00FD1D9E">
        <w:rPr>
          <w:lang w:eastAsia="en-NZ"/>
        </w:rPr>
        <w:t xml:space="preserve">appears to be at the forefront of </w:t>
      </w:r>
      <w:r w:rsidR="00FD1D9E">
        <w:rPr>
          <w:lang w:eastAsia="en-NZ"/>
        </w:rPr>
        <w:t xml:space="preserve">holistic and culturally responsive engagement with families affected by gambling harm. Multiple </w:t>
      </w:r>
      <w:r w:rsidR="00966D1C" w:rsidRPr="00126BA8">
        <w:rPr>
          <w:lang w:eastAsia="en-NZ"/>
        </w:rPr>
        <w:t>services incorporate</w:t>
      </w:r>
      <w:r w:rsidR="00FD1D9E">
        <w:rPr>
          <w:lang w:eastAsia="en-NZ"/>
        </w:rPr>
        <w:t>d</w:t>
      </w:r>
      <w:r w:rsidR="00966D1C" w:rsidRPr="00126BA8">
        <w:rPr>
          <w:lang w:eastAsia="en-NZ"/>
        </w:rPr>
        <w:t xml:space="preserve"> Māori models of health to appropriately work with and alongside Māori services users; for example, The Salvation Army Oasis and Raukura Hauora o Tainui detailed different pathways to health utilising Māori perspectives and understanding of wellness. </w:t>
      </w:r>
      <w:r w:rsidR="00FD1D9E">
        <w:rPr>
          <w:lang w:eastAsia="en-NZ"/>
        </w:rPr>
        <w:t>W</w:t>
      </w:r>
      <w:r w:rsidR="00966D1C" w:rsidRPr="00126BA8">
        <w:rPr>
          <w:lang w:eastAsia="en-NZ"/>
        </w:rPr>
        <w:t>rap-around health and wellbeing services</w:t>
      </w:r>
      <w:r w:rsidR="00FD1D9E">
        <w:rPr>
          <w:lang w:eastAsia="en-NZ"/>
        </w:rPr>
        <w:t xml:space="preserve"> for f</w:t>
      </w:r>
      <w:r w:rsidR="00966D1C" w:rsidRPr="00126BA8">
        <w:rPr>
          <w:lang w:eastAsia="en-NZ"/>
        </w:rPr>
        <w:t xml:space="preserve">amily/whānau </w:t>
      </w:r>
      <w:r w:rsidR="00FD1D9E">
        <w:rPr>
          <w:lang w:eastAsia="en-NZ"/>
        </w:rPr>
        <w:t>made</w:t>
      </w:r>
      <w:r w:rsidR="00966D1C" w:rsidRPr="00126BA8">
        <w:t xml:space="preserve"> little distinction between the gambling individual and FAOs</w:t>
      </w:r>
      <w:r w:rsidR="00966D1C" w:rsidRPr="00126BA8">
        <w:rPr>
          <w:lang w:eastAsia="en-NZ"/>
        </w:rPr>
        <w:t xml:space="preserve">. Gambling services are not the only service provided by Raukura, as such, gambling harm and FAOs </w:t>
      </w:r>
      <w:r w:rsidR="008454DB">
        <w:rPr>
          <w:lang w:eastAsia="en-NZ"/>
        </w:rPr>
        <w:t>could</w:t>
      </w:r>
      <w:r w:rsidR="00966D1C" w:rsidRPr="00126BA8">
        <w:rPr>
          <w:lang w:eastAsia="en-NZ"/>
        </w:rPr>
        <w:t xml:space="preserve"> be reached in several ways (e.g. identification of harm through another service pathway). </w:t>
      </w:r>
    </w:p>
    <w:p w14:paraId="6D65EB5D" w14:textId="77777777" w:rsidR="00DE74BB" w:rsidRPr="00126BA8" w:rsidRDefault="00DE74BB" w:rsidP="00DE74BB">
      <w:pPr>
        <w:spacing w:line="240" w:lineRule="auto"/>
        <w:jc w:val="both"/>
        <w:rPr>
          <w:rFonts w:eastAsia="Times New Roman"/>
        </w:rPr>
      </w:pPr>
    </w:p>
    <w:p w14:paraId="56DEE33C" w14:textId="341C200F" w:rsidR="00DE74BB" w:rsidRDefault="00FD1D9E" w:rsidP="00DE74BB">
      <w:pPr>
        <w:spacing w:line="240" w:lineRule="auto"/>
        <w:jc w:val="both"/>
        <w:rPr>
          <w:lang w:eastAsia="en-NZ"/>
        </w:rPr>
      </w:pPr>
      <w:r>
        <w:rPr>
          <w:lang w:eastAsia="en-NZ"/>
        </w:rPr>
        <w:t>T</w:t>
      </w:r>
      <w:r w:rsidR="00966D1C" w:rsidRPr="00126BA8">
        <w:rPr>
          <w:rFonts w:eastAsia="Times New Roman"/>
        </w:rPr>
        <w:t xml:space="preserve">he ways in which </w:t>
      </w:r>
      <w:r>
        <w:rPr>
          <w:rFonts w:eastAsia="Times New Roman"/>
        </w:rPr>
        <w:t xml:space="preserve">some </w:t>
      </w:r>
      <w:r w:rsidR="00966D1C" w:rsidRPr="00126BA8">
        <w:rPr>
          <w:rFonts w:eastAsia="Times New Roman"/>
        </w:rPr>
        <w:t xml:space="preserve">culturally and linguistically appropriate services </w:t>
      </w:r>
      <w:r>
        <w:rPr>
          <w:rFonts w:eastAsia="Times New Roman"/>
        </w:rPr>
        <w:t xml:space="preserve">in New Zealand </w:t>
      </w:r>
      <w:r w:rsidR="00966D1C" w:rsidRPr="00126BA8">
        <w:rPr>
          <w:rFonts w:eastAsia="Times New Roman"/>
        </w:rPr>
        <w:t>operate can model a family/whānau inclusive approach</w:t>
      </w:r>
      <w:r w:rsidR="007B565F">
        <w:rPr>
          <w:rFonts w:eastAsia="Times New Roman"/>
        </w:rPr>
        <w:t>, however exploration and evaluation of these approaches is largely absent</w:t>
      </w:r>
      <w:r w:rsidR="00966D1C" w:rsidRPr="00126BA8">
        <w:rPr>
          <w:rFonts w:eastAsia="Times New Roman"/>
        </w:rPr>
        <w:t xml:space="preserve">. The services have been designed and are managed with the community served at the heart of service operations. For example, services such as AFS, Mapu Maia, and Raukura were family/whānau and community focussed, and thus, FAOs were likely to be included from the outset. This was also made clear on their websites where services were detailed as being available for ‘families and communities’ or ‘family/whānau’. </w:t>
      </w:r>
      <w:r w:rsidR="00966D1C" w:rsidRPr="00126BA8">
        <w:rPr>
          <w:lang w:eastAsia="en-NZ"/>
        </w:rPr>
        <w:t xml:space="preserve">Mapu Maia is an example of way in which the design, review, and operation of a culturally appropriate service </w:t>
      </w:r>
      <w:r>
        <w:rPr>
          <w:lang w:eastAsia="en-NZ"/>
        </w:rPr>
        <w:t>can be</w:t>
      </w:r>
      <w:r w:rsidR="00966D1C" w:rsidRPr="00126BA8">
        <w:rPr>
          <w:lang w:eastAsia="en-NZ"/>
        </w:rPr>
        <w:t xml:space="preserve"> conducted in a manner which addresses cultural perspectives and issues. </w:t>
      </w:r>
      <w:r>
        <w:rPr>
          <w:lang w:eastAsia="en-NZ"/>
        </w:rPr>
        <w:t xml:space="preserve">A </w:t>
      </w:r>
      <w:r w:rsidR="00966D1C" w:rsidRPr="00126BA8">
        <w:rPr>
          <w:lang w:eastAsia="en-NZ"/>
        </w:rPr>
        <w:t xml:space="preserve">year-long talanoa process was carried out by </w:t>
      </w:r>
      <w:r>
        <w:rPr>
          <w:lang w:eastAsia="en-NZ"/>
        </w:rPr>
        <w:t>a</w:t>
      </w:r>
      <w:r w:rsidR="00966D1C" w:rsidRPr="00126BA8">
        <w:rPr>
          <w:lang w:eastAsia="en-NZ"/>
        </w:rPr>
        <w:t xml:space="preserve"> Pacific Advisory Board which </w:t>
      </w:r>
      <w:r>
        <w:rPr>
          <w:lang w:eastAsia="en-NZ"/>
        </w:rPr>
        <w:t xml:space="preserve">sought to engage with and </w:t>
      </w:r>
      <w:r w:rsidR="00966D1C" w:rsidRPr="00126BA8">
        <w:rPr>
          <w:lang w:eastAsia="en-NZ"/>
        </w:rPr>
        <w:t xml:space="preserve">reflect the voices of Pacific families and communities. </w:t>
      </w:r>
      <w:r w:rsidRPr="00126BA8">
        <w:rPr>
          <w:lang w:eastAsia="en-NZ"/>
        </w:rPr>
        <w:t xml:space="preserve">The talanoa research model utilises ofa (love), mafana (warmth), malie (humour), and faka’apa’apa (respect) which builds relationships and contributes to rich and meaningful engagement and research outcomes </w:t>
      </w:r>
      <w:r w:rsidR="008454DB" w:rsidRPr="008454DB">
        <w:rPr>
          <w:lang w:eastAsia="en-NZ"/>
        </w:rPr>
        <w:fldChar w:fldCharType="begin">
          <w:fldData xml:space="preserve">PEVuZE5vdGU+PENpdGU+PEF1dGhvcj5WYWlvbGV0aTwvQXV0aG9yPjxZZWFyPjIwMDY8L1llYXI+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</w:fldData>
        </w:fldChar>
      </w:r>
      <w:r w:rsidR="008454DB" w:rsidRPr="008454DB">
        <w:rPr>
          <w:lang w:eastAsia="en-NZ"/>
        </w:rPr>
        <w:instrText xml:space="preserve"> ADDIN EN.CITE </w:instrText>
      </w:r>
      <w:r w:rsidR="008454DB" w:rsidRPr="008454DB">
        <w:rPr>
          <w:lang w:eastAsia="en-NZ"/>
        </w:rPr>
        <w:fldChar w:fldCharType="begin">
          <w:fldData xml:space="preserve">PEVuZE5vdGU+PENpdGU+PEF1dGhvcj5WYWlvbGV0aTwvQXV0aG9yPjxZZWFyPjIwMDY8L1llYXI+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</w:fldData>
        </w:fldChar>
      </w:r>
      <w:r w:rsidR="008454DB" w:rsidRPr="008454DB">
        <w:rPr>
          <w:lang w:eastAsia="en-NZ"/>
        </w:rPr>
        <w:instrText xml:space="preserve"> ADDIN EN.CITE.DATA </w:instrText>
      </w:r>
      <w:r w:rsidR="008454DB" w:rsidRPr="008454DB">
        <w:rPr>
          <w:lang w:eastAsia="en-NZ"/>
        </w:rPr>
      </w:r>
      <w:r w:rsidR="008454DB" w:rsidRPr="008454DB">
        <w:rPr>
          <w:lang w:eastAsia="en-NZ"/>
        </w:rPr>
        <w:fldChar w:fldCharType="end"/>
      </w:r>
      <w:r w:rsidR="008454DB" w:rsidRPr="008454DB">
        <w:rPr>
          <w:lang w:eastAsia="en-NZ"/>
        </w:rPr>
      </w:r>
      <w:r w:rsidR="008454DB" w:rsidRPr="008454DB">
        <w:rPr>
          <w:lang w:eastAsia="en-NZ"/>
        </w:rPr>
        <w:fldChar w:fldCharType="separate"/>
      </w:r>
      <w:r w:rsidR="008454DB" w:rsidRPr="008454DB">
        <w:rPr>
          <w:lang w:eastAsia="en-NZ"/>
        </w:rPr>
        <w:t>(Vaioleti, 2006, 2013; Vaka, Brannelly, &amp; Huntington, 2016)</w:t>
      </w:r>
      <w:r w:rsidR="008454DB" w:rsidRPr="008454DB">
        <w:rPr>
          <w:lang w:eastAsia="en-NZ"/>
        </w:rPr>
        <w:fldChar w:fldCharType="end"/>
      </w:r>
      <w:r w:rsidR="008454DB" w:rsidRPr="008454DB">
        <w:rPr>
          <w:lang w:eastAsia="en-NZ"/>
        </w:rPr>
        <w:t>.</w:t>
      </w:r>
      <w:r>
        <w:rPr>
          <w:lang w:eastAsia="en-NZ"/>
        </w:rPr>
        <w:t xml:space="preserve"> </w:t>
      </w:r>
      <w:r w:rsidRPr="00126BA8">
        <w:rPr>
          <w:lang w:eastAsia="en-NZ"/>
        </w:rPr>
        <w:t xml:space="preserve">The talanoa process brought to light the desire of the Pacific communities to be actively engaged and lead the design of innovative solutions to harms experienced by community members. </w:t>
      </w:r>
      <w:r w:rsidR="00966D1C" w:rsidRPr="00126BA8">
        <w:rPr>
          <w:lang w:eastAsia="en-NZ"/>
        </w:rPr>
        <w:t xml:space="preserve">The Pacific Advisory Board advises </w:t>
      </w:r>
      <w:r>
        <w:rPr>
          <w:lang w:eastAsia="en-NZ"/>
        </w:rPr>
        <w:t>service management</w:t>
      </w:r>
      <w:r w:rsidR="00966D1C" w:rsidRPr="00126BA8">
        <w:rPr>
          <w:lang w:eastAsia="en-NZ"/>
        </w:rPr>
        <w:t xml:space="preserve"> and ensures that Pacific families and communities remain at the heart of service development, consideration, and future planning. This process </w:t>
      </w:r>
      <w:r>
        <w:rPr>
          <w:lang w:eastAsia="en-NZ"/>
        </w:rPr>
        <w:t xml:space="preserve">could be replicated in other services to support quality and ongoing </w:t>
      </w:r>
      <w:r w:rsidR="00966D1C" w:rsidRPr="00126BA8">
        <w:rPr>
          <w:lang w:eastAsia="en-NZ"/>
        </w:rPr>
        <w:t xml:space="preserve">engagement with the community and service users, collaborative development of outcomes, consideration and implementation of key findings in meaningful ways, and ongoing </w:t>
      </w:r>
      <w:r>
        <w:rPr>
          <w:lang w:eastAsia="en-NZ"/>
        </w:rPr>
        <w:t xml:space="preserve">evaluative work </w:t>
      </w:r>
      <w:r w:rsidR="00966D1C" w:rsidRPr="00126BA8">
        <w:rPr>
          <w:lang w:eastAsia="en-NZ"/>
        </w:rPr>
        <w:t>to ensure service users</w:t>
      </w:r>
      <w:r>
        <w:rPr>
          <w:lang w:eastAsia="en-NZ"/>
        </w:rPr>
        <w:t>’</w:t>
      </w:r>
      <w:r w:rsidR="00966D1C" w:rsidRPr="00126BA8">
        <w:rPr>
          <w:lang w:eastAsia="en-NZ"/>
        </w:rPr>
        <w:t xml:space="preserve"> voices are not lost. </w:t>
      </w:r>
    </w:p>
    <w:p w14:paraId="3606B53E" w14:textId="3A63E48A" w:rsidR="00884754" w:rsidRDefault="00884754" w:rsidP="00DE74BB">
      <w:pPr>
        <w:spacing w:line="240" w:lineRule="auto"/>
        <w:jc w:val="both"/>
        <w:rPr>
          <w:lang w:eastAsia="en-NZ"/>
        </w:rPr>
      </w:pPr>
    </w:p>
    <w:p w14:paraId="254353E2" w14:textId="71FED43F" w:rsidR="00884754" w:rsidRDefault="00884754" w:rsidP="00884754">
      <w:pPr>
        <w:pStyle w:val="Heading4"/>
        <w:rPr>
          <w:lang w:eastAsia="en-NZ"/>
        </w:rPr>
      </w:pPr>
      <w:r>
        <w:rPr>
          <w:lang w:eastAsia="en-NZ"/>
        </w:rPr>
        <w:t xml:space="preserve">Limitations of this review of service provision </w:t>
      </w:r>
    </w:p>
    <w:p w14:paraId="0E33AE5D" w14:textId="460695C9" w:rsidR="00DE74BB" w:rsidRDefault="00884754" w:rsidP="00DE74BB">
      <w:pPr>
        <w:spacing w:line="240" w:lineRule="auto"/>
        <w:jc w:val="both"/>
      </w:pPr>
      <w:r>
        <w:t xml:space="preserve">This review was non-systematic, and organisations were included for selection based on the views of the expert panel only. Our findings should therefore be regarded as partial and indicative of current practices. </w:t>
      </w:r>
      <w:bookmarkStart w:id="129" w:name="_Hlk57898534"/>
      <w:r>
        <w:t xml:space="preserve">Our review was limited to reported practice with and service offerings for FAOs. We did not carry out any investigation into the </w:t>
      </w:r>
      <w:r w:rsidR="009C205F">
        <w:t xml:space="preserve">relationship between the </w:t>
      </w:r>
      <w:r>
        <w:t>funding structure of the organisations involve</w:t>
      </w:r>
      <w:r w:rsidR="009C205F">
        <w:t>d and</w:t>
      </w:r>
      <w:r w:rsidRPr="00884754">
        <w:t xml:space="preserve"> the culture and style of services and treatment approaches.</w:t>
      </w:r>
      <w:r>
        <w:t xml:space="preserve"> </w:t>
      </w:r>
    </w:p>
    <w:bookmarkEnd w:id="129"/>
    <w:p w14:paraId="7F928900" w14:textId="77777777" w:rsidR="00884754" w:rsidRDefault="00884754" w:rsidP="00DE74BB">
      <w:pPr>
        <w:spacing w:line="240" w:lineRule="auto"/>
        <w:jc w:val="both"/>
      </w:pPr>
    </w:p>
    <w:p w14:paraId="49BFFC8F" w14:textId="2B8E53DA" w:rsidR="00966D1C" w:rsidRPr="00126BA8" w:rsidRDefault="00966D1C" w:rsidP="00DE74BB">
      <w:pPr>
        <w:pStyle w:val="Heading4"/>
        <w:rPr>
          <w:lang w:eastAsia="en-NZ"/>
        </w:rPr>
      </w:pPr>
      <w:r w:rsidRPr="00126BA8">
        <w:lastRenderedPageBreak/>
        <w:t>Conclusion</w:t>
      </w:r>
    </w:p>
    <w:p w14:paraId="6548DE0D" w14:textId="0EA49D4A" w:rsidR="00966D1C" w:rsidRPr="00126BA8" w:rsidRDefault="00966D1C" w:rsidP="00DE74BB">
      <w:pPr>
        <w:spacing w:line="240" w:lineRule="auto"/>
        <w:jc w:val="both"/>
        <w:rPr>
          <w:lang w:eastAsia="en-NZ"/>
        </w:rPr>
      </w:pPr>
      <w:r w:rsidRPr="00126BA8">
        <w:rPr>
          <w:lang w:eastAsia="en-NZ"/>
        </w:rPr>
        <w:t xml:space="preserve">This analysis of documented programmes, publicly available information, practice resources and policies, and discussions with service managers was conducted to explore how </w:t>
      </w:r>
      <w:r w:rsidRPr="00126BA8">
        <w:rPr>
          <w:rFonts w:eastAsia="Times New Roman"/>
        </w:rPr>
        <w:t xml:space="preserve">support provided for FAOs in </w:t>
      </w:r>
      <w:r w:rsidR="00FD1D9E">
        <w:rPr>
          <w:rFonts w:eastAsia="Times New Roman"/>
        </w:rPr>
        <w:t>New Zealand</w:t>
      </w:r>
      <w:r w:rsidRPr="00126BA8">
        <w:rPr>
          <w:rFonts w:eastAsia="Times New Roman"/>
        </w:rPr>
        <w:t xml:space="preserve"> gambling services could be enhanced. It intended to improve understanding of the support options currently available to FAOs affected by gambling harm. </w:t>
      </w:r>
      <w:r w:rsidR="00F6379B">
        <w:rPr>
          <w:rFonts w:eastAsia="Times New Roman"/>
        </w:rPr>
        <w:t>I</w:t>
      </w:r>
      <w:r w:rsidR="00765933">
        <w:rPr>
          <w:rFonts w:eastAsia="Times New Roman"/>
        </w:rPr>
        <w:t>nfluential models of ‘problem gambling’ development and intervention needs</w:t>
      </w:r>
      <w:r w:rsidR="00F6379B">
        <w:rPr>
          <w:rFonts w:eastAsia="Times New Roman"/>
        </w:rPr>
        <w:t xml:space="preserve"> have shaped services in ways that f</w:t>
      </w:r>
      <w:r w:rsidR="006345A9">
        <w:rPr>
          <w:rFonts w:eastAsia="Times New Roman"/>
        </w:rPr>
        <w:t>ocus on ‘the gambler’</w:t>
      </w:r>
      <w:r w:rsidR="00F6379B">
        <w:rPr>
          <w:rFonts w:eastAsia="Times New Roman"/>
        </w:rPr>
        <w:t>. S</w:t>
      </w:r>
      <w:r w:rsidR="006345A9">
        <w:rPr>
          <w:rFonts w:eastAsia="Times New Roman"/>
        </w:rPr>
        <w:t xml:space="preserve">upport for FAOs </w:t>
      </w:r>
      <w:r w:rsidR="00F6379B">
        <w:rPr>
          <w:rFonts w:eastAsia="Times New Roman"/>
        </w:rPr>
        <w:t>tends to be</w:t>
      </w:r>
      <w:r w:rsidR="006345A9">
        <w:rPr>
          <w:rFonts w:eastAsia="Times New Roman"/>
        </w:rPr>
        <w:t xml:space="preserve"> a peripheral offering. </w:t>
      </w:r>
      <w:r w:rsidRPr="00126BA8">
        <w:rPr>
          <w:rFonts w:eastAsia="Times New Roman"/>
        </w:rPr>
        <w:t xml:space="preserve">There is still much to be done for services to become family/whānau inclusive and for FAOs seeking help to be without doubt that support services are available for </w:t>
      </w:r>
      <w:r w:rsidRPr="00F6379B">
        <w:rPr>
          <w:rFonts w:eastAsia="Times New Roman"/>
        </w:rPr>
        <w:t xml:space="preserve">them in their own right. </w:t>
      </w:r>
      <w:r w:rsidR="00F6379B">
        <w:rPr>
          <w:rFonts w:eastAsia="Times New Roman"/>
        </w:rPr>
        <w:t>Reflecting more</w:t>
      </w:r>
      <w:r w:rsidR="00F6379B" w:rsidRPr="00F6379B">
        <w:rPr>
          <w:rFonts w:eastAsia="Times New Roman"/>
        </w:rPr>
        <w:t xml:space="preserve"> systemic understanding</w:t>
      </w:r>
      <w:r w:rsidR="00F6379B">
        <w:rPr>
          <w:rFonts w:eastAsia="Times New Roman"/>
        </w:rPr>
        <w:t>s</w:t>
      </w:r>
      <w:r w:rsidR="00F6379B" w:rsidRPr="00F6379B">
        <w:rPr>
          <w:rFonts w:eastAsia="Times New Roman"/>
        </w:rPr>
        <w:t xml:space="preserve"> of addictions</w:t>
      </w:r>
      <w:r w:rsidR="00F6379B">
        <w:rPr>
          <w:rFonts w:eastAsia="Times New Roman"/>
        </w:rPr>
        <w:t>, t</w:t>
      </w:r>
      <w:r w:rsidRPr="00F6379B">
        <w:rPr>
          <w:rFonts w:eastAsia="Times New Roman"/>
        </w:rPr>
        <w:t xml:space="preserve">here is a growing recognition of FAOs’ needs in research and practice, but this appears yet to be supported by policy, resources available to services, and public-facing information presented to individuals/families who might be investigating available support options. </w:t>
      </w:r>
      <w:r w:rsidR="009E6865">
        <w:rPr>
          <w:rFonts w:eastAsia="Times New Roman"/>
        </w:rPr>
        <w:t>Some c</w:t>
      </w:r>
      <w:r w:rsidRPr="00F6379B">
        <w:rPr>
          <w:rFonts w:eastAsia="Times New Roman"/>
        </w:rPr>
        <w:t>ulturally and linguistically appropriate services in N</w:t>
      </w:r>
      <w:r w:rsidR="00FD1D9E" w:rsidRPr="00F6379B">
        <w:rPr>
          <w:rFonts w:eastAsia="Times New Roman"/>
        </w:rPr>
        <w:t>ew Zealand</w:t>
      </w:r>
      <w:r w:rsidRPr="00F6379B">
        <w:rPr>
          <w:rFonts w:eastAsia="Times New Roman"/>
        </w:rPr>
        <w:t xml:space="preserve"> are inherently family/whānau inclusive</w:t>
      </w:r>
      <w:r w:rsidR="00F6379B">
        <w:rPr>
          <w:rFonts w:eastAsia="Times New Roman"/>
        </w:rPr>
        <w:t xml:space="preserve"> and less constrained by the historical development of services for ‘problem gamblers’</w:t>
      </w:r>
      <w:r w:rsidRPr="00F6379B">
        <w:rPr>
          <w:rFonts w:eastAsia="Times New Roman"/>
        </w:rPr>
        <w:t xml:space="preserve">. Their design and development </w:t>
      </w:r>
      <w:r w:rsidR="00FD1D9E" w:rsidRPr="00F6379B">
        <w:rPr>
          <w:rFonts w:eastAsia="Times New Roman"/>
        </w:rPr>
        <w:t>have</w:t>
      </w:r>
      <w:r w:rsidRPr="00F6379B">
        <w:rPr>
          <w:rFonts w:eastAsia="Times New Roman"/>
        </w:rPr>
        <w:t xml:space="preserve"> championed the voices of their communities and services users, bringing to light the community’s desire to be involved and engaged with service development. This provides a promising model to learn from going forward</w:t>
      </w:r>
      <w:r w:rsidR="006345A9" w:rsidRPr="00F6379B">
        <w:rPr>
          <w:rFonts w:eastAsia="Times New Roman"/>
        </w:rPr>
        <w:t xml:space="preserve">. </w:t>
      </w:r>
      <w:r w:rsidR="00F6379B" w:rsidRPr="00F6379B">
        <w:rPr>
          <w:rFonts w:eastAsia="Times New Roman"/>
        </w:rPr>
        <w:t>However,</w:t>
      </w:r>
      <w:r w:rsidR="00F6379B">
        <w:rPr>
          <w:rFonts w:eastAsia="Times New Roman"/>
        </w:rPr>
        <w:t xml:space="preserve"> it must be noted that</w:t>
      </w:r>
      <w:r w:rsidR="00765933" w:rsidRPr="00F6379B">
        <w:rPr>
          <w:rFonts w:eastAsia="Times New Roman"/>
        </w:rPr>
        <w:t xml:space="preserve"> m</w:t>
      </w:r>
      <w:r w:rsidR="006345A9" w:rsidRPr="00F6379B">
        <w:rPr>
          <w:rFonts w:eastAsia="Times New Roman"/>
        </w:rPr>
        <w:t xml:space="preserve">ost of these services have yet to be formally evaluated and documentation and sharing of family focussed practice </w:t>
      </w:r>
      <w:r w:rsidR="00927438" w:rsidRPr="00F6379B">
        <w:rPr>
          <w:rFonts w:eastAsia="Times New Roman"/>
        </w:rPr>
        <w:t xml:space="preserve">and service development </w:t>
      </w:r>
      <w:r w:rsidR="006345A9" w:rsidRPr="00F6379B">
        <w:rPr>
          <w:rFonts w:eastAsia="Times New Roman"/>
        </w:rPr>
        <w:t>is minimal, limiting learning opportunities at present.</w:t>
      </w:r>
      <w:r w:rsidR="006345A9">
        <w:rPr>
          <w:rFonts w:eastAsia="Times New Roman"/>
        </w:rPr>
        <w:t xml:space="preserve"> </w:t>
      </w:r>
    </w:p>
    <w:p w14:paraId="66B8C125" w14:textId="58D69F0D" w:rsidR="00E81F83" w:rsidRDefault="00E81F83" w:rsidP="00DE74BB"/>
    <w:p w14:paraId="3CA0A42B" w14:textId="79C6D56B" w:rsidR="00E81F83" w:rsidRDefault="00E81F83" w:rsidP="00820874"/>
    <w:p w14:paraId="18AB570D" w14:textId="77777777" w:rsidR="00B8521E" w:rsidRDefault="00B8521E">
      <w:pPr>
        <w:spacing w:after="160" w:line="259" w:lineRule="auto"/>
        <w:rPr>
          <w:b/>
        </w:rPr>
      </w:pPr>
      <w:r>
        <w:br w:type="page"/>
      </w:r>
    </w:p>
    <w:p w14:paraId="5BF654DE" w14:textId="0B12C03E" w:rsidR="00E81F83" w:rsidRDefault="00E81F83" w:rsidP="00C13E89">
      <w:pPr>
        <w:pStyle w:val="Heading2"/>
        <w:pBdr>
          <w:top w:val="single" w:sz="4" w:space="1" w:color="auto"/>
          <w:left w:val="single" w:sz="4" w:space="4" w:color="auto"/>
          <w:bottom w:val="single" w:sz="4" w:space="1" w:color="auto"/>
          <w:right w:val="single" w:sz="4" w:space="4" w:color="auto"/>
        </w:pBdr>
      </w:pPr>
      <w:bookmarkStart w:id="130" w:name="_Toc58400785"/>
      <w:r>
        <w:lastRenderedPageBreak/>
        <w:t xml:space="preserve">New Zealand FAO </w:t>
      </w:r>
      <w:r w:rsidR="008E2C4C">
        <w:t>engagement with intervention services</w:t>
      </w:r>
      <w:bookmarkEnd w:id="130"/>
      <w:r>
        <w:t xml:space="preserve"> </w:t>
      </w:r>
    </w:p>
    <w:p w14:paraId="26D5A5F5" w14:textId="0FCACB14" w:rsidR="00E81F83" w:rsidRDefault="00BA22CA" w:rsidP="004B04DD">
      <w:pPr>
        <w:jc w:val="both"/>
      </w:pPr>
      <w:r>
        <w:t>In this section we analyse a national New Zealand client database to describe the clients</w:t>
      </w:r>
      <w:r w:rsidR="0028014F">
        <w:t xml:space="preserve"> who accessed support and the support they </w:t>
      </w:r>
      <w:r w:rsidR="0028014F" w:rsidRPr="0028014F">
        <w:t>appear to be receiving from gambling services</w:t>
      </w:r>
      <w:r w:rsidR="0028014F">
        <w:t xml:space="preserve">. </w:t>
      </w:r>
    </w:p>
    <w:p w14:paraId="1BCC5D2F" w14:textId="77777777" w:rsidR="00BA22CA" w:rsidRDefault="00BA22CA" w:rsidP="004B04DD">
      <w:pPr>
        <w:jc w:val="both"/>
      </w:pPr>
    </w:p>
    <w:p w14:paraId="2A1CD4EC" w14:textId="77777777" w:rsidR="008C5846" w:rsidRDefault="008C5846" w:rsidP="008C5846">
      <w:pPr>
        <w:pStyle w:val="Heading3"/>
      </w:pPr>
      <w:bookmarkStart w:id="131" w:name="_Toc58400786"/>
      <w:r>
        <w:t>Gambling harm for New Zealand FAOs</w:t>
      </w:r>
      <w:bookmarkEnd w:id="131"/>
      <w:r>
        <w:t xml:space="preserve"> </w:t>
      </w:r>
    </w:p>
    <w:p w14:paraId="4EA2976E" w14:textId="7F11FF5A" w:rsidR="00E52BB8" w:rsidRDefault="00E52BB8" w:rsidP="00E52BB8">
      <w:pPr>
        <w:jc w:val="both"/>
      </w:pPr>
      <w:r>
        <w:t xml:space="preserve">New Zealand National Gambling Study (n= 12,000, collected in 2012), provides the </w:t>
      </w:r>
      <w:r w:rsidR="00C25877">
        <w:t xml:space="preserve">most </w:t>
      </w:r>
      <w:r>
        <w:t xml:space="preserve">representative estimates of the prevalence and nature of gambling harm for family and affected others (FAOs) in the New Zealand population </w:t>
      </w:r>
      <w:r>
        <w:fldChar w:fldCharType="begin"/>
      </w:r>
      <w:r w:rsidR="00D945BB">
        <w:instrText xml:space="preserve"> ADDIN EN.CITE &lt;EndNote&gt;&lt;Cite&gt;&lt;Author&gt;Abbott&lt;/Author&gt;&lt;Year&gt;2014&lt;/Year&gt;&lt;RecNum&gt;11&lt;/RecNum&gt;&lt;DisplayText&gt;(Abbott et al., 2014)&lt;/DisplayText&gt;&lt;record&gt;&lt;rec-number&gt;11&lt;/rec-number&gt;&lt;foreign-keys&gt;&lt;key app="EN" db-id="25rszwft292ev3esrpvpde0cpxrd9ex0xspp" timestamp="1536107177"&gt;11&lt;/key&gt;&lt;/foreign-keys&gt;&lt;ref-type name="Report"&gt;27&lt;/ref-type&gt;&lt;contributors&gt;&lt;authors&gt;&lt;author&gt;Abbott, Max&lt;/author&gt;&lt;author&gt;Bellringer, Maria&lt;/author&gt;&lt;author&gt;Garrett, Nick&lt;/author&gt;&lt;author&gt;Mundy-McPherson, Stuart&lt;/author&gt;&lt;/authors&gt;&lt;/contributors&gt;&lt;titles&gt;&lt;title&gt;New Zealand National Gambling Study: Gambling harm and problem gambling report number 2 prepared for the Ministry of Health&lt;/title&gt;&lt;/titles&gt;&lt;dates&gt;&lt;year&gt;2014&lt;/year&gt;&lt;/dates&gt;&lt;pub-location&gt;Auckland&lt;/pub-location&gt;&lt;publisher&gt;Gambling and Addictions Research Centre, Auckland University of Technology&lt;/publisher&gt;&lt;urls&gt;&lt;/urls&gt;&lt;/record&gt;&lt;/Cite&gt;&lt;/EndNote&gt;</w:instrText>
      </w:r>
      <w:r>
        <w:fldChar w:fldCharType="separate"/>
      </w:r>
      <w:r w:rsidR="00D945BB">
        <w:rPr>
          <w:noProof/>
        </w:rPr>
        <w:t>(Abbott et al., 2014)</w:t>
      </w:r>
      <w:r>
        <w:fldChar w:fldCharType="end"/>
      </w:r>
      <w:r>
        <w:t xml:space="preserve">. This information suggests that gambling harm for FAOs is a significant public health issue with inequities related to gender, income and ethnicity. </w:t>
      </w:r>
      <w:r w:rsidR="002B54BA" w:rsidRPr="002B54BA">
        <w:t>A third of adults said they know at least one person that they think currently has, or had, a problem with gambling.</w:t>
      </w:r>
      <w:r>
        <w:t xml:space="preserve"> </w:t>
      </w:r>
      <w:r w:rsidR="002B54BA">
        <w:t>There was no gender difference in this regard and little or no differences in relation to age</w:t>
      </w:r>
      <w:r>
        <w:t>,</w:t>
      </w:r>
      <w:r w:rsidR="002B54BA">
        <w:t xml:space="preserve"> other than adults aged 65 years and older being </w:t>
      </w:r>
      <w:r>
        <w:t xml:space="preserve">slightly more likely to indicate a relationship with someone who has experienced gambling problems. </w:t>
      </w:r>
      <w:r w:rsidR="00C25877">
        <w:t>H</w:t>
      </w:r>
      <w:r>
        <w:t>alf of Māori adults said they know one or more people who have or had a problem, compared to a third of European/Others and Pacific Islanders and around a quarter of Asian</w:t>
      </w:r>
      <w:r w:rsidR="00C25877">
        <w:t xml:space="preserve"> peoples. </w:t>
      </w:r>
    </w:p>
    <w:p w14:paraId="7DD385D8" w14:textId="391B5CBF" w:rsidR="00E52BB8" w:rsidRDefault="00E52BB8" w:rsidP="002B54BA">
      <w:pPr>
        <w:jc w:val="both"/>
      </w:pPr>
    </w:p>
    <w:p w14:paraId="6FDA1B2B" w14:textId="2794099A" w:rsidR="00E330EB" w:rsidRDefault="00E52BB8" w:rsidP="00E330EB">
      <w:pPr>
        <w:jc w:val="both"/>
      </w:pPr>
      <w:r w:rsidRPr="002B54BA">
        <w:t>Around eight percent of adults</w:t>
      </w:r>
      <w:r>
        <w:t xml:space="preserve"> in New Zealand </w:t>
      </w:r>
      <w:r w:rsidR="00E330EB" w:rsidRPr="00E330EB">
        <w:t>(equate</w:t>
      </w:r>
      <w:r w:rsidR="00C25877">
        <w:t>d</w:t>
      </w:r>
      <w:r w:rsidR="00E330EB" w:rsidRPr="00E330EB">
        <w:t xml:space="preserve"> to about 430,000 adults) </w:t>
      </w:r>
      <w:r w:rsidRPr="002B54BA">
        <w:t xml:space="preserve">reported that </w:t>
      </w:r>
      <w:r>
        <w:t xml:space="preserve">someone else’s </w:t>
      </w:r>
      <w:r w:rsidR="00E330EB">
        <w:t xml:space="preserve">gambling </w:t>
      </w:r>
      <w:r w:rsidR="00E330EB" w:rsidRPr="002B54BA">
        <w:t>affected</w:t>
      </w:r>
      <w:r w:rsidRPr="002B54BA">
        <w:t xml:space="preserve"> them personally</w:t>
      </w:r>
      <w:r>
        <w:t>.</w:t>
      </w:r>
      <w:r w:rsidRPr="00E52BB8">
        <w:t xml:space="preserve"> </w:t>
      </w:r>
      <w:r w:rsidR="00E330EB">
        <w:t>Women</w:t>
      </w:r>
      <w:r>
        <w:t xml:space="preserve"> more often mentioned being affected than </w:t>
      </w:r>
      <w:r w:rsidR="00E330EB">
        <w:t>men</w:t>
      </w:r>
      <w:r>
        <w:t xml:space="preserve">. </w:t>
      </w:r>
      <w:r w:rsidR="00E330EB">
        <w:t>Financial impacts (21%) were mentioned most often, followed by loss of relationships (9.5%), stress to family (8%), loss or lack of trust (7%), felt anger, frustration or resentment (6.5%). Other effects mentioned by smaller proportions included loss of time together, fights and family violence, and family break-ups or splits.</w:t>
      </w:r>
      <w:r w:rsidR="00E330EB" w:rsidRPr="00E330EB">
        <w:t xml:space="preserve"> </w:t>
      </w:r>
      <w:r w:rsidR="00E330EB">
        <w:t>Females more often than males mentioned adverse financial impacts, loss of relationship</w:t>
      </w:r>
      <w:r w:rsidR="00455CDC">
        <w:t>s</w:t>
      </w:r>
      <w:r w:rsidR="00E330EB">
        <w:t>, stress to the family, loss or lack of trust, anger, frustration and resentment and family breakup or split.</w:t>
      </w:r>
    </w:p>
    <w:p w14:paraId="7B779EC2" w14:textId="77777777" w:rsidR="00E52BB8" w:rsidRDefault="00E52BB8" w:rsidP="002B54BA">
      <w:pPr>
        <w:jc w:val="both"/>
      </w:pPr>
    </w:p>
    <w:p w14:paraId="5AD07721" w14:textId="767C0656" w:rsidR="002B54BA" w:rsidRDefault="002B54BA" w:rsidP="002B54BA">
      <w:pPr>
        <w:jc w:val="both"/>
      </w:pPr>
      <w:r w:rsidRPr="002B54BA">
        <w:t xml:space="preserve">Around one in ten </w:t>
      </w:r>
      <w:r w:rsidR="00E52BB8">
        <w:t xml:space="preserve">New Zealanders </w:t>
      </w:r>
      <w:r w:rsidRPr="002B54BA">
        <w:t xml:space="preserve">(11.5%, </w:t>
      </w:r>
      <w:r w:rsidR="00E330EB">
        <w:t>equat</w:t>
      </w:r>
      <w:r w:rsidR="0001065E">
        <w:t>ing</w:t>
      </w:r>
      <w:r w:rsidR="00E330EB">
        <w:t xml:space="preserve"> to </w:t>
      </w:r>
      <w:r w:rsidRPr="002B54BA">
        <w:t xml:space="preserve">about 386,000 adults) said there had been an argument </w:t>
      </w:r>
      <w:r w:rsidR="00E52BB8" w:rsidRPr="002B54BA">
        <w:t>in their household about gambling</w:t>
      </w:r>
      <w:r w:rsidR="00E52BB8">
        <w:t>, with</w:t>
      </w:r>
      <w:r w:rsidRPr="002B54BA">
        <w:t xml:space="preserve"> just over a quarter of argument</w:t>
      </w:r>
      <w:r w:rsidR="00E52BB8">
        <w:t>s occurring</w:t>
      </w:r>
      <w:r w:rsidRPr="002B54BA">
        <w:t xml:space="preserve"> in the past 12 months. Most (88%) said </w:t>
      </w:r>
      <w:r w:rsidR="00E52BB8">
        <w:t xml:space="preserve">the argument </w:t>
      </w:r>
      <w:r w:rsidRPr="002B54BA">
        <w:t>was mainly about someone else’s gambling rather than their gambling (8%).</w:t>
      </w:r>
      <w:r w:rsidR="00E52BB8">
        <w:t xml:space="preserve"> </w:t>
      </w:r>
      <w:r w:rsidRPr="002B54BA">
        <w:t>All participants were asked if, in their wider family or household, they had to go without something they needed or bills weren’t paid because too much was spent on gambling. About one in twelve adults (8%, about 430,000 adults) said this had happened at some time. A third of these people said it had happened in the past 12 months. Most (92%) said it was mainly about someone else’s gambling rather than theirs (5%).</w:t>
      </w:r>
      <w:r w:rsidR="00E52BB8">
        <w:t xml:space="preserve"> </w:t>
      </w:r>
      <w:r w:rsidR="00C25877">
        <w:t>Women</w:t>
      </w:r>
      <w:r>
        <w:t xml:space="preserve"> more often reported arguments of this type</w:t>
      </w:r>
      <w:r w:rsidR="00C25877">
        <w:t xml:space="preserve"> </w:t>
      </w:r>
      <w:r>
        <w:t>and going without things and not paying bills</w:t>
      </w:r>
      <w:r w:rsidR="00C25877">
        <w:t xml:space="preserve"> than men</w:t>
      </w:r>
      <w:r>
        <w:t>.</w:t>
      </w:r>
      <w:r w:rsidR="00E52BB8">
        <w:t xml:space="preserve"> </w:t>
      </w:r>
      <w:r>
        <w:t xml:space="preserve">Māori and Pacific Island adults more often mentioned both experiences than European/ Other and Asians. New Zealand-born, unemployed people and people in large households also more often reported gambling-related arguments and </w:t>
      </w:r>
      <w:r w:rsidR="00C25877">
        <w:t>financial deprivation.</w:t>
      </w:r>
    </w:p>
    <w:p w14:paraId="1EF1D5D1" w14:textId="77777777" w:rsidR="002B54BA" w:rsidRDefault="002B54BA" w:rsidP="002B54BA">
      <w:pPr>
        <w:jc w:val="both"/>
      </w:pPr>
    </w:p>
    <w:p w14:paraId="3B93C30A" w14:textId="24CE3796" w:rsidR="008C5846" w:rsidRDefault="00C25877" w:rsidP="002B54BA">
      <w:pPr>
        <w:jc w:val="both"/>
      </w:pPr>
      <w:r>
        <w:t>Families are clearly involved in the help-seeking of and on behalf of people experiencing gambling problems. O</w:t>
      </w:r>
      <w:r w:rsidR="007565E1" w:rsidRPr="007565E1">
        <w:t xml:space="preserve">ne in a hundred adults said they had tried to get help to stop or reduce </w:t>
      </w:r>
      <w:r w:rsidR="007565E1" w:rsidRPr="007565E1">
        <w:lastRenderedPageBreak/>
        <w:t>gambling at some time</w:t>
      </w:r>
      <w:r>
        <w:t>, just under half had done so in the last 12 months. S</w:t>
      </w:r>
      <w:r w:rsidR="002B54BA">
        <w:t xml:space="preserve">eeking help from friends was mentioned most often (25%) followed by family (18%), helpline/Gambling Helpline (17%), community support groups (14%), a counsellor or doctor (10%), Gamblers Anonymous (9.5%), a church or the Salvation Army (9%) and the Problem Gambling Foundation </w:t>
      </w:r>
      <w:r>
        <w:t xml:space="preserve">of New Zealand </w:t>
      </w:r>
      <w:r w:rsidR="002B54BA">
        <w:t>(2.5%). Th</w:t>
      </w:r>
      <w:r>
        <w:t>is</w:t>
      </w:r>
      <w:r w:rsidR="002B54BA">
        <w:t xml:space="preserve"> pattern of help-seeking </w:t>
      </w:r>
      <w:r>
        <w:t xml:space="preserve">was </w:t>
      </w:r>
      <w:r w:rsidR="002B54BA">
        <w:t>similar across the non-problem, problem and at-risk groups.</w:t>
      </w:r>
      <w:r>
        <w:t xml:space="preserve"> </w:t>
      </w:r>
      <w:r w:rsidR="002B54BA">
        <w:t xml:space="preserve">Around a fifth (21%) </w:t>
      </w:r>
      <w:r>
        <w:t>of people who tried to get help said</w:t>
      </w:r>
      <w:r w:rsidR="002B54BA">
        <w:t xml:space="preserve"> their family, spouse or partner was involved</w:t>
      </w:r>
      <w:r>
        <w:t xml:space="preserve"> in seeking help for them</w:t>
      </w:r>
      <w:r w:rsidR="002B54BA">
        <w:t>. Friends (11%), support groups or hotline (9%), and counsellors and doctors (7%) were mentioned less often.</w:t>
      </w:r>
    </w:p>
    <w:p w14:paraId="4F8240F4" w14:textId="5302B5CB" w:rsidR="00C25877" w:rsidRDefault="00C25877" w:rsidP="002B54BA">
      <w:pPr>
        <w:jc w:val="both"/>
      </w:pPr>
    </w:p>
    <w:p w14:paraId="763FF4D9" w14:textId="78C8D835" w:rsidR="006D26EF" w:rsidRDefault="006D26EF" w:rsidP="006D26EF">
      <w:pPr>
        <w:pStyle w:val="Heading3"/>
      </w:pPr>
      <w:bookmarkStart w:id="132" w:name="_Toc58400787"/>
      <w:r>
        <w:t>New Zealand gambling support services</w:t>
      </w:r>
      <w:bookmarkEnd w:id="132"/>
    </w:p>
    <w:p w14:paraId="73AF4BFF" w14:textId="44465255" w:rsidR="00D07A53" w:rsidRDefault="008E2C4C" w:rsidP="004B04DD">
      <w:pPr>
        <w:jc w:val="both"/>
      </w:pPr>
      <w:r>
        <w:t xml:space="preserve">In New Zealand, preventing and minimising gambling harm services are funded </w:t>
      </w:r>
      <w:r w:rsidR="00C112FB">
        <w:t xml:space="preserve">by the Ministry of Health (MOH) </w:t>
      </w:r>
      <w:r>
        <w:t>to provide interventions</w:t>
      </w:r>
      <w:r w:rsidR="00C112FB">
        <w:t xml:space="preserve"> for </w:t>
      </w:r>
      <w:r w:rsidR="00C112FB" w:rsidRPr="00C112FB">
        <w:t>the individual</w:t>
      </w:r>
      <w:r w:rsidR="00C112FB">
        <w:t xml:space="preserve"> who is gambling</w:t>
      </w:r>
      <w:r w:rsidR="00C112FB" w:rsidRPr="00C112FB">
        <w:t xml:space="preserve"> and their family and affected others</w:t>
      </w:r>
      <w:r w:rsidR="00C112FB">
        <w:t xml:space="preserve"> </w:t>
      </w:r>
      <w:r w:rsidR="00C112FB">
        <w:fldChar w:fldCharType="begin"/>
      </w:r>
      <w:r w:rsidR="002B56C5">
        <w:instrText xml:space="preserve"> ADDIN EN.CITE &lt;EndNote&gt;&lt;Cite&gt;&lt;Author&gt;Ministry of Health&lt;/Author&gt;&lt;Year&gt;2020&lt;/Year&gt;&lt;RecNum&gt;324&lt;/RecNum&gt;&lt;DisplayText&gt;(Ministry of Health, 2020b)&lt;/DisplayText&gt;&lt;record&gt;&lt;rec-number&gt;324&lt;/rec-number&gt;&lt;foreign-keys&gt;&lt;key app="EN" db-id="25rszwft292ev3esrpvpde0cpxrd9ex0xspp" timestamp="1602017032"&gt;324&lt;/key&gt;&lt;/foreign-keys&gt;&lt;ref-type name="Web Page"&gt;12&lt;/ref-type&gt;&lt;contributors&gt;&lt;authors&gt;&lt;author&gt;Ministry of Health,&lt;/author&gt;&lt;/authors&gt;&lt;/contributors&gt;&lt;titles&gt;&lt;title&gt;Problem gambling services&lt;/title&gt;&lt;/titles&gt;&lt;volume&gt;2020&lt;/volume&gt;&lt;number&gt;7 October&lt;/number&gt;&lt;dates&gt;&lt;year&gt;2020&lt;/year&gt;&lt;/dates&gt;&lt;publisher&gt;Ministry of Health&lt;/publisher&gt;&lt;urls&gt;&lt;related-urls&gt;&lt;url&gt;https://www.health.govt.nz/our-work/mental-health-and-addictions/gambling/problem-gambling-services&lt;/url&gt;&lt;/related-urls&gt;&lt;/urls&gt;&lt;/record&gt;&lt;/Cite&gt;&lt;/EndNote&gt;</w:instrText>
      </w:r>
      <w:r w:rsidR="00C112FB">
        <w:fldChar w:fldCharType="separate"/>
      </w:r>
      <w:r w:rsidR="002B56C5">
        <w:rPr>
          <w:noProof/>
        </w:rPr>
        <w:t>(Ministry of Health, 2020b)</w:t>
      </w:r>
      <w:r w:rsidR="00C112FB">
        <w:fldChar w:fldCharType="end"/>
      </w:r>
      <w:r w:rsidR="00C112FB">
        <w:t xml:space="preserve">. </w:t>
      </w:r>
      <w:r w:rsidR="00834E2D">
        <w:t xml:space="preserve">The service model </w:t>
      </w:r>
      <w:r w:rsidR="0044608D">
        <w:t>(</w:t>
      </w:r>
      <w:r w:rsidR="0044608D">
        <w:fldChar w:fldCharType="begin"/>
      </w:r>
      <w:r w:rsidR="0044608D">
        <w:instrText xml:space="preserve"> REF _Ref54862294 \h </w:instrText>
      </w:r>
      <w:r w:rsidR="0044608D">
        <w:fldChar w:fldCharType="separate"/>
      </w:r>
      <w:r w:rsidR="00DF0799">
        <w:t xml:space="preserve">Figure </w:t>
      </w:r>
      <w:r w:rsidR="00DF0799">
        <w:rPr>
          <w:noProof/>
        </w:rPr>
        <w:t>7</w:t>
      </w:r>
      <w:r w:rsidR="0044608D">
        <w:fldChar w:fldCharType="end"/>
      </w:r>
      <w:r w:rsidR="0044608D">
        <w:t xml:space="preserve">) </w:t>
      </w:r>
      <w:r w:rsidR="00834E2D">
        <w:t xml:space="preserve">is structured around </w:t>
      </w:r>
      <w:r w:rsidR="00834E2D" w:rsidRPr="00834E2D">
        <w:t xml:space="preserve">a mix of </w:t>
      </w:r>
      <w:r w:rsidR="00834E2D">
        <w:t>bio-psychological</w:t>
      </w:r>
      <w:r w:rsidR="00834E2D" w:rsidRPr="00834E2D">
        <w:t xml:space="preserve"> and public health ideas about </w:t>
      </w:r>
      <w:r w:rsidR="00C112FB">
        <w:t xml:space="preserve">gambling harm, strongly linked to </w:t>
      </w:r>
      <w:r w:rsidR="00834E2D">
        <w:t xml:space="preserve">the person who is gambling at each risk level determined by the Problem Gambling Severity Index </w:t>
      </w:r>
      <w:r w:rsidR="00834E2D">
        <w:fldChar w:fldCharType="begin"/>
      </w:r>
      <w:r w:rsidR="00834E2D">
        <w:instrText xml:space="preserve"> ADDIN EN.CITE &lt;EndNote&gt;&lt;Cite&gt;&lt;Author&gt;Ferris&lt;/Author&gt;&lt;Year&gt;2001&lt;/Year&gt;&lt;RecNum&gt;5&lt;/RecNum&gt;&lt;Prefix&gt;PGSI`, &lt;/Prefix&gt;&lt;DisplayText&gt;(PGSI, Ferris &amp;amp; Wynne, 2001)&lt;/DisplayText&gt;&lt;record&gt;&lt;rec-number&gt;5&lt;/rec-number&gt;&lt;foreign-keys&gt;&lt;key app="EN" db-id="25rszwft292ev3esrpvpde0cpxrd9ex0xspp" timestamp="1536105939"&gt;5&lt;/key&gt;&lt;/foreign-keys&gt;&lt;ref-type name="Report"&gt;27&lt;/ref-type&gt;&lt;contributors&gt;&lt;authors&gt;&lt;author&gt;Ferris, J&lt;/author&gt;&lt;author&gt;Wynne, H&lt;/author&gt;&lt;/authors&gt;&lt;/contributors&gt;&lt;titles&gt;&lt;title&gt;The Canadian Problem Gambling Index: final report, phase II final report to the Canadian Inter-Provincial Task Force on Problem Gambling&lt;/title&gt;&lt;/titles&gt;&lt;dates&gt;&lt;year&gt;2001&lt;/year&gt;&lt;/dates&gt;&lt;pub-location&gt;Ottawa, ON&lt;/pub-location&gt;&lt;urls&gt;&lt;/urls&gt;&lt;/record&gt;&lt;/Cite&gt;&lt;/EndNote&gt;</w:instrText>
      </w:r>
      <w:r w:rsidR="00834E2D">
        <w:fldChar w:fldCharType="separate"/>
      </w:r>
      <w:r w:rsidR="00834E2D">
        <w:rPr>
          <w:noProof/>
        </w:rPr>
        <w:t>(PGSI, Ferris &amp; Wynne, 2001)</w:t>
      </w:r>
      <w:r w:rsidR="00834E2D">
        <w:fldChar w:fldCharType="end"/>
      </w:r>
      <w:r w:rsidR="00C112FB">
        <w:t>:</w:t>
      </w:r>
      <w:r w:rsidR="00834E2D">
        <w:t xml:space="preserve"> </w:t>
      </w:r>
    </w:p>
    <w:p w14:paraId="7B1D9D71" w14:textId="50930A23" w:rsidR="00C112FB" w:rsidRDefault="00C112FB" w:rsidP="004B04DD">
      <w:pPr>
        <w:jc w:val="both"/>
      </w:pPr>
    </w:p>
    <w:p w14:paraId="33F8C1F9" w14:textId="42D409DC" w:rsidR="00C112FB" w:rsidRDefault="00C112FB" w:rsidP="00C112FB">
      <w:pPr>
        <w:pStyle w:val="Caption"/>
      </w:pPr>
      <w:bookmarkStart w:id="133" w:name="_Ref54862294"/>
      <w:bookmarkStart w:id="134" w:name="_Toc58400812"/>
      <w:r>
        <w:t xml:space="preserve">Figure </w:t>
      </w:r>
      <w:r w:rsidR="00D04B86">
        <w:fldChar w:fldCharType="begin"/>
      </w:r>
      <w:r w:rsidR="00D04B86">
        <w:instrText xml:space="preserve"> SEQ Figure \* ARABIC </w:instrText>
      </w:r>
      <w:r w:rsidR="00D04B86">
        <w:fldChar w:fldCharType="separate"/>
      </w:r>
      <w:r w:rsidR="00DF0799">
        <w:rPr>
          <w:noProof/>
        </w:rPr>
        <w:t>7</w:t>
      </w:r>
      <w:r w:rsidR="00D04B86">
        <w:rPr>
          <w:noProof/>
        </w:rPr>
        <w:fldChar w:fldCharType="end"/>
      </w:r>
      <w:bookmarkEnd w:id="133"/>
      <w:r>
        <w:t xml:space="preserve">. </w:t>
      </w:r>
      <w:r w:rsidRPr="00C112FB">
        <w:t>Gambling behaviour and harm: the continuum of prevention and harm reduction</w:t>
      </w:r>
      <w:bookmarkEnd w:id="134"/>
      <w:r>
        <w:t xml:space="preserve"> </w:t>
      </w:r>
    </w:p>
    <w:p w14:paraId="0FB3B1B6" w14:textId="7BB53D86" w:rsidR="00C112FB" w:rsidRDefault="00C112FB" w:rsidP="004B04DD">
      <w:pPr>
        <w:jc w:val="both"/>
      </w:pPr>
      <w:r w:rsidRPr="00AC7D5B">
        <w:rPr>
          <w:noProof/>
          <w:lang w:eastAsia="en-NZ"/>
        </w:rPr>
        <w:drawing>
          <wp:inline distT="0" distB="0" distL="0" distR="0" wp14:anchorId="73063689" wp14:editId="50672586">
            <wp:extent cx="5378334" cy="3107865"/>
            <wp:effectExtent l="0" t="0" r="0" b="0"/>
            <wp:docPr id="46" name="Picture 46" descr="Shows the continuum of gambling behaviour and harm, from no gambling/no harm (greatest number) to severe behavious/severe harm. This is matched with a continuum of intervention from public health and primary care to the intensive tertiary level. The intervention ranges from health promotion to harm reduction to intensive treatment" title="Figure 2.1: Gambling behaviour and harm: the continuum of prevention and harm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7236" cy="3107230"/>
                    </a:xfrm>
                    <a:prstGeom prst="rect">
                      <a:avLst/>
                    </a:prstGeom>
                    <a:noFill/>
                    <a:ln>
                      <a:noFill/>
                    </a:ln>
                  </pic:spPr>
                </pic:pic>
              </a:graphicData>
            </a:graphic>
          </wp:inline>
        </w:drawing>
      </w:r>
    </w:p>
    <w:p w14:paraId="279017F4" w14:textId="62736029" w:rsidR="008E2C4C" w:rsidRDefault="00C112FB" w:rsidP="004B04DD">
      <w:pPr>
        <w:jc w:val="both"/>
      </w:pPr>
      <w:r>
        <w:t xml:space="preserve">Figure reproduced from MOH Preventing and minimising gambling harm practitioner’s guide </w:t>
      </w:r>
      <w:r>
        <w:fldChar w:fldCharType="begin"/>
      </w:r>
      <w:r>
        <w:instrText xml:space="preserve"> ADDIN EN.CITE &lt;EndNote&gt;&lt;Cite&gt;&lt;Author&gt;Ministry of Health&lt;/Author&gt;&lt;Year&gt;2019&lt;/Year&gt;&lt;RecNum&gt;223&lt;/RecNum&gt;&lt;Pages&gt;4&lt;/Pages&gt;&lt;DisplayText&gt;(Ministry of Health, 2019, p. 4)&lt;/DisplayText&gt;&lt;record&gt;&lt;rec-number&gt;223&lt;/rec-number&gt;&lt;foreign-keys&gt;&lt;key app="EN" db-id="25rszwft292ev3esrpvpde0cpxrd9ex0xspp" timestamp="1588887840"&gt;223&lt;/key&gt;&lt;/foreign-keys&gt;&lt;ref-type name="Report"&gt;27&lt;/ref-type&gt;&lt;contributors&gt;&lt;authors&gt;&lt;author&gt;Ministry of Health,&lt;/author&gt;&lt;/authors&gt;&lt;/contributors&gt;&lt;titles&gt;&lt;title&gt;Preventing and Minimising Gambling Harm: Practitioner’s Guide&lt;/title&gt;&lt;/titles&gt;&lt;dates&gt;&lt;year&gt;2019&lt;/year&gt;&lt;/dates&gt;&lt;pub-location&gt;Wellington&lt;/pub-location&gt;&lt;publisher&gt;Ministry of Health&lt;/publisher&gt;&lt;urls&gt;&lt;/urls&gt;&lt;/record&gt;&lt;/Cite&gt;&lt;/EndNote&gt;</w:instrText>
      </w:r>
      <w:r>
        <w:fldChar w:fldCharType="separate"/>
      </w:r>
      <w:r>
        <w:rPr>
          <w:noProof/>
        </w:rPr>
        <w:t>(Ministry of Health, 2019, p. 4)</w:t>
      </w:r>
      <w:r>
        <w:fldChar w:fldCharType="end"/>
      </w:r>
    </w:p>
    <w:p w14:paraId="2F78EE2E" w14:textId="77777777" w:rsidR="00C112FB" w:rsidRDefault="00C112FB" w:rsidP="004B04DD">
      <w:pPr>
        <w:jc w:val="both"/>
      </w:pPr>
    </w:p>
    <w:p w14:paraId="5E4ACD4A" w14:textId="62A8FBC3" w:rsidR="00C112FB" w:rsidRDefault="00C112FB" w:rsidP="00C112FB">
      <w:pPr>
        <w:jc w:val="both"/>
      </w:pPr>
      <w:r>
        <w:t>Th</w:t>
      </w:r>
      <w:r w:rsidR="00C25877">
        <w:t>is</w:t>
      </w:r>
      <w:r>
        <w:t xml:space="preserve"> model aims “to address the gambling behaviour, [and] reduce the impact of harm by facilitating the access of the client to other services, including:</w:t>
      </w:r>
      <w:r w:rsidR="00AD367B">
        <w:t xml:space="preserve"> f</w:t>
      </w:r>
      <w:r>
        <w:t>inancial counselling</w:t>
      </w:r>
      <w:r w:rsidR="00AD367B">
        <w:t>, r</w:t>
      </w:r>
      <w:r>
        <w:t>elationship counselling</w:t>
      </w:r>
      <w:r w:rsidR="00AD367B">
        <w:t>, o</w:t>
      </w:r>
      <w:r>
        <w:t>ther social service agencies</w:t>
      </w:r>
      <w:r w:rsidR="00AD367B">
        <w:t>, m</w:t>
      </w:r>
      <w:r>
        <w:t>ental health services</w:t>
      </w:r>
      <w:r w:rsidR="00AD367B">
        <w:t>, and a</w:t>
      </w:r>
      <w:r>
        <w:t xml:space="preserve">lcohol and other drug services.” </w:t>
      </w:r>
      <w:r>
        <w:fldChar w:fldCharType="begin"/>
      </w:r>
      <w:r>
        <w:instrText xml:space="preserve"> ADDIN EN.CITE &lt;EndNote&gt;&lt;Cite&gt;&lt;Author&gt;Ministry of Health&lt;/Author&gt;&lt;Year&gt;2019&lt;/Year&gt;&lt;RecNum&gt;223&lt;/RecNum&gt;&lt;Pages&gt;4-5&lt;/Pages&gt;&lt;DisplayText&gt;(Ministry of Health, 2019, pp. 4-5)&lt;/DisplayText&gt;&lt;record&gt;&lt;rec-number&gt;223&lt;/rec-number&gt;&lt;foreign-keys&gt;&lt;key app="EN" db-id="25rszwft292ev3esrpvpde0cpxrd9ex0xspp" timestamp="1588887840"&gt;223&lt;/key&gt;&lt;/foreign-keys&gt;&lt;ref-type name="Report"&gt;27&lt;/ref-type&gt;&lt;contributors&gt;&lt;authors&gt;&lt;author&gt;Ministry of Health,&lt;/author&gt;&lt;/authors&gt;&lt;/contributors&gt;&lt;titles&gt;&lt;title&gt;Preventing and Minimising Gambling Harm: Practitioner’s Guide&lt;/title&gt;&lt;/titles&gt;&lt;dates&gt;&lt;year&gt;2019&lt;/year&gt;&lt;/dates&gt;&lt;pub-location&gt;Wellington&lt;/pub-location&gt;&lt;publisher&gt;Ministry of Health&lt;/publisher&gt;&lt;urls&gt;&lt;/urls&gt;&lt;/record&gt;&lt;/Cite&gt;&lt;/EndNote&gt;</w:instrText>
      </w:r>
      <w:r>
        <w:fldChar w:fldCharType="separate"/>
      </w:r>
      <w:r>
        <w:rPr>
          <w:noProof/>
        </w:rPr>
        <w:t>(Ministry of Health, 2019, pp. 4-5)</w:t>
      </w:r>
      <w:r>
        <w:fldChar w:fldCharType="end"/>
      </w:r>
    </w:p>
    <w:p w14:paraId="7D763347" w14:textId="60937A41" w:rsidR="005C5495" w:rsidRDefault="00A511EA" w:rsidP="005C5495">
      <w:pPr>
        <w:jc w:val="both"/>
      </w:pPr>
      <w:bookmarkStart w:id="135" w:name="_Hlk54165273"/>
      <w:r>
        <w:lastRenderedPageBreak/>
        <w:t>The main categories of intervention are ‘brief intervention’ and ‘full intervention’, with additional ‘facilitation’ to other health and wellbeing services as appropriate</w:t>
      </w:r>
      <w:r w:rsidR="00455CDC">
        <w:t>,</w:t>
      </w:r>
      <w:r>
        <w:t xml:space="preserve"> and follow up</w:t>
      </w:r>
      <w:r w:rsidR="00455CDC">
        <w:t xml:space="preserve"> telephone sessions to </w:t>
      </w:r>
      <w:r w:rsidR="00455CDC" w:rsidRPr="00455CDC">
        <w:t>assess progress, reinforce learnings and reengage treatment if necessary</w:t>
      </w:r>
      <w:r>
        <w:t>. Brief interventions are short one-on-one motivational interview style sessions, delivered opportunistically in community setting</w:t>
      </w:r>
      <w:r w:rsidR="00C25877">
        <w:t>s</w:t>
      </w:r>
      <w:r>
        <w:t xml:space="preserve">. The purpose is to </w:t>
      </w:r>
      <w:r w:rsidRPr="00A511EA">
        <w:t>engag</w:t>
      </w:r>
      <w:r>
        <w:t>e</w:t>
      </w:r>
      <w:r w:rsidRPr="00A511EA">
        <w:t xml:space="preserve"> with people at risk of gambling harm and encourag</w:t>
      </w:r>
      <w:r>
        <w:t>e</w:t>
      </w:r>
      <w:r w:rsidRPr="00A511EA">
        <w:t xml:space="preserve"> them to recognise the potential impacts of their own or another’s gambling behaviour on their life</w:t>
      </w:r>
      <w:r>
        <w:t xml:space="preserve"> and make change</w:t>
      </w:r>
      <w:r w:rsidRPr="00A511EA">
        <w:t>.</w:t>
      </w:r>
      <w:r>
        <w:t xml:space="preserve"> </w:t>
      </w:r>
      <w:r w:rsidR="005C5495">
        <w:t>Full intervention involves</w:t>
      </w:r>
      <w:r w:rsidR="005C5495" w:rsidRPr="005C5495">
        <w:t xml:space="preserve"> work</w:t>
      </w:r>
      <w:r w:rsidR="005C5495">
        <w:t xml:space="preserve">ing </w:t>
      </w:r>
      <w:r w:rsidR="005C5495" w:rsidRPr="005C5495">
        <w:t>with people experiencing harm from their own or someone else’s gambling</w:t>
      </w:r>
      <w:r w:rsidR="005C5495">
        <w:t>, and who acknowledge the harms and “</w:t>
      </w:r>
      <w:r w:rsidR="005C5495" w:rsidRPr="005C5495">
        <w:t>have made some commitment to seeking support from a specialist gambling harm service</w:t>
      </w:r>
      <w:r w:rsidR="005C5495">
        <w:t xml:space="preserve">” </w:t>
      </w:r>
      <w:r w:rsidR="005C5495">
        <w:fldChar w:fldCharType="begin"/>
      </w:r>
      <w:r w:rsidR="005C5495">
        <w:instrText xml:space="preserve"> ADDIN EN.CITE &lt;EndNote&gt;&lt;Cite&gt;&lt;Author&gt;Ministry of Health&lt;/Author&gt;&lt;Year&gt;2019&lt;/Year&gt;&lt;RecNum&gt;223&lt;/RecNum&gt;&lt;Pages&gt;33&lt;/Pages&gt;&lt;DisplayText&gt;(Ministry of Health, 2019, p. 33)&lt;/DisplayText&gt;&lt;record&gt;&lt;rec-number&gt;223&lt;/rec-number&gt;&lt;foreign-keys&gt;&lt;key app="EN" db-id="25rszwft292ev3esrpvpde0cpxrd9ex0xspp" timestamp="1588887840"&gt;223&lt;/key&gt;&lt;/foreign-keys&gt;&lt;ref-type name="Report"&gt;27&lt;/ref-type&gt;&lt;contributors&gt;&lt;authors&gt;&lt;author&gt;Ministry of Health,&lt;/author&gt;&lt;/authors&gt;&lt;/contributors&gt;&lt;titles&gt;&lt;title&gt;Preventing and Minimising Gambling Harm: Practitioner’s Guide&lt;/title&gt;&lt;/titles&gt;&lt;dates&gt;&lt;year&gt;2019&lt;/year&gt;&lt;/dates&gt;&lt;pub-location&gt;Wellington&lt;/pub-location&gt;&lt;publisher&gt;Ministry of Health&lt;/publisher&gt;&lt;urls&gt;&lt;/urls&gt;&lt;/record&gt;&lt;/Cite&gt;&lt;/EndNote&gt;</w:instrText>
      </w:r>
      <w:r w:rsidR="005C5495">
        <w:fldChar w:fldCharType="separate"/>
      </w:r>
      <w:r w:rsidR="005C5495">
        <w:rPr>
          <w:noProof/>
        </w:rPr>
        <w:t>(Ministry of Health, 2019, p. 33)</w:t>
      </w:r>
      <w:r w:rsidR="005C5495">
        <w:fldChar w:fldCharType="end"/>
      </w:r>
      <w:r w:rsidR="005C5495">
        <w:t>.</w:t>
      </w:r>
      <w:bookmarkEnd w:id="135"/>
      <w:r w:rsidR="005C5495">
        <w:t xml:space="preserve"> Full intervention is positioned as a “complex service” </w:t>
      </w:r>
      <w:r w:rsidR="00C25877">
        <w:t>and</w:t>
      </w:r>
      <w:r w:rsidR="005C5495">
        <w:t xml:space="preserve"> the “foundation of an intervention service”, comprised of five key parts, including screening, developing an intervention or treatment plan, relapse prevention, planning for exit and “working with family/whānau/affected others” </w:t>
      </w:r>
      <w:r w:rsidR="005C5495">
        <w:fldChar w:fldCharType="begin"/>
      </w:r>
      <w:r w:rsidR="005C5495">
        <w:instrText xml:space="preserve"> ADDIN EN.CITE &lt;EndNote&gt;&lt;Cite&gt;&lt;Author&gt;Ministry of Health&lt;/Author&gt;&lt;Year&gt;2019&lt;/Year&gt;&lt;RecNum&gt;223&lt;/RecNum&gt;&lt;Pages&gt;33&lt;/Pages&gt;&lt;DisplayText&gt;(Ministry of Health, 2019, p. 33)&lt;/DisplayText&gt;&lt;record&gt;&lt;rec-number&gt;223&lt;/rec-number&gt;&lt;foreign-keys&gt;&lt;key app="EN" db-id="25rszwft292ev3esrpvpde0cpxrd9ex0xspp" timestamp="1588887840"&gt;223&lt;/key&gt;&lt;/foreign-keys&gt;&lt;ref-type name="Report"&gt;27&lt;/ref-type&gt;&lt;contributors&gt;&lt;authors&gt;&lt;author&gt;Ministry of Health,&lt;/author&gt;&lt;/authors&gt;&lt;/contributors&gt;&lt;titles&gt;&lt;title&gt;Preventing and Minimising Gambling Harm: Practitioner’s Guide&lt;/title&gt;&lt;/titles&gt;&lt;dates&gt;&lt;year&gt;2019&lt;/year&gt;&lt;/dates&gt;&lt;pub-location&gt;Wellington&lt;/pub-location&gt;&lt;publisher&gt;Ministry of Health&lt;/publisher&gt;&lt;urls&gt;&lt;/urls&gt;&lt;/record&gt;&lt;/Cite&gt;&lt;/EndNote&gt;</w:instrText>
      </w:r>
      <w:r w:rsidR="005C5495">
        <w:fldChar w:fldCharType="separate"/>
      </w:r>
      <w:r w:rsidR="005C5495">
        <w:rPr>
          <w:noProof/>
        </w:rPr>
        <w:t>(Ministry of Health, 2019, p. 33)</w:t>
      </w:r>
      <w:r w:rsidR="005C5495">
        <w:fldChar w:fldCharType="end"/>
      </w:r>
      <w:r w:rsidR="005C5495">
        <w:t xml:space="preserve">. </w:t>
      </w:r>
      <w:r w:rsidR="003B04E5">
        <w:t>Fr</w:t>
      </w:r>
      <w:r w:rsidR="005C5495">
        <w:t xml:space="preserve">aming of full intervention around addressing the needs of the individual who is gambling is evident. </w:t>
      </w:r>
    </w:p>
    <w:p w14:paraId="6AE067BD" w14:textId="77777777" w:rsidR="006E660E" w:rsidRDefault="006E660E" w:rsidP="006E660E">
      <w:pPr>
        <w:jc w:val="both"/>
        <w:rPr>
          <w:u w:val="single"/>
        </w:rPr>
      </w:pPr>
    </w:p>
    <w:p w14:paraId="4B6B48AB" w14:textId="53B892B1" w:rsidR="006E660E" w:rsidRPr="00D07A53" w:rsidRDefault="006E660E" w:rsidP="006E660E">
      <w:pPr>
        <w:jc w:val="both"/>
        <w:rPr>
          <w:u w:val="single"/>
        </w:rPr>
      </w:pPr>
      <w:r w:rsidRPr="00D07A53">
        <w:rPr>
          <w:u w:val="single"/>
        </w:rPr>
        <w:t xml:space="preserve">The CLIC database </w:t>
      </w:r>
    </w:p>
    <w:p w14:paraId="0FB359FF" w14:textId="15A53030" w:rsidR="00366428" w:rsidRDefault="006E660E" w:rsidP="00366428">
      <w:pPr>
        <w:jc w:val="both"/>
      </w:pPr>
      <w:r>
        <w:t xml:space="preserve">MOH funded intervention services collect and submit minimal client data to a MOH held and managed a </w:t>
      </w:r>
      <w:r w:rsidRPr="00365293">
        <w:t xml:space="preserve">Client Information Collection </w:t>
      </w:r>
      <w:r>
        <w:t xml:space="preserve">(CLIC) </w:t>
      </w:r>
      <w:r w:rsidRPr="00365293">
        <w:t>database</w:t>
      </w:r>
      <w:r>
        <w:t xml:space="preserve"> </w:t>
      </w:r>
      <w:r>
        <w:fldChar w:fldCharType="begin"/>
      </w:r>
      <w:r w:rsidR="002B56C5">
        <w:instrText xml:space="preserve"> ADDIN EN.CITE &lt;EndNote&gt;&lt;Cite&gt;&lt;Author&gt;Ministry of Health&lt;/Author&gt;&lt;Year&gt;2012&lt;/Year&gt;&lt;RecNum&gt;325&lt;/RecNum&gt;&lt;DisplayText&gt;(Ministry of Health, 2012a, 2019)&lt;/DisplayText&gt;&lt;record&gt;&lt;rec-number&gt;325&lt;/rec-number&gt;&lt;foreign-keys&gt;&lt;key app="EN" db-id="25rszwft292ev3esrpvpde0cpxrd9ex0xspp" timestamp="1602033201"&gt;325&lt;/key&gt;&lt;/foreign-keys&gt;&lt;ref-type name="Report"&gt;27&lt;/ref-type&gt;&lt;contributors&gt;&lt;authors&gt;&lt;author&gt;Ministry of Health,&lt;/author&gt;&lt;/authors&gt;&lt;/contributors&gt;&lt;titles&gt;&lt;title&gt;Problem gambling service: Data management manual v1.2&lt;/title&gt;&lt;/titles&gt;&lt;dates&gt;&lt;year&gt;2012&lt;/year&gt;&lt;/dates&gt;&lt;pub-location&gt;Wellington&lt;/pub-location&gt;&lt;publisher&gt;Ministry of Health &lt;/publisher&gt;&lt;urls&gt;&lt;/urls&gt;&lt;/record&gt;&lt;/Cite&gt;&lt;Cite&gt;&lt;Author&gt;Ministry of Health&lt;/Author&gt;&lt;Year&gt;2019&lt;/Year&gt;&lt;RecNum&gt;223&lt;/RecNum&gt;&lt;record&gt;&lt;rec-number&gt;223&lt;/rec-number&gt;&lt;foreign-keys&gt;&lt;key app="EN" db-id="25rszwft292ev3esrpvpde0cpxrd9ex0xspp" timestamp="1588887840"&gt;223&lt;/key&gt;&lt;/foreign-keys&gt;&lt;ref-type name="Report"&gt;27&lt;/ref-type&gt;&lt;contributors&gt;&lt;authors&gt;&lt;author&gt;Ministry of Health,&lt;/author&gt;&lt;/authors&gt;&lt;/contributors&gt;&lt;titles&gt;&lt;title&gt;Preventing and Minimising Gambling Harm: Practitioner’s Guide&lt;/title&gt;&lt;/titles&gt;&lt;dates&gt;&lt;year&gt;2019&lt;/year&gt;&lt;/dates&gt;&lt;pub-location&gt;Wellington&lt;/pub-location&gt;&lt;publisher&gt;Ministry of Health&lt;/publisher&gt;&lt;urls&gt;&lt;/urls&gt;&lt;/record&gt;&lt;/Cite&gt;&lt;/EndNote&gt;</w:instrText>
      </w:r>
      <w:r>
        <w:fldChar w:fldCharType="separate"/>
      </w:r>
      <w:r w:rsidR="002B56C5">
        <w:rPr>
          <w:noProof/>
        </w:rPr>
        <w:t>(Ministry of Health, 2012a, 2019)</w:t>
      </w:r>
      <w:r>
        <w:fldChar w:fldCharType="end"/>
      </w:r>
      <w:r>
        <w:t xml:space="preserve">. CLIC is a service contract management tool. Data </w:t>
      </w:r>
      <w:r w:rsidR="00455CDC">
        <w:t>are</w:t>
      </w:r>
      <w:r>
        <w:t xml:space="preserve"> collected about clients, and in relation to ever</w:t>
      </w:r>
      <w:r w:rsidR="00455CDC">
        <w:t>y</w:t>
      </w:r>
      <w:r>
        <w:t xml:space="preserve"> brief and full intervention delivered. Only clients who screen positive for gambling harm </w:t>
      </w:r>
      <w:r w:rsidR="00455CDC">
        <w:t xml:space="preserve">using the screening tools outlined below </w:t>
      </w:r>
      <w:r>
        <w:t>are included in the database. CLIC variables relevant to clients include: gender, age, ethnicity</w:t>
      </w:r>
      <w:r w:rsidR="001A1E56">
        <w:t xml:space="preserve"> and</w:t>
      </w:r>
      <w:r>
        <w:t xml:space="preserve"> area of residence. </w:t>
      </w:r>
      <w:r w:rsidR="001A1E56">
        <w:t xml:space="preserve">Key </w:t>
      </w:r>
      <w:r>
        <w:t>CLIC variables describing sessions include: session type (brief or full), session focus (</w:t>
      </w:r>
      <w:r w:rsidR="001A1E56">
        <w:t xml:space="preserve">gambler or affected other), mode of gambling causing the harm, </w:t>
      </w:r>
      <w:r>
        <w:t>persons in attendance (e.g. individual, couple, family, group), medium (face to face, telephone), date and duration</w:t>
      </w:r>
      <w:r w:rsidR="00366428">
        <w:t xml:space="preserve">, and </w:t>
      </w:r>
      <w:r w:rsidR="001A1E56">
        <w:t>service setting.</w:t>
      </w:r>
      <w:r w:rsidR="001A1E56" w:rsidRPr="001A1E56">
        <w:t xml:space="preserve"> </w:t>
      </w:r>
      <w:r w:rsidR="00366428">
        <w:t xml:space="preserve">There is a total of sixteen screens included in the CLIC database, which are categorised according to the type of session in which they are delivered, and the focus of the session (either on the client as FAO or gambler). A brief description of these screens is as follows </w:t>
      </w:r>
      <w:r w:rsidR="00366428">
        <w:fldChar w:fldCharType="begin"/>
      </w:r>
      <w:r w:rsidR="00366428">
        <w:instrText xml:space="preserve"> ADDIN EN.CITE &lt;EndNote&gt;&lt;Cite&gt;&lt;Author&gt;Ministry of Health&lt;/Author&gt;&lt;Year&gt;2019&lt;/Year&gt;&lt;RecNum&gt;223&lt;/RecNum&gt;&lt;Prefix&gt;see &lt;/Prefix&gt;&lt;Pages&gt; for detail&lt;/Pages&gt;&lt;DisplayText&gt;(see Ministry of Health, 2019, p. for detail)&lt;/DisplayText&gt;&lt;record&gt;&lt;rec-number&gt;223&lt;/rec-number&gt;&lt;foreign-keys&gt;&lt;key app="EN" db-id="25rszwft292ev3esrpvpde0cpxrd9ex0xspp" timestamp="1588887840"&gt;223&lt;/key&gt;&lt;/foreign-keys&gt;&lt;ref-type name="Report"&gt;27&lt;/ref-type&gt;&lt;contributors&gt;&lt;authors&gt;&lt;author&gt;Ministry of Health,&lt;/author&gt;&lt;/authors&gt;&lt;/contributors&gt;&lt;titles&gt;&lt;title&gt;Preventing and Minimising Gambling Harm: Practitioner’s Guide&lt;/title&gt;&lt;/titles&gt;&lt;dates&gt;&lt;year&gt;2019&lt;/year&gt;&lt;/dates&gt;&lt;pub-location&gt;Wellington&lt;/pub-location&gt;&lt;publisher&gt;Ministry of Health&lt;/publisher&gt;&lt;urls&gt;&lt;/urls&gt;&lt;/record&gt;&lt;/Cite&gt;&lt;/EndNote&gt;</w:instrText>
      </w:r>
      <w:r w:rsidR="00366428">
        <w:fldChar w:fldCharType="separate"/>
      </w:r>
      <w:r w:rsidR="00366428">
        <w:rPr>
          <w:noProof/>
        </w:rPr>
        <w:t>(see Ministry of Health, 2019, p. for detail)</w:t>
      </w:r>
      <w:r w:rsidR="00366428">
        <w:fldChar w:fldCharType="end"/>
      </w:r>
      <w:r w:rsidR="00366428">
        <w:t>:</w:t>
      </w:r>
    </w:p>
    <w:p w14:paraId="6E903D9D" w14:textId="77777777" w:rsidR="00366428" w:rsidRDefault="00366428" w:rsidP="00366428">
      <w:pPr>
        <w:jc w:val="both"/>
      </w:pPr>
    </w:p>
    <w:p w14:paraId="2E988FCB" w14:textId="77777777" w:rsidR="00366428" w:rsidRDefault="00366428" w:rsidP="00366428">
      <w:pPr>
        <w:jc w:val="both"/>
      </w:pPr>
      <w:r>
        <w:t>Brief intervention screens:</w:t>
      </w:r>
    </w:p>
    <w:p w14:paraId="2DD13DFB" w14:textId="77777777" w:rsidR="00366428" w:rsidRDefault="00366428" w:rsidP="00366428">
      <w:pPr>
        <w:pStyle w:val="ListParagraph"/>
        <w:numPr>
          <w:ilvl w:val="0"/>
          <w:numId w:val="28"/>
        </w:numPr>
        <w:jc w:val="both"/>
      </w:pPr>
      <w:r>
        <w:t>FAO Awareness – Identifies whether the FAO client is aware of their significant others gambling, and whether they have been affected by their gambling either presently, or in the past.</w:t>
      </w:r>
    </w:p>
    <w:p w14:paraId="4F439ADA" w14:textId="77777777" w:rsidR="00366428" w:rsidRDefault="00366428" w:rsidP="00366428">
      <w:pPr>
        <w:pStyle w:val="ListParagraph"/>
        <w:numPr>
          <w:ilvl w:val="0"/>
          <w:numId w:val="28"/>
        </w:numPr>
        <w:jc w:val="both"/>
      </w:pPr>
      <w:r>
        <w:t xml:space="preserve">FAO Effects – Identifies the effect that the FAO client significant other’s gambling has on them, including effects on health, concerns around safety for themselves or their family, and financial concerns. </w:t>
      </w:r>
    </w:p>
    <w:p w14:paraId="6F9880C6" w14:textId="77777777" w:rsidR="00366428" w:rsidRDefault="00366428" w:rsidP="00366428">
      <w:pPr>
        <w:pStyle w:val="ListParagraph"/>
        <w:numPr>
          <w:ilvl w:val="0"/>
          <w:numId w:val="28"/>
        </w:numPr>
        <w:jc w:val="both"/>
      </w:pPr>
      <w:r>
        <w:t xml:space="preserve">Brief Gambler Screen – Identifies whether an individual has experienced problems with their own gambling, either presently or in the past. </w:t>
      </w:r>
    </w:p>
    <w:p w14:paraId="48911521" w14:textId="77777777" w:rsidR="00366428" w:rsidRDefault="00366428" w:rsidP="00366428">
      <w:pPr>
        <w:jc w:val="both"/>
      </w:pPr>
    </w:p>
    <w:p w14:paraId="00E46DBB" w14:textId="77777777" w:rsidR="00366428" w:rsidRDefault="00366428" w:rsidP="00366428">
      <w:pPr>
        <w:jc w:val="both"/>
      </w:pPr>
      <w:r>
        <w:t>Full intervention screens:</w:t>
      </w:r>
    </w:p>
    <w:p w14:paraId="56525122" w14:textId="77777777" w:rsidR="00366428" w:rsidRDefault="00366428" w:rsidP="00366428">
      <w:pPr>
        <w:pStyle w:val="ListParagraph"/>
        <w:numPr>
          <w:ilvl w:val="0"/>
          <w:numId w:val="29"/>
        </w:numPr>
        <w:jc w:val="both"/>
      </w:pPr>
      <w:r>
        <w:lastRenderedPageBreak/>
        <w:t>FAO Effects - Identifies the effect that the FAO client significant other’s gambling has on them, including effects on health, concerns around safety for themselves or their family, and financial concerns.</w:t>
      </w:r>
    </w:p>
    <w:p w14:paraId="2EFF7A04" w14:textId="77777777" w:rsidR="00366428" w:rsidRDefault="00366428" w:rsidP="00366428">
      <w:pPr>
        <w:pStyle w:val="ListParagraph"/>
        <w:numPr>
          <w:ilvl w:val="0"/>
          <w:numId w:val="28"/>
        </w:numPr>
        <w:jc w:val="both"/>
      </w:pPr>
      <w:r>
        <w:t>FAO Awareness - Identifies whether the FAO client is aware of their significant others gambling, and whether they have been affected by their gambling either presently, or in the past.</w:t>
      </w:r>
    </w:p>
    <w:p w14:paraId="19F8C9A4" w14:textId="77777777" w:rsidR="00366428" w:rsidRDefault="00366428" w:rsidP="00366428">
      <w:pPr>
        <w:pStyle w:val="ListParagraph"/>
        <w:numPr>
          <w:ilvl w:val="0"/>
          <w:numId w:val="29"/>
        </w:numPr>
        <w:jc w:val="both"/>
      </w:pPr>
      <w:r>
        <w:t>FAO Outcome – Coping – Identifies whether the FAO client is coping with their significant other’s gambling or not.</w:t>
      </w:r>
    </w:p>
    <w:p w14:paraId="785C586A" w14:textId="77777777" w:rsidR="00366428" w:rsidRDefault="00366428" w:rsidP="00366428">
      <w:pPr>
        <w:pStyle w:val="ListParagraph"/>
        <w:numPr>
          <w:ilvl w:val="0"/>
          <w:numId w:val="29"/>
        </w:numPr>
        <w:jc w:val="both"/>
      </w:pPr>
      <w:r>
        <w:t xml:space="preserve">FAO Outcome – Frequency – Identifies the frequency at which the FAO client’s significant other engages in gambling activity. </w:t>
      </w:r>
    </w:p>
    <w:p w14:paraId="09B8D16C" w14:textId="77777777" w:rsidR="00366428" w:rsidRDefault="00366428" w:rsidP="00366428">
      <w:pPr>
        <w:pStyle w:val="ListParagraph"/>
        <w:numPr>
          <w:ilvl w:val="0"/>
          <w:numId w:val="29"/>
        </w:numPr>
        <w:jc w:val="both"/>
      </w:pPr>
      <w:r>
        <w:t xml:space="preserve">Suicidality – Identifies whether or not clients are at risk of hurting themselves, according to whether they have had just thoughts, or if they have considered or executed a plan within the last 12 months. </w:t>
      </w:r>
    </w:p>
    <w:p w14:paraId="1246D9E7" w14:textId="77777777" w:rsidR="00366428" w:rsidRDefault="00366428" w:rsidP="00366428">
      <w:pPr>
        <w:pStyle w:val="ListParagraph"/>
        <w:numPr>
          <w:ilvl w:val="0"/>
          <w:numId w:val="29"/>
        </w:numPr>
        <w:jc w:val="both"/>
      </w:pPr>
      <w:r>
        <w:t xml:space="preserve">Depression – Identifies clients who may be experiencing symptoms of depression. </w:t>
      </w:r>
    </w:p>
    <w:p w14:paraId="43223933" w14:textId="77777777" w:rsidR="00366428" w:rsidRDefault="00366428" w:rsidP="00366428">
      <w:pPr>
        <w:pStyle w:val="ListParagraph"/>
        <w:numPr>
          <w:ilvl w:val="0"/>
          <w:numId w:val="29"/>
        </w:numPr>
        <w:jc w:val="both"/>
      </w:pPr>
      <w:r>
        <w:t xml:space="preserve">Family/whanau concern – Identifies whether a member of the clients’ family or whanau expressed concern about them in the last 12 months. </w:t>
      </w:r>
    </w:p>
    <w:p w14:paraId="12F941E8" w14:textId="77777777" w:rsidR="00366428" w:rsidRDefault="00366428" w:rsidP="00366428">
      <w:pPr>
        <w:pStyle w:val="ListParagraph"/>
        <w:numPr>
          <w:ilvl w:val="0"/>
          <w:numId w:val="29"/>
        </w:numPr>
        <w:jc w:val="both"/>
      </w:pPr>
      <w:r>
        <w:t>Alcohol Use – Determines whether an individual is at risk of experiencing harm from drinking.</w:t>
      </w:r>
    </w:p>
    <w:p w14:paraId="7F6215BA" w14:textId="77777777" w:rsidR="00366428" w:rsidRDefault="00366428" w:rsidP="00366428">
      <w:pPr>
        <w:pStyle w:val="ListParagraph"/>
        <w:numPr>
          <w:ilvl w:val="0"/>
          <w:numId w:val="29"/>
        </w:numPr>
        <w:jc w:val="both"/>
      </w:pPr>
      <w:r>
        <w:t>Drug Use – Identifies whether or not clients have used prescription or other drugs in the past 12 months, though this does not specify if this use must be recreational or not.</w:t>
      </w:r>
    </w:p>
    <w:p w14:paraId="70E88677" w14:textId="77777777" w:rsidR="00366428" w:rsidRDefault="00366428" w:rsidP="00366428">
      <w:pPr>
        <w:pStyle w:val="ListParagraph"/>
        <w:numPr>
          <w:ilvl w:val="0"/>
          <w:numId w:val="29"/>
        </w:numPr>
        <w:jc w:val="both"/>
      </w:pPr>
      <w:r>
        <w:t xml:space="preserve">Gambler Harm – Assesses individuals based on the frequency that they experience gambling harm over the past 12 months. PGSI. </w:t>
      </w:r>
    </w:p>
    <w:p w14:paraId="237B73DA" w14:textId="77777777" w:rsidR="00366428" w:rsidRDefault="00366428" w:rsidP="00366428">
      <w:pPr>
        <w:pStyle w:val="ListParagraph"/>
        <w:numPr>
          <w:ilvl w:val="0"/>
          <w:numId w:val="29"/>
        </w:numPr>
        <w:jc w:val="both"/>
      </w:pPr>
      <w:r>
        <w:t>Gambler Control – Measures how much control the individual perceives to have over their own gambling.</w:t>
      </w:r>
    </w:p>
    <w:p w14:paraId="521825F8" w14:textId="77777777" w:rsidR="00366428" w:rsidRDefault="00366428" w:rsidP="00366428">
      <w:pPr>
        <w:pStyle w:val="ListParagraph"/>
        <w:numPr>
          <w:ilvl w:val="0"/>
          <w:numId w:val="29"/>
        </w:numPr>
        <w:jc w:val="both"/>
      </w:pPr>
      <w:r>
        <w:t>Gambler Dollars Lost – Measures how much money a client has lost to gambling over the last month.</w:t>
      </w:r>
    </w:p>
    <w:p w14:paraId="60D61368" w14:textId="77777777" w:rsidR="00366428" w:rsidRDefault="00366428" w:rsidP="001A1E56">
      <w:pPr>
        <w:jc w:val="both"/>
      </w:pPr>
    </w:p>
    <w:p w14:paraId="082A07B9" w14:textId="6DB16B89" w:rsidR="001A1E56" w:rsidRPr="00901AA1" w:rsidRDefault="00901AA1" w:rsidP="001A1E56">
      <w:pPr>
        <w:jc w:val="both"/>
      </w:pPr>
      <w:r>
        <w:t xml:space="preserve">The Ministry of Health endorses screening practices for brief and full intervention to ensure that gambling harm and associated issues are asked about and </w:t>
      </w:r>
      <w:r w:rsidR="00455CDC">
        <w:t xml:space="preserve">to </w:t>
      </w:r>
      <w:r>
        <w:t xml:space="preserve">create space for feedback and discussion of gambling and related issues. </w:t>
      </w:r>
      <w:r w:rsidRPr="00A26A21">
        <w:t xml:space="preserve">Screens are used to identify clients who </w:t>
      </w:r>
      <w:r>
        <w:t>are experiencing</w:t>
      </w:r>
      <w:r w:rsidRPr="00A26A21">
        <w:t xml:space="preserve"> </w:t>
      </w:r>
      <w:r>
        <w:t>more than one issue</w:t>
      </w:r>
      <w:r w:rsidRPr="00A26A21">
        <w:t xml:space="preserve"> and </w:t>
      </w:r>
      <w:r>
        <w:t xml:space="preserve">who may </w:t>
      </w:r>
      <w:r w:rsidRPr="00A26A21">
        <w:t>benefit from facilitation to another service, and in follow-up for measuring outcomes</w:t>
      </w:r>
      <w:r>
        <w:t xml:space="preserve"> </w:t>
      </w:r>
      <w:r>
        <w:fldChar w:fldCharType="begin"/>
      </w:r>
      <w:r>
        <w:instrText xml:space="preserve"> ADDIN EN.CITE &lt;EndNote&gt;&lt;Cite&gt;&lt;Author&gt;Ministry of Health&lt;/Author&gt;&lt;Year&gt;2019&lt;/Year&gt;&lt;RecNum&gt;223&lt;/RecNum&gt;&lt;DisplayText&gt;(Ministry of Health, 2019)&lt;/DisplayText&gt;&lt;record&gt;&lt;rec-number&gt;223&lt;/rec-number&gt;&lt;foreign-keys&gt;&lt;key app="EN" db-id="25rszwft292ev3esrpvpde0cpxrd9ex0xspp" timestamp="1588887840"&gt;223&lt;/key&gt;&lt;/foreign-keys&gt;&lt;ref-type name="Report"&gt;27&lt;/ref-type&gt;&lt;contributors&gt;&lt;authors&gt;&lt;author&gt;Ministry of Health,&lt;/author&gt;&lt;/authors&gt;&lt;/contributors&gt;&lt;titles&gt;&lt;title&gt;Preventing and Minimising Gambling Harm: Practitioner’s Guide&lt;/title&gt;&lt;/titles&gt;&lt;dates&gt;&lt;year&gt;2019&lt;/year&gt;&lt;/dates&gt;&lt;pub-location&gt;Wellington&lt;/pub-location&gt;&lt;publisher&gt;Ministry of Health&lt;/publisher&gt;&lt;urls&gt;&lt;/urls&gt;&lt;/record&gt;&lt;/Cite&gt;&lt;/EndNote&gt;</w:instrText>
      </w:r>
      <w:r>
        <w:fldChar w:fldCharType="separate"/>
      </w:r>
      <w:r>
        <w:rPr>
          <w:noProof/>
        </w:rPr>
        <w:t>(Ministry of Health, 2019)</w:t>
      </w:r>
      <w:r>
        <w:fldChar w:fldCharType="end"/>
      </w:r>
      <w:r>
        <w:t xml:space="preserve">. </w:t>
      </w:r>
      <w:r w:rsidR="00354A8F">
        <w:t xml:space="preserve">At present CLIC is not well designed to measure client outcomes through screening results </w:t>
      </w:r>
      <w:r w:rsidR="00354A8F">
        <w:fldChar w:fldCharType="begin"/>
      </w:r>
      <w:r w:rsidR="00354A8F">
        <w:instrText xml:space="preserve"> ADDIN EN.CITE &lt;EndNote&gt;&lt;Cite&gt;&lt;Author&gt;Kolandai-Matchett&lt;/Author&gt;&lt;Year&gt;2015&lt;/Year&gt;&lt;RecNum&gt;43&lt;/RecNum&gt;&lt;DisplayText&gt;(Kolandai-Matchett et al., 2015)&lt;/DisplayText&gt;&lt;record&gt;&lt;rec-number&gt;43&lt;/rec-number&gt;&lt;foreign-keys&gt;&lt;key app="EN" db-id="25rszwft292ev3esrpvpde0cpxrd9ex0xspp" timestamp="1550440518"&gt;43&lt;/key&gt;&lt;/foreign-keys&gt;&lt;ref-type name="Report"&gt;27&lt;/ref-type&gt;&lt;contributors&gt;&lt;authors&gt;&lt;author&gt;Kolandai-Matchett, Komathi&lt;/author&gt;&lt;author&gt;Landon, Jason&lt;/author&gt;&lt;author&gt;Bellringer, Maria&lt;/author&gt;&lt;author&gt;Garrett, Nick&lt;/author&gt;&lt;author&gt;Mundy-McPherson, Stuart&lt;/author&gt;&lt;author&gt;Abbott, Max&lt;/author&gt;&lt;author&gt;Haapu, Brylee&lt;/author&gt;&lt;author&gt;Cumming, Souella&lt;/author&gt;&lt;/authors&gt;&lt;/contributors&gt;&lt;titles&gt;&lt;title&gt;Evaluation and clinical audit of problem gambling intervention and public health services&lt;/title&gt;&lt;/titles&gt;&lt;dates&gt;&lt;year&gt;2015&lt;/year&gt;&lt;/dates&gt;&lt;pub-location&gt;Auckland&lt;/pub-location&gt;&lt;publisher&gt;Gambling and Addictions Research Centre, AUT University&lt;/publisher&gt;&lt;urls&gt;&lt;/urls&gt;&lt;/record&gt;&lt;/Cite&gt;&lt;/EndNote&gt;</w:instrText>
      </w:r>
      <w:r w:rsidR="00354A8F">
        <w:fldChar w:fldCharType="separate"/>
      </w:r>
      <w:r w:rsidR="00354A8F">
        <w:rPr>
          <w:noProof/>
        </w:rPr>
        <w:t>(Kolandai-Matchett et al., 2015)</w:t>
      </w:r>
      <w:r w:rsidR="00354A8F">
        <w:fldChar w:fldCharType="end"/>
      </w:r>
      <w:r w:rsidR="00354A8F">
        <w:t xml:space="preserve">. </w:t>
      </w:r>
      <w:r w:rsidR="00366428" w:rsidRPr="00366428">
        <w:t xml:space="preserve">For </w:t>
      </w:r>
      <w:r w:rsidR="000B2628">
        <w:t>most</w:t>
      </w:r>
      <w:r w:rsidR="00366428" w:rsidRPr="00366428">
        <w:t xml:space="preserve"> </w:t>
      </w:r>
      <w:r w:rsidR="00354A8F">
        <w:t xml:space="preserve">FAO </w:t>
      </w:r>
      <w:r w:rsidR="00366428" w:rsidRPr="00366428">
        <w:t>screens</w:t>
      </w:r>
      <w:r w:rsidR="00354A8F">
        <w:t>, results are not recorded in CLIC. For example, for t</w:t>
      </w:r>
      <w:r w:rsidR="00366428" w:rsidRPr="00366428">
        <w:t>he Family/Affected Other Effect Screen, clients are able to indicate one or more ways in which their significant other’s gambling affects them, however the nature of the harms selected is not recorded in the CLIC database.</w:t>
      </w:r>
      <w:r w:rsidR="00366428">
        <w:t xml:space="preserve"> </w:t>
      </w:r>
      <w:r w:rsidR="001A1E56">
        <w:t>The structure of the CLIC database means that clients may have sessions which focus on issues surrounding their own gambling recorded, sessions which focus on their needs as family or affected others, or both</w:t>
      </w:r>
      <w:r w:rsidR="001A1E56" w:rsidRPr="00216B7B">
        <w:t>.</w:t>
      </w:r>
      <w:r w:rsidR="001A1E56">
        <w:t xml:space="preserve"> </w:t>
      </w:r>
      <w:bookmarkStart w:id="136" w:name="_Hlk53054401"/>
      <w:r w:rsidR="001A1E56">
        <w:t xml:space="preserve">CLIC data provides indicative information about how services work and engage with clients for funding accountability purposes </w:t>
      </w:r>
      <w:r w:rsidR="001A1E56">
        <w:fldChar w:fldCharType="begin"/>
      </w:r>
      <w:r w:rsidR="001A1E56">
        <w:instrText xml:space="preserve"> ADDIN EN.CITE &lt;EndNote&gt;&lt;Cite&gt;&lt;Author&gt;Kolandai-Matchett&lt;/Author&gt;&lt;Year&gt;2015&lt;/Year&gt;&lt;RecNum&gt;43&lt;/RecNum&gt;&lt;DisplayText&gt;(Kolandai-Matchett et al., 2015)&lt;/DisplayText&gt;&lt;record&gt;&lt;rec-number&gt;43&lt;/rec-number&gt;&lt;foreign-keys&gt;&lt;key app="EN" db-id="25rszwft292ev3esrpvpde0cpxrd9ex0xspp" timestamp="1550440518"&gt;43&lt;/key&gt;&lt;/foreign-keys&gt;&lt;ref-type name="Report"&gt;27&lt;/ref-type&gt;&lt;contributors&gt;&lt;authors&gt;&lt;author&gt;Kolandai-Matchett, Komathi&lt;/author&gt;&lt;author&gt;Landon, Jason&lt;/author&gt;&lt;author&gt;Bellringer, Maria&lt;/author&gt;&lt;author&gt;Garrett, Nick&lt;/author&gt;&lt;author&gt;Mundy-McPherson, Stuart&lt;/author&gt;&lt;author&gt;Abbott, Max&lt;/author&gt;&lt;author&gt;Haapu, Brylee&lt;/author&gt;&lt;author&gt;Cumming, Souella&lt;/author&gt;&lt;/authors&gt;&lt;/contributors&gt;&lt;titles&gt;&lt;title&gt;Evaluation and clinical audit of problem gambling intervention and public health services&lt;/title&gt;&lt;/titles&gt;&lt;dates&gt;&lt;year&gt;2015&lt;/year&gt;&lt;/dates&gt;&lt;pub-location&gt;Auckland&lt;/pub-location&gt;&lt;publisher&gt;Gambling and Addictions Research Centre, AUT University&lt;/publisher&gt;&lt;urls&gt;&lt;/urls&gt;&lt;/record&gt;&lt;/Cite&gt;&lt;/EndNote&gt;</w:instrText>
      </w:r>
      <w:r w:rsidR="001A1E56">
        <w:fldChar w:fldCharType="separate"/>
      </w:r>
      <w:r w:rsidR="001A1E56">
        <w:rPr>
          <w:noProof/>
        </w:rPr>
        <w:t>(Kolandai-Matchett et al., 2015)</w:t>
      </w:r>
      <w:r w:rsidR="001A1E56">
        <w:fldChar w:fldCharType="end"/>
      </w:r>
      <w:r w:rsidR="001A1E56">
        <w:t>.</w:t>
      </w:r>
    </w:p>
    <w:bookmarkEnd w:id="136"/>
    <w:p w14:paraId="6DCFB0A5" w14:textId="44FB41E8" w:rsidR="006E660E" w:rsidRDefault="006E660E" w:rsidP="006E660E">
      <w:pPr>
        <w:jc w:val="both"/>
      </w:pPr>
    </w:p>
    <w:p w14:paraId="1EFB8EAD" w14:textId="77777777" w:rsidR="00D07A53" w:rsidRDefault="00D07A53" w:rsidP="004B04DD">
      <w:pPr>
        <w:pStyle w:val="Heading3"/>
        <w:jc w:val="both"/>
      </w:pPr>
      <w:bookmarkStart w:id="137" w:name="_Toc58400788"/>
      <w:r>
        <w:t>Approach and methods</w:t>
      </w:r>
      <w:bookmarkEnd w:id="137"/>
    </w:p>
    <w:p w14:paraId="3A1669B1" w14:textId="5089BBE8" w:rsidR="00D07A53" w:rsidRDefault="001A1E56" w:rsidP="004B04DD">
      <w:pPr>
        <w:jc w:val="both"/>
      </w:pPr>
      <w:r>
        <w:t>A descriptive analysis of MOH CLIC data was conducted to p</w:t>
      </w:r>
      <w:r w:rsidR="00D07A53">
        <w:t>rovide</w:t>
      </w:r>
      <w:r>
        <w:t xml:space="preserve"> an indication </w:t>
      </w:r>
      <w:r w:rsidR="00D07A53">
        <w:t xml:space="preserve">of </w:t>
      </w:r>
      <w:r>
        <w:t xml:space="preserve">how gambling support services work and engage with </w:t>
      </w:r>
      <w:r w:rsidR="00D07A53">
        <w:t>FAO</w:t>
      </w:r>
      <w:r>
        <w:t>s</w:t>
      </w:r>
      <w:r w:rsidR="00D07A53">
        <w:t xml:space="preserve">. </w:t>
      </w:r>
      <w:r>
        <w:t>The MOH provided a</w:t>
      </w:r>
      <w:r w:rsidR="00D07A53">
        <w:t xml:space="preserve">n extract of </w:t>
      </w:r>
      <w:r w:rsidR="00540706">
        <w:t xml:space="preserve">cleaned and complete </w:t>
      </w:r>
      <w:r w:rsidR="00D07A53">
        <w:t xml:space="preserve">CLIC data on gambler and family/affected other </w:t>
      </w:r>
      <w:r w:rsidR="00D07A53" w:rsidRPr="00357A8C">
        <w:t>clients</w:t>
      </w:r>
      <w:r w:rsidR="00D07A53">
        <w:t xml:space="preserve"> and their </w:t>
      </w:r>
      <w:r w:rsidR="00D07A53" w:rsidRPr="00357A8C">
        <w:t xml:space="preserve">associated sessions </w:t>
      </w:r>
      <w:r w:rsidR="00D07A53">
        <w:t>during the period fr</w:t>
      </w:r>
      <w:r w:rsidR="00D07A53" w:rsidRPr="00357A8C">
        <w:t>om July 1st, 2014 to June 30th, 2019</w:t>
      </w:r>
      <w:r w:rsidR="00540706">
        <w:t xml:space="preserve"> (the five-year period prior to this study’s commencement). </w:t>
      </w:r>
      <w:r w:rsidR="00D07A53" w:rsidRPr="00357A8C">
        <w:t xml:space="preserve"> </w:t>
      </w:r>
    </w:p>
    <w:p w14:paraId="08E1831F" w14:textId="77777777" w:rsidR="00D07A53" w:rsidRDefault="00D07A53" w:rsidP="004B04DD">
      <w:pPr>
        <w:jc w:val="both"/>
      </w:pPr>
    </w:p>
    <w:p w14:paraId="4E6FEB3E" w14:textId="7742D546" w:rsidR="00D07A53" w:rsidRPr="003B1249" w:rsidRDefault="00366428" w:rsidP="004B04DD">
      <w:pPr>
        <w:jc w:val="both"/>
      </w:pPr>
      <w:bookmarkStart w:id="138" w:name="_Hlk57628884"/>
      <w:r>
        <w:t>T</w:t>
      </w:r>
      <w:r w:rsidR="001A1E56">
        <w:t>he r</w:t>
      </w:r>
      <w:r w:rsidR="00D07A53" w:rsidRPr="003B1249">
        <w:t xml:space="preserve">esearch </w:t>
      </w:r>
      <w:r w:rsidR="001A1E56">
        <w:t>q</w:t>
      </w:r>
      <w:r w:rsidR="00D07A53" w:rsidRPr="003B1249">
        <w:t>uestions</w:t>
      </w:r>
      <w:r>
        <w:t xml:space="preserve"> were</w:t>
      </w:r>
      <w:r w:rsidR="001A1E56">
        <w:t>:</w:t>
      </w:r>
    </w:p>
    <w:p w14:paraId="36A07F18" w14:textId="02E1F46D" w:rsidR="00D07A53" w:rsidRDefault="00366428" w:rsidP="007E15CF">
      <w:pPr>
        <w:pStyle w:val="ListParagraph"/>
        <w:numPr>
          <w:ilvl w:val="0"/>
          <w:numId w:val="26"/>
        </w:numPr>
        <w:jc w:val="both"/>
      </w:pPr>
      <w:r>
        <w:t xml:space="preserve">What can CLIC tell us about the demographic characteristics of </w:t>
      </w:r>
      <w:r w:rsidR="00D07A53">
        <w:t xml:space="preserve">FAOs accessing </w:t>
      </w:r>
      <w:r>
        <w:t>New Zealand</w:t>
      </w:r>
      <w:r w:rsidR="00D07A53">
        <w:t xml:space="preserve"> gambling services?</w:t>
      </w:r>
    </w:p>
    <w:p w14:paraId="1CE18F14" w14:textId="500F6AB2" w:rsidR="00366428" w:rsidRDefault="00366428" w:rsidP="00366428">
      <w:pPr>
        <w:pStyle w:val="ListParagraph"/>
        <w:numPr>
          <w:ilvl w:val="0"/>
          <w:numId w:val="26"/>
        </w:numPr>
        <w:jc w:val="both"/>
      </w:pPr>
      <w:r>
        <w:t>What support do FAOs appear to be receiving from gambling services?</w:t>
      </w:r>
    </w:p>
    <w:bookmarkEnd w:id="138"/>
    <w:p w14:paraId="36D274BC" w14:textId="77777777" w:rsidR="00366428" w:rsidRDefault="00366428" w:rsidP="004B04DD">
      <w:pPr>
        <w:jc w:val="both"/>
      </w:pPr>
    </w:p>
    <w:p w14:paraId="5CE6F8CD" w14:textId="1D61D5E2" w:rsidR="00236A5E" w:rsidRPr="00236A5E" w:rsidRDefault="00366428" w:rsidP="00236A5E">
      <w:pPr>
        <w:jc w:val="both"/>
        <w:rPr>
          <w:lang w:val="en-US"/>
        </w:rPr>
      </w:pPr>
      <w:r>
        <w:t>To answer these questions, the characteristics of clients</w:t>
      </w:r>
      <w:r w:rsidR="006077F7">
        <w:t xml:space="preserve"> and</w:t>
      </w:r>
      <w:r>
        <w:t xml:space="preserve"> sessions </w:t>
      </w:r>
      <w:r w:rsidR="006077F7">
        <w:t xml:space="preserve">delivered in the 5 year timeframe </w:t>
      </w:r>
      <w:r>
        <w:t xml:space="preserve">were described. </w:t>
      </w:r>
      <w:r w:rsidR="00236A5E" w:rsidRPr="00236A5E">
        <w:rPr>
          <w:lang w:val="en-US"/>
        </w:rPr>
        <w:t>Intervention profiles were defined as follows:</w:t>
      </w:r>
    </w:p>
    <w:p w14:paraId="23E3AAC3" w14:textId="202296C6" w:rsidR="00236A5E" w:rsidRPr="00236A5E" w:rsidRDefault="00236A5E" w:rsidP="00236A5E">
      <w:pPr>
        <w:numPr>
          <w:ilvl w:val="0"/>
          <w:numId w:val="27"/>
        </w:numPr>
        <w:jc w:val="both"/>
        <w:rPr>
          <w:lang w:val="en-US"/>
        </w:rPr>
      </w:pPr>
      <w:r w:rsidRPr="00236A5E">
        <w:rPr>
          <w:lang w:val="en-US"/>
        </w:rPr>
        <w:t>B: Client only has brief sessions registered against them in the 5-year period</w:t>
      </w:r>
      <w:r w:rsidR="00455CDC">
        <w:rPr>
          <w:lang w:val="en-US"/>
        </w:rPr>
        <w:t>.</w:t>
      </w:r>
    </w:p>
    <w:p w14:paraId="701ACFF5" w14:textId="77777777" w:rsidR="00236A5E" w:rsidRPr="00236A5E" w:rsidRDefault="00236A5E" w:rsidP="00236A5E">
      <w:pPr>
        <w:numPr>
          <w:ilvl w:val="0"/>
          <w:numId w:val="27"/>
        </w:numPr>
        <w:jc w:val="both"/>
        <w:rPr>
          <w:lang w:val="en-US"/>
        </w:rPr>
      </w:pPr>
      <w:r w:rsidRPr="00236A5E">
        <w:rPr>
          <w:lang w:val="en-US"/>
        </w:rPr>
        <w:t>F: Client only has full / facilitation sessions registered against them in the 5-year period.</w:t>
      </w:r>
    </w:p>
    <w:p w14:paraId="4FA8D108" w14:textId="77777777" w:rsidR="00236A5E" w:rsidRPr="00236A5E" w:rsidRDefault="00236A5E" w:rsidP="00236A5E">
      <w:pPr>
        <w:numPr>
          <w:ilvl w:val="0"/>
          <w:numId w:val="27"/>
        </w:numPr>
        <w:jc w:val="both"/>
        <w:rPr>
          <w:lang w:val="en-US"/>
        </w:rPr>
      </w:pPr>
      <w:r w:rsidRPr="00236A5E">
        <w:rPr>
          <w:lang w:val="en-US"/>
        </w:rPr>
        <w:t>BF: Client has mix of brief and full / facilitation sessions registered against them in the 5-year period</w:t>
      </w:r>
    </w:p>
    <w:p w14:paraId="1A67F075" w14:textId="77777777" w:rsidR="00236A5E" w:rsidRPr="00236A5E" w:rsidRDefault="00236A5E" w:rsidP="00236A5E">
      <w:pPr>
        <w:numPr>
          <w:ilvl w:val="0"/>
          <w:numId w:val="27"/>
        </w:numPr>
        <w:jc w:val="both"/>
        <w:rPr>
          <w:lang w:val="en-US"/>
        </w:rPr>
      </w:pPr>
      <w:r w:rsidRPr="00236A5E">
        <w:rPr>
          <w:lang w:val="en-US"/>
        </w:rPr>
        <w:t>BFU: Client has mix of brief and full / facilitation sessions and follow up registered against them in the 5-year period.</w:t>
      </w:r>
    </w:p>
    <w:p w14:paraId="20807619" w14:textId="77777777" w:rsidR="00236A5E" w:rsidRPr="00236A5E" w:rsidRDefault="00236A5E" w:rsidP="00236A5E">
      <w:pPr>
        <w:numPr>
          <w:ilvl w:val="0"/>
          <w:numId w:val="27"/>
        </w:numPr>
        <w:jc w:val="both"/>
        <w:rPr>
          <w:lang w:val="en-US"/>
        </w:rPr>
      </w:pPr>
      <w:r w:rsidRPr="00236A5E">
        <w:rPr>
          <w:lang w:val="en-US"/>
        </w:rPr>
        <w:t>FU: Client has mix of full / facilitation sessions and follow up registered against them in the 5-year period.</w:t>
      </w:r>
    </w:p>
    <w:p w14:paraId="27D6B2E8" w14:textId="7B3F5C65" w:rsidR="00E81F83" w:rsidRDefault="00236A5E" w:rsidP="00236A5E">
      <w:pPr>
        <w:pStyle w:val="ListParagraph"/>
        <w:numPr>
          <w:ilvl w:val="0"/>
          <w:numId w:val="27"/>
        </w:numPr>
        <w:jc w:val="both"/>
      </w:pPr>
      <w:r w:rsidRPr="00236A5E">
        <w:rPr>
          <w:lang w:val="en-US"/>
        </w:rPr>
        <w:t>Other: Client has some other combination of sessions registered against them in the 5-year period.</w:t>
      </w:r>
    </w:p>
    <w:p w14:paraId="67A4D81C" w14:textId="42322D5B" w:rsidR="006077F7" w:rsidRDefault="00236A5E" w:rsidP="004B04DD">
      <w:pPr>
        <w:jc w:val="both"/>
      </w:pPr>
      <w:r w:rsidRPr="00C13AA1">
        <w:t>Description of screening data focussed on indicative screening practices, e.g. number of screens completed for each client type during brief and full intervention engagement.</w:t>
      </w:r>
    </w:p>
    <w:p w14:paraId="1A02D321" w14:textId="77777777" w:rsidR="00236A5E" w:rsidRDefault="00236A5E" w:rsidP="004B04DD">
      <w:pPr>
        <w:jc w:val="both"/>
      </w:pPr>
    </w:p>
    <w:p w14:paraId="2ACB8657" w14:textId="77777777" w:rsidR="00D07A53" w:rsidRDefault="00D07A53" w:rsidP="00D07A53">
      <w:pPr>
        <w:pStyle w:val="Heading3"/>
      </w:pPr>
      <w:bookmarkStart w:id="139" w:name="_Toc58400789"/>
      <w:r>
        <w:t>Description of clients</w:t>
      </w:r>
      <w:bookmarkEnd w:id="139"/>
      <w:r>
        <w:t xml:space="preserve"> </w:t>
      </w:r>
    </w:p>
    <w:p w14:paraId="5CED818F" w14:textId="77777777" w:rsidR="00D07A53" w:rsidRDefault="00D07A53" w:rsidP="00D07A53"/>
    <w:p w14:paraId="1E902F81" w14:textId="77777777" w:rsidR="00D07A53" w:rsidRPr="000B2628" w:rsidRDefault="00D07A53" w:rsidP="00D07A53">
      <w:pPr>
        <w:pStyle w:val="Heading4"/>
      </w:pPr>
      <w:r w:rsidRPr="000B2628">
        <w:t>Client type and key demographics</w:t>
      </w:r>
    </w:p>
    <w:p w14:paraId="1C7B3890" w14:textId="59ACCB4F" w:rsidR="00D07A53" w:rsidRDefault="00D07A53" w:rsidP="004B04DD">
      <w:pPr>
        <w:jc w:val="both"/>
      </w:pPr>
      <w:r w:rsidRPr="000B2628">
        <w:t xml:space="preserve">During the extracted 5-year period, a total of 47,946 clients, and 236,938 sessions were recorded in the CLIC database. Recall that the structure of the CLIC database means that clients may have sessions which focus on issues surrounding their own gambling recorded (client as gambler), sessions which focus on their needs as family or affected others (client as FAO), or both (client as FAO/gambler). </w:t>
      </w:r>
      <w:r w:rsidRPr="000B2628">
        <w:fldChar w:fldCharType="begin"/>
      </w:r>
      <w:r w:rsidRPr="000B2628">
        <w:instrText xml:space="preserve"> REF _Ref45874626 \h  \* MERGEFORMAT </w:instrText>
      </w:r>
      <w:r w:rsidRPr="000B2628">
        <w:fldChar w:fldCharType="separate"/>
      </w:r>
      <w:r w:rsidR="00DF0799" w:rsidRPr="00357A8C">
        <w:t xml:space="preserve">Table </w:t>
      </w:r>
      <w:r w:rsidR="00DF0799">
        <w:rPr>
          <w:noProof/>
        </w:rPr>
        <w:t>13</w:t>
      </w:r>
      <w:r w:rsidRPr="000B2628">
        <w:fldChar w:fldCharType="end"/>
      </w:r>
      <w:r w:rsidRPr="000B2628">
        <w:t xml:space="preserve"> outlines client type by key demographic details. Services engaged with roughly equivalent numbers of clients who had sessions focused on them as FAOs (n=23,261) and as gamblers (n= 23,896)</w:t>
      </w:r>
      <w:r w:rsidR="002D1F8E" w:rsidRPr="000B2628">
        <w:t xml:space="preserve"> exclusively</w:t>
      </w:r>
      <w:r w:rsidRPr="000B2628">
        <w:t xml:space="preserve">. A small minority of clients were recorded as receiving sessions focussed on their own gambling and on the impacts of another’s gambling on them (n= 429 FAO/gambler clients, 0.9% clients registered in the 5-year period). FAO and FAO/gambler clients were more likely to be female (65.13% and 59.9% </w:t>
      </w:r>
      <w:r w:rsidRPr="000B2628">
        <w:lastRenderedPageBreak/>
        <w:t>respectively), whereas gambler clients were more likely to be male (60.14%). FAO and gambler clients were of similar age. Approximately half of the clients in both of these groups fell between the age of 25 and 44 (46.9% of FAOs, 52.9% of gamblers). FAO/gamblers were more likely than FAOs and gamblers to be aged 55 or over (29.6%, c.f. 19.7 FAO, 17.8 gambler clients).</w:t>
      </w:r>
    </w:p>
    <w:p w14:paraId="3E35B7D7" w14:textId="77777777" w:rsidR="00D07A53" w:rsidRDefault="00D07A53" w:rsidP="00D07A53"/>
    <w:p w14:paraId="2DDA908B" w14:textId="5692BE1A" w:rsidR="00D07A53" w:rsidRPr="00357A8C" w:rsidRDefault="00D07A53" w:rsidP="009A55C9">
      <w:pPr>
        <w:pStyle w:val="Caption"/>
      </w:pPr>
      <w:bookmarkStart w:id="140" w:name="_Ref45874626"/>
      <w:bookmarkStart w:id="141" w:name="_Toc58400646"/>
      <w:r w:rsidRPr="00357A8C">
        <w:t xml:space="preserve">Table </w:t>
      </w:r>
      <w:r w:rsidR="00D04B86">
        <w:fldChar w:fldCharType="begin"/>
      </w:r>
      <w:r w:rsidR="00D04B86">
        <w:instrText xml:space="preserve"> SEQ Table \* ARABIC </w:instrText>
      </w:r>
      <w:r w:rsidR="00D04B86">
        <w:fldChar w:fldCharType="separate"/>
      </w:r>
      <w:r w:rsidR="00DF0799">
        <w:rPr>
          <w:noProof/>
        </w:rPr>
        <w:t>13</w:t>
      </w:r>
      <w:r w:rsidR="00D04B86">
        <w:rPr>
          <w:noProof/>
        </w:rPr>
        <w:fldChar w:fldCharType="end"/>
      </w:r>
      <w:bookmarkEnd w:id="140"/>
      <w:r w:rsidRPr="00357A8C">
        <w:t>: Client type by gender age and ethnicity</w:t>
      </w:r>
      <w:bookmarkEnd w:id="141"/>
    </w:p>
    <w:tbl>
      <w:tblPr>
        <w:tblW w:w="5000" w:type="pct"/>
        <w:tblLook w:val="04A0" w:firstRow="1" w:lastRow="0" w:firstColumn="1" w:lastColumn="0" w:noHBand="0" w:noVBand="1"/>
      </w:tblPr>
      <w:tblGrid>
        <w:gridCol w:w="1701"/>
        <w:gridCol w:w="1084"/>
        <w:gridCol w:w="1249"/>
        <w:gridCol w:w="1247"/>
        <w:gridCol w:w="1249"/>
        <w:gridCol w:w="1247"/>
        <w:gridCol w:w="1249"/>
      </w:tblGrid>
      <w:tr w:rsidR="00D07A53" w:rsidRPr="009973DB" w14:paraId="1B541610" w14:textId="77777777" w:rsidTr="003632F4">
        <w:trPr>
          <w:trHeight w:val="315"/>
        </w:trPr>
        <w:tc>
          <w:tcPr>
            <w:tcW w:w="942" w:type="pct"/>
            <w:tcBorders>
              <w:top w:val="single" w:sz="4" w:space="0" w:color="auto"/>
              <w:left w:val="nil"/>
              <w:bottom w:val="nil"/>
              <w:right w:val="nil"/>
            </w:tcBorders>
            <w:shd w:val="clear" w:color="auto" w:fill="auto"/>
            <w:noWrap/>
            <w:vAlign w:val="bottom"/>
            <w:hideMark/>
          </w:tcPr>
          <w:p w14:paraId="34E7EB61" w14:textId="77777777" w:rsidR="00D07A53" w:rsidRPr="009973DB" w:rsidRDefault="00D07A53" w:rsidP="003632F4">
            <w:pPr>
              <w:spacing w:line="240" w:lineRule="auto"/>
              <w:rPr>
                <w:rFonts w:eastAsia="Times New Roman"/>
                <w:color w:val="000000"/>
                <w:lang w:eastAsia="en-NZ"/>
              </w:rPr>
            </w:pPr>
            <w:r w:rsidRPr="009973DB">
              <w:rPr>
                <w:rFonts w:eastAsia="Times New Roman"/>
                <w:color w:val="000000"/>
                <w:lang w:eastAsia="en-NZ"/>
              </w:rPr>
              <w:t> </w:t>
            </w:r>
          </w:p>
        </w:tc>
        <w:tc>
          <w:tcPr>
            <w:tcW w:w="4058" w:type="pct"/>
            <w:gridSpan w:val="6"/>
            <w:tcBorders>
              <w:top w:val="single" w:sz="4" w:space="0" w:color="auto"/>
              <w:left w:val="nil"/>
              <w:bottom w:val="nil"/>
              <w:right w:val="nil"/>
            </w:tcBorders>
            <w:shd w:val="clear" w:color="auto" w:fill="auto"/>
            <w:noWrap/>
            <w:vAlign w:val="bottom"/>
            <w:hideMark/>
          </w:tcPr>
          <w:p w14:paraId="403DBBA2" w14:textId="77777777" w:rsidR="00D07A53" w:rsidRPr="009973DB" w:rsidRDefault="00D07A53" w:rsidP="003632F4">
            <w:pPr>
              <w:spacing w:line="240" w:lineRule="auto"/>
              <w:jc w:val="center"/>
              <w:rPr>
                <w:rFonts w:eastAsia="Times New Roman"/>
                <w:b/>
                <w:bCs/>
                <w:color w:val="000000"/>
                <w:lang w:eastAsia="en-NZ"/>
              </w:rPr>
            </w:pPr>
            <w:r w:rsidRPr="009973DB">
              <w:rPr>
                <w:rFonts w:eastAsia="Times New Roman"/>
                <w:b/>
                <w:bCs/>
                <w:color w:val="000000"/>
                <w:lang w:eastAsia="en-NZ"/>
              </w:rPr>
              <w:t>Type of client</w:t>
            </w:r>
          </w:p>
        </w:tc>
      </w:tr>
      <w:tr w:rsidR="00D07A53" w:rsidRPr="009973DB" w14:paraId="0AF6AEEB" w14:textId="77777777" w:rsidTr="003632F4">
        <w:trPr>
          <w:trHeight w:val="387"/>
        </w:trPr>
        <w:tc>
          <w:tcPr>
            <w:tcW w:w="942" w:type="pct"/>
            <w:tcBorders>
              <w:top w:val="nil"/>
              <w:left w:val="nil"/>
              <w:bottom w:val="nil"/>
              <w:right w:val="nil"/>
            </w:tcBorders>
            <w:shd w:val="clear" w:color="auto" w:fill="auto"/>
            <w:noWrap/>
            <w:vAlign w:val="bottom"/>
            <w:hideMark/>
          </w:tcPr>
          <w:p w14:paraId="03DF1FFC" w14:textId="77777777" w:rsidR="00D07A53" w:rsidRPr="009973DB" w:rsidRDefault="00D07A53" w:rsidP="003632F4">
            <w:pPr>
              <w:spacing w:line="240" w:lineRule="auto"/>
              <w:jc w:val="center"/>
              <w:rPr>
                <w:rFonts w:eastAsia="Times New Roman"/>
                <w:color w:val="000000"/>
                <w:lang w:eastAsia="en-NZ"/>
              </w:rPr>
            </w:pPr>
          </w:p>
        </w:tc>
        <w:tc>
          <w:tcPr>
            <w:tcW w:w="1292" w:type="pct"/>
            <w:gridSpan w:val="2"/>
            <w:tcBorders>
              <w:top w:val="single" w:sz="4" w:space="0" w:color="auto"/>
              <w:left w:val="nil"/>
              <w:bottom w:val="nil"/>
              <w:right w:val="nil"/>
            </w:tcBorders>
            <w:shd w:val="clear" w:color="auto" w:fill="auto"/>
            <w:noWrap/>
            <w:vAlign w:val="bottom"/>
            <w:hideMark/>
          </w:tcPr>
          <w:p w14:paraId="21DAB48E" w14:textId="77777777" w:rsidR="00D07A53" w:rsidRPr="009973DB" w:rsidRDefault="00D07A53" w:rsidP="003632F4">
            <w:pPr>
              <w:spacing w:line="240" w:lineRule="auto"/>
              <w:jc w:val="center"/>
              <w:rPr>
                <w:rFonts w:eastAsia="Times New Roman"/>
                <w:b/>
                <w:bCs/>
                <w:color w:val="000000"/>
                <w:lang w:eastAsia="en-NZ"/>
              </w:rPr>
            </w:pPr>
            <w:r w:rsidRPr="009973DB">
              <w:rPr>
                <w:rFonts w:eastAsia="Times New Roman"/>
                <w:b/>
                <w:bCs/>
                <w:color w:val="000000"/>
                <w:lang w:eastAsia="en-NZ"/>
              </w:rPr>
              <w:t>FAO clients</w:t>
            </w:r>
          </w:p>
        </w:tc>
        <w:tc>
          <w:tcPr>
            <w:tcW w:w="1383" w:type="pct"/>
            <w:gridSpan w:val="2"/>
            <w:tcBorders>
              <w:top w:val="single" w:sz="4" w:space="0" w:color="auto"/>
              <w:left w:val="nil"/>
              <w:bottom w:val="nil"/>
              <w:right w:val="nil"/>
            </w:tcBorders>
            <w:shd w:val="clear" w:color="auto" w:fill="auto"/>
            <w:noWrap/>
            <w:vAlign w:val="bottom"/>
            <w:hideMark/>
          </w:tcPr>
          <w:p w14:paraId="5E4D734A" w14:textId="77777777" w:rsidR="00D07A53" w:rsidRPr="009973DB" w:rsidRDefault="00D07A53" w:rsidP="003632F4">
            <w:pPr>
              <w:spacing w:line="240" w:lineRule="auto"/>
              <w:jc w:val="center"/>
              <w:rPr>
                <w:rFonts w:eastAsia="Times New Roman"/>
                <w:b/>
                <w:bCs/>
                <w:color w:val="000000"/>
                <w:lang w:eastAsia="en-NZ"/>
              </w:rPr>
            </w:pPr>
            <w:r w:rsidRPr="009973DB">
              <w:rPr>
                <w:rFonts w:eastAsia="Times New Roman"/>
                <w:b/>
                <w:bCs/>
                <w:color w:val="000000"/>
                <w:lang w:eastAsia="en-NZ"/>
              </w:rPr>
              <w:t>Gambler clients</w:t>
            </w:r>
          </w:p>
        </w:tc>
        <w:tc>
          <w:tcPr>
            <w:tcW w:w="1383" w:type="pct"/>
            <w:gridSpan w:val="2"/>
            <w:tcBorders>
              <w:top w:val="single" w:sz="4" w:space="0" w:color="auto"/>
              <w:left w:val="nil"/>
              <w:bottom w:val="nil"/>
              <w:right w:val="nil"/>
            </w:tcBorders>
            <w:shd w:val="clear" w:color="auto" w:fill="auto"/>
            <w:vAlign w:val="bottom"/>
            <w:hideMark/>
          </w:tcPr>
          <w:p w14:paraId="5C4CD791" w14:textId="77777777" w:rsidR="00D07A53" w:rsidRPr="009973DB" w:rsidRDefault="00D07A53" w:rsidP="003632F4">
            <w:pPr>
              <w:spacing w:line="240" w:lineRule="auto"/>
              <w:jc w:val="center"/>
              <w:rPr>
                <w:rFonts w:eastAsia="Times New Roman"/>
                <w:b/>
                <w:bCs/>
                <w:color w:val="000000"/>
                <w:lang w:eastAsia="en-NZ"/>
              </w:rPr>
            </w:pPr>
            <w:r w:rsidRPr="009973DB">
              <w:rPr>
                <w:rFonts w:eastAsia="Times New Roman"/>
                <w:b/>
                <w:bCs/>
                <w:color w:val="000000"/>
                <w:lang w:eastAsia="en-NZ"/>
              </w:rPr>
              <w:t>FAO/Gambler clients</w:t>
            </w:r>
          </w:p>
        </w:tc>
      </w:tr>
      <w:tr w:rsidR="00D07A53" w:rsidRPr="009973DB" w14:paraId="3543580F" w14:textId="77777777" w:rsidTr="003632F4">
        <w:trPr>
          <w:trHeight w:val="315"/>
        </w:trPr>
        <w:tc>
          <w:tcPr>
            <w:tcW w:w="942" w:type="pct"/>
            <w:tcBorders>
              <w:top w:val="single" w:sz="4" w:space="0" w:color="auto"/>
              <w:left w:val="nil"/>
              <w:bottom w:val="nil"/>
              <w:right w:val="nil"/>
            </w:tcBorders>
            <w:shd w:val="clear" w:color="auto" w:fill="auto"/>
            <w:noWrap/>
            <w:vAlign w:val="bottom"/>
            <w:hideMark/>
          </w:tcPr>
          <w:p w14:paraId="34A12DA9" w14:textId="77777777" w:rsidR="00D07A53" w:rsidRPr="009973DB" w:rsidRDefault="00D07A53" w:rsidP="003632F4">
            <w:pPr>
              <w:spacing w:line="240" w:lineRule="auto"/>
              <w:jc w:val="center"/>
              <w:rPr>
                <w:rFonts w:eastAsia="Times New Roman"/>
                <w:color w:val="000000"/>
                <w:lang w:eastAsia="en-NZ"/>
              </w:rPr>
            </w:pPr>
          </w:p>
        </w:tc>
        <w:tc>
          <w:tcPr>
            <w:tcW w:w="600" w:type="pct"/>
            <w:tcBorders>
              <w:top w:val="single" w:sz="4" w:space="0" w:color="auto"/>
              <w:left w:val="nil"/>
              <w:bottom w:val="nil"/>
              <w:right w:val="nil"/>
            </w:tcBorders>
            <w:shd w:val="clear" w:color="auto" w:fill="auto"/>
            <w:noWrap/>
            <w:vAlign w:val="bottom"/>
            <w:hideMark/>
          </w:tcPr>
          <w:p w14:paraId="26618064" w14:textId="77777777" w:rsidR="00D07A53" w:rsidRPr="009973DB" w:rsidRDefault="00D07A53" w:rsidP="003632F4">
            <w:pPr>
              <w:spacing w:line="240" w:lineRule="auto"/>
              <w:jc w:val="center"/>
              <w:rPr>
                <w:rFonts w:eastAsia="Times New Roman"/>
                <w:color w:val="000000"/>
                <w:lang w:eastAsia="en-NZ"/>
              </w:rPr>
            </w:pPr>
            <w:r w:rsidRPr="009973DB">
              <w:rPr>
                <w:rFonts w:eastAsia="Times New Roman"/>
                <w:color w:val="000000"/>
                <w:lang w:eastAsia="en-NZ"/>
              </w:rPr>
              <w:t>N</w:t>
            </w:r>
          </w:p>
        </w:tc>
        <w:tc>
          <w:tcPr>
            <w:tcW w:w="692" w:type="pct"/>
            <w:tcBorders>
              <w:top w:val="single" w:sz="4" w:space="0" w:color="auto"/>
              <w:left w:val="nil"/>
              <w:bottom w:val="nil"/>
              <w:right w:val="nil"/>
            </w:tcBorders>
            <w:shd w:val="clear" w:color="auto" w:fill="auto"/>
            <w:noWrap/>
            <w:vAlign w:val="bottom"/>
            <w:hideMark/>
          </w:tcPr>
          <w:p w14:paraId="0587478F" w14:textId="77777777" w:rsidR="00D07A53" w:rsidRPr="009973DB" w:rsidRDefault="00D07A53" w:rsidP="003632F4">
            <w:pPr>
              <w:spacing w:line="240" w:lineRule="auto"/>
              <w:rPr>
                <w:rFonts w:eastAsia="Times New Roman"/>
                <w:i/>
                <w:iCs/>
                <w:color w:val="000000"/>
                <w:lang w:eastAsia="en-NZ"/>
              </w:rPr>
            </w:pPr>
            <w:r w:rsidRPr="009973DB">
              <w:rPr>
                <w:rFonts w:eastAsia="Times New Roman"/>
                <w:i/>
                <w:iCs/>
                <w:color w:val="000000"/>
                <w:lang w:eastAsia="en-NZ"/>
              </w:rPr>
              <w:t xml:space="preserve">      %</w:t>
            </w:r>
          </w:p>
        </w:tc>
        <w:tc>
          <w:tcPr>
            <w:tcW w:w="691" w:type="pct"/>
            <w:tcBorders>
              <w:top w:val="single" w:sz="4" w:space="0" w:color="auto"/>
              <w:left w:val="nil"/>
              <w:bottom w:val="nil"/>
              <w:right w:val="nil"/>
            </w:tcBorders>
            <w:shd w:val="clear" w:color="auto" w:fill="auto"/>
            <w:noWrap/>
            <w:vAlign w:val="bottom"/>
            <w:hideMark/>
          </w:tcPr>
          <w:p w14:paraId="31D0FA83" w14:textId="77777777" w:rsidR="00D07A53" w:rsidRPr="009973DB" w:rsidRDefault="00D07A53" w:rsidP="003632F4">
            <w:pPr>
              <w:spacing w:line="240" w:lineRule="auto"/>
              <w:jc w:val="center"/>
              <w:rPr>
                <w:rFonts w:eastAsia="Times New Roman"/>
                <w:color w:val="000000"/>
                <w:lang w:eastAsia="en-NZ"/>
              </w:rPr>
            </w:pPr>
            <w:r w:rsidRPr="009973DB">
              <w:rPr>
                <w:rFonts w:eastAsia="Times New Roman"/>
                <w:color w:val="000000"/>
                <w:lang w:eastAsia="en-NZ"/>
              </w:rPr>
              <w:t>N</w:t>
            </w:r>
          </w:p>
        </w:tc>
        <w:tc>
          <w:tcPr>
            <w:tcW w:w="692" w:type="pct"/>
            <w:tcBorders>
              <w:top w:val="single" w:sz="4" w:space="0" w:color="auto"/>
              <w:left w:val="nil"/>
              <w:bottom w:val="nil"/>
              <w:right w:val="nil"/>
            </w:tcBorders>
            <w:shd w:val="clear" w:color="auto" w:fill="auto"/>
            <w:noWrap/>
            <w:vAlign w:val="bottom"/>
            <w:hideMark/>
          </w:tcPr>
          <w:p w14:paraId="39274AF5" w14:textId="77777777" w:rsidR="00D07A53" w:rsidRPr="009973DB" w:rsidRDefault="00D07A53" w:rsidP="003632F4">
            <w:pPr>
              <w:spacing w:line="240" w:lineRule="auto"/>
              <w:jc w:val="center"/>
              <w:rPr>
                <w:rFonts w:eastAsia="Times New Roman"/>
                <w:i/>
                <w:iCs/>
                <w:color w:val="000000"/>
                <w:lang w:eastAsia="en-NZ"/>
              </w:rPr>
            </w:pPr>
            <w:r w:rsidRPr="009973DB">
              <w:rPr>
                <w:rFonts w:eastAsia="Times New Roman"/>
                <w:i/>
                <w:iCs/>
                <w:color w:val="000000"/>
                <w:lang w:eastAsia="en-NZ"/>
              </w:rPr>
              <w:t>%</w:t>
            </w:r>
          </w:p>
        </w:tc>
        <w:tc>
          <w:tcPr>
            <w:tcW w:w="691" w:type="pct"/>
            <w:tcBorders>
              <w:top w:val="single" w:sz="4" w:space="0" w:color="auto"/>
              <w:left w:val="nil"/>
              <w:bottom w:val="nil"/>
              <w:right w:val="nil"/>
            </w:tcBorders>
            <w:shd w:val="clear" w:color="auto" w:fill="auto"/>
            <w:noWrap/>
            <w:vAlign w:val="bottom"/>
            <w:hideMark/>
          </w:tcPr>
          <w:p w14:paraId="33736AE7" w14:textId="77777777" w:rsidR="00D07A53" w:rsidRPr="009973DB" w:rsidRDefault="00D07A53" w:rsidP="003632F4">
            <w:pPr>
              <w:spacing w:line="240" w:lineRule="auto"/>
              <w:jc w:val="center"/>
              <w:rPr>
                <w:rFonts w:eastAsia="Times New Roman"/>
                <w:color w:val="000000"/>
                <w:lang w:eastAsia="en-NZ"/>
              </w:rPr>
            </w:pPr>
            <w:r w:rsidRPr="009973DB">
              <w:rPr>
                <w:rFonts w:eastAsia="Times New Roman"/>
                <w:color w:val="000000"/>
                <w:lang w:eastAsia="en-NZ"/>
              </w:rPr>
              <w:t>N</w:t>
            </w:r>
          </w:p>
        </w:tc>
        <w:tc>
          <w:tcPr>
            <w:tcW w:w="692" w:type="pct"/>
            <w:tcBorders>
              <w:top w:val="single" w:sz="4" w:space="0" w:color="auto"/>
              <w:left w:val="nil"/>
              <w:bottom w:val="nil"/>
              <w:right w:val="nil"/>
            </w:tcBorders>
            <w:shd w:val="clear" w:color="auto" w:fill="auto"/>
            <w:noWrap/>
            <w:vAlign w:val="bottom"/>
            <w:hideMark/>
          </w:tcPr>
          <w:p w14:paraId="6DD8E7D9" w14:textId="77777777" w:rsidR="00D07A53" w:rsidRPr="009973DB" w:rsidRDefault="00D07A53" w:rsidP="003632F4">
            <w:pPr>
              <w:spacing w:line="240" w:lineRule="auto"/>
              <w:jc w:val="center"/>
              <w:rPr>
                <w:rFonts w:eastAsia="Times New Roman"/>
                <w:i/>
                <w:iCs/>
                <w:color w:val="000000"/>
                <w:lang w:eastAsia="en-NZ"/>
              </w:rPr>
            </w:pPr>
            <w:r w:rsidRPr="009973DB">
              <w:rPr>
                <w:rFonts w:eastAsia="Times New Roman"/>
                <w:i/>
                <w:iCs/>
                <w:color w:val="000000"/>
                <w:lang w:eastAsia="en-NZ"/>
              </w:rPr>
              <w:t>%</w:t>
            </w:r>
          </w:p>
        </w:tc>
      </w:tr>
      <w:tr w:rsidR="00D07A53" w:rsidRPr="009973DB" w14:paraId="45D9C584" w14:textId="77777777" w:rsidTr="003632F4">
        <w:trPr>
          <w:trHeight w:val="315"/>
        </w:trPr>
        <w:tc>
          <w:tcPr>
            <w:tcW w:w="942" w:type="pct"/>
            <w:tcBorders>
              <w:top w:val="single" w:sz="4" w:space="0" w:color="auto"/>
              <w:left w:val="nil"/>
              <w:bottom w:val="nil"/>
              <w:right w:val="nil"/>
            </w:tcBorders>
            <w:shd w:val="clear" w:color="auto" w:fill="auto"/>
            <w:noWrap/>
            <w:vAlign w:val="bottom"/>
            <w:hideMark/>
          </w:tcPr>
          <w:p w14:paraId="73960466" w14:textId="77777777" w:rsidR="00D07A53" w:rsidRPr="009973DB" w:rsidRDefault="00D07A53" w:rsidP="003632F4">
            <w:pPr>
              <w:spacing w:line="240" w:lineRule="auto"/>
              <w:rPr>
                <w:rFonts w:eastAsia="Times New Roman"/>
                <w:b/>
                <w:bCs/>
                <w:color w:val="000000"/>
                <w:lang w:eastAsia="en-NZ"/>
              </w:rPr>
            </w:pPr>
            <w:r w:rsidRPr="009973DB">
              <w:rPr>
                <w:rFonts w:eastAsia="Times New Roman"/>
                <w:b/>
                <w:bCs/>
                <w:color w:val="000000"/>
                <w:lang w:eastAsia="en-NZ"/>
              </w:rPr>
              <w:t>Overall</w:t>
            </w:r>
          </w:p>
        </w:tc>
        <w:tc>
          <w:tcPr>
            <w:tcW w:w="600" w:type="pct"/>
            <w:tcBorders>
              <w:top w:val="single" w:sz="4" w:space="0" w:color="auto"/>
              <w:left w:val="nil"/>
              <w:bottom w:val="single" w:sz="8" w:space="0" w:color="auto"/>
              <w:right w:val="nil"/>
            </w:tcBorders>
            <w:shd w:val="clear" w:color="000000" w:fill="FFFFFF"/>
            <w:vAlign w:val="center"/>
            <w:hideMark/>
          </w:tcPr>
          <w:p w14:paraId="5D33ABCC" w14:textId="77777777" w:rsidR="00D07A53" w:rsidRPr="009973DB" w:rsidRDefault="00D07A53" w:rsidP="003632F4">
            <w:pPr>
              <w:spacing w:line="240" w:lineRule="auto"/>
              <w:jc w:val="center"/>
              <w:rPr>
                <w:rFonts w:eastAsia="Times New Roman"/>
                <w:color w:val="111111"/>
                <w:lang w:eastAsia="en-NZ"/>
              </w:rPr>
            </w:pPr>
            <w:r w:rsidRPr="009973DB">
              <w:rPr>
                <w:rFonts w:eastAsia="Times New Roman"/>
                <w:color w:val="111111"/>
                <w:lang w:val="en-US" w:eastAsia="en-NZ"/>
              </w:rPr>
              <w:t>23621</w:t>
            </w:r>
          </w:p>
        </w:tc>
        <w:tc>
          <w:tcPr>
            <w:tcW w:w="692" w:type="pct"/>
            <w:tcBorders>
              <w:top w:val="single" w:sz="4" w:space="0" w:color="auto"/>
              <w:left w:val="nil"/>
              <w:bottom w:val="single" w:sz="8" w:space="0" w:color="auto"/>
              <w:right w:val="nil"/>
            </w:tcBorders>
            <w:shd w:val="clear" w:color="000000" w:fill="FFFFFF"/>
            <w:vAlign w:val="center"/>
            <w:hideMark/>
          </w:tcPr>
          <w:p w14:paraId="22529CEF" w14:textId="3D0FF2AF" w:rsidR="00D07A53" w:rsidRPr="009973DB" w:rsidRDefault="000B2628" w:rsidP="003632F4">
            <w:pPr>
              <w:spacing w:line="240" w:lineRule="auto"/>
              <w:jc w:val="center"/>
              <w:rPr>
                <w:rFonts w:eastAsia="Times New Roman"/>
                <w:i/>
                <w:iCs/>
                <w:color w:val="000000"/>
                <w:lang w:eastAsia="en-NZ"/>
              </w:rPr>
            </w:pPr>
            <w:r>
              <w:rPr>
                <w:rFonts w:eastAsia="Cambria"/>
                <w:i/>
                <w:iCs/>
                <w:color w:val="000000"/>
                <w:lang w:val="en-US" w:eastAsia="en-NZ"/>
              </w:rPr>
              <w:t>49.3</w:t>
            </w:r>
            <w:r w:rsidR="00D07A53" w:rsidRPr="009973DB">
              <w:rPr>
                <w:rFonts w:eastAsia="Cambria"/>
                <w:i/>
                <w:iCs/>
                <w:color w:val="000000"/>
                <w:lang w:val="en-US" w:eastAsia="en-NZ"/>
              </w:rPr>
              <w:t> </w:t>
            </w:r>
          </w:p>
        </w:tc>
        <w:tc>
          <w:tcPr>
            <w:tcW w:w="691" w:type="pct"/>
            <w:tcBorders>
              <w:top w:val="single" w:sz="4" w:space="0" w:color="auto"/>
              <w:left w:val="nil"/>
              <w:bottom w:val="single" w:sz="8" w:space="0" w:color="auto"/>
              <w:right w:val="nil"/>
            </w:tcBorders>
            <w:shd w:val="clear" w:color="000000" w:fill="FFFFFF"/>
            <w:vAlign w:val="center"/>
            <w:hideMark/>
          </w:tcPr>
          <w:p w14:paraId="565B3EE9" w14:textId="77777777" w:rsidR="00D07A53" w:rsidRPr="009973DB" w:rsidRDefault="00D07A53" w:rsidP="003632F4">
            <w:pPr>
              <w:spacing w:line="240" w:lineRule="auto"/>
              <w:jc w:val="center"/>
              <w:rPr>
                <w:rFonts w:eastAsia="Times New Roman"/>
                <w:color w:val="111111"/>
                <w:lang w:eastAsia="en-NZ"/>
              </w:rPr>
            </w:pPr>
            <w:r w:rsidRPr="009973DB">
              <w:rPr>
                <w:rFonts w:eastAsia="Times New Roman"/>
                <w:color w:val="111111"/>
                <w:lang w:val="en-US" w:eastAsia="en-NZ"/>
              </w:rPr>
              <w:t>23896</w:t>
            </w:r>
          </w:p>
        </w:tc>
        <w:tc>
          <w:tcPr>
            <w:tcW w:w="692" w:type="pct"/>
            <w:tcBorders>
              <w:top w:val="single" w:sz="4" w:space="0" w:color="auto"/>
              <w:left w:val="nil"/>
              <w:bottom w:val="single" w:sz="8" w:space="0" w:color="auto"/>
              <w:right w:val="nil"/>
            </w:tcBorders>
            <w:shd w:val="clear" w:color="000000" w:fill="FFFFFF"/>
            <w:vAlign w:val="center"/>
            <w:hideMark/>
          </w:tcPr>
          <w:p w14:paraId="0589526E" w14:textId="1B9161E1" w:rsidR="00D07A53" w:rsidRPr="009973DB" w:rsidRDefault="000B2628" w:rsidP="003632F4">
            <w:pPr>
              <w:spacing w:line="240" w:lineRule="auto"/>
              <w:jc w:val="center"/>
              <w:rPr>
                <w:rFonts w:eastAsia="Times New Roman"/>
                <w:i/>
                <w:iCs/>
                <w:color w:val="000000"/>
                <w:lang w:eastAsia="en-NZ"/>
              </w:rPr>
            </w:pPr>
            <w:r>
              <w:rPr>
                <w:rFonts w:eastAsia="Cambria"/>
                <w:i/>
                <w:iCs/>
                <w:color w:val="000000"/>
                <w:lang w:val="en-US" w:eastAsia="en-NZ"/>
              </w:rPr>
              <w:t>49.8</w:t>
            </w:r>
            <w:r w:rsidR="00D07A53" w:rsidRPr="009973DB">
              <w:rPr>
                <w:rFonts w:eastAsia="Cambria"/>
                <w:i/>
                <w:iCs/>
                <w:color w:val="000000"/>
                <w:lang w:val="en-US" w:eastAsia="en-NZ"/>
              </w:rPr>
              <w:t> </w:t>
            </w:r>
          </w:p>
        </w:tc>
        <w:tc>
          <w:tcPr>
            <w:tcW w:w="691" w:type="pct"/>
            <w:tcBorders>
              <w:top w:val="single" w:sz="4" w:space="0" w:color="auto"/>
              <w:left w:val="nil"/>
              <w:bottom w:val="single" w:sz="8" w:space="0" w:color="auto"/>
              <w:right w:val="nil"/>
            </w:tcBorders>
            <w:shd w:val="clear" w:color="000000" w:fill="FFFFFF"/>
            <w:vAlign w:val="center"/>
            <w:hideMark/>
          </w:tcPr>
          <w:p w14:paraId="002BFB04" w14:textId="77777777" w:rsidR="00D07A53" w:rsidRPr="009973DB" w:rsidRDefault="00D07A53" w:rsidP="003632F4">
            <w:pPr>
              <w:spacing w:line="240" w:lineRule="auto"/>
              <w:jc w:val="center"/>
              <w:rPr>
                <w:rFonts w:eastAsia="Times New Roman"/>
                <w:color w:val="111111"/>
                <w:lang w:eastAsia="en-NZ"/>
              </w:rPr>
            </w:pPr>
            <w:r w:rsidRPr="009973DB">
              <w:rPr>
                <w:rFonts w:eastAsia="Times New Roman"/>
                <w:color w:val="111111"/>
                <w:lang w:val="en-US" w:eastAsia="en-NZ"/>
              </w:rPr>
              <w:t>429</w:t>
            </w:r>
          </w:p>
        </w:tc>
        <w:tc>
          <w:tcPr>
            <w:tcW w:w="692" w:type="pct"/>
            <w:tcBorders>
              <w:top w:val="single" w:sz="4" w:space="0" w:color="auto"/>
              <w:left w:val="nil"/>
              <w:bottom w:val="single" w:sz="8" w:space="0" w:color="auto"/>
              <w:right w:val="nil"/>
            </w:tcBorders>
            <w:shd w:val="clear" w:color="000000" w:fill="FFFFFF"/>
            <w:vAlign w:val="center"/>
            <w:hideMark/>
          </w:tcPr>
          <w:p w14:paraId="32496CA5" w14:textId="18223D67" w:rsidR="00D07A53" w:rsidRPr="009973DB" w:rsidRDefault="000B2628" w:rsidP="003632F4">
            <w:pPr>
              <w:spacing w:line="240" w:lineRule="auto"/>
              <w:jc w:val="center"/>
              <w:rPr>
                <w:rFonts w:eastAsia="Times New Roman"/>
                <w:i/>
                <w:iCs/>
                <w:color w:val="000000"/>
                <w:lang w:eastAsia="en-NZ"/>
              </w:rPr>
            </w:pPr>
            <w:r>
              <w:rPr>
                <w:rFonts w:eastAsia="Cambria"/>
                <w:i/>
                <w:iCs/>
                <w:color w:val="000000"/>
                <w:lang w:val="en-US" w:eastAsia="en-NZ"/>
              </w:rPr>
              <w:t>0.9</w:t>
            </w:r>
            <w:r w:rsidR="00D07A53" w:rsidRPr="009973DB">
              <w:rPr>
                <w:rFonts w:eastAsia="Cambria"/>
                <w:i/>
                <w:iCs/>
                <w:color w:val="000000"/>
                <w:lang w:val="en-US" w:eastAsia="en-NZ"/>
              </w:rPr>
              <w:t> </w:t>
            </w:r>
          </w:p>
        </w:tc>
      </w:tr>
      <w:tr w:rsidR="00D07A53" w:rsidRPr="009973DB" w14:paraId="6082888B" w14:textId="77777777" w:rsidTr="003632F4">
        <w:trPr>
          <w:trHeight w:val="300"/>
        </w:trPr>
        <w:tc>
          <w:tcPr>
            <w:tcW w:w="942" w:type="pct"/>
            <w:tcBorders>
              <w:top w:val="single" w:sz="4" w:space="0" w:color="auto"/>
              <w:left w:val="nil"/>
              <w:bottom w:val="nil"/>
              <w:right w:val="nil"/>
            </w:tcBorders>
            <w:shd w:val="clear" w:color="auto" w:fill="auto"/>
            <w:noWrap/>
            <w:vAlign w:val="bottom"/>
            <w:hideMark/>
          </w:tcPr>
          <w:p w14:paraId="4E7B3D6E" w14:textId="77777777" w:rsidR="00D07A53" w:rsidRPr="009973DB" w:rsidRDefault="00D07A53" w:rsidP="003632F4">
            <w:pPr>
              <w:spacing w:line="240" w:lineRule="auto"/>
              <w:rPr>
                <w:rFonts w:eastAsia="Times New Roman"/>
                <w:b/>
                <w:bCs/>
                <w:color w:val="000000"/>
                <w:lang w:eastAsia="en-NZ"/>
              </w:rPr>
            </w:pPr>
            <w:r w:rsidRPr="009973DB">
              <w:rPr>
                <w:rFonts w:eastAsia="Times New Roman"/>
                <w:b/>
                <w:bCs/>
                <w:color w:val="000000"/>
                <w:lang w:eastAsia="en-NZ"/>
              </w:rPr>
              <w:t>Gender</w:t>
            </w:r>
          </w:p>
        </w:tc>
        <w:tc>
          <w:tcPr>
            <w:tcW w:w="600" w:type="pct"/>
            <w:tcBorders>
              <w:top w:val="nil"/>
              <w:left w:val="nil"/>
              <w:bottom w:val="nil"/>
              <w:right w:val="nil"/>
            </w:tcBorders>
            <w:shd w:val="clear" w:color="auto" w:fill="auto"/>
            <w:noWrap/>
            <w:vAlign w:val="bottom"/>
            <w:hideMark/>
          </w:tcPr>
          <w:p w14:paraId="68F0950D" w14:textId="77777777" w:rsidR="00D07A53" w:rsidRPr="009973DB" w:rsidRDefault="00D07A53" w:rsidP="003632F4">
            <w:pPr>
              <w:spacing w:line="240" w:lineRule="auto"/>
              <w:rPr>
                <w:rFonts w:eastAsia="Times New Roman"/>
                <w:color w:val="000000"/>
                <w:lang w:eastAsia="en-NZ"/>
              </w:rPr>
            </w:pPr>
          </w:p>
        </w:tc>
        <w:tc>
          <w:tcPr>
            <w:tcW w:w="692" w:type="pct"/>
            <w:tcBorders>
              <w:top w:val="nil"/>
              <w:left w:val="nil"/>
              <w:bottom w:val="nil"/>
              <w:right w:val="nil"/>
            </w:tcBorders>
            <w:shd w:val="clear" w:color="auto" w:fill="auto"/>
            <w:noWrap/>
            <w:vAlign w:val="bottom"/>
            <w:hideMark/>
          </w:tcPr>
          <w:p w14:paraId="709309BB" w14:textId="77777777" w:rsidR="00D07A53" w:rsidRPr="009973DB" w:rsidRDefault="00D07A53" w:rsidP="003632F4">
            <w:pPr>
              <w:spacing w:line="240" w:lineRule="auto"/>
              <w:rPr>
                <w:rFonts w:eastAsia="Times New Roman"/>
                <w:i/>
                <w:iCs/>
                <w:lang w:eastAsia="en-NZ"/>
              </w:rPr>
            </w:pPr>
          </w:p>
        </w:tc>
        <w:tc>
          <w:tcPr>
            <w:tcW w:w="691" w:type="pct"/>
            <w:tcBorders>
              <w:top w:val="nil"/>
              <w:left w:val="nil"/>
              <w:bottom w:val="nil"/>
              <w:right w:val="nil"/>
            </w:tcBorders>
            <w:shd w:val="clear" w:color="auto" w:fill="auto"/>
            <w:noWrap/>
            <w:vAlign w:val="bottom"/>
            <w:hideMark/>
          </w:tcPr>
          <w:p w14:paraId="53E94E5B" w14:textId="77777777" w:rsidR="00D07A53" w:rsidRPr="009973DB" w:rsidRDefault="00D07A53" w:rsidP="003632F4">
            <w:pPr>
              <w:spacing w:line="240" w:lineRule="auto"/>
              <w:rPr>
                <w:rFonts w:eastAsia="Times New Roman"/>
                <w:lang w:eastAsia="en-NZ"/>
              </w:rPr>
            </w:pPr>
          </w:p>
        </w:tc>
        <w:tc>
          <w:tcPr>
            <w:tcW w:w="692" w:type="pct"/>
            <w:tcBorders>
              <w:top w:val="nil"/>
              <w:left w:val="nil"/>
              <w:bottom w:val="nil"/>
              <w:right w:val="nil"/>
            </w:tcBorders>
            <w:shd w:val="clear" w:color="auto" w:fill="auto"/>
            <w:noWrap/>
            <w:vAlign w:val="bottom"/>
            <w:hideMark/>
          </w:tcPr>
          <w:p w14:paraId="386FE9FA" w14:textId="77777777" w:rsidR="00D07A53" w:rsidRPr="009973DB" w:rsidRDefault="00D07A53" w:rsidP="003632F4">
            <w:pPr>
              <w:spacing w:line="240" w:lineRule="auto"/>
              <w:rPr>
                <w:rFonts w:eastAsia="Times New Roman"/>
                <w:i/>
                <w:iCs/>
                <w:lang w:eastAsia="en-NZ"/>
              </w:rPr>
            </w:pPr>
          </w:p>
        </w:tc>
        <w:tc>
          <w:tcPr>
            <w:tcW w:w="691" w:type="pct"/>
            <w:tcBorders>
              <w:top w:val="nil"/>
              <w:left w:val="nil"/>
              <w:bottom w:val="nil"/>
              <w:right w:val="nil"/>
            </w:tcBorders>
            <w:shd w:val="clear" w:color="auto" w:fill="auto"/>
            <w:noWrap/>
            <w:vAlign w:val="bottom"/>
            <w:hideMark/>
          </w:tcPr>
          <w:p w14:paraId="386FEB65" w14:textId="77777777" w:rsidR="00D07A53" w:rsidRPr="009973DB" w:rsidRDefault="00D07A53" w:rsidP="003632F4">
            <w:pPr>
              <w:spacing w:line="240" w:lineRule="auto"/>
              <w:rPr>
                <w:rFonts w:eastAsia="Times New Roman"/>
                <w:lang w:eastAsia="en-NZ"/>
              </w:rPr>
            </w:pPr>
          </w:p>
        </w:tc>
        <w:tc>
          <w:tcPr>
            <w:tcW w:w="692" w:type="pct"/>
            <w:tcBorders>
              <w:top w:val="nil"/>
              <w:left w:val="nil"/>
              <w:bottom w:val="nil"/>
              <w:right w:val="nil"/>
            </w:tcBorders>
            <w:shd w:val="clear" w:color="auto" w:fill="auto"/>
            <w:noWrap/>
            <w:vAlign w:val="bottom"/>
            <w:hideMark/>
          </w:tcPr>
          <w:p w14:paraId="38A657C9" w14:textId="77777777" w:rsidR="00D07A53" w:rsidRPr="009973DB" w:rsidRDefault="00D07A53" w:rsidP="003632F4">
            <w:pPr>
              <w:spacing w:line="240" w:lineRule="auto"/>
              <w:rPr>
                <w:rFonts w:eastAsia="Times New Roman"/>
                <w:i/>
                <w:iCs/>
                <w:lang w:eastAsia="en-NZ"/>
              </w:rPr>
            </w:pPr>
          </w:p>
        </w:tc>
      </w:tr>
      <w:tr w:rsidR="00D07A53" w:rsidRPr="009973DB" w14:paraId="799BD64F" w14:textId="77777777" w:rsidTr="003632F4">
        <w:trPr>
          <w:trHeight w:val="315"/>
        </w:trPr>
        <w:tc>
          <w:tcPr>
            <w:tcW w:w="942" w:type="pct"/>
            <w:tcBorders>
              <w:top w:val="nil"/>
              <w:left w:val="nil"/>
              <w:bottom w:val="nil"/>
              <w:right w:val="nil"/>
            </w:tcBorders>
            <w:shd w:val="clear" w:color="auto" w:fill="auto"/>
            <w:noWrap/>
            <w:vAlign w:val="bottom"/>
            <w:hideMark/>
          </w:tcPr>
          <w:p w14:paraId="0ABD2420" w14:textId="77777777" w:rsidR="00D07A53" w:rsidRPr="009973DB" w:rsidRDefault="00D07A53" w:rsidP="003632F4">
            <w:pPr>
              <w:spacing w:line="240" w:lineRule="auto"/>
              <w:rPr>
                <w:rFonts w:eastAsia="Times New Roman"/>
                <w:color w:val="000000"/>
                <w:lang w:eastAsia="en-NZ"/>
              </w:rPr>
            </w:pPr>
            <w:r>
              <w:rPr>
                <w:rFonts w:eastAsia="Times New Roman"/>
                <w:color w:val="000000"/>
                <w:lang w:eastAsia="en-NZ"/>
              </w:rPr>
              <w:t xml:space="preserve">  </w:t>
            </w:r>
            <w:r w:rsidRPr="009973DB">
              <w:rPr>
                <w:rFonts w:eastAsia="Times New Roman"/>
                <w:color w:val="000000"/>
                <w:lang w:eastAsia="en-NZ"/>
              </w:rPr>
              <w:t>Female</w:t>
            </w:r>
          </w:p>
        </w:tc>
        <w:tc>
          <w:tcPr>
            <w:tcW w:w="600" w:type="pct"/>
            <w:tcBorders>
              <w:top w:val="nil"/>
              <w:left w:val="nil"/>
              <w:bottom w:val="nil"/>
              <w:right w:val="nil"/>
            </w:tcBorders>
            <w:shd w:val="clear" w:color="000000" w:fill="FFFFFF"/>
            <w:vAlign w:val="center"/>
            <w:hideMark/>
          </w:tcPr>
          <w:p w14:paraId="151F9B1F" w14:textId="77777777" w:rsidR="00D07A53" w:rsidRPr="009973DB" w:rsidRDefault="00D07A53" w:rsidP="003632F4">
            <w:pPr>
              <w:spacing w:line="240" w:lineRule="auto"/>
              <w:jc w:val="center"/>
              <w:rPr>
                <w:rFonts w:eastAsia="Times New Roman"/>
                <w:color w:val="111111"/>
                <w:lang w:eastAsia="en-NZ"/>
              </w:rPr>
            </w:pPr>
            <w:r w:rsidRPr="009973DB">
              <w:rPr>
                <w:rFonts w:eastAsia="Times New Roman"/>
                <w:color w:val="111111"/>
                <w:lang w:val="en-US" w:eastAsia="en-NZ"/>
              </w:rPr>
              <w:t>15382</w:t>
            </w:r>
          </w:p>
        </w:tc>
        <w:tc>
          <w:tcPr>
            <w:tcW w:w="692" w:type="pct"/>
            <w:tcBorders>
              <w:top w:val="nil"/>
              <w:left w:val="nil"/>
              <w:bottom w:val="nil"/>
              <w:right w:val="nil"/>
            </w:tcBorders>
            <w:shd w:val="clear" w:color="000000" w:fill="FFFFFF"/>
            <w:vAlign w:val="center"/>
            <w:hideMark/>
          </w:tcPr>
          <w:p w14:paraId="788EB047" w14:textId="77777777" w:rsidR="00D07A53" w:rsidRPr="009973DB" w:rsidRDefault="00D07A53" w:rsidP="003632F4">
            <w:pPr>
              <w:spacing w:line="240" w:lineRule="auto"/>
              <w:jc w:val="center"/>
              <w:rPr>
                <w:rFonts w:eastAsia="Times New Roman"/>
                <w:i/>
                <w:iCs/>
                <w:color w:val="111111"/>
                <w:lang w:eastAsia="en-NZ"/>
              </w:rPr>
            </w:pPr>
            <w:r w:rsidRPr="009973DB">
              <w:rPr>
                <w:rFonts w:eastAsia="Times New Roman"/>
                <w:i/>
                <w:iCs/>
                <w:color w:val="111111"/>
                <w:lang w:val="en-US" w:eastAsia="en-NZ"/>
              </w:rPr>
              <w:t>65.1</w:t>
            </w:r>
          </w:p>
        </w:tc>
        <w:tc>
          <w:tcPr>
            <w:tcW w:w="691" w:type="pct"/>
            <w:tcBorders>
              <w:top w:val="nil"/>
              <w:left w:val="nil"/>
              <w:bottom w:val="nil"/>
              <w:right w:val="nil"/>
            </w:tcBorders>
            <w:shd w:val="clear" w:color="000000" w:fill="FFFFFF"/>
            <w:vAlign w:val="center"/>
            <w:hideMark/>
          </w:tcPr>
          <w:p w14:paraId="150D8097" w14:textId="77777777" w:rsidR="00D07A53" w:rsidRPr="009973DB" w:rsidRDefault="00D07A53" w:rsidP="003632F4">
            <w:pPr>
              <w:spacing w:line="240" w:lineRule="auto"/>
              <w:jc w:val="center"/>
              <w:rPr>
                <w:rFonts w:eastAsia="Times New Roman"/>
                <w:color w:val="111111"/>
                <w:lang w:eastAsia="en-NZ"/>
              </w:rPr>
            </w:pPr>
            <w:r w:rsidRPr="009973DB">
              <w:rPr>
                <w:rFonts w:eastAsia="Times New Roman"/>
                <w:color w:val="111111"/>
                <w:lang w:val="en-US" w:eastAsia="en-NZ"/>
              </w:rPr>
              <w:t>9518</w:t>
            </w:r>
          </w:p>
        </w:tc>
        <w:tc>
          <w:tcPr>
            <w:tcW w:w="692" w:type="pct"/>
            <w:tcBorders>
              <w:top w:val="nil"/>
              <w:left w:val="nil"/>
              <w:bottom w:val="nil"/>
              <w:right w:val="nil"/>
            </w:tcBorders>
            <w:shd w:val="clear" w:color="000000" w:fill="FFFFFF"/>
            <w:vAlign w:val="center"/>
            <w:hideMark/>
          </w:tcPr>
          <w:p w14:paraId="420AF0CE" w14:textId="77777777" w:rsidR="00D07A53" w:rsidRPr="009973DB" w:rsidRDefault="00D07A53" w:rsidP="003632F4">
            <w:pPr>
              <w:spacing w:line="240" w:lineRule="auto"/>
              <w:jc w:val="center"/>
              <w:rPr>
                <w:rFonts w:eastAsia="Times New Roman"/>
                <w:i/>
                <w:iCs/>
                <w:color w:val="111111"/>
                <w:lang w:eastAsia="en-NZ"/>
              </w:rPr>
            </w:pPr>
            <w:r w:rsidRPr="009973DB">
              <w:rPr>
                <w:rFonts w:eastAsia="Times New Roman"/>
                <w:i/>
                <w:iCs/>
                <w:color w:val="111111"/>
                <w:lang w:val="en-US" w:eastAsia="en-NZ"/>
              </w:rPr>
              <w:t>39.9</w:t>
            </w:r>
          </w:p>
        </w:tc>
        <w:tc>
          <w:tcPr>
            <w:tcW w:w="691" w:type="pct"/>
            <w:tcBorders>
              <w:top w:val="nil"/>
              <w:left w:val="nil"/>
              <w:bottom w:val="nil"/>
              <w:right w:val="nil"/>
            </w:tcBorders>
            <w:shd w:val="clear" w:color="000000" w:fill="FFFFFF"/>
            <w:vAlign w:val="center"/>
            <w:hideMark/>
          </w:tcPr>
          <w:p w14:paraId="38C4E168" w14:textId="77777777" w:rsidR="00D07A53" w:rsidRPr="009973DB" w:rsidRDefault="00D07A53" w:rsidP="003632F4">
            <w:pPr>
              <w:spacing w:line="240" w:lineRule="auto"/>
              <w:jc w:val="center"/>
              <w:rPr>
                <w:rFonts w:eastAsia="Times New Roman"/>
                <w:color w:val="111111"/>
                <w:lang w:eastAsia="en-NZ"/>
              </w:rPr>
            </w:pPr>
            <w:r w:rsidRPr="009973DB">
              <w:rPr>
                <w:rFonts w:eastAsia="Times New Roman"/>
                <w:color w:val="111111"/>
                <w:lang w:val="en-US" w:eastAsia="en-NZ"/>
              </w:rPr>
              <w:t>257</w:t>
            </w:r>
          </w:p>
        </w:tc>
        <w:tc>
          <w:tcPr>
            <w:tcW w:w="692" w:type="pct"/>
            <w:tcBorders>
              <w:top w:val="nil"/>
              <w:left w:val="nil"/>
              <w:bottom w:val="nil"/>
              <w:right w:val="nil"/>
            </w:tcBorders>
            <w:shd w:val="clear" w:color="000000" w:fill="FFFFFF"/>
            <w:vAlign w:val="center"/>
            <w:hideMark/>
          </w:tcPr>
          <w:p w14:paraId="74083310" w14:textId="77777777" w:rsidR="00D07A53" w:rsidRPr="009973DB" w:rsidRDefault="00D07A53" w:rsidP="003632F4">
            <w:pPr>
              <w:spacing w:line="240" w:lineRule="auto"/>
              <w:jc w:val="center"/>
              <w:rPr>
                <w:rFonts w:eastAsia="Times New Roman"/>
                <w:i/>
                <w:iCs/>
                <w:color w:val="111111"/>
                <w:lang w:eastAsia="en-NZ"/>
              </w:rPr>
            </w:pPr>
            <w:r w:rsidRPr="009973DB">
              <w:rPr>
                <w:rFonts w:eastAsia="Times New Roman"/>
                <w:i/>
                <w:iCs/>
                <w:color w:val="111111"/>
                <w:lang w:val="en-US" w:eastAsia="en-NZ"/>
              </w:rPr>
              <w:t>59.9</w:t>
            </w:r>
          </w:p>
        </w:tc>
      </w:tr>
      <w:tr w:rsidR="00D07A53" w:rsidRPr="009973DB" w14:paraId="009AF75B" w14:textId="77777777" w:rsidTr="003632F4">
        <w:trPr>
          <w:trHeight w:val="315"/>
        </w:trPr>
        <w:tc>
          <w:tcPr>
            <w:tcW w:w="942" w:type="pct"/>
            <w:tcBorders>
              <w:top w:val="nil"/>
              <w:left w:val="nil"/>
              <w:bottom w:val="nil"/>
              <w:right w:val="nil"/>
            </w:tcBorders>
            <w:shd w:val="clear" w:color="auto" w:fill="auto"/>
            <w:noWrap/>
            <w:vAlign w:val="bottom"/>
            <w:hideMark/>
          </w:tcPr>
          <w:p w14:paraId="6A798B4F" w14:textId="77777777" w:rsidR="00D07A53" w:rsidRPr="009973DB" w:rsidRDefault="00D07A53" w:rsidP="003632F4">
            <w:pPr>
              <w:spacing w:line="240" w:lineRule="auto"/>
              <w:rPr>
                <w:rFonts w:eastAsia="Times New Roman"/>
                <w:color w:val="000000"/>
                <w:lang w:eastAsia="en-NZ"/>
              </w:rPr>
            </w:pPr>
            <w:r>
              <w:rPr>
                <w:rFonts w:eastAsia="Times New Roman"/>
                <w:color w:val="000000"/>
                <w:lang w:eastAsia="en-NZ"/>
              </w:rPr>
              <w:t xml:space="preserve">  </w:t>
            </w:r>
            <w:r w:rsidRPr="009973DB">
              <w:rPr>
                <w:rFonts w:eastAsia="Times New Roman"/>
                <w:color w:val="000000"/>
                <w:lang w:eastAsia="en-NZ"/>
              </w:rPr>
              <w:t>Male</w:t>
            </w:r>
          </w:p>
        </w:tc>
        <w:tc>
          <w:tcPr>
            <w:tcW w:w="600" w:type="pct"/>
            <w:tcBorders>
              <w:top w:val="nil"/>
              <w:left w:val="nil"/>
              <w:bottom w:val="single" w:sz="8" w:space="0" w:color="auto"/>
              <w:right w:val="nil"/>
            </w:tcBorders>
            <w:shd w:val="clear" w:color="000000" w:fill="FFFFFF"/>
            <w:vAlign w:val="center"/>
            <w:hideMark/>
          </w:tcPr>
          <w:p w14:paraId="53E24438" w14:textId="77777777" w:rsidR="00D07A53" w:rsidRPr="009973DB" w:rsidRDefault="00D07A53" w:rsidP="003632F4">
            <w:pPr>
              <w:spacing w:line="240" w:lineRule="auto"/>
              <w:jc w:val="center"/>
              <w:rPr>
                <w:rFonts w:eastAsia="Times New Roman"/>
                <w:color w:val="111111"/>
                <w:lang w:eastAsia="en-NZ"/>
              </w:rPr>
            </w:pPr>
            <w:r w:rsidRPr="009973DB">
              <w:rPr>
                <w:rFonts w:eastAsia="Times New Roman"/>
                <w:color w:val="111111"/>
                <w:lang w:val="en-US" w:eastAsia="en-NZ"/>
              </w:rPr>
              <w:t>8235</w:t>
            </w:r>
          </w:p>
        </w:tc>
        <w:tc>
          <w:tcPr>
            <w:tcW w:w="692" w:type="pct"/>
            <w:tcBorders>
              <w:top w:val="nil"/>
              <w:left w:val="nil"/>
              <w:bottom w:val="single" w:sz="8" w:space="0" w:color="auto"/>
              <w:right w:val="nil"/>
            </w:tcBorders>
            <w:shd w:val="clear" w:color="000000" w:fill="FFFFFF"/>
            <w:vAlign w:val="center"/>
            <w:hideMark/>
          </w:tcPr>
          <w:p w14:paraId="2A5FEF1D" w14:textId="77777777" w:rsidR="00D07A53" w:rsidRPr="009973DB" w:rsidRDefault="00D07A53" w:rsidP="003632F4">
            <w:pPr>
              <w:spacing w:line="240" w:lineRule="auto"/>
              <w:jc w:val="center"/>
              <w:rPr>
                <w:rFonts w:eastAsia="Times New Roman"/>
                <w:i/>
                <w:iCs/>
                <w:color w:val="111111"/>
                <w:lang w:eastAsia="en-NZ"/>
              </w:rPr>
            </w:pPr>
            <w:r w:rsidRPr="009973DB">
              <w:rPr>
                <w:rFonts w:eastAsia="Times New Roman"/>
                <w:i/>
                <w:iCs/>
                <w:color w:val="111111"/>
                <w:lang w:val="en-US" w:eastAsia="en-NZ"/>
              </w:rPr>
              <w:t>34.9</w:t>
            </w:r>
          </w:p>
        </w:tc>
        <w:tc>
          <w:tcPr>
            <w:tcW w:w="691" w:type="pct"/>
            <w:tcBorders>
              <w:top w:val="nil"/>
              <w:left w:val="nil"/>
              <w:bottom w:val="single" w:sz="8" w:space="0" w:color="auto"/>
              <w:right w:val="nil"/>
            </w:tcBorders>
            <w:shd w:val="clear" w:color="000000" w:fill="FFFFFF"/>
            <w:vAlign w:val="center"/>
            <w:hideMark/>
          </w:tcPr>
          <w:p w14:paraId="3D64EC0D" w14:textId="77777777" w:rsidR="00D07A53" w:rsidRPr="009973DB" w:rsidRDefault="00D07A53" w:rsidP="003632F4">
            <w:pPr>
              <w:spacing w:line="240" w:lineRule="auto"/>
              <w:jc w:val="center"/>
              <w:rPr>
                <w:rFonts w:eastAsia="Times New Roman"/>
                <w:color w:val="111111"/>
                <w:lang w:eastAsia="en-NZ"/>
              </w:rPr>
            </w:pPr>
            <w:r w:rsidRPr="009973DB">
              <w:rPr>
                <w:rFonts w:eastAsia="Times New Roman"/>
                <w:color w:val="111111"/>
                <w:lang w:val="en-US" w:eastAsia="en-NZ"/>
              </w:rPr>
              <w:t>14362</w:t>
            </w:r>
          </w:p>
        </w:tc>
        <w:tc>
          <w:tcPr>
            <w:tcW w:w="692" w:type="pct"/>
            <w:tcBorders>
              <w:top w:val="nil"/>
              <w:left w:val="nil"/>
              <w:bottom w:val="single" w:sz="8" w:space="0" w:color="auto"/>
              <w:right w:val="nil"/>
            </w:tcBorders>
            <w:shd w:val="clear" w:color="000000" w:fill="FFFFFF"/>
            <w:vAlign w:val="center"/>
            <w:hideMark/>
          </w:tcPr>
          <w:p w14:paraId="63C07142" w14:textId="77777777" w:rsidR="00D07A53" w:rsidRPr="009973DB" w:rsidRDefault="00D07A53" w:rsidP="003632F4">
            <w:pPr>
              <w:spacing w:line="240" w:lineRule="auto"/>
              <w:jc w:val="center"/>
              <w:rPr>
                <w:rFonts w:eastAsia="Times New Roman"/>
                <w:i/>
                <w:iCs/>
                <w:color w:val="111111"/>
                <w:lang w:eastAsia="en-NZ"/>
              </w:rPr>
            </w:pPr>
            <w:r w:rsidRPr="009973DB">
              <w:rPr>
                <w:rFonts w:eastAsia="Times New Roman"/>
                <w:i/>
                <w:iCs/>
                <w:color w:val="111111"/>
                <w:lang w:val="en-US" w:eastAsia="en-NZ"/>
              </w:rPr>
              <w:t>60.1</w:t>
            </w:r>
          </w:p>
        </w:tc>
        <w:tc>
          <w:tcPr>
            <w:tcW w:w="691" w:type="pct"/>
            <w:tcBorders>
              <w:top w:val="nil"/>
              <w:left w:val="nil"/>
              <w:bottom w:val="single" w:sz="8" w:space="0" w:color="auto"/>
              <w:right w:val="nil"/>
            </w:tcBorders>
            <w:shd w:val="clear" w:color="000000" w:fill="FFFFFF"/>
            <w:vAlign w:val="center"/>
            <w:hideMark/>
          </w:tcPr>
          <w:p w14:paraId="68C5D634" w14:textId="77777777" w:rsidR="00D07A53" w:rsidRPr="009973DB" w:rsidRDefault="00D07A53" w:rsidP="003632F4">
            <w:pPr>
              <w:spacing w:line="240" w:lineRule="auto"/>
              <w:jc w:val="center"/>
              <w:rPr>
                <w:rFonts w:eastAsia="Times New Roman"/>
                <w:color w:val="111111"/>
                <w:lang w:eastAsia="en-NZ"/>
              </w:rPr>
            </w:pPr>
            <w:r w:rsidRPr="009973DB">
              <w:rPr>
                <w:rFonts w:eastAsia="Times New Roman"/>
                <w:color w:val="111111"/>
                <w:lang w:val="en-US" w:eastAsia="en-NZ"/>
              </w:rPr>
              <w:t>172</w:t>
            </w:r>
          </w:p>
        </w:tc>
        <w:tc>
          <w:tcPr>
            <w:tcW w:w="692" w:type="pct"/>
            <w:tcBorders>
              <w:top w:val="nil"/>
              <w:left w:val="nil"/>
              <w:bottom w:val="single" w:sz="8" w:space="0" w:color="auto"/>
              <w:right w:val="nil"/>
            </w:tcBorders>
            <w:shd w:val="clear" w:color="000000" w:fill="FFFFFF"/>
            <w:vAlign w:val="center"/>
            <w:hideMark/>
          </w:tcPr>
          <w:p w14:paraId="08B771F2" w14:textId="77777777" w:rsidR="00D07A53" w:rsidRPr="009973DB" w:rsidRDefault="00D07A53" w:rsidP="003632F4">
            <w:pPr>
              <w:spacing w:line="240" w:lineRule="auto"/>
              <w:jc w:val="center"/>
              <w:rPr>
                <w:rFonts w:eastAsia="Times New Roman"/>
                <w:i/>
                <w:iCs/>
                <w:color w:val="111111"/>
                <w:lang w:eastAsia="en-NZ"/>
              </w:rPr>
            </w:pPr>
            <w:r w:rsidRPr="009973DB">
              <w:rPr>
                <w:rFonts w:eastAsia="Times New Roman"/>
                <w:i/>
                <w:iCs/>
                <w:color w:val="111111"/>
                <w:lang w:val="en-US" w:eastAsia="en-NZ"/>
              </w:rPr>
              <w:t>40.1</w:t>
            </w:r>
          </w:p>
        </w:tc>
      </w:tr>
      <w:tr w:rsidR="00D07A53" w:rsidRPr="009973DB" w14:paraId="73FAB340" w14:textId="77777777" w:rsidTr="003632F4">
        <w:trPr>
          <w:trHeight w:val="300"/>
        </w:trPr>
        <w:tc>
          <w:tcPr>
            <w:tcW w:w="942" w:type="pct"/>
            <w:tcBorders>
              <w:top w:val="single" w:sz="4" w:space="0" w:color="auto"/>
              <w:left w:val="nil"/>
              <w:bottom w:val="nil"/>
              <w:right w:val="nil"/>
            </w:tcBorders>
            <w:shd w:val="clear" w:color="auto" w:fill="auto"/>
            <w:noWrap/>
            <w:vAlign w:val="bottom"/>
            <w:hideMark/>
          </w:tcPr>
          <w:p w14:paraId="54101880" w14:textId="77777777" w:rsidR="00D07A53" w:rsidRPr="009973DB" w:rsidRDefault="00D07A53" w:rsidP="003632F4">
            <w:pPr>
              <w:spacing w:line="240" w:lineRule="auto"/>
              <w:rPr>
                <w:rFonts w:eastAsia="Times New Roman"/>
                <w:b/>
                <w:bCs/>
                <w:color w:val="000000"/>
                <w:lang w:eastAsia="en-NZ"/>
              </w:rPr>
            </w:pPr>
            <w:r w:rsidRPr="009973DB">
              <w:rPr>
                <w:rFonts w:eastAsia="Times New Roman"/>
                <w:b/>
                <w:bCs/>
                <w:color w:val="000000"/>
                <w:lang w:eastAsia="en-NZ"/>
              </w:rPr>
              <w:t>Age Group</w:t>
            </w:r>
          </w:p>
        </w:tc>
        <w:tc>
          <w:tcPr>
            <w:tcW w:w="600" w:type="pct"/>
            <w:tcBorders>
              <w:top w:val="nil"/>
              <w:left w:val="nil"/>
              <w:bottom w:val="nil"/>
              <w:right w:val="nil"/>
            </w:tcBorders>
            <w:shd w:val="clear" w:color="auto" w:fill="auto"/>
            <w:noWrap/>
            <w:vAlign w:val="bottom"/>
            <w:hideMark/>
          </w:tcPr>
          <w:p w14:paraId="0888DA6B" w14:textId="77777777" w:rsidR="00D07A53" w:rsidRPr="009973DB" w:rsidRDefault="00D07A53" w:rsidP="003632F4">
            <w:pPr>
              <w:spacing w:line="240" w:lineRule="auto"/>
              <w:rPr>
                <w:rFonts w:eastAsia="Times New Roman"/>
                <w:color w:val="000000"/>
                <w:lang w:eastAsia="en-NZ"/>
              </w:rPr>
            </w:pPr>
          </w:p>
        </w:tc>
        <w:tc>
          <w:tcPr>
            <w:tcW w:w="692" w:type="pct"/>
            <w:tcBorders>
              <w:top w:val="nil"/>
              <w:left w:val="nil"/>
              <w:bottom w:val="nil"/>
              <w:right w:val="nil"/>
            </w:tcBorders>
            <w:shd w:val="clear" w:color="auto" w:fill="auto"/>
            <w:noWrap/>
            <w:vAlign w:val="bottom"/>
            <w:hideMark/>
          </w:tcPr>
          <w:p w14:paraId="052FF9BD" w14:textId="77777777" w:rsidR="00D07A53" w:rsidRPr="009973DB" w:rsidRDefault="00D07A53" w:rsidP="003632F4">
            <w:pPr>
              <w:spacing w:line="240" w:lineRule="auto"/>
              <w:rPr>
                <w:rFonts w:eastAsia="Times New Roman"/>
                <w:i/>
                <w:iCs/>
                <w:lang w:eastAsia="en-NZ"/>
              </w:rPr>
            </w:pPr>
          </w:p>
        </w:tc>
        <w:tc>
          <w:tcPr>
            <w:tcW w:w="691" w:type="pct"/>
            <w:tcBorders>
              <w:top w:val="nil"/>
              <w:left w:val="nil"/>
              <w:bottom w:val="nil"/>
              <w:right w:val="nil"/>
            </w:tcBorders>
            <w:shd w:val="clear" w:color="auto" w:fill="auto"/>
            <w:noWrap/>
            <w:vAlign w:val="bottom"/>
            <w:hideMark/>
          </w:tcPr>
          <w:p w14:paraId="1C8C8A59" w14:textId="77777777" w:rsidR="00D07A53" w:rsidRPr="009973DB" w:rsidRDefault="00D07A53" w:rsidP="003632F4">
            <w:pPr>
              <w:spacing w:line="240" w:lineRule="auto"/>
              <w:rPr>
                <w:rFonts w:eastAsia="Times New Roman"/>
                <w:lang w:eastAsia="en-NZ"/>
              </w:rPr>
            </w:pPr>
          </w:p>
        </w:tc>
        <w:tc>
          <w:tcPr>
            <w:tcW w:w="692" w:type="pct"/>
            <w:tcBorders>
              <w:top w:val="nil"/>
              <w:left w:val="nil"/>
              <w:bottom w:val="nil"/>
              <w:right w:val="nil"/>
            </w:tcBorders>
            <w:shd w:val="clear" w:color="auto" w:fill="auto"/>
            <w:noWrap/>
            <w:vAlign w:val="bottom"/>
            <w:hideMark/>
          </w:tcPr>
          <w:p w14:paraId="56A44522" w14:textId="77777777" w:rsidR="00D07A53" w:rsidRPr="009973DB" w:rsidRDefault="00D07A53" w:rsidP="003632F4">
            <w:pPr>
              <w:spacing w:line="240" w:lineRule="auto"/>
              <w:rPr>
                <w:rFonts w:eastAsia="Times New Roman"/>
                <w:i/>
                <w:iCs/>
                <w:lang w:eastAsia="en-NZ"/>
              </w:rPr>
            </w:pPr>
          </w:p>
        </w:tc>
        <w:tc>
          <w:tcPr>
            <w:tcW w:w="691" w:type="pct"/>
            <w:tcBorders>
              <w:top w:val="nil"/>
              <w:left w:val="nil"/>
              <w:bottom w:val="nil"/>
              <w:right w:val="nil"/>
            </w:tcBorders>
            <w:shd w:val="clear" w:color="auto" w:fill="auto"/>
            <w:noWrap/>
            <w:vAlign w:val="bottom"/>
            <w:hideMark/>
          </w:tcPr>
          <w:p w14:paraId="76FD0A28" w14:textId="77777777" w:rsidR="00D07A53" w:rsidRPr="009973DB" w:rsidRDefault="00D07A53" w:rsidP="003632F4">
            <w:pPr>
              <w:spacing w:line="240" w:lineRule="auto"/>
              <w:rPr>
                <w:rFonts w:eastAsia="Times New Roman"/>
                <w:lang w:eastAsia="en-NZ"/>
              </w:rPr>
            </w:pPr>
          </w:p>
        </w:tc>
        <w:tc>
          <w:tcPr>
            <w:tcW w:w="692" w:type="pct"/>
            <w:tcBorders>
              <w:top w:val="nil"/>
              <w:left w:val="nil"/>
              <w:bottom w:val="nil"/>
              <w:right w:val="nil"/>
            </w:tcBorders>
            <w:shd w:val="clear" w:color="auto" w:fill="auto"/>
            <w:noWrap/>
            <w:vAlign w:val="bottom"/>
            <w:hideMark/>
          </w:tcPr>
          <w:p w14:paraId="647B9472" w14:textId="77777777" w:rsidR="00D07A53" w:rsidRPr="009973DB" w:rsidRDefault="00D07A53" w:rsidP="003632F4">
            <w:pPr>
              <w:spacing w:line="240" w:lineRule="auto"/>
              <w:rPr>
                <w:rFonts w:eastAsia="Times New Roman"/>
                <w:i/>
                <w:iCs/>
                <w:lang w:eastAsia="en-NZ"/>
              </w:rPr>
            </w:pPr>
          </w:p>
        </w:tc>
      </w:tr>
      <w:tr w:rsidR="00D07A53" w:rsidRPr="009973DB" w14:paraId="5BBDF2E3" w14:textId="77777777" w:rsidTr="003632F4">
        <w:trPr>
          <w:trHeight w:val="300"/>
        </w:trPr>
        <w:tc>
          <w:tcPr>
            <w:tcW w:w="942" w:type="pct"/>
            <w:tcBorders>
              <w:top w:val="nil"/>
              <w:left w:val="nil"/>
              <w:bottom w:val="nil"/>
              <w:right w:val="nil"/>
            </w:tcBorders>
            <w:shd w:val="clear" w:color="000000" w:fill="FFFFFF"/>
            <w:vAlign w:val="center"/>
            <w:hideMark/>
          </w:tcPr>
          <w:p w14:paraId="73BB9648" w14:textId="77777777" w:rsidR="00D07A53" w:rsidRPr="009973DB" w:rsidRDefault="00D07A53" w:rsidP="003632F4">
            <w:pPr>
              <w:spacing w:line="240" w:lineRule="auto"/>
              <w:rPr>
                <w:rFonts w:eastAsia="Times New Roman"/>
                <w:color w:val="111111"/>
                <w:lang w:eastAsia="en-NZ"/>
              </w:rPr>
            </w:pPr>
            <w:r>
              <w:rPr>
                <w:rFonts w:eastAsia="Times New Roman"/>
                <w:color w:val="111111"/>
                <w:lang w:val="en-US" w:eastAsia="en-NZ"/>
              </w:rPr>
              <w:t xml:space="preserve">  </w:t>
            </w:r>
            <w:r w:rsidRPr="009973DB">
              <w:rPr>
                <w:rFonts w:eastAsia="Times New Roman"/>
                <w:color w:val="111111"/>
                <w:lang w:val="en-US" w:eastAsia="en-NZ"/>
              </w:rPr>
              <w:t>24 or less</w:t>
            </w:r>
          </w:p>
        </w:tc>
        <w:tc>
          <w:tcPr>
            <w:tcW w:w="600" w:type="pct"/>
            <w:tcBorders>
              <w:top w:val="nil"/>
              <w:left w:val="nil"/>
              <w:bottom w:val="nil"/>
              <w:right w:val="nil"/>
            </w:tcBorders>
            <w:shd w:val="clear" w:color="000000" w:fill="FFFFFF"/>
            <w:vAlign w:val="center"/>
            <w:hideMark/>
          </w:tcPr>
          <w:p w14:paraId="7E81480E" w14:textId="77777777" w:rsidR="00D07A53" w:rsidRPr="009973DB" w:rsidRDefault="00D07A53" w:rsidP="003632F4">
            <w:pPr>
              <w:spacing w:line="240" w:lineRule="auto"/>
              <w:jc w:val="center"/>
              <w:rPr>
                <w:rFonts w:eastAsia="Times New Roman"/>
                <w:color w:val="111111"/>
                <w:lang w:eastAsia="en-NZ"/>
              </w:rPr>
            </w:pPr>
            <w:r w:rsidRPr="009973DB">
              <w:rPr>
                <w:rFonts w:eastAsia="Times New Roman"/>
                <w:color w:val="111111"/>
                <w:lang w:val="en-US" w:eastAsia="en-NZ"/>
              </w:rPr>
              <w:t>3254</w:t>
            </w:r>
          </w:p>
        </w:tc>
        <w:tc>
          <w:tcPr>
            <w:tcW w:w="692" w:type="pct"/>
            <w:tcBorders>
              <w:top w:val="nil"/>
              <w:left w:val="nil"/>
              <w:bottom w:val="nil"/>
              <w:right w:val="nil"/>
            </w:tcBorders>
            <w:shd w:val="clear" w:color="000000" w:fill="FFFFFF"/>
            <w:vAlign w:val="center"/>
            <w:hideMark/>
          </w:tcPr>
          <w:p w14:paraId="40B643B0" w14:textId="77777777" w:rsidR="00D07A53" w:rsidRPr="009973DB" w:rsidRDefault="00D07A53" w:rsidP="003632F4">
            <w:pPr>
              <w:spacing w:line="240" w:lineRule="auto"/>
              <w:jc w:val="center"/>
              <w:rPr>
                <w:rFonts w:eastAsia="Times New Roman"/>
                <w:i/>
                <w:iCs/>
                <w:color w:val="111111"/>
                <w:lang w:eastAsia="en-NZ"/>
              </w:rPr>
            </w:pPr>
            <w:r w:rsidRPr="009973DB">
              <w:rPr>
                <w:rFonts w:eastAsia="Times New Roman"/>
                <w:i/>
                <w:iCs/>
                <w:color w:val="111111"/>
                <w:lang w:val="en-US" w:eastAsia="en-NZ"/>
              </w:rPr>
              <w:t>14.6</w:t>
            </w:r>
          </w:p>
        </w:tc>
        <w:tc>
          <w:tcPr>
            <w:tcW w:w="691" w:type="pct"/>
            <w:tcBorders>
              <w:top w:val="nil"/>
              <w:left w:val="nil"/>
              <w:bottom w:val="nil"/>
              <w:right w:val="nil"/>
            </w:tcBorders>
            <w:shd w:val="clear" w:color="000000" w:fill="FFFFFF"/>
            <w:vAlign w:val="center"/>
            <w:hideMark/>
          </w:tcPr>
          <w:p w14:paraId="2B4F817E" w14:textId="77777777" w:rsidR="00D07A53" w:rsidRPr="009973DB" w:rsidRDefault="00D07A53" w:rsidP="003632F4">
            <w:pPr>
              <w:spacing w:line="240" w:lineRule="auto"/>
              <w:jc w:val="center"/>
              <w:rPr>
                <w:rFonts w:eastAsia="Times New Roman"/>
                <w:color w:val="111111"/>
                <w:lang w:eastAsia="en-NZ"/>
              </w:rPr>
            </w:pPr>
            <w:r w:rsidRPr="009973DB">
              <w:rPr>
                <w:rFonts w:eastAsia="Times New Roman"/>
                <w:color w:val="111111"/>
                <w:lang w:val="en-US" w:eastAsia="en-NZ"/>
              </w:rPr>
              <w:t>2299</w:t>
            </w:r>
          </w:p>
        </w:tc>
        <w:tc>
          <w:tcPr>
            <w:tcW w:w="692" w:type="pct"/>
            <w:tcBorders>
              <w:top w:val="nil"/>
              <w:left w:val="nil"/>
              <w:bottom w:val="nil"/>
              <w:right w:val="nil"/>
            </w:tcBorders>
            <w:shd w:val="clear" w:color="000000" w:fill="FFFFFF"/>
            <w:vAlign w:val="center"/>
            <w:hideMark/>
          </w:tcPr>
          <w:p w14:paraId="24278E59" w14:textId="77777777" w:rsidR="00D07A53" w:rsidRPr="009973DB" w:rsidRDefault="00D07A53" w:rsidP="003632F4">
            <w:pPr>
              <w:spacing w:line="240" w:lineRule="auto"/>
              <w:jc w:val="center"/>
              <w:rPr>
                <w:rFonts w:eastAsia="Times New Roman"/>
                <w:i/>
                <w:iCs/>
                <w:color w:val="111111"/>
                <w:lang w:eastAsia="en-NZ"/>
              </w:rPr>
            </w:pPr>
            <w:r w:rsidRPr="009973DB">
              <w:rPr>
                <w:rFonts w:eastAsia="Times New Roman"/>
                <w:i/>
                <w:iCs/>
                <w:color w:val="111111"/>
                <w:lang w:val="en-US" w:eastAsia="en-NZ"/>
              </w:rPr>
              <w:t>10.3</w:t>
            </w:r>
          </w:p>
        </w:tc>
        <w:tc>
          <w:tcPr>
            <w:tcW w:w="691" w:type="pct"/>
            <w:tcBorders>
              <w:top w:val="nil"/>
              <w:left w:val="nil"/>
              <w:bottom w:val="nil"/>
              <w:right w:val="nil"/>
            </w:tcBorders>
            <w:shd w:val="clear" w:color="000000" w:fill="FFFFFF"/>
            <w:vAlign w:val="center"/>
            <w:hideMark/>
          </w:tcPr>
          <w:p w14:paraId="1C8CC26D" w14:textId="77777777" w:rsidR="00D07A53" w:rsidRPr="009973DB" w:rsidRDefault="00D07A53" w:rsidP="003632F4">
            <w:pPr>
              <w:spacing w:line="240" w:lineRule="auto"/>
              <w:jc w:val="center"/>
              <w:rPr>
                <w:rFonts w:eastAsia="Times New Roman"/>
                <w:color w:val="111111"/>
                <w:lang w:eastAsia="en-NZ"/>
              </w:rPr>
            </w:pPr>
            <w:r w:rsidRPr="009973DB">
              <w:rPr>
                <w:rFonts w:eastAsia="Times New Roman"/>
                <w:color w:val="111111"/>
                <w:lang w:val="en-US" w:eastAsia="en-NZ"/>
              </w:rPr>
              <w:t>59</w:t>
            </w:r>
          </w:p>
        </w:tc>
        <w:tc>
          <w:tcPr>
            <w:tcW w:w="692" w:type="pct"/>
            <w:tcBorders>
              <w:top w:val="nil"/>
              <w:left w:val="nil"/>
              <w:bottom w:val="nil"/>
              <w:right w:val="nil"/>
            </w:tcBorders>
            <w:shd w:val="clear" w:color="000000" w:fill="FFFFFF"/>
            <w:vAlign w:val="center"/>
            <w:hideMark/>
          </w:tcPr>
          <w:p w14:paraId="5F0B9E1F" w14:textId="77777777" w:rsidR="00D07A53" w:rsidRPr="009973DB" w:rsidRDefault="00D07A53" w:rsidP="003632F4">
            <w:pPr>
              <w:spacing w:line="240" w:lineRule="auto"/>
              <w:jc w:val="center"/>
              <w:rPr>
                <w:rFonts w:eastAsia="Times New Roman"/>
                <w:i/>
                <w:iCs/>
                <w:color w:val="111111"/>
                <w:lang w:eastAsia="en-NZ"/>
              </w:rPr>
            </w:pPr>
            <w:r w:rsidRPr="009973DB">
              <w:rPr>
                <w:rFonts w:eastAsia="Times New Roman"/>
                <w:i/>
                <w:iCs/>
                <w:color w:val="111111"/>
                <w:lang w:val="en-US" w:eastAsia="en-NZ"/>
              </w:rPr>
              <w:t>13.8</w:t>
            </w:r>
          </w:p>
        </w:tc>
      </w:tr>
      <w:tr w:rsidR="00D07A53" w:rsidRPr="009973DB" w14:paraId="2894F494" w14:textId="77777777" w:rsidTr="003632F4">
        <w:trPr>
          <w:trHeight w:val="300"/>
        </w:trPr>
        <w:tc>
          <w:tcPr>
            <w:tcW w:w="942" w:type="pct"/>
            <w:tcBorders>
              <w:top w:val="nil"/>
              <w:left w:val="nil"/>
              <w:bottom w:val="nil"/>
              <w:right w:val="nil"/>
            </w:tcBorders>
            <w:shd w:val="clear" w:color="000000" w:fill="FFFFFF"/>
            <w:vAlign w:val="center"/>
            <w:hideMark/>
          </w:tcPr>
          <w:p w14:paraId="211BD053" w14:textId="77777777" w:rsidR="00D07A53" w:rsidRPr="009973DB" w:rsidRDefault="00D07A53" w:rsidP="003632F4">
            <w:pPr>
              <w:spacing w:line="240" w:lineRule="auto"/>
              <w:rPr>
                <w:rFonts w:eastAsia="Times New Roman"/>
                <w:color w:val="111111"/>
                <w:lang w:eastAsia="en-NZ"/>
              </w:rPr>
            </w:pPr>
            <w:r>
              <w:rPr>
                <w:rFonts w:eastAsia="Times New Roman"/>
                <w:color w:val="111111"/>
                <w:lang w:val="en-US" w:eastAsia="en-NZ"/>
              </w:rPr>
              <w:t xml:space="preserve">  </w:t>
            </w:r>
            <w:r w:rsidRPr="009973DB">
              <w:rPr>
                <w:rFonts w:eastAsia="Times New Roman"/>
                <w:color w:val="111111"/>
                <w:lang w:val="en-US" w:eastAsia="en-NZ"/>
              </w:rPr>
              <w:t>25-34</w:t>
            </w:r>
          </w:p>
        </w:tc>
        <w:tc>
          <w:tcPr>
            <w:tcW w:w="600" w:type="pct"/>
            <w:tcBorders>
              <w:top w:val="nil"/>
              <w:left w:val="nil"/>
              <w:bottom w:val="nil"/>
              <w:right w:val="nil"/>
            </w:tcBorders>
            <w:shd w:val="clear" w:color="000000" w:fill="FFFFFF"/>
            <w:vAlign w:val="center"/>
            <w:hideMark/>
          </w:tcPr>
          <w:p w14:paraId="4313BC2C" w14:textId="77777777" w:rsidR="00D07A53" w:rsidRPr="009973DB" w:rsidRDefault="00D07A53" w:rsidP="003632F4">
            <w:pPr>
              <w:spacing w:line="240" w:lineRule="auto"/>
              <w:jc w:val="center"/>
              <w:rPr>
                <w:rFonts w:eastAsia="Times New Roman"/>
                <w:color w:val="111111"/>
                <w:lang w:eastAsia="en-NZ"/>
              </w:rPr>
            </w:pPr>
            <w:r w:rsidRPr="009973DB">
              <w:rPr>
                <w:rFonts w:eastAsia="Times New Roman"/>
                <w:color w:val="111111"/>
                <w:lang w:val="en-US" w:eastAsia="en-NZ"/>
              </w:rPr>
              <w:t>5492</w:t>
            </w:r>
          </w:p>
        </w:tc>
        <w:tc>
          <w:tcPr>
            <w:tcW w:w="692" w:type="pct"/>
            <w:tcBorders>
              <w:top w:val="nil"/>
              <w:left w:val="nil"/>
              <w:bottom w:val="nil"/>
              <w:right w:val="nil"/>
            </w:tcBorders>
            <w:shd w:val="clear" w:color="000000" w:fill="FFFFFF"/>
            <w:vAlign w:val="center"/>
            <w:hideMark/>
          </w:tcPr>
          <w:p w14:paraId="6726AA6A" w14:textId="77777777" w:rsidR="00D07A53" w:rsidRPr="009973DB" w:rsidRDefault="00D07A53" w:rsidP="003632F4">
            <w:pPr>
              <w:spacing w:line="240" w:lineRule="auto"/>
              <w:jc w:val="center"/>
              <w:rPr>
                <w:rFonts w:eastAsia="Times New Roman"/>
                <w:i/>
                <w:iCs/>
                <w:color w:val="111111"/>
                <w:lang w:eastAsia="en-NZ"/>
              </w:rPr>
            </w:pPr>
            <w:r w:rsidRPr="009973DB">
              <w:rPr>
                <w:rFonts w:eastAsia="Times New Roman"/>
                <w:i/>
                <w:iCs/>
                <w:color w:val="111111"/>
                <w:lang w:val="en-US" w:eastAsia="en-NZ"/>
              </w:rPr>
              <w:t>24.6</w:t>
            </w:r>
          </w:p>
        </w:tc>
        <w:tc>
          <w:tcPr>
            <w:tcW w:w="691" w:type="pct"/>
            <w:tcBorders>
              <w:top w:val="nil"/>
              <w:left w:val="nil"/>
              <w:bottom w:val="nil"/>
              <w:right w:val="nil"/>
            </w:tcBorders>
            <w:shd w:val="clear" w:color="000000" w:fill="FFFFFF"/>
            <w:vAlign w:val="center"/>
            <w:hideMark/>
          </w:tcPr>
          <w:p w14:paraId="51649AD2" w14:textId="77777777" w:rsidR="00D07A53" w:rsidRPr="009973DB" w:rsidRDefault="00D07A53" w:rsidP="003632F4">
            <w:pPr>
              <w:spacing w:line="240" w:lineRule="auto"/>
              <w:jc w:val="center"/>
              <w:rPr>
                <w:rFonts w:eastAsia="Times New Roman"/>
                <w:color w:val="111111"/>
                <w:lang w:eastAsia="en-NZ"/>
              </w:rPr>
            </w:pPr>
            <w:r w:rsidRPr="009973DB">
              <w:rPr>
                <w:rFonts w:eastAsia="Times New Roman"/>
                <w:color w:val="111111"/>
                <w:lang w:val="en-US" w:eastAsia="en-NZ"/>
              </w:rPr>
              <w:t>6545</w:t>
            </w:r>
          </w:p>
        </w:tc>
        <w:tc>
          <w:tcPr>
            <w:tcW w:w="692" w:type="pct"/>
            <w:tcBorders>
              <w:top w:val="nil"/>
              <w:left w:val="nil"/>
              <w:bottom w:val="nil"/>
              <w:right w:val="nil"/>
            </w:tcBorders>
            <w:shd w:val="clear" w:color="000000" w:fill="FFFFFF"/>
            <w:vAlign w:val="center"/>
            <w:hideMark/>
          </w:tcPr>
          <w:p w14:paraId="1B943CDD" w14:textId="77777777" w:rsidR="00D07A53" w:rsidRPr="009973DB" w:rsidRDefault="00D07A53" w:rsidP="003632F4">
            <w:pPr>
              <w:spacing w:line="240" w:lineRule="auto"/>
              <w:jc w:val="center"/>
              <w:rPr>
                <w:rFonts w:eastAsia="Times New Roman"/>
                <w:i/>
                <w:iCs/>
                <w:color w:val="111111"/>
                <w:lang w:eastAsia="en-NZ"/>
              </w:rPr>
            </w:pPr>
            <w:r w:rsidRPr="009973DB">
              <w:rPr>
                <w:rFonts w:eastAsia="Times New Roman"/>
                <w:i/>
                <w:iCs/>
                <w:color w:val="111111"/>
                <w:lang w:val="en-US" w:eastAsia="en-NZ"/>
              </w:rPr>
              <w:t>29.3</w:t>
            </w:r>
          </w:p>
        </w:tc>
        <w:tc>
          <w:tcPr>
            <w:tcW w:w="691" w:type="pct"/>
            <w:tcBorders>
              <w:top w:val="nil"/>
              <w:left w:val="nil"/>
              <w:bottom w:val="nil"/>
              <w:right w:val="nil"/>
            </w:tcBorders>
            <w:shd w:val="clear" w:color="000000" w:fill="FFFFFF"/>
            <w:vAlign w:val="center"/>
            <w:hideMark/>
          </w:tcPr>
          <w:p w14:paraId="20EFA435" w14:textId="77777777" w:rsidR="00D07A53" w:rsidRPr="009973DB" w:rsidRDefault="00D07A53" w:rsidP="003632F4">
            <w:pPr>
              <w:spacing w:line="240" w:lineRule="auto"/>
              <w:jc w:val="center"/>
              <w:rPr>
                <w:rFonts w:eastAsia="Times New Roman"/>
                <w:color w:val="111111"/>
                <w:lang w:eastAsia="en-NZ"/>
              </w:rPr>
            </w:pPr>
            <w:r w:rsidRPr="009973DB">
              <w:rPr>
                <w:rFonts w:eastAsia="Times New Roman"/>
                <w:color w:val="111111"/>
                <w:lang w:val="en-US" w:eastAsia="en-NZ"/>
              </w:rPr>
              <w:t>93</w:t>
            </w:r>
          </w:p>
        </w:tc>
        <w:tc>
          <w:tcPr>
            <w:tcW w:w="692" w:type="pct"/>
            <w:tcBorders>
              <w:top w:val="nil"/>
              <w:left w:val="nil"/>
              <w:bottom w:val="nil"/>
              <w:right w:val="nil"/>
            </w:tcBorders>
            <w:shd w:val="clear" w:color="000000" w:fill="FFFFFF"/>
            <w:vAlign w:val="center"/>
            <w:hideMark/>
          </w:tcPr>
          <w:p w14:paraId="247B4864" w14:textId="77777777" w:rsidR="00D07A53" w:rsidRPr="009973DB" w:rsidRDefault="00D07A53" w:rsidP="003632F4">
            <w:pPr>
              <w:spacing w:line="240" w:lineRule="auto"/>
              <w:jc w:val="center"/>
              <w:rPr>
                <w:rFonts w:eastAsia="Times New Roman"/>
                <w:i/>
                <w:iCs/>
                <w:color w:val="111111"/>
                <w:lang w:eastAsia="en-NZ"/>
              </w:rPr>
            </w:pPr>
            <w:r w:rsidRPr="009973DB">
              <w:rPr>
                <w:rFonts w:eastAsia="Times New Roman"/>
                <w:i/>
                <w:iCs/>
                <w:color w:val="111111"/>
                <w:lang w:val="en-US" w:eastAsia="en-NZ"/>
              </w:rPr>
              <w:t>21.7</w:t>
            </w:r>
          </w:p>
        </w:tc>
      </w:tr>
      <w:tr w:rsidR="00D07A53" w:rsidRPr="009973DB" w14:paraId="56194253" w14:textId="77777777" w:rsidTr="003632F4">
        <w:trPr>
          <w:trHeight w:val="183"/>
        </w:trPr>
        <w:tc>
          <w:tcPr>
            <w:tcW w:w="942" w:type="pct"/>
            <w:tcBorders>
              <w:top w:val="nil"/>
              <w:left w:val="nil"/>
              <w:bottom w:val="nil"/>
              <w:right w:val="nil"/>
            </w:tcBorders>
            <w:shd w:val="clear" w:color="000000" w:fill="FFFFFF"/>
            <w:vAlign w:val="center"/>
            <w:hideMark/>
          </w:tcPr>
          <w:p w14:paraId="757799D8" w14:textId="77777777" w:rsidR="00D07A53" w:rsidRPr="009973DB" w:rsidRDefault="00D07A53" w:rsidP="003632F4">
            <w:pPr>
              <w:spacing w:line="240" w:lineRule="auto"/>
              <w:rPr>
                <w:rFonts w:eastAsia="Times New Roman"/>
                <w:color w:val="111111"/>
                <w:lang w:eastAsia="en-NZ"/>
              </w:rPr>
            </w:pPr>
            <w:r>
              <w:rPr>
                <w:rFonts w:eastAsia="Times New Roman"/>
                <w:color w:val="111111"/>
                <w:lang w:val="en-US" w:eastAsia="en-NZ"/>
              </w:rPr>
              <w:t xml:space="preserve">  </w:t>
            </w:r>
            <w:r w:rsidRPr="009973DB">
              <w:rPr>
                <w:rFonts w:eastAsia="Times New Roman"/>
                <w:color w:val="111111"/>
                <w:lang w:val="en-US" w:eastAsia="en-NZ"/>
              </w:rPr>
              <w:t>35-44</w:t>
            </w:r>
          </w:p>
        </w:tc>
        <w:tc>
          <w:tcPr>
            <w:tcW w:w="600" w:type="pct"/>
            <w:tcBorders>
              <w:top w:val="nil"/>
              <w:left w:val="nil"/>
              <w:bottom w:val="nil"/>
              <w:right w:val="nil"/>
            </w:tcBorders>
            <w:shd w:val="clear" w:color="000000" w:fill="FFFFFF"/>
            <w:vAlign w:val="center"/>
            <w:hideMark/>
          </w:tcPr>
          <w:p w14:paraId="0855E9A2" w14:textId="77777777" w:rsidR="00D07A53" w:rsidRPr="009973DB" w:rsidRDefault="00D07A53" w:rsidP="003632F4">
            <w:pPr>
              <w:spacing w:line="240" w:lineRule="auto"/>
              <w:jc w:val="center"/>
              <w:rPr>
                <w:rFonts w:eastAsia="Times New Roman"/>
                <w:color w:val="111111"/>
                <w:lang w:eastAsia="en-NZ"/>
              </w:rPr>
            </w:pPr>
            <w:r w:rsidRPr="009973DB">
              <w:rPr>
                <w:rFonts w:eastAsia="Times New Roman"/>
                <w:color w:val="111111"/>
                <w:lang w:val="en-US" w:eastAsia="en-NZ"/>
              </w:rPr>
              <w:t>5018</w:t>
            </w:r>
          </w:p>
        </w:tc>
        <w:tc>
          <w:tcPr>
            <w:tcW w:w="692" w:type="pct"/>
            <w:tcBorders>
              <w:top w:val="nil"/>
              <w:left w:val="nil"/>
              <w:bottom w:val="nil"/>
              <w:right w:val="nil"/>
            </w:tcBorders>
            <w:shd w:val="clear" w:color="000000" w:fill="FFFFFF"/>
            <w:vAlign w:val="center"/>
            <w:hideMark/>
          </w:tcPr>
          <w:p w14:paraId="62F0B08F" w14:textId="77777777" w:rsidR="00D07A53" w:rsidRPr="009973DB" w:rsidRDefault="00D07A53" w:rsidP="003632F4">
            <w:pPr>
              <w:spacing w:line="240" w:lineRule="auto"/>
              <w:jc w:val="center"/>
              <w:rPr>
                <w:rFonts w:eastAsia="Times New Roman"/>
                <w:i/>
                <w:iCs/>
                <w:color w:val="111111"/>
                <w:lang w:eastAsia="en-NZ"/>
              </w:rPr>
            </w:pPr>
            <w:r w:rsidRPr="009973DB">
              <w:rPr>
                <w:rFonts w:eastAsia="Times New Roman"/>
                <w:i/>
                <w:iCs/>
                <w:color w:val="111111"/>
                <w:lang w:val="en-US" w:eastAsia="en-NZ"/>
              </w:rPr>
              <w:t>22.4</w:t>
            </w:r>
          </w:p>
        </w:tc>
        <w:tc>
          <w:tcPr>
            <w:tcW w:w="691" w:type="pct"/>
            <w:tcBorders>
              <w:top w:val="nil"/>
              <w:left w:val="nil"/>
              <w:bottom w:val="nil"/>
              <w:right w:val="nil"/>
            </w:tcBorders>
            <w:shd w:val="clear" w:color="000000" w:fill="FFFFFF"/>
            <w:vAlign w:val="center"/>
            <w:hideMark/>
          </w:tcPr>
          <w:p w14:paraId="46B24D71" w14:textId="77777777" w:rsidR="00D07A53" w:rsidRPr="009973DB" w:rsidRDefault="00D07A53" w:rsidP="003632F4">
            <w:pPr>
              <w:spacing w:line="240" w:lineRule="auto"/>
              <w:jc w:val="center"/>
              <w:rPr>
                <w:rFonts w:eastAsia="Times New Roman"/>
                <w:color w:val="111111"/>
                <w:lang w:eastAsia="en-NZ"/>
              </w:rPr>
            </w:pPr>
            <w:r w:rsidRPr="009973DB">
              <w:rPr>
                <w:rFonts w:eastAsia="Times New Roman"/>
                <w:color w:val="111111"/>
                <w:lang w:val="en-US" w:eastAsia="en-NZ"/>
              </w:rPr>
              <w:t>5280</w:t>
            </w:r>
          </w:p>
        </w:tc>
        <w:tc>
          <w:tcPr>
            <w:tcW w:w="692" w:type="pct"/>
            <w:tcBorders>
              <w:top w:val="nil"/>
              <w:left w:val="nil"/>
              <w:bottom w:val="nil"/>
              <w:right w:val="nil"/>
            </w:tcBorders>
            <w:shd w:val="clear" w:color="000000" w:fill="FFFFFF"/>
            <w:vAlign w:val="center"/>
            <w:hideMark/>
          </w:tcPr>
          <w:p w14:paraId="4151CCAE" w14:textId="77777777" w:rsidR="00D07A53" w:rsidRPr="009973DB" w:rsidRDefault="00D07A53" w:rsidP="003632F4">
            <w:pPr>
              <w:spacing w:line="240" w:lineRule="auto"/>
              <w:jc w:val="center"/>
              <w:rPr>
                <w:rFonts w:eastAsia="Times New Roman"/>
                <w:i/>
                <w:iCs/>
                <w:color w:val="111111"/>
                <w:lang w:eastAsia="en-NZ"/>
              </w:rPr>
            </w:pPr>
            <w:r w:rsidRPr="009973DB">
              <w:rPr>
                <w:rFonts w:eastAsia="Times New Roman"/>
                <w:i/>
                <w:iCs/>
                <w:color w:val="111111"/>
                <w:lang w:val="en-US" w:eastAsia="en-NZ"/>
              </w:rPr>
              <w:t>23.7</w:t>
            </w:r>
          </w:p>
        </w:tc>
        <w:tc>
          <w:tcPr>
            <w:tcW w:w="691" w:type="pct"/>
            <w:tcBorders>
              <w:top w:val="nil"/>
              <w:left w:val="nil"/>
              <w:bottom w:val="nil"/>
              <w:right w:val="nil"/>
            </w:tcBorders>
            <w:shd w:val="clear" w:color="000000" w:fill="FFFFFF"/>
            <w:vAlign w:val="center"/>
            <w:hideMark/>
          </w:tcPr>
          <w:p w14:paraId="7A2606E0" w14:textId="77777777" w:rsidR="00D07A53" w:rsidRPr="009973DB" w:rsidRDefault="00D07A53" w:rsidP="003632F4">
            <w:pPr>
              <w:spacing w:line="240" w:lineRule="auto"/>
              <w:jc w:val="center"/>
              <w:rPr>
                <w:rFonts w:eastAsia="Times New Roman"/>
                <w:color w:val="111111"/>
                <w:lang w:eastAsia="en-NZ"/>
              </w:rPr>
            </w:pPr>
            <w:r w:rsidRPr="009973DB">
              <w:rPr>
                <w:rFonts w:eastAsia="Times New Roman"/>
                <w:color w:val="111111"/>
                <w:lang w:val="en-US" w:eastAsia="en-NZ"/>
              </w:rPr>
              <w:t>71</w:t>
            </w:r>
          </w:p>
        </w:tc>
        <w:tc>
          <w:tcPr>
            <w:tcW w:w="692" w:type="pct"/>
            <w:tcBorders>
              <w:top w:val="nil"/>
              <w:left w:val="nil"/>
              <w:bottom w:val="nil"/>
              <w:right w:val="nil"/>
            </w:tcBorders>
            <w:shd w:val="clear" w:color="000000" w:fill="FFFFFF"/>
            <w:vAlign w:val="center"/>
            <w:hideMark/>
          </w:tcPr>
          <w:p w14:paraId="1FE2AD26" w14:textId="77777777" w:rsidR="00D07A53" w:rsidRPr="009973DB" w:rsidRDefault="00D07A53" w:rsidP="003632F4">
            <w:pPr>
              <w:spacing w:line="240" w:lineRule="auto"/>
              <w:jc w:val="center"/>
              <w:rPr>
                <w:rFonts w:eastAsia="Times New Roman"/>
                <w:i/>
                <w:iCs/>
                <w:color w:val="111111"/>
                <w:lang w:eastAsia="en-NZ"/>
              </w:rPr>
            </w:pPr>
            <w:r w:rsidRPr="009973DB">
              <w:rPr>
                <w:rFonts w:eastAsia="Times New Roman"/>
                <w:i/>
                <w:iCs/>
                <w:color w:val="111111"/>
                <w:lang w:val="en-US" w:eastAsia="en-NZ"/>
              </w:rPr>
              <w:t>16.6</w:t>
            </w:r>
          </w:p>
        </w:tc>
      </w:tr>
      <w:tr w:rsidR="00D07A53" w:rsidRPr="009973DB" w14:paraId="631B08A8" w14:textId="77777777" w:rsidTr="003632F4">
        <w:trPr>
          <w:trHeight w:val="315"/>
        </w:trPr>
        <w:tc>
          <w:tcPr>
            <w:tcW w:w="942" w:type="pct"/>
            <w:tcBorders>
              <w:top w:val="nil"/>
              <w:left w:val="nil"/>
              <w:bottom w:val="nil"/>
              <w:right w:val="nil"/>
            </w:tcBorders>
            <w:shd w:val="clear" w:color="000000" w:fill="FFFFFF"/>
            <w:vAlign w:val="center"/>
            <w:hideMark/>
          </w:tcPr>
          <w:p w14:paraId="22125AD9" w14:textId="77777777" w:rsidR="00D07A53" w:rsidRPr="009973DB" w:rsidRDefault="00D07A53" w:rsidP="003632F4">
            <w:pPr>
              <w:spacing w:line="240" w:lineRule="auto"/>
              <w:rPr>
                <w:rFonts w:eastAsia="Times New Roman"/>
                <w:color w:val="111111"/>
                <w:lang w:eastAsia="en-NZ"/>
              </w:rPr>
            </w:pPr>
            <w:r>
              <w:rPr>
                <w:rFonts w:eastAsia="Times New Roman"/>
                <w:color w:val="111111"/>
                <w:lang w:val="en-US" w:eastAsia="en-NZ"/>
              </w:rPr>
              <w:t xml:space="preserve">  </w:t>
            </w:r>
            <w:r w:rsidRPr="009973DB">
              <w:rPr>
                <w:rFonts w:eastAsia="Times New Roman"/>
                <w:color w:val="111111"/>
                <w:lang w:val="en-US" w:eastAsia="en-NZ"/>
              </w:rPr>
              <w:t>45-54</w:t>
            </w:r>
          </w:p>
        </w:tc>
        <w:tc>
          <w:tcPr>
            <w:tcW w:w="600" w:type="pct"/>
            <w:tcBorders>
              <w:top w:val="nil"/>
              <w:left w:val="nil"/>
              <w:bottom w:val="nil"/>
              <w:right w:val="nil"/>
            </w:tcBorders>
            <w:shd w:val="clear" w:color="000000" w:fill="FFFFFF"/>
            <w:vAlign w:val="center"/>
            <w:hideMark/>
          </w:tcPr>
          <w:p w14:paraId="3533F180" w14:textId="77777777" w:rsidR="00D07A53" w:rsidRPr="009973DB" w:rsidRDefault="00D07A53" w:rsidP="003632F4">
            <w:pPr>
              <w:spacing w:line="240" w:lineRule="auto"/>
              <w:jc w:val="center"/>
              <w:rPr>
                <w:rFonts w:eastAsia="Times New Roman"/>
                <w:color w:val="111111"/>
                <w:lang w:eastAsia="en-NZ"/>
              </w:rPr>
            </w:pPr>
            <w:r w:rsidRPr="009973DB">
              <w:rPr>
                <w:rFonts w:eastAsia="Times New Roman"/>
                <w:color w:val="111111"/>
                <w:lang w:val="en-US" w:eastAsia="en-NZ"/>
              </w:rPr>
              <w:t>4189</w:t>
            </w:r>
          </w:p>
        </w:tc>
        <w:tc>
          <w:tcPr>
            <w:tcW w:w="692" w:type="pct"/>
            <w:tcBorders>
              <w:top w:val="nil"/>
              <w:left w:val="nil"/>
              <w:bottom w:val="nil"/>
              <w:right w:val="nil"/>
            </w:tcBorders>
            <w:shd w:val="clear" w:color="000000" w:fill="FFFFFF"/>
            <w:vAlign w:val="center"/>
            <w:hideMark/>
          </w:tcPr>
          <w:p w14:paraId="24C49DF5" w14:textId="77777777" w:rsidR="00D07A53" w:rsidRPr="009973DB" w:rsidRDefault="00D07A53" w:rsidP="003632F4">
            <w:pPr>
              <w:spacing w:line="240" w:lineRule="auto"/>
              <w:jc w:val="center"/>
              <w:rPr>
                <w:rFonts w:eastAsia="Times New Roman"/>
                <w:i/>
                <w:iCs/>
                <w:color w:val="111111"/>
                <w:lang w:eastAsia="en-NZ"/>
              </w:rPr>
            </w:pPr>
            <w:r w:rsidRPr="009973DB">
              <w:rPr>
                <w:rFonts w:eastAsia="Times New Roman"/>
                <w:i/>
                <w:iCs/>
                <w:color w:val="111111"/>
                <w:lang w:val="en-US" w:eastAsia="en-NZ"/>
              </w:rPr>
              <w:t>18.7</w:t>
            </w:r>
          </w:p>
        </w:tc>
        <w:tc>
          <w:tcPr>
            <w:tcW w:w="691" w:type="pct"/>
            <w:tcBorders>
              <w:top w:val="nil"/>
              <w:left w:val="nil"/>
              <w:bottom w:val="nil"/>
              <w:right w:val="nil"/>
            </w:tcBorders>
            <w:shd w:val="clear" w:color="000000" w:fill="FFFFFF"/>
            <w:vAlign w:val="center"/>
            <w:hideMark/>
          </w:tcPr>
          <w:p w14:paraId="25EC8D68" w14:textId="77777777" w:rsidR="00D07A53" w:rsidRPr="009973DB" w:rsidRDefault="00D07A53" w:rsidP="003632F4">
            <w:pPr>
              <w:spacing w:line="240" w:lineRule="auto"/>
              <w:jc w:val="center"/>
              <w:rPr>
                <w:rFonts w:eastAsia="Times New Roman"/>
                <w:color w:val="111111"/>
                <w:lang w:eastAsia="en-NZ"/>
              </w:rPr>
            </w:pPr>
            <w:r w:rsidRPr="009973DB">
              <w:rPr>
                <w:rFonts w:eastAsia="Times New Roman"/>
                <w:color w:val="111111"/>
                <w:lang w:val="en-US" w:eastAsia="en-NZ"/>
              </w:rPr>
              <w:t>4226</w:t>
            </w:r>
          </w:p>
        </w:tc>
        <w:tc>
          <w:tcPr>
            <w:tcW w:w="692" w:type="pct"/>
            <w:tcBorders>
              <w:top w:val="nil"/>
              <w:left w:val="nil"/>
              <w:bottom w:val="nil"/>
              <w:right w:val="nil"/>
            </w:tcBorders>
            <w:shd w:val="clear" w:color="000000" w:fill="FFFFFF"/>
            <w:vAlign w:val="center"/>
            <w:hideMark/>
          </w:tcPr>
          <w:p w14:paraId="7EF99A9B" w14:textId="77777777" w:rsidR="00D07A53" w:rsidRPr="009973DB" w:rsidRDefault="00D07A53" w:rsidP="003632F4">
            <w:pPr>
              <w:spacing w:line="240" w:lineRule="auto"/>
              <w:jc w:val="center"/>
              <w:rPr>
                <w:rFonts w:eastAsia="Times New Roman"/>
                <w:i/>
                <w:iCs/>
                <w:color w:val="111111"/>
                <w:lang w:eastAsia="en-NZ"/>
              </w:rPr>
            </w:pPr>
            <w:r w:rsidRPr="009973DB">
              <w:rPr>
                <w:rFonts w:eastAsia="Times New Roman"/>
                <w:i/>
                <w:iCs/>
                <w:color w:val="111111"/>
                <w:lang w:val="en-US" w:eastAsia="en-NZ"/>
              </w:rPr>
              <w:t>18.9</w:t>
            </w:r>
          </w:p>
        </w:tc>
        <w:tc>
          <w:tcPr>
            <w:tcW w:w="691" w:type="pct"/>
            <w:tcBorders>
              <w:top w:val="nil"/>
              <w:left w:val="nil"/>
              <w:bottom w:val="nil"/>
              <w:right w:val="nil"/>
            </w:tcBorders>
            <w:shd w:val="clear" w:color="000000" w:fill="FFFFFF"/>
            <w:vAlign w:val="center"/>
            <w:hideMark/>
          </w:tcPr>
          <w:p w14:paraId="48AD259E" w14:textId="77777777" w:rsidR="00D07A53" w:rsidRPr="009973DB" w:rsidRDefault="00D07A53" w:rsidP="003632F4">
            <w:pPr>
              <w:spacing w:line="240" w:lineRule="auto"/>
              <w:jc w:val="center"/>
              <w:rPr>
                <w:rFonts w:eastAsia="Times New Roman"/>
                <w:color w:val="111111"/>
                <w:lang w:eastAsia="en-NZ"/>
              </w:rPr>
            </w:pPr>
            <w:r w:rsidRPr="009973DB">
              <w:rPr>
                <w:rFonts w:eastAsia="Times New Roman"/>
                <w:color w:val="111111"/>
                <w:lang w:val="en-US" w:eastAsia="en-NZ"/>
              </w:rPr>
              <w:t>78</w:t>
            </w:r>
          </w:p>
        </w:tc>
        <w:tc>
          <w:tcPr>
            <w:tcW w:w="692" w:type="pct"/>
            <w:tcBorders>
              <w:top w:val="nil"/>
              <w:left w:val="nil"/>
              <w:bottom w:val="nil"/>
              <w:right w:val="nil"/>
            </w:tcBorders>
            <w:shd w:val="clear" w:color="000000" w:fill="FFFFFF"/>
            <w:vAlign w:val="center"/>
            <w:hideMark/>
          </w:tcPr>
          <w:p w14:paraId="3588FB3C" w14:textId="77777777" w:rsidR="00D07A53" w:rsidRPr="009973DB" w:rsidRDefault="00D07A53" w:rsidP="003632F4">
            <w:pPr>
              <w:spacing w:line="240" w:lineRule="auto"/>
              <w:jc w:val="center"/>
              <w:rPr>
                <w:rFonts w:eastAsia="Times New Roman"/>
                <w:i/>
                <w:iCs/>
                <w:color w:val="111111"/>
                <w:lang w:eastAsia="en-NZ"/>
              </w:rPr>
            </w:pPr>
            <w:r w:rsidRPr="009973DB">
              <w:rPr>
                <w:rFonts w:eastAsia="Times New Roman"/>
                <w:i/>
                <w:iCs/>
                <w:color w:val="111111"/>
                <w:lang w:val="en-US" w:eastAsia="en-NZ"/>
              </w:rPr>
              <w:t>18.2</w:t>
            </w:r>
          </w:p>
        </w:tc>
      </w:tr>
      <w:tr w:rsidR="00D07A53" w:rsidRPr="009973DB" w14:paraId="2D1AB57B" w14:textId="77777777" w:rsidTr="003632F4">
        <w:trPr>
          <w:trHeight w:val="129"/>
        </w:trPr>
        <w:tc>
          <w:tcPr>
            <w:tcW w:w="942" w:type="pct"/>
            <w:tcBorders>
              <w:top w:val="nil"/>
              <w:left w:val="nil"/>
              <w:bottom w:val="single" w:sz="8" w:space="0" w:color="auto"/>
              <w:right w:val="nil"/>
            </w:tcBorders>
            <w:shd w:val="clear" w:color="000000" w:fill="FFFFFF"/>
            <w:vAlign w:val="center"/>
            <w:hideMark/>
          </w:tcPr>
          <w:p w14:paraId="1F280966" w14:textId="77777777" w:rsidR="00D07A53" w:rsidRPr="009973DB" w:rsidRDefault="00D07A53" w:rsidP="003632F4">
            <w:pPr>
              <w:spacing w:line="240" w:lineRule="auto"/>
              <w:rPr>
                <w:rFonts w:eastAsia="Times New Roman"/>
                <w:color w:val="111111"/>
                <w:lang w:eastAsia="en-NZ"/>
              </w:rPr>
            </w:pPr>
            <w:r>
              <w:rPr>
                <w:rFonts w:eastAsia="Times New Roman"/>
                <w:color w:val="111111"/>
                <w:lang w:val="en-US" w:eastAsia="en-NZ"/>
              </w:rPr>
              <w:t xml:space="preserve">  </w:t>
            </w:r>
            <w:r w:rsidRPr="009973DB">
              <w:rPr>
                <w:rFonts w:eastAsia="Times New Roman"/>
                <w:color w:val="111111"/>
                <w:lang w:val="en-US" w:eastAsia="en-NZ"/>
              </w:rPr>
              <w:t>55 or more</w:t>
            </w:r>
          </w:p>
        </w:tc>
        <w:tc>
          <w:tcPr>
            <w:tcW w:w="600" w:type="pct"/>
            <w:tcBorders>
              <w:top w:val="nil"/>
              <w:left w:val="nil"/>
              <w:bottom w:val="single" w:sz="8" w:space="0" w:color="auto"/>
              <w:right w:val="nil"/>
            </w:tcBorders>
            <w:shd w:val="clear" w:color="000000" w:fill="FFFFFF"/>
            <w:vAlign w:val="center"/>
            <w:hideMark/>
          </w:tcPr>
          <w:p w14:paraId="5DFD44E7" w14:textId="77777777" w:rsidR="00D07A53" w:rsidRPr="009973DB" w:rsidRDefault="00D07A53" w:rsidP="003632F4">
            <w:pPr>
              <w:spacing w:line="240" w:lineRule="auto"/>
              <w:jc w:val="center"/>
              <w:rPr>
                <w:rFonts w:eastAsia="Times New Roman"/>
                <w:color w:val="111111"/>
                <w:lang w:eastAsia="en-NZ"/>
              </w:rPr>
            </w:pPr>
            <w:r w:rsidRPr="009973DB">
              <w:rPr>
                <w:rFonts w:eastAsia="Times New Roman"/>
                <w:color w:val="111111"/>
                <w:lang w:val="en-US" w:eastAsia="en-NZ"/>
              </w:rPr>
              <w:t>4412</w:t>
            </w:r>
          </w:p>
        </w:tc>
        <w:tc>
          <w:tcPr>
            <w:tcW w:w="692" w:type="pct"/>
            <w:tcBorders>
              <w:top w:val="nil"/>
              <w:left w:val="nil"/>
              <w:bottom w:val="single" w:sz="8" w:space="0" w:color="auto"/>
              <w:right w:val="nil"/>
            </w:tcBorders>
            <w:shd w:val="clear" w:color="000000" w:fill="FFFFFF"/>
            <w:vAlign w:val="center"/>
            <w:hideMark/>
          </w:tcPr>
          <w:p w14:paraId="58492A42" w14:textId="77777777" w:rsidR="00D07A53" w:rsidRPr="009973DB" w:rsidRDefault="00D07A53" w:rsidP="003632F4">
            <w:pPr>
              <w:spacing w:line="240" w:lineRule="auto"/>
              <w:jc w:val="center"/>
              <w:rPr>
                <w:rFonts w:eastAsia="Times New Roman"/>
                <w:i/>
                <w:iCs/>
                <w:color w:val="111111"/>
                <w:lang w:eastAsia="en-NZ"/>
              </w:rPr>
            </w:pPr>
            <w:r w:rsidRPr="009973DB">
              <w:rPr>
                <w:rFonts w:eastAsia="Times New Roman"/>
                <w:i/>
                <w:iCs/>
                <w:color w:val="111111"/>
                <w:lang w:val="en-US" w:eastAsia="en-NZ"/>
              </w:rPr>
              <w:t>19.7</w:t>
            </w:r>
          </w:p>
        </w:tc>
        <w:tc>
          <w:tcPr>
            <w:tcW w:w="691" w:type="pct"/>
            <w:tcBorders>
              <w:top w:val="nil"/>
              <w:left w:val="nil"/>
              <w:bottom w:val="single" w:sz="8" w:space="0" w:color="auto"/>
              <w:right w:val="nil"/>
            </w:tcBorders>
            <w:shd w:val="clear" w:color="000000" w:fill="FFFFFF"/>
            <w:vAlign w:val="center"/>
            <w:hideMark/>
          </w:tcPr>
          <w:p w14:paraId="09E705BD" w14:textId="77777777" w:rsidR="00D07A53" w:rsidRPr="009973DB" w:rsidRDefault="00D07A53" w:rsidP="003632F4">
            <w:pPr>
              <w:spacing w:line="240" w:lineRule="auto"/>
              <w:jc w:val="center"/>
              <w:rPr>
                <w:rFonts w:eastAsia="Times New Roman"/>
                <w:color w:val="111111"/>
                <w:lang w:eastAsia="en-NZ"/>
              </w:rPr>
            </w:pPr>
            <w:r w:rsidRPr="009973DB">
              <w:rPr>
                <w:rFonts w:eastAsia="Times New Roman"/>
                <w:color w:val="111111"/>
                <w:lang w:val="en-US" w:eastAsia="en-NZ"/>
              </w:rPr>
              <w:t>3974</w:t>
            </w:r>
          </w:p>
        </w:tc>
        <w:tc>
          <w:tcPr>
            <w:tcW w:w="692" w:type="pct"/>
            <w:tcBorders>
              <w:top w:val="nil"/>
              <w:left w:val="nil"/>
              <w:bottom w:val="single" w:sz="8" w:space="0" w:color="auto"/>
              <w:right w:val="nil"/>
            </w:tcBorders>
            <w:shd w:val="clear" w:color="000000" w:fill="FFFFFF"/>
            <w:vAlign w:val="center"/>
            <w:hideMark/>
          </w:tcPr>
          <w:p w14:paraId="7ED3DC61" w14:textId="77777777" w:rsidR="00D07A53" w:rsidRPr="009973DB" w:rsidRDefault="00D07A53" w:rsidP="003632F4">
            <w:pPr>
              <w:spacing w:line="240" w:lineRule="auto"/>
              <w:jc w:val="center"/>
              <w:rPr>
                <w:rFonts w:eastAsia="Times New Roman"/>
                <w:i/>
                <w:iCs/>
                <w:color w:val="111111"/>
                <w:lang w:eastAsia="en-NZ"/>
              </w:rPr>
            </w:pPr>
            <w:r w:rsidRPr="009973DB">
              <w:rPr>
                <w:rFonts w:eastAsia="Times New Roman"/>
                <w:i/>
                <w:iCs/>
                <w:color w:val="111111"/>
                <w:lang w:val="en-US" w:eastAsia="en-NZ"/>
              </w:rPr>
              <w:t>17.8</w:t>
            </w:r>
          </w:p>
        </w:tc>
        <w:tc>
          <w:tcPr>
            <w:tcW w:w="691" w:type="pct"/>
            <w:tcBorders>
              <w:top w:val="nil"/>
              <w:left w:val="nil"/>
              <w:bottom w:val="single" w:sz="8" w:space="0" w:color="auto"/>
              <w:right w:val="nil"/>
            </w:tcBorders>
            <w:shd w:val="clear" w:color="000000" w:fill="FFFFFF"/>
            <w:vAlign w:val="center"/>
            <w:hideMark/>
          </w:tcPr>
          <w:p w14:paraId="20BA6256" w14:textId="77777777" w:rsidR="00D07A53" w:rsidRPr="009973DB" w:rsidRDefault="00D07A53" w:rsidP="003632F4">
            <w:pPr>
              <w:spacing w:line="240" w:lineRule="auto"/>
              <w:jc w:val="center"/>
              <w:rPr>
                <w:rFonts w:eastAsia="Times New Roman"/>
                <w:color w:val="111111"/>
                <w:lang w:eastAsia="en-NZ"/>
              </w:rPr>
            </w:pPr>
            <w:r w:rsidRPr="009973DB">
              <w:rPr>
                <w:rFonts w:eastAsia="Times New Roman"/>
                <w:color w:val="111111"/>
                <w:lang w:val="en-US" w:eastAsia="en-NZ"/>
              </w:rPr>
              <w:t>127</w:t>
            </w:r>
          </w:p>
        </w:tc>
        <w:tc>
          <w:tcPr>
            <w:tcW w:w="692" w:type="pct"/>
            <w:tcBorders>
              <w:top w:val="nil"/>
              <w:left w:val="nil"/>
              <w:bottom w:val="single" w:sz="8" w:space="0" w:color="auto"/>
              <w:right w:val="nil"/>
            </w:tcBorders>
            <w:shd w:val="clear" w:color="000000" w:fill="FFFFFF"/>
            <w:vAlign w:val="center"/>
            <w:hideMark/>
          </w:tcPr>
          <w:p w14:paraId="295B42B4" w14:textId="77777777" w:rsidR="00D07A53" w:rsidRPr="009973DB" w:rsidRDefault="00D07A53" w:rsidP="003632F4">
            <w:pPr>
              <w:spacing w:line="240" w:lineRule="auto"/>
              <w:jc w:val="center"/>
              <w:rPr>
                <w:rFonts w:eastAsia="Times New Roman"/>
                <w:i/>
                <w:iCs/>
                <w:color w:val="111111"/>
                <w:lang w:eastAsia="en-NZ"/>
              </w:rPr>
            </w:pPr>
            <w:r w:rsidRPr="009973DB">
              <w:rPr>
                <w:rFonts w:eastAsia="Times New Roman"/>
                <w:i/>
                <w:iCs/>
                <w:color w:val="111111"/>
                <w:lang w:val="en-US" w:eastAsia="en-NZ"/>
              </w:rPr>
              <w:t>29.7</w:t>
            </w:r>
          </w:p>
        </w:tc>
      </w:tr>
      <w:tr w:rsidR="00D07A53" w:rsidRPr="009973DB" w14:paraId="4322B106" w14:textId="77777777" w:rsidTr="003632F4">
        <w:trPr>
          <w:trHeight w:val="345"/>
        </w:trPr>
        <w:tc>
          <w:tcPr>
            <w:tcW w:w="942" w:type="pct"/>
            <w:tcBorders>
              <w:top w:val="nil"/>
              <w:left w:val="nil"/>
              <w:bottom w:val="nil"/>
              <w:right w:val="nil"/>
            </w:tcBorders>
            <w:shd w:val="clear" w:color="000000" w:fill="FFFFFF"/>
            <w:vAlign w:val="center"/>
            <w:hideMark/>
          </w:tcPr>
          <w:p w14:paraId="74B0EB19" w14:textId="77777777" w:rsidR="00D07A53" w:rsidRPr="009973DB" w:rsidRDefault="00D07A53" w:rsidP="003632F4">
            <w:pPr>
              <w:spacing w:line="240" w:lineRule="auto"/>
              <w:rPr>
                <w:rFonts w:eastAsia="Times New Roman"/>
                <w:b/>
                <w:bCs/>
                <w:color w:val="111111"/>
                <w:lang w:eastAsia="en-NZ"/>
              </w:rPr>
            </w:pPr>
            <w:r w:rsidRPr="009973DB">
              <w:rPr>
                <w:rFonts w:eastAsia="Times New Roman"/>
                <w:b/>
                <w:bCs/>
                <w:color w:val="111111"/>
                <w:lang w:eastAsia="en-NZ"/>
              </w:rPr>
              <w:t>Ethnic Group</w:t>
            </w:r>
          </w:p>
        </w:tc>
        <w:tc>
          <w:tcPr>
            <w:tcW w:w="600" w:type="pct"/>
            <w:tcBorders>
              <w:top w:val="nil"/>
              <w:left w:val="nil"/>
              <w:bottom w:val="nil"/>
              <w:right w:val="nil"/>
            </w:tcBorders>
            <w:shd w:val="clear" w:color="auto" w:fill="auto"/>
            <w:noWrap/>
            <w:vAlign w:val="bottom"/>
            <w:hideMark/>
          </w:tcPr>
          <w:p w14:paraId="42381FDC" w14:textId="77777777" w:rsidR="00D07A53" w:rsidRPr="009973DB" w:rsidRDefault="00D07A53" w:rsidP="003632F4">
            <w:pPr>
              <w:spacing w:line="240" w:lineRule="auto"/>
              <w:rPr>
                <w:rFonts w:eastAsia="Times New Roman"/>
                <w:color w:val="111111"/>
                <w:lang w:eastAsia="en-NZ"/>
              </w:rPr>
            </w:pPr>
          </w:p>
        </w:tc>
        <w:tc>
          <w:tcPr>
            <w:tcW w:w="692" w:type="pct"/>
            <w:tcBorders>
              <w:top w:val="nil"/>
              <w:left w:val="nil"/>
              <w:bottom w:val="nil"/>
              <w:right w:val="nil"/>
            </w:tcBorders>
            <w:shd w:val="clear" w:color="auto" w:fill="auto"/>
            <w:noWrap/>
            <w:vAlign w:val="bottom"/>
            <w:hideMark/>
          </w:tcPr>
          <w:p w14:paraId="7E2B0579" w14:textId="77777777" w:rsidR="00D07A53" w:rsidRPr="009973DB" w:rsidRDefault="00D07A53" w:rsidP="003632F4">
            <w:pPr>
              <w:spacing w:line="240" w:lineRule="auto"/>
              <w:rPr>
                <w:rFonts w:eastAsia="Times New Roman"/>
                <w:i/>
                <w:iCs/>
                <w:lang w:eastAsia="en-NZ"/>
              </w:rPr>
            </w:pPr>
          </w:p>
        </w:tc>
        <w:tc>
          <w:tcPr>
            <w:tcW w:w="691" w:type="pct"/>
            <w:tcBorders>
              <w:top w:val="nil"/>
              <w:left w:val="nil"/>
              <w:bottom w:val="nil"/>
              <w:right w:val="nil"/>
            </w:tcBorders>
            <w:shd w:val="clear" w:color="auto" w:fill="auto"/>
            <w:noWrap/>
            <w:vAlign w:val="bottom"/>
            <w:hideMark/>
          </w:tcPr>
          <w:p w14:paraId="537DE8E5" w14:textId="77777777" w:rsidR="00D07A53" w:rsidRPr="009973DB" w:rsidRDefault="00D07A53" w:rsidP="003632F4">
            <w:pPr>
              <w:spacing w:line="240" w:lineRule="auto"/>
              <w:rPr>
                <w:rFonts w:eastAsia="Times New Roman"/>
                <w:lang w:eastAsia="en-NZ"/>
              </w:rPr>
            </w:pPr>
          </w:p>
        </w:tc>
        <w:tc>
          <w:tcPr>
            <w:tcW w:w="692" w:type="pct"/>
            <w:tcBorders>
              <w:top w:val="nil"/>
              <w:left w:val="nil"/>
              <w:bottom w:val="nil"/>
              <w:right w:val="nil"/>
            </w:tcBorders>
            <w:shd w:val="clear" w:color="auto" w:fill="auto"/>
            <w:noWrap/>
            <w:vAlign w:val="bottom"/>
            <w:hideMark/>
          </w:tcPr>
          <w:p w14:paraId="205C6F70" w14:textId="77777777" w:rsidR="00D07A53" w:rsidRPr="009973DB" w:rsidRDefault="00D07A53" w:rsidP="003632F4">
            <w:pPr>
              <w:spacing w:line="240" w:lineRule="auto"/>
              <w:rPr>
                <w:rFonts w:eastAsia="Times New Roman"/>
                <w:i/>
                <w:iCs/>
                <w:lang w:eastAsia="en-NZ"/>
              </w:rPr>
            </w:pPr>
          </w:p>
        </w:tc>
        <w:tc>
          <w:tcPr>
            <w:tcW w:w="691" w:type="pct"/>
            <w:tcBorders>
              <w:top w:val="nil"/>
              <w:left w:val="nil"/>
              <w:bottom w:val="nil"/>
              <w:right w:val="nil"/>
            </w:tcBorders>
            <w:shd w:val="clear" w:color="auto" w:fill="auto"/>
            <w:noWrap/>
            <w:vAlign w:val="bottom"/>
            <w:hideMark/>
          </w:tcPr>
          <w:p w14:paraId="152BD1CA" w14:textId="77777777" w:rsidR="00D07A53" w:rsidRPr="009973DB" w:rsidRDefault="00D07A53" w:rsidP="003632F4">
            <w:pPr>
              <w:spacing w:line="240" w:lineRule="auto"/>
              <w:rPr>
                <w:rFonts w:eastAsia="Times New Roman"/>
                <w:lang w:eastAsia="en-NZ"/>
              </w:rPr>
            </w:pPr>
          </w:p>
        </w:tc>
        <w:tc>
          <w:tcPr>
            <w:tcW w:w="692" w:type="pct"/>
            <w:tcBorders>
              <w:top w:val="nil"/>
              <w:left w:val="nil"/>
              <w:bottom w:val="nil"/>
              <w:right w:val="nil"/>
            </w:tcBorders>
            <w:shd w:val="clear" w:color="auto" w:fill="auto"/>
            <w:noWrap/>
            <w:vAlign w:val="bottom"/>
            <w:hideMark/>
          </w:tcPr>
          <w:p w14:paraId="4D1BEB67" w14:textId="77777777" w:rsidR="00D07A53" w:rsidRPr="009973DB" w:rsidRDefault="00D07A53" w:rsidP="003632F4">
            <w:pPr>
              <w:spacing w:line="240" w:lineRule="auto"/>
              <w:rPr>
                <w:rFonts w:eastAsia="Times New Roman"/>
                <w:i/>
                <w:iCs/>
                <w:lang w:eastAsia="en-NZ"/>
              </w:rPr>
            </w:pPr>
          </w:p>
        </w:tc>
      </w:tr>
      <w:tr w:rsidR="00D07A53" w:rsidRPr="009973DB" w14:paraId="6C4A958C" w14:textId="77777777" w:rsidTr="003632F4">
        <w:trPr>
          <w:trHeight w:val="315"/>
        </w:trPr>
        <w:tc>
          <w:tcPr>
            <w:tcW w:w="942" w:type="pct"/>
            <w:tcBorders>
              <w:top w:val="nil"/>
              <w:left w:val="nil"/>
              <w:bottom w:val="nil"/>
              <w:right w:val="nil"/>
            </w:tcBorders>
            <w:shd w:val="clear" w:color="000000" w:fill="FFFFFF"/>
            <w:vAlign w:val="center"/>
            <w:hideMark/>
          </w:tcPr>
          <w:p w14:paraId="24EE0E85" w14:textId="77777777" w:rsidR="00D07A53" w:rsidRPr="009973DB" w:rsidRDefault="00D07A53" w:rsidP="003632F4">
            <w:pPr>
              <w:spacing w:line="240" w:lineRule="auto"/>
              <w:rPr>
                <w:rFonts w:eastAsia="Times New Roman"/>
                <w:color w:val="000000"/>
                <w:lang w:eastAsia="en-NZ"/>
              </w:rPr>
            </w:pPr>
            <w:r>
              <w:rPr>
                <w:rFonts w:eastAsia="Times New Roman"/>
                <w:color w:val="000000"/>
                <w:lang w:val="en-US" w:eastAsia="en-NZ"/>
              </w:rPr>
              <w:t xml:space="preserve">  </w:t>
            </w:r>
            <w:r w:rsidRPr="009973DB">
              <w:rPr>
                <w:rFonts w:eastAsia="Times New Roman"/>
                <w:color w:val="000000"/>
                <w:lang w:val="en-US" w:eastAsia="en-NZ"/>
              </w:rPr>
              <w:t>Māori</w:t>
            </w:r>
          </w:p>
        </w:tc>
        <w:tc>
          <w:tcPr>
            <w:tcW w:w="600" w:type="pct"/>
            <w:tcBorders>
              <w:top w:val="nil"/>
              <w:left w:val="nil"/>
              <w:bottom w:val="nil"/>
              <w:right w:val="nil"/>
            </w:tcBorders>
            <w:shd w:val="clear" w:color="000000" w:fill="FFFFFF"/>
            <w:vAlign w:val="center"/>
            <w:hideMark/>
          </w:tcPr>
          <w:p w14:paraId="5BAFC7E6" w14:textId="77777777" w:rsidR="00D07A53" w:rsidRPr="009973DB" w:rsidRDefault="00D07A53" w:rsidP="003632F4">
            <w:pPr>
              <w:spacing w:line="240" w:lineRule="auto"/>
              <w:jc w:val="center"/>
              <w:rPr>
                <w:rFonts w:eastAsia="Times New Roman"/>
                <w:color w:val="000000"/>
                <w:lang w:eastAsia="en-NZ"/>
              </w:rPr>
            </w:pPr>
            <w:r w:rsidRPr="009973DB">
              <w:rPr>
                <w:rFonts w:eastAsia="Times New Roman"/>
                <w:color w:val="000000"/>
                <w:lang w:val="en-US" w:eastAsia="en-NZ"/>
              </w:rPr>
              <w:t>9368</w:t>
            </w:r>
          </w:p>
        </w:tc>
        <w:tc>
          <w:tcPr>
            <w:tcW w:w="692" w:type="pct"/>
            <w:tcBorders>
              <w:top w:val="nil"/>
              <w:left w:val="nil"/>
              <w:bottom w:val="nil"/>
              <w:right w:val="nil"/>
            </w:tcBorders>
            <w:shd w:val="clear" w:color="000000" w:fill="FFFFFF"/>
            <w:vAlign w:val="center"/>
            <w:hideMark/>
          </w:tcPr>
          <w:p w14:paraId="0194BC9E" w14:textId="77777777" w:rsidR="00D07A53" w:rsidRPr="009973DB" w:rsidRDefault="00D07A53" w:rsidP="003632F4">
            <w:pPr>
              <w:spacing w:line="240" w:lineRule="auto"/>
              <w:jc w:val="center"/>
              <w:rPr>
                <w:rFonts w:eastAsia="Times New Roman"/>
                <w:i/>
                <w:iCs/>
                <w:color w:val="000000"/>
                <w:lang w:eastAsia="en-NZ"/>
              </w:rPr>
            </w:pPr>
            <w:r w:rsidRPr="009973DB">
              <w:rPr>
                <w:rFonts w:eastAsia="Times New Roman"/>
                <w:i/>
                <w:iCs/>
                <w:color w:val="000000"/>
                <w:lang w:val="en-US" w:eastAsia="en-NZ"/>
              </w:rPr>
              <w:t>39.7</w:t>
            </w:r>
          </w:p>
        </w:tc>
        <w:tc>
          <w:tcPr>
            <w:tcW w:w="691" w:type="pct"/>
            <w:tcBorders>
              <w:top w:val="nil"/>
              <w:left w:val="nil"/>
              <w:bottom w:val="nil"/>
              <w:right w:val="nil"/>
            </w:tcBorders>
            <w:shd w:val="clear" w:color="000000" w:fill="FFFFFF"/>
            <w:vAlign w:val="center"/>
            <w:hideMark/>
          </w:tcPr>
          <w:p w14:paraId="4214A8C1" w14:textId="77777777" w:rsidR="00D07A53" w:rsidRPr="009973DB" w:rsidRDefault="00D07A53" w:rsidP="003632F4">
            <w:pPr>
              <w:spacing w:line="240" w:lineRule="auto"/>
              <w:jc w:val="center"/>
              <w:rPr>
                <w:rFonts w:eastAsia="Times New Roman"/>
                <w:color w:val="000000"/>
                <w:lang w:eastAsia="en-NZ"/>
              </w:rPr>
            </w:pPr>
            <w:r w:rsidRPr="009973DB">
              <w:rPr>
                <w:rFonts w:eastAsia="Times New Roman"/>
                <w:color w:val="000000"/>
                <w:lang w:val="en-US" w:eastAsia="en-NZ"/>
              </w:rPr>
              <w:t>7725</w:t>
            </w:r>
          </w:p>
        </w:tc>
        <w:tc>
          <w:tcPr>
            <w:tcW w:w="692" w:type="pct"/>
            <w:tcBorders>
              <w:top w:val="nil"/>
              <w:left w:val="nil"/>
              <w:bottom w:val="nil"/>
              <w:right w:val="nil"/>
            </w:tcBorders>
            <w:shd w:val="clear" w:color="000000" w:fill="FFFFFF"/>
            <w:vAlign w:val="center"/>
            <w:hideMark/>
          </w:tcPr>
          <w:p w14:paraId="2D9AC62A" w14:textId="77777777" w:rsidR="00D07A53" w:rsidRPr="009973DB" w:rsidRDefault="00D07A53" w:rsidP="003632F4">
            <w:pPr>
              <w:spacing w:line="240" w:lineRule="auto"/>
              <w:jc w:val="center"/>
              <w:rPr>
                <w:rFonts w:eastAsia="Times New Roman"/>
                <w:i/>
                <w:iCs/>
                <w:color w:val="000000"/>
                <w:lang w:eastAsia="en-NZ"/>
              </w:rPr>
            </w:pPr>
            <w:r w:rsidRPr="009973DB">
              <w:rPr>
                <w:rFonts w:eastAsia="Times New Roman"/>
                <w:i/>
                <w:iCs/>
                <w:color w:val="000000"/>
                <w:lang w:val="en-US" w:eastAsia="en-NZ"/>
              </w:rPr>
              <w:t>32.3</w:t>
            </w:r>
          </w:p>
        </w:tc>
        <w:tc>
          <w:tcPr>
            <w:tcW w:w="691" w:type="pct"/>
            <w:tcBorders>
              <w:top w:val="nil"/>
              <w:left w:val="nil"/>
              <w:bottom w:val="nil"/>
              <w:right w:val="nil"/>
            </w:tcBorders>
            <w:shd w:val="clear" w:color="000000" w:fill="FFFFFF"/>
            <w:vAlign w:val="center"/>
            <w:hideMark/>
          </w:tcPr>
          <w:p w14:paraId="25B0F43A" w14:textId="77777777" w:rsidR="00D07A53" w:rsidRPr="009973DB" w:rsidRDefault="00D07A53" w:rsidP="003632F4">
            <w:pPr>
              <w:spacing w:line="240" w:lineRule="auto"/>
              <w:jc w:val="center"/>
              <w:rPr>
                <w:rFonts w:eastAsia="Times New Roman"/>
                <w:color w:val="000000"/>
                <w:lang w:eastAsia="en-NZ"/>
              </w:rPr>
            </w:pPr>
            <w:r w:rsidRPr="009973DB">
              <w:rPr>
                <w:rFonts w:eastAsia="Times New Roman"/>
                <w:color w:val="000000"/>
                <w:lang w:val="en-US" w:eastAsia="en-NZ"/>
              </w:rPr>
              <w:t>170</w:t>
            </w:r>
          </w:p>
        </w:tc>
        <w:tc>
          <w:tcPr>
            <w:tcW w:w="692" w:type="pct"/>
            <w:tcBorders>
              <w:top w:val="nil"/>
              <w:left w:val="nil"/>
              <w:bottom w:val="nil"/>
              <w:right w:val="nil"/>
            </w:tcBorders>
            <w:shd w:val="clear" w:color="000000" w:fill="FFFFFF"/>
            <w:vAlign w:val="center"/>
            <w:hideMark/>
          </w:tcPr>
          <w:p w14:paraId="10962D0A" w14:textId="77777777" w:rsidR="00D07A53" w:rsidRPr="009973DB" w:rsidRDefault="00D07A53" w:rsidP="003632F4">
            <w:pPr>
              <w:spacing w:line="240" w:lineRule="auto"/>
              <w:jc w:val="center"/>
              <w:rPr>
                <w:rFonts w:eastAsia="Times New Roman"/>
                <w:i/>
                <w:iCs/>
                <w:color w:val="000000"/>
                <w:lang w:eastAsia="en-NZ"/>
              </w:rPr>
            </w:pPr>
            <w:r w:rsidRPr="009973DB">
              <w:rPr>
                <w:rFonts w:eastAsia="Times New Roman"/>
                <w:i/>
                <w:iCs/>
                <w:color w:val="000000"/>
                <w:lang w:val="en-US" w:eastAsia="en-NZ"/>
              </w:rPr>
              <w:t>39.6</w:t>
            </w:r>
          </w:p>
        </w:tc>
      </w:tr>
      <w:tr w:rsidR="00D07A53" w:rsidRPr="009973DB" w14:paraId="06999CB7" w14:textId="77777777" w:rsidTr="003632F4">
        <w:trPr>
          <w:trHeight w:val="300"/>
        </w:trPr>
        <w:tc>
          <w:tcPr>
            <w:tcW w:w="942" w:type="pct"/>
            <w:tcBorders>
              <w:top w:val="nil"/>
              <w:left w:val="nil"/>
              <w:bottom w:val="nil"/>
              <w:right w:val="nil"/>
            </w:tcBorders>
            <w:shd w:val="clear" w:color="000000" w:fill="FFFFFF"/>
            <w:vAlign w:val="center"/>
            <w:hideMark/>
          </w:tcPr>
          <w:p w14:paraId="04580F8D" w14:textId="77777777" w:rsidR="00D07A53" w:rsidRPr="009973DB" w:rsidRDefault="00D07A53" w:rsidP="003632F4">
            <w:pPr>
              <w:spacing w:line="240" w:lineRule="auto"/>
              <w:rPr>
                <w:rFonts w:eastAsia="Times New Roman"/>
                <w:color w:val="000000"/>
                <w:lang w:eastAsia="en-NZ"/>
              </w:rPr>
            </w:pPr>
            <w:r>
              <w:rPr>
                <w:rFonts w:eastAsia="Times New Roman"/>
                <w:color w:val="000000"/>
                <w:lang w:val="en-US" w:eastAsia="en-NZ"/>
              </w:rPr>
              <w:t xml:space="preserve">  </w:t>
            </w:r>
            <w:r w:rsidRPr="009973DB">
              <w:rPr>
                <w:rFonts w:eastAsia="Times New Roman"/>
                <w:color w:val="000000"/>
                <w:lang w:val="en-US" w:eastAsia="en-NZ"/>
              </w:rPr>
              <w:t>Pacific</w:t>
            </w:r>
          </w:p>
        </w:tc>
        <w:tc>
          <w:tcPr>
            <w:tcW w:w="600" w:type="pct"/>
            <w:tcBorders>
              <w:top w:val="nil"/>
              <w:left w:val="nil"/>
              <w:bottom w:val="nil"/>
              <w:right w:val="nil"/>
            </w:tcBorders>
            <w:shd w:val="clear" w:color="000000" w:fill="FFFFFF"/>
            <w:vAlign w:val="center"/>
            <w:hideMark/>
          </w:tcPr>
          <w:p w14:paraId="41595915" w14:textId="77777777" w:rsidR="00D07A53" w:rsidRPr="009973DB" w:rsidRDefault="00D07A53" w:rsidP="003632F4">
            <w:pPr>
              <w:spacing w:line="240" w:lineRule="auto"/>
              <w:jc w:val="center"/>
              <w:rPr>
                <w:rFonts w:eastAsia="Times New Roman"/>
                <w:color w:val="000000"/>
                <w:lang w:eastAsia="en-NZ"/>
              </w:rPr>
            </w:pPr>
            <w:r w:rsidRPr="009973DB">
              <w:rPr>
                <w:rFonts w:eastAsia="Times New Roman"/>
                <w:color w:val="000000"/>
                <w:lang w:val="en-US" w:eastAsia="en-NZ"/>
              </w:rPr>
              <w:t>5268</w:t>
            </w:r>
          </w:p>
        </w:tc>
        <w:tc>
          <w:tcPr>
            <w:tcW w:w="692" w:type="pct"/>
            <w:tcBorders>
              <w:top w:val="nil"/>
              <w:left w:val="nil"/>
              <w:bottom w:val="nil"/>
              <w:right w:val="nil"/>
            </w:tcBorders>
            <w:shd w:val="clear" w:color="000000" w:fill="FFFFFF"/>
            <w:vAlign w:val="center"/>
            <w:hideMark/>
          </w:tcPr>
          <w:p w14:paraId="1BBB51B3" w14:textId="77777777" w:rsidR="00D07A53" w:rsidRPr="009973DB" w:rsidRDefault="00D07A53" w:rsidP="003632F4">
            <w:pPr>
              <w:spacing w:line="240" w:lineRule="auto"/>
              <w:jc w:val="center"/>
              <w:rPr>
                <w:rFonts w:eastAsia="Times New Roman"/>
                <w:i/>
                <w:iCs/>
                <w:color w:val="000000"/>
                <w:lang w:eastAsia="en-NZ"/>
              </w:rPr>
            </w:pPr>
            <w:r w:rsidRPr="009973DB">
              <w:rPr>
                <w:rFonts w:eastAsia="Times New Roman"/>
                <w:i/>
                <w:iCs/>
                <w:color w:val="000000"/>
                <w:lang w:val="en-US" w:eastAsia="en-NZ"/>
              </w:rPr>
              <w:t>22.3</w:t>
            </w:r>
          </w:p>
        </w:tc>
        <w:tc>
          <w:tcPr>
            <w:tcW w:w="691" w:type="pct"/>
            <w:tcBorders>
              <w:top w:val="nil"/>
              <w:left w:val="nil"/>
              <w:bottom w:val="nil"/>
              <w:right w:val="nil"/>
            </w:tcBorders>
            <w:shd w:val="clear" w:color="000000" w:fill="FFFFFF"/>
            <w:vAlign w:val="center"/>
            <w:hideMark/>
          </w:tcPr>
          <w:p w14:paraId="7C39F60C" w14:textId="77777777" w:rsidR="00D07A53" w:rsidRPr="009973DB" w:rsidRDefault="00D07A53" w:rsidP="003632F4">
            <w:pPr>
              <w:spacing w:line="240" w:lineRule="auto"/>
              <w:jc w:val="center"/>
              <w:rPr>
                <w:rFonts w:eastAsia="Times New Roman"/>
                <w:color w:val="000000"/>
                <w:lang w:eastAsia="en-NZ"/>
              </w:rPr>
            </w:pPr>
            <w:r w:rsidRPr="009973DB">
              <w:rPr>
                <w:rFonts w:eastAsia="Times New Roman"/>
                <w:color w:val="000000"/>
                <w:lang w:val="en-US" w:eastAsia="en-NZ"/>
              </w:rPr>
              <w:t>3739</w:t>
            </w:r>
          </w:p>
        </w:tc>
        <w:tc>
          <w:tcPr>
            <w:tcW w:w="692" w:type="pct"/>
            <w:tcBorders>
              <w:top w:val="nil"/>
              <w:left w:val="nil"/>
              <w:bottom w:val="nil"/>
              <w:right w:val="nil"/>
            </w:tcBorders>
            <w:shd w:val="clear" w:color="000000" w:fill="FFFFFF"/>
            <w:vAlign w:val="center"/>
            <w:hideMark/>
          </w:tcPr>
          <w:p w14:paraId="56A12923" w14:textId="77777777" w:rsidR="00D07A53" w:rsidRPr="009973DB" w:rsidRDefault="00D07A53" w:rsidP="003632F4">
            <w:pPr>
              <w:spacing w:line="240" w:lineRule="auto"/>
              <w:jc w:val="center"/>
              <w:rPr>
                <w:rFonts w:eastAsia="Times New Roman"/>
                <w:i/>
                <w:iCs/>
                <w:color w:val="000000"/>
                <w:lang w:eastAsia="en-NZ"/>
              </w:rPr>
            </w:pPr>
            <w:r w:rsidRPr="009973DB">
              <w:rPr>
                <w:rFonts w:eastAsia="Times New Roman"/>
                <w:i/>
                <w:iCs/>
                <w:color w:val="000000"/>
                <w:lang w:val="en-US" w:eastAsia="en-NZ"/>
              </w:rPr>
              <w:t>15.7</w:t>
            </w:r>
          </w:p>
        </w:tc>
        <w:tc>
          <w:tcPr>
            <w:tcW w:w="691" w:type="pct"/>
            <w:tcBorders>
              <w:top w:val="nil"/>
              <w:left w:val="nil"/>
              <w:bottom w:val="nil"/>
              <w:right w:val="nil"/>
            </w:tcBorders>
            <w:shd w:val="clear" w:color="000000" w:fill="FFFFFF"/>
            <w:vAlign w:val="center"/>
            <w:hideMark/>
          </w:tcPr>
          <w:p w14:paraId="7FB40A70" w14:textId="77777777" w:rsidR="00D07A53" w:rsidRPr="009973DB" w:rsidRDefault="00D07A53" w:rsidP="003632F4">
            <w:pPr>
              <w:spacing w:line="240" w:lineRule="auto"/>
              <w:jc w:val="center"/>
              <w:rPr>
                <w:rFonts w:eastAsia="Times New Roman"/>
                <w:color w:val="000000"/>
                <w:lang w:eastAsia="en-NZ"/>
              </w:rPr>
            </w:pPr>
            <w:r w:rsidRPr="009973DB">
              <w:rPr>
                <w:rFonts w:eastAsia="Times New Roman"/>
                <w:color w:val="000000"/>
                <w:lang w:val="en-US" w:eastAsia="en-NZ"/>
              </w:rPr>
              <w:t>143</w:t>
            </w:r>
          </w:p>
        </w:tc>
        <w:tc>
          <w:tcPr>
            <w:tcW w:w="692" w:type="pct"/>
            <w:tcBorders>
              <w:top w:val="nil"/>
              <w:left w:val="nil"/>
              <w:bottom w:val="nil"/>
              <w:right w:val="nil"/>
            </w:tcBorders>
            <w:shd w:val="clear" w:color="000000" w:fill="FFFFFF"/>
            <w:vAlign w:val="center"/>
            <w:hideMark/>
          </w:tcPr>
          <w:p w14:paraId="39016C04" w14:textId="77777777" w:rsidR="00D07A53" w:rsidRPr="009973DB" w:rsidRDefault="00D07A53" w:rsidP="003632F4">
            <w:pPr>
              <w:spacing w:line="240" w:lineRule="auto"/>
              <w:jc w:val="center"/>
              <w:rPr>
                <w:rFonts w:eastAsia="Times New Roman"/>
                <w:i/>
                <w:iCs/>
                <w:color w:val="000000"/>
                <w:lang w:eastAsia="en-NZ"/>
              </w:rPr>
            </w:pPr>
            <w:r w:rsidRPr="009973DB">
              <w:rPr>
                <w:rFonts w:eastAsia="Times New Roman"/>
                <w:i/>
                <w:iCs/>
                <w:color w:val="000000"/>
                <w:lang w:val="en-US" w:eastAsia="en-NZ"/>
              </w:rPr>
              <w:t>33.3</w:t>
            </w:r>
          </w:p>
        </w:tc>
      </w:tr>
      <w:tr w:rsidR="00D07A53" w:rsidRPr="009973DB" w14:paraId="2CADACBB" w14:textId="77777777" w:rsidTr="003632F4">
        <w:trPr>
          <w:trHeight w:val="237"/>
        </w:trPr>
        <w:tc>
          <w:tcPr>
            <w:tcW w:w="942" w:type="pct"/>
            <w:tcBorders>
              <w:top w:val="nil"/>
              <w:left w:val="nil"/>
              <w:bottom w:val="nil"/>
              <w:right w:val="nil"/>
            </w:tcBorders>
            <w:shd w:val="clear" w:color="000000" w:fill="FFFFFF"/>
            <w:vAlign w:val="center"/>
            <w:hideMark/>
          </w:tcPr>
          <w:p w14:paraId="4E1DC1FD" w14:textId="77777777" w:rsidR="00D07A53" w:rsidRPr="009973DB" w:rsidRDefault="00D07A53" w:rsidP="003632F4">
            <w:pPr>
              <w:spacing w:line="240" w:lineRule="auto"/>
              <w:rPr>
                <w:rFonts w:eastAsia="Times New Roman"/>
                <w:color w:val="000000"/>
                <w:lang w:eastAsia="en-NZ"/>
              </w:rPr>
            </w:pPr>
            <w:r>
              <w:rPr>
                <w:rFonts w:eastAsia="Times New Roman"/>
                <w:color w:val="000000"/>
                <w:lang w:val="en-US" w:eastAsia="en-NZ"/>
              </w:rPr>
              <w:t xml:space="preserve">  </w:t>
            </w:r>
            <w:r w:rsidRPr="009973DB">
              <w:rPr>
                <w:rFonts w:eastAsia="Times New Roman"/>
                <w:color w:val="000000"/>
                <w:lang w:val="en-US" w:eastAsia="en-NZ"/>
              </w:rPr>
              <w:t>East Asian</w:t>
            </w:r>
          </w:p>
        </w:tc>
        <w:tc>
          <w:tcPr>
            <w:tcW w:w="600" w:type="pct"/>
            <w:tcBorders>
              <w:top w:val="nil"/>
              <w:left w:val="nil"/>
              <w:bottom w:val="nil"/>
              <w:right w:val="nil"/>
            </w:tcBorders>
            <w:shd w:val="clear" w:color="000000" w:fill="FFFFFF"/>
            <w:vAlign w:val="center"/>
            <w:hideMark/>
          </w:tcPr>
          <w:p w14:paraId="66A7F8E0" w14:textId="77777777" w:rsidR="00D07A53" w:rsidRPr="009973DB" w:rsidRDefault="00D07A53" w:rsidP="003632F4">
            <w:pPr>
              <w:spacing w:line="240" w:lineRule="auto"/>
              <w:jc w:val="center"/>
              <w:rPr>
                <w:rFonts w:eastAsia="Times New Roman"/>
                <w:color w:val="000000"/>
                <w:lang w:eastAsia="en-NZ"/>
              </w:rPr>
            </w:pPr>
            <w:r w:rsidRPr="009973DB">
              <w:rPr>
                <w:rFonts w:eastAsia="Times New Roman"/>
                <w:color w:val="000000"/>
                <w:lang w:val="en-US" w:eastAsia="en-NZ"/>
              </w:rPr>
              <w:t>1601</w:t>
            </w:r>
          </w:p>
        </w:tc>
        <w:tc>
          <w:tcPr>
            <w:tcW w:w="692" w:type="pct"/>
            <w:tcBorders>
              <w:top w:val="nil"/>
              <w:left w:val="nil"/>
              <w:bottom w:val="nil"/>
              <w:right w:val="nil"/>
            </w:tcBorders>
            <w:shd w:val="clear" w:color="000000" w:fill="FFFFFF"/>
            <w:vAlign w:val="center"/>
            <w:hideMark/>
          </w:tcPr>
          <w:p w14:paraId="55038DC7" w14:textId="77777777" w:rsidR="00D07A53" w:rsidRPr="009973DB" w:rsidRDefault="00D07A53" w:rsidP="003632F4">
            <w:pPr>
              <w:spacing w:line="240" w:lineRule="auto"/>
              <w:jc w:val="center"/>
              <w:rPr>
                <w:rFonts w:eastAsia="Times New Roman"/>
                <w:i/>
                <w:iCs/>
                <w:color w:val="000000"/>
                <w:lang w:eastAsia="en-NZ"/>
              </w:rPr>
            </w:pPr>
            <w:r w:rsidRPr="009973DB">
              <w:rPr>
                <w:rFonts w:eastAsia="Times New Roman"/>
                <w:i/>
                <w:iCs/>
                <w:color w:val="000000"/>
                <w:lang w:val="en-US" w:eastAsia="en-NZ"/>
              </w:rPr>
              <w:t>6.8</w:t>
            </w:r>
          </w:p>
        </w:tc>
        <w:tc>
          <w:tcPr>
            <w:tcW w:w="691" w:type="pct"/>
            <w:tcBorders>
              <w:top w:val="nil"/>
              <w:left w:val="nil"/>
              <w:bottom w:val="nil"/>
              <w:right w:val="nil"/>
            </w:tcBorders>
            <w:shd w:val="clear" w:color="000000" w:fill="FFFFFF"/>
            <w:vAlign w:val="center"/>
            <w:hideMark/>
          </w:tcPr>
          <w:p w14:paraId="0462F46C" w14:textId="77777777" w:rsidR="00D07A53" w:rsidRPr="009973DB" w:rsidRDefault="00D07A53" w:rsidP="003632F4">
            <w:pPr>
              <w:spacing w:line="240" w:lineRule="auto"/>
              <w:jc w:val="center"/>
              <w:rPr>
                <w:rFonts w:eastAsia="Times New Roman"/>
                <w:color w:val="000000"/>
                <w:lang w:eastAsia="en-NZ"/>
              </w:rPr>
            </w:pPr>
            <w:r w:rsidRPr="009973DB">
              <w:rPr>
                <w:rFonts w:eastAsia="Times New Roman"/>
                <w:color w:val="000000"/>
                <w:lang w:val="en-US" w:eastAsia="en-NZ"/>
              </w:rPr>
              <w:t>2768</w:t>
            </w:r>
          </w:p>
        </w:tc>
        <w:tc>
          <w:tcPr>
            <w:tcW w:w="692" w:type="pct"/>
            <w:tcBorders>
              <w:top w:val="nil"/>
              <w:left w:val="nil"/>
              <w:bottom w:val="nil"/>
              <w:right w:val="nil"/>
            </w:tcBorders>
            <w:shd w:val="clear" w:color="000000" w:fill="FFFFFF"/>
            <w:vAlign w:val="center"/>
            <w:hideMark/>
          </w:tcPr>
          <w:p w14:paraId="634780A4" w14:textId="77777777" w:rsidR="00D07A53" w:rsidRPr="009973DB" w:rsidRDefault="00D07A53" w:rsidP="003632F4">
            <w:pPr>
              <w:spacing w:line="240" w:lineRule="auto"/>
              <w:jc w:val="center"/>
              <w:rPr>
                <w:rFonts w:eastAsia="Times New Roman"/>
                <w:i/>
                <w:iCs/>
                <w:color w:val="000000"/>
                <w:lang w:eastAsia="en-NZ"/>
              </w:rPr>
            </w:pPr>
            <w:r w:rsidRPr="009973DB">
              <w:rPr>
                <w:rFonts w:eastAsia="Times New Roman"/>
                <w:i/>
                <w:iCs/>
                <w:color w:val="000000"/>
                <w:lang w:val="en-US" w:eastAsia="en-NZ"/>
              </w:rPr>
              <w:t>11.6</w:t>
            </w:r>
          </w:p>
        </w:tc>
        <w:tc>
          <w:tcPr>
            <w:tcW w:w="691" w:type="pct"/>
            <w:tcBorders>
              <w:top w:val="nil"/>
              <w:left w:val="nil"/>
              <w:bottom w:val="nil"/>
              <w:right w:val="nil"/>
            </w:tcBorders>
            <w:shd w:val="clear" w:color="000000" w:fill="FFFFFF"/>
            <w:vAlign w:val="center"/>
            <w:hideMark/>
          </w:tcPr>
          <w:p w14:paraId="491EF044" w14:textId="77777777" w:rsidR="00D07A53" w:rsidRPr="009973DB" w:rsidRDefault="00D07A53" w:rsidP="003632F4">
            <w:pPr>
              <w:spacing w:line="240" w:lineRule="auto"/>
              <w:jc w:val="center"/>
              <w:rPr>
                <w:rFonts w:eastAsia="Times New Roman"/>
                <w:color w:val="000000"/>
                <w:lang w:eastAsia="en-NZ"/>
              </w:rPr>
            </w:pPr>
            <w:r w:rsidRPr="009973DB">
              <w:rPr>
                <w:rFonts w:eastAsia="Times New Roman"/>
                <w:color w:val="000000"/>
                <w:lang w:val="en-US" w:eastAsia="en-NZ"/>
              </w:rPr>
              <w:t>4</w:t>
            </w:r>
          </w:p>
        </w:tc>
        <w:tc>
          <w:tcPr>
            <w:tcW w:w="692" w:type="pct"/>
            <w:tcBorders>
              <w:top w:val="nil"/>
              <w:left w:val="nil"/>
              <w:bottom w:val="nil"/>
              <w:right w:val="nil"/>
            </w:tcBorders>
            <w:shd w:val="clear" w:color="000000" w:fill="FFFFFF"/>
            <w:vAlign w:val="center"/>
            <w:hideMark/>
          </w:tcPr>
          <w:p w14:paraId="42F42EA1" w14:textId="77777777" w:rsidR="00D07A53" w:rsidRPr="009973DB" w:rsidRDefault="00D07A53" w:rsidP="003632F4">
            <w:pPr>
              <w:spacing w:line="240" w:lineRule="auto"/>
              <w:jc w:val="center"/>
              <w:rPr>
                <w:rFonts w:eastAsia="Times New Roman"/>
                <w:i/>
                <w:iCs/>
                <w:color w:val="000000"/>
                <w:lang w:eastAsia="en-NZ"/>
              </w:rPr>
            </w:pPr>
            <w:r w:rsidRPr="009973DB">
              <w:rPr>
                <w:rFonts w:eastAsia="Times New Roman"/>
                <w:i/>
                <w:iCs/>
                <w:color w:val="000000"/>
                <w:lang w:val="en-US" w:eastAsia="en-NZ"/>
              </w:rPr>
              <w:t>0.9</w:t>
            </w:r>
          </w:p>
        </w:tc>
      </w:tr>
      <w:tr w:rsidR="00D07A53" w:rsidRPr="009973DB" w14:paraId="7BD672F4" w14:textId="77777777" w:rsidTr="003632F4">
        <w:trPr>
          <w:trHeight w:val="315"/>
        </w:trPr>
        <w:tc>
          <w:tcPr>
            <w:tcW w:w="942" w:type="pct"/>
            <w:tcBorders>
              <w:top w:val="nil"/>
              <w:left w:val="nil"/>
              <w:bottom w:val="single" w:sz="8" w:space="0" w:color="auto"/>
              <w:right w:val="nil"/>
            </w:tcBorders>
            <w:shd w:val="clear" w:color="000000" w:fill="FFFFFF"/>
            <w:vAlign w:val="center"/>
            <w:hideMark/>
          </w:tcPr>
          <w:p w14:paraId="1DC85E66" w14:textId="64D09115" w:rsidR="00D07A53" w:rsidRPr="009973DB" w:rsidRDefault="00D07A53" w:rsidP="003632F4">
            <w:pPr>
              <w:spacing w:line="240" w:lineRule="auto"/>
              <w:rPr>
                <w:rFonts w:eastAsia="Times New Roman"/>
                <w:color w:val="000000"/>
                <w:lang w:eastAsia="en-NZ"/>
              </w:rPr>
            </w:pPr>
            <w:r>
              <w:rPr>
                <w:rFonts w:eastAsia="Times New Roman"/>
                <w:color w:val="000000"/>
                <w:lang w:val="en-US" w:eastAsia="en-NZ"/>
              </w:rPr>
              <w:t xml:space="preserve">  </w:t>
            </w:r>
            <w:r w:rsidRPr="009973DB">
              <w:rPr>
                <w:rFonts w:eastAsia="Times New Roman"/>
                <w:color w:val="000000"/>
                <w:lang w:val="en-US" w:eastAsia="en-NZ"/>
              </w:rPr>
              <w:t>Other</w:t>
            </w:r>
            <w:r w:rsidR="00626949" w:rsidRPr="00626949">
              <w:rPr>
                <w:rFonts w:eastAsia="Times New Roman"/>
                <w:color w:val="000000"/>
                <w:vertAlign w:val="superscript"/>
                <w:lang w:val="en-US" w:eastAsia="en-NZ"/>
              </w:rPr>
              <w:t>#</w:t>
            </w:r>
          </w:p>
        </w:tc>
        <w:tc>
          <w:tcPr>
            <w:tcW w:w="600" w:type="pct"/>
            <w:tcBorders>
              <w:top w:val="nil"/>
              <w:left w:val="nil"/>
              <w:bottom w:val="single" w:sz="8" w:space="0" w:color="auto"/>
              <w:right w:val="nil"/>
            </w:tcBorders>
            <w:shd w:val="clear" w:color="000000" w:fill="FFFFFF"/>
            <w:vAlign w:val="center"/>
            <w:hideMark/>
          </w:tcPr>
          <w:p w14:paraId="2ADA2814" w14:textId="77777777" w:rsidR="00D07A53" w:rsidRPr="009973DB" w:rsidRDefault="00D07A53" w:rsidP="003632F4">
            <w:pPr>
              <w:spacing w:line="240" w:lineRule="auto"/>
              <w:jc w:val="center"/>
              <w:rPr>
                <w:rFonts w:eastAsia="Times New Roman"/>
                <w:color w:val="000000"/>
                <w:lang w:eastAsia="en-NZ"/>
              </w:rPr>
            </w:pPr>
            <w:r w:rsidRPr="009973DB">
              <w:rPr>
                <w:rFonts w:eastAsia="Times New Roman"/>
                <w:color w:val="000000"/>
                <w:lang w:val="en-US" w:eastAsia="en-NZ"/>
              </w:rPr>
              <w:t>7380</w:t>
            </w:r>
          </w:p>
        </w:tc>
        <w:tc>
          <w:tcPr>
            <w:tcW w:w="692" w:type="pct"/>
            <w:tcBorders>
              <w:top w:val="nil"/>
              <w:left w:val="nil"/>
              <w:bottom w:val="single" w:sz="8" w:space="0" w:color="auto"/>
              <w:right w:val="nil"/>
            </w:tcBorders>
            <w:shd w:val="clear" w:color="000000" w:fill="FFFFFF"/>
            <w:vAlign w:val="center"/>
            <w:hideMark/>
          </w:tcPr>
          <w:p w14:paraId="0E404383" w14:textId="77777777" w:rsidR="00D07A53" w:rsidRPr="009973DB" w:rsidRDefault="00D07A53" w:rsidP="003632F4">
            <w:pPr>
              <w:spacing w:line="240" w:lineRule="auto"/>
              <w:jc w:val="center"/>
              <w:rPr>
                <w:rFonts w:eastAsia="Times New Roman"/>
                <w:i/>
                <w:iCs/>
                <w:color w:val="000000"/>
                <w:lang w:eastAsia="en-NZ"/>
              </w:rPr>
            </w:pPr>
            <w:r w:rsidRPr="009973DB">
              <w:rPr>
                <w:rFonts w:eastAsia="Times New Roman"/>
                <w:i/>
                <w:iCs/>
                <w:color w:val="000000"/>
                <w:lang w:val="en-US" w:eastAsia="en-NZ"/>
              </w:rPr>
              <w:t>31.3</w:t>
            </w:r>
          </w:p>
        </w:tc>
        <w:tc>
          <w:tcPr>
            <w:tcW w:w="691" w:type="pct"/>
            <w:tcBorders>
              <w:top w:val="nil"/>
              <w:left w:val="nil"/>
              <w:bottom w:val="single" w:sz="8" w:space="0" w:color="auto"/>
              <w:right w:val="nil"/>
            </w:tcBorders>
            <w:shd w:val="clear" w:color="000000" w:fill="FFFFFF"/>
            <w:vAlign w:val="center"/>
            <w:hideMark/>
          </w:tcPr>
          <w:p w14:paraId="526AAD90" w14:textId="77777777" w:rsidR="00D07A53" w:rsidRPr="009973DB" w:rsidRDefault="00D07A53" w:rsidP="003632F4">
            <w:pPr>
              <w:spacing w:line="240" w:lineRule="auto"/>
              <w:jc w:val="center"/>
              <w:rPr>
                <w:rFonts w:eastAsia="Times New Roman"/>
                <w:color w:val="000000"/>
                <w:lang w:eastAsia="en-NZ"/>
              </w:rPr>
            </w:pPr>
            <w:r w:rsidRPr="009973DB">
              <w:rPr>
                <w:rFonts w:eastAsia="Times New Roman"/>
                <w:color w:val="000000"/>
                <w:lang w:val="en-US" w:eastAsia="en-NZ"/>
              </w:rPr>
              <w:t>9664</w:t>
            </w:r>
          </w:p>
        </w:tc>
        <w:tc>
          <w:tcPr>
            <w:tcW w:w="692" w:type="pct"/>
            <w:tcBorders>
              <w:top w:val="nil"/>
              <w:left w:val="nil"/>
              <w:bottom w:val="single" w:sz="8" w:space="0" w:color="auto"/>
              <w:right w:val="nil"/>
            </w:tcBorders>
            <w:shd w:val="clear" w:color="000000" w:fill="FFFFFF"/>
            <w:vAlign w:val="center"/>
            <w:hideMark/>
          </w:tcPr>
          <w:p w14:paraId="61915742" w14:textId="77777777" w:rsidR="00D07A53" w:rsidRPr="009973DB" w:rsidRDefault="00D07A53" w:rsidP="003632F4">
            <w:pPr>
              <w:spacing w:line="240" w:lineRule="auto"/>
              <w:jc w:val="center"/>
              <w:rPr>
                <w:rFonts w:eastAsia="Times New Roman"/>
                <w:i/>
                <w:iCs/>
                <w:color w:val="000000"/>
                <w:lang w:eastAsia="en-NZ"/>
              </w:rPr>
            </w:pPr>
            <w:r w:rsidRPr="009973DB">
              <w:rPr>
                <w:rFonts w:eastAsia="Times New Roman"/>
                <w:i/>
                <w:iCs/>
                <w:color w:val="000000"/>
                <w:lang w:val="en-US" w:eastAsia="en-NZ"/>
              </w:rPr>
              <w:t>40.4</w:t>
            </w:r>
          </w:p>
        </w:tc>
        <w:tc>
          <w:tcPr>
            <w:tcW w:w="691" w:type="pct"/>
            <w:tcBorders>
              <w:top w:val="nil"/>
              <w:left w:val="nil"/>
              <w:bottom w:val="single" w:sz="8" w:space="0" w:color="auto"/>
              <w:right w:val="nil"/>
            </w:tcBorders>
            <w:shd w:val="clear" w:color="000000" w:fill="FFFFFF"/>
            <w:vAlign w:val="center"/>
            <w:hideMark/>
          </w:tcPr>
          <w:p w14:paraId="1FCD7909" w14:textId="77777777" w:rsidR="00D07A53" w:rsidRPr="009973DB" w:rsidRDefault="00D07A53" w:rsidP="003632F4">
            <w:pPr>
              <w:spacing w:line="240" w:lineRule="auto"/>
              <w:jc w:val="center"/>
              <w:rPr>
                <w:rFonts w:eastAsia="Times New Roman"/>
                <w:color w:val="000000"/>
                <w:lang w:eastAsia="en-NZ"/>
              </w:rPr>
            </w:pPr>
            <w:r w:rsidRPr="009973DB">
              <w:rPr>
                <w:rFonts w:eastAsia="Times New Roman"/>
                <w:color w:val="000000"/>
                <w:lang w:val="en-US" w:eastAsia="en-NZ"/>
              </w:rPr>
              <w:t>112</w:t>
            </w:r>
          </w:p>
        </w:tc>
        <w:tc>
          <w:tcPr>
            <w:tcW w:w="692" w:type="pct"/>
            <w:tcBorders>
              <w:top w:val="nil"/>
              <w:left w:val="nil"/>
              <w:bottom w:val="single" w:sz="8" w:space="0" w:color="auto"/>
              <w:right w:val="nil"/>
            </w:tcBorders>
            <w:shd w:val="clear" w:color="000000" w:fill="FFFFFF"/>
            <w:vAlign w:val="center"/>
            <w:hideMark/>
          </w:tcPr>
          <w:p w14:paraId="28A923FD" w14:textId="77777777" w:rsidR="00D07A53" w:rsidRPr="009973DB" w:rsidRDefault="00D07A53" w:rsidP="003632F4">
            <w:pPr>
              <w:spacing w:line="240" w:lineRule="auto"/>
              <w:jc w:val="center"/>
              <w:rPr>
                <w:rFonts w:eastAsia="Times New Roman"/>
                <w:i/>
                <w:iCs/>
                <w:color w:val="000000"/>
                <w:lang w:eastAsia="en-NZ"/>
              </w:rPr>
            </w:pPr>
            <w:r w:rsidRPr="009973DB">
              <w:rPr>
                <w:rFonts w:eastAsia="Times New Roman"/>
                <w:i/>
                <w:iCs/>
                <w:color w:val="000000"/>
                <w:lang w:val="en-US" w:eastAsia="en-NZ"/>
              </w:rPr>
              <w:t>26.1</w:t>
            </w:r>
          </w:p>
        </w:tc>
      </w:tr>
    </w:tbl>
    <w:p w14:paraId="6D04F6DF" w14:textId="6E0E32E8" w:rsidR="00D07A53" w:rsidRDefault="00626949" w:rsidP="004B04DD">
      <w:pPr>
        <w:jc w:val="both"/>
        <w:rPr>
          <w:rFonts w:eastAsia="Times New Roman"/>
          <w:color w:val="000000"/>
          <w:lang w:val="en-US" w:eastAsia="en-NZ"/>
        </w:rPr>
      </w:pPr>
      <w:r w:rsidRPr="00626949">
        <w:rPr>
          <w:rFonts w:eastAsia="Times New Roman"/>
          <w:color w:val="000000"/>
          <w:vertAlign w:val="superscript"/>
          <w:lang w:val="en-US" w:eastAsia="en-NZ"/>
        </w:rPr>
        <w:t>#</w:t>
      </w:r>
      <w:r>
        <w:rPr>
          <w:rFonts w:eastAsia="Times New Roman"/>
          <w:color w:val="000000"/>
          <w:lang w:val="en-US" w:eastAsia="en-NZ"/>
        </w:rPr>
        <w:t xml:space="preserve">Other clients were predominantly of European ethnicity. </w:t>
      </w:r>
    </w:p>
    <w:p w14:paraId="31C3EE2F" w14:textId="77777777" w:rsidR="00626949" w:rsidRPr="00626949" w:rsidRDefault="00626949" w:rsidP="004B04DD">
      <w:pPr>
        <w:jc w:val="both"/>
      </w:pPr>
    </w:p>
    <w:p w14:paraId="6909FACC" w14:textId="7BABC736" w:rsidR="00D07A53" w:rsidRDefault="00D07A53" w:rsidP="004B04DD">
      <w:pPr>
        <w:jc w:val="both"/>
      </w:pPr>
      <w:r>
        <w:t>Engagement with Māori was high across FAO, gambler, and FAO/gambler client groups (39.</w:t>
      </w:r>
      <w:r w:rsidR="00354A8F">
        <w:t>7</w:t>
      </w:r>
      <w:r>
        <w:t>%, 32.</w:t>
      </w:r>
      <w:r w:rsidR="00354A8F">
        <w:t>3</w:t>
      </w:r>
      <w:r>
        <w:t xml:space="preserve">% and 39.6% respectively). Both Māori and Pacific engagement was slightly higher in FAO and FAO/gambler groups in comparison to gamblers. Across all groups, engagement with East Asian FAO clients was the lowest. </w:t>
      </w:r>
    </w:p>
    <w:p w14:paraId="3EE754A7" w14:textId="77777777" w:rsidR="00D07A53" w:rsidRDefault="00D07A53" w:rsidP="004B04DD">
      <w:pPr>
        <w:jc w:val="both"/>
      </w:pPr>
    </w:p>
    <w:p w14:paraId="4BA75DC3" w14:textId="2E3065D3" w:rsidR="00D07A53" w:rsidRDefault="00D07A53" w:rsidP="004B04DD">
      <w:pPr>
        <w:jc w:val="both"/>
      </w:pPr>
      <w:r>
        <w:t xml:space="preserve">Given that the proportion of FAO/gambler clients was </w:t>
      </w:r>
      <w:r w:rsidR="00354A8F">
        <w:t xml:space="preserve">very </w:t>
      </w:r>
      <w:r>
        <w:t xml:space="preserve">small (less than 1% of total clients), only two categories of clients have been considered in the following descriptive analyses: </w:t>
      </w:r>
      <w:r w:rsidR="00354A8F">
        <w:t>‘</w:t>
      </w:r>
      <w:r>
        <w:t>FAO</w:t>
      </w:r>
      <w:r w:rsidR="00354A8F">
        <w:t>’</w:t>
      </w:r>
      <w:r>
        <w:t xml:space="preserve"> and </w:t>
      </w:r>
      <w:r w:rsidR="00354A8F">
        <w:t>‘</w:t>
      </w:r>
      <w:r>
        <w:t>gambler</w:t>
      </w:r>
      <w:r w:rsidR="00354A8F">
        <w:t>’</w:t>
      </w:r>
      <w:r>
        <w:t xml:space="preserve"> clients. Clients have been assigned a primary type, based on the focus of their first session. In the following sections FAO (n= 23, 814) and gambler (n= 24, 132) client demographics are explored overall, i.e. inclusive of all intervention types. Interventions received by clients are explored further in the following sections. </w:t>
      </w:r>
    </w:p>
    <w:p w14:paraId="13B336CA" w14:textId="77777777" w:rsidR="00D07A53" w:rsidRDefault="00D07A53" w:rsidP="004B04DD">
      <w:pPr>
        <w:jc w:val="both"/>
      </w:pPr>
    </w:p>
    <w:p w14:paraId="5D498FF7" w14:textId="77777777" w:rsidR="00D07A53" w:rsidRPr="009E4B2A" w:rsidRDefault="00D07A53" w:rsidP="004B04DD">
      <w:pPr>
        <w:pStyle w:val="Heading4"/>
        <w:jc w:val="both"/>
      </w:pPr>
      <w:r>
        <w:t xml:space="preserve">FAO clients by age gender and ethnicity </w:t>
      </w:r>
    </w:p>
    <w:p w14:paraId="6A24D37D" w14:textId="43B3CF0F" w:rsidR="00D07A53" w:rsidRDefault="00D07A53" w:rsidP="004B04DD">
      <w:pPr>
        <w:jc w:val="both"/>
      </w:pPr>
      <w:r>
        <w:fldChar w:fldCharType="begin"/>
      </w:r>
      <w:r>
        <w:instrText xml:space="preserve"> REF _Ref45874719 \h  \* MERGEFORMAT </w:instrText>
      </w:r>
      <w:r>
        <w:fldChar w:fldCharType="separate"/>
      </w:r>
      <w:r w:rsidR="00DF0799">
        <w:t xml:space="preserve">Table </w:t>
      </w:r>
      <w:r w:rsidR="00DF0799">
        <w:rPr>
          <w:noProof/>
        </w:rPr>
        <w:t>14</w:t>
      </w:r>
      <w:r>
        <w:fldChar w:fldCharType="end"/>
      </w:r>
      <w:r>
        <w:t xml:space="preserve"> examines FAO clients by </w:t>
      </w:r>
      <w:r w:rsidR="00354A8F">
        <w:t xml:space="preserve">gender, </w:t>
      </w:r>
      <w:r>
        <w:t xml:space="preserve">age and ethnicity. For the most part, there were few differences in age group proportions of </w:t>
      </w:r>
      <w:r w:rsidR="00EA5E6D">
        <w:t>men and women who were</w:t>
      </w:r>
      <w:r>
        <w:t xml:space="preserve"> FAO clients presenting to </w:t>
      </w:r>
      <w:r>
        <w:lastRenderedPageBreak/>
        <w:t xml:space="preserve">services. </w:t>
      </w:r>
      <w:r w:rsidR="00EA5E6D">
        <w:t xml:space="preserve">Among </w:t>
      </w:r>
      <w:r>
        <w:t>FAOs</w:t>
      </w:r>
      <w:r w:rsidR="00EA5E6D">
        <w:t xml:space="preserve"> who were women, over two fifths identified as</w:t>
      </w:r>
      <w:r>
        <w:t xml:space="preserve"> Māori </w:t>
      </w:r>
      <w:r w:rsidR="00EA5E6D">
        <w:t xml:space="preserve">(41.2%) </w:t>
      </w:r>
      <w:r>
        <w:t xml:space="preserve">and nearly one fifth </w:t>
      </w:r>
      <w:r w:rsidR="00EA5E6D">
        <w:t xml:space="preserve">as of </w:t>
      </w:r>
      <w:r>
        <w:t xml:space="preserve">Pacific </w:t>
      </w:r>
      <w:r w:rsidR="00EA5E6D">
        <w:t xml:space="preserve">Island heritage </w:t>
      </w:r>
      <w:r>
        <w:t xml:space="preserve">(19.4%). In comparison, a slightly higher proportion of </w:t>
      </w:r>
      <w:r w:rsidR="00EA5E6D">
        <w:t>men than women</w:t>
      </w:r>
      <w:r>
        <w:t xml:space="preserve"> </w:t>
      </w:r>
      <w:r w:rsidR="00EA5E6D">
        <w:t xml:space="preserve">identified </w:t>
      </w:r>
      <w:r>
        <w:t xml:space="preserve">Pacific </w:t>
      </w:r>
      <w:r w:rsidR="00EA5E6D">
        <w:t xml:space="preserve">Island heritage </w:t>
      </w:r>
      <w:r>
        <w:t xml:space="preserve">(27.8%, c.f. 19.4% of female FAOs).  </w:t>
      </w:r>
    </w:p>
    <w:p w14:paraId="21D25DAB" w14:textId="77777777" w:rsidR="00D07A53" w:rsidRDefault="00D07A53" w:rsidP="00D07A53"/>
    <w:p w14:paraId="1E603B3F" w14:textId="0688C468" w:rsidR="00D07A53" w:rsidRDefault="00D07A53" w:rsidP="00D07A53">
      <w:pPr>
        <w:pStyle w:val="Caption"/>
      </w:pPr>
      <w:bookmarkStart w:id="142" w:name="_Ref45874719"/>
      <w:bookmarkStart w:id="143" w:name="_Toc58400647"/>
      <w:r>
        <w:t xml:space="preserve">Table </w:t>
      </w:r>
      <w:r w:rsidR="00D04B86">
        <w:fldChar w:fldCharType="begin"/>
      </w:r>
      <w:r w:rsidR="00D04B86">
        <w:instrText xml:space="preserve"> SEQ Table \* ARABIC </w:instrText>
      </w:r>
      <w:r w:rsidR="00D04B86">
        <w:fldChar w:fldCharType="separate"/>
      </w:r>
      <w:r w:rsidR="00DF0799">
        <w:rPr>
          <w:noProof/>
        </w:rPr>
        <w:t>14</w:t>
      </w:r>
      <w:r w:rsidR="00D04B86">
        <w:rPr>
          <w:noProof/>
        </w:rPr>
        <w:fldChar w:fldCharType="end"/>
      </w:r>
      <w:bookmarkEnd w:id="142"/>
      <w:r>
        <w:t>. FAO client demographics by gender</w:t>
      </w:r>
      <w:bookmarkEnd w:id="143"/>
    </w:p>
    <w:tbl>
      <w:tblPr>
        <w:tblW w:w="5000" w:type="pct"/>
        <w:tblLook w:val="04A0" w:firstRow="1" w:lastRow="0" w:firstColumn="1" w:lastColumn="0" w:noHBand="0" w:noVBand="1"/>
      </w:tblPr>
      <w:tblGrid>
        <w:gridCol w:w="1987"/>
        <w:gridCol w:w="2130"/>
        <w:gridCol w:w="1390"/>
        <w:gridCol w:w="1968"/>
        <w:gridCol w:w="1551"/>
      </w:tblGrid>
      <w:tr w:rsidR="00D07A53" w:rsidRPr="00AC3B4D" w14:paraId="66EB0C44" w14:textId="77777777" w:rsidTr="003632F4">
        <w:trPr>
          <w:trHeight w:val="330"/>
        </w:trPr>
        <w:tc>
          <w:tcPr>
            <w:tcW w:w="1101" w:type="pct"/>
            <w:tcBorders>
              <w:top w:val="single" w:sz="4" w:space="0" w:color="auto"/>
              <w:left w:val="nil"/>
              <w:bottom w:val="nil"/>
              <w:right w:val="nil"/>
            </w:tcBorders>
            <w:shd w:val="clear" w:color="auto" w:fill="auto"/>
            <w:noWrap/>
            <w:vAlign w:val="bottom"/>
            <w:hideMark/>
          </w:tcPr>
          <w:p w14:paraId="6CCD965B" w14:textId="77777777" w:rsidR="00D07A53" w:rsidRPr="00AC3B4D" w:rsidRDefault="00D07A53" w:rsidP="003632F4">
            <w:pPr>
              <w:spacing w:line="240" w:lineRule="auto"/>
              <w:rPr>
                <w:rFonts w:eastAsia="Times New Roman"/>
                <w:color w:val="000000"/>
                <w:lang w:eastAsia="en-NZ"/>
              </w:rPr>
            </w:pPr>
            <w:r w:rsidRPr="00AC3B4D">
              <w:rPr>
                <w:rFonts w:eastAsia="Times New Roman"/>
                <w:color w:val="000000"/>
                <w:lang w:eastAsia="en-NZ"/>
              </w:rPr>
              <w:t> </w:t>
            </w:r>
          </w:p>
        </w:tc>
        <w:tc>
          <w:tcPr>
            <w:tcW w:w="1950" w:type="pct"/>
            <w:gridSpan w:val="2"/>
            <w:tcBorders>
              <w:top w:val="single" w:sz="4" w:space="0" w:color="auto"/>
              <w:left w:val="nil"/>
              <w:bottom w:val="nil"/>
              <w:right w:val="nil"/>
            </w:tcBorders>
            <w:shd w:val="clear" w:color="auto" w:fill="auto"/>
            <w:noWrap/>
            <w:vAlign w:val="bottom"/>
            <w:hideMark/>
          </w:tcPr>
          <w:p w14:paraId="260E2349" w14:textId="77777777" w:rsidR="00D07A53" w:rsidRPr="00AC3B4D" w:rsidRDefault="00D07A53" w:rsidP="003632F4">
            <w:pPr>
              <w:spacing w:line="240" w:lineRule="auto"/>
              <w:jc w:val="center"/>
              <w:rPr>
                <w:rFonts w:eastAsia="Times New Roman"/>
                <w:b/>
                <w:bCs/>
                <w:color w:val="000000"/>
                <w:lang w:eastAsia="en-NZ"/>
              </w:rPr>
            </w:pPr>
            <w:r w:rsidRPr="00AC3B4D">
              <w:rPr>
                <w:rFonts w:eastAsia="Times New Roman"/>
                <w:b/>
                <w:bCs/>
                <w:color w:val="000000"/>
                <w:lang w:eastAsia="en-NZ"/>
              </w:rPr>
              <w:t>Female</w:t>
            </w:r>
          </w:p>
        </w:tc>
        <w:tc>
          <w:tcPr>
            <w:tcW w:w="1950" w:type="pct"/>
            <w:gridSpan w:val="2"/>
            <w:tcBorders>
              <w:top w:val="single" w:sz="4" w:space="0" w:color="auto"/>
              <w:left w:val="nil"/>
              <w:bottom w:val="nil"/>
              <w:right w:val="nil"/>
            </w:tcBorders>
            <w:shd w:val="clear" w:color="auto" w:fill="auto"/>
            <w:noWrap/>
            <w:vAlign w:val="bottom"/>
            <w:hideMark/>
          </w:tcPr>
          <w:p w14:paraId="076C75AC" w14:textId="77777777" w:rsidR="00D07A53" w:rsidRPr="00AC3B4D" w:rsidRDefault="00D07A53" w:rsidP="003632F4">
            <w:pPr>
              <w:spacing w:line="240" w:lineRule="auto"/>
              <w:jc w:val="center"/>
              <w:rPr>
                <w:rFonts w:eastAsia="Times New Roman"/>
                <w:b/>
                <w:bCs/>
                <w:color w:val="000000"/>
                <w:lang w:eastAsia="en-NZ"/>
              </w:rPr>
            </w:pPr>
            <w:r w:rsidRPr="00AC3B4D">
              <w:rPr>
                <w:rFonts w:eastAsia="Times New Roman"/>
                <w:b/>
                <w:bCs/>
                <w:color w:val="000000"/>
                <w:lang w:eastAsia="en-NZ"/>
              </w:rPr>
              <w:t>Male</w:t>
            </w:r>
          </w:p>
        </w:tc>
      </w:tr>
      <w:tr w:rsidR="00D07A53" w:rsidRPr="00AC3B4D" w14:paraId="1E34CDF3" w14:textId="77777777" w:rsidTr="003632F4">
        <w:trPr>
          <w:trHeight w:val="330"/>
        </w:trPr>
        <w:tc>
          <w:tcPr>
            <w:tcW w:w="1101" w:type="pct"/>
            <w:tcBorders>
              <w:top w:val="nil"/>
              <w:left w:val="nil"/>
              <w:bottom w:val="nil"/>
              <w:right w:val="nil"/>
            </w:tcBorders>
            <w:shd w:val="clear" w:color="auto" w:fill="auto"/>
            <w:noWrap/>
            <w:vAlign w:val="bottom"/>
            <w:hideMark/>
          </w:tcPr>
          <w:p w14:paraId="6242832A" w14:textId="77777777" w:rsidR="00D07A53" w:rsidRPr="00AC3B4D" w:rsidRDefault="00D07A53" w:rsidP="003632F4">
            <w:pPr>
              <w:spacing w:line="240" w:lineRule="auto"/>
              <w:jc w:val="center"/>
              <w:rPr>
                <w:rFonts w:eastAsia="Times New Roman"/>
                <w:color w:val="000000"/>
                <w:lang w:eastAsia="en-NZ"/>
              </w:rPr>
            </w:pPr>
          </w:p>
        </w:tc>
        <w:tc>
          <w:tcPr>
            <w:tcW w:w="1180" w:type="pct"/>
            <w:tcBorders>
              <w:top w:val="single" w:sz="4" w:space="0" w:color="auto"/>
              <w:left w:val="nil"/>
              <w:bottom w:val="nil"/>
              <w:right w:val="nil"/>
            </w:tcBorders>
            <w:shd w:val="clear" w:color="auto" w:fill="auto"/>
            <w:noWrap/>
            <w:vAlign w:val="bottom"/>
            <w:hideMark/>
          </w:tcPr>
          <w:p w14:paraId="2CAEC2C4" w14:textId="77777777" w:rsidR="00D07A53" w:rsidRPr="00AC3B4D" w:rsidRDefault="00D07A53" w:rsidP="003632F4">
            <w:pPr>
              <w:spacing w:line="240" w:lineRule="auto"/>
              <w:jc w:val="right"/>
              <w:rPr>
                <w:rFonts w:eastAsia="Times New Roman"/>
                <w:color w:val="000000"/>
                <w:lang w:eastAsia="en-NZ"/>
              </w:rPr>
            </w:pPr>
            <w:r w:rsidRPr="00AC3B4D">
              <w:rPr>
                <w:rFonts w:eastAsia="Times New Roman"/>
                <w:color w:val="000000"/>
                <w:lang w:eastAsia="en-NZ"/>
              </w:rPr>
              <w:t>N</w:t>
            </w:r>
          </w:p>
        </w:tc>
        <w:tc>
          <w:tcPr>
            <w:tcW w:w="770" w:type="pct"/>
            <w:tcBorders>
              <w:top w:val="single" w:sz="4" w:space="0" w:color="auto"/>
              <w:left w:val="nil"/>
              <w:bottom w:val="nil"/>
              <w:right w:val="nil"/>
            </w:tcBorders>
            <w:shd w:val="clear" w:color="auto" w:fill="auto"/>
            <w:noWrap/>
            <w:vAlign w:val="bottom"/>
            <w:hideMark/>
          </w:tcPr>
          <w:p w14:paraId="4772B13E" w14:textId="77777777" w:rsidR="00D07A53" w:rsidRPr="00AC3B4D" w:rsidRDefault="00D07A53" w:rsidP="003632F4">
            <w:pPr>
              <w:spacing w:line="240" w:lineRule="auto"/>
              <w:jc w:val="right"/>
              <w:rPr>
                <w:rFonts w:eastAsia="Times New Roman"/>
                <w:color w:val="000000"/>
                <w:lang w:eastAsia="en-NZ"/>
              </w:rPr>
            </w:pPr>
            <w:r w:rsidRPr="00AC3B4D">
              <w:rPr>
                <w:rFonts w:eastAsia="Times New Roman"/>
                <w:color w:val="000000"/>
                <w:lang w:eastAsia="en-NZ"/>
              </w:rPr>
              <w:t>%</w:t>
            </w:r>
          </w:p>
        </w:tc>
        <w:tc>
          <w:tcPr>
            <w:tcW w:w="1090" w:type="pct"/>
            <w:tcBorders>
              <w:top w:val="single" w:sz="4" w:space="0" w:color="auto"/>
              <w:left w:val="nil"/>
              <w:bottom w:val="nil"/>
              <w:right w:val="nil"/>
            </w:tcBorders>
            <w:shd w:val="clear" w:color="auto" w:fill="auto"/>
            <w:noWrap/>
            <w:vAlign w:val="bottom"/>
            <w:hideMark/>
          </w:tcPr>
          <w:p w14:paraId="160681C6" w14:textId="77777777" w:rsidR="00D07A53" w:rsidRPr="00AC3B4D" w:rsidRDefault="00D07A53" w:rsidP="003632F4">
            <w:pPr>
              <w:spacing w:line="240" w:lineRule="auto"/>
              <w:jc w:val="right"/>
              <w:rPr>
                <w:rFonts w:eastAsia="Times New Roman"/>
                <w:color w:val="000000"/>
                <w:lang w:eastAsia="en-NZ"/>
              </w:rPr>
            </w:pPr>
            <w:r w:rsidRPr="00AC3B4D">
              <w:rPr>
                <w:rFonts w:eastAsia="Times New Roman"/>
                <w:color w:val="000000"/>
                <w:lang w:eastAsia="en-NZ"/>
              </w:rPr>
              <w:t>N</w:t>
            </w:r>
          </w:p>
        </w:tc>
        <w:tc>
          <w:tcPr>
            <w:tcW w:w="860" w:type="pct"/>
            <w:tcBorders>
              <w:top w:val="single" w:sz="4" w:space="0" w:color="auto"/>
              <w:left w:val="nil"/>
              <w:bottom w:val="nil"/>
              <w:right w:val="nil"/>
            </w:tcBorders>
            <w:shd w:val="clear" w:color="auto" w:fill="auto"/>
            <w:noWrap/>
            <w:vAlign w:val="bottom"/>
            <w:hideMark/>
          </w:tcPr>
          <w:p w14:paraId="12AD5223" w14:textId="77777777" w:rsidR="00D07A53" w:rsidRPr="00AC3B4D" w:rsidRDefault="00D07A53" w:rsidP="003632F4">
            <w:pPr>
              <w:spacing w:line="240" w:lineRule="auto"/>
              <w:jc w:val="right"/>
              <w:rPr>
                <w:rFonts w:eastAsia="Times New Roman"/>
                <w:color w:val="000000"/>
                <w:lang w:eastAsia="en-NZ"/>
              </w:rPr>
            </w:pPr>
            <w:r w:rsidRPr="00AC3B4D">
              <w:rPr>
                <w:rFonts w:eastAsia="Times New Roman"/>
                <w:color w:val="000000"/>
                <w:lang w:eastAsia="en-NZ"/>
              </w:rPr>
              <w:t>%</w:t>
            </w:r>
          </w:p>
        </w:tc>
      </w:tr>
      <w:tr w:rsidR="00D07A53" w:rsidRPr="00AC3B4D" w14:paraId="306B27EF" w14:textId="77777777" w:rsidTr="003632F4">
        <w:trPr>
          <w:trHeight w:val="330"/>
        </w:trPr>
        <w:tc>
          <w:tcPr>
            <w:tcW w:w="1101" w:type="pct"/>
            <w:tcBorders>
              <w:top w:val="single" w:sz="4" w:space="0" w:color="auto"/>
              <w:left w:val="nil"/>
              <w:bottom w:val="nil"/>
              <w:right w:val="nil"/>
            </w:tcBorders>
            <w:shd w:val="clear" w:color="auto" w:fill="auto"/>
            <w:noWrap/>
            <w:vAlign w:val="bottom"/>
            <w:hideMark/>
          </w:tcPr>
          <w:p w14:paraId="6ACDB6D2" w14:textId="77777777" w:rsidR="00D07A53" w:rsidRPr="00AC3B4D" w:rsidRDefault="00D07A53" w:rsidP="003632F4">
            <w:pPr>
              <w:spacing w:line="240" w:lineRule="auto"/>
              <w:rPr>
                <w:rFonts w:eastAsia="Times New Roman"/>
                <w:b/>
                <w:bCs/>
                <w:color w:val="000000"/>
                <w:lang w:eastAsia="en-NZ"/>
              </w:rPr>
            </w:pPr>
            <w:r w:rsidRPr="00AC3B4D">
              <w:rPr>
                <w:rFonts w:eastAsia="Times New Roman"/>
                <w:b/>
                <w:bCs/>
                <w:color w:val="000000"/>
                <w:lang w:eastAsia="en-NZ"/>
              </w:rPr>
              <w:t>Overall</w:t>
            </w:r>
          </w:p>
        </w:tc>
        <w:tc>
          <w:tcPr>
            <w:tcW w:w="1180" w:type="pct"/>
            <w:tcBorders>
              <w:top w:val="single" w:sz="4" w:space="0" w:color="auto"/>
              <w:left w:val="nil"/>
              <w:bottom w:val="single" w:sz="8" w:space="0" w:color="auto"/>
              <w:right w:val="nil"/>
            </w:tcBorders>
            <w:shd w:val="clear" w:color="auto" w:fill="auto"/>
            <w:noWrap/>
            <w:vAlign w:val="center"/>
            <w:hideMark/>
          </w:tcPr>
          <w:p w14:paraId="70EB846E" w14:textId="77777777" w:rsidR="00D07A53" w:rsidRPr="00AC3B4D" w:rsidRDefault="00D07A53" w:rsidP="003632F4">
            <w:pPr>
              <w:spacing w:line="240" w:lineRule="auto"/>
              <w:jc w:val="right"/>
              <w:rPr>
                <w:rFonts w:eastAsia="Times New Roman"/>
                <w:color w:val="000000"/>
                <w:lang w:eastAsia="en-NZ"/>
              </w:rPr>
            </w:pPr>
            <w:r w:rsidRPr="00AC3B4D">
              <w:rPr>
                <w:rFonts w:eastAsia="Times New Roman"/>
                <w:color w:val="000000"/>
                <w:lang w:eastAsia="en-NZ"/>
              </w:rPr>
              <w:t> 15518</w:t>
            </w:r>
          </w:p>
        </w:tc>
        <w:tc>
          <w:tcPr>
            <w:tcW w:w="770" w:type="pct"/>
            <w:tcBorders>
              <w:top w:val="single" w:sz="4" w:space="0" w:color="auto"/>
              <w:left w:val="nil"/>
              <w:bottom w:val="single" w:sz="8" w:space="0" w:color="auto"/>
              <w:right w:val="nil"/>
            </w:tcBorders>
            <w:shd w:val="clear" w:color="auto" w:fill="auto"/>
            <w:noWrap/>
            <w:vAlign w:val="center"/>
            <w:hideMark/>
          </w:tcPr>
          <w:p w14:paraId="164470C4" w14:textId="77777777" w:rsidR="00D07A53" w:rsidRPr="00AC3B4D" w:rsidRDefault="00D07A53" w:rsidP="003632F4">
            <w:pPr>
              <w:spacing w:line="240" w:lineRule="auto"/>
              <w:rPr>
                <w:rFonts w:eastAsia="Times New Roman"/>
                <w:i/>
                <w:iCs/>
                <w:color w:val="000000"/>
                <w:lang w:eastAsia="en-NZ"/>
              </w:rPr>
            </w:pPr>
            <w:r w:rsidRPr="00AC3B4D">
              <w:rPr>
                <w:rFonts w:eastAsia="Times New Roman"/>
                <w:i/>
                <w:iCs/>
                <w:color w:val="000000"/>
                <w:lang w:eastAsia="en-NZ"/>
              </w:rPr>
              <w:t> </w:t>
            </w:r>
          </w:p>
        </w:tc>
        <w:tc>
          <w:tcPr>
            <w:tcW w:w="1090" w:type="pct"/>
            <w:tcBorders>
              <w:top w:val="single" w:sz="4" w:space="0" w:color="auto"/>
              <w:left w:val="nil"/>
              <w:bottom w:val="single" w:sz="8" w:space="0" w:color="auto"/>
              <w:right w:val="nil"/>
            </w:tcBorders>
            <w:shd w:val="clear" w:color="auto" w:fill="auto"/>
            <w:noWrap/>
            <w:vAlign w:val="center"/>
            <w:hideMark/>
          </w:tcPr>
          <w:p w14:paraId="5AA6CBF8" w14:textId="77777777" w:rsidR="00D07A53" w:rsidRPr="00AC3B4D" w:rsidRDefault="00D07A53" w:rsidP="003632F4">
            <w:pPr>
              <w:spacing w:line="240" w:lineRule="auto"/>
              <w:jc w:val="right"/>
              <w:rPr>
                <w:rFonts w:eastAsia="Times New Roman"/>
                <w:color w:val="000000"/>
                <w:lang w:eastAsia="en-NZ"/>
              </w:rPr>
            </w:pPr>
            <w:r w:rsidRPr="00AC3B4D">
              <w:rPr>
                <w:rFonts w:eastAsia="Times New Roman"/>
                <w:color w:val="000000"/>
                <w:lang w:eastAsia="en-NZ"/>
              </w:rPr>
              <w:t> 8311</w:t>
            </w:r>
          </w:p>
        </w:tc>
        <w:tc>
          <w:tcPr>
            <w:tcW w:w="860" w:type="pct"/>
            <w:tcBorders>
              <w:top w:val="single" w:sz="4" w:space="0" w:color="auto"/>
              <w:left w:val="nil"/>
              <w:bottom w:val="single" w:sz="8" w:space="0" w:color="auto"/>
              <w:right w:val="nil"/>
            </w:tcBorders>
            <w:shd w:val="clear" w:color="auto" w:fill="auto"/>
            <w:noWrap/>
            <w:vAlign w:val="center"/>
            <w:hideMark/>
          </w:tcPr>
          <w:p w14:paraId="4BEBCED9" w14:textId="77777777" w:rsidR="00D07A53" w:rsidRPr="00AC3B4D" w:rsidRDefault="00D07A53" w:rsidP="003632F4">
            <w:pPr>
              <w:spacing w:line="240" w:lineRule="auto"/>
              <w:rPr>
                <w:rFonts w:eastAsia="Times New Roman"/>
                <w:i/>
                <w:iCs/>
                <w:color w:val="000000"/>
                <w:lang w:eastAsia="en-NZ"/>
              </w:rPr>
            </w:pPr>
            <w:r w:rsidRPr="00AC3B4D">
              <w:rPr>
                <w:rFonts w:eastAsia="Times New Roman"/>
                <w:i/>
                <w:iCs/>
                <w:color w:val="000000"/>
                <w:lang w:eastAsia="en-NZ"/>
              </w:rPr>
              <w:t> </w:t>
            </w:r>
          </w:p>
        </w:tc>
      </w:tr>
      <w:tr w:rsidR="00D07A53" w:rsidRPr="00AC3B4D" w14:paraId="0F3826B8" w14:textId="77777777" w:rsidTr="003632F4">
        <w:trPr>
          <w:trHeight w:val="315"/>
        </w:trPr>
        <w:tc>
          <w:tcPr>
            <w:tcW w:w="1101" w:type="pct"/>
            <w:tcBorders>
              <w:top w:val="single" w:sz="4" w:space="0" w:color="auto"/>
              <w:left w:val="nil"/>
              <w:bottom w:val="nil"/>
              <w:right w:val="nil"/>
            </w:tcBorders>
            <w:shd w:val="clear" w:color="auto" w:fill="auto"/>
            <w:noWrap/>
            <w:vAlign w:val="bottom"/>
            <w:hideMark/>
          </w:tcPr>
          <w:p w14:paraId="19E7D225" w14:textId="77777777" w:rsidR="00D07A53" w:rsidRPr="00AC3B4D" w:rsidRDefault="00D07A53" w:rsidP="003632F4">
            <w:pPr>
              <w:spacing w:line="240" w:lineRule="auto"/>
              <w:rPr>
                <w:rFonts w:eastAsia="Times New Roman"/>
                <w:b/>
                <w:bCs/>
                <w:color w:val="000000"/>
                <w:lang w:eastAsia="en-NZ"/>
              </w:rPr>
            </w:pPr>
            <w:r w:rsidRPr="00AC3B4D">
              <w:rPr>
                <w:rFonts w:eastAsia="Times New Roman"/>
                <w:b/>
                <w:bCs/>
                <w:color w:val="000000"/>
                <w:lang w:eastAsia="en-NZ"/>
              </w:rPr>
              <w:t>Age Group</w:t>
            </w:r>
          </w:p>
        </w:tc>
        <w:tc>
          <w:tcPr>
            <w:tcW w:w="1180" w:type="pct"/>
            <w:tcBorders>
              <w:top w:val="nil"/>
              <w:left w:val="nil"/>
              <w:bottom w:val="nil"/>
              <w:right w:val="nil"/>
            </w:tcBorders>
            <w:shd w:val="clear" w:color="auto" w:fill="auto"/>
            <w:noWrap/>
            <w:vAlign w:val="bottom"/>
            <w:hideMark/>
          </w:tcPr>
          <w:p w14:paraId="6D759281" w14:textId="77777777" w:rsidR="00D07A53" w:rsidRPr="00AC3B4D" w:rsidRDefault="00D07A53" w:rsidP="003632F4">
            <w:pPr>
              <w:spacing w:line="240" w:lineRule="auto"/>
              <w:rPr>
                <w:rFonts w:eastAsia="Times New Roman"/>
                <w:color w:val="000000"/>
                <w:lang w:eastAsia="en-NZ"/>
              </w:rPr>
            </w:pPr>
          </w:p>
        </w:tc>
        <w:tc>
          <w:tcPr>
            <w:tcW w:w="770" w:type="pct"/>
            <w:tcBorders>
              <w:top w:val="nil"/>
              <w:left w:val="nil"/>
              <w:bottom w:val="nil"/>
              <w:right w:val="nil"/>
            </w:tcBorders>
            <w:shd w:val="clear" w:color="auto" w:fill="auto"/>
            <w:noWrap/>
            <w:vAlign w:val="bottom"/>
            <w:hideMark/>
          </w:tcPr>
          <w:p w14:paraId="5282607D" w14:textId="77777777" w:rsidR="00D07A53" w:rsidRPr="00AC3B4D" w:rsidRDefault="00D07A53" w:rsidP="003632F4">
            <w:pPr>
              <w:spacing w:line="240" w:lineRule="auto"/>
              <w:rPr>
                <w:rFonts w:eastAsia="Times New Roman"/>
                <w:lang w:eastAsia="en-NZ"/>
              </w:rPr>
            </w:pPr>
          </w:p>
        </w:tc>
        <w:tc>
          <w:tcPr>
            <w:tcW w:w="1090" w:type="pct"/>
            <w:tcBorders>
              <w:top w:val="nil"/>
              <w:left w:val="nil"/>
              <w:bottom w:val="nil"/>
              <w:right w:val="nil"/>
            </w:tcBorders>
            <w:shd w:val="clear" w:color="auto" w:fill="auto"/>
            <w:noWrap/>
            <w:vAlign w:val="bottom"/>
            <w:hideMark/>
          </w:tcPr>
          <w:p w14:paraId="6EBC7E8A" w14:textId="77777777" w:rsidR="00D07A53" w:rsidRPr="00AC3B4D" w:rsidRDefault="00D07A53" w:rsidP="003632F4">
            <w:pPr>
              <w:spacing w:line="240" w:lineRule="auto"/>
              <w:rPr>
                <w:rFonts w:eastAsia="Times New Roman"/>
                <w:lang w:eastAsia="en-NZ"/>
              </w:rPr>
            </w:pPr>
          </w:p>
        </w:tc>
        <w:tc>
          <w:tcPr>
            <w:tcW w:w="860" w:type="pct"/>
            <w:tcBorders>
              <w:top w:val="nil"/>
              <w:left w:val="nil"/>
              <w:bottom w:val="nil"/>
              <w:right w:val="nil"/>
            </w:tcBorders>
            <w:shd w:val="clear" w:color="auto" w:fill="auto"/>
            <w:noWrap/>
            <w:vAlign w:val="bottom"/>
            <w:hideMark/>
          </w:tcPr>
          <w:p w14:paraId="504F59E3" w14:textId="77777777" w:rsidR="00D07A53" w:rsidRPr="00AC3B4D" w:rsidRDefault="00D07A53" w:rsidP="003632F4">
            <w:pPr>
              <w:spacing w:line="240" w:lineRule="auto"/>
              <w:rPr>
                <w:rFonts w:eastAsia="Times New Roman"/>
                <w:lang w:eastAsia="en-NZ"/>
              </w:rPr>
            </w:pPr>
          </w:p>
        </w:tc>
      </w:tr>
      <w:tr w:rsidR="00D07A53" w:rsidRPr="00AC3B4D" w14:paraId="5F33A11D" w14:textId="77777777" w:rsidTr="003632F4">
        <w:trPr>
          <w:trHeight w:val="315"/>
        </w:trPr>
        <w:tc>
          <w:tcPr>
            <w:tcW w:w="1101" w:type="pct"/>
            <w:tcBorders>
              <w:top w:val="nil"/>
              <w:left w:val="nil"/>
              <w:bottom w:val="nil"/>
              <w:right w:val="nil"/>
            </w:tcBorders>
            <w:shd w:val="clear" w:color="auto" w:fill="auto"/>
            <w:noWrap/>
            <w:vAlign w:val="center"/>
            <w:hideMark/>
          </w:tcPr>
          <w:p w14:paraId="78321EBB" w14:textId="77777777" w:rsidR="00D07A53" w:rsidRPr="00AC3B4D" w:rsidRDefault="00D07A53" w:rsidP="003632F4">
            <w:pPr>
              <w:spacing w:line="240" w:lineRule="auto"/>
              <w:rPr>
                <w:rFonts w:eastAsia="Times New Roman"/>
                <w:color w:val="000000"/>
                <w:lang w:eastAsia="en-NZ"/>
              </w:rPr>
            </w:pPr>
            <w:r>
              <w:rPr>
                <w:rFonts w:eastAsia="Times New Roman"/>
                <w:color w:val="000000"/>
                <w:lang w:eastAsia="en-NZ"/>
              </w:rPr>
              <w:t xml:space="preserve">  </w:t>
            </w:r>
            <w:r w:rsidRPr="00AC3B4D">
              <w:rPr>
                <w:rFonts w:eastAsia="Times New Roman"/>
                <w:color w:val="000000"/>
                <w:lang w:eastAsia="en-NZ"/>
              </w:rPr>
              <w:t>24 or less</w:t>
            </w:r>
          </w:p>
        </w:tc>
        <w:tc>
          <w:tcPr>
            <w:tcW w:w="1180" w:type="pct"/>
            <w:tcBorders>
              <w:top w:val="nil"/>
              <w:left w:val="nil"/>
              <w:bottom w:val="nil"/>
              <w:right w:val="nil"/>
            </w:tcBorders>
            <w:shd w:val="clear" w:color="auto" w:fill="auto"/>
            <w:noWrap/>
            <w:vAlign w:val="center"/>
            <w:hideMark/>
          </w:tcPr>
          <w:p w14:paraId="35D1ED7C" w14:textId="77777777" w:rsidR="00D07A53" w:rsidRPr="00AC3B4D" w:rsidRDefault="00D07A53" w:rsidP="003632F4">
            <w:pPr>
              <w:spacing w:line="240" w:lineRule="auto"/>
              <w:jc w:val="right"/>
              <w:rPr>
                <w:rFonts w:eastAsia="Times New Roman"/>
                <w:color w:val="000000"/>
                <w:lang w:eastAsia="en-NZ"/>
              </w:rPr>
            </w:pPr>
            <w:r w:rsidRPr="00AC3B4D">
              <w:rPr>
                <w:rFonts w:eastAsia="Times New Roman"/>
                <w:color w:val="000000"/>
                <w:lang w:eastAsia="en-NZ"/>
              </w:rPr>
              <w:t>2077</w:t>
            </w:r>
          </w:p>
        </w:tc>
        <w:tc>
          <w:tcPr>
            <w:tcW w:w="770" w:type="pct"/>
            <w:tcBorders>
              <w:top w:val="nil"/>
              <w:left w:val="nil"/>
              <w:bottom w:val="nil"/>
              <w:right w:val="nil"/>
            </w:tcBorders>
            <w:shd w:val="clear" w:color="auto" w:fill="auto"/>
            <w:noWrap/>
            <w:vAlign w:val="center"/>
            <w:hideMark/>
          </w:tcPr>
          <w:p w14:paraId="51908A22" w14:textId="77777777" w:rsidR="00D07A53" w:rsidRPr="00AC3B4D" w:rsidRDefault="00D07A53" w:rsidP="003632F4">
            <w:pPr>
              <w:spacing w:line="240" w:lineRule="auto"/>
              <w:jc w:val="right"/>
              <w:rPr>
                <w:rFonts w:eastAsia="Times New Roman"/>
                <w:i/>
                <w:iCs/>
                <w:color w:val="000000"/>
                <w:lang w:eastAsia="en-NZ"/>
              </w:rPr>
            </w:pPr>
            <w:r w:rsidRPr="00AC3B4D">
              <w:rPr>
                <w:rFonts w:eastAsia="Times New Roman"/>
                <w:i/>
                <w:iCs/>
                <w:color w:val="000000"/>
                <w:lang w:eastAsia="en-NZ"/>
              </w:rPr>
              <w:t>13.4</w:t>
            </w:r>
          </w:p>
        </w:tc>
        <w:tc>
          <w:tcPr>
            <w:tcW w:w="1090" w:type="pct"/>
            <w:tcBorders>
              <w:top w:val="nil"/>
              <w:left w:val="nil"/>
              <w:bottom w:val="nil"/>
              <w:right w:val="nil"/>
            </w:tcBorders>
            <w:shd w:val="clear" w:color="auto" w:fill="auto"/>
            <w:noWrap/>
            <w:vAlign w:val="center"/>
            <w:hideMark/>
          </w:tcPr>
          <w:p w14:paraId="31101D42" w14:textId="77777777" w:rsidR="00D07A53" w:rsidRPr="00AC3B4D" w:rsidRDefault="00D07A53" w:rsidP="003632F4">
            <w:pPr>
              <w:spacing w:line="240" w:lineRule="auto"/>
              <w:jc w:val="right"/>
              <w:rPr>
                <w:rFonts w:eastAsia="Times New Roman"/>
                <w:color w:val="000000"/>
                <w:lang w:eastAsia="en-NZ"/>
              </w:rPr>
            </w:pPr>
            <w:r w:rsidRPr="00AC3B4D">
              <w:rPr>
                <w:rFonts w:eastAsia="Times New Roman"/>
                <w:color w:val="000000"/>
                <w:lang w:eastAsia="en-NZ"/>
              </w:rPr>
              <w:t>1380</w:t>
            </w:r>
          </w:p>
        </w:tc>
        <w:tc>
          <w:tcPr>
            <w:tcW w:w="860" w:type="pct"/>
            <w:tcBorders>
              <w:top w:val="nil"/>
              <w:left w:val="nil"/>
              <w:bottom w:val="nil"/>
              <w:right w:val="nil"/>
            </w:tcBorders>
            <w:shd w:val="clear" w:color="auto" w:fill="auto"/>
            <w:noWrap/>
            <w:vAlign w:val="center"/>
            <w:hideMark/>
          </w:tcPr>
          <w:p w14:paraId="523F3DD3" w14:textId="77777777" w:rsidR="00D07A53" w:rsidRPr="00AC3B4D" w:rsidRDefault="00D07A53" w:rsidP="003632F4">
            <w:pPr>
              <w:spacing w:line="240" w:lineRule="auto"/>
              <w:jc w:val="right"/>
              <w:rPr>
                <w:rFonts w:eastAsia="Times New Roman"/>
                <w:i/>
                <w:iCs/>
                <w:color w:val="000000"/>
                <w:lang w:eastAsia="en-NZ"/>
              </w:rPr>
            </w:pPr>
            <w:r w:rsidRPr="00AC3B4D">
              <w:rPr>
                <w:rFonts w:eastAsia="Times New Roman"/>
                <w:i/>
                <w:iCs/>
                <w:color w:val="000000"/>
                <w:lang w:eastAsia="en-NZ"/>
              </w:rPr>
              <w:t>16.6</w:t>
            </w:r>
          </w:p>
        </w:tc>
      </w:tr>
      <w:tr w:rsidR="00D07A53" w:rsidRPr="00AC3B4D" w14:paraId="406BB68A" w14:textId="77777777" w:rsidTr="003632F4">
        <w:trPr>
          <w:trHeight w:val="315"/>
        </w:trPr>
        <w:tc>
          <w:tcPr>
            <w:tcW w:w="1101" w:type="pct"/>
            <w:tcBorders>
              <w:top w:val="nil"/>
              <w:left w:val="nil"/>
              <w:bottom w:val="nil"/>
              <w:right w:val="nil"/>
            </w:tcBorders>
            <w:shd w:val="clear" w:color="auto" w:fill="auto"/>
            <w:noWrap/>
            <w:vAlign w:val="center"/>
            <w:hideMark/>
          </w:tcPr>
          <w:p w14:paraId="5AB8D117" w14:textId="77777777" w:rsidR="00D07A53" w:rsidRPr="00AC3B4D" w:rsidRDefault="00D07A53" w:rsidP="003632F4">
            <w:pPr>
              <w:spacing w:line="240" w:lineRule="auto"/>
              <w:rPr>
                <w:rFonts w:eastAsia="Times New Roman"/>
                <w:color w:val="000000"/>
                <w:lang w:eastAsia="en-NZ"/>
              </w:rPr>
            </w:pPr>
            <w:r>
              <w:rPr>
                <w:rFonts w:eastAsia="Times New Roman"/>
                <w:color w:val="000000"/>
                <w:lang w:eastAsia="en-NZ"/>
              </w:rPr>
              <w:t xml:space="preserve">  </w:t>
            </w:r>
            <w:r w:rsidRPr="00AC3B4D">
              <w:rPr>
                <w:rFonts w:eastAsia="Times New Roman"/>
                <w:color w:val="000000"/>
                <w:lang w:eastAsia="en-NZ"/>
              </w:rPr>
              <w:t>25 - 34</w:t>
            </w:r>
          </w:p>
        </w:tc>
        <w:tc>
          <w:tcPr>
            <w:tcW w:w="1180" w:type="pct"/>
            <w:tcBorders>
              <w:top w:val="nil"/>
              <w:left w:val="nil"/>
              <w:bottom w:val="nil"/>
              <w:right w:val="nil"/>
            </w:tcBorders>
            <w:shd w:val="clear" w:color="auto" w:fill="auto"/>
            <w:noWrap/>
            <w:vAlign w:val="center"/>
            <w:hideMark/>
          </w:tcPr>
          <w:p w14:paraId="7F3A4D59" w14:textId="77777777" w:rsidR="00D07A53" w:rsidRPr="00AC3B4D" w:rsidRDefault="00D07A53" w:rsidP="003632F4">
            <w:pPr>
              <w:spacing w:line="240" w:lineRule="auto"/>
              <w:jc w:val="right"/>
              <w:rPr>
                <w:rFonts w:eastAsia="Times New Roman"/>
                <w:color w:val="000000"/>
                <w:lang w:eastAsia="en-NZ"/>
              </w:rPr>
            </w:pPr>
            <w:r w:rsidRPr="00AC3B4D">
              <w:rPr>
                <w:rFonts w:eastAsia="Times New Roman"/>
                <w:color w:val="000000"/>
                <w:lang w:eastAsia="en-NZ"/>
              </w:rPr>
              <w:t>3860</w:t>
            </w:r>
          </w:p>
        </w:tc>
        <w:tc>
          <w:tcPr>
            <w:tcW w:w="770" w:type="pct"/>
            <w:tcBorders>
              <w:top w:val="nil"/>
              <w:left w:val="nil"/>
              <w:bottom w:val="nil"/>
              <w:right w:val="nil"/>
            </w:tcBorders>
            <w:shd w:val="clear" w:color="auto" w:fill="auto"/>
            <w:noWrap/>
            <w:vAlign w:val="center"/>
            <w:hideMark/>
          </w:tcPr>
          <w:p w14:paraId="7AB6420B" w14:textId="77777777" w:rsidR="00D07A53" w:rsidRPr="00AC3B4D" w:rsidRDefault="00D07A53" w:rsidP="003632F4">
            <w:pPr>
              <w:spacing w:line="240" w:lineRule="auto"/>
              <w:jc w:val="right"/>
              <w:rPr>
                <w:rFonts w:eastAsia="Times New Roman"/>
                <w:i/>
                <w:iCs/>
                <w:color w:val="000000"/>
                <w:lang w:eastAsia="en-NZ"/>
              </w:rPr>
            </w:pPr>
            <w:r w:rsidRPr="00AC3B4D">
              <w:rPr>
                <w:rFonts w:eastAsia="Times New Roman"/>
                <w:i/>
                <w:iCs/>
                <w:color w:val="000000"/>
                <w:lang w:eastAsia="en-NZ"/>
              </w:rPr>
              <w:t>24.9</w:t>
            </w:r>
          </w:p>
        </w:tc>
        <w:tc>
          <w:tcPr>
            <w:tcW w:w="1090" w:type="pct"/>
            <w:tcBorders>
              <w:top w:val="nil"/>
              <w:left w:val="nil"/>
              <w:bottom w:val="nil"/>
              <w:right w:val="nil"/>
            </w:tcBorders>
            <w:shd w:val="clear" w:color="auto" w:fill="auto"/>
            <w:noWrap/>
            <w:vAlign w:val="center"/>
            <w:hideMark/>
          </w:tcPr>
          <w:p w14:paraId="3D10A3CC" w14:textId="77777777" w:rsidR="00D07A53" w:rsidRPr="00AC3B4D" w:rsidRDefault="00D07A53" w:rsidP="003632F4">
            <w:pPr>
              <w:spacing w:line="240" w:lineRule="auto"/>
              <w:jc w:val="right"/>
              <w:rPr>
                <w:rFonts w:eastAsia="Times New Roman"/>
                <w:color w:val="000000"/>
                <w:lang w:eastAsia="en-NZ"/>
              </w:rPr>
            </w:pPr>
            <w:r w:rsidRPr="00AC3B4D">
              <w:rPr>
                <w:rFonts w:eastAsia="Times New Roman"/>
                <w:color w:val="000000"/>
                <w:lang w:eastAsia="en-NZ"/>
              </w:rPr>
              <w:t>1986</w:t>
            </w:r>
          </w:p>
        </w:tc>
        <w:tc>
          <w:tcPr>
            <w:tcW w:w="860" w:type="pct"/>
            <w:tcBorders>
              <w:top w:val="nil"/>
              <w:left w:val="nil"/>
              <w:bottom w:val="nil"/>
              <w:right w:val="nil"/>
            </w:tcBorders>
            <w:shd w:val="clear" w:color="auto" w:fill="auto"/>
            <w:noWrap/>
            <w:vAlign w:val="center"/>
            <w:hideMark/>
          </w:tcPr>
          <w:p w14:paraId="42689011" w14:textId="77777777" w:rsidR="00D07A53" w:rsidRPr="00AC3B4D" w:rsidRDefault="00D07A53" w:rsidP="003632F4">
            <w:pPr>
              <w:spacing w:line="240" w:lineRule="auto"/>
              <w:jc w:val="right"/>
              <w:rPr>
                <w:rFonts w:eastAsia="Times New Roman"/>
                <w:i/>
                <w:iCs/>
                <w:color w:val="000000"/>
                <w:lang w:eastAsia="en-NZ"/>
              </w:rPr>
            </w:pPr>
            <w:r w:rsidRPr="00AC3B4D">
              <w:rPr>
                <w:rFonts w:eastAsia="Times New Roman"/>
                <w:i/>
                <w:iCs/>
                <w:color w:val="000000"/>
                <w:lang w:eastAsia="en-NZ"/>
              </w:rPr>
              <w:t>23.9</w:t>
            </w:r>
          </w:p>
        </w:tc>
      </w:tr>
      <w:tr w:rsidR="00D07A53" w:rsidRPr="00AC3B4D" w14:paraId="17E04FB8" w14:textId="77777777" w:rsidTr="003632F4">
        <w:trPr>
          <w:trHeight w:val="315"/>
        </w:trPr>
        <w:tc>
          <w:tcPr>
            <w:tcW w:w="1101" w:type="pct"/>
            <w:tcBorders>
              <w:top w:val="nil"/>
              <w:left w:val="nil"/>
              <w:bottom w:val="nil"/>
              <w:right w:val="nil"/>
            </w:tcBorders>
            <w:shd w:val="clear" w:color="auto" w:fill="auto"/>
            <w:noWrap/>
            <w:vAlign w:val="center"/>
            <w:hideMark/>
          </w:tcPr>
          <w:p w14:paraId="7F46A837" w14:textId="77777777" w:rsidR="00D07A53" w:rsidRPr="00AC3B4D" w:rsidRDefault="00D07A53" w:rsidP="003632F4">
            <w:pPr>
              <w:spacing w:line="240" w:lineRule="auto"/>
              <w:rPr>
                <w:rFonts w:eastAsia="Times New Roman"/>
                <w:color w:val="000000"/>
                <w:lang w:eastAsia="en-NZ"/>
              </w:rPr>
            </w:pPr>
            <w:r>
              <w:rPr>
                <w:rFonts w:eastAsia="Times New Roman"/>
                <w:color w:val="000000"/>
                <w:lang w:eastAsia="en-NZ"/>
              </w:rPr>
              <w:t xml:space="preserve">  </w:t>
            </w:r>
            <w:r w:rsidRPr="00AC3B4D">
              <w:rPr>
                <w:rFonts w:eastAsia="Times New Roman"/>
                <w:color w:val="000000"/>
                <w:lang w:eastAsia="en-NZ"/>
              </w:rPr>
              <w:t>35 - 44</w:t>
            </w:r>
          </w:p>
        </w:tc>
        <w:tc>
          <w:tcPr>
            <w:tcW w:w="1180" w:type="pct"/>
            <w:tcBorders>
              <w:top w:val="nil"/>
              <w:left w:val="nil"/>
              <w:bottom w:val="nil"/>
              <w:right w:val="nil"/>
            </w:tcBorders>
            <w:shd w:val="clear" w:color="auto" w:fill="auto"/>
            <w:noWrap/>
            <w:vAlign w:val="center"/>
            <w:hideMark/>
          </w:tcPr>
          <w:p w14:paraId="54B04F40" w14:textId="77777777" w:rsidR="00D07A53" w:rsidRPr="00AC3B4D" w:rsidRDefault="00D07A53" w:rsidP="003632F4">
            <w:pPr>
              <w:spacing w:line="240" w:lineRule="auto"/>
              <w:jc w:val="right"/>
              <w:rPr>
                <w:rFonts w:eastAsia="Times New Roman"/>
                <w:color w:val="000000"/>
                <w:lang w:eastAsia="en-NZ"/>
              </w:rPr>
            </w:pPr>
            <w:r w:rsidRPr="00AC3B4D">
              <w:rPr>
                <w:rFonts w:eastAsia="Times New Roman"/>
                <w:color w:val="000000"/>
                <w:lang w:eastAsia="en-NZ"/>
              </w:rPr>
              <w:t>3504</w:t>
            </w:r>
          </w:p>
        </w:tc>
        <w:tc>
          <w:tcPr>
            <w:tcW w:w="770" w:type="pct"/>
            <w:tcBorders>
              <w:top w:val="nil"/>
              <w:left w:val="nil"/>
              <w:bottom w:val="nil"/>
              <w:right w:val="nil"/>
            </w:tcBorders>
            <w:shd w:val="clear" w:color="auto" w:fill="auto"/>
            <w:noWrap/>
            <w:vAlign w:val="center"/>
            <w:hideMark/>
          </w:tcPr>
          <w:p w14:paraId="0ADD1B1A" w14:textId="77777777" w:rsidR="00D07A53" w:rsidRPr="00AC3B4D" w:rsidRDefault="00D07A53" w:rsidP="003632F4">
            <w:pPr>
              <w:spacing w:line="240" w:lineRule="auto"/>
              <w:jc w:val="right"/>
              <w:rPr>
                <w:rFonts w:eastAsia="Times New Roman"/>
                <w:i/>
                <w:iCs/>
                <w:color w:val="000000"/>
                <w:lang w:eastAsia="en-NZ"/>
              </w:rPr>
            </w:pPr>
            <w:r w:rsidRPr="00AC3B4D">
              <w:rPr>
                <w:rFonts w:eastAsia="Times New Roman"/>
                <w:i/>
                <w:iCs/>
                <w:color w:val="000000"/>
                <w:lang w:eastAsia="en-NZ"/>
              </w:rPr>
              <w:t>22.6</w:t>
            </w:r>
          </w:p>
        </w:tc>
        <w:tc>
          <w:tcPr>
            <w:tcW w:w="1090" w:type="pct"/>
            <w:tcBorders>
              <w:top w:val="nil"/>
              <w:left w:val="nil"/>
              <w:bottom w:val="nil"/>
              <w:right w:val="nil"/>
            </w:tcBorders>
            <w:shd w:val="clear" w:color="auto" w:fill="auto"/>
            <w:noWrap/>
            <w:vAlign w:val="center"/>
            <w:hideMark/>
          </w:tcPr>
          <w:p w14:paraId="5F65678B" w14:textId="77777777" w:rsidR="00D07A53" w:rsidRPr="00AC3B4D" w:rsidRDefault="00D07A53" w:rsidP="003632F4">
            <w:pPr>
              <w:spacing w:line="240" w:lineRule="auto"/>
              <w:jc w:val="right"/>
              <w:rPr>
                <w:rFonts w:eastAsia="Times New Roman"/>
                <w:color w:val="000000"/>
                <w:lang w:eastAsia="en-NZ"/>
              </w:rPr>
            </w:pPr>
            <w:r w:rsidRPr="00AC3B4D">
              <w:rPr>
                <w:rFonts w:eastAsia="Times New Roman"/>
                <w:color w:val="000000"/>
                <w:lang w:eastAsia="en-NZ"/>
              </w:rPr>
              <w:t>1828</w:t>
            </w:r>
          </w:p>
        </w:tc>
        <w:tc>
          <w:tcPr>
            <w:tcW w:w="860" w:type="pct"/>
            <w:tcBorders>
              <w:top w:val="nil"/>
              <w:left w:val="nil"/>
              <w:bottom w:val="nil"/>
              <w:right w:val="nil"/>
            </w:tcBorders>
            <w:shd w:val="clear" w:color="auto" w:fill="auto"/>
            <w:noWrap/>
            <w:vAlign w:val="center"/>
            <w:hideMark/>
          </w:tcPr>
          <w:p w14:paraId="50423B0D" w14:textId="77777777" w:rsidR="00D07A53" w:rsidRPr="00AC3B4D" w:rsidRDefault="00D07A53" w:rsidP="003632F4">
            <w:pPr>
              <w:spacing w:line="240" w:lineRule="auto"/>
              <w:jc w:val="right"/>
              <w:rPr>
                <w:rFonts w:eastAsia="Times New Roman"/>
                <w:i/>
                <w:iCs/>
                <w:color w:val="000000"/>
                <w:lang w:eastAsia="en-NZ"/>
              </w:rPr>
            </w:pPr>
            <w:r w:rsidRPr="00AC3B4D">
              <w:rPr>
                <w:rFonts w:eastAsia="Times New Roman"/>
                <w:i/>
                <w:iCs/>
                <w:color w:val="000000"/>
                <w:lang w:eastAsia="en-NZ"/>
              </w:rPr>
              <w:t>22</w:t>
            </w:r>
          </w:p>
        </w:tc>
      </w:tr>
      <w:tr w:rsidR="00D07A53" w:rsidRPr="00AC3B4D" w14:paraId="37BBC2DC" w14:textId="77777777" w:rsidTr="003632F4">
        <w:trPr>
          <w:trHeight w:val="330"/>
        </w:trPr>
        <w:tc>
          <w:tcPr>
            <w:tcW w:w="1101" w:type="pct"/>
            <w:tcBorders>
              <w:top w:val="nil"/>
              <w:left w:val="nil"/>
              <w:bottom w:val="nil"/>
              <w:right w:val="nil"/>
            </w:tcBorders>
            <w:shd w:val="clear" w:color="auto" w:fill="auto"/>
            <w:noWrap/>
            <w:vAlign w:val="center"/>
            <w:hideMark/>
          </w:tcPr>
          <w:p w14:paraId="135F1233" w14:textId="77777777" w:rsidR="00D07A53" w:rsidRPr="00AC3B4D" w:rsidRDefault="00D07A53" w:rsidP="003632F4">
            <w:pPr>
              <w:spacing w:line="240" w:lineRule="auto"/>
              <w:rPr>
                <w:rFonts w:eastAsia="Times New Roman"/>
                <w:color w:val="000000"/>
                <w:lang w:eastAsia="en-NZ"/>
              </w:rPr>
            </w:pPr>
            <w:r>
              <w:rPr>
                <w:rFonts w:eastAsia="Times New Roman"/>
                <w:color w:val="000000"/>
                <w:lang w:eastAsia="en-NZ"/>
              </w:rPr>
              <w:t xml:space="preserve">  </w:t>
            </w:r>
            <w:r w:rsidRPr="00AC3B4D">
              <w:rPr>
                <w:rFonts w:eastAsia="Times New Roman"/>
                <w:color w:val="000000"/>
                <w:lang w:eastAsia="en-NZ"/>
              </w:rPr>
              <w:t>45 - 54</w:t>
            </w:r>
          </w:p>
        </w:tc>
        <w:tc>
          <w:tcPr>
            <w:tcW w:w="1180" w:type="pct"/>
            <w:tcBorders>
              <w:top w:val="nil"/>
              <w:left w:val="nil"/>
              <w:bottom w:val="nil"/>
              <w:right w:val="nil"/>
            </w:tcBorders>
            <w:shd w:val="clear" w:color="auto" w:fill="auto"/>
            <w:noWrap/>
            <w:vAlign w:val="center"/>
            <w:hideMark/>
          </w:tcPr>
          <w:p w14:paraId="4149E586" w14:textId="77777777" w:rsidR="00D07A53" w:rsidRPr="00AC3B4D" w:rsidRDefault="00D07A53" w:rsidP="003632F4">
            <w:pPr>
              <w:spacing w:line="240" w:lineRule="auto"/>
              <w:jc w:val="right"/>
              <w:rPr>
                <w:rFonts w:eastAsia="Times New Roman"/>
                <w:color w:val="000000"/>
                <w:lang w:eastAsia="en-NZ"/>
              </w:rPr>
            </w:pPr>
            <w:r w:rsidRPr="00AC3B4D">
              <w:rPr>
                <w:rFonts w:eastAsia="Times New Roman"/>
                <w:color w:val="000000"/>
                <w:lang w:eastAsia="en-NZ"/>
              </w:rPr>
              <w:t>2899</w:t>
            </w:r>
          </w:p>
        </w:tc>
        <w:tc>
          <w:tcPr>
            <w:tcW w:w="770" w:type="pct"/>
            <w:tcBorders>
              <w:top w:val="nil"/>
              <w:left w:val="nil"/>
              <w:bottom w:val="nil"/>
              <w:right w:val="nil"/>
            </w:tcBorders>
            <w:shd w:val="clear" w:color="auto" w:fill="auto"/>
            <w:noWrap/>
            <w:vAlign w:val="center"/>
            <w:hideMark/>
          </w:tcPr>
          <w:p w14:paraId="4AF72BF5" w14:textId="77777777" w:rsidR="00D07A53" w:rsidRPr="00AC3B4D" w:rsidRDefault="00D07A53" w:rsidP="003632F4">
            <w:pPr>
              <w:spacing w:line="240" w:lineRule="auto"/>
              <w:jc w:val="right"/>
              <w:rPr>
                <w:rFonts w:eastAsia="Times New Roman"/>
                <w:i/>
                <w:iCs/>
                <w:color w:val="000000"/>
                <w:lang w:eastAsia="en-NZ"/>
              </w:rPr>
            </w:pPr>
            <w:r w:rsidRPr="00AC3B4D">
              <w:rPr>
                <w:rFonts w:eastAsia="Times New Roman"/>
                <w:i/>
                <w:iCs/>
                <w:color w:val="000000"/>
                <w:lang w:eastAsia="en-NZ"/>
              </w:rPr>
              <w:t>18.7</w:t>
            </w:r>
          </w:p>
        </w:tc>
        <w:tc>
          <w:tcPr>
            <w:tcW w:w="1090" w:type="pct"/>
            <w:tcBorders>
              <w:top w:val="nil"/>
              <w:left w:val="nil"/>
              <w:bottom w:val="nil"/>
              <w:right w:val="nil"/>
            </w:tcBorders>
            <w:shd w:val="clear" w:color="auto" w:fill="auto"/>
            <w:noWrap/>
            <w:vAlign w:val="center"/>
            <w:hideMark/>
          </w:tcPr>
          <w:p w14:paraId="075E2D86" w14:textId="77777777" w:rsidR="00D07A53" w:rsidRPr="00AC3B4D" w:rsidRDefault="00D07A53" w:rsidP="003632F4">
            <w:pPr>
              <w:spacing w:line="240" w:lineRule="auto"/>
              <w:jc w:val="right"/>
              <w:rPr>
                <w:rFonts w:eastAsia="Times New Roman"/>
                <w:color w:val="000000"/>
                <w:lang w:eastAsia="en-NZ"/>
              </w:rPr>
            </w:pPr>
            <w:r w:rsidRPr="00AC3B4D">
              <w:rPr>
                <w:rFonts w:eastAsia="Times New Roman"/>
                <w:color w:val="000000"/>
                <w:lang w:eastAsia="en-NZ"/>
              </w:rPr>
              <w:t>1571</w:t>
            </w:r>
          </w:p>
        </w:tc>
        <w:tc>
          <w:tcPr>
            <w:tcW w:w="860" w:type="pct"/>
            <w:tcBorders>
              <w:top w:val="nil"/>
              <w:left w:val="nil"/>
              <w:bottom w:val="nil"/>
              <w:right w:val="nil"/>
            </w:tcBorders>
            <w:shd w:val="clear" w:color="auto" w:fill="auto"/>
            <w:noWrap/>
            <w:vAlign w:val="center"/>
            <w:hideMark/>
          </w:tcPr>
          <w:p w14:paraId="43052726" w14:textId="77777777" w:rsidR="00D07A53" w:rsidRPr="00AC3B4D" w:rsidRDefault="00D07A53" w:rsidP="003632F4">
            <w:pPr>
              <w:spacing w:line="240" w:lineRule="auto"/>
              <w:jc w:val="right"/>
              <w:rPr>
                <w:rFonts w:eastAsia="Times New Roman"/>
                <w:i/>
                <w:iCs/>
                <w:color w:val="000000"/>
                <w:lang w:eastAsia="en-NZ"/>
              </w:rPr>
            </w:pPr>
            <w:r w:rsidRPr="00AC3B4D">
              <w:rPr>
                <w:rFonts w:eastAsia="Times New Roman"/>
                <w:i/>
                <w:iCs/>
                <w:color w:val="000000"/>
                <w:lang w:eastAsia="en-NZ"/>
              </w:rPr>
              <w:t>18.9</w:t>
            </w:r>
          </w:p>
        </w:tc>
      </w:tr>
      <w:tr w:rsidR="00D07A53" w:rsidRPr="00AC3B4D" w14:paraId="5F83075A" w14:textId="77777777" w:rsidTr="003632F4">
        <w:trPr>
          <w:trHeight w:val="264"/>
        </w:trPr>
        <w:tc>
          <w:tcPr>
            <w:tcW w:w="1101" w:type="pct"/>
            <w:tcBorders>
              <w:top w:val="nil"/>
              <w:left w:val="nil"/>
              <w:bottom w:val="single" w:sz="8" w:space="0" w:color="auto"/>
              <w:right w:val="nil"/>
            </w:tcBorders>
            <w:shd w:val="clear" w:color="auto" w:fill="auto"/>
            <w:noWrap/>
            <w:vAlign w:val="center"/>
            <w:hideMark/>
          </w:tcPr>
          <w:p w14:paraId="392F3489" w14:textId="77777777" w:rsidR="00D07A53" w:rsidRPr="00AC3B4D" w:rsidRDefault="00D07A53" w:rsidP="003632F4">
            <w:pPr>
              <w:spacing w:line="240" w:lineRule="auto"/>
              <w:rPr>
                <w:rFonts w:eastAsia="Times New Roman"/>
                <w:color w:val="000000"/>
                <w:lang w:eastAsia="en-NZ"/>
              </w:rPr>
            </w:pPr>
            <w:r>
              <w:rPr>
                <w:rFonts w:eastAsia="Times New Roman"/>
                <w:color w:val="000000"/>
                <w:lang w:eastAsia="en-NZ"/>
              </w:rPr>
              <w:t xml:space="preserve">  </w:t>
            </w:r>
            <w:r w:rsidRPr="00AC3B4D">
              <w:rPr>
                <w:rFonts w:eastAsia="Times New Roman"/>
                <w:color w:val="000000"/>
                <w:lang w:eastAsia="en-NZ"/>
              </w:rPr>
              <w:t>55 or more</w:t>
            </w:r>
          </w:p>
        </w:tc>
        <w:tc>
          <w:tcPr>
            <w:tcW w:w="1180" w:type="pct"/>
            <w:tcBorders>
              <w:top w:val="nil"/>
              <w:left w:val="nil"/>
              <w:bottom w:val="single" w:sz="8" w:space="0" w:color="auto"/>
              <w:right w:val="nil"/>
            </w:tcBorders>
            <w:shd w:val="clear" w:color="auto" w:fill="auto"/>
            <w:noWrap/>
            <w:vAlign w:val="center"/>
            <w:hideMark/>
          </w:tcPr>
          <w:p w14:paraId="62FF319A" w14:textId="77777777" w:rsidR="00D07A53" w:rsidRPr="00AC3B4D" w:rsidRDefault="00D07A53" w:rsidP="003632F4">
            <w:pPr>
              <w:spacing w:line="240" w:lineRule="auto"/>
              <w:jc w:val="right"/>
              <w:rPr>
                <w:rFonts w:eastAsia="Times New Roman"/>
                <w:color w:val="000000"/>
                <w:lang w:eastAsia="en-NZ"/>
              </w:rPr>
            </w:pPr>
            <w:r w:rsidRPr="00AC3B4D">
              <w:rPr>
                <w:rFonts w:eastAsia="Times New Roman"/>
                <w:color w:val="000000"/>
                <w:lang w:eastAsia="en-NZ"/>
              </w:rPr>
              <w:t>3178</w:t>
            </w:r>
          </w:p>
        </w:tc>
        <w:tc>
          <w:tcPr>
            <w:tcW w:w="770" w:type="pct"/>
            <w:tcBorders>
              <w:top w:val="nil"/>
              <w:left w:val="nil"/>
              <w:bottom w:val="single" w:sz="8" w:space="0" w:color="auto"/>
              <w:right w:val="nil"/>
            </w:tcBorders>
            <w:shd w:val="clear" w:color="auto" w:fill="auto"/>
            <w:noWrap/>
            <w:vAlign w:val="center"/>
            <w:hideMark/>
          </w:tcPr>
          <w:p w14:paraId="731EC5DF" w14:textId="77777777" w:rsidR="00D07A53" w:rsidRPr="00AC3B4D" w:rsidRDefault="00D07A53" w:rsidP="003632F4">
            <w:pPr>
              <w:spacing w:line="240" w:lineRule="auto"/>
              <w:jc w:val="right"/>
              <w:rPr>
                <w:rFonts w:eastAsia="Times New Roman"/>
                <w:i/>
                <w:iCs/>
                <w:color w:val="000000"/>
                <w:lang w:eastAsia="en-NZ"/>
              </w:rPr>
            </w:pPr>
            <w:r w:rsidRPr="00AC3B4D">
              <w:rPr>
                <w:rFonts w:eastAsia="Times New Roman"/>
                <w:i/>
                <w:iCs/>
                <w:color w:val="000000"/>
                <w:lang w:eastAsia="en-NZ"/>
              </w:rPr>
              <w:t>20.5</w:t>
            </w:r>
          </w:p>
        </w:tc>
        <w:tc>
          <w:tcPr>
            <w:tcW w:w="1090" w:type="pct"/>
            <w:tcBorders>
              <w:top w:val="nil"/>
              <w:left w:val="nil"/>
              <w:bottom w:val="single" w:sz="8" w:space="0" w:color="auto"/>
              <w:right w:val="nil"/>
            </w:tcBorders>
            <w:shd w:val="clear" w:color="auto" w:fill="auto"/>
            <w:noWrap/>
            <w:vAlign w:val="center"/>
            <w:hideMark/>
          </w:tcPr>
          <w:p w14:paraId="7E99EF8C" w14:textId="77777777" w:rsidR="00D07A53" w:rsidRPr="00AC3B4D" w:rsidRDefault="00D07A53" w:rsidP="003632F4">
            <w:pPr>
              <w:spacing w:line="240" w:lineRule="auto"/>
              <w:jc w:val="right"/>
              <w:rPr>
                <w:rFonts w:eastAsia="Times New Roman"/>
                <w:color w:val="000000"/>
                <w:lang w:eastAsia="en-NZ"/>
              </w:rPr>
            </w:pPr>
            <w:r w:rsidRPr="00AC3B4D">
              <w:rPr>
                <w:rFonts w:eastAsia="Times New Roman"/>
                <w:color w:val="000000"/>
                <w:lang w:eastAsia="en-NZ"/>
              </w:rPr>
              <w:t>1546</w:t>
            </w:r>
          </w:p>
        </w:tc>
        <w:tc>
          <w:tcPr>
            <w:tcW w:w="860" w:type="pct"/>
            <w:tcBorders>
              <w:top w:val="nil"/>
              <w:left w:val="nil"/>
              <w:bottom w:val="single" w:sz="8" w:space="0" w:color="auto"/>
              <w:right w:val="nil"/>
            </w:tcBorders>
            <w:shd w:val="clear" w:color="auto" w:fill="auto"/>
            <w:noWrap/>
            <w:vAlign w:val="center"/>
            <w:hideMark/>
          </w:tcPr>
          <w:p w14:paraId="7287D1A8" w14:textId="77777777" w:rsidR="00D07A53" w:rsidRPr="00AC3B4D" w:rsidRDefault="00D07A53" w:rsidP="003632F4">
            <w:pPr>
              <w:spacing w:line="240" w:lineRule="auto"/>
              <w:jc w:val="right"/>
              <w:rPr>
                <w:rFonts w:eastAsia="Times New Roman"/>
                <w:i/>
                <w:iCs/>
                <w:color w:val="000000"/>
                <w:lang w:eastAsia="en-NZ"/>
              </w:rPr>
            </w:pPr>
            <w:r w:rsidRPr="00AC3B4D">
              <w:rPr>
                <w:rFonts w:eastAsia="Times New Roman"/>
                <w:i/>
                <w:iCs/>
                <w:color w:val="000000"/>
                <w:lang w:eastAsia="en-NZ"/>
              </w:rPr>
              <w:t>18.6</w:t>
            </w:r>
          </w:p>
        </w:tc>
      </w:tr>
      <w:tr w:rsidR="00D07A53" w:rsidRPr="00AC3B4D" w14:paraId="63BE497F" w14:textId="77777777" w:rsidTr="003632F4">
        <w:trPr>
          <w:trHeight w:val="315"/>
        </w:trPr>
        <w:tc>
          <w:tcPr>
            <w:tcW w:w="2281" w:type="pct"/>
            <w:gridSpan w:val="2"/>
            <w:tcBorders>
              <w:top w:val="nil"/>
              <w:left w:val="nil"/>
              <w:bottom w:val="nil"/>
              <w:right w:val="nil"/>
            </w:tcBorders>
            <w:shd w:val="clear" w:color="auto" w:fill="auto"/>
            <w:noWrap/>
            <w:vAlign w:val="center"/>
            <w:hideMark/>
          </w:tcPr>
          <w:p w14:paraId="40BDE222" w14:textId="77777777" w:rsidR="00D07A53" w:rsidRPr="00AC3B4D" w:rsidRDefault="00D07A53" w:rsidP="003632F4">
            <w:pPr>
              <w:spacing w:line="240" w:lineRule="auto"/>
              <w:rPr>
                <w:rFonts w:eastAsia="Times New Roman"/>
                <w:b/>
                <w:bCs/>
                <w:color w:val="000000"/>
                <w:lang w:eastAsia="en-NZ"/>
              </w:rPr>
            </w:pPr>
            <w:r w:rsidRPr="00AC3B4D">
              <w:rPr>
                <w:rFonts w:eastAsia="Times New Roman"/>
                <w:b/>
                <w:bCs/>
                <w:color w:val="000000"/>
                <w:lang w:eastAsia="en-NZ"/>
              </w:rPr>
              <w:t>Ethnic Group</w:t>
            </w:r>
          </w:p>
        </w:tc>
        <w:tc>
          <w:tcPr>
            <w:tcW w:w="770" w:type="pct"/>
            <w:tcBorders>
              <w:top w:val="nil"/>
              <w:left w:val="nil"/>
              <w:bottom w:val="nil"/>
              <w:right w:val="nil"/>
            </w:tcBorders>
            <w:shd w:val="clear" w:color="auto" w:fill="auto"/>
            <w:noWrap/>
            <w:vAlign w:val="bottom"/>
            <w:hideMark/>
          </w:tcPr>
          <w:p w14:paraId="4F991568" w14:textId="77777777" w:rsidR="00D07A53" w:rsidRPr="00AC3B4D" w:rsidRDefault="00D07A53" w:rsidP="003632F4">
            <w:pPr>
              <w:spacing w:line="240" w:lineRule="auto"/>
              <w:rPr>
                <w:rFonts w:eastAsia="Times New Roman"/>
                <w:color w:val="000000"/>
                <w:lang w:eastAsia="en-NZ"/>
              </w:rPr>
            </w:pPr>
          </w:p>
        </w:tc>
        <w:tc>
          <w:tcPr>
            <w:tcW w:w="1090" w:type="pct"/>
            <w:tcBorders>
              <w:top w:val="nil"/>
              <w:left w:val="nil"/>
              <w:bottom w:val="nil"/>
              <w:right w:val="nil"/>
            </w:tcBorders>
            <w:shd w:val="clear" w:color="auto" w:fill="auto"/>
            <w:noWrap/>
            <w:vAlign w:val="bottom"/>
            <w:hideMark/>
          </w:tcPr>
          <w:p w14:paraId="3ED71591" w14:textId="77777777" w:rsidR="00D07A53" w:rsidRPr="00AC3B4D" w:rsidRDefault="00D07A53" w:rsidP="003632F4">
            <w:pPr>
              <w:spacing w:line="240" w:lineRule="auto"/>
              <w:rPr>
                <w:rFonts w:eastAsia="Times New Roman"/>
                <w:lang w:eastAsia="en-NZ"/>
              </w:rPr>
            </w:pPr>
          </w:p>
        </w:tc>
        <w:tc>
          <w:tcPr>
            <w:tcW w:w="860" w:type="pct"/>
            <w:tcBorders>
              <w:top w:val="nil"/>
              <w:left w:val="nil"/>
              <w:bottom w:val="nil"/>
              <w:right w:val="nil"/>
            </w:tcBorders>
            <w:shd w:val="clear" w:color="auto" w:fill="auto"/>
            <w:noWrap/>
            <w:vAlign w:val="bottom"/>
            <w:hideMark/>
          </w:tcPr>
          <w:p w14:paraId="5C632CE6" w14:textId="77777777" w:rsidR="00D07A53" w:rsidRPr="00AC3B4D" w:rsidRDefault="00D07A53" w:rsidP="003632F4">
            <w:pPr>
              <w:spacing w:line="240" w:lineRule="auto"/>
              <w:rPr>
                <w:rFonts w:eastAsia="Times New Roman"/>
                <w:lang w:eastAsia="en-NZ"/>
              </w:rPr>
            </w:pPr>
          </w:p>
        </w:tc>
      </w:tr>
      <w:tr w:rsidR="00D07A53" w:rsidRPr="00AC3B4D" w14:paraId="398C9F14" w14:textId="77777777" w:rsidTr="003632F4">
        <w:trPr>
          <w:trHeight w:val="315"/>
        </w:trPr>
        <w:tc>
          <w:tcPr>
            <w:tcW w:w="1101" w:type="pct"/>
            <w:tcBorders>
              <w:top w:val="nil"/>
              <w:left w:val="nil"/>
              <w:bottom w:val="nil"/>
              <w:right w:val="nil"/>
            </w:tcBorders>
            <w:shd w:val="clear" w:color="auto" w:fill="auto"/>
            <w:noWrap/>
            <w:vAlign w:val="center"/>
            <w:hideMark/>
          </w:tcPr>
          <w:p w14:paraId="16167417" w14:textId="77777777" w:rsidR="00D07A53" w:rsidRPr="00AC3B4D" w:rsidRDefault="00D07A53" w:rsidP="003632F4">
            <w:pPr>
              <w:spacing w:line="240" w:lineRule="auto"/>
              <w:rPr>
                <w:rFonts w:eastAsia="Times New Roman"/>
                <w:color w:val="000000"/>
                <w:lang w:eastAsia="en-NZ"/>
              </w:rPr>
            </w:pPr>
            <w:r>
              <w:rPr>
                <w:rFonts w:eastAsia="Times New Roman"/>
                <w:color w:val="000000"/>
                <w:lang w:eastAsia="en-NZ"/>
              </w:rPr>
              <w:t xml:space="preserve">  </w:t>
            </w:r>
            <w:r w:rsidRPr="00AC3B4D">
              <w:rPr>
                <w:rFonts w:eastAsia="Times New Roman"/>
                <w:color w:val="000000"/>
                <w:lang w:eastAsia="en-NZ"/>
              </w:rPr>
              <w:t>M</w:t>
            </w:r>
            <w:r w:rsidRPr="009973DB">
              <w:rPr>
                <w:rFonts w:eastAsia="Times New Roman"/>
                <w:color w:val="000000"/>
                <w:lang w:val="en-US" w:eastAsia="en-NZ"/>
              </w:rPr>
              <w:t>ā</w:t>
            </w:r>
            <w:r w:rsidRPr="00AC3B4D">
              <w:rPr>
                <w:rFonts w:eastAsia="Times New Roman"/>
                <w:color w:val="000000"/>
                <w:lang w:eastAsia="en-NZ"/>
              </w:rPr>
              <w:t>ori</w:t>
            </w:r>
          </w:p>
        </w:tc>
        <w:tc>
          <w:tcPr>
            <w:tcW w:w="1180" w:type="pct"/>
            <w:tcBorders>
              <w:top w:val="nil"/>
              <w:left w:val="nil"/>
              <w:bottom w:val="nil"/>
              <w:right w:val="nil"/>
            </w:tcBorders>
            <w:shd w:val="clear" w:color="auto" w:fill="auto"/>
            <w:noWrap/>
            <w:vAlign w:val="center"/>
            <w:hideMark/>
          </w:tcPr>
          <w:p w14:paraId="76705FDB" w14:textId="77777777" w:rsidR="00D07A53" w:rsidRPr="00AC3B4D" w:rsidRDefault="00D07A53" w:rsidP="003632F4">
            <w:pPr>
              <w:spacing w:line="240" w:lineRule="auto"/>
              <w:jc w:val="right"/>
              <w:rPr>
                <w:rFonts w:eastAsia="Times New Roman"/>
                <w:color w:val="000000"/>
                <w:lang w:eastAsia="en-NZ"/>
              </w:rPr>
            </w:pPr>
            <w:r w:rsidRPr="00AC3B4D">
              <w:rPr>
                <w:rFonts w:eastAsia="Times New Roman"/>
                <w:color w:val="000000"/>
                <w:lang w:eastAsia="en-NZ"/>
              </w:rPr>
              <w:t>6387</w:t>
            </w:r>
          </w:p>
        </w:tc>
        <w:tc>
          <w:tcPr>
            <w:tcW w:w="770" w:type="pct"/>
            <w:tcBorders>
              <w:top w:val="nil"/>
              <w:left w:val="nil"/>
              <w:bottom w:val="nil"/>
              <w:right w:val="nil"/>
            </w:tcBorders>
            <w:shd w:val="clear" w:color="auto" w:fill="auto"/>
            <w:noWrap/>
            <w:vAlign w:val="center"/>
            <w:hideMark/>
          </w:tcPr>
          <w:p w14:paraId="501A5C07" w14:textId="77777777" w:rsidR="00D07A53" w:rsidRPr="00AC3B4D" w:rsidRDefault="00D07A53" w:rsidP="003632F4">
            <w:pPr>
              <w:spacing w:line="240" w:lineRule="auto"/>
              <w:jc w:val="right"/>
              <w:rPr>
                <w:rFonts w:eastAsia="Times New Roman"/>
                <w:i/>
                <w:iCs/>
                <w:color w:val="000000"/>
                <w:lang w:eastAsia="en-NZ"/>
              </w:rPr>
            </w:pPr>
            <w:r w:rsidRPr="00AC3B4D">
              <w:rPr>
                <w:rFonts w:eastAsia="Times New Roman"/>
                <w:i/>
                <w:iCs/>
                <w:color w:val="000000"/>
                <w:lang w:eastAsia="en-NZ"/>
              </w:rPr>
              <w:t>41.2</w:t>
            </w:r>
          </w:p>
        </w:tc>
        <w:tc>
          <w:tcPr>
            <w:tcW w:w="1090" w:type="pct"/>
            <w:tcBorders>
              <w:top w:val="nil"/>
              <w:left w:val="nil"/>
              <w:bottom w:val="nil"/>
              <w:right w:val="nil"/>
            </w:tcBorders>
            <w:shd w:val="clear" w:color="auto" w:fill="auto"/>
            <w:noWrap/>
            <w:vAlign w:val="center"/>
            <w:hideMark/>
          </w:tcPr>
          <w:p w14:paraId="1E4961F8" w14:textId="77777777" w:rsidR="00D07A53" w:rsidRPr="00AC3B4D" w:rsidRDefault="00D07A53" w:rsidP="003632F4">
            <w:pPr>
              <w:spacing w:line="240" w:lineRule="auto"/>
              <w:jc w:val="right"/>
              <w:rPr>
                <w:rFonts w:eastAsia="Times New Roman"/>
                <w:color w:val="000000"/>
                <w:lang w:eastAsia="en-NZ"/>
              </w:rPr>
            </w:pPr>
            <w:r w:rsidRPr="00AC3B4D">
              <w:rPr>
                <w:rFonts w:eastAsia="Times New Roman"/>
                <w:color w:val="000000"/>
                <w:lang w:eastAsia="en-NZ"/>
              </w:rPr>
              <w:t>3050</w:t>
            </w:r>
          </w:p>
        </w:tc>
        <w:tc>
          <w:tcPr>
            <w:tcW w:w="860" w:type="pct"/>
            <w:tcBorders>
              <w:top w:val="nil"/>
              <w:left w:val="nil"/>
              <w:bottom w:val="nil"/>
              <w:right w:val="nil"/>
            </w:tcBorders>
            <w:shd w:val="clear" w:color="auto" w:fill="auto"/>
            <w:noWrap/>
            <w:vAlign w:val="center"/>
            <w:hideMark/>
          </w:tcPr>
          <w:p w14:paraId="00403061" w14:textId="77777777" w:rsidR="00D07A53" w:rsidRPr="00AC3B4D" w:rsidRDefault="00D07A53" w:rsidP="003632F4">
            <w:pPr>
              <w:spacing w:line="240" w:lineRule="auto"/>
              <w:jc w:val="right"/>
              <w:rPr>
                <w:rFonts w:eastAsia="Times New Roman"/>
                <w:i/>
                <w:iCs/>
                <w:color w:val="000000"/>
                <w:lang w:eastAsia="en-NZ"/>
              </w:rPr>
            </w:pPr>
            <w:r w:rsidRPr="00AC3B4D">
              <w:rPr>
                <w:rFonts w:eastAsia="Times New Roman"/>
                <w:i/>
                <w:iCs/>
                <w:color w:val="000000"/>
                <w:lang w:eastAsia="en-NZ"/>
              </w:rPr>
              <w:t>36.7</w:t>
            </w:r>
          </w:p>
        </w:tc>
      </w:tr>
      <w:tr w:rsidR="00D07A53" w:rsidRPr="00AC3B4D" w14:paraId="1DDB60BA" w14:textId="77777777" w:rsidTr="003632F4">
        <w:trPr>
          <w:trHeight w:val="330"/>
        </w:trPr>
        <w:tc>
          <w:tcPr>
            <w:tcW w:w="1101" w:type="pct"/>
            <w:tcBorders>
              <w:top w:val="nil"/>
              <w:left w:val="nil"/>
              <w:bottom w:val="nil"/>
              <w:right w:val="nil"/>
            </w:tcBorders>
            <w:shd w:val="clear" w:color="auto" w:fill="auto"/>
            <w:noWrap/>
            <w:vAlign w:val="center"/>
            <w:hideMark/>
          </w:tcPr>
          <w:p w14:paraId="62BF91B0" w14:textId="77777777" w:rsidR="00D07A53" w:rsidRPr="00AC3B4D" w:rsidRDefault="00D07A53" w:rsidP="003632F4">
            <w:pPr>
              <w:spacing w:line="240" w:lineRule="auto"/>
              <w:rPr>
                <w:rFonts w:eastAsia="Times New Roman"/>
                <w:color w:val="000000"/>
                <w:lang w:eastAsia="en-NZ"/>
              </w:rPr>
            </w:pPr>
            <w:r>
              <w:rPr>
                <w:rFonts w:eastAsia="Times New Roman"/>
                <w:color w:val="000000"/>
                <w:lang w:eastAsia="en-NZ"/>
              </w:rPr>
              <w:t xml:space="preserve">  </w:t>
            </w:r>
            <w:r w:rsidRPr="00AC3B4D">
              <w:rPr>
                <w:rFonts w:eastAsia="Times New Roman"/>
                <w:color w:val="000000"/>
                <w:lang w:eastAsia="en-NZ"/>
              </w:rPr>
              <w:t>Pacific</w:t>
            </w:r>
          </w:p>
        </w:tc>
        <w:tc>
          <w:tcPr>
            <w:tcW w:w="1180" w:type="pct"/>
            <w:tcBorders>
              <w:top w:val="nil"/>
              <w:left w:val="nil"/>
              <w:bottom w:val="nil"/>
              <w:right w:val="nil"/>
            </w:tcBorders>
            <w:shd w:val="clear" w:color="auto" w:fill="auto"/>
            <w:noWrap/>
            <w:vAlign w:val="center"/>
            <w:hideMark/>
          </w:tcPr>
          <w:p w14:paraId="6A4509D7" w14:textId="77777777" w:rsidR="00D07A53" w:rsidRPr="00AC3B4D" w:rsidRDefault="00D07A53" w:rsidP="003632F4">
            <w:pPr>
              <w:spacing w:line="240" w:lineRule="auto"/>
              <w:jc w:val="right"/>
              <w:rPr>
                <w:rFonts w:eastAsia="Times New Roman"/>
                <w:color w:val="000000"/>
                <w:lang w:eastAsia="en-NZ"/>
              </w:rPr>
            </w:pPr>
            <w:r w:rsidRPr="00AC3B4D">
              <w:rPr>
                <w:rFonts w:eastAsia="Times New Roman"/>
                <w:color w:val="000000"/>
                <w:lang w:eastAsia="en-NZ"/>
              </w:rPr>
              <w:t>3008</w:t>
            </w:r>
          </w:p>
        </w:tc>
        <w:tc>
          <w:tcPr>
            <w:tcW w:w="770" w:type="pct"/>
            <w:tcBorders>
              <w:top w:val="nil"/>
              <w:left w:val="nil"/>
              <w:bottom w:val="nil"/>
              <w:right w:val="nil"/>
            </w:tcBorders>
            <w:shd w:val="clear" w:color="auto" w:fill="auto"/>
            <w:noWrap/>
            <w:vAlign w:val="center"/>
            <w:hideMark/>
          </w:tcPr>
          <w:p w14:paraId="75977570" w14:textId="77777777" w:rsidR="00D07A53" w:rsidRPr="00AC3B4D" w:rsidRDefault="00D07A53" w:rsidP="003632F4">
            <w:pPr>
              <w:spacing w:line="240" w:lineRule="auto"/>
              <w:jc w:val="right"/>
              <w:rPr>
                <w:rFonts w:eastAsia="Times New Roman"/>
                <w:i/>
                <w:iCs/>
                <w:color w:val="000000"/>
                <w:lang w:eastAsia="en-NZ"/>
              </w:rPr>
            </w:pPr>
            <w:r w:rsidRPr="00AC3B4D">
              <w:rPr>
                <w:rFonts w:eastAsia="Times New Roman"/>
                <w:i/>
                <w:iCs/>
                <w:color w:val="000000"/>
                <w:lang w:eastAsia="en-NZ"/>
              </w:rPr>
              <w:t>19.4</w:t>
            </w:r>
          </w:p>
        </w:tc>
        <w:tc>
          <w:tcPr>
            <w:tcW w:w="1090" w:type="pct"/>
            <w:tcBorders>
              <w:top w:val="nil"/>
              <w:left w:val="nil"/>
              <w:bottom w:val="nil"/>
              <w:right w:val="nil"/>
            </w:tcBorders>
            <w:shd w:val="clear" w:color="auto" w:fill="auto"/>
            <w:noWrap/>
            <w:vAlign w:val="center"/>
            <w:hideMark/>
          </w:tcPr>
          <w:p w14:paraId="4E813EF3" w14:textId="77777777" w:rsidR="00D07A53" w:rsidRPr="00AC3B4D" w:rsidRDefault="00D07A53" w:rsidP="003632F4">
            <w:pPr>
              <w:spacing w:line="240" w:lineRule="auto"/>
              <w:jc w:val="right"/>
              <w:rPr>
                <w:rFonts w:eastAsia="Times New Roman"/>
                <w:color w:val="000000"/>
                <w:lang w:eastAsia="en-NZ"/>
              </w:rPr>
            </w:pPr>
            <w:r w:rsidRPr="00AC3B4D">
              <w:rPr>
                <w:rFonts w:eastAsia="Times New Roman"/>
                <w:color w:val="000000"/>
                <w:lang w:eastAsia="en-NZ"/>
              </w:rPr>
              <w:t>2310</w:t>
            </w:r>
          </w:p>
        </w:tc>
        <w:tc>
          <w:tcPr>
            <w:tcW w:w="860" w:type="pct"/>
            <w:tcBorders>
              <w:top w:val="nil"/>
              <w:left w:val="nil"/>
              <w:bottom w:val="nil"/>
              <w:right w:val="nil"/>
            </w:tcBorders>
            <w:shd w:val="clear" w:color="auto" w:fill="auto"/>
            <w:noWrap/>
            <w:vAlign w:val="center"/>
            <w:hideMark/>
          </w:tcPr>
          <w:p w14:paraId="4F58D475" w14:textId="77777777" w:rsidR="00D07A53" w:rsidRPr="00AC3B4D" w:rsidRDefault="00D07A53" w:rsidP="003632F4">
            <w:pPr>
              <w:spacing w:line="240" w:lineRule="auto"/>
              <w:jc w:val="right"/>
              <w:rPr>
                <w:rFonts w:eastAsia="Times New Roman"/>
                <w:i/>
                <w:iCs/>
                <w:color w:val="000000"/>
                <w:lang w:eastAsia="en-NZ"/>
              </w:rPr>
            </w:pPr>
            <w:r w:rsidRPr="00AC3B4D">
              <w:rPr>
                <w:rFonts w:eastAsia="Times New Roman"/>
                <w:i/>
                <w:iCs/>
                <w:color w:val="000000"/>
                <w:lang w:eastAsia="en-NZ"/>
              </w:rPr>
              <w:t>27.8</w:t>
            </w:r>
          </w:p>
        </w:tc>
      </w:tr>
      <w:tr w:rsidR="00D07A53" w:rsidRPr="00AC3B4D" w14:paraId="160B3B42" w14:textId="77777777" w:rsidTr="003632F4">
        <w:trPr>
          <w:trHeight w:val="315"/>
        </w:trPr>
        <w:tc>
          <w:tcPr>
            <w:tcW w:w="1101" w:type="pct"/>
            <w:tcBorders>
              <w:top w:val="nil"/>
              <w:left w:val="nil"/>
              <w:bottom w:val="nil"/>
              <w:right w:val="nil"/>
            </w:tcBorders>
            <w:shd w:val="clear" w:color="auto" w:fill="auto"/>
            <w:noWrap/>
            <w:vAlign w:val="center"/>
            <w:hideMark/>
          </w:tcPr>
          <w:p w14:paraId="041A7958" w14:textId="77777777" w:rsidR="00D07A53" w:rsidRPr="00AC3B4D" w:rsidRDefault="00D07A53" w:rsidP="003632F4">
            <w:pPr>
              <w:spacing w:line="240" w:lineRule="auto"/>
              <w:rPr>
                <w:rFonts w:eastAsia="Times New Roman"/>
                <w:color w:val="000000"/>
                <w:lang w:eastAsia="en-NZ"/>
              </w:rPr>
            </w:pPr>
            <w:r>
              <w:rPr>
                <w:rFonts w:eastAsia="Times New Roman"/>
                <w:color w:val="000000"/>
                <w:lang w:eastAsia="en-NZ"/>
              </w:rPr>
              <w:t xml:space="preserve">  </w:t>
            </w:r>
            <w:r w:rsidRPr="00AC3B4D">
              <w:rPr>
                <w:rFonts w:eastAsia="Times New Roman"/>
                <w:color w:val="000000"/>
                <w:lang w:eastAsia="en-NZ"/>
              </w:rPr>
              <w:t>East Asian</w:t>
            </w:r>
          </w:p>
        </w:tc>
        <w:tc>
          <w:tcPr>
            <w:tcW w:w="1180" w:type="pct"/>
            <w:tcBorders>
              <w:top w:val="nil"/>
              <w:left w:val="nil"/>
              <w:bottom w:val="nil"/>
              <w:right w:val="nil"/>
            </w:tcBorders>
            <w:shd w:val="clear" w:color="auto" w:fill="auto"/>
            <w:noWrap/>
            <w:vAlign w:val="center"/>
            <w:hideMark/>
          </w:tcPr>
          <w:p w14:paraId="06ADDA2C" w14:textId="77777777" w:rsidR="00D07A53" w:rsidRPr="00AC3B4D" w:rsidRDefault="00D07A53" w:rsidP="003632F4">
            <w:pPr>
              <w:spacing w:line="240" w:lineRule="auto"/>
              <w:jc w:val="right"/>
              <w:rPr>
                <w:rFonts w:eastAsia="Times New Roman"/>
                <w:color w:val="000000"/>
                <w:lang w:eastAsia="en-NZ"/>
              </w:rPr>
            </w:pPr>
            <w:r w:rsidRPr="00AC3B4D">
              <w:rPr>
                <w:rFonts w:eastAsia="Times New Roman"/>
                <w:color w:val="000000"/>
                <w:lang w:eastAsia="en-NZ"/>
              </w:rPr>
              <w:t>1132</w:t>
            </w:r>
          </w:p>
        </w:tc>
        <w:tc>
          <w:tcPr>
            <w:tcW w:w="770" w:type="pct"/>
            <w:tcBorders>
              <w:top w:val="nil"/>
              <w:left w:val="nil"/>
              <w:bottom w:val="nil"/>
              <w:right w:val="nil"/>
            </w:tcBorders>
            <w:shd w:val="clear" w:color="auto" w:fill="auto"/>
            <w:noWrap/>
            <w:vAlign w:val="center"/>
            <w:hideMark/>
          </w:tcPr>
          <w:p w14:paraId="56977C1C" w14:textId="77777777" w:rsidR="00D07A53" w:rsidRPr="00AC3B4D" w:rsidRDefault="00D07A53" w:rsidP="003632F4">
            <w:pPr>
              <w:spacing w:line="240" w:lineRule="auto"/>
              <w:jc w:val="right"/>
              <w:rPr>
                <w:rFonts w:eastAsia="Times New Roman"/>
                <w:i/>
                <w:iCs/>
                <w:color w:val="000000"/>
                <w:lang w:eastAsia="en-NZ"/>
              </w:rPr>
            </w:pPr>
            <w:r w:rsidRPr="00AC3B4D">
              <w:rPr>
                <w:rFonts w:eastAsia="Times New Roman"/>
                <w:i/>
                <w:iCs/>
                <w:color w:val="000000"/>
                <w:lang w:eastAsia="en-NZ"/>
              </w:rPr>
              <w:t>7.3</w:t>
            </w:r>
          </w:p>
        </w:tc>
        <w:tc>
          <w:tcPr>
            <w:tcW w:w="1090" w:type="pct"/>
            <w:tcBorders>
              <w:top w:val="nil"/>
              <w:left w:val="nil"/>
              <w:bottom w:val="nil"/>
              <w:right w:val="nil"/>
            </w:tcBorders>
            <w:shd w:val="clear" w:color="auto" w:fill="auto"/>
            <w:noWrap/>
            <w:vAlign w:val="center"/>
            <w:hideMark/>
          </w:tcPr>
          <w:p w14:paraId="0C812BDF" w14:textId="77777777" w:rsidR="00D07A53" w:rsidRPr="00AC3B4D" w:rsidRDefault="00D07A53" w:rsidP="003632F4">
            <w:pPr>
              <w:spacing w:line="240" w:lineRule="auto"/>
              <w:jc w:val="right"/>
              <w:rPr>
                <w:rFonts w:eastAsia="Times New Roman"/>
                <w:color w:val="000000"/>
                <w:lang w:eastAsia="en-NZ"/>
              </w:rPr>
            </w:pPr>
            <w:r w:rsidRPr="00AC3B4D">
              <w:rPr>
                <w:rFonts w:eastAsia="Times New Roman"/>
                <w:color w:val="000000"/>
                <w:lang w:eastAsia="en-NZ"/>
              </w:rPr>
              <w:t>474</w:t>
            </w:r>
          </w:p>
        </w:tc>
        <w:tc>
          <w:tcPr>
            <w:tcW w:w="860" w:type="pct"/>
            <w:tcBorders>
              <w:top w:val="nil"/>
              <w:left w:val="nil"/>
              <w:bottom w:val="nil"/>
              <w:right w:val="nil"/>
            </w:tcBorders>
            <w:shd w:val="clear" w:color="auto" w:fill="auto"/>
            <w:noWrap/>
            <w:vAlign w:val="center"/>
            <w:hideMark/>
          </w:tcPr>
          <w:p w14:paraId="527CBA7D" w14:textId="77777777" w:rsidR="00D07A53" w:rsidRPr="00AC3B4D" w:rsidRDefault="00D07A53" w:rsidP="003632F4">
            <w:pPr>
              <w:spacing w:line="240" w:lineRule="auto"/>
              <w:jc w:val="right"/>
              <w:rPr>
                <w:rFonts w:eastAsia="Times New Roman"/>
                <w:i/>
                <w:iCs/>
                <w:color w:val="000000"/>
                <w:lang w:eastAsia="en-NZ"/>
              </w:rPr>
            </w:pPr>
            <w:r w:rsidRPr="00AC3B4D">
              <w:rPr>
                <w:rFonts w:eastAsia="Times New Roman"/>
                <w:i/>
                <w:iCs/>
                <w:color w:val="000000"/>
                <w:lang w:eastAsia="en-NZ"/>
              </w:rPr>
              <w:t>5.7</w:t>
            </w:r>
          </w:p>
        </w:tc>
      </w:tr>
      <w:tr w:rsidR="00D07A53" w:rsidRPr="00AC3B4D" w14:paraId="13F8B0A1" w14:textId="77777777" w:rsidTr="003632F4">
        <w:trPr>
          <w:trHeight w:val="330"/>
        </w:trPr>
        <w:tc>
          <w:tcPr>
            <w:tcW w:w="1101" w:type="pct"/>
            <w:tcBorders>
              <w:top w:val="nil"/>
              <w:left w:val="nil"/>
              <w:bottom w:val="single" w:sz="8" w:space="0" w:color="auto"/>
              <w:right w:val="nil"/>
            </w:tcBorders>
            <w:shd w:val="clear" w:color="auto" w:fill="auto"/>
            <w:noWrap/>
            <w:vAlign w:val="center"/>
            <w:hideMark/>
          </w:tcPr>
          <w:p w14:paraId="47ED1164" w14:textId="77777777" w:rsidR="00D07A53" w:rsidRPr="00AC3B4D" w:rsidRDefault="00D07A53" w:rsidP="003632F4">
            <w:pPr>
              <w:spacing w:line="240" w:lineRule="auto"/>
              <w:rPr>
                <w:rFonts w:eastAsia="Times New Roman"/>
                <w:color w:val="000000"/>
                <w:lang w:eastAsia="en-NZ"/>
              </w:rPr>
            </w:pPr>
            <w:r>
              <w:rPr>
                <w:rFonts w:eastAsia="Times New Roman"/>
                <w:color w:val="000000"/>
                <w:lang w:eastAsia="en-NZ"/>
              </w:rPr>
              <w:t xml:space="preserve">  </w:t>
            </w:r>
            <w:r w:rsidRPr="00AC3B4D">
              <w:rPr>
                <w:rFonts w:eastAsia="Times New Roman"/>
                <w:color w:val="000000"/>
                <w:lang w:eastAsia="en-NZ"/>
              </w:rPr>
              <w:t>Other</w:t>
            </w:r>
          </w:p>
        </w:tc>
        <w:tc>
          <w:tcPr>
            <w:tcW w:w="1180" w:type="pct"/>
            <w:tcBorders>
              <w:top w:val="nil"/>
              <w:left w:val="nil"/>
              <w:bottom w:val="single" w:sz="8" w:space="0" w:color="auto"/>
              <w:right w:val="nil"/>
            </w:tcBorders>
            <w:shd w:val="clear" w:color="auto" w:fill="auto"/>
            <w:noWrap/>
            <w:vAlign w:val="center"/>
            <w:hideMark/>
          </w:tcPr>
          <w:p w14:paraId="6CC10EEE" w14:textId="77777777" w:rsidR="00D07A53" w:rsidRPr="00AC3B4D" w:rsidRDefault="00D07A53" w:rsidP="003632F4">
            <w:pPr>
              <w:spacing w:line="240" w:lineRule="auto"/>
              <w:jc w:val="right"/>
              <w:rPr>
                <w:rFonts w:eastAsia="Times New Roman"/>
                <w:color w:val="000000"/>
                <w:lang w:eastAsia="en-NZ"/>
              </w:rPr>
            </w:pPr>
            <w:r w:rsidRPr="00AC3B4D">
              <w:rPr>
                <w:rFonts w:eastAsia="Times New Roman"/>
                <w:color w:val="000000"/>
                <w:lang w:eastAsia="en-NZ"/>
              </w:rPr>
              <w:t>4976</w:t>
            </w:r>
          </w:p>
        </w:tc>
        <w:tc>
          <w:tcPr>
            <w:tcW w:w="770" w:type="pct"/>
            <w:tcBorders>
              <w:top w:val="nil"/>
              <w:left w:val="nil"/>
              <w:bottom w:val="single" w:sz="8" w:space="0" w:color="auto"/>
              <w:right w:val="nil"/>
            </w:tcBorders>
            <w:shd w:val="clear" w:color="auto" w:fill="auto"/>
            <w:noWrap/>
            <w:vAlign w:val="center"/>
            <w:hideMark/>
          </w:tcPr>
          <w:p w14:paraId="4566A5FD" w14:textId="77777777" w:rsidR="00D07A53" w:rsidRPr="00AC3B4D" w:rsidRDefault="00D07A53" w:rsidP="003632F4">
            <w:pPr>
              <w:spacing w:line="240" w:lineRule="auto"/>
              <w:jc w:val="right"/>
              <w:rPr>
                <w:rFonts w:eastAsia="Times New Roman"/>
                <w:i/>
                <w:iCs/>
                <w:color w:val="000000"/>
                <w:lang w:eastAsia="en-NZ"/>
              </w:rPr>
            </w:pPr>
            <w:r w:rsidRPr="00AC3B4D">
              <w:rPr>
                <w:rFonts w:eastAsia="Times New Roman"/>
                <w:i/>
                <w:iCs/>
                <w:color w:val="000000"/>
                <w:lang w:eastAsia="en-NZ"/>
              </w:rPr>
              <w:t>32.1</w:t>
            </w:r>
          </w:p>
        </w:tc>
        <w:tc>
          <w:tcPr>
            <w:tcW w:w="1090" w:type="pct"/>
            <w:tcBorders>
              <w:top w:val="nil"/>
              <w:left w:val="nil"/>
              <w:bottom w:val="single" w:sz="8" w:space="0" w:color="auto"/>
              <w:right w:val="nil"/>
            </w:tcBorders>
            <w:shd w:val="clear" w:color="auto" w:fill="auto"/>
            <w:noWrap/>
            <w:vAlign w:val="center"/>
            <w:hideMark/>
          </w:tcPr>
          <w:p w14:paraId="0DFAB98C" w14:textId="77777777" w:rsidR="00D07A53" w:rsidRPr="00AC3B4D" w:rsidRDefault="00D07A53" w:rsidP="003632F4">
            <w:pPr>
              <w:spacing w:line="240" w:lineRule="auto"/>
              <w:jc w:val="right"/>
              <w:rPr>
                <w:rFonts w:eastAsia="Times New Roman"/>
                <w:color w:val="000000"/>
                <w:lang w:eastAsia="en-NZ"/>
              </w:rPr>
            </w:pPr>
            <w:r w:rsidRPr="00AC3B4D">
              <w:rPr>
                <w:rFonts w:eastAsia="Times New Roman"/>
                <w:color w:val="000000"/>
                <w:lang w:eastAsia="en-NZ"/>
              </w:rPr>
              <w:t>2477</w:t>
            </w:r>
          </w:p>
        </w:tc>
        <w:tc>
          <w:tcPr>
            <w:tcW w:w="860" w:type="pct"/>
            <w:tcBorders>
              <w:top w:val="nil"/>
              <w:left w:val="nil"/>
              <w:bottom w:val="single" w:sz="8" w:space="0" w:color="auto"/>
              <w:right w:val="nil"/>
            </w:tcBorders>
            <w:shd w:val="clear" w:color="auto" w:fill="auto"/>
            <w:noWrap/>
            <w:vAlign w:val="center"/>
            <w:hideMark/>
          </w:tcPr>
          <w:p w14:paraId="66ACF325" w14:textId="77777777" w:rsidR="00D07A53" w:rsidRPr="00AC3B4D" w:rsidRDefault="00D07A53" w:rsidP="003632F4">
            <w:pPr>
              <w:spacing w:line="240" w:lineRule="auto"/>
              <w:jc w:val="right"/>
              <w:rPr>
                <w:rFonts w:eastAsia="Times New Roman"/>
                <w:i/>
                <w:iCs/>
                <w:color w:val="000000"/>
                <w:lang w:eastAsia="en-NZ"/>
              </w:rPr>
            </w:pPr>
            <w:r w:rsidRPr="00AC3B4D">
              <w:rPr>
                <w:rFonts w:eastAsia="Times New Roman"/>
                <w:i/>
                <w:iCs/>
                <w:color w:val="000000"/>
                <w:lang w:eastAsia="en-NZ"/>
              </w:rPr>
              <w:t>29.8</w:t>
            </w:r>
          </w:p>
        </w:tc>
      </w:tr>
    </w:tbl>
    <w:p w14:paraId="469CD054" w14:textId="77777777" w:rsidR="00D07A53" w:rsidRDefault="00D07A53" w:rsidP="00D07A53"/>
    <w:p w14:paraId="08F0F711" w14:textId="28FFC8C2" w:rsidR="00D07A53" w:rsidRDefault="00D07A53" w:rsidP="004B04DD">
      <w:pPr>
        <w:jc w:val="both"/>
      </w:pPr>
      <w:r>
        <w:t xml:space="preserve">Proportions of total FAO clients by gender and ethnicity are visualised </w:t>
      </w:r>
      <w:r w:rsidRPr="00EA5E6D">
        <w:t xml:space="preserve">in </w:t>
      </w:r>
      <w:r w:rsidRPr="00EA5E6D">
        <w:fldChar w:fldCharType="begin"/>
      </w:r>
      <w:r w:rsidRPr="00EA5E6D">
        <w:instrText xml:space="preserve"> REF _Ref47938392 \h </w:instrText>
      </w:r>
      <w:r w:rsidR="004B04DD" w:rsidRPr="00EA5E6D">
        <w:instrText xml:space="preserve"> \* MERGEFORMAT </w:instrText>
      </w:r>
      <w:r w:rsidRPr="00EA5E6D">
        <w:fldChar w:fldCharType="separate"/>
      </w:r>
      <w:r w:rsidR="00DF0799" w:rsidRPr="009A55C9">
        <w:t xml:space="preserve">Figure </w:t>
      </w:r>
      <w:r w:rsidR="00DF0799">
        <w:rPr>
          <w:noProof/>
        </w:rPr>
        <w:t>8</w:t>
      </w:r>
      <w:r w:rsidRPr="00EA5E6D">
        <w:fldChar w:fldCharType="end"/>
      </w:r>
      <w:r>
        <w:t xml:space="preserve"> below.</w:t>
      </w:r>
      <w:r w:rsidRPr="003C0FAE">
        <w:t xml:space="preserve"> </w:t>
      </w:r>
      <w:r>
        <w:t>Māori women accounted for the single largest category of FAO client</w:t>
      </w:r>
      <w:r w:rsidR="00EA5E6D">
        <w:t xml:space="preserve"> engagement</w:t>
      </w:r>
      <w:r>
        <w:t xml:space="preserve"> (</w:t>
      </w:r>
      <w:r w:rsidR="005B0B1D">
        <w:t xml:space="preserve">n= 6430, </w:t>
      </w:r>
      <w:r>
        <w:t>27%), followed by women of other ethnicity (</w:t>
      </w:r>
      <w:r w:rsidR="005B0B1D">
        <w:t xml:space="preserve">n=5001, </w:t>
      </w:r>
      <w:r>
        <w:t>21%), Māori men (</w:t>
      </w:r>
      <w:r w:rsidR="005B0B1D">
        <w:t xml:space="preserve">n=3096, </w:t>
      </w:r>
      <w:r>
        <w:t>13%), and Pacific women (</w:t>
      </w:r>
      <w:r w:rsidR="005B0B1D">
        <w:t xml:space="preserve">n=2858, </w:t>
      </w:r>
      <w:r>
        <w:t>12%). Pacific men (</w:t>
      </w:r>
      <w:r w:rsidR="005B0B1D">
        <w:t xml:space="preserve">n=2381, </w:t>
      </w:r>
      <w:r>
        <w:t xml:space="preserve">10%), </w:t>
      </w:r>
      <w:r w:rsidR="005B0B1D">
        <w:t xml:space="preserve">Other men (n=2380, 10%), </w:t>
      </w:r>
      <w:r>
        <w:t>East Asian women and men (</w:t>
      </w:r>
      <w:r w:rsidR="005B0B1D">
        <w:t xml:space="preserve">n=1191, </w:t>
      </w:r>
      <w:r>
        <w:t xml:space="preserve">5% and </w:t>
      </w:r>
      <w:r w:rsidR="005B0B1D">
        <w:t xml:space="preserve">n=476, </w:t>
      </w:r>
      <w:r>
        <w:t xml:space="preserve">2%) </w:t>
      </w:r>
      <w:r w:rsidR="00564122">
        <w:t>were in the minority</w:t>
      </w:r>
      <w:r w:rsidR="0027404C">
        <w:t xml:space="preserve"> of</w:t>
      </w:r>
      <w:r>
        <w:t xml:space="preserve"> FAO clients engaged.  </w:t>
      </w:r>
    </w:p>
    <w:p w14:paraId="1F4304C5" w14:textId="77777777" w:rsidR="00D07A53" w:rsidRDefault="00D07A53" w:rsidP="00D07A53"/>
    <w:p w14:paraId="691AB8E1" w14:textId="46BF4635" w:rsidR="00D07A53" w:rsidRDefault="005B0B1D" w:rsidP="00D07A53">
      <w:r>
        <w:rPr>
          <w:noProof/>
        </w:rPr>
        <w:lastRenderedPageBreak/>
        <w:drawing>
          <wp:inline distT="0" distB="0" distL="0" distR="0" wp14:anchorId="7874FC9D" wp14:editId="16E24D03">
            <wp:extent cx="5495925" cy="3297555"/>
            <wp:effectExtent l="0" t="0" r="9525" b="17145"/>
            <wp:docPr id="47" name="Chart 47">
              <a:extLst xmlns:a="http://schemas.openxmlformats.org/drawingml/2006/main">
                <a:ext uri="{FF2B5EF4-FFF2-40B4-BE49-F238E27FC236}">
                  <a16:creationId xmlns:a16="http://schemas.microsoft.com/office/drawing/2014/main" id="{903561EE-68B0-41DE-AEFB-9C8A78DC4B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1337C3C" w14:textId="5436A5DA" w:rsidR="00D07A53" w:rsidRPr="009A55C9" w:rsidRDefault="00D07A53" w:rsidP="009A55C9">
      <w:pPr>
        <w:pStyle w:val="Caption"/>
      </w:pPr>
      <w:bookmarkStart w:id="144" w:name="_Ref47938392"/>
      <w:bookmarkStart w:id="145" w:name="_Toc58400813"/>
      <w:r w:rsidRPr="009A55C9">
        <w:t xml:space="preserve">Figure </w:t>
      </w:r>
      <w:r w:rsidR="00D04B86">
        <w:fldChar w:fldCharType="begin"/>
      </w:r>
      <w:r w:rsidR="00D04B86">
        <w:instrText xml:space="preserve"> SEQ Figure \* ARABIC </w:instrText>
      </w:r>
      <w:r w:rsidR="00D04B86">
        <w:fldChar w:fldCharType="separate"/>
      </w:r>
      <w:r w:rsidR="00DF0799">
        <w:rPr>
          <w:noProof/>
        </w:rPr>
        <w:t>8</w:t>
      </w:r>
      <w:r w:rsidR="00D04B86">
        <w:rPr>
          <w:noProof/>
        </w:rPr>
        <w:fldChar w:fldCharType="end"/>
      </w:r>
      <w:bookmarkEnd w:id="144"/>
      <w:r w:rsidRPr="009A55C9">
        <w:t xml:space="preserve">. Distribution of </w:t>
      </w:r>
      <w:r w:rsidR="001F31D9">
        <w:t xml:space="preserve">(n) </w:t>
      </w:r>
      <w:r w:rsidRPr="009A55C9">
        <w:t>family and affected other clients by gender and ethnicity</w:t>
      </w:r>
      <w:bookmarkEnd w:id="145"/>
    </w:p>
    <w:p w14:paraId="6F31E43C" w14:textId="77777777" w:rsidR="00D07A53" w:rsidRDefault="00D07A53" w:rsidP="00D07A53"/>
    <w:p w14:paraId="680DB4DA" w14:textId="77777777" w:rsidR="00D07A53" w:rsidRDefault="00D07A53" w:rsidP="004B04DD">
      <w:pPr>
        <w:pStyle w:val="Heading4"/>
        <w:jc w:val="both"/>
      </w:pPr>
      <w:r>
        <w:t>Types of gambling identified as problematic</w:t>
      </w:r>
    </w:p>
    <w:p w14:paraId="70DFEE20" w14:textId="4938D804" w:rsidR="00D07A53" w:rsidRDefault="00D07A53" w:rsidP="004B04DD">
      <w:pPr>
        <w:jc w:val="both"/>
      </w:pPr>
      <w:r>
        <w:t>Most FAOs identified one (59.4%) or two (25.2%) primary gambling modes</w:t>
      </w:r>
      <w:r w:rsidR="00EA5E6D">
        <w:t xml:space="preserve"> causing harm</w:t>
      </w:r>
      <w:r>
        <w:t>. Note that for FAO clients, this mode reported refers to the mode of gambling their significant other engages in</w:t>
      </w:r>
      <w:r w:rsidR="00455CDC">
        <w:t xml:space="preserve"> (to their knowledge)</w:t>
      </w:r>
      <w:r>
        <w:t xml:space="preserve">. </w:t>
      </w:r>
      <w:r>
        <w:fldChar w:fldCharType="begin"/>
      </w:r>
      <w:r>
        <w:instrText xml:space="preserve"> REF _Ref45870715 \h  \* MERGEFORMAT </w:instrText>
      </w:r>
      <w:r>
        <w:fldChar w:fldCharType="separate"/>
      </w:r>
      <w:r w:rsidR="00DF0799">
        <w:t xml:space="preserve">Figure </w:t>
      </w:r>
      <w:r w:rsidR="00DF0799">
        <w:rPr>
          <w:noProof/>
        </w:rPr>
        <w:t>9</w:t>
      </w:r>
      <w:r>
        <w:fldChar w:fldCharType="end"/>
      </w:r>
      <w:r>
        <w:t xml:space="preserve"> below shows the percentage of gambling mode reported by FAO and gambler clients. Generally following patterns for gambler clients, pub EGMs were identified as problematic by </w:t>
      </w:r>
      <w:r w:rsidR="00EA5E6D">
        <w:t>the majority (</w:t>
      </w:r>
      <w:r>
        <w:t>62.8%</w:t>
      </w:r>
      <w:r w:rsidR="00EA5E6D">
        <w:t>)</w:t>
      </w:r>
      <w:r>
        <w:t xml:space="preserve"> of FAO clients. </w:t>
      </w:r>
    </w:p>
    <w:p w14:paraId="59BF4725" w14:textId="77777777" w:rsidR="00D07A53" w:rsidRDefault="00D07A53" w:rsidP="004B04DD">
      <w:pPr>
        <w:jc w:val="both"/>
      </w:pPr>
    </w:p>
    <w:p w14:paraId="1A194AA8" w14:textId="77777777" w:rsidR="00D07A53" w:rsidRDefault="00D07A53" w:rsidP="00D07A53">
      <w:r>
        <w:rPr>
          <w:noProof/>
        </w:rPr>
        <w:lastRenderedPageBreak/>
        <w:drawing>
          <wp:inline distT="0" distB="0" distL="0" distR="0" wp14:anchorId="37207095" wp14:editId="728BD5B9">
            <wp:extent cx="5731510" cy="5008245"/>
            <wp:effectExtent l="0" t="0" r="2540" b="1905"/>
            <wp:docPr id="40" name="Chart 40">
              <a:extLst xmlns:a="http://schemas.openxmlformats.org/drawingml/2006/main">
                <a:ext uri="{FF2B5EF4-FFF2-40B4-BE49-F238E27FC236}">
                  <a16:creationId xmlns:a16="http://schemas.microsoft.com/office/drawing/2014/main" id="{11807BE8-A3F8-423D-BBBA-F3DBD0347B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751DE4E" w14:textId="4F01E7A9" w:rsidR="00D07A53" w:rsidRDefault="00D07A53" w:rsidP="00D07A53">
      <w:pPr>
        <w:pStyle w:val="Caption"/>
      </w:pPr>
      <w:bookmarkStart w:id="146" w:name="_Ref45870715"/>
      <w:bookmarkStart w:id="147" w:name="_Toc58400814"/>
      <w:r>
        <w:t xml:space="preserve">Figure </w:t>
      </w:r>
      <w:r w:rsidR="00D04B86">
        <w:fldChar w:fldCharType="begin"/>
      </w:r>
      <w:r w:rsidR="00D04B86">
        <w:instrText xml:space="preserve"> SEQ Figure \* ARABIC </w:instrText>
      </w:r>
      <w:r w:rsidR="00D04B86">
        <w:fldChar w:fldCharType="separate"/>
      </w:r>
      <w:r w:rsidR="00DF0799">
        <w:rPr>
          <w:noProof/>
        </w:rPr>
        <w:t>9</w:t>
      </w:r>
      <w:r w:rsidR="00D04B86">
        <w:rPr>
          <w:noProof/>
        </w:rPr>
        <w:fldChar w:fldCharType="end"/>
      </w:r>
      <w:bookmarkEnd w:id="146"/>
      <w:r>
        <w:t xml:space="preserve">. </w:t>
      </w:r>
      <w:r w:rsidR="006A5AA6">
        <w:t>P</w:t>
      </w:r>
      <w:r w:rsidRPr="0037039F">
        <w:t>ercentage of all gambling modes recorded by clients</w:t>
      </w:r>
      <w:bookmarkEnd w:id="147"/>
    </w:p>
    <w:p w14:paraId="7ACA36EA" w14:textId="77777777" w:rsidR="00D07A53" w:rsidRDefault="00D07A53" w:rsidP="00D07A53"/>
    <w:p w14:paraId="3AA9B461" w14:textId="77777777" w:rsidR="00D07A53" w:rsidRDefault="00D07A53" w:rsidP="00D07A53"/>
    <w:p w14:paraId="1962DA8B" w14:textId="77777777" w:rsidR="00D07A53" w:rsidRDefault="00D07A53" w:rsidP="00D07A53">
      <w:pPr>
        <w:pStyle w:val="Heading3"/>
      </w:pPr>
      <w:bookmarkStart w:id="148" w:name="_Toc58400790"/>
      <w:r>
        <w:t>Description of sessions</w:t>
      </w:r>
      <w:bookmarkEnd w:id="148"/>
    </w:p>
    <w:p w14:paraId="0066CF2E" w14:textId="77777777" w:rsidR="00D07A53" w:rsidRDefault="00D07A53" w:rsidP="00D07A53"/>
    <w:p w14:paraId="0326D289" w14:textId="77777777" w:rsidR="00D07A53" w:rsidRDefault="00D07A53" w:rsidP="004B04DD">
      <w:pPr>
        <w:pStyle w:val="Heading4"/>
        <w:jc w:val="both"/>
      </w:pPr>
      <w:r>
        <w:t xml:space="preserve">Overview of FAO and gambler session engagement </w:t>
      </w:r>
    </w:p>
    <w:p w14:paraId="03677571" w14:textId="334F52DE" w:rsidR="00D07A53" w:rsidRDefault="00D07A53" w:rsidP="004B04DD">
      <w:pPr>
        <w:jc w:val="both"/>
      </w:pPr>
      <w:r>
        <w:t>While FAO clients represented 49% of the total client base during the period examined, they attended 28% of the sessions overall. The majority of FAO clients engaged in just one session (73.1%, c.f. 48.5% of gambler clients). Of clients who engaged in more than one session, a far greater proportion of FAO than gambler clients engaged in a maximum of two sessions (37% c.f. 17.2%) (</w:t>
      </w:r>
      <w:r>
        <w:fldChar w:fldCharType="begin"/>
      </w:r>
      <w:r>
        <w:instrText xml:space="preserve"> REF _Ref46229324 \h  \* MERGEFORMAT </w:instrText>
      </w:r>
      <w:r>
        <w:fldChar w:fldCharType="separate"/>
      </w:r>
      <w:r w:rsidR="00DF0799">
        <w:t xml:space="preserve">Figure </w:t>
      </w:r>
      <w:r w:rsidR="00DF0799">
        <w:rPr>
          <w:noProof/>
        </w:rPr>
        <w:t>10</w:t>
      </w:r>
      <w:r>
        <w:fldChar w:fldCharType="end"/>
      </w:r>
      <w:r>
        <w:t xml:space="preserve">). </w:t>
      </w:r>
    </w:p>
    <w:p w14:paraId="33111D39" w14:textId="77777777" w:rsidR="00D07A53" w:rsidRPr="004A27D4" w:rsidRDefault="00D07A53" w:rsidP="00D07A53"/>
    <w:p w14:paraId="329ADB9A" w14:textId="77777777" w:rsidR="00D07A53" w:rsidRDefault="00D07A53" w:rsidP="00D07A53">
      <w:r>
        <w:rPr>
          <w:noProof/>
        </w:rPr>
        <w:lastRenderedPageBreak/>
        <w:drawing>
          <wp:inline distT="0" distB="0" distL="0" distR="0" wp14:anchorId="799312FD" wp14:editId="1A4C6C9F">
            <wp:extent cx="6067425" cy="3771900"/>
            <wp:effectExtent l="0" t="0" r="0" b="0"/>
            <wp:docPr id="42" name="Chart 42">
              <a:extLst xmlns:a="http://schemas.openxmlformats.org/drawingml/2006/main">
                <a:ext uri="{FF2B5EF4-FFF2-40B4-BE49-F238E27FC236}">
                  <a16:creationId xmlns:a16="http://schemas.microsoft.com/office/drawing/2014/main" id="{0C84E02F-C37F-4AE3-9AFE-E89EBC5267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9E77480" w14:textId="76BF299A" w:rsidR="00D07A53" w:rsidRDefault="00D07A53" w:rsidP="00D07A53">
      <w:pPr>
        <w:pStyle w:val="Caption"/>
      </w:pPr>
      <w:bookmarkStart w:id="149" w:name="_Ref46229324"/>
      <w:bookmarkStart w:id="150" w:name="_Ref46229316"/>
      <w:bookmarkStart w:id="151" w:name="_Toc58400815"/>
      <w:r>
        <w:t xml:space="preserve">Figure </w:t>
      </w:r>
      <w:r w:rsidR="00D04B86">
        <w:fldChar w:fldCharType="begin"/>
      </w:r>
      <w:r w:rsidR="00D04B86">
        <w:instrText xml:space="preserve"> SEQ Figure \* ARABIC </w:instrText>
      </w:r>
      <w:r w:rsidR="00D04B86">
        <w:fldChar w:fldCharType="separate"/>
      </w:r>
      <w:r w:rsidR="00DF0799">
        <w:rPr>
          <w:noProof/>
        </w:rPr>
        <w:t>10</w:t>
      </w:r>
      <w:r w:rsidR="00D04B86">
        <w:rPr>
          <w:noProof/>
        </w:rPr>
        <w:fldChar w:fldCharType="end"/>
      </w:r>
      <w:bookmarkEnd w:id="149"/>
      <w:r>
        <w:t>. Percentage of FAO and gambler clients receiving 2 or more sessions</w:t>
      </w:r>
      <w:bookmarkEnd w:id="150"/>
      <w:bookmarkEnd w:id="151"/>
    </w:p>
    <w:p w14:paraId="3F6D5AFB" w14:textId="77777777" w:rsidR="00D07A53" w:rsidRDefault="00D07A53" w:rsidP="004B04DD">
      <w:pPr>
        <w:jc w:val="both"/>
      </w:pPr>
    </w:p>
    <w:p w14:paraId="614836CF" w14:textId="0FFBCDEE" w:rsidR="00D07A53" w:rsidRDefault="00D07A53" w:rsidP="004B04DD">
      <w:pPr>
        <w:jc w:val="both"/>
      </w:pPr>
      <w:r>
        <w:t xml:space="preserve">FAO clients </w:t>
      </w:r>
      <w:r w:rsidR="00A71D77">
        <w:t>were</w:t>
      </w:r>
      <w:r>
        <w:t xml:space="preserve"> more often engaged in brief session types than gamblers (34.7% cf. 9.6%)</w:t>
      </w:r>
      <w:r w:rsidR="00A71D77">
        <w:t>. A</w:t>
      </w:r>
      <w:r>
        <w:t>lmost half of sessions attended by FAOs were full intervention sessions (c.f. 74.1% of gambler clients) (</w:t>
      </w:r>
      <w:r>
        <w:fldChar w:fldCharType="begin"/>
      </w:r>
      <w:r>
        <w:instrText xml:space="preserve"> REF _Ref45877067 \h  \* MERGEFORMAT </w:instrText>
      </w:r>
      <w:r>
        <w:fldChar w:fldCharType="separate"/>
      </w:r>
      <w:r w:rsidR="00DF0799">
        <w:t xml:space="preserve">Figure </w:t>
      </w:r>
      <w:r w:rsidR="00DF0799">
        <w:rPr>
          <w:noProof/>
        </w:rPr>
        <w:t>11</w:t>
      </w:r>
      <w:r>
        <w:fldChar w:fldCharType="end"/>
      </w:r>
      <w:r>
        <w:t xml:space="preserve">). </w:t>
      </w:r>
      <w:r w:rsidR="00A71D77">
        <w:t>Similar proportions of FAO and gambler clients received f</w:t>
      </w:r>
      <w:r>
        <w:t xml:space="preserve">acilitation and follow up sessions. </w:t>
      </w:r>
    </w:p>
    <w:p w14:paraId="2A6B850F" w14:textId="77777777" w:rsidR="00D07A53" w:rsidRDefault="00D07A53" w:rsidP="00D07A53"/>
    <w:p w14:paraId="79DC4C77" w14:textId="77777777" w:rsidR="00D07A53" w:rsidRDefault="00D07A53" w:rsidP="00D07A53">
      <w:r>
        <w:rPr>
          <w:noProof/>
        </w:rPr>
        <w:drawing>
          <wp:inline distT="0" distB="0" distL="0" distR="0" wp14:anchorId="00EFDB38" wp14:editId="0CB9A374">
            <wp:extent cx="4572000" cy="2743200"/>
            <wp:effectExtent l="0" t="0" r="0" b="0"/>
            <wp:docPr id="43" name="Chart 43">
              <a:extLst xmlns:a="http://schemas.openxmlformats.org/drawingml/2006/main">
                <a:ext uri="{FF2B5EF4-FFF2-40B4-BE49-F238E27FC236}">
                  <a16:creationId xmlns:a16="http://schemas.microsoft.com/office/drawing/2014/main" id="{223CC780-6D14-45AF-A55F-0BAFB3D3E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36E5E08" w14:textId="4150BA10" w:rsidR="00D07A53" w:rsidRDefault="00D07A53" w:rsidP="00D07A53">
      <w:pPr>
        <w:pStyle w:val="Caption"/>
      </w:pPr>
      <w:bookmarkStart w:id="152" w:name="_Ref45877067"/>
      <w:bookmarkStart w:id="153" w:name="_Toc58400816"/>
      <w:r>
        <w:t xml:space="preserve">Figure </w:t>
      </w:r>
      <w:r w:rsidR="00D04B86">
        <w:fldChar w:fldCharType="begin"/>
      </w:r>
      <w:r w:rsidR="00D04B86">
        <w:instrText xml:space="preserve"> SEQ Figure \* ARABIC </w:instrText>
      </w:r>
      <w:r w:rsidR="00D04B86">
        <w:fldChar w:fldCharType="separate"/>
      </w:r>
      <w:r w:rsidR="00DF0799">
        <w:rPr>
          <w:noProof/>
        </w:rPr>
        <w:t>11</w:t>
      </w:r>
      <w:r w:rsidR="00D04B86">
        <w:rPr>
          <w:noProof/>
        </w:rPr>
        <w:fldChar w:fldCharType="end"/>
      </w:r>
      <w:bookmarkEnd w:id="152"/>
      <w:r>
        <w:t>. Distribution of session type by client</w:t>
      </w:r>
      <w:bookmarkEnd w:id="153"/>
    </w:p>
    <w:p w14:paraId="0C1A027F" w14:textId="77777777" w:rsidR="00D07A53" w:rsidRPr="00675A64" w:rsidRDefault="00D07A53" w:rsidP="004B04DD">
      <w:pPr>
        <w:jc w:val="both"/>
      </w:pPr>
    </w:p>
    <w:p w14:paraId="5CDE6E58" w14:textId="30F04C8D" w:rsidR="00D07A53" w:rsidRDefault="00D07A53" w:rsidP="004B04DD">
      <w:pPr>
        <w:jc w:val="both"/>
      </w:pPr>
      <w:r>
        <w:lastRenderedPageBreak/>
        <w:t>The vast majority of both FAO and gambler sessions were individual sessions, and this was particularly true for FAO sessions (82% c.f. 73% of gambler sessions) (</w:t>
      </w:r>
      <w:r>
        <w:fldChar w:fldCharType="begin"/>
      </w:r>
      <w:r>
        <w:instrText xml:space="preserve"> REF _Ref45877105 \h  \* MERGEFORMAT </w:instrText>
      </w:r>
      <w:r>
        <w:fldChar w:fldCharType="separate"/>
      </w:r>
      <w:r w:rsidR="00DF0799">
        <w:t xml:space="preserve">Figure </w:t>
      </w:r>
      <w:r w:rsidR="00DF0799">
        <w:rPr>
          <w:noProof/>
        </w:rPr>
        <w:t>12</w:t>
      </w:r>
      <w:r>
        <w:fldChar w:fldCharType="end"/>
      </w:r>
      <w:r>
        <w:t>). Group</w:t>
      </w:r>
      <w:r w:rsidR="00EA5E6D">
        <w:t xml:space="preserve"> </w:t>
      </w:r>
      <w:r>
        <w:t xml:space="preserve">session attendance was more commonly associated with gambler clients than FAOs (25% c.f. 13%). Couple and family sessions were rarely recorded for FAOs or for gambler clients, accounting for just 4 percent of FAO and 2 per cent of gambler sessions. Proportions of face-to-face and telephone sessions were roughly equivalent for FAO and gambler clients (78% c.f. 77% face to face, and 22% c.f. 23% telephone respectively). </w:t>
      </w:r>
    </w:p>
    <w:p w14:paraId="5C3C0640" w14:textId="77777777" w:rsidR="00D07A53" w:rsidRDefault="00D07A53" w:rsidP="00D07A53">
      <w:r>
        <w:t xml:space="preserve"> </w:t>
      </w:r>
    </w:p>
    <w:p w14:paraId="05C8AEC1" w14:textId="77777777" w:rsidR="00D07A53" w:rsidRDefault="00D07A53" w:rsidP="00D07A53">
      <w:r>
        <w:rPr>
          <w:noProof/>
        </w:rPr>
        <w:drawing>
          <wp:inline distT="0" distB="0" distL="0" distR="0" wp14:anchorId="48C03DC8" wp14:editId="120F002E">
            <wp:extent cx="4572000" cy="2743200"/>
            <wp:effectExtent l="0" t="0" r="9525" b="0"/>
            <wp:docPr id="44" name="Chart 44">
              <a:extLst xmlns:a="http://schemas.openxmlformats.org/drawingml/2006/main">
                <a:ext uri="{FF2B5EF4-FFF2-40B4-BE49-F238E27FC236}">
                  <a16:creationId xmlns:a16="http://schemas.microsoft.com/office/drawing/2014/main" id="{C7336579-737F-4599-B688-EDA940BD73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EE4CBFF" w14:textId="4E676BD6" w:rsidR="00D07A53" w:rsidRDefault="00D07A53" w:rsidP="00D07A53">
      <w:pPr>
        <w:pStyle w:val="Caption"/>
      </w:pPr>
      <w:bookmarkStart w:id="154" w:name="_Ref45877105"/>
      <w:bookmarkStart w:id="155" w:name="_Toc58400817"/>
      <w:r>
        <w:t xml:space="preserve">Figure </w:t>
      </w:r>
      <w:r w:rsidR="00D04B86">
        <w:fldChar w:fldCharType="begin"/>
      </w:r>
      <w:r w:rsidR="00D04B86">
        <w:instrText xml:space="preserve"> SEQ Figure \* ARABIC </w:instrText>
      </w:r>
      <w:r w:rsidR="00D04B86">
        <w:fldChar w:fldCharType="separate"/>
      </w:r>
      <w:r w:rsidR="00DF0799">
        <w:rPr>
          <w:noProof/>
        </w:rPr>
        <w:t>12</w:t>
      </w:r>
      <w:r w:rsidR="00D04B86">
        <w:rPr>
          <w:noProof/>
        </w:rPr>
        <w:fldChar w:fldCharType="end"/>
      </w:r>
      <w:bookmarkEnd w:id="154"/>
      <w:r>
        <w:t>. Distribution of session attendance types by client</w:t>
      </w:r>
      <w:bookmarkEnd w:id="155"/>
      <w:r>
        <w:t xml:space="preserve"> </w:t>
      </w:r>
    </w:p>
    <w:p w14:paraId="2A72E415" w14:textId="77777777" w:rsidR="00D07A53" w:rsidRDefault="00D07A53" w:rsidP="00D07A53"/>
    <w:p w14:paraId="14A4C995" w14:textId="2172F685" w:rsidR="00D07A53" w:rsidRDefault="00D07A53" w:rsidP="004B04DD">
      <w:pPr>
        <w:jc w:val="both"/>
      </w:pPr>
      <w:r>
        <w:t>Overall, the majority of FAO clients engaged with New Zealand’s two largest service providers the Problem Gambling Foundation Group (32.5%), and The Salvation Army (26.1%)</w:t>
      </w:r>
      <w:r w:rsidR="00EA5E6D">
        <w:t xml:space="preserve"> - see </w:t>
      </w:r>
      <w:r w:rsidR="00EA5E6D">
        <w:fldChar w:fldCharType="begin"/>
      </w:r>
      <w:r w:rsidR="00EA5E6D">
        <w:instrText xml:space="preserve"> REF _Ref53042765 \h </w:instrText>
      </w:r>
      <w:r w:rsidR="00EA5E6D">
        <w:fldChar w:fldCharType="separate"/>
      </w:r>
      <w:r w:rsidR="00DF0799">
        <w:t xml:space="preserve">Figure </w:t>
      </w:r>
      <w:r w:rsidR="00DF0799">
        <w:rPr>
          <w:noProof/>
        </w:rPr>
        <w:t>13</w:t>
      </w:r>
      <w:r w:rsidR="00EA5E6D">
        <w:fldChar w:fldCharType="end"/>
      </w:r>
      <w:r w:rsidR="00EA5E6D">
        <w:t xml:space="preserve"> below</w:t>
      </w:r>
      <w:r>
        <w:t>. When the relative percentage of FAO and gambler clients was considered</w:t>
      </w:r>
      <w:r w:rsidR="00EA5E6D">
        <w:t xml:space="preserve"> nationally</w:t>
      </w:r>
      <w:r>
        <w:t xml:space="preserve">, some services appear to engage with a high proportion of FAO clients including: The Salvation Army (engaged with 26.1% of FAO clients and 18.4% of gambler clients), Te Rangihaeata Oranga Trust (9.3% FAO c.f. 5.4% gambler clients), and Tu Te Ihi (5.8% FAO c.f. 2% gambler clients). </w:t>
      </w:r>
    </w:p>
    <w:p w14:paraId="10D60557" w14:textId="77777777" w:rsidR="00D07A53" w:rsidRDefault="00D07A53" w:rsidP="00D07A53"/>
    <w:p w14:paraId="7D979486" w14:textId="77777777" w:rsidR="00D07A53" w:rsidRDefault="00D07A53" w:rsidP="00D07A53">
      <w:r>
        <w:rPr>
          <w:noProof/>
        </w:rPr>
        <w:lastRenderedPageBreak/>
        <w:drawing>
          <wp:inline distT="0" distB="0" distL="0" distR="0" wp14:anchorId="6486B0B0" wp14:editId="1E3530D2">
            <wp:extent cx="5743575" cy="3895725"/>
            <wp:effectExtent l="0" t="0" r="9525" b="9525"/>
            <wp:docPr id="45" name="Chart 45">
              <a:extLst xmlns:a="http://schemas.openxmlformats.org/drawingml/2006/main">
                <a:ext uri="{FF2B5EF4-FFF2-40B4-BE49-F238E27FC236}">
                  <a16:creationId xmlns:a16="http://schemas.microsoft.com/office/drawing/2014/main" id="{4386D463-8EAA-4701-9328-D1F4E760BA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B29C22E" w14:textId="78535AB9" w:rsidR="00D07A53" w:rsidRDefault="00D07A53" w:rsidP="00D07A53">
      <w:pPr>
        <w:pStyle w:val="Caption"/>
      </w:pPr>
      <w:bookmarkStart w:id="156" w:name="_Ref53042765"/>
      <w:bookmarkStart w:id="157" w:name="_Toc58400818"/>
      <w:r>
        <w:t xml:space="preserve">Figure </w:t>
      </w:r>
      <w:r w:rsidR="00D04B86">
        <w:fldChar w:fldCharType="begin"/>
      </w:r>
      <w:r w:rsidR="00D04B86">
        <w:instrText xml:space="preserve"> SEQ Figure \* ARABIC </w:instrText>
      </w:r>
      <w:r w:rsidR="00D04B86">
        <w:fldChar w:fldCharType="separate"/>
      </w:r>
      <w:r w:rsidR="00DF0799">
        <w:rPr>
          <w:noProof/>
        </w:rPr>
        <w:t>13</w:t>
      </w:r>
      <w:r w:rsidR="00D04B86">
        <w:rPr>
          <w:noProof/>
        </w:rPr>
        <w:fldChar w:fldCharType="end"/>
      </w:r>
      <w:bookmarkEnd w:id="156"/>
      <w:r>
        <w:t>. Distribution of agency engagement with FAO clients</w:t>
      </w:r>
      <w:bookmarkEnd w:id="157"/>
    </w:p>
    <w:p w14:paraId="4C0B2EF5" w14:textId="77777777" w:rsidR="00D07A53" w:rsidRDefault="00D07A53" w:rsidP="00D07A53"/>
    <w:p w14:paraId="64155B72" w14:textId="77777777" w:rsidR="00D07A53" w:rsidRPr="004B04DD" w:rsidRDefault="00D07A53" w:rsidP="004B04DD">
      <w:pPr>
        <w:pStyle w:val="Heading4"/>
        <w:jc w:val="both"/>
      </w:pPr>
      <w:r w:rsidRPr="004B04DD">
        <w:t xml:space="preserve">FAO session engagement by key demographics </w:t>
      </w:r>
    </w:p>
    <w:p w14:paraId="22621A94" w14:textId="39CF462E" w:rsidR="00D07A53" w:rsidRPr="004B04DD" w:rsidRDefault="00D07A53" w:rsidP="004B04DD">
      <w:pPr>
        <w:jc w:val="both"/>
      </w:pPr>
      <w:r w:rsidRPr="004B04DD">
        <w:t>FAOs engaging in just one session (of any type) had a similar demographic profile in terms of gender and age, to those who attended multiple sessions</w:t>
      </w:r>
      <w:r w:rsidR="00C13E89">
        <w:t xml:space="preserve"> (</w:t>
      </w:r>
      <w:r w:rsidR="00C13E89">
        <w:fldChar w:fldCharType="begin"/>
      </w:r>
      <w:r w:rsidR="00C13E89">
        <w:instrText xml:space="preserve"> REF _Ref58235034 \h </w:instrText>
      </w:r>
      <w:r w:rsidR="00C13E89">
        <w:fldChar w:fldCharType="separate"/>
      </w:r>
      <w:r w:rsidR="00DF0799">
        <w:t xml:space="preserve">Table </w:t>
      </w:r>
      <w:r w:rsidR="00DF0799">
        <w:rPr>
          <w:noProof/>
        </w:rPr>
        <w:t>15</w:t>
      </w:r>
      <w:r w:rsidR="00C13E89">
        <w:fldChar w:fldCharType="end"/>
      </w:r>
      <w:r w:rsidR="00C13E89">
        <w:t>)</w:t>
      </w:r>
      <w:r w:rsidRPr="004B04DD">
        <w:t>. A greater proportion of clients who engaged in multiple sessions were of Pacific heritage (29.</w:t>
      </w:r>
      <w:r w:rsidR="00366404">
        <w:t>3</w:t>
      </w:r>
      <w:r w:rsidRPr="004B04DD">
        <w:t>%) than those engaging in single sessions (19.8%). In comparison</w:t>
      </w:r>
      <w:r w:rsidR="00366404">
        <w:t>,</w:t>
      </w:r>
      <w:r w:rsidRPr="004B04DD">
        <w:t xml:space="preserve"> a lower proportion of clients engaging in multiple sessions identified as East Asian (4.</w:t>
      </w:r>
      <w:r w:rsidR="00366404">
        <w:t>4</w:t>
      </w:r>
      <w:r w:rsidRPr="004B04DD">
        <w:t xml:space="preserve">%), than those engaging in just one session (7.6%). </w:t>
      </w:r>
    </w:p>
    <w:p w14:paraId="28A26467" w14:textId="77777777" w:rsidR="00D07A53" w:rsidRDefault="00D07A53" w:rsidP="00D07A53">
      <w:pPr>
        <w:rPr>
          <w:sz w:val="22"/>
          <w:szCs w:val="22"/>
        </w:rPr>
      </w:pPr>
    </w:p>
    <w:p w14:paraId="33685773" w14:textId="77777777" w:rsidR="0044608D" w:rsidRDefault="0044608D">
      <w:pPr>
        <w:spacing w:after="160" w:line="259" w:lineRule="auto"/>
        <w:rPr>
          <w:b/>
          <w:bCs/>
          <w:sz w:val="22"/>
          <w:szCs w:val="22"/>
        </w:rPr>
      </w:pPr>
      <w:bookmarkStart w:id="158" w:name="_Ref45877190"/>
      <w:r>
        <w:br w:type="page"/>
      </w:r>
    </w:p>
    <w:p w14:paraId="71E3F050" w14:textId="7671B1C1" w:rsidR="00D07A53" w:rsidRPr="009C6F5B" w:rsidRDefault="00D07A53" w:rsidP="00D07A53">
      <w:pPr>
        <w:pStyle w:val="Caption"/>
        <w:rPr>
          <w:lang w:val="en-US"/>
        </w:rPr>
      </w:pPr>
      <w:bookmarkStart w:id="159" w:name="_Ref58235034"/>
      <w:bookmarkStart w:id="160" w:name="_Toc58400648"/>
      <w:r>
        <w:lastRenderedPageBreak/>
        <w:t xml:space="preserve">Table </w:t>
      </w:r>
      <w:r w:rsidR="00D04B86">
        <w:fldChar w:fldCharType="begin"/>
      </w:r>
      <w:r w:rsidR="00D04B86">
        <w:instrText xml:space="preserve"> SEQ Table \* ARABIC </w:instrText>
      </w:r>
      <w:r w:rsidR="00D04B86">
        <w:fldChar w:fldCharType="separate"/>
      </w:r>
      <w:r w:rsidR="00DF0799">
        <w:rPr>
          <w:noProof/>
        </w:rPr>
        <w:t>15</w:t>
      </w:r>
      <w:r w:rsidR="00D04B86">
        <w:rPr>
          <w:noProof/>
        </w:rPr>
        <w:fldChar w:fldCharType="end"/>
      </w:r>
      <w:bookmarkEnd w:id="158"/>
      <w:bookmarkEnd w:id="159"/>
      <w:r>
        <w:t xml:space="preserve">. </w:t>
      </w:r>
      <w:r w:rsidRPr="009C6F5B">
        <w:rPr>
          <w:lang w:val="en-US"/>
        </w:rPr>
        <w:t>Demographic profile of FAO clients according to the number of sessions</w:t>
      </w:r>
      <w:bookmarkEnd w:id="160"/>
    </w:p>
    <w:tbl>
      <w:tblPr>
        <w:tblW w:w="8109" w:type="dxa"/>
        <w:tblLook w:val="04A0" w:firstRow="1" w:lastRow="0" w:firstColumn="1" w:lastColumn="0" w:noHBand="0" w:noVBand="1"/>
      </w:tblPr>
      <w:tblGrid>
        <w:gridCol w:w="1418"/>
        <w:gridCol w:w="1827"/>
        <w:gridCol w:w="636"/>
        <w:gridCol w:w="1609"/>
        <w:gridCol w:w="801"/>
        <w:gridCol w:w="1182"/>
        <w:gridCol w:w="636"/>
      </w:tblGrid>
      <w:tr w:rsidR="00D07A53" w:rsidRPr="00505045" w14:paraId="6C607C99" w14:textId="77777777" w:rsidTr="003632F4">
        <w:trPr>
          <w:trHeight w:val="330"/>
        </w:trPr>
        <w:tc>
          <w:tcPr>
            <w:tcW w:w="1418" w:type="dxa"/>
            <w:tcBorders>
              <w:top w:val="nil"/>
              <w:left w:val="nil"/>
              <w:bottom w:val="nil"/>
              <w:right w:val="nil"/>
            </w:tcBorders>
            <w:shd w:val="clear" w:color="auto" w:fill="auto"/>
            <w:noWrap/>
            <w:vAlign w:val="bottom"/>
            <w:hideMark/>
          </w:tcPr>
          <w:p w14:paraId="50872985" w14:textId="77777777" w:rsidR="00D07A53" w:rsidRPr="00505045" w:rsidRDefault="00D07A53" w:rsidP="003632F4">
            <w:pPr>
              <w:spacing w:line="240" w:lineRule="auto"/>
              <w:rPr>
                <w:rFonts w:eastAsia="Times New Roman"/>
                <w:lang w:eastAsia="en-NZ"/>
              </w:rPr>
            </w:pPr>
          </w:p>
        </w:tc>
        <w:tc>
          <w:tcPr>
            <w:tcW w:w="6691" w:type="dxa"/>
            <w:gridSpan w:val="6"/>
            <w:tcBorders>
              <w:top w:val="single" w:sz="8" w:space="0" w:color="auto"/>
              <w:left w:val="nil"/>
              <w:bottom w:val="single" w:sz="8" w:space="0" w:color="auto"/>
              <w:right w:val="nil"/>
            </w:tcBorders>
            <w:shd w:val="clear" w:color="auto" w:fill="auto"/>
            <w:noWrap/>
            <w:vAlign w:val="center"/>
            <w:hideMark/>
          </w:tcPr>
          <w:p w14:paraId="6C50A1EA" w14:textId="77777777" w:rsidR="00D07A53" w:rsidRPr="00505045" w:rsidRDefault="00D07A53" w:rsidP="003632F4">
            <w:pPr>
              <w:spacing w:line="240" w:lineRule="auto"/>
              <w:jc w:val="center"/>
              <w:rPr>
                <w:rFonts w:eastAsia="Times New Roman"/>
                <w:b/>
                <w:bCs/>
                <w:color w:val="000000"/>
                <w:lang w:eastAsia="en-NZ"/>
              </w:rPr>
            </w:pPr>
            <w:r w:rsidRPr="00505045">
              <w:rPr>
                <w:rFonts w:eastAsia="Arial"/>
                <w:b/>
                <w:bCs/>
                <w:color w:val="000000"/>
                <w:lang w:val="en-US" w:eastAsia="en-NZ"/>
              </w:rPr>
              <w:t>Number of sessions</w:t>
            </w:r>
          </w:p>
        </w:tc>
      </w:tr>
      <w:tr w:rsidR="00D07A53" w:rsidRPr="00505045" w14:paraId="07502A31" w14:textId="77777777" w:rsidTr="003632F4">
        <w:trPr>
          <w:trHeight w:val="330"/>
        </w:trPr>
        <w:tc>
          <w:tcPr>
            <w:tcW w:w="1418" w:type="dxa"/>
            <w:tcBorders>
              <w:top w:val="nil"/>
              <w:left w:val="nil"/>
              <w:bottom w:val="nil"/>
              <w:right w:val="nil"/>
            </w:tcBorders>
            <w:shd w:val="clear" w:color="auto" w:fill="auto"/>
            <w:noWrap/>
            <w:vAlign w:val="bottom"/>
            <w:hideMark/>
          </w:tcPr>
          <w:p w14:paraId="4C98FDAE" w14:textId="77777777" w:rsidR="00D07A53" w:rsidRPr="00505045" w:rsidRDefault="00D07A53" w:rsidP="003632F4">
            <w:pPr>
              <w:spacing w:line="240" w:lineRule="auto"/>
              <w:jc w:val="center"/>
              <w:rPr>
                <w:rFonts w:eastAsia="Times New Roman"/>
                <w:b/>
                <w:bCs/>
                <w:color w:val="000000"/>
                <w:lang w:eastAsia="en-NZ"/>
              </w:rPr>
            </w:pPr>
          </w:p>
        </w:tc>
        <w:tc>
          <w:tcPr>
            <w:tcW w:w="2463" w:type="dxa"/>
            <w:gridSpan w:val="2"/>
            <w:tcBorders>
              <w:top w:val="single" w:sz="8" w:space="0" w:color="auto"/>
              <w:left w:val="nil"/>
              <w:bottom w:val="single" w:sz="8" w:space="0" w:color="auto"/>
              <w:right w:val="nil"/>
            </w:tcBorders>
            <w:shd w:val="clear" w:color="auto" w:fill="auto"/>
            <w:noWrap/>
            <w:vAlign w:val="center"/>
            <w:hideMark/>
          </w:tcPr>
          <w:p w14:paraId="2448DF0B" w14:textId="77777777" w:rsidR="00D07A53" w:rsidRPr="00505045" w:rsidRDefault="00D07A53" w:rsidP="003632F4">
            <w:pPr>
              <w:spacing w:line="240" w:lineRule="auto"/>
              <w:jc w:val="center"/>
              <w:rPr>
                <w:rFonts w:eastAsia="Times New Roman"/>
                <w:b/>
                <w:bCs/>
                <w:color w:val="000000"/>
                <w:lang w:eastAsia="en-NZ"/>
              </w:rPr>
            </w:pPr>
            <w:r w:rsidRPr="00505045">
              <w:rPr>
                <w:rFonts w:eastAsia="Arial"/>
                <w:b/>
                <w:bCs/>
                <w:color w:val="000000"/>
                <w:lang w:val="en-US" w:eastAsia="en-NZ"/>
              </w:rPr>
              <w:t>One session</w:t>
            </w:r>
          </w:p>
        </w:tc>
        <w:tc>
          <w:tcPr>
            <w:tcW w:w="2410" w:type="dxa"/>
            <w:gridSpan w:val="2"/>
            <w:tcBorders>
              <w:top w:val="single" w:sz="8" w:space="0" w:color="auto"/>
              <w:left w:val="nil"/>
              <w:bottom w:val="single" w:sz="8" w:space="0" w:color="auto"/>
              <w:right w:val="nil"/>
            </w:tcBorders>
            <w:shd w:val="clear" w:color="auto" w:fill="auto"/>
            <w:noWrap/>
            <w:vAlign w:val="center"/>
            <w:hideMark/>
          </w:tcPr>
          <w:p w14:paraId="1AA172E1" w14:textId="77777777" w:rsidR="00D07A53" w:rsidRPr="00505045" w:rsidRDefault="00D07A53" w:rsidP="003632F4">
            <w:pPr>
              <w:spacing w:line="240" w:lineRule="auto"/>
              <w:jc w:val="center"/>
              <w:rPr>
                <w:rFonts w:eastAsia="Times New Roman"/>
                <w:b/>
                <w:bCs/>
                <w:color w:val="000000"/>
                <w:lang w:eastAsia="en-NZ"/>
              </w:rPr>
            </w:pPr>
            <w:r w:rsidRPr="00505045">
              <w:rPr>
                <w:rFonts w:eastAsia="Arial"/>
                <w:b/>
                <w:bCs/>
                <w:color w:val="000000"/>
                <w:lang w:val="en-US" w:eastAsia="en-NZ"/>
              </w:rPr>
              <w:t>Two sessions or more</w:t>
            </w:r>
          </w:p>
        </w:tc>
        <w:tc>
          <w:tcPr>
            <w:tcW w:w="1818" w:type="dxa"/>
            <w:gridSpan w:val="2"/>
            <w:tcBorders>
              <w:top w:val="single" w:sz="8" w:space="0" w:color="auto"/>
              <w:left w:val="nil"/>
              <w:bottom w:val="single" w:sz="8" w:space="0" w:color="auto"/>
              <w:right w:val="nil"/>
            </w:tcBorders>
            <w:shd w:val="clear" w:color="auto" w:fill="auto"/>
            <w:noWrap/>
            <w:vAlign w:val="center"/>
            <w:hideMark/>
          </w:tcPr>
          <w:p w14:paraId="3EC0D8F6" w14:textId="77777777" w:rsidR="00D07A53" w:rsidRPr="00505045" w:rsidRDefault="00D07A53" w:rsidP="003632F4">
            <w:pPr>
              <w:spacing w:line="240" w:lineRule="auto"/>
              <w:jc w:val="center"/>
              <w:rPr>
                <w:rFonts w:eastAsia="Times New Roman"/>
                <w:b/>
                <w:bCs/>
                <w:color w:val="000000"/>
                <w:lang w:eastAsia="en-NZ"/>
              </w:rPr>
            </w:pPr>
            <w:r w:rsidRPr="00505045">
              <w:rPr>
                <w:rFonts w:eastAsia="Arial"/>
                <w:b/>
                <w:bCs/>
                <w:color w:val="000000"/>
                <w:lang w:val="en-US" w:eastAsia="en-NZ"/>
              </w:rPr>
              <w:t>Total</w:t>
            </w:r>
          </w:p>
        </w:tc>
      </w:tr>
      <w:tr w:rsidR="00D07A53" w:rsidRPr="00505045" w14:paraId="236A084E" w14:textId="77777777" w:rsidTr="003632F4">
        <w:trPr>
          <w:trHeight w:val="330"/>
        </w:trPr>
        <w:tc>
          <w:tcPr>
            <w:tcW w:w="1418" w:type="dxa"/>
            <w:tcBorders>
              <w:top w:val="single" w:sz="4" w:space="0" w:color="auto"/>
              <w:left w:val="nil"/>
              <w:bottom w:val="single" w:sz="8" w:space="0" w:color="auto"/>
              <w:right w:val="nil"/>
            </w:tcBorders>
            <w:shd w:val="clear" w:color="auto" w:fill="auto"/>
            <w:noWrap/>
            <w:vAlign w:val="center"/>
            <w:hideMark/>
          </w:tcPr>
          <w:p w14:paraId="296F3E98" w14:textId="77777777" w:rsidR="00D07A53" w:rsidRPr="00505045" w:rsidRDefault="00D07A53" w:rsidP="003632F4">
            <w:pPr>
              <w:spacing w:line="240" w:lineRule="auto"/>
              <w:rPr>
                <w:rFonts w:eastAsia="Times New Roman"/>
                <w:color w:val="000000"/>
                <w:lang w:eastAsia="en-NZ"/>
              </w:rPr>
            </w:pPr>
            <w:r w:rsidRPr="00505045">
              <w:rPr>
                <w:rFonts w:eastAsia="Cambria"/>
                <w:color w:val="000000"/>
                <w:lang w:val="en-US" w:eastAsia="en-NZ"/>
              </w:rPr>
              <w:t> </w:t>
            </w:r>
          </w:p>
        </w:tc>
        <w:tc>
          <w:tcPr>
            <w:tcW w:w="1827" w:type="dxa"/>
            <w:tcBorders>
              <w:top w:val="nil"/>
              <w:left w:val="nil"/>
              <w:bottom w:val="single" w:sz="8" w:space="0" w:color="auto"/>
              <w:right w:val="nil"/>
            </w:tcBorders>
            <w:shd w:val="clear" w:color="auto" w:fill="auto"/>
            <w:noWrap/>
            <w:vAlign w:val="center"/>
            <w:hideMark/>
          </w:tcPr>
          <w:p w14:paraId="2BC107D0"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N clients (17415)</w:t>
            </w:r>
          </w:p>
        </w:tc>
        <w:tc>
          <w:tcPr>
            <w:tcW w:w="636" w:type="dxa"/>
            <w:tcBorders>
              <w:top w:val="nil"/>
              <w:left w:val="nil"/>
              <w:bottom w:val="single" w:sz="8" w:space="0" w:color="auto"/>
              <w:right w:val="nil"/>
            </w:tcBorders>
            <w:shd w:val="clear" w:color="auto" w:fill="auto"/>
            <w:noWrap/>
            <w:vAlign w:val="center"/>
            <w:hideMark/>
          </w:tcPr>
          <w:p w14:paraId="2755920D"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w:t>
            </w:r>
          </w:p>
        </w:tc>
        <w:tc>
          <w:tcPr>
            <w:tcW w:w="1609" w:type="dxa"/>
            <w:tcBorders>
              <w:top w:val="nil"/>
              <w:left w:val="nil"/>
              <w:bottom w:val="single" w:sz="8" w:space="0" w:color="auto"/>
              <w:right w:val="nil"/>
            </w:tcBorders>
            <w:shd w:val="clear" w:color="auto" w:fill="auto"/>
            <w:noWrap/>
            <w:vAlign w:val="center"/>
            <w:hideMark/>
          </w:tcPr>
          <w:p w14:paraId="18D0CE3F"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N (6399)</w:t>
            </w:r>
          </w:p>
        </w:tc>
        <w:tc>
          <w:tcPr>
            <w:tcW w:w="801" w:type="dxa"/>
            <w:tcBorders>
              <w:top w:val="nil"/>
              <w:left w:val="nil"/>
              <w:bottom w:val="single" w:sz="8" w:space="0" w:color="auto"/>
              <w:right w:val="nil"/>
            </w:tcBorders>
            <w:shd w:val="clear" w:color="auto" w:fill="auto"/>
            <w:noWrap/>
            <w:vAlign w:val="center"/>
            <w:hideMark/>
          </w:tcPr>
          <w:p w14:paraId="1D851258"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w:t>
            </w:r>
          </w:p>
        </w:tc>
        <w:tc>
          <w:tcPr>
            <w:tcW w:w="1182" w:type="dxa"/>
            <w:tcBorders>
              <w:top w:val="nil"/>
              <w:left w:val="nil"/>
              <w:bottom w:val="single" w:sz="8" w:space="0" w:color="auto"/>
              <w:right w:val="nil"/>
            </w:tcBorders>
            <w:shd w:val="clear" w:color="auto" w:fill="auto"/>
            <w:noWrap/>
            <w:vAlign w:val="center"/>
            <w:hideMark/>
          </w:tcPr>
          <w:p w14:paraId="151D6A13"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N (23814)</w:t>
            </w:r>
          </w:p>
        </w:tc>
        <w:tc>
          <w:tcPr>
            <w:tcW w:w="636" w:type="dxa"/>
            <w:tcBorders>
              <w:top w:val="nil"/>
              <w:left w:val="nil"/>
              <w:bottom w:val="single" w:sz="8" w:space="0" w:color="auto"/>
              <w:right w:val="nil"/>
            </w:tcBorders>
            <w:shd w:val="clear" w:color="auto" w:fill="auto"/>
            <w:noWrap/>
            <w:vAlign w:val="center"/>
            <w:hideMark/>
          </w:tcPr>
          <w:p w14:paraId="247B25E8"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w:t>
            </w:r>
          </w:p>
        </w:tc>
      </w:tr>
      <w:tr w:rsidR="00D07A53" w:rsidRPr="00505045" w14:paraId="0A477F10" w14:textId="77777777" w:rsidTr="003632F4">
        <w:trPr>
          <w:trHeight w:val="330"/>
        </w:trPr>
        <w:tc>
          <w:tcPr>
            <w:tcW w:w="1418" w:type="dxa"/>
            <w:tcBorders>
              <w:top w:val="nil"/>
              <w:left w:val="nil"/>
              <w:bottom w:val="nil"/>
              <w:right w:val="nil"/>
            </w:tcBorders>
            <w:shd w:val="clear" w:color="auto" w:fill="auto"/>
            <w:noWrap/>
            <w:vAlign w:val="bottom"/>
            <w:hideMark/>
          </w:tcPr>
          <w:p w14:paraId="35CD55B4" w14:textId="77777777" w:rsidR="00D07A53" w:rsidRPr="00505045" w:rsidRDefault="00D07A53" w:rsidP="003632F4">
            <w:pPr>
              <w:spacing w:line="240" w:lineRule="auto"/>
              <w:rPr>
                <w:rFonts w:eastAsia="Times New Roman"/>
                <w:b/>
                <w:bCs/>
                <w:color w:val="000000"/>
                <w:lang w:eastAsia="en-NZ"/>
              </w:rPr>
            </w:pPr>
            <w:r w:rsidRPr="00505045">
              <w:rPr>
                <w:rFonts w:eastAsia="Times New Roman"/>
                <w:b/>
                <w:bCs/>
                <w:color w:val="000000"/>
                <w:lang w:eastAsia="en-NZ"/>
              </w:rPr>
              <w:t>Gender</w:t>
            </w:r>
          </w:p>
        </w:tc>
        <w:tc>
          <w:tcPr>
            <w:tcW w:w="1827" w:type="dxa"/>
            <w:tcBorders>
              <w:top w:val="nil"/>
              <w:left w:val="nil"/>
              <w:bottom w:val="nil"/>
              <w:right w:val="nil"/>
            </w:tcBorders>
            <w:shd w:val="clear" w:color="auto" w:fill="auto"/>
            <w:noWrap/>
            <w:vAlign w:val="bottom"/>
            <w:hideMark/>
          </w:tcPr>
          <w:p w14:paraId="215DAB2A" w14:textId="77777777" w:rsidR="00D07A53" w:rsidRPr="00505045" w:rsidRDefault="00D07A53" w:rsidP="003632F4">
            <w:pPr>
              <w:spacing w:line="240" w:lineRule="auto"/>
              <w:rPr>
                <w:rFonts w:eastAsia="Times New Roman"/>
                <w:color w:val="000000"/>
                <w:lang w:eastAsia="en-NZ"/>
              </w:rPr>
            </w:pPr>
          </w:p>
        </w:tc>
        <w:tc>
          <w:tcPr>
            <w:tcW w:w="636" w:type="dxa"/>
            <w:tcBorders>
              <w:top w:val="nil"/>
              <w:left w:val="nil"/>
              <w:bottom w:val="nil"/>
              <w:right w:val="nil"/>
            </w:tcBorders>
            <w:shd w:val="clear" w:color="auto" w:fill="auto"/>
            <w:noWrap/>
            <w:vAlign w:val="bottom"/>
            <w:hideMark/>
          </w:tcPr>
          <w:p w14:paraId="217C3CC2" w14:textId="77777777" w:rsidR="00D07A53" w:rsidRPr="00505045" w:rsidRDefault="00D07A53" w:rsidP="003632F4">
            <w:pPr>
              <w:spacing w:line="240" w:lineRule="auto"/>
              <w:rPr>
                <w:rFonts w:eastAsia="Times New Roman"/>
                <w:lang w:eastAsia="en-NZ"/>
              </w:rPr>
            </w:pPr>
          </w:p>
        </w:tc>
        <w:tc>
          <w:tcPr>
            <w:tcW w:w="1609" w:type="dxa"/>
            <w:tcBorders>
              <w:top w:val="nil"/>
              <w:left w:val="nil"/>
              <w:bottom w:val="nil"/>
              <w:right w:val="nil"/>
            </w:tcBorders>
            <w:shd w:val="clear" w:color="auto" w:fill="auto"/>
            <w:noWrap/>
            <w:vAlign w:val="bottom"/>
            <w:hideMark/>
          </w:tcPr>
          <w:p w14:paraId="3633916E" w14:textId="77777777" w:rsidR="00D07A53" w:rsidRPr="00505045" w:rsidRDefault="00D07A53" w:rsidP="003632F4">
            <w:pPr>
              <w:spacing w:line="240" w:lineRule="auto"/>
              <w:rPr>
                <w:rFonts w:eastAsia="Times New Roman"/>
                <w:lang w:eastAsia="en-NZ"/>
              </w:rPr>
            </w:pPr>
          </w:p>
        </w:tc>
        <w:tc>
          <w:tcPr>
            <w:tcW w:w="801" w:type="dxa"/>
            <w:tcBorders>
              <w:top w:val="nil"/>
              <w:left w:val="nil"/>
              <w:bottom w:val="nil"/>
              <w:right w:val="nil"/>
            </w:tcBorders>
            <w:shd w:val="clear" w:color="auto" w:fill="auto"/>
            <w:noWrap/>
            <w:vAlign w:val="bottom"/>
            <w:hideMark/>
          </w:tcPr>
          <w:p w14:paraId="735EF037" w14:textId="77777777" w:rsidR="00D07A53" w:rsidRPr="00505045" w:rsidRDefault="00D07A53" w:rsidP="003632F4">
            <w:pPr>
              <w:spacing w:line="240" w:lineRule="auto"/>
              <w:rPr>
                <w:rFonts w:eastAsia="Times New Roman"/>
                <w:lang w:eastAsia="en-NZ"/>
              </w:rPr>
            </w:pPr>
          </w:p>
        </w:tc>
        <w:tc>
          <w:tcPr>
            <w:tcW w:w="1182" w:type="dxa"/>
            <w:tcBorders>
              <w:top w:val="nil"/>
              <w:left w:val="nil"/>
              <w:bottom w:val="nil"/>
              <w:right w:val="nil"/>
            </w:tcBorders>
            <w:shd w:val="clear" w:color="auto" w:fill="auto"/>
            <w:noWrap/>
            <w:vAlign w:val="bottom"/>
            <w:hideMark/>
          </w:tcPr>
          <w:p w14:paraId="1C326438" w14:textId="77777777" w:rsidR="00D07A53" w:rsidRPr="00505045" w:rsidRDefault="00D07A53" w:rsidP="003632F4">
            <w:pPr>
              <w:spacing w:line="240" w:lineRule="auto"/>
              <w:rPr>
                <w:rFonts w:eastAsia="Times New Roman"/>
                <w:lang w:eastAsia="en-NZ"/>
              </w:rPr>
            </w:pPr>
          </w:p>
        </w:tc>
        <w:tc>
          <w:tcPr>
            <w:tcW w:w="636" w:type="dxa"/>
            <w:tcBorders>
              <w:top w:val="nil"/>
              <w:left w:val="nil"/>
              <w:bottom w:val="nil"/>
              <w:right w:val="nil"/>
            </w:tcBorders>
            <w:shd w:val="clear" w:color="auto" w:fill="auto"/>
            <w:noWrap/>
            <w:vAlign w:val="bottom"/>
            <w:hideMark/>
          </w:tcPr>
          <w:p w14:paraId="543B8418" w14:textId="77777777" w:rsidR="00D07A53" w:rsidRPr="00505045" w:rsidRDefault="00D07A53" w:rsidP="003632F4">
            <w:pPr>
              <w:spacing w:line="240" w:lineRule="auto"/>
              <w:rPr>
                <w:rFonts w:eastAsia="Times New Roman"/>
                <w:lang w:eastAsia="en-NZ"/>
              </w:rPr>
            </w:pPr>
          </w:p>
        </w:tc>
      </w:tr>
      <w:tr w:rsidR="00D07A53" w:rsidRPr="00505045" w14:paraId="3ADB7440" w14:textId="77777777" w:rsidTr="003632F4">
        <w:trPr>
          <w:trHeight w:val="315"/>
        </w:trPr>
        <w:tc>
          <w:tcPr>
            <w:tcW w:w="1418" w:type="dxa"/>
            <w:tcBorders>
              <w:top w:val="nil"/>
              <w:left w:val="nil"/>
              <w:bottom w:val="nil"/>
              <w:right w:val="nil"/>
            </w:tcBorders>
            <w:shd w:val="clear" w:color="auto" w:fill="auto"/>
            <w:noWrap/>
            <w:vAlign w:val="bottom"/>
            <w:hideMark/>
          </w:tcPr>
          <w:p w14:paraId="73E24354" w14:textId="77777777" w:rsidR="00D07A53" w:rsidRPr="00505045" w:rsidRDefault="00D07A53" w:rsidP="003632F4">
            <w:pPr>
              <w:spacing w:line="240" w:lineRule="auto"/>
              <w:rPr>
                <w:rFonts w:eastAsia="Times New Roman"/>
                <w:color w:val="000000"/>
                <w:lang w:eastAsia="en-NZ"/>
              </w:rPr>
            </w:pPr>
            <w:r>
              <w:rPr>
                <w:rFonts w:eastAsia="Times New Roman"/>
                <w:color w:val="000000"/>
                <w:lang w:eastAsia="en-NZ"/>
              </w:rPr>
              <w:t xml:space="preserve">  </w:t>
            </w:r>
            <w:r w:rsidRPr="00505045">
              <w:rPr>
                <w:rFonts w:eastAsia="Times New Roman"/>
                <w:color w:val="000000"/>
                <w:lang w:eastAsia="en-NZ"/>
              </w:rPr>
              <w:t>Female</w:t>
            </w:r>
          </w:p>
        </w:tc>
        <w:tc>
          <w:tcPr>
            <w:tcW w:w="1827" w:type="dxa"/>
            <w:tcBorders>
              <w:top w:val="nil"/>
              <w:left w:val="nil"/>
              <w:bottom w:val="nil"/>
              <w:right w:val="nil"/>
            </w:tcBorders>
            <w:shd w:val="clear" w:color="auto" w:fill="auto"/>
            <w:noWrap/>
            <w:vAlign w:val="center"/>
            <w:hideMark/>
          </w:tcPr>
          <w:p w14:paraId="4A3DE866"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11305</w:t>
            </w:r>
          </w:p>
        </w:tc>
        <w:tc>
          <w:tcPr>
            <w:tcW w:w="636" w:type="dxa"/>
            <w:tcBorders>
              <w:top w:val="nil"/>
              <w:left w:val="nil"/>
              <w:bottom w:val="nil"/>
              <w:right w:val="nil"/>
            </w:tcBorders>
            <w:shd w:val="clear" w:color="auto" w:fill="auto"/>
            <w:noWrap/>
            <w:vAlign w:val="center"/>
            <w:hideMark/>
          </w:tcPr>
          <w:p w14:paraId="440966B3"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64.9</w:t>
            </w:r>
          </w:p>
        </w:tc>
        <w:tc>
          <w:tcPr>
            <w:tcW w:w="1609" w:type="dxa"/>
            <w:tcBorders>
              <w:top w:val="nil"/>
              <w:left w:val="nil"/>
              <w:bottom w:val="nil"/>
              <w:right w:val="nil"/>
            </w:tcBorders>
            <w:shd w:val="clear" w:color="auto" w:fill="auto"/>
            <w:noWrap/>
            <w:vAlign w:val="center"/>
            <w:hideMark/>
          </w:tcPr>
          <w:p w14:paraId="37B5AC1B"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4194</w:t>
            </w:r>
          </w:p>
        </w:tc>
        <w:tc>
          <w:tcPr>
            <w:tcW w:w="801" w:type="dxa"/>
            <w:tcBorders>
              <w:top w:val="nil"/>
              <w:left w:val="nil"/>
              <w:bottom w:val="nil"/>
              <w:right w:val="nil"/>
            </w:tcBorders>
            <w:shd w:val="clear" w:color="auto" w:fill="auto"/>
            <w:noWrap/>
            <w:vAlign w:val="center"/>
            <w:hideMark/>
          </w:tcPr>
          <w:p w14:paraId="4F9861CC"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65.6</w:t>
            </w:r>
          </w:p>
        </w:tc>
        <w:tc>
          <w:tcPr>
            <w:tcW w:w="1182" w:type="dxa"/>
            <w:tcBorders>
              <w:top w:val="nil"/>
              <w:left w:val="nil"/>
              <w:bottom w:val="nil"/>
              <w:right w:val="nil"/>
            </w:tcBorders>
            <w:shd w:val="clear" w:color="auto" w:fill="auto"/>
            <w:noWrap/>
            <w:vAlign w:val="center"/>
            <w:hideMark/>
          </w:tcPr>
          <w:p w14:paraId="23ECAEB8"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15499</w:t>
            </w:r>
          </w:p>
        </w:tc>
        <w:tc>
          <w:tcPr>
            <w:tcW w:w="636" w:type="dxa"/>
            <w:tcBorders>
              <w:top w:val="nil"/>
              <w:left w:val="nil"/>
              <w:bottom w:val="nil"/>
              <w:right w:val="nil"/>
            </w:tcBorders>
            <w:shd w:val="clear" w:color="auto" w:fill="auto"/>
            <w:noWrap/>
            <w:vAlign w:val="center"/>
            <w:hideMark/>
          </w:tcPr>
          <w:p w14:paraId="49F799FE"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65.1</w:t>
            </w:r>
          </w:p>
        </w:tc>
      </w:tr>
      <w:tr w:rsidR="00D07A53" w:rsidRPr="00505045" w14:paraId="0CCD04FB" w14:textId="77777777" w:rsidTr="003632F4">
        <w:trPr>
          <w:trHeight w:val="330"/>
        </w:trPr>
        <w:tc>
          <w:tcPr>
            <w:tcW w:w="1418" w:type="dxa"/>
            <w:tcBorders>
              <w:top w:val="nil"/>
              <w:left w:val="nil"/>
              <w:bottom w:val="single" w:sz="4" w:space="0" w:color="auto"/>
              <w:right w:val="nil"/>
            </w:tcBorders>
            <w:shd w:val="clear" w:color="auto" w:fill="auto"/>
            <w:noWrap/>
            <w:vAlign w:val="bottom"/>
            <w:hideMark/>
          </w:tcPr>
          <w:p w14:paraId="10077FF6" w14:textId="77777777" w:rsidR="00D07A53" w:rsidRPr="00505045" w:rsidRDefault="00D07A53" w:rsidP="003632F4">
            <w:pPr>
              <w:spacing w:line="240" w:lineRule="auto"/>
              <w:rPr>
                <w:rFonts w:eastAsia="Times New Roman"/>
                <w:color w:val="000000"/>
                <w:lang w:eastAsia="en-NZ"/>
              </w:rPr>
            </w:pPr>
            <w:r>
              <w:rPr>
                <w:rFonts w:eastAsia="Times New Roman"/>
                <w:color w:val="000000"/>
                <w:lang w:eastAsia="en-NZ"/>
              </w:rPr>
              <w:t xml:space="preserve">  </w:t>
            </w:r>
            <w:r w:rsidRPr="00505045">
              <w:rPr>
                <w:rFonts w:eastAsia="Times New Roman"/>
                <w:color w:val="000000"/>
                <w:lang w:eastAsia="en-NZ"/>
              </w:rPr>
              <w:t>Male</w:t>
            </w:r>
          </w:p>
        </w:tc>
        <w:tc>
          <w:tcPr>
            <w:tcW w:w="1827" w:type="dxa"/>
            <w:tcBorders>
              <w:top w:val="nil"/>
              <w:left w:val="nil"/>
              <w:bottom w:val="single" w:sz="8" w:space="0" w:color="auto"/>
              <w:right w:val="nil"/>
            </w:tcBorders>
            <w:shd w:val="clear" w:color="auto" w:fill="auto"/>
            <w:noWrap/>
            <w:vAlign w:val="center"/>
            <w:hideMark/>
          </w:tcPr>
          <w:p w14:paraId="0AC4C980"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6107</w:t>
            </w:r>
          </w:p>
        </w:tc>
        <w:tc>
          <w:tcPr>
            <w:tcW w:w="636" w:type="dxa"/>
            <w:tcBorders>
              <w:top w:val="nil"/>
              <w:left w:val="nil"/>
              <w:bottom w:val="single" w:sz="8" w:space="0" w:color="auto"/>
              <w:right w:val="nil"/>
            </w:tcBorders>
            <w:shd w:val="clear" w:color="auto" w:fill="auto"/>
            <w:noWrap/>
            <w:vAlign w:val="center"/>
            <w:hideMark/>
          </w:tcPr>
          <w:p w14:paraId="3A72F1C4"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35.1</w:t>
            </w:r>
          </w:p>
        </w:tc>
        <w:tc>
          <w:tcPr>
            <w:tcW w:w="1609" w:type="dxa"/>
            <w:tcBorders>
              <w:top w:val="nil"/>
              <w:left w:val="nil"/>
              <w:bottom w:val="single" w:sz="8" w:space="0" w:color="auto"/>
              <w:right w:val="nil"/>
            </w:tcBorders>
            <w:shd w:val="clear" w:color="auto" w:fill="auto"/>
            <w:noWrap/>
            <w:vAlign w:val="center"/>
            <w:hideMark/>
          </w:tcPr>
          <w:p w14:paraId="66B1C3DE"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2204</w:t>
            </w:r>
          </w:p>
        </w:tc>
        <w:tc>
          <w:tcPr>
            <w:tcW w:w="801" w:type="dxa"/>
            <w:tcBorders>
              <w:top w:val="nil"/>
              <w:left w:val="nil"/>
              <w:bottom w:val="single" w:sz="8" w:space="0" w:color="auto"/>
              <w:right w:val="nil"/>
            </w:tcBorders>
            <w:shd w:val="clear" w:color="auto" w:fill="auto"/>
            <w:noWrap/>
            <w:vAlign w:val="center"/>
            <w:hideMark/>
          </w:tcPr>
          <w:p w14:paraId="4CB4096B"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34.4</w:t>
            </w:r>
          </w:p>
        </w:tc>
        <w:tc>
          <w:tcPr>
            <w:tcW w:w="1182" w:type="dxa"/>
            <w:tcBorders>
              <w:top w:val="nil"/>
              <w:left w:val="nil"/>
              <w:bottom w:val="single" w:sz="8" w:space="0" w:color="auto"/>
              <w:right w:val="nil"/>
            </w:tcBorders>
            <w:shd w:val="clear" w:color="auto" w:fill="auto"/>
            <w:noWrap/>
            <w:vAlign w:val="center"/>
            <w:hideMark/>
          </w:tcPr>
          <w:p w14:paraId="31DA2BAF"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8311</w:t>
            </w:r>
          </w:p>
        </w:tc>
        <w:tc>
          <w:tcPr>
            <w:tcW w:w="636" w:type="dxa"/>
            <w:tcBorders>
              <w:top w:val="nil"/>
              <w:left w:val="nil"/>
              <w:bottom w:val="single" w:sz="8" w:space="0" w:color="auto"/>
              <w:right w:val="nil"/>
            </w:tcBorders>
            <w:shd w:val="clear" w:color="auto" w:fill="auto"/>
            <w:noWrap/>
            <w:vAlign w:val="center"/>
            <w:hideMark/>
          </w:tcPr>
          <w:p w14:paraId="19CA9BF0"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34.9</w:t>
            </w:r>
          </w:p>
        </w:tc>
      </w:tr>
      <w:tr w:rsidR="00D07A53" w:rsidRPr="00505045" w14:paraId="7D0DFD9B" w14:textId="77777777" w:rsidTr="003632F4">
        <w:trPr>
          <w:trHeight w:val="315"/>
        </w:trPr>
        <w:tc>
          <w:tcPr>
            <w:tcW w:w="3245" w:type="dxa"/>
            <w:gridSpan w:val="2"/>
            <w:tcBorders>
              <w:top w:val="nil"/>
              <w:left w:val="nil"/>
              <w:bottom w:val="nil"/>
              <w:right w:val="nil"/>
            </w:tcBorders>
            <w:shd w:val="clear" w:color="auto" w:fill="auto"/>
            <w:noWrap/>
            <w:vAlign w:val="bottom"/>
            <w:hideMark/>
          </w:tcPr>
          <w:p w14:paraId="3044CCE7" w14:textId="77777777" w:rsidR="00D07A53" w:rsidRPr="00505045" w:rsidRDefault="00D07A53" w:rsidP="003632F4">
            <w:pPr>
              <w:spacing w:line="240" w:lineRule="auto"/>
              <w:rPr>
                <w:rFonts w:eastAsia="Times New Roman"/>
                <w:b/>
                <w:bCs/>
                <w:color w:val="000000"/>
                <w:lang w:eastAsia="en-NZ"/>
              </w:rPr>
            </w:pPr>
            <w:r w:rsidRPr="00505045">
              <w:rPr>
                <w:rFonts w:eastAsia="Times New Roman"/>
                <w:b/>
                <w:bCs/>
                <w:color w:val="000000"/>
                <w:lang w:eastAsia="en-NZ"/>
              </w:rPr>
              <w:t>Age Group</w:t>
            </w:r>
          </w:p>
        </w:tc>
        <w:tc>
          <w:tcPr>
            <w:tcW w:w="636" w:type="dxa"/>
            <w:tcBorders>
              <w:top w:val="nil"/>
              <w:left w:val="nil"/>
              <w:bottom w:val="nil"/>
              <w:right w:val="nil"/>
            </w:tcBorders>
            <w:shd w:val="clear" w:color="auto" w:fill="auto"/>
            <w:noWrap/>
            <w:vAlign w:val="bottom"/>
            <w:hideMark/>
          </w:tcPr>
          <w:p w14:paraId="5A758AD7" w14:textId="77777777" w:rsidR="00D07A53" w:rsidRPr="00505045" w:rsidRDefault="00D07A53" w:rsidP="003632F4">
            <w:pPr>
              <w:spacing w:line="240" w:lineRule="auto"/>
              <w:rPr>
                <w:rFonts w:eastAsia="Times New Roman"/>
                <w:color w:val="000000"/>
                <w:lang w:eastAsia="en-NZ"/>
              </w:rPr>
            </w:pPr>
          </w:p>
        </w:tc>
        <w:tc>
          <w:tcPr>
            <w:tcW w:w="1609" w:type="dxa"/>
            <w:tcBorders>
              <w:top w:val="nil"/>
              <w:left w:val="nil"/>
              <w:bottom w:val="nil"/>
              <w:right w:val="nil"/>
            </w:tcBorders>
            <w:shd w:val="clear" w:color="auto" w:fill="auto"/>
            <w:noWrap/>
            <w:vAlign w:val="bottom"/>
            <w:hideMark/>
          </w:tcPr>
          <w:p w14:paraId="6A5C3A89" w14:textId="77777777" w:rsidR="00D07A53" w:rsidRPr="00505045" w:rsidRDefault="00D07A53" w:rsidP="003632F4">
            <w:pPr>
              <w:spacing w:line="240" w:lineRule="auto"/>
              <w:rPr>
                <w:rFonts w:eastAsia="Times New Roman"/>
                <w:lang w:eastAsia="en-NZ"/>
              </w:rPr>
            </w:pPr>
          </w:p>
        </w:tc>
        <w:tc>
          <w:tcPr>
            <w:tcW w:w="801" w:type="dxa"/>
            <w:tcBorders>
              <w:top w:val="nil"/>
              <w:left w:val="nil"/>
              <w:bottom w:val="nil"/>
              <w:right w:val="nil"/>
            </w:tcBorders>
            <w:shd w:val="clear" w:color="auto" w:fill="auto"/>
            <w:noWrap/>
            <w:vAlign w:val="bottom"/>
            <w:hideMark/>
          </w:tcPr>
          <w:p w14:paraId="6F3E9134" w14:textId="77777777" w:rsidR="00D07A53" w:rsidRPr="00505045" w:rsidRDefault="00D07A53" w:rsidP="003632F4">
            <w:pPr>
              <w:spacing w:line="240" w:lineRule="auto"/>
              <w:rPr>
                <w:rFonts w:eastAsia="Times New Roman"/>
                <w:lang w:eastAsia="en-NZ"/>
              </w:rPr>
            </w:pPr>
          </w:p>
        </w:tc>
        <w:tc>
          <w:tcPr>
            <w:tcW w:w="1182" w:type="dxa"/>
            <w:tcBorders>
              <w:top w:val="nil"/>
              <w:left w:val="nil"/>
              <w:bottom w:val="nil"/>
              <w:right w:val="nil"/>
            </w:tcBorders>
            <w:shd w:val="clear" w:color="auto" w:fill="auto"/>
            <w:noWrap/>
            <w:vAlign w:val="bottom"/>
            <w:hideMark/>
          </w:tcPr>
          <w:p w14:paraId="4E556642" w14:textId="77777777" w:rsidR="00D07A53" w:rsidRPr="00505045" w:rsidRDefault="00D07A53" w:rsidP="003632F4">
            <w:pPr>
              <w:spacing w:line="240" w:lineRule="auto"/>
              <w:rPr>
                <w:rFonts w:eastAsia="Times New Roman"/>
                <w:lang w:eastAsia="en-NZ"/>
              </w:rPr>
            </w:pPr>
          </w:p>
        </w:tc>
        <w:tc>
          <w:tcPr>
            <w:tcW w:w="636" w:type="dxa"/>
            <w:tcBorders>
              <w:top w:val="nil"/>
              <w:left w:val="nil"/>
              <w:bottom w:val="nil"/>
              <w:right w:val="nil"/>
            </w:tcBorders>
            <w:shd w:val="clear" w:color="auto" w:fill="auto"/>
            <w:noWrap/>
            <w:vAlign w:val="bottom"/>
            <w:hideMark/>
          </w:tcPr>
          <w:p w14:paraId="3D40E13F" w14:textId="77777777" w:rsidR="00D07A53" w:rsidRPr="00505045" w:rsidRDefault="00D07A53" w:rsidP="003632F4">
            <w:pPr>
              <w:spacing w:line="240" w:lineRule="auto"/>
              <w:rPr>
                <w:rFonts w:eastAsia="Times New Roman"/>
                <w:lang w:eastAsia="en-NZ"/>
              </w:rPr>
            </w:pPr>
          </w:p>
        </w:tc>
      </w:tr>
      <w:tr w:rsidR="00D07A53" w:rsidRPr="00505045" w14:paraId="422421D9" w14:textId="77777777" w:rsidTr="003632F4">
        <w:trPr>
          <w:trHeight w:val="315"/>
        </w:trPr>
        <w:tc>
          <w:tcPr>
            <w:tcW w:w="1418" w:type="dxa"/>
            <w:tcBorders>
              <w:top w:val="nil"/>
              <w:left w:val="nil"/>
              <w:bottom w:val="nil"/>
              <w:right w:val="nil"/>
            </w:tcBorders>
            <w:shd w:val="clear" w:color="auto" w:fill="auto"/>
            <w:noWrap/>
            <w:vAlign w:val="center"/>
            <w:hideMark/>
          </w:tcPr>
          <w:p w14:paraId="1CC72DB4" w14:textId="77777777" w:rsidR="00D07A53" w:rsidRPr="00505045" w:rsidRDefault="00D07A53" w:rsidP="003632F4">
            <w:pPr>
              <w:spacing w:line="240" w:lineRule="auto"/>
              <w:rPr>
                <w:rFonts w:eastAsia="Times New Roman"/>
                <w:color w:val="000000"/>
                <w:lang w:eastAsia="en-NZ"/>
              </w:rPr>
            </w:pPr>
            <w:r>
              <w:rPr>
                <w:rFonts w:eastAsia="Arial"/>
                <w:color w:val="000000"/>
                <w:lang w:val="en-US" w:eastAsia="en-NZ"/>
              </w:rPr>
              <w:t xml:space="preserve">  </w:t>
            </w:r>
            <w:r w:rsidRPr="00505045">
              <w:rPr>
                <w:rFonts w:eastAsia="Arial"/>
                <w:color w:val="000000"/>
                <w:lang w:val="en-US" w:eastAsia="en-NZ"/>
              </w:rPr>
              <w:t>24 or less</w:t>
            </w:r>
          </w:p>
        </w:tc>
        <w:tc>
          <w:tcPr>
            <w:tcW w:w="1827" w:type="dxa"/>
            <w:tcBorders>
              <w:top w:val="nil"/>
              <w:left w:val="nil"/>
              <w:bottom w:val="nil"/>
              <w:right w:val="nil"/>
            </w:tcBorders>
            <w:shd w:val="clear" w:color="auto" w:fill="auto"/>
            <w:noWrap/>
            <w:vAlign w:val="center"/>
            <w:hideMark/>
          </w:tcPr>
          <w:p w14:paraId="203118C0"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2199</w:t>
            </w:r>
          </w:p>
        </w:tc>
        <w:tc>
          <w:tcPr>
            <w:tcW w:w="636" w:type="dxa"/>
            <w:tcBorders>
              <w:top w:val="nil"/>
              <w:left w:val="nil"/>
              <w:bottom w:val="nil"/>
              <w:right w:val="nil"/>
            </w:tcBorders>
            <w:shd w:val="clear" w:color="auto" w:fill="auto"/>
            <w:noWrap/>
            <w:vAlign w:val="center"/>
            <w:hideMark/>
          </w:tcPr>
          <w:p w14:paraId="168F46BC"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13.6</w:t>
            </w:r>
          </w:p>
        </w:tc>
        <w:tc>
          <w:tcPr>
            <w:tcW w:w="1609" w:type="dxa"/>
            <w:tcBorders>
              <w:top w:val="nil"/>
              <w:left w:val="nil"/>
              <w:bottom w:val="nil"/>
              <w:right w:val="nil"/>
            </w:tcBorders>
            <w:shd w:val="clear" w:color="auto" w:fill="auto"/>
            <w:noWrap/>
            <w:vAlign w:val="center"/>
            <w:hideMark/>
          </w:tcPr>
          <w:p w14:paraId="11994AA1"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1077</w:t>
            </w:r>
          </w:p>
        </w:tc>
        <w:tc>
          <w:tcPr>
            <w:tcW w:w="801" w:type="dxa"/>
            <w:tcBorders>
              <w:top w:val="nil"/>
              <w:left w:val="nil"/>
              <w:bottom w:val="nil"/>
              <w:right w:val="nil"/>
            </w:tcBorders>
            <w:shd w:val="clear" w:color="auto" w:fill="auto"/>
            <w:noWrap/>
            <w:vAlign w:val="center"/>
            <w:hideMark/>
          </w:tcPr>
          <w:p w14:paraId="40D0BC09"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16.9</w:t>
            </w:r>
          </w:p>
        </w:tc>
        <w:tc>
          <w:tcPr>
            <w:tcW w:w="1182" w:type="dxa"/>
            <w:tcBorders>
              <w:top w:val="nil"/>
              <w:left w:val="nil"/>
              <w:bottom w:val="nil"/>
              <w:right w:val="nil"/>
            </w:tcBorders>
            <w:shd w:val="clear" w:color="auto" w:fill="auto"/>
            <w:noWrap/>
            <w:vAlign w:val="center"/>
            <w:hideMark/>
          </w:tcPr>
          <w:p w14:paraId="22CA6BEE"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3276</w:t>
            </w:r>
          </w:p>
        </w:tc>
        <w:tc>
          <w:tcPr>
            <w:tcW w:w="636" w:type="dxa"/>
            <w:tcBorders>
              <w:top w:val="nil"/>
              <w:left w:val="nil"/>
              <w:bottom w:val="nil"/>
              <w:right w:val="nil"/>
            </w:tcBorders>
            <w:shd w:val="clear" w:color="auto" w:fill="auto"/>
            <w:noWrap/>
            <w:vAlign w:val="center"/>
            <w:hideMark/>
          </w:tcPr>
          <w:p w14:paraId="4A9B47F3"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13.8</w:t>
            </w:r>
          </w:p>
        </w:tc>
      </w:tr>
      <w:tr w:rsidR="00D07A53" w:rsidRPr="00505045" w14:paraId="70A71A05" w14:textId="77777777" w:rsidTr="003632F4">
        <w:trPr>
          <w:trHeight w:val="330"/>
        </w:trPr>
        <w:tc>
          <w:tcPr>
            <w:tcW w:w="1418" w:type="dxa"/>
            <w:tcBorders>
              <w:top w:val="nil"/>
              <w:left w:val="nil"/>
              <w:bottom w:val="nil"/>
              <w:right w:val="nil"/>
            </w:tcBorders>
            <w:shd w:val="clear" w:color="auto" w:fill="auto"/>
            <w:noWrap/>
            <w:vAlign w:val="center"/>
            <w:hideMark/>
          </w:tcPr>
          <w:p w14:paraId="7F33633C" w14:textId="77777777" w:rsidR="00D07A53" w:rsidRPr="00505045" w:rsidRDefault="00D07A53" w:rsidP="003632F4">
            <w:pPr>
              <w:spacing w:line="240" w:lineRule="auto"/>
              <w:rPr>
                <w:rFonts w:eastAsia="Times New Roman"/>
                <w:color w:val="000000"/>
                <w:lang w:eastAsia="en-NZ"/>
              </w:rPr>
            </w:pPr>
            <w:r>
              <w:rPr>
                <w:rFonts w:eastAsia="Arial"/>
                <w:color w:val="000000"/>
                <w:lang w:val="en-US" w:eastAsia="en-NZ"/>
              </w:rPr>
              <w:t xml:space="preserve">  </w:t>
            </w:r>
            <w:r w:rsidRPr="00505045">
              <w:rPr>
                <w:rFonts w:eastAsia="Arial"/>
                <w:color w:val="000000"/>
                <w:lang w:val="en-US" w:eastAsia="en-NZ"/>
              </w:rPr>
              <w:t>25-34</w:t>
            </w:r>
          </w:p>
        </w:tc>
        <w:tc>
          <w:tcPr>
            <w:tcW w:w="1827" w:type="dxa"/>
            <w:tcBorders>
              <w:top w:val="nil"/>
              <w:left w:val="nil"/>
              <w:bottom w:val="nil"/>
              <w:right w:val="nil"/>
            </w:tcBorders>
            <w:shd w:val="clear" w:color="auto" w:fill="auto"/>
            <w:noWrap/>
            <w:vAlign w:val="center"/>
            <w:hideMark/>
          </w:tcPr>
          <w:p w14:paraId="7172FA17"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4014</w:t>
            </w:r>
          </w:p>
        </w:tc>
        <w:tc>
          <w:tcPr>
            <w:tcW w:w="636" w:type="dxa"/>
            <w:tcBorders>
              <w:top w:val="nil"/>
              <w:left w:val="nil"/>
              <w:bottom w:val="nil"/>
              <w:right w:val="nil"/>
            </w:tcBorders>
            <w:shd w:val="clear" w:color="auto" w:fill="auto"/>
            <w:noWrap/>
            <w:vAlign w:val="center"/>
            <w:hideMark/>
          </w:tcPr>
          <w:p w14:paraId="62F149F3"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24.8</w:t>
            </w:r>
          </w:p>
        </w:tc>
        <w:tc>
          <w:tcPr>
            <w:tcW w:w="1609" w:type="dxa"/>
            <w:tcBorders>
              <w:top w:val="nil"/>
              <w:left w:val="nil"/>
              <w:bottom w:val="nil"/>
              <w:right w:val="nil"/>
            </w:tcBorders>
            <w:shd w:val="clear" w:color="auto" w:fill="auto"/>
            <w:noWrap/>
            <w:vAlign w:val="center"/>
            <w:hideMark/>
          </w:tcPr>
          <w:p w14:paraId="5DAEEA62"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1522</w:t>
            </w:r>
          </w:p>
        </w:tc>
        <w:tc>
          <w:tcPr>
            <w:tcW w:w="801" w:type="dxa"/>
            <w:tcBorders>
              <w:top w:val="nil"/>
              <w:left w:val="nil"/>
              <w:bottom w:val="nil"/>
              <w:right w:val="nil"/>
            </w:tcBorders>
            <w:shd w:val="clear" w:color="auto" w:fill="auto"/>
            <w:noWrap/>
            <w:vAlign w:val="center"/>
            <w:hideMark/>
          </w:tcPr>
          <w:p w14:paraId="1A629C27"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23.8</w:t>
            </w:r>
          </w:p>
        </w:tc>
        <w:tc>
          <w:tcPr>
            <w:tcW w:w="1182" w:type="dxa"/>
            <w:tcBorders>
              <w:top w:val="nil"/>
              <w:left w:val="nil"/>
              <w:bottom w:val="nil"/>
              <w:right w:val="nil"/>
            </w:tcBorders>
            <w:shd w:val="clear" w:color="auto" w:fill="auto"/>
            <w:noWrap/>
            <w:vAlign w:val="center"/>
            <w:hideMark/>
          </w:tcPr>
          <w:p w14:paraId="540D42E2" w14:textId="77777777" w:rsidR="00D07A53" w:rsidRPr="00505045" w:rsidRDefault="00D07A53" w:rsidP="003632F4">
            <w:pPr>
              <w:spacing w:line="240" w:lineRule="auto"/>
              <w:jc w:val="right"/>
              <w:rPr>
                <w:rFonts w:eastAsia="Times New Roman"/>
                <w:color w:val="000000"/>
                <w:lang w:eastAsia="en-NZ"/>
              </w:rPr>
            </w:pPr>
            <w:r w:rsidRPr="00505045">
              <w:rPr>
                <w:rFonts w:eastAsia="Times New Roman"/>
                <w:color w:val="000000"/>
                <w:lang w:eastAsia="en-NZ"/>
              </w:rPr>
              <w:t>5536</w:t>
            </w:r>
          </w:p>
        </w:tc>
        <w:tc>
          <w:tcPr>
            <w:tcW w:w="636" w:type="dxa"/>
            <w:tcBorders>
              <w:top w:val="nil"/>
              <w:left w:val="nil"/>
              <w:bottom w:val="nil"/>
              <w:right w:val="nil"/>
            </w:tcBorders>
            <w:shd w:val="clear" w:color="auto" w:fill="auto"/>
            <w:noWrap/>
            <w:vAlign w:val="center"/>
            <w:hideMark/>
          </w:tcPr>
          <w:p w14:paraId="1BCBB338" w14:textId="77777777" w:rsidR="00D07A53" w:rsidRPr="00505045" w:rsidRDefault="00D07A53" w:rsidP="003632F4">
            <w:pPr>
              <w:spacing w:line="240" w:lineRule="auto"/>
              <w:jc w:val="right"/>
              <w:rPr>
                <w:rFonts w:eastAsia="Times New Roman"/>
                <w:i/>
                <w:iCs/>
                <w:color w:val="000000"/>
                <w:lang w:eastAsia="en-NZ"/>
              </w:rPr>
            </w:pPr>
            <w:r w:rsidRPr="00505045">
              <w:rPr>
                <w:rFonts w:eastAsia="Times New Roman"/>
                <w:i/>
                <w:iCs/>
                <w:color w:val="000000"/>
                <w:lang w:eastAsia="en-NZ"/>
              </w:rPr>
              <w:t>23.3</w:t>
            </w:r>
          </w:p>
        </w:tc>
      </w:tr>
      <w:tr w:rsidR="00D07A53" w:rsidRPr="00505045" w14:paraId="4D1863BE" w14:textId="77777777" w:rsidTr="003632F4">
        <w:trPr>
          <w:trHeight w:val="315"/>
        </w:trPr>
        <w:tc>
          <w:tcPr>
            <w:tcW w:w="1418" w:type="dxa"/>
            <w:tcBorders>
              <w:top w:val="nil"/>
              <w:left w:val="nil"/>
              <w:bottom w:val="nil"/>
              <w:right w:val="nil"/>
            </w:tcBorders>
            <w:shd w:val="clear" w:color="auto" w:fill="auto"/>
            <w:noWrap/>
            <w:vAlign w:val="center"/>
            <w:hideMark/>
          </w:tcPr>
          <w:p w14:paraId="559E383D" w14:textId="77777777" w:rsidR="00D07A53" w:rsidRPr="00505045" w:rsidRDefault="00D07A53" w:rsidP="003632F4">
            <w:pPr>
              <w:spacing w:line="240" w:lineRule="auto"/>
              <w:rPr>
                <w:rFonts w:eastAsia="Times New Roman"/>
                <w:color w:val="000000"/>
                <w:lang w:eastAsia="en-NZ"/>
              </w:rPr>
            </w:pPr>
            <w:r>
              <w:rPr>
                <w:rFonts w:eastAsia="Arial"/>
                <w:color w:val="000000"/>
                <w:lang w:val="en-US" w:eastAsia="en-NZ"/>
              </w:rPr>
              <w:t xml:space="preserve">  </w:t>
            </w:r>
            <w:r w:rsidRPr="00505045">
              <w:rPr>
                <w:rFonts w:eastAsia="Arial"/>
                <w:color w:val="000000"/>
                <w:lang w:val="en-US" w:eastAsia="en-NZ"/>
              </w:rPr>
              <w:t>35-44</w:t>
            </w:r>
          </w:p>
        </w:tc>
        <w:tc>
          <w:tcPr>
            <w:tcW w:w="1827" w:type="dxa"/>
            <w:tcBorders>
              <w:top w:val="nil"/>
              <w:left w:val="nil"/>
              <w:bottom w:val="nil"/>
              <w:right w:val="nil"/>
            </w:tcBorders>
            <w:shd w:val="clear" w:color="auto" w:fill="auto"/>
            <w:noWrap/>
            <w:vAlign w:val="center"/>
            <w:hideMark/>
          </w:tcPr>
          <w:p w14:paraId="31E050E8"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3773</w:t>
            </w:r>
          </w:p>
        </w:tc>
        <w:tc>
          <w:tcPr>
            <w:tcW w:w="636" w:type="dxa"/>
            <w:tcBorders>
              <w:top w:val="nil"/>
              <w:left w:val="nil"/>
              <w:bottom w:val="nil"/>
              <w:right w:val="nil"/>
            </w:tcBorders>
            <w:shd w:val="clear" w:color="auto" w:fill="auto"/>
            <w:noWrap/>
            <w:vAlign w:val="center"/>
            <w:hideMark/>
          </w:tcPr>
          <w:p w14:paraId="058C9878"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23.3</w:t>
            </w:r>
          </w:p>
        </w:tc>
        <w:tc>
          <w:tcPr>
            <w:tcW w:w="1609" w:type="dxa"/>
            <w:tcBorders>
              <w:top w:val="nil"/>
              <w:left w:val="nil"/>
              <w:bottom w:val="nil"/>
              <w:right w:val="nil"/>
            </w:tcBorders>
            <w:shd w:val="clear" w:color="auto" w:fill="auto"/>
            <w:noWrap/>
            <w:vAlign w:val="center"/>
            <w:hideMark/>
          </w:tcPr>
          <w:p w14:paraId="7DC1F24E"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1279</w:t>
            </w:r>
          </w:p>
        </w:tc>
        <w:tc>
          <w:tcPr>
            <w:tcW w:w="801" w:type="dxa"/>
            <w:tcBorders>
              <w:top w:val="nil"/>
              <w:left w:val="nil"/>
              <w:bottom w:val="nil"/>
              <w:right w:val="nil"/>
            </w:tcBorders>
            <w:shd w:val="clear" w:color="auto" w:fill="auto"/>
            <w:noWrap/>
            <w:vAlign w:val="center"/>
            <w:hideMark/>
          </w:tcPr>
          <w:p w14:paraId="14799BD1"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20</w:t>
            </w:r>
          </w:p>
        </w:tc>
        <w:tc>
          <w:tcPr>
            <w:tcW w:w="1182" w:type="dxa"/>
            <w:tcBorders>
              <w:top w:val="nil"/>
              <w:left w:val="nil"/>
              <w:bottom w:val="nil"/>
              <w:right w:val="nil"/>
            </w:tcBorders>
            <w:shd w:val="clear" w:color="auto" w:fill="auto"/>
            <w:noWrap/>
            <w:vAlign w:val="center"/>
            <w:hideMark/>
          </w:tcPr>
          <w:p w14:paraId="185B4F9C" w14:textId="77777777" w:rsidR="00D07A53" w:rsidRPr="00505045" w:rsidRDefault="00D07A53" w:rsidP="003632F4">
            <w:pPr>
              <w:spacing w:line="240" w:lineRule="auto"/>
              <w:jc w:val="right"/>
              <w:rPr>
                <w:rFonts w:eastAsia="Times New Roman"/>
                <w:color w:val="000000"/>
                <w:lang w:eastAsia="en-NZ"/>
              </w:rPr>
            </w:pPr>
            <w:r w:rsidRPr="00505045">
              <w:rPr>
                <w:rFonts w:eastAsia="Times New Roman"/>
                <w:color w:val="000000"/>
                <w:lang w:eastAsia="en-NZ"/>
              </w:rPr>
              <w:t>5052</w:t>
            </w:r>
          </w:p>
        </w:tc>
        <w:tc>
          <w:tcPr>
            <w:tcW w:w="636" w:type="dxa"/>
            <w:tcBorders>
              <w:top w:val="nil"/>
              <w:left w:val="nil"/>
              <w:bottom w:val="nil"/>
              <w:right w:val="nil"/>
            </w:tcBorders>
            <w:shd w:val="clear" w:color="auto" w:fill="auto"/>
            <w:noWrap/>
            <w:vAlign w:val="center"/>
            <w:hideMark/>
          </w:tcPr>
          <w:p w14:paraId="0209CD5F" w14:textId="77777777" w:rsidR="00D07A53" w:rsidRPr="00505045" w:rsidRDefault="00D07A53" w:rsidP="003632F4">
            <w:pPr>
              <w:spacing w:line="240" w:lineRule="auto"/>
              <w:jc w:val="right"/>
              <w:rPr>
                <w:rFonts w:eastAsia="Times New Roman"/>
                <w:i/>
                <w:iCs/>
                <w:color w:val="000000"/>
                <w:lang w:eastAsia="en-NZ"/>
              </w:rPr>
            </w:pPr>
            <w:r w:rsidRPr="00505045">
              <w:rPr>
                <w:rFonts w:eastAsia="Times New Roman"/>
                <w:i/>
                <w:iCs/>
                <w:color w:val="000000"/>
                <w:lang w:eastAsia="en-NZ"/>
              </w:rPr>
              <w:t>21.2</w:t>
            </w:r>
          </w:p>
        </w:tc>
      </w:tr>
      <w:tr w:rsidR="00D07A53" w:rsidRPr="00505045" w14:paraId="0E411B61" w14:textId="77777777" w:rsidTr="003632F4">
        <w:trPr>
          <w:trHeight w:val="315"/>
        </w:trPr>
        <w:tc>
          <w:tcPr>
            <w:tcW w:w="1418" w:type="dxa"/>
            <w:tcBorders>
              <w:top w:val="nil"/>
              <w:left w:val="nil"/>
              <w:bottom w:val="nil"/>
              <w:right w:val="nil"/>
            </w:tcBorders>
            <w:shd w:val="clear" w:color="auto" w:fill="auto"/>
            <w:noWrap/>
            <w:vAlign w:val="center"/>
            <w:hideMark/>
          </w:tcPr>
          <w:p w14:paraId="3BB74CA3" w14:textId="77777777" w:rsidR="00D07A53" w:rsidRPr="00505045" w:rsidRDefault="00D07A53" w:rsidP="003632F4">
            <w:pPr>
              <w:spacing w:line="240" w:lineRule="auto"/>
              <w:rPr>
                <w:rFonts w:eastAsia="Times New Roman"/>
                <w:color w:val="000000"/>
                <w:lang w:eastAsia="en-NZ"/>
              </w:rPr>
            </w:pPr>
            <w:r>
              <w:rPr>
                <w:rFonts w:eastAsia="Arial"/>
                <w:color w:val="000000"/>
                <w:lang w:val="en-US" w:eastAsia="en-NZ"/>
              </w:rPr>
              <w:t xml:space="preserve">  </w:t>
            </w:r>
            <w:r w:rsidRPr="00505045">
              <w:rPr>
                <w:rFonts w:eastAsia="Arial"/>
                <w:color w:val="000000"/>
                <w:lang w:val="en-US" w:eastAsia="en-NZ"/>
              </w:rPr>
              <w:t>45-54</w:t>
            </w:r>
          </w:p>
        </w:tc>
        <w:tc>
          <w:tcPr>
            <w:tcW w:w="1827" w:type="dxa"/>
            <w:tcBorders>
              <w:top w:val="nil"/>
              <w:left w:val="nil"/>
              <w:bottom w:val="nil"/>
              <w:right w:val="nil"/>
            </w:tcBorders>
            <w:shd w:val="clear" w:color="auto" w:fill="auto"/>
            <w:noWrap/>
            <w:vAlign w:val="center"/>
            <w:hideMark/>
          </w:tcPr>
          <w:p w14:paraId="0203E72E"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3101</w:t>
            </w:r>
          </w:p>
        </w:tc>
        <w:tc>
          <w:tcPr>
            <w:tcW w:w="636" w:type="dxa"/>
            <w:tcBorders>
              <w:top w:val="nil"/>
              <w:left w:val="nil"/>
              <w:bottom w:val="nil"/>
              <w:right w:val="nil"/>
            </w:tcBorders>
            <w:shd w:val="clear" w:color="auto" w:fill="auto"/>
            <w:noWrap/>
            <w:vAlign w:val="center"/>
            <w:hideMark/>
          </w:tcPr>
          <w:p w14:paraId="6AC87AA4"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19.2</w:t>
            </w:r>
          </w:p>
        </w:tc>
        <w:tc>
          <w:tcPr>
            <w:tcW w:w="1609" w:type="dxa"/>
            <w:tcBorders>
              <w:top w:val="nil"/>
              <w:left w:val="nil"/>
              <w:bottom w:val="nil"/>
              <w:right w:val="nil"/>
            </w:tcBorders>
            <w:shd w:val="clear" w:color="auto" w:fill="auto"/>
            <w:noWrap/>
            <w:vAlign w:val="center"/>
            <w:hideMark/>
          </w:tcPr>
          <w:p w14:paraId="2815E8DB"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1129</w:t>
            </w:r>
          </w:p>
        </w:tc>
        <w:tc>
          <w:tcPr>
            <w:tcW w:w="801" w:type="dxa"/>
            <w:tcBorders>
              <w:top w:val="nil"/>
              <w:left w:val="nil"/>
              <w:bottom w:val="nil"/>
              <w:right w:val="nil"/>
            </w:tcBorders>
            <w:shd w:val="clear" w:color="auto" w:fill="auto"/>
            <w:noWrap/>
            <w:vAlign w:val="center"/>
            <w:hideMark/>
          </w:tcPr>
          <w:p w14:paraId="6B92ED1A"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17.7</w:t>
            </w:r>
          </w:p>
        </w:tc>
        <w:tc>
          <w:tcPr>
            <w:tcW w:w="1182" w:type="dxa"/>
            <w:tcBorders>
              <w:top w:val="nil"/>
              <w:left w:val="nil"/>
              <w:bottom w:val="nil"/>
              <w:right w:val="nil"/>
            </w:tcBorders>
            <w:shd w:val="clear" w:color="auto" w:fill="auto"/>
            <w:noWrap/>
            <w:vAlign w:val="center"/>
            <w:hideMark/>
          </w:tcPr>
          <w:p w14:paraId="7E9EEC96" w14:textId="77777777" w:rsidR="00D07A53" w:rsidRPr="00505045" w:rsidRDefault="00D07A53" w:rsidP="003632F4">
            <w:pPr>
              <w:spacing w:line="240" w:lineRule="auto"/>
              <w:jc w:val="right"/>
              <w:rPr>
                <w:rFonts w:eastAsia="Times New Roman"/>
                <w:color w:val="000000"/>
                <w:lang w:eastAsia="en-NZ"/>
              </w:rPr>
            </w:pPr>
            <w:r w:rsidRPr="00505045">
              <w:rPr>
                <w:rFonts w:eastAsia="Times New Roman"/>
                <w:color w:val="000000"/>
                <w:lang w:eastAsia="en-NZ"/>
              </w:rPr>
              <w:t>4230</w:t>
            </w:r>
          </w:p>
        </w:tc>
        <w:tc>
          <w:tcPr>
            <w:tcW w:w="636" w:type="dxa"/>
            <w:tcBorders>
              <w:top w:val="nil"/>
              <w:left w:val="nil"/>
              <w:bottom w:val="nil"/>
              <w:right w:val="nil"/>
            </w:tcBorders>
            <w:shd w:val="clear" w:color="auto" w:fill="auto"/>
            <w:noWrap/>
            <w:vAlign w:val="center"/>
            <w:hideMark/>
          </w:tcPr>
          <w:p w14:paraId="31E7374C" w14:textId="77777777" w:rsidR="00D07A53" w:rsidRPr="00505045" w:rsidRDefault="00D07A53" w:rsidP="003632F4">
            <w:pPr>
              <w:spacing w:line="240" w:lineRule="auto"/>
              <w:jc w:val="right"/>
              <w:rPr>
                <w:rFonts w:eastAsia="Times New Roman"/>
                <w:i/>
                <w:iCs/>
                <w:color w:val="000000"/>
                <w:lang w:eastAsia="en-NZ"/>
              </w:rPr>
            </w:pPr>
            <w:r w:rsidRPr="00505045">
              <w:rPr>
                <w:rFonts w:eastAsia="Times New Roman"/>
                <w:i/>
                <w:iCs/>
                <w:color w:val="000000"/>
                <w:lang w:eastAsia="en-NZ"/>
              </w:rPr>
              <w:t>17.8</w:t>
            </w:r>
          </w:p>
        </w:tc>
      </w:tr>
      <w:tr w:rsidR="00D07A53" w:rsidRPr="00505045" w14:paraId="5545462C" w14:textId="77777777" w:rsidTr="003632F4">
        <w:trPr>
          <w:trHeight w:val="330"/>
        </w:trPr>
        <w:tc>
          <w:tcPr>
            <w:tcW w:w="1418" w:type="dxa"/>
            <w:tcBorders>
              <w:top w:val="nil"/>
              <w:left w:val="nil"/>
              <w:bottom w:val="single" w:sz="8" w:space="0" w:color="auto"/>
              <w:right w:val="nil"/>
            </w:tcBorders>
            <w:shd w:val="clear" w:color="auto" w:fill="auto"/>
            <w:noWrap/>
            <w:vAlign w:val="center"/>
            <w:hideMark/>
          </w:tcPr>
          <w:p w14:paraId="72C417A0" w14:textId="77777777" w:rsidR="00D07A53" w:rsidRPr="00505045" w:rsidRDefault="00D07A53" w:rsidP="003632F4">
            <w:pPr>
              <w:spacing w:line="240" w:lineRule="auto"/>
              <w:rPr>
                <w:rFonts w:eastAsia="Times New Roman"/>
                <w:color w:val="000000"/>
                <w:lang w:eastAsia="en-NZ"/>
              </w:rPr>
            </w:pPr>
            <w:r>
              <w:rPr>
                <w:rFonts w:eastAsia="Arial"/>
                <w:color w:val="000000"/>
                <w:lang w:val="en-US" w:eastAsia="en-NZ"/>
              </w:rPr>
              <w:t xml:space="preserve">  </w:t>
            </w:r>
            <w:r w:rsidRPr="00505045">
              <w:rPr>
                <w:rFonts w:eastAsia="Arial"/>
                <w:color w:val="000000"/>
                <w:lang w:val="en-US" w:eastAsia="en-NZ"/>
              </w:rPr>
              <w:t>55 or more</w:t>
            </w:r>
          </w:p>
        </w:tc>
        <w:tc>
          <w:tcPr>
            <w:tcW w:w="1827" w:type="dxa"/>
            <w:tcBorders>
              <w:top w:val="nil"/>
              <w:left w:val="nil"/>
              <w:bottom w:val="single" w:sz="8" w:space="0" w:color="auto"/>
              <w:right w:val="nil"/>
            </w:tcBorders>
            <w:shd w:val="clear" w:color="auto" w:fill="auto"/>
            <w:noWrap/>
            <w:vAlign w:val="center"/>
            <w:hideMark/>
          </w:tcPr>
          <w:p w14:paraId="67CB4896"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3079</w:t>
            </w:r>
          </w:p>
        </w:tc>
        <w:tc>
          <w:tcPr>
            <w:tcW w:w="636" w:type="dxa"/>
            <w:tcBorders>
              <w:top w:val="nil"/>
              <w:left w:val="nil"/>
              <w:bottom w:val="single" w:sz="8" w:space="0" w:color="auto"/>
              <w:right w:val="nil"/>
            </w:tcBorders>
            <w:shd w:val="clear" w:color="auto" w:fill="auto"/>
            <w:noWrap/>
            <w:vAlign w:val="center"/>
            <w:hideMark/>
          </w:tcPr>
          <w:p w14:paraId="7CAC9F3F"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19.1</w:t>
            </w:r>
          </w:p>
        </w:tc>
        <w:tc>
          <w:tcPr>
            <w:tcW w:w="1609" w:type="dxa"/>
            <w:tcBorders>
              <w:top w:val="nil"/>
              <w:left w:val="nil"/>
              <w:bottom w:val="single" w:sz="8" w:space="0" w:color="auto"/>
              <w:right w:val="nil"/>
            </w:tcBorders>
            <w:shd w:val="clear" w:color="auto" w:fill="auto"/>
            <w:noWrap/>
            <w:vAlign w:val="center"/>
            <w:hideMark/>
          </w:tcPr>
          <w:p w14:paraId="05661E4A"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1384</w:t>
            </w:r>
          </w:p>
        </w:tc>
        <w:tc>
          <w:tcPr>
            <w:tcW w:w="801" w:type="dxa"/>
            <w:tcBorders>
              <w:top w:val="nil"/>
              <w:left w:val="nil"/>
              <w:bottom w:val="single" w:sz="8" w:space="0" w:color="auto"/>
              <w:right w:val="nil"/>
            </w:tcBorders>
            <w:shd w:val="clear" w:color="auto" w:fill="auto"/>
            <w:noWrap/>
            <w:vAlign w:val="center"/>
            <w:hideMark/>
          </w:tcPr>
          <w:p w14:paraId="39A4ADA9"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21.7</w:t>
            </w:r>
          </w:p>
        </w:tc>
        <w:tc>
          <w:tcPr>
            <w:tcW w:w="1182" w:type="dxa"/>
            <w:tcBorders>
              <w:top w:val="nil"/>
              <w:left w:val="nil"/>
              <w:bottom w:val="single" w:sz="8" w:space="0" w:color="auto"/>
              <w:right w:val="nil"/>
            </w:tcBorders>
            <w:shd w:val="clear" w:color="auto" w:fill="auto"/>
            <w:noWrap/>
            <w:vAlign w:val="center"/>
            <w:hideMark/>
          </w:tcPr>
          <w:p w14:paraId="7DA70FBF" w14:textId="77777777" w:rsidR="00D07A53" w:rsidRPr="00505045" w:rsidRDefault="00D07A53" w:rsidP="003632F4">
            <w:pPr>
              <w:spacing w:line="240" w:lineRule="auto"/>
              <w:jc w:val="right"/>
              <w:rPr>
                <w:rFonts w:eastAsia="Times New Roman"/>
                <w:color w:val="000000"/>
                <w:lang w:eastAsia="en-NZ"/>
              </w:rPr>
            </w:pPr>
            <w:r w:rsidRPr="00505045">
              <w:rPr>
                <w:rFonts w:eastAsia="Times New Roman"/>
                <w:color w:val="000000"/>
                <w:lang w:eastAsia="en-NZ"/>
              </w:rPr>
              <w:t>4463</w:t>
            </w:r>
          </w:p>
        </w:tc>
        <w:tc>
          <w:tcPr>
            <w:tcW w:w="636" w:type="dxa"/>
            <w:tcBorders>
              <w:top w:val="nil"/>
              <w:left w:val="nil"/>
              <w:bottom w:val="single" w:sz="8" w:space="0" w:color="auto"/>
              <w:right w:val="nil"/>
            </w:tcBorders>
            <w:shd w:val="clear" w:color="auto" w:fill="auto"/>
            <w:noWrap/>
            <w:vAlign w:val="center"/>
            <w:hideMark/>
          </w:tcPr>
          <w:p w14:paraId="0D140D0C" w14:textId="77777777" w:rsidR="00D07A53" w:rsidRPr="00505045" w:rsidRDefault="00D07A53" w:rsidP="003632F4">
            <w:pPr>
              <w:spacing w:line="240" w:lineRule="auto"/>
              <w:jc w:val="right"/>
              <w:rPr>
                <w:rFonts w:eastAsia="Times New Roman"/>
                <w:i/>
                <w:iCs/>
                <w:color w:val="000000"/>
                <w:lang w:eastAsia="en-NZ"/>
              </w:rPr>
            </w:pPr>
            <w:r w:rsidRPr="00505045">
              <w:rPr>
                <w:rFonts w:eastAsia="Times New Roman"/>
                <w:i/>
                <w:iCs/>
                <w:color w:val="000000"/>
                <w:lang w:eastAsia="en-NZ"/>
              </w:rPr>
              <w:t>18.7</w:t>
            </w:r>
          </w:p>
        </w:tc>
      </w:tr>
      <w:tr w:rsidR="00D07A53" w:rsidRPr="00505045" w14:paraId="170E1D5A" w14:textId="77777777" w:rsidTr="003632F4">
        <w:trPr>
          <w:trHeight w:val="330"/>
        </w:trPr>
        <w:tc>
          <w:tcPr>
            <w:tcW w:w="3245" w:type="dxa"/>
            <w:gridSpan w:val="2"/>
            <w:tcBorders>
              <w:top w:val="nil"/>
              <w:left w:val="nil"/>
              <w:bottom w:val="nil"/>
              <w:right w:val="nil"/>
            </w:tcBorders>
            <w:shd w:val="clear" w:color="auto" w:fill="auto"/>
            <w:noWrap/>
            <w:vAlign w:val="center"/>
            <w:hideMark/>
          </w:tcPr>
          <w:p w14:paraId="5DA1E464" w14:textId="77777777" w:rsidR="00D07A53" w:rsidRPr="00505045" w:rsidRDefault="00D07A53" w:rsidP="003632F4">
            <w:pPr>
              <w:spacing w:line="240" w:lineRule="auto"/>
              <w:rPr>
                <w:rFonts w:eastAsia="Times New Roman"/>
                <w:b/>
                <w:bCs/>
                <w:color w:val="000000"/>
                <w:lang w:eastAsia="en-NZ"/>
              </w:rPr>
            </w:pPr>
            <w:r w:rsidRPr="00505045">
              <w:rPr>
                <w:rFonts w:eastAsia="Times New Roman"/>
                <w:b/>
                <w:bCs/>
                <w:color w:val="000000"/>
                <w:lang w:eastAsia="en-NZ"/>
              </w:rPr>
              <w:t>Ethnic Group</w:t>
            </w:r>
          </w:p>
        </w:tc>
        <w:tc>
          <w:tcPr>
            <w:tcW w:w="636" w:type="dxa"/>
            <w:tcBorders>
              <w:top w:val="nil"/>
              <w:left w:val="nil"/>
              <w:bottom w:val="nil"/>
              <w:right w:val="nil"/>
            </w:tcBorders>
            <w:shd w:val="clear" w:color="auto" w:fill="auto"/>
            <w:noWrap/>
            <w:vAlign w:val="bottom"/>
            <w:hideMark/>
          </w:tcPr>
          <w:p w14:paraId="26C3CB70" w14:textId="77777777" w:rsidR="00D07A53" w:rsidRPr="00505045" w:rsidRDefault="00D07A53" w:rsidP="003632F4">
            <w:pPr>
              <w:spacing w:line="240" w:lineRule="auto"/>
              <w:rPr>
                <w:rFonts w:eastAsia="Times New Roman"/>
                <w:color w:val="000000"/>
                <w:lang w:eastAsia="en-NZ"/>
              </w:rPr>
            </w:pPr>
          </w:p>
        </w:tc>
        <w:tc>
          <w:tcPr>
            <w:tcW w:w="1609" w:type="dxa"/>
            <w:tcBorders>
              <w:top w:val="nil"/>
              <w:left w:val="nil"/>
              <w:bottom w:val="nil"/>
              <w:right w:val="nil"/>
            </w:tcBorders>
            <w:shd w:val="clear" w:color="auto" w:fill="auto"/>
            <w:noWrap/>
            <w:vAlign w:val="bottom"/>
            <w:hideMark/>
          </w:tcPr>
          <w:p w14:paraId="40604BDF" w14:textId="77777777" w:rsidR="00D07A53" w:rsidRPr="00505045" w:rsidRDefault="00D07A53" w:rsidP="003632F4">
            <w:pPr>
              <w:spacing w:line="240" w:lineRule="auto"/>
              <w:rPr>
                <w:rFonts w:eastAsia="Times New Roman"/>
                <w:lang w:eastAsia="en-NZ"/>
              </w:rPr>
            </w:pPr>
          </w:p>
        </w:tc>
        <w:tc>
          <w:tcPr>
            <w:tcW w:w="801" w:type="dxa"/>
            <w:tcBorders>
              <w:top w:val="nil"/>
              <w:left w:val="nil"/>
              <w:bottom w:val="nil"/>
              <w:right w:val="nil"/>
            </w:tcBorders>
            <w:shd w:val="clear" w:color="auto" w:fill="auto"/>
            <w:noWrap/>
            <w:vAlign w:val="bottom"/>
            <w:hideMark/>
          </w:tcPr>
          <w:p w14:paraId="494B8F17" w14:textId="77777777" w:rsidR="00D07A53" w:rsidRPr="00505045" w:rsidRDefault="00D07A53" w:rsidP="003632F4">
            <w:pPr>
              <w:spacing w:line="240" w:lineRule="auto"/>
              <w:rPr>
                <w:rFonts w:eastAsia="Times New Roman"/>
                <w:lang w:eastAsia="en-NZ"/>
              </w:rPr>
            </w:pPr>
          </w:p>
        </w:tc>
        <w:tc>
          <w:tcPr>
            <w:tcW w:w="1182" w:type="dxa"/>
            <w:tcBorders>
              <w:top w:val="nil"/>
              <w:left w:val="nil"/>
              <w:bottom w:val="nil"/>
              <w:right w:val="nil"/>
            </w:tcBorders>
            <w:shd w:val="clear" w:color="auto" w:fill="auto"/>
            <w:noWrap/>
            <w:vAlign w:val="bottom"/>
            <w:hideMark/>
          </w:tcPr>
          <w:p w14:paraId="72BD4077" w14:textId="77777777" w:rsidR="00D07A53" w:rsidRPr="00505045" w:rsidRDefault="00D07A53" w:rsidP="003632F4">
            <w:pPr>
              <w:spacing w:line="240" w:lineRule="auto"/>
              <w:rPr>
                <w:rFonts w:eastAsia="Times New Roman"/>
                <w:lang w:eastAsia="en-NZ"/>
              </w:rPr>
            </w:pPr>
          </w:p>
        </w:tc>
        <w:tc>
          <w:tcPr>
            <w:tcW w:w="636" w:type="dxa"/>
            <w:tcBorders>
              <w:top w:val="nil"/>
              <w:left w:val="nil"/>
              <w:bottom w:val="nil"/>
              <w:right w:val="nil"/>
            </w:tcBorders>
            <w:shd w:val="clear" w:color="auto" w:fill="auto"/>
            <w:noWrap/>
            <w:vAlign w:val="bottom"/>
            <w:hideMark/>
          </w:tcPr>
          <w:p w14:paraId="615F10A3" w14:textId="77777777" w:rsidR="00D07A53" w:rsidRPr="00505045" w:rsidRDefault="00D07A53" w:rsidP="003632F4">
            <w:pPr>
              <w:spacing w:line="240" w:lineRule="auto"/>
              <w:rPr>
                <w:rFonts w:eastAsia="Times New Roman"/>
                <w:lang w:eastAsia="en-NZ"/>
              </w:rPr>
            </w:pPr>
          </w:p>
        </w:tc>
      </w:tr>
      <w:tr w:rsidR="00D07A53" w:rsidRPr="00505045" w14:paraId="05B47B40" w14:textId="77777777" w:rsidTr="003632F4">
        <w:trPr>
          <w:trHeight w:val="315"/>
        </w:trPr>
        <w:tc>
          <w:tcPr>
            <w:tcW w:w="1418" w:type="dxa"/>
            <w:tcBorders>
              <w:top w:val="nil"/>
              <w:left w:val="nil"/>
              <w:bottom w:val="nil"/>
              <w:right w:val="nil"/>
            </w:tcBorders>
            <w:shd w:val="clear" w:color="auto" w:fill="auto"/>
            <w:noWrap/>
            <w:vAlign w:val="center"/>
            <w:hideMark/>
          </w:tcPr>
          <w:p w14:paraId="1388BAE6" w14:textId="77777777" w:rsidR="00D07A53" w:rsidRPr="00505045" w:rsidRDefault="00D07A53" w:rsidP="003632F4">
            <w:pPr>
              <w:spacing w:line="240" w:lineRule="auto"/>
              <w:rPr>
                <w:rFonts w:eastAsia="Times New Roman"/>
                <w:color w:val="000000"/>
                <w:lang w:eastAsia="en-NZ"/>
              </w:rPr>
            </w:pPr>
            <w:r>
              <w:rPr>
                <w:rFonts w:eastAsia="Arial"/>
                <w:color w:val="000000"/>
                <w:lang w:val="en-US" w:eastAsia="en-NZ"/>
              </w:rPr>
              <w:t xml:space="preserve">  </w:t>
            </w:r>
            <w:r w:rsidRPr="00505045">
              <w:rPr>
                <w:rFonts w:eastAsia="Arial"/>
                <w:color w:val="000000"/>
                <w:lang w:val="en-US" w:eastAsia="en-NZ"/>
              </w:rPr>
              <w:t>Māori</w:t>
            </w:r>
          </w:p>
        </w:tc>
        <w:tc>
          <w:tcPr>
            <w:tcW w:w="1827" w:type="dxa"/>
            <w:tcBorders>
              <w:top w:val="nil"/>
              <w:left w:val="nil"/>
              <w:bottom w:val="nil"/>
              <w:right w:val="nil"/>
            </w:tcBorders>
            <w:shd w:val="clear" w:color="auto" w:fill="auto"/>
            <w:noWrap/>
            <w:vAlign w:val="center"/>
            <w:hideMark/>
          </w:tcPr>
          <w:p w14:paraId="7F76BBAE"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6923</w:t>
            </w:r>
          </w:p>
        </w:tc>
        <w:tc>
          <w:tcPr>
            <w:tcW w:w="636" w:type="dxa"/>
            <w:tcBorders>
              <w:top w:val="nil"/>
              <w:left w:val="nil"/>
              <w:bottom w:val="nil"/>
              <w:right w:val="nil"/>
            </w:tcBorders>
            <w:shd w:val="clear" w:color="auto" w:fill="auto"/>
            <w:noWrap/>
            <w:vAlign w:val="center"/>
            <w:hideMark/>
          </w:tcPr>
          <w:p w14:paraId="090AEFE9"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39.8</w:t>
            </w:r>
          </w:p>
        </w:tc>
        <w:tc>
          <w:tcPr>
            <w:tcW w:w="1609" w:type="dxa"/>
            <w:tcBorders>
              <w:top w:val="nil"/>
              <w:left w:val="nil"/>
              <w:bottom w:val="nil"/>
              <w:right w:val="nil"/>
            </w:tcBorders>
            <w:shd w:val="clear" w:color="auto" w:fill="auto"/>
            <w:noWrap/>
            <w:vAlign w:val="center"/>
            <w:hideMark/>
          </w:tcPr>
          <w:p w14:paraId="03A26E21"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2511</w:t>
            </w:r>
          </w:p>
        </w:tc>
        <w:tc>
          <w:tcPr>
            <w:tcW w:w="801" w:type="dxa"/>
            <w:tcBorders>
              <w:top w:val="nil"/>
              <w:left w:val="nil"/>
              <w:bottom w:val="nil"/>
              <w:right w:val="nil"/>
            </w:tcBorders>
            <w:shd w:val="clear" w:color="auto" w:fill="auto"/>
            <w:noWrap/>
            <w:vAlign w:val="center"/>
            <w:hideMark/>
          </w:tcPr>
          <w:p w14:paraId="0967891C"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39.3</w:t>
            </w:r>
          </w:p>
        </w:tc>
        <w:tc>
          <w:tcPr>
            <w:tcW w:w="1182" w:type="dxa"/>
            <w:tcBorders>
              <w:top w:val="nil"/>
              <w:left w:val="nil"/>
              <w:bottom w:val="nil"/>
              <w:right w:val="nil"/>
            </w:tcBorders>
            <w:shd w:val="clear" w:color="auto" w:fill="auto"/>
            <w:noWrap/>
            <w:vAlign w:val="center"/>
            <w:hideMark/>
          </w:tcPr>
          <w:p w14:paraId="6403B596"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9434</w:t>
            </w:r>
          </w:p>
        </w:tc>
        <w:tc>
          <w:tcPr>
            <w:tcW w:w="636" w:type="dxa"/>
            <w:tcBorders>
              <w:top w:val="nil"/>
              <w:left w:val="nil"/>
              <w:bottom w:val="nil"/>
              <w:right w:val="nil"/>
            </w:tcBorders>
            <w:shd w:val="clear" w:color="auto" w:fill="auto"/>
            <w:noWrap/>
            <w:vAlign w:val="center"/>
            <w:hideMark/>
          </w:tcPr>
          <w:p w14:paraId="7D5A2117"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39.6</w:t>
            </w:r>
          </w:p>
        </w:tc>
      </w:tr>
      <w:tr w:rsidR="00D07A53" w:rsidRPr="00505045" w14:paraId="300BDED7" w14:textId="77777777" w:rsidTr="003632F4">
        <w:trPr>
          <w:trHeight w:val="315"/>
        </w:trPr>
        <w:tc>
          <w:tcPr>
            <w:tcW w:w="1418" w:type="dxa"/>
            <w:tcBorders>
              <w:top w:val="nil"/>
              <w:left w:val="nil"/>
              <w:bottom w:val="nil"/>
              <w:right w:val="nil"/>
            </w:tcBorders>
            <w:shd w:val="clear" w:color="auto" w:fill="auto"/>
            <w:noWrap/>
            <w:vAlign w:val="center"/>
            <w:hideMark/>
          </w:tcPr>
          <w:p w14:paraId="77E8FE85" w14:textId="77777777" w:rsidR="00D07A53" w:rsidRPr="00505045" w:rsidRDefault="00D07A53" w:rsidP="003632F4">
            <w:pPr>
              <w:spacing w:line="240" w:lineRule="auto"/>
              <w:rPr>
                <w:rFonts w:eastAsia="Times New Roman"/>
                <w:color w:val="000000"/>
                <w:lang w:eastAsia="en-NZ"/>
              </w:rPr>
            </w:pPr>
            <w:r>
              <w:rPr>
                <w:rFonts w:eastAsia="Arial"/>
                <w:color w:val="000000"/>
                <w:lang w:val="en-US" w:eastAsia="en-NZ"/>
              </w:rPr>
              <w:t xml:space="preserve">  </w:t>
            </w:r>
            <w:r w:rsidRPr="00505045">
              <w:rPr>
                <w:rFonts w:eastAsia="Arial"/>
                <w:color w:val="000000"/>
                <w:lang w:val="en-US" w:eastAsia="en-NZ"/>
              </w:rPr>
              <w:t>Pacific</w:t>
            </w:r>
          </w:p>
        </w:tc>
        <w:tc>
          <w:tcPr>
            <w:tcW w:w="1827" w:type="dxa"/>
            <w:tcBorders>
              <w:top w:val="nil"/>
              <w:left w:val="nil"/>
              <w:bottom w:val="nil"/>
              <w:right w:val="nil"/>
            </w:tcBorders>
            <w:shd w:val="clear" w:color="auto" w:fill="auto"/>
            <w:noWrap/>
            <w:vAlign w:val="center"/>
            <w:hideMark/>
          </w:tcPr>
          <w:p w14:paraId="40791DF7"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3451</w:t>
            </w:r>
          </w:p>
        </w:tc>
        <w:tc>
          <w:tcPr>
            <w:tcW w:w="636" w:type="dxa"/>
            <w:tcBorders>
              <w:top w:val="nil"/>
              <w:left w:val="nil"/>
              <w:bottom w:val="nil"/>
              <w:right w:val="nil"/>
            </w:tcBorders>
            <w:shd w:val="clear" w:color="auto" w:fill="auto"/>
            <w:noWrap/>
            <w:vAlign w:val="center"/>
            <w:hideMark/>
          </w:tcPr>
          <w:p w14:paraId="017F6B12"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19.8</w:t>
            </w:r>
          </w:p>
        </w:tc>
        <w:tc>
          <w:tcPr>
            <w:tcW w:w="1609" w:type="dxa"/>
            <w:tcBorders>
              <w:top w:val="nil"/>
              <w:left w:val="nil"/>
              <w:bottom w:val="nil"/>
              <w:right w:val="nil"/>
            </w:tcBorders>
            <w:shd w:val="clear" w:color="auto" w:fill="auto"/>
            <w:noWrap/>
            <w:vAlign w:val="center"/>
            <w:hideMark/>
          </w:tcPr>
          <w:p w14:paraId="103B38F4"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1873</w:t>
            </w:r>
          </w:p>
        </w:tc>
        <w:tc>
          <w:tcPr>
            <w:tcW w:w="801" w:type="dxa"/>
            <w:tcBorders>
              <w:top w:val="nil"/>
              <w:left w:val="nil"/>
              <w:bottom w:val="nil"/>
              <w:right w:val="nil"/>
            </w:tcBorders>
            <w:shd w:val="clear" w:color="auto" w:fill="auto"/>
            <w:noWrap/>
            <w:vAlign w:val="center"/>
            <w:hideMark/>
          </w:tcPr>
          <w:p w14:paraId="4B04B0F2"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29.3</w:t>
            </w:r>
          </w:p>
        </w:tc>
        <w:tc>
          <w:tcPr>
            <w:tcW w:w="1182" w:type="dxa"/>
            <w:tcBorders>
              <w:top w:val="nil"/>
              <w:left w:val="nil"/>
              <w:bottom w:val="nil"/>
              <w:right w:val="nil"/>
            </w:tcBorders>
            <w:shd w:val="clear" w:color="auto" w:fill="auto"/>
            <w:noWrap/>
            <w:vAlign w:val="center"/>
            <w:hideMark/>
          </w:tcPr>
          <w:p w14:paraId="0E05241F" w14:textId="77777777" w:rsidR="00D07A53" w:rsidRPr="00505045" w:rsidRDefault="00D07A53" w:rsidP="003632F4">
            <w:pPr>
              <w:spacing w:line="240" w:lineRule="auto"/>
              <w:jc w:val="right"/>
              <w:rPr>
                <w:rFonts w:eastAsia="Times New Roman"/>
                <w:color w:val="000000"/>
                <w:lang w:eastAsia="en-NZ"/>
              </w:rPr>
            </w:pPr>
            <w:r w:rsidRPr="00505045">
              <w:rPr>
                <w:rFonts w:eastAsia="Times New Roman"/>
                <w:color w:val="000000"/>
                <w:lang w:eastAsia="en-NZ"/>
              </w:rPr>
              <w:t>5324</w:t>
            </w:r>
          </w:p>
        </w:tc>
        <w:tc>
          <w:tcPr>
            <w:tcW w:w="636" w:type="dxa"/>
            <w:tcBorders>
              <w:top w:val="nil"/>
              <w:left w:val="nil"/>
              <w:bottom w:val="nil"/>
              <w:right w:val="nil"/>
            </w:tcBorders>
            <w:shd w:val="clear" w:color="auto" w:fill="auto"/>
            <w:noWrap/>
            <w:vAlign w:val="center"/>
            <w:hideMark/>
          </w:tcPr>
          <w:p w14:paraId="76478024"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22.4</w:t>
            </w:r>
          </w:p>
        </w:tc>
      </w:tr>
      <w:tr w:rsidR="00D07A53" w:rsidRPr="00505045" w14:paraId="27239AE8" w14:textId="77777777" w:rsidTr="003632F4">
        <w:trPr>
          <w:trHeight w:val="315"/>
        </w:trPr>
        <w:tc>
          <w:tcPr>
            <w:tcW w:w="1418" w:type="dxa"/>
            <w:tcBorders>
              <w:top w:val="nil"/>
              <w:left w:val="nil"/>
              <w:bottom w:val="nil"/>
              <w:right w:val="nil"/>
            </w:tcBorders>
            <w:shd w:val="clear" w:color="auto" w:fill="auto"/>
            <w:noWrap/>
            <w:vAlign w:val="center"/>
            <w:hideMark/>
          </w:tcPr>
          <w:p w14:paraId="52709806" w14:textId="77777777" w:rsidR="00D07A53" w:rsidRPr="00505045" w:rsidRDefault="00D07A53" w:rsidP="003632F4">
            <w:pPr>
              <w:spacing w:line="240" w:lineRule="auto"/>
              <w:rPr>
                <w:rFonts w:eastAsia="Times New Roman"/>
                <w:color w:val="000000"/>
                <w:lang w:eastAsia="en-NZ"/>
              </w:rPr>
            </w:pPr>
            <w:r>
              <w:rPr>
                <w:rFonts w:eastAsia="Arial"/>
                <w:color w:val="000000"/>
                <w:lang w:val="en-US" w:eastAsia="en-NZ"/>
              </w:rPr>
              <w:t xml:space="preserve">  </w:t>
            </w:r>
            <w:r w:rsidRPr="00505045">
              <w:rPr>
                <w:rFonts w:eastAsia="Arial"/>
                <w:color w:val="000000"/>
                <w:lang w:val="en-US" w:eastAsia="en-NZ"/>
              </w:rPr>
              <w:t>East Asian</w:t>
            </w:r>
          </w:p>
        </w:tc>
        <w:tc>
          <w:tcPr>
            <w:tcW w:w="1827" w:type="dxa"/>
            <w:tcBorders>
              <w:top w:val="nil"/>
              <w:left w:val="nil"/>
              <w:bottom w:val="nil"/>
              <w:right w:val="nil"/>
            </w:tcBorders>
            <w:shd w:val="clear" w:color="auto" w:fill="auto"/>
            <w:noWrap/>
            <w:vAlign w:val="center"/>
            <w:hideMark/>
          </w:tcPr>
          <w:p w14:paraId="448507AE"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1323</w:t>
            </w:r>
          </w:p>
        </w:tc>
        <w:tc>
          <w:tcPr>
            <w:tcW w:w="636" w:type="dxa"/>
            <w:tcBorders>
              <w:top w:val="nil"/>
              <w:left w:val="nil"/>
              <w:bottom w:val="nil"/>
              <w:right w:val="nil"/>
            </w:tcBorders>
            <w:shd w:val="clear" w:color="auto" w:fill="auto"/>
            <w:noWrap/>
            <w:vAlign w:val="center"/>
            <w:hideMark/>
          </w:tcPr>
          <w:p w14:paraId="3E846E76"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7.6</w:t>
            </w:r>
          </w:p>
        </w:tc>
        <w:tc>
          <w:tcPr>
            <w:tcW w:w="1609" w:type="dxa"/>
            <w:tcBorders>
              <w:top w:val="nil"/>
              <w:left w:val="nil"/>
              <w:bottom w:val="nil"/>
              <w:right w:val="nil"/>
            </w:tcBorders>
            <w:shd w:val="clear" w:color="auto" w:fill="auto"/>
            <w:noWrap/>
            <w:vAlign w:val="center"/>
            <w:hideMark/>
          </w:tcPr>
          <w:p w14:paraId="798E6CF2"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281</w:t>
            </w:r>
          </w:p>
        </w:tc>
        <w:tc>
          <w:tcPr>
            <w:tcW w:w="801" w:type="dxa"/>
            <w:tcBorders>
              <w:top w:val="nil"/>
              <w:left w:val="nil"/>
              <w:bottom w:val="nil"/>
              <w:right w:val="nil"/>
            </w:tcBorders>
            <w:shd w:val="clear" w:color="auto" w:fill="auto"/>
            <w:noWrap/>
            <w:vAlign w:val="center"/>
            <w:hideMark/>
          </w:tcPr>
          <w:p w14:paraId="67F67613"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4.4</w:t>
            </w:r>
          </w:p>
        </w:tc>
        <w:tc>
          <w:tcPr>
            <w:tcW w:w="1182" w:type="dxa"/>
            <w:tcBorders>
              <w:top w:val="nil"/>
              <w:left w:val="nil"/>
              <w:bottom w:val="nil"/>
              <w:right w:val="nil"/>
            </w:tcBorders>
            <w:shd w:val="clear" w:color="auto" w:fill="auto"/>
            <w:noWrap/>
            <w:vAlign w:val="center"/>
            <w:hideMark/>
          </w:tcPr>
          <w:p w14:paraId="751CA1F9" w14:textId="77777777" w:rsidR="00D07A53" w:rsidRPr="00505045" w:rsidRDefault="00D07A53" w:rsidP="003632F4">
            <w:pPr>
              <w:spacing w:line="240" w:lineRule="auto"/>
              <w:jc w:val="right"/>
              <w:rPr>
                <w:rFonts w:eastAsia="Times New Roman"/>
                <w:color w:val="000000"/>
                <w:lang w:eastAsia="en-NZ"/>
              </w:rPr>
            </w:pPr>
            <w:r w:rsidRPr="00505045">
              <w:rPr>
                <w:rFonts w:eastAsia="Times New Roman"/>
                <w:color w:val="000000"/>
                <w:lang w:eastAsia="en-NZ"/>
              </w:rPr>
              <w:t>1604</w:t>
            </w:r>
          </w:p>
        </w:tc>
        <w:tc>
          <w:tcPr>
            <w:tcW w:w="636" w:type="dxa"/>
            <w:tcBorders>
              <w:top w:val="nil"/>
              <w:left w:val="nil"/>
              <w:bottom w:val="nil"/>
              <w:right w:val="nil"/>
            </w:tcBorders>
            <w:shd w:val="clear" w:color="auto" w:fill="auto"/>
            <w:noWrap/>
            <w:vAlign w:val="center"/>
            <w:hideMark/>
          </w:tcPr>
          <w:p w14:paraId="667EBCF3"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6.7</w:t>
            </w:r>
          </w:p>
        </w:tc>
      </w:tr>
      <w:tr w:rsidR="00D07A53" w:rsidRPr="00505045" w14:paraId="02B66F92" w14:textId="77777777" w:rsidTr="003632F4">
        <w:trPr>
          <w:trHeight w:val="330"/>
        </w:trPr>
        <w:tc>
          <w:tcPr>
            <w:tcW w:w="1418" w:type="dxa"/>
            <w:tcBorders>
              <w:top w:val="nil"/>
              <w:left w:val="nil"/>
              <w:bottom w:val="single" w:sz="8" w:space="0" w:color="auto"/>
              <w:right w:val="nil"/>
            </w:tcBorders>
            <w:shd w:val="clear" w:color="auto" w:fill="auto"/>
            <w:noWrap/>
            <w:vAlign w:val="center"/>
            <w:hideMark/>
          </w:tcPr>
          <w:p w14:paraId="1BFA8DF3" w14:textId="77777777" w:rsidR="00D07A53" w:rsidRPr="00505045" w:rsidRDefault="00D07A53" w:rsidP="003632F4">
            <w:pPr>
              <w:spacing w:line="240" w:lineRule="auto"/>
              <w:rPr>
                <w:rFonts w:eastAsia="Times New Roman"/>
                <w:color w:val="000000"/>
                <w:lang w:eastAsia="en-NZ"/>
              </w:rPr>
            </w:pPr>
            <w:r>
              <w:rPr>
                <w:rFonts w:eastAsia="Arial"/>
                <w:color w:val="000000"/>
                <w:lang w:val="en-US" w:eastAsia="en-NZ"/>
              </w:rPr>
              <w:t xml:space="preserve">  </w:t>
            </w:r>
            <w:r w:rsidRPr="00505045">
              <w:rPr>
                <w:rFonts w:eastAsia="Arial"/>
                <w:color w:val="000000"/>
                <w:lang w:val="en-US" w:eastAsia="en-NZ"/>
              </w:rPr>
              <w:t>Other</w:t>
            </w:r>
          </w:p>
        </w:tc>
        <w:tc>
          <w:tcPr>
            <w:tcW w:w="1827" w:type="dxa"/>
            <w:tcBorders>
              <w:top w:val="nil"/>
              <w:left w:val="nil"/>
              <w:bottom w:val="single" w:sz="8" w:space="0" w:color="auto"/>
              <w:right w:val="nil"/>
            </w:tcBorders>
            <w:shd w:val="clear" w:color="auto" w:fill="auto"/>
            <w:noWrap/>
            <w:vAlign w:val="center"/>
            <w:hideMark/>
          </w:tcPr>
          <w:p w14:paraId="76246AAE"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5715</w:t>
            </w:r>
          </w:p>
        </w:tc>
        <w:tc>
          <w:tcPr>
            <w:tcW w:w="636" w:type="dxa"/>
            <w:tcBorders>
              <w:top w:val="nil"/>
              <w:left w:val="nil"/>
              <w:bottom w:val="single" w:sz="8" w:space="0" w:color="auto"/>
              <w:right w:val="nil"/>
            </w:tcBorders>
            <w:shd w:val="clear" w:color="auto" w:fill="auto"/>
            <w:noWrap/>
            <w:vAlign w:val="center"/>
            <w:hideMark/>
          </w:tcPr>
          <w:p w14:paraId="6E1D9962"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32.8</w:t>
            </w:r>
          </w:p>
        </w:tc>
        <w:tc>
          <w:tcPr>
            <w:tcW w:w="1609" w:type="dxa"/>
            <w:tcBorders>
              <w:top w:val="nil"/>
              <w:left w:val="nil"/>
              <w:bottom w:val="single" w:sz="8" w:space="0" w:color="auto"/>
              <w:right w:val="nil"/>
            </w:tcBorders>
            <w:shd w:val="clear" w:color="auto" w:fill="auto"/>
            <w:noWrap/>
            <w:vAlign w:val="center"/>
            <w:hideMark/>
          </w:tcPr>
          <w:p w14:paraId="00922E54" w14:textId="77777777" w:rsidR="00D07A53" w:rsidRPr="00505045" w:rsidRDefault="00D07A53" w:rsidP="003632F4">
            <w:pPr>
              <w:spacing w:line="240" w:lineRule="auto"/>
              <w:jc w:val="right"/>
              <w:rPr>
                <w:rFonts w:eastAsia="Times New Roman"/>
                <w:color w:val="000000"/>
                <w:lang w:eastAsia="en-NZ"/>
              </w:rPr>
            </w:pPr>
            <w:r w:rsidRPr="00505045">
              <w:rPr>
                <w:rFonts w:eastAsia="Arial"/>
                <w:color w:val="000000"/>
                <w:lang w:val="en-US" w:eastAsia="en-NZ"/>
              </w:rPr>
              <w:t>1733</w:t>
            </w:r>
          </w:p>
        </w:tc>
        <w:tc>
          <w:tcPr>
            <w:tcW w:w="801" w:type="dxa"/>
            <w:tcBorders>
              <w:top w:val="nil"/>
              <w:left w:val="nil"/>
              <w:bottom w:val="single" w:sz="8" w:space="0" w:color="auto"/>
              <w:right w:val="nil"/>
            </w:tcBorders>
            <w:shd w:val="clear" w:color="auto" w:fill="auto"/>
            <w:noWrap/>
            <w:vAlign w:val="center"/>
            <w:hideMark/>
          </w:tcPr>
          <w:p w14:paraId="03080B62"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27.1</w:t>
            </w:r>
          </w:p>
        </w:tc>
        <w:tc>
          <w:tcPr>
            <w:tcW w:w="1182" w:type="dxa"/>
            <w:tcBorders>
              <w:top w:val="nil"/>
              <w:left w:val="nil"/>
              <w:bottom w:val="single" w:sz="8" w:space="0" w:color="auto"/>
              <w:right w:val="nil"/>
            </w:tcBorders>
            <w:shd w:val="clear" w:color="auto" w:fill="auto"/>
            <w:noWrap/>
            <w:vAlign w:val="center"/>
            <w:hideMark/>
          </w:tcPr>
          <w:p w14:paraId="66A97149" w14:textId="77777777" w:rsidR="00D07A53" w:rsidRPr="00505045" w:rsidRDefault="00D07A53" w:rsidP="003632F4">
            <w:pPr>
              <w:spacing w:line="240" w:lineRule="auto"/>
              <w:jc w:val="right"/>
              <w:rPr>
                <w:rFonts w:eastAsia="Times New Roman"/>
                <w:color w:val="000000"/>
                <w:lang w:eastAsia="en-NZ"/>
              </w:rPr>
            </w:pPr>
            <w:r w:rsidRPr="00505045">
              <w:rPr>
                <w:rFonts w:eastAsia="Times New Roman"/>
                <w:color w:val="000000"/>
                <w:lang w:eastAsia="en-NZ"/>
              </w:rPr>
              <w:t>7448</w:t>
            </w:r>
          </w:p>
        </w:tc>
        <w:tc>
          <w:tcPr>
            <w:tcW w:w="636" w:type="dxa"/>
            <w:tcBorders>
              <w:top w:val="nil"/>
              <w:left w:val="nil"/>
              <w:bottom w:val="single" w:sz="8" w:space="0" w:color="auto"/>
              <w:right w:val="nil"/>
            </w:tcBorders>
            <w:shd w:val="clear" w:color="auto" w:fill="auto"/>
            <w:noWrap/>
            <w:vAlign w:val="center"/>
            <w:hideMark/>
          </w:tcPr>
          <w:p w14:paraId="0D6BFC30" w14:textId="77777777" w:rsidR="00D07A53" w:rsidRPr="00505045" w:rsidRDefault="00D07A53" w:rsidP="003632F4">
            <w:pPr>
              <w:spacing w:line="240" w:lineRule="auto"/>
              <w:jc w:val="right"/>
              <w:rPr>
                <w:rFonts w:eastAsia="Times New Roman"/>
                <w:i/>
                <w:iCs/>
                <w:color w:val="000000"/>
                <w:lang w:eastAsia="en-NZ"/>
              </w:rPr>
            </w:pPr>
            <w:r w:rsidRPr="00505045">
              <w:rPr>
                <w:rFonts w:eastAsia="Arial"/>
                <w:i/>
                <w:iCs/>
                <w:color w:val="000000"/>
                <w:lang w:val="en-US" w:eastAsia="en-NZ"/>
              </w:rPr>
              <w:t>31.3</w:t>
            </w:r>
          </w:p>
        </w:tc>
      </w:tr>
    </w:tbl>
    <w:p w14:paraId="2BE2D502" w14:textId="77777777" w:rsidR="00D07A53" w:rsidRDefault="00D07A53" w:rsidP="00D07A53">
      <w:pPr>
        <w:rPr>
          <w:sz w:val="22"/>
          <w:szCs w:val="22"/>
        </w:rPr>
      </w:pPr>
    </w:p>
    <w:p w14:paraId="38128492" w14:textId="391F609D" w:rsidR="00D07A53" w:rsidRDefault="001D1214" w:rsidP="004B04DD">
      <w:pPr>
        <w:jc w:val="both"/>
      </w:pPr>
      <w:r>
        <w:fldChar w:fldCharType="begin"/>
      </w:r>
      <w:r>
        <w:instrText xml:space="preserve"> REF _Ref58235653 \h </w:instrText>
      </w:r>
      <w:r>
        <w:fldChar w:fldCharType="separate"/>
      </w:r>
      <w:r w:rsidR="00DF0799" w:rsidRPr="00547563">
        <w:t xml:space="preserve">Table </w:t>
      </w:r>
      <w:r w:rsidR="00DF0799">
        <w:rPr>
          <w:noProof/>
        </w:rPr>
        <w:t>16</w:t>
      </w:r>
      <w:r>
        <w:fldChar w:fldCharType="end"/>
      </w:r>
      <w:r>
        <w:t xml:space="preserve"> </w:t>
      </w:r>
      <w:r w:rsidR="00D07A53" w:rsidRPr="00152EC4">
        <w:t>below examine</w:t>
      </w:r>
      <w:r>
        <w:t>s</w:t>
      </w:r>
      <w:r w:rsidR="00D07A53" w:rsidRPr="00152EC4">
        <w:t xml:space="preserve"> FAO session attendance type (individual, </w:t>
      </w:r>
      <w:r w:rsidR="00D07A53">
        <w:t xml:space="preserve">group, couple, family) by gender, age and ethnicity. </w:t>
      </w:r>
      <w:r w:rsidR="00366404">
        <w:t>FAO client f</w:t>
      </w:r>
      <w:r w:rsidR="00D07A53">
        <w:t xml:space="preserve">amily sessions were </w:t>
      </w:r>
      <w:r w:rsidR="00366404">
        <w:t>slightly more common for men (54.9%) than women (45.1%), while attendance at group sessions was more evenly split by gender (48.9% men, 51.1% women)</w:t>
      </w:r>
      <w:r w:rsidR="0065269A">
        <w:t>.</w:t>
      </w:r>
      <w:r>
        <w:t xml:space="preserve"> </w:t>
      </w:r>
      <w:r w:rsidR="00D07A53">
        <w:t xml:space="preserve">Individual </w:t>
      </w:r>
      <w:r w:rsidR="00366404">
        <w:t>FAO</w:t>
      </w:r>
      <w:r w:rsidR="00D07A53">
        <w:t xml:space="preserve"> sessions were more often </w:t>
      </w:r>
      <w:r w:rsidR="00366404">
        <w:t>attended by men (66.3%) than women (33.7%)</w:t>
      </w:r>
      <w:r w:rsidR="00D07A53">
        <w:t xml:space="preserve">. </w:t>
      </w:r>
      <w:r w:rsidR="00366404">
        <w:t xml:space="preserve">Couple sessions were far more often initiated by FAOs who are women (73.9%) than men. </w:t>
      </w:r>
      <w:r w:rsidR="00D07A53" w:rsidRPr="00E87C1C">
        <w:t xml:space="preserve">FAO clients attending individual sessions </w:t>
      </w:r>
      <w:r w:rsidR="00366404">
        <w:t>were</w:t>
      </w:r>
      <w:r w:rsidR="00D07A53" w:rsidRPr="00E87C1C">
        <w:t xml:space="preserve"> also more likely to be 25 or older, with </w:t>
      </w:r>
      <w:r w:rsidR="00366404">
        <w:t>little</w:t>
      </w:r>
      <w:r w:rsidR="00D07A53" w:rsidRPr="00E87C1C">
        <w:t xml:space="preserve"> variation between the other age groups. </w:t>
      </w:r>
      <w:r w:rsidR="00D07A53">
        <w:t xml:space="preserve">Pacific FAO engagement in group </w:t>
      </w:r>
      <w:r w:rsidR="006A398A">
        <w:t xml:space="preserve">(48.5%) </w:t>
      </w:r>
      <w:r w:rsidR="00D07A53">
        <w:t xml:space="preserve">and family sessions </w:t>
      </w:r>
      <w:r w:rsidR="006A398A">
        <w:t xml:space="preserve">(42.2%) </w:t>
      </w:r>
      <w:r w:rsidR="00D07A53">
        <w:t>was particularly high, as was European/other engagement in couples sessions</w:t>
      </w:r>
      <w:r w:rsidR="006A398A">
        <w:t xml:space="preserve"> (66.5%)</w:t>
      </w:r>
      <w:r w:rsidR="00D07A53">
        <w:t xml:space="preserve">. </w:t>
      </w:r>
      <w:r w:rsidR="00D07A53" w:rsidRPr="00E87C1C">
        <w:t xml:space="preserve"> </w:t>
      </w:r>
      <w:bookmarkStart w:id="161" w:name="_Ref45877219"/>
    </w:p>
    <w:p w14:paraId="3974B386" w14:textId="77777777" w:rsidR="00D07A53" w:rsidRPr="00E87C1C" w:rsidRDefault="00D07A53" w:rsidP="004B04DD">
      <w:pPr>
        <w:jc w:val="both"/>
      </w:pPr>
    </w:p>
    <w:p w14:paraId="380A2995" w14:textId="77777777" w:rsidR="0044608D" w:rsidRDefault="0044608D">
      <w:pPr>
        <w:spacing w:after="160" w:line="259" w:lineRule="auto"/>
        <w:rPr>
          <w:b/>
          <w:bCs/>
          <w:sz w:val="22"/>
          <w:szCs w:val="22"/>
        </w:rPr>
      </w:pPr>
      <w:bookmarkStart w:id="162" w:name="_Ref46231630"/>
      <w:r>
        <w:br w:type="page"/>
      </w:r>
    </w:p>
    <w:p w14:paraId="4D17F764" w14:textId="31C9C7B6" w:rsidR="00D07A53" w:rsidRPr="00547563" w:rsidRDefault="00D07A53" w:rsidP="009A55C9">
      <w:pPr>
        <w:pStyle w:val="Caption"/>
        <w:rPr>
          <w:lang w:val="en-US"/>
        </w:rPr>
      </w:pPr>
      <w:bookmarkStart w:id="163" w:name="_Ref58235653"/>
      <w:bookmarkStart w:id="164" w:name="_Toc58400649"/>
      <w:r w:rsidRPr="00547563">
        <w:lastRenderedPageBreak/>
        <w:t xml:space="preserve">Table </w:t>
      </w:r>
      <w:r w:rsidR="00D04B86">
        <w:fldChar w:fldCharType="begin"/>
      </w:r>
      <w:r w:rsidR="00D04B86">
        <w:instrText xml:space="preserve"> SEQ Table \* ARABIC </w:instrText>
      </w:r>
      <w:r w:rsidR="00D04B86">
        <w:fldChar w:fldCharType="separate"/>
      </w:r>
      <w:r w:rsidR="00DF0799">
        <w:rPr>
          <w:noProof/>
        </w:rPr>
        <w:t>16</w:t>
      </w:r>
      <w:r w:rsidR="00D04B86">
        <w:rPr>
          <w:noProof/>
        </w:rPr>
        <w:fldChar w:fldCharType="end"/>
      </w:r>
      <w:bookmarkEnd w:id="161"/>
      <w:bookmarkEnd w:id="162"/>
      <w:bookmarkEnd w:id="163"/>
      <w:r w:rsidRPr="00547563">
        <w:t xml:space="preserve">: </w:t>
      </w:r>
      <w:r>
        <w:rPr>
          <w:lang w:val="en-US"/>
        </w:rPr>
        <w:t>Sessions related to</w:t>
      </w:r>
      <w:r w:rsidRPr="00547563">
        <w:rPr>
          <w:lang w:val="en-US"/>
        </w:rPr>
        <w:t xml:space="preserve"> FAO clients </w:t>
      </w:r>
      <w:r>
        <w:rPr>
          <w:lang w:val="en-US"/>
        </w:rPr>
        <w:t>by session type, gender, age, and ethnicity</w:t>
      </w:r>
      <w:bookmarkEnd w:id="164"/>
    </w:p>
    <w:tbl>
      <w:tblPr>
        <w:tblW w:w="5000" w:type="pct"/>
        <w:tblLook w:val="04A0" w:firstRow="1" w:lastRow="0" w:firstColumn="1" w:lastColumn="0" w:noHBand="0" w:noVBand="1"/>
      </w:tblPr>
      <w:tblGrid>
        <w:gridCol w:w="1292"/>
        <w:gridCol w:w="1339"/>
        <w:gridCol w:w="601"/>
        <w:gridCol w:w="1330"/>
        <w:gridCol w:w="601"/>
        <w:gridCol w:w="1330"/>
        <w:gridCol w:w="601"/>
        <w:gridCol w:w="1331"/>
        <w:gridCol w:w="601"/>
      </w:tblGrid>
      <w:tr w:rsidR="00D07A53" w:rsidRPr="00505045" w14:paraId="7A87C444" w14:textId="77777777" w:rsidTr="003632F4">
        <w:trPr>
          <w:trHeight w:val="300"/>
        </w:trPr>
        <w:tc>
          <w:tcPr>
            <w:tcW w:w="660" w:type="pct"/>
            <w:tcBorders>
              <w:top w:val="single" w:sz="4" w:space="0" w:color="auto"/>
              <w:left w:val="nil"/>
              <w:bottom w:val="nil"/>
              <w:right w:val="nil"/>
            </w:tcBorders>
            <w:shd w:val="clear" w:color="auto" w:fill="auto"/>
            <w:noWrap/>
            <w:vAlign w:val="center"/>
            <w:hideMark/>
          </w:tcPr>
          <w:p w14:paraId="2B7A9DC2"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eastAsia="en-NZ"/>
              </w:rPr>
              <w:t> </w:t>
            </w:r>
          </w:p>
        </w:tc>
        <w:tc>
          <w:tcPr>
            <w:tcW w:w="4340" w:type="pct"/>
            <w:gridSpan w:val="8"/>
            <w:tcBorders>
              <w:top w:val="single" w:sz="4" w:space="0" w:color="auto"/>
              <w:left w:val="nil"/>
              <w:bottom w:val="nil"/>
              <w:right w:val="nil"/>
            </w:tcBorders>
            <w:shd w:val="clear" w:color="auto" w:fill="auto"/>
            <w:noWrap/>
            <w:vAlign w:val="center"/>
            <w:hideMark/>
          </w:tcPr>
          <w:p w14:paraId="1A02DA92" w14:textId="77777777" w:rsidR="00D07A53" w:rsidRPr="00FA626C" w:rsidRDefault="00D07A53" w:rsidP="003632F4">
            <w:pPr>
              <w:spacing w:line="240" w:lineRule="auto"/>
              <w:jc w:val="center"/>
              <w:rPr>
                <w:rFonts w:eastAsia="Times New Roman"/>
                <w:b/>
                <w:bCs/>
                <w:color w:val="000000"/>
                <w:sz w:val="22"/>
                <w:szCs w:val="22"/>
                <w:lang w:eastAsia="en-NZ"/>
              </w:rPr>
            </w:pPr>
            <w:r w:rsidRPr="00FA626C">
              <w:rPr>
                <w:rFonts w:eastAsia="Times New Roman"/>
                <w:b/>
                <w:bCs/>
                <w:color w:val="000000"/>
                <w:sz w:val="22"/>
                <w:szCs w:val="22"/>
                <w:lang w:val="en-US" w:eastAsia="en-NZ"/>
              </w:rPr>
              <w:t>Session attendance type</w:t>
            </w:r>
          </w:p>
        </w:tc>
      </w:tr>
      <w:tr w:rsidR="00D07A53" w:rsidRPr="00505045" w14:paraId="5A862680" w14:textId="77777777" w:rsidTr="003632F4">
        <w:trPr>
          <w:trHeight w:val="315"/>
        </w:trPr>
        <w:tc>
          <w:tcPr>
            <w:tcW w:w="660" w:type="pct"/>
            <w:tcBorders>
              <w:top w:val="nil"/>
              <w:left w:val="nil"/>
              <w:bottom w:val="nil"/>
              <w:right w:val="nil"/>
            </w:tcBorders>
            <w:shd w:val="clear" w:color="auto" w:fill="auto"/>
            <w:noWrap/>
            <w:vAlign w:val="center"/>
            <w:hideMark/>
          </w:tcPr>
          <w:p w14:paraId="45814B81" w14:textId="77777777" w:rsidR="00D07A53" w:rsidRPr="00505045" w:rsidRDefault="00D07A53" w:rsidP="003632F4">
            <w:pPr>
              <w:spacing w:line="240" w:lineRule="auto"/>
              <w:jc w:val="center"/>
              <w:rPr>
                <w:rFonts w:eastAsia="Times New Roman"/>
                <w:color w:val="000000"/>
                <w:sz w:val="22"/>
                <w:szCs w:val="22"/>
                <w:lang w:eastAsia="en-NZ"/>
              </w:rPr>
            </w:pPr>
          </w:p>
        </w:tc>
        <w:tc>
          <w:tcPr>
            <w:tcW w:w="1085" w:type="pct"/>
            <w:gridSpan w:val="2"/>
            <w:tcBorders>
              <w:top w:val="single" w:sz="4" w:space="0" w:color="auto"/>
              <w:left w:val="nil"/>
              <w:bottom w:val="nil"/>
              <w:right w:val="nil"/>
            </w:tcBorders>
            <w:shd w:val="clear" w:color="auto" w:fill="auto"/>
            <w:noWrap/>
            <w:vAlign w:val="center"/>
            <w:hideMark/>
          </w:tcPr>
          <w:p w14:paraId="0C3A75CC" w14:textId="77777777" w:rsidR="00D07A53" w:rsidRPr="00FA626C" w:rsidRDefault="00D07A53" w:rsidP="003632F4">
            <w:pPr>
              <w:spacing w:line="240" w:lineRule="auto"/>
              <w:jc w:val="center"/>
              <w:rPr>
                <w:rFonts w:eastAsia="Times New Roman"/>
                <w:b/>
                <w:bCs/>
                <w:color w:val="000000"/>
                <w:sz w:val="22"/>
                <w:szCs w:val="22"/>
                <w:lang w:eastAsia="en-NZ"/>
              </w:rPr>
            </w:pPr>
            <w:r w:rsidRPr="00FA626C">
              <w:rPr>
                <w:rFonts w:eastAsia="Times New Roman"/>
                <w:b/>
                <w:bCs/>
                <w:color w:val="000000"/>
                <w:sz w:val="22"/>
                <w:szCs w:val="22"/>
                <w:lang w:val="en-US" w:eastAsia="en-NZ"/>
              </w:rPr>
              <w:t>Individual</w:t>
            </w:r>
          </w:p>
        </w:tc>
        <w:tc>
          <w:tcPr>
            <w:tcW w:w="1085" w:type="pct"/>
            <w:gridSpan w:val="2"/>
            <w:tcBorders>
              <w:top w:val="single" w:sz="4" w:space="0" w:color="auto"/>
              <w:left w:val="nil"/>
              <w:bottom w:val="nil"/>
              <w:right w:val="nil"/>
            </w:tcBorders>
            <w:shd w:val="clear" w:color="auto" w:fill="auto"/>
            <w:noWrap/>
            <w:vAlign w:val="center"/>
            <w:hideMark/>
          </w:tcPr>
          <w:p w14:paraId="39C5D619" w14:textId="77777777" w:rsidR="00D07A53" w:rsidRPr="00FA626C" w:rsidRDefault="00D07A53" w:rsidP="003632F4">
            <w:pPr>
              <w:spacing w:line="240" w:lineRule="auto"/>
              <w:jc w:val="center"/>
              <w:rPr>
                <w:rFonts w:eastAsia="Times New Roman"/>
                <w:b/>
                <w:bCs/>
                <w:color w:val="000000"/>
                <w:sz w:val="22"/>
                <w:szCs w:val="22"/>
                <w:lang w:eastAsia="en-NZ"/>
              </w:rPr>
            </w:pPr>
            <w:r w:rsidRPr="00FA626C">
              <w:rPr>
                <w:rFonts w:eastAsia="Times New Roman"/>
                <w:b/>
                <w:bCs/>
                <w:color w:val="000000"/>
                <w:sz w:val="22"/>
                <w:szCs w:val="22"/>
                <w:lang w:val="en-US" w:eastAsia="en-NZ"/>
              </w:rPr>
              <w:t>Group</w:t>
            </w:r>
          </w:p>
        </w:tc>
        <w:tc>
          <w:tcPr>
            <w:tcW w:w="1085" w:type="pct"/>
            <w:gridSpan w:val="2"/>
            <w:tcBorders>
              <w:top w:val="single" w:sz="4" w:space="0" w:color="auto"/>
              <w:left w:val="nil"/>
              <w:bottom w:val="nil"/>
              <w:right w:val="nil"/>
            </w:tcBorders>
            <w:shd w:val="clear" w:color="auto" w:fill="auto"/>
            <w:noWrap/>
            <w:vAlign w:val="center"/>
            <w:hideMark/>
          </w:tcPr>
          <w:p w14:paraId="75B33F64" w14:textId="77777777" w:rsidR="00D07A53" w:rsidRPr="00FA626C" w:rsidRDefault="00D07A53" w:rsidP="003632F4">
            <w:pPr>
              <w:spacing w:line="240" w:lineRule="auto"/>
              <w:jc w:val="center"/>
              <w:rPr>
                <w:rFonts w:eastAsia="Times New Roman"/>
                <w:b/>
                <w:bCs/>
                <w:color w:val="000000"/>
                <w:sz w:val="22"/>
                <w:szCs w:val="22"/>
                <w:lang w:eastAsia="en-NZ"/>
              </w:rPr>
            </w:pPr>
            <w:r w:rsidRPr="00FA626C">
              <w:rPr>
                <w:rFonts w:eastAsia="Times New Roman"/>
                <w:b/>
                <w:bCs/>
                <w:color w:val="000000"/>
                <w:sz w:val="22"/>
                <w:szCs w:val="22"/>
                <w:lang w:val="en-US" w:eastAsia="en-NZ"/>
              </w:rPr>
              <w:t>Couple</w:t>
            </w:r>
          </w:p>
        </w:tc>
        <w:tc>
          <w:tcPr>
            <w:tcW w:w="1085" w:type="pct"/>
            <w:gridSpan w:val="2"/>
            <w:tcBorders>
              <w:top w:val="single" w:sz="4" w:space="0" w:color="auto"/>
              <w:left w:val="nil"/>
              <w:bottom w:val="nil"/>
              <w:right w:val="nil"/>
            </w:tcBorders>
            <w:shd w:val="clear" w:color="auto" w:fill="auto"/>
            <w:noWrap/>
            <w:vAlign w:val="center"/>
            <w:hideMark/>
          </w:tcPr>
          <w:p w14:paraId="7893D603" w14:textId="77777777" w:rsidR="00D07A53" w:rsidRPr="00FA626C" w:rsidRDefault="00D07A53" w:rsidP="003632F4">
            <w:pPr>
              <w:spacing w:line="240" w:lineRule="auto"/>
              <w:jc w:val="center"/>
              <w:rPr>
                <w:rFonts w:eastAsia="Times New Roman"/>
                <w:b/>
                <w:bCs/>
                <w:color w:val="000000"/>
                <w:sz w:val="22"/>
                <w:szCs w:val="22"/>
                <w:lang w:eastAsia="en-NZ"/>
              </w:rPr>
            </w:pPr>
            <w:r w:rsidRPr="00FA626C">
              <w:rPr>
                <w:rFonts w:eastAsia="Times New Roman"/>
                <w:b/>
                <w:bCs/>
                <w:color w:val="000000"/>
                <w:sz w:val="22"/>
                <w:szCs w:val="22"/>
                <w:lang w:val="en-US" w:eastAsia="en-NZ"/>
              </w:rPr>
              <w:t>Family</w:t>
            </w:r>
          </w:p>
        </w:tc>
      </w:tr>
      <w:tr w:rsidR="00D07A53" w:rsidRPr="00505045" w14:paraId="453FD914" w14:textId="77777777" w:rsidTr="003632F4">
        <w:trPr>
          <w:trHeight w:val="300"/>
        </w:trPr>
        <w:tc>
          <w:tcPr>
            <w:tcW w:w="660" w:type="pct"/>
            <w:tcBorders>
              <w:top w:val="nil"/>
              <w:left w:val="nil"/>
              <w:bottom w:val="nil"/>
              <w:right w:val="nil"/>
            </w:tcBorders>
            <w:shd w:val="clear" w:color="auto" w:fill="auto"/>
            <w:noWrap/>
            <w:vAlign w:val="center"/>
            <w:hideMark/>
          </w:tcPr>
          <w:p w14:paraId="677FEE9D" w14:textId="77777777" w:rsidR="00D07A53" w:rsidRPr="00505045" w:rsidRDefault="00D07A53" w:rsidP="003632F4">
            <w:pPr>
              <w:spacing w:line="240" w:lineRule="auto"/>
              <w:jc w:val="center"/>
              <w:rPr>
                <w:rFonts w:eastAsia="Times New Roman"/>
                <w:color w:val="000000"/>
                <w:sz w:val="22"/>
                <w:szCs w:val="22"/>
                <w:lang w:eastAsia="en-NZ"/>
              </w:rPr>
            </w:pPr>
          </w:p>
        </w:tc>
        <w:tc>
          <w:tcPr>
            <w:tcW w:w="750" w:type="pct"/>
            <w:tcBorders>
              <w:top w:val="single" w:sz="4" w:space="0" w:color="auto"/>
              <w:left w:val="nil"/>
              <w:bottom w:val="nil"/>
              <w:right w:val="nil"/>
            </w:tcBorders>
            <w:shd w:val="clear" w:color="auto" w:fill="auto"/>
            <w:noWrap/>
            <w:vAlign w:val="center"/>
            <w:hideMark/>
          </w:tcPr>
          <w:p w14:paraId="31F1EF60"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val="en-US" w:eastAsia="en-NZ"/>
              </w:rPr>
              <w:t>N sessions</w:t>
            </w:r>
          </w:p>
        </w:tc>
        <w:tc>
          <w:tcPr>
            <w:tcW w:w="335" w:type="pct"/>
            <w:tcBorders>
              <w:top w:val="single" w:sz="4" w:space="0" w:color="auto"/>
              <w:left w:val="nil"/>
              <w:bottom w:val="nil"/>
              <w:right w:val="nil"/>
            </w:tcBorders>
            <w:shd w:val="clear" w:color="auto" w:fill="auto"/>
            <w:noWrap/>
            <w:vAlign w:val="center"/>
            <w:hideMark/>
          </w:tcPr>
          <w:p w14:paraId="297916C2"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w:t>
            </w:r>
          </w:p>
        </w:tc>
        <w:tc>
          <w:tcPr>
            <w:tcW w:w="750" w:type="pct"/>
            <w:tcBorders>
              <w:top w:val="single" w:sz="4" w:space="0" w:color="auto"/>
              <w:left w:val="nil"/>
              <w:bottom w:val="nil"/>
              <w:right w:val="nil"/>
            </w:tcBorders>
            <w:shd w:val="clear" w:color="auto" w:fill="auto"/>
            <w:noWrap/>
            <w:vAlign w:val="center"/>
            <w:hideMark/>
          </w:tcPr>
          <w:p w14:paraId="256AE4FF"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val="en-US" w:eastAsia="en-NZ"/>
              </w:rPr>
              <w:t>N sessions</w:t>
            </w:r>
          </w:p>
        </w:tc>
        <w:tc>
          <w:tcPr>
            <w:tcW w:w="335" w:type="pct"/>
            <w:tcBorders>
              <w:top w:val="single" w:sz="4" w:space="0" w:color="auto"/>
              <w:left w:val="nil"/>
              <w:bottom w:val="nil"/>
              <w:right w:val="nil"/>
            </w:tcBorders>
            <w:shd w:val="clear" w:color="auto" w:fill="auto"/>
            <w:noWrap/>
            <w:vAlign w:val="center"/>
            <w:hideMark/>
          </w:tcPr>
          <w:p w14:paraId="10DFE048"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w:t>
            </w:r>
          </w:p>
        </w:tc>
        <w:tc>
          <w:tcPr>
            <w:tcW w:w="750" w:type="pct"/>
            <w:tcBorders>
              <w:top w:val="single" w:sz="4" w:space="0" w:color="auto"/>
              <w:left w:val="nil"/>
              <w:bottom w:val="nil"/>
              <w:right w:val="nil"/>
            </w:tcBorders>
            <w:shd w:val="clear" w:color="auto" w:fill="auto"/>
            <w:noWrap/>
            <w:vAlign w:val="center"/>
            <w:hideMark/>
          </w:tcPr>
          <w:p w14:paraId="77ABF53B"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val="en-US" w:eastAsia="en-NZ"/>
              </w:rPr>
              <w:t>N sessions</w:t>
            </w:r>
          </w:p>
        </w:tc>
        <w:tc>
          <w:tcPr>
            <w:tcW w:w="335" w:type="pct"/>
            <w:tcBorders>
              <w:top w:val="single" w:sz="4" w:space="0" w:color="auto"/>
              <w:left w:val="nil"/>
              <w:bottom w:val="nil"/>
              <w:right w:val="nil"/>
            </w:tcBorders>
            <w:shd w:val="clear" w:color="auto" w:fill="auto"/>
            <w:noWrap/>
            <w:vAlign w:val="center"/>
            <w:hideMark/>
          </w:tcPr>
          <w:p w14:paraId="1AEBD8CA"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w:t>
            </w:r>
          </w:p>
        </w:tc>
        <w:tc>
          <w:tcPr>
            <w:tcW w:w="750" w:type="pct"/>
            <w:tcBorders>
              <w:top w:val="single" w:sz="4" w:space="0" w:color="auto"/>
              <w:left w:val="nil"/>
              <w:bottom w:val="nil"/>
              <w:right w:val="nil"/>
            </w:tcBorders>
            <w:shd w:val="clear" w:color="auto" w:fill="auto"/>
            <w:noWrap/>
            <w:vAlign w:val="center"/>
            <w:hideMark/>
          </w:tcPr>
          <w:p w14:paraId="64E876B3"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val="en-US" w:eastAsia="en-NZ"/>
              </w:rPr>
              <w:t>N sessions</w:t>
            </w:r>
          </w:p>
        </w:tc>
        <w:tc>
          <w:tcPr>
            <w:tcW w:w="335" w:type="pct"/>
            <w:tcBorders>
              <w:top w:val="single" w:sz="4" w:space="0" w:color="auto"/>
              <w:left w:val="nil"/>
              <w:bottom w:val="nil"/>
              <w:right w:val="nil"/>
            </w:tcBorders>
            <w:shd w:val="clear" w:color="auto" w:fill="auto"/>
            <w:noWrap/>
            <w:vAlign w:val="center"/>
            <w:hideMark/>
          </w:tcPr>
          <w:p w14:paraId="451EAF82"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w:t>
            </w:r>
          </w:p>
        </w:tc>
      </w:tr>
      <w:tr w:rsidR="00D07A53" w:rsidRPr="00505045" w14:paraId="3E1C1395" w14:textId="77777777" w:rsidTr="003632F4">
        <w:trPr>
          <w:trHeight w:val="300"/>
        </w:trPr>
        <w:tc>
          <w:tcPr>
            <w:tcW w:w="660" w:type="pct"/>
            <w:tcBorders>
              <w:top w:val="single" w:sz="4" w:space="0" w:color="auto"/>
              <w:left w:val="nil"/>
              <w:bottom w:val="nil"/>
              <w:right w:val="nil"/>
            </w:tcBorders>
            <w:shd w:val="clear" w:color="auto" w:fill="auto"/>
            <w:noWrap/>
            <w:vAlign w:val="bottom"/>
            <w:hideMark/>
          </w:tcPr>
          <w:p w14:paraId="3D77BFB7" w14:textId="77777777" w:rsidR="00D07A53" w:rsidRPr="00FA626C" w:rsidRDefault="00D07A53" w:rsidP="003632F4">
            <w:pPr>
              <w:spacing w:line="240" w:lineRule="auto"/>
              <w:rPr>
                <w:rFonts w:eastAsia="Times New Roman"/>
                <w:b/>
                <w:bCs/>
                <w:color w:val="000000"/>
                <w:sz w:val="22"/>
                <w:szCs w:val="22"/>
                <w:lang w:eastAsia="en-NZ"/>
              </w:rPr>
            </w:pPr>
            <w:r w:rsidRPr="00FA626C">
              <w:rPr>
                <w:rFonts w:eastAsia="Times New Roman"/>
                <w:b/>
                <w:bCs/>
                <w:color w:val="000000"/>
                <w:sz w:val="22"/>
                <w:szCs w:val="22"/>
                <w:lang w:eastAsia="en-NZ"/>
              </w:rPr>
              <w:t>Overall</w:t>
            </w:r>
          </w:p>
        </w:tc>
        <w:tc>
          <w:tcPr>
            <w:tcW w:w="750" w:type="pct"/>
            <w:tcBorders>
              <w:top w:val="single" w:sz="4" w:space="0" w:color="auto"/>
              <w:left w:val="nil"/>
              <w:bottom w:val="nil"/>
              <w:right w:val="nil"/>
            </w:tcBorders>
            <w:shd w:val="clear" w:color="auto" w:fill="auto"/>
            <w:noWrap/>
            <w:vAlign w:val="center"/>
            <w:hideMark/>
          </w:tcPr>
          <w:p w14:paraId="36029517"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53496</w:t>
            </w:r>
          </w:p>
        </w:tc>
        <w:tc>
          <w:tcPr>
            <w:tcW w:w="335" w:type="pct"/>
            <w:tcBorders>
              <w:top w:val="single" w:sz="4" w:space="0" w:color="auto"/>
              <w:left w:val="nil"/>
              <w:bottom w:val="nil"/>
              <w:right w:val="nil"/>
            </w:tcBorders>
            <w:shd w:val="clear" w:color="auto" w:fill="auto"/>
            <w:noWrap/>
            <w:vAlign w:val="center"/>
            <w:hideMark/>
          </w:tcPr>
          <w:p w14:paraId="1C1E6362" w14:textId="77777777" w:rsidR="00D07A53" w:rsidRPr="00505045" w:rsidRDefault="00D07A53" w:rsidP="003632F4">
            <w:pPr>
              <w:spacing w:line="240" w:lineRule="auto"/>
              <w:rPr>
                <w:rFonts w:eastAsia="Times New Roman"/>
                <w:i/>
                <w:iCs/>
                <w:color w:val="000000"/>
                <w:sz w:val="22"/>
                <w:szCs w:val="22"/>
                <w:lang w:eastAsia="en-NZ"/>
              </w:rPr>
            </w:pPr>
            <w:r w:rsidRPr="00505045">
              <w:rPr>
                <w:rFonts w:eastAsia="Times New Roman"/>
                <w:i/>
                <w:iCs/>
                <w:color w:val="000000"/>
                <w:sz w:val="22"/>
                <w:szCs w:val="22"/>
                <w:lang w:val="en-US" w:eastAsia="en-NZ"/>
              </w:rPr>
              <w:t> </w:t>
            </w:r>
          </w:p>
        </w:tc>
        <w:tc>
          <w:tcPr>
            <w:tcW w:w="750" w:type="pct"/>
            <w:tcBorders>
              <w:top w:val="single" w:sz="4" w:space="0" w:color="auto"/>
              <w:left w:val="nil"/>
              <w:bottom w:val="nil"/>
              <w:right w:val="nil"/>
            </w:tcBorders>
            <w:shd w:val="clear" w:color="auto" w:fill="auto"/>
            <w:noWrap/>
            <w:vAlign w:val="center"/>
            <w:hideMark/>
          </w:tcPr>
          <w:p w14:paraId="54D759C7"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8782</w:t>
            </w:r>
          </w:p>
        </w:tc>
        <w:tc>
          <w:tcPr>
            <w:tcW w:w="335" w:type="pct"/>
            <w:tcBorders>
              <w:top w:val="single" w:sz="4" w:space="0" w:color="auto"/>
              <w:left w:val="nil"/>
              <w:bottom w:val="nil"/>
              <w:right w:val="nil"/>
            </w:tcBorders>
            <w:shd w:val="clear" w:color="auto" w:fill="auto"/>
            <w:noWrap/>
            <w:vAlign w:val="center"/>
            <w:hideMark/>
          </w:tcPr>
          <w:p w14:paraId="649C0374" w14:textId="77777777" w:rsidR="00D07A53" w:rsidRPr="00505045" w:rsidRDefault="00D07A53" w:rsidP="003632F4">
            <w:pPr>
              <w:spacing w:line="240" w:lineRule="auto"/>
              <w:rPr>
                <w:rFonts w:eastAsia="Times New Roman"/>
                <w:i/>
                <w:iCs/>
                <w:color w:val="000000"/>
                <w:sz w:val="22"/>
                <w:szCs w:val="22"/>
                <w:lang w:eastAsia="en-NZ"/>
              </w:rPr>
            </w:pPr>
            <w:r w:rsidRPr="00505045">
              <w:rPr>
                <w:rFonts w:eastAsia="Times New Roman"/>
                <w:i/>
                <w:iCs/>
                <w:color w:val="000000"/>
                <w:sz w:val="22"/>
                <w:szCs w:val="22"/>
                <w:lang w:val="en-US" w:eastAsia="en-NZ"/>
              </w:rPr>
              <w:t> </w:t>
            </w:r>
          </w:p>
        </w:tc>
        <w:tc>
          <w:tcPr>
            <w:tcW w:w="750" w:type="pct"/>
            <w:tcBorders>
              <w:top w:val="single" w:sz="4" w:space="0" w:color="auto"/>
              <w:left w:val="nil"/>
              <w:bottom w:val="nil"/>
              <w:right w:val="nil"/>
            </w:tcBorders>
            <w:shd w:val="clear" w:color="auto" w:fill="auto"/>
            <w:noWrap/>
            <w:vAlign w:val="center"/>
            <w:hideMark/>
          </w:tcPr>
          <w:p w14:paraId="503D6303"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1612</w:t>
            </w:r>
          </w:p>
        </w:tc>
        <w:tc>
          <w:tcPr>
            <w:tcW w:w="335" w:type="pct"/>
            <w:tcBorders>
              <w:top w:val="single" w:sz="4" w:space="0" w:color="auto"/>
              <w:left w:val="nil"/>
              <w:bottom w:val="nil"/>
              <w:right w:val="nil"/>
            </w:tcBorders>
            <w:shd w:val="clear" w:color="auto" w:fill="auto"/>
            <w:noWrap/>
            <w:vAlign w:val="center"/>
            <w:hideMark/>
          </w:tcPr>
          <w:p w14:paraId="5E0C5D2E" w14:textId="77777777" w:rsidR="00D07A53" w:rsidRPr="00505045" w:rsidRDefault="00D07A53" w:rsidP="003632F4">
            <w:pPr>
              <w:spacing w:line="240" w:lineRule="auto"/>
              <w:rPr>
                <w:rFonts w:eastAsia="Times New Roman"/>
                <w:i/>
                <w:iCs/>
                <w:color w:val="000000"/>
                <w:sz w:val="22"/>
                <w:szCs w:val="22"/>
                <w:lang w:eastAsia="en-NZ"/>
              </w:rPr>
            </w:pPr>
            <w:r w:rsidRPr="00505045">
              <w:rPr>
                <w:rFonts w:eastAsia="Times New Roman"/>
                <w:i/>
                <w:iCs/>
                <w:color w:val="000000"/>
                <w:sz w:val="22"/>
                <w:szCs w:val="22"/>
                <w:lang w:val="en-US" w:eastAsia="en-NZ"/>
              </w:rPr>
              <w:t> </w:t>
            </w:r>
          </w:p>
        </w:tc>
        <w:tc>
          <w:tcPr>
            <w:tcW w:w="750" w:type="pct"/>
            <w:tcBorders>
              <w:top w:val="single" w:sz="4" w:space="0" w:color="auto"/>
              <w:left w:val="nil"/>
              <w:bottom w:val="nil"/>
              <w:right w:val="nil"/>
            </w:tcBorders>
            <w:shd w:val="clear" w:color="auto" w:fill="auto"/>
            <w:noWrap/>
            <w:vAlign w:val="center"/>
            <w:hideMark/>
          </w:tcPr>
          <w:p w14:paraId="1B5F878D"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1399</w:t>
            </w:r>
          </w:p>
        </w:tc>
        <w:tc>
          <w:tcPr>
            <w:tcW w:w="335" w:type="pct"/>
            <w:tcBorders>
              <w:top w:val="single" w:sz="4" w:space="0" w:color="auto"/>
              <w:left w:val="nil"/>
              <w:bottom w:val="nil"/>
              <w:right w:val="nil"/>
            </w:tcBorders>
            <w:shd w:val="clear" w:color="auto" w:fill="auto"/>
            <w:noWrap/>
            <w:vAlign w:val="bottom"/>
            <w:hideMark/>
          </w:tcPr>
          <w:p w14:paraId="3ADFFDE5"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eastAsia="en-NZ"/>
              </w:rPr>
              <w:t> </w:t>
            </w:r>
          </w:p>
        </w:tc>
      </w:tr>
      <w:tr w:rsidR="00D07A53" w:rsidRPr="00505045" w14:paraId="2049BE2D" w14:textId="77777777" w:rsidTr="003632F4">
        <w:trPr>
          <w:trHeight w:val="300"/>
        </w:trPr>
        <w:tc>
          <w:tcPr>
            <w:tcW w:w="660" w:type="pct"/>
            <w:tcBorders>
              <w:top w:val="single" w:sz="4" w:space="0" w:color="auto"/>
              <w:left w:val="nil"/>
              <w:bottom w:val="nil"/>
              <w:right w:val="nil"/>
            </w:tcBorders>
            <w:shd w:val="clear" w:color="auto" w:fill="auto"/>
            <w:noWrap/>
            <w:vAlign w:val="bottom"/>
            <w:hideMark/>
          </w:tcPr>
          <w:p w14:paraId="5628095A" w14:textId="77777777" w:rsidR="00D07A53" w:rsidRPr="00FA626C" w:rsidRDefault="00D07A53" w:rsidP="003632F4">
            <w:pPr>
              <w:spacing w:line="240" w:lineRule="auto"/>
              <w:rPr>
                <w:rFonts w:eastAsia="Times New Roman"/>
                <w:b/>
                <w:bCs/>
                <w:color w:val="000000"/>
                <w:sz w:val="22"/>
                <w:szCs w:val="22"/>
                <w:lang w:eastAsia="en-NZ"/>
              </w:rPr>
            </w:pPr>
            <w:r w:rsidRPr="00FA626C">
              <w:rPr>
                <w:rFonts w:eastAsia="Times New Roman"/>
                <w:b/>
                <w:bCs/>
                <w:color w:val="000000"/>
                <w:sz w:val="22"/>
                <w:szCs w:val="22"/>
                <w:lang w:eastAsia="en-NZ"/>
              </w:rPr>
              <w:t>Gender</w:t>
            </w:r>
          </w:p>
        </w:tc>
        <w:tc>
          <w:tcPr>
            <w:tcW w:w="750" w:type="pct"/>
            <w:tcBorders>
              <w:top w:val="single" w:sz="4" w:space="0" w:color="auto"/>
              <w:left w:val="nil"/>
              <w:bottom w:val="nil"/>
              <w:right w:val="nil"/>
            </w:tcBorders>
            <w:shd w:val="clear" w:color="auto" w:fill="auto"/>
            <w:noWrap/>
            <w:vAlign w:val="bottom"/>
            <w:hideMark/>
          </w:tcPr>
          <w:p w14:paraId="58FBB3CF"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eastAsia="en-NZ"/>
              </w:rPr>
              <w:t> </w:t>
            </w:r>
          </w:p>
        </w:tc>
        <w:tc>
          <w:tcPr>
            <w:tcW w:w="335" w:type="pct"/>
            <w:tcBorders>
              <w:top w:val="single" w:sz="4" w:space="0" w:color="auto"/>
              <w:left w:val="nil"/>
              <w:bottom w:val="nil"/>
              <w:right w:val="nil"/>
            </w:tcBorders>
            <w:shd w:val="clear" w:color="auto" w:fill="auto"/>
            <w:noWrap/>
            <w:vAlign w:val="bottom"/>
            <w:hideMark/>
          </w:tcPr>
          <w:p w14:paraId="4B2DFE8A"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eastAsia="en-NZ"/>
              </w:rPr>
              <w:t> </w:t>
            </w:r>
          </w:p>
        </w:tc>
        <w:tc>
          <w:tcPr>
            <w:tcW w:w="750" w:type="pct"/>
            <w:tcBorders>
              <w:top w:val="single" w:sz="4" w:space="0" w:color="auto"/>
              <w:left w:val="nil"/>
              <w:bottom w:val="nil"/>
              <w:right w:val="nil"/>
            </w:tcBorders>
            <w:shd w:val="clear" w:color="auto" w:fill="auto"/>
            <w:noWrap/>
            <w:vAlign w:val="bottom"/>
            <w:hideMark/>
          </w:tcPr>
          <w:p w14:paraId="3E8AD504"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eastAsia="en-NZ"/>
              </w:rPr>
              <w:t> </w:t>
            </w:r>
          </w:p>
        </w:tc>
        <w:tc>
          <w:tcPr>
            <w:tcW w:w="335" w:type="pct"/>
            <w:tcBorders>
              <w:top w:val="single" w:sz="4" w:space="0" w:color="auto"/>
              <w:left w:val="nil"/>
              <w:bottom w:val="nil"/>
              <w:right w:val="nil"/>
            </w:tcBorders>
            <w:shd w:val="clear" w:color="auto" w:fill="auto"/>
            <w:noWrap/>
            <w:vAlign w:val="bottom"/>
            <w:hideMark/>
          </w:tcPr>
          <w:p w14:paraId="6F1ACEF8"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eastAsia="en-NZ"/>
              </w:rPr>
              <w:t> </w:t>
            </w:r>
          </w:p>
        </w:tc>
        <w:tc>
          <w:tcPr>
            <w:tcW w:w="750" w:type="pct"/>
            <w:tcBorders>
              <w:top w:val="single" w:sz="4" w:space="0" w:color="auto"/>
              <w:left w:val="nil"/>
              <w:bottom w:val="nil"/>
              <w:right w:val="nil"/>
            </w:tcBorders>
            <w:shd w:val="clear" w:color="auto" w:fill="auto"/>
            <w:noWrap/>
            <w:vAlign w:val="bottom"/>
            <w:hideMark/>
          </w:tcPr>
          <w:p w14:paraId="7282FC19"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eastAsia="en-NZ"/>
              </w:rPr>
              <w:t> </w:t>
            </w:r>
          </w:p>
        </w:tc>
        <w:tc>
          <w:tcPr>
            <w:tcW w:w="335" w:type="pct"/>
            <w:tcBorders>
              <w:top w:val="single" w:sz="4" w:space="0" w:color="auto"/>
              <w:left w:val="nil"/>
              <w:bottom w:val="nil"/>
              <w:right w:val="nil"/>
            </w:tcBorders>
            <w:shd w:val="clear" w:color="auto" w:fill="auto"/>
            <w:noWrap/>
            <w:vAlign w:val="bottom"/>
            <w:hideMark/>
          </w:tcPr>
          <w:p w14:paraId="260E3C9A"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eastAsia="en-NZ"/>
              </w:rPr>
              <w:t> </w:t>
            </w:r>
          </w:p>
        </w:tc>
        <w:tc>
          <w:tcPr>
            <w:tcW w:w="750" w:type="pct"/>
            <w:tcBorders>
              <w:top w:val="single" w:sz="4" w:space="0" w:color="auto"/>
              <w:left w:val="nil"/>
              <w:bottom w:val="nil"/>
              <w:right w:val="nil"/>
            </w:tcBorders>
            <w:shd w:val="clear" w:color="auto" w:fill="auto"/>
            <w:noWrap/>
            <w:vAlign w:val="bottom"/>
            <w:hideMark/>
          </w:tcPr>
          <w:p w14:paraId="0B379A9E"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eastAsia="en-NZ"/>
              </w:rPr>
              <w:t> </w:t>
            </w:r>
          </w:p>
        </w:tc>
        <w:tc>
          <w:tcPr>
            <w:tcW w:w="335" w:type="pct"/>
            <w:tcBorders>
              <w:top w:val="single" w:sz="4" w:space="0" w:color="auto"/>
              <w:left w:val="nil"/>
              <w:bottom w:val="nil"/>
              <w:right w:val="nil"/>
            </w:tcBorders>
            <w:shd w:val="clear" w:color="auto" w:fill="auto"/>
            <w:noWrap/>
            <w:vAlign w:val="bottom"/>
            <w:hideMark/>
          </w:tcPr>
          <w:p w14:paraId="6F335B7D"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eastAsia="en-NZ"/>
              </w:rPr>
              <w:t> </w:t>
            </w:r>
          </w:p>
        </w:tc>
      </w:tr>
      <w:tr w:rsidR="00D07A53" w:rsidRPr="00505045" w14:paraId="670281C3" w14:textId="77777777" w:rsidTr="003632F4">
        <w:trPr>
          <w:trHeight w:val="300"/>
        </w:trPr>
        <w:tc>
          <w:tcPr>
            <w:tcW w:w="660" w:type="pct"/>
            <w:tcBorders>
              <w:top w:val="nil"/>
              <w:left w:val="nil"/>
              <w:bottom w:val="nil"/>
              <w:right w:val="nil"/>
            </w:tcBorders>
            <w:shd w:val="clear" w:color="auto" w:fill="auto"/>
            <w:noWrap/>
            <w:vAlign w:val="bottom"/>
            <w:hideMark/>
          </w:tcPr>
          <w:p w14:paraId="48119040" w14:textId="77777777" w:rsidR="00D07A53" w:rsidRPr="00505045" w:rsidRDefault="00D07A53" w:rsidP="003632F4">
            <w:pPr>
              <w:spacing w:line="240" w:lineRule="auto"/>
              <w:rPr>
                <w:rFonts w:eastAsia="Times New Roman"/>
                <w:color w:val="000000"/>
                <w:sz w:val="22"/>
                <w:szCs w:val="22"/>
                <w:lang w:eastAsia="en-NZ"/>
              </w:rPr>
            </w:pPr>
            <w:r>
              <w:rPr>
                <w:rFonts w:eastAsia="Times New Roman"/>
                <w:color w:val="000000"/>
                <w:sz w:val="22"/>
                <w:szCs w:val="22"/>
                <w:lang w:eastAsia="en-NZ"/>
              </w:rPr>
              <w:t xml:space="preserve">  </w:t>
            </w:r>
            <w:r w:rsidRPr="00505045">
              <w:rPr>
                <w:rFonts w:eastAsia="Times New Roman"/>
                <w:color w:val="000000"/>
                <w:sz w:val="22"/>
                <w:szCs w:val="22"/>
                <w:lang w:eastAsia="en-NZ"/>
              </w:rPr>
              <w:t>Male</w:t>
            </w:r>
          </w:p>
        </w:tc>
        <w:tc>
          <w:tcPr>
            <w:tcW w:w="750" w:type="pct"/>
            <w:tcBorders>
              <w:top w:val="nil"/>
              <w:left w:val="nil"/>
              <w:bottom w:val="nil"/>
              <w:right w:val="nil"/>
            </w:tcBorders>
            <w:shd w:val="clear" w:color="auto" w:fill="auto"/>
            <w:noWrap/>
            <w:vAlign w:val="center"/>
            <w:hideMark/>
          </w:tcPr>
          <w:p w14:paraId="64D7C129"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35454</w:t>
            </w:r>
          </w:p>
        </w:tc>
        <w:tc>
          <w:tcPr>
            <w:tcW w:w="335" w:type="pct"/>
            <w:tcBorders>
              <w:top w:val="nil"/>
              <w:left w:val="nil"/>
              <w:bottom w:val="nil"/>
              <w:right w:val="nil"/>
            </w:tcBorders>
            <w:shd w:val="clear" w:color="auto" w:fill="auto"/>
            <w:noWrap/>
            <w:vAlign w:val="center"/>
            <w:hideMark/>
          </w:tcPr>
          <w:p w14:paraId="441A40E6"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66.3</w:t>
            </w:r>
          </w:p>
        </w:tc>
        <w:tc>
          <w:tcPr>
            <w:tcW w:w="750" w:type="pct"/>
            <w:tcBorders>
              <w:top w:val="nil"/>
              <w:left w:val="nil"/>
              <w:bottom w:val="nil"/>
              <w:right w:val="nil"/>
            </w:tcBorders>
            <w:shd w:val="clear" w:color="auto" w:fill="auto"/>
            <w:noWrap/>
            <w:vAlign w:val="center"/>
            <w:hideMark/>
          </w:tcPr>
          <w:p w14:paraId="3E388CD3"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4290</w:t>
            </w:r>
          </w:p>
        </w:tc>
        <w:tc>
          <w:tcPr>
            <w:tcW w:w="335" w:type="pct"/>
            <w:tcBorders>
              <w:top w:val="nil"/>
              <w:left w:val="nil"/>
              <w:bottom w:val="nil"/>
              <w:right w:val="nil"/>
            </w:tcBorders>
            <w:shd w:val="clear" w:color="auto" w:fill="auto"/>
            <w:noWrap/>
            <w:vAlign w:val="center"/>
            <w:hideMark/>
          </w:tcPr>
          <w:p w14:paraId="1A7F4941"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48.9</w:t>
            </w:r>
          </w:p>
        </w:tc>
        <w:tc>
          <w:tcPr>
            <w:tcW w:w="750" w:type="pct"/>
            <w:tcBorders>
              <w:top w:val="nil"/>
              <w:left w:val="nil"/>
              <w:bottom w:val="nil"/>
              <w:right w:val="nil"/>
            </w:tcBorders>
            <w:shd w:val="clear" w:color="auto" w:fill="auto"/>
            <w:noWrap/>
            <w:vAlign w:val="center"/>
            <w:hideMark/>
          </w:tcPr>
          <w:p w14:paraId="202A0AD9"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1191</w:t>
            </w:r>
          </w:p>
        </w:tc>
        <w:tc>
          <w:tcPr>
            <w:tcW w:w="335" w:type="pct"/>
            <w:tcBorders>
              <w:top w:val="nil"/>
              <w:left w:val="nil"/>
              <w:bottom w:val="nil"/>
              <w:right w:val="nil"/>
            </w:tcBorders>
            <w:shd w:val="clear" w:color="auto" w:fill="auto"/>
            <w:noWrap/>
            <w:vAlign w:val="center"/>
            <w:hideMark/>
          </w:tcPr>
          <w:p w14:paraId="07EEDE35"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73.9</w:t>
            </w:r>
          </w:p>
        </w:tc>
        <w:tc>
          <w:tcPr>
            <w:tcW w:w="750" w:type="pct"/>
            <w:tcBorders>
              <w:top w:val="nil"/>
              <w:left w:val="nil"/>
              <w:bottom w:val="nil"/>
              <w:right w:val="nil"/>
            </w:tcBorders>
            <w:shd w:val="clear" w:color="auto" w:fill="auto"/>
            <w:noWrap/>
            <w:vAlign w:val="center"/>
            <w:hideMark/>
          </w:tcPr>
          <w:p w14:paraId="71CF53A5"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768</w:t>
            </w:r>
          </w:p>
        </w:tc>
        <w:tc>
          <w:tcPr>
            <w:tcW w:w="335" w:type="pct"/>
            <w:tcBorders>
              <w:top w:val="nil"/>
              <w:left w:val="nil"/>
              <w:bottom w:val="nil"/>
              <w:right w:val="nil"/>
            </w:tcBorders>
            <w:shd w:val="clear" w:color="auto" w:fill="auto"/>
            <w:noWrap/>
            <w:vAlign w:val="center"/>
            <w:hideMark/>
          </w:tcPr>
          <w:p w14:paraId="39C8CA37"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54.9</w:t>
            </w:r>
          </w:p>
        </w:tc>
      </w:tr>
      <w:tr w:rsidR="00D07A53" w:rsidRPr="00505045" w14:paraId="243C729F" w14:textId="77777777" w:rsidTr="003632F4">
        <w:trPr>
          <w:trHeight w:val="300"/>
        </w:trPr>
        <w:tc>
          <w:tcPr>
            <w:tcW w:w="660" w:type="pct"/>
            <w:tcBorders>
              <w:top w:val="nil"/>
              <w:left w:val="nil"/>
              <w:bottom w:val="nil"/>
              <w:right w:val="nil"/>
            </w:tcBorders>
            <w:shd w:val="clear" w:color="auto" w:fill="auto"/>
            <w:noWrap/>
            <w:vAlign w:val="bottom"/>
            <w:hideMark/>
          </w:tcPr>
          <w:p w14:paraId="6638F140" w14:textId="77777777" w:rsidR="00D07A53" w:rsidRPr="00505045" w:rsidRDefault="00D07A53" w:rsidP="003632F4">
            <w:pPr>
              <w:spacing w:line="240" w:lineRule="auto"/>
              <w:rPr>
                <w:rFonts w:eastAsia="Times New Roman"/>
                <w:color w:val="000000"/>
                <w:sz w:val="22"/>
                <w:szCs w:val="22"/>
                <w:lang w:eastAsia="en-NZ"/>
              </w:rPr>
            </w:pPr>
            <w:r>
              <w:rPr>
                <w:rFonts w:eastAsia="Times New Roman"/>
                <w:color w:val="000000"/>
                <w:sz w:val="22"/>
                <w:szCs w:val="22"/>
                <w:lang w:eastAsia="en-NZ"/>
              </w:rPr>
              <w:t xml:space="preserve">  </w:t>
            </w:r>
            <w:r w:rsidRPr="00505045">
              <w:rPr>
                <w:rFonts w:eastAsia="Times New Roman"/>
                <w:color w:val="000000"/>
                <w:sz w:val="22"/>
                <w:szCs w:val="22"/>
                <w:lang w:eastAsia="en-NZ"/>
              </w:rPr>
              <w:t>Female</w:t>
            </w:r>
          </w:p>
        </w:tc>
        <w:tc>
          <w:tcPr>
            <w:tcW w:w="750" w:type="pct"/>
            <w:tcBorders>
              <w:top w:val="nil"/>
              <w:left w:val="nil"/>
              <w:bottom w:val="nil"/>
              <w:right w:val="nil"/>
            </w:tcBorders>
            <w:shd w:val="clear" w:color="auto" w:fill="auto"/>
            <w:noWrap/>
            <w:vAlign w:val="center"/>
            <w:hideMark/>
          </w:tcPr>
          <w:p w14:paraId="318C152B"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18035</w:t>
            </w:r>
          </w:p>
        </w:tc>
        <w:tc>
          <w:tcPr>
            <w:tcW w:w="335" w:type="pct"/>
            <w:tcBorders>
              <w:top w:val="nil"/>
              <w:left w:val="nil"/>
              <w:bottom w:val="nil"/>
              <w:right w:val="nil"/>
            </w:tcBorders>
            <w:shd w:val="clear" w:color="auto" w:fill="auto"/>
            <w:noWrap/>
            <w:vAlign w:val="center"/>
            <w:hideMark/>
          </w:tcPr>
          <w:p w14:paraId="6614E231"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33.7</w:t>
            </w:r>
          </w:p>
        </w:tc>
        <w:tc>
          <w:tcPr>
            <w:tcW w:w="750" w:type="pct"/>
            <w:tcBorders>
              <w:top w:val="nil"/>
              <w:left w:val="nil"/>
              <w:bottom w:val="nil"/>
              <w:right w:val="nil"/>
            </w:tcBorders>
            <w:shd w:val="clear" w:color="auto" w:fill="auto"/>
            <w:noWrap/>
            <w:vAlign w:val="center"/>
            <w:hideMark/>
          </w:tcPr>
          <w:p w14:paraId="4A366E42"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4491</w:t>
            </w:r>
          </w:p>
        </w:tc>
        <w:tc>
          <w:tcPr>
            <w:tcW w:w="335" w:type="pct"/>
            <w:tcBorders>
              <w:top w:val="nil"/>
              <w:left w:val="nil"/>
              <w:bottom w:val="nil"/>
              <w:right w:val="nil"/>
            </w:tcBorders>
            <w:shd w:val="clear" w:color="auto" w:fill="auto"/>
            <w:noWrap/>
            <w:vAlign w:val="center"/>
            <w:hideMark/>
          </w:tcPr>
          <w:p w14:paraId="2530A881"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51.1</w:t>
            </w:r>
          </w:p>
        </w:tc>
        <w:tc>
          <w:tcPr>
            <w:tcW w:w="750" w:type="pct"/>
            <w:tcBorders>
              <w:top w:val="nil"/>
              <w:left w:val="nil"/>
              <w:bottom w:val="nil"/>
              <w:right w:val="nil"/>
            </w:tcBorders>
            <w:shd w:val="clear" w:color="auto" w:fill="auto"/>
            <w:noWrap/>
            <w:vAlign w:val="center"/>
            <w:hideMark/>
          </w:tcPr>
          <w:p w14:paraId="56BD1E20"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421</w:t>
            </w:r>
          </w:p>
        </w:tc>
        <w:tc>
          <w:tcPr>
            <w:tcW w:w="335" w:type="pct"/>
            <w:tcBorders>
              <w:top w:val="nil"/>
              <w:left w:val="nil"/>
              <w:bottom w:val="nil"/>
              <w:right w:val="nil"/>
            </w:tcBorders>
            <w:shd w:val="clear" w:color="auto" w:fill="auto"/>
            <w:noWrap/>
            <w:vAlign w:val="center"/>
            <w:hideMark/>
          </w:tcPr>
          <w:p w14:paraId="3039937C"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26.1</w:t>
            </w:r>
          </w:p>
        </w:tc>
        <w:tc>
          <w:tcPr>
            <w:tcW w:w="750" w:type="pct"/>
            <w:tcBorders>
              <w:top w:val="nil"/>
              <w:left w:val="nil"/>
              <w:bottom w:val="nil"/>
              <w:right w:val="nil"/>
            </w:tcBorders>
            <w:shd w:val="clear" w:color="auto" w:fill="auto"/>
            <w:noWrap/>
            <w:vAlign w:val="center"/>
            <w:hideMark/>
          </w:tcPr>
          <w:p w14:paraId="2BDBB811"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631</w:t>
            </w:r>
          </w:p>
        </w:tc>
        <w:tc>
          <w:tcPr>
            <w:tcW w:w="335" w:type="pct"/>
            <w:tcBorders>
              <w:top w:val="nil"/>
              <w:left w:val="nil"/>
              <w:bottom w:val="nil"/>
              <w:right w:val="nil"/>
            </w:tcBorders>
            <w:shd w:val="clear" w:color="auto" w:fill="auto"/>
            <w:noWrap/>
            <w:vAlign w:val="center"/>
            <w:hideMark/>
          </w:tcPr>
          <w:p w14:paraId="27312A9C"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45.1</w:t>
            </w:r>
          </w:p>
        </w:tc>
      </w:tr>
      <w:tr w:rsidR="00D07A53" w:rsidRPr="00505045" w14:paraId="332079E3" w14:textId="77777777" w:rsidTr="003632F4">
        <w:trPr>
          <w:trHeight w:val="300"/>
        </w:trPr>
        <w:tc>
          <w:tcPr>
            <w:tcW w:w="1409" w:type="pct"/>
            <w:gridSpan w:val="2"/>
            <w:tcBorders>
              <w:top w:val="single" w:sz="4" w:space="0" w:color="auto"/>
              <w:left w:val="nil"/>
              <w:bottom w:val="nil"/>
              <w:right w:val="nil"/>
            </w:tcBorders>
            <w:shd w:val="clear" w:color="auto" w:fill="auto"/>
            <w:noWrap/>
            <w:vAlign w:val="bottom"/>
            <w:hideMark/>
          </w:tcPr>
          <w:p w14:paraId="3E061055" w14:textId="77777777" w:rsidR="00D07A53" w:rsidRPr="00FA626C" w:rsidRDefault="00D07A53" w:rsidP="003632F4">
            <w:pPr>
              <w:spacing w:line="240" w:lineRule="auto"/>
              <w:rPr>
                <w:rFonts w:eastAsia="Times New Roman"/>
                <w:b/>
                <w:bCs/>
                <w:color w:val="000000"/>
                <w:sz w:val="22"/>
                <w:szCs w:val="22"/>
                <w:lang w:eastAsia="en-NZ"/>
              </w:rPr>
            </w:pPr>
            <w:r w:rsidRPr="00FA626C">
              <w:rPr>
                <w:rFonts w:eastAsia="Times New Roman"/>
                <w:b/>
                <w:bCs/>
                <w:color w:val="000000"/>
                <w:sz w:val="22"/>
                <w:szCs w:val="22"/>
                <w:lang w:eastAsia="en-NZ"/>
              </w:rPr>
              <w:t>Age Group</w:t>
            </w:r>
          </w:p>
        </w:tc>
        <w:tc>
          <w:tcPr>
            <w:tcW w:w="335" w:type="pct"/>
            <w:tcBorders>
              <w:top w:val="single" w:sz="4" w:space="0" w:color="auto"/>
              <w:left w:val="nil"/>
              <w:bottom w:val="nil"/>
              <w:right w:val="nil"/>
            </w:tcBorders>
            <w:shd w:val="clear" w:color="auto" w:fill="auto"/>
            <w:noWrap/>
            <w:vAlign w:val="bottom"/>
            <w:hideMark/>
          </w:tcPr>
          <w:p w14:paraId="09AD6D2A"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eastAsia="en-NZ"/>
              </w:rPr>
              <w:t> </w:t>
            </w:r>
          </w:p>
        </w:tc>
        <w:tc>
          <w:tcPr>
            <w:tcW w:w="750" w:type="pct"/>
            <w:tcBorders>
              <w:top w:val="single" w:sz="4" w:space="0" w:color="auto"/>
              <w:left w:val="nil"/>
              <w:bottom w:val="nil"/>
              <w:right w:val="nil"/>
            </w:tcBorders>
            <w:shd w:val="clear" w:color="auto" w:fill="auto"/>
            <w:noWrap/>
            <w:vAlign w:val="bottom"/>
            <w:hideMark/>
          </w:tcPr>
          <w:p w14:paraId="5D41A764"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eastAsia="en-NZ"/>
              </w:rPr>
              <w:t> </w:t>
            </w:r>
          </w:p>
        </w:tc>
        <w:tc>
          <w:tcPr>
            <w:tcW w:w="335" w:type="pct"/>
            <w:tcBorders>
              <w:top w:val="single" w:sz="4" w:space="0" w:color="auto"/>
              <w:left w:val="nil"/>
              <w:bottom w:val="nil"/>
              <w:right w:val="nil"/>
            </w:tcBorders>
            <w:shd w:val="clear" w:color="auto" w:fill="auto"/>
            <w:noWrap/>
            <w:vAlign w:val="bottom"/>
            <w:hideMark/>
          </w:tcPr>
          <w:p w14:paraId="3ABF9DF1"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eastAsia="en-NZ"/>
              </w:rPr>
              <w:t> </w:t>
            </w:r>
          </w:p>
        </w:tc>
        <w:tc>
          <w:tcPr>
            <w:tcW w:w="750" w:type="pct"/>
            <w:tcBorders>
              <w:top w:val="single" w:sz="4" w:space="0" w:color="auto"/>
              <w:left w:val="nil"/>
              <w:bottom w:val="nil"/>
              <w:right w:val="nil"/>
            </w:tcBorders>
            <w:shd w:val="clear" w:color="auto" w:fill="auto"/>
            <w:noWrap/>
            <w:vAlign w:val="bottom"/>
            <w:hideMark/>
          </w:tcPr>
          <w:p w14:paraId="641AEEA1"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eastAsia="en-NZ"/>
              </w:rPr>
              <w:t> </w:t>
            </w:r>
          </w:p>
        </w:tc>
        <w:tc>
          <w:tcPr>
            <w:tcW w:w="335" w:type="pct"/>
            <w:tcBorders>
              <w:top w:val="single" w:sz="4" w:space="0" w:color="auto"/>
              <w:left w:val="nil"/>
              <w:bottom w:val="nil"/>
              <w:right w:val="nil"/>
            </w:tcBorders>
            <w:shd w:val="clear" w:color="auto" w:fill="auto"/>
            <w:noWrap/>
            <w:vAlign w:val="bottom"/>
            <w:hideMark/>
          </w:tcPr>
          <w:p w14:paraId="78418CA6"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eastAsia="en-NZ"/>
              </w:rPr>
              <w:t> </w:t>
            </w:r>
          </w:p>
        </w:tc>
        <w:tc>
          <w:tcPr>
            <w:tcW w:w="750" w:type="pct"/>
            <w:tcBorders>
              <w:top w:val="single" w:sz="4" w:space="0" w:color="auto"/>
              <w:left w:val="nil"/>
              <w:bottom w:val="nil"/>
              <w:right w:val="nil"/>
            </w:tcBorders>
            <w:shd w:val="clear" w:color="auto" w:fill="auto"/>
            <w:noWrap/>
            <w:vAlign w:val="bottom"/>
            <w:hideMark/>
          </w:tcPr>
          <w:p w14:paraId="05BDA74E"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eastAsia="en-NZ"/>
              </w:rPr>
              <w:t> </w:t>
            </w:r>
          </w:p>
        </w:tc>
        <w:tc>
          <w:tcPr>
            <w:tcW w:w="335" w:type="pct"/>
            <w:tcBorders>
              <w:top w:val="single" w:sz="4" w:space="0" w:color="auto"/>
              <w:left w:val="nil"/>
              <w:bottom w:val="nil"/>
              <w:right w:val="nil"/>
            </w:tcBorders>
            <w:shd w:val="clear" w:color="auto" w:fill="auto"/>
            <w:noWrap/>
            <w:vAlign w:val="bottom"/>
            <w:hideMark/>
          </w:tcPr>
          <w:p w14:paraId="57C81D7F"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eastAsia="en-NZ"/>
              </w:rPr>
              <w:t> </w:t>
            </w:r>
          </w:p>
        </w:tc>
      </w:tr>
      <w:tr w:rsidR="00D07A53" w:rsidRPr="00505045" w14:paraId="3C1DF35C" w14:textId="77777777" w:rsidTr="003632F4">
        <w:trPr>
          <w:trHeight w:val="300"/>
        </w:trPr>
        <w:tc>
          <w:tcPr>
            <w:tcW w:w="660" w:type="pct"/>
            <w:tcBorders>
              <w:top w:val="nil"/>
              <w:left w:val="nil"/>
              <w:bottom w:val="nil"/>
              <w:right w:val="nil"/>
            </w:tcBorders>
            <w:shd w:val="clear" w:color="auto" w:fill="auto"/>
            <w:noWrap/>
            <w:vAlign w:val="center"/>
            <w:hideMark/>
          </w:tcPr>
          <w:p w14:paraId="7FF0D0C1" w14:textId="77777777" w:rsidR="00D07A53" w:rsidRPr="00505045" w:rsidRDefault="00D07A53" w:rsidP="003632F4">
            <w:pPr>
              <w:spacing w:line="240" w:lineRule="auto"/>
              <w:rPr>
                <w:rFonts w:eastAsia="Times New Roman"/>
                <w:color w:val="000000"/>
                <w:sz w:val="22"/>
                <w:szCs w:val="22"/>
                <w:lang w:eastAsia="en-NZ"/>
              </w:rPr>
            </w:pPr>
            <w:r>
              <w:rPr>
                <w:rFonts w:eastAsia="Times New Roman"/>
                <w:color w:val="000000"/>
                <w:sz w:val="22"/>
                <w:szCs w:val="22"/>
                <w:lang w:val="en-US" w:eastAsia="en-NZ"/>
              </w:rPr>
              <w:t xml:space="preserve">  </w:t>
            </w:r>
            <w:r w:rsidRPr="00505045">
              <w:rPr>
                <w:rFonts w:eastAsia="Times New Roman"/>
                <w:color w:val="000000"/>
                <w:sz w:val="22"/>
                <w:szCs w:val="22"/>
                <w:lang w:val="en-US" w:eastAsia="en-NZ"/>
              </w:rPr>
              <w:t>24 or less</w:t>
            </w:r>
          </w:p>
        </w:tc>
        <w:tc>
          <w:tcPr>
            <w:tcW w:w="750" w:type="pct"/>
            <w:tcBorders>
              <w:top w:val="nil"/>
              <w:left w:val="nil"/>
              <w:bottom w:val="nil"/>
              <w:right w:val="nil"/>
            </w:tcBorders>
            <w:shd w:val="clear" w:color="auto" w:fill="auto"/>
            <w:noWrap/>
            <w:vAlign w:val="center"/>
            <w:hideMark/>
          </w:tcPr>
          <w:p w14:paraId="54856D67"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7290</w:t>
            </w:r>
          </w:p>
        </w:tc>
        <w:tc>
          <w:tcPr>
            <w:tcW w:w="335" w:type="pct"/>
            <w:tcBorders>
              <w:top w:val="nil"/>
              <w:left w:val="nil"/>
              <w:bottom w:val="nil"/>
              <w:right w:val="nil"/>
            </w:tcBorders>
            <w:shd w:val="clear" w:color="auto" w:fill="auto"/>
            <w:noWrap/>
            <w:vAlign w:val="center"/>
            <w:hideMark/>
          </w:tcPr>
          <w:p w14:paraId="1DC2FAD6"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14</w:t>
            </w:r>
          </w:p>
        </w:tc>
        <w:tc>
          <w:tcPr>
            <w:tcW w:w="750" w:type="pct"/>
            <w:tcBorders>
              <w:top w:val="nil"/>
              <w:left w:val="nil"/>
              <w:bottom w:val="nil"/>
              <w:right w:val="nil"/>
            </w:tcBorders>
            <w:shd w:val="clear" w:color="auto" w:fill="auto"/>
            <w:noWrap/>
            <w:vAlign w:val="center"/>
            <w:hideMark/>
          </w:tcPr>
          <w:p w14:paraId="5C1DA53A"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1589</w:t>
            </w:r>
          </w:p>
        </w:tc>
        <w:tc>
          <w:tcPr>
            <w:tcW w:w="335" w:type="pct"/>
            <w:tcBorders>
              <w:top w:val="nil"/>
              <w:left w:val="nil"/>
              <w:bottom w:val="nil"/>
              <w:right w:val="nil"/>
            </w:tcBorders>
            <w:shd w:val="clear" w:color="auto" w:fill="auto"/>
            <w:noWrap/>
            <w:vAlign w:val="center"/>
            <w:hideMark/>
          </w:tcPr>
          <w:p w14:paraId="785898D4"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18.1</w:t>
            </w:r>
          </w:p>
        </w:tc>
        <w:tc>
          <w:tcPr>
            <w:tcW w:w="750" w:type="pct"/>
            <w:tcBorders>
              <w:top w:val="nil"/>
              <w:left w:val="nil"/>
              <w:bottom w:val="nil"/>
              <w:right w:val="nil"/>
            </w:tcBorders>
            <w:shd w:val="clear" w:color="auto" w:fill="auto"/>
            <w:noWrap/>
            <w:vAlign w:val="center"/>
            <w:hideMark/>
          </w:tcPr>
          <w:p w14:paraId="79EBF965"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89</w:t>
            </w:r>
          </w:p>
        </w:tc>
        <w:tc>
          <w:tcPr>
            <w:tcW w:w="335" w:type="pct"/>
            <w:tcBorders>
              <w:top w:val="nil"/>
              <w:left w:val="nil"/>
              <w:bottom w:val="nil"/>
              <w:right w:val="nil"/>
            </w:tcBorders>
            <w:shd w:val="clear" w:color="auto" w:fill="auto"/>
            <w:noWrap/>
            <w:vAlign w:val="center"/>
            <w:hideMark/>
          </w:tcPr>
          <w:p w14:paraId="6CCB859C"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5.5</w:t>
            </w:r>
          </w:p>
        </w:tc>
        <w:tc>
          <w:tcPr>
            <w:tcW w:w="750" w:type="pct"/>
            <w:tcBorders>
              <w:top w:val="nil"/>
              <w:left w:val="nil"/>
              <w:bottom w:val="nil"/>
              <w:right w:val="nil"/>
            </w:tcBorders>
            <w:shd w:val="clear" w:color="auto" w:fill="auto"/>
            <w:noWrap/>
            <w:vAlign w:val="center"/>
            <w:hideMark/>
          </w:tcPr>
          <w:p w14:paraId="56D19D7E"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244</w:t>
            </w:r>
          </w:p>
        </w:tc>
        <w:tc>
          <w:tcPr>
            <w:tcW w:w="335" w:type="pct"/>
            <w:tcBorders>
              <w:top w:val="nil"/>
              <w:left w:val="nil"/>
              <w:bottom w:val="nil"/>
              <w:right w:val="nil"/>
            </w:tcBorders>
            <w:shd w:val="clear" w:color="auto" w:fill="auto"/>
            <w:noWrap/>
            <w:vAlign w:val="center"/>
            <w:hideMark/>
          </w:tcPr>
          <w:p w14:paraId="4293D34C"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17.4</w:t>
            </w:r>
          </w:p>
        </w:tc>
      </w:tr>
      <w:tr w:rsidR="00D07A53" w:rsidRPr="00505045" w14:paraId="3D950E78" w14:textId="77777777" w:rsidTr="003632F4">
        <w:trPr>
          <w:trHeight w:val="300"/>
        </w:trPr>
        <w:tc>
          <w:tcPr>
            <w:tcW w:w="660" w:type="pct"/>
            <w:tcBorders>
              <w:top w:val="nil"/>
              <w:left w:val="nil"/>
              <w:bottom w:val="nil"/>
              <w:right w:val="nil"/>
            </w:tcBorders>
            <w:shd w:val="clear" w:color="auto" w:fill="auto"/>
            <w:noWrap/>
            <w:vAlign w:val="center"/>
            <w:hideMark/>
          </w:tcPr>
          <w:p w14:paraId="640DE7B6" w14:textId="77777777" w:rsidR="00D07A53" w:rsidRPr="00505045" w:rsidRDefault="00D07A53" w:rsidP="003632F4">
            <w:pPr>
              <w:spacing w:line="240" w:lineRule="auto"/>
              <w:rPr>
                <w:rFonts w:eastAsia="Times New Roman"/>
                <w:color w:val="000000"/>
                <w:sz w:val="22"/>
                <w:szCs w:val="22"/>
                <w:lang w:eastAsia="en-NZ"/>
              </w:rPr>
            </w:pPr>
            <w:r>
              <w:rPr>
                <w:rFonts w:eastAsia="Times New Roman"/>
                <w:color w:val="000000"/>
                <w:sz w:val="22"/>
                <w:szCs w:val="22"/>
                <w:lang w:val="en-US" w:eastAsia="en-NZ"/>
              </w:rPr>
              <w:t xml:space="preserve">  </w:t>
            </w:r>
            <w:r w:rsidRPr="00505045">
              <w:rPr>
                <w:rFonts w:eastAsia="Times New Roman"/>
                <w:color w:val="000000"/>
                <w:sz w:val="22"/>
                <w:szCs w:val="22"/>
                <w:lang w:val="en-US" w:eastAsia="en-NZ"/>
              </w:rPr>
              <w:t>25-34</w:t>
            </w:r>
          </w:p>
        </w:tc>
        <w:tc>
          <w:tcPr>
            <w:tcW w:w="750" w:type="pct"/>
            <w:tcBorders>
              <w:top w:val="nil"/>
              <w:left w:val="nil"/>
              <w:bottom w:val="nil"/>
              <w:right w:val="nil"/>
            </w:tcBorders>
            <w:shd w:val="clear" w:color="auto" w:fill="auto"/>
            <w:noWrap/>
            <w:vAlign w:val="center"/>
            <w:hideMark/>
          </w:tcPr>
          <w:p w14:paraId="047F226A"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11986</w:t>
            </w:r>
          </w:p>
        </w:tc>
        <w:tc>
          <w:tcPr>
            <w:tcW w:w="335" w:type="pct"/>
            <w:tcBorders>
              <w:top w:val="nil"/>
              <w:left w:val="nil"/>
              <w:bottom w:val="nil"/>
              <w:right w:val="nil"/>
            </w:tcBorders>
            <w:shd w:val="clear" w:color="auto" w:fill="auto"/>
            <w:noWrap/>
            <w:vAlign w:val="center"/>
            <w:hideMark/>
          </w:tcPr>
          <w:p w14:paraId="1C57E233"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23</w:t>
            </w:r>
          </w:p>
        </w:tc>
        <w:tc>
          <w:tcPr>
            <w:tcW w:w="750" w:type="pct"/>
            <w:tcBorders>
              <w:top w:val="nil"/>
              <w:left w:val="nil"/>
              <w:bottom w:val="nil"/>
              <w:right w:val="nil"/>
            </w:tcBorders>
            <w:shd w:val="clear" w:color="auto" w:fill="auto"/>
            <w:noWrap/>
            <w:vAlign w:val="center"/>
            <w:hideMark/>
          </w:tcPr>
          <w:p w14:paraId="728D8003"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1626</w:t>
            </w:r>
          </w:p>
        </w:tc>
        <w:tc>
          <w:tcPr>
            <w:tcW w:w="335" w:type="pct"/>
            <w:tcBorders>
              <w:top w:val="nil"/>
              <w:left w:val="nil"/>
              <w:bottom w:val="nil"/>
              <w:right w:val="nil"/>
            </w:tcBorders>
            <w:shd w:val="clear" w:color="auto" w:fill="auto"/>
            <w:noWrap/>
            <w:vAlign w:val="center"/>
            <w:hideMark/>
          </w:tcPr>
          <w:p w14:paraId="3974E9DA"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18.5</w:t>
            </w:r>
          </w:p>
        </w:tc>
        <w:tc>
          <w:tcPr>
            <w:tcW w:w="750" w:type="pct"/>
            <w:tcBorders>
              <w:top w:val="nil"/>
              <w:left w:val="nil"/>
              <w:bottom w:val="nil"/>
              <w:right w:val="nil"/>
            </w:tcBorders>
            <w:shd w:val="clear" w:color="auto" w:fill="auto"/>
            <w:noWrap/>
            <w:vAlign w:val="center"/>
            <w:hideMark/>
          </w:tcPr>
          <w:p w14:paraId="553C2649"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412</w:t>
            </w:r>
          </w:p>
        </w:tc>
        <w:tc>
          <w:tcPr>
            <w:tcW w:w="335" w:type="pct"/>
            <w:tcBorders>
              <w:top w:val="nil"/>
              <w:left w:val="nil"/>
              <w:bottom w:val="nil"/>
              <w:right w:val="nil"/>
            </w:tcBorders>
            <w:shd w:val="clear" w:color="auto" w:fill="auto"/>
            <w:noWrap/>
            <w:vAlign w:val="center"/>
            <w:hideMark/>
          </w:tcPr>
          <w:p w14:paraId="7F95B367"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25.6</w:t>
            </w:r>
          </w:p>
        </w:tc>
        <w:tc>
          <w:tcPr>
            <w:tcW w:w="750" w:type="pct"/>
            <w:tcBorders>
              <w:top w:val="nil"/>
              <w:left w:val="nil"/>
              <w:bottom w:val="nil"/>
              <w:right w:val="nil"/>
            </w:tcBorders>
            <w:shd w:val="clear" w:color="auto" w:fill="auto"/>
            <w:noWrap/>
            <w:vAlign w:val="center"/>
            <w:hideMark/>
          </w:tcPr>
          <w:p w14:paraId="2D108469"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378</w:t>
            </w:r>
          </w:p>
        </w:tc>
        <w:tc>
          <w:tcPr>
            <w:tcW w:w="335" w:type="pct"/>
            <w:tcBorders>
              <w:top w:val="nil"/>
              <w:left w:val="nil"/>
              <w:bottom w:val="nil"/>
              <w:right w:val="nil"/>
            </w:tcBorders>
            <w:shd w:val="clear" w:color="auto" w:fill="auto"/>
            <w:noWrap/>
            <w:vAlign w:val="center"/>
            <w:hideMark/>
          </w:tcPr>
          <w:p w14:paraId="6DB46BB6"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27</w:t>
            </w:r>
          </w:p>
        </w:tc>
      </w:tr>
      <w:tr w:rsidR="00D07A53" w:rsidRPr="00505045" w14:paraId="0B76FDA0" w14:textId="77777777" w:rsidTr="003632F4">
        <w:trPr>
          <w:trHeight w:val="300"/>
        </w:trPr>
        <w:tc>
          <w:tcPr>
            <w:tcW w:w="660" w:type="pct"/>
            <w:tcBorders>
              <w:top w:val="nil"/>
              <w:left w:val="nil"/>
              <w:bottom w:val="nil"/>
              <w:right w:val="nil"/>
            </w:tcBorders>
            <w:shd w:val="clear" w:color="auto" w:fill="auto"/>
            <w:noWrap/>
            <w:vAlign w:val="center"/>
            <w:hideMark/>
          </w:tcPr>
          <w:p w14:paraId="1A58D40F" w14:textId="77777777" w:rsidR="00D07A53" w:rsidRPr="00505045" w:rsidRDefault="00D07A53" w:rsidP="003632F4">
            <w:pPr>
              <w:spacing w:line="240" w:lineRule="auto"/>
              <w:rPr>
                <w:rFonts w:eastAsia="Times New Roman"/>
                <w:color w:val="000000"/>
                <w:sz w:val="22"/>
                <w:szCs w:val="22"/>
                <w:lang w:eastAsia="en-NZ"/>
              </w:rPr>
            </w:pPr>
            <w:r>
              <w:rPr>
                <w:rFonts w:eastAsia="Times New Roman"/>
                <w:color w:val="000000"/>
                <w:sz w:val="22"/>
                <w:szCs w:val="22"/>
                <w:lang w:val="en-US" w:eastAsia="en-NZ"/>
              </w:rPr>
              <w:t xml:space="preserve">  </w:t>
            </w:r>
            <w:r w:rsidRPr="00505045">
              <w:rPr>
                <w:rFonts w:eastAsia="Times New Roman"/>
                <w:color w:val="000000"/>
                <w:sz w:val="22"/>
                <w:szCs w:val="22"/>
                <w:lang w:val="en-US" w:eastAsia="en-NZ"/>
              </w:rPr>
              <w:t>35-44</w:t>
            </w:r>
          </w:p>
        </w:tc>
        <w:tc>
          <w:tcPr>
            <w:tcW w:w="750" w:type="pct"/>
            <w:tcBorders>
              <w:top w:val="nil"/>
              <w:left w:val="nil"/>
              <w:bottom w:val="nil"/>
              <w:right w:val="nil"/>
            </w:tcBorders>
            <w:shd w:val="clear" w:color="auto" w:fill="auto"/>
            <w:noWrap/>
            <w:vAlign w:val="center"/>
            <w:hideMark/>
          </w:tcPr>
          <w:p w14:paraId="5CCBFB58"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11293</w:t>
            </w:r>
          </w:p>
        </w:tc>
        <w:tc>
          <w:tcPr>
            <w:tcW w:w="335" w:type="pct"/>
            <w:tcBorders>
              <w:top w:val="nil"/>
              <w:left w:val="nil"/>
              <w:bottom w:val="nil"/>
              <w:right w:val="nil"/>
            </w:tcBorders>
            <w:shd w:val="clear" w:color="auto" w:fill="auto"/>
            <w:noWrap/>
            <w:vAlign w:val="center"/>
            <w:hideMark/>
          </w:tcPr>
          <w:p w14:paraId="18764C24"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21.6</w:t>
            </w:r>
          </w:p>
        </w:tc>
        <w:tc>
          <w:tcPr>
            <w:tcW w:w="750" w:type="pct"/>
            <w:tcBorders>
              <w:top w:val="nil"/>
              <w:left w:val="nil"/>
              <w:bottom w:val="nil"/>
              <w:right w:val="nil"/>
            </w:tcBorders>
            <w:shd w:val="clear" w:color="auto" w:fill="auto"/>
            <w:noWrap/>
            <w:vAlign w:val="center"/>
            <w:hideMark/>
          </w:tcPr>
          <w:p w14:paraId="0D53CD82"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1100</w:t>
            </w:r>
          </w:p>
        </w:tc>
        <w:tc>
          <w:tcPr>
            <w:tcW w:w="335" w:type="pct"/>
            <w:tcBorders>
              <w:top w:val="nil"/>
              <w:left w:val="nil"/>
              <w:bottom w:val="nil"/>
              <w:right w:val="nil"/>
            </w:tcBorders>
            <w:shd w:val="clear" w:color="auto" w:fill="auto"/>
            <w:noWrap/>
            <w:vAlign w:val="center"/>
            <w:hideMark/>
          </w:tcPr>
          <w:p w14:paraId="62FFB231"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12.5</w:t>
            </w:r>
          </w:p>
        </w:tc>
        <w:tc>
          <w:tcPr>
            <w:tcW w:w="750" w:type="pct"/>
            <w:tcBorders>
              <w:top w:val="nil"/>
              <w:left w:val="nil"/>
              <w:bottom w:val="nil"/>
              <w:right w:val="nil"/>
            </w:tcBorders>
            <w:shd w:val="clear" w:color="auto" w:fill="auto"/>
            <w:noWrap/>
            <w:vAlign w:val="center"/>
            <w:hideMark/>
          </w:tcPr>
          <w:p w14:paraId="0663E3F6"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385</w:t>
            </w:r>
          </w:p>
        </w:tc>
        <w:tc>
          <w:tcPr>
            <w:tcW w:w="335" w:type="pct"/>
            <w:tcBorders>
              <w:top w:val="nil"/>
              <w:left w:val="nil"/>
              <w:bottom w:val="nil"/>
              <w:right w:val="nil"/>
            </w:tcBorders>
            <w:shd w:val="clear" w:color="auto" w:fill="auto"/>
            <w:noWrap/>
            <w:vAlign w:val="center"/>
            <w:hideMark/>
          </w:tcPr>
          <w:p w14:paraId="412D05E5"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23.9</w:t>
            </w:r>
          </w:p>
        </w:tc>
        <w:tc>
          <w:tcPr>
            <w:tcW w:w="750" w:type="pct"/>
            <w:tcBorders>
              <w:top w:val="nil"/>
              <w:left w:val="nil"/>
              <w:bottom w:val="nil"/>
              <w:right w:val="nil"/>
            </w:tcBorders>
            <w:shd w:val="clear" w:color="auto" w:fill="auto"/>
            <w:noWrap/>
            <w:vAlign w:val="center"/>
            <w:hideMark/>
          </w:tcPr>
          <w:p w14:paraId="7747FE80"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186</w:t>
            </w:r>
          </w:p>
        </w:tc>
        <w:tc>
          <w:tcPr>
            <w:tcW w:w="335" w:type="pct"/>
            <w:tcBorders>
              <w:top w:val="nil"/>
              <w:left w:val="nil"/>
              <w:bottom w:val="nil"/>
              <w:right w:val="nil"/>
            </w:tcBorders>
            <w:shd w:val="clear" w:color="auto" w:fill="auto"/>
            <w:noWrap/>
            <w:vAlign w:val="center"/>
            <w:hideMark/>
          </w:tcPr>
          <w:p w14:paraId="1FFB6C50"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13.3</w:t>
            </w:r>
          </w:p>
        </w:tc>
      </w:tr>
      <w:tr w:rsidR="00D07A53" w:rsidRPr="00505045" w14:paraId="3A6C7C6D" w14:textId="77777777" w:rsidTr="003632F4">
        <w:trPr>
          <w:trHeight w:val="300"/>
        </w:trPr>
        <w:tc>
          <w:tcPr>
            <w:tcW w:w="660" w:type="pct"/>
            <w:tcBorders>
              <w:top w:val="nil"/>
              <w:left w:val="nil"/>
              <w:bottom w:val="nil"/>
              <w:right w:val="nil"/>
            </w:tcBorders>
            <w:shd w:val="clear" w:color="auto" w:fill="auto"/>
            <w:noWrap/>
            <w:vAlign w:val="center"/>
            <w:hideMark/>
          </w:tcPr>
          <w:p w14:paraId="6EEC9E51" w14:textId="77777777" w:rsidR="00D07A53" w:rsidRPr="00505045" w:rsidRDefault="00D07A53" w:rsidP="003632F4">
            <w:pPr>
              <w:spacing w:line="240" w:lineRule="auto"/>
              <w:rPr>
                <w:rFonts w:eastAsia="Times New Roman"/>
                <w:color w:val="000000"/>
                <w:sz w:val="22"/>
                <w:szCs w:val="22"/>
                <w:lang w:eastAsia="en-NZ"/>
              </w:rPr>
            </w:pPr>
            <w:r>
              <w:rPr>
                <w:rFonts w:eastAsia="Times New Roman"/>
                <w:color w:val="000000"/>
                <w:sz w:val="22"/>
                <w:szCs w:val="22"/>
                <w:lang w:val="en-US" w:eastAsia="en-NZ"/>
              </w:rPr>
              <w:t xml:space="preserve">  </w:t>
            </w:r>
            <w:r w:rsidRPr="00505045">
              <w:rPr>
                <w:rFonts w:eastAsia="Times New Roman"/>
                <w:color w:val="000000"/>
                <w:sz w:val="22"/>
                <w:szCs w:val="22"/>
                <w:lang w:val="en-US" w:eastAsia="en-NZ"/>
              </w:rPr>
              <w:t>45-54</w:t>
            </w:r>
          </w:p>
        </w:tc>
        <w:tc>
          <w:tcPr>
            <w:tcW w:w="750" w:type="pct"/>
            <w:tcBorders>
              <w:top w:val="nil"/>
              <w:left w:val="nil"/>
              <w:bottom w:val="nil"/>
              <w:right w:val="nil"/>
            </w:tcBorders>
            <w:shd w:val="clear" w:color="auto" w:fill="auto"/>
            <w:noWrap/>
            <w:vAlign w:val="center"/>
            <w:hideMark/>
          </w:tcPr>
          <w:p w14:paraId="0682764D"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10048</w:t>
            </w:r>
          </w:p>
        </w:tc>
        <w:tc>
          <w:tcPr>
            <w:tcW w:w="335" w:type="pct"/>
            <w:tcBorders>
              <w:top w:val="nil"/>
              <w:left w:val="nil"/>
              <w:bottom w:val="nil"/>
              <w:right w:val="nil"/>
            </w:tcBorders>
            <w:shd w:val="clear" w:color="auto" w:fill="auto"/>
            <w:noWrap/>
            <w:vAlign w:val="center"/>
            <w:hideMark/>
          </w:tcPr>
          <w:p w14:paraId="5601189A"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19.2</w:t>
            </w:r>
          </w:p>
        </w:tc>
        <w:tc>
          <w:tcPr>
            <w:tcW w:w="750" w:type="pct"/>
            <w:tcBorders>
              <w:top w:val="nil"/>
              <w:left w:val="nil"/>
              <w:bottom w:val="nil"/>
              <w:right w:val="nil"/>
            </w:tcBorders>
            <w:shd w:val="clear" w:color="auto" w:fill="auto"/>
            <w:noWrap/>
            <w:vAlign w:val="center"/>
            <w:hideMark/>
          </w:tcPr>
          <w:p w14:paraId="0319A15E"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1470</w:t>
            </w:r>
          </w:p>
        </w:tc>
        <w:tc>
          <w:tcPr>
            <w:tcW w:w="335" w:type="pct"/>
            <w:tcBorders>
              <w:top w:val="nil"/>
              <w:left w:val="nil"/>
              <w:bottom w:val="nil"/>
              <w:right w:val="nil"/>
            </w:tcBorders>
            <w:shd w:val="clear" w:color="auto" w:fill="auto"/>
            <w:noWrap/>
            <w:vAlign w:val="center"/>
            <w:hideMark/>
          </w:tcPr>
          <w:p w14:paraId="09504953"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16.8</w:t>
            </w:r>
          </w:p>
        </w:tc>
        <w:tc>
          <w:tcPr>
            <w:tcW w:w="750" w:type="pct"/>
            <w:tcBorders>
              <w:top w:val="nil"/>
              <w:left w:val="nil"/>
              <w:bottom w:val="nil"/>
              <w:right w:val="nil"/>
            </w:tcBorders>
            <w:shd w:val="clear" w:color="auto" w:fill="auto"/>
            <w:noWrap/>
            <w:vAlign w:val="center"/>
            <w:hideMark/>
          </w:tcPr>
          <w:p w14:paraId="6819B524"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332</w:t>
            </w:r>
          </w:p>
        </w:tc>
        <w:tc>
          <w:tcPr>
            <w:tcW w:w="335" w:type="pct"/>
            <w:tcBorders>
              <w:top w:val="nil"/>
              <w:left w:val="nil"/>
              <w:bottom w:val="nil"/>
              <w:right w:val="nil"/>
            </w:tcBorders>
            <w:shd w:val="clear" w:color="auto" w:fill="auto"/>
            <w:noWrap/>
            <w:vAlign w:val="center"/>
            <w:hideMark/>
          </w:tcPr>
          <w:p w14:paraId="3D471B8F"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20.6</w:t>
            </w:r>
          </w:p>
        </w:tc>
        <w:tc>
          <w:tcPr>
            <w:tcW w:w="750" w:type="pct"/>
            <w:tcBorders>
              <w:top w:val="nil"/>
              <w:left w:val="nil"/>
              <w:bottom w:val="nil"/>
              <w:right w:val="nil"/>
            </w:tcBorders>
            <w:shd w:val="clear" w:color="auto" w:fill="auto"/>
            <w:noWrap/>
            <w:vAlign w:val="center"/>
            <w:hideMark/>
          </w:tcPr>
          <w:p w14:paraId="6BF9004F"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215</w:t>
            </w:r>
          </w:p>
        </w:tc>
        <w:tc>
          <w:tcPr>
            <w:tcW w:w="335" w:type="pct"/>
            <w:tcBorders>
              <w:top w:val="nil"/>
              <w:left w:val="nil"/>
              <w:bottom w:val="nil"/>
              <w:right w:val="nil"/>
            </w:tcBorders>
            <w:shd w:val="clear" w:color="auto" w:fill="auto"/>
            <w:noWrap/>
            <w:vAlign w:val="center"/>
            <w:hideMark/>
          </w:tcPr>
          <w:p w14:paraId="4A8DBBDA"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15.4</w:t>
            </w:r>
          </w:p>
        </w:tc>
      </w:tr>
      <w:tr w:rsidR="00D07A53" w:rsidRPr="00505045" w14:paraId="0B220B24" w14:textId="77777777" w:rsidTr="003632F4">
        <w:trPr>
          <w:trHeight w:val="300"/>
        </w:trPr>
        <w:tc>
          <w:tcPr>
            <w:tcW w:w="660" w:type="pct"/>
            <w:tcBorders>
              <w:top w:val="nil"/>
              <w:left w:val="nil"/>
              <w:bottom w:val="nil"/>
              <w:right w:val="nil"/>
            </w:tcBorders>
            <w:shd w:val="clear" w:color="auto" w:fill="auto"/>
            <w:noWrap/>
            <w:vAlign w:val="center"/>
            <w:hideMark/>
          </w:tcPr>
          <w:p w14:paraId="6EEE4074" w14:textId="77777777" w:rsidR="00D07A53" w:rsidRPr="00505045" w:rsidRDefault="00D07A53" w:rsidP="003632F4">
            <w:pPr>
              <w:spacing w:line="240" w:lineRule="auto"/>
              <w:rPr>
                <w:rFonts w:eastAsia="Times New Roman"/>
                <w:color w:val="000000"/>
                <w:sz w:val="22"/>
                <w:szCs w:val="22"/>
                <w:lang w:eastAsia="en-NZ"/>
              </w:rPr>
            </w:pPr>
            <w:r>
              <w:rPr>
                <w:rFonts w:eastAsia="Times New Roman"/>
                <w:color w:val="000000"/>
                <w:sz w:val="22"/>
                <w:szCs w:val="22"/>
                <w:lang w:val="en-US" w:eastAsia="en-NZ"/>
              </w:rPr>
              <w:t xml:space="preserve">  </w:t>
            </w:r>
            <w:r w:rsidRPr="00505045">
              <w:rPr>
                <w:rFonts w:eastAsia="Times New Roman"/>
                <w:color w:val="000000"/>
                <w:sz w:val="22"/>
                <w:szCs w:val="22"/>
                <w:lang w:val="en-US" w:eastAsia="en-NZ"/>
              </w:rPr>
              <w:t>55 or more</w:t>
            </w:r>
          </w:p>
        </w:tc>
        <w:tc>
          <w:tcPr>
            <w:tcW w:w="750" w:type="pct"/>
            <w:tcBorders>
              <w:top w:val="nil"/>
              <w:left w:val="nil"/>
              <w:bottom w:val="nil"/>
              <w:right w:val="nil"/>
            </w:tcBorders>
            <w:shd w:val="clear" w:color="auto" w:fill="auto"/>
            <w:noWrap/>
            <w:vAlign w:val="center"/>
            <w:hideMark/>
          </w:tcPr>
          <w:p w14:paraId="452BA0B2"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11613</w:t>
            </w:r>
          </w:p>
        </w:tc>
        <w:tc>
          <w:tcPr>
            <w:tcW w:w="335" w:type="pct"/>
            <w:tcBorders>
              <w:top w:val="nil"/>
              <w:left w:val="nil"/>
              <w:bottom w:val="nil"/>
              <w:right w:val="nil"/>
            </w:tcBorders>
            <w:shd w:val="clear" w:color="auto" w:fill="auto"/>
            <w:noWrap/>
            <w:vAlign w:val="center"/>
            <w:hideMark/>
          </w:tcPr>
          <w:p w14:paraId="35C09E90"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22.2</w:t>
            </w:r>
          </w:p>
        </w:tc>
        <w:tc>
          <w:tcPr>
            <w:tcW w:w="750" w:type="pct"/>
            <w:tcBorders>
              <w:top w:val="nil"/>
              <w:left w:val="nil"/>
              <w:bottom w:val="nil"/>
              <w:right w:val="nil"/>
            </w:tcBorders>
            <w:shd w:val="clear" w:color="auto" w:fill="auto"/>
            <w:noWrap/>
            <w:vAlign w:val="center"/>
            <w:hideMark/>
          </w:tcPr>
          <w:p w14:paraId="398FC23F"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2990</w:t>
            </w:r>
          </w:p>
        </w:tc>
        <w:tc>
          <w:tcPr>
            <w:tcW w:w="335" w:type="pct"/>
            <w:tcBorders>
              <w:top w:val="nil"/>
              <w:left w:val="nil"/>
              <w:bottom w:val="nil"/>
              <w:right w:val="nil"/>
            </w:tcBorders>
            <w:shd w:val="clear" w:color="auto" w:fill="auto"/>
            <w:noWrap/>
            <w:vAlign w:val="center"/>
            <w:hideMark/>
          </w:tcPr>
          <w:p w14:paraId="5B1BACBF"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34.1</w:t>
            </w:r>
          </w:p>
        </w:tc>
        <w:tc>
          <w:tcPr>
            <w:tcW w:w="750" w:type="pct"/>
            <w:tcBorders>
              <w:top w:val="nil"/>
              <w:left w:val="nil"/>
              <w:bottom w:val="nil"/>
              <w:right w:val="nil"/>
            </w:tcBorders>
            <w:shd w:val="clear" w:color="auto" w:fill="auto"/>
            <w:noWrap/>
            <w:vAlign w:val="center"/>
            <w:hideMark/>
          </w:tcPr>
          <w:p w14:paraId="4FBF0EA0"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393</w:t>
            </w:r>
          </w:p>
        </w:tc>
        <w:tc>
          <w:tcPr>
            <w:tcW w:w="335" w:type="pct"/>
            <w:tcBorders>
              <w:top w:val="nil"/>
              <w:left w:val="nil"/>
              <w:bottom w:val="nil"/>
              <w:right w:val="nil"/>
            </w:tcBorders>
            <w:shd w:val="clear" w:color="auto" w:fill="auto"/>
            <w:noWrap/>
            <w:vAlign w:val="center"/>
            <w:hideMark/>
          </w:tcPr>
          <w:p w14:paraId="6FA0F7E6"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24.4</w:t>
            </w:r>
          </w:p>
        </w:tc>
        <w:tc>
          <w:tcPr>
            <w:tcW w:w="750" w:type="pct"/>
            <w:tcBorders>
              <w:top w:val="nil"/>
              <w:left w:val="nil"/>
              <w:bottom w:val="nil"/>
              <w:right w:val="nil"/>
            </w:tcBorders>
            <w:shd w:val="clear" w:color="auto" w:fill="auto"/>
            <w:noWrap/>
            <w:vAlign w:val="center"/>
            <w:hideMark/>
          </w:tcPr>
          <w:p w14:paraId="0D53225A"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376</w:t>
            </w:r>
          </w:p>
        </w:tc>
        <w:tc>
          <w:tcPr>
            <w:tcW w:w="335" w:type="pct"/>
            <w:tcBorders>
              <w:top w:val="nil"/>
              <w:left w:val="nil"/>
              <w:bottom w:val="nil"/>
              <w:right w:val="nil"/>
            </w:tcBorders>
            <w:shd w:val="clear" w:color="auto" w:fill="auto"/>
            <w:noWrap/>
            <w:vAlign w:val="center"/>
            <w:hideMark/>
          </w:tcPr>
          <w:p w14:paraId="49598A78"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26.9</w:t>
            </w:r>
          </w:p>
        </w:tc>
      </w:tr>
      <w:tr w:rsidR="00D07A53" w:rsidRPr="00505045" w14:paraId="0B721EE9" w14:textId="77777777" w:rsidTr="003632F4">
        <w:trPr>
          <w:trHeight w:val="300"/>
        </w:trPr>
        <w:tc>
          <w:tcPr>
            <w:tcW w:w="1409" w:type="pct"/>
            <w:gridSpan w:val="2"/>
            <w:tcBorders>
              <w:top w:val="single" w:sz="4" w:space="0" w:color="auto"/>
              <w:left w:val="nil"/>
              <w:bottom w:val="nil"/>
              <w:right w:val="nil"/>
            </w:tcBorders>
            <w:shd w:val="clear" w:color="auto" w:fill="auto"/>
            <w:noWrap/>
            <w:vAlign w:val="center"/>
            <w:hideMark/>
          </w:tcPr>
          <w:p w14:paraId="34122CFC" w14:textId="77777777" w:rsidR="00D07A53" w:rsidRPr="00FA626C" w:rsidRDefault="00D07A53" w:rsidP="003632F4">
            <w:pPr>
              <w:spacing w:line="240" w:lineRule="auto"/>
              <w:rPr>
                <w:rFonts w:eastAsia="Times New Roman"/>
                <w:b/>
                <w:bCs/>
                <w:color w:val="000000"/>
                <w:sz w:val="22"/>
                <w:szCs w:val="22"/>
                <w:lang w:eastAsia="en-NZ"/>
              </w:rPr>
            </w:pPr>
            <w:r w:rsidRPr="00FA626C">
              <w:rPr>
                <w:rFonts w:eastAsia="Times New Roman"/>
                <w:b/>
                <w:bCs/>
                <w:color w:val="000000"/>
                <w:sz w:val="22"/>
                <w:szCs w:val="22"/>
                <w:lang w:eastAsia="en-NZ"/>
              </w:rPr>
              <w:t>Ethnic Group</w:t>
            </w:r>
          </w:p>
        </w:tc>
        <w:tc>
          <w:tcPr>
            <w:tcW w:w="335" w:type="pct"/>
            <w:tcBorders>
              <w:top w:val="single" w:sz="4" w:space="0" w:color="auto"/>
              <w:left w:val="nil"/>
              <w:bottom w:val="nil"/>
              <w:right w:val="nil"/>
            </w:tcBorders>
            <w:shd w:val="clear" w:color="auto" w:fill="auto"/>
            <w:noWrap/>
            <w:vAlign w:val="bottom"/>
            <w:hideMark/>
          </w:tcPr>
          <w:p w14:paraId="38548F45"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eastAsia="en-NZ"/>
              </w:rPr>
              <w:t> </w:t>
            </w:r>
          </w:p>
        </w:tc>
        <w:tc>
          <w:tcPr>
            <w:tcW w:w="750" w:type="pct"/>
            <w:tcBorders>
              <w:top w:val="single" w:sz="4" w:space="0" w:color="auto"/>
              <w:left w:val="nil"/>
              <w:bottom w:val="nil"/>
              <w:right w:val="nil"/>
            </w:tcBorders>
            <w:shd w:val="clear" w:color="auto" w:fill="auto"/>
            <w:noWrap/>
            <w:vAlign w:val="bottom"/>
            <w:hideMark/>
          </w:tcPr>
          <w:p w14:paraId="1F092E19"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eastAsia="en-NZ"/>
              </w:rPr>
              <w:t> </w:t>
            </w:r>
          </w:p>
        </w:tc>
        <w:tc>
          <w:tcPr>
            <w:tcW w:w="335" w:type="pct"/>
            <w:tcBorders>
              <w:top w:val="single" w:sz="4" w:space="0" w:color="auto"/>
              <w:left w:val="nil"/>
              <w:bottom w:val="nil"/>
              <w:right w:val="nil"/>
            </w:tcBorders>
            <w:shd w:val="clear" w:color="auto" w:fill="auto"/>
            <w:noWrap/>
            <w:vAlign w:val="bottom"/>
            <w:hideMark/>
          </w:tcPr>
          <w:p w14:paraId="3E3A3B5D"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eastAsia="en-NZ"/>
              </w:rPr>
              <w:t> </w:t>
            </w:r>
          </w:p>
        </w:tc>
        <w:tc>
          <w:tcPr>
            <w:tcW w:w="750" w:type="pct"/>
            <w:tcBorders>
              <w:top w:val="single" w:sz="4" w:space="0" w:color="auto"/>
              <w:left w:val="nil"/>
              <w:bottom w:val="nil"/>
              <w:right w:val="nil"/>
            </w:tcBorders>
            <w:shd w:val="clear" w:color="auto" w:fill="auto"/>
            <w:noWrap/>
            <w:vAlign w:val="bottom"/>
            <w:hideMark/>
          </w:tcPr>
          <w:p w14:paraId="5B044729"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eastAsia="en-NZ"/>
              </w:rPr>
              <w:t> </w:t>
            </w:r>
          </w:p>
        </w:tc>
        <w:tc>
          <w:tcPr>
            <w:tcW w:w="335" w:type="pct"/>
            <w:tcBorders>
              <w:top w:val="single" w:sz="4" w:space="0" w:color="auto"/>
              <w:left w:val="nil"/>
              <w:bottom w:val="nil"/>
              <w:right w:val="nil"/>
            </w:tcBorders>
            <w:shd w:val="clear" w:color="auto" w:fill="auto"/>
            <w:noWrap/>
            <w:vAlign w:val="bottom"/>
            <w:hideMark/>
          </w:tcPr>
          <w:p w14:paraId="4E2ACAB5"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eastAsia="en-NZ"/>
              </w:rPr>
              <w:t> </w:t>
            </w:r>
          </w:p>
        </w:tc>
        <w:tc>
          <w:tcPr>
            <w:tcW w:w="750" w:type="pct"/>
            <w:tcBorders>
              <w:top w:val="single" w:sz="4" w:space="0" w:color="auto"/>
              <w:left w:val="nil"/>
              <w:bottom w:val="nil"/>
              <w:right w:val="nil"/>
            </w:tcBorders>
            <w:shd w:val="clear" w:color="auto" w:fill="auto"/>
            <w:noWrap/>
            <w:vAlign w:val="bottom"/>
            <w:hideMark/>
          </w:tcPr>
          <w:p w14:paraId="5AAF6149"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eastAsia="en-NZ"/>
              </w:rPr>
              <w:t> </w:t>
            </w:r>
          </w:p>
        </w:tc>
        <w:tc>
          <w:tcPr>
            <w:tcW w:w="335" w:type="pct"/>
            <w:tcBorders>
              <w:top w:val="single" w:sz="4" w:space="0" w:color="auto"/>
              <w:left w:val="nil"/>
              <w:bottom w:val="nil"/>
              <w:right w:val="nil"/>
            </w:tcBorders>
            <w:shd w:val="clear" w:color="auto" w:fill="auto"/>
            <w:noWrap/>
            <w:vAlign w:val="bottom"/>
            <w:hideMark/>
          </w:tcPr>
          <w:p w14:paraId="15341E11" w14:textId="77777777" w:rsidR="00D07A53" w:rsidRPr="00505045" w:rsidRDefault="00D07A53" w:rsidP="003632F4">
            <w:pPr>
              <w:spacing w:line="240" w:lineRule="auto"/>
              <w:rPr>
                <w:rFonts w:eastAsia="Times New Roman"/>
                <w:color w:val="000000"/>
                <w:sz w:val="22"/>
                <w:szCs w:val="22"/>
                <w:lang w:eastAsia="en-NZ"/>
              </w:rPr>
            </w:pPr>
            <w:r w:rsidRPr="00505045">
              <w:rPr>
                <w:rFonts w:eastAsia="Times New Roman"/>
                <w:color w:val="000000"/>
                <w:sz w:val="22"/>
                <w:szCs w:val="22"/>
                <w:lang w:eastAsia="en-NZ"/>
              </w:rPr>
              <w:t> </w:t>
            </w:r>
          </w:p>
        </w:tc>
      </w:tr>
      <w:tr w:rsidR="00D07A53" w:rsidRPr="00505045" w14:paraId="24B339B0" w14:textId="77777777" w:rsidTr="003632F4">
        <w:trPr>
          <w:trHeight w:val="300"/>
        </w:trPr>
        <w:tc>
          <w:tcPr>
            <w:tcW w:w="660" w:type="pct"/>
            <w:tcBorders>
              <w:top w:val="nil"/>
              <w:left w:val="nil"/>
              <w:bottom w:val="nil"/>
              <w:right w:val="nil"/>
            </w:tcBorders>
            <w:shd w:val="clear" w:color="auto" w:fill="auto"/>
            <w:noWrap/>
            <w:vAlign w:val="center"/>
            <w:hideMark/>
          </w:tcPr>
          <w:p w14:paraId="341894FB" w14:textId="77777777" w:rsidR="00D07A53" w:rsidRPr="00505045" w:rsidRDefault="00D07A53" w:rsidP="003632F4">
            <w:pPr>
              <w:spacing w:line="240" w:lineRule="auto"/>
              <w:rPr>
                <w:rFonts w:eastAsia="Times New Roman"/>
                <w:color w:val="000000"/>
                <w:sz w:val="22"/>
                <w:szCs w:val="22"/>
                <w:lang w:eastAsia="en-NZ"/>
              </w:rPr>
            </w:pPr>
            <w:r>
              <w:rPr>
                <w:rFonts w:eastAsia="Times New Roman"/>
                <w:color w:val="000000"/>
                <w:sz w:val="22"/>
                <w:szCs w:val="22"/>
                <w:lang w:val="en-US" w:eastAsia="en-NZ"/>
              </w:rPr>
              <w:t xml:space="preserve">  </w:t>
            </w:r>
            <w:r w:rsidRPr="00505045">
              <w:rPr>
                <w:rFonts w:eastAsia="Times New Roman"/>
                <w:color w:val="000000"/>
                <w:sz w:val="22"/>
                <w:szCs w:val="22"/>
                <w:lang w:val="en-US" w:eastAsia="en-NZ"/>
              </w:rPr>
              <w:t>Māori</w:t>
            </w:r>
          </w:p>
        </w:tc>
        <w:tc>
          <w:tcPr>
            <w:tcW w:w="750" w:type="pct"/>
            <w:tcBorders>
              <w:top w:val="nil"/>
              <w:left w:val="nil"/>
              <w:bottom w:val="nil"/>
              <w:right w:val="nil"/>
            </w:tcBorders>
            <w:shd w:val="clear" w:color="auto" w:fill="auto"/>
            <w:noWrap/>
            <w:vAlign w:val="center"/>
            <w:hideMark/>
          </w:tcPr>
          <w:p w14:paraId="2E182DD6"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19948</w:t>
            </w:r>
          </w:p>
        </w:tc>
        <w:tc>
          <w:tcPr>
            <w:tcW w:w="335" w:type="pct"/>
            <w:tcBorders>
              <w:top w:val="nil"/>
              <w:left w:val="nil"/>
              <w:bottom w:val="nil"/>
              <w:right w:val="nil"/>
            </w:tcBorders>
            <w:shd w:val="clear" w:color="auto" w:fill="auto"/>
            <w:noWrap/>
            <w:vAlign w:val="center"/>
            <w:hideMark/>
          </w:tcPr>
          <w:p w14:paraId="70A33D9C"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37.3</w:t>
            </w:r>
          </w:p>
        </w:tc>
        <w:tc>
          <w:tcPr>
            <w:tcW w:w="750" w:type="pct"/>
            <w:tcBorders>
              <w:top w:val="nil"/>
              <w:left w:val="nil"/>
              <w:bottom w:val="nil"/>
              <w:right w:val="nil"/>
            </w:tcBorders>
            <w:shd w:val="clear" w:color="auto" w:fill="auto"/>
            <w:noWrap/>
            <w:vAlign w:val="center"/>
            <w:hideMark/>
          </w:tcPr>
          <w:p w14:paraId="417F85D4"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2173</w:t>
            </w:r>
          </w:p>
        </w:tc>
        <w:tc>
          <w:tcPr>
            <w:tcW w:w="335" w:type="pct"/>
            <w:tcBorders>
              <w:top w:val="nil"/>
              <w:left w:val="nil"/>
              <w:bottom w:val="nil"/>
              <w:right w:val="nil"/>
            </w:tcBorders>
            <w:shd w:val="clear" w:color="auto" w:fill="auto"/>
            <w:noWrap/>
            <w:vAlign w:val="center"/>
            <w:hideMark/>
          </w:tcPr>
          <w:p w14:paraId="543DEF1B"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24.7</w:t>
            </w:r>
          </w:p>
        </w:tc>
        <w:tc>
          <w:tcPr>
            <w:tcW w:w="750" w:type="pct"/>
            <w:tcBorders>
              <w:top w:val="nil"/>
              <w:left w:val="nil"/>
              <w:bottom w:val="nil"/>
              <w:right w:val="nil"/>
            </w:tcBorders>
            <w:shd w:val="clear" w:color="auto" w:fill="auto"/>
            <w:noWrap/>
            <w:vAlign w:val="center"/>
            <w:hideMark/>
          </w:tcPr>
          <w:p w14:paraId="670AB786"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175</w:t>
            </w:r>
          </w:p>
        </w:tc>
        <w:tc>
          <w:tcPr>
            <w:tcW w:w="335" w:type="pct"/>
            <w:tcBorders>
              <w:top w:val="nil"/>
              <w:left w:val="nil"/>
              <w:bottom w:val="nil"/>
              <w:right w:val="nil"/>
            </w:tcBorders>
            <w:shd w:val="clear" w:color="auto" w:fill="auto"/>
            <w:noWrap/>
            <w:vAlign w:val="center"/>
            <w:hideMark/>
          </w:tcPr>
          <w:p w14:paraId="212F6BEB"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10.9</w:t>
            </w:r>
          </w:p>
        </w:tc>
        <w:tc>
          <w:tcPr>
            <w:tcW w:w="750" w:type="pct"/>
            <w:tcBorders>
              <w:top w:val="nil"/>
              <w:left w:val="nil"/>
              <w:bottom w:val="nil"/>
              <w:right w:val="nil"/>
            </w:tcBorders>
            <w:shd w:val="clear" w:color="auto" w:fill="auto"/>
            <w:noWrap/>
            <w:vAlign w:val="center"/>
            <w:hideMark/>
          </w:tcPr>
          <w:p w14:paraId="334BE0DA"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169</w:t>
            </w:r>
          </w:p>
        </w:tc>
        <w:tc>
          <w:tcPr>
            <w:tcW w:w="335" w:type="pct"/>
            <w:tcBorders>
              <w:top w:val="nil"/>
              <w:left w:val="nil"/>
              <w:bottom w:val="nil"/>
              <w:right w:val="nil"/>
            </w:tcBorders>
            <w:shd w:val="clear" w:color="auto" w:fill="auto"/>
            <w:noWrap/>
            <w:vAlign w:val="center"/>
            <w:hideMark/>
          </w:tcPr>
          <w:p w14:paraId="00FDD3CE"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12.1</w:t>
            </w:r>
          </w:p>
        </w:tc>
      </w:tr>
      <w:tr w:rsidR="00D07A53" w:rsidRPr="00505045" w14:paraId="596063E0" w14:textId="77777777" w:rsidTr="003632F4">
        <w:trPr>
          <w:trHeight w:val="300"/>
        </w:trPr>
        <w:tc>
          <w:tcPr>
            <w:tcW w:w="660" w:type="pct"/>
            <w:tcBorders>
              <w:top w:val="nil"/>
              <w:left w:val="nil"/>
              <w:bottom w:val="nil"/>
              <w:right w:val="nil"/>
            </w:tcBorders>
            <w:shd w:val="clear" w:color="auto" w:fill="auto"/>
            <w:noWrap/>
            <w:vAlign w:val="center"/>
            <w:hideMark/>
          </w:tcPr>
          <w:p w14:paraId="0AB8E318" w14:textId="77777777" w:rsidR="00D07A53" w:rsidRPr="00505045" w:rsidRDefault="00D07A53" w:rsidP="003632F4">
            <w:pPr>
              <w:spacing w:line="240" w:lineRule="auto"/>
              <w:rPr>
                <w:rFonts w:eastAsia="Times New Roman"/>
                <w:color w:val="000000"/>
                <w:sz w:val="22"/>
                <w:szCs w:val="22"/>
                <w:lang w:eastAsia="en-NZ"/>
              </w:rPr>
            </w:pPr>
            <w:r>
              <w:rPr>
                <w:rFonts w:eastAsia="Times New Roman"/>
                <w:color w:val="000000"/>
                <w:sz w:val="22"/>
                <w:szCs w:val="22"/>
                <w:lang w:val="en-US" w:eastAsia="en-NZ"/>
              </w:rPr>
              <w:t xml:space="preserve">  </w:t>
            </w:r>
            <w:r w:rsidRPr="00505045">
              <w:rPr>
                <w:rFonts w:eastAsia="Times New Roman"/>
                <w:color w:val="000000"/>
                <w:sz w:val="22"/>
                <w:szCs w:val="22"/>
                <w:lang w:val="en-US" w:eastAsia="en-NZ"/>
              </w:rPr>
              <w:t>Pacific</w:t>
            </w:r>
          </w:p>
        </w:tc>
        <w:tc>
          <w:tcPr>
            <w:tcW w:w="750" w:type="pct"/>
            <w:tcBorders>
              <w:top w:val="nil"/>
              <w:left w:val="nil"/>
              <w:bottom w:val="nil"/>
              <w:right w:val="nil"/>
            </w:tcBorders>
            <w:shd w:val="clear" w:color="auto" w:fill="auto"/>
            <w:noWrap/>
            <w:vAlign w:val="center"/>
            <w:hideMark/>
          </w:tcPr>
          <w:p w14:paraId="71ECB9A3"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13214</w:t>
            </w:r>
          </w:p>
        </w:tc>
        <w:tc>
          <w:tcPr>
            <w:tcW w:w="335" w:type="pct"/>
            <w:tcBorders>
              <w:top w:val="nil"/>
              <w:left w:val="nil"/>
              <w:bottom w:val="nil"/>
              <w:right w:val="nil"/>
            </w:tcBorders>
            <w:shd w:val="clear" w:color="auto" w:fill="auto"/>
            <w:noWrap/>
            <w:vAlign w:val="center"/>
            <w:hideMark/>
          </w:tcPr>
          <w:p w14:paraId="219AA754"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24.7</w:t>
            </w:r>
          </w:p>
        </w:tc>
        <w:tc>
          <w:tcPr>
            <w:tcW w:w="750" w:type="pct"/>
            <w:tcBorders>
              <w:top w:val="nil"/>
              <w:left w:val="nil"/>
              <w:bottom w:val="nil"/>
              <w:right w:val="nil"/>
            </w:tcBorders>
            <w:shd w:val="clear" w:color="auto" w:fill="auto"/>
            <w:noWrap/>
            <w:vAlign w:val="center"/>
            <w:hideMark/>
          </w:tcPr>
          <w:p w14:paraId="4511FC2F"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4258</w:t>
            </w:r>
          </w:p>
        </w:tc>
        <w:tc>
          <w:tcPr>
            <w:tcW w:w="335" w:type="pct"/>
            <w:tcBorders>
              <w:top w:val="nil"/>
              <w:left w:val="nil"/>
              <w:bottom w:val="nil"/>
              <w:right w:val="nil"/>
            </w:tcBorders>
            <w:shd w:val="clear" w:color="auto" w:fill="auto"/>
            <w:noWrap/>
            <w:vAlign w:val="center"/>
            <w:hideMark/>
          </w:tcPr>
          <w:p w14:paraId="5E047987"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48.5</w:t>
            </w:r>
          </w:p>
        </w:tc>
        <w:tc>
          <w:tcPr>
            <w:tcW w:w="750" w:type="pct"/>
            <w:tcBorders>
              <w:top w:val="nil"/>
              <w:left w:val="nil"/>
              <w:bottom w:val="nil"/>
              <w:right w:val="nil"/>
            </w:tcBorders>
            <w:shd w:val="clear" w:color="auto" w:fill="auto"/>
            <w:noWrap/>
            <w:vAlign w:val="center"/>
            <w:hideMark/>
          </w:tcPr>
          <w:p w14:paraId="6CB723CE"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163</w:t>
            </w:r>
          </w:p>
        </w:tc>
        <w:tc>
          <w:tcPr>
            <w:tcW w:w="335" w:type="pct"/>
            <w:tcBorders>
              <w:top w:val="nil"/>
              <w:left w:val="nil"/>
              <w:bottom w:val="nil"/>
              <w:right w:val="nil"/>
            </w:tcBorders>
            <w:shd w:val="clear" w:color="auto" w:fill="auto"/>
            <w:noWrap/>
            <w:vAlign w:val="center"/>
            <w:hideMark/>
          </w:tcPr>
          <w:p w14:paraId="48E58807"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10.1</w:t>
            </w:r>
          </w:p>
        </w:tc>
        <w:tc>
          <w:tcPr>
            <w:tcW w:w="750" w:type="pct"/>
            <w:tcBorders>
              <w:top w:val="nil"/>
              <w:left w:val="nil"/>
              <w:bottom w:val="nil"/>
              <w:right w:val="nil"/>
            </w:tcBorders>
            <w:shd w:val="clear" w:color="auto" w:fill="auto"/>
            <w:noWrap/>
            <w:vAlign w:val="center"/>
            <w:hideMark/>
          </w:tcPr>
          <w:p w14:paraId="28A0477E"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591</w:t>
            </w:r>
          </w:p>
        </w:tc>
        <w:tc>
          <w:tcPr>
            <w:tcW w:w="335" w:type="pct"/>
            <w:tcBorders>
              <w:top w:val="nil"/>
              <w:left w:val="nil"/>
              <w:bottom w:val="nil"/>
              <w:right w:val="nil"/>
            </w:tcBorders>
            <w:shd w:val="clear" w:color="auto" w:fill="auto"/>
            <w:noWrap/>
            <w:vAlign w:val="center"/>
            <w:hideMark/>
          </w:tcPr>
          <w:p w14:paraId="27E3632C"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42.2</w:t>
            </w:r>
          </w:p>
        </w:tc>
      </w:tr>
      <w:tr w:rsidR="00D07A53" w:rsidRPr="00505045" w14:paraId="7FB99FF8" w14:textId="77777777" w:rsidTr="003632F4">
        <w:trPr>
          <w:trHeight w:val="315"/>
        </w:trPr>
        <w:tc>
          <w:tcPr>
            <w:tcW w:w="660" w:type="pct"/>
            <w:tcBorders>
              <w:top w:val="nil"/>
              <w:left w:val="nil"/>
              <w:bottom w:val="nil"/>
              <w:right w:val="nil"/>
            </w:tcBorders>
            <w:shd w:val="clear" w:color="auto" w:fill="auto"/>
            <w:noWrap/>
            <w:vAlign w:val="center"/>
            <w:hideMark/>
          </w:tcPr>
          <w:p w14:paraId="61E480DC" w14:textId="77777777" w:rsidR="00D07A53" w:rsidRPr="00505045" w:rsidRDefault="00D07A53" w:rsidP="003632F4">
            <w:pPr>
              <w:spacing w:line="240" w:lineRule="auto"/>
              <w:rPr>
                <w:rFonts w:eastAsia="Times New Roman"/>
                <w:color w:val="000000"/>
                <w:sz w:val="22"/>
                <w:szCs w:val="22"/>
                <w:lang w:eastAsia="en-NZ"/>
              </w:rPr>
            </w:pPr>
            <w:r>
              <w:rPr>
                <w:rFonts w:eastAsia="Times New Roman"/>
                <w:color w:val="000000"/>
                <w:sz w:val="22"/>
                <w:szCs w:val="22"/>
                <w:lang w:val="en-US" w:eastAsia="en-NZ"/>
              </w:rPr>
              <w:t xml:space="preserve">  </w:t>
            </w:r>
            <w:r w:rsidRPr="00505045">
              <w:rPr>
                <w:rFonts w:eastAsia="Times New Roman"/>
                <w:color w:val="000000"/>
                <w:sz w:val="22"/>
                <w:szCs w:val="22"/>
                <w:lang w:val="en-US" w:eastAsia="en-NZ"/>
              </w:rPr>
              <w:t>East Asian</w:t>
            </w:r>
          </w:p>
        </w:tc>
        <w:tc>
          <w:tcPr>
            <w:tcW w:w="750" w:type="pct"/>
            <w:tcBorders>
              <w:top w:val="nil"/>
              <w:left w:val="nil"/>
              <w:bottom w:val="nil"/>
              <w:right w:val="nil"/>
            </w:tcBorders>
            <w:shd w:val="clear" w:color="auto" w:fill="auto"/>
            <w:noWrap/>
            <w:vAlign w:val="center"/>
            <w:hideMark/>
          </w:tcPr>
          <w:p w14:paraId="163054C3"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3608</w:t>
            </w:r>
          </w:p>
        </w:tc>
        <w:tc>
          <w:tcPr>
            <w:tcW w:w="335" w:type="pct"/>
            <w:tcBorders>
              <w:top w:val="nil"/>
              <w:left w:val="nil"/>
              <w:bottom w:val="nil"/>
              <w:right w:val="nil"/>
            </w:tcBorders>
            <w:shd w:val="clear" w:color="auto" w:fill="auto"/>
            <w:noWrap/>
            <w:vAlign w:val="center"/>
            <w:hideMark/>
          </w:tcPr>
          <w:p w14:paraId="57307256"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6.8</w:t>
            </w:r>
          </w:p>
        </w:tc>
        <w:tc>
          <w:tcPr>
            <w:tcW w:w="750" w:type="pct"/>
            <w:tcBorders>
              <w:top w:val="nil"/>
              <w:left w:val="nil"/>
              <w:bottom w:val="nil"/>
              <w:right w:val="nil"/>
            </w:tcBorders>
            <w:shd w:val="clear" w:color="auto" w:fill="auto"/>
            <w:noWrap/>
            <w:vAlign w:val="center"/>
            <w:hideMark/>
          </w:tcPr>
          <w:p w14:paraId="789F419A"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571</w:t>
            </w:r>
          </w:p>
        </w:tc>
        <w:tc>
          <w:tcPr>
            <w:tcW w:w="335" w:type="pct"/>
            <w:tcBorders>
              <w:top w:val="nil"/>
              <w:left w:val="nil"/>
              <w:bottom w:val="nil"/>
              <w:right w:val="nil"/>
            </w:tcBorders>
            <w:shd w:val="clear" w:color="auto" w:fill="auto"/>
            <w:noWrap/>
            <w:vAlign w:val="center"/>
            <w:hideMark/>
          </w:tcPr>
          <w:p w14:paraId="10A4B486"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6.5</w:t>
            </w:r>
          </w:p>
        </w:tc>
        <w:tc>
          <w:tcPr>
            <w:tcW w:w="750" w:type="pct"/>
            <w:tcBorders>
              <w:top w:val="nil"/>
              <w:left w:val="nil"/>
              <w:bottom w:val="nil"/>
              <w:right w:val="nil"/>
            </w:tcBorders>
            <w:shd w:val="clear" w:color="auto" w:fill="auto"/>
            <w:noWrap/>
            <w:vAlign w:val="center"/>
            <w:hideMark/>
          </w:tcPr>
          <w:p w14:paraId="19AE2AA9"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202</w:t>
            </w:r>
          </w:p>
        </w:tc>
        <w:tc>
          <w:tcPr>
            <w:tcW w:w="335" w:type="pct"/>
            <w:tcBorders>
              <w:top w:val="nil"/>
              <w:left w:val="nil"/>
              <w:bottom w:val="nil"/>
              <w:right w:val="nil"/>
            </w:tcBorders>
            <w:shd w:val="clear" w:color="auto" w:fill="auto"/>
            <w:noWrap/>
            <w:vAlign w:val="center"/>
            <w:hideMark/>
          </w:tcPr>
          <w:p w14:paraId="49A74ECA"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12.5</w:t>
            </w:r>
          </w:p>
        </w:tc>
        <w:tc>
          <w:tcPr>
            <w:tcW w:w="750" w:type="pct"/>
            <w:tcBorders>
              <w:top w:val="nil"/>
              <w:left w:val="nil"/>
              <w:bottom w:val="nil"/>
              <w:right w:val="nil"/>
            </w:tcBorders>
            <w:shd w:val="clear" w:color="auto" w:fill="auto"/>
            <w:noWrap/>
            <w:vAlign w:val="center"/>
            <w:hideMark/>
          </w:tcPr>
          <w:p w14:paraId="32867A78"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225</w:t>
            </w:r>
          </w:p>
        </w:tc>
        <w:tc>
          <w:tcPr>
            <w:tcW w:w="335" w:type="pct"/>
            <w:tcBorders>
              <w:top w:val="nil"/>
              <w:left w:val="nil"/>
              <w:bottom w:val="nil"/>
              <w:right w:val="nil"/>
            </w:tcBorders>
            <w:shd w:val="clear" w:color="auto" w:fill="auto"/>
            <w:noWrap/>
            <w:vAlign w:val="center"/>
            <w:hideMark/>
          </w:tcPr>
          <w:p w14:paraId="6C151453"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16.1</w:t>
            </w:r>
          </w:p>
        </w:tc>
      </w:tr>
      <w:tr w:rsidR="00D07A53" w:rsidRPr="00505045" w14:paraId="3EB2C5C4" w14:textId="77777777" w:rsidTr="003632F4">
        <w:trPr>
          <w:trHeight w:val="300"/>
        </w:trPr>
        <w:tc>
          <w:tcPr>
            <w:tcW w:w="660" w:type="pct"/>
            <w:tcBorders>
              <w:top w:val="nil"/>
              <w:left w:val="nil"/>
              <w:bottom w:val="single" w:sz="4" w:space="0" w:color="auto"/>
              <w:right w:val="nil"/>
            </w:tcBorders>
            <w:shd w:val="clear" w:color="auto" w:fill="auto"/>
            <w:noWrap/>
            <w:vAlign w:val="center"/>
            <w:hideMark/>
          </w:tcPr>
          <w:p w14:paraId="0F3AFBFC" w14:textId="77777777" w:rsidR="00D07A53" w:rsidRPr="00505045" w:rsidRDefault="00D07A53" w:rsidP="003632F4">
            <w:pPr>
              <w:spacing w:line="240" w:lineRule="auto"/>
              <w:rPr>
                <w:rFonts w:eastAsia="Times New Roman"/>
                <w:color w:val="000000"/>
                <w:sz w:val="22"/>
                <w:szCs w:val="22"/>
                <w:lang w:eastAsia="en-NZ"/>
              </w:rPr>
            </w:pPr>
            <w:r>
              <w:rPr>
                <w:rFonts w:eastAsia="Times New Roman"/>
                <w:color w:val="000000"/>
                <w:sz w:val="22"/>
                <w:szCs w:val="22"/>
                <w:lang w:val="en-US" w:eastAsia="en-NZ"/>
              </w:rPr>
              <w:t xml:space="preserve">  </w:t>
            </w:r>
            <w:r w:rsidRPr="00505045">
              <w:rPr>
                <w:rFonts w:eastAsia="Times New Roman"/>
                <w:color w:val="000000"/>
                <w:sz w:val="22"/>
                <w:szCs w:val="22"/>
                <w:lang w:val="en-US" w:eastAsia="en-NZ"/>
              </w:rPr>
              <w:t>Other</w:t>
            </w:r>
          </w:p>
        </w:tc>
        <w:tc>
          <w:tcPr>
            <w:tcW w:w="750" w:type="pct"/>
            <w:tcBorders>
              <w:top w:val="nil"/>
              <w:left w:val="nil"/>
              <w:bottom w:val="single" w:sz="4" w:space="0" w:color="auto"/>
              <w:right w:val="nil"/>
            </w:tcBorders>
            <w:shd w:val="clear" w:color="auto" w:fill="auto"/>
            <w:noWrap/>
            <w:vAlign w:val="center"/>
            <w:hideMark/>
          </w:tcPr>
          <w:p w14:paraId="64E1B502"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16708</w:t>
            </w:r>
          </w:p>
        </w:tc>
        <w:tc>
          <w:tcPr>
            <w:tcW w:w="335" w:type="pct"/>
            <w:tcBorders>
              <w:top w:val="nil"/>
              <w:left w:val="nil"/>
              <w:bottom w:val="single" w:sz="4" w:space="0" w:color="auto"/>
              <w:right w:val="nil"/>
            </w:tcBorders>
            <w:shd w:val="clear" w:color="auto" w:fill="auto"/>
            <w:noWrap/>
            <w:vAlign w:val="center"/>
            <w:hideMark/>
          </w:tcPr>
          <w:p w14:paraId="41E9EBFD"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31.2</w:t>
            </w:r>
          </w:p>
        </w:tc>
        <w:tc>
          <w:tcPr>
            <w:tcW w:w="750" w:type="pct"/>
            <w:tcBorders>
              <w:top w:val="nil"/>
              <w:left w:val="nil"/>
              <w:bottom w:val="single" w:sz="4" w:space="0" w:color="auto"/>
              <w:right w:val="nil"/>
            </w:tcBorders>
            <w:shd w:val="clear" w:color="auto" w:fill="auto"/>
            <w:noWrap/>
            <w:vAlign w:val="center"/>
            <w:hideMark/>
          </w:tcPr>
          <w:p w14:paraId="460F0FB8"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1780</w:t>
            </w:r>
          </w:p>
        </w:tc>
        <w:tc>
          <w:tcPr>
            <w:tcW w:w="335" w:type="pct"/>
            <w:tcBorders>
              <w:top w:val="nil"/>
              <w:left w:val="nil"/>
              <w:bottom w:val="single" w:sz="4" w:space="0" w:color="auto"/>
              <w:right w:val="nil"/>
            </w:tcBorders>
            <w:shd w:val="clear" w:color="auto" w:fill="auto"/>
            <w:noWrap/>
            <w:vAlign w:val="center"/>
            <w:hideMark/>
          </w:tcPr>
          <w:p w14:paraId="4ADAD245"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20.3</w:t>
            </w:r>
          </w:p>
        </w:tc>
        <w:tc>
          <w:tcPr>
            <w:tcW w:w="750" w:type="pct"/>
            <w:tcBorders>
              <w:top w:val="nil"/>
              <w:left w:val="nil"/>
              <w:bottom w:val="single" w:sz="4" w:space="0" w:color="auto"/>
              <w:right w:val="nil"/>
            </w:tcBorders>
            <w:shd w:val="clear" w:color="auto" w:fill="auto"/>
            <w:noWrap/>
            <w:vAlign w:val="center"/>
            <w:hideMark/>
          </w:tcPr>
          <w:p w14:paraId="47C18565"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1072</w:t>
            </w:r>
          </w:p>
        </w:tc>
        <w:tc>
          <w:tcPr>
            <w:tcW w:w="335" w:type="pct"/>
            <w:tcBorders>
              <w:top w:val="nil"/>
              <w:left w:val="nil"/>
              <w:bottom w:val="single" w:sz="4" w:space="0" w:color="auto"/>
              <w:right w:val="nil"/>
            </w:tcBorders>
            <w:shd w:val="clear" w:color="auto" w:fill="auto"/>
            <w:noWrap/>
            <w:vAlign w:val="center"/>
            <w:hideMark/>
          </w:tcPr>
          <w:p w14:paraId="662755D8"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66.5</w:t>
            </w:r>
          </w:p>
        </w:tc>
        <w:tc>
          <w:tcPr>
            <w:tcW w:w="750" w:type="pct"/>
            <w:tcBorders>
              <w:top w:val="nil"/>
              <w:left w:val="nil"/>
              <w:bottom w:val="single" w:sz="4" w:space="0" w:color="auto"/>
              <w:right w:val="nil"/>
            </w:tcBorders>
            <w:shd w:val="clear" w:color="auto" w:fill="auto"/>
            <w:noWrap/>
            <w:vAlign w:val="center"/>
            <w:hideMark/>
          </w:tcPr>
          <w:p w14:paraId="0E153DBA" w14:textId="77777777" w:rsidR="00D07A53" w:rsidRPr="00505045" w:rsidRDefault="00D07A53" w:rsidP="003632F4">
            <w:pPr>
              <w:spacing w:line="240" w:lineRule="auto"/>
              <w:jc w:val="right"/>
              <w:rPr>
                <w:rFonts w:eastAsia="Times New Roman"/>
                <w:color w:val="000000"/>
                <w:sz w:val="22"/>
                <w:szCs w:val="22"/>
                <w:lang w:eastAsia="en-NZ"/>
              </w:rPr>
            </w:pPr>
            <w:r w:rsidRPr="00505045">
              <w:rPr>
                <w:rFonts w:eastAsia="Times New Roman"/>
                <w:color w:val="000000"/>
                <w:sz w:val="22"/>
                <w:szCs w:val="22"/>
                <w:lang w:val="en-US" w:eastAsia="en-NZ"/>
              </w:rPr>
              <w:t>414</w:t>
            </w:r>
          </w:p>
        </w:tc>
        <w:tc>
          <w:tcPr>
            <w:tcW w:w="335" w:type="pct"/>
            <w:tcBorders>
              <w:top w:val="nil"/>
              <w:left w:val="nil"/>
              <w:bottom w:val="single" w:sz="4" w:space="0" w:color="auto"/>
              <w:right w:val="nil"/>
            </w:tcBorders>
            <w:shd w:val="clear" w:color="auto" w:fill="auto"/>
            <w:noWrap/>
            <w:vAlign w:val="center"/>
            <w:hideMark/>
          </w:tcPr>
          <w:p w14:paraId="5FEDBE84" w14:textId="77777777" w:rsidR="00D07A53" w:rsidRPr="00505045" w:rsidRDefault="00D07A53" w:rsidP="003632F4">
            <w:pPr>
              <w:spacing w:line="240" w:lineRule="auto"/>
              <w:jc w:val="right"/>
              <w:rPr>
                <w:rFonts w:eastAsia="Times New Roman"/>
                <w:i/>
                <w:iCs/>
                <w:color w:val="000000"/>
                <w:sz w:val="22"/>
                <w:szCs w:val="22"/>
                <w:lang w:eastAsia="en-NZ"/>
              </w:rPr>
            </w:pPr>
            <w:r w:rsidRPr="00505045">
              <w:rPr>
                <w:rFonts w:eastAsia="Times New Roman"/>
                <w:i/>
                <w:iCs/>
                <w:color w:val="000000"/>
                <w:sz w:val="22"/>
                <w:szCs w:val="22"/>
                <w:lang w:val="en-US" w:eastAsia="en-NZ"/>
              </w:rPr>
              <w:t>29.6</w:t>
            </w:r>
          </w:p>
        </w:tc>
      </w:tr>
    </w:tbl>
    <w:p w14:paraId="6B59B4AF" w14:textId="77777777" w:rsidR="00D07A53" w:rsidRDefault="00D07A53" w:rsidP="005302AB">
      <w:pPr>
        <w:rPr>
          <w:rFonts w:eastAsia="Cambria"/>
          <w:sz w:val="22"/>
          <w:szCs w:val="22"/>
          <w:lang w:val="en-US"/>
        </w:rPr>
      </w:pPr>
    </w:p>
    <w:p w14:paraId="1717769C" w14:textId="77777777" w:rsidR="00DF0799" w:rsidRPr="00DF0799" w:rsidRDefault="00D07A53" w:rsidP="00DF0799">
      <w:pPr>
        <w:jc w:val="both"/>
      </w:pPr>
      <w:r>
        <w:t>T</w:t>
      </w:r>
      <w:r w:rsidRPr="00E87C1C">
        <w:t>he demographic profile of gambler clients according to session attendance type</w:t>
      </w:r>
      <w:r>
        <w:t xml:space="preserve"> (</w:t>
      </w:r>
      <w:r w:rsidRPr="00E87C1C">
        <w:fldChar w:fldCharType="begin"/>
      </w:r>
      <w:r w:rsidRPr="00E87C1C">
        <w:instrText xml:space="preserve"> REF _Ref45877342 \h </w:instrText>
      </w:r>
      <w:r>
        <w:instrText xml:space="preserve"> \* MERGEFORMAT </w:instrText>
      </w:r>
      <w:r w:rsidRPr="00E87C1C">
        <w:fldChar w:fldCharType="separate"/>
      </w:r>
      <w:r w:rsidR="00DF0799">
        <w:rPr>
          <w:noProof/>
        </w:rPr>
        <w:br w:type="page"/>
      </w:r>
    </w:p>
    <w:p w14:paraId="1A4F6BC0" w14:textId="50396745" w:rsidR="00D07A53" w:rsidRDefault="00DF0799" w:rsidP="005302AB">
      <w:pPr>
        <w:jc w:val="both"/>
      </w:pPr>
      <w:r w:rsidRPr="005C4092">
        <w:rPr>
          <w:noProof/>
        </w:rPr>
        <w:lastRenderedPageBreak/>
        <w:t>Table</w:t>
      </w:r>
      <w:r w:rsidRPr="005C4092">
        <w:t xml:space="preserve"> </w:t>
      </w:r>
      <w:r>
        <w:rPr>
          <w:noProof/>
        </w:rPr>
        <w:t>17</w:t>
      </w:r>
      <w:r w:rsidR="00D07A53" w:rsidRPr="00E87C1C">
        <w:fldChar w:fldCharType="end"/>
      </w:r>
      <w:r w:rsidR="00D07A53">
        <w:t xml:space="preserve">) </w:t>
      </w:r>
      <w:r w:rsidR="00D07A53" w:rsidRPr="00E87C1C">
        <w:t xml:space="preserve"> </w:t>
      </w:r>
      <w:r w:rsidR="00D07A53">
        <w:t xml:space="preserve">includes </w:t>
      </w:r>
      <w:r w:rsidR="00D07A53" w:rsidRPr="00E87C1C">
        <w:t xml:space="preserve">couple and family session types, </w:t>
      </w:r>
      <w:r w:rsidR="00D07A53">
        <w:t>which</w:t>
      </w:r>
      <w:r w:rsidR="00D07A53" w:rsidRPr="00E87C1C">
        <w:t xml:space="preserve"> also involve </w:t>
      </w:r>
      <w:r w:rsidR="00D07A53">
        <w:t>FAOs</w:t>
      </w:r>
      <w:r w:rsidR="00D07A53" w:rsidRPr="00E87C1C">
        <w:t xml:space="preserve">. </w:t>
      </w:r>
      <w:r w:rsidR="00D07A53">
        <w:t xml:space="preserve">Couple sessions related to gambler </w:t>
      </w:r>
      <w:r w:rsidR="00D07A53" w:rsidRPr="00E87C1C">
        <w:t xml:space="preserve">clients </w:t>
      </w:r>
      <w:r w:rsidR="00D07A53">
        <w:t xml:space="preserve">tended to involve male </w:t>
      </w:r>
      <w:r w:rsidR="005302AB">
        <w:t xml:space="preserve">gambler </w:t>
      </w:r>
      <w:r w:rsidR="00D07A53">
        <w:t>clients (75.</w:t>
      </w:r>
      <w:r w:rsidR="005302AB">
        <w:t>8</w:t>
      </w:r>
      <w:r w:rsidR="00D07A53">
        <w:t>%), between the age of 25-54 (79.3%). In comparison to FAO couple sessions</w:t>
      </w:r>
      <w:r w:rsidR="00D07A53" w:rsidRPr="00E87C1C">
        <w:t>,</w:t>
      </w:r>
      <w:r w:rsidR="00D07A53">
        <w:t xml:space="preserve"> a greater proportion involved</w:t>
      </w:r>
      <w:r w:rsidR="00D07A53" w:rsidRPr="000A2052">
        <w:t xml:space="preserve"> Māori</w:t>
      </w:r>
      <w:r w:rsidR="00D07A53">
        <w:t xml:space="preserve"> (20.26% cf. 10.9%) and Pacific clients (18.3% cf. 10.1%). F</w:t>
      </w:r>
      <w:r w:rsidR="00D07A53" w:rsidRPr="00E87C1C">
        <w:t>amily sessions</w:t>
      </w:r>
      <w:r w:rsidR="00D07A53">
        <w:t xml:space="preserve"> relating to gambler clients, were </w:t>
      </w:r>
      <w:r w:rsidR="005302AB">
        <w:t>also</w:t>
      </w:r>
      <w:r w:rsidR="00D07A53">
        <w:t xml:space="preserve"> particularly likely to involve Pacific clients (45</w:t>
      </w:r>
      <w:r w:rsidR="005302AB">
        <w:t>.0</w:t>
      </w:r>
      <w:r w:rsidR="00D07A53">
        <w:t xml:space="preserve">%). </w:t>
      </w:r>
      <w:r w:rsidR="005302AB">
        <w:t xml:space="preserve">For gambler clients, </w:t>
      </w:r>
      <w:r w:rsidR="005302AB" w:rsidRPr="000A2052">
        <w:t>Māori</w:t>
      </w:r>
      <w:r w:rsidR="005302AB">
        <w:t xml:space="preserve"> engagement in family sessions (18.2%) was notably lower than Pacific (45%) and European/other (30.6) clients. </w:t>
      </w:r>
    </w:p>
    <w:p w14:paraId="2AE79C7F" w14:textId="77777777" w:rsidR="005302AB" w:rsidRDefault="005302AB" w:rsidP="005302AB">
      <w:pPr>
        <w:jc w:val="both"/>
      </w:pPr>
    </w:p>
    <w:p w14:paraId="46F4E51E" w14:textId="77777777" w:rsidR="0044608D" w:rsidRDefault="0044608D">
      <w:pPr>
        <w:spacing w:after="160" w:line="259" w:lineRule="auto"/>
        <w:rPr>
          <w:b/>
          <w:bCs/>
          <w:sz w:val="22"/>
          <w:szCs w:val="22"/>
        </w:rPr>
      </w:pPr>
      <w:bookmarkStart w:id="165" w:name="_Ref45877342"/>
      <w:r>
        <w:br w:type="page"/>
      </w:r>
    </w:p>
    <w:p w14:paraId="41063447" w14:textId="1663872C" w:rsidR="00D07A53" w:rsidRPr="005C4092" w:rsidRDefault="00D07A53" w:rsidP="00D07A53">
      <w:pPr>
        <w:pStyle w:val="Caption"/>
      </w:pPr>
      <w:bookmarkStart w:id="166" w:name="_Toc58400650"/>
      <w:r w:rsidRPr="005C4092">
        <w:lastRenderedPageBreak/>
        <w:t xml:space="preserve">Table </w:t>
      </w:r>
      <w:r w:rsidR="00D04B86">
        <w:fldChar w:fldCharType="begin"/>
      </w:r>
      <w:r w:rsidR="00D04B86">
        <w:instrText xml:space="preserve"> SEQ Table \* ARABIC </w:instrText>
      </w:r>
      <w:r w:rsidR="00D04B86">
        <w:fldChar w:fldCharType="separate"/>
      </w:r>
      <w:r w:rsidR="00DF0799">
        <w:rPr>
          <w:noProof/>
        </w:rPr>
        <w:t>17</w:t>
      </w:r>
      <w:r w:rsidR="00D04B86">
        <w:rPr>
          <w:noProof/>
        </w:rPr>
        <w:fldChar w:fldCharType="end"/>
      </w:r>
      <w:bookmarkEnd w:id="165"/>
      <w:r>
        <w:t>. Sessions related to gambler clients by session type, gender, age, and ethnicity</w:t>
      </w:r>
      <w:bookmarkEnd w:id="166"/>
    </w:p>
    <w:tbl>
      <w:tblPr>
        <w:tblW w:w="5000" w:type="pct"/>
        <w:tblLook w:val="04A0" w:firstRow="1" w:lastRow="0" w:firstColumn="1" w:lastColumn="0" w:noHBand="0" w:noVBand="1"/>
      </w:tblPr>
      <w:tblGrid>
        <w:gridCol w:w="1292"/>
        <w:gridCol w:w="1383"/>
        <w:gridCol w:w="828"/>
        <w:gridCol w:w="1161"/>
        <w:gridCol w:w="828"/>
        <w:gridCol w:w="939"/>
        <w:gridCol w:w="828"/>
        <w:gridCol w:w="939"/>
        <w:gridCol w:w="828"/>
      </w:tblGrid>
      <w:tr w:rsidR="00D07A53" w:rsidRPr="00FA626C" w14:paraId="64BABC7F" w14:textId="77777777" w:rsidTr="003632F4">
        <w:trPr>
          <w:trHeight w:val="300"/>
        </w:trPr>
        <w:tc>
          <w:tcPr>
            <w:tcW w:w="667" w:type="pct"/>
            <w:tcBorders>
              <w:top w:val="single" w:sz="4" w:space="0" w:color="auto"/>
              <w:left w:val="nil"/>
              <w:bottom w:val="nil"/>
              <w:right w:val="nil"/>
            </w:tcBorders>
            <w:shd w:val="clear" w:color="auto" w:fill="auto"/>
            <w:noWrap/>
            <w:vAlign w:val="bottom"/>
            <w:hideMark/>
          </w:tcPr>
          <w:p w14:paraId="261052F3" w14:textId="77777777" w:rsidR="00D07A53" w:rsidRPr="00FA626C" w:rsidRDefault="00D07A53" w:rsidP="003632F4">
            <w:pPr>
              <w:spacing w:line="240" w:lineRule="auto"/>
              <w:rPr>
                <w:rFonts w:eastAsia="Times New Roman"/>
                <w:color w:val="000000"/>
                <w:sz w:val="22"/>
                <w:szCs w:val="22"/>
                <w:lang w:eastAsia="en-NZ"/>
              </w:rPr>
            </w:pPr>
            <w:r w:rsidRPr="00FA626C">
              <w:rPr>
                <w:rFonts w:eastAsia="Times New Roman"/>
                <w:color w:val="000000"/>
                <w:sz w:val="22"/>
                <w:szCs w:val="22"/>
                <w:lang w:eastAsia="en-NZ"/>
              </w:rPr>
              <w:t> </w:t>
            </w:r>
          </w:p>
        </w:tc>
        <w:tc>
          <w:tcPr>
            <w:tcW w:w="4333" w:type="pct"/>
            <w:gridSpan w:val="8"/>
            <w:tcBorders>
              <w:top w:val="single" w:sz="4" w:space="0" w:color="auto"/>
              <w:left w:val="nil"/>
              <w:bottom w:val="nil"/>
              <w:right w:val="nil"/>
            </w:tcBorders>
            <w:shd w:val="clear" w:color="auto" w:fill="auto"/>
            <w:noWrap/>
            <w:vAlign w:val="center"/>
            <w:hideMark/>
          </w:tcPr>
          <w:p w14:paraId="5B4AEEDF" w14:textId="77777777" w:rsidR="00D07A53" w:rsidRPr="00FA626C" w:rsidRDefault="00D07A53" w:rsidP="003632F4">
            <w:pPr>
              <w:spacing w:line="240" w:lineRule="auto"/>
              <w:jc w:val="center"/>
              <w:rPr>
                <w:rFonts w:eastAsia="Times New Roman"/>
                <w:b/>
                <w:bCs/>
                <w:color w:val="000000"/>
                <w:sz w:val="22"/>
                <w:szCs w:val="22"/>
                <w:lang w:eastAsia="en-NZ"/>
              </w:rPr>
            </w:pPr>
            <w:r w:rsidRPr="00FA626C">
              <w:rPr>
                <w:rFonts w:eastAsia="Times New Roman"/>
                <w:b/>
                <w:bCs/>
                <w:color w:val="000000"/>
                <w:sz w:val="22"/>
                <w:szCs w:val="22"/>
                <w:lang w:val="en-US" w:eastAsia="en-NZ"/>
              </w:rPr>
              <w:t>Session attendance type</w:t>
            </w:r>
          </w:p>
        </w:tc>
      </w:tr>
      <w:tr w:rsidR="00D07A53" w:rsidRPr="00FA626C" w14:paraId="0A7DA508" w14:textId="77777777" w:rsidTr="003632F4">
        <w:trPr>
          <w:trHeight w:val="315"/>
        </w:trPr>
        <w:tc>
          <w:tcPr>
            <w:tcW w:w="667" w:type="pct"/>
            <w:tcBorders>
              <w:top w:val="nil"/>
              <w:left w:val="nil"/>
              <w:bottom w:val="nil"/>
              <w:right w:val="nil"/>
            </w:tcBorders>
            <w:shd w:val="clear" w:color="auto" w:fill="auto"/>
            <w:noWrap/>
            <w:vAlign w:val="bottom"/>
            <w:hideMark/>
          </w:tcPr>
          <w:p w14:paraId="6ADE4C05" w14:textId="77777777" w:rsidR="00D07A53" w:rsidRPr="00FA626C" w:rsidRDefault="00D07A53" w:rsidP="003632F4">
            <w:pPr>
              <w:spacing w:line="240" w:lineRule="auto"/>
              <w:jc w:val="center"/>
              <w:rPr>
                <w:rFonts w:eastAsia="Times New Roman"/>
                <w:color w:val="000000"/>
                <w:sz w:val="22"/>
                <w:szCs w:val="22"/>
                <w:lang w:eastAsia="en-NZ"/>
              </w:rPr>
            </w:pPr>
          </w:p>
        </w:tc>
        <w:tc>
          <w:tcPr>
            <w:tcW w:w="1237" w:type="pct"/>
            <w:gridSpan w:val="2"/>
            <w:tcBorders>
              <w:top w:val="single" w:sz="4" w:space="0" w:color="auto"/>
              <w:left w:val="nil"/>
              <w:bottom w:val="nil"/>
              <w:right w:val="nil"/>
            </w:tcBorders>
            <w:shd w:val="clear" w:color="auto" w:fill="auto"/>
            <w:noWrap/>
            <w:vAlign w:val="center"/>
            <w:hideMark/>
          </w:tcPr>
          <w:p w14:paraId="6D174DA1" w14:textId="77777777" w:rsidR="00D07A53" w:rsidRPr="00FA626C" w:rsidRDefault="00D07A53" w:rsidP="003632F4">
            <w:pPr>
              <w:spacing w:line="240" w:lineRule="auto"/>
              <w:jc w:val="center"/>
              <w:rPr>
                <w:rFonts w:eastAsia="Times New Roman"/>
                <w:b/>
                <w:bCs/>
                <w:color w:val="000000"/>
                <w:sz w:val="22"/>
                <w:szCs w:val="22"/>
                <w:lang w:eastAsia="en-NZ"/>
              </w:rPr>
            </w:pPr>
            <w:r w:rsidRPr="00FA626C">
              <w:rPr>
                <w:rFonts w:eastAsia="Times New Roman"/>
                <w:b/>
                <w:bCs/>
                <w:color w:val="000000"/>
                <w:sz w:val="22"/>
                <w:szCs w:val="22"/>
                <w:lang w:val="en-US" w:eastAsia="en-NZ"/>
              </w:rPr>
              <w:t>Individual</w:t>
            </w:r>
          </w:p>
        </w:tc>
        <w:tc>
          <w:tcPr>
            <w:tcW w:w="1114" w:type="pct"/>
            <w:gridSpan w:val="2"/>
            <w:tcBorders>
              <w:top w:val="single" w:sz="4" w:space="0" w:color="auto"/>
              <w:left w:val="nil"/>
              <w:bottom w:val="nil"/>
              <w:right w:val="nil"/>
            </w:tcBorders>
            <w:shd w:val="clear" w:color="auto" w:fill="auto"/>
            <w:noWrap/>
            <w:vAlign w:val="center"/>
            <w:hideMark/>
          </w:tcPr>
          <w:p w14:paraId="320A1665" w14:textId="77777777" w:rsidR="00D07A53" w:rsidRPr="00FA626C" w:rsidRDefault="00D07A53" w:rsidP="003632F4">
            <w:pPr>
              <w:spacing w:line="240" w:lineRule="auto"/>
              <w:jc w:val="center"/>
              <w:rPr>
                <w:rFonts w:eastAsia="Times New Roman"/>
                <w:b/>
                <w:bCs/>
                <w:color w:val="000000"/>
                <w:sz w:val="22"/>
                <w:szCs w:val="22"/>
                <w:lang w:eastAsia="en-NZ"/>
              </w:rPr>
            </w:pPr>
            <w:r w:rsidRPr="00FA626C">
              <w:rPr>
                <w:rFonts w:eastAsia="Times New Roman"/>
                <w:b/>
                <w:bCs/>
                <w:color w:val="000000"/>
                <w:sz w:val="22"/>
                <w:szCs w:val="22"/>
                <w:lang w:val="en-US" w:eastAsia="en-NZ"/>
              </w:rPr>
              <w:t>Group</w:t>
            </w:r>
          </w:p>
        </w:tc>
        <w:tc>
          <w:tcPr>
            <w:tcW w:w="991" w:type="pct"/>
            <w:gridSpan w:val="2"/>
            <w:tcBorders>
              <w:top w:val="single" w:sz="4" w:space="0" w:color="auto"/>
              <w:left w:val="nil"/>
              <w:bottom w:val="nil"/>
              <w:right w:val="nil"/>
            </w:tcBorders>
            <w:shd w:val="clear" w:color="auto" w:fill="auto"/>
            <w:noWrap/>
            <w:vAlign w:val="center"/>
            <w:hideMark/>
          </w:tcPr>
          <w:p w14:paraId="4809F2BD" w14:textId="77777777" w:rsidR="00D07A53" w:rsidRPr="00FA626C" w:rsidRDefault="00D07A53" w:rsidP="003632F4">
            <w:pPr>
              <w:spacing w:line="240" w:lineRule="auto"/>
              <w:jc w:val="center"/>
              <w:rPr>
                <w:rFonts w:eastAsia="Times New Roman"/>
                <w:b/>
                <w:bCs/>
                <w:color w:val="000000"/>
                <w:sz w:val="22"/>
                <w:szCs w:val="22"/>
                <w:lang w:eastAsia="en-NZ"/>
              </w:rPr>
            </w:pPr>
            <w:r w:rsidRPr="00FA626C">
              <w:rPr>
                <w:rFonts w:eastAsia="Times New Roman"/>
                <w:b/>
                <w:bCs/>
                <w:color w:val="000000"/>
                <w:sz w:val="22"/>
                <w:szCs w:val="22"/>
                <w:lang w:val="en-US" w:eastAsia="en-NZ"/>
              </w:rPr>
              <w:t>Couple</w:t>
            </w:r>
          </w:p>
        </w:tc>
        <w:tc>
          <w:tcPr>
            <w:tcW w:w="991" w:type="pct"/>
            <w:gridSpan w:val="2"/>
            <w:tcBorders>
              <w:top w:val="single" w:sz="4" w:space="0" w:color="auto"/>
              <w:left w:val="nil"/>
              <w:bottom w:val="nil"/>
              <w:right w:val="nil"/>
            </w:tcBorders>
            <w:shd w:val="clear" w:color="auto" w:fill="auto"/>
            <w:noWrap/>
            <w:vAlign w:val="center"/>
            <w:hideMark/>
          </w:tcPr>
          <w:p w14:paraId="40B21287" w14:textId="77777777" w:rsidR="00D07A53" w:rsidRPr="00FA626C" w:rsidRDefault="00D07A53" w:rsidP="003632F4">
            <w:pPr>
              <w:spacing w:line="240" w:lineRule="auto"/>
              <w:jc w:val="center"/>
              <w:rPr>
                <w:rFonts w:eastAsia="Times New Roman"/>
                <w:b/>
                <w:bCs/>
                <w:color w:val="000000"/>
                <w:sz w:val="22"/>
                <w:szCs w:val="22"/>
                <w:lang w:eastAsia="en-NZ"/>
              </w:rPr>
            </w:pPr>
            <w:r w:rsidRPr="00FA626C">
              <w:rPr>
                <w:rFonts w:eastAsia="Times New Roman"/>
                <w:b/>
                <w:bCs/>
                <w:color w:val="000000"/>
                <w:sz w:val="22"/>
                <w:szCs w:val="22"/>
                <w:lang w:val="en-US" w:eastAsia="en-NZ"/>
              </w:rPr>
              <w:t>Family</w:t>
            </w:r>
          </w:p>
        </w:tc>
      </w:tr>
      <w:tr w:rsidR="00D07A53" w:rsidRPr="00FA626C" w14:paraId="5A9C7E09" w14:textId="77777777" w:rsidTr="003632F4">
        <w:trPr>
          <w:trHeight w:val="300"/>
        </w:trPr>
        <w:tc>
          <w:tcPr>
            <w:tcW w:w="667" w:type="pct"/>
            <w:tcBorders>
              <w:top w:val="nil"/>
              <w:left w:val="nil"/>
              <w:bottom w:val="nil"/>
              <w:right w:val="nil"/>
            </w:tcBorders>
            <w:shd w:val="clear" w:color="auto" w:fill="auto"/>
            <w:noWrap/>
            <w:vAlign w:val="bottom"/>
            <w:hideMark/>
          </w:tcPr>
          <w:p w14:paraId="1130CB2C" w14:textId="77777777" w:rsidR="00D07A53" w:rsidRPr="00FA626C" w:rsidRDefault="00D07A53" w:rsidP="003632F4">
            <w:pPr>
              <w:spacing w:line="240" w:lineRule="auto"/>
              <w:jc w:val="center"/>
              <w:rPr>
                <w:rFonts w:eastAsia="Times New Roman"/>
                <w:color w:val="000000"/>
                <w:sz w:val="22"/>
                <w:szCs w:val="22"/>
                <w:lang w:eastAsia="en-NZ"/>
              </w:rPr>
            </w:pPr>
          </w:p>
        </w:tc>
        <w:tc>
          <w:tcPr>
            <w:tcW w:w="772" w:type="pct"/>
            <w:tcBorders>
              <w:top w:val="single" w:sz="4" w:space="0" w:color="auto"/>
              <w:left w:val="nil"/>
              <w:bottom w:val="nil"/>
              <w:right w:val="nil"/>
            </w:tcBorders>
            <w:shd w:val="clear" w:color="auto" w:fill="auto"/>
            <w:noWrap/>
            <w:vAlign w:val="center"/>
            <w:hideMark/>
          </w:tcPr>
          <w:p w14:paraId="17EF115B"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N</w:t>
            </w:r>
          </w:p>
        </w:tc>
        <w:tc>
          <w:tcPr>
            <w:tcW w:w="465" w:type="pct"/>
            <w:tcBorders>
              <w:top w:val="single" w:sz="4" w:space="0" w:color="auto"/>
              <w:left w:val="nil"/>
              <w:bottom w:val="nil"/>
              <w:right w:val="nil"/>
            </w:tcBorders>
            <w:shd w:val="clear" w:color="auto" w:fill="auto"/>
            <w:noWrap/>
            <w:vAlign w:val="center"/>
            <w:hideMark/>
          </w:tcPr>
          <w:p w14:paraId="497996A4"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w:t>
            </w:r>
          </w:p>
        </w:tc>
        <w:tc>
          <w:tcPr>
            <w:tcW w:w="649" w:type="pct"/>
            <w:tcBorders>
              <w:top w:val="single" w:sz="4" w:space="0" w:color="auto"/>
              <w:left w:val="nil"/>
              <w:bottom w:val="nil"/>
              <w:right w:val="nil"/>
            </w:tcBorders>
            <w:shd w:val="clear" w:color="auto" w:fill="auto"/>
            <w:noWrap/>
            <w:vAlign w:val="center"/>
            <w:hideMark/>
          </w:tcPr>
          <w:p w14:paraId="5894EF76"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N</w:t>
            </w:r>
          </w:p>
        </w:tc>
        <w:tc>
          <w:tcPr>
            <w:tcW w:w="465" w:type="pct"/>
            <w:tcBorders>
              <w:top w:val="single" w:sz="4" w:space="0" w:color="auto"/>
              <w:left w:val="nil"/>
              <w:bottom w:val="nil"/>
              <w:right w:val="nil"/>
            </w:tcBorders>
            <w:shd w:val="clear" w:color="auto" w:fill="auto"/>
            <w:noWrap/>
            <w:vAlign w:val="center"/>
            <w:hideMark/>
          </w:tcPr>
          <w:p w14:paraId="64B3728F"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w:t>
            </w:r>
          </w:p>
        </w:tc>
        <w:tc>
          <w:tcPr>
            <w:tcW w:w="526" w:type="pct"/>
            <w:tcBorders>
              <w:top w:val="single" w:sz="4" w:space="0" w:color="auto"/>
              <w:left w:val="nil"/>
              <w:bottom w:val="nil"/>
              <w:right w:val="nil"/>
            </w:tcBorders>
            <w:shd w:val="clear" w:color="auto" w:fill="auto"/>
            <w:noWrap/>
            <w:vAlign w:val="center"/>
            <w:hideMark/>
          </w:tcPr>
          <w:p w14:paraId="533EB8FB"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N</w:t>
            </w:r>
          </w:p>
        </w:tc>
        <w:tc>
          <w:tcPr>
            <w:tcW w:w="465" w:type="pct"/>
            <w:tcBorders>
              <w:top w:val="single" w:sz="4" w:space="0" w:color="auto"/>
              <w:left w:val="nil"/>
              <w:bottom w:val="nil"/>
              <w:right w:val="nil"/>
            </w:tcBorders>
            <w:shd w:val="clear" w:color="auto" w:fill="auto"/>
            <w:noWrap/>
            <w:vAlign w:val="center"/>
            <w:hideMark/>
          </w:tcPr>
          <w:p w14:paraId="284B57A4"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w:t>
            </w:r>
          </w:p>
        </w:tc>
        <w:tc>
          <w:tcPr>
            <w:tcW w:w="526" w:type="pct"/>
            <w:tcBorders>
              <w:top w:val="single" w:sz="4" w:space="0" w:color="auto"/>
              <w:left w:val="nil"/>
              <w:bottom w:val="nil"/>
              <w:right w:val="nil"/>
            </w:tcBorders>
            <w:shd w:val="clear" w:color="auto" w:fill="auto"/>
            <w:noWrap/>
            <w:vAlign w:val="center"/>
            <w:hideMark/>
          </w:tcPr>
          <w:p w14:paraId="6D6DFBFA"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N</w:t>
            </w:r>
          </w:p>
        </w:tc>
        <w:tc>
          <w:tcPr>
            <w:tcW w:w="465" w:type="pct"/>
            <w:tcBorders>
              <w:top w:val="single" w:sz="4" w:space="0" w:color="auto"/>
              <w:left w:val="nil"/>
              <w:bottom w:val="nil"/>
              <w:right w:val="nil"/>
            </w:tcBorders>
            <w:shd w:val="clear" w:color="auto" w:fill="auto"/>
            <w:noWrap/>
            <w:vAlign w:val="center"/>
            <w:hideMark/>
          </w:tcPr>
          <w:p w14:paraId="2F689803"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w:t>
            </w:r>
          </w:p>
        </w:tc>
      </w:tr>
      <w:tr w:rsidR="00D07A53" w:rsidRPr="00FA626C" w14:paraId="60DEA133" w14:textId="77777777" w:rsidTr="003632F4">
        <w:trPr>
          <w:trHeight w:val="300"/>
        </w:trPr>
        <w:tc>
          <w:tcPr>
            <w:tcW w:w="667" w:type="pct"/>
            <w:tcBorders>
              <w:top w:val="single" w:sz="4" w:space="0" w:color="auto"/>
              <w:left w:val="nil"/>
              <w:bottom w:val="nil"/>
              <w:right w:val="nil"/>
            </w:tcBorders>
            <w:shd w:val="clear" w:color="auto" w:fill="auto"/>
            <w:noWrap/>
            <w:vAlign w:val="bottom"/>
            <w:hideMark/>
          </w:tcPr>
          <w:p w14:paraId="409BFC08" w14:textId="77777777" w:rsidR="00D07A53" w:rsidRPr="00FA626C" w:rsidRDefault="00D07A53" w:rsidP="003632F4">
            <w:pPr>
              <w:spacing w:line="240" w:lineRule="auto"/>
              <w:rPr>
                <w:rFonts w:eastAsia="Times New Roman"/>
                <w:b/>
                <w:bCs/>
                <w:color w:val="000000"/>
                <w:sz w:val="22"/>
                <w:szCs w:val="22"/>
                <w:lang w:eastAsia="en-NZ"/>
              </w:rPr>
            </w:pPr>
            <w:r w:rsidRPr="00FA626C">
              <w:rPr>
                <w:rFonts w:eastAsia="Times New Roman"/>
                <w:b/>
                <w:bCs/>
                <w:color w:val="000000"/>
                <w:sz w:val="22"/>
                <w:szCs w:val="22"/>
                <w:lang w:eastAsia="en-NZ"/>
              </w:rPr>
              <w:t>Overall</w:t>
            </w:r>
          </w:p>
        </w:tc>
        <w:tc>
          <w:tcPr>
            <w:tcW w:w="772" w:type="pct"/>
            <w:tcBorders>
              <w:top w:val="single" w:sz="4" w:space="0" w:color="auto"/>
              <w:left w:val="nil"/>
              <w:bottom w:val="nil"/>
              <w:right w:val="nil"/>
            </w:tcBorders>
            <w:shd w:val="clear" w:color="auto" w:fill="auto"/>
            <w:noWrap/>
            <w:vAlign w:val="center"/>
            <w:hideMark/>
          </w:tcPr>
          <w:p w14:paraId="3B2093CD"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125275</w:t>
            </w:r>
          </w:p>
        </w:tc>
        <w:tc>
          <w:tcPr>
            <w:tcW w:w="465" w:type="pct"/>
            <w:tcBorders>
              <w:top w:val="single" w:sz="4" w:space="0" w:color="auto"/>
              <w:left w:val="nil"/>
              <w:bottom w:val="nil"/>
              <w:right w:val="nil"/>
            </w:tcBorders>
            <w:shd w:val="clear" w:color="auto" w:fill="auto"/>
            <w:noWrap/>
            <w:vAlign w:val="center"/>
            <w:hideMark/>
          </w:tcPr>
          <w:p w14:paraId="6BD2F197" w14:textId="77777777" w:rsidR="00D07A53" w:rsidRPr="00FA626C" w:rsidRDefault="00D07A53" w:rsidP="003632F4">
            <w:pPr>
              <w:spacing w:line="240" w:lineRule="auto"/>
              <w:rPr>
                <w:rFonts w:eastAsia="Times New Roman"/>
                <w:i/>
                <w:iCs/>
                <w:color w:val="000000"/>
                <w:sz w:val="22"/>
                <w:szCs w:val="22"/>
                <w:lang w:eastAsia="en-NZ"/>
              </w:rPr>
            </w:pPr>
            <w:r w:rsidRPr="00FA626C">
              <w:rPr>
                <w:rFonts w:eastAsia="Times New Roman"/>
                <w:i/>
                <w:iCs/>
                <w:color w:val="000000"/>
                <w:sz w:val="22"/>
                <w:szCs w:val="22"/>
                <w:lang w:val="en-US" w:eastAsia="en-NZ"/>
              </w:rPr>
              <w:t> </w:t>
            </w:r>
          </w:p>
        </w:tc>
        <w:tc>
          <w:tcPr>
            <w:tcW w:w="649" w:type="pct"/>
            <w:tcBorders>
              <w:top w:val="single" w:sz="4" w:space="0" w:color="auto"/>
              <w:left w:val="nil"/>
              <w:bottom w:val="nil"/>
              <w:right w:val="nil"/>
            </w:tcBorders>
            <w:shd w:val="clear" w:color="auto" w:fill="auto"/>
            <w:noWrap/>
            <w:vAlign w:val="center"/>
            <w:hideMark/>
          </w:tcPr>
          <w:p w14:paraId="168B310F"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43499</w:t>
            </w:r>
          </w:p>
        </w:tc>
        <w:tc>
          <w:tcPr>
            <w:tcW w:w="465" w:type="pct"/>
            <w:tcBorders>
              <w:top w:val="single" w:sz="4" w:space="0" w:color="auto"/>
              <w:left w:val="nil"/>
              <w:bottom w:val="nil"/>
              <w:right w:val="nil"/>
            </w:tcBorders>
            <w:shd w:val="clear" w:color="auto" w:fill="auto"/>
            <w:noWrap/>
            <w:vAlign w:val="center"/>
            <w:hideMark/>
          </w:tcPr>
          <w:p w14:paraId="74E5C205" w14:textId="77777777" w:rsidR="00D07A53" w:rsidRPr="00FA626C" w:rsidRDefault="00D07A53" w:rsidP="003632F4">
            <w:pPr>
              <w:spacing w:line="240" w:lineRule="auto"/>
              <w:rPr>
                <w:rFonts w:eastAsia="Times New Roman"/>
                <w:i/>
                <w:iCs/>
                <w:color w:val="000000"/>
                <w:sz w:val="22"/>
                <w:szCs w:val="22"/>
                <w:lang w:eastAsia="en-NZ"/>
              </w:rPr>
            </w:pPr>
            <w:r w:rsidRPr="00FA626C">
              <w:rPr>
                <w:rFonts w:eastAsia="Times New Roman"/>
                <w:i/>
                <w:iCs/>
                <w:color w:val="000000"/>
                <w:sz w:val="22"/>
                <w:szCs w:val="22"/>
                <w:lang w:val="en-US" w:eastAsia="en-NZ"/>
              </w:rPr>
              <w:t> </w:t>
            </w:r>
          </w:p>
        </w:tc>
        <w:tc>
          <w:tcPr>
            <w:tcW w:w="526" w:type="pct"/>
            <w:tcBorders>
              <w:top w:val="single" w:sz="4" w:space="0" w:color="auto"/>
              <w:left w:val="nil"/>
              <w:bottom w:val="nil"/>
              <w:right w:val="nil"/>
            </w:tcBorders>
            <w:shd w:val="clear" w:color="auto" w:fill="auto"/>
            <w:noWrap/>
            <w:vAlign w:val="center"/>
            <w:hideMark/>
          </w:tcPr>
          <w:p w14:paraId="2D513526"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1747</w:t>
            </w:r>
          </w:p>
        </w:tc>
        <w:tc>
          <w:tcPr>
            <w:tcW w:w="465" w:type="pct"/>
            <w:tcBorders>
              <w:top w:val="single" w:sz="4" w:space="0" w:color="auto"/>
              <w:left w:val="nil"/>
              <w:bottom w:val="nil"/>
              <w:right w:val="nil"/>
            </w:tcBorders>
            <w:shd w:val="clear" w:color="auto" w:fill="auto"/>
            <w:noWrap/>
            <w:vAlign w:val="center"/>
            <w:hideMark/>
          </w:tcPr>
          <w:p w14:paraId="1F70CC0C" w14:textId="77777777" w:rsidR="00D07A53" w:rsidRPr="00FA626C" w:rsidRDefault="00D07A53" w:rsidP="003632F4">
            <w:pPr>
              <w:spacing w:line="240" w:lineRule="auto"/>
              <w:rPr>
                <w:rFonts w:eastAsia="Times New Roman"/>
                <w:i/>
                <w:iCs/>
                <w:color w:val="000000"/>
                <w:sz w:val="22"/>
                <w:szCs w:val="22"/>
                <w:lang w:eastAsia="en-NZ"/>
              </w:rPr>
            </w:pPr>
            <w:r w:rsidRPr="00FA626C">
              <w:rPr>
                <w:rFonts w:eastAsia="Times New Roman"/>
                <w:i/>
                <w:iCs/>
                <w:color w:val="000000"/>
                <w:sz w:val="22"/>
                <w:szCs w:val="22"/>
                <w:lang w:val="en-US" w:eastAsia="en-NZ"/>
              </w:rPr>
              <w:t> </w:t>
            </w:r>
          </w:p>
        </w:tc>
        <w:tc>
          <w:tcPr>
            <w:tcW w:w="526" w:type="pct"/>
            <w:tcBorders>
              <w:top w:val="single" w:sz="4" w:space="0" w:color="auto"/>
              <w:left w:val="nil"/>
              <w:bottom w:val="nil"/>
              <w:right w:val="nil"/>
            </w:tcBorders>
            <w:shd w:val="clear" w:color="auto" w:fill="auto"/>
            <w:noWrap/>
            <w:vAlign w:val="center"/>
            <w:hideMark/>
          </w:tcPr>
          <w:p w14:paraId="4550A8A6"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1128</w:t>
            </w:r>
          </w:p>
        </w:tc>
        <w:tc>
          <w:tcPr>
            <w:tcW w:w="465" w:type="pct"/>
            <w:tcBorders>
              <w:top w:val="single" w:sz="4" w:space="0" w:color="auto"/>
              <w:left w:val="nil"/>
              <w:bottom w:val="nil"/>
              <w:right w:val="nil"/>
            </w:tcBorders>
            <w:shd w:val="clear" w:color="auto" w:fill="auto"/>
            <w:noWrap/>
            <w:vAlign w:val="bottom"/>
            <w:hideMark/>
          </w:tcPr>
          <w:p w14:paraId="4262BC4D" w14:textId="77777777" w:rsidR="00D07A53" w:rsidRPr="00FA626C" w:rsidRDefault="00D07A53" w:rsidP="003632F4">
            <w:pPr>
              <w:spacing w:line="240" w:lineRule="auto"/>
              <w:rPr>
                <w:rFonts w:eastAsia="Times New Roman"/>
                <w:color w:val="000000"/>
                <w:sz w:val="22"/>
                <w:szCs w:val="22"/>
                <w:lang w:eastAsia="en-NZ"/>
              </w:rPr>
            </w:pPr>
            <w:r w:rsidRPr="00FA626C">
              <w:rPr>
                <w:rFonts w:eastAsia="Times New Roman"/>
                <w:color w:val="000000"/>
                <w:sz w:val="22"/>
                <w:szCs w:val="22"/>
                <w:lang w:eastAsia="en-NZ"/>
              </w:rPr>
              <w:t> </w:t>
            </w:r>
          </w:p>
        </w:tc>
      </w:tr>
      <w:tr w:rsidR="00D07A53" w:rsidRPr="00FA626C" w14:paraId="303F0B07" w14:textId="77777777" w:rsidTr="003632F4">
        <w:trPr>
          <w:trHeight w:val="300"/>
        </w:trPr>
        <w:tc>
          <w:tcPr>
            <w:tcW w:w="667" w:type="pct"/>
            <w:tcBorders>
              <w:top w:val="single" w:sz="4" w:space="0" w:color="auto"/>
              <w:left w:val="nil"/>
              <w:bottom w:val="nil"/>
              <w:right w:val="nil"/>
            </w:tcBorders>
            <w:shd w:val="clear" w:color="auto" w:fill="auto"/>
            <w:noWrap/>
            <w:vAlign w:val="bottom"/>
            <w:hideMark/>
          </w:tcPr>
          <w:p w14:paraId="57DB0974" w14:textId="77777777" w:rsidR="00D07A53" w:rsidRPr="00FA626C" w:rsidRDefault="00D07A53" w:rsidP="003632F4">
            <w:pPr>
              <w:spacing w:line="240" w:lineRule="auto"/>
              <w:rPr>
                <w:rFonts w:eastAsia="Times New Roman"/>
                <w:b/>
                <w:bCs/>
                <w:color w:val="000000"/>
                <w:sz w:val="22"/>
                <w:szCs w:val="22"/>
                <w:lang w:eastAsia="en-NZ"/>
              </w:rPr>
            </w:pPr>
            <w:r w:rsidRPr="00FA626C">
              <w:rPr>
                <w:rFonts w:eastAsia="Times New Roman"/>
                <w:b/>
                <w:bCs/>
                <w:color w:val="000000"/>
                <w:sz w:val="22"/>
                <w:szCs w:val="22"/>
                <w:lang w:eastAsia="en-NZ"/>
              </w:rPr>
              <w:t>Gender</w:t>
            </w:r>
          </w:p>
        </w:tc>
        <w:tc>
          <w:tcPr>
            <w:tcW w:w="772" w:type="pct"/>
            <w:tcBorders>
              <w:top w:val="single" w:sz="4" w:space="0" w:color="auto"/>
              <w:left w:val="nil"/>
              <w:bottom w:val="nil"/>
              <w:right w:val="nil"/>
            </w:tcBorders>
            <w:shd w:val="clear" w:color="auto" w:fill="auto"/>
            <w:noWrap/>
            <w:vAlign w:val="bottom"/>
            <w:hideMark/>
          </w:tcPr>
          <w:p w14:paraId="09067E83" w14:textId="77777777" w:rsidR="00D07A53" w:rsidRPr="00FA626C" w:rsidRDefault="00D07A53" w:rsidP="003632F4">
            <w:pPr>
              <w:spacing w:line="240" w:lineRule="auto"/>
              <w:rPr>
                <w:rFonts w:eastAsia="Times New Roman"/>
                <w:color w:val="000000"/>
                <w:sz w:val="22"/>
                <w:szCs w:val="22"/>
                <w:lang w:eastAsia="en-NZ"/>
              </w:rPr>
            </w:pPr>
            <w:r w:rsidRPr="00FA626C">
              <w:rPr>
                <w:rFonts w:eastAsia="Times New Roman"/>
                <w:color w:val="000000"/>
                <w:sz w:val="22"/>
                <w:szCs w:val="22"/>
                <w:lang w:eastAsia="en-NZ"/>
              </w:rPr>
              <w:t> </w:t>
            </w:r>
          </w:p>
        </w:tc>
        <w:tc>
          <w:tcPr>
            <w:tcW w:w="465" w:type="pct"/>
            <w:tcBorders>
              <w:top w:val="single" w:sz="4" w:space="0" w:color="auto"/>
              <w:left w:val="nil"/>
              <w:bottom w:val="nil"/>
              <w:right w:val="nil"/>
            </w:tcBorders>
            <w:shd w:val="clear" w:color="auto" w:fill="auto"/>
            <w:noWrap/>
            <w:vAlign w:val="bottom"/>
            <w:hideMark/>
          </w:tcPr>
          <w:p w14:paraId="5930131F" w14:textId="77777777" w:rsidR="00D07A53" w:rsidRPr="00FA626C" w:rsidRDefault="00D07A53" w:rsidP="003632F4">
            <w:pPr>
              <w:spacing w:line="240" w:lineRule="auto"/>
              <w:rPr>
                <w:rFonts w:eastAsia="Times New Roman"/>
                <w:color w:val="000000"/>
                <w:sz w:val="22"/>
                <w:szCs w:val="22"/>
                <w:lang w:eastAsia="en-NZ"/>
              </w:rPr>
            </w:pPr>
            <w:r w:rsidRPr="00FA626C">
              <w:rPr>
                <w:rFonts w:eastAsia="Times New Roman"/>
                <w:color w:val="000000"/>
                <w:sz w:val="22"/>
                <w:szCs w:val="22"/>
                <w:lang w:eastAsia="en-NZ"/>
              </w:rPr>
              <w:t> </w:t>
            </w:r>
          </w:p>
        </w:tc>
        <w:tc>
          <w:tcPr>
            <w:tcW w:w="649" w:type="pct"/>
            <w:tcBorders>
              <w:top w:val="single" w:sz="4" w:space="0" w:color="auto"/>
              <w:left w:val="nil"/>
              <w:bottom w:val="nil"/>
              <w:right w:val="nil"/>
            </w:tcBorders>
            <w:shd w:val="clear" w:color="auto" w:fill="auto"/>
            <w:noWrap/>
            <w:vAlign w:val="bottom"/>
            <w:hideMark/>
          </w:tcPr>
          <w:p w14:paraId="245A7A8F" w14:textId="77777777" w:rsidR="00D07A53" w:rsidRPr="00FA626C" w:rsidRDefault="00D07A53" w:rsidP="003632F4">
            <w:pPr>
              <w:spacing w:line="240" w:lineRule="auto"/>
              <w:rPr>
                <w:rFonts w:eastAsia="Times New Roman"/>
                <w:color w:val="000000"/>
                <w:sz w:val="22"/>
                <w:szCs w:val="22"/>
                <w:lang w:eastAsia="en-NZ"/>
              </w:rPr>
            </w:pPr>
            <w:r w:rsidRPr="00FA626C">
              <w:rPr>
                <w:rFonts w:eastAsia="Times New Roman"/>
                <w:color w:val="000000"/>
                <w:sz w:val="22"/>
                <w:szCs w:val="22"/>
                <w:lang w:eastAsia="en-NZ"/>
              </w:rPr>
              <w:t> </w:t>
            </w:r>
          </w:p>
        </w:tc>
        <w:tc>
          <w:tcPr>
            <w:tcW w:w="465" w:type="pct"/>
            <w:tcBorders>
              <w:top w:val="single" w:sz="4" w:space="0" w:color="auto"/>
              <w:left w:val="nil"/>
              <w:bottom w:val="nil"/>
              <w:right w:val="nil"/>
            </w:tcBorders>
            <w:shd w:val="clear" w:color="auto" w:fill="auto"/>
            <w:noWrap/>
            <w:vAlign w:val="bottom"/>
            <w:hideMark/>
          </w:tcPr>
          <w:p w14:paraId="3E1C81D0" w14:textId="77777777" w:rsidR="00D07A53" w:rsidRPr="00FA626C" w:rsidRDefault="00D07A53" w:rsidP="003632F4">
            <w:pPr>
              <w:spacing w:line="240" w:lineRule="auto"/>
              <w:rPr>
                <w:rFonts w:eastAsia="Times New Roman"/>
                <w:color w:val="000000"/>
                <w:sz w:val="22"/>
                <w:szCs w:val="22"/>
                <w:lang w:eastAsia="en-NZ"/>
              </w:rPr>
            </w:pPr>
            <w:r w:rsidRPr="00FA626C">
              <w:rPr>
                <w:rFonts w:eastAsia="Times New Roman"/>
                <w:color w:val="000000"/>
                <w:sz w:val="22"/>
                <w:szCs w:val="22"/>
                <w:lang w:eastAsia="en-NZ"/>
              </w:rPr>
              <w:t> </w:t>
            </w:r>
          </w:p>
        </w:tc>
        <w:tc>
          <w:tcPr>
            <w:tcW w:w="526" w:type="pct"/>
            <w:tcBorders>
              <w:top w:val="single" w:sz="4" w:space="0" w:color="auto"/>
              <w:left w:val="nil"/>
              <w:bottom w:val="nil"/>
              <w:right w:val="nil"/>
            </w:tcBorders>
            <w:shd w:val="clear" w:color="auto" w:fill="auto"/>
            <w:noWrap/>
            <w:vAlign w:val="bottom"/>
            <w:hideMark/>
          </w:tcPr>
          <w:p w14:paraId="66ACD570" w14:textId="77777777" w:rsidR="00D07A53" w:rsidRPr="00FA626C" w:rsidRDefault="00D07A53" w:rsidP="003632F4">
            <w:pPr>
              <w:spacing w:line="240" w:lineRule="auto"/>
              <w:rPr>
                <w:rFonts w:eastAsia="Times New Roman"/>
                <w:color w:val="000000"/>
                <w:sz w:val="22"/>
                <w:szCs w:val="22"/>
                <w:lang w:eastAsia="en-NZ"/>
              </w:rPr>
            </w:pPr>
            <w:r w:rsidRPr="00FA626C">
              <w:rPr>
                <w:rFonts w:eastAsia="Times New Roman"/>
                <w:color w:val="000000"/>
                <w:sz w:val="22"/>
                <w:szCs w:val="22"/>
                <w:lang w:eastAsia="en-NZ"/>
              </w:rPr>
              <w:t> </w:t>
            </w:r>
          </w:p>
        </w:tc>
        <w:tc>
          <w:tcPr>
            <w:tcW w:w="465" w:type="pct"/>
            <w:tcBorders>
              <w:top w:val="single" w:sz="4" w:space="0" w:color="auto"/>
              <w:left w:val="nil"/>
              <w:bottom w:val="nil"/>
              <w:right w:val="nil"/>
            </w:tcBorders>
            <w:shd w:val="clear" w:color="auto" w:fill="auto"/>
            <w:noWrap/>
            <w:vAlign w:val="bottom"/>
            <w:hideMark/>
          </w:tcPr>
          <w:p w14:paraId="0F851177" w14:textId="77777777" w:rsidR="00D07A53" w:rsidRPr="00FA626C" w:rsidRDefault="00D07A53" w:rsidP="003632F4">
            <w:pPr>
              <w:spacing w:line="240" w:lineRule="auto"/>
              <w:rPr>
                <w:rFonts w:eastAsia="Times New Roman"/>
                <w:color w:val="000000"/>
                <w:sz w:val="22"/>
                <w:szCs w:val="22"/>
                <w:lang w:eastAsia="en-NZ"/>
              </w:rPr>
            </w:pPr>
            <w:r w:rsidRPr="00FA626C">
              <w:rPr>
                <w:rFonts w:eastAsia="Times New Roman"/>
                <w:color w:val="000000"/>
                <w:sz w:val="22"/>
                <w:szCs w:val="22"/>
                <w:lang w:eastAsia="en-NZ"/>
              </w:rPr>
              <w:t> </w:t>
            </w:r>
          </w:p>
        </w:tc>
        <w:tc>
          <w:tcPr>
            <w:tcW w:w="526" w:type="pct"/>
            <w:tcBorders>
              <w:top w:val="single" w:sz="4" w:space="0" w:color="auto"/>
              <w:left w:val="nil"/>
              <w:bottom w:val="nil"/>
              <w:right w:val="nil"/>
            </w:tcBorders>
            <w:shd w:val="clear" w:color="auto" w:fill="auto"/>
            <w:noWrap/>
            <w:vAlign w:val="bottom"/>
            <w:hideMark/>
          </w:tcPr>
          <w:p w14:paraId="7EFBCBA8" w14:textId="77777777" w:rsidR="00D07A53" w:rsidRPr="00FA626C" w:rsidRDefault="00D07A53" w:rsidP="003632F4">
            <w:pPr>
              <w:spacing w:line="240" w:lineRule="auto"/>
              <w:rPr>
                <w:rFonts w:eastAsia="Times New Roman"/>
                <w:color w:val="000000"/>
                <w:sz w:val="22"/>
                <w:szCs w:val="22"/>
                <w:lang w:eastAsia="en-NZ"/>
              </w:rPr>
            </w:pPr>
            <w:r w:rsidRPr="00FA626C">
              <w:rPr>
                <w:rFonts w:eastAsia="Times New Roman"/>
                <w:color w:val="000000"/>
                <w:sz w:val="22"/>
                <w:szCs w:val="22"/>
                <w:lang w:eastAsia="en-NZ"/>
              </w:rPr>
              <w:t> </w:t>
            </w:r>
          </w:p>
        </w:tc>
        <w:tc>
          <w:tcPr>
            <w:tcW w:w="465" w:type="pct"/>
            <w:tcBorders>
              <w:top w:val="single" w:sz="4" w:space="0" w:color="auto"/>
              <w:left w:val="nil"/>
              <w:bottom w:val="nil"/>
              <w:right w:val="nil"/>
            </w:tcBorders>
            <w:shd w:val="clear" w:color="auto" w:fill="auto"/>
            <w:noWrap/>
            <w:vAlign w:val="bottom"/>
            <w:hideMark/>
          </w:tcPr>
          <w:p w14:paraId="1CC0EC89" w14:textId="77777777" w:rsidR="00D07A53" w:rsidRPr="00FA626C" w:rsidRDefault="00D07A53" w:rsidP="003632F4">
            <w:pPr>
              <w:spacing w:line="240" w:lineRule="auto"/>
              <w:rPr>
                <w:rFonts w:eastAsia="Times New Roman"/>
                <w:color w:val="000000"/>
                <w:sz w:val="22"/>
                <w:szCs w:val="22"/>
                <w:lang w:eastAsia="en-NZ"/>
              </w:rPr>
            </w:pPr>
            <w:r w:rsidRPr="00FA626C">
              <w:rPr>
                <w:rFonts w:eastAsia="Times New Roman"/>
                <w:color w:val="000000"/>
                <w:sz w:val="22"/>
                <w:szCs w:val="22"/>
                <w:lang w:eastAsia="en-NZ"/>
              </w:rPr>
              <w:t> </w:t>
            </w:r>
          </w:p>
        </w:tc>
      </w:tr>
      <w:tr w:rsidR="00D07A53" w:rsidRPr="00FA626C" w14:paraId="7992F738" w14:textId="77777777" w:rsidTr="003632F4">
        <w:trPr>
          <w:trHeight w:val="300"/>
        </w:trPr>
        <w:tc>
          <w:tcPr>
            <w:tcW w:w="667" w:type="pct"/>
            <w:tcBorders>
              <w:top w:val="nil"/>
              <w:left w:val="nil"/>
              <w:bottom w:val="nil"/>
              <w:right w:val="nil"/>
            </w:tcBorders>
            <w:shd w:val="clear" w:color="auto" w:fill="auto"/>
            <w:noWrap/>
            <w:vAlign w:val="bottom"/>
            <w:hideMark/>
          </w:tcPr>
          <w:p w14:paraId="7D96DB6A" w14:textId="77777777" w:rsidR="00D07A53" w:rsidRPr="00FA626C" w:rsidRDefault="00D07A53" w:rsidP="003632F4">
            <w:pPr>
              <w:spacing w:line="240" w:lineRule="auto"/>
              <w:rPr>
                <w:rFonts w:eastAsia="Times New Roman"/>
                <w:color w:val="000000"/>
                <w:sz w:val="22"/>
                <w:szCs w:val="22"/>
                <w:lang w:eastAsia="en-NZ"/>
              </w:rPr>
            </w:pPr>
            <w:r>
              <w:rPr>
                <w:rFonts w:eastAsia="Times New Roman"/>
                <w:color w:val="000000"/>
                <w:sz w:val="22"/>
                <w:szCs w:val="22"/>
                <w:lang w:eastAsia="en-NZ"/>
              </w:rPr>
              <w:t xml:space="preserve">  </w:t>
            </w:r>
            <w:r w:rsidRPr="00FA626C">
              <w:rPr>
                <w:rFonts w:eastAsia="Times New Roman"/>
                <w:color w:val="000000"/>
                <w:sz w:val="22"/>
                <w:szCs w:val="22"/>
                <w:lang w:eastAsia="en-NZ"/>
              </w:rPr>
              <w:t>Female</w:t>
            </w:r>
          </w:p>
        </w:tc>
        <w:tc>
          <w:tcPr>
            <w:tcW w:w="772" w:type="pct"/>
            <w:tcBorders>
              <w:top w:val="nil"/>
              <w:left w:val="nil"/>
              <w:bottom w:val="nil"/>
              <w:right w:val="nil"/>
            </w:tcBorders>
            <w:shd w:val="clear" w:color="auto" w:fill="auto"/>
            <w:noWrap/>
            <w:vAlign w:val="center"/>
            <w:hideMark/>
          </w:tcPr>
          <w:p w14:paraId="1F6C637A"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49976</w:t>
            </w:r>
          </w:p>
        </w:tc>
        <w:tc>
          <w:tcPr>
            <w:tcW w:w="465" w:type="pct"/>
            <w:tcBorders>
              <w:top w:val="nil"/>
              <w:left w:val="nil"/>
              <w:bottom w:val="nil"/>
              <w:right w:val="nil"/>
            </w:tcBorders>
            <w:shd w:val="clear" w:color="auto" w:fill="auto"/>
            <w:noWrap/>
            <w:vAlign w:val="center"/>
            <w:hideMark/>
          </w:tcPr>
          <w:p w14:paraId="1C30FD70"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39.9</w:t>
            </w:r>
          </w:p>
        </w:tc>
        <w:tc>
          <w:tcPr>
            <w:tcW w:w="649" w:type="pct"/>
            <w:tcBorders>
              <w:top w:val="nil"/>
              <w:left w:val="nil"/>
              <w:bottom w:val="nil"/>
              <w:right w:val="nil"/>
            </w:tcBorders>
            <w:shd w:val="clear" w:color="auto" w:fill="auto"/>
            <w:noWrap/>
            <w:vAlign w:val="center"/>
            <w:hideMark/>
          </w:tcPr>
          <w:p w14:paraId="1E777B6B"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9976</w:t>
            </w:r>
          </w:p>
        </w:tc>
        <w:tc>
          <w:tcPr>
            <w:tcW w:w="465" w:type="pct"/>
            <w:tcBorders>
              <w:top w:val="nil"/>
              <w:left w:val="nil"/>
              <w:bottom w:val="nil"/>
              <w:right w:val="nil"/>
            </w:tcBorders>
            <w:shd w:val="clear" w:color="auto" w:fill="auto"/>
            <w:noWrap/>
            <w:vAlign w:val="center"/>
            <w:hideMark/>
          </w:tcPr>
          <w:p w14:paraId="68C68785"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22.9</w:t>
            </w:r>
          </w:p>
        </w:tc>
        <w:tc>
          <w:tcPr>
            <w:tcW w:w="526" w:type="pct"/>
            <w:tcBorders>
              <w:top w:val="nil"/>
              <w:left w:val="nil"/>
              <w:bottom w:val="nil"/>
              <w:right w:val="nil"/>
            </w:tcBorders>
            <w:shd w:val="clear" w:color="auto" w:fill="auto"/>
            <w:noWrap/>
            <w:vAlign w:val="center"/>
            <w:hideMark/>
          </w:tcPr>
          <w:p w14:paraId="2349D661"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423</w:t>
            </w:r>
          </w:p>
        </w:tc>
        <w:tc>
          <w:tcPr>
            <w:tcW w:w="465" w:type="pct"/>
            <w:tcBorders>
              <w:top w:val="nil"/>
              <w:left w:val="nil"/>
              <w:bottom w:val="nil"/>
              <w:right w:val="nil"/>
            </w:tcBorders>
            <w:shd w:val="clear" w:color="auto" w:fill="auto"/>
            <w:noWrap/>
            <w:vAlign w:val="center"/>
            <w:hideMark/>
          </w:tcPr>
          <w:p w14:paraId="62B211A4"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24.2</w:t>
            </w:r>
          </w:p>
        </w:tc>
        <w:tc>
          <w:tcPr>
            <w:tcW w:w="526" w:type="pct"/>
            <w:tcBorders>
              <w:top w:val="nil"/>
              <w:left w:val="nil"/>
              <w:bottom w:val="nil"/>
              <w:right w:val="nil"/>
            </w:tcBorders>
            <w:shd w:val="clear" w:color="auto" w:fill="auto"/>
            <w:noWrap/>
            <w:vAlign w:val="center"/>
            <w:hideMark/>
          </w:tcPr>
          <w:p w14:paraId="645BA894"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455</w:t>
            </w:r>
          </w:p>
        </w:tc>
        <w:tc>
          <w:tcPr>
            <w:tcW w:w="465" w:type="pct"/>
            <w:tcBorders>
              <w:top w:val="nil"/>
              <w:left w:val="nil"/>
              <w:bottom w:val="nil"/>
              <w:right w:val="nil"/>
            </w:tcBorders>
            <w:shd w:val="clear" w:color="auto" w:fill="auto"/>
            <w:noWrap/>
            <w:vAlign w:val="center"/>
            <w:hideMark/>
          </w:tcPr>
          <w:p w14:paraId="2B5F141A"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40.3</w:t>
            </w:r>
          </w:p>
        </w:tc>
      </w:tr>
      <w:tr w:rsidR="00D07A53" w:rsidRPr="00FA626C" w14:paraId="5977DA96" w14:textId="77777777" w:rsidTr="003632F4">
        <w:trPr>
          <w:trHeight w:val="300"/>
        </w:trPr>
        <w:tc>
          <w:tcPr>
            <w:tcW w:w="667" w:type="pct"/>
            <w:tcBorders>
              <w:top w:val="nil"/>
              <w:left w:val="nil"/>
              <w:bottom w:val="nil"/>
              <w:right w:val="nil"/>
            </w:tcBorders>
            <w:shd w:val="clear" w:color="auto" w:fill="auto"/>
            <w:noWrap/>
            <w:vAlign w:val="bottom"/>
            <w:hideMark/>
          </w:tcPr>
          <w:p w14:paraId="16230E04" w14:textId="77777777" w:rsidR="00D07A53" w:rsidRPr="00FA626C" w:rsidRDefault="00D07A53" w:rsidP="003632F4">
            <w:pPr>
              <w:spacing w:line="240" w:lineRule="auto"/>
              <w:rPr>
                <w:rFonts w:eastAsia="Times New Roman"/>
                <w:color w:val="000000"/>
                <w:sz w:val="22"/>
                <w:szCs w:val="22"/>
                <w:lang w:eastAsia="en-NZ"/>
              </w:rPr>
            </w:pPr>
            <w:r>
              <w:rPr>
                <w:rFonts w:eastAsia="Times New Roman"/>
                <w:color w:val="000000"/>
                <w:sz w:val="22"/>
                <w:szCs w:val="22"/>
                <w:lang w:eastAsia="en-NZ"/>
              </w:rPr>
              <w:t xml:space="preserve">  </w:t>
            </w:r>
            <w:r w:rsidRPr="00FA626C">
              <w:rPr>
                <w:rFonts w:eastAsia="Times New Roman"/>
                <w:color w:val="000000"/>
                <w:sz w:val="22"/>
                <w:szCs w:val="22"/>
                <w:lang w:eastAsia="en-NZ"/>
              </w:rPr>
              <w:t>Male</w:t>
            </w:r>
          </w:p>
        </w:tc>
        <w:tc>
          <w:tcPr>
            <w:tcW w:w="772" w:type="pct"/>
            <w:tcBorders>
              <w:top w:val="nil"/>
              <w:left w:val="nil"/>
              <w:bottom w:val="nil"/>
              <w:right w:val="nil"/>
            </w:tcBorders>
            <w:shd w:val="clear" w:color="auto" w:fill="auto"/>
            <w:noWrap/>
            <w:vAlign w:val="center"/>
            <w:hideMark/>
          </w:tcPr>
          <w:p w14:paraId="59DD6DDE"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75278</w:t>
            </w:r>
          </w:p>
        </w:tc>
        <w:tc>
          <w:tcPr>
            <w:tcW w:w="465" w:type="pct"/>
            <w:tcBorders>
              <w:top w:val="nil"/>
              <w:left w:val="nil"/>
              <w:bottom w:val="nil"/>
              <w:right w:val="nil"/>
            </w:tcBorders>
            <w:shd w:val="clear" w:color="auto" w:fill="auto"/>
            <w:noWrap/>
            <w:vAlign w:val="center"/>
            <w:hideMark/>
          </w:tcPr>
          <w:p w14:paraId="1ECCC341"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60.1</w:t>
            </w:r>
          </w:p>
        </w:tc>
        <w:tc>
          <w:tcPr>
            <w:tcW w:w="649" w:type="pct"/>
            <w:tcBorders>
              <w:top w:val="nil"/>
              <w:left w:val="nil"/>
              <w:bottom w:val="nil"/>
              <w:right w:val="nil"/>
            </w:tcBorders>
            <w:shd w:val="clear" w:color="auto" w:fill="auto"/>
            <w:noWrap/>
            <w:vAlign w:val="center"/>
            <w:hideMark/>
          </w:tcPr>
          <w:p w14:paraId="306B53C7"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33522</w:t>
            </w:r>
          </w:p>
        </w:tc>
        <w:tc>
          <w:tcPr>
            <w:tcW w:w="465" w:type="pct"/>
            <w:tcBorders>
              <w:top w:val="nil"/>
              <w:left w:val="nil"/>
              <w:bottom w:val="nil"/>
              <w:right w:val="nil"/>
            </w:tcBorders>
            <w:shd w:val="clear" w:color="auto" w:fill="auto"/>
            <w:noWrap/>
            <w:vAlign w:val="center"/>
            <w:hideMark/>
          </w:tcPr>
          <w:p w14:paraId="2079D7DB"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77.1</w:t>
            </w:r>
          </w:p>
        </w:tc>
        <w:tc>
          <w:tcPr>
            <w:tcW w:w="526" w:type="pct"/>
            <w:tcBorders>
              <w:top w:val="nil"/>
              <w:left w:val="nil"/>
              <w:bottom w:val="nil"/>
              <w:right w:val="nil"/>
            </w:tcBorders>
            <w:shd w:val="clear" w:color="auto" w:fill="auto"/>
            <w:noWrap/>
            <w:vAlign w:val="center"/>
            <w:hideMark/>
          </w:tcPr>
          <w:p w14:paraId="7D5AA8DF"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1323</w:t>
            </w:r>
          </w:p>
        </w:tc>
        <w:tc>
          <w:tcPr>
            <w:tcW w:w="465" w:type="pct"/>
            <w:tcBorders>
              <w:top w:val="nil"/>
              <w:left w:val="nil"/>
              <w:bottom w:val="nil"/>
              <w:right w:val="nil"/>
            </w:tcBorders>
            <w:shd w:val="clear" w:color="auto" w:fill="auto"/>
            <w:noWrap/>
            <w:vAlign w:val="center"/>
            <w:hideMark/>
          </w:tcPr>
          <w:p w14:paraId="1A0D7BAF"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75.8</w:t>
            </w:r>
          </w:p>
        </w:tc>
        <w:tc>
          <w:tcPr>
            <w:tcW w:w="526" w:type="pct"/>
            <w:tcBorders>
              <w:top w:val="nil"/>
              <w:left w:val="nil"/>
              <w:bottom w:val="nil"/>
              <w:right w:val="nil"/>
            </w:tcBorders>
            <w:shd w:val="clear" w:color="auto" w:fill="auto"/>
            <w:noWrap/>
            <w:vAlign w:val="center"/>
            <w:hideMark/>
          </w:tcPr>
          <w:p w14:paraId="124EA80B"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673</w:t>
            </w:r>
          </w:p>
        </w:tc>
        <w:tc>
          <w:tcPr>
            <w:tcW w:w="465" w:type="pct"/>
            <w:tcBorders>
              <w:top w:val="nil"/>
              <w:left w:val="nil"/>
              <w:bottom w:val="nil"/>
              <w:right w:val="nil"/>
            </w:tcBorders>
            <w:shd w:val="clear" w:color="auto" w:fill="auto"/>
            <w:noWrap/>
            <w:vAlign w:val="center"/>
            <w:hideMark/>
          </w:tcPr>
          <w:p w14:paraId="6E915BB3"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59.7</w:t>
            </w:r>
          </w:p>
        </w:tc>
      </w:tr>
      <w:tr w:rsidR="00D07A53" w:rsidRPr="00FA626C" w14:paraId="628D40CA" w14:textId="77777777" w:rsidTr="003632F4">
        <w:trPr>
          <w:trHeight w:val="300"/>
        </w:trPr>
        <w:tc>
          <w:tcPr>
            <w:tcW w:w="1439" w:type="pct"/>
            <w:gridSpan w:val="2"/>
            <w:tcBorders>
              <w:top w:val="single" w:sz="4" w:space="0" w:color="auto"/>
              <w:left w:val="nil"/>
              <w:bottom w:val="nil"/>
              <w:right w:val="nil"/>
            </w:tcBorders>
            <w:shd w:val="clear" w:color="auto" w:fill="auto"/>
            <w:noWrap/>
            <w:vAlign w:val="bottom"/>
            <w:hideMark/>
          </w:tcPr>
          <w:p w14:paraId="6609905F" w14:textId="77777777" w:rsidR="00D07A53" w:rsidRPr="00FA626C" w:rsidRDefault="00D07A53" w:rsidP="003632F4">
            <w:pPr>
              <w:spacing w:line="240" w:lineRule="auto"/>
              <w:rPr>
                <w:rFonts w:eastAsia="Times New Roman"/>
                <w:b/>
                <w:bCs/>
                <w:color w:val="000000"/>
                <w:sz w:val="22"/>
                <w:szCs w:val="22"/>
                <w:lang w:eastAsia="en-NZ"/>
              </w:rPr>
            </w:pPr>
            <w:r w:rsidRPr="00FA626C">
              <w:rPr>
                <w:rFonts w:eastAsia="Times New Roman"/>
                <w:b/>
                <w:bCs/>
                <w:color w:val="000000"/>
                <w:sz w:val="22"/>
                <w:szCs w:val="22"/>
                <w:lang w:eastAsia="en-NZ"/>
              </w:rPr>
              <w:t>Age Group</w:t>
            </w:r>
          </w:p>
        </w:tc>
        <w:tc>
          <w:tcPr>
            <w:tcW w:w="465" w:type="pct"/>
            <w:tcBorders>
              <w:top w:val="single" w:sz="4" w:space="0" w:color="auto"/>
              <w:left w:val="nil"/>
              <w:bottom w:val="nil"/>
              <w:right w:val="nil"/>
            </w:tcBorders>
            <w:shd w:val="clear" w:color="auto" w:fill="auto"/>
            <w:noWrap/>
            <w:vAlign w:val="bottom"/>
            <w:hideMark/>
          </w:tcPr>
          <w:p w14:paraId="17F46B39" w14:textId="77777777" w:rsidR="00D07A53" w:rsidRPr="00FA626C" w:rsidRDefault="00D07A53" w:rsidP="003632F4">
            <w:pPr>
              <w:spacing w:line="240" w:lineRule="auto"/>
              <w:rPr>
                <w:rFonts w:eastAsia="Times New Roman"/>
                <w:color w:val="000000"/>
                <w:sz w:val="22"/>
                <w:szCs w:val="22"/>
                <w:lang w:eastAsia="en-NZ"/>
              </w:rPr>
            </w:pPr>
            <w:r w:rsidRPr="00FA626C">
              <w:rPr>
                <w:rFonts w:eastAsia="Times New Roman"/>
                <w:color w:val="000000"/>
                <w:sz w:val="22"/>
                <w:szCs w:val="22"/>
                <w:lang w:eastAsia="en-NZ"/>
              </w:rPr>
              <w:t> </w:t>
            </w:r>
          </w:p>
        </w:tc>
        <w:tc>
          <w:tcPr>
            <w:tcW w:w="649" w:type="pct"/>
            <w:tcBorders>
              <w:top w:val="single" w:sz="4" w:space="0" w:color="auto"/>
              <w:left w:val="nil"/>
              <w:bottom w:val="nil"/>
              <w:right w:val="nil"/>
            </w:tcBorders>
            <w:shd w:val="clear" w:color="auto" w:fill="auto"/>
            <w:noWrap/>
            <w:vAlign w:val="bottom"/>
            <w:hideMark/>
          </w:tcPr>
          <w:p w14:paraId="16C233F7" w14:textId="77777777" w:rsidR="00D07A53" w:rsidRPr="00FA626C" w:rsidRDefault="00D07A53" w:rsidP="003632F4">
            <w:pPr>
              <w:spacing w:line="240" w:lineRule="auto"/>
              <w:rPr>
                <w:rFonts w:eastAsia="Times New Roman"/>
                <w:color w:val="000000"/>
                <w:sz w:val="22"/>
                <w:szCs w:val="22"/>
                <w:lang w:eastAsia="en-NZ"/>
              </w:rPr>
            </w:pPr>
            <w:r w:rsidRPr="00FA626C">
              <w:rPr>
                <w:rFonts w:eastAsia="Times New Roman"/>
                <w:color w:val="000000"/>
                <w:sz w:val="22"/>
                <w:szCs w:val="22"/>
                <w:lang w:eastAsia="en-NZ"/>
              </w:rPr>
              <w:t> </w:t>
            </w:r>
          </w:p>
        </w:tc>
        <w:tc>
          <w:tcPr>
            <w:tcW w:w="465" w:type="pct"/>
            <w:tcBorders>
              <w:top w:val="single" w:sz="4" w:space="0" w:color="auto"/>
              <w:left w:val="nil"/>
              <w:bottom w:val="nil"/>
              <w:right w:val="nil"/>
            </w:tcBorders>
            <w:shd w:val="clear" w:color="auto" w:fill="auto"/>
            <w:noWrap/>
            <w:vAlign w:val="bottom"/>
            <w:hideMark/>
          </w:tcPr>
          <w:p w14:paraId="33503E6F" w14:textId="77777777" w:rsidR="00D07A53" w:rsidRPr="00FA626C" w:rsidRDefault="00D07A53" w:rsidP="003632F4">
            <w:pPr>
              <w:spacing w:line="240" w:lineRule="auto"/>
              <w:rPr>
                <w:rFonts w:eastAsia="Times New Roman"/>
                <w:color w:val="000000"/>
                <w:sz w:val="22"/>
                <w:szCs w:val="22"/>
                <w:lang w:eastAsia="en-NZ"/>
              </w:rPr>
            </w:pPr>
            <w:r w:rsidRPr="00FA626C">
              <w:rPr>
                <w:rFonts w:eastAsia="Times New Roman"/>
                <w:color w:val="000000"/>
                <w:sz w:val="22"/>
                <w:szCs w:val="22"/>
                <w:lang w:eastAsia="en-NZ"/>
              </w:rPr>
              <w:t> </w:t>
            </w:r>
          </w:p>
        </w:tc>
        <w:tc>
          <w:tcPr>
            <w:tcW w:w="526" w:type="pct"/>
            <w:tcBorders>
              <w:top w:val="single" w:sz="4" w:space="0" w:color="auto"/>
              <w:left w:val="nil"/>
              <w:bottom w:val="nil"/>
              <w:right w:val="nil"/>
            </w:tcBorders>
            <w:shd w:val="clear" w:color="auto" w:fill="auto"/>
            <w:noWrap/>
            <w:vAlign w:val="bottom"/>
            <w:hideMark/>
          </w:tcPr>
          <w:p w14:paraId="2877E88A" w14:textId="77777777" w:rsidR="00D07A53" w:rsidRPr="00FA626C" w:rsidRDefault="00D07A53" w:rsidP="003632F4">
            <w:pPr>
              <w:spacing w:line="240" w:lineRule="auto"/>
              <w:rPr>
                <w:rFonts w:eastAsia="Times New Roman"/>
                <w:color w:val="000000"/>
                <w:sz w:val="22"/>
                <w:szCs w:val="22"/>
                <w:lang w:eastAsia="en-NZ"/>
              </w:rPr>
            </w:pPr>
            <w:r w:rsidRPr="00FA626C">
              <w:rPr>
                <w:rFonts w:eastAsia="Times New Roman"/>
                <w:color w:val="000000"/>
                <w:sz w:val="22"/>
                <w:szCs w:val="22"/>
                <w:lang w:eastAsia="en-NZ"/>
              </w:rPr>
              <w:t> </w:t>
            </w:r>
          </w:p>
        </w:tc>
        <w:tc>
          <w:tcPr>
            <w:tcW w:w="465" w:type="pct"/>
            <w:tcBorders>
              <w:top w:val="single" w:sz="4" w:space="0" w:color="auto"/>
              <w:left w:val="nil"/>
              <w:bottom w:val="nil"/>
              <w:right w:val="nil"/>
            </w:tcBorders>
            <w:shd w:val="clear" w:color="auto" w:fill="auto"/>
            <w:noWrap/>
            <w:vAlign w:val="bottom"/>
            <w:hideMark/>
          </w:tcPr>
          <w:p w14:paraId="1B20C329" w14:textId="77777777" w:rsidR="00D07A53" w:rsidRPr="00FA626C" w:rsidRDefault="00D07A53" w:rsidP="003632F4">
            <w:pPr>
              <w:spacing w:line="240" w:lineRule="auto"/>
              <w:rPr>
                <w:rFonts w:eastAsia="Times New Roman"/>
                <w:color w:val="000000"/>
                <w:sz w:val="22"/>
                <w:szCs w:val="22"/>
                <w:lang w:eastAsia="en-NZ"/>
              </w:rPr>
            </w:pPr>
            <w:r w:rsidRPr="00FA626C">
              <w:rPr>
                <w:rFonts w:eastAsia="Times New Roman"/>
                <w:color w:val="000000"/>
                <w:sz w:val="22"/>
                <w:szCs w:val="22"/>
                <w:lang w:eastAsia="en-NZ"/>
              </w:rPr>
              <w:t> </w:t>
            </w:r>
          </w:p>
        </w:tc>
        <w:tc>
          <w:tcPr>
            <w:tcW w:w="526" w:type="pct"/>
            <w:tcBorders>
              <w:top w:val="single" w:sz="4" w:space="0" w:color="auto"/>
              <w:left w:val="nil"/>
              <w:bottom w:val="nil"/>
              <w:right w:val="nil"/>
            </w:tcBorders>
            <w:shd w:val="clear" w:color="auto" w:fill="auto"/>
            <w:noWrap/>
            <w:vAlign w:val="bottom"/>
            <w:hideMark/>
          </w:tcPr>
          <w:p w14:paraId="52EBCB3E" w14:textId="77777777" w:rsidR="00D07A53" w:rsidRPr="00FA626C" w:rsidRDefault="00D07A53" w:rsidP="003632F4">
            <w:pPr>
              <w:spacing w:line="240" w:lineRule="auto"/>
              <w:rPr>
                <w:rFonts w:eastAsia="Times New Roman"/>
                <w:color w:val="000000"/>
                <w:sz w:val="22"/>
                <w:szCs w:val="22"/>
                <w:lang w:eastAsia="en-NZ"/>
              </w:rPr>
            </w:pPr>
            <w:r w:rsidRPr="00FA626C">
              <w:rPr>
                <w:rFonts w:eastAsia="Times New Roman"/>
                <w:color w:val="000000"/>
                <w:sz w:val="22"/>
                <w:szCs w:val="22"/>
                <w:lang w:eastAsia="en-NZ"/>
              </w:rPr>
              <w:t> </w:t>
            </w:r>
          </w:p>
        </w:tc>
        <w:tc>
          <w:tcPr>
            <w:tcW w:w="465" w:type="pct"/>
            <w:tcBorders>
              <w:top w:val="single" w:sz="4" w:space="0" w:color="auto"/>
              <w:left w:val="nil"/>
              <w:bottom w:val="nil"/>
              <w:right w:val="nil"/>
            </w:tcBorders>
            <w:shd w:val="clear" w:color="auto" w:fill="auto"/>
            <w:noWrap/>
            <w:vAlign w:val="bottom"/>
            <w:hideMark/>
          </w:tcPr>
          <w:p w14:paraId="3AE0F113" w14:textId="77777777" w:rsidR="00D07A53" w:rsidRPr="00FA626C" w:rsidRDefault="00D07A53" w:rsidP="003632F4">
            <w:pPr>
              <w:spacing w:line="240" w:lineRule="auto"/>
              <w:rPr>
                <w:rFonts w:eastAsia="Times New Roman"/>
                <w:color w:val="000000"/>
                <w:sz w:val="22"/>
                <w:szCs w:val="22"/>
                <w:lang w:eastAsia="en-NZ"/>
              </w:rPr>
            </w:pPr>
            <w:r w:rsidRPr="00FA626C">
              <w:rPr>
                <w:rFonts w:eastAsia="Times New Roman"/>
                <w:color w:val="000000"/>
                <w:sz w:val="22"/>
                <w:szCs w:val="22"/>
                <w:lang w:eastAsia="en-NZ"/>
              </w:rPr>
              <w:t> </w:t>
            </w:r>
          </w:p>
        </w:tc>
      </w:tr>
      <w:tr w:rsidR="00D07A53" w:rsidRPr="00FA626C" w14:paraId="2BB587B9" w14:textId="77777777" w:rsidTr="003632F4">
        <w:trPr>
          <w:trHeight w:val="300"/>
        </w:trPr>
        <w:tc>
          <w:tcPr>
            <w:tcW w:w="667" w:type="pct"/>
            <w:tcBorders>
              <w:top w:val="nil"/>
              <w:left w:val="nil"/>
              <w:bottom w:val="nil"/>
              <w:right w:val="nil"/>
            </w:tcBorders>
            <w:shd w:val="clear" w:color="auto" w:fill="auto"/>
            <w:noWrap/>
            <w:vAlign w:val="center"/>
            <w:hideMark/>
          </w:tcPr>
          <w:p w14:paraId="5FFB6BE2" w14:textId="77777777" w:rsidR="00D07A53" w:rsidRPr="00FA626C" w:rsidRDefault="00D07A53" w:rsidP="003632F4">
            <w:pPr>
              <w:spacing w:line="240" w:lineRule="auto"/>
              <w:rPr>
                <w:rFonts w:eastAsia="Times New Roman"/>
                <w:color w:val="000000"/>
                <w:sz w:val="22"/>
                <w:szCs w:val="22"/>
                <w:lang w:eastAsia="en-NZ"/>
              </w:rPr>
            </w:pPr>
            <w:r>
              <w:rPr>
                <w:rFonts w:eastAsia="Times New Roman"/>
                <w:color w:val="000000"/>
                <w:sz w:val="22"/>
                <w:szCs w:val="22"/>
                <w:lang w:val="en-US" w:eastAsia="en-NZ"/>
              </w:rPr>
              <w:t xml:space="preserve">  </w:t>
            </w:r>
            <w:r w:rsidRPr="00FA626C">
              <w:rPr>
                <w:rFonts w:eastAsia="Times New Roman"/>
                <w:color w:val="000000"/>
                <w:sz w:val="22"/>
                <w:szCs w:val="22"/>
                <w:lang w:val="en-US" w:eastAsia="en-NZ"/>
              </w:rPr>
              <w:t>24 or less</w:t>
            </w:r>
          </w:p>
        </w:tc>
        <w:tc>
          <w:tcPr>
            <w:tcW w:w="772" w:type="pct"/>
            <w:tcBorders>
              <w:top w:val="nil"/>
              <w:left w:val="nil"/>
              <w:bottom w:val="nil"/>
              <w:right w:val="nil"/>
            </w:tcBorders>
            <w:shd w:val="clear" w:color="auto" w:fill="auto"/>
            <w:noWrap/>
            <w:vAlign w:val="center"/>
            <w:hideMark/>
          </w:tcPr>
          <w:p w14:paraId="4B66A986"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7766</w:t>
            </w:r>
          </w:p>
        </w:tc>
        <w:tc>
          <w:tcPr>
            <w:tcW w:w="465" w:type="pct"/>
            <w:tcBorders>
              <w:top w:val="nil"/>
              <w:left w:val="nil"/>
              <w:bottom w:val="nil"/>
              <w:right w:val="nil"/>
            </w:tcBorders>
            <w:shd w:val="clear" w:color="auto" w:fill="auto"/>
            <w:noWrap/>
            <w:vAlign w:val="center"/>
            <w:hideMark/>
          </w:tcPr>
          <w:p w14:paraId="3C824D26"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6.3</w:t>
            </w:r>
          </w:p>
        </w:tc>
        <w:tc>
          <w:tcPr>
            <w:tcW w:w="649" w:type="pct"/>
            <w:tcBorders>
              <w:top w:val="nil"/>
              <w:left w:val="nil"/>
              <w:bottom w:val="nil"/>
              <w:right w:val="nil"/>
            </w:tcBorders>
            <w:shd w:val="clear" w:color="auto" w:fill="auto"/>
            <w:noWrap/>
            <w:vAlign w:val="center"/>
            <w:hideMark/>
          </w:tcPr>
          <w:p w14:paraId="6DD691FA"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5578</w:t>
            </w:r>
          </w:p>
        </w:tc>
        <w:tc>
          <w:tcPr>
            <w:tcW w:w="465" w:type="pct"/>
            <w:tcBorders>
              <w:top w:val="nil"/>
              <w:left w:val="nil"/>
              <w:bottom w:val="nil"/>
              <w:right w:val="nil"/>
            </w:tcBorders>
            <w:shd w:val="clear" w:color="auto" w:fill="auto"/>
            <w:noWrap/>
            <w:vAlign w:val="center"/>
            <w:hideMark/>
          </w:tcPr>
          <w:p w14:paraId="5BAB2898"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12.8</w:t>
            </w:r>
          </w:p>
        </w:tc>
        <w:tc>
          <w:tcPr>
            <w:tcW w:w="526" w:type="pct"/>
            <w:tcBorders>
              <w:top w:val="nil"/>
              <w:left w:val="nil"/>
              <w:bottom w:val="nil"/>
              <w:right w:val="nil"/>
            </w:tcBorders>
            <w:shd w:val="clear" w:color="auto" w:fill="auto"/>
            <w:noWrap/>
            <w:vAlign w:val="center"/>
            <w:hideMark/>
          </w:tcPr>
          <w:p w14:paraId="504123F6"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76</w:t>
            </w:r>
          </w:p>
        </w:tc>
        <w:tc>
          <w:tcPr>
            <w:tcW w:w="465" w:type="pct"/>
            <w:tcBorders>
              <w:top w:val="nil"/>
              <w:left w:val="nil"/>
              <w:bottom w:val="nil"/>
              <w:right w:val="nil"/>
            </w:tcBorders>
            <w:shd w:val="clear" w:color="auto" w:fill="auto"/>
            <w:noWrap/>
            <w:vAlign w:val="center"/>
            <w:hideMark/>
          </w:tcPr>
          <w:p w14:paraId="6E0D7EEA"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4.4</w:t>
            </w:r>
          </w:p>
        </w:tc>
        <w:tc>
          <w:tcPr>
            <w:tcW w:w="526" w:type="pct"/>
            <w:tcBorders>
              <w:top w:val="nil"/>
              <w:left w:val="nil"/>
              <w:bottom w:val="nil"/>
              <w:right w:val="nil"/>
            </w:tcBorders>
            <w:shd w:val="clear" w:color="auto" w:fill="auto"/>
            <w:noWrap/>
            <w:vAlign w:val="center"/>
            <w:hideMark/>
          </w:tcPr>
          <w:p w14:paraId="16CABC17"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136</w:t>
            </w:r>
          </w:p>
        </w:tc>
        <w:tc>
          <w:tcPr>
            <w:tcW w:w="465" w:type="pct"/>
            <w:tcBorders>
              <w:top w:val="nil"/>
              <w:left w:val="nil"/>
              <w:bottom w:val="nil"/>
              <w:right w:val="nil"/>
            </w:tcBorders>
            <w:shd w:val="clear" w:color="auto" w:fill="auto"/>
            <w:noWrap/>
            <w:vAlign w:val="center"/>
            <w:hideMark/>
          </w:tcPr>
          <w:p w14:paraId="7A9E732D"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12.1</w:t>
            </w:r>
          </w:p>
        </w:tc>
      </w:tr>
      <w:tr w:rsidR="00D07A53" w:rsidRPr="00FA626C" w14:paraId="358457B2" w14:textId="77777777" w:rsidTr="003632F4">
        <w:trPr>
          <w:trHeight w:val="300"/>
        </w:trPr>
        <w:tc>
          <w:tcPr>
            <w:tcW w:w="667" w:type="pct"/>
            <w:tcBorders>
              <w:top w:val="nil"/>
              <w:left w:val="nil"/>
              <w:bottom w:val="nil"/>
              <w:right w:val="nil"/>
            </w:tcBorders>
            <w:shd w:val="clear" w:color="auto" w:fill="auto"/>
            <w:noWrap/>
            <w:vAlign w:val="center"/>
            <w:hideMark/>
          </w:tcPr>
          <w:p w14:paraId="6E24A024" w14:textId="77777777" w:rsidR="00D07A53" w:rsidRPr="00FA626C" w:rsidRDefault="00D07A53" w:rsidP="003632F4">
            <w:pPr>
              <w:spacing w:line="240" w:lineRule="auto"/>
              <w:rPr>
                <w:rFonts w:eastAsia="Times New Roman"/>
                <w:color w:val="000000"/>
                <w:sz w:val="22"/>
                <w:szCs w:val="22"/>
                <w:lang w:eastAsia="en-NZ"/>
              </w:rPr>
            </w:pPr>
            <w:r>
              <w:rPr>
                <w:rFonts w:eastAsia="Times New Roman"/>
                <w:color w:val="000000"/>
                <w:sz w:val="22"/>
                <w:szCs w:val="22"/>
                <w:lang w:val="en-US" w:eastAsia="en-NZ"/>
              </w:rPr>
              <w:t xml:space="preserve">  </w:t>
            </w:r>
            <w:r w:rsidRPr="00FA626C">
              <w:rPr>
                <w:rFonts w:eastAsia="Times New Roman"/>
                <w:color w:val="000000"/>
                <w:sz w:val="22"/>
                <w:szCs w:val="22"/>
                <w:lang w:val="en-US" w:eastAsia="en-NZ"/>
              </w:rPr>
              <w:t>25-34</w:t>
            </w:r>
          </w:p>
        </w:tc>
        <w:tc>
          <w:tcPr>
            <w:tcW w:w="772" w:type="pct"/>
            <w:tcBorders>
              <w:top w:val="nil"/>
              <w:left w:val="nil"/>
              <w:bottom w:val="nil"/>
              <w:right w:val="nil"/>
            </w:tcBorders>
            <w:shd w:val="clear" w:color="auto" w:fill="auto"/>
            <w:noWrap/>
            <w:vAlign w:val="center"/>
            <w:hideMark/>
          </w:tcPr>
          <w:p w14:paraId="0E20806A"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31157</w:t>
            </w:r>
          </w:p>
        </w:tc>
        <w:tc>
          <w:tcPr>
            <w:tcW w:w="465" w:type="pct"/>
            <w:tcBorders>
              <w:top w:val="nil"/>
              <w:left w:val="nil"/>
              <w:bottom w:val="nil"/>
              <w:right w:val="nil"/>
            </w:tcBorders>
            <w:shd w:val="clear" w:color="auto" w:fill="auto"/>
            <w:noWrap/>
            <w:vAlign w:val="center"/>
            <w:hideMark/>
          </w:tcPr>
          <w:p w14:paraId="0FEB1563"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25.2</w:t>
            </w:r>
          </w:p>
        </w:tc>
        <w:tc>
          <w:tcPr>
            <w:tcW w:w="649" w:type="pct"/>
            <w:tcBorders>
              <w:top w:val="nil"/>
              <w:left w:val="nil"/>
              <w:bottom w:val="nil"/>
              <w:right w:val="nil"/>
            </w:tcBorders>
            <w:shd w:val="clear" w:color="auto" w:fill="auto"/>
            <w:noWrap/>
            <w:vAlign w:val="center"/>
            <w:hideMark/>
          </w:tcPr>
          <w:p w14:paraId="48A03741"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14918</w:t>
            </w:r>
          </w:p>
        </w:tc>
        <w:tc>
          <w:tcPr>
            <w:tcW w:w="465" w:type="pct"/>
            <w:tcBorders>
              <w:top w:val="nil"/>
              <w:left w:val="nil"/>
              <w:bottom w:val="nil"/>
              <w:right w:val="nil"/>
            </w:tcBorders>
            <w:shd w:val="clear" w:color="auto" w:fill="auto"/>
            <w:noWrap/>
            <w:vAlign w:val="center"/>
            <w:hideMark/>
          </w:tcPr>
          <w:p w14:paraId="45748C9C"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34.3</w:t>
            </w:r>
          </w:p>
        </w:tc>
        <w:tc>
          <w:tcPr>
            <w:tcW w:w="526" w:type="pct"/>
            <w:tcBorders>
              <w:top w:val="nil"/>
              <w:left w:val="nil"/>
              <w:bottom w:val="nil"/>
              <w:right w:val="nil"/>
            </w:tcBorders>
            <w:shd w:val="clear" w:color="auto" w:fill="auto"/>
            <w:noWrap/>
            <w:vAlign w:val="center"/>
            <w:hideMark/>
          </w:tcPr>
          <w:p w14:paraId="234307E7"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426</w:t>
            </w:r>
          </w:p>
        </w:tc>
        <w:tc>
          <w:tcPr>
            <w:tcW w:w="465" w:type="pct"/>
            <w:tcBorders>
              <w:top w:val="nil"/>
              <w:left w:val="nil"/>
              <w:bottom w:val="nil"/>
              <w:right w:val="nil"/>
            </w:tcBorders>
            <w:shd w:val="clear" w:color="auto" w:fill="auto"/>
            <w:noWrap/>
            <w:vAlign w:val="center"/>
            <w:hideMark/>
          </w:tcPr>
          <w:p w14:paraId="5D92EA7B"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24.4</w:t>
            </w:r>
          </w:p>
        </w:tc>
        <w:tc>
          <w:tcPr>
            <w:tcW w:w="526" w:type="pct"/>
            <w:tcBorders>
              <w:top w:val="nil"/>
              <w:left w:val="nil"/>
              <w:bottom w:val="nil"/>
              <w:right w:val="nil"/>
            </w:tcBorders>
            <w:shd w:val="clear" w:color="auto" w:fill="auto"/>
            <w:noWrap/>
            <w:vAlign w:val="center"/>
            <w:hideMark/>
          </w:tcPr>
          <w:p w14:paraId="683A480C"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252</w:t>
            </w:r>
          </w:p>
        </w:tc>
        <w:tc>
          <w:tcPr>
            <w:tcW w:w="465" w:type="pct"/>
            <w:tcBorders>
              <w:top w:val="nil"/>
              <w:left w:val="nil"/>
              <w:bottom w:val="nil"/>
              <w:right w:val="nil"/>
            </w:tcBorders>
            <w:shd w:val="clear" w:color="auto" w:fill="auto"/>
            <w:noWrap/>
            <w:vAlign w:val="center"/>
            <w:hideMark/>
          </w:tcPr>
          <w:p w14:paraId="1EEAEC9F"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22.3</w:t>
            </w:r>
          </w:p>
        </w:tc>
      </w:tr>
      <w:tr w:rsidR="00D07A53" w:rsidRPr="00FA626C" w14:paraId="253F5760" w14:textId="77777777" w:rsidTr="003632F4">
        <w:trPr>
          <w:trHeight w:val="300"/>
        </w:trPr>
        <w:tc>
          <w:tcPr>
            <w:tcW w:w="667" w:type="pct"/>
            <w:tcBorders>
              <w:top w:val="nil"/>
              <w:left w:val="nil"/>
              <w:bottom w:val="nil"/>
              <w:right w:val="nil"/>
            </w:tcBorders>
            <w:shd w:val="clear" w:color="auto" w:fill="auto"/>
            <w:noWrap/>
            <w:vAlign w:val="center"/>
            <w:hideMark/>
          </w:tcPr>
          <w:p w14:paraId="31250987" w14:textId="77777777" w:rsidR="00D07A53" w:rsidRPr="00FA626C" w:rsidRDefault="00D07A53" w:rsidP="003632F4">
            <w:pPr>
              <w:spacing w:line="240" w:lineRule="auto"/>
              <w:rPr>
                <w:rFonts w:eastAsia="Times New Roman"/>
                <w:color w:val="000000"/>
                <w:sz w:val="22"/>
                <w:szCs w:val="22"/>
                <w:lang w:eastAsia="en-NZ"/>
              </w:rPr>
            </w:pPr>
            <w:r>
              <w:rPr>
                <w:rFonts w:eastAsia="Times New Roman"/>
                <w:color w:val="000000"/>
                <w:sz w:val="22"/>
                <w:szCs w:val="22"/>
                <w:lang w:val="en-US" w:eastAsia="en-NZ"/>
              </w:rPr>
              <w:t xml:space="preserve">  </w:t>
            </w:r>
            <w:r w:rsidRPr="00FA626C">
              <w:rPr>
                <w:rFonts w:eastAsia="Times New Roman"/>
                <w:color w:val="000000"/>
                <w:sz w:val="22"/>
                <w:szCs w:val="22"/>
                <w:lang w:val="en-US" w:eastAsia="en-NZ"/>
              </w:rPr>
              <w:t>35-44</w:t>
            </w:r>
          </w:p>
        </w:tc>
        <w:tc>
          <w:tcPr>
            <w:tcW w:w="772" w:type="pct"/>
            <w:tcBorders>
              <w:top w:val="nil"/>
              <w:left w:val="nil"/>
              <w:bottom w:val="nil"/>
              <w:right w:val="nil"/>
            </w:tcBorders>
            <w:shd w:val="clear" w:color="auto" w:fill="auto"/>
            <w:noWrap/>
            <w:vAlign w:val="center"/>
            <w:hideMark/>
          </w:tcPr>
          <w:p w14:paraId="74EB4CEB"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29084</w:t>
            </w:r>
          </w:p>
        </w:tc>
        <w:tc>
          <w:tcPr>
            <w:tcW w:w="465" w:type="pct"/>
            <w:tcBorders>
              <w:top w:val="nil"/>
              <w:left w:val="nil"/>
              <w:bottom w:val="nil"/>
              <w:right w:val="nil"/>
            </w:tcBorders>
            <w:shd w:val="clear" w:color="auto" w:fill="auto"/>
            <w:noWrap/>
            <w:vAlign w:val="center"/>
            <w:hideMark/>
          </w:tcPr>
          <w:p w14:paraId="01F2BB27"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23.5</w:t>
            </w:r>
          </w:p>
        </w:tc>
        <w:tc>
          <w:tcPr>
            <w:tcW w:w="649" w:type="pct"/>
            <w:tcBorders>
              <w:top w:val="nil"/>
              <w:left w:val="nil"/>
              <w:bottom w:val="nil"/>
              <w:right w:val="nil"/>
            </w:tcBorders>
            <w:shd w:val="clear" w:color="auto" w:fill="auto"/>
            <w:noWrap/>
            <w:vAlign w:val="center"/>
            <w:hideMark/>
          </w:tcPr>
          <w:p w14:paraId="58026A4F"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11752</w:t>
            </w:r>
          </w:p>
        </w:tc>
        <w:tc>
          <w:tcPr>
            <w:tcW w:w="465" w:type="pct"/>
            <w:tcBorders>
              <w:top w:val="nil"/>
              <w:left w:val="nil"/>
              <w:bottom w:val="nil"/>
              <w:right w:val="nil"/>
            </w:tcBorders>
            <w:shd w:val="clear" w:color="auto" w:fill="auto"/>
            <w:noWrap/>
            <w:vAlign w:val="center"/>
            <w:hideMark/>
          </w:tcPr>
          <w:p w14:paraId="6FB539CE"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27</w:t>
            </w:r>
          </w:p>
        </w:tc>
        <w:tc>
          <w:tcPr>
            <w:tcW w:w="526" w:type="pct"/>
            <w:tcBorders>
              <w:top w:val="nil"/>
              <w:left w:val="nil"/>
              <w:bottom w:val="nil"/>
              <w:right w:val="nil"/>
            </w:tcBorders>
            <w:shd w:val="clear" w:color="auto" w:fill="auto"/>
            <w:noWrap/>
            <w:vAlign w:val="center"/>
            <w:hideMark/>
          </w:tcPr>
          <w:p w14:paraId="16779444"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537</w:t>
            </w:r>
          </w:p>
        </w:tc>
        <w:tc>
          <w:tcPr>
            <w:tcW w:w="465" w:type="pct"/>
            <w:tcBorders>
              <w:top w:val="nil"/>
              <w:left w:val="nil"/>
              <w:bottom w:val="nil"/>
              <w:right w:val="nil"/>
            </w:tcBorders>
            <w:shd w:val="clear" w:color="auto" w:fill="auto"/>
            <w:noWrap/>
            <w:vAlign w:val="center"/>
            <w:hideMark/>
          </w:tcPr>
          <w:p w14:paraId="047FB512"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30.8</w:t>
            </w:r>
          </w:p>
        </w:tc>
        <w:tc>
          <w:tcPr>
            <w:tcW w:w="526" w:type="pct"/>
            <w:tcBorders>
              <w:top w:val="nil"/>
              <w:left w:val="nil"/>
              <w:bottom w:val="nil"/>
              <w:right w:val="nil"/>
            </w:tcBorders>
            <w:shd w:val="clear" w:color="auto" w:fill="auto"/>
            <w:noWrap/>
            <w:vAlign w:val="center"/>
            <w:hideMark/>
          </w:tcPr>
          <w:p w14:paraId="32522824"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249</w:t>
            </w:r>
          </w:p>
        </w:tc>
        <w:tc>
          <w:tcPr>
            <w:tcW w:w="465" w:type="pct"/>
            <w:tcBorders>
              <w:top w:val="nil"/>
              <w:left w:val="nil"/>
              <w:bottom w:val="nil"/>
              <w:right w:val="nil"/>
            </w:tcBorders>
            <w:shd w:val="clear" w:color="auto" w:fill="auto"/>
            <w:noWrap/>
            <w:vAlign w:val="center"/>
            <w:hideMark/>
          </w:tcPr>
          <w:p w14:paraId="14DAB430"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22.1</w:t>
            </w:r>
          </w:p>
        </w:tc>
      </w:tr>
      <w:tr w:rsidR="00D07A53" w:rsidRPr="00FA626C" w14:paraId="4D1339E4" w14:textId="77777777" w:rsidTr="003632F4">
        <w:trPr>
          <w:trHeight w:val="300"/>
        </w:trPr>
        <w:tc>
          <w:tcPr>
            <w:tcW w:w="667" w:type="pct"/>
            <w:tcBorders>
              <w:top w:val="nil"/>
              <w:left w:val="nil"/>
              <w:bottom w:val="nil"/>
              <w:right w:val="nil"/>
            </w:tcBorders>
            <w:shd w:val="clear" w:color="auto" w:fill="auto"/>
            <w:noWrap/>
            <w:vAlign w:val="center"/>
            <w:hideMark/>
          </w:tcPr>
          <w:p w14:paraId="0A07D1B9" w14:textId="77777777" w:rsidR="00D07A53" w:rsidRPr="00FA626C" w:rsidRDefault="00D07A53" w:rsidP="003632F4">
            <w:pPr>
              <w:spacing w:line="240" w:lineRule="auto"/>
              <w:rPr>
                <w:rFonts w:eastAsia="Times New Roman"/>
                <w:color w:val="000000"/>
                <w:sz w:val="22"/>
                <w:szCs w:val="22"/>
                <w:lang w:eastAsia="en-NZ"/>
              </w:rPr>
            </w:pPr>
            <w:r>
              <w:rPr>
                <w:rFonts w:eastAsia="Times New Roman"/>
                <w:color w:val="000000"/>
                <w:sz w:val="22"/>
                <w:szCs w:val="22"/>
                <w:lang w:val="en-US" w:eastAsia="en-NZ"/>
              </w:rPr>
              <w:t xml:space="preserve">  </w:t>
            </w:r>
            <w:r w:rsidRPr="00FA626C">
              <w:rPr>
                <w:rFonts w:eastAsia="Times New Roman"/>
                <w:color w:val="000000"/>
                <w:sz w:val="22"/>
                <w:szCs w:val="22"/>
                <w:lang w:val="en-US" w:eastAsia="en-NZ"/>
              </w:rPr>
              <w:t>45-54</w:t>
            </w:r>
          </w:p>
        </w:tc>
        <w:tc>
          <w:tcPr>
            <w:tcW w:w="772" w:type="pct"/>
            <w:tcBorders>
              <w:top w:val="nil"/>
              <w:left w:val="nil"/>
              <w:bottom w:val="nil"/>
              <w:right w:val="nil"/>
            </w:tcBorders>
            <w:shd w:val="clear" w:color="auto" w:fill="auto"/>
            <w:noWrap/>
            <w:vAlign w:val="center"/>
            <w:hideMark/>
          </w:tcPr>
          <w:p w14:paraId="6905637F"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26173</w:t>
            </w:r>
          </w:p>
        </w:tc>
        <w:tc>
          <w:tcPr>
            <w:tcW w:w="465" w:type="pct"/>
            <w:tcBorders>
              <w:top w:val="nil"/>
              <w:left w:val="nil"/>
              <w:bottom w:val="nil"/>
              <w:right w:val="nil"/>
            </w:tcBorders>
            <w:shd w:val="clear" w:color="auto" w:fill="auto"/>
            <w:noWrap/>
            <w:vAlign w:val="center"/>
            <w:hideMark/>
          </w:tcPr>
          <w:p w14:paraId="0EC6EF4F"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21.2</w:t>
            </w:r>
          </w:p>
        </w:tc>
        <w:tc>
          <w:tcPr>
            <w:tcW w:w="649" w:type="pct"/>
            <w:tcBorders>
              <w:top w:val="nil"/>
              <w:left w:val="nil"/>
              <w:bottom w:val="nil"/>
              <w:right w:val="nil"/>
            </w:tcBorders>
            <w:shd w:val="clear" w:color="auto" w:fill="auto"/>
            <w:noWrap/>
            <w:vAlign w:val="center"/>
            <w:hideMark/>
          </w:tcPr>
          <w:p w14:paraId="00D759F5"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5993</w:t>
            </w:r>
          </w:p>
        </w:tc>
        <w:tc>
          <w:tcPr>
            <w:tcW w:w="465" w:type="pct"/>
            <w:tcBorders>
              <w:top w:val="nil"/>
              <w:left w:val="nil"/>
              <w:bottom w:val="nil"/>
              <w:right w:val="nil"/>
            </w:tcBorders>
            <w:shd w:val="clear" w:color="auto" w:fill="auto"/>
            <w:noWrap/>
            <w:vAlign w:val="center"/>
            <w:hideMark/>
          </w:tcPr>
          <w:p w14:paraId="60A2BE94"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13.8</w:t>
            </w:r>
          </w:p>
        </w:tc>
        <w:tc>
          <w:tcPr>
            <w:tcW w:w="526" w:type="pct"/>
            <w:tcBorders>
              <w:top w:val="nil"/>
              <w:left w:val="nil"/>
              <w:bottom w:val="nil"/>
              <w:right w:val="nil"/>
            </w:tcBorders>
            <w:shd w:val="clear" w:color="auto" w:fill="auto"/>
            <w:noWrap/>
            <w:vAlign w:val="center"/>
            <w:hideMark/>
          </w:tcPr>
          <w:p w14:paraId="5E7624E8"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422</w:t>
            </w:r>
          </w:p>
        </w:tc>
        <w:tc>
          <w:tcPr>
            <w:tcW w:w="465" w:type="pct"/>
            <w:tcBorders>
              <w:top w:val="nil"/>
              <w:left w:val="nil"/>
              <w:bottom w:val="nil"/>
              <w:right w:val="nil"/>
            </w:tcBorders>
            <w:shd w:val="clear" w:color="auto" w:fill="auto"/>
            <w:noWrap/>
            <w:vAlign w:val="center"/>
            <w:hideMark/>
          </w:tcPr>
          <w:p w14:paraId="7572C839"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24.2</w:t>
            </w:r>
          </w:p>
        </w:tc>
        <w:tc>
          <w:tcPr>
            <w:tcW w:w="526" w:type="pct"/>
            <w:tcBorders>
              <w:top w:val="nil"/>
              <w:left w:val="nil"/>
              <w:bottom w:val="nil"/>
              <w:right w:val="nil"/>
            </w:tcBorders>
            <w:shd w:val="clear" w:color="auto" w:fill="auto"/>
            <w:noWrap/>
            <w:vAlign w:val="center"/>
            <w:hideMark/>
          </w:tcPr>
          <w:p w14:paraId="4F781AC8"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213</w:t>
            </w:r>
          </w:p>
        </w:tc>
        <w:tc>
          <w:tcPr>
            <w:tcW w:w="465" w:type="pct"/>
            <w:tcBorders>
              <w:top w:val="nil"/>
              <w:left w:val="nil"/>
              <w:bottom w:val="nil"/>
              <w:right w:val="nil"/>
            </w:tcBorders>
            <w:shd w:val="clear" w:color="auto" w:fill="auto"/>
            <w:noWrap/>
            <w:vAlign w:val="center"/>
            <w:hideMark/>
          </w:tcPr>
          <w:p w14:paraId="4DA85009"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18.9</w:t>
            </w:r>
          </w:p>
        </w:tc>
      </w:tr>
      <w:tr w:rsidR="00D07A53" w:rsidRPr="00FA626C" w14:paraId="701D8CB0" w14:textId="77777777" w:rsidTr="003632F4">
        <w:trPr>
          <w:trHeight w:val="300"/>
        </w:trPr>
        <w:tc>
          <w:tcPr>
            <w:tcW w:w="667" w:type="pct"/>
            <w:tcBorders>
              <w:top w:val="nil"/>
              <w:left w:val="nil"/>
              <w:bottom w:val="nil"/>
              <w:right w:val="nil"/>
            </w:tcBorders>
            <w:shd w:val="clear" w:color="auto" w:fill="auto"/>
            <w:noWrap/>
            <w:vAlign w:val="center"/>
            <w:hideMark/>
          </w:tcPr>
          <w:p w14:paraId="75A0CABF" w14:textId="77777777" w:rsidR="00D07A53" w:rsidRPr="00FA626C" w:rsidRDefault="00D07A53" w:rsidP="003632F4">
            <w:pPr>
              <w:spacing w:line="240" w:lineRule="auto"/>
              <w:rPr>
                <w:rFonts w:eastAsia="Times New Roman"/>
                <w:color w:val="000000"/>
                <w:sz w:val="22"/>
                <w:szCs w:val="22"/>
                <w:lang w:eastAsia="en-NZ"/>
              </w:rPr>
            </w:pPr>
            <w:r>
              <w:rPr>
                <w:rFonts w:eastAsia="Times New Roman"/>
                <w:color w:val="000000"/>
                <w:sz w:val="22"/>
                <w:szCs w:val="22"/>
                <w:lang w:val="en-US" w:eastAsia="en-NZ"/>
              </w:rPr>
              <w:t xml:space="preserve">  </w:t>
            </w:r>
            <w:r w:rsidRPr="00FA626C">
              <w:rPr>
                <w:rFonts w:eastAsia="Times New Roman"/>
                <w:color w:val="000000"/>
                <w:sz w:val="22"/>
                <w:szCs w:val="22"/>
                <w:lang w:val="en-US" w:eastAsia="en-NZ"/>
              </w:rPr>
              <w:t>55 or more</w:t>
            </w:r>
          </w:p>
        </w:tc>
        <w:tc>
          <w:tcPr>
            <w:tcW w:w="772" w:type="pct"/>
            <w:tcBorders>
              <w:top w:val="nil"/>
              <w:left w:val="nil"/>
              <w:bottom w:val="nil"/>
              <w:right w:val="nil"/>
            </w:tcBorders>
            <w:shd w:val="clear" w:color="auto" w:fill="auto"/>
            <w:noWrap/>
            <w:vAlign w:val="center"/>
            <w:hideMark/>
          </w:tcPr>
          <w:p w14:paraId="348F094F"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29512</w:t>
            </w:r>
          </w:p>
        </w:tc>
        <w:tc>
          <w:tcPr>
            <w:tcW w:w="465" w:type="pct"/>
            <w:tcBorders>
              <w:top w:val="nil"/>
              <w:left w:val="nil"/>
              <w:bottom w:val="nil"/>
              <w:right w:val="nil"/>
            </w:tcBorders>
            <w:shd w:val="clear" w:color="auto" w:fill="auto"/>
            <w:noWrap/>
            <w:vAlign w:val="center"/>
            <w:hideMark/>
          </w:tcPr>
          <w:p w14:paraId="6E64E25B"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23.9</w:t>
            </w:r>
          </w:p>
        </w:tc>
        <w:tc>
          <w:tcPr>
            <w:tcW w:w="649" w:type="pct"/>
            <w:tcBorders>
              <w:top w:val="nil"/>
              <w:left w:val="nil"/>
              <w:bottom w:val="nil"/>
              <w:right w:val="nil"/>
            </w:tcBorders>
            <w:shd w:val="clear" w:color="auto" w:fill="auto"/>
            <w:noWrap/>
            <w:vAlign w:val="center"/>
            <w:hideMark/>
          </w:tcPr>
          <w:p w14:paraId="2F4CA1EA"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5256</w:t>
            </w:r>
          </w:p>
        </w:tc>
        <w:tc>
          <w:tcPr>
            <w:tcW w:w="465" w:type="pct"/>
            <w:tcBorders>
              <w:top w:val="nil"/>
              <w:left w:val="nil"/>
              <w:bottom w:val="nil"/>
              <w:right w:val="nil"/>
            </w:tcBorders>
            <w:shd w:val="clear" w:color="auto" w:fill="auto"/>
            <w:noWrap/>
            <w:vAlign w:val="center"/>
            <w:hideMark/>
          </w:tcPr>
          <w:p w14:paraId="29EC545E"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12.1</w:t>
            </w:r>
          </w:p>
        </w:tc>
        <w:tc>
          <w:tcPr>
            <w:tcW w:w="526" w:type="pct"/>
            <w:tcBorders>
              <w:top w:val="nil"/>
              <w:left w:val="nil"/>
              <w:bottom w:val="nil"/>
              <w:right w:val="nil"/>
            </w:tcBorders>
            <w:shd w:val="clear" w:color="auto" w:fill="auto"/>
            <w:noWrap/>
            <w:vAlign w:val="center"/>
            <w:hideMark/>
          </w:tcPr>
          <w:p w14:paraId="6A6D6320"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285</w:t>
            </w:r>
          </w:p>
        </w:tc>
        <w:tc>
          <w:tcPr>
            <w:tcW w:w="465" w:type="pct"/>
            <w:tcBorders>
              <w:top w:val="nil"/>
              <w:left w:val="nil"/>
              <w:bottom w:val="nil"/>
              <w:right w:val="nil"/>
            </w:tcBorders>
            <w:shd w:val="clear" w:color="auto" w:fill="auto"/>
            <w:noWrap/>
            <w:vAlign w:val="center"/>
            <w:hideMark/>
          </w:tcPr>
          <w:p w14:paraId="0180BFAF"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16.3</w:t>
            </w:r>
          </w:p>
        </w:tc>
        <w:tc>
          <w:tcPr>
            <w:tcW w:w="526" w:type="pct"/>
            <w:tcBorders>
              <w:top w:val="nil"/>
              <w:left w:val="nil"/>
              <w:bottom w:val="nil"/>
              <w:right w:val="nil"/>
            </w:tcBorders>
            <w:shd w:val="clear" w:color="auto" w:fill="auto"/>
            <w:noWrap/>
            <w:vAlign w:val="center"/>
            <w:hideMark/>
          </w:tcPr>
          <w:p w14:paraId="4346561F"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278</w:t>
            </w:r>
          </w:p>
        </w:tc>
        <w:tc>
          <w:tcPr>
            <w:tcW w:w="465" w:type="pct"/>
            <w:tcBorders>
              <w:top w:val="nil"/>
              <w:left w:val="nil"/>
              <w:bottom w:val="nil"/>
              <w:right w:val="nil"/>
            </w:tcBorders>
            <w:shd w:val="clear" w:color="auto" w:fill="auto"/>
            <w:noWrap/>
            <w:vAlign w:val="center"/>
            <w:hideMark/>
          </w:tcPr>
          <w:p w14:paraId="7C62A9EB"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24.6</w:t>
            </w:r>
          </w:p>
        </w:tc>
      </w:tr>
      <w:tr w:rsidR="00D07A53" w:rsidRPr="00FA626C" w14:paraId="16834E64" w14:textId="77777777" w:rsidTr="003632F4">
        <w:trPr>
          <w:trHeight w:val="300"/>
        </w:trPr>
        <w:tc>
          <w:tcPr>
            <w:tcW w:w="1439" w:type="pct"/>
            <w:gridSpan w:val="2"/>
            <w:tcBorders>
              <w:top w:val="single" w:sz="4" w:space="0" w:color="auto"/>
              <w:left w:val="nil"/>
              <w:bottom w:val="nil"/>
              <w:right w:val="nil"/>
            </w:tcBorders>
            <w:shd w:val="clear" w:color="auto" w:fill="auto"/>
            <w:noWrap/>
            <w:vAlign w:val="center"/>
            <w:hideMark/>
          </w:tcPr>
          <w:p w14:paraId="38AB2091" w14:textId="77777777" w:rsidR="00D07A53" w:rsidRPr="00FA626C" w:rsidRDefault="00D07A53" w:rsidP="003632F4">
            <w:pPr>
              <w:spacing w:line="240" w:lineRule="auto"/>
              <w:rPr>
                <w:rFonts w:eastAsia="Times New Roman"/>
                <w:b/>
                <w:bCs/>
                <w:color w:val="000000"/>
                <w:sz w:val="22"/>
                <w:szCs w:val="22"/>
                <w:lang w:eastAsia="en-NZ"/>
              </w:rPr>
            </w:pPr>
            <w:r w:rsidRPr="00FA626C">
              <w:rPr>
                <w:rFonts w:eastAsia="Times New Roman"/>
                <w:b/>
                <w:bCs/>
                <w:color w:val="000000"/>
                <w:sz w:val="22"/>
                <w:szCs w:val="22"/>
                <w:lang w:eastAsia="en-NZ"/>
              </w:rPr>
              <w:t>Ethnic Group</w:t>
            </w:r>
          </w:p>
        </w:tc>
        <w:tc>
          <w:tcPr>
            <w:tcW w:w="465" w:type="pct"/>
            <w:tcBorders>
              <w:top w:val="single" w:sz="4" w:space="0" w:color="auto"/>
              <w:left w:val="nil"/>
              <w:bottom w:val="nil"/>
              <w:right w:val="nil"/>
            </w:tcBorders>
            <w:shd w:val="clear" w:color="auto" w:fill="auto"/>
            <w:noWrap/>
            <w:vAlign w:val="bottom"/>
            <w:hideMark/>
          </w:tcPr>
          <w:p w14:paraId="180D326B" w14:textId="77777777" w:rsidR="00D07A53" w:rsidRPr="00FA626C" w:rsidRDefault="00D07A53" w:rsidP="003632F4">
            <w:pPr>
              <w:spacing w:line="240" w:lineRule="auto"/>
              <w:rPr>
                <w:rFonts w:eastAsia="Times New Roman"/>
                <w:color w:val="000000"/>
                <w:sz w:val="22"/>
                <w:szCs w:val="22"/>
                <w:lang w:eastAsia="en-NZ"/>
              </w:rPr>
            </w:pPr>
            <w:r w:rsidRPr="00FA626C">
              <w:rPr>
                <w:rFonts w:eastAsia="Times New Roman"/>
                <w:color w:val="000000"/>
                <w:sz w:val="22"/>
                <w:szCs w:val="22"/>
                <w:lang w:eastAsia="en-NZ"/>
              </w:rPr>
              <w:t> </w:t>
            </w:r>
          </w:p>
        </w:tc>
        <w:tc>
          <w:tcPr>
            <w:tcW w:w="649" w:type="pct"/>
            <w:tcBorders>
              <w:top w:val="single" w:sz="4" w:space="0" w:color="auto"/>
              <w:left w:val="nil"/>
              <w:bottom w:val="nil"/>
              <w:right w:val="nil"/>
            </w:tcBorders>
            <w:shd w:val="clear" w:color="auto" w:fill="auto"/>
            <w:noWrap/>
            <w:vAlign w:val="bottom"/>
            <w:hideMark/>
          </w:tcPr>
          <w:p w14:paraId="4D54013F" w14:textId="77777777" w:rsidR="00D07A53" w:rsidRPr="00FA626C" w:rsidRDefault="00D07A53" w:rsidP="003632F4">
            <w:pPr>
              <w:spacing w:line="240" w:lineRule="auto"/>
              <w:rPr>
                <w:rFonts w:eastAsia="Times New Roman"/>
                <w:color w:val="000000"/>
                <w:sz w:val="22"/>
                <w:szCs w:val="22"/>
                <w:lang w:eastAsia="en-NZ"/>
              </w:rPr>
            </w:pPr>
            <w:r w:rsidRPr="00FA626C">
              <w:rPr>
                <w:rFonts w:eastAsia="Times New Roman"/>
                <w:color w:val="000000"/>
                <w:sz w:val="22"/>
                <w:szCs w:val="22"/>
                <w:lang w:eastAsia="en-NZ"/>
              </w:rPr>
              <w:t> </w:t>
            </w:r>
          </w:p>
        </w:tc>
        <w:tc>
          <w:tcPr>
            <w:tcW w:w="465" w:type="pct"/>
            <w:tcBorders>
              <w:top w:val="single" w:sz="4" w:space="0" w:color="auto"/>
              <w:left w:val="nil"/>
              <w:bottom w:val="nil"/>
              <w:right w:val="nil"/>
            </w:tcBorders>
            <w:shd w:val="clear" w:color="auto" w:fill="auto"/>
            <w:noWrap/>
            <w:vAlign w:val="bottom"/>
            <w:hideMark/>
          </w:tcPr>
          <w:p w14:paraId="2AC0A794" w14:textId="77777777" w:rsidR="00D07A53" w:rsidRPr="00FA626C" w:rsidRDefault="00D07A53" w:rsidP="003632F4">
            <w:pPr>
              <w:spacing w:line="240" w:lineRule="auto"/>
              <w:rPr>
                <w:rFonts w:eastAsia="Times New Roman"/>
                <w:color w:val="000000"/>
                <w:sz w:val="22"/>
                <w:szCs w:val="22"/>
                <w:lang w:eastAsia="en-NZ"/>
              </w:rPr>
            </w:pPr>
            <w:r w:rsidRPr="00FA626C">
              <w:rPr>
                <w:rFonts w:eastAsia="Times New Roman"/>
                <w:color w:val="000000"/>
                <w:sz w:val="22"/>
                <w:szCs w:val="22"/>
                <w:lang w:eastAsia="en-NZ"/>
              </w:rPr>
              <w:t> </w:t>
            </w:r>
          </w:p>
        </w:tc>
        <w:tc>
          <w:tcPr>
            <w:tcW w:w="526" w:type="pct"/>
            <w:tcBorders>
              <w:top w:val="single" w:sz="4" w:space="0" w:color="auto"/>
              <w:left w:val="nil"/>
              <w:bottom w:val="nil"/>
              <w:right w:val="nil"/>
            </w:tcBorders>
            <w:shd w:val="clear" w:color="auto" w:fill="auto"/>
            <w:noWrap/>
            <w:vAlign w:val="bottom"/>
            <w:hideMark/>
          </w:tcPr>
          <w:p w14:paraId="3BE99C80" w14:textId="77777777" w:rsidR="00D07A53" w:rsidRPr="00FA626C" w:rsidRDefault="00D07A53" w:rsidP="003632F4">
            <w:pPr>
              <w:spacing w:line="240" w:lineRule="auto"/>
              <w:rPr>
                <w:rFonts w:eastAsia="Times New Roman"/>
                <w:color w:val="000000"/>
                <w:sz w:val="22"/>
                <w:szCs w:val="22"/>
                <w:lang w:eastAsia="en-NZ"/>
              </w:rPr>
            </w:pPr>
            <w:r w:rsidRPr="00FA626C">
              <w:rPr>
                <w:rFonts w:eastAsia="Times New Roman"/>
                <w:color w:val="000000"/>
                <w:sz w:val="22"/>
                <w:szCs w:val="22"/>
                <w:lang w:eastAsia="en-NZ"/>
              </w:rPr>
              <w:t> </w:t>
            </w:r>
          </w:p>
        </w:tc>
        <w:tc>
          <w:tcPr>
            <w:tcW w:w="465" w:type="pct"/>
            <w:tcBorders>
              <w:top w:val="single" w:sz="4" w:space="0" w:color="auto"/>
              <w:left w:val="nil"/>
              <w:bottom w:val="nil"/>
              <w:right w:val="nil"/>
            </w:tcBorders>
            <w:shd w:val="clear" w:color="auto" w:fill="auto"/>
            <w:noWrap/>
            <w:vAlign w:val="bottom"/>
            <w:hideMark/>
          </w:tcPr>
          <w:p w14:paraId="0C25BC23" w14:textId="77777777" w:rsidR="00D07A53" w:rsidRPr="00FA626C" w:rsidRDefault="00D07A53" w:rsidP="003632F4">
            <w:pPr>
              <w:spacing w:line="240" w:lineRule="auto"/>
              <w:rPr>
                <w:rFonts w:eastAsia="Times New Roman"/>
                <w:color w:val="000000"/>
                <w:sz w:val="22"/>
                <w:szCs w:val="22"/>
                <w:lang w:eastAsia="en-NZ"/>
              </w:rPr>
            </w:pPr>
            <w:r w:rsidRPr="00FA626C">
              <w:rPr>
                <w:rFonts w:eastAsia="Times New Roman"/>
                <w:color w:val="000000"/>
                <w:sz w:val="22"/>
                <w:szCs w:val="22"/>
                <w:lang w:eastAsia="en-NZ"/>
              </w:rPr>
              <w:t> </w:t>
            </w:r>
          </w:p>
        </w:tc>
        <w:tc>
          <w:tcPr>
            <w:tcW w:w="526" w:type="pct"/>
            <w:tcBorders>
              <w:top w:val="single" w:sz="4" w:space="0" w:color="auto"/>
              <w:left w:val="nil"/>
              <w:bottom w:val="nil"/>
              <w:right w:val="nil"/>
            </w:tcBorders>
            <w:shd w:val="clear" w:color="auto" w:fill="auto"/>
            <w:noWrap/>
            <w:vAlign w:val="bottom"/>
            <w:hideMark/>
          </w:tcPr>
          <w:p w14:paraId="1EAF31D4" w14:textId="77777777" w:rsidR="00D07A53" w:rsidRPr="00FA626C" w:rsidRDefault="00D07A53" w:rsidP="003632F4">
            <w:pPr>
              <w:spacing w:line="240" w:lineRule="auto"/>
              <w:rPr>
                <w:rFonts w:eastAsia="Times New Roman"/>
                <w:color w:val="000000"/>
                <w:sz w:val="22"/>
                <w:szCs w:val="22"/>
                <w:lang w:eastAsia="en-NZ"/>
              </w:rPr>
            </w:pPr>
            <w:r w:rsidRPr="00FA626C">
              <w:rPr>
                <w:rFonts w:eastAsia="Times New Roman"/>
                <w:color w:val="000000"/>
                <w:sz w:val="22"/>
                <w:szCs w:val="22"/>
                <w:lang w:eastAsia="en-NZ"/>
              </w:rPr>
              <w:t> </w:t>
            </w:r>
          </w:p>
        </w:tc>
        <w:tc>
          <w:tcPr>
            <w:tcW w:w="465" w:type="pct"/>
            <w:tcBorders>
              <w:top w:val="single" w:sz="4" w:space="0" w:color="auto"/>
              <w:left w:val="nil"/>
              <w:bottom w:val="nil"/>
              <w:right w:val="nil"/>
            </w:tcBorders>
            <w:shd w:val="clear" w:color="auto" w:fill="auto"/>
            <w:noWrap/>
            <w:vAlign w:val="bottom"/>
            <w:hideMark/>
          </w:tcPr>
          <w:p w14:paraId="421764D0" w14:textId="77777777" w:rsidR="00D07A53" w:rsidRPr="00FA626C" w:rsidRDefault="00D07A53" w:rsidP="003632F4">
            <w:pPr>
              <w:spacing w:line="240" w:lineRule="auto"/>
              <w:rPr>
                <w:rFonts w:eastAsia="Times New Roman"/>
                <w:color w:val="000000"/>
                <w:sz w:val="22"/>
                <w:szCs w:val="22"/>
                <w:lang w:eastAsia="en-NZ"/>
              </w:rPr>
            </w:pPr>
            <w:r w:rsidRPr="00FA626C">
              <w:rPr>
                <w:rFonts w:eastAsia="Times New Roman"/>
                <w:color w:val="000000"/>
                <w:sz w:val="22"/>
                <w:szCs w:val="22"/>
                <w:lang w:eastAsia="en-NZ"/>
              </w:rPr>
              <w:t> </w:t>
            </w:r>
          </w:p>
        </w:tc>
      </w:tr>
      <w:tr w:rsidR="00D07A53" w:rsidRPr="00FA626C" w14:paraId="387C9BC4" w14:textId="77777777" w:rsidTr="003632F4">
        <w:trPr>
          <w:trHeight w:val="300"/>
        </w:trPr>
        <w:tc>
          <w:tcPr>
            <w:tcW w:w="667" w:type="pct"/>
            <w:tcBorders>
              <w:top w:val="nil"/>
              <w:left w:val="nil"/>
              <w:bottom w:val="nil"/>
              <w:right w:val="nil"/>
            </w:tcBorders>
            <w:shd w:val="clear" w:color="auto" w:fill="auto"/>
            <w:noWrap/>
            <w:vAlign w:val="center"/>
            <w:hideMark/>
          </w:tcPr>
          <w:p w14:paraId="4663091A" w14:textId="77777777" w:rsidR="00D07A53" w:rsidRPr="00FA626C" w:rsidRDefault="00D07A53" w:rsidP="003632F4">
            <w:pPr>
              <w:spacing w:line="240" w:lineRule="auto"/>
              <w:rPr>
                <w:rFonts w:eastAsia="Times New Roman"/>
                <w:color w:val="000000"/>
                <w:sz w:val="22"/>
                <w:szCs w:val="22"/>
                <w:lang w:eastAsia="en-NZ"/>
              </w:rPr>
            </w:pPr>
            <w:r>
              <w:rPr>
                <w:rFonts w:eastAsia="Times New Roman"/>
                <w:color w:val="000000"/>
                <w:sz w:val="22"/>
                <w:szCs w:val="22"/>
                <w:lang w:val="en-US" w:eastAsia="en-NZ"/>
              </w:rPr>
              <w:t xml:space="preserve">  </w:t>
            </w:r>
            <w:r w:rsidRPr="00FA626C">
              <w:rPr>
                <w:rFonts w:eastAsia="Times New Roman"/>
                <w:color w:val="000000"/>
                <w:sz w:val="22"/>
                <w:szCs w:val="22"/>
                <w:lang w:val="en-US" w:eastAsia="en-NZ"/>
              </w:rPr>
              <w:t>M</w:t>
            </w:r>
            <w:r w:rsidRPr="00DE6E51">
              <w:t>ā</w:t>
            </w:r>
            <w:r w:rsidRPr="00FA626C">
              <w:rPr>
                <w:rFonts w:eastAsia="Times New Roman"/>
                <w:color w:val="000000"/>
                <w:sz w:val="22"/>
                <w:szCs w:val="22"/>
                <w:lang w:val="en-US" w:eastAsia="en-NZ"/>
              </w:rPr>
              <w:t>ori</w:t>
            </w:r>
          </w:p>
        </w:tc>
        <w:tc>
          <w:tcPr>
            <w:tcW w:w="772" w:type="pct"/>
            <w:tcBorders>
              <w:top w:val="nil"/>
              <w:left w:val="nil"/>
              <w:bottom w:val="nil"/>
              <w:right w:val="nil"/>
            </w:tcBorders>
            <w:shd w:val="clear" w:color="auto" w:fill="auto"/>
            <w:noWrap/>
            <w:vAlign w:val="center"/>
            <w:hideMark/>
          </w:tcPr>
          <w:p w14:paraId="6060FBD1"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38659</w:t>
            </w:r>
          </w:p>
        </w:tc>
        <w:tc>
          <w:tcPr>
            <w:tcW w:w="465" w:type="pct"/>
            <w:tcBorders>
              <w:top w:val="nil"/>
              <w:left w:val="nil"/>
              <w:bottom w:val="nil"/>
              <w:right w:val="nil"/>
            </w:tcBorders>
            <w:shd w:val="clear" w:color="auto" w:fill="auto"/>
            <w:noWrap/>
            <w:vAlign w:val="center"/>
            <w:hideMark/>
          </w:tcPr>
          <w:p w14:paraId="03A964CF"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30.9</w:t>
            </w:r>
          </w:p>
        </w:tc>
        <w:tc>
          <w:tcPr>
            <w:tcW w:w="649" w:type="pct"/>
            <w:tcBorders>
              <w:top w:val="nil"/>
              <w:left w:val="nil"/>
              <w:bottom w:val="nil"/>
              <w:right w:val="nil"/>
            </w:tcBorders>
            <w:shd w:val="clear" w:color="auto" w:fill="auto"/>
            <w:noWrap/>
            <w:vAlign w:val="center"/>
            <w:hideMark/>
          </w:tcPr>
          <w:p w14:paraId="148D118C"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14573</w:t>
            </w:r>
          </w:p>
        </w:tc>
        <w:tc>
          <w:tcPr>
            <w:tcW w:w="465" w:type="pct"/>
            <w:tcBorders>
              <w:top w:val="nil"/>
              <w:left w:val="nil"/>
              <w:bottom w:val="nil"/>
              <w:right w:val="nil"/>
            </w:tcBorders>
            <w:shd w:val="clear" w:color="auto" w:fill="auto"/>
            <w:noWrap/>
            <w:vAlign w:val="center"/>
            <w:hideMark/>
          </w:tcPr>
          <w:p w14:paraId="02E6F21E"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33.5</w:t>
            </w:r>
          </w:p>
        </w:tc>
        <w:tc>
          <w:tcPr>
            <w:tcW w:w="526" w:type="pct"/>
            <w:tcBorders>
              <w:top w:val="nil"/>
              <w:left w:val="nil"/>
              <w:bottom w:val="nil"/>
              <w:right w:val="nil"/>
            </w:tcBorders>
            <w:shd w:val="clear" w:color="auto" w:fill="auto"/>
            <w:noWrap/>
            <w:vAlign w:val="center"/>
            <w:hideMark/>
          </w:tcPr>
          <w:p w14:paraId="70E31C99"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354</w:t>
            </w:r>
          </w:p>
        </w:tc>
        <w:tc>
          <w:tcPr>
            <w:tcW w:w="465" w:type="pct"/>
            <w:tcBorders>
              <w:top w:val="nil"/>
              <w:left w:val="nil"/>
              <w:bottom w:val="nil"/>
              <w:right w:val="nil"/>
            </w:tcBorders>
            <w:shd w:val="clear" w:color="auto" w:fill="auto"/>
            <w:noWrap/>
            <w:vAlign w:val="center"/>
            <w:hideMark/>
          </w:tcPr>
          <w:p w14:paraId="53CD0029"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20.3</w:t>
            </w:r>
          </w:p>
        </w:tc>
        <w:tc>
          <w:tcPr>
            <w:tcW w:w="526" w:type="pct"/>
            <w:tcBorders>
              <w:top w:val="nil"/>
              <w:left w:val="nil"/>
              <w:bottom w:val="nil"/>
              <w:right w:val="nil"/>
            </w:tcBorders>
            <w:shd w:val="clear" w:color="auto" w:fill="auto"/>
            <w:noWrap/>
            <w:vAlign w:val="center"/>
            <w:hideMark/>
          </w:tcPr>
          <w:p w14:paraId="7A8C08EC"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205</w:t>
            </w:r>
          </w:p>
        </w:tc>
        <w:tc>
          <w:tcPr>
            <w:tcW w:w="465" w:type="pct"/>
            <w:tcBorders>
              <w:top w:val="nil"/>
              <w:left w:val="nil"/>
              <w:bottom w:val="nil"/>
              <w:right w:val="nil"/>
            </w:tcBorders>
            <w:shd w:val="clear" w:color="auto" w:fill="auto"/>
            <w:noWrap/>
            <w:vAlign w:val="center"/>
            <w:hideMark/>
          </w:tcPr>
          <w:p w14:paraId="693F3261"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18.2</w:t>
            </w:r>
          </w:p>
        </w:tc>
      </w:tr>
      <w:tr w:rsidR="00D07A53" w:rsidRPr="00FA626C" w14:paraId="23DA6385" w14:textId="77777777" w:rsidTr="003632F4">
        <w:trPr>
          <w:trHeight w:val="300"/>
        </w:trPr>
        <w:tc>
          <w:tcPr>
            <w:tcW w:w="667" w:type="pct"/>
            <w:tcBorders>
              <w:top w:val="nil"/>
              <w:left w:val="nil"/>
              <w:bottom w:val="nil"/>
              <w:right w:val="nil"/>
            </w:tcBorders>
            <w:shd w:val="clear" w:color="auto" w:fill="auto"/>
            <w:noWrap/>
            <w:vAlign w:val="center"/>
            <w:hideMark/>
          </w:tcPr>
          <w:p w14:paraId="1F707098" w14:textId="77777777" w:rsidR="00D07A53" w:rsidRPr="00FA626C" w:rsidRDefault="00D07A53" w:rsidP="003632F4">
            <w:pPr>
              <w:spacing w:line="240" w:lineRule="auto"/>
              <w:rPr>
                <w:rFonts w:eastAsia="Times New Roman"/>
                <w:color w:val="000000"/>
                <w:sz w:val="22"/>
                <w:szCs w:val="22"/>
                <w:lang w:eastAsia="en-NZ"/>
              </w:rPr>
            </w:pPr>
            <w:r>
              <w:rPr>
                <w:rFonts w:eastAsia="Times New Roman"/>
                <w:color w:val="000000"/>
                <w:sz w:val="22"/>
                <w:szCs w:val="22"/>
                <w:lang w:val="en-US" w:eastAsia="en-NZ"/>
              </w:rPr>
              <w:t xml:space="preserve">  </w:t>
            </w:r>
            <w:r w:rsidRPr="00FA626C">
              <w:rPr>
                <w:rFonts w:eastAsia="Times New Roman"/>
                <w:color w:val="000000"/>
                <w:sz w:val="22"/>
                <w:szCs w:val="22"/>
                <w:lang w:val="en-US" w:eastAsia="en-NZ"/>
              </w:rPr>
              <w:t>Pacific</w:t>
            </w:r>
          </w:p>
        </w:tc>
        <w:tc>
          <w:tcPr>
            <w:tcW w:w="772" w:type="pct"/>
            <w:tcBorders>
              <w:top w:val="nil"/>
              <w:left w:val="nil"/>
              <w:bottom w:val="nil"/>
              <w:right w:val="nil"/>
            </w:tcBorders>
            <w:shd w:val="clear" w:color="auto" w:fill="auto"/>
            <w:noWrap/>
            <w:vAlign w:val="center"/>
            <w:hideMark/>
          </w:tcPr>
          <w:p w14:paraId="379C2826"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17263</w:t>
            </w:r>
          </w:p>
        </w:tc>
        <w:tc>
          <w:tcPr>
            <w:tcW w:w="465" w:type="pct"/>
            <w:tcBorders>
              <w:top w:val="nil"/>
              <w:left w:val="nil"/>
              <w:bottom w:val="nil"/>
              <w:right w:val="nil"/>
            </w:tcBorders>
            <w:shd w:val="clear" w:color="auto" w:fill="auto"/>
            <w:noWrap/>
            <w:vAlign w:val="center"/>
            <w:hideMark/>
          </w:tcPr>
          <w:p w14:paraId="7CBD04BB"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13.8</w:t>
            </w:r>
          </w:p>
        </w:tc>
        <w:tc>
          <w:tcPr>
            <w:tcW w:w="649" w:type="pct"/>
            <w:tcBorders>
              <w:top w:val="nil"/>
              <w:left w:val="nil"/>
              <w:bottom w:val="nil"/>
              <w:right w:val="nil"/>
            </w:tcBorders>
            <w:shd w:val="clear" w:color="auto" w:fill="auto"/>
            <w:noWrap/>
            <w:vAlign w:val="center"/>
            <w:hideMark/>
          </w:tcPr>
          <w:p w14:paraId="7A6B6C59"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9403</w:t>
            </w:r>
          </w:p>
        </w:tc>
        <w:tc>
          <w:tcPr>
            <w:tcW w:w="465" w:type="pct"/>
            <w:tcBorders>
              <w:top w:val="nil"/>
              <w:left w:val="nil"/>
              <w:bottom w:val="nil"/>
              <w:right w:val="nil"/>
            </w:tcBorders>
            <w:shd w:val="clear" w:color="auto" w:fill="auto"/>
            <w:noWrap/>
            <w:vAlign w:val="center"/>
            <w:hideMark/>
          </w:tcPr>
          <w:p w14:paraId="06287A43"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21.6</w:t>
            </w:r>
          </w:p>
        </w:tc>
        <w:tc>
          <w:tcPr>
            <w:tcW w:w="526" w:type="pct"/>
            <w:tcBorders>
              <w:top w:val="nil"/>
              <w:left w:val="nil"/>
              <w:bottom w:val="nil"/>
              <w:right w:val="nil"/>
            </w:tcBorders>
            <w:shd w:val="clear" w:color="auto" w:fill="auto"/>
            <w:noWrap/>
            <w:vAlign w:val="center"/>
            <w:hideMark/>
          </w:tcPr>
          <w:p w14:paraId="59E70D6B"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320</w:t>
            </w:r>
          </w:p>
        </w:tc>
        <w:tc>
          <w:tcPr>
            <w:tcW w:w="465" w:type="pct"/>
            <w:tcBorders>
              <w:top w:val="nil"/>
              <w:left w:val="nil"/>
              <w:bottom w:val="nil"/>
              <w:right w:val="nil"/>
            </w:tcBorders>
            <w:shd w:val="clear" w:color="auto" w:fill="auto"/>
            <w:noWrap/>
            <w:vAlign w:val="center"/>
            <w:hideMark/>
          </w:tcPr>
          <w:p w14:paraId="0FFA9ABD"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18.3</w:t>
            </w:r>
          </w:p>
        </w:tc>
        <w:tc>
          <w:tcPr>
            <w:tcW w:w="526" w:type="pct"/>
            <w:tcBorders>
              <w:top w:val="nil"/>
              <w:left w:val="nil"/>
              <w:bottom w:val="nil"/>
              <w:right w:val="nil"/>
            </w:tcBorders>
            <w:shd w:val="clear" w:color="auto" w:fill="auto"/>
            <w:noWrap/>
            <w:vAlign w:val="center"/>
            <w:hideMark/>
          </w:tcPr>
          <w:p w14:paraId="1C0F0879"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508</w:t>
            </w:r>
          </w:p>
        </w:tc>
        <w:tc>
          <w:tcPr>
            <w:tcW w:w="465" w:type="pct"/>
            <w:tcBorders>
              <w:top w:val="nil"/>
              <w:left w:val="nil"/>
              <w:bottom w:val="nil"/>
              <w:right w:val="nil"/>
            </w:tcBorders>
            <w:shd w:val="clear" w:color="auto" w:fill="auto"/>
            <w:noWrap/>
            <w:vAlign w:val="center"/>
            <w:hideMark/>
          </w:tcPr>
          <w:p w14:paraId="07C4CC33"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45</w:t>
            </w:r>
          </w:p>
        </w:tc>
      </w:tr>
      <w:tr w:rsidR="00D07A53" w:rsidRPr="00FA626C" w14:paraId="54D154E5" w14:textId="77777777" w:rsidTr="003632F4">
        <w:trPr>
          <w:trHeight w:val="315"/>
        </w:trPr>
        <w:tc>
          <w:tcPr>
            <w:tcW w:w="667" w:type="pct"/>
            <w:tcBorders>
              <w:top w:val="nil"/>
              <w:left w:val="nil"/>
              <w:bottom w:val="nil"/>
              <w:right w:val="nil"/>
            </w:tcBorders>
            <w:shd w:val="clear" w:color="auto" w:fill="auto"/>
            <w:noWrap/>
            <w:vAlign w:val="center"/>
            <w:hideMark/>
          </w:tcPr>
          <w:p w14:paraId="0C28B87E" w14:textId="77777777" w:rsidR="00D07A53" w:rsidRPr="00FA626C" w:rsidRDefault="00D07A53" w:rsidP="003632F4">
            <w:pPr>
              <w:spacing w:line="240" w:lineRule="auto"/>
              <w:rPr>
                <w:rFonts w:eastAsia="Times New Roman"/>
                <w:color w:val="000000"/>
                <w:sz w:val="22"/>
                <w:szCs w:val="22"/>
                <w:lang w:eastAsia="en-NZ"/>
              </w:rPr>
            </w:pPr>
            <w:r>
              <w:rPr>
                <w:rFonts w:eastAsia="Times New Roman"/>
                <w:color w:val="000000"/>
                <w:sz w:val="22"/>
                <w:szCs w:val="22"/>
                <w:lang w:val="en-US" w:eastAsia="en-NZ"/>
              </w:rPr>
              <w:t xml:space="preserve">  </w:t>
            </w:r>
            <w:r w:rsidRPr="00FA626C">
              <w:rPr>
                <w:rFonts w:eastAsia="Times New Roman"/>
                <w:color w:val="000000"/>
                <w:sz w:val="22"/>
                <w:szCs w:val="22"/>
                <w:lang w:val="en-US" w:eastAsia="en-NZ"/>
              </w:rPr>
              <w:t>East Asian</w:t>
            </w:r>
          </w:p>
        </w:tc>
        <w:tc>
          <w:tcPr>
            <w:tcW w:w="772" w:type="pct"/>
            <w:tcBorders>
              <w:top w:val="nil"/>
              <w:left w:val="nil"/>
              <w:bottom w:val="nil"/>
              <w:right w:val="nil"/>
            </w:tcBorders>
            <w:shd w:val="clear" w:color="auto" w:fill="auto"/>
            <w:noWrap/>
            <w:vAlign w:val="center"/>
            <w:hideMark/>
          </w:tcPr>
          <w:p w14:paraId="113A5EB7"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10075</w:t>
            </w:r>
          </w:p>
        </w:tc>
        <w:tc>
          <w:tcPr>
            <w:tcW w:w="465" w:type="pct"/>
            <w:tcBorders>
              <w:top w:val="nil"/>
              <w:left w:val="nil"/>
              <w:bottom w:val="nil"/>
              <w:right w:val="nil"/>
            </w:tcBorders>
            <w:shd w:val="clear" w:color="auto" w:fill="auto"/>
            <w:noWrap/>
            <w:vAlign w:val="center"/>
            <w:hideMark/>
          </w:tcPr>
          <w:p w14:paraId="07505B04"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8</w:t>
            </w:r>
          </w:p>
        </w:tc>
        <w:tc>
          <w:tcPr>
            <w:tcW w:w="649" w:type="pct"/>
            <w:tcBorders>
              <w:top w:val="nil"/>
              <w:left w:val="nil"/>
              <w:bottom w:val="nil"/>
              <w:right w:val="nil"/>
            </w:tcBorders>
            <w:shd w:val="clear" w:color="auto" w:fill="auto"/>
            <w:noWrap/>
            <w:vAlign w:val="center"/>
            <w:hideMark/>
          </w:tcPr>
          <w:p w14:paraId="30C05556"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4167</w:t>
            </w:r>
          </w:p>
        </w:tc>
        <w:tc>
          <w:tcPr>
            <w:tcW w:w="465" w:type="pct"/>
            <w:tcBorders>
              <w:top w:val="nil"/>
              <w:left w:val="nil"/>
              <w:bottom w:val="nil"/>
              <w:right w:val="nil"/>
            </w:tcBorders>
            <w:shd w:val="clear" w:color="auto" w:fill="auto"/>
            <w:noWrap/>
            <w:vAlign w:val="center"/>
            <w:hideMark/>
          </w:tcPr>
          <w:p w14:paraId="5D969683"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9.6</w:t>
            </w:r>
          </w:p>
        </w:tc>
        <w:tc>
          <w:tcPr>
            <w:tcW w:w="526" w:type="pct"/>
            <w:tcBorders>
              <w:top w:val="nil"/>
              <w:left w:val="nil"/>
              <w:bottom w:val="nil"/>
              <w:right w:val="nil"/>
            </w:tcBorders>
            <w:shd w:val="clear" w:color="auto" w:fill="auto"/>
            <w:noWrap/>
            <w:vAlign w:val="center"/>
            <w:hideMark/>
          </w:tcPr>
          <w:p w14:paraId="75190A5C"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183</w:t>
            </w:r>
          </w:p>
        </w:tc>
        <w:tc>
          <w:tcPr>
            <w:tcW w:w="465" w:type="pct"/>
            <w:tcBorders>
              <w:top w:val="nil"/>
              <w:left w:val="nil"/>
              <w:bottom w:val="nil"/>
              <w:right w:val="nil"/>
            </w:tcBorders>
            <w:shd w:val="clear" w:color="auto" w:fill="auto"/>
            <w:noWrap/>
            <w:vAlign w:val="center"/>
            <w:hideMark/>
          </w:tcPr>
          <w:p w14:paraId="5CAF6567"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10.5</w:t>
            </w:r>
          </w:p>
        </w:tc>
        <w:tc>
          <w:tcPr>
            <w:tcW w:w="526" w:type="pct"/>
            <w:tcBorders>
              <w:top w:val="nil"/>
              <w:left w:val="nil"/>
              <w:bottom w:val="nil"/>
              <w:right w:val="nil"/>
            </w:tcBorders>
            <w:shd w:val="clear" w:color="auto" w:fill="auto"/>
            <w:noWrap/>
            <w:vAlign w:val="center"/>
            <w:hideMark/>
          </w:tcPr>
          <w:p w14:paraId="4FD21588"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70</w:t>
            </w:r>
          </w:p>
        </w:tc>
        <w:tc>
          <w:tcPr>
            <w:tcW w:w="465" w:type="pct"/>
            <w:tcBorders>
              <w:top w:val="nil"/>
              <w:left w:val="nil"/>
              <w:bottom w:val="nil"/>
              <w:right w:val="nil"/>
            </w:tcBorders>
            <w:shd w:val="clear" w:color="auto" w:fill="auto"/>
            <w:noWrap/>
            <w:vAlign w:val="center"/>
            <w:hideMark/>
          </w:tcPr>
          <w:p w14:paraId="4990D893"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6.2</w:t>
            </w:r>
          </w:p>
        </w:tc>
      </w:tr>
      <w:tr w:rsidR="00D07A53" w:rsidRPr="00FA626C" w14:paraId="04BD8B99" w14:textId="77777777" w:rsidTr="003632F4">
        <w:trPr>
          <w:trHeight w:val="300"/>
        </w:trPr>
        <w:tc>
          <w:tcPr>
            <w:tcW w:w="667" w:type="pct"/>
            <w:tcBorders>
              <w:top w:val="nil"/>
              <w:left w:val="nil"/>
              <w:bottom w:val="single" w:sz="4" w:space="0" w:color="auto"/>
              <w:right w:val="nil"/>
            </w:tcBorders>
            <w:shd w:val="clear" w:color="auto" w:fill="auto"/>
            <w:noWrap/>
            <w:vAlign w:val="center"/>
            <w:hideMark/>
          </w:tcPr>
          <w:p w14:paraId="7DB2B8B1" w14:textId="77777777" w:rsidR="00D07A53" w:rsidRPr="00FA626C" w:rsidRDefault="00D07A53" w:rsidP="003632F4">
            <w:pPr>
              <w:spacing w:line="240" w:lineRule="auto"/>
              <w:rPr>
                <w:rFonts w:eastAsia="Times New Roman"/>
                <w:color w:val="000000"/>
                <w:sz w:val="22"/>
                <w:szCs w:val="22"/>
                <w:lang w:eastAsia="en-NZ"/>
              </w:rPr>
            </w:pPr>
            <w:r>
              <w:rPr>
                <w:rFonts w:eastAsia="Times New Roman"/>
                <w:color w:val="000000"/>
                <w:sz w:val="22"/>
                <w:szCs w:val="22"/>
                <w:lang w:val="en-US" w:eastAsia="en-NZ"/>
              </w:rPr>
              <w:t xml:space="preserve">  </w:t>
            </w:r>
            <w:r w:rsidRPr="00FA626C">
              <w:rPr>
                <w:rFonts w:eastAsia="Times New Roman"/>
                <w:color w:val="000000"/>
                <w:sz w:val="22"/>
                <w:szCs w:val="22"/>
                <w:lang w:val="en-US" w:eastAsia="en-NZ"/>
              </w:rPr>
              <w:t>Other</w:t>
            </w:r>
          </w:p>
        </w:tc>
        <w:tc>
          <w:tcPr>
            <w:tcW w:w="772" w:type="pct"/>
            <w:tcBorders>
              <w:top w:val="nil"/>
              <w:left w:val="nil"/>
              <w:bottom w:val="single" w:sz="4" w:space="0" w:color="auto"/>
              <w:right w:val="nil"/>
            </w:tcBorders>
            <w:shd w:val="clear" w:color="auto" w:fill="auto"/>
            <w:noWrap/>
            <w:vAlign w:val="center"/>
            <w:hideMark/>
          </w:tcPr>
          <w:p w14:paraId="4C6466E5"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59278</w:t>
            </w:r>
          </w:p>
        </w:tc>
        <w:tc>
          <w:tcPr>
            <w:tcW w:w="465" w:type="pct"/>
            <w:tcBorders>
              <w:top w:val="nil"/>
              <w:left w:val="nil"/>
              <w:bottom w:val="single" w:sz="4" w:space="0" w:color="auto"/>
              <w:right w:val="nil"/>
            </w:tcBorders>
            <w:shd w:val="clear" w:color="auto" w:fill="auto"/>
            <w:noWrap/>
            <w:vAlign w:val="center"/>
            <w:hideMark/>
          </w:tcPr>
          <w:p w14:paraId="42CC3E20"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47.3</w:t>
            </w:r>
          </w:p>
        </w:tc>
        <w:tc>
          <w:tcPr>
            <w:tcW w:w="649" w:type="pct"/>
            <w:tcBorders>
              <w:top w:val="nil"/>
              <w:left w:val="nil"/>
              <w:bottom w:val="single" w:sz="4" w:space="0" w:color="auto"/>
              <w:right w:val="nil"/>
            </w:tcBorders>
            <w:shd w:val="clear" w:color="auto" w:fill="auto"/>
            <w:noWrap/>
            <w:vAlign w:val="center"/>
            <w:hideMark/>
          </w:tcPr>
          <w:p w14:paraId="307830C9"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15356</w:t>
            </w:r>
          </w:p>
        </w:tc>
        <w:tc>
          <w:tcPr>
            <w:tcW w:w="465" w:type="pct"/>
            <w:tcBorders>
              <w:top w:val="nil"/>
              <w:left w:val="nil"/>
              <w:bottom w:val="single" w:sz="4" w:space="0" w:color="auto"/>
              <w:right w:val="nil"/>
            </w:tcBorders>
            <w:shd w:val="clear" w:color="auto" w:fill="auto"/>
            <w:noWrap/>
            <w:vAlign w:val="center"/>
            <w:hideMark/>
          </w:tcPr>
          <w:p w14:paraId="0DF45CB9"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35.3</w:t>
            </w:r>
          </w:p>
        </w:tc>
        <w:tc>
          <w:tcPr>
            <w:tcW w:w="526" w:type="pct"/>
            <w:tcBorders>
              <w:top w:val="nil"/>
              <w:left w:val="nil"/>
              <w:bottom w:val="single" w:sz="4" w:space="0" w:color="auto"/>
              <w:right w:val="nil"/>
            </w:tcBorders>
            <w:shd w:val="clear" w:color="auto" w:fill="auto"/>
            <w:noWrap/>
            <w:vAlign w:val="center"/>
            <w:hideMark/>
          </w:tcPr>
          <w:p w14:paraId="7295E68B"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890</w:t>
            </w:r>
          </w:p>
        </w:tc>
        <w:tc>
          <w:tcPr>
            <w:tcW w:w="465" w:type="pct"/>
            <w:tcBorders>
              <w:top w:val="nil"/>
              <w:left w:val="nil"/>
              <w:bottom w:val="single" w:sz="4" w:space="0" w:color="auto"/>
              <w:right w:val="nil"/>
            </w:tcBorders>
            <w:shd w:val="clear" w:color="auto" w:fill="auto"/>
            <w:noWrap/>
            <w:vAlign w:val="center"/>
            <w:hideMark/>
          </w:tcPr>
          <w:p w14:paraId="7BBA4B51"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50.9</w:t>
            </w:r>
          </w:p>
        </w:tc>
        <w:tc>
          <w:tcPr>
            <w:tcW w:w="526" w:type="pct"/>
            <w:tcBorders>
              <w:top w:val="nil"/>
              <w:left w:val="nil"/>
              <w:bottom w:val="single" w:sz="4" w:space="0" w:color="auto"/>
              <w:right w:val="nil"/>
            </w:tcBorders>
            <w:shd w:val="clear" w:color="auto" w:fill="auto"/>
            <w:noWrap/>
            <w:vAlign w:val="center"/>
            <w:hideMark/>
          </w:tcPr>
          <w:p w14:paraId="34E86720" w14:textId="77777777" w:rsidR="00D07A53" w:rsidRPr="00FA626C" w:rsidRDefault="00D07A53" w:rsidP="003632F4">
            <w:pPr>
              <w:spacing w:line="240" w:lineRule="auto"/>
              <w:jc w:val="right"/>
              <w:rPr>
                <w:rFonts w:eastAsia="Times New Roman"/>
                <w:color w:val="000000"/>
                <w:sz w:val="22"/>
                <w:szCs w:val="22"/>
                <w:lang w:eastAsia="en-NZ"/>
              </w:rPr>
            </w:pPr>
            <w:r w:rsidRPr="00FA626C">
              <w:rPr>
                <w:rFonts w:eastAsia="Times New Roman"/>
                <w:color w:val="000000"/>
                <w:sz w:val="22"/>
                <w:szCs w:val="22"/>
                <w:lang w:val="en-US" w:eastAsia="en-NZ"/>
              </w:rPr>
              <w:t>345</w:t>
            </w:r>
          </w:p>
        </w:tc>
        <w:tc>
          <w:tcPr>
            <w:tcW w:w="465" w:type="pct"/>
            <w:tcBorders>
              <w:top w:val="nil"/>
              <w:left w:val="nil"/>
              <w:bottom w:val="single" w:sz="4" w:space="0" w:color="auto"/>
              <w:right w:val="nil"/>
            </w:tcBorders>
            <w:shd w:val="clear" w:color="auto" w:fill="auto"/>
            <w:noWrap/>
            <w:vAlign w:val="center"/>
            <w:hideMark/>
          </w:tcPr>
          <w:p w14:paraId="52C9047A" w14:textId="77777777" w:rsidR="00D07A53" w:rsidRPr="00FA626C" w:rsidRDefault="00D07A53" w:rsidP="003632F4">
            <w:pPr>
              <w:spacing w:line="240" w:lineRule="auto"/>
              <w:jc w:val="right"/>
              <w:rPr>
                <w:rFonts w:eastAsia="Times New Roman"/>
                <w:i/>
                <w:iCs/>
                <w:color w:val="000000"/>
                <w:sz w:val="22"/>
                <w:szCs w:val="22"/>
                <w:lang w:eastAsia="en-NZ"/>
              </w:rPr>
            </w:pPr>
            <w:r w:rsidRPr="00FA626C">
              <w:rPr>
                <w:rFonts w:eastAsia="Times New Roman"/>
                <w:i/>
                <w:iCs/>
                <w:color w:val="000000"/>
                <w:sz w:val="22"/>
                <w:szCs w:val="22"/>
                <w:lang w:val="en-US" w:eastAsia="en-NZ"/>
              </w:rPr>
              <w:t>30.6</w:t>
            </w:r>
          </w:p>
        </w:tc>
      </w:tr>
    </w:tbl>
    <w:p w14:paraId="76A126CC" w14:textId="77777777" w:rsidR="00D07A53" w:rsidRDefault="00D07A53" w:rsidP="004B04DD">
      <w:pPr>
        <w:jc w:val="both"/>
        <w:rPr>
          <w:sz w:val="22"/>
          <w:szCs w:val="22"/>
        </w:rPr>
      </w:pPr>
    </w:p>
    <w:p w14:paraId="1F5A657C" w14:textId="1ACF18E3" w:rsidR="00D07A53" w:rsidRDefault="00D07A53" w:rsidP="004B04DD">
      <w:pPr>
        <w:jc w:val="both"/>
      </w:pPr>
      <w:r w:rsidRPr="00B55FD6">
        <w:fldChar w:fldCharType="begin"/>
      </w:r>
      <w:r w:rsidRPr="00B55FD6">
        <w:instrText xml:space="preserve"> REF _Ref45878462 \h </w:instrText>
      </w:r>
      <w:r>
        <w:instrText xml:space="preserve"> \* MERGEFORMAT </w:instrText>
      </w:r>
      <w:r w:rsidRPr="00B55FD6">
        <w:fldChar w:fldCharType="separate"/>
      </w:r>
      <w:r w:rsidR="00DF0799">
        <w:t xml:space="preserve">Table </w:t>
      </w:r>
      <w:r w:rsidR="00DF0799">
        <w:rPr>
          <w:noProof/>
        </w:rPr>
        <w:t>18</w:t>
      </w:r>
      <w:r w:rsidRPr="00B55FD6">
        <w:fldChar w:fldCharType="end"/>
      </w:r>
      <w:r w:rsidRPr="00B55FD6">
        <w:t xml:space="preserve"> below outlines the demographic profile of FAO clients </w:t>
      </w:r>
      <w:r w:rsidR="00832029">
        <w:t>who engaged in brief, full intervention and follow up sessions</w:t>
      </w:r>
      <w:r w:rsidRPr="00B55FD6">
        <w:t xml:space="preserve">. </w:t>
      </w:r>
      <w:r w:rsidR="00832029">
        <w:t xml:space="preserve">All session types were more likely to engage women than men, this was especially true for follow up sessions. </w:t>
      </w:r>
      <w:r w:rsidRPr="00DE6E51">
        <w:t>Māori</w:t>
      </w:r>
      <w:r>
        <w:t xml:space="preserve"> FAOs receive</w:t>
      </w:r>
      <w:r w:rsidR="005302AB">
        <w:t>d</w:t>
      </w:r>
      <w:r>
        <w:t xml:space="preserve"> a lower proportion of </w:t>
      </w:r>
      <w:r w:rsidR="005302AB">
        <w:t>full intervention</w:t>
      </w:r>
      <w:r>
        <w:t xml:space="preserve"> sessions (26.1%) than brief intervention sessions (42.9%) and receive</w:t>
      </w:r>
      <w:r w:rsidR="005302AB">
        <w:t>d</w:t>
      </w:r>
      <w:r>
        <w:t xml:space="preserve"> over half of </w:t>
      </w:r>
      <w:r w:rsidR="00832029">
        <w:t>f</w:t>
      </w:r>
      <w:r>
        <w:t xml:space="preserve">ull </w:t>
      </w:r>
      <w:r w:rsidR="00832029">
        <w:t xml:space="preserve">intervention </w:t>
      </w:r>
      <w:r>
        <w:t>sessions</w:t>
      </w:r>
      <w:r w:rsidR="00832029">
        <w:t xml:space="preserve"> that also included facilitation (supported referral) to other health services</w:t>
      </w:r>
      <w:r>
        <w:t xml:space="preserve"> (50.7%). </w:t>
      </w:r>
      <w:r w:rsidR="00832029">
        <w:t>Pacific FAO clients engaged in a</w:t>
      </w:r>
      <w:r>
        <w:t xml:space="preserve"> higher proportion of </w:t>
      </w:r>
      <w:r w:rsidR="00832029">
        <w:t>full</w:t>
      </w:r>
      <w:r>
        <w:t xml:space="preserve"> interventions (33.3%) than Brief sessions (22.8%) and </w:t>
      </w:r>
      <w:r w:rsidR="00832029">
        <w:t xml:space="preserve">full intervention with facilitation </w:t>
      </w:r>
      <w:r>
        <w:t xml:space="preserve">(20.6%). </w:t>
      </w:r>
    </w:p>
    <w:p w14:paraId="69F405CF" w14:textId="77777777" w:rsidR="00D07A53" w:rsidRDefault="00D07A53" w:rsidP="00D07A53">
      <w:pPr>
        <w:spacing w:after="200"/>
        <w:rPr>
          <w:sz w:val="22"/>
          <w:szCs w:val="22"/>
        </w:rPr>
      </w:pPr>
    </w:p>
    <w:p w14:paraId="518FC624" w14:textId="77777777" w:rsidR="00D07A53" w:rsidRDefault="00D07A53" w:rsidP="00D07A53">
      <w:pPr>
        <w:spacing w:after="200"/>
        <w:rPr>
          <w:sz w:val="22"/>
          <w:szCs w:val="22"/>
        </w:rPr>
        <w:sectPr w:rsidR="00D07A53">
          <w:footerReference w:type="default" r:id="rId50"/>
          <w:pgSz w:w="11906" w:h="16838"/>
          <w:pgMar w:top="1440" w:right="1440" w:bottom="1440" w:left="1440" w:header="708" w:footer="708" w:gutter="0"/>
          <w:cols w:space="708"/>
          <w:docGrid w:linePitch="360"/>
        </w:sectPr>
      </w:pPr>
    </w:p>
    <w:p w14:paraId="13B13B28" w14:textId="77777777" w:rsidR="00D07A53" w:rsidRDefault="00D07A53" w:rsidP="00D07A53">
      <w:pPr>
        <w:spacing w:after="200"/>
        <w:rPr>
          <w:sz w:val="22"/>
          <w:szCs w:val="22"/>
        </w:rPr>
      </w:pPr>
    </w:p>
    <w:p w14:paraId="11372C79" w14:textId="7B9B2521" w:rsidR="00D07A53" w:rsidRDefault="00D07A53" w:rsidP="00D07A53">
      <w:pPr>
        <w:pStyle w:val="Caption"/>
      </w:pPr>
      <w:bookmarkStart w:id="167" w:name="_Ref45878462"/>
      <w:bookmarkStart w:id="168" w:name="_Toc58400651"/>
      <w:r>
        <w:t xml:space="preserve">Table </w:t>
      </w:r>
      <w:r w:rsidR="00D04B86">
        <w:fldChar w:fldCharType="begin"/>
      </w:r>
      <w:r w:rsidR="00D04B86">
        <w:instrText xml:space="preserve"> SEQ Table \* ARABIC </w:instrText>
      </w:r>
      <w:r w:rsidR="00D04B86">
        <w:fldChar w:fldCharType="separate"/>
      </w:r>
      <w:r w:rsidR="00DF0799">
        <w:rPr>
          <w:noProof/>
        </w:rPr>
        <w:t>18</w:t>
      </w:r>
      <w:r w:rsidR="00D04B86">
        <w:rPr>
          <w:noProof/>
        </w:rPr>
        <w:fldChar w:fldCharType="end"/>
      </w:r>
      <w:bookmarkEnd w:id="167"/>
      <w:r>
        <w:t>. Types of FAO intervention sessions by gender, age, and ethnicity</w:t>
      </w:r>
      <w:bookmarkEnd w:id="168"/>
    </w:p>
    <w:tbl>
      <w:tblPr>
        <w:tblW w:w="15605" w:type="dxa"/>
        <w:tblInd w:w="-780" w:type="dxa"/>
        <w:tblLook w:val="04A0" w:firstRow="1" w:lastRow="0" w:firstColumn="1" w:lastColumn="0" w:noHBand="0" w:noVBand="1"/>
      </w:tblPr>
      <w:tblGrid>
        <w:gridCol w:w="1489"/>
        <w:gridCol w:w="1029"/>
        <w:gridCol w:w="967"/>
        <w:gridCol w:w="1353"/>
        <w:gridCol w:w="967"/>
        <w:gridCol w:w="1095"/>
        <w:gridCol w:w="967"/>
        <w:gridCol w:w="1095"/>
        <w:gridCol w:w="967"/>
        <w:gridCol w:w="1095"/>
        <w:gridCol w:w="967"/>
        <w:gridCol w:w="838"/>
        <w:gridCol w:w="967"/>
        <w:gridCol w:w="838"/>
        <w:gridCol w:w="971"/>
      </w:tblGrid>
      <w:tr w:rsidR="00D07A53" w:rsidRPr="00667942" w14:paraId="034C5FAB" w14:textId="77777777" w:rsidTr="003632F4">
        <w:trPr>
          <w:trHeight w:val="398"/>
        </w:trPr>
        <w:tc>
          <w:tcPr>
            <w:tcW w:w="1489" w:type="dxa"/>
            <w:tcBorders>
              <w:top w:val="single" w:sz="4" w:space="0" w:color="auto"/>
              <w:left w:val="nil"/>
              <w:bottom w:val="nil"/>
              <w:right w:val="nil"/>
            </w:tcBorders>
            <w:shd w:val="clear" w:color="auto" w:fill="auto"/>
            <w:noWrap/>
            <w:vAlign w:val="bottom"/>
            <w:hideMark/>
          </w:tcPr>
          <w:p w14:paraId="0CB1E79D"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14116" w:type="dxa"/>
            <w:gridSpan w:val="14"/>
            <w:tcBorders>
              <w:top w:val="single" w:sz="4" w:space="0" w:color="auto"/>
              <w:left w:val="nil"/>
              <w:bottom w:val="nil"/>
              <w:right w:val="nil"/>
            </w:tcBorders>
            <w:shd w:val="clear" w:color="auto" w:fill="auto"/>
            <w:noWrap/>
            <w:vAlign w:val="center"/>
            <w:hideMark/>
          </w:tcPr>
          <w:p w14:paraId="200F3AB8" w14:textId="77777777" w:rsidR="00D07A53" w:rsidRPr="00667942" w:rsidRDefault="00D07A53" w:rsidP="003632F4">
            <w:pPr>
              <w:spacing w:line="240" w:lineRule="auto"/>
              <w:jc w:val="center"/>
              <w:rPr>
                <w:rFonts w:eastAsia="Times New Roman"/>
                <w:b/>
                <w:bCs/>
                <w:color w:val="000000"/>
                <w:lang w:eastAsia="en-NZ"/>
              </w:rPr>
            </w:pPr>
            <w:r w:rsidRPr="00667942">
              <w:rPr>
                <w:rFonts w:eastAsia="Arial"/>
                <w:b/>
                <w:bCs/>
                <w:color w:val="000000"/>
                <w:lang w:val="en-US" w:eastAsia="en-NZ"/>
              </w:rPr>
              <w:t>Session type</w:t>
            </w:r>
          </w:p>
        </w:tc>
      </w:tr>
      <w:tr w:rsidR="00D07A53" w:rsidRPr="00667942" w14:paraId="39D0B1C6" w14:textId="77777777" w:rsidTr="003632F4">
        <w:trPr>
          <w:trHeight w:val="398"/>
        </w:trPr>
        <w:tc>
          <w:tcPr>
            <w:tcW w:w="1489" w:type="dxa"/>
            <w:tcBorders>
              <w:top w:val="nil"/>
              <w:left w:val="nil"/>
              <w:bottom w:val="nil"/>
              <w:right w:val="nil"/>
            </w:tcBorders>
            <w:shd w:val="clear" w:color="auto" w:fill="auto"/>
            <w:noWrap/>
            <w:vAlign w:val="bottom"/>
            <w:hideMark/>
          </w:tcPr>
          <w:p w14:paraId="23FEC6CA" w14:textId="77777777" w:rsidR="00D07A53" w:rsidRPr="00667942" w:rsidRDefault="00D07A53" w:rsidP="003632F4">
            <w:pPr>
              <w:spacing w:line="240" w:lineRule="auto"/>
              <w:jc w:val="center"/>
              <w:rPr>
                <w:rFonts w:eastAsia="Times New Roman"/>
                <w:color w:val="000000"/>
                <w:lang w:eastAsia="en-NZ"/>
              </w:rPr>
            </w:pPr>
          </w:p>
        </w:tc>
        <w:tc>
          <w:tcPr>
            <w:tcW w:w="1996" w:type="dxa"/>
            <w:gridSpan w:val="2"/>
            <w:vMerge w:val="restart"/>
            <w:tcBorders>
              <w:top w:val="single" w:sz="4" w:space="0" w:color="auto"/>
              <w:left w:val="nil"/>
              <w:bottom w:val="nil"/>
              <w:right w:val="nil"/>
            </w:tcBorders>
            <w:shd w:val="clear" w:color="auto" w:fill="auto"/>
            <w:noWrap/>
            <w:vAlign w:val="center"/>
            <w:hideMark/>
          </w:tcPr>
          <w:p w14:paraId="001CF88C" w14:textId="77777777" w:rsidR="00D07A53" w:rsidRPr="00667942" w:rsidRDefault="00D07A53" w:rsidP="003632F4">
            <w:pPr>
              <w:spacing w:line="240" w:lineRule="auto"/>
              <w:jc w:val="center"/>
              <w:rPr>
                <w:rFonts w:eastAsia="Times New Roman"/>
                <w:b/>
                <w:bCs/>
                <w:color w:val="000000"/>
                <w:lang w:eastAsia="en-NZ"/>
              </w:rPr>
            </w:pPr>
            <w:r w:rsidRPr="00667942">
              <w:rPr>
                <w:rFonts w:eastAsia="Arial"/>
                <w:b/>
                <w:bCs/>
                <w:color w:val="000000"/>
                <w:lang w:val="en-US" w:eastAsia="en-NZ"/>
              </w:rPr>
              <w:t>Brief</w:t>
            </w:r>
          </w:p>
        </w:tc>
        <w:tc>
          <w:tcPr>
            <w:tcW w:w="2320" w:type="dxa"/>
            <w:gridSpan w:val="2"/>
            <w:vMerge w:val="restart"/>
            <w:tcBorders>
              <w:top w:val="single" w:sz="4" w:space="0" w:color="auto"/>
              <w:left w:val="nil"/>
              <w:bottom w:val="nil"/>
              <w:right w:val="nil"/>
            </w:tcBorders>
            <w:shd w:val="clear" w:color="auto" w:fill="auto"/>
            <w:noWrap/>
            <w:vAlign w:val="center"/>
            <w:hideMark/>
          </w:tcPr>
          <w:p w14:paraId="7277D013" w14:textId="1F461331" w:rsidR="00D07A53" w:rsidRPr="00667942" w:rsidRDefault="00D07A53" w:rsidP="003632F4">
            <w:pPr>
              <w:spacing w:line="240" w:lineRule="auto"/>
              <w:jc w:val="center"/>
              <w:rPr>
                <w:rFonts w:eastAsia="Times New Roman"/>
                <w:b/>
                <w:bCs/>
                <w:color w:val="000000"/>
                <w:lang w:eastAsia="en-NZ"/>
              </w:rPr>
            </w:pPr>
            <w:r w:rsidRPr="00667942">
              <w:rPr>
                <w:rFonts w:eastAsia="Arial"/>
                <w:b/>
                <w:bCs/>
                <w:color w:val="000000"/>
                <w:lang w:val="en-US" w:eastAsia="en-NZ"/>
              </w:rPr>
              <w:t xml:space="preserve">Full </w:t>
            </w:r>
          </w:p>
        </w:tc>
        <w:tc>
          <w:tcPr>
            <w:tcW w:w="2062" w:type="dxa"/>
            <w:gridSpan w:val="2"/>
            <w:vMerge w:val="restart"/>
            <w:tcBorders>
              <w:top w:val="single" w:sz="4" w:space="0" w:color="auto"/>
              <w:left w:val="nil"/>
              <w:bottom w:val="nil"/>
              <w:right w:val="nil"/>
            </w:tcBorders>
            <w:shd w:val="clear" w:color="auto" w:fill="auto"/>
            <w:noWrap/>
            <w:vAlign w:val="center"/>
            <w:hideMark/>
          </w:tcPr>
          <w:p w14:paraId="7976521A" w14:textId="639A0D9E" w:rsidR="00D07A53" w:rsidRPr="00667942" w:rsidRDefault="00D07A53" w:rsidP="003632F4">
            <w:pPr>
              <w:spacing w:line="240" w:lineRule="auto"/>
              <w:jc w:val="center"/>
              <w:rPr>
                <w:rFonts w:eastAsia="Times New Roman"/>
                <w:b/>
                <w:bCs/>
                <w:color w:val="000000"/>
                <w:lang w:eastAsia="en-NZ"/>
              </w:rPr>
            </w:pPr>
            <w:r w:rsidRPr="00667942">
              <w:rPr>
                <w:rFonts w:eastAsia="Arial"/>
                <w:b/>
                <w:bCs/>
                <w:color w:val="000000"/>
                <w:lang w:val="en-US" w:eastAsia="en-NZ"/>
              </w:rPr>
              <w:t xml:space="preserve">Full </w:t>
            </w:r>
            <w:r w:rsidR="005302AB">
              <w:rPr>
                <w:rFonts w:eastAsia="Arial"/>
                <w:b/>
                <w:bCs/>
                <w:color w:val="000000"/>
                <w:lang w:val="en-US" w:eastAsia="en-NZ"/>
              </w:rPr>
              <w:t>+</w:t>
            </w:r>
            <w:r w:rsidRPr="00667942">
              <w:rPr>
                <w:rFonts w:eastAsia="Arial"/>
                <w:b/>
                <w:bCs/>
                <w:color w:val="000000"/>
                <w:lang w:val="en-US" w:eastAsia="en-NZ"/>
              </w:rPr>
              <w:t xml:space="preserve"> Facilitation</w:t>
            </w:r>
          </w:p>
        </w:tc>
        <w:tc>
          <w:tcPr>
            <w:tcW w:w="2062" w:type="dxa"/>
            <w:gridSpan w:val="2"/>
            <w:tcBorders>
              <w:top w:val="single" w:sz="4" w:space="0" w:color="auto"/>
              <w:left w:val="nil"/>
              <w:bottom w:val="nil"/>
              <w:right w:val="nil"/>
            </w:tcBorders>
            <w:shd w:val="clear" w:color="auto" w:fill="auto"/>
            <w:noWrap/>
            <w:vAlign w:val="center"/>
            <w:hideMark/>
          </w:tcPr>
          <w:p w14:paraId="4B389892" w14:textId="77777777" w:rsidR="00D07A53" w:rsidRPr="00667942" w:rsidRDefault="00D07A53" w:rsidP="003632F4">
            <w:pPr>
              <w:spacing w:line="240" w:lineRule="auto"/>
              <w:jc w:val="center"/>
              <w:rPr>
                <w:rFonts w:eastAsia="Times New Roman"/>
                <w:b/>
                <w:bCs/>
                <w:color w:val="000000"/>
                <w:lang w:eastAsia="en-NZ"/>
              </w:rPr>
            </w:pPr>
            <w:r w:rsidRPr="00667942">
              <w:rPr>
                <w:rFonts w:eastAsia="Arial"/>
                <w:b/>
                <w:bCs/>
                <w:color w:val="000000"/>
                <w:lang w:val="en-US" w:eastAsia="en-NZ"/>
              </w:rPr>
              <w:t xml:space="preserve">Follow-up </w:t>
            </w:r>
          </w:p>
        </w:tc>
        <w:tc>
          <w:tcPr>
            <w:tcW w:w="2062" w:type="dxa"/>
            <w:gridSpan w:val="2"/>
            <w:tcBorders>
              <w:top w:val="single" w:sz="4" w:space="0" w:color="auto"/>
              <w:left w:val="nil"/>
              <w:bottom w:val="nil"/>
              <w:right w:val="nil"/>
            </w:tcBorders>
            <w:shd w:val="clear" w:color="auto" w:fill="auto"/>
            <w:noWrap/>
            <w:vAlign w:val="center"/>
            <w:hideMark/>
          </w:tcPr>
          <w:p w14:paraId="5541ECE2" w14:textId="77777777" w:rsidR="00D07A53" w:rsidRPr="00667942" w:rsidRDefault="00D07A53" w:rsidP="003632F4">
            <w:pPr>
              <w:spacing w:line="240" w:lineRule="auto"/>
              <w:jc w:val="center"/>
              <w:rPr>
                <w:rFonts w:eastAsia="Times New Roman"/>
                <w:b/>
                <w:bCs/>
                <w:color w:val="000000"/>
                <w:lang w:eastAsia="en-NZ"/>
              </w:rPr>
            </w:pPr>
            <w:r w:rsidRPr="00667942">
              <w:rPr>
                <w:rFonts w:eastAsia="Arial"/>
                <w:b/>
                <w:bCs/>
                <w:color w:val="000000"/>
                <w:lang w:val="en-US" w:eastAsia="en-NZ"/>
              </w:rPr>
              <w:t xml:space="preserve">Follow-up </w:t>
            </w:r>
          </w:p>
        </w:tc>
        <w:tc>
          <w:tcPr>
            <w:tcW w:w="1805" w:type="dxa"/>
            <w:gridSpan w:val="2"/>
            <w:tcBorders>
              <w:top w:val="single" w:sz="4" w:space="0" w:color="auto"/>
              <w:left w:val="nil"/>
              <w:bottom w:val="nil"/>
              <w:right w:val="nil"/>
            </w:tcBorders>
            <w:shd w:val="clear" w:color="auto" w:fill="auto"/>
            <w:noWrap/>
            <w:vAlign w:val="center"/>
            <w:hideMark/>
          </w:tcPr>
          <w:p w14:paraId="5D297DC1" w14:textId="77777777" w:rsidR="00D07A53" w:rsidRPr="00667942" w:rsidRDefault="00D07A53" w:rsidP="003632F4">
            <w:pPr>
              <w:spacing w:line="240" w:lineRule="auto"/>
              <w:jc w:val="center"/>
              <w:rPr>
                <w:rFonts w:eastAsia="Times New Roman"/>
                <w:b/>
                <w:bCs/>
                <w:color w:val="000000"/>
                <w:lang w:eastAsia="en-NZ"/>
              </w:rPr>
            </w:pPr>
            <w:r w:rsidRPr="00667942">
              <w:rPr>
                <w:rFonts w:eastAsia="Arial"/>
                <w:b/>
                <w:bCs/>
                <w:color w:val="000000"/>
                <w:lang w:val="en-US" w:eastAsia="en-NZ"/>
              </w:rPr>
              <w:t>Follow-up</w:t>
            </w:r>
          </w:p>
        </w:tc>
        <w:tc>
          <w:tcPr>
            <w:tcW w:w="1809" w:type="dxa"/>
            <w:gridSpan w:val="2"/>
            <w:tcBorders>
              <w:top w:val="single" w:sz="4" w:space="0" w:color="auto"/>
              <w:left w:val="nil"/>
              <w:bottom w:val="nil"/>
              <w:right w:val="nil"/>
            </w:tcBorders>
            <w:shd w:val="clear" w:color="auto" w:fill="auto"/>
            <w:noWrap/>
            <w:vAlign w:val="center"/>
            <w:hideMark/>
          </w:tcPr>
          <w:p w14:paraId="1BCA4549" w14:textId="77777777" w:rsidR="00D07A53" w:rsidRPr="00667942" w:rsidRDefault="00D07A53" w:rsidP="003632F4">
            <w:pPr>
              <w:spacing w:line="240" w:lineRule="auto"/>
              <w:jc w:val="center"/>
              <w:rPr>
                <w:rFonts w:eastAsia="Times New Roman"/>
                <w:b/>
                <w:bCs/>
                <w:color w:val="000000"/>
                <w:lang w:eastAsia="en-NZ"/>
              </w:rPr>
            </w:pPr>
            <w:r w:rsidRPr="00667942">
              <w:rPr>
                <w:rFonts w:eastAsia="Arial"/>
                <w:b/>
                <w:bCs/>
                <w:color w:val="000000"/>
                <w:lang w:val="en-US" w:eastAsia="en-NZ"/>
              </w:rPr>
              <w:t>Follow-up</w:t>
            </w:r>
          </w:p>
        </w:tc>
      </w:tr>
      <w:tr w:rsidR="00D07A53" w:rsidRPr="00667942" w14:paraId="1BCAA49E" w14:textId="77777777" w:rsidTr="003632F4">
        <w:trPr>
          <w:trHeight w:val="398"/>
        </w:trPr>
        <w:tc>
          <w:tcPr>
            <w:tcW w:w="1489" w:type="dxa"/>
            <w:tcBorders>
              <w:top w:val="nil"/>
              <w:left w:val="nil"/>
              <w:bottom w:val="nil"/>
              <w:right w:val="nil"/>
            </w:tcBorders>
            <w:shd w:val="clear" w:color="auto" w:fill="auto"/>
            <w:noWrap/>
            <w:vAlign w:val="bottom"/>
            <w:hideMark/>
          </w:tcPr>
          <w:p w14:paraId="1640D1DF" w14:textId="77777777" w:rsidR="00D07A53" w:rsidRPr="00667942" w:rsidRDefault="00D07A53" w:rsidP="003632F4">
            <w:pPr>
              <w:spacing w:line="240" w:lineRule="auto"/>
              <w:jc w:val="center"/>
              <w:rPr>
                <w:rFonts w:eastAsia="Times New Roman"/>
                <w:color w:val="000000"/>
                <w:lang w:eastAsia="en-NZ"/>
              </w:rPr>
            </w:pPr>
          </w:p>
        </w:tc>
        <w:tc>
          <w:tcPr>
            <w:tcW w:w="1996" w:type="dxa"/>
            <w:gridSpan w:val="2"/>
            <w:vMerge/>
            <w:tcBorders>
              <w:top w:val="nil"/>
              <w:left w:val="nil"/>
              <w:bottom w:val="nil"/>
              <w:right w:val="nil"/>
            </w:tcBorders>
            <w:vAlign w:val="center"/>
            <w:hideMark/>
          </w:tcPr>
          <w:p w14:paraId="4FC022CA" w14:textId="77777777" w:rsidR="00D07A53" w:rsidRPr="00667942" w:rsidRDefault="00D07A53" w:rsidP="003632F4">
            <w:pPr>
              <w:spacing w:line="240" w:lineRule="auto"/>
              <w:rPr>
                <w:rFonts w:eastAsia="Times New Roman"/>
                <w:color w:val="000000"/>
                <w:lang w:eastAsia="en-NZ"/>
              </w:rPr>
            </w:pPr>
          </w:p>
        </w:tc>
        <w:tc>
          <w:tcPr>
            <w:tcW w:w="2320" w:type="dxa"/>
            <w:gridSpan w:val="2"/>
            <w:vMerge/>
            <w:tcBorders>
              <w:top w:val="nil"/>
              <w:left w:val="nil"/>
              <w:bottom w:val="nil"/>
              <w:right w:val="nil"/>
            </w:tcBorders>
            <w:vAlign w:val="center"/>
            <w:hideMark/>
          </w:tcPr>
          <w:p w14:paraId="190383DD" w14:textId="77777777" w:rsidR="00D07A53" w:rsidRPr="00667942" w:rsidRDefault="00D07A53" w:rsidP="003632F4">
            <w:pPr>
              <w:spacing w:line="240" w:lineRule="auto"/>
              <w:rPr>
                <w:rFonts w:eastAsia="Times New Roman"/>
                <w:color w:val="000000"/>
                <w:lang w:eastAsia="en-NZ"/>
              </w:rPr>
            </w:pPr>
          </w:p>
        </w:tc>
        <w:tc>
          <w:tcPr>
            <w:tcW w:w="2062" w:type="dxa"/>
            <w:gridSpan w:val="2"/>
            <w:vMerge/>
            <w:tcBorders>
              <w:top w:val="nil"/>
              <w:left w:val="nil"/>
              <w:bottom w:val="nil"/>
              <w:right w:val="nil"/>
            </w:tcBorders>
            <w:vAlign w:val="center"/>
            <w:hideMark/>
          </w:tcPr>
          <w:p w14:paraId="36E67F04" w14:textId="77777777" w:rsidR="00D07A53" w:rsidRPr="00667942" w:rsidRDefault="00D07A53" w:rsidP="003632F4">
            <w:pPr>
              <w:spacing w:line="240" w:lineRule="auto"/>
              <w:rPr>
                <w:rFonts w:eastAsia="Times New Roman"/>
                <w:color w:val="000000"/>
                <w:lang w:eastAsia="en-NZ"/>
              </w:rPr>
            </w:pPr>
          </w:p>
        </w:tc>
        <w:tc>
          <w:tcPr>
            <w:tcW w:w="2062" w:type="dxa"/>
            <w:gridSpan w:val="2"/>
            <w:tcBorders>
              <w:top w:val="nil"/>
              <w:left w:val="nil"/>
              <w:bottom w:val="nil"/>
              <w:right w:val="nil"/>
            </w:tcBorders>
            <w:shd w:val="clear" w:color="auto" w:fill="auto"/>
            <w:noWrap/>
            <w:vAlign w:val="center"/>
            <w:hideMark/>
          </w:tcPr>
          <w:p w14:paraId="43A38C1A" w14:textId="77777777" w:rsidR="00D07A53" w:rsidRPr="00667942" w:rsidRDefault="00D07A53" w:rsidP="003632F4">
            <w:pPr>
              <w:spacing w:line="240" w:lineRule="auto"/>
              <w:jc w:val="center"/>
              <w:rPr>
                <w:rFonts w:eastAsia="Times New Roman"/>
                <w:b/>
                <w:bCs/>
                <w:color w:val="000000"/>
                <w:lang w:eastAsia="en-NZ"/>
              </w:rPr>
            </w:pPr>
            <w:r w:rsidRPr="00667942">
              <w:rPr>
                <w:rFonts w:eastAsia="Arial"/>
                <w:b/>
                <w:bCs/>
                <w:color w:val="000000"/>
                <w:lang w:val="en-US" w:eastAsia="en-NZ"/>
              </w:rPr>
              <w:t>1 month</w:t>
            </w:r>
          </w:p>
        </w:tc>
        <w:tc>
          <w:tcPr>
            <w:tcW w:w="2062" w:type="dxa"/>
            <w:gridSpan w:val="2"/>
            <w:tcBorders>
              <w:top w:val="nil"/>
              <w:left w:val="nil"/>
              <w:bottom w:val="nil"/>
              <w:right w:val="nil"/>
            </w:tcBorders>
            <w:shd w:val="clear" w:color="auto" w:fill="auto"/>
            <w:noWrap/>
            <w:vAlign w:val="center"/>
            <w:hideMark/>
          </w:tcPr>
          <w:p w14:paraId="74429E81" w14:textId="77777777" w:rsidR="00D07A53" w:rsidRPr="00667942" w:rsidRDefault="00D07A53" w:rsidP="003632F4">
            <w:pPr>
              <w:spacing w:line="240" w:lineRule="auto"/>
              <w:jc w:val="center"/>
              <w:rPr>
                <w:rFonts w:eastAsia="Times New Roman"/>
                <w:b/>
                <w:bCs/>
                <w:color w:val="000000"/>
                <w:lang w:eastAsia="en-NZ"/>
              </w:rPr>
            </w:pPr>
            <w:r w:rsidRPr="00667942">
              <w:rPr>
                <w:rFonts w:eastAsia="Arial"/>
                <w:b/>
                <w:bCs/>
                <w:color w:val="000000"/>
                <w:lang w:val="en-US" w:eastAsia="en-NZ"/>
              </w:rPr>
              <w:t>3 months</w:t>
            </w:r>
          </w:p>
        </w:tc>
        <w:tc>
          <w:tcPr>
            <w:tcW w:w="1805" w:type="dxa"/>
            <w:gridSpan w:val="2"/>
            <w:tcBorders>
              <w:top w:val="nil"/>
              <w:left w:val="nil"/>
              <w:bottom w:val="nil"/>
              <w:right w:val="nil"/>
            </w:tcBorders>
            <w:shd w:val="clear" w:color="auto" w:fill="auto"/>
            <w:noWrap/>
            <w:vAlign w:val="center"/>
            <w:hideMark/>
          </w:tcPr>
          <w:p w14:paraId="3AC7ABA2" w14:textId="77777777" w:rsidR="00D07A53" w:rsidRPr="00667942" w:rsidRDefault="00D07A53" w:rsidP="003632F4">
            <w:pPr>
              <w:spacing w:line="240" w:lineRule="auto"/>
              <w:jc w:val="center"/>
              <w:rPr>
                <w:rFonts w:eastAsia="Times New Roman"/>
                <w:b/>
                <w:bCs/>
                <w:color w:val="000000"/>
                <w:lang w:eastAsia="en-NZ"/>
              </w:rPr>
            </w:pPr>
            <w:r w:rsidRPr="00667942">
              <w:rPr>
                <w:rFonts w:eastAsia="Arial"/>
                <w:b/>
                <w:bCs/>
                <w:color w:val="000000"/>
                <w:lang w:val="en-US" w:eastAsia="en-NZ"/>
              </w:rPr>
              <w:t xml:space="preserve"> 6 months</w:t>
            </w:r>
          </w:p>
        </w:tc>
        <w:tc>
          <w:tcPr>
            <w:tcW w:w="1809" w:type="dxa"/>
            <w:gridSpan w:val="2"/>
            <w:tcBorders>
              <w:top w:val="nil"/>
              <w:left w:val="nil"/>
              <w:bottom w:val="nil"/>
              <w:right w:val="nil"/>
            </w:tcBorders>
            <w:shd w:val="clear" w:color="auto" w:fill="auto"/>
            <w:noWrap/>
            <w:vAlign w:val="center"/>
            <w:hideMark/>
          </w:tcPr>
          <w:p w14:paraId="19102791" w14:textId="77777777" w:rsidR="00D07A53" w:rsidRPr="00667942" w:rsidRDefault="00D07A53" w:rsidP="003632F4">
            <w:pPr>
              <w:spacing w:line="240" w:lineRule="auto"/>
              <w:jc w:val="center"/>
              <w:rPr>
                <w:rFonts w:eastAsia="Times New Roman"/>
                <w:b/>
                <w:bCs/>
                <w:color w:val="000000"/>
                <w:lang w:eastAsia="en-NZ"/>
              </w:rPr>
            </w:pPr>
            <w:r w:rsidRPr="00667942">
              <w:rPr>
                <w:rFonts w:eastAsia="Arial"/>
                <w:b/>
                <w:bCs/>
                <w:color w:val="000000"/>
                <w:lang w:val="en-US" w:eastAsia="en-NZ"/>
              </w:rPr>
              <w:t>12 months</w:t>
            </w:r>
          </w:p>
        </w:tc>
      </w:tr>
      <w:tr w:rsidR="00D07A53" w:rsidRPr="00667942" w14:paraId="2E6D467E" w14:textId="77777777" w:rsidTr="003632F4">
        <w:trPr>
          <w:trHeight w:val="398"/>
        </w:trPr>
        <w:tc>
          <w:tcPr>
            <w:tcW w:w="1489" w:type="dxa"/>
            <w:tcBorders>
              <w:top w:val="nil"/>
              <w:left w:val="nil"/>
              <w:bottom w:val="nil"/>
              <w:right w:val="nil"/>
            </w:tcBorders>
            <w:shd w:val="clear" w:color="auto" w:fill="auto"/>
            <w:noWrap/>
            <w:vAlign w:val="bottom"/>
            <w:hideMark/>
          </w:tcPr>
          <w:p w14:paraId="481A0B0E" w14:textId="77777777" w:rsidR="00D07A53" w:rsidRPr="00667942" w:rsidRDefault="00D07A53" w:rsidP="003632F4">
            <w:pPr>
              <w:spacing w:line="240" w:lineRule="auto"/>
              <w:jc w:val="center"/>
              <w:rPr>
                <w:rFonts w:eastAsia="Times New Roman"/>
                <w:color w:val="000000"/>
                <w:lang w:eastAsia="en-NZ"/>
              </w:rPr>
            </w:pPr>
          </w:p>
        </w:tc>
        <w:tc>
          <w:tcPr>
            <w:tcW w:w="1029" w:type="dxa"/>
            <w:tcBorders>
              <w:top w:val="single" w:sz="4" w:space="0" w:color="auto"/>
              <w:left w:val="nil"/>
              <w:bottom w:val="nil"/>
              <w:right w:val="nil"/>
            </w:tcBorders>
            <w:shd w:val="clear" w:color="auto" w:fill="auto"/>
            <w:noWrap/>
            <w:vAlign w:val="center"/>
            <w:hideMark/>
          </w:tcPr>
          <w:p w14:paraId="2A26E0C5"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N</w:t>
            </w:r>
          </w:p>
        </w:tc>
        <w:tc>
          <w:tcPr>
            <w:tcW w:w="967" w:type="dxa"/>
            <w:tcBorders>
              <w:top w:val="single" w:sz="4" w:space="0" w:color="auto"/>
              <w:left w:val="nil"/>
              <w:bottom w:val="nil"/>
              <w:right w:val="nil"/>
            </w:tcBorders>
            <w:shd w:val="clear" w:color="auto" w:fill="auto"/>
            <w:noWrap/>
            <w:vAlign w:val="center"/>
            <w:hideMark/>
          </w:tcPr>
          <w:p w14:paraId="3089A063" w14:textId="77777777" w:rsidR="00D07A53" w:rsidRPr="00667942" w:rsidRDefault="00D07A53" w:rsidP="003632F4">
            <w:pPr>
              <w:spacing w:line="240" w:lineRule="auto"/>
              <w:jc w:val="right"/>
              <w:rPr>
                <w:rFonts w:eastAsia="Times New Roman"/>
                <w:i/>
                <w:iCs/>
                <w:color w:val="000000"/>
                <w:lang w:eastAsia="en-NZ"/>
              </w:rPr>
            </w:pPr>
            <w:r w:rsidRPr="00667942">
              <w:rPr>
                <w:rFonts w:eastAsia="Arial"/>
                <w:i/>
                <w:iCs/>
                <w:color w:val="000000"/>
                <w:lang w:val="en-US" w:eastAsia="en-NZ"/>
              </w:rPr>
              <w:t>%</w:t>
            </w:r>
          </w:p>
        </w:tc>
        <w:tc>
          <w:tcPr>
            <w:tcW w:w="1353" w:type="dxa"/>
            <w:tcBorders>
              <w:top w:val="single" w:sz="4" w:space="0" w:color="auto"/>
              <w:left w:val="nil"/>
              <w:bottom w:val="nil"/>
              <w:right w:val="nil"/>
            </w:tcBorders>
            <w:shd w:val="clear" w:color="auto" w:fill="auto"/>
            <w:noWrap/>
            <w:vAlign w:val="center"/>
            <w:hideMark/>
          </w:tcPr>
          <w:p w14:paraId="2ADABFFF"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N</w:t>
            </w:r>
          </w:p>
        </w:tc>
        <w:tc>
          <w:tcPr>
            <w:tcW w:w="967" w:type="dxa"/>
            <w:tcBorders>
              <w:top w:val="single" w:sz="4" w:space="0" w:color="auto"/>
              <w:left w:val="nil"/>
              <w:bottom w:val="nil"/>
              <w:right w:val="nil"/>
            </w:tcBorders>
            <w:shd w:val="clear" w:color="auto" w:fill="auto"/>
            <w:noWrap/>
            <w:vAlign w:val="center"/>
            <w:hideMark/>
          </w:tcPr>
          <w:p w14:paraId="25045ECC" w14:textId="77777777" w:rsidR="00D07A53" w:rsidRPr="00667942" w:rsidRDefault="00D07A53" w:rsidP="003632F4">
            <w:pPr>
              <w:spacing w:line="240" w:lineRule="auto"/>
              <w:jc w:val="right"/>
              <w:rPr>
                <w:rFonts w:eastAsia="Times New Roman"/>
                <w:i/>
                <w:iCs/>
                <w:color w:val="000000"/>
                <w:lang w:eastAsia="en-NZ"/>
              </w:rPr>
            </w:pPr>
            <w:r w:rsidRPr="00667942">
              <w:rPr>
                <w:rFonts w:eastAsia="Arial"/>
                <w:i/>
                <w:iCs/>
                <w:color w:val="000000"/>
                <w:lang w:val="en-US" w:eastAsia="en-NZ"/>
              </w:rPr>
              <w:t>%</w:t>
            </w:r>
          </w:p>
        </w:tc>
        <w:tc>
          <w:tcPr>
            <w:tcW w:w="1095" w:type="dxa"/>
            <w:tcBorders>
              <w:top w:val="single" w:sz="4" w:space="0" w:color="auto"/>
              <w:left w:val="nil"/>
              <w:bottom w:val="nil"/>
              <w:right w:val="nil"/>
            </w:tcBorders>
            <w:shd w:val="clear" w:color="auto" w:fill="auto"/>
            <w:noWrap/>
            <w:vAlign w:val="center"/>
            <w:hideMark/>
          </w:tcPr>
          <w:p w14:paraId="33B584B0"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N</w:t>
            </w:r>
          </w:p>
        </w:tc>
        <w:tc>
          <w:tcPr>
            <w:tcW w:w="967" w:type="dxa"/>
            <w:tcBorders>
              <w:top w:val="single" w:sz="4" w:space="0" w:color="auto"/>
              <w:left w:val="nil"/>
              <w:bottom w:val="nil"/>
              <w:right w:val="nil"/>
            </w:tcBorders>
            <w:shd w:val="clear" w:color="auto" w:fill="auto"/>
            <w:noWrap/>
            <w:vAlign w:val="center"/>
            <w:hideMark/>
          </w:tcPr>
          <w:p w14:paraId="55B01FD7" w14:textId="77777777" w:rsidR="00D07A53" w:rsidRPr="00667942" w:rsidRDefault="00D07A53" w:rsidP="003632F4">
            <w:pPr>
              <w:spacing w:line="240" w:lineRule="auto"/>
              <w:jc w:val="right"/>
              <w:rPr>
                <w:rFonts w:eastAsia="Times New Roman"/>
                <w:i/>
                <w:iCs/>
                <w:color w:val="000000"/>
                <w:lang w:eastAsia="en-NZ"/>
              </w:rPr>
            </w:pPr>
            <w:r w:rsidRPr="00667942">
              <w:rPr>
                <w:rFonts w:eastAsia="Arial"/>
                <w:i/>
                <w:iCs/>
                <w:color w:val="000000"/>
                <w:lang w:val="en-US" w:eastAsia="en-NZ"/>
              </w:rPr>
              <w:t>%</w:t>
            </w:r>
          </w:p>
        </w:tc>
        <w:tc>
          <w:tcPr>
            <w:tcW w:w="1095" w:type="dxa"/>
            <w:tcBorders>
              <w:top w:val="single" w:sz="4" w:space="0" w:color="auto"/>
              <w:left w:val="nil"/>
              <w:bottom w:val="nil"/>
              <w:right w:val="nil"/>
            </w:tcBorders>
            <w:shd w:val="clear" w:color="auto" w:fill="auto"/>
            <w:noWrap/>
            <w:vAlign w:val="center"/>
            <w:hideMark/>
          </w:tcPr>
          <w:p w14:paraId="60C25505"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N</w:t>
            </w:r>
          </w:p>
        </w:tc>
        <w:tc>
          <w:tcPr>
            <w:tcW w:w="967" w:type="dxa"/>
            <w:tcBorders>
              <w:top w:val="single" w:sz="4" w:space="0" w:color="auto"/>
              <w:left w:val="nil"/>
              <w:bottom w:val="nil"/>
              <w:right w:val="nil"/>
            </w:tcBorders>
            <w:shd w:val="clear" w:color="auto" w:fill="auto"/>
            <w:noWrap/>
            <w:vAlign w:val="center"/>
            <w:hideMark/>
          </w:tcPr>
          <w:p w14:paraId="1A447976" w14:textId="77777777" w:rsidR="00D07A53" w:rsidRPr="00667942" w:rsidRDefault="00D07A53" w:rsidP="003632F4">
            <w:pPr>
              <w:spacing w:line="240" w:lineRule="auto"/>
              <w:jc w:val="right"/>
              <w:rPr>
                <w:rFonts w:eastAsia="Times New Roman"/>
                <w:i/>
                <w:iCs/>
                <w:color w:val="000000"/>
                <w:lang w:eastAsia="en-NZ"/>
              </w:rPr>
            </w:pPr>
            <w:r w:rsidRPr="00667942">
              <w:rPr>
                <w:rFonts w:eastAsia="Arial"/>
                <w:i/>
                <w:iCs/>
                <w:color w:val="000000"/>
                <w:lang w:val="en-US" w:eastAsia="en-NZ"/>
              </w:rPr>
              <w:t>%</w:t>
            </w:r>
          </w:p>
        </w:tc>
        <w:tc>
          <w:tcPr>
            <w:tcW w:w="1095" w:type="dxa"/>
            <w:tcBorders>
              <w:top w:val="single" w:sz="4" w:space="0" w:color="auto"/>
              <w:left w:val="nil"/>
              <w:bottom w:val="nil"/>
              <w:right w:val="nil"/>
            </w:tcBorders>
            <w:shd w:val="clear" w:color="auto" w:fill="auto"/>
            <w:noWrap/>
            <w:vAlign w:val="center"/>
            <w:hideMark/>
          </w:tcPr>
          <w:p w14:paraId="4FF452C6"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N</w:t>
            </w:r>
          </w:p>
        </w:tc>
        <w:tc>
          <w:tcPr>
            <w:tcW w:w="967" w:type="dxa"/>
            <w:tcBorders>
              <w:top w:val="single" w:sz="4" w:space="0" w:color="auto"/>
              <w:left w:val="nil"/>
              <w:bottom w:val="nil"/>
              <w:right w:val="nil"/>
            </w:tcBorders>
            <w:shd w:val="clear" w:color="auto" w:fill="auto"/>
            <w:noWrap/>
            <w:vAlign w:val="center"/>
            <w:hideMark/>
          </w:tcPr>
          <w:p w14:paraId="6B184487" w14:textId="77777777" w:rsidR="00D07A53" w:rsidRPr="00667942" w:rsidRDefault="00D07A53" w:rsidP="003632F4">
            <w:pPr>
              <w:spacing w:line="240" w:lineRule="auto"/>
              <w:jc w:val="right"/>
              <w:rPr>
                <w:rFonts w:eastAsia="Times New Roman"/>
                <w:i/>
                <w:iCs/>
                <w:color w:val="000000"/>
                <w:lang w:eastAsia="en-NZ"/>
              </w:rPr>
            </w:pPr>
            <w:r w:rsidRPr="00667942">
              <w:rPr>
                <w:rFonts w:eastAsia="Arial"/>
                <w:i/>
                <w:iCs/>
                <w:color w:val="000000"/>
                <w:lang w:val="en-US" w:eastAsia="en-NZ"/>
              </w:rPr>
              <w:t>%</w:t>
            </w:r>
          </w:p>
        </w:tc>
        <w:tc>
          <w:tcPr>
            <w:tcW w:w="838" w:type="dxa"/>
            <w:tcBorders>
              <w:top w:val="single" w:sz="4" w:space="0" w:color="auto"/>
              <w:left w:val="nil"/>
              <w:bottom w:val="nil"/>
              <w:right w:val="nil"/>
            </w:tcBorders>
            <w:shd w:val="clear" w:color="auto" w:fill="auto"/>
            <w:noWrap/>
            <w:vAlign w:val="center"/>
            <w:hideMark/>
          </w:tcPr>
          <w:p w14:paraId="1D09DDA4"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N</w:t>
            </w:r>
          </w:p>
        </w:tc>
        <w:tc>
          <w:tcPr>
            <w:tcW w:w="967" w:type="dxa"/>
            <w:tcBorders>
              <w:top w:val="single" w:sz="4" w:space="0" w:color="auto"/>
              <w:left w:val="nil"/>
              <w:bottom w:val="nil"/>
              <w:right w:val="nil"/>
            </w:tcBorders>
            <w:shd w:val="clear" w:color="auto" w:fill="auto"/>
            <w:noWrap/>
            <w:vAlign w:val="center"/>
            <w:hideMark/>
          </w:tcPr>
          <w:p w14:paraId="1E8893F4" w14:textId="77777777" w:rsidR="00D07A53" w:rsidRPr="00667942" w:rsidRDefault="00D07A53" w:rsidP="003632F4">
            <w:pPr>
              <w:spacing w:line="240" w:lineRule="auto"/>
              <w:jc w:val="right"/>
              <w:rPr>
                <w:rFonts w:eastAsia="Times New Roman"/>
                <w:i/>
                <w:iCs/>
                <w:color w:val="000000"/>
                <w:lang w:eastAsia="en-NZ"/>
              </w:rPr>
            </w:pPr>
            <w:r w:rsidRPr="00667942">
              <w:rPr>
                <w:rFonts w:eastAsia="Arial"/>
                <w:i/>
                <w:iCs/>
                <w:color w:val="000000"/>
                <w:lang w:val="en-US" w:eastAsia="en-NZ"/>
              </w:rPr>
              <w:t>%</w:t>
            </w:r>
          </w:p>
        </w:tc>
        <w:tc>
          <w:tcPr>
            <w:tcW w:w="838" w:type="dxa"/>
            <w:tcBorders>
              <w:top w:val="single" w:sz="4" w:space="0" w:color="auto"/>
              <w:left w:val="nil"/>
              <w:bottom w:val="nil"/>
              <w:right w:val="nil"/>
            </w:tcBorders>
            <w:shd w:val="clear" w:color="auto" w:fill="auto"/>
            <w:noWrap/>
            <w:vAlign w:val="center"/>
            <w:hideMark/>
          </w:tcPr>
          <w:p w14:paraId="78A0B408"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N</w:t>
            </w:r>
          </w:p>
        </w:tc>
        <w:tc>
          <w:tcPr>
            <w:tcW w:w="971" w:type="dxa"/>
            <w:tcBorders>
              <w:top w:val="single" w:sz="4" w:space="0" w:color="auto"/>
              <w:left w:val="nil"/>
              <w:bottom w:val="nil"/>
              <w:right w:val="nil"/>
            </w:tcBorders>
            <w:shd w:val="clear" w:color="auto" w:fill="auto"/>
            <w:noWrap/>
            <w:vAlign w:val="center"/>
            <w:hideMark/>
          </w:tcPr>
          <w:p w14:paraId="4827802E" w14:textId="77777777" w:rsidR="00D07A53" w:rsidRPr="00667942" w:rsidRDefault="00D07A53" w:rsidP="003632F4">
            <w:pPr>
              <w:spacing w:line="240" w:lineRule="auto"/>
              <w:jc w:val="right"/>
              <w:rPr>
                <w:rFonts w:eastAsia="Times New Roman"/>
                <w:i/>
                <w:iCs/>
                <w:color w:val="000000"/>
                <w:lang w:eastAsia="en-NZ"/>
              </w:rPr>
            </w:pPr>
            <w:r w:rsidRPr="00667942">
              <w:rPr>
                <w:rFonts w:eastAsia="Arial"/>
                <w:i/>
                <w:iCs/>
                <w:color w:val="000000"/>
                <w:lang w:val="en-US" w:eastAsia="en-NZ"/>
              </w:rPr>
              <w:t>%</w:t>
            </w:r>
          </w:p>
        </w:tc>
      </w:tr>
      <w:tr w:rsidR="00D07A53" w:rsidRPr="00667942" w14:paraId="2BB9B701" w14:textId="77777777" w:rsidTr="003632F4">
        <w:trPr>
          <w:trHeight w:val="398"/>
        </w:trPr>
        <w:tc>
          <w:tcPr>
            <w:tcW w:w="1489" w:type="dxa"/>
            <w:tcBorders>
              <w:top w:val="single" w:sz="4" w:space="0" w:color="auto"/>
              <w:left w:val="nil"/>
              <w:bottom w:val="nil"/>
              <w:right w:val="nil"/>
            </w:tcBorders>
            <w:shd w:val="clear" w:color="auto" w:fill="auto"/>
            <w:noWrap/>
            <w:vAlign w:val="bottom"/>
            <w:hideMark/>
          </w:tcPr>
          <w:p w14:paraId="31362B30" w14:textId="77777777" w:rsidR="00D07A53" w:rsidRPr="00667942" w:rsidRDefault="00D07A53" w:rsidP="003632F4">
            <w:pPr>
              <w:spacing w:line="240" w:lineRule="auto"/>
              <w:rPr>
                <w:rFonts w:eastAsia="Times New Roman"/>
                <w:b/>
                <w:bCs/>
                <w:color w:val="000000"/>
                <w:sz w:val="22"/>
                <w:szCs w:val="22"/>
                <w:lang w:eastAsia="en-NZ"/>
              </w:rPr>
            </w:pPr>
            <w:r w:rsidRPr="00667942">
              <w:rPr>
                <w:rFonts w:eastAsia="Times New Roman"/>
                <w:b/>
                <w:bCs/>
                <w:color w:val="000000"/>
                <w:sz w:val="22"/>
                <w:szCs w:val="22"/>
                <w:lang w:eastAsia="en-NZ"/>
              </w:rPr>
              <w:t>Overall</w:t>
            </w:r>
          </w:p>
        </w:tc>
        <w:tc>
          <w:tcPr>
            <w:tcW w:w="1029" w:type="dxa"/>
            <w:tcBorders>
              <w:top w:val="single" w:sz="4" w:space="0" w:color="auto"/>
              <w:left w:val="nil"/>
              <w:bottom w:val="nil"/>
              <w:right w:val="nil"/>
            </w:tcBorders>
            <w:shd w:val="clear" w:color="auto" w:fill="auto"/>
            <w:noWrap/>
            <w:vAlign w:val="center"/>
            <w:hideMark/>
          </w:tcPr>
          <w:p w14:paraId="06239AFF"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22662</w:t>
            </w:r>
          </w:p>
        </w:tc>
        <w:tc>
          <w:tcPr>
            <w:tcW w:w="967" w:type="dxa"/>
            <w:tcBorders>
              <w:top w:val="single" w:sz="4" w:space="0" w:color="auto"/>
              <w:left w:val="nil"/>
              <w:bottom w:val="nil"/>
              <w:right w:val="nil"/>
            </w:tcBorders>
            <w:shd w:val="clear" w:color="auto" w:fill="auto"/>
            <w:noWrap/>
            <w:vAlign w:val="center"/>
            <w:hideMark/>
          </w:tcPr>
          <w:p w14:paraId="1EFDD1DA" w14:textId="77777777" w:rsidR="00D07A53" w:rsidRPr="00667942" w:rsidRDefault="00D07A53" w:rsidP="003632F4">
            <w:pPr>
              <w:spacing w:line="240" w:lineRule="auto"/>
              <w:jc w:val="right"/>
              <w:rPr>
                <w:rFonts w:eastAsia="Times New Roman"/>
                <w:i/>
                <w:iCs/>
                <w:color w:val="000000"/>
                <w:lang w:eastAsia="en-NZ"/>
              </w:rPr>
            </w:pPr>
            <w:r w:rsidRPr="00667942">
              <w:rPr>
                <w:rFonts w:eastAsia="Arial"/>
                <w:i/>
                <w:iCs/>
                <w:color w:val="000000"/>
                <w:lang w:val="en-US" w:eastAsia="en-NZ"/>
              </w:rPr>
              <w:t>34.7</w:t>
            </w:r>
          </w:p>
        </w:tc>
        <w:tc>
          <w:tcPr>
            <w:tcW w:w="1353" w:type="dxa"/>
            <w:tcBorders>
              <w:top w:val="single" w:sz="4" w:space="0" w:color="auto"/>
              <w:left w:val="nil"/>
              <w:bottom w:val="nil"/>
              <w:right w:val="nil"/>
            </w:tcBorders>
            <w:shd w:val="clear" w:color="auto" w:fill="auto"/>
            <w:noWrap/>
            <w:vAlign w:val="center"/>
            <w:hideMark/>
          </w:tcPr>
          <w:p w14:paraId="0A6847EE"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32072</w:t>
            </w:r>
          </w:p>
        </w:tc>
        <w:tc>
          <w:tcPr>
            <w:tcW w:w="967" w:type="dxa"/>
            <w:tcBorders>
              <w:top w:val="single" w:sz="4" w:space="0" w:color="auto"/>
              <w:left w:val="nil"/>
              <w:bottom w:val="nil"/>
              <w:right w:val="nil"/>
            </w:tcBorders>
            <w:shd w:val="clear" w:color="auto" w:fill="auto"/>
            <w:noWrap/>
            <w:vAlign w:val="center"/>
            <w:hideMark/>
          </w:tcPr>
          <w:p w14:paraId="5D9C1D9F" w14:textId="77777777" w:rsidR="00D07A53" w:rsidRPr="00667942" w:rsidRDefault="00D07A53" w:rsidP="003632F4">
            <w:pPr>
              <w:spacing w:line="240" w:lineRule="auto"/>
              <w:jc w:val="right"/>
              <w:rPr>
                <w:rFonts w:eastAsia="Times New Roman"/>
                <w:i/>
                <w:iCs/>
                <w:color w:val="000000"/>
                <w:lang w:eastAsia="en-NZ"/>
              </w:rPr>
            </w:pPr>
            <w:r w:rsidRPr="00667942">
              <w:rPr>
                <w:rFonts w:eastAsia="Arial"/>
                <w:i/>
                <w:iCs/>
                <w:color w:val="000000"/>
                <w:lang w:val="en-US" w:eastAsia="en-NZ"/>
              </w:rPr>
              <w:t>49.1</w:t>
            </w:r>
          </w:p>
        </w:tc>
        <w:tc>
          <w:tcPr>
            <w:tcW w:w="1095" w:type="dxa"/>
            <w:tcBorders>
              <w:top w:val="single" w:sz="4" w:space="0" w:color="auto"/>
              <w:left w:val="nil"/>
              <w:bottom w:val="nil"/>
              <w:right w:val="nil"/>
            </w:tcBorders>
            <w:shd w:val="clear" w:color="auto" w:fill="auto"/>
            <w:noWrap/>
            <w:vAlign w:val="center"/>
            <w:hideMark/>
          </w:tcPr>
          <w:p w14:paraId="49294463"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5332</w:t>
            </w:r>
          </w:p>
        </w:tc>
        <w:tc>
          <w:tcPr>
            <w:tcW w:w="967" w:type="dxa"/>
            <w:tcBorders>
              <w:top w:val="single" w:sz="4" w:space="0" w:color="auto"/>
              <w:left w:val="nil"/>
              <w:bottom w:val="nil"/>
              <w:right w:val="nil"/>
            </w:tcBorders>
            <w:shd w:val="clear" w:color="auto" w:fill="auto"/>
            <w:noWrap/>
            <w:vAlign w:val="center"/>
            <w:hideMark/>
          </w:tcPr>
          <w:p w14:paraId="4F316BD2" w14:textId="77777777" w:rsidR="00D07A53" w:rsidRPr="00667942" w:rsidRDefault="00D07A53" w:rsidP="003632F4">
            <w:pPr>
              <w:spacing w:line="240" w:lineRule="auto"/>
              <w:jc w:val="right"/>
              <w:rPr>
                <w:rFonts w:eastAsia="Times New Roman"/>
                <w:i/>
                <w:iCs/>
                <w:color w:val="000000"/>
                <w:lang w:eastAsia="en-NZ"/>
              </w:rPr>
            </w:pPr>
            <w:r w:rsidRPr="00667942">
              <w:rPr>
                <w:rFonts w:eastAsia="Arial"/>
                <w:i/>
                <w:iCs/>
                <w:color w:val="000000"/>
                <w:lang w:val="en-US" w:eastAsia="en-NZ"/>
              </w:rPr>
              <w:t>8.2</w:t>
            </w:r>
          </w:p>
        </w:tc>
        <w:tc>
          <w:tcPr>
            <w:tcW w:w="1095" w:type="dxa"/>
            <w:tcBorders>
              <w:top w:val="single" w:sz="4" w:space="0" w:color="auto"/>
              <w:left w:val="nil"/>
              <w:bottom w:val="nil"/>
              <w:right w:val="nil"/>
            </w:tcBorders>
            <w:shd w:val="clear" w:color="auto" w:fill="auto"/>
            <w:noWrap/>
            <w:vAlign w:val="center"/>
            <w:hideMark/>
          </w:tcPr>
          <w:p w14:paraId="360239AC"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2784</w:t>
            </w:r>
          </w:p>
        </w:tc>
        <w:tc>
          <w:tcPr>
            <w:tcW w:w="967" w:type="dxa"/>
            <w:tcBorders>
              <w:top w:val="single" w:sz="4" w:space="0" w:color="auto"/>
              <w:left w:val="nil"/>
              <w:bottom w:val="nil"/>
              <w:right w:val="nil"/>
            </w:tcBorders>
            <w:shd w:val="clear" w:color="auto" w:fill="auto"/>
            <w:noWrap/>
            <w:vAlign w:val="center"/>
            <w:hideMark/>
          </w:tcPr>
          <w:p w14:paraId="0E6B41EC" w14:textId="77777777" w:rsidR="00D07A53" w:rsidRPr="00667942" w:rsidRDefault="00D07A53" w:rsidP="003632F4">
            <w:pPr>
              <w:spacing w:line="240" w:lineRule="auto"/>
              <w:jc w:val="right"/>
              <w:rPr>
                <w:rFonts w:eastAsia="Times New Roman"/>
                <w:i/>
                <w:iCs/>
                <w:color w:val="000000"/>
                <w:lang w:eastAsia="en-NZ"/>
              </w:rPr>
            </w:pPr>
            <w:r w:rsidRPr="00667942">
              <w:rPr>
                <w:rFonts w:eastAsia="Arial"/>
                <w:i/>
                <w:iCs/>
                <w:color w:val="000000"/>
                <w:lang w:val="en-US" w:eastAsia="en-NZ"/>
              </w:rPr>
              <w:t>4.3</w:t>
            </w:r>
          </w:p>
        </w:tc>
        <w:tc>
          <w:tcPr>
            <w:tcW w:w="1095" w:type="dxa"/>
            <w:tcBorders>
              <w:top w:val="single" w:sz="4" w:space="0" w:color="auto"/>
              <w:left w:val="nil"/>
              <w:bottom w:val="nil"/>
              <w:right w:val="nil"/>
            </w:tcBorders>
            <w:shd w:val="clear" w:color="auto" w:fill="auto"/>
            <w:noWrap/>
            <w:vAlign w:val="center"/>
            <w:hideMark/>
          </w:tcPr>
          <w:p w14:paraId="43CCA452"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1063</w:t>
            </w:r>
          </w:p>
        </w:tc>
        <w:tc>
          <w:tcPr>
            <w:tcW w:w="967" w:type="dxa"/>
            <w:tcBorders>
              <w:top w:val="single" w:sz="4" w:space="0" w:color="auto"/>
              <w:left w:val="nil"/>
              <w:bottom w:val="nil"/>
              <w:right w:val="nil"/>
            </w:tcBorders>
            <w:shd w:val="clear" w:color="auto" w:fill="auto"/>
            <w:noWrap/>
            <w:vAlign w:val="center"/>
            <w:hideMark/>
          </w:tcPr>
          <w:p w14:paraId="1CC8B05D" w14:textId="77777777" w:rsidR="00D07A53" w:rsidRPr="00667942" w:rsidRDefault="00D07A53" w:rsidP="003632F4">
            <w:pPr>
              <w:spacing w:line="240" w:lineRule="auto"/>
              <w:jc w:val="right"/>
              <w:rPr>
                <w:rFonts w:eastAsia="Times New Roman"/>
                <w:i/>
                <w:iCs/>
                <w:color w:val="000000"/>
                <w:lang w:eastAsia="en-NZ"/>
              </w:rPr>
            </w:pPr>
            <w:r w:rsidRPr="00667942">
              <w:rPr>
                <w:rFonts w:eastAsia="Arial"/>
                <w:i/>
                <w:iCs/>
                <w:color w:val="000000"/>
                <w:lang w:val="en-US" w:eastAsia="en-NZ"/>
              </w:rPr>
              <w:t>1.6</w:t>
            </w:r>
          </w:p>
        </w:tc>
        <w:tc>
          <w:tcPr>
            <w:tcW w:w="838" w:type="dxa"/>
            <w:tcBorders>
              <w:top w:val="single" w:sz="4" w:space="0" w:color="auto"/>
              <w:left w:val="nil"/>
              <w:bottom w:val="nil"/>
              <w:right w:val="nil"/>
            </w:tcBorders>
            <w:shd w:val="clear" w:color="auto" w:fill="auto"/>
            <w:noWrap/>
            <w:vAlign w:val="center"/>
            <w:hideMark/>
          </w:tcPr>
          <w:p w14:paraId="5A2299B4"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753</w:t>
            </w:r>
          </w:p>
        </w:tc>
        <w:tc>
          <w:tcPr>
            <w:tcW w:w="967" w:type="dxa"/>
            <w:tcBorders>
              <w:top w:val="single" w:sz="4" w:space="0" w:color="auto"/>
              <w:left w:val="nil"/>
              <w:bottom w:val="nil"/>
              <w:right w:val="nil"/>
            </w:tcBorders>
            <w:shd w:val="clear" w:color="auto" w:fill="auto"/>
            <w:noWrap/>
            <w:vAlign w:val="center"/>
            <w:hideMark/>
          </w:tcPr>
          <w:p w14:paraId="7C6F77E3" w14:textId="77777777" w:rsidR="00D07A53" w:rsidRPr="00667942" w:rsidRDefault="00D07A53" w:rsidP="003632F4">
            <w:pPr>
              <w:spacing w:line="240" w:lineRule="auto"/>
              <w:jc w:val="right"/>
              <w:rPr>
                <w:rFonts w:eastAsia="Times New Roman"/>
                <w:i/>
                <w:iCs/>
                <w:color w:val="000000"/>
                <w:lang w:eastAsia="en-NZ"/>
              </w:rPr>
            </w:pPr>
            <w:r w:rsidRPr="00667942">
              <w:rPr>
                <w:rFonts w:eastAsia="Arial"/>
                <w:i/>
                <w:iCs/>
                <w:color w:val="000000"/>
                <w:lang w:val="en-US" w:eastAsia="en-NZ"/>
              </w:rPr>
              <w:t>1.2</w:t>
            </w:r>
          </w:p>
        </w:tc>
        <w:tc>
          <w:tcPr>
            <w:tcW w:w="838" w:type="dxa"/>
            <w:tcBorders>
              <w:top w:val="single" w:sz="4" w:space="0" w:color="auto"/>
              <w:left w:val="nil"/>
              <w:bottom w:val="nil"/>
              <w:right w:val="nil"/>
            </w:tcBorders>
            <w:shd w:val="clear" w:color="auto" w:fill="auto"/>
            <w:noWrap/>
            <w:vAlign w:val="center"/>
            <w:hideMark/>
          </w:tcPr>
          <w:p w14:paraId="5B573613"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623</w:t>
            </w:r>
          </w:p>
        </w:tc>
        <w:tc>
          <w:tcPr>
            <w:tcW w:w="971" w:type="dxa"/>
            <w:tcBorders>
              <w:top w:val="single" w:sz="4" w:space="0" w:color="auto"/>
              <w:left w:val="nil"/>
              <w:bottom w:val="nil"/>
              <w:right w:val="nil"/>
            </w:tcBorders>
            <w:shd w:val="clear" w:color="auto" w:fill="auto"/>
            <w:noWrap/>
            <w:vAlign w:val="center"/>
            <w:hideMark/>
          </w:tcPr>
          <w:p w14:paraId="3BC2656C" w14:textId="77777777" w:rsidR="00D07A53" w:rsidRPr="00667942" w:rsidRDefault="00D07A53" w:rsidP="003632F4">
            <w:pPr>
              <w:spacing w:line="240" w:lineRule="auto"/>
              <w:jc w:val="right"/>
              <w:rPr>
                <w:rFonts w:eastAsia="Times New Roman"/>
                <w:i/>
                <w:iCs/>
                <w:color w:val="000000"/>
                <w:lang w:eastAsia="en-NZ"/>
              </w:rPr>
            </w:pPr>
            <w:r w:rsidRPr="00667942">
              <w:rPr>
                <w:rFonts w:eastAsia="Arial"/>
                <w:i/>
                <w:iCs/>
                <w:color w:val="000000"/>
                <w:lang w:val="en-US" w:eastAsia="en-NZ"/>
              </w:rPr>
              <w:t>1</w:t>
            </w:r>
          </w:p>
        </w:tc>
      </w:tr>
      <w:tr w:rsidR="00D07A53" w:rsidRPr="00667942" w14:paraId="14C20B12" w14:textId="77777777" w:rsidTr="003632F4">
        <w:trPr>
          <w:trHeight w:val="379"/>
        </w:trPr>
        <w:tc>
          <w:tcPr>
            <w:tcW w:w="1489" w:type="dxa"/>
            <w:tcBorders>
              <w:top w:val="single" w:sz="4" w:space="0" w:color="auto"/>
              <w:left w:val="nil"/>
              <w:bottom w:val="nil"/>
              <w:right w:val="nil"/>
            </w:tcBorders>
            <w:shd w:val="clear" w:color="auto" w:fill="auto"/>
            <w:noWrap/>
            <w:vAlign w:val="bottom"/>
            <w:hideMark/>
          </w:tcPr>
          <w:p w14:paraId="0EAE61E1" w14:textId="77777777" w:rsidR="00D07A53" w:rsidRPr="00667942" w:rsidRDefault="00D07A53" w:rsidP="003632F4">
            <w:pPr>
              <w:spacing w:line="240" w:lineRule="auto"/>
              <w:rPr>
                <w:rFonts w:eastAsia="Times New Roman"/>
                <w:b/>
                <w:bCs/>
                <w:color w:val="000000"/>
                <w:sz w:val="22"/>
                <w:szCs w:val="22"/>
                <w:lang w:eastAsia="en-NZ"/>
              </w:rPr>
            </w:pPr>
            <w:r w:rsidRPr="00667942">
              <w:rPr>
                <w:rFonts w:eastAsia="Times New Roman"/>
                <w:b/>
                <w:bCs/>
                <w:color w:val="000000"/>
                <w:sz w:val="22"/>
                <w:szCs w:val="22"/>
                <w:lang w:eastAsia="en-NZ"/>
              </w:rPr>
              <w:t>Gender</w:t>
            </w:r>
          </w:p>
        </w:tc>
        <w:tc>
          <w:tcPr>
            <w:tcW w:w="1029" w:type="dxa"/>
            <w:tcBorders>
              <w:top w:val="single" w:sz="4" w:space="0" w:color="auto"/>
              <w:left w:val="nil"/>
              <w:bottom w:val="nil"/>
              <w:right w:val="nil"/>
            </w:tcBorders>
            <w:shd w:val="clear" w:color="auto" w:fill="auto"/>
            <w:noWrap/>
            <w:vAlign w:val="bottom"/>
            <w:hideMark/>
          </w:tcPr>
          <w:p w14:paraId="52EDB746" w14:textId="77777777" w:rsidR="00D07A53" w:rsidRPr="00667942" w:rsidRDefault="00D07A53" w:rsidP="003632F4">
            <w:pPr>
              <w:spacing w:line="240" w:lineRule="auto"/>
              <w:rPr>
                <w:rFonts w:eastAsia="Times New Roman"/>
                <w:b/>
                <w:bCs/>
                <w:color w:val="000000"/>
                <w:sz w:val="22"/>
                <w:szCs w:val="22"/>
                <w:lang w:eastAsia="en-NZ"/>
              </w:rPr>
            </w:pPr>
            <w:r w:rsidRPr="00667942">
              <w:rPr>
                <w:rFonts w:eastAsia="Times New Roman"/>
                <w:b/>
                <w:bCs/>
                <w:color w:val="000000"/>
                <w:sz w:val="22"/>
                <w:szCs w:val="22"/>
                <w:lang w:eastAsia="en-NZ"/>
              </w:rPr>
              <w:t> </w:t>
            </w:r>
          </w:p>
        </w:tc>
        <w:tc>
          <w:tcPr>
            <w:tcW w:w="967" w:type="dxa"/>
            <w:tcBorders>
              <w:top w:val="single" w:sz="4" w:space="0" w:color="auto"/>
              <w:left w:val="nil"/>
              <w:bottom w:val="nil"/>
              <w:right w:val="nil"/>
            </w:tcBorders>
            <w:shd w:val="clear" w:color="auto" w:fill="auto"/>
            <w:noWrap/>
            <w:vAlign w:val="bottom"/>
            <w:hideMark/>
          </w:tcPr>
          <w:p w14:paraId="049CDDA9" w14:textId="77777777" w:rsidR="00D07A53" w:rsidRPr="00667942" w:rsidRDefault="00D07A53" w:rsidP="003632F4">
            <w:pPr>
              <w:spacing w:line="240" w:lineRule="auto"/>
              <w:rPr>
                <w:rFonts w:eastAsia="Times New Roman"/>
                <w:b/>
                <w:bCs/>
                <w:color w:val="000000"/>
                <w:sz w:val="22"/>
                <w:szCs w:val="22"/>
                <w:lang w:eastAsia="en-NZ"/>
              </w:rPr>
            </w:pPr>
            <w:r w:rsidRPr="00667942">
              <w:rPr>
                <w:rFonts w:eastAsia="Times New Roman"/>
                <w:b/>
                <w:bCs/>
                <w:color w:val="000000"/>
                <w:sz w:val="22"/>
                <w:szCs w:val="22"/>
                <w:lang w:eastAsia="en-NZ"/>
              </w:rPr>
              <w:t> </w:t>
            </w:r>
          </w:p>
        </w:tc>
        <w:tc>
          <w:tcPr>
            <w:tcW w:w="1353" w:type="dxa"/>
            <w:tcBorders>
              <w:top w:val="single" w:sz="4" w:space="0" w:color="auto"/>
              <w:left w:val="nil"/>
              <w:bottom w:val="nil"/>
              <w:right w:val="nil"/>
            </w:tcBorders>
            <w:shd w:val="clear" w:color="auto" w:fill="auto"/>
            <w:noWrap/>
            <w:vAlign w:val="bottom"/>
            <w:hideMark/>
          </w:tcPr>
          <w:p w14:paraId="10F05F15" w14:textId="77777777" w:rsidR="00D07A53" w:rsidRPr="00667942" w:rsidRDefault="00D07A53" w:rsidP="003632F4">
            <w:pPr>
              <w:spacing w:line="240" w:lineRule="auto"/>
              <w:rPr>
                <w:rFonts w:eastAsia="Times New Roman"/>
                <w:b/>
                <w:bCs/>
                <w:color w:val="000000"/>
                <w:sz w:val="22"/>
                <w:szCs w:val="22"/>
                <w:lang w:eastAsia="en-NZ"/>
              </w:rPr>
            </w:pPr>
            <w:r w:rsidRPr="00667942">
              <w:rPr>
                <w:rFonts w:eastAsia="Times New Roman"/>
                <w:b/>
                <w:bCs/>
                <w:color w:val="000000"/>
                <w:sz w:val="22"/>
                <w:szCs w:val="22"/>
                <w:lang w:eastAsia="en-NZ"/>
              </w:rPr>
              <w:t> </w:t>
            </w:r>
          </w:p>
        </w:tc>
        <w:tc>
          <w:tcPr>
            <w:tcW w:w="967" w:type="dxa"/>
            <w:tcBorders>
              <w:top w:val="single" w:sz="4" w:space="0" w:color="auto"/>
              <w:left w:val="nil"/>
              <w:bottom w:val="nil"/>
              <w:right w:val="nil"/>
            </w:tcBorders>
            <w:shd w:val="clear" w:color="auto" w:fill="auto"/>
            <w:noWrap/>
            <w:vAlign w:val="bottom"/>
            <w:hideMark/>
          </w:tcPr>
          <w:p w14:paraId="707C756E" w14:textId="77777777" w:rsidR="00D07A53" w:rsidRPr="00667942" w:rsidRDefault="00D07A53" w:rsidP="003632F4">
            <w:pPr>
              <w:spacing w:line="240" w:lineRule="auto"/>
              <w:rPr>
                <w:rFonts w:eastAsia="Times New Roman"/>
                <w:b/>
                <w:bCs/>
                <w:color w:val="000000"/>
                <w:sz w:val="22"/>
                <w:szCs w:val="22"/>
                <w:lang w:eastAsia="en-NZ"/>
              </w:rPr>
            </w:pPr>
            <w:r w:rsidRPr="00667942">
              <w:rPr>
                <w:rFonts w:eastAsia="Times New Roman"/>
                <w:b/>
                <w:bCs/>
                <w:color w:val="000000"/>
                <w:sz w:val="22"/>
                <w:szCs w:val="22"/>
                <w:lang w:eastAsia="en-NZ"/>
              </w:rPr>
              <w:t> </w:t>
            </w:r>
          </w:p>
        </w:tc>
        <w:tc>
          <w:tcPr>
            <w:tcW w:w="1095" w:type="dxa"/>
            <w:tcBorders>
              <w:top w:val="single" w:sz="4" w:space="0" w:color="auto"/>
              <w:left w:val="nil"/>
              <w:bottom w:val="nil"/>
              <w:right w:val="nil"/>
            </w:tcBorders>
            <w:shd w:val="clear" w:color="auto" w:fill="auto"/>
            <w:noWrap/>
            <w:vAlign w:val="bottom"/>
            <w:hideMark/>
          </w:tcPr>
          <w:p w14:paraId="71B1DDC4" w14:textId="77777777" w:rsidR="00D07A53" w:rsidRPr="00667942" w:rsidRDefault="00D07A53" w:rsidP="003632F4">
            <w:pPr>
              <w:spacing w:line="240" w:lineRule="auto"/>
              <w:rPr>
                <w:rFonts w:eastAsia="Times New Roman"/>
                <w:b/>
                <w:bCs/>
                <w:color w:val="000000"/>
                <w:sz w:val="22"/>
                <w:szCs w:val="22"/>
                <w:lang w:eastAsia="en-NZ"/>
              </w:rPr>
            </w:pPr>
            <w:r w:rsidRPr="00667942">
              <w:rPr>
                <w:rFonts w:eastAsia="Times New Roman"/>
                <w:b/>
                <w:bCs/>
                <w:color w:val="000000"/>
                <w:sz w:val="22"/>
                <w:szCs w:val="22"/>
                <w:lang w:eastAsia="en-NZ"/>
              </w:rPr>
              <w:t> </w:t>
            </w:r>
          </w:p>
        </w:tc>
        <w:tc>
          <w:tcPr>
            <w:tcW w:w="967" w:type="dxa"/>
            <w:tcBorders>
              <w:top w:val="single" w:sz="4" w:space="0" w:color="auto"/>
              <w:left w:val="nil"/>
              <w:bottom w:val="nil"/>
              <w:right w:val="nil"/>
            </w:tcBorders>
            <w:shd w:val="clear" w:color="auto" w:fill="auto"/>
            <w:noWrap/>
            <w:vAlign w:val="bottom"/>
            <w:hideMark/>
          </w:tcPr>
          <w:p w14:paraId="4F959C1E" w14:textId="77777777" w:rsidR="00D07A53" w:rsidRPr="00667942" w:rsidRDefault="00D07A53" w:rsidP="003632F4">
            <w:pPr>
              <w:spacing w:line="240" w:lineRule="auto"/>
              <w:rPr>
                <w:rFonts w:eastAsia="Times New Roman"/>
                <w:b/>
                <w:bCs/>
                <w:color w:val="000000"/>
                <w:sz w:val="22"/>
                <w:szCs w:val="22"/>
                <w:lang w:eastAsia="en-NZ"/>
              </w:rPr>
            </w:pPr>
            <w:r w:rsidRPr="00667942">
              <w:rPr>
                <w:rFonts w:eastAsia="Times New Roman"/>
                <w:b/>
                <w:bCs/>
                <w:color w:val="000000"/>
                <w:sz w:val="22"/>
                <w:szCs w:val="22"/>
                <w:lang w:eastAsia="en-NZ"/>
              </w:rPr>
              <w:t> </w:t>
            </w:r>
          </w:p>
        </w:tc>
        <w:tc>
          <w:tcPr>
            <w:tcW w:w="1095" w:type="dxa"/>
            <w:tcBorders>
              <w:top w:val="single" w:sz="4" w:space="0" w:color="auto"/>
              <w:left w:val="nil"/>
              <w:bottom w:val="nil"/>
              <w:right w:val="nil"/>
            </w:tcBorders>
            <w:shd w:val="clear" w:color="auto" w:fill="auto"/>
            <w:noWrap/>
            <w:vAlign w:val="bottom"/>
            <w:hideMark/>
          </w:tcPr>
          <w:p w14:paraId="399304BD" w14:textId="77777777" w:rsidR="00D07A53" w:rsidRPr="00667942" w:rsidRDefault="00D07A53" w:rsidP="003632F4">
            <w:pPr>
              <w:spacing w:line="240" w:lineRule="auto"/>
              <w:rPr>
                <w:rFonts w:eastAsia="Times New Roman"/>
                <w:b/>
                <w:bCs/>
                <w:color w:val="000000"/>
                <w:sz w:val="22"/>
                <w:szCs w:val="22"/>
                <w:lang w:eastAsia="en-NZ"/>
              </w:rPr>
            </w:pPr>
            <w:r w:rsidRPr="00667942">
              <w:rPr>
                <w:rFonts w:eastAsia="Times New Roman"/>
                <w:b/>
                <w:bCs/>
                <w:color w:val="000000"/>
                <w:sz w:val="22"/>
                <w:szCs w:val="22"/>
                <w:lang w:eastAsia="en-NZ"/>
              </w:rPr>
              <w:t> </w:t>
            </w:r>
          </w:p>
        </w:tc>
        <w:tc>
          <w:tcPr>
            <w:tcW w:w="967" w:type="dxa"/>
            <w:tcBorders>
              <w:top w:val="single" w:sz="4" w:space="0" w:color="auto"/>
              <w:left w:val="nil"/>
              <w:bottom w:val="nil"/>
              <w:right w:val="nil"/>
            </w:tcBorders>
            <w:shd w:val="clear" w:color="auto" w:fill="auto"/>
            <w:noWrap/>
            <w:vAlign w:val="bottom"/>
            <w:hideMark/>
          </w:tcPr>
          <w:p w14:paraId="58299855" w14:textId="77777777" w:rsidR="00D07A53" w:rsidRPr="00667942" w:rsidRDefault="00D07A53" w:rsidP="003632F4">
            <w:pPr>
              <w:spacing w:line="240" w:lineRule="auto"/>
              <w:rPr>
                <w:rFonts w:eastAsia="Times New Roman"/>
                <w:b/>
                <w:bCs/>
                <w:color w:val="000000"/>
                <w:sz w:val="22"/>
                <w:szCs w:val="22"/>
                <w:lang w:eastAsia="en-NZ"/>
              </w:rPr>
            </w:pPr>
            <w:r w:rsidRPr="00667942">
              <w:rPr>
                <w:rFonts w:eastAsia="Times New Roman"/>
                <w:b/>
                <w:bCs/>
                <w:color w:val="000000"/>
                <w:sz w:val="22"/>
                <w:szCs w:val="22"/>
                <w:lang w:eastAsia="en-NZ"/>
              </w:rPr>
              <w:t> </w:t>
            </w:r>
          </w:p>
        </w:tc>
        <w:tc>
          <w:tcPr>
            <w:tcW w:w="1095" w:type="dxa"/>
            <w:tcBorders>
              <w:top w:val="single" w:sz="4" w:space="0" w:color="auto"/>
              <w:left w:val="nil"/>
              <w:bottom w:val="nil"/>
              <w:right w:val="nil"/>
            </w:tcBorders>
            <w:shd w:val="clear" w:color="auto" w:fill="auto"/>
            <w:noWrap/>
            <w:vAlign w:val="bottom"/>
            <w:hideMark/>
          </w:tcPr>
          <w:p w14:paraId="4EC5CE45" w14:textId="77777777" w:rsidR="00D07A53" w:rsidRPr="00667942" w:rsidRDefault="00D07A53" w:rsidP="003632F4">
            <w:pPr>
              <w:spacing w:line="240" w:lineRule="auto"/>
              <w:rPr>
                <w:rFonts w:eastAsia="Times New Roman"/>
                <w:b/>
                <w:bCs/>
                <w:color w:val="000000"/>
                <w:sz w:val="22"/>
                <w:szCs w:val="22"/>
                <w:lang w:eastAsia="en-NZ"/>
              </w:rPr>
            </w:pPr>
            <w:r w:rsidRPr="00667942">
              <w:rPr>
                <w:rFonts w:eastAsia="Times New Roman"/>
                <w:b/>
                <w:bCs/>
                <w:color w:val="000000"/>
                <w:sz w:val="22"/>
                <w:szCs w:val="22"/>
                <w:lang w:eastAsia="en-NZ"/>
              </w:rPr>
              <w:t> </w:t>
            </w:r>
          </w:p>
        </w:tc>
        <w:tc>
          <w:tcPr>
            <w:tcW w:w="967" w:type="dxa"/>
            <w:tcBorders>
              <w:top w:val="single" w:sz="4" w:space="0" w:color="auto"/>
              <w:left w:val="nil"/>
              <w:bottom w:val="nil"/>
              <w:right w:val="nil"/>
            </w:tcBorders>
            <w:shd w:val="clear" w:color="auto" w:fill="auto"/>
            <w:noWrap/>
            <w:vAlign w:val="bottom"/>
            <w:hideMark/>
          </w:tcPr>
          <w:p w14:paraId="1586FB4B" w14:textId="77777777" w:rsidR="00D07A53" w:rsidRPr="00667942" w:rsidRDefault="00D07A53" w:rsidP="003632F4">
            <w:pPr>
              <w:spacing w:line="240" w:lineRule="auto"/>
              <w:rPr>
                <w:rFonts w:eastAsia="Times New Roman"/>
                <w:b/>
                <w:bCs/>
                <w:color w:val="000000"/>
                <w:sz w:val="22"/>
                <w:szCs w:val="22"/>
                <w:lang w:eastAsia="en-NZ"/>
              </w:rPr>
            </w:pPr>
            <w:r w:rsidRPr="00667942">
              <w:rPr>
                <w:rFonts w:eastAsia="Times New Roman"/>
                <w:b/>
                <w:bCs/>
                <w:color w:val="000000"/>
                <w:sz w:val="22"/>
                <w:szCs w:val="22"/>
                <w:lang w:eastAsia="en-NZ"/>
              </w:rPr>
              <w:t> </w:t>
            </w:r>
          </w:p>
        </w:tc>
        <w:tc>
          <w:tcPr>
            <w:tcW w:w="838" w:type="dxa"/>
            <w:tcBorders>
              <w:top w:val="single" w:sz="4" w:space="0" w:color="auto"/>
              <w:left w:val="nil"/>
              <w:bottom w:val="nil"/>
              <w:right w:val="nil"/>
            </w:tcBorders>
            <w:shd w:val="clear" w:color="auto" w:fill="auto"/>
            <w:noWrap/>
            <w:vAlign w:val="bottom"/>
            <w:hideMark/>
          </w:tcPr>
          <w:p w14:paraId="766337FF" w14:textId="77777777" w:rsidR="00D07A53" w:rsidRPr="00667942" w:rsidRDefault="00D07A53" w:rsidP="003632F4">
            <w:pPr>
              <w:spacing w:line="240" w:lineRule="auto"/>
              <w:rPr>
                <w:rFonts w:eastAsia="Times New Roman"/>
                <w:b/>
                <w:bCs/>
                <w:color w:val="000000"/>
                <w:sz w:val="22"/>
                <w:szCs w:val="22"/>
                <w:lang w:eastAsia="en-NZ"/>
              </w:rPr>
            </w:pPr>
            <w:r w:rsidRPr="00667942">
              <w:rPr>
                <w:rFonts w:eastAsia="Times New Roman"/>
                <w:b/>
                <w:bCs/>
                <w:color w:val="000000"/>
                <w:sz w:val="22"/>
                <w:szCs w:val="22"/>
                <w:lang w:eastAsia="en-NZ"/>
              </w:rPr>
              <w:t> </w:t>
            </w:r>
          </w:p>
        </w:tc>
        <w:tc>
          <w:tcPr>
            <w:tcW w:w="967" w:type="dxa"/>
            <w:tcBorders>
              <w:top w:val="single" w:sz="4" w:space="0" w:color="auto"/>
              <w:left w:val="nil"/>
              <w:bottom w:val="nil"/>
              <w:right w:val="nil"/>
            </w:tcBorders>
            <w:shd w:val="clear" w:color="auto" w:fill="auto"/>
            <w:noWrap/>
            <w:vAlign w:val="bottom"/>
            <w:hideMark/>
          </w:tcPr>
          <w:p w14:paraId="576823FA" w14:textId="77777777" w:rsidR="00D07A53" w:rsidRPr="00667942" w:rsidRDefault="00D07A53" w:rsidP="003632F4">
            <w:pPr>
              <w:spacing w:line="240" w:lineRule="auto"/>
              <w:rPr>
                <w:rFonts w:eastAsia="Times New Roman"/>
                <w:b/>
                <w:bCs/>
                <w:color w:val="000000"/>
                <w:sz w:val="22"/>
                <w:szCs w:val="22"/>
                <w:lang w:eastAsia="en-NZ"/>
              </w:rPr>
            </w:pPr>
            <w:r w:rsidRPr="00667942">
              <w:rPr>
                <w:rFonts w:eastAsia="Times New Roman"/>
                <w:b/>
                <w:bCs/>
                <w:color w:val="000000"/>
                <w:sz w:val="22"/>
                <w:szCs w:val="22"/>
                <w:lang w:eastAsia="en-NZ"/>
              </w:rPr>
              <w:t> </w:t>
            </w:r>
          </w:p>
        </w:tc>
        <w:tc>
          <w:tcPr>
            <w:tcW w:w="838" w:type="dxa"/>
            <w:tcBorders>
              <w:top w:val="single" w:sz="4" w:space="0" w:color="auto"/>
              <w:left w:val="nil"/>
              <w:bottom w:val="nil"/>
              <w:right w:val="nil"/>
            </w:tcBorders>
            <w:shd w:val="clear" w:color="auto" w:fill="auto"/>
            <w:noWrap/>
            <w:vAlign w:val="bottom"/>
            <w:hideMark/>
          </w:tcPr>
          <w:p w14:paraId="51390EDA" w14:textId="77777777" w:rsidR="00D07A53" w:rsidRPr="00667942" w:rsidRDefault="00D07A53" w:rsidP="003632F4">
            <w:pPr>
              <w:spacing w:line="240" w:lineRule="auto"/>
              <w:rPr>
                <w:rFonts w:eastAsia="Times New Roman"/>
                <w:b/>
                <w:bCs/>
                <w:color w:val="000000"/>
                <w:sz w:val="22"/>
                <w:szCs w:val="22"/>
                <w:lang w:eastAsia="en-NZ"/>
              </w:rPr>
            </w:pPr>
            <w:r w:rsidRPr="00667942">
              <w:rPr>
                <w:rFonts w:eastAsia="Times New Roman"/>
                <w:b/>
                <w:bCs/>
                <w:color w:val="000000"/>
                <w:sz w:val="22"/>
                <w:szCs w:val="22"/>
                <w:lang w:eastAsia="en-NZ"/>
              </w:rPr>
              <w:t> </w:t>
            </w:r>
          </w:p>
        </w:tc>
        <w:tc>
          <w:tcPr>
            <w:tcW w:w="971" w:type="dxa"/>
            <w:tcBorders>
              <w:top w:val="single" w:sz="4" w:space="0" w:color="auto"/>
              <w:left w:val="nil"/>
              <w:bottom w:val="nil"/>
              <w:right w:val="nil"/>
            </w:tcBorders>
            <w:shd w:val="clear" w:color="auto" w:fill="auto"/>
            <w:noWrap/>
            <w:vAlign w:val="bottom"/>
            <w:hideMark/>
          </w:tcPr>
          <w:p w14:paraId="14FBA3A7" w14:textId="77777777" w:rsidR="00D07A53" w:rsidRPr="00667942" w:rsidRDefault="00D07A53" w:rsidP="003632F4">
            <w:pPr>
              <w:spacing w:line="240" w:lineRule="auto"/>
              <w:rPr>
                <w:rFonts w:eastAsia="Times New Roman"/>
                <w:b/>
                <w:bCs/>
                <w:color w:val="000000"/>
                <w:sz w:val="22"/>
                <w:szCs w:val="22"/>
                <w:lang w:eastAsia="en-NZ"/>
              </w:rPr>
            </w:pPr>
            <w:r w:rsidRPr="00667942">
              <w:rPr>
                <w:rFonts w:eastAsia="Times New Roman"/>
                <w:b/>
                <w:bCs/>
                <w:color w:val="000000"/>
                <w:sz w:val="22"/>
                <w:szCs w:val="22"/>
                <w:lang w:eastAsia="en-NZ"/>
              </w:rPr>
              <w:t> </w:t>
            </w:r>
          </w:p>
        </w:tc>
      </w:tr>
      <w:tr w:rsidR="00D07A53" w:rsidRPr="00667942" w14:paraId="72E59BF3" w14:textId="77777777" w:rsidTr="003632F4">
        <w:trPr>
          <w:trHeight w:val="398"/>
        </w:trPr>
        <w:tc>
          <w:tcPr>
            <w:tcW w:w="1489" w:type="dxa"/>
            <w:tcBorders>
              <w:top w:val="nil"/>
              <w:left w:val="nil"/>
              <w:bottom w:val="nil"/>
              <w:right w:val="nil"/>
            </w:tcBorders>
            <w:shd w:val="clear" w:color="auto" w:fill="auto"/>
            <w:noWrap/>
            <w:vAlign w:val="bottom"/>
            <w:hideMark/>
          </w:tcPr>
          <w:p w14:paraId="732F7D5D" w14:textId="77777777" w:rsidR="00D07A53" w:rsidRPr="00667942" w:rsidRDefault="00D07A53" w:rsidP="003632F4">
            <w:pPr>
              <w:spacing w:line="240" w:lineRule="auto"/>
              <w:rPr>
                <w:rFonts w:eastAsia="Times New Roman"/>
                <w:color w:val="000000"/>
                <w:sz w:val="22"/>
                <w:szCs w:val="22"/>
                <w:lang w:eastAsia="en-NZ"/>
              </w:rPr>
            </w:pPr>
            <w:r>
              <w:rPr>
                <w:rFonts w:eastAsia="Times New Roman"/>
                <w:color w:val="000000"/>
                <w:sz w:val="22"/>
                <w:szCs w:val="22"/>
                <w:lang w:eastAsia="en-NZ"/>
              </w:rPr>
              <w:t xml:space="preserve">  </w:t>
            </w:r>
            <w:r w:rsidRPr="00667942">
              <w:rPr>
                <w:rFonts w:eastAsia="Times New Roman"/>
                <w:color w:val="000000"/>
                <w:sz w:val="22"/>
                <w:szCs w:val="22"/>
                <w:lang w:eastAsia="en-NZ"/>
              </w:rPr>
              <w:t>Female</w:t>
            </w:r>
          </w:p>
        </w:tc>
        <w:tc>
          <w:tcPr>
            <w:tcW w:w="1029" w:type="dxa"/>
            <w:tcBorders>
              <w:top w:val="nil"/>
              <w:left w:val="nil"/>
              <w:bottom w:val="nil"/>
              <w:right w:val="nil"/>
            </w:tcBorders>
            <w:shd w:val="clear" w:color="auto" w:fill="auto"/>
            <w:noWrap/>
            <w:vAlign w:val="center"/>
            <w:hideMark/>
          </w:tcPr>
          <w:p w14:paraId="7FE95217"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14735</w:t>
            </w:r>
          </w:p>
        </w:tc>
        <w:tc>
          <w:tcPr>
            <w:tcW w:w="967" w:type="dxa"/>
            <w:tcBorders>
              <w:top w:val="nil"/>
              <w:left w:val="nil"/>
              <w:bottom w:val="nil"/>
              <w:right w:val="nil"/>
            </w:tcBorders>
            <w:shd w:val="clear" w:color="auto" w:fill="auto"/>
            <w:noWrap/>
            <w:vAlign w:val="center"/>
            <w:hideMark/>
          </w:tcPr>
          <w:p w14:paraId="34FF3F8E"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65</w:t>
            </w:r>
          </w:p>
        </w:tc>
        <w:tc>
          <w:tcPr>
            <w:tcW w:w="1353" w:type="dxa"/>
            <w:tcBorders>
              <w:top w:val="nil"/>
              <w:left w:val="nil"/>
              <w:bottom w:val="nil"/>
              <w:right w:val="nil"/>
            </w:tcBorders>
            <w:shd w:val="clear" w:color="auto" w:fill="auto"/>
            <w:noWrap/>
            <w:vAlign w:val="center"/>
            <w:hideMark/>
          </w:tcPr>
          <w:p w14:paraId="3F360686"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19981</w:t>
            </w:r>
          </w:p>
        </w:tc>
        <w:tc>
          <w:tcPr>
            <w:tcW w:w="967" w:type="dxa"/>
            <w:tcBorders>
              <w:top w:val="nil"/>
              <w:left w:val="nil"/>
              <w:bottom w:val="nil"/>
              <w:right w:val="nil"/>
            </w:tcBorders>
            <w:shd w:val="clear" w:color="auto" w:fill="auto"/>
            <w:noWrap/>
            <w:vAlign w:val="center"/>
            <w:hideMark/>
          </w:tcPr>
          <w:p w14:paraId="16A517A7"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62.3</w:t>
            </w:r>
          </w:p>
        </w:tc>
        <w:tc>
          <w:tcPr>
            <w:tcW w:w="1095" w:type="dxa"/>
            <w:tcBorders>
              <w:top w:val="nil"/>
              <w:left w:val="nil"/>
              <w:bottom w:val="nil"/>
              <w:right w:val="nil"/>
            </w:tcBorders>
            <w:shd w:val="clear" w:color="auto" w:fill="auto"/>
            <w:noWrap/>
            <w:vAlign w:val="center"/>
            <w:hideMark/>
          </w:tcPr>
          <w:p w14:paraId="56891465"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3480</w:t>
            </w:r>
          </w:p>
        </w:tc>
        <w:tc>
          <w:tcPr>
            <w:tcW w:w="967" w:type="dxa"/>
            <w:tcBorders>
              <w:top w:val="nil"/>
              <w:left w:val="nil"/>
              <w:bottom w:val="nil"/>
              <w:right w:val="nil"/>
            </w:tcBorders>
            <w:shd w:val="clear" w:color="auto" w:fill="auto"/>
            <w:noWrap/>
            <w:vAlign w:val="center"/>
            <w:hideMark/>
          </w:tcPr>
          <w:p w14:paraId="63E03F68"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65.3</w:t>
            </w:r>
          </w:p>
        </w:tc>
        <w:tc>
          <w:tcPr>
            <w:tcW w:w="1095" w:type="dxa"/>
            <w:tcBorders>
              <w:top w:val="nil"/>
              <w:left w:val="nil"/>
              <w:bottom w:val="nil"/>
              <w:right w:val="nil"/>
            </w:tcBorders>
            <w:shd w:val="clear" w:color="auto" w:fill="auto"/>
            <w:noWrap/>
            <w:vAlign w:val="center"/>
            <w:hideMark/>
          </w:tcPr>
          <w:p w14:paraId="2CED5505"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1795</w:t>
            </w:r>
          </w:p>
        </w:tc>
        <w:tc>
          <w:tcPr>
            <w:tcW w:w="967" w:type="dxa"/>
            <w:tcBorders>
              <w:top w:val="nil"/>
              <w:left w:val="nil"/>
              <w:bottom w:val="nil"/>
              <w:right w:val="nil"/>
            </w:tcBorders>
            <w:shd w:val="clear" w:color="auto" w:fill="auto"/>
            <w:noWrap/>
            <w:vAlign w:val="center"/>
            <w:hideMark/>
          </w:tcPr>
          <w:p w14:paraId="27E36B4C"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64.5</w:t>
            </w:r>
          </w:p>
        </w:tc>
        <w:tc>
          <w:tcPr>
            <w:tcW w:w="1095" w:type="dxa"/>
            <w:tcBorders>
              <w:top w:val="nil"/>
              <w:left w:val="nil"/>
              <w:bottom w:val="nil"/>
              <w:right w:val="nil"/>
            </w:tcBorders>
            <w:shd w:val="clear" w:color="auto" w:fill="auto"/>
            <w:noWrap/>
            <w:vAlign w:val="center"/>
            <w:hideMark/>
          </w:tcPr>
          <w:p w14:paraId="5A980B37"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751</w:t>
            </w:r>
          </w:p>
        </w:tc>
        <w:tc>
          <w:tcPr>
            <w:tcW w:w="967" w:type="dxa"/>
            <w:tcBorders>
              <w:top w:val="nil"/>
              <w:left w:val="nil"/>
              <w:bottom w:val="nil"/>
              <w:right w:val="nil"/>
            </w:tcBorders>
            <w:shd w:val="clear" w:color="auto" w:fill="auto"/>
            <w:noWrap/>
            <w:vAlign w:val="center"/>
            <w:hideMark/>
          </w:tcPr>
          <w:p w14:paraId="15F31732"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70.6</w:t>
            </w:r>
          </w:p>
        </w:tc>
        <w:tc>
          <w:tcPr>
            <w:tcW w:w="838" w:type="dxa"/>
            <w:tcBorders>
              <w:top w:val="nil"/>
              <w:left w:val="nil"/>
              <w:bottom w:val="nil"/>
              <w:right w:val="nil"/>
            </w:tcBorders>
            <w:shd w:val="clear" w:color="auto" w:fill="auto"/>
            <w:noWrap/>
            <w:vAlign w:val="center"/>
            <w:hideMark/>
          </w:tcPr>
          <w:p w14:paraId="29CDA751"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520</w:t>
            </w:r>
          </w:p>
        </w:tc>
        <w:tc>
          <w:tcPr>
            <w:tcW w:w="967" w:type="dxa"/>
            <w:tcBorders>
              <w:top w:val="nil"/>
              <w:left w:val="nil"/>
              <w:bottom w:val="nil"/>
              <w:right w:val="nil"/>
            </w:tcBorders>
            <w:shd w:val="clear" w:color="auto" w:fill="auto"/>
            <w:noWrap/>
            <w:vAlign w:val="center"/>
            <w:hideMark/>
          </w:tcPr>
          <w:p w14:paraId="51989336"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69.1</w:t>
            </w:r>
          </w:p>
        </w:tc>
        <w:tc>
          <w:tcPr>
            <w:tcW w:w="838" w:type="dxa"/>
            <w:tcBorders>
              <w:top w:val="nil"/>
              <w:left w:val="nil"/>
              <w:bottom w:val="nil"/>
              <w:right w:val="nil"/>
            </w:tcBorders>
            <w:shd w:val="clear" w:color="auto" w:fill="auto"/>
            <w:noWrap/>
            <w:vAlign w:val="center"/>
            <w:hideMark/>
          </w:tcPr>
          <w:p w14:paraId="65544EB7"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441</w:t>
            </w:r>
          </w:p>
        </w:tc>
        <w:tc>
          <w:tcPr>
            <w:tcW w:w="971" w:type="dxa"/>
            <w:tcBorders>
              <w:top w:val="nil"/>
              <w:left w:val="nil"/>
              <w:bottom w:val="nil"/>
              <w:right w:val="nil"/>
            </w:tcBorders>
            <w:shd w:val="clear" w:color="auto" w:fill="auto"/>
            <w:noWrap/>
            <w:vAlign w:val="center"/>
            <w:hideMark/>
          </w:tcPr>
          <w:p w14:paraId="6E5CA2FC"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70.8</w:t>
            </w:r>
          </w:p>
        </w:tc>
      </w:tr>
      <w:tr w:rsidR="00D07A53" w:rsidRPr="00667942" w14:paraId="777245D7" w14:textId="77777777" w:rsidTr="003632F4">
        <w:trPr>
          <w:trHeight w:val="398"/>
        </w:trPr>
        <w:tc>
          <w:tcPr>
            <w:tcW w:w="1489" w:type="dxa"/>
            <w:tcBorders>
              <w:top w:val="nil"/>
              <w:left w:val="nil"/>
              <w:bottom w:val="nil"/>
              <w:right w:val="nil"/>
            </w:tcBorders>
            <w:shd w:val="clear" w:color="auto" w:fill="auto"/>
            <w:noWrap/>
            <w:vAlign w:val="bottom"/>
            <w:hideMark/>
          </w:tcPr>
          <w:p w14:paraId="6D9CA399" w14:textId="77777777" w:rsidR="00D07A53" w:rsidRPr="00667942" w:rsidRDefault="00D07A53" w:rsidP="003632F4">
            <w:pPr>
              <w:spacing w:line="240" w:lineRule="auto"/>
              <w:rPr>
                <w:rFonts w:eastAsia="Times New Roman"/>
                <w:color w:val="000000"/>
                <w:sz w:val="22"/>
                <w:szCs w:val="22"/>
                <w:lang w:eastAsia="en-NZ"/>
              </w:rPr>
            </w:pPr>
            <w:r>
              <w:rPr>
                <w:rFonts w:eastAsia="Times New Roman"/>
                <w:color w:val="000000"/>
                <w:sz w:val="22"/>
                <w:szCs w:val="22"/>
                <w:lang w:eastAsia="en-NZ"/>
              </w:rPr>
              <w:t xml:space="preserve">  </w:t>
            </w:r>
            <w:r w:rsidRPr="00667942">
              <w:rPr>
                <w:rFonts w:eastAsia="Times New Roman"/>
                <w:color w:val="000000"/>
                <w:sz w:val="22"/>
                <w:szCs w:val="22"/>
                <w:lang w:eastAsia="en-NZ"/>
              </w:rPr>
              <w:t>Male</w:t>
            </w:r>
          </w:p>
        </w:tc>
        <w:tc>
          <w:tcPr>
            <w:tcW w:w="1029" w:type="dxa"/>
            <w:tcBorders>
              <w:top w:val="nil"/>
              <w:left w:val="nil"/>
              <w:bottom w:val="nil"/>
              <w:right w:val="nil"/>
            </w:tcBorders>
            <w:shd w:val="clear" w:color="auto" w:fill="auto"/>
            <w:noWrap/>
            <w:vAlign w:val="center"/>
            <w:hideMark/>
          </w:tcPr>
          <w:p w14:paraId="2D3D1B32"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7924</w:t>
            </w:r>
          </w:p>
        </w:tc>
        <w:tc>
          <w:tcPr>
            <w:tcW w:w="967" w:type="dxa"/>
            <w:tcBorders>
              <w:top w:val="nil"/>
              <w:left w:val="nil"/>
              <w:bottom w:val="nil"/>
              <w:right w:val="nil"/>
            </w:tcBorders>
            <w:shd w:val="clear" w:color="auto" w:fill="auto"/>
            <w:noWrap/>
            <w:vAlign w:val="center"/>
            <w:hideMark/>
          </w:tcPr>
          <w:p w14:paraId="1C491553"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35</w:t>
            </w:r>
          </w:p>
        </w:tc>
        <w:tc>
          <w:tcPr>
            <w:tcW w:w="1353" w:type="dxa"/>
            <w:tcBorders>
              <w:top w:val="nil"/>
              <w:left w:val="nil"/>
              <w:bottom w:val="nil"/>
              <w:right w:val="nil"/>
            </w:tcBorders>
            <w:shd w:val="clear" w:color="auto" w:fill="auto"/>
            <w:noWrap/>
            <w:vAlign w:val="center"/>
            <w:hideMark/>
          </w:tcPr>
          <w:p w14:paraId="3AC3C18F"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12089</w:t>
            </w:r>
          </w:p>
        </w:tc>
        <w:tc>
          <w:tcPr>
            <w:tcW w:w="967" w:type="dxa"/>
            <w:tcBorders>
              <w:top w:val="nil"/>
              <w:left w:val="nil"/>
              <w:bottom w:val="nil"/>
              <w:right w:val="nil"/>
            </w:tcBorders>
            <w:shd w:val="clear" w:color="auto" w:fill="auto"/>
            <w:noWrap/>
            <w:vAlign w:val="center"/>
            <w:hideMark/>
          </w:tcPr>
          <w:p w14:paraId="02E54B77"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37.7</w:t>
            </w:r>
          </w:p>
        </w:tc>
        <w:tc>
          <w:tcPr>
            <w:tcW w:w="1095" w:type="dxa"/>
            <w:tcBorders>
              <w:top w:val="nil"/>
              <w:left w:val="nil"/>
              <w:bottom w:val="nil"/>
              <w:right w:val="nil"/>
            </w:tcBorders>
            <w:shd w:val="clear" w:color="auto" w:fill="auto"/>
            <w:noWrap/>
            <w:vAlign w:val="center"/>
            <w:hideMark/>
          </w:tcPr>
          <w:p w14:paraId="318CD6C5"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1852</w:t>
            </w:r>
          </w:p>
        </w:tc>
        <w:tc>
          <w:tcPr>
            <w:tcW w:w="967" w:type="dxa"/>
            <w:tcBorders>
              <w:top w:val="nil"/>
              <w:left w:val="nil"/>
              <w:bottom w:val="nil"/>
              <w:right w:val="nil"/>
            </w:tcBorders>
            <w:shd w:val="clear" w:color="auto" w:fill="auto"/>
            <w:noWrap/>
            <w:vAlign w:val="center"/>
            <w:hideMark/>
          </w:tcPr>
          <w:p w14:paraId="03180270"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34.7</w:t>
            </w:r>
          </w:p>
        </w:tc>
        <w:tc>
          <w:tcPr>
            <w:tcW w:w="1095" w:type="dxa"/>
            <w:tcBorders>
              <w:top w:val="nil"/>
              <w:left w:val="nil"/>
              <w:bottom w:val="nil"/>
              <w:right w:val="nil"/>
            </w:tcBorders>
            <w:shd w:val="clear" w:color="auto" w:fill="auto"/>
            <w:noWrap/>
            <w:vAlign w:val="center"/>
            <w:hideMark/>
          </w:tcPr>
          <w:p w14:paraId="4B223603"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989</w:t>
            </w:r>
          </w:p>
        </w:tc>
        <w:tc>
          <w:tcPr>
            <w:tcW w:w="967" w:type="dxa"/>
            <w:tcBorders>
              <w:top w:val="nil"/>
              <w:left w:val="nil"/>
              <w:bottom w:val="nil"/>
              <w:right w:val="nil"/>
            </w:tcBorders>
            <w:shd w:val="clear" w:color="auto" w:fill="auto"/>
            <w:noWrap/>
            <w:vAlign w:val="center"/>
            <w:hideMark/>
          </w:tcPr>
          <w:p w14:paraId="7A7EFB30"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35.5</w:t>
            </w:r>
          </w:p>
        </w:tc>
        <w:tc>
          <w:tcPr>
            <w:tcW w:w="1095" w:type="dxa"/>
            <w:tcBorders>
              <w:top w:val="nil"/>
              <w:left w:val="nil"/>
              <w:bottom w:val="nil"/>
              <w:right w:val="nil"/>
            </w:tcBorders>
            <w:shd w:val="clear" w:color="auto" w:fill="auto"/>
            <w:noWrap/>
            <w:vAlign w:val="center"/>
            <w:hideMark/>
          </w:tcPr>
          <w:p w14:paraId="74775912"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312</w:t>
            </w:r>
          </w:p>
        </w:tc>
        <w:tc>
          <w:tcPr>
            <w:tcW w:w="967" w:type="dxa"/>
            <w:tcBorders>
              <w:top w:val="nil"/>
              <w:left w:val="nil"/>
              <w:bottom w:val="nil"/>
              <w:right w:val="nil"/>
            </w:tcBorders>
            <w:shd w:val="clear" w:color="auto" w:fill="auto"/>
            <w:noWrap/>
            <w:vAlign w:val="center"/>
            <w:hideMark/>
          </w:tcPr>
          <w:p w14:paraId="21A0F277"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29.4</w:t>
            </w:r>
          </w:p>
        </w:tc>
        <w:tc>
          <w:tcPr>
            <w:tcW w:w="838" w:type="dxa"/>
            <w:tcBorders>
              <w:top w:val="nil"/>
              <w:left w:val="nil"/>
              <w:bottom w:val="nil"/>
              <w:right w:val="nil"/>
            </w:tcBorders>
            <w:shd w:val="clear" w:color="auto" w:fill="auto"/>
            <w:noWrap/>
            <w:vAlign w:val="center"/>
            <w:hideMark/>
          </w:tcPr>
          <w:p w14:paraId="36827A80"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232</w:t>
            </w:r>
          </w:p>
        </w:tc>
        <w:tc>
          <w:tcPr>
            <w:tcW w:w="967" w:type="dxa"/>
            <w:tcBorders>
              <w:top w:val="nil"/>
              <w:left w:val="nil"/>
              <w:bottom w:val="nil"/>
              <w:right w:val="nil"/>
            </w:tcBorders>
            <w:shd w:val="clear" w:color="auto" w:fill="auto"/>
            <w:noWrap/>
            <w:vAlign w:val="center"/>
            <w:hideMark/>
          </w:tcPr>
          <w:p w14:paraId="46A24DFA"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30.8</w:t>
            </w:r>
          </w:p>
        </w:tc>
        <w:tc>
          <w:tcPr>
            <w:tcW w:w="838" w:type="dxa"/>
            <w:tcBorders>
              <w:top w:val="nil"/>
              <w:left w:val="nil"/>
              <w:bottom w:val="nil"/>
              <w:right w:val="nil"/>
            </w:tcBorders>
            <w:shd w:val="clear" w:color="auto" w:fill="auto"/>
            <w:noWrap/>
            <w:vAlign w:val="center"/>
            <w:hideMark/>
          </w:tcPr>
          <w:p w14:paraId="5B96429D"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180</w:t>
            </w:r>
          </w:p>
        </w:tc>
        <w:tc>
          <w:tcPr>
            <w:tcW w:w="971" w:type="dxa"/>
            <w:tcBorders>
              <w:top w:val="nil"/>
              <w:left w:val="nil"/>
              <w:bottom w:val="nil"/>
              <w:right w:val="nil"/>
            </w:tcBorders>
            <w:shd w:val="clear" w:color="auto" w:fill="auto"/>
            <w:noWrap/>
            <w:vAlign w:val="center"/>
            <w:hideMark/>
          </w:tcPr>
          <w:p w14:paraId="2E867639"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28.9</w:t>
            </w:r>
          </w:p>
        </w:tc>
      </w:tr>
      <w:tr w:rsidR="00D07A53" w:rsidRPr="00667942" w14:paraId="3134B839" w14:textId="77777777" w:rsidTr="003632F4">
        <w:trPr>
          <w:trHeight w:val="379"/>
        </w:trPr>
        <w:tc>
          <w:tcPr>
            <w:tcW w:w="2518" w:type="dxa"/>
            <w:gridSpan w:val="2"/>
            <w:tcBorders>
              <w:top w:val="single" w:sz="4" w:space="0" w:color="auto"/>
              <w:left w:val="nil"/>
              <w:bottom w:val="nil"/>
              <w:right w:val="nil"/>
            </w:tcBorders>
            <w:shd w:val="clear" w:color="auto" w:fill="auto"/>
            <w:noWrap/>
            <w:vAlign w:val="bottom"/>
            <w:hideMark/>
          </w:tcPr>
          <w:p w14:paraId="75EE40D7" w14:textId="77777777" w:rsidR="00D07A53" w:rsidRPr="00667942" w:rsidRDefault="00D07A53" w:rsidP="003632F4">
            <w:pPr>
              <w:spacing w:line="240" w:lineRule="auto"/>
              <w:rPr>
                <w:rFonts w:eastAsia="Times New Roman"/>
                <w:b/>
                <w:bCs/>
                <w:color w:val="000000"/>
                <w:sz w:val="22"/>
                <w:szCs w:val="22"/>
                <w:lang w:eastAsia="en-NZ"/>
              </w:rPr>
            </w:pPr>
            <w:r w:rsidRPr="00667942">
              <w:rPr>
                <w:rFonts w:eastAsia="Times New Roman"/>
                <w:b/>
                <w:bCs/>
                <w:color w:val="000000"/>
                <w:sz w:val="22"/>
                <w:szCs w:val="22"/>
                <w:lang w:eastAsia="en-NZ"/>
              </w:rPr>
              <w:t>Age Group</w:t>
            </w:r>
          </w:p>
        </w:tc>
        <w:tc>
          <w:tcPr>
            <w:tcW w:w="967" w:type="dxa"/>
            <w:tcBorders>
              <w:top w:val="single" w:sz="4" w:space="0" w:color="auto"/>
              <w:left w:val="nil"/>
              <w:bottom w:val="nil"/>
              <w:right w:val="nil"/>
            </w:tcBorders>
            <w:shd w:val="clear" w:color="auto" w:fill="auto"/>
            <w:noWrap/>
            <w:vAlign w:val="bottom"/>
            <w:hideMark/>
          </w:tcPr>
          <w:p w14:paraId="503A5C22"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1353" w:type="dxa"/>
            <w:tcBorders>
              <w:top w:val="single" w:sz="4" w:space="0" w:color="auto"/>
              <w:left w:val="nil"/>
              <w:bottom w:val="nil"/>
              <w:right w:val="nil"/>
            </w:tcBorders>
            <w:shd w:val="clear" w:color="auto" w:fill="auto"/>
            <w:noWrap/>
            <w:vAlign w:val="bottom"/>
            <w:hideMark/>
          </w:tcPr>
          <w:p w14:paraId="69ED7112"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967" w:type="dxa"/>
            <w:tcBorders>
              <w:top w:val="single" w:sz="4" w:space="0" w:color="auto"/>
              <w:left w:val="nil"/>
              <w:bottom w:val="nil"/>
              <w:right w:val="nil"/>
            </w:tcBorders>
            <w:shd w:val="clear" w:color="auto" w:fill="auto"/>
            <w:noWrap/>
            <w:vAlign w:val="bottom"/>
            <w:hideMark/>
          </w:tcPr>
          <w:p w14:paraId="5517AEE2"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1095" w:type="dxa"/>
            <w:tcBorders>
              <w:top w:val="single" w:sz="4" w:space="0" w:color="auto"/>
              <w:left w:val="nil"/>
              <w:bottom w:val="nil"/>
              <w:right w:val="nil"/>
            </w:tcBorders>
            <w:shd w:val="clear" w:color="auto" w:fill="auto"/>
            <w:noWrap/>
            <w:vAlign w:val="bottom"/>
            <w:hideMark/>
          </w:tcPr>
          <w:p w14:paraId="089CEACC"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967" w:type="dxa"/>
            <w:tcBorders>
              <w:top w:val="single" w:sz="4" w:space="0" w:color="auto"/>
              <w:left w:val="nil"/>
              <w:bottom w:val="nil"/>
              <w:right w:val="nil"/>
            </w:tcBorders>
            <w:shd w:val="clear" w:color="auto" w:fill="auto"/>
            <w:noWrap/>
            <w:vAlign w:val="bottom"/>
            <w:hideMark/>
          </w:tcPr>
          <w:p w14:paraId="06E84DA8"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1095" w:type="dxa"/>
            <w:tcBorders>
              <w:top w:val="single" w:sz="4" w:space="0" w:color="auto"/>
              <w:left w:val="nil"/>
              <w:bottom w:val="nil"/>
              <w:right w:val="nil"/>
            </w:tcBorders>
            <w:shd w:val="clear" w:color="auto" w:fill="auto"/>
            <w:noWrap/>
            <w:vAlign w:val="bottom"/>
            <w:hideMark/>
          </w:tcPr>
          <w:p w14:paraId="18F7ECB1"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967" w:type="dxa"/>
            <w:tcBorders>
              <w:top w:val="single" w:sz="4" w:space="0" w:color="auto"/>
              <w:left w:val="nil"/>
              <w:bottom w:val="nil"/>
              <w:right w:val="nil"/>
            </w:tcBorders>
            <w:shd w:val="clear" w:color="auto" w:fill="auto"/>
            <w:noWrap/>
            <w:vAlign w:val="bottom"/>
            <w:hideMark/>
          </w:tcPr>
          <w:p w14:paraId="7A4000CA"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1095" w:type="dxa"/>
            <w:tcBorders>
              <w:top w:val="single" w:sz="4" w:space="0" w:color="auto"/>
              <w:left w:val="nil"/>
              <w:bottom w:val="nil"/>
              <w:right w:val="nil"/>
            </w:tcBorders>
            <w:shd w:val="clear" w:color="auto" w:fill="auto"/>
            <w:noWrap/>
            <w:vAlign w:val="bottom"/>
            <w:hideMark/>
          </w:tcPr>
          <w:p w14:paraId="046B31F5"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967" w:type="dxa"/>
            <w:tcBorders>
              <w:top w:val="single" w:sz="4" w:space="0" w:color="auto"/>
              <w:left w:val="nil"/>
              <w:bottom w:val="nil"/>
              <w:right w:val="nil"/>
            </w:tcBorders>
            <w:shd w:val="clear" w:color="auto" w:fill="auto"/>
            <w:noWrap/>
            <w:vAlign w:val="bottom"/>
            <w:hideMark/>
          </w:tcPr>
          <w:p w14:paraId="1F683F20"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838" w:type="dxa"/>
            <w:tcBorders>
              <w:top w:val="single" w:sz="4" w:space="0" w:color="auto"/>
              <w:left w:val="nil"/>
              <w:bottom w:val="nil"/>
              <w:right w:val="nil"/>
            </w:tcBorders>
            <w:shd w:val="clear" w:color="auto" w:fill="auto"/>
            <w:noWrap/>
            <w:vAlign w:val="bottom"/>
            <w:hideMark/>
          </w:tcPr>
          <w:p w14:paraId="7D4A6E29"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967" w:type="dxa"/>
            <w:tcBorders>
              <w:top w:val="single" w:sz="4" w:space="0" w:color="auto"/>
              <w:left w:val="nil"/>
              <w:bottom w:val="nil"/>
              <w:right w:val="nil"/>
            </w:tcBorders>
            <w:shd w:val="clear" w:color="auto" w:fill="auto"/>
            <w:noWrap/>
            <w:vAlign w:val="bottom"/>
            <w:hideMark/>
          </w:tcPr>
          <w:p w14:paraId="2B711C4C"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838" w:type="dxa"/>
            <w:tcBorders>
              <w:top w:val="single" w:sz="4" w:space="0" w:color="auto"/>
              <w:left w:val="nil"/>
              <w:bottom w:val="nil"/>
              <w:right w:val="nil"/>
            </w:tcBorders>
            <w:shd w:val="clear" w:color="auto" w:fill="auto"/>
            <w:noWrap/>
            <w:vAlign w:val="bottom"/>
            <w:hideMark/>
          </w:tcPr>
          <w:p w14:paraId="2D575DC3"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971" w:type="dxa"/>
            <w:tcBorders>
              <w:top w:val="single" w:sz="4" w:space="0" w:color="auto"/>
              <w:left w:val="nil"/>
              <w:bottom w:val="nil"/>
              <w:right w:val="nil"/>
            </w:tcBorders>
            <w:shd w:val="clear" w:color="auto" w:fill="auto"/>
            <w:noWrap/>
            <w:vAlign w:val="bottom"/>
            <w:hideMark/>
          </w:tcPr>
          <w:p w14:paraId="0BB4C6A1"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r>
      <w:tr w:rsidR="00D07A53" w:rsidRPr="00667942" w14:paraId="55207B57" w14:textId="77777777" w:rsidTr="003632F4">
        <w:trPr>
          <w:trHeight w:val="398"/>
        </w:trPr>
        <w:tc>
          <w:tcPr>
            <w:tcW w:w="1489" w:type="dxa"/>
            <w:tcBorders>
              <w:top w:val="nil"/>
              <w:left w:val="nil"/>
              <w:bottom w:val="nil"/>
              <w:right w:val="nil"/>
            </w:tcBorders>
            <w:shd w:val="clear" w:color="auto" w:fill="auto"/>
            <w:noWrap/>
            <w:vAlign w:val="center"/>
            <w:hideMark/>
          </w:tcPr>
          <w:p w14:paraId="4E8C4337" w14:textId="77777777" w:rsidR="00D07A53" w:rsidRPr="00667942" w:rsidRDefault="00D07A53" w:rsidP="003632F4">
            <w:pPr>
              <w:spacing w:line="240" w:lineRule="auto"/>
              <w:rPr>
                <w:rFonts w:eastAsia="Times New Roman"/>
                <w:color w:val="000000"/>
                <w:lang w:eastAsia="en-NZ"/>
              </w:rPr>
            </w:pPr>
            <w:r>
              <w:rPr>
                <w:rFonts w:eastAsia="Arial"/>
                <w:color w:val="000000"/>
                <w:lang w:val="en-US" w:eastAsia="en-NZ"/>
              </w:rPr>
              <w:t xml:space="preserve">  </w:t>
            </w:r>
            <w:r w:rsidRPr="00667942">
              <w:rPr>
                <w:rFonts w:eastAsia="Arial"/>
                <w:color w:val="000000"/>
                <w:lang w:val="en-US" w:eastAsia="en-NZ"/>
              </w:rPr>
              <w:t>24 or less</w:t>
            </w:r>
          </w:p>
        </w:tc>
        <w:tc>
          <w:tcPr>
            <w:tcW w:w="1029" w:type="dxa"/>
            <w:tcBorders>
              <w:top w:val="nil"/>
              <w:left w:val="nil"/>
              <w:bottom w:val="nil"/>
              <w:right w:val="nil"/>
            </w:tcBorders>
            <w:shd w:val="clear" w:color="auto" w:fill="auto"/>
            <w:noWrap/>
            <w:vAlign w:val="center"/>
            <w:hideMark/>
          </w:tcPr>
          <w:p w14:paraId="75FB6D05"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3166</w:t>
            </w:r>
          </w:p>
        </w:tc>
        <w:tc>
          <w:tcPr>
            <w:tcW w:w="967" w:type="dxa"/>
            <w:tcBorders>
              <w:top w:val="nil"/>
              <w:left w:val="nil"/>
              <w:bottom w:val="nil"/>
              <w:right w:val="nil"/>
            </w:tcBorders>
            <w:shd w:val="clear" w:color="auto" w:fill="auto"/>
            <w:noWrap/>
            <w:vAlign w:val="center"/>
            <w:hideMark/>
          </w:tcPr>
          <w:p w14:paraId="49924311"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14</w:t>
            </w:r>
          </w:p>
        </w:tc>
        <w:tc>
          <w:tcPr>
            <w:tcW w:w="1353" w:type="dxa"/>
            <w:tcBorders>
              <w:top w:val="nil"/>
              <w:left w:val="nil"/>
              <w:bottom w:val="nil"/>
              <w:right w:val="nil"/>
            </w:tcBorders>
            <w:shd w:val="clear" w:color="auto" w:fill="auto"/>
            <w:noWrap/>
            <w:vAlign w:val="center"/>
            <w:hideMark/>
          </w:tcPr>
          <w:p w14:paraId="0B23AC89"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4508</w:t>
            </w:r>
          </w:p>
        </w:tc>
        <w:tc>
          <w:tcPr>
            <w:tcW w:w="967" w:type="dxa"/>
            <w:tcBorders>
              <w:top w:val="nil"/>
              <w:left w:val="nil"/>
              <w:bottom w:val="nil"/>
              <w:right w:val="nil"/>
            </w:tcBorders>
            <w:shd w:val="clear" w:color="auto" w:fill="auto"/>
            <w:noWrap/>
            <w:vAlign w:val="center"/>
            <w:hideMark/>
          </w:tcPr>
          <w:p w14:paraId="729EB093"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14.1</w:t>
            </w:r>
          </w:p>
        </w:tc>
        <w:tc>
          <w:tcPr>
            <w:tcW w:w="1095" w:type="dxa"/>
            <w:tcBorders>
              <w:top w:val="nil"/>
              <w:left w:val="nil"/>
              <w:bottom w:val="nil"/>
              <w:right w:val="nil"/>
            </w:tcBorders>
            <w:shd w:val="clear" w:color="auto" w:fill="auto"/>
            <w:noWrap/>
            <w:vAlign w:val="center"/>
            <w:hideMark/>
          </w:tcPr>
          <w:p w14:paraId="4CE8E911"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817</w:t>
            </w:r>
          </w:p>
        </w:tc>
        <w:tc>
          <w:tcPr>
            <w:tcW w:w="967" w:type="dxa"/>
            <w:tcBorders>
              <w:top w:val="nil"/>
              <w:left w:val="nil"/>
              <w:bottom w:val="nil"/>
              <w:right w:val="nil"/>
            </w:tcBorders>
            <w:shd w:val="clear" w:color="auto" w:fill="auto"/>
            <w:noWrap/>
            <w:vAlign w:val="center"/>
            <w:hideMark/>
          </w:tcPr>
          <w:p w14:paraId="1E422026"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15.3</w:t>
            </w:r>
          </w:p>
        </w:tc>
        <w:tc>
          <w:tcPr>
            <w:tcW w:w="1095" w:type="dxa"/>
            <w:tcBorders>
              <w:top w:val="nil"/>
              <w:left w:val="nil"/>
              <w:bottom w:val="nil"/>
              <w:right w:val="nil"/>
            </w:tcBorders>
            <w:shd w:val="clear" w:color="auto" w:fill="auto"/>
            <w:noWrap/>
            <w:vAlign w:val="center"/>
            <w:hideMark/>
          </w:tcPr>
          <w:p w14:paraId="69D805A7"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387</w:t>
            </w:r>
          </w:p>
        </w:tc>
        <w:tc>
          <w:tcPr>
            <w:tcW w:w="967" w:type="dxa"/>
            <w:tcBorders>
              <w:top w:val="nil"/>
              <w:left w:val="nil"/>
              <w:bottom w:val="nil"/>
              <w:right w:val="nil"/>
            </w:tcBorders>
            <w:shd w:val="clear" w:color="auto" w:fill="auto"/>
            <w:noWrap/>
            <w:vAlign w:val="center"/>
            <w:hideMark/>
          </w:tcPr>
          <w:p w14:paraId="1F5DCC2F"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13.9</w:t>
            </w:r>
          </w:p>
        </w:tc>
        <w:tc>
          <w:tcPr>
            <w:tcW w:w="1095" w:type="dxa"/>
            <w:tcBorders>
              <w:top w:val="nil"/>
              <w:left w:val="nil"/>
              <w:bottom w:val="nil"/>
              <w:right w:val="nil"/>
            </w:tcBorders>
            <w:shd w:val="clear" w:color="auto" w:fill="auto"/>
            <w:noWrap/>
            <w:vAlign w:val="center"/>
            <w:hideMark/>
          </w:tcPr>
          <w:p w14:paraId="6C6EEBDB"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141</w:t>
            </w:r>
          </w:p>
        </w:tc>
        <w:tc>
          <w:tcPr>
            <w:tcW w:w="967" w:type="dxa"/>
            <w:tcBorders>
              <w:top w:val="nil"/>
              <w:left w:val="nil"/>
              <w:bottom w:val="nil"/>
              <w:right w:val="nil"/>
            </w:tcBorders>
            <w:shd w:val="clear" w:color="auto" w:fill="auto"/>
            <w:noWrap/>
            <w:vAlign w:val="center"/>
            <w:hideMark/>
          </w:tcPr>
          <w:p w14:paraId="765B2704"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13.3</w:t>
            </w:r>
          </w:p>
        </w:tc>
        <w:tc>
          <w:tcPr>
            <w:tcW w:w="838" w:type="dxa"/>
            <w:tcBorders>
              <w:top w:val="nil"/>
              <w:left w:val="nil"/>
              <w:bottom w:val="nil"/>
              <w:right w:val="nil"/>
            </w:tcBorders>
            <w:shd w:val="clear" w:color="auto" w:fill="auto"/>
            <w:noWrap/>
            <w:vAlign w:val="center"/>
            <w:hideMark/>
          </w:tcPr>
          <w:p w14:paraId="21F4CB67"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100</w:t>
            </w:r>
          </w:p>
        </w:tc>
        <w:tc>
          <w:tcPr>
            <w:tcW w:w="967" w:type="dxa"/>
            <w:tcBorders>
              <w:top w:val="nil"/>
              <w:left w:val="nil"/>
              <w:bottom w:val="nil"/>
              <w:right w:val="nil"/>
            </w:tcBorders>
            <w:shd w:val="clear" w:color="auto" w:fill="auto"/>
            <w:noWrap/>
            <w:vAlign w:val="center"/>
            <w:hideMark/>
          </w:tcPr>
          <w:p w14:paraId="472BE723"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13.3</w:t>
            </w:r>
          </w:p>
        </w:tc>
        <w:tc>
          <w:tcPr>
            <w:tcW w:w="838" w:type="dxa"/>
            <w:tcBorders>
              <w:top w:val="nil"/>
              <w:left w:val="nil"/>
              <w:bottom w:val="nil"/>
              <w:right w:val="nil"/>
            </w:tcBorders>
            <w:shd w:val="clear" w:color="auto" w:fill="auto"/>
            <w:noWrap/>
            <w:vAlign w:val="center"/>
            <w:hideMark/>
          </w:tcPr>
          <w:p w14:paraId="7A4F16CF"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93</w:t>
            </w:r>
          </w:p>
        </w:tc>
        <w:tc>
          <w:tcPr>
            <w:tcW w:w="971" w:type="dxa"/>
            <w:tcBorders>
              <w:top w:val="nil"/>
              <w:left w:val="nil"/>
              <w:bottom w:val="nil"/>
              <w:right w:val="nil"/>
            </w:tcBorders>
            <w:shd w:val="clear" w:color="auto" w:fill="auto"/>
            <w:noWrap/>
            <w:vAlign w:val="center"/>
            <w:hideMark/>
          </w:tcPr>
          <w:p w14:paraId="472AEF05"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14.9</w:t>
            </w:r>
          </w:p>
        </w:tc>
      </w:tr>
      <w:tr w:rsidR="00D07A53" w:rsidRPr="00667942" w14:paraId="24CB5AE8" w14:textId="77777777" w:rsidTr="003632F4">
        <w:trPr>
          <w:trHeight w:val="398"/>
        </w:trPr>
        <w:tc>
          <w:tcPr>
            <w:tcW w:w="1489" w:type="dxa"/>
            <w:tcBorders>
              <w:top w:val="nil"/>
              <w:left w:val="nil"/>
              <w:bottom w:val="nil"/>
              <w:right w:val="nil"/>
            </w:tcBorders>
            <w:shd w:val="clear" w:color="auto" w:fill="auto"/>
            <w:noWrap/>
            <w:vAlign w:val="center"/>
            <w:hideMark/>
          </w:tcPr>
          <w:p w14:paraId="5A28A15B" w14:textId="77777777" w:rsidR="00D07A53" w:rsidRPr="00667942" w:rsidRDefault="00D07A53" w:rsidP="003632F4">
            <w:pPr>
              <w:spacing w:line="240" w:lineRule="auto"/>
              <w:rPr>
                <w:rFonts w:eastAsia="Times New Roman"/>
                <w:color w:val="000000"/>
                <w:lang w:eastAsia="en-NZ"/>
              </w:rPr>
            </w:pPr>
            <w:r>
              <w:rPr>
                <w:rFonts w:eastAsia="Arial"/>
                <w:color w:val="000000"/>
                <w:lang w:val="en-US" w:eastAsia="en-NZ"/>
              </w:rPr>
              <w:t xml:space="preserve">  </w:t>
            </w:r>
            <w:r w:rsidRPr="00667942">
              <w:rPr>
                <w:rFonts w:eastAsia="Arial"/>
                <w:color w:val="000000"/>
                <w:lang w:val="en-US" w:eastAsia="en-NZ"/>
              </w:rPr>
              <w:t>25-34</w:t>
            </w:r>
          </w:p>
        </w:tc>
        <w:tc>
          <w:tcPr>
            <w:tcW w:w="1029" w:type="dxa"/>
            <w:tcBorders>
              <w:top w:val="nil"/>
              <w:left w:val="nil"/>
              <w:bottom w:val="nil"/>
              <w:right w:val="nil"/>
            </w:tcBorders>
            <w:shd w:val="clear" w:color="auto" w:fill="auto"/>
            <w:noWrap/>
            <w:vAlign w:val="center"/>
            <w:hideMark/>
          </w:tcPr>
          <w:p w14:paraId="63C2F759"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5410</w:t>
            </w:r>
          </w:p>
        </w:tc>
        <w:tc>
          <w:tcPr>
            <w:tcW w:w="967" w:type="dxa"/>
            <w:tcBorders>
              <w:top w:val="nil"/>
              <w:left w:val="nil"/>
              <w:bottom w:val="nil"/>
              <w:right w:val="nil"/>
            </w:tcBorders>
            <w:shd w:val="clear" w:color="auto" w:fill="auto"/>
            <w:noWrap/>
            <w:vAlign w:val="center"/>
            <w:hideMark/>
          </w:tcPr>
          <w:p w14:paraId="499802A0"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23.9</w:t>
            </w:r>
          </w:p>
        </w:tc>
        <w:tc>
          <w:tcPr>
            <w:tcW w:w="1353" w:type="dxa"/>
            <w:tcBorders>
              <w:top w:val="nil"/>
              <w:left w:val="nil"/>
              <w:bottom w:val="nil"/>
              <w:right w:val="nil"/>
            </w:tcBorders>
            <w:shd w:val="clear" w:color="auto" w:fill="auto"/>
            <w:noWrap/>
            <w:vAlign w:val="center"/>
            <w:hideMark/>
          </w:tcPr>
          <w:p w14:paraId="67A9802D"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6921</w:t>
            </w:r>
          </w:p>
        </w:tc>
        <w:tc>
          <w:tcPr>
            <w:tcW w:w="967" w:type="dxa"/>
            <w:tcBorders>
              <w:top w:val="nil"/>
              <w:left w:val="nil"/>
              <w:bottom w:val="nil"/>
              <w:right w:val="nil"/>
            </w:tcBorders>
            <w:shd w:val="clear" w:color="auto" w:fill="auto"/>
            <w:noWrap/>
            <w:vAlign w:val="center"/>
            <w:hideMark/>
          </w:tcPr>
          <w:p w14:paraId="6CA72632"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21.6</w:t>
            </w:r>
          </w:p>
        </w:tc>
        <w:tc>
          <w:tcPr>
            <w:tcW w:w="1095" w:type="dxa"/>
            <w:tcBorders>
              <w:top w:val="nil"/>
              <w:left w:val="nil"/>
              <w:bottom w:val="nil"/>
              <w:right w:val="nil"/>
            </w:tcBorders>
            <w:shd w:val="clear" w:color="auto" w:fill="auto"/>
            <w:noWrap/>
            <w:vAlign w:val="center"/>
            <w:hideMark/>
          </w:tcPr>
          <w:p w14:paraId="637142EC"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1167</w:t>
            </w:r>
          </w:p>
        </w:tc>
        <w:tc>
          <w:tcPr>
            <w:tcW w:w="967" w:type="dxa"/>
            <w:tcBorders>
              <w:top w:val="nil"/>
              <w:left w:val="nil"/>
              <w:bottom w:val="nil"/>
              <w:right w:val="nil"/>
            </w:tcBorders>
            <w:shd w:val="clear" w:color="auto" w:fill="auto"/>
            <w:noWrap/>
            <w:vAlign w:val="center"/>
            <w:hideMark/>
          </w:tcPr>
          <w:p w14:paraId="0B215432"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21.9</w:t>
            </w:r>
          </w:p>
        </w:tc>
        <w:tc>
          <w:tcPr>
            <w:tcW w:w="1095" w:type="dxa"/>
            <w:tcBorders>
              <w:top w:val="nil"/>
              <w:left w:val="nil"/>
              <w:bottom w:val="nil"/>
              <w:right w:val="nil"/>
            </w:tcBorders>
            <w:shd w:val="clear" w:color="auto" w:fill="auto"/>
            <w:noWrap/>
            <w:vAlign w:val="center"/>
            <w:hideMark/>
          </w:tcPr>
          <w:p w14:paraId="18A7AA54"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582</w:t>
            </w:r>
          </w:p>
        </w:tc>
        <w:tc>
          <w:tcPr>
            <w:tcW w:w="967" w:type="dxa"/>
            <w:tcBorders>
              <w:top w:val="nil"/>
              <w:left w:val="nil"/>
              <w:bottom w:val="nil"/>
              <w:right w:val="nil"/>
            </w:tcBorders>
            <w:shd w:val="clear" w:color="auto" w:fill="auto"/>
            <w:noWrap/>
            <w:vAlign w:val="center"/>
            <w:hideMark/>
          </w:tcPr>
          <w:p w14:paraId="733E19C6"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20.9</w:t>
            </w:r>
          </w:p>
        </w:tc>
        <w:tc>
          <w:tcPr>
            <w:tcW w:w="1095" w:type="dxa"/>
            <w:tcBorders>
              <w:top w:val="nil"/>
              <w:left w:val="nil"/>
              <w:bottom w:val="nil"/>
              <w:right w:val="nil"/>
            </w:tcBorders>
            <w:shd w:val="clear" w:color="auto" w:fill="auto"/>
            <w:noWrap/>
            <w:vAlign w:val="center"/>
            <w:hideMark/>
          </w:tcPr>
          <w:p w14:paraId="306FC927"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165</w:t>
            </w:r>
          </w:p>
        </w:tc>
        <w:tc>
          <w:tcPr>
            <w:tcW w:w="967" w:type="dxa"/>
            <w:tcBorders>
              <w:top w:val="nil"/>
              <w:left w:val="nil"/>
              <w:bottom w:val="nil"/>
              <w:right w:val="nil"/>
            </w:tcBorders>
            <w:shd w:val="clear" w:color="auto" w:fill="auto"/>
            <w:noWrap/>
            <w:vAlign w:val="center"/>
            <w:hideMark/>
          </w:tcPr>
          <w:p w14:paraId="4B849956"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15.5</w:t>
            </w:r>
          </w:p>
        </w:tc>
        <w:tc>
          <w:tcPr>
            <w:tcW w:w="838" w:type="dxa"/>
            <w:tcBorders>
              <w:top w:val="nil"/>
              <w:left w:val="nil"/>
              <w:bottom w:val="nil"/>
              <w:right w:val="nil"/>
            </w:tcBorders>
            <w:shd w:val="clear" w:color="auto" w:fill="auto"/>
            <w:noWrap/>
            <w:vAlign w:val="center"/>
            <w:hideMark/>
          </w:tcPr>
          <w:p w14:paraId="38FB4C9D"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96</w:t>
            </w:r>
          </w:p>
        </w:tc>
        <w:tc>
          <w:tcPr>
            <w:tcW w:w="967" w:type="dxa"/>
            <w:tcBorders>
              <w:top w:val="nil"/>
              <w:left w:val="nil"/>
              <w:bottom w:val="nil"/>
              <w:right w:val="nil"/>
            </w:tcBorders>
            <w:shd w:val="clear" w:color="auto" w:fill="auto"/>
            <w:noWrap/>
            <w:vAlign w:val="center"/>
            <w:hideMark/>
          </w:tcPr>
          <w:p w14:paraId="1BB6EABE"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12.7</w:t>
            </w:r>
          </w:p>
        </w:tc>
        <w:tc>
          <w:tcPr>
            <w:tcW w:w="838" w:type="dxa"/>
            <w:tcBorders>
              <w:top w:val="nil"/>
              <w:left w:val="nil"/>
              <w:bottom w:val="nil"/>
              <w:right w:val="nil"/>
            </w:tcBorders>
            <w:shd w:val="clear" w:color="auto" w:fill="auto"/>
            <w:noWrap/>
            <w:vAlign w:val="center"/>
            <w:hideMark/>
          </w:tcPr>
          <w:p w14:paraId="53584E58"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61</w:t>
            </w:r>
          </w:p>
        </w:tc>
        <w:tc>
          <w:tcPr>
            <w:tcW w:w="971" w:type="dxa"/>
            <w:tcBorders>
              <w:top w:val="nil"/>
              <w:left w:val="nil"/>
              <w:bottom w:val="nil"/>
              <w:right w:val="nil"/>
            </w:tcBorders>
            <w:shd w:val="clear" w:color="auto" w:fill="auto"/>
            <w:noWrap/>
            <w:vAlign w:val="center"/>
            <w:hideMark/>
          </w:tcPr>
          <w:p w14:paraId="7DC25F34"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9.8</w:t>
            </w:r>
          </w:p>
        </w:tc>
      </w:tr>
      <w:tr w:rsidR="00D07A53" w:rsidRPr="00667942" w14:paraId="3F0A57EE" w14:textId="77777777" w:rsidTr="003632F4">
        <w:trPr>
          <w:trHeight w:val="398"/>
        </w:trPr>
        <w:tc>
          <w:tcPr>
            <w:tcW w:w="1489" w:type="dxa"/>
            <w:tcBorders>
              <w:top w:val="nil"/>
              <w:left w:val="nil"/>
              <w:bottom w:val="nil"/>
              <w:right w:val="nil"/>
            </w:tcBorders>
            <w:shd w:val="clear" w:color="auto" w:fill="auto"/>
            <w:noWrap/>
            <w:vAlign w:val="center"/>
            <w:hideMark/>
          </w:tcPr>
          <w:p w14:paraId="286B4A6D" w14:textId="77777777" w:rsidR="00D07A53" w:rsidRPr="00667942" w:rsidRDefault="00D07A53" w:rsidP="003632F4">
            <w:pPr>
              <w:spacing w:line="240" w:lineRule="auto"/>
              <w:rPr>
                <w:rFonts w:eastAsia="Times New Roman"/>
                <w:color w:val="000000"/>
                <w:lang w:eastAsia="en-NZ"/>
              </w:rPr>
            </w:pPr>
            <w:r>
              <w:rPr>
                <w:rFonts w:eastAsia="Arial"/>
                <w:color w:val="000000"/>
                <w:lang w:val="en-US" w:eastAsia="en-NZ"/>
              </w:rPr>
              <w:t xml:space="preserve">  </w:t>
            </w:r>
            <w:r w:rsidRPr="00667942">
              <w:rPr>
                <w:rFonts w:eastAsia="Arial"/>
                <w:color w:val="000000"/>
                <w:lang w:val="en-US" w:eastAsia="en-NZ"/>
              </w:rPr>
              <w:t>35-44</w:t>
            </w:r>
          </w:p>
        </w:tc>
        <w:tc>
          <w:tcPr>
            <w:tcW w:w="1029" w:type="dxa"/>
            <w:tcBorders>
              <w:top w:val="nil"/>
              <w:left w:val="nil"/>
              <w:bottom w:val="nil"/>
              <w:right w:val="nil"/>
            </w:tcBorders>
            <w:shd w:val="clear" w:color="auto" w:fill="auto"/>
            <w:noWrap/>
            <w:vAlign w:val="center"/>
            <w:hideMark/>
          </w:tcPr>
          <w:p w14:paraId="371310C3"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4919</w:t>
            </w:r>
          </w:p>
        </w:tc>
        <w:tc>
          <w:tcPr>
            <w:tcW w:w="967" w:type="dxa"/>
            <w:tcBorders>
              <w:top w:val="nil"/>
              <w:left w:val="nil"/>
              <w:bottom w:val="nil"/>
              <w:right w:val="nil"/>
            </w:tcBorders>
            <w:shd w:val="clear" w:color="auto" w:fill="auto"/>
            <w:noWrap/>
            <w:vAlign w:val="center"/>
            <w:hideMark/>
          </w:tcPr>
          <w:p w14:paraId="7176E885"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21.7</w:t>
            </w:r>
          </w:p>
        </w:tc>
        <w:tc>
          <w:tcPr>
            <w:tcW w:w="1353" w:type="dxa"/>
            <w:tcBorders>
              <w:top w:val="nil"/>
              <w:left w:val="nil"/>
              <w:bottom w:val="nil"/>
              <w:right w:val="nil"/>
            </w:tcBorders>
            <w:shd w:val="clear" w:color="auto" w:fill="auto"/>
            <w:noWrap/>
            <w:vAlign w:val="center"/>
            <w:hideMark/>
          </w:tcPr>
          <w:p w14:paraId="79C334CB"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5919</w:t>
            </w:r>
          </w:p>
        </w:tc>
        <w:tc>
          <w:tcPr>
            <w:tcW w:w="967" w:type="dxa"/>
            <w:tcBorders>
              <w:top w:val="nil"/>
              <w:left w:val="nil"/>
              <w:bottom w:val="nil"/>
              <w:right w:val="nil"/>
            </w:tcBorders>
            <w:shd w:val="clear" w:color="auto" w:fill="auto"/>
            <w:noWrap/>
            <w:vAlign w:val="center"/>
            <w:hideMark/>
          </w:tcPr>
          <w:p w14:paraId="50CD40F6"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18.5</w:t>
            </w:r>
          </w:p>
        </w:tc>
        <w:tc>
          <w:tcPr>
            <w:tcW w:w="1095" w:type="dxa"/>
            <w:tcBorders>
              <w:top w:val="nil"/>
              <w:left w:val="nil"/>
              <w:bottom w:val="nil"/>
              <w:right w:val="nil"/>
            </w:tcBorders>
            <w:shd w:val="clear" w:color="auto" w:fill="auto"/>
            <w:noWrap/>
            <w:vAlign w:val="center"/>
            <w:hideMark/>
          </w:tcPr>
          <w:p w14:paraId="6D4208E3"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1149</w:t>
            </w:r>
          </w:p>
        </w:tc>
        <w:tc>
          <w:tcPr>
            <w:tcW w:w="967" w:type="dxa"/>
            <w:tcBorders>
              <w:top w:val="nil"/>
              <w:left w:val="nil"/>
              <w:bottom w:val="nil"/>
              <w:right w:val="nil"/>
            </w:tcBorders>
            <w:shd w:val="clear" w:color="auto" w:fill="auto"/>
            <w:noWrap/>
            <w:vAlign w:val="center"/>
            <w:hideMark/>
          </w:tcPr>
          <w:p w14:paraId="195BDF68"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21.5</w:t>
            </w:r>
          </w:p>
        </w:tc>
        <w:tc>
          <w:tcPr>
            <w:tcW w:w="1095" w:type="dxa"/>
            <w:tcBorders>
              <w:top w:val="nil"/>
              <w:left w:val="nil"/>
              <w:bottom w:val="nil"/>
              <w:right w:val="nil"/>
            </w:tcBorders>
            <w:shd w:val="clear" w:color="auto" w:fill="auto"/>
            <w:noWrap/>
            <w:vAlign w:val="center"/>
            <w:hideMark/>
          </w:tcPr>
          <w:p w14:paraId="749664D5"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544</w:t>
            </w:r>
          </w:p>
        </w:tc>
        <w:tc>
          <w:tcPr>
            <w:tcW w:w="967" w:type="dxa"/>
            <w:tcBorders>
              <w:top w:val="nil"/>
              <w:left w:val="nil"/>
              <w:bottom w:val="nil"/>
              <w:right w:val="nil"/>
            </w:tcBorders>
            <w:shd w:val="clear" w:color="auto" w:fill="auto"/>
            <w:noWrap/>
            <w:vAlign w:val="center"/>
            <w:hideMark/>
          </w:tcPr>
          <w:p w14:paraId="48A7273B"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19.5</w:t>
            </w:r>
          </w:p>
        </w:tc>
        <w:tc>
          <w:tcPr>
            <w:tcW w:w="1095" w:type="dxa"/>
            <w:tcBorders>
              <w:top w:val="nil"/>
              <w:left w:val="nil"/>
              <w:bottom w:val="nil"/>
              <w:right w:val="nil"/>
            </w:tcBorders>
            <w:shd w:val="clear" w:color="auto" w:fill="auto"/>
            <w:noWrap/>
            <w:vAlign w:val="center"/>
            <w:hideMark/>
          </w:tcPr>
          <w:p w14:paraId="4F98D2FB"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196</w:t>
            </w:r>
          </w:p>
        </w:tc>
        <w:tc>
          <w:tcPr>
            <w:tcW w:w="967" w:type="dxa"/>
            <w:tcBorders>
              <w:top w:val="nil"/>
              <w:left w:val="nil"/>
              <w:bottom w:val="nil"/>
              <w:right w:val="nil"/>
            </w:tcBorders>
            <w:shd w:val="clear" w:color="auto" w:fill="auto"/>
            <w:noWrap/>
            <w:vAlign w:val="center"/>
            <w:hideMark/>
          </w:tcPr>
          <w:p w14:paraId="34E2CB24"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18.4</w:t>
            </w:r>
          </w:p>
        </w:tc>
        <w:tc>
          <w:tcPr>
            <w:tcW w:w="838" w:type="dxa"/>
            <w:tcBorders>
              <w:top w:val="nil"/>
              <w:left w:val="nil"/>
              <w:bottom w:val="nil"/>
              <w:right w:val="nil"/>
            </w:tcBorders>
            <w:shd w:val="clear" w:color="auto" w:fill="auto"/>
            <w:noWrap/>
            <w:vAlign w:val="center"/>
            <w:hideMark/>
          </w:tcPr>
          <w:p w14:paraId="7B97E364"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129</w:t>
            </w:r>
          </w:p>
        </w:tc>
        <w:tc>
          <w:tcPr>
            <w:tcW w:w="967" w:type="dxa"/>
            <w:tcBorders>
              <w:top w:val="nil"/>
              <w:left w:val="nil"/>
              <w:bottom w:val="nil"/>
              <w:right w:val="nil"/>
            </w:tcBorders>
            <w:shd w:val="clear" w:color="auto" w:fill="auto"/>
            <w:noWrap/>
            <w:vAlign w:val="center"/>
            <w:hideMark/>
          </w:tcPr>
          <w:p w14:paraId="0CFB5FD4"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17.1</w:t>
            </w:r>
          </w:p>
        </w:tc>
        <w:tc>
          <w:tcPr>
            <w:tcW w:w="838" w:type="dxa"/>
            <w:tcBorders>
              <w:top w:val="nil"/>
              <w:left w:val="nil"/>
              <w:bottom w:val="nil"/>
              <w:right w:val="nil"/>
            </w:tcBorders>
            <w:shd w:val="clear" w:color="auto" w:fill="auto"/>
            <w:noWrap/>
            <w:vAlign w:val="center"/>
            <w:hideMark/>
          </w:tcPr>
          <w:p w14:paraId="2297FC18"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108</w:t>
            </w:r>
          </w:p>
        </w:tc>
        <w:tc>
          <w:tcPr>
            <w:tcW w:w="971" w:type="dxa"/>
            <w:tcBorders>
              <w:top w:val="nil"/>
              <w:left w:val="nil"/>
              <w:bottom w:val="nil"/>
              <w:right w:val="nil"/>
            </w:tcBorders>
            <w:shd w:val="clear" w:color="auto" w:fill="auto"/>
            <w:noWrap/>
            <w:vAlign w:val="center"/>
            <w:hideMark/>
          </w:tcPr>
          <w:p w14:paraId="3BAEE169"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17.3</w:t>
            </w:r>
          </w:p>
        </w:tc>
      </w:tr>
      <w:tr w:rsidR="00D07A53" w:rsidRPr="00667942" w14:paraId="7240E712" w14:textId="77777777" w:rsidTr="003632F4">
        <w:trPr>
          <w:trHeight w:val="398"/>
        </w:trPr>
        <w:tc>
          <w:tcPr>
            <w:tcW w:w="1489" w:type="dxa"/>
            <w:tcBorders>
              <w:top w:val="nil"/>
              <w:left w:val="nil"/>
              <w:bottom w:val="nil"/>
              <w:right w:val="nil"/>
            </w:tcBorders>
            <w:shd w:val="clear" w:color="auto" w:fill="auto"/>
            <w:noWrap/>
            <w:vAlign w:val="center"/>
            <w:hideMark/>
          </w:tcPr>
          <w:p w14:paraId="0ADC16B0" w14:textId="77777777" w:rsidR="00D07A53" w:rsidRPr="00667942" w:rsidRDefault="00D07A53" w:rsidP="003632F4">
            <w:pPr>
              <w:spacing w:line="240" w:lineRule="auto"/>
              <w:rPr>
                <w:rFonts w:eastAsia="Times New Roman"/>
                <w:color w:val="000000"/>
                <w:lang w:eastAsia="en-NZ"/>
              </w:rPr>
            </w:pPr>
            <w:r>
              <w:rPr>
                <w:rFonts w:eastAsia="Arial"/>
                <w:color w:val="000000"/>
                <w:lang w:val="en-US" w:eastAsia="en-NZ"/>
              </w:rPr>
              <w:t xml:space="preserve">  </w:t>
            </w:r>
            <w:r w:rsidRPr="00667942">
              <w:rPr>
                <w:rFonts w:eastAsia="Arial"/>
                <w:color w:val="000000"/>
                <w:lang w:val="en-US" w:eastAsia="en-NZ"/>
              </w:rPr>
              <w:t>45-54</w:t>
            </w:r>
          </w:p>
        </w:tc>
        <w:tc>
          <w:tcPr>
            <w:tcW w:w="1029" w:type="dxa"/>
            <w:tcBorders>
              <w:top w:val="nil"/>
              <w:left w:val="nil"/>
              <w:bottom w:val="nil"/>
              <w:right w:val="nil"/>
            </w:tcBorders>
            <w:shd w:val="clear" w:color="auto" w:fill="auto"/>
            <w:noWrap/>
            <w:vAlign w:val="center"/>
            <w:hideMark/>
          </w:tcPr>
          <w:p w14:paraId="385F0D85"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4023</w:t>
            </w:r>
          </w:p>
        </w:tc>
        <w:tc>
          <w:tcPr>
            <w:tcW w:w="967" w:type="dxa"/>
            <w:tcBorders>
              <w:top w:val="nil"/>
              <w:left w:val="nil"/>
              <w:bottom w:val="nil"/>
              <w:right w:val="nil"/>
            </w:tcBorders>
            <w:shd w:val="clear" w:color="auto" w:fill="auto"/>
            <w:noWrap/>
            <w:vAlign w:val="center"/>
            <w:hideMark/>
          </w:tcPr>
          <w:p w14:paraId="319667E8"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17.8</w:t>
            </w:r>
          </w:p>
        </w:tc>
        <w:tc>
          <w:tcPr>
            <w:tcW w:w="1353" w:type="dxa"/>
            <w:tcBorders>
              <w:top w:val="nil"/>
              <w:left w:val="nil"/>
              <w:bottom w:val="nil"/>
              <w:right w:val="nil"/>
            </w:tcBorders>
            <w:shd w:val="clear" w:color="auto" w:fill="auto"/>
            <w:noWrap/>
            <w:vAlign w:val="center"/>
            <w:hideMark/>
          </w:tcPr>
          <w:p w14:paraId="721CF8C8"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5898</w:t>
            </w:r>
          </w:p>
        </w:tc>
        <w:tc>
          <w:tcPr>
            <w:tcW w:w="967" w:type="dxa"/>
            <w:tcBorders>
              <w:top w:val="nil"/>
              <w:left w:val="nil"/>
              <w:bottom w:val="nil"/>
              <w:right w:val="nil"/>
            </w:tcBorders>
            <w:shd w:val="clear" w:color="auto" w:fill="auto"/>
            <w:noWrap/>
            <w:vAlign w:val="center"/>
            <w:hideMark/>
          </w:tcPr>
          <w:p w14:paraId="5C811820"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18.4</w:t>
            </w:r>
          </w:p>
        </w:tc>
        <w:tc>
          <w:tcPr>
            <w:tcW w:w="1095" w:type="dxa"/>
            <w:tcBorders>
              <w:top w:val="nil"/>
              <w:left w:val="nil"/>
              <w:bottom w:val="nil"/>
              <w:right w:val="nil"/>
            </w:tcBorders>
            <w:shd w:val="clear" w:color="auto" w:fill="auto"/>
            <w:noWrap/>
            <w:vAlign w:val="center"/>
            <w:hideMark/>
          </w:tcPr>
          <w:p w14:paraId="5F876D0C"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1076</w:t>
            </w:r>
          </w:p>
        </w:tc>
        <w:tc>
          <w:tcPr>
            <w:tcW w:w="967" w:type="dxa"/>
            <w:tcBorders>
              <w:top w:val="nil"/>
              <w:left w:val="nil"/>
              <w:bottom w:val="nil"/>
              <w:right w:val="nil"/>
            </w:tcBorders>
            <w:shd w:val="clear" w:color="auto" w:fill="auto"/>
            <w:noWrap/>
            <w:vAlign w:val="center"/>
            <w:hideMark/>
          </w:tcPr>
          <w:p w14:paraId="696F5500"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20.2</w:t>
            </w:r>
          </w:p>
        </w:tc>
        <w:tc>
          <w:tcPr>
            <w:tcW w:w="1095" w:type="dxa"/>
            <w:tcBorders>
              <w:top w:val="nil"/>
              <w:left w:val="nil"/>
              <w:bottom w:val="nil"/>
              <w:right w:val="nil"/>
            </w:tcBorders>
            <w:shd w:val="clear" w:color="auto" w:fill="auto"/>
            <w:noWrap/>
            <w:vAlign w:val="center"/>
            <w:hideMark/>
          </w:tcPr>
          <w:p w14:paraId="6F1CD390"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522</w:t>
            </w:r>
          </w:p>
        </w:tc>
        <w:tc>
          <w:tcPr>
            <w:tcW w:w="967" w:type="dxa"/>
            <w:tcBorders>
              <w:top w:val="nil"/>
              <w:left w:val="nil"/>
              <w:bottom w:val="nil"/>
              <w:right w:val="nil"/>
            </w:tcBorders>
            <w:shd w:val="clear" w:color="auto" w:fill="auto"/>
            <w:noWrap/>
            <w:vAlign w:val="center"/>
            <w:hideMark/>
          </w:tcPr>
          <w:p w14:paraId="3FED311A"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18.8</w:t>
            </w:r>
          </w:p>
        </w:tc>
        <w:tc>
          <w:tcPr>
            <w:tcW w:w="1095" w:type="dxa"/>
            <w:tcBorders>
              <w:top w:val="nil"/>
              <w:left w:val="nil"/>
              <w:bottom w:val="nil"/>
              <w:right w:val="nil"/>
            </w:tcBorders>
            <w:shd w:val="clear" w:color="auto" w:fill="auto"/>
            <w:noWrap/>
            <w:vAlign w:val="center"/>
            <w:hideMark/>
          </w:tcPr>
          <w:p w14:paraId="09817A9B"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228</w:t>
            </w:r>
          </w:p>
        </w:tc>
        <w:tc>
          <w:tcPr>
            <w:tcW w:w="967" w:type="dxa"/>
            <w:tcBorders>
              <w:top w:val="nil"/>
              <w:left w:val="nil"/>
              <w:bottom w:val="nil"/>
              <w:right w:val="nil"/>
            </w:tcBorders>
            <w:shd w:val="clear" w:color="auto" w:fill="auto"/>
            <w:noWrap/>
            <w:vAlign w:val="center"/>
            <w:hideMark/>
          </w:tcPr>
          <w:p w14:paraId="47493CB6"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21.4</w:t>
            </w:r>
          </w:p>
        </w:tc>
        <w:tc>
          <w:tcPr>
            <w:tcW w:w="838" w:type="dxa"/>
            <w:tcBorders>
              <w:top w:val="nil"/>
              <w:left w:val="nil"/>
              <w:bottom w:val="nil"/>
              <w:right w:val="nil"/>
            </w:tcBorders>
            <w:shd w:val="clear" w:color="auto" w:fill="auto"/>
            <w:noWrap/>
            <w:vAlign w:val="center"/>
            <w:hideMark/>
          </w:tcPr>
          <w:p w14:paraId="5FAAF8FE"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175</w:t>
            </w:r>
          </w:p>
        </w:tc>
        <w:tc>
          <w:tcPr>
            <w:tcW w:w="967" w:type="dxa"/>
            <w:tcBorders>
              <w:top w:val="nil"/>
              <w:left w:val="nil"/>
              <w:bottom w:val="nil"/>
              <w:right w:val="nil"/>
            </w:tcBorders>
            <w:shd w:val="clear" w:color="auto" w:fill="auto"/>
            <w:noWrap/>
            <w:vAlign w:val="center"/>
            <w:hideMark/>
          </w:tcPr>
          <w:p w14:paraId="3D1F112C"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23.2</w:t>
            </w:r>
          </w:p>
        </w:tc>
        <w:tc>
          <w:tcPr>
            <w:tcW w:w="838" w:type="dxa"/>
            <w:tcBorders>
              <w:top w:val="nil"/>
              <w:left w:val="nil"/>
              <w:bottom w:val="nil"/>
              <w:right w:val="nil"/>
            </w:tcBorders>
            <w:shd w:val="clear" w:color="auto" w:fill="auto"/>
            <w:noWrap/>
            <w:vAlign w:val="center"/>
            <w:hideMark/>
          </w:tcPr>
          <w:p w14:paraId="6BE2AA36"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143</w:t>
            </w:r>
          </w:p>
        </w:tc>
        <w:tc>
          <w:tcPr>
            <w:tcW w:w="971" w:type="dxa"/>
            <w:tcBorders>
              <w:top w:val="nil"/>
              <w:left w:val="nil"/>
              <w:bottom w:val="nil"/>
              <w:right w:val="nil"/>
            </w:tcBorders>
            <w:shd w:val="clear" w:color="auto" w:fill="auto"/>
            <w:noWrap/>
            <w:vAlign w:val="center"/>
            <w:hideMark/>
          </w:tcPr>
          <w:p w14:paraId="71A8C2AA"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23</w:t>
            </w:r>
          </w:p>
        </w:tc>
      </w:tr>
      <w:tr w:rsidR="00D07A53" w:rsidRPr="00667942" w14:paraId="39EEB16B" w14:textId="77777777" w:rsidTr="003632F4">
        <w:trPr>
          <w:trHeight w:val="398"/>
        </w:trPr>
        <w:tc>
          <w:tcPr>
            <w:tcW w:w="1489" w:type="dxa"/>
            <w:tcBorders>
              <w:top w:val="nil"/>
              <w:left w:val="nil"/>
              <w:bottom w:val="nil"/>
              <w:right w:val="nil"/>
            </w:tcBorders>
            <w:shd w:val="clear" w:color="auto" w:fill="auto"/>
            <w:noWrap/>
            <w:vAlign w:val="center"/>
            <w:hideMark/>
          </w:tcPr>
          <w:p w14:paraId="3EED8C5C" w14:textId="77777777" w:rsidR="00D07A53" w:rsidRPr="00667942" w:rsidRDefault="00D07A53" w:rsidP="003632F4">
            <w:pPr>
              <w:spacing w:line="240" w:lineRule="auto"/>
              <w:rPr>
                <w:rFonts w:eastAsia="Times New Roman"/>
                <w:color w:val="000000"/>
                <w:lang w:eastAsia="en-NZ"/>
              </w:rPr>
            </w:pPr>
            <w:r>
              <w:rPr>
                <w:rFonts w:eastAsia="Arial"/>
                <w:color w:val="000000"/>
                <w:lang w:val="en-US" w:eastAsia="en-NZ"/>
              </w:rPr>
              <w:t xml:space="preserve">  </w:t>
            </w:r>
            <w:r w:rsidRPr="00667942">
              <w:rPr>
                <w:rFonts w:eastAsia="Arial"/>
                <w:color w:val="000000"/>
                <w:lang w:val="en-US" w:eastAsia="en-NZ"/>
              </w:rPr>
              <w:t>55 or more</w:t>
            </w:r>
          </w:p>
        </w:tc>
        <w:tc>
          <w:tcPr>
            <w:tcW w:w="1029" w:type="dxa"/>
            <w:tcBorders>
              <w:top w:val="nil"/>
              <w:left w:val="nil"/>
              <w:bottom w:val="nil"/>
              <w:right w:val="nil"/>
            </w:tcBorders>
            <w:shd w:val="clear" w:color="auto" w:fill="auto"/>
            <w:noWrap/>
            <w:vAlign w:val="center"/>
            <w:hideMark/>
          </w:tcPr>
          <w:p w14:paraId="3A2E71C6"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3890</w:t>
            </w:r>
          </w:p>
        </w:tc>
        <w:tc>
          <w:tcPr>
            <w:tcW w:w="967" w:type="dxa"/>
            <w:tcBorders>
              <w:top w:val="nil"/>
              <w:left w:val="nil"/>
              <w:bottom w:val="nil"/>
              <w:right w:val="nil"/>
            </w:tcBorders>
            <w:shd w:val="clear" w:color="auto" w:fill="auto"/>
            <w:noWrap/>
            <w:vAlign w:val="center"/>
            <w:hideMark/>
          </w:tcPr>
          <w:p w14:paraId="22CF964B"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17.2</w:t>
            </w:r>
          </w:p>
        </w:tc>
        <w:tc>
          <w:tcPr>
            <w:tcW w:w="1353" w:type="dxa"/>
            <w:tcBorders>
              <w:top w:val="nil"/>
              <w:left w:val="nil"/>
              <w:bottom w:val="nil"/>
              <w:right w:val="nil"/>
            </w:tcBorders>
            <w:shd w:val="clear" w:color="auto" w:fill="auto"/>
            <w:noWrap/>
            <w:vAlign w:val="center"/>
            <w:hideMark/>
          </w:tcPr>
          <w:p w14:paraId="10C57B2A"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8811</w:t>
            </w:r>
          </w:p>
        </w:tc>
        <w:tc>
          <w:tcPr>
            <w:tcW w:w="967" w:type="dxa"/>
            <w:tcBorders>
              <w:top w:val="nil"/>
              <w:left w:val="nil"/>
              <w:bottom w:val="nil"/>
              <w:right w:val="nil"/>
            </w:tcBorders>
            <w:shd w:val="clear" w:color="auto" w:fill="auto"/>
            <w:noWrap/>
            <w:vAlign w:val="center"/>
            <w:hideMark/>
          </w:tcPr>
          <w:p w14:paraId="0312AB6A"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27.5</w:t>
            </w:r>
          </w:p>
        </w:tc>
        <w:tc>
          <w:tcPr>
            <w:tcW w:w="1095" w:type="dxa"/>
            <w:tcBorders>
              <w:top w:val="nil"/>
              <w:left w:val="nil"/>
              <w:bottom w:val="nil"/>
              <w:right w:val="nil"/>
            </w:tcBorders>
            <w:shd w:val="clear" w:color="auto" w:fill="auto"/>
            <w:noWrap/>
            <w:vAlign w:val="center"/>
            <w:hideMark/>
          </w:tcPr>
          <w:p w14:paraId="7E46BAF9"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1123</w:t>
            </w:r>
          </w:p>
        </w:tc>
        <w:tc>
          <w:tcPr>
            <w:tcW w:w="967" w:type="dxa"/>
            <w:tcBorders>
              <w:top w:val="nil"/>
              <w:left w:val="nil"/>
              <w:bottom w:val="nil"/>
              <w:right w:val="nil"/>
            </w:tcBorders>
            <w:shd w:val="clear" w:color="auto" w:fill="auto"/>
            <w:noWrap/>
            <w:vAlign w:val="center"/>
            <w:hideMark/>
          </w:tcPr>
          <w:p w14:paraId="7A7FEEDF"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21.1</w:t>
            </w:r>
          </w:p>
        </w:tc>
        <w:tc>
          <w:tcPr>
            <w:tcW w:w="1095" w:type="dxa"/>
            <w:tcBorders>
              <w:top w:val="nil"/>
              <w:left w:val="nil"/>
              <w:bottom w:val="nil"/>
              <w:right w:val="nil"/>
            </w:tcBorders>
            <w:shd w:val="clear" w:color="auto" w:fill="auto"/>
            <w:noWrap/>
            <w:vAlign w:val="center"/>
            <w:hideMark/>
          </w:tcPr>
          <w:p w14:paraId="18FBE111"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747</w:t>
            </w:r>
          </w:p>
        </w:tc>
        <w:tc>
          <w:tcPr>
            <w:tcW w:w="967" w:type="dxa"/>
            <w:tcBorders>
              <w:top w:val="nil"/>
              <w:left w:val="nil"/>
              <w:bottom w:val="nil"/>
              <w:right w:val="nil"/>
            </w:tcBorders>
            <w:shd w:val="clear" w:color="auto" w:fill="auto"/>
            <w:noWrap/>
            <w:vAlign w:val="center"/>
            <w:hideMark/>
          </w:tcPr>
          <w:p w14:paraId="11F60CFD"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26.8</w:t>
            </w:r>
          </w:p>
        </w:tc>
        <w:tc>
          <w:tcPr>
            <w:tcW w:w="1095" w:type="dxa"/>
            <w:tcBorders>
              <w:top w:val="nil"/>
              <w:left w:val="nil"/>
              <w:bottom w:val="nil"/>
              <w:right w:val="nil"/>
            </w:tcBorders>
            <w:shd w:val="clear" w:color="auto" w:fill="auto"/>
            <w:noWrap/>
            <w:vAlign w:val="center"/>
            <w:hideMark/>
          </w:tcPr>
          <w:p w14:paraId="275D0826"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333</w:t>
            </w:r>
          </w:p>
        </w:tc>
        <w:tc>
          <w:tcPr>
            <w:tcW w:w="967" w:type="dxa"/>
            <w:tcBorders>
              <w:top w:val="nil"/>
              <w:left w:val="nil"/>
              <w:bottom w:val="nil"/>
              <w:right w:val="nil"/>
            </w:tcBorders>
            <w:shd w:val="clear" w:color="auto" w:fill="auto"/>
            <w:noWrap/>
            <w:vAlign w:val="center"/>
            <w:hideMark/>
          </w:tcPr>
          <w:p w14:paraId="370E6329"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31.3</w:t>
            </w:r>
          </w:p>
        </w:tc>
        <w:tc>
          <w:tcPr>
            <w:tcW w:w="838" w:type="dxa"/>
            <w:tcBorders>
              <w:top w:val="nil"/>
              <w:left w:val="nil"/>
              <w:bottom w:val="nil"/>
              <w:right w:val="nil"/>
            </w:tcBorders>
            <w:shd w:val="clear" w:color="auto" w:fill="auto"/>
            <w:noWrap/>
            <w:vAlign w:val="center"/>
            <w:hideMark/>
          </w:tcPr>
          <w:p w14:paraId="3DFEEF11"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252</w:t>
            </w:r>
          </w:p>
        </w:tc>
        <w:tc>
          <w:tcPr>
            <w:tcW w:w="967" w:type="dxa"/>
            <w:tcBorders>
              <w:top w:val="nil"/>
              <w:left w:val="nil"/>
              <w:bottom w:val="nil"/>
              <w:right w:val="nil"/>
            </w:tcBorders>
            <w:shd w:val="clear" w:color="auto" w:fill="auto"/>
            <w:noWrap/>
            <w:vAlign w:val="center"/>
            <w:hideMark/>
          </w:tcPr>
          <w:p w14:paraId="78262A7A"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33.5</w:t>
            </w:r>
          </w:p>
        </w:tc>
        <w:tc>
          <w:tcPr>
            <w:tcW w:w="838" w:type="dxa"/>
            <w:tcBorders>
              <w:top w:val="nil"/>
              <w:left w:val="nil"/>
              <w:bottom w:val="nil"/>
              <w:right w:val="nil"/>
            </w:tcBorders>
            <w:shd w:val="clear" w:color="auto" w:fill="auto"/>
            <w:noWrap/>
            <w:vAlign w:val="center"/>
            <w:hideMark/>
          </w:tcPr>
          <w:p w14:paraId="6B387936"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216</w:t>
            </w:r>
          </w:p>
        </w:tc>
        <w:tc>
          <w:tcPr>
            <w:tcW w:w="971" w:type="dxa"/>
            <w:tcBorders>
              <w:top w:val="nil"/>
              <w:left w:val="nil"/>
              <w:bottom w:val="nil"/>
              <w:right w:val="nil"/>
            </w:tcBorders>
            <w:shd w:val="clear" w:color="auto" w:fill="auto"/>
            <w:noWrap/>
            <w:vAlign w:val="center"/>
            <w:hideMark/>
          </w:tcPr>
          <w:p w14:paraId="708F0639"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34.7</w:t>
            </w:r>
          </w:p>
        </w:tc>
      </w:tr>
      <w:tr w:rsidR="00D07A53" w:rsidRPr="00667942" w14:paraId="270A7140" w14:textId="77777777" w:rsidTr="003632F4">
        <w:trPr>
          <w:trHeight w:val="398"/>
        </w:trPr>
        <w:tc>
          <w:tcPr>
            <w:tcW w:w="2518" w:type="dxa"/>
            <w:gridSpan w:val="2"/>
            <w:tcBorders>
              <w:top w:val="single" w:sz="4" w:space="0" w:color="auto"/>
              <w:left w:val="nil"/>
              <w:bottom w:val="nil"/>
              <w:right w:val="nil"/>
            </w:tcBorders>
            <w:shd w:val="clear" w:color="auto" w:fill="auto"/>
            <w:noWrap/>
            <w:vAlign w:val="center"/>
            <w:hideMark/>
          </w:tcPr>
          <w:p w14:paraId="15192154" w14:textId="77777777" w:rsidR="00D07A53" w:rsidRPr="00667942" w:rsidRDefault="00D07A53" w:rsidP="003632F4">
            <w:pPr>
              <w:spacing w:line="240" w:lineRule="auto"/>
              <w:rPr>
                <w:rFonts w:eastAsia="Times New Roman"/>
                <w:b/>
                <w:bCs/>
                <w:color w:val="000000"/>
                <w:lang w:eastAsia="en-NZ"/>
              </w:rPr>
            </w:pPr>
            <w:r w:rsidRPr="00667942">
              <w:rPr>
                <w:rFonts w:eastAsia="Times New Roman"/>
                <w:b/>
                <w:bCs/>
                <w:color w:val="000000"/>
                <w:lang w:eastAsia="en-NZ"/>
              </w:rPr>
              <w:t>Ethnic Group</w:t>
            </w:r>
          </w:p>
        </w:tc>
        <w:tc>
          <w:tcPr>
            <w:tcW w:w="967" w:type="dxa"/>
            <w:tcBorders>
              <w:top w:val="single" w:sz="4" w:space="0" w:color="auto"/>
              <w:left w:val="nil"/>
              <w:bottom w:val="nil"/>
              <w:right w:val="nil"/>
            </w:tcBorders>
            <w:shd w:val="clear" w:color="auto" w:fill="auto"/>
            <w:noWrap/>
            <w:vAlign w:val="bottom"/>
            <w:hideMark/>
          </w:tcPr>
          <w:p w14:paraId="002043A0"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1353" w:type="dxa"/>
            <w:tcBorders>
              <w:top w:val="single" w:sz="4" w:space="0" w:color="auto"/>
              <w:left w:val="nil"/>
              <w:bottom w:val="nil"/>
              <w:right w:val="nil"/>
            </w:tcBorders>
            <w:shd w:val="clear" w:color="auto" w:fill="auto"/>
            <w:noWrap/>
            <w:vAlign w:val="bottom"/>
            <w:hideMark/>
          </w:tcPr>
          <w:p w14:paraId="70CEF5C3"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967" w:type="dxa"/>
            <w:tcBorders>
              <w:top w:val="single" w:sz="4" w:space="0" w:color="auto"/>
              <w:left w:val="nil"/>
              <w:bottom w:val="nil"/>
              <w:right w:val="nil"/>
            </w:tcBorders>
            <w:shd w:val="clear" w:color="auto" w:fill="auto"/>
            <w:noWrap/>
            <w:vAlign w:val="bottom"/>
            <w:hideMark/>
          </w:tcPr>
          <w:p w14:paraId="4EB73339"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1095" w:type="dxa"/>
            <w:tcBorders>
              <w:top w:val="single" w:sz="4" w:space="0" w:color="auto"/>
              <w:left w:val="nil"/>
              <w:bottom w:val="nil"/>
              <w:right w:val="nil"/>
            </w:tcBorders>
            <w:shd w:val="clear" w:color="auto" w:fill="auto"/>
            <w:noWrap/>
            <w:vAlign w:val="bottom"/>
            <w:hideMark/>
          </w:tcPr>
          <w:p w14:paraId="653503D2"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967" w:type="dxa"/>
            <w:tcBorders>
              <w:top w:val="single" w:sz="4" w:space="0" w:color="auto"/>
              <w:left w:val="nil"/>
              <w:bottom w:val="nil"/>
              <w:right w:val="nil"/>
            </w:tcBorders>
            <w:shd w:val="clear" w:color="auto" w:fill="auto"/>
            <w:noWrap/>
            <w:vAlign w:val="bottom"/>
            <w:hideMark/>
          </w:tcPr>
          <w:p w14:paraId="3DE081A1"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1095" w:type="dxa"/>
            <w:tcBorders>
              <w:top w:val="single" w:sz="4" w:space="0" w:color="auto"/>
              <w:left w:val="nil"/>
              <w:bottom w:val="nil"/>
              <w:right w:val="nil"/>
            </w:tcBorders>
            <w:shd w:val="clear" w:color="auto" w:fill="auto"/>
            <w:noWrap/>
            <w:vAlign w:val="bottom"/>
            <w:hideMark/>
          </w:tcPr>
          <w:p w14:paraId="68D9DE5E"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967" w:type="dxa"/>
            <w:tcBorders>
              <w:top w:val="single" w:sz="4" w:space="0" w:color="auto"/>
              <w:left w:val="nil"/>
              <w:bottom w:val="nil"/>
              <w:right w:val="nil"/>
            </w:tcBorders>
            <w:shd w:val="clear" w:color="auto" w:fill="auto"/>
            <w:noWrap/>
            <w:vAlign w:val="bottom"/>
            <w:hideMark/>
          </w:tcPr>
          <w:p w14:paraId="0934B709"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1095" w:type="dxa"/>
            <w:tcBorders>
              <w:top w:val="single" w:sz="4" w:space="0" w:color="auto"/>
              <w:left w:val="nil"/>
              <w:bottom w:val="nil"/>
              <w:right w:val="nil"/>
            </w:tcBorders>
            <w:shd w:val="clear" w:color="auto" w:fill="auto"/>
            <w:noWrap/>
            <w:vAlign w:val="bottom"/>
            <w:hideMark/>
          </w:tcPr>
          <w:p w14:paraId="465E838D"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967" w:type="dxa"/>
            <w:tcBorders>
              <w:top w:val="single" w:sz="4" w:space="0" w:color="auto"/>
              <w:left w:val="nil"/>
              <w:bottom w:val="nil"/>
              <w:right w:val="nil"/>
            </w:tcBorders>
            <w:shd w:val="clear" w:color="auto" w:fill="auto"/>
            <w:noWrap/>
            <w:vAlign w:val="bottom"/>
            <w:hideMark/>
          </w:tcPr>
          <w:p w14:paraId="32E9834D"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838" w:type="dxa"/>
            <w:tcBorders>
              <w:top w:val="single" w:sz="4" w:space="0" w:color="auto"/>
              <w:left w:val="nil"/>
              <w:bottom w:val="nil"/>
              <w:right w:val="nil"/>
            </w:tcBorders>
            <w:shd w:val="clear" w:color="auto" w:fill="auto"/>
            <w:noWrap/>
            <w:vAlign w:val="bottom"/>
            <w:hideMark/>
          </w:tcPr>
          <w:p w14:paraId="435EFAF6"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967" w:type="dxa"/>
            <w:tcBorders>
              <w:top w:val="single" w:sz="4" w:space="0" w:color="auto"/>
              <w:left w:val="nil"/>
              <w:bottom w:val="nil"/>
              <w:right w:val="nil"/>
            </w:tcBorders>
            <w:shd w:val="clear" w:color="auto" w:fill="auto"/>
            <w:noWrap/>
            <w:vAlign w:val="bottom"/>
            <w:hideMark/>
          </w:tcPr>
          <w:p w14:paraId="2DCE8EFA"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838" w:type="dxa"/>
            <w:tcBorders>
              <w:top w:val="single" w:sz="4" w:space="0" w:color="auto"/>
              <w:left w:val="nil"/>
              <w:bottom w:val="nil"/>
              <w:right w:val="nil"/>
            </w:tcBorders>
            <w:shd w:val="clear" w:color="auto" w:fill="auto"/>
            <w:noWrap/>
            <w:vAlign w:val="bottom"/>
            <w:hideMark/>
          </w:tcPr>
          <w:p w14:paraId="684FDDF7"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c>
          <w:tcPr>
            <w:tcW w:w="971" w:type="dxa"/>
            <w:tcBorders>
              <w:top w:val="single" w:sz="4" w:space="0" w:color="auto"/>
              <w:left w:val="nil"/>
              <w:bottom w:val="nil"/>
              <w:right w:val="nil"/>
            </w:tcBorders>
            <w:shd w:val="clear" w:color="auto" w:fill="auto"/>
            <w:noWrap/>
            <w:vAlign w:val="bottom"/>
            <w:hideMark/>
          </w:tcPr>
          <w:p w14:paraId="5B034211" w14:textId="77777777" w:rsidR="00D07A53" w:rsidRPr="00667942" w:rsidRDefault="00D07A53" w:rsidP="003632F4">
            <w:pPr>
              <w:spacing w:line="240" w:lineRule="auto"/>
              <w:rPr>
                <w:rFonts w:eastAsia="Times New Roman"/>
                <w:color w:val="000000"/>
                <w:sz w:val="22"/>
                <w:szCs w:val="22"/>
                <w:lang w:eastAsia="en-NZ"/>
              </w:rPr>
            </w:pPr>
            <w:r w:rsidRPr="00667942">
              <w:rPr>
                <w:rFonts w:eastAsia="Times New Roman"/>
                <w:color w:val="000000"/>
                <w:sz w:val="22"/>
                <w:szCs w:val="22"/>
                <w:lang w:eastAsia="en-NZ"/>
              </w:rPr>
              <w:t> </w:t>
            </w:r>
          </w:p>
        </w:tc>
      </w:tr>
      <w:tr w:rsidR="00D07A53" w:rsidRPr="00667942" w14:paraId="6D40F59A" w14:textId="77777777" w:rsidTr="003632F4">
        <w:trPr>
          <w:trHeight w:val="398"/>
        </w:trPr>
        <w:tc>
          <w:tcPr>
            <w:tcW w:w="1489" w:type="dxa"/>
            <w:tcBorders>
              <w:top w:val="nil"/>
              <w:left w:val="nil"/>
              <w:bottom w:val="nil"/>
              <w:right w:val="nil"/>
            </w:tcBorders>
            <w:shd w:val="clear" w:color="auto" w:fill="auto"/>
            <w:noWrap/>
            <w:vAlign w:val="center"/>
            <w:hideMark/>
          </w:tcPr>
          <w:p w14:paraId="56A76D61" w14:textId="77777777" w:rsidR="00D07A53" w:rsidRPr="00667942" w:rsidRDefault="00D07A53" w:rsidP="003632F4">
            <w:pPr>
              <w:spacing w:line="240" w:lineRule="auto"/>
              <w:rPr>
                <w:rFonts w:eastAsia="Times New Roman"/>
                <w:color w:val="000000"/>
                <w:lang w:eastAsia="en-NZ"/>
              </w:rPr>
            </w:pPr>
            <w:r>
              <w:rPr>
                <w:rFonts w:eastAsia="Arial"/>
                <w:color w:val="000000"/>
                <w:lang w:val="en-US" w:eastAsia="en-NZ"/>
              </w:rPr>
              <w:t xml:space="preserve">  </w:t>
            </w:r>
            <w:r w:rsidRPr="00667942">
              <w:rPr>
                <w:rFonts w:eastAsia="Arial"/>
                <w:color w:val="000000"/>
                <w:lang w:val="en-US" w:eastAsia="en-NZ"/>
              </w:rPr>
              <w:t>M</w:t>
            </w:r>
            <w:r w:rsidRPr="00667942">
              <w:t>ā</w:t>
            </w:r>
            <w:r w:rsidRPr="00667942">
              <w:rPr>
                <w:rFonts w:eastAsia="Arial"/>
                <w:color w:val="000000"/>
                <w:lang w:val="en-US" w:eastAsia="en-NZ"/>
              </w:rPr>
              <w:t>ori</w:t>
            </w:r>
          </w:p>
        </w:tc>
        <w:tc>
          <w:tcPr>
            <w:tcW w:w="1029" w:type="dxa"/>
            <w:tcBorders>
              <w:top w:val="nil"/>
              <w:left w:val="nil"/>
              <w:bottom w:val="nil"/>
              <w:right w:val="nil"/>
            </w:tcBorders>
            <w:shd w:val="clear" w:color="auto" w:fill="auto"/>
            <w:noWrap/>
            <w:vAlign w:val="center"/>
            <w:hideMark/>
          </w:tcPr>
          <w:p w14:paraId="701C06DD"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9727</w:t>
            </w:r>
          </w:p>
        </w:tc>
        <w:tc>
          <w:tcPr>
            <w:tcW w:w="967" w:type="dxa"/>
            <w:tcBorders>
              <w:top w:val="nil"/>
              <w:left w:val="nil"/>
              <w:bottom w:val="nil"/>
              <w:right w:val="nil"/>
            </w:tcBorders>
            <w:shd w:val="clear" w:color="auto" w:fill="auto"/>
            <w:noWrap/>
            <w:vAlign w:val="center"/>
            <w:hideMark/>
          </w:tcPr>
          <w:p w14:paraId="7E404A50"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42.9</w:t>
            </w:r>
          </w:p>
        </w:tc>
        <w:tc>
          <w:tcPr>
            <w:tcW w:w="1353" w:type="dxa"/>
            <w:tcBorders>
              <w:top w:val="nil"/>
              <w:left w:val="nil"/>
              <w:bottom w:val="nil"/>
              <w:right w:val="nil"/>
            </w:tcBorders>
            <w:shd w:val="clear" w:color="auto" w:fill="auto"/>
            <w:noWrap/>
            <w:vAlign w:val="center"/>
            <w:hideMark/>
          </w:tcPr>
          <w:p w14:paraId="036FCCFD"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8358</w:t>
            </w:r>
          </w:p>
        </w:tc>
        <w:tc>
          <w:tcPr>
            <w:tcW w:w="967" w:type="dxa"/>
            <w:tcBorders>
              <w:top w:val="nil"/>
              <w:left w:val="nil"/>
              <w:bottom w:val="nil"/>
              <w:right w:val="nil"/>
            </w:tcBorders>
            <w:shd w:val="clear" w:color="auto" w:fill="auto"/>
            <w:noWrap/>
            <w:vAlign w:val="center"/>
            <w:hideMark/>
          </w:tcPr>
          <w:p w14:paraId="7317A501"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26.1</w:t>
            </w:r>
          </w:p>
        </w:tc>
        <w:tc>
          <w:tcPr>
            <w:tcW w:w="1095" w:type="dxa"/>
            <w:tcBorders>
              <w:top w:val="nil"/>
              <w:left w:val="nil"/>
              <w:bottom w:val="nil"/>
              <w:right w:val="nil"/>
            </w:tcBorders>
            <w:shd w:val="clear" w:color="auto" w:fill="auto"/>
            <w:noWrap/>
            <w:vAlign w:val="center"/>
            <w:hideMark/>
          </w:tcPr>
          <w:p w14:paraId="6D21FFD0"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2702</w:t>
            </w:r>
          </w:p>
        </w:tc>
        <w:tc>
          <w:tcPr>
            <w:tcW w:w="967" w:type="dxa"/>
            <w:tcBorders>
              <w:top w:val="nil"/>
              <w:left w:val="nil"/>
              <w:bottom w:val="nil"/>
              <w:right w:val="nil"/>
            </w:tcBorders>
            <w:shd w:val="clear" w:color="auto" w:fill="auto"/>
            <w:noWrap/>
            <w:vAlign w:val="center"/>
            <w:hideMark/>
          </w:tcPr>
          <w:p w14:paraId="4C5FB07E"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50.7</w:t>
            </w:r>
          </w:p>
        </w:tc>
        <w:tc>
          <w:tcPr>
            <w:tcW w:w="1095" w:type="dxa"/>
            <w:tcBorders>
              <w:top w:val="nil"/>
              <w:left w:val="nil"/>
              <w:bottom w:val="nil"/>
              <w:right w:val="nil"/>
            </w:tcBorders>
            <w:shd w:val="clear" w:color="auto" w:fill="auto"/>
            <w:noWrap/>
            <w:vAlign w:val="center"/>
            <w:hideMark/>
          </w:tcPr>
          <w:p w14:paraId="0E02BB33"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766</w:t>
            </w:r>
          </w:p>
        </w:tc>
        <w:tc>
          <w:tcPr>
            <w:tcW w:w="967" w:type="dxa"/>
            <w:tcBorders>
              <w:top w:val="nil"/>
              <w:left w:val="nil"/>
              <w:bottom w:val="nil"/>
              <w:right w:val="nil"/>
            </w:tcBorders>
            <w:shd w:val="clear" w:color="auto" w:fill="auto"/>
            <w:noWrap/>
            <w:vAlign w:val="center"/>
            <w:hideMark/>
          </w:tcPr>
          <w:p w14:paraId="19D45CCF"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27.5</w:t>
            </w:r>
          </w:p>
        </w:tc>
        <w:tc>
          <w:tcPr>
            <w:tcW w:w="1095" w:type="dxa"/>
            <w:tcBorders>
              <w:top w:val="nil"/>
              <w:left w:val="nil"/>
              <w:bottom w:val="nil"/>
              <w:right w:val="nil"/>
            </w:tcBorders>
            <w:shd w:val="clear" w:color="auto" w:fill="auto"/>
            <w:noWrap/>
            <w:vAlign w:val="center"/>
            <w:hideMark/>
          </w:tcPr>
          <w:p w14:paraId="02F93D68"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409</w:t>
            </w:r>
          </w:p>
        </w:tc>
        <w:tc>
          <w:tcPr>
            <w:tcW w:w="967" w:type="dxa"/>
            <w:tcBorders>
              <w:top w:val="nil"/>
              <w:left w:val="nil"/>
              <w:bottom w:val="nil"/>
              <w:right w:val="nil"/>
            </w:tcBorders>
            <w:shd w:val="clear" w:color="auto" w:fill="auto"/>
            <w:noWrap/>
            <w:vAlign w:val="center"/>
            <w:hideMark/>
          </w:tcPr>
          <w:p w14:paraId="2EB567D8"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38.5</w:t>
            </w:r>
          </w:p>
        </w:tc>
        <w:tc>
          <w:tcPr>
            <w:tcW w:w="838" w:type="dxa"/>
            <w:tcBorders>
              <w:top w:val="nil"/>
              <w:left w:val="nil"/>
              <w:bottom w:val="nil"/>
              <w:right w:val="nil"/>
            </w:tcBorders>
            <w:shd w:val="clear" w:color="auto" w:fill="auto"/>
            <w:noWrap/>
            <w:vAlign w:val="center"/>
            <w:hideMark/>
          </w:tcPr>
          <w:p w14:paraId="005D91A2"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286</w:t>
            </w:r>
          </w:p>
        </w:tc>
        <w:tc>
          <w:tcPr>
            <w:tcW w:w="967" w:type="dxa"/>
            <w:tcBorders>
              <w:top w:val="nil"/>
              <w:left w:val="nil"/>
              <w:bottom w:val="nil"/>
              <w:right w:val="nil"/>
            </w:tcBorders>
            <w:shd w:val="clear" w:color="auto" w:fill="auto"/>
            <w:noWrap/>
            <w:vAlign w:val="center"/>
            <w:hideMark/>
          </w:tcPr>
          <w:p w14:paraId="20A894E6"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38</w:t>
            </w:r>
          </w:p>
        </w:tc>
        <w:tc>
          <w:tcPr>
            <w:tcW w:w="838" w:type="dxa"/>
            <w:tcBorders>
              <w:top w:val="nil"/>
              <w:left w:val="nil"/>
              <w:bottom w:val="nil"/>
              <w:right w:val="nil"/>
            </w:tcBorders>
            <w:shd w:val="clear" w:color="auto" w:fill="auto"/>
            <w:noWrap/>
            <w:vAlign w:val="center"/>
            <w:hideMark/>
          </w:tcPr>
          <w:p w14:paraId="7E64F300"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217</w:t>
            </w:r>
          </w:p>
        </w:tc>
        <w:tc>
          <w:tcPr>
            <w:tcW w:w="971" w:type="dxa"/>
            <w:tcBorders>
              <w:top w:val="nil"/>
              <w:left w:val="nil"/>
              <w:bottom w:val="nil"/>
              <w:right w:val="nil"/>
            </w:tcBorders>
            <w:shd w:val="clear" w:color="auto" w:fill="auto"/>
            <w:noWrap/>
            <w:vAlign w:val="center"/>
            <w:hideMark/>
          </w:tcPr>
          <w:p w14:paraId="01CB3F1D"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34.8</w:t>
            </w:r>
          </w:p>
        </w:tc>
      </w:tr>
      <w:tr w:rsidR="00D07A53" w:rsidRPr="00667942" w14:paraId="24D47174" w14:textId="77777777" w:rsidTr="003632F4">
        <w:trPr>
          <w:trHeight w:val="398"/>
        </w:trPr>
        <w:tc>
          <w:tcPr>
            <w:tcW w:w="1489" w:type="dxa"/>
            <w:tcBorders>
              <w:top w:val="nil"/>
              <w:left w:val="nil"/>
              <w:bottom w:val="nil"/>
              <w:right w:val="nil"/>
            </w:tcBorders>
            <w:shd w:val="clear" w:color="auto" w:fill="auto"/>
            <w:noWrap/>
            <w:vAlign w:val="center"/>
            <w:hideMark/>
          </w:tcPr>
          <w:p w14:paraId="701B0C61" w14:textId="77777777" w:rsidR="00D07A53" w:rsidRPr="00667942" w:rsidRDefault="00D07A53" w:rsidP="003632F4">
            <w:pPr>
              <w:spacing w:line="240" w:lineRule="auto"/>
              <w:rPr>
                <w:rFonts w:eastAsia="Times New Roman"/>
                <w:color w:val="000000"/>
                <w:lang w:eastAsia="en-NZ"/>
              </w:rPr>
            </w:pPr>
            <w:r>
              <w:rPr>
                <w:rFonts w:eastAsia="Arial"/>
                <w:color w:val="000000"/>
                <w:lang w:val="en-US" w:eastAsia="en-NZ"/>
              </w:rPr>
              <w:t xml:space="preserve">  </w:t>
            </w:r>
            <w:r w:rsidRPr="00667942">
              <w:rPr>
                <w:rFonts w:eastAsia="Arial"/>
                <w:color w:val="000000"/>
                <w:lang w:val="en-US" w:eastAsia="en-NZ"/>
              </w:rPr>
              <w:t>Pacific</w:t>
            </w:r>
          </w:p>
        </w:tc>
        <w:tc>
          <w:tcPr>
            <w:tcW w:w="1029" w:type="dxa"/>
            <w:tcBorders>
              <w:top w:val="nil"/>
              <w:left w:val="nil"/>
              <w:bottom w:val="nil"/>
              <w:right w:val="nil"/>
            </w:tcBorders>
            <w:shd w:val="clear" w:color="auto" w:fill="auto"/>
            <w:noWrap/>
            <w:vAlign w:val="center"/>
            <w:hideMark/>
          </w:tcPr>
          <w:p w14:paraId="58B6EAAF"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5168</w:t>
            </w:r>
          </w:p>
        </w:tc>
        <w:tc>
          <w:tcPr>
            <w:tcW w:w="967" w:type="dxa"/>
            <w:tcBorders>
              <w:top w:val="nil"/>
              <w:left w:val="nil"/>
              <w:bottom w:val="nil"/>
              <w:right w:val="nil"/>
            </w:tcBorders>
            <w:shd w:val="clear" w:color="auto" w:fill="auto"/>
            <w:noWrap/>
            <w:vAlign w:val="center"/>
            <w:hideMark/>
          </w:tcPr>
          <w:p w14:paraId="7C5628BE"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22.8</w:t>
            </w:r>
          </w:p>
        </w:tc>
        <w:tc>
          <w:tcPr>
            <w:tcW w:w="1353" w:type="dxa"/>
            <w:tcBorders>
              <w:top w:val="nil"/>
              <w:left w:val="nil"/>
              <w:bottom w:val="nil"/>
              <w:right w:val="nil"/>
            </w:tcBorders>
            <w:shd w:val="clear" w:color="auto" w:fill="auto"/>
            <w:noWrap/>
            <w:vAlign w:val="center"/>
            <w:hideMark/>
          </w:tcPr>
          <w:p w14:paraId="1065F3D1"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10669</w:t>
            </w:r>
          </w:p>
        </w:tc>
        <w:tc>
          <w:tcPr>
            <w:tcW w:w="967" w:type="dxa"/>
            <w:tcBorders>
              <w:top w:val="nil"/>
              <w:left w:val="nil"/>
              <w:bottom w:val="nil"/>
              <w:right w:val="nil"/>
            </w:tcBorders>
            <w:shd w:val="clear" w:color="auto" w:fill="auto"/>
            <w:noWrap/>
            <w:vAlign w:val="center"/>
            <w:hideMark/>
          </w:tcPr>
          <w:p w14:paraId="324756E5"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33.3</w:t>
            </w:r>
          </w:p>
        </w:tc>
        <w:tc>
          <w:tcPr>
            <w:tcW w:w="1095" w:type="dxa"/>
            <w:tcBorders>
              <w:top w:val="nil"/>
              <w:left w:val="nil"/>
              <w:bottom w:val="nil"/>
              <w:right w:val="nil"/>
            </w:tcBorders>
            <w:shd w:val="clear" w:color="auto" w:fill="auto"/>
            <w:noWrap/>
            <w:vAlign w:val="center"/>
            <w:hideMark/>
          </w:tcPr>
          <w:p w14:paraId="75DD4AFB"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1098</w:t>
            </w:r>
          </w:p>
        </w:tc>
        <w:tc>
          <w:tcPr>
            <w:tcW w:w="967" w:type="dxa"/>
            <w:tcBorders>
              <w:top w:val="nil"/>
              <w:left w:val="nil"/>
              <w:bottom w:val="nil"/>
              <w:right w:val="nil"/>
            </w:tcBorders>
            <w:shd w:val="clear" w:color="auto" w:fill="auto"/>
            <w:noWrap/>
            <w:vAlign w:val="center"/>
            <w:hideMark/>
          </w:tcPr>
          <w:p w14:paraId="45927D70"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20.6</w:t>
            </w:r>
          </w:p>
        </w:tc>
        <w:tc>
          <w:tcPr>
            <w:tcW w:w="1095" w:type="dxa"/>
            <w:tcBorders>
              <w:top w:val="nil"/>
              <w:left w:val="nil"/>
              <w:bottom w:val="nil"/>
              <w:right w:val="nil"/>
            </w:tcBorders>
            <w:shd w:val="clear" w:color="auto" w:fill="auto"/>
            <w:noWrap/>
            <w:vAlign w:val="center"/>
            <w:hideMark/>
          </w:tcPr>
          <w:p w14:paraId="1FE30E14"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681</w:t>
            </w:r>
          </w:p>
        </w:tc>
        <w:tc>
          <w:tcPr>
            <w:tcW w:w="967" w:type="dxa"/>
            <w:tcBorders>
              <w:top w:val="nil"/>
              <w:left w:val="nil"/>
              <w:bottom w:val="nil"/>
              <w:right w:val="nil"/>
            </w:tcBorders>
            <w:shd w:val="clear" w:color="auto" w:fill="auto"/>
            <w:noWrap/>
            <w:vAlign w:val="center"/>
            <w:hideMark/>
          </w:tcPr>
          <w:p w14:paraId="649FC751"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24.5</w:t>
            </w:r>
          </w:p>
        </w:tc>
        <w:tc>
          <w:tcPr>
            <w:tcW w:w="1095" w:type="dxa"/>
            <w:tcBorders>
              <w:top w:val="nil"/>
              <w:left w:val="nil"/>
              <w:bottom w:val="nil"/>
              <w:right w:val="nil"/>
            </w:tcBorders>
            <w:shd w:val="clear" w:color="auto" w:fill="auto"/>
            <w:noWrap/>
            <w:vAlign w:val="center"/>
            <w:hideMark/>
          </w:tcPr>
          <w:p w14:paraId="60AE5527"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189</w:t>
            </w:r>
          </w:p>
        </w:tc>
        <w:tc>
          <w:tcPr>
            <w:tcW w:w="967" w:type="dxa"/>
            <w:tcBorders>
              <w:top w:val="nil"/>
              <w:left w:val="nil"/>
              <w:bottom w:val="nil"/>
              <w:right w:val="nil"/>
            </w:tcBorders>
            <w:shd w:val="clear" w:color="auto" w:fill="auto"/>
            <w:noWrap/>
            <w:vAlign w:val="center"/>
            <w:hideMark/>
          </w:tcPr>
          <w:p w14:paraId="1B059422"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17.8</w:t>
            </w:r>
          </w:p>
        </w:tc>
        <w:tc>
          <w:tcPr>
            <w:tcW w:w="838" w:type="dxa"/>
            <w:tcBorders>
              <w:top w:val="nil"/>
              <w:left w:val="nil"/>
              <w:bottom w:val="nil"/>
              <w:right w:val="nil"/>
            </w:tcBorders>
            <w:shd w:val="clear" w:color="auto" w:fill="auto"/>
            <w:noWrap/>
            <w:vAlign w:val="center"/>
            <w:hideMark/>
          </w:tcPr>
          <w:p w14:paraId="4010A375"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192</w:t>
            </w:r>
          </w:p>
        </w:tc>
        <w:tc>
          <w:tcPr>
            <w:tcW w:w="967" w:type="dxa"/>
            <w:tcBorders>
              <w:top w:val="nil"/>
              <w:left w:val="nil"/>
              <w:bottom w:val="nil"/>
              <w:right w:val="nil"/>
            </w:tcBorders>
            <w:shd w:val="clear" w:color="auto" w:fill="auto"/>
            <w:noWrap/>
            <w:vAlign w:val="center"/>
            <w:hideMark/>
          </w:tcPr>
          <w:p w14:paraId="595BA7CE"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25.5</w:t>
            </w:r>
          </w:p>
        </w:tc>
        <w:tc>
          <w:tcPr>
            <w:tcW w:w="838" w:type="dxa"/>
            <w:tcBorders>
              <w:top w:val="nil"/>
              <w:left w:val="nil"/>
              <w:bottom w:val="nil"/>
              <w:right w:val="nil"/>
            </w:tcBorders>
            <w:shd w:val="clear" w:color="auto" w:fill="auto"/>
            <w:noWrap/>
            <w:vAlign w:val="center"/>
            <w:hideMark/>
          </w:tcPr>
          <w:p w14:paraId="2C415DAF"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229</w:t>
            </w:r>
          </w:p>
        </w:tc>
        <w:tc>
          <w:tcPr>
            <w:tcW w:w="971" w:type="dxa"/>
            <w:tcBorders>
              <w:top w:val="nil"/>
              <w:left w:val="nil"/>
              <w:bottom w:val="nil"/>
              <w:right w:val="nil"/>
            </w:tcBorders>
            <w:shd w:val="clear" w:color="auto" w:fill="auto"/>
            <w:noWrap/>
            <w:vAlign w:val="center"/>
            <w:hideMark/>
          </w:tcPr>
          <w:p w14:paraId="62B3BFDD"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36.8</w:t>
            </w:r>
          </w:p>
        </w:tc>
      </w:tr>
      <w:tr w:rsidR="00D07A53" w:rsidRPr="00667942" w14:paraId="7F47B500" w14:textId="77777777" w:rsidTr="003632F4">
        <w:trPr>
          <w:trHeight w:val="398"/>
        </w:trPr>
        <w:tc>
          <w:tcPr>
            <w:tcW w:w="1489" w:type="dxa"/>
            <w:tcBorders>
              <w:top w:val="nil"/>
              <w:left w:val="nil"/>
              <w:bottom w:val="nil"/>
              <w:right w:val="nil"/>
            </w:tcBorders>
            <w:shd w:val="clear" w:color="auto" w:fill="auto"/>
            <w:noWrap/>
            <w:vAlign w:val="center"/>
            <w:hideMark/>
          </w:tcPr>
          <w:p w14:paraId="051145C3" w14:textId="77777777" w:rsidR="00D07A53" w:rsidRPr="00667942" w:rsidRDefault="00D07A53" w:rsidP="003632F4">
            <w:pPr>
              <w:spacing w:line="240" w:lineRule="auto"/>
              <w:rPr>
                <w:rFonts w:eastAsia="Times New Roman"/>
                <w:color w:val="000000"/>
                <w:lang w:eastAsia="en-NZ"/>
              </w:rPr>
            </w:pPr>
            <w:r>
              <w:rPr>
                <w:rFonts w:eastAsia="Arial"/>
                <w:color w:val="000000"/>
                <w:lang w:val="en-US" w:eastAsia="en-NZ"/>
              </w:rPr>
              <w:t xml:space="preserve">  </w:t>
            </w:r>
            <w:r w:rsidRPr="00667942">
              <w:rPr>
                <w:rFonts w:eastAsia="Arial"/>
                <w:color w:val="000000"/>
                <w:lang w:val="en-US" w:eastAsia="en-NZ"/>
              </w:rPr>
              <w:t>East Asian</w:t>
            </w:r>
          </w:p>
        </w:tc>
        <w:tc>
          <w:tcPr>
            <w:tcW w:w="1029" w:type="dxa"/>
            <w:tcBorders>
              <w:top w:val="nil"/>
              <w:left w:val="nil"/>
              <w:bottom w:val="nil"/>
              <w:right w:val="nil"/>
            </w:tcBorders>
            <w:shd w:val="clear" w:color="auto" w:fill="auto"/>
            <w:noWrap/>
            <w:vAlign w:val="center"/>
            <w:hideMark/>
          </w:tcPr>
          <w:p w14:paraId="02ADFC6C"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1448</w:t>
            </w:r>
          </w:p>
        </w:tc>
        <w:tc>
          <w:tcPr>
            <w:tcW w:w="967" w:type="dxa"/>
            <w:tcBorders>
              <w:top w:val="nil"/>
              <w:left w:val="nil"/>
              <w:bottom w:val="nil"/>
              <w:right w:val="nil"/>
            </w:tcBorders>
            <w:shd w:val="clear" w:color="auto" w:fill="auto"/>
            <w:noWrap/>
            <w:vAlign w:val="center"/>
            <w:hideMark/>
          </w:tcPr>
          <w:p w14:paraId="67B95FA6"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6.4</w:t>
            </w:r>
          </w:p>
        </w:tc>
        <w:tc>
          <w:tcPr>
            <w:tcW w:w="1353" w:type="dxa"/>
            <w:tcBorders>
              <w:top w:val="nil"/>
              <w:left w:val="nil"/>
              <w:bottom w:val="nil"/>
              <w:right w:val="nil"/>
            </w:tcBorders>
            <w:shd w:val="clear" w:color="auto" w:fill="auto"/>
            <w:noWrap/>
            <w:vAlign w:val="center"/>
            <w:hideMark/>
          </w:tcPr>
          <w:p w14:paraId="4D9747C9"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2407</w:t>
            </w:r>
          </w:p>
        </w:tc>
        <w:tc>
          <w:tcPr>
            <w:tcW w:w="967" w:type="dxa"/>
            <w:tcBorders>
              <w:top w:val="nil"/>
              <w:left w:val="nil"/>
              <w:bottom w:val="nil"/>
              <w:right w:val="nil"/>
            </w:tcBorders>
            <w:shd w:val="clear" w:color="auto" w:fill="auto"/>
            <w:noWrap/>
            <w:vAlign w:val="center"/>
            <w:hideMark/>
          </w:tcPr>
          <w:p w14:paraId="3FA9CAC1"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7.5</w:t>
            </w:r>
          </w:p>
        </w:tc>
        <w:tc>
          <w:tcPr>
            <w:tcW w:w="1095" w:type="dxa"/>
            <w:tcBorders>
              <w:top w:val="nil"/>
              <w:left w:val="nil"/>
              <w:bottom w:val="nil"/>
              <w:right w:val="nil"/>
            </w:tcBorders>
            <w:shd w:val="clear" w:color="auto" w:fill="auto"/>
            <w:noWrap/>
            <w:vAlign w:val="center"/>
            <w:hideMark/>
          </w:tcPr>
          <w:p w14:paraId="6FD414B1"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409</w:t>
            </w:r>
          </w:p>
        </w:tc>
        <w:tc>
          <w:tcPr>
            <w:tcW w:w="967" w:type="dxa"/>
            <w:tcBorders>
              <w:top w:val="nil"/>
              <w:left w:val="nil"/>
              <w:bottom w:val="nil"/>
              <w:right w:val="nil"/>
            </w:tcBorders>
            <w:shd w:val="clear" w:color="auto" w:fill="auto"/>
            <w:noWrap/>
            <w:vAlign w:val="center"/>
            <w:hideMark/>
          </w:tcPr>
          <w:p w14:paraId="362ACE8D"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7.7</w:t>
            </w:r>
          </w:p>
        </w:tc>
        <w:tc>
          <w:tcPr>
            <w:tcW w:w="1095" w:type="dxa"/>
            <w:tcBorders>
              <w:top w:val="nil"/>
              <w:left w:val="nil"/>
              <w:bottom w:val="nil"/>
              <w:right w:val="nil"/>
            </w:tcBorders>
            <w:shd w:val="clear" w:color="auto" w:fill="auto"/>
            <w:noWrap/>
            <w:vAlign w:val="center"/>
            <w:hideMark/>
          </w:tcPr>
          <w:p w14:paraId="2342C1A1"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169</w:t>
            </w:r>
          </w:p>
        </w:tc>
        <w:tc>
          <w:tcPr>
            <w:tcW w:w="967" w:type="dxa"/>
            <w:tcBorders>
              <w:top w:val="nil"/>
              <w:left w:val="nil"/>
              <w:bottom w:val="nil"/>
              <w:right w:val="nil"/>
            </w:tcBorders>
            <w:shd w:val="clear" w:color="auto" w:fill="auto"/>
            <w:noWrap/>
            <w:vAlign w:val="center"/>
            <w:hideMark/>
          </w:tcPr>
          <w:p w14:paraId="530AFF20"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6.1</w:t>
            </w:r>
          </w:p>
        </w:tc>
        <w:tc>
          <w:tcPr>
            <w:tcW w:w="1095" w:type="dxa"/>
            <w:tcBorders>
              <w:top w:val="nil"/>
              <w:left w:val="nil"/>
              <w:bottom w:val="nil"/>
              <w:right w:val="nil"/>
            </w:tcBorders>
            <w:shd w:val="clear" w:color="auto" w:fill="auto"/>
            <w:noWrap/>
            <w:vAlign w:val="center"/>
            <w:hideMark/>
          </w:tcPr>
          <w:p w14:paraId="67EA4CF5"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78</w:t>
            </w:r>
          </w:p>
        </w:tc>
        <w:tc>
          <w:tcPr>
            <w:tcW w:w="967" w:type="dxa"/>
            <w:tcBorders>
              <w:top w:val="nil"/>
              <w:left w:val="nil"/>
              <w:bottom w:val="nil"/>
              <w:right w:val="nil"/>
            </w:tcBorders>
            <w:shd w:val="clear" w:color="auto" w:fill="auto"/>
            <w:noWrap/>
            <w:vAlign w:val="center"/>
            <w:hideMark/>
          </w:tcPr>
          <w:p w14:paraId="22974725"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7.3</w:t>
            </w:r>
          </w:p>
        </w:tc>
        <w:tc>
          <w:tcPr>
            <w:tcW w:w="838" w:type="dxa"/>
            <w:tcBorders>
              <w:top w:val="nil"/>
              <w:left w:val="nil"/>
              <w:bottom w:val="nil"/>
              <w:right w:val="nil"/>
            </w:tcBorders>
            <w:shd w:val="clear" w:color="auto" w:fill="auto"/>
            <w:noWrap/>
            <w:vAlign w:val="center"/>
            <w:hideMark/>
          </w:tcPr>
          <w:p w14:paraId="20911EC0"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61</w:t>
            </w:r>
          </w:p>
        </w:tc>
        <w:tc>
          <w:tcPr>
            <w:tcW w:w="967" w:type="dxa"/>
            <w:tcBorders>
              <w:top w:val="nil"/>
              <w:left w:val="nil"/>
              <w:bottom w:val="nil"/>
              <w:right w:val="nil"/>
            </w:tcBorders>
            <w:shd w:val="clear" w:color="auto" w:fill="auto"/>
            <w:noWrap/>
            <w:vAlign w:val="center"/>
            <w:hideMark/>
          </w:tcPr>
          <w:p w14:paraId="7A556A16"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8.1</w:t>
            </w:r>
          </w:p>
        </w:tc>
        <w:tc>
          <w:tcPr>
            <w:tcW w:w="838" w:type="dxa"/>
            <w:tcBorders>
              <w:top w:val="nil"/>
              <w:left w:val="nil"/>
              <w:bottom w:val="nil"/>
              <w:right w:val="nil"/>
            </w:tcBorders>
            <w:shd w:val="clear" w:color="auto" w:fill="auto"/>
            <w:noWrap/>
            <w:vAlign w:val="center"/>
            <w:hideMark/>
          </w:tcPr>
          <w:p w14:paraId="39D3D2FE"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34</w:t>
            </w:r>
          </w:p>
        </w:tc>
        <w:tc>
          <w:tcPr>
            <w:tcW w:w="971" w:type="dxa"/>
            <w:tcBorders>
              <w:top w:val="nil"/>
              <w:left w:val="nil"/>
              <w:bottom w:val="nil"/>
              <w:right w:val="nil"/>
            </w:tcBorders>
            <w:shd w:val="clear" w:color="auto" w:fill="auto"/>
            <w:noWrap/>
            <w:vAlign w:val="center"/>
            <w:hideMark/>
          </w:tcPr>
          <w:p w14:paraId="0E521DA3"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5.5</w:t>
            </w:r>
          </w:p>
        </w:tc>
      </w:tr>
      <w:tr w:rsidR="00D07A53" w:rsidRPr="00667942" w14:paraId="511D11DA" w14:textId="77777777" w:rsidTr="003632F4">
        <w:trPr>
          <w:trHeight w:val="398"/>
        </w:trPr>
        <w:tc>
          <w:tcPr>
            <w:tcW w:w="1489" w:type="dxa"/>
            <w:tcBorders>
              <w:top w:val="nil"/>
              <w:left w:val="nil"/>
              <w:bottom w:val="single" w:sz="4" w:space="0" w:color="auto"/>
              <w:right w:val="nil"/>
            </w:tcBorders>
            <w:shd w:val="clear" w:color="auto" w:fill="auto"/>
            <w:noWrap/>
            <w:vAlign w:val="center"/>
            <w:hideMark/>
          </w:tcPr>
          <w:p w14:paraId="7CF7C971" w14:textId="77777777" w:rsidR="00D07A53" w:rsidRPr="00667942" w:rsidRDefault="00D07A53" w:rsidP="003632F4">
            <w:pPr>
              <w:spacing w:line="240" w:lineRule="auto"/>
              <w:rPr>
                <w:rFonts w:eastAsia="Times New Roman"/>
                <w:color w:val="000000"/>
                <w:lang w:eastAsia="en-NZ"/>
              </w:rPr>
            </w:pPr>
            <w:r>
              <w:rPr>
                <w:rFonts w:eastAsia="Arial"/>
                <w:color w:val="000000"/>
                <w:lang w:val="en-US" w:eastAsia="en-NZ"/>
              </w:rPr>
              <w:t xml:space="preserve">  </w:t>
            </w:r>
            <w:r w:rsidRPr="00667942">
              <w:rPr>
                <w:rFonts w:eastAsia="Arial"/>
                <w:color w:val="000000"/>
                <w:lang w:val="en-US" w:eastAsia="en-NZ"/>
              </w:rPr>
              <w:t>Other</w:t>
            </w:r>
          </w:p>
        </w:tc>
        <w:tc>
          <w:tcPr>
            <w:tcW w:w="1029" w:type="dxa"/>
            <w:tcBorders>
              <w:top w:val="nil"/>
              <w:left w:val="nil"/>
              <w:bottom w:val="single" w:sz="4" w:space="0" w:color="auto"/>
              <w:right w:val="nil"/>
            </w:tcBorders>
            <w:shd w:val="clear" w:color="auto" w:fill="auto"/>
            <w:noWrap/>
            <w:vAlign w:val="center"/>
            <w:hideMark/>
          </w:tcPr>
          <w:p w14:paraId="48F7EB69"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6316</w:t>
            </w:r>
          </w:p>
        </w:tc>
        <w:tc>
          <w:tcPr>
            <w:tcW w:w="967" w:type="dxa"/>
            <w:tcBorders>
              <w:top w:val="nil"/>
              <w:left w:val="nil"/>
              <w:bottom w:val="single" w:sz="4" w:space="0" w:color="auto"/>
              <w:right w:val="nil"/>
            </w:tcBorders>
            <w:shd w:val="clear" w:color="auto" w:fill="auto"/>
            <w:noWrap/>
            <w:vAlign w:val="center"/>
            <w:hideMark/>
          </w:tcPr>
          <w:p w14:paraId="6A0F029E"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27.9</w:t>
            </w:r>
          </w:p>
        </w:tc>
        <w:tc>
          <w:tcPr>
            <w:tcW w:w="1353" w:type="dxa"/>
            <w:tcBorders>
              <w:top w:val="nil"/>
              <w:left w:val="nil"/>
              <w:bottom w:val="single" w:sz="4" w:space="0" w:color="auto"/>
              <w:right w:val="nil"/>
            </w:tcBorders>
            <w:shd w:val="clear" w:color="auto" w:fill="auto"/>
            <w:noWrap/>
            <w:vAlign w:val="center"/>
            <w:hideMark/>
          </w:tcPr>
          <w:p w14:paraId="5CE461AE"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10629</w:t>
            </w:r>
          </w:p>
        </w:tc>
        <w:tc>
          <w:tcPr>
            <w:tcW w:w="967" w:type="dxa"/>
            <w:tcBorders>
              <w:top w:val="nil"/>
              <w:left w:val="nil"/>
              <w:bottom w:val="single" w:sz="4" w:space="0" w:color="auto"/>
              <w:right w:val="nil"/>
            </w:tcBorders>
            <w:shd w:val="clear" w:color="auto" w:fill="auto"/>
            <w:noWrap/>
            <w:vAlign w:val="center"/>
            <w:hideMark/>
          </w:tcPr>
          <w:p w14:paraId="40843AD6"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33.1</w:t>
            </w:r>
          </w:p>
        </w:tc>
        <w:tc>
          <w:tcPr>
            <w:tcW w:w="1095" w:type="dxa"/>
            <w:tcBorders>
              <w:top w:val="nil"/>
              <w:left w:val="nil"/>
              <w:bottom w:val="single" w:sz="4" w:space="0" w:color="auto"/>
              <w:right w:val="nil"/>
            </w:tcBorders>
            <w:shd w:val="clear" w:color="auto" w:fill="auto"/>
            <w:noWrap/>
            <w:vAlign w:val="center"/>
            <w:hideMark/>
          </w:tcPr>
          <w:p w14:paraId="2BD1E96D"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1117</w:t>
            </w:r>
          </w:p>
        </w:tc>
        <w:tc>
          <w:tcPr>
            <w:tcW w:w="967" w:type="dxa"/>
            <w:tcBorders>
              <w:top w:val="nil"/>
              <w:left w:val="nil"/>
              <w:bottom w:val="single" w:sz="4" w:space="0" w:color="auto"/>
              <w:right w:val="nil"/>
            </w:tcBorders>
            <w:shd w:val="clear" w:color="auto" w:fill="auto"/>
            <w:noWrap/>
            <w:vAlign w:val="center"/>
            <w:hideMark/>
          </w:tcPr>
          <w:p w14:paraId="2EF4D197"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20.9</w:t>
            </w:r>
          </w:p>
        </w:tc>
        <w:tc>
          <w:tcPr>
            <w:tcW w:w="1095" w:type="dxa"/>
            <w:tcBorders>
              <w:top w:val="nil"/>
              <w:left w:val="nil"/>
              <w:bottom w:val="single" w:sz="4" w:space="0" w:color="auto"/>
              <w:right w:val="nil"/>
            </w:tcBorders>
            <w:shd w:val="clear" w:color="auto" w:fill="auto"/>
            <w:noWrap/>
            <w:vAlign w:val="center"/>
            <w:hideMark/>
          </w:tcPr>
          <w:p w14:paraId="01196347"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1168</w:t>
            </w:r>
          </w:p>
        </w:tc>
        <w:tc>
          <w:tcPr>
            <w:tcW w:w="967" w:type="dxa"/>
            <w:tcBorders>
              <w:top w:val="nil"/>
              <w:left w:val="nil"/>
              <w:bottom w:val="single" w:sz="4" w:space="0" w:color="auto"/>
              <w:right w:val="nil"/>
            </w:tcBorders>
            <w:shd w:val="clear" w:color="auto" w:fill="auto"/>
            <w:noWrap/>
            <w:vAlign w:val="center"/>
            <w:hideMark/>
          </w:tcPr>
          <w:p w14:paraId="460250F7"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42</w:t>
            </w:r>
          </w:p>
        </w:tc>
        <w:tc>
          <w:tcPr>
            <w:tcW w:w="1095" w:type="dxa"/>
            <w:tcBorders>
              <w:top w:val="nil"/>
              <w:left w:val="nil"/>
              <w:bottom w:val="single" w:sz="4" w:space="0" w:color="auto"/>
              <w:right w:val="nil"/>
            </w:tcBorders>
            <w:shd w:val="clear" w:color="auto" w:fill="auto"/>
            <w:noWrap/>
            <w:vAlign w:val="center"/>
            <w:hideMark/>
          </w:tcPr>
          <w:p w14:paraId="61E8FA15"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387</w:t>
            </w:r>
          </w:p>
        </w:tc>
        <w:tc>
          <w:tcPr>
            <w:tcW w:w="967" w:type="dxa"/>
            <w:tcBorders>
              <w:top w:val="nil"/>
              <w:left w:val="nil"/>
              <w:bottom w:val="single" w:sz="4" w:space="0" w:color="auto"/>
              <w:right w:val="nil"/>
            </w:tcBorders>
            <w:shd w:val="clear" w:color="auto" w:fill="auto"/>
            <w:noWrap/>
            <w:vAlign w:val="center"/>
            <w:hideMark/>
          </w:tcPr>
          <w:p w14:paraId="41CEE194"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36.4</w:t>
            </w:r>
          </w:p>
        </w:tc>
        <w:tc>
          <w:tcPr>
            <w:tcW w:w="838" w:type="dxa"/>
            <w:tcBorders>
              <w:top w:val="nil"/>
              <w:left w:val="nil"/>
              <w:bottom w:val="single" w:sz="4" w:space="0" w:color="auto"/>
              <w:right w:val="nil"/>
            </w:tcBorders>
            <w:shd w:val="clear" w:color="auto" w:fill="auto"/>
            <w:noWrap/>
            <w:vAlign w:val="center"/>
            <w:hideMark/>
          </w:tcPr>
          <w:p w14:paraId="38B0BE76"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214</w:t>
            </w:r>
          </w:p>
        </w:tc>
        <w:tc>
          <w:tcPr>
            <w:tcW w:w="967" w:type="dxa"/>
            <w:tcBorders>
              <w:top w:val="nil"/>
              <w:left w:val="nil"/>
              <w:bottom w:val="single" w:sz="4" w:space="0" w:color="auto"/>
              <w:right w:val="nil"/>
            </w:tcBorders>
            <w:shd w:val="clear" w:color="auto" w:fill="auto"/>
            <w:noWrap/>
            <w:vAlign w:val="center"/>
            <w:hideMark/>
          </w:tcPr>
          <w:p w14:paraId="6F878A95"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28.4</w:t>
            </w:r>
          </w:p>
        </w:tc>
        <w:tc>
          <w:tcPr>
            <w:tcW w:w="838" w:type="dxa"/>
            <w:tcBorders>
              <w:top w:val="nil"/>
              <w:left w:val="nil"/>
              <w:bottom w:val="single" w:sz="4" w:space="0" w:color="auto"/>
              <w:right w:val="nil"/>
            </w:tcBorders>
            <w:shd w:val="clear" w:color="auto" w:fill="auto"/>
            <w:noWrap/>
            <w:vAlign w:val="center"/>
            <w:hideMark/>
          </w:tcPr>
          <w:p w14:paraId="3DDC6E8A" w14:textId="77777777" w:rsidR="00D07A53" w:rsidRPr="00667942" w:rsidRDefault="00D07A53" w:rsidP="003632F4">
            <w:pPr>
              <w:spacing w:line="240" w:lineRule="auto"/>
              <w:jc w:val="right"/>
              <w:rPr>
                <w:rFonts w:eastAsia="Times New Roman"/>
                <w:color w:val="000000"/>
                <w:lang w:eastAsia="en-NZ"/>
              </w:rPr>
            </w:pPr>
            <w:r w:rsidRPr="00667942">
              <w:rPr>
                <w:rFonts w:eastAsia="Arial"/>
                <w:color w:val="000000"/>
                <w:lang w:val="en-US" w:eastAsia="en-NZ"/>
              </w:rPr>
              <w:t>143</w:t>
            </w:r>
          </w:p>
        </w:tc>
        <w:tc>
          <w:tcPr>
            <w:tcW w:w="971" w:type="dxa"/>
            <w:tcBorders>
              <w:top w:val="nil"/>
              <w:left w:val="nil"/>
              <w:bottom w:val="single" w:sz="4" w:space="0" w:color="auto"/>
              <w:right w:val="nil"/>
            </w:tcBorders>
            <w:shd w:val="clear" w:color="auto" w:fill="auto"/>
            <w:noWrap/>
            <w:vAlign w:val="center"/>
            <w:hideMark/>
          </w:tcPr>
          <w:p w14:paraId="4C897A13" w14:textId="77777777" w:rsidR="00D07A53" w:rsidRPr="00667942" w:rsidRDefault="00D07A53" w:rsidP="003632F4">
            <w:pPr>
              <w:spacing w:line="240" w:lineRule="auto"/>
              <w:jc w:val="right"/>
              <w:rPr>
                <w:rFonts w:eastAsia="Times New Roman"/>
                <w:i/>
                <w:iCs/>
                <w:color w:val="000000"/>
                <w:lang w:eastAsia="en-NZ"/>
              </w:rPr>
            </w:pPr>
            <w:r w:rsidRPr="00667942">
              <w:rPr>
                <w:rFonts w:eastAsia="Times New Roman"/>
                <w:i/>
                <w:iCs/>
                <w:color w:val="000000"/>
                <w:lang w:eastAsia="en-NZ"/>
              </w:rPr>
              <w:t>23</w:t>
            </w:r>
          </w:p>
        </w:tc>
      </w:tr>
    </w:tbl>
    <w:p w14:paraId="6342C810" w14:textId="77777777" w:rsidR="00D07A53" w:rsidRDefault="00D07A53" w:rsidP="00D07A53">
      <w:pPr>
        <w:spacing w:after="200"/>
        <w:rPr>
          <w:sz w:val="22"/>
          <w:szCs w:val="22"/>
        </w:rPr>
        <w:sectPr w:rsidR="00D07A53" w:rsidSect="003632F4">
          <w:pgSz w:w="16838" w:h="11906" w:orient="landscape"/>
          <w:pgMar w:top="1440" w:right="1440" w:bottom="1440" w:left="1440" w:header="708" w:footer="708" w:gutter="0"/>
          <w:cols w:space="708"/>
          <w:docGrid w:linePitch="360"/>
        </w:sectPr>
      </w:pPr>
    </w:p>
    <w:p w14:paraId="293796CC" w14:textId="77777777" w:rsidR="00D07A53" w:rsidRDefault="00D07A53" w:rsidP="00D07A53">
      <w:pPr>
        <w:pStyle w:val="Heading4"/>
        <w:rPr>
          <w:lang w:val="en-US"/>
        </w:rPr>
      </w:pPr>
      <w:r>
        <w:rPr>
          <w:lang w:val="en-US"/>
        </w:rPr>
        <w:lastRenderedPageBreak/>
        <w:t>FAO intervention profiles by key demographics</w:t>
      </w:r>
    </w:p>
    <w:p w14:paraId="7B6D43D2" w14:textId="1CEB6B4B" w:rsidR="0044608D" w:rsidRDefault="0044608D" w:rsidP="004B04DD">
      <w:pPr>
        <w:jc w:val="both"/>
        <w:rPr>
          <w:rFonts w:eastAsia="Cambria"/>
          <w:lang w:val="en-US"/>
        </w:rPr>
      </w:pPr>
      <w:bookmarkStart w:id="169" w:name="_Hlk53046512"/>
      <w:r w:rsidRPr="0044608D">
        <w:rPr>
          <w:rFonts w:eastAsia="Cambria"/>
          <w:lang w:val="en-US"/>
        </w:rPr>
        <w:t>Recall that brief interventions are short one-on-one motivational interview style sessions, delivered opportunistically in community settings. The purpose is to engage with people at risk of gambling harm and encourage them to recognise the potential impacts of their own or another’s gambling behaviour on their life and make change. Full intervention involves working with people experiencing harm from their own or someone else’s gambling, and who acknowledge the harms and “have made some commitment to seeking support from a specialist gambling harm service” (Ministry of Health, 2019, p. 33). Additional ‘facilitation’ to other health and wellbeing services is encouraged as appropriate, and follow up telephone sessions are conducted to assess progress, reinforce learnings and reengage treatment if necessary.</w:t>
      </w:r>
    </w:p>
    <w:p w14:paraId="21AEA53F" w14:textId="77777777" w:rsidR="0044608D" w:rsidRDefault="0044608D" w:rsidP="004B04DD">
      <w:pPr>
        <w:jc w:val="both"/>
        <w:rPr>
          <w:rFonts w:eastAsia="Cambria"/>
          <w:lang w:val="en-US"/>
        </w:rPr>
      </w:pPr>
    </w:p>
    <w:p w14:paraId="54A0D963" w14:textId="3A07C624" w:rsidR="00D07A53" w:rsidRPr="004B04DD" w:rsidRDefault="00236A5E" w:rsidP="004B04DD">
      <w:pPr>
        <w:jc w:val="both"/>
        <w:rPr>
          <w:rFonts w:eastAsia="Cambria"/>
          <w:lang w:val="en-US"/>
        </w:rPr>
      </w:pPr>
      <w:r>
        <w:rPr>
          <w:rFonts w:eastAsia="Cambria"/>
          <w:lang w:val="en-US"/>
        </w:rPr>
        <w:t>Client i</w:t>
      </w:r>
      <w:r w:rsidR="00D07A53" w:rsidRPr="004B04DD">
        <w:rPr>
          <w:rFonts w:eastAsia="Cambria"/>
          <w:lang w:val="en-US"/>
        </w:rPr>
        <w:t>ntervention profiles were defined as follows:</w:t>
      </w:r>
    </w:p>
    <w:p w14:paraId="39C09D88" w14:textId="77777777" w:rsidR="00D07A53" w:rsidRPr="004B04DD" w:rsidRDefault="00D07A53" w:rsidP="007E15CF">
      <w:pPr>
        <w:pStyle w:val="ListParagraph"/>
        <w:numPr>
          <w:ilvl w:val="0"/>
          <w:numId w:val="27"/>
        </w:numPr>
        <w:jc w:val="both"/>
        <w:rPr>
          <w:rFonts w:eastAsia="Cambria"/>
          <w:lang w:val="en-US"/>
        </w:rPr>
      </w:pPr>
      <w:r w:rsidRPr="004B04DD">
        <w:rPr>
          <w:rFonts w:eastAsia="Cambria"/>
          <w:lang w:val="en-US"/>
        </w:rPr>
        <w:t>B: Client only has brief sessions registered against them in the 5-year period</w:t>
      </w:r>
    </w:p>
    <w:p w14:paraId="127F688A" w14:textId="77777777" w:rsidR="00D07A53" w:rsidRPr="004B04DD" w:rsidRDefault="00D07A53" w:rsidP="007E15CF">
      <w:pPr>
        <w:pStyle w:val="ListParagraph"/>
        <w:numPr>
          <w:ilvl w:val="0"/>
          <w:numId w:val="27"/>
        </w:numPr>
        <w:jc w:val="both"/>
        <w:rPr>
          <w:rFonts w:eastAsia="Cambria"/>
          <w:lang w:val="en-US"/>
        </w:rPr>
      </w:pPr>
      <w:r w:rsidRPr="004B04DD">
        <w:rPr>
          <w:rFonts w:eastAsia="Cambria"/>
          <w:lang w:val="en-US"/>
        </w:rPr>
        <w:t>BF: Client has mix of brief and full / facilitation sessions registered against them in the 5-year period</w:t>
      </w:r>
    </w:p>
    <w:p w14:paraId="3CDA2689" w14:textId="77777777" w:rsidR="00D07A53" w:rsidRPr="004B04DD" w:rsidRDefault="00D07A53" w:rsidP="007E15CF">
      <w:pPr>
        <w:pStyle w:val="ListParagraph"/>
        <w:numPr>
          <w:ilvl w:val="0"/>
          <w:numId w:val="27"/>
        </w:numPr>
        <w:jc w:val="both"/>
        <w:rPr>
          <w:rFonts w:eastAsia="Cambria"/>
          <w:lang w:val="en-US"/>
        </w:rPr>
      </w:pPr>
      <w:r w:rsidRPr="004B04DD">
        <w:rPr>
          <w:rFonts w:eastAsia="Cambria"/>
          <w:lang w:val="en-US"/>
        </w:rPr>
        <w:t>BFU: Client has mix of brief and full / facilitation sessions and follow up registered against them in the 5-year period.</w:t>
      </w:r>
    </w:p>
    <w:p w14:paraId="7BB7BFDA" w14:textId="77777777" w:rsidR="00CB2654" w:rsidRPr="004B04DD" w:rsidRDefault="00CB2654" w:rsidP="00CB2654">
      <w:pPr>
        <w:pStyle w:val="ListParagraph"/>
        <w:numPr>
          <w:ilvl w:val="0"/>
          <w:numId w:val="27"/>
        </w:numPr>
        <w:jc w:val="both"/>
        <w:rPr>
          <w:rFonts w:eastAsia="Cambria"/>
          <w:lang w:val="en-US"/>
        </w:rPr>
      </w:pPr>
      <w:r w:rsidRPr="004B04DD">
        <w:rPr>
          <w:rFonts w:eastAsia="Cambria"/>
          <w:lang w:val="en-US"/>
        </w:rPr>
        <w:t>F: Client only has full / facilitation sessions registered against them in the 5-year period.</w:t>
      </w:r>
    </w:p>
    <w:p w14:paraId="18053CA6" w14:textId="77777777" w:rsidR="00D07A53" w:rsidRPr="004B04DD" w:rsidRDefault="00D07A53" w:rsidP="007E15CF">
      <w:pPr>
        <w:pStyle w:val="ListParagraph"/>
        <w:numPr>
          <w:ilvl w:val="0"/>
          <w:numId w:val="27"/>
        </w:numPr>
        <w:jc w:val="both"/>
        <w:rPr>
          <w:rFonts w:eastAsia="Cambria"/>
          <w:lang w:val="en-US"/>
        </w:rPr>
      </w:pPr>
      <w:r w:rsidRPr="004B04DD">
        <w:rPr>
          <w:rFonts w:eastAsia="Cambria"/>
          <w:lang w:val="en-US"/>
        </w:rPr>
        <w:t>FU: Client has mix of full / facilitation sessions and follow up registered against them in the 5-year period.</w:t>
      </w:r>
    </w:p>
    <w:p w14:paraId="1BF46ED8" w14:textId="77777777" w:rsidR="00D07A53" w:rsidRPr="004B04DD" w:rsidRDefault="00D07A53" w:rsidP="007E15CF">
      <w:pPr>
        <w:pStyle w:val="ListParagraph"/>
        <w:numPr>
          <w:ilvl w:val="0"/>
          <w:numId w:val="27"/>
        </w:numPr>
        <w:jc w:val="both"/>
        <w:rPr>
          <w:rFonts w:eastAsia="Cambria"/>
          <w:lang w:val="en-US"/>
        </w:rPr>
      </w:pPr>
      <w:r w:rsidRPr="004B04DD">
        <w:rPr>
          <w:rFonts w:eastAsia="Cambria"/>
          <w:lang w:val="en-US"/>
        </w:rPr>
        <w:t>Other: Client has some other combination of sessions registered against them in the 5-year period.</w:t>
      </w:r>
      <w:bookmarkEnd w:id="169"/>
    </w:p>
    <w:p w14:paraId="638D2016" w14:textId="77777777" w:rsidR="00236A5E" w:rsidRDefault="00236A5E" w:rsidP="004B04DD">
      <w:pPr>
        <w:jc w:val="both"/>
      </w:pPr>
    </w:p>
    <w:p w14:paraId="0B4D1356" w14:textId="3C3C6CC4" w:rsidR="00D07A53" w:rsidRDefault="00236A5E" w:rsidP="004B04DD">
      <w:pPr>
        <w:jc w:val="both"/>
      </w:pPr>
      <w:r>
        <w:t>T</w:t>
      </w:r>
      <w:r w:rsidR="00D07A53" w:rsidRPr="004B04DD">
        <w:t>he majority of FAOs engaged with services through brief intervention only (</w:t>
      </w:r>
      <w:r w:rsidR="00B3106E">
        <w:t xml:space="preserve">n= 17,170, </w:t>
      </w:r>
      <w:r w:rsidR="00D07A53" w:rsidRPr="004B04DD">
        <w:t>72.1%)</w:t>
      </w:r>
      <w:r w:rsidR="001D1214">
        <w:t xml:space="preserve">, see </w:t>
      </w:r>
      <w:r w:rsidR="001D1214">
        <w:fldChar w:fldCharType="begin"/>
      </w:r>
      <w:r w:rsidR="001D1214">
        <w:instrText xml:space="preserve"> REF _Ref58235718 \h </w:instrText>
      </w:r>
      <w:r w:rsidR="001D1214">
        <w:fldChar w:fldCharType="separate"/>
      </w:r>
      <w:r w:rsidR="00DF0799" w:rsidRPr="00547563">
        <w:t xml:space="preserve">Table </w:t>
      </w:r>
      <w:r w:rsidR="00DF0799">
        <w:rPr>
          <w:noProof/>
        </w:rPr>
        <w:t>19</w:t>
      </w:r>
      <w:r w:rsidR="001D1214">
        <w:fldChar w:fldCharType="end"/>
      </w:r>
      <w:r w:rsidR="001D1214">
        <w:t xml:space="preserve">. </w:t>
      </w:r>
      <w:r w:rsidR="00D07A53" w:rsidRPr="004B04DD">
        <w:t>A much smaller proportion engaged in brief as well as full intervention</w:t>
      </w:r>
      <w:r w:rsidR="00CB2654">
        <w:t xml:space="preserve"> with or without </w:t>
      </w:r>
      <w:r w:rsidR="00D07A53" w:rsidRPr="004B04DD">
        <w:t>facilitation (14.7%)</w:t>
      </w:r>
      <w:r w:rsidR="00CB2654">
        <w:t xml:space="preserve">. </w:t>
      </w:r>
      <w:r w:rsidR="00CB2654" w:rsidRPr="004B04DD">
        <w:t>A similar proportion received full intervention</w:t>
      </w:r>
      <w:r w:rsidR="00CB2654">
        <w:t xml:space="preserve"> only (with or without </w:t>
      </w:r>
      <w:r w:rsidR="00CB2654" w:rsidRPr="004B04DD">
        <w:t>facilitation</w:t>
      </w:r>
      <w:r w:rsidR="00CB2654">
        <w:t xml:space="preserve">) </w:t>
      </w:r>
      <w:r w:rsidR="00CB2654" w:rsidRPr="004B04DD">
        <w:t>(12.</w:t>
      </w:r>
      <w:r w:rsidR="00CB2654">
        <w:t>1</w:t>
      </w:r>
      <w:r w:rsidR="00CB2654" w:rsidRPr="004B04DD">
        <w:t>%)</w:t>
      </w:r>
      <w:r w:rsidR="00CB2654">
        <w:t xml:space="preserve">. Of those who received a full intervention </w:t>
      </w:r>
      <w:r w:rsidR="00B3106E">
        <w:t xml:space="preserve">(n= 6380, 26.8%), just under one third (32%) received additional follow up support. </w:t>
      </w:r>
      <w:r w:rsidR="00D07A53" w:rsidRPr="004B04DD">
        <w:t>Across intervention profiles</w:t>
      </w:r>
      <w:r>
        <w:t xml:space="preserve"> for FAOs,</w:t>
      </w:r>
      <w:r w:rsidR="00D07A53" w:rsidRPr="004B04DD">
        <w:t xml:space="preserve"> </w:t>
      </w:r>
      <w:r>
        <w:t>men</w:t>
      </w:r>
      <w:r w:rsidR="00D07A53" w:rsidRPr="004B04DD">
        <w:t xml:space="preserve"> were much less engaged with services than </w:t>
      </w:r>
      <w:r>
        <w:t>women</w:t>
      </w:r>
      <w:r w:rsidR="00D07A53" w:rsidRPr="004B04DD">
        <w:t xml:space="preserve">, who tended to engage </w:t>
      </w:r>
      <w:r w:rsidR="00860491">
        <w:t>in more sessions</w:t>
      </w:r>
      <w:r w:rsidR="00D07A53" w:rsidRPr="004B04DD">
        <w:t xml:space="preserve"> in each </w:t>
      </w:r>
      <w:r>
        <w:t>engagement profile</w:t>
      </w:r>
      <w:r w:rsidR="00D07A53" w:rsidRPr="004B04DD">
        <w:t>. One exception was engagement through the most intensive pathway: brief, full intervention/facilitation and follow up (4.27% FAOs engaged with services in this way)</w:t>
      </w:r>
      <w:r>
        <w:t xml:space="preserve">. In this case </w:t>
      </w:r>
      <w:r w:rsidR="00D07A53" w:rsidRPr="004B04DD">
        <w:t xml:space="preserve">the ratio of </w:t>
      </w:r>
      <w:r>
        <w:t>men to women</w:t>
      </w:r>
      <w:r w:rsidR="00D07A53" w:rsidRPr="004B04DD">
        <w:t xml:space="preserve"> approached 50/50 (53.</w:t>
      </w:r>
      <w:r>
        <w:t>4</w:t>
      </w:r>
      <w:r w:rsidR="00D07A53" w:rsidRPr="004B04DD">
        <w:t xml:space="preserve">% c.f. 46.6%). </w:t>
      </w:r>
      <w:r w:rsidR="00CB2654">
        <w:t>A</w:t>
      </w:r>
      <w:r w:rsidR="00D07A53" w:rsidRPr="004B04DD">
        <w:t>ge patterns were similar for clients engaging in each pathway, with the majority of clients aged between 25 and 54. One exception was those attending full interventions/facilitation sessions without having first attended a brief session in the 5 year period. These clients were notably older with nearly a third (31.</w:t>
      </w:r>
      <w:r>
        <w:t>1</w:t>
      </w:r>
      <w:r w:rsidR="00D07A53" w:rsidRPr="004B04DD">
        <w:t xml:space="preserve">%) aged over 55. </w:t>
      </w:r>
    </w:p>
    <w:p w14:paraId="7E619815" w14:textId="77777777" w:rsidR="001D1214" w:rsidRPr="004B04DD" w:rsidRDefault="001D1214" w:rsidP="004B04DD">
      <w:pPr>
        <w:jc w:val="both"/>
      </w:pPr>
    </w:p>
    <w:p w14:paraId="2639EBD7" w14:textId="77777777" w:rsidR="00236A5E" w:rsidRPr="004B04DD" w:rsidRDefault="00236A5E" w:rsidP="00236A5E">
      <w:pPr>
        <w:jc w:val="both"/>
        <w:rPr>
          <w:rFonts w:eastAsia="Cambria"/>
          <w:lang w:val="en-US"/>
        </w:rPr>
      </w:pPr>
    </w:p>
    <w:p w14:paraId="024D0BF1" w14:textId="77777777" w:rsidR="00236A5E" w:rsidRDefault="00236A5E" w:rsidP="00236A5E">
      <w:pPr>
        <w:pStyle w:val="Caption"/>
        <w:sectPr w:rsidR="00236A5E" w:rsidSect="003632F4">
          <w:pgSz w:w="11906" w:h="16838"/>
          <w:pgMar w:top="1440" w:right="1440" w:bottom="1440" w:left="1440" w:header="708" w:footer="708" w:gutter="0"/>
          <w:cols w:space="708"/>
          <w:docGrid w:linePitch="360"/>
        </w:sectPr>
      </w:pPr>
      <w:bookmarkStart w:id="170" w:name="_Ref45880493"/>
    </w:p>
    <w:p w14:paraId="17196050" w14:textId="630FF2EA" w:rsidR="00236A5E" w:rsidRPr="00547563" w:rsidRDefault="00236A5E" w:rsidP="00236A5E">
      <w:pPr>
        <w:pStyle w:val="Caption"/>
        <w:rPr>
          <w:lang w:val="en-US"/>
        </w:rPr>
      </w:pPr>
      <w:bookmarkStart w:id="171" w:name="_Ref58235718"/>
      <w:bookmarkStart w:id="172" w:name="_Toc58400652"/>
      <w:r w:rsidRPr="00547563">
        <w:lastRenderedPageBreak/>
        <w:t xml:space="preserve">Table </w:t>
      </w:r>
      <w:r w:rsidR="00D04B86">
        <w:fldChar w:fldCharType="begin"/>
      </w:r>
      <w:r w:rsidR="00D04B86">
        <w:instrText xml:space="preserve"> SEQ Table \* ARABIC </w:instrText>
      </w:r>
      <w:r w:rsidR="00D04B86">
        <w:fldChar w:fldCharType="separate"/>
      </w:r>
      <w:r w:rsidR="00DF0799">
        <w:rPr>
          <w:noProof/>
        </w:rPr>
        <w:t>19</w:t>
      </w:r>
      <w:r w:rsidR="00D04B86">
        <w:rPr>
          <w:noProof/>
        </w:rPr>
        <w:fldChar w:fldCharType="end"/>
      </w:r>
      <w:bookmarkEnd w:id="170"/>
      <w:bookmarkEnd w:id="171"/>
      <w:r w:rsidRPr="00547563">
        <w:t xml:space="preserve">: </w:t>
      </w:r>
      <w:r w:rsidRPr="00547563">
        <w:rPr>
          <w:lang w:val="en-US"/>
        </w:rPr>
        <w:t>Demographic profile of FAO clients according to intervention</w:t>
      </w:r>
      <w:r>
        <w:rPr>
          <w:lang w:val="en-US"/>
        </w:rPr>
        <w:t xml:space="preserve"> profile</w:t>
      </w:r>
      <w:bookmarkEnd w:id="172"/>
    </w:p>
    <w:tbl>
      <w:tblPr>
        <w:tblW w:w="4913" w:type="pct"/>
        <w:tblLook w:val="04A0" w:firstRow="1" w:lastRow="0" w:firstColumn="1" w:lastColumn="0" w:noHBand="0" w:noVBand="1"/>
      </w:tblPr>
      <w:tblGrid>
        <w:gridCol w:w="1798"/>
        <w:gridCol w:w="1284"/>
        <w:gridCol w:w="1026"/>
        <w:gridCol w:w="1026"/>
        <w:gridCol w:w="1026"/>
        <w:gridCol w:w="1029"/>
        <w:gridCol w:w="913"/>
        <w:gridCol w:w="1020"/>
        <w:gridCol w:w="913"/>
        <w:gridCol w:w="1020"/>
        <w:gridCol w:w="913"/>
        <w:gridCol w:w="828"/>
        <w:gridCol w:w="911"/>
        <w:gridCol w:w="8"/>
      </w:tblGrid>
      <w:tr w:rsidR="00236A5E" w:rsidRPr="007E6AAC" w14:paraId="3D31F350" w14:textId="77777777" w:rsidTr="00236A5E">
        <w:trPr>
          <w:trHeight w:val="318"/>
        </w:trPr>
        <w:tc>
          <w:tcPr>
            <w:tcW w:w="655" w:type="pct"/>
            <w:tcBorders>
              <w:top w:val="single" w:sz="4" w:space="0" w:color="auto"/>
              <w:left w:val="nil"/>
              <w:bottom w:val="nil"/>
              <w:right w:val="nil"/>
            </w:tcBorders>
            <w:shd w:val="clear" w:color="auto" w:fill="auto"/>
            <w:noWrap/>
            <w:vAlign w:val="bottom"/>
            <w:hideMark/>
          </w:tcPr>
          <w:p w14:paraId="4390A24C"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4345" w:type="pct"/>
            <w:gridSpan w:val="13"/>
            <w:tcBorders>
              <w:top w:val="single" w:sz="4" w:space="0" w:color="auto"/>
              <w:left w:val="nil"/>
              <w:bottom w:val="nil"/>
              <w:right w:val="nil"/>
            </w:tcBorders>
            <w:shd w:val="clear" w:color="auto" w:fill="auto"/>
            <w:noWrap/>
            <w:vAlign w:val="center"/>
            <w:hideMark/>
          </w:tcPr>
          <w:p w14:paraId="1EAF1128" w14:textId="77777777" w:rsidR="00236A5E" w:rsidRPr="007E6AAC" w:rsidRDefault="00236A5E" w:rsidP="00F46353">
            <w:pPr>
              <w:spacing w:line="240" w:lineRule="auto"/>
              <w:jc w:val="center"/>
              <w:rPr>
                <w:rFonts w:eastAsia="Times New Roman"/>
                <w:b/>
                <w:bCs/>
                <w:color w:val="000000"/>
                <w:sz w:val="22"/>
                <w:szCs w:val="22"/>
                <w:lang w:eastAsia="en-NZ"/>
              </w:rPr>
            </w:pPr>
            <w:r w:rsidRPr="007E6AAC">
              <w:rPr>
                <w:rFonts w:eastAsia="Times New Roman"/>
                <w:b/>
                <w:bCs/>
                <w:color w:val="000000"/>
                <w:sz w:val="22"/>
                <w:szCs w:val="22"/>
                <w:lang w:eastAsia="en-NZ"/>
              </w:rPr>
              <w:t>Type of Intervention</w:t>
            </w:r>
          </w:p>
        </w:tc>
      </w:tr>
      <w:tr w:rsidR="00236A5E" w:rsidRPr="007E6AAC" w14:paraId="0E9AF7E6" w14:textId="77777777" w:rsidTr="00236A5E">
        <w:trPr>
          <w:trHeight w:val="318"/>
        </w:trPr>
        <w:tc>
          <w:tcPr>
            <w:tcW w:w="655" w:type="pct"/>
            <w:tcBorders>
              <w:top w:val="nil"/>
              <w:left w:val="nil"/>
              <w:bottom w:val="nil"/>
              <w:right w:val="nil"/>
            </w:tcBorders>
            <w:shd w:val="clear" w:color="auto" w:fill="auto"/>
            <w:noWrap/>
            <w:vAlign w:val="bottom"/>
            <w:hideMark/>
          </w:tcPr>
          <w:p w14:paraId="40501E5A" w14:textId="77777777" w:rsidR="00236A5E" w:rsidRPr="007E6AAC" w:rsidRDefault="00236A5E" w:rsidP="00F46353">
            <w:pPr>
              <w:spacing w:line="240" w:lineRule="auto"/>
              <w:jc w:val="center"/>
              <w:rPr>
                <w:rFonts w:eastAsia="Times New Roman"/>
                <w:color w:val="000000"/>
                <w:sz w:val="22"/>
                <w:szCs w:val="22"/>
                <w:lang w:eastAsia="en-NZ"/>
              </w:rPr>
            </w:pPr>
          </w:p>
        </w:tc>
        <w:tc>
          <w:tcPr>
            <w:tcW w:w="842" w:type="pct"/>
            <w:gridSpan w:val="2"/>
            <w:tcBorders>
              <w:top w:val="single" w:sz="4" w:space="0" w:color="auto"/>
              <w:left w:val="nil"/>
              <w:bottom w:val="nil"/>
              <w:right w:val="nil"/>
            </w:tcBorders>
            <w:shd w:val="clear" w:color="auto" w:fill="auto"/>
            <w:noWrap/>
            <w:vAlign w:val="center"/>
            <w:hideMark/>
          </w:tcPr>
          <w:p w14:paraId="5CA937D0" w14:textId="77777777" w:rsidR="00236A5E" w:rsidRPr="007E6AAC" w:rsidRDefault="00236A5E" w:rsidP="00F46353">
            <w:pPr>
              <w:spacing w:line="240" w:lineRule="auto"/>
              <w:jc w:val="center"/>
              <w:rPr>
                <w:rFonts w:eastAsia="Times New Roman"/>
                <w:b/>
                <w:bCs/>
                <w:color w:val="000000"/>
                <w:sz w:val="22"/>
                <w:szCs w:val="22"/>
                <w:lang w:eastAsia="en-NZ"/>
              </w:rPr>
            </w:pPr>
            <w:r w:rsidRPr="007E6AAC">
              <w:rPr>
                <w:rFonts w:eastAsia="Times New Roman"/>
                <w:b/>
                <w:bCs/>
                <w:color w:val="000000"/>
                <w:sz w:val="22"/>
                <w:szCs w:val="22"/>
                <w:lang w:eastAsia="en-NZ"/>
              </w:rPr>
              <w:t>B</w:t>
            </w:r>
          </w:p>
        </w:tc>
        <w:tc>
          <w:tcPr>
            <w:tcW w:w="748" w:type="pct"/>
            <w:gridSpan w:val="2"/>
            <w:tcBorders>
              <w:top w:val="single" w:sz="4" w:space="0" w:color="auto"/>
              <w:left w:val="nil"/>
              <w:bottom w:val="nil"/>
              <w:right w:val="nil"/>
            </w:tcBorders>
            <w:shd w:val="clear" w:color="auto" w:fill="auto"/>
            <w:noWrap/>
            <w:vAlign w:val="center"/>
            <w:hideMark/>
          </w:tcPr>
          <w:p w14:paraId="62CF0D96" w14:textId="77777777" w:rsidR="00236A5E" w:rsidRPr="007E6AAC" w:rsidRDefault="00236A5E" w:rsidP="00F46353">
            <w:pPr>
              <w:spacing w:line="240" w:lineRule="auto"/>
              <w:jc w:val="center"/>
              <w:rPr>
                <w:rFonts w:eastAsia="Times New Roman"/>
                <w:b/>
                <w:bCs/>
                <w:color w:val="000000"/>
                <w:sz w:val="22"/>
                <w:szCs w:val="22"/>
                <w:lang w:eastAsia="en-NZ"/>
              </w:rPr>
            </w:pPr>
            <w:r w:rsidRPr="007E6AAC">
              <w:rPr>
                <w:rFonts w:eastAsia="Times New Roman"/>
                <w:b/>
                <w:bCs/>
                <w:color w:val="000000"/>
                <w:sz w:val="22"/>
                <w:szCs w:val="22"/>
                <w:lang w:eastAsia="en-NZ"/>
              </w:rPr>
              <w:t>BF</w:t>
            </w:r>
          </w:p>
        </w:tc>
        <w:tc>
          <w:tcPr>
            <w:tcW w:w="708" w:type="pct"/>
            <w:gridSpan w:val="2"/>
            <w:tcBorders>
              <w:top w:val="single" w:sz="4" w:space="0" w:color="auto"/>
              <w:left w:val="nil"/>
              <w:bottom w:val="nil"/>
              <w:right w:val="nil"/>
            </w:tcBorders>
            <w:shd w:val="clear" w:color="auto" w:fill="auto"/>
            <w:noWrap/>
            <w:vAlign w:val="center"/>
            <w:hideMark/>
          </w:tcPr>
          <w:p w14:paraId="3C492A54" w14:textId="77777777" w:rsidR="00236A5E" w:rsidRPr="007E6AAC" w:rsidRDefault="00236A5E" w:rsidP="00F46353">
            <w:pPr>
              <w:spacing w:line="240" w:lineRule="auto"/>
              <w:jc w:val="center"/>
              <w:rPr>
                <w:rFonts w:eastAsia="Times New Roman"/>
                <w:b/>
                <w:bCs/>
                <w:color w:val="000000"/>
                <w:sz w:val="22"/>
                <w:szCs w:val="22"/>
                <w:lang w:eastAsia="en-NZ"/>
              </w:rPr>
            </w:pPr>
            <w:r w:rsidRPr="007E6AAC">
              <w:rPr>
                <w:rFonts w:eastAsia="Times New Roman"/>
                <w:b/>
                <w:bCs/>
                <w:color w:val="000000"/>
                <w:sz w:val="22"/>
                <w:szCs w:val="22"/>
                <w:lang w:eastAsia="en-NZ"/>
              </w:rPr>
              <w:t>BFU</w:t>
            </w:r>
          </w:p>
        </w:tc>
        <w:tc>
          <w:tcPr>
            <w:tcW w:w="705" w:type="pct"/>
            <w:gridSpan w:val="2"/>
            <w:tcBorders>
              <w:top w:val="single" w:sz="4" w:space="0" w:color="auto"/>
              <w:left w:val="nil"/>
              <w:bottom w:val="nil"/>
              <w:right w:val="nil"/>
            </w:tcBorders>
            <w:shd w:val="clear" w:color="auto" w:fill="auto"/>
            <w:noWrap/>
            <w:vAlign w:val="center"/>
            <w:hideMark/>
          </w:tcPr>
          <w:p w14:paraId="5DE9B580" w14:textId="77777777" w:rsidR="00236A5E" w:rsidRPr="007E6AAC" w:rsidRDefault="00236A5E" w:rsidP="00F46353">
            <w:pPr>
              <w:spacing w:line="240" w:lineRule="auto"/>
              <w:jc w:val="center"/>
              <w:rPr>
                <w:rFonts w:eastAsia="Times New Roman"/>
                <w:b/>
                <w:bCs/>
                <w:color w:val="000000"/>
                <w:sz w:val="22"/>
                <w:szCs w:val="22"/>
                <w:lang w:eastAsia="en-NZ"/>
              </w:rPr>
            </w:pPr>
            <w:r w:rsidRPr="007E6AAC">
              <w:rPr>
                <w:rFonts w:eastAsia="Times New Roman"/>
                <w:b/>
                <w:bCs/>
                <w:color w:val="000000"/>
                <w:sz w:val="22"/>
                <w:szCs w:val="22"/>
                <w:lang w:eastAsia="en-NZ"/>
              </w:rPr>
              <w:t>F</w:t>
            </w:r>
          </w:p>
        </w:tc>
        <w:tc>
          <w:tcPr>
            <w:tcW w:w="705" w:type="pct"/>
            <w:gridSpan w:val="2"/>
            <w:tcBorders>
              <w:top w:val="single" w:sz="4" w:space="0" w:color="auto"/>
              <w:left w:val="nil"/>
              <w:bottom w:val="nil"/>
              <w:right w:val="nil"/>
            </w:tcBorders>
            <w:shd w:val="clear" w:color="auto" w:fill="auto"/>
            <w:noWrap/>
            <w:vAlign w:val="center"/>
            <w:hideMark/>
          </w:tcPr>
          <w:p w14:paraId="69E4D94C" w14:textId="77777777" w:rsidR="00236A5E" w:rsidRPr="007E6AAC" w:rsidRDefault="00236A5E" w:rsidP="00F46353">
            <w:pPr>
              <w:spacing w:line="240" w:lineRule="auto"/>
              <w:jc w:val="center"/>
              <w:rPr>
                <w:rFonts w:eastAsia="Times New Roman"/>
                <w:b/>
                <w:bCs/>
                <w:color w:val="000000"/>
                <w:sz w:val="22"/>
                <w:szCs w:val="22"/>
                <w:lang w:eastAsia="en-NZ"/>
              </w:rPr>
            </w:pPr>
            <w:r w:rsidRPr="007E6AAC">
              <w:rPr>
                <w:rFonts w:eastAsia="Times New Roman"/>
                <w:b/>
                <w:bCs/>
                <w:color w:val="000000"/>
                <w:sz w:val="22"/>
                <w:szCs w:val="22"/>
                <w:lang w:eastAsia="en-NZ"/>
              </w:rPr>
              <w:t>FU</w:t>
            </w:r>
          </w:p>
        </w:tc>
        <w:tc>
          <w:tcPr>
            <w:tcW w:w="637" w:type="pct"/>
            <w:gridSpan w:val="3"/>
            <w:tcBorders>
              <w:top w:val="single" w:sz="4" w:space="0" w:color="auto"/>
              <w:left w:val="nil"/>
              <w:bottom w:val="nil"/>
              <w:right w:val="nil"/>
            </w:tcBorders>
            <w:shd w:val="clear" w:color="auto" w:fill="auto"/>
            <w:noWrap/>
            <w:vAlign w:val="center"/>
            <w:hideMark/>
          </w:tcPr>
          <w:p w14:paraId="0B7124BC" w14:textId="77777777" w:rsidR="00236A5E" w:rsidRPr="007E6AAC" w:rsidRDefault="00236A5E" w:rsidP="00F46353">
            <w:pPr>
              <w:spacing w:line="240" w:lineRule="auto"/>
              <w:jc w:val="center"/>
              <w:rPr>
                <w:rFonts w:eastAsia="Times New Roman"/>
                <w:b/>
                <w:bCs/>
                <w:color w:val="000000"/>
                <w:sz w:val="22"/>
                <w:szCs w:val="22"/>
                <w:lang w:eastAsia="en-NZ"/>
              </w:rPr>
            </w:pPr>
            <w:r w:rsidRPr="007E6AAC">
              <w:rPr>
                <w:rFonts w:eastAsia="Times New Roman"/>
                <w:b/>
                <w:bCs/>
                <w:color w:val="000000"/>
                <w:sz w:val="22"/>
                <w:szCs w:val="22"/>
                <w:lang w:eastAsia="en-NZ"/>
              </w:rPr>
              <w:t>Other*</w:t>
            </w:r>
          </w:p>
        </w:tc>
      </w:tr>
      <w:tr w:rsidR="00236A5E" w:rsidRPr="007E6AAC" w14:paraId="72DC4BB1" w14:textId="77777777" w:rsidTr="00236A5E">
        <w:trPr>
          <w:gridAfter w:val="1"/>
          <w:wAfter w:w="4" w:type="pct"/>
          <w:trHeight w:val="318"/>
        </w:trPr>
        <w:tc>
          <w:tcPr>
            <w:tcW w:w="655" w:type="pct"/>
            <w:tcBorders>
              <w:top w:val="nil"/>
              <w:left w:val="nil"/>
              <w:bottom w:val="nil"/>
              <w:right w:val="nil"/>
            </w:tcBorders>
            <w:shd w:val="clear" w:color="auto" w:fill="auto"/>
            <w:noWrap/>
            <w:vAlign w:val="bottom"/>
            <w:hideMark/>
          </w:tcPr>
          <w:p w14:paraId="6A24DD7D" w14:textId="77777777" w:rsidR="00236A5E" w:rsidRPr="007E6AAC" w:rsidRDefault="00236A5E" w:rsidP="00F46353">
            <w:pPr>
              <w:spacing w:line="240" w:lineRule="auto"/>
              <w:jc w:val="center"/>
              <w:rPr>
                <w:rFonts w:eastAsia="Times New Roman"/>
                <w:color w:val="000000"/>
                <w:sz w:val="22"/>
                <w:szCs w:val="22"/>
                <w:lang w:eastAsia="en-NZ"/>
              </w:rPr>
            </w:pPr>
          </w:p>
        </w:tc>
        <w:tc>
          <w:tcPr>
            <w:tcW w:w="468" w:type="pct"/>
            <w:tcBorders>
              <w:top w:val="single" w:sz="4" w:space="0" w:color="auto"/>
              <w:left w:val="nil"/>
              <w:bottom w:val="nil"/>
              <w:right w:val="nil"/>
            </w:tcBorders>
            <w:shd w:val="clear" w:color="auto" w:fill="auto"/>
            <w:noWrap/>
            <w:vAlign w:val="center"/>
            <w:hideMark/>
          </w:tcPr>
          <w:p w14:paraId="2351E153" w14:textId="77777777" w:rsidR="00236A5E" w:rsidRPr="007E6AAC" w:rsidRDefault="00236A5E" w:rsidP="00F46353">
            <w:pPr>
              <w:spacing w:line="240" w:lineRule="auto"/>
              <w:jc w:val="center"/>
              <w:rPr>
                <w:rFonts w:eastAsia="Times New Roman"/>
                <w:color w:val="000000"/>
                <w:sz w:val="22"/>
                <w:szCs w:val="22"/>
                <w:lang w:eastAsia="en-NZ"/>
              </w:rPr>
            </w:pPr>
            <w:r w:rsidRPr="007E6AAC">
              <w:rPr>
                <w:rFonts w:eastAsia="Times New Roman"/>
                <w:color w:val="000000"/>
                <w:sz w:val="22"/>
                <w:szCs w:val="22"/>
                <w:lang w:eastAsia="en-NZ"/>
              </w:rPr>
              <w:t>N</w:t>
            </w:r>
          </w:p>
        </w:tc>
        <w:tc>
          <w:tcPr>
            <w:tcW w:w="374" w:type="pct"/>
            <w:tcBorders>
              <w:top w:val="single" w:sz="4" w:space="0" w:color="auto"/>
              <w:left w:val="nil"/>
              <w:bottom w:val="nil"/>
              <w:right w:val="nil"/>
            </w:tcBorders>
            <w:shd w:val="clear" w:color="auto" w:fill="auto"/>
            <w:noWrap/>
            <w:vAlign w:val="center"/>
            <w:hideMark/>
          </w:tcPr>
          <w:p w14:paraId="173DE99F" w14:textId="77777777" w:rsidR="00236A5E" w:rsidRPr="007E6AAC" w:rsidRDefault="00236A5E" w:rsidP="00F46353">
            <w:pPr>
              <w:spacing w:line="240" w:lineRule="auto"/>
              <w:jc w:val="center"/>
              <w:rPr>
                <w:rFonts w:eastAsia="Times New Roman"/>
                <w:i/>
                <w:iCs/>
                <w:color w:val="000000"/>
                <w:sz w:val="22"/>
                <w:szCs w:val="22"/>
                <w:lang w:eastAsia="en-NZ"/>
              </w:rPr>
            </w:pPr>
            <w:r w:rsidRPr="007E6AAC">
              <w:rPr>
                <w:rFonts w:eastAsia="Times New Roman"/>
                <w:i/>
                <w:iCs/>
                <w:color w:val="000000"/>
                <w:sz w:val="22"/>
                <w:szCs w:val="22"/>
                <w:lang w:eastAsia="en-NZ"/>
              </w:rPr>
              <w:t>%</w:t>
            </w:r>
          </w:p>
        </w:tc>
        <w:tc>
          <w:tcPr>
            <w:tcW w:w="374" w:type="pct"/>
            <w:tcBorders>
              <w:top w:val="single" w:sz="4" w:space="0" w:color="auto"/>
              <w:left w:val="nil"/>
              <w:bottom w:val="nil"/>
              <w:right w:val="nil"/>
            </w:tcBorders>
            <w:shd w:val="clear" w:color="auto" w:fill="auto"/>
            <w:noWrap/>
            <w:vAlign w:val="center"/>
            <w:hideMark/>
          </w:tcPr>
          <w:p w14:paraId="3D3842A4" w14:textId="77777777" w:rsidR="00236A5E" w:rsidRPr="007E6AAC" w:rsidRDefault="00236A5E" w:rsidP="00F46353">
            <w:pPr>
              <w:spacing w:line="240" w:lineRule="auto"/>
              <w:jc w:val="center"/>
              <w:rPr>
                <w:rFonts w:eastAsia="Times New Roman"/>
                <w:color w:val="000000"/>
                <w:sz w:val="22"/>
                <w:szCs w:val="22"/>
                <w:lang w:eastAsia="en-NZ"/>
              </w:rPr>
            </w:pPr>
            <w:r w:rsidRPr="007E6AAC">
              <w:rPr>
                <w:rFonts w:eastAsia="Times New Roman"/>
                <w:color w:val="000000"/>
                <w:sz w:val="22"/>
                <w:szCs w:val="22"/>
                <w:lang w:eastAsia="en-NZ"/>
              </w:rPr>
              <w:t>N</w:t>
            </w:r>
          </w:p>
        </w:tc>
        <w:tc>
          <w:tcPr>
            <w:tcW w:w="374" w:type="pct"/>
            <w:tcBorders>
              <w:top w:val="single" w:sz="4" w:space="0" w:color="auto"/>
              <w:left w:val="nil"/>
              <w:bottom w:val="nil"/>
              <w:right w:val="nil"/>
            </w:tcBorders>
            <w:shd w:val="clear" w:color="auto" w:fill="auto"/>
            <w:noWrap/>
            <w:vAlign w:val="center"/>
            <w:hideMark/>
          </w:tcPr>
          <w:p w14:paraId="32616B2A" w14:textId="77777777" w:rsidR="00236A5E" w:rsidRPr="007E6AAC" w:rsidRDefault="00236A5E" w:rsidP="00F46353">
            <w:pPr>
              <w:spacing w:line="240" w:lineRule="auto"/>
              <w:jc w:val="center"/>
              <w:rPr>
                <w:rFonts w:eastAsia="Times New Roman"/>
                <w:i/>
                <w:iCs/>
                <w:color w:val="000000"/>
                <w:sz w:val="22"/>
                <w:szCs w:val="22"/>
                <w:lang w:eastAsia="en-NZ"/>
              </w:rPr>
            </w:pPr>
            <w:r w:rsidRPr="007E6AAC">
              <w:rPr>
                <w:rFonts w:eastAsia="Times New Roman"/>
                <w:i/>
                <w:iCs/>
                <w:color w:val="000000"/>
                <w:sz w:val="22"/>
                <w:szCs w:val="22"/>
                <w:lang w:eastAsia="en-NZ"/>
              </w:rPr>
              <w:t>%</w:t>
            </w:r>
          </w:p>
        </w:tc>
        <w:tc>
          <w:tcPr>
            <w:tcW w:w="375" w:type="pct"/>
            <w:tcBorders>
              <w:top w:val="single" w:sz="4" w:space="0" w:color="auto"/>
              <w:left w:val="nil"/>
              <w:bottom w:val="nil"/>
              <w:right w:val="nil"/>
            </w:tcBorders>
            <w:shd w:val="clear" w:color="auto" w:fill="auto"/>
            <w:noWrap/>
            <w:vAlign w:val="center"/>
            <w:hideMark/>
          </w:tcPr>
          <w:p w14:paraId="5E58FF13" w14:textId="77777777" w:rsidR="00236A5E" w:rsidRPr="007E6AAC" w:rsidRDefault="00236A5E" w:rsidP="00F46353">
            <w:pPr>
              <w:spacing w:line="240" w:lineRule="auto"/>
              <w:jc w:val="center"/>
              <w:rPr>
                <w:rFonts w:eastAsia="Times New Roman"/>
                <w:color w:val="000000"/>
                <w:sz w:val="22"/>
                <w:szCs w:val="22"/>
                <w:lang w:eastAsia="en-NZ"/>
              </w:rPr>
            </w:pPr>
            <w:r w:rsidRPr="007E6AAC">
              <w:rPr>
                <w:rFonts w:eastAsia="Times New Roman"/>
                <w:color w:val="000000"/>
                <w:sz w:val="22"/>
                <w:szCs w:val="22"/>
                <w:lang w:eastAsia="en-NZ"/>
              </w:rPr>
              <w:t>N</w:t>
            </w:r>
          </w:p>
        </w:tc>
        <w:tc>
          <w:tcPr>
            <w:tcW w:w="333" w:type="pct"/>
            <w:tcBorders>
              <w:top w:val="single" w:sz="4" w:space="0" w:color="auto"/>
              <w:left w:val="nil"/>
              <w:bottom w:val="nil"/>
              <w:right w:val="nil"/>
            </w:tcBorders>
            <w:shd w:val="clear" w:color="auto" w:fill="auto"/>
            <w:noWrap/>
            <w:vAlign w:val="center"/>
            <w:hideMark/>
          </w:tcPr>
          <w:p w14:paraId="173E6D6C" w14:textId="77777777" w:rsidR="00236A5E" w:rsidRPr="007E6AAC" w:rsidRDefault="00236A5E" w:rsidP="00F46353">
            <w:pPr>
              <w:spacing w:line="240" w:lineRule="auto"/>
              <w:jc w:val="center"/>
              <w:rPr>
                <w:rFonts w:eastAsia="Times New Roman"/>
                <w:i/>
                <w:iCs/>
                <w:color w:val="000000"/>
                <w:sz w:val="22"/>
                <w:szCs w:val="22"/>
                <w:lang w:eastAsia="en-NZ"/>
              </w:rPr>
            </w:pPr>
            <w:r w:rsidRPr="007E6AAC">
              <w:rPr>
                <w:rFonts w:eastAsia="Times New Roman"/>
                <w:i/>
                <w:iCs/>
                <w:color w:val="000000"/>
                <w:sz w:val="22"/>
                <w:szCs w:val="22"/>
                <w:lang w:eastAsia="en-NZ"/>
              </w:rPr>
              <w:t>%</w:t>
            </w:r>
          </w:p>
        </w:tc>
        <w:tc>
          <w:tcPr>
            <w:tcW w:w="372" w:type="pct"/>
            <w:tcBorders>
              <w:top w:val="single" w:sz="4" w:space="0" w:color="auto"/>
              <w:left w:val="nil"/>
              <w:bottom w:val="nil"/>
              <w:right w:val="nil"/>
            </w:tcBorders>
            <w:shd w:val="clear" w:color="auto" w:fill="auto"/>
            <w:noWrap/>
            <w:vAlign w:val="center"/>
            <w:hideMark/>
          </w:tcPr>
          <w:p w14:paraId="50F882D4" w14:textId="77777777" w:rsidR="00236A5E" w:rsidRPr="007E6AAC" w:rsidRDefault="00236A5E" w:rsidP="00F46353">
            <w:pPr>
              <w:spacing w:line="240" w:lineRule="auto"/>
              <w:jc w:val="center"/>
              <w:rPr>
                <w:rFonts w:eastAsia="Times New Roman"/>
                <w:color w:val="000000"/>
                <w:sz w:val="22"/>
                <w:szCs w:val="22"/>
                <w:lang w:eastAsia="en-NZ"/>
              </w:rPr>
            </w:pPr>
            <w:r w:rsidRPr="007E6AAC">
              <w:rPr>
                <w:rFonts w:eastAsia="Times New Roman"/>
                <w:color w:val="000000"/>
                <w:sz w:val="22"/>
                <w:szCs w:val="22"/>
                <w:lang w:eastAsia="en-NZ"/>
              </w:rPr>
              <w:t>N</w:t>
            </w:r>
          </w:p>
        </w:tc>
        <w:tc>
          <w:tcPr>
            <w:tcW w:w="333" w:type="pct"/>
            <w:tcBorders>
              <w:top w:val="single" w:sz="4" w:space="0" w:color="auto"/>
              <w:left w:val="nil"/>
              <w:bottom w:val="nil"/>
              <w:right w:val="nil"/>
            </w:tcBorders>
            <w:shd w:val="clear" w:color="auto" w:fill="auto"/>
            <w:noWrap/>
            <w:vAlign w:val="center"/>
            <w:hideMark/>
          </w:tcPr>
          <w:p w14:paraId="68BFDA80" w14:textId="77777777" w:rsidR="00236A5E" w:rsidRPr="007E6AAC" w:rsidRDefault="00236A5E" w:rsidP="00F46353">
            <w:pPr>
              <w:spacing w:line="240" w:lineRule="auto"/>
              <w:jc w:val="center"/>
              <w:rPr>
                <w:rFonts w:eastAsia="Times New Roman"/>
                <w:i/>
                <w:iCs/>
                <w:color w:val="000000"/>
                <w:sz w:val="22"/>
                <w:szCs w:val="22"/>
                <w:lang w:eastAsia="en-NZ"/>
              </w:rPr>
            </w:pPr>
            <w:r w:rsidRPr="007E6AAC">
              <w:rPr>
                <w:rFonts w:eastAsia="Times New Roman"/>
                <w:i/>
                <w:iCs/>
                <w:color w:val="000000"/>
                <w:sz w:val="22"/>
                <w:szCs w:val="22"/>
                <w:lang w:eastAsia="en-NZ"/>
              </w:rPr>
              <w:t>%</w:t>
            </w:r>
          </w:p>
        </w:tc>
        <w:tc>
          <w:tcPr>
            <w:tcW w:w="372" w:type="pct"/>
            <w:tcBorders>
              <w:top w:val="single" w:sz="4" w:space="0" w:color="auto"/>
              <w:left w:val="nil"/>
              <w:bottom w:val="nil"/>
              <w:right w:val="nil"/>
            </w:tcBorders>
            <w:shd w:val="clear" w:color="auto" w:fill="auto"/>
            <w:noWrap/>
            <w:vAlign w:val="center"/>
            <w:hideMark/>
          </w:tcPr>
          <w:p w14:paraId="232E5863" w14:textId="77777777" w:rsidR="00236A5E" w:rsidRPr="007E6AAC" w:rsidRDefault="00236A5E" w:rsidP="00F46353">
            <w:pPr>
              <w:spacing w:line="240" w:lineRule="auto"/>
              <w:jc w:val="center"/>
              <w:rPr>
                <w:rFonts w:eastAsia="Times New Roman"/>
                <w:color w:val="000000"/>
                <w:sz w:val="22"/>
                <w:szCs w:val="22"/>
                <w:lang w:eastAsia="en-NZ"/>
              </w:rPr>
            </w:pPr>
            <w:r w:rsidRPr="007E6AAC">
              <w:rPr>
                <w:rFonts w:eastAsia="Times New Roman"/>
                <w:color w:val="000000"/>
                <w:sz w:val="22"/>
                <w:szCs w:val="22"/>
                <w:lang w:eastAsia="en-NZ"/>
              </w:rPr>
              <w:t>N</w:t>
            </w:r>
          </w:p>
        </w:tc>
        <w:tc>
          <w:tcPr>
            <w:tcW w:w="333" w:type="pct"/>
            <w:tcBorders>
              <w:top w:val="single" w:sz="4" w:space="0" w:color="auto"/>
              <w:left w:val="nil"/>
              <w:bottom w:val="nil"/>
              <w:right w:val="nil"/>
            </w:tcBorders>
            <w:shd w:val="clear" w:color="auto" w:fill="auto"/>
            <w:noWrap/>
            <w:vAlign w:val="center"/>
            <w:hideMark/>
          </w:tcPr>
          <w:p w14:paraId="4401996B" w14:textId="77777777" w:rsidR="00236A5E" w:rsidRPr="007E6AAC" w:rsidRDefault="00236A5E" w:rsidP="00F46353">
            <w:pPr>
              <w:spacing w:line="240" w:lineRule="auto"/>
              <w:jc w:val="center"/>
              <w:rPr>
                <w:rFonts w:eastAsia="Times New Roman"/>
                <w:i/>
                <w:iCs/>
                <w:color w:val="000000"/>
                <w:sz w:val="22"/>
                <w:szCs w:val="22"/>
                <w:lang w:eastAsia="en-NZ"/>
              </w:rPr>
            </w:pPr>
            <w:r w:rsidRPr="007E6AAC">
              <w:rPr>
                <w:rFonts w:eastAsia="Times New Roman"/>
                <w:i/>
                <w:iCs/>
                <w:color w:val="000000"/>
                <w:sz w:val="22"/>
                <w:szCs w:val="22"/>
                <w:lang w:eastAsia="en-NZ"/>
              </w:rPr>
              <w:t>%</w:t>
            </w:r>
          </w:p>
        </w:tc>
        <w:tc>
          <w:tcPr>
            <w:tcW w:w="302" w:type="pct"/>
            <w:tcBorders>
              <w:top w:val="single" w:sz="4" w:space="0" w:color="auto"/>
              <w:left w:val="nil"/>
              <w:bottom w:val="nil"/>
              <w:right w:val="nil"/>
            </w:tcBorders>
            <w:shd w:val="clear" w:color="auto" w:fill="auto"/>
            <w:noWrap/>
            <w:vAlign w:val="center"/>
            <w:hideMark/>
          </w:tcPr>
          <w:p w14:paraId="0C677458" w14:textId="77777777" w:rsidR="00236A5E" w:rsidRPr="007E6AAC" w:rsidRDefault="00236A5E" w:rsidP="00F46353">
            <w:pPr>
              <w:spacing w:line="240" w:lineRule="auto"/>
              <w:jc w:val="center"/>
              <w:rPr>
                <w:rFonts w:eastAsia="Times New Roman"/>
                <w:color w:val="000000"/>
                <w:sz w:val="22"/>
                <w:szCs w:val="22"/>
                <w:lang w:eastAsia="en-NZ"/>
              </w:rPr>
            </w:pPr>
            <w:r w:rsidRPr="007E6AAC">
              <w:rPr>
                <w:rFonts w:eastAsia="Times New Roman"/>
                <w:color w:val="000000"/>
                <w:sz w:val="22"/>
                <w:szCs w:val="22"/>
                <w:lang w:eastAsia="en-NZ"/>
              </w:rPr>
              <w:t>N</w:t>
            </w:r>
          </w:p>
        </w:tc>
        <w:tc>
          <w:tcPr>
            <w:tcW w:w="332" w:type="pct"/>
            <w:tcBorders>
              <w:top w:val="single" w:sz="4" w:space="0" w:color="auto"/>
              <w:left w:val="nil"/>
              <w:bottom w:val="nil"/>
              <w:right w:val="nil"/>
            </w:tcBorders>
            <w:shd w:val="clear" w:color="auto" w:fill="auto"/>
            <w:noWrap/>
            <w:vAlign w:val="center"/>
            <w:hideMark/>
          </w:tcPr>
          <w:p w14:paraId="77E6F89B" w14:textId="77777777" w:rsidR="00236A5E" w:rsidRPr="007E6AAC" w:rsidRDefault="00236A5E" w:rsidP="00F46353">
            <w:pPr>
              <w:spacing w:line="240" w:lineRule="auto"/>
              <w:jc w:val="center"/>
              <w:rPr>
                <w:rFonts w:eastAsia="Times New Roman"/>
                <w:i/>
                <w:iCs/>
                <w:color w:val="000000"/>
                <w:sz w:val="22"/>
                <w:szCs w:val="22"/>
                <w:lang w:eastAsia="en-NZ"/>
              </w:rPr>
            </w:pPr>
            <w:r w:rsidRPr="007E6AAC">
              <w:rPr>
                <w:rFonts w:eastAsia="Times New Roman"/>
                <w:i/>
                <w:iCs/>
                <w:color w:val="000000"/>
                <w:sz w:val="22"/>
                <w:szCs w:val="22"/>
                <w:lang w:eastAsia="en-NZ"/>
              </w:rPr>
              <w:t>%</w:t>
            </w:r>
          </w:p>
        </w:tc>
      </w:tr>
      <w:tr w:rsidR="00236A5E" w:rsidRPr="007E6AAC" w14:paraId="47748C14" w14:textId="77777777" w:rsidTr="00236A5E">
        <w:trPr>
          <w:gridAfter w:val="1"/>
          <w:wAfter w:w="4" w:type="pct"/>
          <w:trHeight w:val="318"/>
        </w:trPr>
        <w:tc>
          <w:tcPr>
            <w:tcW w:w="655" w:type="pct"/>
            <w:tcBorders>
              <w:top w:val="single" w:sz="4" w:space="0" w:color="auto"/>
              <w:left w:val="nil"/>
              <w:bottom w:val="nil"/>
              <w:right w:val="nil"/>
            </w:tcBorders>
            <w:shd w:val="clear" w:color="auto" w:fill="auto"/>
            <w:noWrap/>
            <w:vAlign w:val="bottom"/>
            <w:hideMark/>
          </w:tcPr>
          <w:p w14:paraId="0850A909" w14:textId="77777777" w:rsidR="00236A5E" w:rsidRPr="007E6AAC" w:rsidRDefault="00236A5E" w:rsidP="00F46353">
            <w:pPr>
              <w:spacing w:line="240" w:lineRule="auto"/>
              <w:rPr>
                <w:rFonts w:eastAsia="Times New Roman"/>
                <w:b/>
                <w:bCs/>
                <w:color w:val="000000"/>
                <w:sz w:val="22"/>
                <w:szCs w:val="22"/>
                <w:lang w:eastAsia="en-NZ"/>
              </w:rPr>
            </w:pPr>
            <w:r w:rsidRPr="007E6AAC">
              <w:rPr>
                <w:rFonts w:eastAsia="Times New Roman"/>
                <w:b/>
                <w:bCs/>
                <w:color w:val="000000"/>
                <w:sz w:val="22"/>
                <w:szCs w:val="22"/>
                <w:lang w:eastAsia="en-NZ"/>
              </w:rPr>
              <w:t>Overall</w:t>
            </w:r>
          </w:p>
        </w:tc>
        <w:tc>
          <w:tcPr>
            <w:tcW w:w="468" w:type="pct"/>
            <w:tcBorders>
              <w:top w:val="single" w:sz="4" w:space="0" w:color="auto"/>
              <w:left w:val="nil"/>
              <w:bottom w:val="nil"/>
              <w:right w:val="nil"/>
            </w:tcBorders>
            <w:shd w:val="clear" w:color="auto" w:fill="auto"/>
            <w:noWrap/>
            <w:vAlign w:val="center"/>
            <w:hideMark/>
          </w:tcPr>
          <w:p w14:paraId="197168C2"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eastAsia="en-NZ"/>
              </w:rPr>
              <w:t>17170</w:t>
            </w:r>
          </w:p>
        </w:tc>
        <w:tc>
          <w:tcPr>
            <w:tcW w:w="374" w:type="pct"/>
            <w:tcBorders>
              <w:top w:val="single" w:sz="4" w:space="0" w:color="auto"/>
              <w:left w:val="nil"/>
              <w:bottom w:val="nil"/>
              <w:right w:val="nil"/>
            </w:tcBorders>
            <w:shd w:val="clear" w:color="auto" w:fill="auto"/>
            <w:noWrap/>
            <w:vAlign w:val="center"/>
            <w:hideMark/>
          </w:tcPr>
          <w:p w14:paraId="2ECC8D94" w14:textId="77777777" w:rsidR="00236A5E" w:rsidRPr="007E6AAC" w:rsidRDefault="00236A5E" w:rsidP="00236A5E">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 72.1</w:t>
            </w:r>
          </w:p>
        </w:tc>
        <w:tc>
          <w:tcPr>
            <w:tcW w:w="374" w:type="pct"/>
            <w:tcBorders>
              <w:top w:val="single" w:sz="4" w:space="0" w:color="auto"/>
              <w:left w:val="nil"/>
              <w:bottom w:val="nil"/>
              <w:right w:val="nil"/>
            </w:tcBorders>
            <w:shd w:val="clear" w:color="auto" w:fill="auto"/>
            <w:noWrap/>
            <w:vAlign w:val="center"/>
            <w:hideMark/>
          </w:tcPr>
          <w:p w14:paraId="78603BF5" w14:textId="77777777" w:rsidR="00236A5E" w:rsidRPr="007E6AAC" w:rsidRDefault="00236A5E" w:rsidP="00236A5E">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2487</w:t>
            </w:r>
          </w:p>
        </w:tc>
        <w:tc>
          <w:tcPr>
            <w:tcW w:w="374" w:type="pct"/>
            <w:tcBorders>
              <w:top w:val="single" w:sz="4" w:space="0" w:color="auto"/>
              <w:left w:val="nil"/>
              <w:bottom w:val="nil"/>
              <w:right w:val="nil"/>
            </w:tcBorders>
            <w:shd w:val="clear" w:color="auto" w:fill="auto"/>
            <w:noWrap/>
            <w:vAlign w:val="center"/>
            <w:hideMark/>
          </w:tcPr>
          <w:p w14:paraId="1EE91400" w14:textId="77777777" w:rsidR="00236A5E" w:rsidRPr="007E6AAC" w:rsidRDefault="00236A5E" w:rsidP="00236A5E">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 10.4</w:t>
            </w:r>
          </w:p>
        </w:tc>
        <w:tc>
          <w:tcPr>
            <w:tcW w:w="375" w:type="pct"/>
            <w:tcBorders>
              <w:top w:val="single" w:sz="4" w:space="0" w:color="auto"/>
              <w:left w:val="nil"/>
              <w:bottom w:val="nil"/>
              <w:right w:val="nil"/>
            </w:tcBorders>
            <w:shd w:val="clear" w:color="auto" w:fill="auto"/>
            <w:noWrap/>
            <w:vAlign w:val="center"/>
            <w:hideMark/>
          </w:tcPr>
          <w:p w14:paraId="6EB11059" w14:textId="77777777" w:rsidR="00236A5E" w:rsidRPr="007E6AAC" w:rsidRDefault="00236A5E" w:rsidP="00236A5E">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1017</w:t>
            </w:r>
          </w:p>
        </w:tc>
        <w:tc>
          <w:tcPr>
            <w:tcW w:w="333" w:type="pct"/>
            <w:tcBorders>
              <w:top w:val="single" w:sz="4" w:space="0" w:color="auto"/>
              <w:left w:val="nil"/>
              <w:bottom w:val="nil"/>
              <w:right w:val="nil"/>
            </w:tcBorders>
            <w:shd w:val="clear" w:color="auto" w:fill="auto"/>
            <w:noWrap/>
            <w:vAlign w:val="center"/>
            <w:hideMark/>
          </w:tcPr>
          <w:p w14:paraId="19CD2A0F" w14:textId="77777777" w:rsidR="00236A5E" w:rsidRPr="007E6AAC" w:rsidRDefault="00236A5E" w:rsidP="00236A5E">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 4.3</w:t>
            </w:r>
          </w:p>
        </w:tc>
        <w:tc>
          <w:tcPr>
            <w:tcW w:w="372" w:type="pct"/>
            <w:tcBorders>
              <w:top w:val="single" w:sz="4" w:space="0" w:color="auto"/>
              <w:left w:val="nil"/>
              <w:bottom w:val="nil"/>
              <w:right w:val="nil"/>
            </w:tcBorders>
            <w:shd w:val="clear" w:color="auto" w:fill="auto"/>
            <w:noWrap/>
            <w:vAlign w:val="center"/>
            <w:hideMark/>
          </w:tcPr>
          <w:p w14:paraId="6ED34183" w14:textId="77777777" w:rsidR="00236A5E" w:rsidRPr="007E6AAC" w:rsidRDefault="00236A5E" w:rsidP="00236A5E">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1850</w:t>
            </w:r>
          </w:p>
        </w:tc>
        <w:tc>
          <w:tcPr>
            <w:tcW w:w="333" w:type="pct"/>
            <w:tcBorders>
              <w:top w:val="single" w:sz="4" w:space="0" w:color="auto"/>
              <w:left w:val="nil"/>
              <w:bottom w:val="nil"/>
              <w:right w:val="nil"/>
            </w:tcBorders>
            <w:shd w:val="clear" w:color="auto" w:fill="auto"/>
            <w:noWrap/>
            <w:vAlign w:val="center"/>
            <w:hideMark/>
          </w:tcPr>
          <w:p w14:paraId="3985240B" w14:textId="77777777" w:rsidR="00236A5E" w:rsidRPr="007E6AAC" w:rsidRDefault="00236A5E" w:rsidP="00236A5E">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 7.8</w:t>
            </w:r>
          </w:p>
        </w:tc>
        <w:tc>
          <w:tcPr>
            <w:tcW w:w="372" w:type="pct"/>
            <w:tcBorders>
              <w:top w:val="single" w:sz="4" w:space="0" w:color="auto"/>
              <w:left w:val="nil"/>
              <w:bottom w:val="nil"/>
              <w:right w:val="nil"/>
            </w:tcBorders>
            <w:shd w:val="clear" w:color="auto" w:fill="auto"/>
            <w:noWrap/>
            <w:vAlign w:val="center"/>
            <w:hideMark/>
          </w:tcPr>
          <w:p w14:paraId="43C491BD" w14:textId="77777777" w:rsidR="00236A5E" w:rsidRPr="007E6AAC" w:rsidRDefault="00236A5E" w:rsidP="00236A5E">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1026</w:t>
            </w:r>
          </w:p>
        </w:tc>
        <w:tc>
          <w:tcPr>
            <w:tcW w:w="333" w:type="pct"/>
            <w:tcBorders>
              <w:top w:val="single" w:sz="4" w:space="0" w:color="auto"/>
              <w:left w:val="nil"/>
              <w:bottom w:val="nil"/>
              <w:right w:val="nil"/>
            </w:tcBorders>
            <w:shd w:val="clear" w:color="auto" w:fill="auto"/>
            <w:noWrap/>
            <w:vAlign w:val="center"/>
            <w:hideMark/>
          </w:tcPr>
          <w:p w14:paraId="6717CE08" w14:textId="77777777" w:rsidR="00236A5E" w:rsidRPr="007E6AAC" w:rsidRDefault="00236A5E" w:rsidP="00236A5E">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 4.3</w:t>
            </w:r>
          </w:p>
        </w:tc>
        <w:tc>
          <w:tcPr>
            <w:tcW w:w="302" w:type="pct"/>
            <w:tcBorders>
              <w:top w:val="single" w:sz="4" w:space="0" w:color="auto"/>
              <w:left w:val="nil"/>
              <w:bottom w:val="nil"/>
              <w:right w:val="nil"/>
            </w:tcBorders>
            <w:shd w:val="clear" w:color="auto" w:fill="auto"/>
            <w:noWrap/>
            <w:vAlign w:val="center"/>
            <w:hideMark/>
          </w:tcPr>
          <w:p w14:paraId="174808F6" w14:textId="77777777" w:rsidR="00236A5E" w:rsidRPr="007E6AAC" w:rsidRDefault="00236A5E" w:rsidP="00236A5E">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264</w:t>
            </w:r>
          </w:p>
        </w:tc>
        <w:tc>
          <w:tcPr>
            <w:tcW w:w="332" w:type="pct"/>
            <w:tcBorders>
              <w:top w:val="single" w:sz="4" w:space="0" w:color="auto"/>
              <w:left w:val="nil"/>
              <w:bottom w:val="nil"/>
              <w:right w:val="nil"/>
            </w:tcBorders>
            <w:shd w:val="clear" w:color="auto" w:fill="auto"/>
            <w:noWrap/>
            <w:vAlign w:val="center"/>
            <w:hideMark/>
          </w:tcPr>
          <w:p w14:paraId="418C891A" w14:textId="77777777" w:rsidR="00236A5E" w:rsidRPr="007E6AAC" w:rsidRDefault="00236A5E" w:rsidP="00236A5E">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1.1</w:t>
            </w:r>
          </w:p>
        </w:tc>
      </w:tr>
      <w:tr w:rsidR="00236A5E" w:rsidRPr="007E6AAC" w14:paraId="32DD744D" w14:textId="77777777" w:rsidTr="00236A5E">
        <w:trPr>
          <w:gridAfter w:val="1"/>
          <w:wAfter w:w="4" w:type="pct"/>
          <w:trHeight w:val="318"/>
        </w:trPr>
        <w:tc>
          <w:tcPr>
            <w:tcW w:w="655" w:type="pct"/>
            <w:tcBorders>
              <w:top w:val="single" w:sz="4" w:space="0" w:color="auto"/>
              <w:left w:val="nil"/>
              <w:bottom w:val="nil"/>
              <w:right w:val="nil"/>
            </w:tcBorders>
            <w:shd w:val="clear" w:color="auto" w:fill="auto"/>
            <w:noWrap/>
            <w:vAlign w:val="bottom"/>
            <w:hideMark/>
          </w:tcPr>
          <w:p w14:paraId="5D2EA8BD" w14:textId="77777777" w:rsidR="00236A5E" w:rsidRPr="007E6AAC" w:rsidRDefault="00236A5E" w:rsidP="00F46353">
            <w:pPr>
              <w:spacing w:line="240" w:lineRule="auto"/>
              <w:rPr>
                <w:rFonts w:eastAsia="Times New Roman"/>
                <w:b/>
                <w:bCs/>
                <w:color w:val="000000"/>
                <w:sz w:val="22"/>
                <w:szCs w:val="22"/>
                <w:lang w:eastAsia="en-NZ"/>
              </w:rPr>
            </w:pPr>
            <w:r w:rsidRPr="007E6AAC">
              <w:rPr>
                <w:rFonts w:eastAsia="Times New Roman"/>
                <w:b/>
                <w:bCs/>
                <w:color w:val="000000"/>
                <w:sz w:val="22"/>
                <w:szCs w:val="22"/>
                <w:lang w:eastAsia="en-NZ"/>
              </w:rPr>
              <w:t>Gender</w:t>
            </w:r>
          </w:p>
        </w:tc>
        <w:tc>
          <w:tcPr>
            <w:tcW w:w="468" w:type="pct"/>
            <w:tcBorders>
              <w:top w:val="single" w:sz="4" w:space="0" w:color="auto"/>
              <w:left w:val="nil"/>
              <w:bottom w:val="nil"/>
              <w:right w:val="nil"/>
            </w:tcBorders>
            <w:shd w:val="clear" w:color="auto" w:fill="auto"/>
            <w:noWrap/>
            <w:vAlign w:val="bottom"/>
            <w:hideMark/>
          </w:tcPr>
          <w:p w14:paraId="620C53D1"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74" w:type="pct"/>
            <w:tcBorders>
              <w:top w:val="single" w:sz="4" w:space="0" w:color="auto"/>
              <w:left w:val="nil"/>
              <w:bottom w:val="nil"/>
              <w:right w:val="nil"/>
            </w:tcBorders>
            <w:shd w:val="clear" w:color="auto" w:fill="auto"/>
            <w:noWrap/>
            <w:vAlign w:val="bottom"/>
            <w:hideMark/>
          </w:tcPr>
          <w:p w14:paraId="0DF86E1E"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74" w:type="pct"/>
            <w:tcBorders>
              <w:top w:val="single" w:sz="4" w:space="0" w:color="auto"/>
              <w:left w:val="nil"/>
              <w:bottom w:val="nil"/>
              <w:right w:val="nil"/>
            </w:tcBorders>
            <w:shd w:val="clear" w:color="auto" w:fill="auto"/>
            <w:noWrap/>
            <w:vAlign w:val="bottom"/>
            <w:hideMark/>
          </w:tcPr>
          <w:p w14:paraId="0EA52BAD"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74" w:type="pct"/>
            <w:tcBorders>
              <w:top w:val="single" w:sz="4" w:space="0" w:color="auto"/>
              <w:left w:val="nil"/>
              <w:bottom w:val="nil"/>
              <w:right w:val="nil"/>
            </w:tcBorders>
            <w:shd w:val="clear" w:color="auto" w:fill="auto"/>
            <w:noWrap/>
            <w:vAlign w:val="bottom"/>
            <w:hideMark/>
          </w:tcPr>
          <w:p w14:paraId="718936DB"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75" w:type="pct"/>
            <w:tcBorders>
              <w:top w:val="single" w:sz="4" w:space="0" w:color="auto"/>
              <w:left w:val="nil"/>
              <w:bottom w:val="nil"/>
              <w:right w:val="nil"/>
            </w:tcBorders>
            <w:shd w:val="clear" w:color="auto" w:fill="auto"/>
            <w:noWrap/>
            <w:vAlign w:val="bottom"/>
            <w:hideMark/>
          </w:tcPr>
          <w:p w14:paraId="380A5370"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33" w:type="pct"/>
            <w:tcBorders>
              <w:top w:val="single" w:sz="4" w:space="0" w:color="auto"/>
              <w:left w:val="nil"/>
              <w:bottom w:val="nil"/>
              <w:right w:val="nil"/>
            </w:tcBorders>
            <w:shd w:val="clear" w:color="auto" w:fill="auto"/>
            <w:noWrap/>
            <w:vAlign w:val="bottom"/>
            <w:hideMark/>
          </w:tcPr>
          <w:p w14:paraId="7F2FCE78"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72" w:type="pct"/>
            <w:tcBorders>
              <w:top w:val="single" w:sz="4" w:space="0" w:color="auto"/>
              <w:left w:val="nil"/>
              <w:bottom w:val="nil"/>
              <w:right w:val="nil"/>
            </w:tcBorders>
            <w:shd w:val="clear" w:color="auto" w:fill="auto"/>
            <w:noWrap/>
            <w:vAlign w:val="bottom"/>
            <w:hideMark/>
          </w:tcPr>
          <w:p w14:paraId="6810C92D"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33" w:type="pct"/>
            <w:tcBorders>
              <w:top w:val="single" w:sz="4" w:space="0" w:color="auto"/>
              <w:left w:val="nil"/>
              <w:bottom w:val="nil"/>
              <w:right w:val="nil"/>
            </w:tcBorders>
            <w:shd w:val="clear" w:color="auto" w:fill="auto"/>
            <w:noWrap/>
            <w:vAlign w:val="bottom"/>
            <w:hideMark/>
          </w:tcPr>
          <w:p w14:paraId="6702BFA7"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72" w:type="pct"/>
            <w:tcBorders>
              <w:top w:val="single" w:sz="4" w:space="0" w:color="auto"/>
              <w:left w:val="nil"/>
              <w:bottom w:val="nil"/>
              <w:right w:val="nil"/>
            </w:tcBorders>
            <w:shd w:val="clear" w:color="auto" w:fill="auto"/>
            <w:noWrap/>
            <w:vAlign w:val="bottom"/>
            <w:hideMark/>
          </w:tcPr>
          <w:p w14:paraId="6F7F509E"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33" w:type="pct"/>
            <w:tcBorders>
              <w:top w:val="single" w:sz="4" w:space="0" w:color="auto"/>
              <w:left w:val="nil"/>
              <w:bottom w:val="nil"/>
              <w:right w:val="nil"/>
            </w:tcBorders>
            <w:shd w:val="clear" w:color="auto" w:fill="auto"/>
            <w:noWrap/>
            <w:vAlign w:val="bottom"/>
            <w:hideMark/>
          </w:tcPr>
          <w:p w14:paraId="0244AD45"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02" w:type="pct"/>
            <w:tcBorders>
              <w:top w:val="single" w:sz="4" w:space="0" w:color="auto"/>
              <w:left w:val="nil"/>
              <w:bottom w:val="nil"/>
              <w:right w:val="nil"/>
            </w:tcBorders>
            <w:shd w:val="clear" w:color="auto" w:fill="auto"/>
            <w:noWrap/>
            <w:vAlign w:val="bottom"/>
            <w:hideMark/>
          </w:tcPr>
          <w:p w14:paraId="1FB7EAE3"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32" w:type="pct"/>
            <w:tcBorders>
              <w:top w:val="single" w:sz="4" w:space="0" w:color="auto"/>
              <w:left w:val="nil"/>
              <w:bottom w:val="nil"/>
              <w:right w:val="nil"/>
            </w:tcBorders>
            <w:shd w:val="clear" w:color="auto" w:fill="auto"/>
            <w:noWrap/>
            <w:vAlign w:val="bottom"/>
            <w:hideMark/>
          </w:tcPr>
          <w:p w14:paraId="6DBAD07E"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r>
      <w:tr w:rsidR="00236A5E" w:rsidRPr="007E6AAC" w14:paraId="232A997D" w14:textId="77777777" w:rsidTr="00236A5E">
        <w:trPr>
          <w:gridAfter w:val="1"/>
          <w:wAfter w:w="4" w:type="pct"/>
          <w:trHeight w:val="318"/>
        </w:trPr>
        <w:tc>
          <w:tcPr>
            <w:tcW w:w="655" w:type="pct"/>
            <w:tcBorders>
              <w:top w:val="nil"/>
              <w:left w:val="nil"/>
              <w:bottom w:val="nil"/>
              <w:right w:val="nil"/>
            </w:tcBorders>
            <w:shd w:val="clear" w:color="auto" w:fill="auto"/>
            <w:noWrap/>
            <w:vAlign w:val="bottom"/>
            <w:hideMark/>
          </w:tcPr>
          <w:p w14:paraId="74C371A1" w14:textId="77777777" w:rsidR="00236A5E" w:rsidRPr="007E6AAC" w:rsidRDefault="00236A5E" w:rsidP="00F46353">
            <w:pPr>
              <w:spacing w:line="240" w:lineRule="auto"/>
              <w:rPr>
                <w:rFonts w:eastAsia="Times New Roman"/>
                <w:color w:val="000000"/>
                <w:sz w:val="22"/>
                <w:szCs w:val="22"/>
                <w:lang w:eastAsia="en-NZ"/>
              </w:rPr>
            </w:pPr>
            <w:r>
              <w:rPr>
                <w:rFonts w:eastAsia="Times New Roman"/>
                <w:color w:val="000000"/>
                <w:sz w:val="22"/>
                <w:szCs w:val="22"/>
                <w:lang w:eastAsia="en-NZ"/>
              </w:rPr>
              <w:t xml:space="preserve">  </w:t>
            </w:r>
            <w:r w:rsidRPr="007E6AAC">
              <w:rPr>
                <w:rFonts w:eastAsia="Times New Roman"/>
                <w:color w:val="000000"/>
                <w:sz w:val="22"/>
                <w:szCs w:val="22"/>
                <w:lang w:eastAsia="en-NZ"/>
              </w:rPr>
              <w:t>Female</w:t>
            </w:r>
          </w:p>
        </w:tc>
        <w:tc>
          <w:tcPr>
            <w:tcW w:w="468" w:type="pct"/>
            <w:tcBorders>
              <w:top w:val="nil"/>
              <w:left w:val="nil"/>
              <w:bottom w:val="nil"/>
              <w:right w:val="nil"/>
            </w:tcBorders>
            <w:shd w:val="clear" w:color="auto" w:fill="auto"/>
            <w:noWrap/>
            <w:vAlign w:val="center"/>
            <w:hideMark/>
          </w:tcPr>
          <w:p w14:paraId="08EB2E85"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eastAsia="en-NZ"/>
              </w:rPr>
              <w:t>11170</w:t>
            </w:r>
          </w:p>
        </w:tc>
        <w:tc>
          <w:tcPr>
            <w:tcW w:w="374" w:type="pct"/>
            <w:tcBorders>
              <w:top w:val="nil"/>
              <w:left w:val="nil"/>
              <w:bottom w:val="nil"/>
              <w:right w:val="nil"/>
            </w:tcBorders>
            <w:shd w:val="clear" w:color="auto" w:fill="auto"/>
            <w:noWrap/>
            <w:vAlign w:val="center"/>
            <w:hideMark/>
          </w:tcPr>
          <w:p w14:paraId="41644FB3"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65.1</w:t>
            </w:r>
          </w:p>
        </w:tc>
        <w:tc>
          <w:tcPr>
            <w:tcW w:w="374" w:type="pct"/>
            <w:tcBorders>
              <w:top w:val="nil"/>
              <w:left w:val="nil"/>
              <w:bottom w:val="nil"/>
              <w:right w:val="nil"/>
            </w:tcBorders>
            <w:shd w:val="clear" w:color="auto" w:fill="auto"/>
            <w:noWrap/>
            <w:vAlign w:val="center"/>
            <w:hideMark/>
          </w:tcPr>
          <w:p w14:paraId="40526663"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1646</w:t>
            </w:r>
          </w:p>
        </w:tc>
        <w:tc>
          <w:tcPr>
            <w:tcW w:w="374" w:type="pct"/>
            <w:tcBorders>
              <w:top w:val="nil"/>
              <w:left w:val="nil"/>
              <w:bottom w:val="nil"/>
              <w:right w:val="nil"/>
            </w:tcBorders>
            <w:shd w:val="clear" w:color="auto" w:fill="auto"/>
            <w:noWrap/>
            <w:vAlign w:val="center"/>
            <w:hideMark/>
          </w:tcPr>
          <w:p w14:paraId="342EAE12"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66.2</w:t>
            </w:r>
          </w:p>
        </w:tc>
        <w:tc>
          <w:tcPr>
            <w:tcW w:w="375" w:type="pct"/>
            <w:tcBorders>
              <w:top w:val="nil"/>
              <w:left w:val="nil"/>
              <w:bottom w:val="nil"/>
              <w:right w:val="nil"/>
            </w:tcBorders>
            <w:shd w:val="clear" w:color="auto" w:fill="auto"/>
            <w:noWrap/>
            <w:vAlign w:val="center"/>
            <w:hideMark/>
          </w:tcPr>
          <w:p w14:paraId="7DD8B4AA"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543</w:t>
            </w:r>
          </w:p>
        </w:tc>
        <w:tc>
          <w:tcPr>
            <w:tcW w:w="333" w:type="pct"/>
            <w:tcBorders>
              <w:top w:val="nil"/>
              <w:left w:val="nil"/>
              <w:bottom w:val="nil"/>
              <w:right w:val="nil"/>
            </w:tcBorders>
            <w:shd w:val="clear" w:color="auto" w:fill="auto"/>
            <w:noWrap/>
            <w:vAlign w:val="center"/>
            <w:hideMark/>
          </w:tcPr>
          <w:p w14:paraId="7D97CC93"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53.4</w:t>
            </w:r>
          </w:p>
        </w:tc>
        <w:tc>
          <w:tcPr>
            <w:tcW w:w="372" w:type="pct"/>
            <w:tcBorders>
              <w:top w:val="nil"/>
              <w:left w:val="nil"/>
              <w:bottom w:val="nil"/>
              <w:right w:val="nil"/>
            </w:tcBorders>
            <w:shd w:val="clear" w:color="auto" w:fill="auto"/>
            <w:noWrap/>
            <w:vAlign w:val="center"/>
            <w:hideMark/>
          </w:tcPr>
          <w:p w14:paraId="4390161E"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1270</w:t>
            </w:r>
          </w:p>
        </w:tc>
        <w:tc>
          <w:tcPr>
            <w:tcW w:w="333" w:type="pct"/>
            <w:tcBorders>
              <w:top w:val="nil"/>
              <w:left w:val="nil"/>
              <w:bottom w:val="nil"/>
              <w:right w:val="nil"/>
            </w:tcBorders>
            <w:shd w:val="clear" w:color="auto" w:fill="auto"/>
            <w:noWrap/>
            <w:vAlign w:val="center"/>
            <w:hideMark/>
          </w:tcPr>
          <w:p w14:paraId="09AD5A56"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68.7</w:t>
            </w:r>
          </w:p>
        </w:tc>
        <w:tc>
          <w:tcPr>
            <w:tcW w:w="372" w:type="pct"/>
            <w:tcBorders>
              <w:top w:val="nil"/>
              <w:left w:val="nil"/>
              <w:bottom w:val="nil"/>
              <w:right w:val="nil"/>
            </w:tcBorders>
            <w:shd w:val="clear" w:color="auto" w:fill="auto"/>
            <w:noWrap/>
            <w:vAlign w:val="center"/>
            <w:hideMark/>
          </w:tcPr>
          <w:p w14:paraId="5A6F5C20"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716</w:t>
            </w:r>
          </w:p>
        </w:tc>
        <w:tc>
          <w:tcPr>
            <w:tcW w:w="333" w:type="pct"/>
            <w:tcBorders>
              <w:top w:val="nil"/>
              <w:left w:val="nil"/>
              <w:bottom w:val="nil"/>
              <w:right w:val="nil"/>
            </w:tcBorders>
            <w:shd w:val="clear" w:color="auto" w:fill="auto"/>
            <w:noWrap/>
            <w:vAlign w:val="center"/>
            <w:hideMark/>
          </w:tcPr>
          <w:p w14:paraId="7D2E0B04"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69.9</w:t>
            </w:r>
          </w:p>
        </w:tc>
        <w:tc>
          <w:tcPr>
            <w:tcW w:w="302" w:type="pct"/>
            <w:tcBorders>
              <w:top w:val="nil"/>
              <w:left w:val="nil"/>
              <w:bottom w:val="nil"/>
              <w:right w:val="nil"/>
            </w:tcBorders>
            <w:shd w:val="clear" w:color="auto" w:fill="auto"/>
            <w:noWrap/>
            <w:vAlign w:val="center"/>
            <w:hideMark/>
          </w:tcPr>
          <w:p w14:paraId="6A699F06"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154</w:t>
            </w:r>
          </w:p>
        </w:tc>
        <w:tc>
          <w:tcPr>
            <w:tcW w:w="332" w:type="pct"/>
            <w:tcBorders>
              <w:top w:val="nil"/>
              <w:left w:val="nil"/>
              <w:bottom w:val="nil"/>
              <w:right w:val="nil"/>
            </w:tcBorders>
            <w:shd w:val="clear" w:color="auto" w:fill="auto"/>
            <w:noWrap/>
            <w:vAlign w:val="center"/>
            <w:hideMark/>
          </w:tcPr>
          <w:p w14:paraId="71068BB5"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58.3</w:t>
            </w:r>
          </w:p>
        </w:tc>
      </w:tr>
      <w:tr w:rsidR="00236A5E" w:rsidRPr="007E6AAC" w14:paraId="6C36BE9E" w14:textId="77777777" w:rsidTr="00236A5E">
        <w:trPr>
          <w:gridAfter w:val="1"/>
          <w:wAfter w:w="4" w:type="pct"/>
          <w:trHeight w:val="318"/>
        </w:trPr>
        <w:tc>
          <w:tcPr>
            <w:tcW w:w="655" w:type="pct"/>
            <w:tcBorders>
              <w:top w:val="nil"/>
              <w:left w:val="nil"/>
              <w:bottom w:val="nil"/>
              <w:right w:val="nil"/>
            </w:tcBorders>
            <w:shd w:val="clear" w:color="auto" w:fill="auto"/>
            <w:noWrap/>
            <w:vAlign w:val="bottom"/>
            <w:hideMark/>
          </w:tcPr>
          <w:p w14:paraId="344F1844" w14:textId="77777777" w:rsidR="00236A5E" w:rsidRPr="007E6AAC" w:rsidRDefault="00236A5E" w:rsidP="00F46353">
            <w:pPr>
              <w:spacing w:line="240" w:lineRule="auto"/>
              <w:rPr>
                <w:rFonts w:eastAsia="Times New Roman"/>
                <w:color w:val="000000"/>
                <w:sz w:val="22"/>
                <w:szCs w:val="22"/>
                <w:lang w:eastAsia="en-NZ"/>
              </w:rPr>
            </w:pPr>
            <w:r>
              <w:rPr>
                <w:rFonts w:eastAsia="Times New Roman"/>
                <w:color w:val="000000"/>
                <w:sz w:val="22"/>
                <w:szCs w:val="22"/>
                <w:lang w:eastAsia="en-NZ"/>
              </w:rPr>
              <w:t xml:space="preserve">  </w:t>
            </w:r>
            <w:r w:rsidRPr="007E6AAC">
              <w:rPr>
                <w:rFonts w:eastAsia="Times New Roman"/>
                <w:color w:val="000000"/>
                <w:sz w:val="22"/>
                <w:szCs w:val="22"/>
                <w:lang w:eastAsia="en-NZ"/>
              </w:rPr>
              <w:t>Male</w:t>
            </w:r>
          </w:p>
        </w:tc>
        <w:tc>
          <w:tcPr>
            <w:tcW w:w="468" w:type="pct"/>
            <w:tcBorders>
              <w:top w:val="nil"/>
              <w:left w:val="nil"/>
              <w:bottom w:val="nil"/>
              <w:right w:val="nil"/>
            </w:tcBorders>
            <w:shd w:val="clear" w:color="auto" w:fill="auto"/>
            <w:noWrap/>
            <w:vAlign w:val="center"/>
            <w:hideMark/>
          </w:tcPr>
          <w:p w14:paraId="5962C9F5"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eastAsia="en-NZ"/>
              </w:rPr>
              <w:t>5997</w:t>
            </w:r>
          </w:p>
        </w:tc>
        <w:tc>
          <w:tcPr>
            <w:tcW w:w="374" w:type="pct"/>
            <w:tcBorders>
              <w:top w:val="nil"/>
              <w:left w:val="nil"/>
              <w:bottom w:val="nil"/>
              <w:right w:val="nil"/>
            </w:tcBorders>
            <w:shd w:val="clear" w:color="auto" w:fill="auto"/>
            <w:noWrap/>
            <w:vAlign w:val="center"/>
            <w:hideMark/>
          </w:tcPr>
          <w:p w14:paraId="3DEAB35D"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34.9</w:t>
            </w:r>
          </w:p>
        </w:tc>
        <w:tc>
          <w:tcPr>
            <w:tcW w:w="374" w:type="pct"/>
            <w:tcBorders>
              <w:top w:val="nil"/>
              <w:left w:val="nil"/>
              <w:bottom w:val="nil"/>
              <w:right w:val="nil"/>
            </w:tcBorders>
            <w:shd w:val="clear" w:color="auto" w:fill="auto"/>
            <w:noWrap/>
            <w:vAlign w:val="center"/>
            <w:hideMark/>
          </w:tcPr>
          <w:p w14:paraId="6FEFDE2F"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841</w:t>
            </w:r>
          </w:p>
        </w:tc>
        <w:tc>
          <w:tcPr>
            <w:tcW w:w="374" w:type="pct"/>
            <w:tcBorders>
              <w:top w:val="nil"/>
              <w:left w:val="nil"/>
              <w:bottom w:val="nil"/>
              <w:right w:val="nil"/>
            </w:tcBorders>
            <w:shd w:val="clear" w:color="auto" w:fill="auto"/>
            <w:noWrap/>
            <w:vAlign w:val="center"/>
            <w:hideMark/>
          </w:tcPr>
          <w:p w14:paraId="602BA463"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33.8</w:t>
            </w:r>
          </w:p>
        </w:tc>
        <w:tc>
          <w:tcPr>
            <w:tcW w:w="375" w:type="pct"/>
            <w:tcBorders>
              <w:top w:val="nil"/>
              <w:left w:val="nil"/>
              <w:bottom w:val="nil"/>
              <w:right w:val="nil"/>
            </w:tcBorders>
            <w:shd w:val="clear" w:color="auto" w:fill="auto"/>
            <w:noWrap/>
            <w:vAlign w:val="center"/>
            <w:hideMark/>
          </w:tcPr>
          <w:p w14:paraId="054E58CA"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474</w:t>
            </w:r>
          </w:p>
        </w:tc>
        <w:tc>
          <w:tcPr>
            <w:tcW w:w="333" w:type="pct"/>
            <w:tcBorders>
              <w:top w:val="nil"/>
              <w:left w:val="nil"/>
              <w:bottom w:val="nil"/>
              <w:right w:val="nil"/>
            </w:tcBorders>
            <w:shd w:val="clear" w:color="auto" w:fill="auto"/>
            <w:noWrap/>
            <w:vAlign w:val="center"/>
            <w:hideMark/>
          </w:tcPr>
          <w:p w14:paraId="29B0E34C"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46.6</w:t>
            </w:r>
          </w:p>
        </w:tc>
        <w:tc>
          <w:tcPr>
            <w:tcW w:w="372" w:type="pct"/>
            <w:tcBorders>
              <w:top w:val="nil"/>
              <w:left w:val="nil"/>
              <w:bottom w:val="nil"/>
              <w:right w:val="nil"/>
            </w:tcBorders>
            <w:shd w:val="clear" w:color="auto" w:fill="auto"/>
            <w:noWrap/>
            <w:vAlign w:val="center"/>
            <w:hideMark/>
          </w:tcPr>
          <w:p w14:paraId="020CB101"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580</w:t>
            </w:r>
          </w:p>
        </w:tc>
        <w:tc>
          <w:tcPr>
            <w:tcW w:w="333" w:type="pct"/>
            <w:tcBorders>
              <w:top w:val="nil"/>
              <w:left w:val="nil"/>
              <w:bottom w:val="nil"/>
              <w:right w:val="nil"/>
            </w:tcBorders>
            <w:shd w:val="clear" w:color="auto" w:fill="auto"/>
            <w:noWrap/>
            <w:vAlign w:val="center"/>
            <w:hideMark/>
          </w:tcPr>
          <w:p w14:paraId="3BEF3766"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31.3</w:t>
            </w:r>
          </w:p>
        </w:tc>
        <w:tc>
          <w:tcPr>
            <w:tcW w:w="372" w:type="pct"/>
            <w:tcBorders>
              <w:top w:val="nil"/>
              <w:left w:val="nil"/>
              <w:bottom w:val="nil"/>
              <w:right w:val="nil"/>
            </w:tcBorders>
            <w:shd w:val="clear" w:color="auto" w:fill="auto"/>
            <w:noWrap/>
            <w:vAlign w:val="center"/>
            <w:hideMark/>
          </w:tcPr>
          <w:p w14:paraId="632D1B32"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309</w:t>
            </w:r>
          </w:p>
        </w:tc>
        <w:tc>
          <w:tcPr>
            <w:tcW w:w="333" w:type="pct"/>
            <w:tcBorders>
              <w:top w:val="nil"/>
              <w:left w:val="nil"/>
              <w:bottom w:val="nil"/>
              <w:right w:val="nil"/>
            </w:tcBorders>
            <w:shd w:val="clear" w:color="auto" w:fill="auto"/>
            <w:noWrap/>
            <w:vAlign w:val="center"/>
            <w:hideMark/>
          </w:tcPr>
          <w:p w14:paraId="54794785"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30.1</w:t>
            </w:r>
          </w:p>
        </w:tc>
        <w:tc>
          <w:tcPr>
            <w:tcW w:w="302" w:type="pct"/>
            <w:tcBorders>
              <w:top w:val="nil"/>
              <w:left w:val="nil"/>
              <w:bottom w:val="nil"/>
              <w:right w:val="nil"/>
            </w:tcBorders>
            <w:shd w:val="clear" w:color="auto" w:fill="auto"/>
            <w:noWrap/>
            <w:vAlign w:val="center"/>
            <w:hideMark/>
          </w:tcPr>
          <w:p w14:paraId="4BB9AAE8"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110</w:t>
            </w:r>
          </w:p>
        </w:tc>
        <w:tc>
          <w:tcPr>
            <w:tcW w:w="332" w:type="pct"/>
            <w:tcBorders>
              <w:top w:val="nil"/>
              <w:left w:val="nil"/>
              <w:bottom w:val="nil"/>
              <w:right w:val="nil"/>
            </w:tcBorders>
            <w:shd w:val="clear" w:color="auto" w:fill="auto"/>
            <w:noWrap/>
            <w:vAlign w:val="center"/>
            <w:hideMark/>
          </w:tcPr>
          <w:p w14:paraId="2CDE6E35"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41.7</w:t>
            </w:r>
          </w:p>
        </w:tc>
      </w:tr>
      <w:tr w:rsidR="00236A5E" w:rsidRPr="007E6AAC" w14:paraId="6BB0E1EE" w14:textId="77777777" w:rsidTr="00236A5E">
        <w:trPr>
          <w:gridAfter w:val="1"/>
          <w:wAfter w:w="4" w:type="pct"/>
          <w:trHeight w:val="318"/>
        </w:trPr>
        <w:tc>
          <w:tcPr>
            <w:tcW w:w="1123" w:type="pct"/>
            <w:gridSpan w:val="2"/>
            <w:tcBorders>
              <w:top w:val="single" w:sz="4" w:space="0" w:color="auto"/>
              <w:left w:val="nil"/>
              <w:bottom w:val="nil"/>
              <w:right w:val="nil"/>
            </w:tcBorders>
            <w:shd w:val="clear" w:color="auto" w:fill="auto"/>
            <w:noWrap/>
            <w:vAlign w:val="bottom"/>
            <w:hideMark/>
          </w:tcPr>
          <w:p w14:paraId="0B3BABA9" w14:textId="77777777" w:rsidR="00236A5E" w:rsidRPr="007E6AAC" w:rsidRDefault="00236A5E" w:rsidP="00F46353">
            <w:pPr>
              <w:spacing w:line="240" w:lineRule="auto"/>
              <w:rPr>
                <w:rFonts w:eastAsia="Times New Roman"/>
                <w:b/>
                <w:bCs/>
                <w:color w:val="000000"/>
                <w:sz w:val="22"/>
                <w:szCs w:val="22"/>
                <w:lang w:eastAsia="en-NZ"/>
              </w:rPr>
            </w:pPr>
            <w:r w:rsidRPr="007E6AAC">
              <w:rPr>
                <w:rFonts w:eastAsia="Times New Roman"/>
                <w:b/>
                <w:bCs/>
                <w:color w:val="000000"/>
                <w:sz w:val="22"/>
                <w:szCs w:val="22"/>
                <w:lang w:eastAsia="en-NZ"/>
              </w:rPr>
              <w:t>Age Group</w:t>
            </w:r>
          </w:p>
        </w:tc>
        <w:tc>
          <w:tcPr>
            <w:tcW w:w="374" w:type="pct"/>
            <w:tcBorders>
              <w:top w:val="single" w:sz="4" w:space="0" w:color="auto"/>
              <w:left w:val="nil"/>
              <w:bottom w:val="nil"/>
              <w:right w:val="nil"/>
            </w:tcBorders>
            <w:shd w:val="clear" w:color="auto" w:fill="auto"/>
            <w:noWrap/>
            <w:vAlign w:val="bottom"/>
            <w:hideMark/>
          </w:tcPr>
          <w:p w14:paraId="0B353A67"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74" w:type="pct"/>
            <w:tcBorders>
              <w:top w:val="single" w:sz="4" w:space="0" w:color="auto"/>
              <w:left w:val="nil"/>
              <w:bottom w:val="nil"/>
              <w:right w:val="nil"/>
            </w:tcBorders>
            <w:shd w:val="clear" w:color="auto" w:fill="auto"/>
            <w:noWrap/>
            <w:vAlign w:val="bottom"/>
            <w:hideMark/>
          </w:tcPr>
          <w:p w14:paraId="140E4A40"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74" w:type="pct"/>
            <w:tcBorders>
              <w:top w:val="single" w:sz="4" w:space="0" w:color="auto"/>
              <w:left w:val="nil"/>
              <w:bottom w:val="nil"/>
              <w:right w:val="nil"/>
            </w:tcBorders>
            <w:shd w:val="clear" w:color="auto" w:fill="auto"/>
            <w:noWrap/>
            <w:vAlign w:val="bottom"/>
            <w:hideMark/>
          </w:tcPr>
          <w:p w14:paraId="03434202"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75" w:type="pct"/>
            <w:tcBorders>
              <w:top w:val="single" w:sz="4" w:space="0" w:color="auto"/>
              <w:left w:val="nil"/>
              <w:bottom w:val="nil"/>
              <w:right w:val="nil"/>
            </w:tcBorders>
            <w:shd w:val="clear" w:color="auto" w:fill="auto"/>
            <w:noWrap/>
            <w:vAlign w:val="bottom"/>
            <w:hideMark/>
          </w:tcPr>
          <w:p w14:paraId="46480883"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33" w:type="pct"/>
            <w:tcBorders>
              <w:top w:val="single" w:sz="4" w:space="0" w:color="auto"/>
              <w:left w:val="nil"/>
              <w:bottom w:val="nil"/>
              <w:right w:val="nil"/>
            </w:tcBorders>
            <w:shd w:val="clear" w:color="auto" w:fill="auto"/>
            <w:noWrap/>
            <w:vAlign w:val="bottom"/>
            <w:hideMark/>
          </w:tcPr>
          <w:p w14:paraId="547B75DD"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72" w:type="pct"/>
            <w:tcBorders>
              <w:top w:val="single" w:sz="4" w:space="0" w:color="auto"/>
              <w:left w:val="nil"/>
              <w:bottom w:val="nil"/>
              <w:right w:val="nil"/>
            </w:tcBorders>
            <w:shd w:val="clear" w:color="auto" w:fill="auto"/>
            <w:noWrap/>
            <w:vAlign w:val="bottom"/>
            <w:hideMark/>
          </w:tcPr>
          <w:p w14:paraId="1F657BD3"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33" w:type="pct"/>
            <w:tcBorders>
              <w:top w:val="single" w:sz="4" w:space="0" w:color="auto"/>
              <w:left w:val="nil"/>
              <w:bottom w:val="nil"/>
              <w:right w:val="nil"/>
            </w:tcBorders>
            <w:shd w:val="clear" w:color="auto" w:fill="auto"/>
            <w:noWrap/>
            <w:vAlign w:val="bottom"/>
            <w:hideMark/>
          </w:tcPr>
          <w:p w14:paraId="134C0DA5"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72" w:type="pct"/>
            <w:tcBorders>
              <w:top w:val="single" w:sz="4" w:space="0" w:color="auto"/>
              <w:left w:val="nil"/>
              <w:bottom w:val="nil"/>
              <w:right w:val="nil"/>
            </w:tcBorders>
            <w:shd w:val="clear" w:color="auto" w:fill="auto"/>
            <w:noWrap/>
            <w:vAlign w:val="bottom"/>
            <w:hideMark/>
          </w:tcPr>
          <w:p w14:paraId="67B42B10"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33" w:type="pct"/>
            <w:tcBorders>
              <w:top w:val="single" w:sz="4" w:space="0" w:color="auto"/>
              <w:left w:val="nil"/>
              <w:bottom w:val="nil"/>
              <w:right w:val="nil"/>
            </w:tcBorders>
            <w:shd w:val="clear" w:color="auto" w:fill="auto"/>
            <w:noWrap/>
            <w:vAlign w:val="bottom"/>
            <w:hideMark/>
          </w:tcPr>
          <w:p w14:paraId="05E4E087"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02" w:type="pct"/>
            <w:tcBorders>
              <w:top w:val="single" w:sz="4" w:space="0" w:color="auto"/>
              <w:left w:val="nil"/>
              <w:bottom w:val="nil"/>
              <w:right w:val="nil"/>
            </w:tcBorders>
            <w:shd w:val="clear" w:color="auto" w:fill="auto"/>
            <w:noWrap/>
            <w:vAlign w:val="bottom"/>
            <w:hideMark/>
          </w:tcPr>
          <w:p w14:paraId="38865B1C"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32" w:type="pct"/>
            <w:tcBorders>
              <w:top w:val="single" w:sz="4" w:space="0" w:color="auto"/>
              <w:left w:val="nil"/>
              <w:bottom w:val="nil"/>
              <w:right w:val="nil"/>
            </w:tcBorders>
            <w:shd w:val="clear" w:color="auto" w:fill="auto"/>
            <w:noWrap/>
            <w:vAlign w:val="bottom"/>
            <w:hideMark/>
          </w:tcPr>
          <w:p w14:paraId="15620044"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r>
      <w:tr w:rsidR="00236A5E" w:rsidRPr="007E6AAC" w14:paraId="382569E6" w14:textId="77777777" w:rsidTr="00236A5E">
        <w:trPr>
          <w:gridAfter w:val="1"/>
          <w:wAfter w:w="4" w:type="pct"/>
          <w:trHeight w:val="318"/>
        </w:trPr>
        <w:tc>
          <w:tcPr>
            <w:tcW w:w="655" w:type="pct"/>
            <w:tcBorders>
              <w:top w:val="nil"/>
              <w:left w:val="nil"/>
              <w:bottom w:val="nil"/>
              <w:right w:val="nil"/>
            </w:tcBorders>
            <w:shd w:val="clear" w:color="auto" w:fill="auto"/>
            <w:noWrap/>
            <w:vAlign w:val="center"/>
            <w:hideMark/>
          </w:tcPr>
          <w:p w14:paraId="7BD84E42" w14:textId="77777777" w:rsidR="00236A5E" w:rsidRPr="007E6AAC" w:rsidRDefault="00236A5E" w:rsidP="00F46353">
            <w:pPr>
              <w:spacing w:line="240" w:lineRule="auto"/>
              <w:rPr>
                <w:rFonts w:eastAsia="Times New Roman"/>
                <w:color w:val="000000"/>
                <w:sz w:val="22"/>
                <w:szCs w:val="22"/>
                <w:lang w:eastAsia="en-NZ"/>
              </w:rPr>
            </w:pPr>
            <w:r>
              <w:rPr>
                <w:rFonts w:eastAsia="Times New Roman"/>
                <w:color w:val="000000"/>
                <w:sz w:val="22"/>
                <w:szCs w:val="22"/>
                <w:lang w:eastAsia="en-NZ"/>
              </w:rPr>
              <w:t xml:space="preserve">  </w:t>
            </w:r>
            <w:r w:rsidRPr="007E6AAC">
              <w:rPr>
                <w:rFonts w:eastAsia="Times New Roman"/>
                <w:color w:val="000000"/>
                <w:sz w:val="22"/>
                <w:szCs w:val="22"/>
                <w:lang w:eastAsia="en-NZ"/>
              </w:rPr>
              <w:t>24 or less</w:t>
            </w:r>
          </w:p>
        </w:tc>
        <w:tc>
          <w:tcPr>
            <w:tcW w:w="468" w:type="pct"/>
            <w:tcBorders>
              <w:top w:val="nil"/>
              <w:left w:val="nil"/>
              <w:bottom w:val="nil"/>
              <w:right w:val="nil"/>
            </w:tcBorders>
            <w:shd w:val="clear" w:color="auto" w:fill="auto"/>
            <w:noWrap/>
            <w:vAlign w:val="center"/>
            <w:hideMark/>
          </w:tcPr>
          <w:p w14:paraId="343F4246"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eastAsia="en-NZ"/>
              </w:rPr>
              <w:t>2156</w:t>
            </w:r>
          </w:p>
        </w:tc>
        <w:tc>
          <w:tcPr>
            <w:tcW w:w="374" w:type="pct"/>
            <w:tcBorders>
              <w:top w:val="nil"/>
              <w:left w:val="nil"/>
              <w:bottom w:val="nil"/>
              <w:right w:val="nil"/>
            </w:tcBorders>
            <w:shd w:val="clear" w:color="auto" w:fill="auto"/>
            <w:noWrap/>
            <w:vAlign w:val="center"/>
            <w:hideMark/>
          </w:tcPr>
          <w:p w14:paraId="79DE3A7D"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13.5</w:t>
            </w:r>
          </w:p>
        </w:tc>
        <w:tc>
          <w:tcPr>
            <w:tcW w:w="374" w:type="pct"/>
            <w:tcBorders>
              <w:top w:val="nil"/>
              <w:left w:val="nil"/>
              <w:bottom w:val="nil"/>
              <w:right w:val="nil"/>
            </w:tcBorders>
            <w:shd w:val="clear" w:color="auto" w:fill="auto"/>
            <w:noWrap/>
            <w:vAlign w:val="center"/>
            <w:hideMark/>
          </w:tcPr>
          <w:p w14:paraId="5D76BD0D"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476</w:t>
            </w:r>
          </w:p>
        </w:tc>
        <w:tc>
          <w:tcPr>
            <w:tcW w:w="374" w:type="pct"/>
            <w:tcBorders>
              <w:top w:val="nil"/>
              <w:left w:val="nil"/>
              <w:bottom w:val="nil"/>
              <w:right w:val="nil"/>
            </w:tcBorders>
            <w:shd w:val="clear" w:color="auto" w:fill="auto"/>
            <w:noWrap/>
            <w:vAlign w:val="center"/>
            <w:hideMark/>
          </w:tcPr>
          <w:p w14:paraId="2F3F8E70"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19.2</w:t>
            </w:r>
          </w:p>
        </w:tc>
        <w:tc>
          <w:tcPr>
            <w:tcW w:w="375" w:type="pct"/>
            <w:tcBorders>
              <w:top w:val="nil"/>
              <w:left w:val="nil"/>
              <w:bottom w:val="nil"/>
              <w:right w:val="nil"/>
            </w:tcBorders>
            <w:shd w:val="clear" w:color="auto" w:fill="auto"/>
            <w:noWrap/>
            <w:vAlign w:val="center"/>
            <w:hideMark/>
          </w:tcPr>
          <w:p w14:paraId="34483C0D"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222</w:t>
            </w:r>
          </w:p>
        </w:tc>
        <w:tc>
          <w:tcPr>
            <w:tcW w:w="333" w:type="pct"/>
            <w:tcBorders>
              <w:top w:val="nil"/>
              <w:left w:val="nil"/>
              <w:bottom w:val="nil"/>
              <w:right w:val="nil"/>
            </w:tcBorders>
            <w:shd w:val="clear" w:color="auto" w:fill="auto"/>
            <w:noWrap/>
            <w:vAlign w:val="center"/>
            <w:hideMark/>
          </w:tcPr>
          <w:p w14:paraId="52347EA3"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21.8</w:t>
            </w:r>
          </w:p>
        </w:tc>
        <w:tc>
          <w:tcPr>
            <w:tcW w:w="372" w:type="pct"/>
            <w:tcBorders>
              <w:top w:val="nil"/>
              <w:left w:val="nil"/>
              <w:bottom w:val="nil"/>
              <w:right w:val="nil"/>
            </w:tcBorders>
            <w:shd w:val="clear" w:color="auto" w:fill="auto"/>
            <w:noWrap/>
            <w:vAlign w:val="center"/>
            <w:hideMark/>
          </w:tcPr>
          <w:p w14:paraId="42EB0ABB"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242</w:t>
            </w:r>
          </w:p>
        </w:tc>
        <w:tc>
          <w:tcPr>
            <w:tcW w:w="333" w:type="pct"/>
            <w:tcBorders>
              <w:top w:val="nil"/>
              <w:left w:val="nil"/>
              <w:bottom w:val="nil"/>
              <w:right w:val="nil"/>
            </w:tcBorders>
            <w:shd w:val="clear" w:color="auto" w:fill="auto"/>
            <w:noWrap/>
            <w:vAlign w:val="center"/>
            <w:hideMark/>
          </w:tcPr>
          <w:p w14:paraId="4E0787C4"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13.1</w:t>
            </w:r>
          </w:p>
        </w:tc>
        <w:tc>
          <w:tcPr>
            <w:tcW w:w="372" w:type="pct"/>
            <w:tcBorders>
              <w:top w:val="nil"/>
              <w:left w:val="nil"/>
              <w:bottom w:val="nil"/>
              <w:right w:val="nil"/>
            </w:tcBorders>
            <w:shd w:val="clear" w:color="auto" w:fill="auto"/>
            <w:noWrap/>
            <w:vAlign w:val="center"/>
            <w:hideMark/>
          </w:tcPr>
          <w:p w14:paraId="11F05042"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139</w:t>
            </w:r>
          </w:p>
        </w:tc>
        <w:tc>
          <w:tcPr>
            <w:tcW w:w="333" w:type="pct"/>
            <w:tcBorders>
              <w:top w:val="nil"/>
              <w:left w:val="nil"/>
              <w:bottom w:val="nil"/>
              <w:right w:val="nil"/>
            </w:tcBorders>
            <w:shd w:val="clear" w:color="auto" w:fill="auto"/>
            <w:noWrap/>
            <w:vAlign w:val="center"/>
            <w:hideMark/>
          </w:tcPr>
          <w:p w14:paraId="4B43B696"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13.6</w:t>
            </w:r>
          </w:p>
        </w:tc>
        <w:tc>
          <w:tcPr>
            <w:tcW w:w="302" w:type="pct"/>
            <w:tcBorders>
              <w:top w:val="nil"/>
              <w:left w:val="nil"/>
              <w:bottom w:val="nil"/>
              <w:right w:val="nil"/>
            </w:tcBorders>
            <w:shd w:val="clear" w:color="auto" w:fill="auto"/>
            <w:noWrap/>
            <w:vAlign w:val="center"/>
            <w:hideMark/>
          </w:tcPr>
          <w:p w14:paraId="7FC084AF"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41</w:t>
            </w:r>
          </w:p>
        </w:tc>
        <w:tc>
          <w:tcPr>
            <w:tcW w:w="332" w:type="pct"/>
            <w:tcBorders>
              <w:top w:val="nil"/>
              <w:left w:val="nil"/>
              <w:bottom w:val="nil"/>
              <w:right w:val="nil"/>
            </w:tcBorders>
            <w:shd w:val="clear" w:color="auto" w:fill="auto"/>
            <w:noWrap/>
            <w:vAlign w:val="center"/>
            <w:hideMark/>
          </w:tcPr>
          <w:p w14:paraId="17AF38DE"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15.7</w:t>
            </w:r>
          </w:p>
        </w:tc>
      </w:tr>
      <w:tr w:rsidR="00236A5E" w:rsidRPr="007E6AAC" w14:paraId="1813C83B" w14:textId="77777777" w:rsidTr="00236A5E">
        <w:trPr>
          <w:gridAfter w:val="1"/>
          <w:wAfter w:w="4" w:type="pct"/>
          <w:trHeight w:val="318"/>
        </w:trPr>
        <w:tc>
          <w:tcPr>
            <w:tcW w:w="655" w:type="pct"/>
            <w:tcBorders>
              <w:top w:val="nil"/>
              <w:left w:val="nil"/>
              <w:bottom w:val="nil"/>
              <w:right w:val="nil"/>
            </w:tcBorders>
            <w:shd w:val="clear" w:color="auto" w:fill="auto"/>
            <w:noWrap/>
            <w:vAlign w:val="center"/>
            <w:hideMark/>
          </w:tcPr>
          <w:p w14:paraId="0E5C80D0" w14:textId="77777777" w:rsidR="00236A5E" w:rsidRPr="007E6AAC" w:rsidRDefault="00236A5E" w:rsidP="00F46353">
            <w:pPr>
              <w:spacing w:line="240" w:lineRule="auto"/>
              <w:rPr>
                <w:rFonts w:eastAsia="Times New Roman"/>
                <w:color w:val="000000"/>
                <w:sz w:val="22"/>
                <w:szCs w:val="22"/>
                <w:lang w:eastAsia="en-NZ"/>
              </w:rPr>
            </w:pPr>
            <w:r>
              <w:rPr>
                <w:rFonts w:eastAsia="Times New Roman"/>
                <w:color w:val="000000"/>
                <w:sz w:val="22"/>
                <w:szCs w:val="22"/>
                <w:lang w:eastAsia="en-NZ"/>
              </w:rPr>
              <w:t xml:space="preserve">  </w:t>
            </w:r>
            <w:r w:rsidRPr="007E6AAC">
              <w:rPr>
                <w:rFonts w:eastAsia="Times New Roman"/>
                <w:color w:val="000000"/>
                <w:sz w:val="22"/>
                <w:szCs w:val="22"/>
                <w:lang w:eastAsia="en-NZ"/>
              </w:rPr>
              <w:t>25 - 34</w:t>
            </w:r>
          </w:p>
        </w:tc>
        <w:tc>
          <w:tcPr>
            <w:tcW w:w="468" w:type="pct"/>
            <w:tcBorders>
              <w:top w:val="nil"/>
              <w:left w:val="nil"/>
              <w:bottom w:val="nil"/>
              <w:right w:val="nil"/>
            </w:tcBorders>
            <w:shd w:val="clear" w:color="auto" w:fill="auto"/>
            <w:noWrap/>
            <w:vAlign w:val="center"/>
            <w:hideMark/>
          </w:tcPr>
          <w:p w14:paraId="0DC66064"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eastAsia="en-NZ"/>
              </w:rPr>
              <w:t>4048</w:t>
            </w:r>
          </w:p>
        </w:tc>
        <w:tc>
          <w:tcPr>
            <w:tcW w:w="374" w:type="pct"/>
            <w:tcBorders>
              <w:top w:val="nil"/>
              <w:left w:val="nil"/>
              <w:bottom w:val="nil"/>
              <w:right w:val="nil"/>
            </w:tcBorders>
            <w:shd w:val="clear" w:color="auto" w:fill="auto"/>
            <w:noWrap/>
            <w:vAlign w:val="center"/>
            <w:hideMark/>
          </w:tcPr>
          <w:p w14:paraId="0E6C91FB"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25.4</w:t>
            </w:r>
          </w:p>
        </w:tc>
        <w:tc>
          <w:tcPr>
            <w:tcW w:w="374" w:type="pct"/>
            <w:tcBorders>
              <w:top w:val="nil"/>
              <w:left w:val="nil"/>
              <w:bottom w:val="nil"/>
              <w:right w:val="nil"/>
            </w:tcBorders>
            <w:shd w:val="clear" w:color="auto" w:fill="auto"/>
            <w:noWrap/>
            <w:vAlign w:val="center"/>
            <w:hideMark/>
          </w:tcPr>
          <w:p w14:paraId="7628FFC1"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644</w:t>
            </w:r>
          </w:p>
        </w:tc>
        <w:tc>
          <w:tcPr>
            <w:tcW w:w="374" w:type="pct"/>
            <w:tcBorders>
              <w:top w:val="nil"/>
              <w:left w:val="nil"/>
              <w:bottom w:val="nil"/>
              <w:right w:val="nil"/>
            </w:tcBorders>
            <w:shd w:val="clear" w:color="auto" w:fill="auto"/>
            <w:noWrap/>
            <w:vAlign w:val="center"/>
            <w:hideMark/>
          </w:tcPr>
          <w:p w14:paraId="1DE88A73"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25.9</w:t>
            </w:r>
          </w:p>
        </w:tc>
        <w:tc>
          <w:tcPr>
            <w:tcW w:w="375" w:type="pct"/>
            <w:tcBorders>
              <w:top w:val="nil"/>
              <w:left w:val="nil"/>
              <w:bottom w:val="nil"/>
              <w:right w:val="nil"/>
            </w:tcBorders>
            <w:shd w:val="clear" w:color="auto" w:fill="auto"/>
            <w:noWrap/>
            <w:vAlign w:val="center"/>
            <w:hideMark/>
          </w:tcPr>
          <w:p w14:paraId="7D1410A6"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240</w:t>
            </w:r>
          </w:p>
        </w:tc>
        <w:tc>
          <w:tcPr>
            <w:tcW w:w="333" w:type="pct"/>
            <w:tcBorders>
              <w:top w:val="nil"/>
              <w:left w:val="nil"/>
              <w:bottom w:val="nil"/>
              <w:right w:val="nil"/>
            </w:tcBorders>
            <w:shd w:val="clear" w:color="auto" w:fill="auto"/>
            <w:noWrap/>
            <w:vAlign w:val="center"/>
            <w:hideMark/>
          </w:tcPr>
          <w:p w14:paraId="05CFBD53"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23.6</w:t>
            </w:r>
          </w:p>
        </w:tc>
        <w:tc>
          <w:tcPr>
            <w:tcW w:w="372" w:type="pct"/>
            <w:tcBorders>
              <w:top w:val="nil"/>
              <w:left w:val="nil"/>
              <w:bottom w:val="nil"/>
              <w:right w:val="nil"/>
            </w:tcBorders>
            <w:shd w:val="clear" w:color="auto" w:fill="auto"/>
            <w:noWrap/>
            <w:vAlign w:val="center"/>
            <w:hideMark/>
          </w:tcPr>
          <w:p w14:paraId="0D9EC6F0"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372</w:t>
            </w:r>
          </w:p>
        </w:tc>
        <w:tc>
          <w:tcPr>
            <w:tcW w:w="333" w:type="pct"/>
            <w:tcBorders>
              <w:top w:val="nil"/>
              <w:left w:val="nil"/>
              <w:bottom w:val="nil"/>
              <w:right w:val="nil"/>
            </w:tcBorders>
            <w:shd w:val="clear" w:color="auto" w:fill="auto"/>
            <w:noWrap/>
            <w:vAlign w:val="center"/>
            <w:hideMark/>
          </w:tcPr>
          <w:p w14:paraId="1F4297FE"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20.1</w:t>
            </w:r>
          </w:p>
        </w:tc>
        <w:tc>
          <w:tcPr>
            <w:tcW w:w="372" w:type="pct"/>
            <w:tcBorders>
              <w:top w:val="nil"/>
              <w:left w:val="nil"/>
              <w:bottom w:val="nil"/>
              <w:right w:val="nil"/>
            </w:tcBorders>
            <w:shd w:val="clear" w:color="auto" w:fill="auto"/>
            <w:noWrap/>
            <w:vAlign w:val="center"/>
            <w:hideMark/>
          </w:tcPr>
          <w:p w14:paraId="58CDA498"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169</w:t>
            </w:r>
          </w:p>
        </w:tc>
        <w:tc>
          <w:tcPr>
            <w:tcW w:w="333" w:type="pct"/>
            <w:tcBorders>
              <w:top w:val="nil"/>
              <w:left w:val="nil"/>
              <w:bottom w:val="nil"/>
              <w:right w:val="nil"/>
            </w:tcBorders>
            <w:shd w:val="clear" w:color="auto" w:fill="auto"/>
            <w:noWrap/>
            <w:vAlign w:val="center"/>
            <w:hideMark/>
          </w:tcPr>
          <w:p w14:paraId="64303355"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16.5</w:t>
            </w:r>
          </w:p>
        </w:tc>
        <w:tc>
          <w:tcPr>
            <w:tcW w:w="302" w:type="pct"/>
            <w:tcBorders>
              <w:top w:val="nil"/>
              <w:left w:val="nil"/>
              <w:bottom w:val="nil"/>
              <w:right w:val="nil"/>
            </w:tcBorders>
            <w:shd w:val="clear" w:color="auto" w:fill="auto"/>
            <w:noWrap/>
            <w:vAlign w:val="center"/>
            <w:hideMark/>
          </w:tcPr>
          <w:p w14:paraId="282E3519"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63</w:t>
            </w:r>
          </w:p>
        </w:tc>
        <w:tc>
          <w:tcPr>
            <w:tcW w:w="332" w:type="pct"/>
            <w:tcBorders>
              <w:top w:val="nil"/>
              <w:left w:val="nil"/>
              <w:bottom w:val="nil"/>
              <w:right w:val="nil"/>
            </w:tcBorders>
            <w:shd w:val="clear" w:color="auto" w:fill="auto"/>
            <w:noWrap/>
            <w:vAlign w:val="center"/>
            <w:hideMark/>
          </w:tcPr>
          <w:p w14:paraId="0FB7C52B"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24.1</w:t>
            </w:r>
          </w:p>
        </w:tc>
      </w:tr>
      <w:tr w:rsidR="00236A5E" w:rsidRPr="007E6AAC" w14:paraId="38A51893" w14:textId="77777777" w:rsidTr="00236A5E">
        <w:trPr>
          <w:gridAfter w:val="1"/>
          <w:wAfter w:w="4" w:type="pct"/>
          <w:trHeight w:val="318"/>
        </w:trPr>
        <w:tc>
          <w:tcPr>
            <w:tcW w:w="655" w:type="pct"/>
            <w:tcBorders>
              <w:top w:val="nil"/>
              <w:left w:val="nil"/>
              <w:bottom w:val="nil"/>
              <w:right w:val="nil"/>
            </w:tcBorders>
            <w:shd w:val="clear" w:color="auto" w:fill="auto"/>
            <w:noWrap/>
            <w:vAlign w:val="center"/>
            <w:hideMark/>
          </w:tcPr>
          <w:p w14:paraId="49F54F75" w14:textId="77777777" w:rsidR="00236A5E" w:rsidRPr="007E6AAC" w:rsidRDefault="00236A5E" w:rsidP="00F46353">
            <w:pPr>
              <w:spacing w:line="240" w:lineRule="auto"/>
              <w:rPr>
                <w:rFonts w:eastAsia="Times New Roman"/>
                <w:color w:val="000000"/>
                <w:sz w:val="22"/>
                <w:szCs w:val="22"/>
                <w:lang w:eastAsia="en-NZ"/>
              </w:rPr>
            </w:pPr>
            <w:r>
              <w:rPr>
                <w:rFonts w:eastAsia="Times New Roman"/>
                <w:color w:val="000000"/>
                <w:sz w:val="22"/>
                <w:szCs w:val="22"/>
                <w:lang w:eastAsia="en-NZ"/>
              </w:rPr>
              <w:t xml:space="preserve">  </w:t>
            </w:r>
            <w:r w:rsidRPr="007E6AAC">
              <w:rPr>
                <w:rFonts w:eastAsia="Times New Roman"/>
                <w:color w:val="000000"/>
                <w:sz w:val="22"/>
                <w:szCs w:val="22"/>
                <w:lang w:eastAsia="en-NZ"/>
              </w:rPr>
              <w:t>35 - 44</w:t>
            </w:r>
          </w:p>
        </w:tc>
        <w:tc>
          <w:tcPr>
            <w:tcW w:w="468" w:type="pct"/>
            <w:tcBorders>
              <w:top w:val="nil"/>
              <w:left w:val="nil"/>
              <w:bottom w:val="nil"/>
              <w:right w:val="nil"/>
            </w:tcBorders>
            <w:shd w:val="clear" w:color="auto" w:fill="auto"/>
            <w:noWrap/>
            <w:vAlign w:val="center"/>
            <w:hideMark/>
          </w:tcPr>
          <w:p w14:paraId="62F6150B"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eastAsia="en-NZ"/>
              </w:rPr>
              <w:t>3785</w:t>
            </w:r>
          </w:p>
        </w:tc>
        <w:tc>
          <w:tcPr>
            <w:tcW w:w="374" w:type="pct"/>
            <w:tcBorders>
              <w:top w:val="nil"/>
              <w:left w:val="nil"/>
              <w:bottom w:val="nil"/>
              <w:right w:val="nil"/>
            </w:tcBorders>
            <w:shd w:val="clear" w:color="auto" w:fill="auto"/>
            <w:noWrap/>
            <w:vAlign w:val="center"/>
            <w:hideMark/>
          </w:tcPr>
          <w:p w14:paraId="15922329"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23.8</w:t>
            </w:r>
          </w:p>
        </w:tc>
        <w:tc>
          <w:tcPr>
            <w:tcW w:w="374" w:type="pct"/>
            <w:tcBorders>
              <w:top w:val="nil"/>
              <w:left w:val="nil"/>
              <w:bottom w:val="nil"/>
              <w:right w:val="nil"/>
            </w:tcBorders>
            <w:shd w:val="clear" w:color="auto" w:fill="auto"/>
            <w:noWrap/>
            <w:vAlign w:val="center"/>
            <w:hideMark/>
          </w:tcPr>
          <w:p w14:paraId="225B9F68"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505</w:t>
            </w:r>
          </w:p>
        </w:tc>
        <w:tc>
          <w:tcPr>
            <w:tcW w:w="374" w:type="pct"/>
            <w:tcBorders>
              <w:top w:val="nil"/>
              <w:left w:val="nil"/>
              <w:bottom w:val="nil"/>
              <w:right w:val="nil"/>
            </w:tcBorders>
            <w:shd w:val="clear" w:color="auto" w:fill="auto"/>
            <w:noWrap/>
            <w:vAlign w:val="center"/>
            <w:hideMark/>
          </w:tcPr>
          <w:p w14:paraId="2FFF2582"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20.3</w:t>
            </w:r>
          </w:p>
        </w:tc>
        <w:tc>
          <w:tcPr>
            <w:tcW w:w="375" w:type="pct"/>
            <w:tcBorders>
              <w:top w:val="nil"/>
              <w:left w:val="nil"/>
              <w:bottom w:val="nil"/>
              <w:right w:val="nil"/>
            </w:tcBorders>
            <w:shd w:val="clear" w:color="auto" w:fill="auto"/>
            <w:noWrap/>
            <w:vAlign w:val="center"/>
            <w:hideMark/>
          </w:tcPr>
          <w:p w14:paraId="6A4EC610"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194</w:t>
            </w:r>
          </w:p>
        </w:tc>
        <w:tc>
          <w:tcPr>
            <w:tcW w:w="333" w:type="pct"/>
            <w:tcBorders>
              <w:top w:val="nil"/>
              <w:left w:val="nil"/>
              <w:bottom w:val="nil"/>
              <w:right w:val="nil"/>
            </w:tcBorders>
            <w:shd w:val="clear" w:color="auto" w:fill="auto"/>
            <w:noWrap/>
            <w:vAlign w:val="center"/>
            <w:hideMark/>
          </w:tcPr>
          <w:p w14:paraId="6B114BD8"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19.1</w:t>
            </w:r>
          </w:p>
        </w:tc>
        <w:tc>
          <w:tcPr>
            <w:tcW w:w="372" w:type="pct"/>
            <w:tcBorders>
              <w:top w:val="nil"/>
              <w:left w:val="nil"/>
              <w:bottom w:val="nil"/>
              <w:right w:val="nil"/>
            </w:tcBorders>
            <w:shd w:val="clear" w:color="auto" w:fill="auto"/>
            <w:noWrap/>
            <w:vAlign w:val="center"/>
            <w:hideMark/>
          </w:tcPr>
          <w:p w14:paraId="11979D3A"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338</w:t>
            </w:r>
          </w:p>
        </w:tc>
        <w:tc>
          <w:tcPr>
            <w:tcW w:w="333" w:type="pct"/>
            <w:tcBorders>
              <w:top w:val="nil"/>
              <w:left w:val="nil"/>
              <w:bottom w:val="nil"/>
              <w:right w:val="nil"/>
            </w:tcBorders>
            <w:shd w:val="clear" w:color="auto" w:fill="auto"/>
            <w:noWrap/>
            <w:vAlign w:val="center"/>
            <w:hideMark/>
          </w:tcPr>
          <w:p w14:paraId="00776203"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18.3</w:t>
            </w:r>
          </w:p>
        </w:tc>
        <w:tc>
          <w:tcPr>
            <w:tcW w:w="372" w:type="pct"/>
            <w:tcBorders>
              <w:top w:val="nil"/>
              <w:left w:val="nil"/>
              <w:bottom w:val="nil"/>
              <w:right w:val="nil"/>
            </w:tcBorders>
            <w:shd w:val="clear" w:color="auto" w:fill="auto"/>
            <w:noWrap/>
            <w:vAlign w:val="center"/>
            <w:hideMark/>
          </w:tcPr>
          <w:p w14:paraId="7EF7B972"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192</w:t>
            </w:r>
          </w:p>
        </w:tc>
        <w:tc>
          <w:tcPr>
            <w:tcW w:w="333" w:type="pct"/>
            <w:tcBorders>
              <w:top w:val="nil"/>
              <w:left w:val="nil"/>
              <w:bottom w:val="nil"/>
              <w:right w:val="nil"/>
            </w:tcBorders>
            <w:shd w:val="clear" w:color="auto" w:fill="auto"/>
            <w:noWrap/>
            <w:vAlign w:val="center"/>
            <w:hideMark/>
          </w:tcPr>
          <w:p w14:paraId="009238A4"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18.7</w:t>
            </w:r>
          </w:p>
        </w:tc>
        <w:tc>
          <w:tcPr>
            <w:tcW w:w="302" w:type="pct"/>
            <w:tcBorders>
              <w:top w:val="nil"/>
              <w:left w:val="nil"/>
              <w:bottom w:val="nil"/>
              <w:right w:val="nil"/>
            </w:tcBorders>
            <w:shd w:val="clear" w:color="auto" w:fill="auto"/>
            <w:noWrap/>
            <w:vAlign w:val="center"/>
            <w:hideMark/>
          </w:tcPr>
          <w:p w14:paraId="04938BBA"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38</w:t>
            </w:r>
          </w:p>
        </w:tc>
        <w:tc>
          <w:tcPr>
            <w:tcW w:w="332" w:type="pct"/>
            <w:tcBorders>
              <w:top w:val="nil"/>
              <w:left w:val="nil"/>
              <w:bottom w:val="nil"/>
              <w:right w:val="nil"/>
            </w:tcBorders>
            <w:shd w:val="clear" w:color="auto" w:fill="auto"/>
            <w:noWrap/>
            <w:vAlign w:val="center"/>
            <w:hideMark/>
          </w:tcPr>
          <w:p w14:paraId="2B640F20"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14.6</w:t>
            </w:r>
          </w:p>
        </w:tc>
      </w:tr>
      <w:tr w:rsidR="00236A5E" w:rsidRPr="007E6AAC" w14:paraId="0B355FF5" w14:textId="77777777" w:rsidTr="00236A5E">
        <w:trPr>
          <w:gridAfter w:val="1"/>
          <w:wAfter w:w="4" w:type="pct"/>
          <w:trHeight w:val="318"/>
        </w:trPr>
        <w:tc>
          <w:tcPr>
            <w:tcW w:w="655" w:type="pct"/>
            <w:tcBorders>
              <w:top w:val="nil"/>
              <w:left w:val="nil"/>
              <w:bottom w:val="nil"/>
              <w:right w:val="nil"/>
            </w:tcBorders>
            <w:shd w:val="clear" w:color="auto" w:fill="auto"/>
            <w:noWrap/>
            <w:vAlign w:val="center"/>
            <w:hideMark/>
          </w:tcPr>
          <w:p w14:paraId="30AC80B4" w14:textId="77777777" w:rsidR="00236A5E" w:rsidRPr="007E6AAC" w:rsidRDefault="00236A5E" w:rsidP="00F46353">
            <w:pPr>
              <w:spacing w:line="240" w:lineRule="auto"/>
              <w:rPr>
                <w:rFonts w:eastAsia="Times New Roman"/>
                <w:color w:val="000000"/>
                <w:sz w:val="22"/>
                <w:szCs w:val="22"/>
                <w:lang w:eastAsia="en-NZ"/>
              </w:rPr>
            </w:pPr>
            <w:r>
              <w:rPr>
                <w:rFonts w:eastAsia="Times New Roman"/>
                <w:color w:val="000000"/>
                <w:sz w:val="22"/>
                <w:szCs w:val="22"/>
                <w:lang w:eastAsia="en-NZ"/>
              </w:rPr>
              <w:t xml:space="preserve">  </w:t>
            </w:r>
            <w:r w:rsidRPr="007E6AAC">
              <w:rPr>
                <w:rFonts w:eastAsia="Times New Roman"/>
                <w:color w:val="000000"/>
                <w:sz w:val="22"/>
                <w:szCs w:val="22"/>
                <w:lang w:eastAsia="en-NZ"/>
              </w:rPr>
              <w:t>45 - 54</w:t>
            </w:r>
          </w:p>
        </w:tc>
        <w:tc>
          <w:tcPr>
            <w:tcW w:w="468" w:type="pct"/>
            <w:tcBorders>
              <w:top w:val="nil"/>
              <w:left w:val="nil"/>
              <w:bottom w:val="nil"/>
              <w:right w:val="nil"/>
            </w:tcBorders>
            <w:shd w:val="clear" w:color="auto" w:fill="auto"/>
            <w:noWrap/>
            <w:vAlign w:val="center"/>
            <w:hideMark/>
          </w:tcPr>
          <w:p w14:paraId="64D24B83"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eastAsia="en-NZ"/>
              </w:rPr>
              <w:t>3049</w:t>
            </w:r>
          </w:p>
        </w:tc>
        <w:tc>
          <w:tcPr>
            <w:tcW w:w="374" w:type="pct"/>
            <w:tcBorders>
              <w:top w:val="nil"/>
              <w:left w:val="nil"/>
              <w:bottom w:val="nil"/>
              <w:right w:val="nil"/>
            </w:tcBorders>
            <w:shd w:val="clear" w:color="auto" w:fill="auto"/>
            <w:noWrap/>
            <w:vAlign w:val="center"/>
            <w:hideMark/>
          </w:tcPr>
          <w:p w14:paraId="72A7BD6C"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19.2</w:t>
            </w:r>
          </w:p>
        </w:tc>
        <w:tc>
          <w:tcPr>
            <w:tcW w:w="374" w:type="pct"/>
            <w:tcBorders>
              <w:top w:val="nil"/>
              <w:left w:val="nil"/>
              <w:bottom w:val="nil"/>
              <w:right w:val="nil"/>
            </w:tcBorders>
            <w:shd w:val="clear" w:color="auto" w:fill="auto"/>
            <w:noWrap/>
            <w:vAlign w:val="center"/>
            <w:hideMark/>
          </w:tcPr>
          <w:p w14:paraId="281ADA76"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415</w:t>
            </w:r>
          </w:p>
        </w:tc>
        <w:tc>
          <w:tcPr>
            <w:tcW w:w="374" w:type="pct"/>
            <w:tcBorders>
              <w:top w:val="nil"/>
              <w:left w:val="nil"/>
              <w:bottom w:val="nil"/>
              <w:right w:val="nil"/>
            </w:tcBorders>
            <w:shd w:val="clear" w:color="auto" w:fill="auto"/>
            <w:noWrap/>
            <w:vAlign w:val="center"/>
            <w:hideMark/>
          </w:tcPr>
          <w:p w14:paraId="293BAF05"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16.7</w:t>
            </w:r>
          </w:p>
        </w:tc>
        <w:tc>
          <w:tcPr>
            <w:tcW w:w="375" w:type="pct"/>
            <w:tcBorders>
              <w:top w:val="nil"/>
              <w:left w:val="nil"/>
              <w:bottom w:val="nil"/>
              <w:right w:val="nil"/>
            </w:tcBorders>
            <w:shd w:val="clear" w:color="auto" w:fill="auto"/>
            <w:noWrap/>
            <w:vAlign w:val="center"/>
            <w:hideMark/>
          </w:tcPr>
          <w:p w14:paraId="71B61799"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185</w:t>
            </w:r>
          </w:p>
        </w:tc>
        <w:tc>
          <w:tcPr>
            <w:tcW w:w="333" w:type="pct"/>
            <w:tcBorders>
              <w:top w:val="nil"/>
              <w:left w:val="nil"/>
              <w:bottom w:val="nil"/>
              <w:right w:val="nil"/>
            </w:tcBorders>
            <w:shd w:val="clear" w:color="auto" w:fill="auto"/>
            <w:noWrap/>
            <w:vAlign w:val="center"/>
            <w:hideMark/>
          </w:tcPr>
          <w:p w14:paraId="71B43F0A"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18.2</w:t>
            </w:r>
          </w:p>
        </w:tc>
        <w:tc>
          <w:tcPr>
            <w:tcW w:w="372" w:type="pct"/>
            <w:tcBorders>
              <w:top w:val="nil"/>
              <w:left w:val="nil"/>
              <w:bottom w:val="nil"/>
              <w:right w:val="nil"/>
            </w:tcBorders>
            <w:shd w:val="clear" w:color="auto" w:fill="auto"/>
            <w:noWrap/>
            <w:vAlign w:val="center"/>
            <w:hideMark/>
          </w:tcPr>
          <w:p w14:paraId="2AE36995"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328</w:t>
            </w:r>
          </w:p>
        </w:tc>
        <w:tc>
          <w:tcPr>
            <w:tcW w:w="333" w:type="pct"/>
            <w:tcBorders>
              <w:top w:val="nil"/>
              <w:left w:val="nil"/>
              <w:bottom w:val="nil"/>
              <w:right w:val="nil"/>
            </w:tcBorders>
            <w:shd w:val="clear" w:color="auto" w:fill="auto"/>
            <w:noWrap/>
            <w:vAlign w:val="center"/>
            <w:hideMark/>
          </w:tcPr>
          <w:p w14:paraId="715631D9"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17.8</w:t>
            </w:r>
          </w:p>
        </w:tc>
        <w:tc>
          <w:tcPr>
            <w:tcW w:w="372" w:type="pct"/>
            <w:tcBorders>
              <w:top w:val="nil"/>
              <w:left w:val="nil"/>
              <w:bottom w:val="nil"/>
              <w:right w:val="nil"/>
            </w:tcBorders>
            <w:shd w:val="clear" w:color="auto" w:fill="auto"/>
            <w:noWrap/>
            <w:vAlign w:val="center"/>
            <w:hideMark/>
          </w:tcPr>
          <w:p w14:paraId="12C33EEE"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199</w:t>
            </w:r>
          </w:p>
        </w:tc>
        <w:tc>
          <w:tcPr>
            <w:tcW w:w="333" w:type="pct"/>
            <w:tcBorders>
              <w:top w:val="nil"/>
              <w:left w:val="nil"/>
              <w:bottom w:val="nil"/>
              <w:right w:val="nil"/>
            </w:tcBorders>
            <w:shd w:val="clear" w:color="auto" w:fill="auto"/>
            <w:noWrap/>
            <w:vAlign w:val="center"/>
            <w:hideMark/>
          </w:tcPr>
          <w:p w14:paraId="6751F5EB"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19.4</w:t>
            </w:r>
          </w:p>
        </w:tc>
        <w:tc>
          <w:tcPr>
            <w:tcW w:w="302" w:type="pct"/>
            <w:tcBorders>
              <w:top w:val="nil"/>
              <w:left w:val="nil"/>
              <w:bottom w:val="nil"/>
              <w:right w:val="nil"/>
            </w:tcBorders>
            <w:shd w:val="clear" w:color="auto" w:fill="auto"/>
            <w:noWrap/>
            <w:vAlign w:val="center"/>
            <w:hideMark/>
          </w:tcPr>
          <w:p w14:paraId="4E5420D2"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54</w:t>
            </w:r>
          </w:p>
        </w:tc>
        <w:tc>
          <w:tcPr>
            <w:tcW w:w="332" w:type="pct"/>
            <w:tcBorders>
              <w:top w:val="nil"/>
              <w:left w:val="nil"/>
              <w:bottom w:val="nil"/>
              <w:right w:val="nil"/>
            </w:tcBorders>
            <w:shd w:val="clear" w:color="auto" w:fill="auto"/>
            <w:noWrap/>
            <w:vAlign w:val="center"/>
            <w:hideMark/>
          </w:tcPr>
          <w:p w14:paraId="0C7BFA13"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20.7</w:t>
            </w:r>
          </w:p>
        </w:tc>
      </w:tr>
      <w:tr w:rsidR="00236A5E" w:rsidRPr="007E6AAC" w14:paraId="548CA2FD" w14:textId="77777777" w:rsidTr="00236A5E">
        <w:trPr>
          <w:gridAfter w:val="1"/>
          <w:wAfter w:w="4" w:type="pct"/>
          <w:trHeight w:val="318"/>
        </w:trPr>
        <w:tc>
          <w:tcPr>
            <w:tcW w:w="655" w:type="pct"/>
            <w:tcBorders>
              <w:top w:val="nil"/>
              <w:left w:val="nil"/>
              <w:bottom w:val="nil"/>
              <w:right w:val="nil"/>
            </w:tcBorders>
            <w:shd w:val="clear" w:color="auto" w:fill="auto"/>
            <w:noWrap/>
            <w:vAlign w:val="center"/>
            <w:hideMark/>
          </w:tcPr>
          <w:p w14:paraId="19AEDE32" w14:textId="77777777" w:rsidR="00236A5E" w:rsidRPr="007E6AAC" w:rsidRDefault="00236A5E" w:rsidP="00F46353">
            <w:pPr>
              <w:spacing w:line="240" w:lineRule="auto"/>
              <w:rPr>
                <w:rFonts w:eastAsia="Times New Roman"/>
                <w:color w:val="000000"/>
                <w:sz w:val="22"/>
                <w:szCs w:val="22"/>
                <w:lang w:eastAsia="en-NZ"/>
              </w:rPr>
            </w:pPr>
            <w:r>
              <w:rPr>
                <w:rFonts w:eastAsia="Times New Roman"/>
                <w:color w:val="000000"/>
                <w:sz w:val="22"/>
                <w:szCs w:val="22"/>
                <w:lang w:eastAsia="en-NZ"/>
              </w:rPr>
              <w:t xml:space="preserve">  </w:t>
            </w:r>
            <w:r w:rsidRPr="007E6AAC">
              <w:rPr>
                <w:rFonts w:eastAsia="Times New Roman"/>
                <w:color w:val="000000"/>
                <w:sz w:val="22"/>
                <w:szCs w:val="22"/>
                <w:lang w:eastAsia="en-NZ"/>
              </w:rPr>
              <w:t>55 or more</w:t>
            </w:r>
          </w:p>
        </w:tc>
        <w:tc>
          <w:tcPr>
            <w:tcW w:w="468" w:type="pct"/>
            <w:tcBorders>
              <w:top w:val="nil"/>
              <w:left w:val="nil"/>
              <w:bottom w:val="nil"/>
              <w:right w:val="nil"/>
            </w:tcBorders>
            <w:shd w:val="clear" w:color="auto" w:fill="auto"/>
            <w:noWrap/>
            <w:vAlign w:val="center"/>
            <w:hideMark/>
          </w:tcPr>
          <w:p w14:paraId="648EF3BC"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eastAsia="en-NZ"/>
              </w:rPr>
              <w:t>2884</w:t>
            </w:r>
          </w:p>
        </w:tc>
        <w:tc>
          <w:tcPr>
            <w:tcW w:w="374" w:type="pct"/>
            <w:tcBorders>
              <w:top w:val="nil"/>
              <w:left w:val="nil"/>
              <w:bottom w:val="nil"/>
              <w:right w:val="nil"/>
            </w:tcBorders>
            <w:shd w:val="clear" w:color="auto" w:fill="auto"/>
            <w:noWrap/>
            <w:vAlign w:val="center"/>
            <w:hideMark/>
          </w:tcPr>
          <w:p w14:paraId="5B296FC0"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18.1</w:t>
            </w:r>
          </w:p>
        </w:tc>
        <w:tc>
          <w:tcPr>
            <w:tcW w:w="374" w:type="pct"/>
            <w:tcBorders>
              <w:top w:val="nil"/>
              <w:left w:val="nil"/>
              <w:bottom w:val="nil"/>
              <w:right w:val="nil"/>
            </w:tcBorders>
            <w:shd w:val="clear" w:color="auto" w:fill="auto"/>
            <w:noWrap/>
            <w:vAlign w:val="center"/>
            <w:hideMark/>
          </w:tcPr>
          <w:p w14:paraId="5FB10DA3"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445</w:t>
            </w:r>
          </w:p>
        </w:tc>
        <w:tc>
          <w:tcPr>
            <w:tcW w:w="374" w:type="pct"/>
            <w:tcBorders>
              <w:top w:val="nil"/>
              <w:left w:val="nil"/>
              <w:bottom w:val="nil"/>
              <w:right w:val="nil"/>
            </w:tcBorders>
            <w:shd w:val="clear" w:color="auto" w:fill="auto"/>
            <w:noWrap/>
            <w:vAlign w:val="center"/>
            <w:hideMark/>
          </w:tcPr>
          <w:p w14:paraId="26650DD8"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17.9</w:t>
            </w:r>
          </w:p>
        </w:tc>
        <w:tc>
          <w:tcPr>
            <w:tcW w:w="375" w:type="pct"/>
            <w:tcBorders>
              <w:top w:val="nil"/>
              <w:left w:val="nil"/>
              <w:bottom w:val="nil"/>
              <w:right w:val="nil"/>
            </w:tcBorders>
            <w:shd w:val="clear" w:color="auto" w:fill="auto"/>
            <w:noWrap/>
            <w:vAlign w:val="center"/>
            <w:hideMark/>
          </w:tcPr>
          <w:p w14:paraId="0DD0D2F7"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176</w:t>
            </w:r>
          </w:p>
        </w:tc>
        <w:tc>
          <w:tcPr>
            <w:tcW w:w="333" w:type="pct"/>
            <w:tcBorders>
              <w:top w:val="nil"/>
              <w:left w:val="nil"/>
              <w:bottom w:val="nil"/>
              <w:right w:val="nil"/>
            </w:tcBorders>
            <w:shd w:val="clear" w:color="auto" w:fill="auto"/>
            <w:noWrap/>
            <w:vAlign w:val="center"/>
            <w:hideMark/>
          </w:tcPr>
          <w:p w14:paraId="1F3A09C0"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17.3</w:t>
            </w:r>
          </w:p>
        </w:tc>
        <w:tc>
          <w:tcPr>
            <w:tcW w:w="372" w:type="pct"/>
            <w:tcBorders>
              <w:top w:val="nil"/>
              <w:left w:val="nil"/>
              <w:bottom w:val="nil"/>
              <w:right w:val="nil"/>
            </w:tcBorders>
            <w:shd w:val="clear" w:color="auto" w:fill="auto"/>
            <w:noWrap/>
            <w:vAlign w:val="center"/>
            <w:hideMark/>
          </w:tcPr>
          <w:p w14:paraId="1094D130"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567</w:t>
            </w:r>
          </w:p>
        </w:tc>
        <w:tc>
          <w:tcPr>
            <w:tcW w:w="333" w:type="pct"/>
            <w:tcBorders>
              <w:top w:val="nil"/>
              <w:left w:val="nil"/>
              <w:bottom w:val="nil"/>
              <w:right w:val="nil"/>
            </w:tcBorders>
            <w:shd w:val="clear" w:color="auto" w:fill="auto"/>
            <w:noWrap/>
            <w:vAlign w:val="center"/>
            <w:hideMark/>
          </w:tcPr>
          <w:p w14:paraId="3829C806"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30.7</w:t>
            </w:r>
          </w:p>
        </w:tc>
        <w:tc>
          <w:tcPr>
            <w:tcW w:w="372" w:type="pct"/>
            <w:tcBorders>
              <w:top w:val="nil"/>
              <w:left w:val="nil"/>
              <w:bottom w:val="nil"/>
              <w:right w:val="nil"/>
            </w:tcBorders>
            <w:shd w:val="clear" w:color="auto" w:fill="auto"/>
            <w:noWrap/>
            <w:vAlign w:val="center"/>
            <w:hideMark/>
          </w:tcPr>
          <w:p w14:paraId="35EB60C0"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326</w:t>
            </w:r>
          </w:p>
        </w:tc>
        <w:tc>
          <w:tcPr>
            <w:tcW w:w="333" w:type="pct"/>
            <w:tcBorders>
              <w:top w:val="nil"/>
              <w:left w:val="nil"/>
              <w:bottom w:val="nil"/>
              <w:right w:val="nil"/>
            </w:tcBorders>
            <w:shd w:val="clear" w:color="auto" w:fill="auto"/>
            <w:noWrap/>
            <w:vAlign w:val="center"/>
            <w:hideMark/>
          </w:tcPr>
          <w:p w14:paraId="21EB8609"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31.8</w:t>
            </w:r>
          </w:p>
        </w:tc>
        <w:tc>
          <w:tcPr>
            <w:tcW w:w="302" w:type="pct"/>
            <w:tcBorders>
              <w:top w:val="nil"/>
              <w:left w:val="nil"/>
              <w:bottom w:val="nil"/>
              <w:right w:val="nil"/>
            </w:tcBorders>
            <w:shd w:val="clear" w:color="auto" w:fill="auto"/>
            <w:noWrap/>
            <w:vAlign w:val="center"/>
            <w:hideMark/>
          </w:tcPr>
          <w:p w14:paraId="6381CA67"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65</w:t>
            </w:r>
          </w:p>
        </w:tc>
        <w:tc>
          <w:tcPr>
            <w:tcW w:w="332" w:type="pct"/>
            <w:tcBorders>
              <w:top w:val="nil"/>
              <w:left w:val="nil"/>
              <w:bottom w:val="nil"/>
              <w:right w:val="nil"/>
            </w:tcBorders>
            <w:shd w:val="clear" w:color="auto" w:fill="auto"/>
            <w:noWrap/>
            <w:vAlign w:val="center"/>
            <w:hideMark/>
          </w:tcPr>
          <w:p w14:paraId="053EC809"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24.9</w:t>
            </w:r>
          </w:p>
        </w:tc>
      </w:tr>
      <w:tr w:rsidR="00236A5E" w:rsidRPr="007E6AAC" w14:paraId="466DACA1" w14:textId="77777777" w:rsidTr="00236A5E">
        <w:trPr>
          <w:gridAfter w:val="1"/>
          <w:wAfter w:w="4" w:type="pct"/>
          <w:trHeight w:val="318"/>
        </w:trPr>
        <w:tc>
          <w:tcPr>
            <w:tcW w:w="1123" w:type="pct"/>
            <w:gridSpan w:val="2"/>
            <w:tcBorders>
              <w:top w:val="single" w:sz="4" w:space="0" w:color="auto"/>
              <w:left w:val="nil"/>
              <w:bottom w:val="nil"/>
              <w:right w:val="nil"/>
            </w:tcBorders>
            <w:shd w:val="clear" w:color="auto" w:fill="auto"/>
            <w:noWrap/>
            <w:vAlign w:val="center"/>
            <w:hideMark/>
          </w:tcPr>
          <w:p w14:paraId="325593B6" w14:textId="77777777" w:rsidR="00236A5E" w:rsidRPr="007E6AAC" w:rsidRDefault="00236A5E" w:rsidP="00F46353">
            <w:pPr>
              <w:spacing w:line="240" w:lineRule="auto"/>
              <w:rPr>
                <w:rFonts w:eastAsia="Times New Roman"/>
                <w:b/>
                <w:bCs/>
                <w:color w:val="000000"/>
                <w:sz w:val="22"/>
                <w:szCs w:val="22"/>
                <w:lang w:eastAsia="en-NZ"/>
              </w:rPr>
            </w:pPr>
            <w:r w:rsidRPr="007E6AAC">
              <w:rPr>
                <w:rFonts w:eastAsia="Times New Roman"/>
                <w:b/>
                <w:bCs/>
                <w:color w:val="000000"/>
                <w:sz w:val="22"/>
                <w:szCs w:val="22"/>
                <w:lang w:eastAsia="en-NZ"/>
              </w:rPr>
              <w:t>Ethnic Group</w:t>
            </w:r>
          </w:p>
        </w:tc>
        <w:tc>
          <w:tcPr>
            <w:tcW w:w="374" w:type="pct"/>
            <w:tcBorders>
              <w:top w:val="single" w:sz="4" w:space="0" w:color="auto"/>
              <w:left w:val="nil"/>
              <w:bottom w:val="nil"/>
              <w:right w:val="nil"/>
            </w:tcBorders>
            <w:shd w:val="clear" w:color="auto" w:fill="auto"/>
            <w:noWrap/>
            <w:vAlign w:val="bottom"/>
            <w:hideMark/>
          </w:tcPr>
          <w:p w14:paraId="181071C1"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74" w:type="pct"/>
            <w:tcBorders>
              <w:top w:val="single" w:sz="4" w:space="0" w:color="auto"/>
              <w:left w:val="nil"/>
              <w:bottom w:val="nil"/>
              <w:right w:val="nil"/>
            </w:tcBorders>
            <w:shd w:val="clear" w:color="auto" w:fill="auto"/>
            <w:noWrap/>
            <w:vAlign w:val="bottom"/>
            <w:hideMark/>
          </w:tcPr>
          <w:p w14:paraId="49E8BB46"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74" w:type="pct"/>
            <w:tcBorders>
              <w:top w:val="single" w:sz="4" w:space="0" w:color="auto"/>
              <w:left w:val="nil"/>
              <w:bottom w:val="nil"/>
              <w:right w:val="nil"/>
            </w:tcBorders>
            <w:shd w:val="clear" w:color="auto" w:fill="auto"/>
            <w:noWrap/>
            <w:vAlign w:val="bottom"/>
            <w:hideMark/>
          </w:tcPr>
          <w:p w14:paraId="0065552F"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75" w:type="pct"/>
            <w:tcBorders>
              <w:top w:val="single" w:sz="4" w:space="0" w:color="auto"/>
              <w:left w:val="nil"/>
              <w:bottom w:val="nil"/>
              <w:right w:val="nil"/>
            </w:tcBorders>
            <w:shd w:val="clear" w:color="auto" w:fill="auto"/>
            <w:noWrap/>
            <w:vAlign w:val="bottom"/>
            <w:hideMark/>
          </w:tcPr>
          <w:p w14:paraId="4A819D01"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33" w:type="pct"/>
            <w:tcBorders>
              <w:top w:val="single" w:sz="4" w:space="0" w:color="auto"/>
              <w:left w:val="nil"/>
              <w:bottom w:val="nil"/>
              <w:right w:val="nil"/>
            </w:tcBorders>
            <w:shd w:val="clear" w:color="auto" w:fill="auto"/>
            <w:noWrap/>
            <w:vAlign w:val="bottom"/>
            <w:hideMark/>
          </w:tcPr>
          <w:p w14:paraId="6970FA4A"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72" w:type="pct"/>
            <w:tcBorders>
              <w:top w:val="single" w:sz="4" w:space="0" w:color="auto"/>
              <w:left w:val="nil"/>
              <w:bottom w:val="nil"/>
              <w:right w:val="nil"/>
            </w:tcBorders>
            <w:shd w:val="clear" w:color="auto" w:fill="auto"/>
            <w:noWrap/>
            <w:vAlign w:val="bottom"/>
            <w:hideMark/>
          </w:tcPr>
          <w:p w14:paraId="2E3EE9B0"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33" w:type="pct"/>
            <w:tcBorders>
              <w:top w:val="single" w:sz="4" w:space="0" w:color="auto"/>
              <w:left w:val="nil"/>
              <w:bottom w:val="nil"/>
              <w:right w:val="nil"/>
            </w:tcBorders>
            <w:shd w:val="clear" w:color="auto" w:fill="auto"/>
            <w:noWrap/>
            <w:vAlign w:val="bottom"/>
            <w:hideMark/>
          </w:tcPr>
          <w:p w14:paraId="3E97C1A1"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72" w:type="pct"/>
            <w:tcBorders>
              <w:top w:val="single" w:sz="4" w:space="0" w:color="auto"/>
              <w:left w:val="nil"/>
              <w:bottom w:val="nil"/>
              <w:right w:val="nil"/>
            </w:tcBorders>
            <w:shd w:val="clear" w:color="auto" w:fill="auto"/>
            <w:noWrap/>
            <w:vAlign w:val="bottom"/>
            <w:hideMark/>
          </w:tcPr>
          <w:p w14:paraId="5EEC1C45"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33" w:type="pct"/>
            <w:tcBorders>
              <w:top w:val="single" w:sz="4" w:space="0" w:color="auto"/>
              <w:left w:val="nil"/>
              <w:bottom w:val="nil"/>
              <w:right w:val="nil"/>
            </w:tcBorders>
            <w:shd w:val="clear" w:color="auto" w:fill="auto"/>
            <w:noWrap/>
            <w:vAlign w:val="bottom"/>
            <w:hideMark/>
          </w:tcPr>
          <w:p w14:paraId="23057AA7"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02" w:type="pct"/>
            <w:tcBorders>
              <w:top w:val="single" w:sz="4" w:space="0" w:color="auto"/>
              <w:left w:val="nil"/>
              <w:bottom w:val="nil"/>
              <w:right w:val="nil"/>
            </w:tcBorders>
            <w:shd w:val="clear" w:color="auto" w:fill="auto"/>
            <w:noWrap/>
            <w:vAlign w:val="bottom"/>
            <w:hideMark/>
          </w:tcPr>
          <w:p w14:paraId="243F2E9D"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c>
          <w:tcPr>
            <w:tcW w:w="332" w:type="pct"/>
            <w:tcBorders>
              <w:top w:val="single" w:sz="4" w:space="0" w:color="auto"/>
              <w:left w:val="nil"/>
              <w:bottom w:val="nil"/>
              <w:right w:val="nil"/>
            </w:tcBorders>
            <w:shd w:val="clear" w:color="auto" w:fill="auto"/>
            <w:noWrap/>
            <w:vAlign w:val="bottom"/>
            <w:hideMark/>
          </w:tcPr>
          <w:p w14:paraId="26EBFDA0" w14:textId="77777777" w:rsidR="00236A5E" w:rsidRPr="007E6AAC" w:rsidRDefault="00236A5E" w:rsidP="00F46353">
            <w:pPr>
              <w:spacing w:line="240" w:lineRule="auto"/>
              <w:rPr>
                <w:rFonts w:eastAsia="Times New Roman"/>
                <w:color w:val="000000"/>
                <w:sz w:val="22"/>
                <w:szCs w:val="22"/>
                <w:lang w:eastAsia="en-NZ"/>
              </w:rPr>
            </w:pPr>
            <w:r w:rsidRPr="007E6AAC">
              <w:rPr>
                <w:rFonts w:eastAsia="Times New Roman"/>
                <w:color w:val="000000"/>
                <w:sz w:val="22"/>
                <w:szCs w:val="22"/>
                <w:lang w:eastAsia="en-NZ"/>
              </w:rPr>
              <w:t> </w:t>
            </w:r>
          </w:p>
        </w:tc>
      </w:tr>
      <w:tr w:rsidR="00236A5E" w:rsidRPr="007E6AAC" w14:paraId="4C65AD9A" w14:textId="77777777" w:rsidTr="00236A5E">
        <w:trPr>
          <w:gridAfter w:val="1"/>
          <w:wAfter w:w="4" w:type="pct"/>
          <w:trHeight w:val="318"/>
        </w:trPr>
        <w:tc>
          <w:tcPr>
            <w:tcW w:w="655" w:type="pct"/>
            <w:tcBorders>
              <w:top w:val="nil"/>
              <w:left w:val="nil"/>
              <w:bottom w:val="nil"/>
              <w:right w:val="nil"/>
            </w:tcBorders>
            <w:shd w:val="clear" w:color="auto" w:fill="auto"/>
            <w:noWrap/>
            <w:vAlign w:val="center"/>
            <w:hideMark/>
          </w:tcPr>
          <w:p w14:paraId="78847D98" w14:textId="77777777" w:rsidR="00236A5E" w:rsidRPr="007E6AAC" w:rsidRDefault="00236A5E" w:rsidP="00F46353">
            <w:pPr>
              <w:spacing w:line="240" w:lineRule="auto"/>
              <w:rPr>
                <w:rFonts w:eastAsia="Times New Roman"/>
                <w:color w:val="000000"/>
                <w:sz w:val="22"/>
                <w:szCs w:val="22"/>
                <w:lang w:eastAsia="en-NZ"/>
              </w:rPr>
            </w:pPr>
            <w:r>
              <w:rPr>
                <w:rFonts w:eastAsia="Times New Roman"/>
                <w:color w:val="000000"/>
                <w:sz w:val="22"/>
                <w:szCs w:val="22"/>
                <w:lang w:eastAsia="en-NZ"/>
              </w:rPr>
              <w:t xml:space="preserve">  </w:t>
            </w:r>
            <w:r w:rsidRPr="007E6AAC">
              <w:rPr>
                <w:rFonts w:eastAsia="Times New Roman"/>
                <w:color w:val="000000"/>
                <w:sz w:val="22"/>
                <w:szCs w:val="22"/>
                <w:lang w:eastAsia="en-NZ"/>
              </w:rPr>
              <w:t>Māori</w:t>
            </w:r>
          </w:p>
        </w:tc>
        <w:tc>
          <w:tcPr>
            <w:tcW w:w="468" w:type="pct"/>
            <w:tcBorders>
              <w:top w:val="nil"/>
              <w:left w:val="nil"/>
              <w:bottom w:val="nil"/>
              <w:right w:val="nil"/>
            </w:tcBorders>
            <w:shd w:val="clear" w:color="auto" w:fill="auto"/>
            <w:noWrap/>
            <w:vAlign w:val="center"/>
            <w:hideMark/>
          </w:tcPr>
          <w:p w14:paraId="0DD319A5"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eastAsia="en-NZ"/>
              </w:rPr>
              <w:t>7206</w:t>
            </w:r>
          </w:p>
        </w:tc>
        <w:tc>
          <w:tcPr>
            <w:tcW w:w="374" w:type="pct"/>
            <w:tcBorders>
              <w:top w:val="nil"/>
              <w:left w:val="nil"/>
              <w:bottom w:val="nil"/>
              <w:right w:val="nil"/>
            </w:tcBorders>
            <w:shd w:val="clear" w:color="auto" w:fill="auto"/>
            <w:noWrap/>
            <w:vAlign w:val="center"/>
            <w:hideMark/>
          </w:tcPr>
          <w:p w14:paraId="768B984B" w14:textId="46A9256F"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42</w:t>
            </w:r>
            <w:r w:rsidR="00CB2654">
              <w:rPr>
                <w:rFonts w:eastAsia="Times New Roman"/>
                <w:i/>
                <w:iCs/>
                <w:color w:val="000000"/>
                <w:sz w:val="22"/>
                <w:szCs w:val="22"/>
                <w:lang w:eastAsia="en-NZ"/>
              </w:rPr>
              <w:t>.0</w:t>
            </w:r>
          </w:p>
        </w:tc>
        <w:tc>
          <w:tcPr>
            <w:tcW w:w="374" w:type="pct"/>
            <w:tcBorders>
              <w:top w:val="nil"/>
              <w:left w:val="nil"/>
              <w:bottom w:val="nil"/>
              <w:right w:val="nil"/>
            </w:tcBorders>
            <w:shd w:val="clear" w:color="auto" w:fill="auto"/>
            <w:noWrap/>
            <w:vAlign w:val="center"/>
            <w:hideMark/>
          </w:tcPr>
          <w:p w14:paraId="645E6EC7"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eastAsia="en-NZ"/>
              </w:rPr>
              <w:t>1067</w:t>
            </w:r>
          </w:p>
        </w:tc>
        <w:tc>
          <w:tcPr>
            <w:tcW w:w="374" w:type="pct"/>
            <w:tcBorders>
              <w:top w:val="nil"/>
              <w:left w:val="nil"/>
              <w:bottom w:val="nil"/>
              <w:right w:val="nil"/>
            </w:tcBorders>
            <w:shd w:val="clear" w:color="auto" w:fill="auto"/>
            <w:noWrap/>
            <w:vAlign w:val="center"/>
            <w:hideMark/>
          </w:tcPr>
          <w:p w14:paraId="15CCBA1D" w14:textId="77777777" w:rsidR="00236A5E" w:rsidRPr="007E6AAC" w:rsidRDefault="00236A5E" w:rsidP="00236A5E">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42.9</w:t>
            </w:r>
          </w:p>
        </w:tc>
        <w:tc>
          <w:tcPr>
            <w:tcW w:w="375" w:type="pct"/>
            <w:tcBorders>
              <w:top w:val="nil"/>
              <w:left w:val="nil"/>
              <w:bottom w:val="nil"/>
              <w:right w:val="nil"/>
            </w:tcBorders>
            <w:shd w:val="clear" w:color="auto" w:fill="auto"/>
            <w:noWrap/>
            <w:vAlign w:val="center"/>
            <w:hideMark/>
          </w:tcPr>
          <w:p w14:paraId="6A0C9AA3" w14:textId="77777777" w:rsidR="00236A5E" w:rsidRPr="007E6AAC" w:rsidRDefault="00236A5E" w:rsidP="00236A5E">
            <w:pPr>
              <w:spacing w:line="240" w:lineRule="auto"/>
              <w:jc w:val="right"/>
              <w:rPr>
                <w:rFonts w:eastAsia="Times New Roman"/>
                <w:color w:val="000000"/>
                <w:sz w:val="22"/>
                <w:szCs w:val="22"/>
                <w:lang w:eastAsia="en-NZ"/>
              </w:rPr>
            </w:pPr>
            <w:r w:rsidRPr="007E6AAC">
              <w:rPr>
                <w:rFonts w:eastAsia="Times New Roman"/>
                <w:color w:val="000000"/>
                <w:sz w:val="22"/>
                <w:szCs w:val="22"/>
                <w:lang w:eastAsia="en-NZ"/>
              </w:rPr>
              <w:t>297</w:t>
            </w:r>
          </w:p>
        </w:tc>
        <w:tc>
          <w:tcPr>
            <w:tcW w:w="333" w:type="pct"/>
            <w:tcBorders>
              <w:top w:val="nil"/>
              <w:left w:val="nil"/>
              <w:bottom w:val="nil"/>
              <w:right w:val="nil"/>
            </w:tcBorders>
            <w:shd w:val="clear" w:color="auto" w:fill="auto"/>
            <w:noWrap/>
            <w:vAlign w:val="center"/>
            <w:hideMark/>
          </w:tcPr>
          <w:p w14:paraId="00955096"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29.2</w:t>
            </w:r>
          </w:p>
        </w:tc>
        <w:tc>
          <w:tcPr>
            <w:tcW w:w="372" w:type="pct"/>
            <w:tcBorders>
              <w:top w:val="nil"/>
              <w:left w:val="nil"/>
              <w:bottom w:val="nil"/>
              <w:right w:val="nil"/>
            </w:tcBorders>
            <w:shd w:val="clear" w:color="auto" w:fill="auto"/>
            <w:noWrap/>
            <w:vAlign w:val="center"/>
            <w:hideMark/>
          </w:tcPr>
          <w:p w14:paraId="7B413725"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eastAsia="en-NZ"/>
              </w:rPr>
              <w:t>462</w:t>
            </w:r>
          </w:p>
        </w:tc>
        <w:tc>
          <w:tcPr>
            <w:tcW w:w="333" w:type="pct"/>
            <w:tcBorders>
              <w:top w:val="nil"/>
              <w:left w:val="nil"/>
              <w:bottom w:val="nil"/>
              <w:right w:val="nil"/>
            </w:tcBorders>
            <w:shd w:val="clear" w:color="auto" w:fill="auto"/>
            <w:noWrap/>
            <w:vAlign w:val="center"/>
            <w:hideMark/>
          </w:tcPr>
          <w:p w14:paraId="0FED908A"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25</w:t>
            </w:r>
          </w:p>
        </w:tc>
        <w:tc>
          <w:tcPr>
            <w:tcW w:w="372" w:type="pct"/>
            <w:tcBorders>
              <w:top w:val="nil"/>
              <w:left w:val="nil"/>
              <w:bottom w:val="nil"/>
              <w:right w:val="nil"/>
            </w:tcBorders>
            <w:shd w:val="clear" w:color="auto" w:fill="auto"/>
            <w:noWrap/>
            <w:vAlign w:val="center"/>
            <w:hideMark/>
          </w:tcPr>
          <w:p w14:paraId="27CEB428"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326</w:t>
            </w:r>
          </w:p>
        </w:tc>
        <w:tc>
          <w:tcPr>
            <w:tcW w:w="333" w:type="pct"/>
            <w:tcBorders>
              <w:top w:val="nil"/>
              <w:left w:val="nil"/>
              <w:bottom w:val="nil"/>
              <w:right w:val="nil"/>
            </w:tcBorders>
            <w:shd w:val="clear" w:color="auto" w:fill="auto"/>
            <w:noWrap/>
            <w:vAlign w:val="center"/>
            <w:hideMark/>
          </w:tcPr>
          <w:p w14:paraId="3FE23AF2"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31.8</w:t>
            </w:r>
          </w:p>
        </w:tc>
        <w:tc>
          <w:tcPr>
            <w:tcW w:w="302" w:type="pct"/>
            <w:tcBorders>
              <w:top w:val="nil"/>
              <w:left w:val="nil"/>
              <w:bottom w:val="nil"/>
              <w:right w:val="nil"/>
            </w:tcBorders>
            <w:shd w:val="clear" w:color="auto" w:fill="auto"/>
            <w:noWrap/>
            <w:vAlign w:val="center"/>
            <w:hideMark/>
          </w:tcPr>
          <w:p w14:paraId="64FC3CA4"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76</w:t>
            </w:r>
          </w:p>
        </w:tc>
        <w:tc>
          <w:tcPr>
            <w:tcW w:w="332" w:type="pct"/>
            <w:tcBorders>
              <w:top w:val="nil"/>
              <w:left w:val="nil"/>
              <w:bottom w:val="nil"/>
              <w:right w:val="nil"/>
            </w:tcBorders>
            <w:shd w:val="clear" w:color="auto" w:fill="auto"/>
            <w:noWrap/>
            <w:vAlign w:val="center"/>
            <w:hideMark/>
          </w:tcPr>
          <w:p w14:paraId="3BAF3A8B"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28.8</w:t>
            </w:r>
          </w:p>
        </w:tc>
      </w:tr>
      <w:tr w:rsidR="00236A5E" w:rsidRPr="007E6AAC" w14:paraId="16FA3F07" w14:textId="77777777" w:rsidTr="00236A5E">
        <w:trPr>
          <w:gridAfter w:val="1"/>
          <w:wAfter w:w="4" w:type="pct"/>
          <w:trHeight w:val="318"/>
        </w:trPr>
        <w:tc>
          <w:tcPr>
            <w:tcW w:w="655" w:type="pct"/>
            <w:tcBorders>
              <w:top w:val="nil"/>
              <w:left w:val="nil"/>
              <w:bottom w:val="nil"/>
              <w:right w:val="nil"/>
            </w:tcBorders>
            <w:shd w:val="clear" w:color="auto" w:fill="auto"/>
            <w:noWrap/>
            <w:vAlign w:val="center"/>
            <w:hideMark/>
          </w:tcPr>
          <w:p w14:paraId="73C1D53E" w14:textId="77777777" w:rsidR="00236A5E" w:rsidRPr="007E6AAC" w:rsidRDefault="00236A5E" w:rsidP="00F46353">
            <w:pPr>
              <w:spacing w:line="240" w:lineRule="auto"/>
              <w:rPr>
                <w:rFonts w:eastAsia="Times New Roman"/>
                <w:color w:val="000000"/>
                <w:sz w:val="22"/>
                <w:szCs w:val="22"/>
                <w:lang w:eastAsia="en-NZ"/>
              </w:rPr>
            </w:pPr>
            <w:r>
              <w:rPr>
                <w:rFonts w:eastAsia="Times New Roman"/>
                <w:color w:val="000000"/>
                <w:sz w:val="22"/>
                <w:szCs w:val="22"/>
                <w:lang w:eastAsia="en-NZ"/>
              </w:rPr>
              <w:t xml:space="preserve">  </w:t>
            </w:r>
            <w:r w:rsidRPr="007E6AAC">
              <w:rPr>
                <w:rFonts w:eastAsia="Times New Roman"/>
                <w:color w:val="000000"/>
                <w:sz w:val="22"/>
                <w:szCs w:val="22"/>
                <w:lang w:eastAsia="en-NZ"/>
              </w:rPr>
              <w:t>Pacific</w:t>
            </w:r>
          </w:p>
        </w:tc>
        <w:tc>
          <w:tcPr>
            <w:tcW w:w="468" w:type="pct"/>
            <w:tcBorders>
              <w:top w:val="nil"/>
              <w:left w:val="nil"/>
              <w:bottom w:val="nil"/>
              <w:right w:val="nil"/>
            </w:tcBorders>
            <w:shd w:val="clear" w:color="auto" w:fill="auto"/>
            <w:noWrap/>
            <w:vAlign w:val="center"/>
            <w:hideMark/>
          </w:tcPr>
          <w:p w14:paraId="6E1EA5BB"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eastAsia="en-NZ"/>
              </w:rPr>
              <w:t>3383</w:t>
            </w:r>
          </w:p>
        </w:tc>
        <w:tc>
          <w:tcPr>
            <w:tcW w:w="374" w:type="pct"/>
            <w:tcBorders>
              <w:top w:val="nil"/>
              <w:left w:val="nil"/>
              <w:bottom w:val="nil"/>
              <w:right w:val="nil"/>
            </w:tcBorders>
            <w:shd w:val="clear" w:color="auto" w:fill="auto"/>
            <w:noWrap/>
            <w:vAlign w:val="center"/>
            <w:hideMark/>
          </w:tcPr>
          <w:p w14:paraId="28C8DAAA"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19.7</w:t>
            </w:r>
          </w:p>
        </w:tc>
        <w:tc>
          <w:tcPr>
            <w:tcW w:w="374" w:type="pct"/>
            <w:tcBorders>
              <w:top w:val="nil"/>
              <w:left w:val="nil"/>
              <w:bottom w:val="nil"/>
              <w:right w:val="nil"/>
            </w:tcBorders>
            <w:shd w:val="clear" w:color="auto" w:fill="auto"/>
            <w:noWrap/>
            <w:vAlign w:val="center"/>
            <w:hideMark/>
          </w:tcPr>
          <w:p w14:paraId="3C797C9B"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eastAsia="en-NZ"/>
              </w:rPr>
              <w:t>839</w:t>
            </w:r>
          </w:p>
        </w:tc>
        <w:tc>
          <w:tcPr>
            <w:tcW w:w="374" w:type="pct"/>
            <w:tcBorders>
              <w:top w:val="nil"/>
              <w:left w:val="nil"/>
              <w:bottom w:val="nil"/>
              <w:right w:val="nil"/>
            </w:tcBorders>
            <w:shd w:val="clear" w:color="auto" w:fill="auto"/>
            <w:noWrap/>
            <w:vAlign w:val="center"/>
            <w:hideMark/>
          </w:tcPr>
          <w:p w14:paraId="1BAE1FC7"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33.8</w:t>
            </w:r>
          </w:p>
        </w:tc>
        <w:tc>
          <w:tcPr>
            <w:tcW w:w="375" w:type="pct"/>
            <w:tcBorders>
              <w:top w:val="nil"/>
              <w:left w:val="nil"/>
              <w:bottom w:val="nil"/>
              <w:right w:val="nil"/>
            </w:tcBorders>
            <w:shd w:val="clear" w:color="auto" w:fill="auto"/>
            <w:noWrap/>
            <w:vAlign w:val="center"/>
            <w:hideMark/>
          </w:tcPr>
          <w:p w14:paraId="0205C421"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eastAsia="en-NZ"/>
              </w:rPr>
              <w:t>411</w:t>
            </w:r>
          </w:p>
        </w:tc>
        <w:tc>
          <w:tcPr>
            <w:tcW w:w="333" w:type="pct"/>
            <w:tcBorders>
              <w:top w:val="nil"/>
              <w:left w:val="nil"/>
              <w:bottom w:val="nil"/>
              <w:right w:val="nil"/>
            </w:tcBorders>
            <w:shd w:val="clear" w:color="auto" w:fill="auto"/>
            <w:noWrap/>
            <w:vAlign w:val="center"/>
            <w:hideMark/>
          </w:tcPr>
          <w:p w14:paraId="3241C742"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40.4</w:t>
            </w:r>
          </w:p>
        </w:tc>
        <w:tc>
          <w:tcPr>
            <w:tcW w:w="372" w:type="pct"/>
            <w:tcBorders>
              <w:top w:val="nil"/>
              <w:left w:val="nil"/>
              <w:bottom w:val="nil"/>
              <w:right w:val="nil"/>
            </w:tcBorders>
            <w:shd w:val="clear" w:color="auto" w:fill="auto"/>
            <w:noWrap/>
            <w:vAlign w:val="center"/>
            <w:hideMark/>
          </w:tcPr>
          <w:p w14:paraId="2085FB55"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eastAsia="en-NZ"/>
              </w:rPr>
              <w:t>386</w:t>
            </w:r>
          </w:p>
        </w:tc>
        <w:tc>
          <w:tcPr>
            <w:tcW w:w="333" w:type="pct"/>
            <w:tcBorders>
              <w:top w:val="nil"/>
              <w:left w:val="nil"/>
              <w:bottom w:val="nil"/>
              <w:right w:val="nil"/>
            </w:tcBorders>
            <w:shd w:val="clear" w:color="auto" w:fill="auto"/>
            <w:noWrap/>
            <w:vAlign w:val="center"/>
            <w:hideMark/>
          </w:tcPr>
          <w:p w14:paraId="4F07B9E1"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20.9</w:t>
            </w:r>
          </w:p>
        </w:tc>
        <w:tc>
          <w:tcPr>
            <w:tcW w:w="372" w:type="pct"/>
            <w:tcBorders>
              <w:top w:val="nil"/>
              <w:left w:val="nil"/>
              <w:bottom w:val="nil"/>
              <w:right w:val="nil"/>
            </w:tcBorders>
            <w:shd w:val="clear" w:color="auto" w:fill="auto"/>
            <w:noWrap/>
            <w:vAlign w:val="center"/>
            <w:hideMark/>
          </w:tcPr>
          <w:p w14:paraId="7672C9F2"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212</w:t>
            </w:r>
          </w:p>
        </w:tc>
        <w:tc>
          <w:tcPr>
            <w:tcW w:w="333" w:type="pct"/>
            <w:tcBorders>
              <w:top w:val="nil"/>
              <w:left w:val="nil"/>
              <w:bottom w:val="nil"/>
              <w:right w:val="nil"/>
            </w:tcBorders>
            <w:shd w:val="clear" w:color="auto" w:fill="auto"/>
            <w:noWrap/>
            <w:vAlign w:val="center"/>
            <w:hideMark/>
          </w:tcPr>
          <w:p w14:paraId="2CBA479F"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20.7</w:t>
            </w:r>
          </w:p>
        </w:tc>
        <w:tc>
          <w:tcPr>
            <w:tcW w:w="302" w:type="pct"/>
            <w:tcBorders>
              <w:top w:val="nil"/>
              <w:left w:val="nil"/>
              <w:bottom w:val="nil"/>
              <w:right w:val="nil"/>
            </w:tcBorders>
            <w:shd w:val="clear" w:color="auto" w:fill="auto"/>
            <w:noWrap/>
            <w:vAlign w:val="center"/>
            <w:hideMark/>
          </w:tcPr>
          <w:p w14:paraId="015A583C"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93</w:t>
            </w:r>
          </w:p>
        </w:tc>
        <w:tc>
          <w:tcPr>
            <w:tcW w:w="332" w:type="pct"/>
            <w:tcBorders>
              <w:top w:val="nil"/>
              <w:left w:val="nil"/>
              <w:bottom w:val="nil"/>
              <w:right w:val="nil"/>
            </w:tcBorders>
            <w:shd w:val="clear" w:color="auto" w:fill="auto"/>
            <w:noWrap/>
            <w:vAlign w:val="center"/>
            <w:hideMark/>
          </w:tcPr>
          <w:p w14:paraId="01F7B57D"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35.2</w:t>
            </w:r>
          </w:p>
        </w:tc>
      </w:tr>
      <w:tr w:rsidR="00236A5E" w:rsidRPr="007E6AAC" w14:paraId="62D25A0A" w14:textId="77777777" w:rsidTr="00236A5E">
        <w:trPr>
          <w:gridAfter w:val="1"/>
          <w:wAfter w:w="4" w:type="pct"/>
          <w:trHeight w:val="318"/>
        </w:trPr>
        <w:tc>
          <w:tcPr>
            <w:tcW w:w="655" w:type="pct"/>
            <w:tcBorders>
              <w:top w:val="nil"/>
              <w:left w:val="nil"/>
              <w:bottom w:val="nil"/>
              <w:right w:val="nil"/>
            </w:tcBorders>
            <w:shd w:val="clear" w:color="auto" w:fill="auto"/>
            <w:noWrap/>
            <w:vAlign w:val="center"/>
            <w:hideMark/>
          </w:tcPr>
          <w:p w14:paraId="19509A84" w14:textId="77777777" w:rsidR="00236A5E" w:rsidRPr="007E6AAC" w:rsidRDefault="00236A5E" w:rsidP="00F46353">
            <w:pPr>
              <w:spacing w:line="240" w:lineRule="auto"/>
              <w:rPr>
                <w:rFonts w:eastAsia="Times New Roman"/>
                <w:color w:val="000000"/>
                <w:sz w:val="22"/>
                <w:szCs w:val="22"/>
                <w:lang w:eastAsia="en-NZ"/>
              </w:rPr>
            </w:pPr>
            <w:r>
              <w:rPr>
                <w:rFonts w:eastAsia="Times New Roman"/>
                <w:color w:val="000000"/>
                <w:sz w:val="22"/>
                <w:szCs w:val="22"/>
                <w:lang w:eastAsia="en-NZ"/>
              </w:rPr>
              <w:t xml:space="preserve">  </w:t>
            </w:r>
            <w:r w:rsidRPr="007E6AAC">
              <w:rPr>
                <w:rFonts w:eastAsia="Times New Roman"/>
                <w:color w:val="000000"/>
                <w:sz w:val="22"/>
                <w:szCs w:val="22"/>
                <w:lang w:eastAsia="en-NZ"/>
              </w:rPr>
              <w:t>East Asian</w:t>
            </w:r>
          </w:p>
        </w:tc>
        <w:tc>
          <w:tcPr>
            <w:tcW w:w="468" w:type="pct"/>
            <w:tcBorders>
              <w:top w:val="nil"/>
              <w:left w:val="nil"/>
              <w:bottom w:val="nil"/>
              <w:right w:val="nil"/>
            </w:tcBorders>
            <w:shd w:val="clear" w:color="auto" w:fill="auto"/>
            <w:noWrap/>
            <w:vAlign w:val="center"/>
            <w:hideMark/>
          </w:tcPr>
          <w:p w14:paraId="4444702A"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eastAsia="en-NZ"/>
              </w:rPr>
              <w:t>1277</w:t>
            </w:r>
          </w:p>
        </w:tc>
        <w:tc>
          <w:tcPr>
            <w:tcW w:w="374" w:type="pct"/>
            <w:tcBorders>
              <w:top w:val="nil"/>
              <w:left w:val="nil"/>
              <w:bottom w:val="nil"/>
              <w:right w:val="nil"/>
            </w:tcBorders>
            <w:shd w:val="clear" w:color="auto" w:fill="auto"/>
            <w:noWrap/>
            <w:vAlign w:val="center"/>
            <w:hideMark/>
          </w:tcPr>
          <w:p w14:paraId="108FD1EA"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7.4</w:t>
            </w:r>
          </w:p>
        </w:tc>
        <w:tc>
          <w:tcPr>
            <w:tcW w:w="374" w:type="pct"/>
            <w:tcBorders>
              <w:top w:val="nil"/>
              <w:left w:val="nil"/>
              <w:bottom w:val="nil"/>
              <w:right w:val="nil"/>
            </w:tcBorders>
            <w:shd w:val="clear" w:color="auto" w:fill="auto"/>
            <w:noWrap/>
            <w:vAlign w:val="center"/>
            <w:hideMark/>
          </w:tcPr>
          <w:p w14:paraId="7874C749"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eastAsia="en-NZ"/>
              </w:rPr>
              <w:t>104</w:t>
            </w:r>
          </w:p>
        </w:tc>
        <w:tc>
          <w:tcPr>
            <w:tcW w:w="374" w:type="pct"/>
            <w:tcBorders>
              <w:top w:val="nil"/>
              <w:left w:val="nil"/>
              <w:bottom w:val="nil"/>
              <w:right w:val="nil"/>
            </w:tcBorders>
            <w:shd w:val="clear" w:color="auto" w:fill="auto"/>
            <w:noWrap/>
            <w:vAlign w:val="center"/>
            <w:hideMark/>
          </w:tcPr>
          <w:p w14:paraId="330E2E16"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4.2</w:t>
            </w:r>
          </w:p>
        </w:tc>
        <w:tc>
          <w:tcPr>
            <w:tcW w:w="375" w:type="pct"/>
            <w:tcBorders>
              <w:top w:val="nil"/>
              <w:left w:val="nil"/>
              <w:bottom w:val="nil"/>
              <w:right w:val="nil"/>
            </w:tcBorders>
            <w:shd w:val="clear" w:color="auto" w:fill="auto"/>
            <w:noWrap/>
            <w:vAlign w:val="center"/>
            <w:hideMark/>
          </w:tcPr>
          <w:p w14:paraId="420AD17E"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eastAsia="en-NZ"/>
              </w:rPr>
              <w:t>49</w:t>
            </w:r>
          </w:p>
        </w:tc>
        <w:tc>
          <w:tcPr>
            <w:tcW w:w="333" w:type="pct"/>
            <w:tcBorders>
              <w:top w:val="nil"/>
              <w:left w:val="nil"/>
              <w:bottom w:val="nil"/>
              <w:right w:val="nil"/>
            </w:tcBorders>
            <w:shd w:val="clear" w:color="auto" w:fill="auto"/>
            <w:noWrap/>
            <w:vAlign w:val="center"/>
            <w:hideMark/>
          </w:tcPr>
          <w:p w14:paraId="34139DE6"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4.8</w:t>
            </w:r>
          </w:p>
        </w:tc>
        <w:tc>
          <w:tcPr>
            <w:tcW w:w="372" w:type="pct"/>
            <w:tcBorders>
              <w:top w:val="nil"/>
              <w:left w:val="nil"/>
              <w:bottom w:val="nil"/>
              <w:right w:val="nil"/>
            </w:tcBorders>
            <w:shd w:val="clear" w:color="auto" w:fill="auto"/>
            <w:noWrap/>
            <w:vAlign w:val="center"/>
            <w:hideMark/>
          </w:tcPr>
          <w:p w14:paraId="6F9D5333"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eastAsia="en-NZ"/>
              </w:rPr>
              <w:t>98</w:t>
            </w:r>
          </w:p>
        </w:tc>
        <w:tc>
          <w:tcPr>
            <w:tcW w:w="333" w:type="pct"/>
            <w:tcBorders>
              <w:top w:val="nil"/>
              <w:left w:val="nil"/>
              <w:bottom w:val="nil"/>
              <w:right w:val="nil"/>
            </w:tcBorders>
            <w:shd w:val="clear" w:color="auto" w:fill="auto"/>
            <w:noWrap/>
            <w:vAlign w:val="center"/>
            <w:hideMark/>
          </w:tcPr>
          <w:p w14:paraId="018DB2C8"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5.3</w:t>
            </w:r>
          </w:p>
        </w:tc>
        <w:tc>
          <w:tcPr>
            <w:tcW w:w="372" w:type="pct"/>
            <w:tcBorders>
              <w:top w:val="nil"/>
              <w:left w:val="nil"/>
              <w:bottom w:val="nil"/>
              <w:right w:val="nil"/>
            </w:tcBorders>
            <w:shd w:val="clear" w:color="auto" w:fill="auto"/>
            <w:noWrap/>
            <w:vAlign w:val="center"/>
            <w:hideMark/>
          </w:tcPr>
          <w:p w14:paraId="341061D2"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55</w:t>
            </w:r>
          </w:p>
        </w:tc>
        <w:tc>
          <w:tcPr>
            <w:tcW w:w="333" w:type="pct"/>
            <w:tcBorders>
              <w:top w:val="nil"/>
              <w:left w:val="nil"/>
              <w:bottom w:val="nil"/>
              <w:right w:val="nil"/>
            </w:tcBorders>
            <w:shd w:val="clear" w:color="auto" w:fill="auto"/>
            <w:noWrap/>
            <w:vAlign w:val="center"/>
            <w:hideMark/>
          </w:tcPr>
          <w:p w14:paraId="738593D9"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5.4</w:t>
            </w:r>
          </w:p>
        </w:tc>
        <w:tc>
          <w:tcPr>
            <w:tcW w:w="302" w:type="pct"/>
            <w:tcBorders>
              <w:top w:val="nil"/>
              <w:left w:val="nil"/>
              <w:bottom w:val="nil"/>
              <w:right w:val="nil"/>
            </w:tcBorders>
            <w:shd w:val="clear" w:color="auto" w:fill="auto"/>
            <w:noWrap/>
            <w:vAlign w:val="center"/>
            <w:hideMark/>
          </w:tcPr>
          <w:p w14:paraId="6685DA03"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21</w:t>
            </w:r>
          </w:p>
        </w:tc>
        <w:tc>
          <w:tcPr>
            <w:tcW w:w="332" w:type="pct"/>
            <w:tcBorders>
              <w:top w:val="nil"/>
              <w:left w:val="nil"/>
              <w:bottom w:val="nil"/>
              <w:right w:val="nil"/>
            </w:tcBorders>
            <w:shd w:val="clear" w:color="auto" w:fill="auto"/>
            <w:noWrap/>
            <w:vAlign w:val="center"/>
            <w:hideMark/>
          </w:tcPr>
          <w:p w14:paraId="38099628"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8</w:t>
            </w:r>
          </w:p>
        </w:tc>
      </w:tr>
      <w:tr w:rsidR="00236A5E" w:rsidRPr="007E6AAC" w14:paraId="645ED987" w14:textId="77777777" w:rsidTr="00236A5E">
        <w:trPr>
          <w:gridAfter w:val="1"/>
          <w:wAfter w:w="4" w:type="pct"/>
          <w:trHeight w:val="318"/>
        </w:trPr>
        <w:tc>
          <w:tcPr>
            <w:tcW w:w="655" w:type="pct"/>
            <w:tcBorders>
              <w:top w:val="nil"/>
              <w:left w:val="nil"/>
              <w:bottom w:val="single" w:sz="4" w:space="0" w:color="auto"/>
              <w:right w:val="nil"/>
            </w:tcBorders>
            <w:shd w:val="clear" w:color="auto" w:fill="auto"/>
            <w:noWrap/>
            <w:vAlign w:val="center"/>
            <w:hideMark/>
          </w:tcPr>
          <w:p w14:paraId="3AD525D9" w14:textId="77777777" w:rsidR="00236A5E" w:rsidRPr="007E6AAC" w:rsidRDefault="00236A5E" w:rsidP="00F46353">
            <w:pPr>
              <w:spacing w:line="240" w:lineRule="auto"/>
              <w:rPr>
                <w:rFonts w:eastAsia="Times New Roman"/>
                <w:color w:val="000000"/>
                <w:sz w:val="22"/>
                <w:szCs w:val="22"/>
                <w:lang w:eastAsia="en-NZ"/>
              </w:rPr>
            </w:pPr>
            <w:r>
              <w:rPr>
                <w:rFonts w:eastAsia="Times New Roman"/>
                <w:color w:val="000000"/>
                <w:sz w:val="22"/>
                <w:szCs w:val="22"/>
                <w:lang w:eastAsia="en-NZ"/>
              </w:rPr>
              <w:t xml:space="preserve">  </w:t>
            </w:r>
            <w:r w:rsidRPr="007E6AAC">
              <w:rPr>
                <w:rFonts w:eastAsia="Times New Roman"/>
                <w:color w:val="000000"/>
                <w:sz w:val="22"/>
                <w:szCs w:val="22"/>
                <w:lang w:eastAsia="en-NZ"/>
              </w:rPr>
              <w:t>Other</w:t>
            </w:r>
          </w:p>
        </w:tc>
        <w:tc>
          <w:tcPr>
            <w:tcW w:w="468" w:type="pct"/>
            <w:tcBorders>
              <w:top w:val="nil"/>
              <w:left w:val="nil"/>
              <w:bottom w:val="single" w:sz="4" w:space="0" w:color="auto"/>
              <w:right w:val="nil"/>
            </w:tcBorders>
            <w:shd w:val="clear" w:color="auto" w:fill="auto"/>
            <w:noWrap/>
            <w:vAlign w:val="center"/>
            <w:hideMark/>
          </w:tcPr>
          <w:p w14:paraId="1E19C51C"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eastAsia="en-NZ"/>
              </w:rPr>
              <w:t>5302</w:t>
            </w:r>
          </w:p>
        </w:tc>
        <w:tc>
          <w:tcPr>
            <w:tcW w:w="374" w:type="pct"/>
            <w:tcBorders>
              <w:top w:val="nil"/>
              <w:left w:val="nil"/>
              <w:bottom w:val="single" w:sz="4" w:space="0" w:color="auto"/>
              <w:right w:val="nil"/>
            </w:tcBorders>
            <w:shd w:val="clear" w:color="auto" w:fill="auto"/>
            <w:noWrap/>
            <w:vAlign w:val="center"/>
            <w:hideMark/>
          </w:tcPr>
          <w:p w14:paraId="5DAB7D64"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30.9</w:t>
            </w:r>
          </w:p>
        </w:tc>
        <w:tc>
          <w:tcPr>
            <w:tcW w:w="374" w:type="pct"/>
            <w:tcBorders>
              <w:top w:val="nil"/>
              <w:left w:val="nil"/>
              <w:bottom w:val="single" w:sz="4" w:space="0" w:color="auto"/>
              <w:right w:val="nil"/>
            </w:tcBorders>
            <w:shd w:val="clear" w:color="auto" w:fill="auto"/>
            <w:noWrap/>
            <w:vAlign w:val="center"/>
            <w:hideMark/>
          </w:tcPr>
          <w:p w14:paraId="16F64457"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eastAsia="en-NZ"/>
              </w:rPr>
              <w:t>476</w:t>
            </w:r>
          </w:p>
        </w:tc>
        <w:tc>
          <w:tcPr>
            <w:tcW w:w="374" w:type="pct"/>
            <w:tcBorders>
              <w:top w:val="nil"/>
              <w:left w:val="nil"/>
              <w:bottom w:val="single" w:sz="4" w:space="0" w:color="auto"/>
              <w:right w:val="nil"/>
            </w:tcBorders>
            <w:shd w:val="clear" w:color="auto" w:fill="auto"/>
            <w:noWrap/>
            <w:vAlign w:val="center"/>
            <w:hideMark/>
          </w:tcPr>
          <w:p w14:paraId="00A87D60"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19.1</w:t>
            </w:r>
          </w:p>
        </w:tc>
        <w:tc>
          <w:tcPr>
            <w:tcW w:w="375" w:type="pct"/>
            <w:tcBorders>
              <w:top w:val="nil"/>
              <w:left w:val="nil"/>
              <w:bottom w:val="single" w:sz="4" w:space="0" w:color="auto"/>
              <w:right w:val="nil"/>
            </w:tcBorders>
            <w:shd w:val="clear" w:color="auto" w:fill="auto"/>
            <w:noWrap/>
            <w:vAlign w:val="center"/>
            <w:hideMark/>
          </w:tcPr>
          <w:p w14:paraId="5ADE6F17"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eastAsia="en-NZ"/>
              </w:rPr>
              <w:t>260</w:t>
            </w:r>
          </w:p>
        </w:tc>
        <w:tc>
          <w:tcPr>
            <w:tcW w:w="333" w:type="pct"/>
            <w:tcBorders>
              <w:top w:val="nil"/>
              <w:left w:val="nil"/>
              <w:bottom w:val="single" w:sz="4" w:space="0" w:color="auto"/>
              <w:right w:val="nil"/>
            </w:tcBorders>
            <w:shd w:val="clear" w:color="auto" w:fill="auto"/>
            <w:noWrap/>
            <w:vAlign w:val="center"/>
            <w:hideMark/>
          </w:tcPr>
          <w:p w14:paraId="2258AD6F"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25.6</w:t>
            </w:r>
          </w:p>
        </w:tc>
        <w:tc>
          <w:tcPr>
            <w:tcW w:w="372" w:type="pct"/>
            <w:tcBorders>
              <w:top w:val="nil"/>
              <w:left w:val="nil"/>
              <w:bottom w:val="single" w:sz="4" w:space="0" w:color="auto"/>
              <w:right w:val="nil"/>
            </w:tcBorders>
            <w:shd w:val="clear" w:color="auto" w:fill="auto"/>
            <w:noWrap/>
            <w:vAlign w:val="center"/>
            <w:hideMark/>
          </w:tcPr>
          <w:p w14:paraId="3F0245BA"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eastAsia="en-NZ"/>
              </w:rPr>
              <w:t>903</w:t>
            </w:r>
          </w:p>
        </w:tc>
        <w:tc>
          <w:tcPr>
            <w:tcW w:w="333" w:type="pct"/>
            <w:tcBorders>
              <w:top w:val="nil"/>
              <w:left w:val="nil"/>
              <w:bottom w:val="single" w:sz="4" w:space="0" w:color="auto"/>
              <w:right w:val="nil"/>
            </w:tcBorders>
            <w:shd w:val="clear" w:color="auto" w:fill="auto"/>
            <w:noWrap/>
            <w:vAlign w:val="center"/>
            <w:hideMark/>
          </w:tcPr>
          <w:p w14:paraId="5539D892"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eastAsia="en-NZ"/>
              </w:rPr>
              <w:t>48.8</w:t>
            </w:r>
          </w:p>
        </w:tc>
        <w:tc>
          <w:tcPr>
            <w:tcW w:w="372" w:type="pct"/>
            <w:tcBorders>
              <w:top w:val="nil"/>
              <w:left w:val="nil"/>
              <w:bottom w:val="single" w:sz="4" w:space="0" w:color="auto"/>
              <w:right w:val="nil"/>
            </w:tcBorders>
            <w:shd w:val="clear" w:color="auto" w:fill="auto"/>
            <w:noWrap/>
            <w:vAlign w:val="center"/>
            <w:hideMark/>
          </w:tcPr>
          <w:p w14:paraId="27363760"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433</w:t>
            </w:r>
          </w:p>
        </w:tc>
        <w:tc>
          <w:tcPr>
            <w:tcW w:w="333" w:type="pct"/>
            <w:tcBorders>
              <w:top w:val="nil"/>
              <w:left w:val="nil"/>
              <w:bottom w:val="single" w:sz="4" w:space="0" w:color="auto"/>
              <w:right w:val="nil"/>
            </w:tcBorders>
            <w:shd w:val="clear" w:color="auto" w:fill="auto"/>
            <w:noWrap/>
            <w:vAlign w:val="center"/>
            <w:hideMark/>
          </w:tcPr>
          <w:p w14:paraId="65F72BA6"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42.2</w:t>
            </w:r>
          </w:p>
        </w:tc>
        <w:tc>
          <w:tcPr>
            <w:tcW w:w="302" w:type="pct"/>
            <w:tcBorders>
              <w:top w:val="nil"/>
              <w:left w:val="nil"/>
              <w:bottom w:val="single" w:sz="4" w:space="0" w:color="auto"/>
              <w:right w:val="nil"/>
            </w:tcBorders>
            <w:shd w:val="clear" w:color="auto" w:fill="auto"/>
            <w:noWrap/>
            <w:vAlign w:val="center"/>
            <w:hideMark/>
          </w:tcPr>
          <w:p w14:paraId="56526DF9" w14:textId="77777777" w:rsidR="00236A5E" w:rsidRPr="007E6AAC" w:rsidRDefault="00236A5E" w:rsidP="00F46353">
            <w:pPr>
              <w:spacing w:line="240" w:lineRule="auto"/>
              <w:jc w:val="right"/>
              <w:rPr>
                <w:rFonts w:eastAsia="Times New Roman"/>
                <w:color w:val="000000"/>
                <w:sz w:val="22"/>
                <w:szCs w:val="22"/>
                <w:lang w:eastAsia="en-NZ"/>
              </w:rPr>
            </w:pPr>
            <w:r w:rsidRPr="007E6AAC">
              <w:rPr>
                <w:rFonts w:eastAsia="Times New Roman"/>
                <w:color w:val="000000"/>
                <w:sz w:val="22"/>
                <w:szCs w:val="22"/>
                <w:lang w:val="en-US" w:eastAsia="en-NZ"/>
              </w:rPr>
              <w:t>74</w:t>
            </w:r>
          </w:p>
        </w:tc>
        <w:tc>
          <w:tcPr>
            <w:tcW w:w="332" w:type="pct"/>
            <w:tcBorders>
              <w:top w:val="nil"/>
              <w:left w:val="nil"/>
              <w:bottom w:val="single" w:sz="4" w:space="0" w:color="auto"/>
              <w:right w:val="nil"/>
            </w:tcBorders>
            <w:shd w:val="clear" w:color="auto" w:fill="auto"/>
            <w:noWrap/>
            <w:vAlign w:val="center"/>
            <w:hideMark/>
          </w:tcPr>
          <w:p w14:paraId="3351CE29" w14:textId="77777777" w:rsidR="00236A5E" w:rsidRPr="007E6AAC" w:rsidRDefault="00236A5E" w:rsidP="00F46353">
            <w:pPr>
              <w:spacing w:line="240" w:lineRule="auto"/>
              <w:jc w:val="right"/>
              <w:rPr>
                <w:rFonts w:eastAsia="Times New Roman"/>
                <w:i/>
                <w:iCs/>
                <w:color w:val="000000"/>
                <w:sz w:val="22"/>
                <w:szCs w:val="22"/>
                <w:lang w:eastAsia="en-NZ"/>
              </w:rPr>
            </w:pPr>
            <w:r w:rsidRPr="007E6AAC">
              <w:rPr>
                <w:rFonts w:eastAsia="Times New Roman"/>
                <w:i/>
                <w:iCs/>
                <w:color w:val="000000"/>
                <w:sz w:val="22"/>
                <w:szCs w:val="22"/>
                <w:lang w:val="en-US" w:eastAsia="en-NZ"/>
              </w:rPr>
              <w:t>28</w:t>
            </w:r>
          </w:p>
        </w:tc>
      </w:tr>
    </w:tbl>
    <w:p w14:paraId="25CBF9B2" w14:textId="77777777" w:rsidR="00236A5E" w:rsidRPr="00D90546" w:rsidRDefault="00236A5E" w:rsidP="00236A5E">
      <w:pPr>
        <w:spacing w:line="240" w:lineRule="auto"/>
        <w:rPr>
          <w:rFonts w:eastAsia="Cambria"/>
          <w:sz w:val="20"/>
          <w:szCs w:val="20"/>
          <w:lang w:val="en-US"/>
        </w:rPr>
      </w:pPr>
      <w:r w:rsidRPr="00D90546">
        <w:rPr>
          <w:rFonts w:eastAsia="Cambria"/>
          <w:sz w:val="20"/>
          <w:szCs w:val="20"/>
          <w:lang w:val="en-US"/>
        </w:rPr>
        <w:t xml:space="preserve">*Other refers to combinations of session types that are likely to represent data entry errors, e.g. follow-up sessions are registered against client without any other intervention session type. </w:t>
      </w:r>
    </w:p>
    <w:p w14:paraId="3746A095" w14:textId="77777777" w:rsidR="00236A5E" w:rsidRDefault="00236A5E" w:rsidP="004B04DD">
      <w:pPr>
        <w:jc w:val="both"/>
      </w:pPr>
    </w:p>
    <w:p w14:paraId="21A5949D" w14:textId="77777777" w:rsidR="00236A5E" w:rsidRDefault="00236A5E" w:rsidP="004B04DD">
      <w:pPr>
        <w:jc w:val="both"/>
        <w:sectPr w:rsidR="00236A5E" w:rsidSect="00236A5E">
          <w:pgSz w:w="16838" w:h="11906" w:orient="landscape"/>
          <w:pgMar w:top="1440" w:right="1440" w:bottom="1440" w:left="1440" w:header="708" w:footer="708" w:gutter="0"/>
          <w:cols w:space="708"/>
          <w:docGrid w:linePitch="360"/>
        </w:sectPr>
      </w:pPr>
    </w:p>
    <w:p w14:paraId="5E1A66FD" w14:textId="7446A8CF" w:rsidR="00B3106E" w:rsidRDefault="00D07A53" w:rsidP="004B04DD">
      <w:pPr>
        <w:jc w:val="both"/>
      </w:pPr>
      <w:r w:rsidRPr="004B04DD">
        <w:lastRenderedPageBreak/>
        <w:t>Brief interventions were more common for Māori clients</w:t>
      </w:r>
      <w:r w:rsidR="00CB2654">
        <w:t xml:space="preserve"> (42%)</w:t>
      </w:r>
      <w:r w:rsidRPr="004B04DD">
        <w:t xml:space="preserve">, as well as clients of </w:t>
      </w:r>
      <w:r w:rsidR="00236A5E">
        <w:t>European/</w:t>
      </w:r>
      <w:r w:rsidRPr="004B04DD">
        <w:t>Other ethnicity</w:t>
      </w:r>
      <w:r w:rsidR="00CB2654">
        <w:t xml:space="preserve"> (30.9%)</w:t>
      </w:r>
      <w:r w:rsidRPr="004B04DD">
        <w:t xml:space="preserve">. </w:t>
      </w:r>
      <w:r w:rsidR="00B3106E">
        <w:t xml:space="preserve">Pacific (19.7) and </w:t>
      </w:r>
      <w:r w:rsidRPr="004B04DD">
        <w:t xml:space="preserve">East Asian clients were least likely to receive a </w:t>
      </w:r>
      <w:r w:rsidR="00CB2654">
        <w:t>b</w:t>
      </w:r>
      <w:r w:rsidRPr="004B04DD">
        <w:t>rief intervention</w:t>
      </w:r>
      <w:r w:rsidR="00CB2654">
        <w:t xml:space="preserve"> (7.4%)</w:t>
      </w:r>
      <w:r w:rsidRPr="004B04DD">
        <w:t xml:space="preserve">. </w:t>
      </w:r>
      <w:r w:rsidR="00CB2654">
        <w:t>Cl</w:t>
      </w:r>
      <w:r w:rsidRPr="004B04DD">
        <w:t xml:space="preserve">ients receiving </w:t>
      </w:r>
      <w:r w:rsidR="00CB2654">
        <w:t>a mix of brief and full</w:t>
      </w:r>
      <w:r w:rsidRPr="004B04DD">
        <w:t xml:space="preserve"> interventions </w:t>
      </w:r>
      <w:r w:rsidR="00CB2654">
        <w:t xml:space="preserve">were </w:t>
      </w:r>
      <w:r w:rsidRPr="004B04DD">
        <w:t xml:space="preserve">more likely to be either Māori </w:t>
      </w:r>
      <w:r w:rsidR="00B3106E">
        <w:t xml:space="preserve">(42.9%) </w:t>
      </w:r>
      <w:r w:rsidRPr="004B04DD">
        <w:t>or Pacific</w:t>
      </w:r>
      <w:r w:rsidR="00B3106E">
        <w:t xml:space="preserve"> (33.8%)</w:t>
      </w:r>
      <w:r w:rsidRPr="004B04DD">
        <w:t xml:space="preserve">, </w:t>
      </w:r>
      <w:r w:rsidR="00B3106E">
        <w:t>than European/</w:t>
      </w:r>
      <w:r w:rsidRPr="004B04DD">
        <w:t>Other</w:t>
      </w:r>
      <w:r w:rsidR="00B3106E">
        <w:t xml:space="preserve"> (19.1) or East Asian (4.2%)</w:t>
      </w:r>
      <w:r w:rsidRPr="004B04DD">
        <w:t>.</w:t>
      </w:r>
      <w:r w:rsidR="00B3106E">
        <w:t xml:space="preserve"> Clients who progressed through brief intervention to full intervention and follow up were more likely to identify with Pacific ethnicity (40.4%), followed by </w:t>
      </w:r>
      <w:r w:rsidR="00B3106E" w:rsidRPr="004B04DD">
        <w:t>Māori</w:t>
      </w:r>
      <w:r w:rsidR="00B3106E">
        <w:t xml:space="preserve"> (29.2%), European/other (25.6%), and East Asian (4.8%). Clients presenting for full intervention (without brief engagement) tended to be European/other (48.8%). </w:t>
      </w:r>
    </w:p>
    <w:p w14:paraId="037437CF" w14:textId="55C7089B" w:rsidR="00B3106E" w:rsidRDefault="00B3106E" w:rsidP="004B04DD">
      <w:pPr>
        <w:jc w:val="both"/>
      </w:pPr>
    </w:p>
    <w:p w14:paraId="4FA20271" w14:textId="77777777" w:rsidR="00B3106E" w:rsidRDefault="00B3106E" w:rsidP="004B04DD">
      <w:pPr>
        <w:jc w:val="both"/>
      </w:pPr>
    </w:p>
    <w:p w14:paraId="25442ECD" w14:textId="77777777" w:rsidR="00D07A53" w:rsidRDefault="00D07A53" w:rsidP="00D07A53">
      <w:pPr>
        <w:pStyle w:val="Heading3"/>
      </w:pPr>
      <w:bookmarkStart w:id="173" w:name="_Toc58400791"/>
      <w:r>
        <w:t>Description of FAO screening</w:t>
      </w:r>
      <w:bookmarkEnd w:id="173"/>
    </w:p>
    <w:p w14:paraId="1EA3D7B6" w14:textId="77777777" w:rsidR="00D07A53" w:rsidRDefault="00D07A53" w:rsidP="004B04DD">
      <w:pPr>
        <w:jc w:val="both"/>
      </w:pPr>
    </w:p>
    <w:p w14:paraId="0E9724EE" w14:textId="77777777" w:rsidR="00D07A53" w:rsidRDefault="00D07A53" w:rsidP="004B04DD">
      <w:pPr>
        <w:pStyle w:val="Heading4"/>
        <w:jc w:val="both"/>
      </w:pPr>
      <w:r>
        <w:t>Brief screening practice</w:t>
      </w:r>
    </w:p>
    <w:p w14:paraId="577080B2" w14:textId="6EC412A7" w:rsidR="00D07A53" w:rsidRDefault="00D07A53" w:rsidP="004B04DD">
      <w:pPr>
        <w:jc w:val="both"/>
      </w:pPr>
      <w:r>
        <w:fldChar w:fldCharType="begin"/>
      </w:r>
      <w:r>
        <w:instrText xml:space="preserve"> REF _Ref47346502 \h </w:instrText>
      </w:r>
      <w:r w:rsidR="004B04DD">
        <w:instrText xml:space="preserve"> \* MERGEFORMAT </w:instrText>
      </w:r>
      <w:r>
        <w:fldChar w:fldCharType="separate"/>
      </w:r>
      <w:r w:rsidR="00DF0799" w:rsidRPr="00D55C76">
        <w:t xml:space="preserve">Table </w:t>
      </w:r>
      <w:r w:rsidR="00DF0799">
        <w:rPr>
          <w:noProof/>
        </w:rPr>
        <w:t>20</w:t>
      </w:r>
      <w:r>
        <w:fldChar w:fldCharType="end"/>
      </w:r>
      <w:r>
        <w:t xml:space="preserve"> outlines brief intervention screening practice among FAO and gambler clients. It shows that clients </w:t>
      </w:r>
      <w:r w:rsidR="00B3106E">
        <w:t>were</w:t>
      </w:r>
      <w:r>
        <w:t xml:space="preserve"> rarely offered both gambler and FAO screening. A</w:t>
      </w:r>
      <w:r w:rsidRPr="00F358ED">
        <w:t xml:space="preserve"> small number of FAO clients were screened </w:t>
      </w:r>
      <w:r>
        <w:t>for</w:t>
      </w:r>
      <w:r w:rsidRPr="00F358ED">
        <w:t xml:space="preserve"> harm from their own gambling </w:t>
      </w:r>
      <w:r>
        <w:t xml:space="preserve">(3.3%), a slightly higher proportion of gamblers were screened for impacts on them as FAOs (5.4%). </w:t>
      </w:r>
    </w:p>
    <w:p w14:paraId="12061C63" w14:textId="77777777" w:rsidR="00D07A53" w:rsidRDefault="00D07A53" w:rsidP="004B04DD">
      <w:pPr>
        <w:jc w:val="both"/>
      </w:pPr>
    </w:p>
    <w:p w14:paraId="0F7BAEC6" w14:textId="77777777" w:rsidR="00D07A53" w:rsidRDefault="00D07A53" w:rsidP="004B04DD">
      <w:pPr>
        <w:pStyle w:val="Heading4"/>
        <w:jc w:val="both"/>
      </w:pPr>
      <w:r>
        <w:t>Full intervention screening practice</w:t>
      </w:r>
    </w:p>
    <w:p w14:paraId="16ECAD3C" w14:textId="7BCA1022" w:rsidR="00D07A53" w:rsidRDefault="00D07A53" w:rsidP="004B04DD">
      <w:pPr>
        <w:jc w:val="both"/>
      </w:pPr>
      <w:r>
        <w:t xml:space="preserve">Full intervention screening for FAOs was </w:t>
      </w:r>
      <w:r w:rsidR="00B3106E">
        <w:t xml:space="preserve">very </w:t>
      </w:r>
      <w:r>
        <w:t xml:space="preserve">low, approximately half (between 49.3 and 51.9%) of FAO clients were not screened at all for effects or awareness of harm, or outcome measures (frequency, coping) </w:t>
      </w:r>
      <w:r w:rsidRPr="00860491">
        <w:t>(</w:t>
      </w:r>
      <w:r w:rsidRPr="00860491">
        <w:fldChar w:fldCharType="begin"/>
      </w:r>
      <w:r w:rsidRPr="00860491">
        <w:instrText xml:space="preserve"> REF _Ref47350051 \h </w:instrText>
      </w:r>
      <w:r w:rsidR="004B04DD" w:rsidRPr="00860491">
        <w:instrText xml:space="preserve"> \* MERGEFORMAT </w:instrText>
      </w:r>
      <w:r w:rsidRPr="00860491">
        <w:fldChar w:fldCharType="separate"/>
      </w:r>
      <w:r w:rsidR="00DF0799" w:rsidRPr="00D55C76">
        <w:t xml:space="preserve">Table </w:t>
      </w:r>
      <w:r w:rsidR="00DF0799">
        <w:rPr>
          <w:noProof/>
        </w:rPr>
        <w:t>21</w:t>
      </w:r>
      <w:r w:rsidRPr="00860491">
        <w:fldChar w:fldCharType="end"/>
      </w:r>
      <w:r w:rsidRPr="00860491">
        <w:t>).</w:t>
      </w:r>
      <w:r>
        <w:t xml:space="preserve"> In comparison to gamblers, screening for coexisting issues (suicidality, depression, alcohol and drug use) among FAOs was also low – almost two thirds of clients were not screened for each one of these issues, compared to two fifths of gamblers.    </w:t>
      </w:r>
    </w:p>
    <w:p w14:paraId="04D3AC8B" w14:textId="478EF536" w:rsidR="001D1214" w:rsidRDefault="001D1214" w:rsidP="004B04DD">
      <w:pPr>
        <w:jc w:val="both"/>
      </w:pPr>
    </w:p>
    <w:p w14:paraId="5261FE1A" w14:textId="77777777" w:rsidR="001D1214" w:rsidRDefault="001D1214" w:rsidP="004B04DD">
      <w:pPr>
        <w:jc w:val="both"/>
      </w:pPr>
    </w:p>
    <w:p w14:paraId="10BE9F55" w14:textId="77777777" w:rsidR="00D07A53" w:rsidRDefault="00D07A53" w:rsidP="00D07A53">
      <w:pPr>
        <w:sectPr w:rsidR="00D07A53" w:rsidSect="003632F4">
          <w:pgSz w:w="11906" w:h="16838"/>
          <w:pgMar w:top="1440" w:right="1440" w:bottom="1440" w:left="1440" w:header="708" w:footer="708" w:gutter="0"/>
          <w:cols w:space="708"/>
          <w:docGrid w:linePitch="360"/>
        </w:sectPr>
      </w:pPr>
    </w:p>
    <w:p w14:paraId="7BF32CC2" w14:textId="6B9C3AD4" w:rsidR="00D07A53" w:rsidRPr="00D55C76" w:rsidRDefault="00D07A53" w:rsidP="00D07A53">
      <w:pPr>
        <w:pStyle w:val="Caption"/>
      </w:pPr>
      <w:bookmarkStart w:id="174" w:name="_Ref47346502"/>
      <w:bookmarkStart w:id="175" w:name="_Toc58400653"/>
      <w:r w:rsidRPr="00D55C76">
        <w:lastRenderedPageBreak/>
        <w:t xml:space="preserve">Table </w:t>
      </w:r>
      <w:r w:rsidR="00D04B86">
        <w:fldChar w:fldCharType="begin"/>
      </w:r>
      <w:r w:rsidR="00D04B86">
        <w:instrText xml:space="preserve"> SEQ Table \* ARABIC </w:instrText>
      </w:r>
      <w:r w:rsidR="00D04B86">
        <w:fldChar w:fldCharType="separate"/>
      </w:r>
      <w:r w:rsidR="00DF0799">
        <w:rPr>
          <w:noProof/>
        </w:rPr>
        <w:t>20</w:t>
      </w:r>
      <w:r w:rsidR="00D04B86">
        <w:rPr>
          <w:noProof/>
        </w:rPr>
        <w:fldChar w:fldCharType="end"/>
      </w:r>
      <w:bookmarkEnd w:id="174"/>
      <w:r w:rsidRPr="00D55C76">
        <w:t>: Number of screening assessments for FAO and Gambler brief intervention clients</w:t>
      </w:r>
      <w:bookmarkEnd w:id="175"/>
    </w:p>
    <w:tbl>
      <w:tblPr>
        <w:tblW w:w="13452" w:type="dxa"/>
        <w:tblLook w:val="04A0" w:firstRow="1" w:lastRow="0" w:firstColumn="1" w:lastColumn="0" w:noHBand="0" w:noVBand="1"/>
      </w:tblPr>
      <w:tblGrid>
        <w:gridCol w:w="2268"/>
        <w:gridCol w:w="871"/>
        <w:gridCol w:w="865"/>
        <w:gridCol w:w="1208"/>
        <w:gridCol w:w="865"/>
        <w:gridCol w:w="980"/>
        <w:gridCol w:w="635"/>
        <w:gridCol w:w="1258"/>
        <w:gridCol w:w="901"/>
        <w:gridCol w:w="1258"/>
        <w:gridCol w:w="901"/>
        <w:gridCol w:w="781"/>
        <w:gridCol w:w="661"/>
      </w:tblGrid>
      <w:tr w:rsidR="00D07A53" w:rsidRPr="00A73D3D" w14:paraId="61ADA44C" w14:textId="77777777" w:rsidTr="003632F4">
        <w:trPr>
          <w:trHeight w:val="300"/>
        </w:trPr>
        <w:tc>
          <w:tcPr>
            <w:tcW w:w="2268" w:type="dxa"/>
            <w:tcBorders>
              <w:top w:val="single" w:sz="4" w:space="0" w:color="auto"/>
              <w:left w:val="nil"/>
              <w:bottom w:val="nil"/>
              <w:right w:val="nil"/>
            </w:tcBorders>
            <w:shd w:val="clear" w:color="auto" w:fill="auto"/>
            <w:noWrap/>
            <w:vAlign w:val="bottom"/>
            <w:hideMark/>
          </w:tcPr>
          <w:p w14:paraId="3B09071D"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 </w:t>
            </w:r>
          </w:p>
        </w:tc>
        <w:tc>
          <w:tcPr>
            <w:tcW w:w="5424" w:type="dxa"/>
            <w:gridSpan w:val="6"/>
            <w:tcBorders>
              <w:top w:val="single" w:sz="4" w:space="0" w:color="auto"/>
              <w:left w:val="nil"/>
              <w:bottom w:val="nil"/>
              <w:right w:val="single" w:sz="4" w:space="0" w:color="000000"/>
            </w:tcBorders>
            <w:shd w:val="clear" w:color="auto" w:fill="auto"/>
            <w:noWrap/>
            <w:vAlign w:val="bottom"/>
            <w:hideMark/>
          </w:tcPr>
          <w:p w14:paraId="6462A818" w14:textId="77777777" w:rsidR="00D07A53" w:rsidRPr="00A73D3D" w:rsidRDefault="00D07A53" w:rsidP="003632F4">
            <w:pPr>
              <w:spacing w:line="240" w:lineRule="auto"/>
              <w:jc w:val="center"/>
              <w:rPr>
                <w:rFonts w:eastAsia="Times New Roman"/>
                <w:b/>
                <w:bCs/>
                <w:color w:val="000000"/>
                <w:sz w:val="22"/>
                <w:szCs w:val="22"/>
                <w:lang w:eastAsia="en-NZ"/>
              </w:rPr>
            </w:pPr>
            <w:r w:rsidRPr="00A73D3D">
              <w:rPr>
                <w:rFonts w:eastAsia="Times New Roman"/>
                <w:b/>
                <w:bCs/>
                <w:color w:val="000000"/>
                <w:sz w:val="22"/>
                <w:szCs w:val="22"/>
                <w:lang w:eastAsia="en-NZ"/>
              </w:rPr>
              <w:t>Family/Affected Other</w:t>
            </w:r>
          </w:p>
        </w:tc>
        <w:tc>
          <w:tcPr>
            <w:tcW w:w="5760" w:type="dxa"/>
            <w:gridSpan w:val="6"/>
            <w:tcBorders>
              <w:top w:val="single" w:sz="4" w:space="0" w:color="auto"/>
              <w:left w:val="nil"/>
              <w:bottom w:val="nil"/>
              <w:right w:val="nil"/>
            </w:tcBorders>
            <w:shd w:val="clear" w:color="auto" w:fill="auto"/>
            <w:noWrap/>
            <w:vAlign w:val="bottom"/>
            <w:hideMark/>
          </w:tcPr>
          <w:p w14:paraId="37D78247" w14:textId="77777777" w:rsidR="00D07A53" w:rsidRPr="00A73D3D" w:rsidRDefault="00D07A53" w:rsidP="003632F4">
            <w:pPr>
              <w:spacing w:line="240" w:lineRule="auto"/>
              <w:jc w:val="center"/>
              <w:rPr>
                <w:rFonts w:eastAsia="Times New Roman"/>
                <w:b/>
                <w:bCs/>
                <w:color w:val="000000"/>
                <w:sz w:val="22"/>
                <w:szCs w:val="22"/>
                <w:lang w:eastAsia="en-NZ"/>
              </w:rPr>
            </w:pPr>
            <w:r w:rsidRPr="00A73D3D">
              <w:rPr>
                <w:rFonts w:eastAsia="Times New Roman"/>
                <w:b/>
                <w:bCs/>
                <w:color w:val="000000"/>
                <w:sz w:val="22"/>
                <w:szCs w:val="22"/>
                <w:lang w:eastAsia="en-NZ"/>
              </w:rPr>
              <w:t>Gambler</w:t>
            </w:r>
          </w:p>
        </w:tc>
      </w:tr>
      <w:tr w:rsidR="00D07A53" w:rsidRPr="00A73D3D" w14:paraId="56EE5977" w14:textId="77777777" w:rsidTr="003632F4">
        <w:trPr>
          <w:trHeight w:val="300"/>
        </w:trPr>
        <w:tc>
          <w:tcPr>
            <w:tcW w:w="2268" w:type="dxa"/>
            <w:tcBorders>
              <w:top w:val="nil"/>
              <w:left w:val="nil"/>
              <w:bottom w:val="nil"/>
              <w:right w:val="nil"/>
            </w:tcBorders>
            <w:shd w:val="clear" w:color="auto" w:fill="auto"/>
            <w:noWrap/>
            <w:vAlign w:val="bottom"/>
            <w:hideMark/>
          </w:tcPr>
          <w:p w14:paraId="5D84F4E3" w14:textId="77777777" w:rsidR="00D07A53" w:rsidRPr="00A73D3D" w:rsidRDefault="00D07A53" w:rsidP="003632F4">
            <w:pPr>
              <w:spacing w:line="240" w:lineRule="auto"/>
              <w:jc w:val="center"/>
              <w:rPr>
                <w:rFonts w:eastAsia="Times New Roman"/>
                <w:color w:val="000000"/>
                <w:sz w:val="22"/>
                <w:szCs w:val="22"/>
                <w:lang w:eastAsia="en-NZ"/>
              </w:rPr>
            </w:pPr>
          </w:p>
        </w:tc>
        <w:tc>
          <w:tcPr>
            <w:tcW w:w="1736" w:type="dxa"/>
            <w:gridSpan w:val="2"/>
            <w:tcBorders>
              <w:top w:val="single" w:sz="4" w:space="0" w:color="auto"/>
              <w:left w:val="nil"/>
              <w:bottom w:val="nil"/>
              <w:right w:val="nil"/>
            </w:tcBorders>
            <w:shd w:val="clear" w:color="auto" w:fill="auto"/>
            <w:noWrap/>
            <w:vAlign w:val="bottom"/>
            <w:hideMark/>
          </w:tcPr>
          <w:p w14:paraId="50B39D47" w14:textId="77777777" w:rsidR="00D07A53" w:rsidRPr="00A73D3D" w:rsidRDefault="00D07A53" w:rsidP="003632F4">
            <w:pPr>
              <w:spacing w:line="240" w:lineRule="auto"/>
              <w:jc w:val="center"/>
              <w:rPr>
                <w:rFonts w:eastAsia="Times New Roman"/>
                <w:b/>
                <w:bCs/>
                <w:color w:val="000000"/>
                <w:sz w:val="22"/>
                <w:szCs w:val="22"/>
                <w:lang w:eastAsia="en-NZ"/>
              </w:rPr>
            </w:pPr>
            <w:r w:rsidRPr="00A73D3D">
              <w:rPr>
                <w:rFonts w:eastAsia="Times New Roman"/>
                <w:b/>
                <w:bCs/>
                <w:color w:val="000000"/>
                <w:sz w:val="22"/>
                <w:szCs w:val="22"/>
                <w:lang w:eastAsia="en-NZ"/>
              </w:rPr>
              <w:t>0</w:t>
            </w:r>
          </w:p>
        </w:tc>
        <w:tc>
          <w:tcPr>
            <w:tcW w:w="2073" w:type="dxa"/>
            <w:gridSpan w:val="2"/>
            <w:tcBorders>
              <w:top w:val="single" w:sz="4" w:space="0" w:color="auto"/>
              <w:left w:val="nil"/>
              <w:bottom w:val="nil"/>
              <w:right w:val="nil"/>
            </w:tcBorders>
            <w:shd w:val="clear" w:color="auto" w:fill="auto"/>
            <w:noWrap/>
            <w:vAlign w:val="bottom"/>
            <w:hideMark/>
          </w:tcPr>
          <w:p w14:paraId="15A58D74" w14:textId="77777777" w:rsidR="00D07A53" w:rsidRPr="00A73D3D" w:rsidRDefault="00D07A53" w:rsidP="003632F4">
            <w:pPr>
              <w:spacing w:line="240" w:lineRule="auto"/>
              <w:jc w:val="center"/>
              <w:rPr>
                <w:rFonts w:eastAsia="Times New Roman"/>
                <w:b/>
                <w:bCs/>
                <w:color w:val="000000"/>
                <w:sz w:val="22"/>
                <w:szCs w:val="22"/>
                <w:lang w:eastAsia="en-NZ"/>
              </w:rPr>
            </w:pPr>
            <w:r w:rsidRPr="00A73D3D">
              <w:rPr>
                <w:rFonts w:eastAsia="Times New Roman"/>
                <w:b/>
                <w:bCs/>
                <w:color w:val="000000"/>
                <w:sz w:val="22"/>
                <w:szCs w:val="22"/>
                <w:lang w:eastAsia="en-NZ"/>
              </w:rPr>
              <w:t>1</w:t>
            </w:r>
          </w:p>
        </w:tc>
        <w:tc>
          <w:tcPr>
            <w:tcW w:w="1615" w:type="dxa"/>
            <w:gridSpan w:val="2"/>
            <w:tcBorders>
              <w:top w:val="single" w:sz="4" w:space="0" w:color="auto"/>
              <w:left w:val="nil"/>
              <w:bottom w:val="nil"/>
              <w:right w:val="single" w:sz="4" w:space="0" w:color="000000"/>
            </w:tcBorders>
            <w:shd w:val="clear" w:color="auto" w:fill="auto"/>
            <w:noWrap/>
            <w:vAlign w:val="bottom"/>
            <w:hideMark/>
          </w:tcPr>
          <w:p w14:paraId="0B305AC2" w14:textId="77777777" w:rsidR="00D07A53" w:rsidRPr="00A73D3D" w:rsidRDefault="00D07A53" w:rsidP="003632F4">
            <w:pPr>
              <w:spacing w:line="240" w:lineRule="auto"/>
              <w:jc w:val="center"/>
              <w:rPr>
                <w:rFonts w:eastAsia="Times New Roman"/>
                <w:b/>
                <w:bCs/>
                <w:color w:val="000000"/>
                <w:sz w:val="22"/>
                <w:szCs w:val="22"/>
                <w:lang w:eastAsia="en-NZ"/>
              </w:rPr>
            </w:pPr>
            <w:r w:rsidRPr="00A73D3D">
              <w:rPr>
                <w:rFonts w:eastAsia="Times New Roman"/>
                <w:b/>
                <w:bCs/>
                <w:color w:val="000000"/>
                <w:sz w:val="22"/>
                <w:szCs w:val="22"/>
                <w:lang w:eastAsia="en-NZ"/>
              </w:rPr>
              <w:t>2+</w:t>
            </w:r>
          </w:p>
        </w:tc>
        <w:tc>
          <w:tcPr>
            <w:tcW w:w="2159" w:type="dxa"/>
            <w:gridSpan w:val="2"/>
            <w:tcBorders>
              <w:top w:val="single" w:sz="4" w:space="0" w:color="auto"/>
              <w:left w:val="nil"/>
              <w:bottom w:val="nil"/>
              <w:right w:val="nil"/>
            </w:tcBorders>
            <w:shd w:val="clear" w:color="auto" w:fill="auto"/>
            <w:noWrap/>
            <w:vAlign w:val="bottom"/>
            <w:hideMark/>
          </w:tcPr>
          <w:p w14:paraId="5916801E" w14:textId="77777777" w:rsidR="00D07A53" w:rsidRPr="00A73D3D" w:rsidRDefault="00D07A53" w:rsidP="003632F4">
            <w:pPr>
              <w:spacing w:line="240" w:lineRule="auto"/>
              <w:jc w:val="center"/>
              <w:rPr>
                <w:rFonts w:eastAsia="Times New Roman"/>
                <w:b/>
                <w:bCs/>
                <w:color w:val="000000"/>
                <w:sz w:val="22"/>
                <w:szCs w:val="22"/>
                <w:lang w:eastAsia="en-NZ"/>
              </w:rPr>
            </w:pPr>
            <w:r w:rsidRPr="00A73D3D">
              <w:rPr>
                <w:rFonts w:eastAsia="Times New Roman"/>
                <w:b/>
                <w:bCs/>
                <w:color w:val="000000"/>
                <w:sz w:val="22"/>
                <w:szCs w:val="22"/>
                <w:lang w:eastAsia="en-NZ"/>
              </w:rPr>
              <w:t>0</w:t>
            </w:r>
          </w:p>
        </w:tc>
        <w:tc>
          <w:tcPr>
            <w:tcW w:w="2159" w:type="dxa"/>
            <w:gridSpan w:val="2"/>
            <w:tcBorders>
              <w:top w:val="single" w:sz="4" w:space="0" w:color="auto"/>
              <w:left w:val="nil"/>
              <w:bottom w:val="nil"/>
              <w:right w:val="nil"/>
            </w:tcBorders>
            <w:shd w:val="clear" w:color="auto" w:fill="auto"/>
            <w:noWrap/>
            <w:vAlign w:val="bottom"/>
            <w:hideMark/>
          </w:tcPr>
          <w:p w14:paraId="4F3DEF37" w14:textId="77777777" w:rsidR="00D07A53" w:rsidRPr="00A73D3D" w:rsidRDefault="00D07A53" w:rsidP="003632F4">
            <w:pPr>
              <w:spacing w:line="240" w:lineRule="auto"/>
              <w:jc w:val="center"/>
              <w:rPr>
                <w:rFonts w:eastAsia="Times New Roman"/>
                <w:b/>
                <w:bCs/>
                <w:color w:val="000000"/>
                <w:sz w:val="22"/>
                <w:szCs w:val="22"/>
                <w:lang w:eastAsia="en-NZ"/>
              </w:rPr>
            </w:pPr>
            <w:r w:rsidRPr="00A73D3D">
              <w:rPr>
                <w:rFonts w:eastAsia="Times New Roman"/>
                <w:b/>
                <w:bCs/>
                <w:color w:val="000000"/>
                <w:sz w:val="22"/>
                <w:szCs w:val="22"/>
                <w:lang w:eastAsia="en-NZ"/>
              </w:rPr>
              <w:t>1</w:t>
            </w:r>
          </w:p>
        </w:tc>
        <w:tc>
          <w:tcPr>
            <w:tcW w:w="1442" w:type="dxa"/>
            <w:gridSpan w:val="2"/>
            <w:tcBorders>
              <w:top w:val="single" w:sz="4" w:space="0" w:color="auto"/>
              <w:left w:val="nil"/>
              <w:bottom w:val="nil"/>
              <w:right w:val="nil"/>
            </w:tcBorders>
            <w:shd w:val="clear" w:color="auto" w:fill="auto"/>
            <w:noWrap/>
            <w:vAlign w:val="bottom"/>
            <w:hideMark/>
          </w:tcPr>
          <w:p w14:paraId="160EF58A" w14:textId="77777777" w:rsidR="00D07A53" w:rsidRPr="00A73D3D" w:rsidRDefault="00D07A53" w:rsidP="003632F4">
            <w:pPr>
              <w:spacing w:line="240" w:lineRule="auto"/>
              <w:jc w:val="center"/>
              <w:rPr>
                <w:rFonts w:eastAsia="Times New Roman"/>
                <w:b/>
                <w:bCs/>
                <w:color w:val="000000"/>
                <w:sz w:val="22"/>
                <w:szCs w:val="22"/>
                <w:lang w:eastAsia="en-NZ"/>
              </w:rPr>
            </w:pPr>
            <w:r w:rsidRPr="00A73D3D">
              <w:rPr>
                <w:rFonts w:eastAsia="Times New Roman"/>
                <w:b/>
                <w:bCs/>
                <w:color w:val="000000"/>
                <w:sz w:val="22"/>
                <w:szCs w:val="22"/>
                <w:lang w:eastAsia="en-NZ"/>
              </w:rPr>
              <w:t>2+</w:t>
            </w:r>
          </w:p>
        </w:tc>
      </w:tr>
      <w:tr w:rsidR="00D07A53" w:rsidRPr="00A73D3D" w14:paraId="1CFC969B" w14:textId="77777777" w:rsidTr="003632F4">
        <w:trPr>
          <w:trHeight w:val="300"/>
        </w:trPr>
        <w:tc>
          <w:tcPr>
            <w:tcW w:w="2268" w:type="dxa"/>
            <w:tcBorders>
              <w:top w:val="nil"/>
              <w:left w:val="nil"/>
              <w:bottom w:val="nil"/>
              <w:right w:val="nil"/>
            </w:tcBorders>
            <w:shd w:val="clear" w:color="auto" w:fill="auto"/>
            <w:noWrap/>
            <w:vAlign w:val="bottom"/>
            <w:hideMark/>
          </w:tcPr>
          <w:p w14:paraId="10EB1C20" w14:textId="77777777" w:rsidR="00D07A53" w:rsidRPr="00A73D3D" w:rsidRDefault="00D07A53" w:rsidP="003632F4">
            <w:pPr>
              <w:spacing w:line="240" w:lineRule="auto"/>
              <w:jc w:val="center"/>
              <w:rPr>
                <w:rFonts w:eastAsia="Times New Roman"/>
                <w:color w:val="000000"/>
                <w:sz w:val="22"/>
                <w:szCs w:val="22"/>
                <w:lang w:eastAsia="en-NZ"/>
              </w:rPr>
            </w:pPr>
          </w:p>
        </w:tc>
        <w:tc>
          <w:tcPr>
            <w:tcW w:w="871" w:type="dxa"/>
            <w:tcBorders>
              <w:top w:val="single" w:sz="4" w:space="0" w:color="auto"/>
              <w:left w:val="nil"/>
              <w:bottom w:val="nil"/>
              <w:right w:val="nil"/>
            </w:tcBorders>
            <w:shd w:val="clear" w:color="auto" w:fill="auto"/>
            <w:noWrap/>
            <w:vAlign w:val="bottom"/>
            <w:hideMark/>
          </w:tcPr>
          <w:p w14:paraId="26A2AEB3" w14:textId="77777777" w:rsidR="00D07A53" w:rsidRPr="00A73D3D" w:rsidRDefault="00D07A53" w:rsidP="003632F4">
            <w:pPr>
              <w:spacing w:line="240" w:lineRule="auto"/>
              <w:jc w:val="center"/>
              <w:rPr>
                <w:rFonts w:eastAsia="Times New Roman"/>
                <w:color w:val="000000"/>
                <w:sz w:val="22"/>
                <w:szCs w:val="22"/>
                <w:lang w:eastAsia="en-NZ"/>
              </w:rPr>
            </w:pPr>
            <w:r w:rsidRPr="00A73D3D">
              <w:rPr>
                <w:rFonts w:eastAsia="Times New Roman"/>
                <w:color w:val="000000"/>
                <w:sz w:val="22"/>
                <w:szCs w:val="22"/>
                <w:lang w:eastAsia="en-NZ"/>
              </w:rPr>
              <w:t>N</w:t>
            </w:r>
          </w:p>
        </w:tc>
        <w:tc>
          <w:tcPr>
            <w:tcW w:w="865" w:type="dxa"/>
            <w:tcBorders>
              <w:top w:val="single" w:sz="4" w:space="0" w:color="auto"/>
              <w:left w:val="nil"/>
              <w:bottom w:val="nil"/>
              <w:right w:val="nil"/>
            </w:tcBorders>
            <w:shd w:val="clear" w:color="auto" w:fill="auto"/>
            <w:noWrap/>
            <w:vAlign w:val="bottom"/>
            <w:hideMark/>
          </w:tcPr>
          <w:p w14:paraId="4A14CFE9" w14:textId="77777777" w:rsidR="00D07A53" w:rsidRPr="00A73D3D" w:rsidRDefault="00D07A53" w:rsidP="003632F4">
            <w:pPr>
              <w:spacing w:line="240" w:lineRule="auto"/>
              <w:jc w:val="center"/>
              <w:rPr>
                <w:rFonts w:eastAsia="Times New Roman"/>
                <w:i/>
                <w:iCs/>
                <w:color w:val="000000"/>
                <w:sz w:val="22"/>
                <w:szCs w:val="22"/>
                <w:lang w:eastAsia="en-NZ"/>
              </w:rPr>
            </w:pPr>
            <w:r w:rsidRPr="00A73D3D">
              <w:rPr>
                <w:rFonts w:eastAsia="Times New Roman"/>
                <w:i/>
                <w:iCs/>
                <w:color w:val="000000"/>
                <w:sz w:val="22"/>
                <w:szCs w:val="22"/>
                <w:lang w:eastAsia="en-NZ"/>
              </w:rPr>
              <w:t>%</w:t>
            </w:r>
          </w:p>
        </w:tc>
        <w:tc>
          <w:tcPr>
            <w:tcW w:w="1208" w:type="dxa"/>
            <w:tcBorders>
              <w:top w:val="single" w:sz="4" w:space="0" w:color="auto"/>
              <w:left w:val="nil"/>
              <w:bottom w:val="nil"/>
              <w:right w:val="nil"/>
            </w:tcBorders>
            <w:shd w:val="clear" w:color="auto" w:fill="auto"/>
            <w:noWrap/>
            <w:vAlign w:val="bottom"/>
            <w:hideMark/>
          </w:tcPr>
          <w:p w14:paraId="1B78F10B" w14:textId="77777777" w:rsidR="00D07A53" w:rsidRPr="00A73D3D" w:rsidRDefault="00D07A53" w:rsidP="003632F4">
            <w:pPr>
              <w:spacing w:line="240" w:lineRule="auto"/>
              <w:jc w:val="center"/>
              <w:rPr>
                <w:rFonts w:eastAsia="Times New Roman"/>
                <w:color w:val="000000"/>
                <w:sz w:val="22"/>
                <w:szCs w:val="22"/>
                <w:lang w:eastAsia="en-NZ"/>
              </w:rPr>
            </w:pPr>
            <w:r w:rsidRPr="00A73D3D">
              <w:rPr>
                <w:rFonts w:eastAsia="Times New Roman"/>
                <w:color w:val="000000"/>
                <w:sz w:val="22"/>
                <w:szCs w:val="22"/>
                <w:lang w:eastAsia="en-NZ"/>
              </w:rPr>
              <w:t>N</w:t>
            </w:r>
          </w:p>
        </w:tc>
        <w:tc>
          <w:tcPr>
            <w:tcW w:w="865" w:type="dxa"/>
            <w:tcBorders>
              <w:top w:val="single" w:sz="4" w:space="0" w:color="auto"/>
              <w:left w:val="nil"/>
              <w:bottom w:val="nil"/>
              <w:right w:val="nil"/>
            </w:tcBorders>
            <w:shd w:val="clear" w:color="auto" w:fill="auto"/>
            <w:noWrap/>
            <w:vAlign w:val="bottom"/>
            <w:hideMark/>
          </w:tcPr>
          <w:p w14:paraId="09C3ECD8" w14:textId="77777777" w:rsidR="00D07A53" w:rsidRPr="00A73D3D" w:rsidRDefault="00D07A53" w:rsidP="003632F4">
            <w:pPr>
              <w:spacing w:line="240" w:lineRule="auto"/>
              <w:jc w:val="center"/>
              <w:rPr>
                <w:rFonts w:eastAsia="Times New Roman"/>
                <w:i/>
                <w:iCs/>
                <w:color w:val="000000"/>
                <w:sz w:val="22"/>
                <w:szCs w:val="22"/>
                <w:lang w:eastAsia="en-NZ"/>
              </w:rPr>
            </w:pPr>
            <w:r w:rsidRPr="00A73D3D">
              <w:rPr>
                <w:rFonts w:eastAsia="Times New Roman"/>
                <w:i/>
                <w:iCs/>
                <w:color w:val="000000"/>
                <w:sz w:val="22"/>
                <w:szCs w:val="22"/>
                <w:lang w:eastAsia="en-NZ"/>
              </w:rPr>
              <w:t>%</w:t>
            </w:r>
          </w:p>
        </w:tc>
        <w:tc>
          <w:tcPr>
            <w:tcW w:w="980" w:type="dxa"/>
            <w:tcBorders>
              <w:top w:val="single" w:sz="4" w:space="0" w:color="auto"/>
              <w:left w:val="nil"/>
              <w:bottom w:val="nil"/>
              <w:right w:val="nil"/>
            </w:tcBorders>
            <w:shd w:val="clear" w:color="auto" w:fill="auto"/>
            <w:noWrap/>
            <w:vAlign w:val="bottom"/>
            <w:hideMark/>
          </w:tcPr>
          <w:p w14:paraId="3C61D6A3" w14:textId="77777777" w:rsidR="00D07A53" w:rsidRPr="00A73D3D" w:rsidRDefault="00D07A53" w:rsidP="003632F4">
            <w:pPr>
              <w:spacing w:line="240" w:lineRule="auto"/>
              <w:jc w:val="center"/>
              <w:rPr>
                <w:rFonts w:eastAsia="Times New Roman"/>
                <w:color w:val="000000"/>
                <w:sz w:val="22"/>
                <w:szCs w:val="22"/>
                <w:lang w:eastAsia="en-NZ"/>
              </w:rPr>
            </w:pPr>
            <w:r w:rsidRPr="00A73D3D">
              <w:rPr>
                <w:rFonts w:eastAsia="Times New Roman"/>
                <w:color w:val="000000"/>
                <w:sz w:val="22"/>
                <w:szCs w:val="22"/>
                <w:lang w:eastAsia="en-NZ"/>
              </w:rPr>
              <w:t>N</w:t>
            </w:r>
          </w:p>
        </w:tc>
        <w:tc>
          <w:tcPr>
            <w:tcW w:w="635" w:type="dxa"/>
            <w:tcBorders>
              <w:top w:val="single" w:sz="4" w:space="0" w:color="auto"/>
              <w:left w:val="nil"/>
              <w:bottom w:val="nil"/>
              <w:right w:val="single" w:sz="4" w:space="0" w:color="auto"/>
            </w:tcBorders>
            <w:shd w:val="clear" w:color="auto" w:fill="auto"/>
            <w:noWrap/>
            <w:vAlign w:val="bottom"/>
            <w:hideMark/>
          </w:tcPr>
          <w:p w14:paraId="1073FF96" w14:textId="77777777" w:rsidR="00D07A53" w:rsidRPr="00A73D3D" w:rsidRDefault="00D07A53" w:rsidP="003632F4">
            <w:pPr>
              <w:spacing w:line="240" w:lineRule="auto"/>
              <w:jc w:val="center"/>
              <w:rPr>
                <w:rFonts w:eastAsia="Times New Roman"/>
                <w:i/>
                <w:iCs/>
                <w:color w:val="000000"/>
                <w:sz w:val="22"/>
                <w:szCs w:val="22"/>
                <w:lang w:eastAsia="en-NZ"/>
              </w:rPr>
            </w:pPr>
            <w:r w:rsidRPr="00A73D3D">
              <w:rPr>
                <w:rFonts w:eastAsia="Times New Roman"/>
                <w:i/>
                <w:iCs/>
                <w:color w:val="000000"/>
                <w:sz w:val="22"/>
                <w:szCs w:val="22"/>
                <w:lang w:eastAsia="en-NZ"/>
              </w:rPr>
              <w:t>%</w:t>
            </w:r>
          </w:p>
        </w:tc>
        <w:tc>
          <w:tcPr>
            <w:tcW w:w="1258" w:type="dxa"/>
            <w:tcBorders>
              <w:top w:val="single" w:sz="4" w:space="0" w:color="auto"/>
              <w:left w:val="nil"/>
              <w:bottom w:val="nil"/>
              <w:right w:val="nil"/>
            </w:tcBorders>
            <w:shd w:val="clear" w:color="auto" w:fill="auto"/>
            <w:noWrap/>
            <w:vAlign w:val="bottom"/>
            <w:hideMark/>
          </w:tcPr>
          <w:p w14:paraId="4D20E533" w14:textId="77777777" w:rsidR="00D07A53" w:rsidRPr="00A73D3D" w:rsidRDefault="00D07A53" w:rsidP="003632F4">
            <w:pPr>
              <w:spacing w:line="240" w:lineRule="auto"/>
              <w:jc w:val="center"/>
              <w:rPr>
                <w:rFonts w:eastAsia="Times New Roman"/>
                <w:color w:val="000000"/>
                <w:sz w:val="22"/>
                <w:szCs w:val="22"/>
                <w:lang w:eastAsia="en-NZ"/>
              </w:rPr>
            </w:pPr>
            <w:r w:rsidRPr="00A73D3D">
              <w:rPr>
                <w:rFonts w:eastAsia="Times New Roman"/>
                <w:color w:val="000000"/>
                <w:sz w:val="22"/>
                <w:szCs w:val="22"/>
                <w:lang w:eastAsia="en-NZ"/>
              </w:rPr>
              <w:t>N</w:t>
            </w:r>
          </w:p>
        </w:tc>
        <w:tc>
          <w:tcPr>
            <w:tcW w:w="901" w:type="dxa"/>
            <w:tcBorders>
              <w:top w:val="single" w:sz="4" w:space="0" w:color="auto"/>
              <w:left w:val="nil"/>
              <w:bottom w:val="nil"/>
              <w:right w:val="nil"/>
            </w:tcBorders>
            <w:shd w:val="clear" w:color="auto" w:fill="auto"/>
            <w:noWrap/>
            <w:vAlign w:val="bottom"/>
            <w:hideMark/>
          </w:tcPr>
          <w:p w14:paraId="0205A8DA" w14:textId="77777777" w:rsidR="00D07A53" w:rsidRPr="00A73D3D" w:rsidRDefault="00D07A53" w:rsidP="003632F4">
            <w:pPr>
              <w:spacing w:line="240" w:lineRule="auto"/>
              <w:jc w:val="center"/>
              <w:rPr>
                <w:rFonts w:eastAsia="Times New Roman"/>
                <w:i/>
                <w:iCs/>
                <w:color w:val="000000"/>
                <w:sz w:val="22"/>
                <w:szCs w:val="22"/>
                <w:lang w:eastAsia="en-NZ"/>
              </w:rPr>
            </w:pPr>
            <w:r w:rsidRPr="00A73D3D">
              <w:rPr>
                <w:rFonts w:eastAsia="Times New Roman"/>
                <w:i/>
                <w:iCs/>
                <w:color w:val="000000"/>
                <w:sz w:val="22"/>
                <w:szCs w:val="22"/>
                <w:lang w:eastAsia="en-NZ"/>
              </w:rPr>
              <w:t>%</w:t>
            </w:r>
          </w:p>
        </w:tc>
        <w:tc>
          <w:tcPr>
            <w:tcW w:w="1258" w:type="dxa"/>
            <w:tcBorders>
              <w:top w:val="single" w:sz="4" w:space="0" w:color="auto"/>
              <w:left w:val="nil"/>
              <w:bottom w:val="nil"/>
              <w:right w:val="nil"/>
            </w:tcBorders>
            <w:shd w:val="clear" w:color="auto" w:fill="auto"/>
            <w:noWrap/>
            <w:vAlign w:val="bottom"/>
            <w:hideMark/>
          </w:tcPr>
          <w:p w14:paraId="2E2B6613" w14:textId="77777777" w:rsidR="00D07A53" w:rsidRPr="00A73D3D" w:rsidRDefault="00D07A53" w:rsidP="003632F4">
            <w:pPr>
              <w:spacing w:line="240" w:lineRule="auto"/>
              <w:jc w:val="center"/>
              <w:rPr>
                <w:rFonts w:eastAsia="Times New Roman"/>
                <w:color w:val="000000"/>
                <w:sz w:val="22"/>
                <w:szCs w:val="22"/>
                <w:lang w:eastAsia="en-NZ"/>
              </w:rPr>
            </w:pPr>
            <w:r w:rsidRPr="00A73D3D">
              <w:rPr>
                <w:rFonts w:eastAsia="Times New Roman"/>
                <w:color w:val="000000"/>
                <w:sz w:val="22"/>
                <w:szCs w:val="22"/>
                <w:lang w:eastAsia="en-NZ"/>
              </w:rPr>
              <w:t>N</w:t>
            </w:r>
          </w:p>
        </w:tc>
        <w:tc>
          <w:tcPr>
            <w:tcW w:w="901" w:type="dxa"/>
            <w:tcBorders>
              <w:top w:val="single" w:sz="4" w:space="0" w:color="auto"/>
              <w:left w:val="nil"/>
              <w:bottom w:val="nil"/>
              <w:right w:val="nil"/>
            </w:tcBorders>
            <w:shd w:val="clear" w:color="auto" w:fill="auto"/>
            <w:noWrap/>
            <w:vAlign w:val="bottom"/>
            <w:hideMark/>
          </w:tcPr>
          <w:p w14:paraId="51F7A731" w14:textId="77777777" w:rsidR="00D07A53" w:rsidRPr="00A73D3D" w:rsidRDefault="00D07A53" w:rsidP="003632F4">
            <w:pPr>
              <w:spacing w:line="240" w:lineRule="auto"/>
              <w:jc w:val="center"/>
              <w:rPr>
                <w:rFonts w:eastAsia="Times New Roman"/>
                <w:i/>
                <w:iCs/>
                <w:color w:val="000000"/>
                <w:sz w:val="22"/>
                <w:szCs w:val="22"/>
                <w:lang w:eastAsia="en-NZ"/>
              </w:rPr>
            </w:pPr>
            <w:r w:rsidRPr="00A73D3D">
              <w:rPr>
                <w:rFonts w:eastAsia="Times New Roman"/>
                <w:i/>
                <w:iCs/>
                <w:color w:val="000000"/>
                <w:sz w:val="22"/>
                <w:szCs w:val="22"/>
                <w:lang w:eastAsia="en-NZ"/>
              </w:rPr>
              <w:t>%</w:t>
            </w:r>
          </w:p>
        </w:tc>
        <w:tc>
          <w:tcPr>
            <w:tcW w:w="781" w:type="dxa"/>
            <w:tcBorders>
              <w:top w:val="single" w:sz="4" w:space="0" w:color="auto"/>
              <w:left w:val="nil"/>
              <w:bottom w:val="nil"/>
              <w:right w:val="nil"/>
            </w:tcBorders>
            <w:shd w:val="clear" w:color="auto" w:fill="auto"/>
            <w:noWrap/>
            <w:vAlign w:val="bottom"/>
            <w:hideMark/>
          </w:tcPr>
          <w:p w14:paraId="24D5EDCD" w14:textId="77777777" w:rsidR="00D07A53" w:rsidRPr="00A73D3D" w:rsidRDefault="00D07A53" w:rsidP="003632F4">
            <w:pPr>
              <w:spacing w:line="240" w:lineRule="auto"/>
              <w:jc w:val="center"/>
              <w:rPr>
                <w:rFonts w:eastAsia="Times New Roman"/>
                <w:color w:val="000000"/>
                <w:sz w:val="22"/>
                <w:szCs w:val="22"/>
                <w:lang w:eastAsia="en-NZ"/>
              </w:rPr>
            </w:pPr>
            <w:r w:rsidRPr="00A73D3D">
              <w:rPr>
                <w:rFonts w:eastAsia="Times New Roman"/>
                <w:color w:val="000000"/>
                <w:sz w:val="22"/>
                <w:szCs w:val="22"/>
                <w:lang w:eastAsia="en-NZ"/>
              </w:rPr>
              <w:t>N</w:t>
            </w:r>
          </w:p>
        </w:tc>
        <w:tc>
          <w:tcPr>
            <w:tcW w:w="661" w:type="dxa"/>
            <w:tcBorders>
              <w:top w:val="single" w:sz="4" w:space="0" w:color="auto"/>
              <w:left w:val="nil"/>
              <w:bottom w:val="nil"/>
              <w:right w:val="nil"/>
            </w:tcBorders>
            <w:shd w:val="clear" w:color="auto" w:fill="auto"/>
            <w:noWrap/>
            <w:vAlign w:val="bottom"/>
            <w:hideMark/>
          </w:tcPr>
          <w:p w14:paraId="3E1093A3" w14:textId="77777777" w:rsidR="00D07A53" w:rsidRPr="00A73D3D" w:rsidRDefault="00D07A53" w:rsidP="003632F4">
            <w:pPr>
              <w:spacing w:line="240" w:lineRule="auto"/>
              <w:jc w:val="center"/>
              <w:rPr>
                <w:rFonts w:eastAsia="Times New Roman"/>
                <w:i/>
                <w:iCs/>
                <w:color w:val="000000"/>
                <w:sz w:val="22"/>
                <w:szCs w:val="22"/>
                <w:lang w:eastAsia="en-NZ"/>
              </w:rPr>
            </w:pPr>
            <w:r w:rsidRPr="00A73D3D">
              <w:rPr>
                <w:rFonts w:eastAsia="Times New Roman"/>
                <w:i/>
                <w:iCs/>
                <w:color w:val="000000"/>
                <w:sz w:val="22"/>
                <w:szCs w:val="22"/>
                <w:lang w:eastAsia="en-NZ"/>
              </w:rPr>
              <w:t>%</w:t>
            </w:r>
          </w:p>
        </w:tc>
      </w:tr>
      <w:tr w:rsidR="00D07A53" w:rsidRPr="00A73D3D" w14:paraId="2BD27C6E" w14:textId="77777777" w:rsidTr="003632F4">
        <w:trPr>
          <w:trHeight w:val="300"/>
        </w:trPr>
        <w:tc>
          <w:tcPr>
            <w:tcW w:w="3139" w:type="dxa"/>
            <w:gridSpan w:val="2"/>
            <w:tcBorders>
              <w:top w:val="single" w:sz="4" w:space="0" w:color="auto"/>
              <w:left w:val="nil"/>
              <w:bottom w:val="nil"/>
              <w:right w:val="nil"/>
            </w:tcBorders>
            <w:shd w:val="clear" w:color="auto" w:fill="auto"/>
            <w:noWrap/>
            <w:vAlign w:val="bottom"/>
            <w:hideMark/>
          </w:tcPr>
          <w:p w14:paraId="212A693D" w14:textId="77777777" w:rsidR="00D07A53" w:rsidRPr="00A73D3D" w:rsidRDefault="00D07A53" w:rsidP="003632F4">
            <w:pPr>
              <w:spacing w:line="240" w:lineRule="auto"/>
              <w:rPr>
                <w:rFonts w:eastAsia="Times New Roman"/>
                <w:b/>
                <w:bCs/>
                <w:color w:val="000000"/>
                <w:sz w:val="22"/>
                <w:szCs w:val="22"/>
                <w:lang w:eastAsia="en-NZ"/>
              </w:rPr>
            </w:pPr>
            <w:bookmarkStart w:id="176" w:name="RANGE!C6"/>
            <w:bookmarkStart w:id="177" w:name="_Hlk47354010" w:colFirst="2" w:colLast="12"/>
            <w:r w:rsidRPr="00A73D3D">
              <w:rPr>
                <w:rFonts w:eastAsia="Times New Roman"/>
                <w:b/>
                <w:bCs/>
                <w:color w:val="000000"/>
                <w:sz w:val="22"/>
                <w:szCs w:val="22"/>
                <w:lang w:eastAsia="en-NZ"/>
              </w:rPr>
              <w:t>Brief Screen</w:t>
            </w:r>
            <w:bookmarkEnd w:id="176"/>
          </w:p>
        </w:tc>
        <w:tc>
          <w:tcPr>
            <w:tcW w:w="865" w:type="dxa"/>
            <w:tcBorders>
              <w:top w:val="single" w:sz="4" w:space="0" w:color="auto"/>
              <w:left w:val="nil"/>
              <w:bottom w:val="nil"/>
              <w:right w:val="nil"/>
            </w:tcBorders>
            <w:shd w:val="clear" w:color="auto" w:fill="auto"/>
            <w:noWrap/>
            <w:vAlign w:val="bottom"/>
            <w:hideMark/>
          </w:tcPr>
          <w:p w14:paraId="73141416" w14:textId="77777777" w:rsidR="00D07A53" w:rsidRPr="00A73D3D" w:rsidRDefault="00D07A53" w:rsidP="003632F4">
            <w:pPr>
              <w:spacing w:line="240" w:lineRule="auto"/>
              <w:rPr>
                <w:rFonts w:eastAsia="Times New Roman"/>
                <w:i/>
                <w:iCs/>
                <w:color w:val="000000"/>
                <w:sz w:val="22"/>
                <w:szCs w:val="22"/>
                <w:lang w:eastAsia="en-NZ"/>
              </w:rPr>
            </w:pPr>
            <w:r w:rsidRPr="00A73D3D">
              <w:rPr>
                <w:rFonts w:eastAsia="Times New Roman"/>
                <w:i/>
                <w:iCs/>
                <w:color w:val="000000"/>
                <w:sz w:val="22"/>
                <w:szCs w:val="22"/>
                <w:lang w:eastAsia="en-NZ"/>
              </w:rPr>
              <w:t> </w:t>
            </w:r>
          </w:p>
        </w:tc>
        <w:tc>
          <w:tcPr>
            <w:tcW w:w="1208" w:type="dxa"/>
            <w:tcBorders>
              <w:top w:val="single" w:sz="4" w:space="0" w:color="auto"/>
              <w:left w:val="nil"/>
              <w:bottom w:val="nil"/>
              <w:right w:val="nil"/>
            </w:tcBorders>
            <w:shd w:val="clear" w:color="auto" w:fill="auto"/>
            <w:noWrap/>
            <w:vAlign w:val="bottom"/>
            <w:hideMark/>
          </w:tcPr>
          <w:p w14:paraId="64538268"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 </w:t>
            </w:r>
          </w:p>
        </w:tc>
        <w:tc>
          <w:tcPr>
            <w:tcW w:w="865" w:type="dxa"/>
            <w:tcBorders>
              <w:top w:val="single" w:sz="4" w:space="0" w:color="auto"/>
              <w:left w:val="nil"/>
              <w:bottom w:val="nil"/>
              <w:right w:val="nil"/>
            </w:tcBorders>
            <w:shd w:val="clear" w:color="auto" w:fill="auto"/>
            <w:noWrap/>
            <w:vAlign w:val="bottom"/>
            <w:hideMark/>
          </w:tcPr>
          <w:p w14:paraId="72BEB7B4" w14:textId="77777777" w:rsidR="00D07A53" w:rsidRPr="00A73D3D" w:rsidRDefault="00D07A53" w:rsidP="003632F4">
            <w:pPr>
              <w:spacing w:line="240" w:lineRule="auto"/>
              <w:rPr>
                <w:rFonts w:eastAsia="Times New Roman"/>
                <w:i/>
                <w:iCs/>
                <w:color w:val="000000"/>
                <w:sz w:val="22"/>
                <w:szCs w:val="22"/>
                <w:lang w:eastAsia="en-NZ"/>
              </w:rPr>
            </w:pPr>
            <w:r w:rsidRPr="00A73D3D">
              <w:rPr>
                <w:rFonts w:eastAsia="Times New Roman"/>
                <w:i/>
                <w:iCs/>
                <w:color w:val="000000"/>
                <w:sz w:val="22"/>
                <w:szCs w:val="22"/>
                <w:lang w:eastAsia="en-NZ"/>
              </w:rPr>
              <w:t> </w:t>
            </w:r>
          </w:p>
        </w:tc>
        <w:tc>
          <w:tcPr>
            <w:tcW w:w="980" w:type="dxa"/>
            <w:tcBorders>
              <w:top w:val="single" w:sz="4" w:space="0" w:color="auto"/>
              <w:left w:val="nil"/>
              <w:bottom w:val="nil"/>
              <w:right w:val="nil"/>
            </w:tcBorders>
            <w:shd w:val="clear" w:color="auto" w:fill="auto"/>
            <w:noWrap/>
            <w:vAlign w:val="bottom"/>
            <w:hideMark/>
          </w:tcPr>
          <w:p w14:paraId="199A721F"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 </w:t>
            </w:r>
          </w:p>
        </w:tc>
        <w:tc>
          <w:tcPr>
            <w:tcW w:w="635" w:type="dxa"/>
            <w:tcBorders>
              <w:top w:val="single" w:sz="4" w:space="0" w:color="auto"/>
              <w:left w:val="nil"/>
              <w:bottom w:val="nil"/>
              <w:right w:val="single" w:sz="4" w:space="0" w:color="auto"/>
            </w:tcBorders>
            <w:shd w:val="clear" w:color="auto" w:fill="auto"/>
            <w:noWrap/>
            <w:vAlign w:val="bottom"/>
            <w:hideMark/>
          </w:tcPr>
          <w:p w14:paraId="5518E14F" w14:textId="77777777" w:rsidR="00D07A53" w:rsidRPr="00A73D3D" w:rsidRDefault="00D07A53" w:rsidP="003632F4">
            <w:pPr>
              <w:spacing w:line="240" w:lineRule="auto"/>
              <w:rPr>
                <w:rFonts w:eastAsia="Times New Roman"/>
                <w:i/>
                <w:iCs/>
                <w:color w:val="000000"/>
                <w:sz w:val="22"/>
                <w:szCs w:val="22"/>
                <w:lang w:eastAsia="en-NZ"/>
              </w:rPr>
            </w:pPr>
            <w:r w:rsidRPr="00A73D3D">
              <w:rPr>
                <w:rFonts w:eastAsia="Times New Roman"/>
                <w:i/>
                <w:iCs/>
                <w:color w:val="000000"/>
                <w:sz w:val="22"/>
                <w:szCs w:val="22"/>
                <w:lang w:eastAsia="en-NZ"/>
              </w:rPr>
              <w:t> </w:t>
            </w:r>
          </w:p>
        </w:tc>
        <w:tc>
          <w:tcPr>
            <w:tcW w:w="1258" w:type="dxa"/>
            <w:tcBorders>
              <w:top w:val="single" w:sz="4" w:space="0" w:color="auto"/>
              <w:left w:val="nil"/>
              <w:bottom w:val="nil"/>
              <w:right w:val="nil"/>
            </w:tcBorders>
            <w:shd w:val="clear" w:color="auto" w:fill="auto"/>
            <w:noWrap/>
            <w:vAlign w:val="bottom"/>
            <w:hideMark/>
          </w:tcPr>
          <w:p w14:paraId="36886991"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 </w:t>
            </w:r>
          </w:p>
        </w:tc>
        <w:tc>
          <w:tcPr>
            <w:tcW w:w="901" w:type="dxa"/>
            <w:tcBorders>
              <w:top w:val="single" w:sz="4" w:space="0" w:color="auto"/>
              <w:left w:val="nil"/>
              <w:bottom w:val="nil"/>
              <w:right w:val="nil"/>
            </w:tcBorders>
            <w:shd w:val="clear" w:color="auto" w:fill="auto"/>
            <w:noWrap/>
            <w:vAlign w:val="bottom"/>
            <w:hideMark/>
          </w:tcPr>
          <w:p w14:paraId="2A46BFA9" w14:textId="77777777" w:rsidR="00D07A53" w:rsidRPr="00A73D3D" w:rsidRDefault="00D07A53" w:rsidP="003632F4">
            <w:pPr>
              <w:spacing w:line="240" w:lineRule="auto"/>
              <w:rPr>
                <w:rFonts w:eastAsia="Times New Roman"/>
                <w:i/>
                <w:iCs/>
                <w:color w:val="000000"/>
                <w:sz w:val="22"/>
                <w:szCs w:val="22"/>
                <w:lang w:eastAsia="en-NZ"/>
              </w:rPr>
            </w:pPr>
            <w:r w:rsidRPr="00A73D3D">
              <w:rPr>
                <w:rFonts w:eastAsia="Times New Roman"/>
                <w:i/>
                <w:iCs/>
                <w:color w:val="000000"/>
                <w:sz w:val="22"/>
                <w:szCs w:val="22"/>
                <w:lang w:eastAsia="en-NZ"/>
              </w:rPr>
              <w:t> </w:t>
            </w:r>
          </w:p>
        </w:tc>
        <w:tc>
          <w:tcPr>
            <w:tcW w:w="1258" w:type="dxa"/>
            <w:tcBorders>
              <w:top w:val="single" w:sz="4" w:space="0" w:color="auto"/>
              <w:left w:val="nil"/>
              <w:bottom w:val="nil"/>
              <w:right w:val="nil"/>
            </w:tcBorders>
            <w:shd w:val="clear" w:color="auto" w:fill="auto"/>
            <w:noWrap/>
            <w:vAlign w:val="bottom"/>
            <w:hideMark/>
          </w:tcPr>
          <w:p w14:paraId="77338404"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 </w:t>
            </w:r>
          </w:p>
        </w:tc>
        <w:tc>
          <w:tcPr>
            <w:tcW w:w="901" w:type="dxa"/>
            <w:tcBorders>
              <w:top w:val="single" w:sz="4" w:space="0" w:color="auto"/>
              <w:left w:val="nil"/>
              <w:bottom w:val="nil"/>
              <w:right w:val="nil"/>
            </w:tcBorders>
            <w:shd w:val="clear" w:color="auto" w:fill="auto"/>
            <w:noWrap/>
            <w:vAlign w:val="bottom"/>
            <w:hideMark/>
          </w:tcPr>
          <w:p w14:paraId="0E5C948D" w14:textId="77777777" w:rsidR="00D07A53" w:rsidRPr="00A73D3D" w:rsidRDefault="00D07A53" w:rsidP="003632F4">
            <w:pPr>
              <w:spacing w:line="240" w:lineRule="auto"/>
              <w:rPr>
                <w:rFonts w:eastAsia="Times New Roman"/>
                <w:i/>
                <w:iCs/>
                <w:color w:val="000000"/>
                <w:sz w:val="22"/>
                <w:szCs w:val="22"/>
                <w:lang w:eastAsia="en-NZ"/>
              </w:rPr>
            </w:pPr>
            <w:r w:rsidRPr="00A73D3D">
              <w:rPr>
                <w:rFonts w:eastAsia="Times New Roman"/>
                <w:i/>
                <w:iCs/>
                <w:color w:val="000000"/>
                <w:sz w:val="22"/>
                <w:szCs w:val="22"/>
                <w:lang w:eastAsia="en-NZ"/>
              </w:rPr>
              <w:t> </w:t>
            </w:r>
          </w:p>
        </w:tc>
        <w:tc>
          <w:tcPr>
            <w:tcW w:w="781" w:type="dxa"/>
            <w:tcBorders>
              <w:top w:val="single" w:sz="4" w:space="0" w:color="auto"/>
              <w:left w:val="nil"/>
              <w:bottom w:val="nil"/>
              <w:right w:val="nil"/>
            </w:tcBorders>
            <w:shd w:val="clear" w:color="auto" w:fill="auto"/>
            <w:noWrap/>
            <w:vAlign w:val="bottom"/>
            <w:hideMark/>
          </w:tcPr>
          <w:p w14:paraId="10BBABE2"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 </w:t>
            </w:r>
          </w:p>
        </w:tc>
        <w:tc>
          <w:tcPr>
            <w:tcW w:w="661" w:type="dxa"/>
            <w:tcBorders>
              <w:top w:val="single" w:sz="4" w:space="0" w:color="auto"/>
              <w:left w:val="nil"/>
              <w:bottom w:val="nil"/>
              <w:right w:val="nil"/>
            </w:tcBorders>
            <w:shd w:val="clear" w:color="auto" w:fill="auto"/>
            <w:noWrap/>
            <w:vAlign w:val="bottom"/>
            <w:hideMark/>
          </w:tcPr>
          <w:p w14:paraId="0ABDBB98" w14:textId="77777777" w:rsidR="00D07A53" w:rsidRPr="00A73D3D" w:rsidRDefault="00D07A53" w:rsidP="003632F4">
            <w:pPr>
              <w:spacing w:line="240" w:lineRule="auto"/>
              <w:rPr>
                <w:rFonts w:eastAsia="Times New Roman"/>
                <w:i/>
                <w:iCs/>
                <w:color w:val="000000"/>
                <w:sz w:val="22"/>
                <w:szCs w:val="22"/>
                <w:lang w:eastAsia="en-NZ"/>
              </w:rPr>
            </w:pPr>
            <w:r w:rsidRPr="00A73D3D">
              <w:rPr>
                <w:rFonts w:eastAsia="Times New Roman"/>
                <w:i/>
                <w:iCs/>
                <w:color w:val="000000"/>
                <w:sz w:val="22"/>
                <w:szCs w:val="22"/>
                <w:lang w:eastAsia="en-NZ"/>
              </w:rPr>
              <w:t> </w:t>
            </w:r>
          </w:p>
        </w:tc>
      </w:tr>
      <w:tr w:rsidR="00D07A53" w:rsidRPr="00A73D3D" w14:paraId="3FBD47B3" w14:textId="77777777" w:rsidTr="003632F4">
        <w:trPr>
          <w:trHeight w:val="300"/>
        </w:trPr>
        <w:tc>
          <w:tcPr>
            <w:tcW w:w="2268" w:type="dxa"/>
            <w:tcBorders>
              <w:top w:val="nil"/>
              <w:left w:val="nil"/>
              <w:bottom w:val="nil"/>
              <w:right w:val="nil"/>
            </w:tcBorders>
            <w:shd w:val="clear" w:color="auto" w:fill="auto"/>
            <w:noWrap/>
            <w:vAlign w:val="bottom"/>
            <w:hideMark/>
          </w:tcPr>
          <w:p w14:paraId="44FC4301"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FAO Awareness</w:t>
            </w:r>
          </w:p>
        </w:tc>
        <w:tc>
          <w:tcPr>
            <w:tcW w:w="871" w:type="dxa"/>
            <w:tcBorders>
              <w:top w:val="nil"/>
              <w:left w:val="nil"/>
              <w:bottom w:val="nil"/>
              <w:right w:val="nil"/>
            </w:tcBorders>
            <w:shd w:val="clear" w:color="auto" w:fill="auto"/>
            <w:noWrap/>
            <w:vAlign w:val="bottom"/>
            <w:hideMark/>
          </w:tcPr>
          <w:p w14:paraId="1CA35C4D"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159</w:t>
            </w:r>
          </w:p>
        </w:tc>
        <w:tc>
          <w:tcPr>
            <w:tcW w:w="865" w:type="dxa"/>
            <w:tcBorders>
              <w:top w:val="nil"/>
              <w:left w:val="nil"/>
              <w:bottom w:val="nil"/>
              <w:right w:val="nil"/>
            </w:tcBorders>
            <w:shd w:val="clear" w:color="auto" w:fill="auto"/>
            <w:noWrap/>
            <w:vAlign w:val="bottom"/>
            <w:hideMark/>
          </w:tcPr>
          <w:p w14:paraId="4218AEC5"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0.8</w:t>
            </w:r>
          </w:p>
        </w:tc>
        <w:tc>
          <w:tcPr>
            <w:tcW w:w="1208" w:type="dxa"/>
            <w:tcBorders>
              <w:top w:val="nil"/>
              <w:left w:val="nil"/>
              <w:bottom w:val="nil"/>
              <w:right w:val="nil"/>
            </w:tcBorders>
            <w:shd w:val="clear" w:color="auto" w:fill="auto"/>
            <w:noWrap/>
            <w:vAlign w:val="bottom"/>
            <w:hideMark/>
          </w:tcPr>
          <w:p w14:paraId="47F58944"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19418</w:t>
            </w:r>
          </w:p>
        </w:tc>
        <w:tc>
          <w:tcPr>
            <w:tcW w:w="865" w:type="dxa"/>
            <w:tcBorders>
              <w:top w:val="nil"/>
              <w:left w:val="nil"/>
              <w:bottom w:val="nil"/>
              <w:right w:val="nil"/>
            </w:tcBorders>
            <w:shd w:val="clear" w:color="auto" w:fill="auto"/>
            <w:noWrap/>
            <w:vAlign w:val="bottom"/>
            <w:hideMark/>
          </w:tcPr>
          <w:p w14:paraId="319FDD68"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93.9</w:t>
            </w:r>
          </w:p>
        </w:tc>
        <w:tc>
          <w:tcPr>
            <w:tcW w:w="980" w:type="dxa"/>
            <w:tcBorders>
              <w:top w:val="nil"/>
              <w:left w:val="nil"/>
              <w:bottom w:val="nil"/>
              <w:right w:val="nil"/>
            </w:tcBorders>
            <w:shd w:val="clear" w:color="auto" w:fill="auto"/>
            <w:noWrap/>
            <w:vAlign w:val="bottom"/>
            <w:hideMark/>
          </w:tcPr>
          <w:p w14:paraId="5CFDA13E"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1097</w:t>
            </w:r>
          </w:p>
        </w:tc>
        <w:tc>
          <w:tcPr>
            <w:tcW w:w="635" w:type="dxa"/>
            <w:tcBorders>
              <w:top w:val="nil"/>
              <w:left w:val="nil"/>
              <w:bottom w:val="nil"/>
              <w:right w:val="single" w:sz="4" w:space="0" w:color="auto"/>
            </w:tcBorders>
            <w:shd w:val="clear" w:color="auto" w:fill="auto"/>
            <w:noWrap/>
            <w:vAlign w:val="bottom"/>
            <w:hideMark/>
          </w:tcPr>
          <w:p w14:paraId="091FA5C9"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5.3</w:t>
            </w:r>
          </w:p>
        </w:tc>
        <w:tc>
          <w:tcPr>
            <w:tcW w:w="1258" w:type="dxa"/>
            <w:tcBorders>
              <w:top w:val="nil"/>
              <w:left w:val="nil"/>
              <w:bottom w:val="nil"/>
              <w:right w:val="nil"/>
            </w:tcBorders>
            <w:shd w:val="clear" w:color="auto" w:fill="auto"/>
            <w:noWrap/>
            <w:vAlign w:val="bottom"/>
            <w:hideMark/>
          </w:tcPr>
          <w:p w14:paraId="1E27D6D4"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14148</w:t>
            </w:r>
          </w:p>
        </w:tc>
        <w:tc>
          <w:tcPr>
            <w:tcW w:w="901" w:type="dxa"/>
            <w:tcBorders>
              <w:top w:val="nil"/>
              <w:left w:val="nil"/>
              <w:bottom w:val="nil"/>
              <w:right w:val="nil"/>
            </w:tcBorders>
            <w:shd w:val="clear" w:color="auto" w:fill="auto"/>
            <w:noWrap/>
            <w:vAlign w:val="bottom"/>
            <w:hideMark/>
          </w:tcPr>
          <w:p w14:paraId="79694F70"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94.5</w:t>
            </w:r>
          </w:p>
        </w:tc>
        <w:tc>
          <w:tcPr>
            <w:tcW w:w="1258" w:type="dxa"/>
            <w:tcBorders>
              <w:top w:val="nil"/>
              <w:left w:val="nil"/>
              <w:bottom w:val="nil"/>
              <w:right w:val="nil"/>
            </w:tcBorders>
            <w:shd w:val="clear" w:color="auto" w:fill="auto"/>
            <w:noWrap/>
            <w:vAlign w:val="bottom"/>
            <w:hideMark/>
          </w:tcPr>
          <w:p w14:paraId="58198661"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765</w:t>
            </w:r>
          </w:p>
        </w:tc>
        <w:tc>
          <w:tcPr>
            <w:tcW w:w="901" w:type="dxa"/>
            <w:tcBorders>
              <w:top w:val="nil"/>
              <w:left w:val="nil"/>
              <w:bottom w:val="nil"/>
              <w:right w:val="nil"/>
            </w:tcBorders>
            <w:shd w:val="clear" w:color="auto" w:fill="auto"/>
            <w:noWrap/>
            <w:vAlign w:val="bottom"/>
            <w:hideMark/>
          </w:tcPr>
          <w:p w14:paraId="66451978"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5.1</w:t>
            </w:r>
          </w:p>
        </w:tc>
        <w:tc>
          <w:tcPr>
            <w:tcW w:w="781" w:type="dxa"/>
            <w:tcBorders>
              <w:top w:val="nil"/>
              <w:left w:val="nil"/>
              <w:bottom w:val="nil"/>
              <w:right w:val="nil"/>
            </w:tcBorders>
            <w:shd w:val="clear" w:color="auto" w:fill="auto"/>
            <w:noWrap/>
            <w:vAlign w:val="bottom"/>
            <w:hideMark/>
          </w:tcPr>
          <w:p w14:paraId="03EEEF75"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52</w:t>
            </w:r>
          </w:p>
        </w:tc>
        <w:tc>
          <w:tcPr>
            <w:tcW w:w="661" w:type="dxa"/>
            <w:tcBorders>
              <w:top w:val="nil"/>
              <w:left w:val="nil"/>
              <w:bottom w:val="nil"/>
              <w:right w:val="nil"/>
            </w:tcBorders>
            <w:shd w:val="clear" w:color="auto" w:fill="auto"/>
            <w:noWrap/>
            <w:vAlign w:val="bottom"/>
            <w:hideMark/>
          </w:tcPr>
          <w:p w14:paraId="00650D56"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0.3</w:t>
            </w:r>
          </w:p>
        </w:tc>
      </w:tr>
      <w:tr w:rsidR="00D07A53" w:rsidRPr="00A73D3D" w14:paraId="586AF417" w14:textId="77777777" w:rsidTr="003632F4">
        <w:trPr>
          <w:trHeight w:val="300"/>
        </w:trPr>
        <w:tc>
          <w:tcPr>
            <w:tcW w:w="2268" w:type="dxa"/>
            <w:tcBorders>
              <w:top w:val="nil"/>
              <w:left w:val="nil"/>
              <w:bottom w:val="nil"/>
              <w:right w:val="nil"/>
            </w:tcBorders>
            <w:shd w:val="clear" w:color="auto" w:fill="auto"/>
            <w:noWrap/>
            <w:vAlign w:val="bottom"/>
            <w:hideMark/>
          </w:tcPr>
          <w:p w14:paraId="5B74855B"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FAO Effects</w:t>
            </w:r>
          </w:p>
        </w:tc>
        <w:tc>
          <w:tcPr>
            <w:tcW w:w="871" w:type="dxa"/>
            <w:tcBorders>
              <w:top w:val="nil"/>
              <w:left w:val="nil"/>
              <w:bottom w:val="nil"/>
              <w:right w:val="nil"/>
            </w:tcBorders>
            <w:shd w:val="clear" w:color="auto" w:fill="auto"/>
            <w:noWrap/>
            <w:vAlign w:val="bottom"/>
            <w:hideMark/>
          </w:tcPr>
          <w:p w14:paraId="202CC86E"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194</w:t>
            </w:r>
          </w:p>
        </w:tc>
        <w:tc>
          <w:tcPr>
            <w:tcW w:w="865" w:type="dxa"/>
            <w:tcBorders>
              <w:top w:val="nil"/>
              <w:left w:val="nil"/>
              <w:bottom w:val="nil"/>
              <w:right w:val="nil"/>
            </w:tcBorders>
            <w:shd w:val="clear" w:color="auto" w:fill="auto"/>
            <w:noWrap/>
            <w:vAlign w:val="bottom"/>
            <w:hideMark/>
          </w:tcPr>
          <w:p w14:paraId="7111EBAA"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0.9</w:t>
            </w:r>
          </w:p>
        </w:tc>
        <w:tc>
          <w:tcPr>
            <w:tcW w:w="1208" w:type="dxa"/>
            <w:tcBorders>
              <w:top w:val="nil"/>
              <w:left w:val="nil"/>
              <w:bottom w:val="nil"/>
              <w:right w:val="nil"/>
            </w:tcBorders>
            <w:shd w:val="clear" w:color="auto" w:fill="auto"/>
            <w:noWrap/>
            <w:vAlign w:val="bottom"/>
            <w:hideMark/>
          </w:tcPr>
          <w:p w14:paraId="578AD271"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19377</w:t>
            </w:r>
          </w:p>
        </w:tc>
        <w:tc>
          <w:tcPr>
            <w:tcW w:w="865" w:type="dxa"/>
            <w:tcBorders>
              <w:top w:val="nil"/>
              <w:left w:val="nil"/>
              <w:bottom w:val="nil"/>
              <w:right w:val="nil"/>
            </w:tcBorders>
            <w:shd w:val="clear" w:color="auto" w:fill="auto"/>
            <w:noWrap/>
            <w:vAlign w:val="bottom"/>
            <w:hideMark/>
          </w:tcPr>
          <w:p w14:paraId="03B8124B"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93.7</w:t>
            </w:r>
          </w:p>
        </w:tc>
        <w:tc>
          <w:tcPr>
            <w:tcW w:w="980" w:type="dxa"/>
            <w:tcBorders>
              <w:top w:val="nil"/>
              <w:left w:val="nil"/>
              <w:bottom w:val="nil"/>
              <w:right w:val="nil"/>
            </w:tcBorders>
            <w:shd w:val="clear" w:color="auto" w:fill="auto"/>
            <w:noWrap/>
            <w:vAlign w:val="bottom"/>
            <w:hideMark/>
          </w:tcPr>
          <w:p w14:paraId="47A28789"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1103</w:t>
            </w:r>
          </w:p>
        </w:tc>
        <w:tc>
          <w:tcPr>
            <w:tcW w:w="635" w:type="dxa"/>
            <w:tcBorders>
              <w:top w:val="nil"/>
              <w:left w:val="nil"/>
              <w:bottom w:val="nil"/>
              <w:right w:val="single" w:sz="4" w:space="0" w:color="auto"/>
            </w:tcBorders>
            <w:shd w:val="clear" w:color="auto" w:fill="auto"/>
            <w:noWrap/>
            <w:vAlign w:val="bottom"/>
            <w:hideMark/>
          </w:tcPr>
          <w:p w14:paraId="413666C4"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5.3</w:t>
            </w:r>
          </w:p>
        </w:tc>
        <w:tc>
          <w:tcPr>
            <w:tcW w:w="1258" w:type="dxa"/>
            <w:tcBorders>
              <w:top w:val="nil"/>
              <w:left w:val="nil"/>
              <w:bottom w:val="nil"/>
              <w:right w:val="nil"/>
            </w:tcBorders>
            <w:shd w:val="clear" w:color="auto" w:fill="auto"/>
            <w:noWrap/>
            <w:vAlign w:val="bottom"/>
            <w:hideMark/>
          </w:tcPr>
          <w:p w14:paraId="5F11386E"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14152</w:t>
            </w:r>
          </w:p>
        </w:tc>
        <w:tc>
          <w:tcPr>
            <w:tcW w:w="901" w:type="dxa"/>
            <w:tcBorders>
              <w:top w:val="nil"/>
              <w:left w:val="nil"/>
              <w:bottom w:val="nil"/>
              <w:right w:val="nil"/>
            </w:tcBorders>
            <w:shd w:val="clear" w:color="auto" w:fill="auto"/>
            <w:noWrap/>
            <w:vAlign w:val="bottom"/>
            <w:hideMark/>
          </w:tcPr>
          <w:p w14:paraId="32AEBBE3"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94.6</w:t>
            </w:r>
          </w:p>
        </w:tc>
        <w:tc>
          <w:tcPr>
            <w:tcW w:w="1258" w:type="dxa"/>
            <w:tcBorders>
              <w:top w:val="nil"/>
              <w:left w:val="nil"/>
              <w:bottom w:val="nil"/>
              <w:right w:val="nil"/>
            </w:tcBorders>
            <w:shd w:val="clear" w:color="auto" w:fill="auto"/>
            <w:noWrap/>
            <w:vAlign w:val="bottom"/>
            <w:hideMark/>
          </w:tcPr>
          <w:p w14:paraId="746ACAD4"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761</w:t>
            </w:r>
          </w:p>
        </w:tc>
        <w:tc>
          <w:tcPr>
            <w:tcW w:w="901" w:type="dxa"/>
            <w:tcBorders>
              <w:top w:val="nil"/>
              <w:left w:val="nil"/>
              <w:bottom w:val="nil"/>
              <w:right w:val="nil"/>
            </w:tcBorders>
            <w:shd w:val="clear" w:color="auto" w:fill="auto"/>
            <w:noWrap/>
            <w:vAlign w:val="bottom"/>
            <w:hideMark/>
          </w:tcPr>
          <w:p w14:paraId="3FF41F47"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5.1</w:t>
            </w:r>
          </w:p>
        </w:tc>
        <w:tc>
          <w:tcPr>
            <w:tcW w:w="781" w:type="dxa"/>
            <w:tcBorders>
              <w:top w:val="nil"/>
              <w:left w:val="nil"/>
              <w:bottom w:val="nil"/>
              <w:right w:val="nil"/>
            </w:tcBorders>
            <w:shd w:val="clear" w:color="auto" w:fill="auto"/>
            <w:noWrap/>
            <w:vAlign w:val="bottom"/>
            <w:hideMark/>
          </w:tcPr>
          <w:p w14:paraId="1360AECD"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52</w:t>
            </w:r>
          </w:p>
        </w:tc>
        <w:tc>
          <w:tcPr>
            <w:tcW w:w="661" w:type="dxa"/>
            <w:tcBorders>
              <w:top w:val="nil"/>
              <w:left w:val="nil"/>
              <w:bottom w:val="nil"/>
              <w:right w:val="nil"/>
            </w:tcBorders>
            <w:shd w:val="clear" w:color="auto" w:fill="auto"/>
            <w:noWrap/>
            <w:vAlign w:val="bottom"/>
            <w:hideMark/>
          </w:tcPr>
          <w:p w14:paraId="7F1EB74D"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0.3</w:t>
            </w:r>
          </w:p>
        </w:tc>
      </w:tr>
      <w:tr w:rsidR="00D07A53" w:rsidRPr="00A73D3D" w14:paraId="759EE8FB" w14:textId="77777777" w:rsidTr="003632F4">
        <w:trPr>
          <w:trHeight w:val="300"/>
        </w:trPr>
        <w:tc>
          <w:tcPr>
            <w:tcW w:w="2268" w:type="dxa"/>
            <w:tcBorders>
              <w:top w:val="nil"/>
              <w:left w:val="nil"/>
              <w:bottom w:val="single" w:sz="4" w:space="0" w:color="auto"/>
              <w:right w:val="nil"/>
            </w:tcBorders>
            <w:shd w:val="clear" w:color="auto" w:fill="auto"/>
            <w:noWrap/>
            <w:vAlign w:val="bottom"/>
            <w:hideMark/>
          </w:tcPr>
          <w:p w14:paraId="1A22FE95"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Brief Gambler Screen</w:t>
            </w:r>
          </w:p>
        </w:tc>
        <w:tc>
          <w:tcPr>
            <w:tcW w:w="871" w:type="dxa"/>
            <w:tcBorders>
              <w:top w:val="nil"/>
              <w:left w:val="nil"/>
              <w:bottom w:val="single" w:sz="4" w:space="0" w:color="auto"/>
              <w:right w:val="nil"/>
            </w:tcBorders>
            <w:shd w:val="clear" w:color="auto" w:fill="auto"/>
            <w:noWrap/>
            <w:vAlign w:val="bottom"/>
            <w:hideMark/>
          </w:tcPr>
          <w:p w14:paraId="4B8D6701"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19998</w:t>
            </w:r>
          </w:p>
        </w:tc>
        <w:tc>
          <w:tcPr>
            <w:tcW w:w="865" w:type="dxa"/>
            <w:tcBorders>
              <w:top w:val="nil"/>
              <w:left w:val="nil"/>
              <w:bottom w:val="single" w:sz="4" w:space="0" w:color="auto"/>
              <w:right w:val="nil"/>
            </w:tcBorders>
            <w:shd w:val="clear" w:color="auto" w:fill="auto"/>
            <w:noWrap/>
            <w:vAlign w:val="bottom"/>
            <w:hideMark/>
          </w:tcPr>
          <w:p w14:paraId="0AB57924"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96.7</w:t>
            </w:r>
          </w:p>
        </w:tc>
        <w:tc>
          <w:tcPr>
            <w:tcW w:w="1208" w:type="dxa"/>
            <w:tcBorders>
              <w:top w:val="nil"/>
              <w:left w:val="nil"/>
              <w:bottom w:val="single" w:sz="4" w:space="0" w:color="auto"/>
              <w:right w:val="nil"/>
            </w:tcBorders>
            <w:shd w:val="clear" w:color="auto" w:fill="auto"/>
            <w:noWrap/>
            <w:vAlign w:val="bottom"/>
            <w:hideMark/>
          </w:tcPr>
          <w:p w14:paraId="6EF52381"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638</w:t>
            </w:r>
          </w:p>
        </w:tc>
        <w:tc>
          <w:tcPr>
            <w:tcW w:w="865" w:type="dxa"/>
            <w:tcBorders>
              <w:top w:val="nil"/>
              <w:left w:val="nil"/>
              <w:bottom w:val="single" w:sz="4" w:space="0" w:color="auto"/>
              <w:right w:val="nil"/>
            </w:tcBorders>
            <w:shd w:val="clear" w:color="auto" w:fill="auto"/>
            <w:noWrap/>
            <w:vAlign w:val="bottom"/>
            <w:hideMark/>
          </w:tcPr>
          <w:p w14:paraId="4D600C5D"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3.1</w:t>
            </w:r>
          </w:p>
        </w:tc>
        <w:tc>
          <w:tcPr>
            <w:tcW w:w="980" w:type="dxa"/>
            <w:tcBorders>
              <w:top w:val="nil"/>
              <w:left w:val="nil"/>
              <w:bottom w:val="single" w:sz="4" w:space="0" w:color="auto"/>
              <w:right w:val="nil"/>
            </w:tcBorders>
            <w:shd w:val="clear" w:color="auto" w:fill="auto"/>
            <w:noWrap/>
            <w:vAlign w:val="bottom"/>
            <w:hideMark/>
          </w:tcPr>
          <w:p w14:paraId="78C73967"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38</w:t>
            </w:r>
          </w:p>
        </w:tc>
        <w:tc>
          <w:tcPr>
            <w:tcW w:w="635" w:type="dxa"/>
            <w:tcBorders>
              <w:top w:val="nil"/>
              <w:left w:val="nil"/>
              <w:bottom w:val="single" w:sz="4" w:space="0" w:color="auto"/>
              <w:right w:val="single" w:sz="4" w:space="0" w:color="auto"/>
            </w:tcBorders>
            <w:shd w:val="clear" w:color="auto" w:fill="auto"/>
            <w:noWrap/>
            <w:vAlign w:val="bottom"/>
            <w:hideMark/>
          </w:tcPr>
          <w:p w14:paraId="0DF21AA9"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0.2</w:t>
            </w:r>
          </w:p>
        </w:tc>
        <w:tc>
          <w:tcPr>
            <w:tcW w:w="1258" w:type="dxa"/>
            <w:tcBorders>
              <w:top w:val="nil"/>
              <w:left w:val="nil"/>
              <w:bottom w:val="single" w:sz="4" w:space="0" w:color="auto"/>
              <w:right w:val="nil"/>
            </w:tcBorders>
            <w:shd w:val="clear" w:color="auto" w:fill="auto"/>
            <w:noWrap/>
            <w:vAlign w:val="bottom"/>
            <w:hideMark/>
          </w:tcPr>
          <w:p w14:paraId="1BF56AC9"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260</w:t>
            </w:r>
          </w:p>
        </w:tc>
        <w:tc>
          <w:tcPr>
            <w:tcW w:w="901" w:type="dxa"/>
            <w:tcBorders>
              <w:top w:val="nil"/>
              <w:left w:val="nil"/>
              <w:bottom w:val="single" w:sz="4" w:space="0" w:color="auto"/>
              <w:right w:val="nil"/>
            </w:tcBorders>
            <w:shd w:val="clear" w:color="auto" w:fill="auto"/>
            <w:noWrap/>
            <w:vAlign w:val="bottom"/>
            <w:hideMark/>
          </w:tcPr>
          <w:p w14:paraId="310E6D00"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1.7</w:t>
            </w:r>
          </w:p>
        </w:tc>
        <w:tc>
          <w:tcPr>
            <w:tcW w:w="1258" w:type="dxa"/>
            <w:tcBorders>
              <w:top w:val="nil"/>
              <w:left w:val="nil"/>
              <w:bottom w:val="single" w:sz="4" w:space="0" w:color="auto"/>
              <w:right w:val="nil"/>
            </w:tcBorders>
            <w:shd w:val="clear" w:color="auto" w:fill="auto"/>
            <w:noWrap/>
            <w:vAlign w:val="bottom"/>
            <w:hideMark/>
          </w:tcPr>
          <w:p w14:paraId="11785386"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13737</w:t>
            </w:r>
          </w:p>
        </w:tc>
        <w:tc>
          <w:tcPr>
            <w:tcW w:w="901" w:type="dxa"/>
            <w:tcBorders>
              <w:top w:val="nil"/>
              <w:left w:val="nil"/>
              <w:bottom w:val="single" w:sz="4" w:space="0" w:color="auto"/>
              <w:right w:val="nil"/>
            </w:tcBorders>
            <w:shd w:val="clear" w:color="auto" w:fill="auto"/>
            <w:noWrap/>
            <w:vAlign w:val="bottom"/>
            <w:hideMark/>
          </w:tcPr>
          <w:p w14:paraId="5028E9D6"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91.8</w:t>
            </w:r>
          </w:p>
        </w:tc>
        <w:tc>
          <w:tcPr>
            <w:tcW w:w="781" w:type="dxa"/>
            <w:tcBorders>
              <w:top w:val="nil"/>
              <w:left w:val="nil"/>
              <w:bottom w:val="single" w:sz="4" w:space="0" w:color="auto"/>
              <w:right w:val="nil"/>
            </w:tcBorders>
            <w:shd w:val="clear" w:color="auto" w:fill="auto"/>
            <w:noWrap/>
            <w:vAlign w:val="bottom"/>
            <w:hideMark/>
          </w:tcPr>
          <w:p w14:paraId="4C9F8C63"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968</w:t>
            </w:r>
          </w:p>
        </w:tc>
        <w:tc>
          <w:tcPr>
            <w:tcW w:w="661" w:type="dxa"/>
            <w:tcBorders>
              <w:top w:val="nil"/>
              <w:left w:val="nil"/>
              <w:bottom w:val="single" w:sz="4" w:space="0" w:color="auto"/>
              <w:right w:val="nil"/>
            </w:tcBorders>
            <w:shd w:val="clear" w:color="auto" w:fill="auto"/>
            <w:noWrap/>
            <w:vAlign w:val="bottom"/>
            <w:hideMark/>
          </w:tcPr>
          <w:p w14:paraId="1FD97D0C"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6.5</w:t>
            </w:r>
          </w:p>
        </w:tc>
      </w:tr>
      <w:bookmarkEnd w:id="177"/>
    </w:tbl>
    <w:p w14:paraId="6C5CEB27" w14:textId="77777777" w:rsidR="00D07A53" w:rsidRPr="00D55C76" w:rsidRDefault="00D07A53" w:rsidP="00D07A53">
      <w:pPr>
        <w:pStyle w:val="Caption"/>
      </w:pPr>
    </w:p>
    <w:p w14:paraId="43B62EAE" w14:textId="4AADF172" w:rsidR="00D07A53" w:rsidRPr="00D55C76" w:rsidRDefault="00D07A53" w:rsidP="00D07A53">
      <w:pPr>
        <w:pStyle w:val="Caption"/>
      </w:pPr>
      <w:bookmarkStart w:id="178" w:name="_Ref47350051"/>
      <w:bookmarkStart w:id="179" w:name="_Toc58400654"/>
      <w:r w:rsidRPr="00D55C76">
        <w:t xml:space="preserve">Table </w:t>
      </w:r>
      <w:r w:rsidR="00D04B86">
        <w:fldChar w:fldCharType="begin"/>
      </w:r>
      <w:r w:rsidR="00D04B86">
        <w:instrText xml:space="preserve"> SEQ Table \* ARABIC </w:instrText>
      </w:r>
      <w:r w:rsidR="00D04B86">
        <w:fldChar w:fldCharType="separate"/>
      </w:r>
      <w:r w:rsidR="00DF0799">
        <w:rPr>
          <w:noProof/>
        </w:rPr>
        <w:t>21</w:t>
      </w:r>
      <w:r w:rsidR="00D04B86">
        <w:rPr>
          <w:noProof/>
        </w:rPr>
        <w:fldChar w:fldCharType="end"/>
      </w:r>
      <w:bookmarkEnd w:id="178"/>
      <w:r w:rsidRPr="00D55C76">
        <w:t>: Number of screening assessments for FAO and Gambler full intervention clients</w:t>
      </w:r>
      <w:bookmarkEnd w:id="179"/>
    </w:p>
    <w:tbl>
      <w:tblPr>
        <w:tblW w:w="15393" w:type="dxa"/>
        <w:tblInd w:w="-435" w:type="dxa"/>
        <w:tblLook w:val="04A0" w:firstRow="1" w:lastRow="0" w:firstColumn="1" w:lastColumn="0" w:noHBand="0" w:noVBand="1"/>
      </w:tblPr>
      <w:tblGrid>
        <w:gridCol w:w="2641"/>
        <w:gridCol w:w="1129"/>
        <w:gridCol w:w="996"/>
        <w:gridCol w:w="1129"/>
        <w:gridCol w:w="996"/>
        <w:gridCol w:w="1129"/>
        <w:gridCol w:w="996"/>
        <w:gridCol w:w="1336"/>
        <w:gridCol w:w="957"/>
        <w:gridCol w:w="1084"/>
        <w:gridCol w:w="958"/>
        <w:gridCol w:w="1084"/>
        <w:gridCol w:w="958"/>
      </w:tblGrid>
      <w:tr w:rsidR="00D07A53" w:rsidRPr="00A73D3D" w14:paraId="3E2975A8" w14:textId="77777777" w:rsidTr="003632F4">
        <w:trPr>
          <w:trHeight w:val="291"/>
        </w:trPr>
        <w:tc>
          <w:tcPr>
            <w:tcW w:w="2641" w:type="dxa"/>
            <w:tcBorders>
              <w:top w:val="single" w:sz="4" w:space="0" w:color="auto"/>
              <w:left w:val="nil"/>
              <w:bottom w:val="nil"/>
              <w:right w:val="nil"/>
            </w:tcBorders>
            <w:shd w:val="clear" w:color="auto" w:fill="auto"/>
            <w:noWrap/>
            <w:vAlign w:val="bottom"/>
            <w:hideMark/>
          </w:tcPr>
          <w:p w14:paraId="3F299843"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 </w:t>
            </w:r>
          </w:p>
        </w:tc>
        <w:tc>
          <w:tcPr>
            <w:tcW w:w="6375" w:type="dxa"/>
            <w:gridSpan w:val="6"/>
            <w:tcBorders>
              <w:top w:val="single" w:sz="4" w:space="0" w:color="auto"/>
              <w:left w:val="nil"/>
              <w:bottom w:val="nil"/>
              <w:right w:val="single" w:sz="4" w:space="0" w:color="000000"/>
            </w:tcBorders>
            <w:shd w:val="clear" w:color="auto" w:fill="auto"/>
            <w:noWrap/>
            <w:vAlign w:val="bottom"/>
            <w:hideMark/>
          </w:tcPr>
          <w:p w14:paraId="39C30E05" w14:textId="77777777" w:rsidR="00D07A53" w:rsidRPr="00A73D3D" w:rsidRDefault="00D07A53" w:rsidP="003632F4">
            <w:pPr>
              <w:spacing w:line="240" w:lineRule="auto"/>
              <w:jc w:val="center"/>
              <w:rPr>
                <w:rFonts w:eastAsia="Times New Roman"/>
                <w:b/>
                <w:bCs/>
                <w:color w:val="000000"/>
                <w:sz w:val="22"/>
                <w:szCs w:val="22"/>
                <w:lang w:eastAsia="en-NZ"/>
              </w:rPr>
            </w:pPr>
            <w:r w:rsidRPr="00A73D3D">
              <w:rPr>
                <w:rFonts w:eastAsia="Times New Roman"/>
                <w:b/>
                <w:bCs/>
                <w:color w:val="000000"/>
                <w:sz w:val="22"/>
                <w:szCs w:val="22"/>
                <w:lang w:eastAsia="en-NZ"/>
              </w:rPr>
              <w:t>FAO</w:t>
            </w:r>
          </w:p>
        </w:tc>
        <w:tc>
          <w:tcPr>
            <w:tcW w:w="6377" w:type="dxa"/>
            <w:gridSpan w:val="6"/>
            <w:tcBorders>
              <w:top w:val="single" w:sz="4" w:space="0" w:color="auto"/>
              <w:left w:val="nil"/>
              <w:bottom w:val="nil"/>
              <w:right w:val="nil"/>
            </w:tcBorders>
            <w:shd w:val="clear" w:color="auto" w:fill="auto"/>
            <w:noWrap/>
            <w:vAlign w:val="bottom"/>
            <w:hideMark/>
          </w:tcPr>
          <w:p w14:paraId="0AFD9AD4" w14:textId="77777777" w:rsidR="00D07A53" w:rsidRPr="00A73D3D" w:rsidRDefault="00D07A53" w:rsidP="003632F4">
            <w:pPr>
              <w:spacing w:line="240" w:lineRule="auto"/>
              <w:jc w:val="center"/>
              <w:rPr>
                <w:rFonts w:eastAsia="Times New Roman"/>
                <w:b/>
                <w:bCs/>
                <w:color w:val="000000"/>
                <w:sz w:val="22"/>
                <w:szCs w:val="22"/>
                <w:lang w:eastAsia="en-NZ"/>
              </w:rPr>
            </w:pPr>
            <w:r w:rsidRPr="00A73D3D">
              <w:rPr>
                <w:rFonts w:eastAsia="Times New Roman"/>
                <w:b/>
                <w:bCs/>
                <w:color w:val="000000"/>
                <w:sz w:val="22"/>
                <w:szCs w:val="22"/>
                <w:lang w:eastAsia="en-NZ"/>
              </w:rPr>
              <w:t>Gambler</w:t>
            </w:r>
          </w:p>
        </w:tc>
      </w:tr>
      <w:tr w:rsidR="00D07A53" w:rsidRPr="00A73D3D" w14:paraId="55E616D0" w14:textId="77777777" w:rsidTr="003632F4">
        <w:trPr>
          <w:trHeight w:val="291"/>
        </w:trPr>
        <w:tc>
          <w:tcPr>
            <w:tcW w:w="2641" w:type="dxa"/>
            <w:tcBorders>
              <w:top w:val="nil"/>
              <w:left w:val="nil"/>
              <w:bottom w:val="nil"/>
              <w:right w:val="nil"/>
            </w:tcBorders>
            <w:shd w:val="clear" w:color="auto" w:fill="auto"/>
            <w:noWrap/>
            <w:vAlign w:val="bottom"/>
            <w:hideMark/>
          </w:tcPr>
          <w:p w14:paraId="5793822D" w14:textId="77777777" w:rsidR="00D07A53" w:rsidRPr="00A73D3D" w:rsidRDefault="00D07A53" w:rsidP="003632F4">
            <w:pPr>
              <w:spacing w:line="240" w:lineRule="auto"/>
              <w:jc w:val="center"/>
              <w:rPr>
                <w:rFonts w:eastAsia="Times New Roman"/>
                <w:color w:val="000000"/>
                <w:sz w:val="22"/>
                <w:szCs w:val="22"/>
                <w:lang w:eastAsia="en-NZ"/>
              </w:rPr>
            </w:pPr>
          </w:p>
        </w:tc>
        <w:tc>
          <w:tcPr>
            <w:tcW w:w="2125" w:type="dxa"/>
            <w:gridSpan w:val="2"/>
            <w:tcBorders>
              <w:top w:val="single" w:sz="4" w:space="0" w:color="auto"/>
              <w:left w:val="nil"/>
              <w:bottom w:val="nil"/>
              <w:right w:val="nil"/>
            </w:tcBorders>
            <w:shd w:val="clear" w:color="auto" w:fill="auto"/>
            <w:noWrap/>
            <w:vAlign w:val="bottom"/>
            <w:hideMark/>
          </w:tcPr>
          <w:p w14:paraId="50F5D183" w14:textId="77777777" w:rsidR="00D07A53" w:rsidRPr="00A73D3D" w:rsidRDefault="00D07A53" w:rsidP="003632F4">
            <w:pPr>
              <w:spacing w:line="240" w:lineRule="auto"/>
              <w:jc w:val="center"/>
              <w:rPr>
                <w:rFonts w:eastAsia="Times New Roman"/>
                <w:b/>
                <w:bCs/>
                <w:color w:val="000000"/>
                <w:sz w:val="22"/>
                <w:szCs w:val="22"/>
                <w:lang w:eastAsia="en-NZ"/>
              </w:rPr>
            </w:pPr>
            <w:r w:rsidRPr="00A73D3D">
              <w:rPr>
                <w:rFonts w:eastAsia="Times New Roman"/>
                <w:b/>
                <w:bCs/>
                <w:color w:val="000000"/>
                <w:sz w:val="22"/>
                <w:szCs w:val="22"/>
                <w:lang w:eastAsia="en-NZ"/>
              </w:rPr>
              <w:t>0</w:t>
            </w:r>
          </w:p>
        </w:tc>
        <w:tc>
          <w:tcPr>
            <w:tcW w:w="2125" w:type="dxa"/>
            <w:gridSpan w:val="2"/>
            <w:tcBorders>
              <w:top w:val="single" w:sz="4" w:space="0" w:color="auto"/>
              <w:left w:val="nil"/>
              <w:bottom w:val="nil"/>
              <w:right w:val="nil"/>
            </w:tcBorders>
            <w:shd w:val="clear" w:color="auto" w:fill="auto"/>
            <w:noWrap/>
            <w:vAlign w:val="bottom"/>
            <w:hideMark/>
          </w:tcPr>
          <w:p w14:paraId="01736E47" w14:textId="77777777" w:rsidR="00D07A53" w:rsidRPr="00A73D3D" w:rsidRDefault="00D07A53" w:rsidP="003632F4">
            <w:pPr>
              <w:spacing w:line="240" w:lineRule="auto"/>
              <w:jc w:val="center"/>
              <w:rPr>
                <w:rFonts w:eastAsia="Times New Roman"/>
                <w:b/>
                <w:bCs/>
                <w:color w:val="000000"/>
                <w:sz w:val="22"/>
                <w:szCs w:val="22"/>
                <w:lang w:eastAsia="en-NZ"/>
              </w:rPr>
            </w:pPr>
            <w:r w:rsidRPr="00A73D3D">
              <w:rPr>
                <w:rFonts w:eastAsia="Times New Roman"/>
                <w:b/>
                <w:bCs/>
                <w:color w:val="000000"/>
                <w:sz w:val="22"/>
                <w:szCs w:val="22"/>
                <w:lang w:eastAsia="en-NZ"/>
              </w:rPr>
              <w:t>1</w:t>
            </w:r>
          </w:p>
        </w:tc>
        <w:tc>
          <w:tcPr>
            <w:tcW w:w="2125" w:type="dxa"/>
            <w:gridSpan w:val="2"/>
            <w:tcBorders>
              <w:top w:val="single" w:sz="4" w:space="0" w:color="auto"/>
              <w:left w:val="nil"/>
              <w:bottom w:val="nil"/>
              <w:right w:val="single" w:sz="4" w:space="0" w:color="000000"/>
            </w:tcBorders>
            <w:shd w:val="clear" w:color="auto" w:fill="auto"/>
            <w:noWrap/>
            <w:vAlign w:val="bottom"/>
            <w:hideMark/>
          </w:tcPr>
          <w:p w14:paraId="445A4B8C" w14:textId="77777777" w:rsidR="00D07A53" w:rsidRPr="00A73D3D" w:rsidRDefault="00D07A53" w:rsidP="003632F4">
            <w:pPr>
              <w:spacing w:line="240" w:lineRule="auto"/>
              <w:jc w:val="center"/>
              <w:rPr>
                <w:rFonts w:eastAsia="Times New Roman"/>
                <w:b/>
                <w:bCs/>
                <w:color w:val="000000"/>
                <w:sz w:val="22"/>
                <w:szCs w:val="22"/>
                <w:lang w:eastAsia="en-NZ"/>
              </w:rPr>
            </w:pPr>
            <w:r w:rsidRPr="00A73D3D">
              <w:rPr>
                <w:rFonts w:eastAsia="Times New Roman"/>
                <w:b/>
                <w:bCs/>
                <w:color w:val="000000"/>
                <w:sz w:val="22"/>
                <w:szCs w:val="22"/>
                <w:lang w:eastAsia="en-NZ"/>
              </w:rPr>
              <w:t>2+</w:t>
            </w:r>
          </w:p>
        </w:tc>
        <w:tc>
          <w:tcPr>
            <w:tcW w:w="2293" w:type="dxa"/>
            <w:gridSpan w:val="2"/>
            <w:tcBorders>
              <w:top w:val="single" w:sz="4" w:space="0" w:color="auto"/>
              <w:left w:val="nil"/>
              <w:bottom w:val="nil"/>
              <w:right w:val="nil"/>
            </w:tcBorders>
            <w:shd w:val="clear" w:color="auto" w:fill="auto"/>
            <w:noWrap/>
            <w:vAlign w:val="bottom"/>
            <w:hideMark/>
          </w:tcPr>
          <w:p w14:paraId="571104B6" w14:textId="77777777" w:rsidR="00D07A53" w:rsidRPr="00A73D3D" w:rsidRDefault="00D07A53" w:rsidP="003632F4">
            <w:pPr>
              <w:spacing w:line="240" w:lineRule="auto"/>
              <w:jc w:val="center"/>
              <w:rPr>
                <w:rFonts w:eastAsia="Times New Roman"/>
                <w:b/>
                <w:bCs/>
                <w:color w:val="000000"/>
                <w:sz w:val="22"/>
                <w:szCs w:val="22"/>
                <w:lang w:eastAsia="en-NZ"/>
              </w:rPr>
            </w:pPr>
            <w:r w:rsidRPr="00A73D3D">
              <w:rPr>
                <w:rFonts w:eastAsia="Times New Roman"/>
                <w:b/>
                <w:bCs/>
                <w:color w:val="000000"/>
                <w:sz w:val="22"/>
                <w:szCs w:val="22"/>
                <w:lang w:eastAsia="en-NZ"/>
              </w:rPr>
              <w:t>0</w:t>
            </w:r>
          </w:p>
        </w:tc>
        <w:tc>
          <w:tcPr>
            <w:tcW w:w="2042" w:type="dxa"/>
            <w:gridSpan w:val="2"/>
            <w:tcBorders>
              <w:top w:val="single" w:sz="4" w:space="0" w:color="auto"/>
              <w:left w:val="nil"/>
              <w:bottom w:val="nil"/>
              <w:right w:val="nil"/>
            </w:tcBorders>
            <w:shd w:val="clear" w:color="auto" w:fill="auto"/>
            <w:noWrap/>
            <w:vAlign w:val="bottom"/>
            <w:hideMark/>
          </w:tcPr>
          <w:p w14:paraId="42EEB107" w14:textId="77777777" w:rsidR="00D07A53" w:rsidRPr="00A73D3D" w:rsidRDefault="00D07A53" w:rsidP="003632F4">
            <w:pPr>
              <w:spacing w:line="240" w:lineRule="auto"/>
              <w:jc w:val="center"/>
              <w:rPr>
                <w:rFonts w:eastAsia="Times New Roman"/>
                <w:b/>
                <w:bCs/>
                <w:color w:val="000000"/>
                <w:sz w:val="22"/>
                <w:szCs w:val="22"/>
                <w:lang w:eastAsia="en-NZ"/>
              </w:rPr>
            </w:pPr>
            <w:r w:rsidRPr="00A73D3D">
              <w:rPr>
                <w:rFonts w:eastAsia="Times New Roman"/>
                <w:b/>
                <w:bCs/>
                <w:color w:val="000000"/>
                <w:sz w:val="22"/>
                <w:szCs w:val="22"/>
                <w:lang w:eastAsia="en-NZ"/>
              </w:rPr>
              <w:t>1</w:t>
            </w:r>
          </w:p>
        </w:tc>
        <w:tc>
          <w:tcPr>
            <w:tcW w:w="2042" w:type="dxa"/>
            <w:gridSpan w:val="2"/>
            <w:tcBorders>
              <w:top w:val="single" w:sz="4" w:space="0" w:color="auto"/>
              <w:left w:val="nil"/>
              <w:bottom w:val="nil"/>
              <w:right w:val="nil"/>
            </w:tcBorders>
            <w:shd w:val="clear" w:color="auto" w:fill="auto"/>
            <w:noWrap/>
            <w:vAlign w:val="bottom"/>
            <w:hideMark/>
          </w:tcPr>
          <w:p w14:paraId="5A0A3D7F" w14:textId="77777777" w:rsidR="00D07A53" w:rsidRPr="00A73D3D" w:rsidRDefault="00D07A53" w:rsidP="003632F4">
            <w:pPr>
              <w:spacing w:line="240" w:lineRule="auto"/>
              <w:jc w:val="center"/>
              <w:rPr>
                <w:rFonts w:eastAsia="Times New Roman"/>
                <w:b/>
                <w:bCs/>
                <w:color w:val="000000"/>
                <w:sz w:val="22"/>
                <w:szCs w:val="22"/>
                <w:lang w:eastAsia="en-NZ"/>
              </w:rPr>
            </w:pPr>
            <w:r w:rsidRPr="00A73D3D">
              <w:rPr>
                <w:rFonts w:eastAsia="Times New Roman"/>
                <w:b/>
                <w:bCs/>
                <w:color w:val="000000"/>
                <w:sz w:val="22"/>
                <w:szCs w:val="22"/>
                <w:lang w:eastAsia="en-NZ"/>
              </w:rPr>
              <w:t>2+</w:t>
            </w:r>
          </w:p>
        </w:tc>
      </w:tr>
      <w:tr w:rsidR="00D07A53" w:rsidRPr="00A73D3D" w14:paraId="7C1C4055" w14:textId="77777777" w:rsidTr="003632F4">
        <w:trPr>
          <w:trHeight w:val="291"/>
        </w:trPr>
        <w:tc>
          <w:tcPr>
            <w:tcW w:w="2641" w:type="dxa"/>
            <w:tcBorders>
              <w:top w:val="nil"/>
              <w:left w:val="nil"/>
              <w:bottom w:val="nil"/>
              <w:right w:val="nil"/>
            </w:tcBorders>
            <w:shd w:val="clear" w:color="auto" w:fill="auto"/>
            <w:noWrap/>
            <w:vAlign w:val="bottom"/>
            <w:hideMark/>
          </w:tcPr>
          <w:p w14:paraId="7706160E" w14:textId="77777777" w:rsidR="00D07A53" w:rsidRPr="00A73D3D" w:rsidRDefault="00D07A53" w:rsidP="003632F4">
            <w:pPr>
              <w:spacing w:line="240" w:lineRule="auto"/>
              <w:jc w:val="center"/>
              <w:rPr>
                <w:rFonts w:eastAsia="Times New Roman"/>
                <w:color w:val="000000"/>
                <w:sz w:val="22"/>
                <w:szCs w:val="22"/>
                <w:lang w:eastAsia="en-NZ"/>
              </w:rPr>
            </w:pPr>
          </w:p>
        </w:tc>
        <w:tc>
          <w:tcPr>
            <w:tcW w:w="1129" w:type="dxa"/>
            <w:tcBorders>
              <w:top w:val="single" w:sz="4" w:space="0" w:color="auto"/>
              <w:left w:val="nil"/>
              <w:bottom w:val="nil"/>
              <w:right w:val="nil"/>
            </w:tcBorders>
            <w:shd w:val="clear" w:color="auto" w:fill="auto"/>
            <w:noWrap/>
            <w:vAlign w:val="bottom"/>
            <w:hideMark/>
          </w:tcPr>
          <w:p w14:paraId="3F8917E3" w14:textId="77777777" w:rsidR="00D07A53" w:rsidRPr="00A73D3D" w:rsidRDefault="00D07A53" w:rsidP="003632F4">
            <w:pPr>
              <w:spacing w:line="240" w:lineRule="auto"/>
              <w:jc w:val="center"/>
              <w:rPr>
                <w:rFonts w:eastAsia="Times New Roman"/>
                <w:color w:val="000000"/>
                <w:sz w:val="22"/>
                <w:szCs w:val="22"/>
                <w:lang w:eastAsia="en-NZ"/>
              </w:rPr>
            </w:pPr>
            <w:r w:rsidRPr="00A73D3D">
              <w:rPr>
                <w:rFonts w:eastAsia="Times New Roman"/>
                <w:color w:val="000000"/>
                <w:sz w:val="22"/>
                <w:szCs w:val="22"/>
                <w:lang w:eastAsia="en-NZ"/>
              </w:rPr>
              <w:t>N</w:t>
            </w:r>
          </w:p>
        </w:tc>
        <w:tc>
          <w:tcPr>
            <w:tcW w:w="996" w:type="dxa"/>
            <w:tcBorders>
              <w:top w:val="single" w:sz="4" w:space="0" w:color="auto"/>
              <w:left w:val="nil"/>
              <w:bottom w:val="nil"/>
              <w:right w:val="nil"/>
            </w:tcBorders>
            <w:shd w:val="clear" w:color="auto" w:fill="auto"/>
            <w:noWrap/>
            <w:vAlign w:val="bottom"/>
            <w:hideMark/>
          </w:tcPr>
          <w:p w14:paraId="09664299" w14:textId="77777777" w:rsidR="00D07A53" w:rsidRPr="00A73D3D" w:rsidRDefault="00D07A53" w:rsidP="003632F4">
            <w:pPr>
              <w:spacing w:line="240" w:lineRule="auto"/>
              <w:jc w:val="center"/>
              <w:rPr>
                <w:rFonts w:eastAsia="Times New Roman"/>
                <w:i/>
                <w:iCs/>
                <w:color w:val="000000"/>
                <w:sz w:val="22"/>
                <w:szCs w:val="22"/>
                <w:lang w:eastAsia="en-NZ"/>
              </w:rPr>
            </w:pPr>
            <w:r w:rsidRPr="00A73D3D">
              <w:rPr>
                <w:rFonts w:eastAsia="Times New Roman"/>
                <w:i/>
                <w:iCs/>
                <w:color w:val="000000"/>
                <w:sz w:val="22"/>
                <w:szCs w:val="22"/>
                <w:lang w:eastAsia="en-NZ"/>
              </w:rPr>
              <w:t>%</w:t>
            </w:r>
          </w:p>
        </w:tc>
        <w:tc>
          <w:tcPr>
            <w:tcW w:w="1129" w:type="dxa"/>
            <w:tcBorders>
              <w:top w:val="single" w:sz="4" w:space="0" w:color="auto"/>
              <w:left w:val="nil"/>
              <w:bottom w:val="nil"/>
              <w:right w:val="nil"/>
            </w:tcBorders>
            <w:shd w:val="clear" w:color="auto" w:fill="auto"/>
            <w:noWrap/>
            <w:vAlign w:val="bottom"/>
            <w:hideMark/>
          </w:tcPr>
          <w:p w14:paraId="3315A6F9" w14:textId="77777777" w:rsidR="00D07A53" w:rsidRPr="00A73D3D" w:rsidRDefault="00D07A53" w:rsidP="003632F4">
            <w:pPr>
              <w:spacing w:line="240" w:lineRule="auto"/>
              <w:jc w:val="center"/>
              <w:rPr>
                <w:rFonts w:eastAsia="Times New Roman"/>
                <w:color w:val="000000"/>
                <w:sz w:val="22"/>
                <w:szCs w:val="22"/>
                <w:lang w:eastAsia="en-NZ"/>
              </w:rPr>
            </w:pPr>
            <w:r w:rsidRPr="00A73D3D">
              <w:rPr>
                <w:rFonts w:eastAsia="Times New Roman"/>
                <w:color w:val="000000"/>
                <w:sz w:val="22"/>
                <w:szCs w:val="22"/>
                <w:lang w:eastAsia="en-NZ"/>
              </w:rPr>
              <w:t>N</w:t>
            </w:r>
          </w:p>
        </w:tc>
        <w:tc>
          <w:tcPr>
            <w:tcW w:w="996" w:type="dxa"/>
            <w:tcBorders>
              <w:top w:val="single" w:sz="4" w:space="0" w:color="auto"/>
              <w:left w:val="nil"/>
              <w:bottom w:val="nil"/>
              <w:right w:val="nil"/>
            </w:tcBorders>
            <w:shd w:val="clear" w:color="auto" w:fill="auto"/>
            <w:noWrap/>
            <w:vAlign w:val="bottom"/>
            <w:hideMark/>
          </w:tcPr>
          <w:p w14:paraId="60B36B8E" w14:textId="77777777" w:rsidR="00D07A53" w:rsidRPr="00A73D3D" w:rsidRDefault="00D07A53" w:rsidP="003632F4">
            <w:pPr>
              <w:spacing w:line="240" w:lineRule="auto"/>
              <w:jc w:val="center"/>
              <w:rPr>
                <w:rFonts w:eastAsia="Times New Roman"/>
                <w:i/>
                <w:iCs/>
                <w:color w:val="000000"/>
                <w:sz w:val="22"/>
                <w:szCs w:val="22"/>
                <w:lang w:eastAsia="en-NZ"/>
              </w:rPr>
            </w:pPr>
            <w:r w:rsidRPr="00A73D3D">
              <w:rPr>
                <w:rFonts w:eastAsia="Times New Roman"/>
                <w:i/>
                <w:iCs/>
                <w:color w:val="000000"/>
                <w:sz w:val="22"/>
                <w:szCs w:val="22"/>
                <w:lang w:eastAsia="en-NZ"/>
              </w:rPr>
              <w:t>%</w:t>
            </w:r>
          </w:p>
        </w:tc>
        <w:tc>
          <w:tcPr>
            <w:tcW w:w="1129" w:type="dxa"/>
            <w:tcBorders>
              <w:top w:val="single" w:sz="4" w:space="0" w:color="auto"/>
              <w:left w:val="nil"/>
              <w:bottom w:val="nil"/>
              <w:right w:val="nil"/>
            </w:tcBorders>
            <w:shd w:val="clear" w:color="auto" w:fill="auto"/>
            <w:noWrap/>
            <w:vAlign w:val="bottom"/>
            <w:hideMark/>
          </w:tcPr>
          <w:p w14:paraId="5E322344" w14:textId="77777777" w:rsidR="00D07A53" w:rsidRPr="00A73D3D" w:rsidRDefault="00D07A53" w:rsidP="003632F4">
            <w:pPr>
              <w:spacing w:line="240" w:lineRule="auto"/>
              <w:jc w:val="center"/>
              <w:rPr>
                <w:rFonts w:eastAsia="Times New Roman"/>
                <w:color w:val="000000"/>
                <w:sz w:val="22"/>
                <w:szCs w:val="22"/>
                <w:lang w:eastAsia="en-NZ"/>
              </w:rPr>
            </w:pPr>
            <w:r w:rsidRPr="00A73D3D">
              <w:rPr>
                <w:rFonts w:eastAsia="Times New Roman"/>
                <w:color w:val="000000"/>
                <w:sz w:val="22"/>
                <w:szCs w:val="22"/>
                <w:lang w:eastAsia="en-NZ"/>
              </w:rPr>
              <w:t>N</w:t>
            </w:r>
          </w:p>
        </w:tc>
        <w:tc>
          <w:tcPr>
            <w:tcW w:w="996" w:type="dxa"/>
            <w:tcBorders>
              <w:top w:val="single" w:sz="4" w:space="0" w:color="auto"/>
              <w:left w:val="nil"/>
              <w:bottom w:val="nil"/>
              <w:right w:val="single" w:sz="4" w:space="0" w:color="auto"/>
            </w:tcBorders>
            <w:shd w:val="clear" w:color="auto" w:fill="auto"/>
            <w:noWrap/>
            <w:vAlign w:val="bottom"/>
            <w:hideMark/>
          </w:tcPr>
          <w:p w14:paraId="447FCB22" w14:textId="77777777" w:rsidR="00D07A53" w:rsidRPr="00A73D3D" w:rsidRDefault="00D07A53" w:rsidP="003632F4">
            <w:pPr>
              <w:spacing w:line="240" w:lineRule="auto"/>
              <w:jc w:val="center"/>
              <w:rPr>
                <w:rFonts w:eastAsia="Times New Roman"/>
                <w:i/>
                <w:iCs/>
                <w:color w:val="000000"/>
                <w:sz w:val="22"/>
                <w:szCs w:val="22"/>
                <w:lang w:eastAsia="en-NZ"/>
              </w:rPr>
            </w:pPr>
            <w:r w:rsidRPr="00A73D3D">
              <w:rPr>
                <w:rFonts w:eastAsia="Times New Roman"/>
                <w:i/>
                <w:iCs/>
                <w:color w:val="000000"/>
                <w:sz w:val="22"/>
                <w:szCs w:val="22"/>
                <w:lang w:eastAsia="en-NZ"/>
              </w:rPr>
              <w:t>%</w:t>
            </w:r>
          </w:p>
        </w:tc>
        <w:tc>
          <w:tcPr>
            <w:tcW w:w="1336" w:type="dxa"/>
            <w:tcBorders>
              <w:top w:val="single" w:sz="4" w:space="0" w:color="auto"/>
              <w:left w:val="nil"/>
              <w:bottom w:val="nil"/>
              <w:right w:val="nil"/>
            </w:tcBorders>
            <w:shd w:val="clear" w:color="auto" w:fill="auto"/>
            <w:noWrap/>
            <w:vAlign w:val="bottom"/>
            <w:hideMark/>
          </w:tcPr>
          <w:p w14:paraId="75A0B29C" w14:textId="77777777" w:rsidR="00D07A53" w:rsidRPr="00A73D3D" w:rsidRDefault="00D07A53" w:rsidP="003632F4">
            <w:pPr>
              <w:spacing w:line="240" w:lineRule="auto"/>
              <w:jc w:val="center"/>
              <w:rPr>
                <w:rFonts w:eastAsia="Times New Roman"/>
                <w:color w:val="000000"/>
                <w:sz w:val="22"/>
                <w:szCs w:val="22"/>
                <w:lang w:eastAsia="en-NZ"/>
              </w:rPr>
            </w:pPr>
            <w:r w:rsidRPr="00A73D3D">
              <w:rPr>
                <w:rFonts w:eastAsia="Times New Roman"/>
                <w:color w:val="000000"/>
                <w:sz w:val="22"/>
                <w:szCs w:val="22"/>
                <w:lang w:eastAsia="en-NZ"/>
              </w:rPr>
              <w:t>N</w:t>
            </w:r>
          </w:p>
        </w:tc>
        <w:tc>
          <w:tcPr>
            <w:tcW w:w="957" w:type="dxa"/>
            <w:tcBorders>
              <w:top w:val="single" w:sz="4" w:space="0" w:color="auto"/>
              <w:left w:val="nil"/>
              <w:bottom w:val="nil"/>
              <w:right w:val="nil"/>
            </w:tcBorders>
            <w:shd w:val="clear" w:color="auto" w:fill="auto"/>
            <w:noWrap/>
            <w:vAlign w:val="bottom"/>
            <w:hideMark/>
          </w:tcPr>
          <w:p w14:paraId="30F11404" w14:textId="77777777" w:rsidR="00D07A53" w:rsidRPr="00A73D3D" w:rsidRDefault="00D07A53" w:rsidP="003632F4">
            <w:pPr>
              <w:spacing w:line="240" w:lineRule="auto"/>
              <w:jc w:val="center"/>
              <w:rPr>
                <w:rFonts w:eastAsia="Times New Roman"/>
                <w:i/>
                <w:iCs/>
                <w:color w:val="000000"/>
                <w:sz w:val="22"/>
                <w:szCs w:val="22"/>
                <w:lang w:eastAsia="en-NZ"/>
              </w:rPr>
            </w:pPr>
            <w:r w:rsidRPr="00A73D3D">
              <w:rPr>
                <w:rFonts w:eastAsia="Times New Roman"/>
                <w:i/>
                <w:iCs/>
                <w:color w:val="000000"/>
                <w:sz w:val="22"/>
                <w:szCs w:val="22"/>
                <w:lang w:eastAsia="en-NZ"/>
              </w:rPr>
              <w:t>%</w:t>
            </w:r>
          </w:p>
        </w:tc>
        <w:tc>
          <w:tcPr>
            <w:tcW w:w="1084" w:type="dxa"/>
            <w:tcBorders>
              <w:top w:val="single" w:sz="4" w:space="0" w:color="auto"/>
              <w:left w:val="nil"/>
              <w:bottom w:val="nil"/>
              <w:right w:val="nil"/>
            </w:tcBorders>
            <w:shd w:val="clear" w:color="auto" w:fill="auto"/>
            <w:noWrap/>
            <w:vAlign w:val="bottom"/>
            <w:hideMark/>
          </w:tcPr>
          <w:p w14:paraId="2B99B558" w14:textId="77777777" w:rsidR="00D07A53" w:rsidRPr="00A73D3D" w:rsidRDefault="00D07A53" w:rsidP="003632F4">
            <w:pPr>
              <w:spacing w:line="240" w:lineRule="auto"/>
              <w:jc w:val="center"/>
              <w:rPr>
                <w:rFonts w:eastAsia="Times New Roman"/>
                <w:color w:val="000000"/>
                <w:sz w:val="22"/>
                <w:szCs w:val="22"/>
                <w:lang w:eastAsia="en-NZ"/>
              </w:rPr>
            </w:pPr>
            <w:r w:rsidRPr="00A73D3D">
              <w:rPr>
                <w:rFonts w:eastAsia="Times New Roman"/>
                <w:color w:val="000000"/>
                <w:sz w:val="22"/>
                <w:szCs w:val="22"/>
                <w:lang w:eastAsia="en-NZ"/>
              </w:rPr>
              <w:t>N</w:t>
            </w:r>
          </w:p>
        </w:tc>
        <w:tc>
          <w:tcPr>
            <w:tcW w:w="958" w:type="dxa"/>
            <w:tcBorders>
              <w:top w:val="single" w:sz="4" w:space="0" w:color="auto"/>
              <w:left w:val="nil"/>
              <w:bottom w:val="nil"/>
              <w:right w:val="nil"/>
            </w:tcBorders>
            <w:shd w:val="clear" w:color="auto" w:fill="auto"/>
            <w:noWrap/>
            <w:vAlign w:val="bottom"/>
            <w:hideMark/>
          </w:tcPr>
          <w:p w14:paraId="42CECD48" w14:textId="77777777" w:rsidR="00D07A53" w:rsidRPr="00A73D3D" w:rsidRDefault="00D07A53" w:rsidP="003632F4">
            <w:pPr>
              <w:spacing w:line="240" w:lineRule="auto"/>
              <w:jc w:val="center"/>
              <w:rPr>
                <w:rFonts w:eastAsia="Times New Roman"/>
                <w:i/>
                <w:iCs/>
                <w:color w:val="000000"/>
                <w:sz w:val="22"/>
                <w:szCs w:val="22"/>
                <w:lang w:eastAsia="en-NZ"/>
              </w:rPr>
            </w:pPr>
            <w:r w:rsidRPr="00A73D3D">
              <w:rPr>
                <w:rFonts w:eastAsia="Times New Roman"/>
                <w:i/>
                <w:iCs/>
                <w:color w:val="000000"/>
                <w:sz w:val="22"/>
                <w:szCs w:val="22"/>
                <w:lang w:eastAsia="en-NZ"/>
              </w:rPr>
              <w:t>%</w:t>
            </w:r>
          </w:p>
        </w:tc>
        <w:tc>
          <w:tcPr>
            <w:tcW w:w="1084" w:type="dxa"/>
            <w:tcBorders>
              <w:top w:val="single" w:sz="4" w:space="0" w:color="auto"/>
              <w:left w:val="nil"/>
              <w:bottom w:val="nil"/>
              <w:right w:val="nil"/>
            </w:tcBorders>
            <w:shd w:val="clear" w:color="auto" w:fill="auto"/>
            <w:noWrap/>
            <w:vAlign w:val="bottom"/>
            <w:hideMark/>
          </w:tcPr>
          <w:p w14:paraId="12A6149B" w14:textId="77777777" w:rsidR="00D07A53" w:rsidRPr="00A73D3D" w:rsidRDefault="00D07A53" w:rsidP="003632F4">
            <w:pPr>
              <w:spacing w:line="240" w:lineRule="auto"/>
              <w:jc w:val="center"/>
              <w:rPr>
                <w:rFonts w:eastAsia="Times New Roman"/>
                <w:color w:val="000000"/>
                <w:sz w:val="22"/>
                <w:szCs w:val="22"/>
                <w:lang w:eastAsia="en-NZ"/>
              </w:rPr>
            </w:pPr>
            <w:r w:rsidRPr="00A73D3D">
              <w:rPr>
                <w:rFonts w:eastAsia="Times New Roman"/>
                <w:color w:val="000000"/>
                <w:sz w:val="22"/>
                <w:szCs w:val="22"/>
                <w:lang w:eastAsia="en-NZ"/>
              </w:rPr>
              <w:t>N</w:t>
            </w:r>
          </w:p>
        </w:tc>
        <w:tc>
          <w:tcPr>
            <w:tcW w:w="958" w:type="dxa"/>
            <w:tcBorders>
              <w:top w:val="single" w:sz="4" w:space="0" w:color="auto"/>
              <w:left w:val="nil"/>
              <w:bottom w:val="nil"/>
              <w:right w:val="nil"/>
            </w:tcBorders>
            <w:shd w:val="clear" w:color="auto" w:fill="auto"/>
            <w:noWrap/>
            <w:vAlign w:val="bottom"/>
            <w:hideMark/>
          </w:tcPr>
          <w:p w14:paraId="087142CC" w14:textId="77777777" w:rsidR="00D07A53" w:rsidRPr="00A73D3D" w:rsidRDefault="00D07A53" w:rsidP="003632F4">
            <w:pPr>
              <w:spacing w:line="240" w:lineRule="auto"/>
              <w:jc w:val="center"/>
              <w:rPr>
                <w:rFonts w:eastAsia="Times New Roman"/>
                <w:i/>
                <w:iCs/>
                <w:color w:val="000000"/>
                <w:sz w:val="22"/>
                <w:szCs w:val="22"/>
                <w:lang w:eastAsia="en-NZ"/>
              </w:rPr>
            </w:pPr>
            <w:r w:rsidRPr="00A73D3D">
              <w:rPr>
                <w:rFonts w:eastAsia="Times New Roman"/>
                <w:i/>
                <w:iCs/>
                <w:color w:val="000000"/>
                <w:sz w:val="22"/>
                <w:szCs w:val="22"/>
                <w:lang w:eastAsia="en-NZ"/>
              </w:rPr>
              <w:t>%</w:t>
            </w:r>
          </w:p>
        </w:tc>
      </w:tr>
      <w:tr w:rsidR="00D07A53" w:rsidRPr="00A73D3D" w14:paraId="2F97CF45" w14:textId="77777777" w:rsidTr="003632F4">
        <w:trPr>
          <w:trHeight w:val="291"/>
        </w:trPr>
        <w:tc>
          <w:tcPr>
            <w:tcW w:w="3770" w:type="dxa"/>
            <w:gridSpan w:val="2"/>
            <w:tcBorders>
              <w:top w:val="single" w:sz="4" w:space="0" w:color="auto"/>
              <w:left w:val="nil"/>
              <w:bottom w:val="nil"/>
              <w:right w:val="nil"/>
            </w:tcBorders>
            <w:shd w:val="clear" w:color="auto" w:fill="auto"/>
            <w:noWrap/>
            <w:vAlign w:val="bottom"/>
            <w:hideMark/>
          </w:tcPr>
          <w:p w14:paraId="62DCEDDE" w14:textId="77777777" w:rsidR="00D07A53" w:rsidRPr="00A73D3D" w:rsidRDefault="00D07A53" w:rsidP="003632F4">
            <w:pPr>
              <w:spacing w:line="240" w:lineRule="auto"/>
              <w:rPr>
                <w:rFonts w:eastAsia="Times New Roman"/>
                <w:b/>
                <w:bCs/>
                <w:color w:val="000000"/>
                <w:sz w:val="22"/>
                <w:szCs w:val="22"/>
                <w:lang w:eastAsia="en-NZ"/>
              </w:rPr>
            </w:pPr>
            <w:r w:rsidRPr="00A73D3D">
              <w:rPr>
                <w:rFonts w:eastAsia="Times New Roman"/>
                <w:b/>
                <w:bCs/>
                <w:color w:val="000000"/>
                <w:sz w:val="22"/>
                <w:szCs w:val="22"/>
                <w:lang w:eastAsia="en-NZ"/>
              </w:rPr>
              <w:t>Full screen</w:t>
            </w:r>
          </w:p>
        </w:tc>
        <w:tc>
          <w:tcPr>
            <w:tcW w:w="996" w:type="dxa"/>
            <w:tcBorders>
              <w:top w:val="single" w:sz="4" w:space="0" w:color="auto"/>
              <w:left w:val="nil"/>
              <w:bottom w:val="nil"/>
              <w:right w:val="nil"/>
            </w:tcBorders>
            <w:shd w:val="clear" w:color="auto" w:fill="auto"/>
            <w:noWrap/>
            <w:vAlign w:val="bottom"/>
            <w:hideMark/>
          </w:tcPr>
          <w:p w14:paraId="509E5A8E" w14:textId="77777777" w:rsidR="00D07A53" w:rsidRPr="00A73D3D" w:rsidRDefault="00D07A53" w:rsidP="003632F4">
            <w:pPr>
              <w:spacing w:line="240" w:lineRule="auto"/>
              <w:rPr>
                <w:rFonts w:eastAsia="Times New Roman"/>
                <w:i/>
                <w:iCs/>
                <w:color w:val="000000"/>
                <w:sz w:val="22"/>
                <w:szCs w:val="22"/>
                <w:lang w:eastAsia="en-NZ"/>
              </w:rPr>
            </w:pPr>
            <w:r w:rsidRPr="00A73D3D">
              <w:rPr>
                <w:rFonts w:eastAsia="Times New Roman"/>
                <w:i/>
                <w:iCs/>
                <w:color w:val="000000"/>
                <w:sz w:val="22"/>
                <w:szCs w:val="22"/>
                <w:lang w:eastAsia="en-NZ"/>
              </w:rPr>
              <w:t> </w:t>
            </w:r>
          </w:p>
        </w:tc>
        <w:tc>
          <w:tcPr>
            <w:tcW w:w="1129" w:type="dxa"/>
            <w:tcBorders>
              <w:top w:val="single" w:sz="4" w:space="0" w:color="auto"/>
              <w:left w:val="nil"/>
              <w:bottom w:val="nil"/>
              <w:right w:val="nil"/>
            </w:tcBorders>
            <w:shd w:val="clear" w:color="auto" w:fill="auto"/>
            <w:noWrap/>
            <w:vAlign w:val="bottom"/>
            <w:hideMark/>
          </w:tcPr>
          <w:p w14:paraId="6604CB8E"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 </w:t>
            </w:r>
          </w:p>
        </w:tc>
        <w:tc>
          <w:tcPr>
            <w:tcW w:w="996" w:type="dxa"/>
            <w:tcBorders>
              <w:top w:val="single" w:sz="4" w:space="0" w:color="auto"/>
              <w:left w:val="nil"/>
              <w:bottom w:val="nil"/>
              <w:right w:val="nil"/>
            </w:tcBorders>
            <w:shd w:val="clear" w:color="auto" w:fill="auto"/>
            <w:noWrap/>
            <w:vAlign w:val="bottom"/>
            <w:hideMark/>
          </w:tcPr>
          <w:p w14:paraId="6101FBD9" w14:textId="77777777" w:rsidR="00D07A53" w:rsidRPr="00A73D3D" w:rsidRDefault="00D07A53" w:rsidP="003632F4">
            <w:pPr>
              <w:spacing w:line="240" w:lineRule="auto"/>
              <w:rPr>
                <w:rFonts w:eastAsia="Times New Roman"/>
                <w:i/>
                <w:iCs/>
                <w:color w:val="000000"/>
                <w:sz w:val="22"/>
                <w:szCs w:val="22"/>
                <w:lang w:eastAsia="en-NZ"/>
              </w:rPr>
            </w:pPr>
            <w:r w:rsidRPr="00A73D3D">
              <w:rPr>
                <w:rFonts w:eastAsia="Times New Roman"/>
                <w:i/>
                <w:iCs/>
                <w:color w:val="000000"/>
                <w:sz w:val="22"/>
                <w:szCs w:val="22"/>
                <w:lang w:eastAsia="en-NZ"/>
              </w:rPr>
              <w:t> </w:t>
            </w:r>
          </w:p>
        </w:tc>
        <w:tc>
          <w:tcPr>
            <w:tcW w:w="1129" w:type="dxa"/>
            <w:tcBorders>
              <w:top w:val="single" w:sz="4" w:space="0" w:color="auto"/>
              <w:left w:val="nil"/>
              <w:bottom w:val="nil"/>
              <w:right w:val="nil"/>
            </w:tcBorders>
            <w:shd w:val="clear" w:color="auto" w:fill="auto"/>
            <w:noWrap/>
            <w:vAlign w:val="bottom"/>
            <w:hideMark/>
          </w:tcPr>
          <w:p w14:paraId="242797F0"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 </w:t>
            </w:r>
          </w:p>
        </w:tc>
        <w:tc>
          <w:tcPr>
            <w:tcW w:w="996" w:type="dxa"/>
            <w:tcBorders>
              <w:top w:val="single" w:sz="4" w:space="0" w:color="auto"/>
              <w:left w:val="nil"/>
              <w:bottom w:val="nil"/>
              <w:right w:val="single" w:sz="4" w:space="0" w:color="auto"/>
            </w:tcBorders>
            <w:shd w:val="clear" w:color="auto" w:fill="auto"/>
            <w:noWrap/>
            <w:vAlign w:val="bottom"/>
            <w:hideMark/>
          </w:tcPr>
          <w:p w14:paraId="1DFC9F71" w14:textId="77777777" w:rsidR="00D07A53" w:rsidRPr="00A73D3D" w:rsidRDefault="00D07A53" w:rsidP="003632F4">
            <w:pPr>
              <w:spacing w:line="240" w:lineRule="auto"/>
              <w:rPr>
                <w:rFonts w:eastAsia="Times New Roman"/>
                <w:i/>
                <w:iCs/>
                <w:color w:val="000000"/>
                <w:sz w:val="22"/>
                <w:szCs w:val="22"/>
                <w:lang w:eastAsia="en-NZ"/>
              </w:rPr>
            </w:pPr>
            <w:r w:rsidRPr="00A73D3D">
              <w:rPr>
                <w:rFonts w:eastAsia="Times New Roman"/>
                <w:i/>
                <w:iCs/>
                <w:color w:val="000000"/>
                <w:sz w:val="22"/>
                <w:szCs w:val="22"/>
                <w:lang w:eastAsia="en-NZ"/>
              </w:rPr>
              <w:t> </w:t>
            </w:r>
          </w:p>
        </w:tc>
        <w:tc>
          <w:tcPr>
            <w:tcW w:w="1336" w:type="dxa"/>
            <w:tcBorders>
              <w:top w:val="single" w:sz="4" w:space="0" w:color="auto"/>
              <w:left w:val="nil"/>
              <w:bottom w:val="nil"/>
              <w:right w:val="nil"/>
            </w:tcBorders>
            <w:shd w:val="clear" w:color="auto" w:fill="auto"/>
            <w:noWrap/>
            <w:vAlign w:val="bottom"/>
            <w:hideMark/>
          </w:tcPr>
          <w:p w14:paraId="7F7D6FF0"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 </w:t>
            </w:r>
          </w:p>
        </w:tc>
        <w:tc>
          <w:tcPr>
            <w:tcW w:w="957" w:type="dxa"/>
            <w:tcBorders>
              <w:top w:val="single" w:sz="4" w:space="0" w:color="auto"/>
              <w:left w:val="nil"/>
              <w:bottom w:val="nil"/>
              <w:right w:val="nil"/>
            </w:tcBorders>
            <w:shd w:val="clear" w:color="auto" w:fill="auto"/>
            <w:noWrap/>
            <w:vAlign w:val="bottom"/>
            <w:hideMark/>
          </w:tcPr>
          <w:p w14:paraId="0A3C4BBE" w14:textId="77777777" w:rsidR="00D07A53" w:rsidRPr="00A73D3D" w:rsidRDefault="00D07A53" w:rsidP="003632F4">
            <w:pPr>
              <w:spacing w:line="240" w:lineRule="auto"/>
              <w:rPr>
                <w:rFonts w:eastAsia="Times New Roman"/>
                <w:i/>
                <w:iCs/>
                <w:color w:val="000000"/>
                <w:sz w:val="22"/>
                <w:szCs w:val="22"/>
                <w:lang w:eastAsia="en-NZ"/>
              </w:rPr>
            </w:pPr>
            <w:r w:rsidRPr="00A73D3D">
              <w:rPr>
                <w:rFonts w:eastAsia="Times New Roman"/>
                <w:i/>
                <w:iCs/>
                <w:color w:val="000000"/>
                <w:sz w:val="22"/>
                <w:szCs w:val="22"/>
                <w:lang w:eastAsia="en-NZ"/>
              </w:rPr>
              <w:t> </w:t>
            </w:r>
          </w:p>
        </w:tc>
        <w:tc>
          <w:tcPr>
            <w:tcW w:w="1084" w:type="dxa"/>
            <w:tcBorders>
              <w:top w:val="single" w:sz="4" w:space="0" w:color="auto"/>
              <w:left w:val="nil"/>
              <w:bottom w:val="nil"/>
              <w:right w:val="nil"/>
            </w:tcBorders>
            <w:shd w:val="clear" w:color="auto" w:fill="auto"/>
            <w:noWrap/>
            <w:vAlign w:val="bottom"/>
            <w:hideMark/>
          </w:tcPr>
          <w:p w14:paraId="46326DBF"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 </w:t>
            </w:r>
          </w:p>
        </w:tc>
        <w:tc>
          <w:tcPr>
            <w:tcW w:w="958" w:type="dxa"/>
            <w:tcBorders>
              <w:top w:val="single" w:sz="4" w:space="0" w:color="auto"/>
              <w:left w:val="nil"/>
              <w:bottom w:val="nil"/>
              <w:right w:val="nil"/>
            </w:tcBorders>
            <w:shd w:val="clear" w:color="auto" w:fill="auto"/>
            <w:noWrap/>
            <w:vAlign w:val="bottom"/>
            <w:hideMark/>
          </w:tcPr>
          <w:p w14:paraId="17A91B4B" w14:textId="77777777" w:rsidR="00D07A53" w:rsidRPr="00A73D3D" w:rsidRDefault="00D07A53" w:rsidP="003632F4">
            <w:pPr>
              <w:spacing w:line="240" w:lineRule="auto"/>
              <w:rPr>
                <w:rFonts w:eastAsia="Times New Roman"/>
                <w:i/>
                <w:iCs/>
                <w:color w:val="000000"/>
                <w:sz w:val="22"/>
                <w:szCs w:val="22"/>
                <w:lang w:eastAsia="en-NZ"/>
              </w:rPr>
            </w:pPr>
            <w:r w:rsidRPr="00A73D3D">
              <w:rPr>
                <w:rFonts w:eastAsia="Times New Roman"/>
                <w:i/>
                <w:iCs/>
                <w:color w:val="000000"/>
                <w:sz w:val="22"/>
                <w:szCs w:val="22"/>
                <w:lang w:eastAsia="en-NZ"/>
              </w:rPr>
              <w:t> </w:t>
            </w:r>
          </w:p>
        </w:tc>
        <w:tc>
          <w:tcPr>
            <w:tcW w:w="1084" w:type="dxa"/>
            <w:tcBorders>
              <w:top w:val="single" w:sz="4" w:space="0" w:color="auto"/>
              <w:left w:val="nil"/>
              <w:bottom w:val="nil"/>
              <w:right w:val="nil"/>
            </w:tcBorders>
            <w:shd w:val="clear" w:color="auto" w:fill="auto"/>
            <w:noWrap/>
            <w:vAlign w:val="bottom"/>
            <w:hideMark/>
          </w:tcPr>
          <w:p w14:paraId="4D88DD18"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 </w:t>
            </w:r>
          </w:p>
        </w:tc>
        <w:tc>
          <w:tcPr>
            <w:tcW w:w="958" w:type="dxa"/>
            <w:tcBorders>
              <w:top w:val="single" w:sz="4" w:space="0" w:color="auto"/>
              <w:left w:val="nil"/>
              <w:bottom w:val="nil"/>
              <w:right w:val="nil"/>
            </w:tcBorders>
            <w:shd w:val="clear" w:color="auto" w:fill="auto"/>
            <w:noWrap/>
            <w:vAlign w:val="bottom"/>
            <w:hideMark/>
          </w:tcPr>
          <w:p w14:paraId="1696BB30" w14:textId="77777777" w:rsidR="00D07A53" w:rsidRPr="00A73D3D" w:rsidRDefault="00D07A53" w:rsidP="003632F4">
            <w:pPr>
              <w:spacing w:line="240" w:lineRule="auto"/>
              <w:rPr>
                <w:rFonts w:eastAsia="Times New Roman"/>
                <w:i/>
                <w:iCs/>
                <w:color w:val="000000"/>
                <w:sz w:val="22"/>
                <w:szCs w:val="22"/>
                <w:lang w:eastAsia="en-NZ"/>
              </w:rPr>
            </w:pPr>
            <w:r w:rsidRPr="00A73D3D">
              <w:rPr>
                <w:rFonts w:eastAsia="Times New Roman"/>
                <w:i/>
                <w:iCs/>
                <w:color w:val="000000"/>
                <w:sz w:val="22"/>
                <w:szCs w:val="22"/>
                <w:lang w:eastAsia="en-NZ"/>
              </w:rPr>
              <w:t> </w:t>
            </w:r>
          </w:p>
        </w:tc>
      </w:tr>
      <w:tr w:rsidR="00D07A53" w:rsidRPr="00A73D3D" w14:paraId="5779F5E5" w14:textId="77777777" w:rsidTr="003632F4">
        <w:trPr>
          <w:trHeight w:val="291"/>
        </w:trPr>
        <w:tc>
          <w:tcPr>
            <w:tcW w:w="2641" w:type="dxa"/>
            <w:tcBorders>
              <w:top w:val="nil"/>
              <w:left w:val="nil"/>
              <w:bottom w:val="nil"/>
              <w:right w:val="nil"/>
            </w:tcBorders>
            <w:shd w:val="clear" w:color="auto" w:fill="auto"/>
            <w:noWrap/>
            <w:vAlign w:val="bottom"/>
            <w:hideMark/>
          </w:tcPr>
          <w:p w14:paraId="6DF751B2" w14:textId="77777777" w:rsidR="00D07A53" w:rsidRPr="00A73D3D" w:rsidRDefault="00D07A53" w:rsidP="003632F4">
            <w:pPr>
              <w:spacing w:line="240" w:lineRule="auto"/>
              <w:rPr>
                <w:rFonts w:eastAsia="Times New Roman"/>
                <w:color w:val="000000"/>
                <w:sz w:val="22"/>
                <w:szCs w:val="22"/>
                <w:lang w:eastAsia="en-NZ"/>
              </w:rPr>
            </w:pPr>
            <w:bookmarkStart w:id="180" w:name="_Hlk47354037" w:colFirst="1" w:colLast="12"/>
            <w:r w:rsidRPr="00A73D3D">
              <w:rPr>
                <w:rFonts w:eastAsia="Times New Roman"/>
                <w:color w:val="000000"/>
                <w:sz w:val="22"/>
                <w:szCs w:val="22"/>
                <w:lang w:eastAsia="en-NZ"/>
              </w:rPr>
              <w:t>FAO Effects</w:t>
            </w:r>
          </w:p>
        </w:tc>
        <w:tc>
          <w:tcPr>
            <w:tcW w:w="1129" w:type="dxa"/>
            <w:tcBorders>
              <w:top w:val="nil"/>
              <w:left w:val="nil"/>
              <w:bottom w:val="nil"/>
              <w:right w:val="nil"/>
            </w:tcBorders>
            <w:shd w:val="clear" w:color="auto" w:fill="auto"/>
            <w:noWrap/>
            <w:vAlign w:val="bottom"/>
            <w:hideMark/>
          </w:tcPr>
          <w:p w14:paraId="44060C61"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3144</w:t>
            </w:r>
          </w:p>
        </w:tc>
        <w:tc>
          <w:tcPr>
            <w:tcW w:w="996" w:type="dxa"/>
            <w:tcBorders>
              <w:top w:val="nil"/>
              <w:left w:val="nil"/>
              <w:bottom w:val="nil"/>
              <w:right w:val="nil"/>
            </w:tcBorders>
            <w:shd w:val="clear" w:color="auto" w:fill="auto"/>
            <w:noWrap/>
            <w:vAlign w:val="bottom"/>
            <w:hideMark/>
          </w:tcPr>
          <w:p w14:paraId="3715C2AD"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49.3</w:t>
            </w:r>
          </w:p>
        </w:tc>
        <w:tc>
          <w:tcPr>
            <w:tcW w:w="1129" w:type="dxa"/>
            <w:tcBorders>
              <w:top w:val="nil"/>
              <w:left w:val="nil"/>
              <w:bottom w:val="nil"/>
              <w:right w:val="nil"/>
            </w:tcBorders>
            <w:shd w:val="clear" w:color="auto" w:fill="auto"/>
            <w:noWrap/>
            <w:vAlign w:val="bottom"/>
            <w:hideMark/>
          </w:tcPr>
          <w:p w14:paraId="58DA2DBB"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1807</w:t>
            </w:r>
          </w:p>
        </w:tc>
        <w:tc>
          <w:tcPr>
            <w:tcW w:w="996" w:type="dxa"/>
            <w:tcBorders>
              <w:top w:val="nil"/>
              <w:left w:val="nil"/>
              <w:bottom w:val="nil"/>
              <w:right w:val="nil"/>
            </w:tcBorders>
            <w:shd w:val="clear" w:color="auto" w:fill="auto"/>
            <w:noWrap/>
            <w:vAlign w:val="bottom"/>
            <w:hideMark/>
          </w:tcPr>
          <w:p w14:paraId="45193254"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28.3</w:t>
            </w:r>
          </w:p>
        </w:tc>
        <w:tc>
          <w:tcPr>
            <w:tcW w:w="1129" w:type="dxa"/>
            <w:tcBorders>
              <w:top w:val="nil"/>
              <w:left w:val="nil"/>
              <w:bottom w:val="nil"/>
              <w:right w:val="nil"/>
            </w:tcBorders>
            <w:shd w:val="clear" w:color="auto" w:fill="auto"/>
            <w:noWrap/>
            <w:vAlign w:val="bottom"/>
            <w:hideMark/>
          </w:tcPr>
          <w:p w14:paraId="72ACA0B9"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1429</w:t>
            </w:r>
          </w:p>
        </w:tc>
        <w:tc>
          <w:tcPr>
            <w:tcW w:w="996" w:type="dxa"/>
            <w:tcBorders>
              <w:top w:val="nil"/>
              <w:left w:val="nil"/>
              <w:bottom w:val="nil"/>
              <w:right w:val="single" w:sz="4" w:space="0" w:color="auto"/>
            </w:tcBorders>
            <w:shd w:val="clear" w:color="auto" w:fill="auto"/>
            <w:noWrap/>
            <w:vAlign w:val="bottom"/>
            <w:hideMark/>
          </w:tcPr>
          <w:p w14:paraId="639EBBBC"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22.4</w:t>
            </w:r>
          </w:p>
        </w:tc>
        <w:tc>
          <w:tcPr>
            <w:tcW w:w="1336" w:type="dxa"/>
            <w:tcBorders>
              <w:top w:val="nil"/>
              <w:left w:val="nil"/>
              <w:bottom w:val="nil"/>
              <w:right w:val="nil"/>
            </w:tcBorders>
            <w:shd w:val="clear" w:color="auto" w:fill="auto"/>
            <w:noWrap/>
            <w:vAlign w:val="bottom"/>
            <w:hideMark/>
          </w:tcPr>
          <w:p w14:paraId="5B95161A"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13269</w:t>
            </w:r>
          </w:p>
        </w:tc>
        <w:tc>
          <w:tcPr>
            <w:tcW w:w="957" w:type="dxa"/>
            <w:tcBorders>
              <w:top w:val="nil"/>
              <w:left w:val="nil"/>
              <w:bottom w:val="nil"/>
              <w:right w:val="nil"/>
            </w:tcBorders>
            <w:shd w:val="clear" w:color="auto" w:fill="auto"/>
            <w:noWrap/>
            <w:vAlign w:val="bottom"/>
            <w:hideMark/>
          </w:tcPr>
          <w:p w14:paraId="017DD87D"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98.1</w:t>
            </w:r>
          </w:p>
        </w:tc>
        <w:tc>
          <w:tcPr>
            <w:tcW w:w="1084" w:type="dxa"/>
            <w:tcBorders>
              <w:top w:val="nil"/>
              <w:left w:val="nil"/>
              <w:bottom w:val="nil"/>
              <w:right w:val="nil"/>
            </w:tcBorders>
            <w:shd w:val="clear" w:color="auto" w:fill="auto"/>
            <w:noWrap/>
            <w:vAlign w:val="bottom"/>
            <w:hideMark/>
          </w:tcPr>
          <w:p w14:paraId="53E6DC3F"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182</w:t>
            </w:r>
          </w:p>
        </w:tc>
        <w:tc>
          <w:tcPr>
            <w:tcW w:w="958" w:type="dxa"/>
            <w:tcBorders>
              <w:top w:val="nil"/>
              <w:left w:val="nil"/>
              <w:bottom w:val="nil"/>
              <w:right w:val="nil"/>
            </w:tcBorders>
            <w:shd w:val="clear" w:color="auto" w:fill="auto"/>
            <w:noWrap/>
            <w:vAlign w:val="bottom"/>
            <w:hideMark/>
          </w:tcPr>
          <w:p w14:paraId="5A9C3680"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1.3</w:t>
            </w:r>
          </w:p>
        </w:tc>
        <w:tc>
          <w:tcPr>
            <w:tcW w:w="1084" w:type="dxa"/>
            <w:tcBorders>
              <w:top w:val="nil"/>
              <w:left w:val="nil"/>
              <w:bottom w:val="nil"/>
              <w:right w:val="nil"/>
            </w:tcBorders>
            <w:shd w:val="clear" w:color="auto" w:fill="auto"/>
            <w:noWrap/>
            <w:vAlign w:val="bottom"/>
            <w:hideMark/>
          </w:tcPr>
          <w:p w14:paraId="35E3BB18"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75</w:t>
            </w:r>
          </w:p>
        </w:tc>
        <w:tc>
          <w:tcPr>
            <w:tcW w:w="958" w:type="dxa"/>
            <w:tcBorders>
              <w:top w:val="nil"/>
              <w:left w:val="nil"/>
              <w:bottom w:val="nil"/>
              <w:right w:val="nil"/>
            </w:tcBorders>
            <w:shd w:val="clear" w:color="auto" w:fill="auto"/>
            <w:noWrap/>
            <w:vAlign w:val="bottom"/>
            <w:hideMark/>
          </w:tcPr>
          <w:p w14:paraId="7C8D6573"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0.6</w:t>
            </w:r>
          </w:p>
        </w:tc>
      </w:tr>
      <w:tr w:rsidR="00D07A53" w:rsidRPr="00A73D3D" w14:paraId="01B859DE" w14:textId="77777777" w:rsidTr="003632F4">
        <w:trPr>
          <w:trHeight w:val="291"/>
        </w:trPr>
        <w:tc>
          <w:tcPr>
            <w:tcW w:w="2641" w:type="dxa"/>
            <w:tcBorders>
              <w:top w:val="nil"/>
              <w:left w:val="nil"/>
              <w:bottom w:val="nil"/>
              <w:right w:val="nil"/>
            </w:tcBorders>
            <w:shd w:val="clear" w:color="auto" w:fill="auto"/>
            <w:noWrap/>
            <w:vAlign w:val="bottom"/>
            <w:hideMark/>
          </w:tcPr>
          <w:p w14:paraId="7CDB3B9D"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FAO Awareness</w:t>
            </w:r>
          </w:p>
        </w:tc>
        <w:tc>
          <w:tcPr>
            <w:tcW w:w="1129" w:type="dxa"/>
            <w:tcBorders>
              <w:top w:val="nil"/>
              <w:left w:val="nil"/>
              <w:bottom w:val="nil"/>
              <w:right w:val="nil"/>
            </w:tcBorders>
            <w:shd w:val="clear" w:color="auto" w:fill="auto"/>
            <w:noWrap/>
            <w:vAlign w:val="bottom"/>
            <w:hideMark/>
          </w:tcPr>
          <w:p w14:paraId="018AE5AF"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3177</w:t>
            </w:r>
          </w:p>
        </w:tc>
        <w:tc>
          <w:tcPr>
            <w:tcW w:w="996" w:type="dxa"/>
            <w:tcBorders>
              <w:top w:val="nil"/>
              <w:left w:val="nil"/>
              <w:bottom w:val="nil"/>
              <w:right w:val="nil"/>
            </w:tcBorders>
            <w:shd w:val="clear" w:color="auto" w:fill="auto"/>
            <w:noWrap/>
            <w:vAlign w:val="bottom"/>
            <w:hideMark/>
          </w:tcPr>
          <w:p w14:paraId="489A1090"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49.8</w:t>
            </w:r>
          </w:p>
        </w:tc>
        <w:tc>
          <w:tcPr>
            <w:tcW w:w="1129" w:type="dxa"/>
            <w:tcBorders>
              <w:top w:val="nil"/>
              <w:left w:val="nil"/>
              <w:bottom w:val="nil"/>
              <w:right w:val="nil"/>
            </w:tcBorders>
            <w:shd w:val="clear" w:color="auto" w:fill="auto"/>
            <w:noWrap/>
            <w:vAlign w:val="bottom"/>
            <w:hideMark/>
          </w:tcPr>
          <w:p w14:paraId="597A41AC"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1802</w:t>
            </w:r>
          </w:p>
        </w:tc>
        <w:tc>
          <w:tcPr>
            <w:tcW w:w="996" w:type="dxa"/>
            <w:tcBorders>
              <w:top w:val="nil"/>
              <w:left w:val="nil"/>
              <w:bottom w:val="nil"/>
              <w:right w:val="nil"/>
            </w:tcBorders>
            <w:shd w:val="clear" w:color="auto" w:fill="auto"/>
            <w:noWrap/>
            <w:vAlign w:val="bottom"/>
            <w:hideMark/>
          </w:tcPr>
          <w:p w14:paraId="4236553A"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28.2</w:t>
            </w:r>
          </w:p>
        </w:tc>
        <w:tc>
          <w:tcPr>
            <w:tcW w:w="1129" w:type="dxa"/>
            <w:tcBorders>
              <w:top w:val="nil"/>
              <w:left w:val="nil"/>
              <w:bottom w:val="nil"/>
              <w:right w:val="nil"/>
            </w:tcBorders>
            <w:shd w:val="clear" w:color="auto" w:fill="auto"/>
            <w:noWrap/>
            <w:vAlign w:val="bottom"/>
            <w:hideMark/>
          </w:tcPr>
          <w:p w14:paraId="39706192"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1401</w:t>
            </w:r>
          </w:p>
        </w:tc>
        <w:tc>
          <w:tcPr>
            <w:tcW w:w="996" w:type="dxa"/>
            <w:tcBorders>
              <w:top w:val="nil"/>
              <w:left w:val="nil"/>
              <w:bottom w:val="nil"/>
              <w:right w:val="single" w:sz="4" w:space="0" w:color="auto"/>
            </w:tcBorders>
            <w:shd w:val="clear" w:color="auto" w:fill="auto"/>
            <w:noWrap/>
            <w:vAlign w:val="bottom"/>
            <w:hideMark/>
          </w:tcPr>
          <w:p w14:paraId="275BED2A"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22</w:t>
            </w:r>
          </w:p>
        </w:tc>
        <w:tc>
          <w:tcPr>
            <w:tcW w:w="1336" w:type="dxa"/>
            <w:tcBorders>
              <w:top w:val="nil"/>
              <w:left w:val="nil"/>
              <w:bottom w:val="nil"/>
              <w:right w:val="nil"/>
            </w:tcBorders>
            <w:shd w:val="clear" w:color="auto" w:fill="auto"/>
            <w:noWrap/>
            <w:vAlign w:val="bottom"/>
            <w:hideMark/>
          </w:tcPr>
          <w:p w14:paraId="0CA636E8"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13267</w:t>
            </w:r>
          </w:p>
        </w:tc>
        <w:tc>
          <w:tcPr>
            <w:tcW w:w="957" w:type="dxa"/>
            <w:tcBorders>
              <w:top w:val="nil"/>
              <w:left w:val="nil"/>
              <w:bottom w:val="nil"/>
              <w:right w:val="nil"/>
            </w:tcBorders>
            <w:shd w:val="clear" w:color="auto" w:fill="auto"/>
            <w:noWrap/>
            <w:vAlign w:val="bottom"/>
            <w:hideMark/>
          </w:tcPr>
          <w:p w14:paraId="5F95232B"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98.1</w:t>
            </w:r>
          </w:p>
        </w:tc>
        <w:tc>
          <w:tcPr>
            <w:tcW w:w="1084" w:type="dxa"/>
            <w:tcBorders>
              <w:top w:val="nil"/>
              <w:left w:val="nil"/>
              <w:bottom w:val="nil"/>
              <w:right w:val="nil"/>
            </w:tcBorders>
            <w:shd w:val="clear" w:color="auto" w:fill="auto"/>
            <w:noWrap/>
            <w:vAlign w:val="bottom"/>
            <w:hideMark/>
          </w:tcPr>
          <w:p w14:paraId="77730DFF"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186</w:t>
            </w:r>
          </w:p>
        </w:tc>
        <w:tc>
          <w:tcPr>
            <w:tcW w:w="958" w:type="dxa"/>
            <w:tcBorders>
              <w:top w:val="nil"/>
              <w:left w:val="nil"/>
              <w:bottom w:val="nil"/>
              <w:right w:val="nil"/>
            </w:tcBorders>
            <w:shd w:val="clear" w:color="auto" w:fill="auto"/>
            <w:noWrap/>
            <w:vAlign w:val="bottom"/>
            <w:hideMark/>
          </w:tcPr>
          <w:p w14:paraId="13ECE6A0"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1.4</w:t>
            </w:r>
          </w:p>
        </w:tc>
        <w:tc>
          <w:tcPr>
            <w:tcW w:w="1084" w:type="dxa"/>
            <w:tcBorders>
              <w:top w:val="nil"/>
              <w:left w:val="nil"/>
              <w:bottom w:val="nil"/>
              <w:right w:val="nil"/>
            </w:tcBorders>
            <w:shd w:val="clear" w:color="auto" w:fill="auto"/>
            <w:noWrap/>
            <w:vAlign w:val="bottom"/>
            <w:hideMark/>
          </w:tcPr>
          <w:p w14:paraId="02584CB0"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73</w:t>
            </w:r>
          </w:p>
        </w:tc>
        <w:tc>
          <w:tcPr>
            <w:tcW w:w="958" w:type="dxa"/>
            <w:tcBorders>
              <w:top w:val="nil"/>
              <w:left w:val="nil"/>
              <w:bottom w:val="nil"/>
              <w:right w:val="nil"/>
            </w:tcBorders>
            <w:shd w:val="clear" w:color="auto" w:fill="auto"/>
            <w:noWrap/>
            <w:vAlign w:val="bottom"/>
            <w:hideMark/>
          </w:tcPr>
          <w:p w14:paraId="1082B722"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0.5</w:t>
            </w:r>
          </w:p>
        </w:tc>
      </w:tr>
      <w:tr w:rsidR="00D07A53" w:rsidRPr="00A73D3D" w14:paraId="5F2B985C" w14:textId="77777777" w:rsidTr="003632F4">
        <w:trPr>
          <w:trHeight w:val="291"/>
        </w:trPr>
        <w:tc>
          <w:tcPr>
            <w:tcW w:w="2641" w:type="dxa"/>
            <w:tcBorders>
              <w:top w:val="nil"/>
              <w:left w:val="nil"/>
              <w:bottom w:val="nil"/>
              <w:right w:val="nil"/>
            </w:tcBorders>
            <w:shd w:val="clear" w:color="auto" w:fill="auto"/>
            <w:noWrap/>
            <w:vAlign w:val="bottom"/>
            <w:hideMark/>
          </w:tcPr>
          <w:p w14:paraId="185C3AD8"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FAO Outcome - Coping</w:t>
            </w:r>
          </w:p>
        </w:tc>
        <w:tc>
          <w:tcPr>
            <w:tcW w:w="1129" w:type="dxa"/>
            <w:tcBorders>
              <w:top w:val="nil"/>
              <w:left w:val="nil"/>
              <w:bottom w:val="nil"/>
              <w:right w:val="nil"/>
            </w:tcBorders>
            <w:shd w:val="clear" w:color="auto" w:fill="auto"/>
            <w:noWrap/>
            <w:vAlign w:val="bottom"/>
            <w:hideMark/>
          </w:tcPr>
          <w:p w14:paraId="254A35DB"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3289</w:t>
            </w:r>
          </w:p>
        </w:tc>
        <w:tc>
          <w:tcPr>
            <w:tcW w:w="996" w:type="dxa"/>
            <w:tcBorders>
              <w:top w:val="nil"/>
              <w:left w:val="nil"/>
              <w:bottom w:val="nil"/>
              <w:right w:val="nil"/>
            </w:tcBorders>
            <w:shd w:val="clear" w:color="auto" w:fill="auto"/>
            <w:noWrap/>
            <w:vAlign w:val="bottom"/>
            <w:hideMark/>
          </w:tcPr>
          <w:p w14:paraId="2B00E4AE"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51.6</w:t>
            </w:r>
          </w:p>
        </w:tc>
        <w:tc>
          <w:tcPr>
            <w:tcW w:w="1129" w:type="dxa"/>
            <w:tcBorders>
              <w:top w:val="nil"/>
              <w:left w:val="nil"/>
              <w:bottom w:val="nil"/>
              <w:right w:val="nil"/>
            </w:tcBorders>
            <w:shd w:val="clear" w:color="auto" w:fill="auto"/>
            <w:noWrap/>
            <w:vAlign w:val="bottom"/>
            <w:hideMark/>
          </w:tcPr>
          <w:p w14:paraId="5C51C40C"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1726</w:t>
            </w:r>
          </w:p>
        </w:tc>
        <w:tc>
          <w:tcPr>
            <w:tcW w:w="996" w:type="dxa"/>
            <w:tcBorders>
              <w:top w:val="nil"/>
              <w:left w:val="nil"/>
              <w:bottom w:val="nil"/>
              <w:right w:val="nil"/>
            </w:tcBorders>
            <w:shd w:val="clear" w:color="auto" w:fill="auto"/>
            <w:noWrap/>
            <w:vAlign w:val="bottom"/>
            <w:hideMark/>
          </w:tcPr>
          <w:p w14:paraId="47DADC39"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27.1</w:t>
            </w:r>
          </w:p>
        </w:tc>
        <w:tc>
          <w:tcPr>
            <w:tcW w:w="1129" w:type="dxa"/>
            <w:tcBorders>
              <w:top w:val="nil"/>
              <w:left w:val="nil"/>
              <w:bottom w:val="nil"/>
              <w:right w:val="nil"/>
            </w:tcBorders>
            <w:shd w:val="clear" w:color="auto" w:fill="auto"/>
            <w:noWrap/>
            <w:vAlign w:val="bottom"/>
            <w:hideMark/>
          </w:tcPr>
          <w:p w14:paraId="323F44B5"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1365</w:t>
            </w:r>
          </w:p>
        </w:tc>
        <w:tc>
          <w:tcPr>
            <w:tcW w:w="996" w:type="dxa"/>
            <w:tcBorders>
              <w:top w:val="nil"/>
              <w:left w:val="nil"/>
              <w:bottom w:val="nil"/>
              <w:right w:val="single" w:sz="4" w:space="0" w:color="auto"/>
            </w:tcBorders>
            <w:shd w:val="clear" w:color="auto" w:fill="auto"/>
            <w:noWrap/>
            <w:vAlign w:val="bottom"/>
            <w:hideMark/>
          </w:tcPr>
          <w:p w14:paraId="403BB0F7"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21.4</w:t>
            </w:r>
          </w:p>
        </w:tc>
        <w:tc>
          <w:tcPr>
            <w:tcW w:w="1336" w:type="dxa"/>
            <w:tcBorders>
              <w:top w:val="nil"/>
              <w:left w:val="nil"/>
              <w:bottom w:val="nil"/>
              <w:right w:val="nil"/>
            </w:tcBorders>
            <w:shd w:val="clear" w:color="auto" w:fill="auto"/>
            <w:noWrap/>
            <w:vAlign w:val="bottom"/>
            <w:hideMark/>
          </w:tcPr>
          <w:p w14:paraId="4D00CC12"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13289</w:t>
            </w:r>
          </w:p>
        </w:tc>
        <w:tc>
          <w:tcPr>
            <w:tcW w:w="957" w:type="dxa"/>
            <w:tcBorders>
              <w:top w:val="nil"/>
              <w:left w:val="nil"/>
              <w:bottom w:val="nil"/>
              <w:right w:val="nil"/>
            </w:tcBorders>
            <w:shd w:val="clear" w:color="auto" w:fill="auto"/>
            <w:noWrap/>
            <w:vAlign w:val="bottom"/>
            <w:hideMark/>
          </w:tcPr>
          <w:p w14:paraId="32A1AE4C"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98.2</w:t>
            </w:r>
          </w:p>
        </w:tc>
        <w:tc>
          <w:tcPr>
            <w:tcW w:w="1084" w:type="dxa"/>
            <w:tcBorders>
              <w:top w:val="nil"/>
              <w:left w:val="nil"/>
              <w:bottom w:val="nil"/>
              <w:right w:val="nil"/>
            </w:tcBorders>
            <w:shd w:val="clear" w:color="auto" w:fill="auto"/>
            <w:noWrap/>
            <w:vAlign w:val="bottom"/>
            <w:hideMark/>
          </w:tcPr>
          <w:p w14:paraId="7FA878B1"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164</w:t>
            </w:r>
          </w:p>
        </w:tc>
        <w:tc>
          <w:tcPr>
            <w:tcW w:w="958" w:type="dxa"/>
            <w:tcBorders>
              <w:top w:val="nil"/>
              <w:left w:val="nil"/>
              <w:bottom w:val="nil"/>
              <w:right w:val="nil"/>
            </w:tcBorders>
            <w:shd w:val="clear" w:color="auto" w:fill="auto"/>
            <w:noWrap/>
            <w:vAlign w:val="bottom"/>
            <w:hideMark/>
          </w:tcPr>
          <w:p w14:paraId="7D2B0B65"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1.2</w:t>
            </w:r>
          </w:p>
        </w:tc>
        <w:tc>
          <w:tcPr>
            <w:tcW w:w="1084" w:type="dxa"/>
            <w:tcBorders>
              <w:top w:val="nil"/>
              <w:left w:val="nil"/>
              <w:bottom w:val="nil"/>
              <w:right w:val="nil"/>
            </w:tcBorders>
            <w:shd w:val="clear" w:color="auto" w:fill="auto"/>
            <w:noWrap/>
            <w:vAlign w:val="bottom"/>
            <w:hideMark/>
          </w:tcPr>
          <w:p w14:paraId="77610D83"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73</w:t>
            </w:r>
          </w:p>
        </w:tc>
        <w:tc>
          <w:tcPr>
            <w:tcW w:w="958" w:type="dxa"/>
            <w:tcBorders>
              <w:top w:val="nil"/>
              <w:left w:val="nil"/>
              <w:bottom w:val="nil"/>
              <w:right w:val="nil"/>
            </w:tcBorders>
            <w:shd w:val="clear" w:color="auto" w:fill="auto"/>
            <w:noWrap/>
            <w:vAlign w:val="bottom"/>
            <w:hideMark/>
          </w:tcPr>
          <w:p w14:paraId="6150431D"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0.5</w:t>
            </w:r>
          </w:p>
        </w:tc>
      </w:tr>
      <w:tr w:rsidR="00D07A53" w:rsidRPr="00A73D3D" w14:paraId="073EB8B8" w14:textId="77777777" w:rsidTr="003632F4">
        <w:trPr>
          <w:trHeight w:val="291"/>
        </w:trPr>
        <w:tc>
          <w:tcPr>
            <w:tcW w:w="2641" w:type="dxa"/>
            <w:tcBorders>
              <w:top w:val="nil"/>
              <w:left w:val="nil"/>
              <w:bottom w:val="nil"/>
              <w:right w:val="nil"/>
            </w:tcBorders>
            <w:shd w:val="clear" w:color="auto" w:fill="auto"/>
            <w:noWrap/>
            <w:vAlign w:val="bottom"/>
            <w:hideMark/>
          </w:tcPr>
          <w:p w14:paraId="2680DFAF"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FAO Outcome - Frequency</w:t>
            </w:r>
          </w:p>
        </w:tc>
        <w:tc>
          <w:tcPr>
            <w:tcW w:w="1129" w:type="dxa"/>
            <w:tcBorders>
              <w:top w:val="nil"/>
              <w:left w:val="nil"/>
              <w:bottom w:val="nil"/>
              <w:right w:val="nil"/>
            </w:tcBorders>
            <w:shd w:val="clear" w:color="auto" w:fill="auto"/>
            <w:noWrap/>
            <w:vAlign w:val="bottom"/>
            <w:hideMark/>
          </w:tcPr>
          <w:p w14:paraId="39120362"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3309</w:t>
            </w:r>
          </w:p>
        </w:tc>
        <w:tc>
          <w:tcPr>
            <w:tcW w:w="996" w:type="dxa"/>
            <w:tcBorders>
              <w:top w:val="nil"/>
              <w:left w:val="nil"/>
              <w:bottom w:val="nil"/>
              <w:right w:val="nil"/>
            </w:tcBorders>
            <w:shd w:val="clear" w:color="auto" w:fill="auto"/>
            <w:noWrap/>
            <w:vAlign w:val="bottom"/>
            <w:hideMark/>
          </w:tcPr>
          <w:p w14:paraId="03189308"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51.9</w:t>
            </w:r>
          </w:p>
        </w:tc>
        <w:tc>
          <w:tcPr>
            <w:tcW w:w="1129" w:type="dxa"/>
            <w:tcBorders>
              <w:top w:val="nil"/>
              <w:left w:val="nil"/>
              <w:bottom w:val="nil"/>
              <w:right w:val="nil"/>
            </w:tcBorders>
            <w:shd w:val="clear" w:color="auto" w:fill="auto"/>
            <w:noWrap/>
            <w:vAlign w:val="bottom"/>
            <w:hideMark/>
          </w:tcPr>
          <w:p w14:paraId="60CD57DF"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1717</w:t>
            </w:r>
          </w:p>
        </w:tc>
        <w:tc>
          <w:tcPr>
            <w:tcW w:w="996" w:type="dxa"/>
            <w:tcBorders>
              <w:top w:val="nil"/>
              <w:left w:val="nil"/>
              <w:bottom w:val="nil"/>
              <w:right w:val="nil"/>
            </w:tcBorders>
            <w:shd w:val="clear" w:color="auto" w:fill="auto"/>
            <w:noWrap/>
            <w:vAlign w:val="bottom"/>
            <w:hideMark/>
          </w:tcPr>
          <w:p w14:paraId="40B0E82C"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26.9</w:t>
            </w:r>
          </w:p>
        </w:tc>
        <w:tc>
          <w:tcPr>
            <w:tcW w:w="1129" w:type="dxa"/>
            <w:tcBorders>
              <w:top w:val="nil"/>
              <w:left w:val="nil"/>
              <w:bottom w:val="nil"/>
              <w:right w:val="nil"/>
            </w:tcBorders>
            <w:shd w:val="clear" w:color="auto" w:fill="auto"/>
            <w:noWrap/>
            <w:vAlign w:val="bottom"/>
            <w:hideMark/>
          </w:tcPr>
          <w:p w14:paraId="5DC7A883"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1354</w:t>
            </w:r>
          </w:p>
        </w:tc>
        <w:tc>
          <w:tcPr>
            <w:tcW w:w="996" w:type="dxa"/>
            <w:tcBorders>
              <w:top w:val="nil"/>
              <w:left w:val="nil"/>
              <w:bottom w:val="nil"/>
              <w:right w:val="single" w:sz="4" w:space="0" w:color="auto"/>
            </w:tcBorders>
            <w:shd w:val="clear" w:color="auto" w:fill="auto"/>
            <w:noWrap/>
            <w:vAlign w:val="bottom"/>
            <w:hideMark/>
          </w:tcPr>
          <w:p w14:paraId="4F98A333"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21.2</w:t>
            </w:r>
          </w:p>
        </w:tc>
        <w:tc>
          <w:tcPr>
            <w:tcW w:w="1336" w:type="dxa"/>
            <w:tcBorders>
              <w:top w:val="nil"/>
              <w:left w:val="nil"/>
              <w:bottom w:val="nil"/>
              <w:right w:val="nil"/>
            </w:tcBorders>
            <w:shd w:val="clear" w:color="auto" w:fill="auto"/>
            <w:noWrap/>
            <w:vAlign w:val="bottom"/>
            <w:hideMark/>
          </w:tcPr>
          <w:p w14:paraId="2DB9ADCD"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13288</w:t>
            </w:r>
          </w:p>
        </w:tc>
        <w:tc>
          <w:tcPr>
            <w:tcW w:w="957" w:type="dxa"/>
            <w:tcBorders>
              <w:top w:val="nil"/>
              <w:left w:val="nil"/>
              <w:bottom w:val="nil"/>
              <w:right w:val="nil"/>
            </w:tcBorders>
            <w:shd w:val="clear" w:color="auto" w:fill="auto"/>
            <w:noWrap/>
            <w:vAlign w:val="bottom"/>
            <w:hideMark/>
          </w:tcPr>
          <w:p w14:paraId="474D55E2"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98.2</w:t>
            </w:r>
          </w:p>
        </w:tc>
        <w:tc>
          <w:tcPr>
            <w:tcW w:w="1084" w:type="dxa"/>
            <w:tcBorders>
              <w:top w:val="nil"/>
              <w:left w:val="nil"/>
              <w:bottom w:val="nil"/>
              <w:right w:val="nil"/>
            </w:tcBorders>
            <w:shd w:val="clear" w:color="auto" w:fill="auto"/>
            <w:noWrap/>
            <w:vAlign w:val="bottom"/>
            <w:hideMark/>
          </w:tcPr>
          <w:p w14:paraId="7CE492B8"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165</w:t>
            </w:r>
          </w:p>
        </w:tc>
        <w:tc>
          <w:tcPr>
            <w:tcW w:w="958" w:type="dxa"/>
            <w:tcBorders>
              <w:top w:val="nil"/>
              <w:left w:val="nil"/>
              <w:bottom w:val="nil"/>
              <w:right w:val="nil"/>
            </w:tcBorders>
            <w:shd w:val="clear" w:color="auto" w:fill="auto"/>
            <w:noWrap/>
            <w:vAlign w:val="bottom"/>
            <w:hideMark/>
          </w:tcPr>
          <w:p w14:paraId="67DD91F4"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1.2</w:t>
            </w:r>
          </w:p>
        </w:tc>
        <w:tc>
          <w:tcPr>
            <w:tcW w:w="1084" w:type="dxa"/>
            <w:tcBorders>
              <w:top w:val="nil"/>
              <w:left w:val="nil"/>
              <w:bottom w:val="nil"/>
              <w:right w:val="nil"/>
            </w:tcBorders>
            <w:shd w:val="clear" w:color="auto" w:fill="auto"/>
            <w:noWrap/>
            <w:vAlign w:val="bottom"/>
            <w:hideMark/>
          </w:tcPr>
          <w:p w14:paraId="3A353A3F"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73</w:t>
            </w:r>
          </w:p>
        </w:tc>
        <w:tc>
          <w:tcPr>
            <w:tcW w:w="958" w:type="dxa"/>
            <w:tcBorders>
              <w:top w:val="nil"/>
              <w:left w:val="nil"/>
              <w:bottom w:val="nil"/>
              <w:right w:val="nil"/>
            </w:tcBorders>
            <w:shd w:val="clear" w:color="auto" w:fill="auto"/>
            <w:noWrap/>
            <w:vAlign w:val="bottom"/>
            <w:hideMark/>
          </w:tcPr>
          <w:p w14:paraId="27085F5A"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0.5</w:t>
            </w:r>
          </w:p>
        </w:tc>
      </w:tr>
      <w:tr w:rsidR="00D07A53" w:rsidRPr="00A73D3D" w14:paraId="77A10BA3" w14:textId="77777777" w:rsidTr="003632F4">
        <w:trPr>
          <w:trHeight w:val="291"/>
        </w:trPr>
        <w:tc>
          <w:tcPr>
            <w:tcW w:w="2641" w:type="dxa"/>
            <w:tcBorders>
              <w:top w:val="nil"/>
              <w:left w:val="nil"/>
              <w:bottom w:val="nil"/>
              <w:right w:val="nil"/>
            </w:tcBorders>
            <w:shd w:val="clear" w:color="auto" w:fill="auto"/>
            <w:noWrap/>
            <w:vAlign w:val="bottom"/>
            <w:hideMark/>
          </w:tcPr>
          <w:p w14:paraId="0C412717"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Suicidality</w:t>
            </w:r>
          </w:p>
        </w:tc>
        <w:tc>
          <w:tcPr>
            <w:tcW w:w="1129" w:type="dxa"/>
            <w:tcBorders>
              <w:top w:val="nil"/>
              <w:left w:val="nil"/>
              <w:bottom w:val="nil"/>
              <w:right w:val="nil"/>
            </w:tcBorders>
            <w:shd w:val="clear" w:color="auto" w:fill="auto"/>
            <w:noWrap/>
            <w:vAlign w:val="bottom"/>
            <w:hideMark/>
          </w:tcPr>
          <w:p w14:paraId="3A855255"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3902</w:t>
            </w:r>
          </w:p>
        </w:tc>
        <w:tc>
          <w:tcPr>
            <w:tcW w:w="996" w:type="dxa"/>
            <w:tcBorders>
              <w:top w:val="nil"/>
              <w:left w:val="nil"/>
              <w:bottom w:val="nil"/>
              <w:right w:val="nil"/>
            </w:tcBorders>
            <w:shd w:val="clear" w:color="auto" w:fill="auto"/>
            <w:noWrap/>
            <w:vAlign w:val="bottom"/>
            <w:hideMark/>
          </w:tcPr>
          <w:p w14:paraId="27B44A77"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61.2</w:t>
            </w:r>
          </w:p>
        </w:tc>
        <w:tc>
          <w:tcPr>
            <w:tcW w:w="1129" w:type="dxa"/>
            <w:tcBorders>
              <w:top w:val="nil"/>
              <w:left w:val="nil"/>
              <w:bottom w:val="nil"/>
              <w:right w:val="nil"/>
            </w:tcBorders>
            <w:shd w:val="clear" w:color="auto" w:fill="auto"/>
            <w:noWrap/>
            <w:vAlign w:val="bottom"/>
            <w:hideMark/>
          </w:tcPr>
          <w:p w14:paraId="4A998AED"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1696</w:t>
            </w:r>
          </w:p>
        </w:tc>
        <w:tc>
          <w:tcPr>
            <w:tcW w:w="996" w:type="dxa"/>
            <w:tcBorders>
              <w:top w:val="nil"/>
              <w:left w:val="nil"/>
              <w:bottom w:val="nil"/>
              <w:right w:val="nil"/>
            </w:tcBorders>
            <w:shd w:val="clear" w:color="auto" w:fill="auto"/>
            <w:noWrap/>
            <w:vAlign w:val="bottom"/>
            <w:hideMark/>
          </w:tcPr>
          <w:p w14:paraId="7F737BD0"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26.6</w:t>
            </w:r>
          </w:p>
        </w:tc>
        <w:tc>
          <w:tcPr>
            <w:tcW w:w="1129" w:type="dxa"/>
            <w:tcBorders>
              <w:top w:val="nil"/>
              <w:left w:val="nil"/>
              <w:bottom w:val="nil"/>
              <w:right w:val="nil"/>
            </w:tcBorders>
            <w:shd w:val="clear" w:color="auto" w:fill="auto"/>
            <w:noWrap/>
            <w:vAlign w:val="bottom"/>
            <w:hideMark/>
          </w:tcPr>
          <w:p w14:paraId="0C61D2FA"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782</w:t>
            </w:r>
          </w:p>
        </w:tc>
        <w:tc>
          <w:tcPr>
            <w:tcW w:w="996" w:type="dxa"/>
            <w:tcBorders>
              <w:top w:val="nil"/>
              <w:left w:val="nil"/>
              <w:bottom w:val="nil"/>
              <w:right w:val="single" w:sz="4" w:space="0" w:color="auto"/>
            </w:tcBorders>
            <w:shd w:val="clear" w:color="auto" w:fill="auto"/>
            <w:noWrap/>
            <w:vAlign w:val="bottom"/>
            <w:hideMark/>
          </w:tcPr>
          <w:p w14:paraId="1FE77067"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12.3</w:t>
            </w:r>
          </w:p>
        </w:tc>
        <w:tc>
          <w:tcPr>
            <w:tcW w:w="1336" w:type="dxa"/>
            <w:tcBorders>
              <w:top w:val="nil"/>
              <w:left w:val="nil"/>
              <w:bottom w:val="nil"/>
              <w:right w:val="nil"/>
            </w:tcBorders>
            <w:shd w:val="clear" w:color="auto" w:fill="auto"/>
            <w:noWrap/>
            <w:vAlign w:val="bottom"/>
            <w:hideMark/>
          </w:tcPr>
          <w:p w14:paraId="0CCFE002"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5450</w:t>
            </w:r>
          </w:p>
        </w:tc>
        <w:tc>
          <w:tcPr>
            <w:tcW w:w="957" w:type="dxa"/>
            <w:tcBorders>
              <w:top w:val="nil"/>
              <w:left w:val="nil"/>
              <w:bottom w:val="nil"/>
              <w:right w:val="nil"/>
            </w:tcBorders>
            <w:shd w:val="clear" w:color="auto" w:fill="auto"/>
            <w:noWrap/>
            <w:vAlign w:val="bottom"/>
            <w:hideMark/>
          </w:tcPr>
          <w:p w14:paraId="1DD1763C"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40.3</w:t>
            </w:r>
          </w:p>
        </w:tc>
        <w:tc>
          <w:tcPr>
            <w:tcW w:w="1084" w:type="dxa"/>
            <w:tcBorders>
              <w:top w:val="nil"/>
              <w:left w:val="nil"/>
              <w:bottom w:val="nil"/>
              <w:right w:val="nil"/>
            </w:tcBorders>
            <w:shd w:val="clear" w:color="auto" w:fill="auto"/>
            <w:noWrap/>
            <w:vAlign w:val="bottom"/>
            <w:hideMark/>
          </w:tcPr>
          <w:p w14:paraId="07B1968B"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5724</w:t>
            </w:r>
          </w:p>
        </w:tc>
        <w:tc>
          <w:tcPr>
            <w:tcW w:w="958" w:type="dxa"/>
            <w:tcBorders>
              <w:top w:val="nil"/>
              <w:left w:val="nil"/>
              <w:bottom w:val="nil"/>
              <w:right w:val="nil"/>
            </w:tcBorders>
            <w:shd w:val="clear" w:color="auto" w:fill="auto"/>
            <w:noWrap/>
            <w:vAlign w:val="bottom"/>
            <w:hideMark/>
          </w:tcPr>
          <w:p w14:paraId="42E9158F"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42.3</w:t>
            </w:r>
          </w:p>
        </w:tc>
        <w:tc>
          <w:tcPr>
            <w:tcW w:w="1084" w:type="dxa"/>
            <w:tcBorders>
              <w:top w:val="nil"/>
              <w:left w:val="nil"/>
              <w:bottom w:val="nil"/>
              <w:right w:val="nil"/>
            </w:tcBorders>
            <w:shd w:val="clear" w:color="auto" w:fill="auto"/>
            <w:noWrap/>
            <w:vAlign w:val="bottom"/>
            <w:hideMark/>
          </w:tcPr>
          <w:p w14:paraId="02ECD83C"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2352</w:t>
            </w:r>
          </w:p>
        </w:tc>
        <w:tc>
          <w:tcPr>
            <w:tcW w:w="958" w:type="dxa"/>
            <w:tcBorders>
              <w:top w:val="nil"/>
              <w:left w:val="nil"/>
              <w:bottom w:val="nil"/>
              <w:right w:val="nil"/>
            </w:tcBorders>
            <w:shd w:val="clear" w:color="auto" w:fill="auto"/>
            <w:noWrap/>
            <w:vAlign w:val="bottom"/>
            <w:hideMark/>
          </w:tcPr>
          <w:p w14:paraId="53301BA3"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17.4</w:t>
            </w:r>
          </w:p>
        </w:tc>
      </w:tr>
      <w:tr w:rsidR="00D07A53" w:rsidRPr="00A73D3D" w14:paraId="231A3EC8" w14:textId="77777777" w:rsidTr="003632F4">
        <w:trPr>
          <w:trHeight w:val="291"/>
        </w:trPr>
        <w:tc>
          <w:tcPr>
            <w:tcW w:w="2641" w:type="dxa"/>
            <w:tcBorders>
              <w:top w:val="nil"/>
              <w:left w:val="nil"/>
              <w:bottom w:val="nil"/>
              <w:right w:val="nil"/>
            </w:tcBorders>
            <w:shd w:val="clear" w:color="auto" w:fill="auto"/>
            <w:noWrap/>
            <w:vAlign w:val="bottom"/>
            <w:hideMark/>
          </w:tcPr>
          <w:p w14:paraId="784871BC"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Depression</w:t>
            </w:r>
          </w:p>
        </w:tc>
        <w:tc>
          <w:tcPr>
            <w:tcW w:w="1129" w:type="dxa"/>
            <w:tcBorders>
              <w:top w:val="nil"/>
              <w:left w:val="nil"/>
              <w:bottom w:val="nil"/>
              <w:right w:val="nil"/>
            </w:tcBorders>
            <w:shd w:val="clear" w:color="auto" w:fill="auto"/>
            <w:noWrap/>
            <w:vAlign w:val="bottom"/>
            <w:hideMark/>
          </w:tcPr>
          <w:p w14:paraId="0E402D84"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3940</w:t>
            </w:r>
          </w:p>
        </w:tc>
        <w:tc>
          <w:tcPr>
            <w:tcW w:w="996" w:type="dxa"/>
            <w:tcBorders>
              <w:top w:val="nil"/>
              <w:left w:val="nil"/>
              <w:bottom w:val="nil"/>
              <w:right w:val="nil"/>
            </w:tcBorders>
            <w:shd w:val="clear" w:color="auto" w:fill="auto"/>
            <w:noWrap/>
            <w:vAlign w:val="bottom"/>
            <w:hideMark/>
          </w:tcPr>
          <w:p w14:paraId="4F1EC9F0"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61.8</w:t>
            </w:r>
          </w:p>
        </w:tc>
        <w:tc>
          <w:tcPr>
            <w:tcW w:w="1129" w:type="dxa"/>
            <w:tcBorders>
              <w:top w:val="nil"/>
              <w:left w:val="nil"/>
              <w:bottom w:val="nil"/>
              <w:right w:val="nil"/>
            </w:tcBorders>
            <w:shd w:val="clear" w:color="auto" w:fill="auto"/>
            <w:noWrap/>
            <w:vAlign w:val="bottom"/>
            <w:hideMark/>
          </w:tcPr>
          <w:p w14:paraId="6B35E3BC"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1676</w:t>
            </w:r>
          </w:p>
        </w:tc>
        <w:tc>
          <w:tcPr>
            <w:tcW w:w="996" w:type="dxa"/>
            <w:tcBorders>
              <w:top w:val="nil"/>
              <w:left w:val="nil"/>
              <w:bottom w:val="nil"/>
              <w:right w:val="nil"/>
            </w:tcBorders>
            <w:shd w:val="clear" w:color="auto" w:fill="auto"/>
            <w:noWrap/>
            <w:vAlign w:val="bottom"/>
            <w:hideMark/>
          </w:tcPr>
          <w:p w14:paraId="0D6EA48D"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26.3</w:t>
            </w:r>
          </w:p>
        </w:tc>
        <w:tc>
          <w:tcPr>
            <w:tcW w:w="1129" w:type="dxa"/>
            <w:tcBorders>
              <w:top w:val="nil"/>
              <w:left w:val="nil"/>
              <w:bottom w:val="nil"/>
              <w:right w:val="nil"/>
            </w:tcBorders>
            <w:shd w:val="clear" w:color="auto" w:fill="auto"/>
            <w:noWrap/>
            <w:vAlign w:val="bottom"/>
            <w:hideMark/>
          </w:tcPr>
          <w:p w14:paraId="68AB756F"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764</w:t>
            </w:r>
          </w:p>
        </w:tc>
        <w:tc>
          <w:tcPr>
            <w:tcW w:w="996" w:type="dxa"/>
            <w:tcBorders>
              <w:top w:val="nil"/>
              <w:left w:val="nil"/>
              <w:bottom w:val="nil"/>
              <w:right w:val="single" w:sz="4" w:space="0" w:color="auto"/>
            </w:tcBorders>
            <w:shd w:val="clear" w:color="auto" w:fill="auto"/>
            <w:noWrap/>
            <w:vAlign w:val="bottom"/>
            <w:hideMark/>
          </w:tcPr>
          <w:p w14:paraId="14C516B7"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12</w:t>
            </w:r>
          </w:p>
        </w:tc>
        <w:tc>
          <w:tcPr>
            <w:tcW w:w="1336" w:type="dxa"/>
            <w:tcBorders>
              <w:top w:val="nil"/>
              <w:left w:val="nil"/>
              <w:bottom w:val="nil"/>
              <w:right w:val="nil"/>
            </w:tcBorders>
            <w:shd w:val="clear" w:color="auto" w:fill="auto"/>
            <w:noWrap/>
            <w:vAlign w:val="bottom"/>
            <w:hideMark/>
          </w:tcPr>
          <w:p w14:paraId="680539D4"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5508</w:t>
            </w:r>
          </w:p>
        </w:tc>
        <w:tc>
          <w:tcPr>
            <w:tcW w:w="957" w:type="dxa"/>
            <w:tcBorders>
              <w:top w:val="nil"/>
              <w:left w:val="nil"/>
              <w:bottom w:val="nil"/>
              <w:right w:val="nil"/>
            </w:tcBorders>
            <w:shd w:val="clear" w:color="auto" w:fill="auto"/>
            <w:noWrap/>
            <w:vAlign w:val="bottom"/>
            <w:hideMark/>
          </w:tcPr>
          <w:p w14:paraId="2B886191"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40.7</w:t>
            </w:r>
          </w:p>
        </w:tc>
        <w:tc>
          <w:tcPr>
            <w:tcW w:w="1084" w:type="dxa"/>
            <w:tcBorders>
              <w:top w:val="nil"/>
              <w:left w:val="nil"/>
              <w:bottom w:val="nil"/>
              <w:right w:val="nil"/>
            </w:tcBorders>
            <w:shd w:val="clear" w:color="auto" w:fill="auto"/>
            <w:noWrap/>
            <w:vAlign w:val="bottom"/>
            <w:hideMark/>
          </w:tcPr>
          <w:p w14:paraId="2A13D291"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5794</w:t>
            </w:r>
          </w:p>
        </w:tc>
        <w:tc>
          <w:tcPr>
            <w:tcW w:w="958" w:type="dxa"/>
            <w:tcBorders>
              <w:top w:val="nil"/>
              <w:left w:val="nil"/>
              <w:bottom w:val="nil"/>
              <w:right w:val="nil"/>
            </w:tcBorders>
            <w:shd w:val="clear" w:color="auto" w:fill="auto"/>
            <w:noWrap/>
            <w:vAlign w:val="bottom"/>
            <w:hideMark/>
          </w:tcPr>
          <w:p w14:paraId="5581C4D0"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42.8</w:t>
            </w:r>
          </w:p>
        </w:tc>
        <w:tc>
          <w:tcPr>
            <w:tcW w:w="1084" w:type="dxa"/>
            <w:tcBorders>
              <w:top w:val="nil"/>
              <w:left w:val="nil"/>
              <w:bottom w:val="nil"/>
              <w:right w:val="nil"/>
            </w:tcBorders>
            <w:shd w:val="clear" w:color="auto" w:fill="auto"/>
            <w:noWrap/>
            <w:vAlign w:val="bottom"/>
            <w:hideMark/>
          </w:tcPr>
          <w:p w14:paraId="6E684BFB"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2224</w:t>
            </w:r>
          </w:p>
        </w:tc>
        <w:tc>
          <w:tcPr>
            <w:tcW w:w="958" w:type="dxa"/>
            <w:tcBorders>
              <w:top w:val="nil"/>
              <w:left w:val="nil"/>
              <w:bottom w:val="nil"/>
              <w:right w:val="nil"/>
            </w:tcBorders>
            <w:shd w:val="clear" w:color="auto" w:fill="auto"/>
            <w:noWrap/>
            <w:vAlign w:val="bottom"/>
            <w:hideMark/>
          </w:tcPr>
          <w:p w14:paraId="3237D605"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16.4</w:t>
            </w:r>
          </w:p>
        </w:tc>
      </w:tr>
      <w:tr w:rsidR="00D07A53" w:rsidRPr="00A73D3D" w14:paraId="2C8457F1" w14:textId="77777777" w:rsidTr="003632F4">
        <w:trPr>
          <w:trHeight w:val="291"/>
        </w:trPr>
        <w:tc>
          <w:tcPr>
            <w:tcW w:w="2641" w:type="dxa"/>
            <w:tcBorders>
              <w:top w:val="nil"/>
              <w:left w:val="nil"/>
              <w:bottom w:val="nil"/>
              <w:right w:val="nil"/>
            </w:tcBorders>
            <w:shd w:val="clear" w:color="auto" w:fill="auto"/>
            <w:noWrap/>
            <w:vAlign w:val="bottom"/>
            <w:hideMark/>
          </w:tcPr>
          <w:p w14:paraId="40E744A4"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Family/whanau concern</w:t>
            </w:r>
          </w:p>
        </w:tc>
        <w:tc>
          <w:tcPr>
            <w:tcW w:w="1129" w:type="dxa"/>
            <w:tcBorders>
              <w:top w:val="nil"/>
              <w:left w:val="nil"/>
              <w:bottom w:val="nil"/>
              <w:right w:val="nil"/>
            </w:tcBorders>
            <w:shd w:val="clear" w:color="auto" w:fill="auto"/>
            <w:noWrap/>
            <w:vAlign w:val="bottom"/>
            <w:hideMark/>
          </w:tcPr>
          <w:p w14:paraId="03411415"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3973</w:t>
            </w:r>
          </w:p>
        </w:tc>
        <w:tc>
          <w:tcPr>
            <w:tcW w:w="996" w:type="dxa"/>
            <w:tcBorders>
              <w:top w:val="nil"/>
              <w:left w:val="nil"/>
              <w:bottom w:val="nil"/>
              <w:right w:val="nil"/>
            </w:tcBorders>
            <w:shd w:val="clear" w:color="auto" w:fill="auto"/>
            <w:noWrap/>
            <w:vAlign w:val="bottom"/>
            <w:hideMark/>
          </w:tcPr>
          <w:p w14:paraId="72AC2E8F"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62.3</w:t>
            </w:r>
          </w:p>
        </w:tc>
        <w:tc>
          <w:tcPr>
            <w:tcW w:w="1129" w:type="dxa"/>
            <w:tcBorders>
              <w:top w:val="nil"/>
              <w:left w:val="nil"/>
              <w:bottom w:val="nil"/>
              <w:right w:val="nil"/>
            </w:tcBorders>
            <w:shd w:val="clear" w:color="auto" w:fill="auto"/>
            <w:noWrap/>
            <w:vAlign w:val="bottom"/>
            <w:hideMark/>
          </w:tcPr>
          <w:p w14:paraId="52832859"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1647</w:t>
            </w:r>
          </w:p>
        </w:tc>
        <w:tc>
          <w:tcPr>
            <w:tcW w:w="996" w:type="dxa"/>
            <w:tcBorders>
              <w:top w:val="nil"/>
              <w:left w:val="nil"/>
              <w:bottom w:val="nil"/>
              <w:right w:val="nil"/>
            </w:tcBorders>
            <w:shd w:val="clear" w:color="auto" w:fill="auto"/>
            <w:noWrap/>
            <w:vAlign w:val="bottom"/>
            <w:hideMark/>
          </w:tcPr>
          <w:p w14:paraId="0CAFCD9B"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25.8</w:t>
            </w:r>
          </w:p>
        </w:tc>
        <w:tc>
          <w:tcPr>
            <w:tcW w:w="1129" w:type="dxa"/>
            <w:tcBorders>
              <w:top w:val="nil"/>
              <w:left w:val="nil"/>
              <w:bottom w:val="nil"/>
              <w:right w:val="nil"/>
            </w:tcBorders>
            <w:shd w:val="clear" w:color="auto" w:fill="auto"/>
            <w:noWrap/>
            <w:vAlign w:val="bottom"/>
            <w:hideMark/>
          </w:tcPr>
          <w:p w14:paraId="4F6F5CAB"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760</w:t>
            </w:r>
          </w:p>
        </w:tc>
        <w:tc>
          <w:tcPr>
            <w:tcW w:w="996" w:type="dxa"/>
            <w:tcBorders>
              <w:top w:val="nil"/>
              <w:left w:val="nil"/>
              <w:bottom w:val="nil"/>
              <w:right w:val="single" w:sz="4" w:space="0" w:color="auto"/>
            </w:tcBorders>
            <w:shd w:val="clear" w:color="auto" w:fill="auto"/>
            <w:noWrap/>
            <w:vAlign w:val="bottom"/>
            <w:hideMark/>
          </w:tcPr>
          <w:p w14:paraId="7E42F026"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11.9</w:t>
            </w:r>
          </w:p>
        </w:tc>
        <w:tc>
          <w:tcPr>
            <w:tcW w:w="1336" w:type="dxa"/>
            <w:tcBorders>
              <w:top w:val="nil"/>
              <w:left w:val="nil"/>
              <w:bottom w:val="nil"/>
              <w:right w:val="nil"/>
            </w:tcBorders>
            <w:shd w:val="clear" w:color="auto" w:fill="auto"/>
            <w:noWrap/>
            <w:vAlign w:val="bottom"/>
            <w:hideMark/>
          </w:tcPr>
          <w:p w14:paraId="6903CE73"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5673</w:t>
            </w:r>
          </w:p>
        </w:tc>
        <w:tc>
          <w:tcPr>
            <w:tcW w:w="957" w:type="dxa"/>
            <w:tcBorders>
              <w:top w:val="nil"/>
              <w:left w:val="nil"/>
              <w:bottom w:val="nil"/>
              <w:right w:val="nil"/>
            </w:tcBorders>
            <w:shd w:val="clear" w:color="auto" w:fill="auto"/>
            <w:noWrap/>
            <w:vAlign w:val="bottom"/>
            <w:hideMark/>
          </w:tcPr>
          <w:p w14:paraId="5213FA4D"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41.9</w:t>
            </w:r>
          </w:p>
        </w:tc>
        <w:tc>
          <w:tcPr>
            <w:tcW w:w="1084" w:type="dxa"/>
            <w:tcBorders>
              <w:top w:val="nil"/>
              <w:left w:val="nil"/>
              <w:bottom w:val="nil"/>
              <w:right w:val="nil"/>
            </w:tcBorders>
            <w:shd w:val="clear" w:color="auto" w:fill="auto"/>
            <w:noWrap/>
            <w:vAlign w:val="bottom"/>
            <w:hideMark/>
          </w:tcPr>
          <w:p w14:paraId="637644B8"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5689</w:t>
            </w:r>
          </w:p>
        </w:tc>
        <w:tc>
          <w:tcPr>
            <w:tcW w:w="958" w:type="dxa"/>
            <w:tcBorders>
              <w:top w:val="nil"/>
              <w:left w:val="nil"/>
              <w:bottom w:val="nil"/>
              <w:right w:val="nil"/>
            </w:tcBorders>
            <w:shd w:val="clear" w:color="auto" w:fill="auto"/>
            <w:noWrap/>
            <w:vAlign w:val="bottom"/>
            <w:hideMark/>
          </w:tcPr>
          <w:p w14:paraId="4B374480"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42.1</w:t>
            </w:r>
          </w:p>
        </w:tc>
        <w:tc>
          <w:tcPr>
            <w:tcW w:w="1084" w:type="dxa"/>
            <w:tcBorders>
              <w:top w:val="nil"/>
              <w:left w:val="nil"/>
              <w:bottom w:val="nil"/>
              <w:right w:val="nil"/>
            </w:tcBorders>
            <w:shd w:val="clear" w:color="auto" w:fill="auto"/>
            <w:noWrap/>
            <w:vAlign w:val="bottom"/>
            <w:hideMark/>
          </w:tcPr>
          <w:p w14:paraId="224BAD6E"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2164</w:t>
            </w:r>
          </w:p>
        </w:tc>
        <w:tc>
          <w:tcPr>
            <w:tcW w:w="958" w:type="dxa"/>
            <w:tcBorders>
              <w:top w:val="nil"/>
              <w:left w:val="nil"/>
              <w:bottom w:val="nil"/>
              <w:right w:val="nil"/>
            </w:tcBorders>
            <w:shd w:val="clear" w:color="auto" w:fill="auto"/>
            <w:noWrap/>
            <w:vAlign w:val="bottom"/>
            <w:hideMark/>
          </w:tcPr>
          <w:p w14:paraId="4C492103"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16</w:t>
            </w:r>
          </w:p>
        </w:tc>
      </w:tr>
      <w:tr w:rsidR="00D07A53" w:rsidRPr="00A73D3D" w14:paraId="70F274B6" w14:textId="77777777" w:rsidTr="003632F4">
        <w:trPr>
          <w:trHeight w:val="291"/>
        </w:trPr>
        <w:tc>
          <w:tcPr>
            <w:tcW w:w="2641" w:type="dxa"/>
            <w:tcBorders>
              <w:top w:val="nil"/>
              <w:left w:val="nil"/>
              <w:bottom w:val="nil"/>
              <w:right w:val="nil"/>
            </w:tcBorders>
            <w:shd w:val="clear" w:color="auto" w:fill="auto"/>
            <w:noWrap/>
            <w:vAlign w:val="bottom"/>
            <w:hideMark/>
          </w:tcPr>
          <w:p w14:paraId="6C2E88F2"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Alcohol Use</w:t>
            </w:r>
          </w:p>
        </w:tc>
        <w:tc>
          <w:tcPr>
            <w:tcW w:w="1129" w:type="dxa"/>
            <w:tcBorders>
              <w:top w:val="nil"/>
              <w:left w:val="nil"/>
              <w:bottom w:val="nil"/>
              <w:right w:val="nil"/>
            </w:tcBorders>
            <w:shd w:val="clear" w:color="auto" w:fill="auto"/>
            <w:noWrap/>
            <w:vAlign w:val="bottom"/>
            <w:hideMark/>
          </w:tcPr>
          <w:p w14:paraId="5048A84B"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3978</w:t>
            </w:r>
          </w:p>
        </w:tc>
        <w:tc>
          <w:tcPr>
            <w:tcW w:w="996" w:type="dxa"/>
            <w:tcBorders>
              <w:top w:val="nil"/>
              <w:left w:val="nil"/>
              <w:bottom w:val="nil"/>
              <w:right w:val="nil"/>
            </w:tcBorders>
            <w:shd w:val="clear" w:color="auto" w:fill="auto"/>
            <w:noWrap/>
            <w:vAlign w:val="bottom"/>
            <w:hideMark/>
          </w:tcPr>
          <w:p w14:paraId="0E6D332B"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62.4</w:t>
            </w:r>
          </w:p>
        </w:tc>
        <w:tc>
          <w:tcPr>
            <w:tcW w:w="1129" w:type="dxa"/>
            <w:tcBorders>
              <w:top w:val="nil"/>
              <w:left w:val="nil"/>
              <w:bottom w:val="nil"/>
              <w:right w:val="nil"/>
            </w:tcBorders>
            <w:shd w:val="clear" w:color="auto" w:fill="auto"/>
            <w:noWrap/>
            <w:vAlign w:val="bottom"/>
            <w:hideMark/>
          </w:tcPr>
          <w:p w14:paraId="0E50BE02"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1651</w:t>
            </w:r>
          </w:p>
        </w:tc>
        <w:tc>
          <w:tcPr>
            <w:tcW w:w="996" w:type="dxa"/>
            <w:tcBorders>
              <w:top w:val="nil"/>
              <w:left w:val="nil"/>
              <w:bottom w:val="nil"/>
              <w:right w:val="nil"/>
            </w:tcBorders>
            <w:shd w:val="clear" w:color="auto" w:fill="auto"/>
            <w:noWrap/>
            <w:vAlign w:val="bottom"/>
            <w:hideMark/>
          </w:tcPr>
          <w:p w14:paraId="4A960DD8"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25.9</w:t>
            </w:r>
          </w:p>
        </w:tc>
        <w:tc>
          <w:tcPr>
            <w:tcW w:w="1129" w:type="dxa"/>
            <w:tcBorders>
              <w:top w:val="nil"/>
              <w:left w:val="nil"/>
              <w:bottom w:val="nil"/>
              <w:right w:val="nil"/>
            </w:tcBorders>
            <w:shd w:val="clear" w:color="auto" w:fill="auto"/>
            <w:noWrap/>
            <w:vAlign w:val="bottom"/>
            <w:hideMark/>
          </w:tcPr>
          <w:p w14:paraId="799DFD5E"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751</w:t>
            </w:r>
          </w:p>
        </w:tc>
        <w:tc>
          <w:tcPr>
            <w:tcW w:w="996" w:type="dxa"/>
            <w:tcBorders>
              <w:top w:val="nil"/>
              <w:left w:val="nil"/>
              <w:bottom w:val="nil"/>
              <w:right w:val="single" w:sz="4" w:space="0" w:color="auto"/>
            </w:tcBorders>
            <w:shd w:val="clear" w:color="auto" w:fill="auto"/>
            <w:noWrap/>
            <w:vAlign w:val="bottom"/>
            <w:hideMark/>
          </w:tcPr>
          <w:p w14:paraId="3D0E008D"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11.8</w:t>
            </w:r>
          </w:p>
        </w:tc>
        <w:tc>
          <w:tcPr>
            <w:tcW w:w="1336" w:type="dxa"/>
            <w:tcBorders>
              <w:top w:val="nil"/>
              <w:left w:val="nil"/>
              <w:bottom w:val="nil"/>
              <w:right w:val="nil"/>
            </w:tcBorders>
            <w:shd w:val="clear" w:color="auto" w:fill="auto"/>
            <w:noWrap/>
            <w:vAlign w:val="bottom"/>
            <w:hideMark/>
          </w:tcPr>
          <w:p w14:paraId="5D37EF5F"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5492</w:t>
            </w:r>
          </w:p>
        </w:tc>
        <w:tc>
          <w:tcPr>
            <w:tcW w:w="957" w:type="dxa"/>
            <w:tcBorders>
              <w:top w:val="nil"/>
              <w:left w:val="nil"/>
              <w:bottom w:val="nil"/>
              <w:right w:val="nil"/>
            </w:tcBorders>
            <w:shd w:val="clear" w:color="auto" w:fill="auto"/>
            <w:noWrap/>
            <w:vAlign w:val="bottom"/>
            <w:hideMark/>
          </w:tcPr>
          <w:p w14:paraId="45E6FAA9"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40.6</w:t>
            </w:r>
          </w:p>
        </w:tc>
        <w:tc>
          <w:tcPr>
            <w:tcW w:w="1084" w:type="dxa"/>
            <w:tcBorders>
              <w:top w:val="nil"/>
              <w:left w:val="nil"/>
              <w:bottom w:val="nil"/>
              <w:right w:val="nil"/>
            </w:tcBorders>
            <w:shd w:val="clear" w:color="auto" w:fill="auto"/>
            <w:noWrap/>
            <w:vAlign w:val="bottom"/>
            <w:hideMark/>
          </w:tcPr>
          <w:p w14:paraId="492AF57E"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5782</w:t>
            </w:r>
          </w:p>
        </w:tc>
        <w:tc>
          <w:tcPr>
            <w:tcW w:w="958" w:type="dxa"/>
            <w:tcBorders>
              <w:top w:val="nil"/>
              <w:left w:val="nil"/>
              <w:bottom w:val="nil"/>
              <w:right w:val="nil"/>
            </w:tcBorders>
            <w:shd w:val="clear" w:color="auto" w:fill="auto"/>
            <w:noWrap/>
            <w:vAlign w:val="bottom"/>
            <w:hideMark/>
          </w:tcPr>
          <w:p w14:paraId="1018C349"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42.7</w:t>
            </w:r>
          </w:p>
        </w:tc>
        <w:tc>
          <w:tcPr>
            <w:tcW w:w="1084" w:type="dxa"/>
            <w:tcBorders>
              <w:top w:val="nil"/>
              <w:left w:val="nil"/>
              <w:bottom w:val="nil"/>
              <w:right w:val="nil"/>
            </w:tcBorders>
            <w:shd w:val="clear" w:color="auto" w:fill="auto"/>
            <w:noWrap/>
            <w:vAlign w:val="bottom"/>
            <w:hideMark/>
          </w:tcPr>
          <w:p w14:paraId="21087933"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2252</w:t>
            </w:r>
          </w:p>
        </w:tc>
        <w:tc>
          <w:tcPr>
            <w:tcW w:w="958" w:type="dxa"/>
            <w:tcBorders>
              <w:top w:val="nil"/>
              <w:left w:val="nil"/>
              <w:bottom w:val="nil"/>
              <w:right w:val="nil"/>
            </w:tcBorders>
            <w:shd w:val="clear" w:color="auto" w:fill="auto"/>
            <w:noWrap/>
            <w:vAlign w:val="bottom"/>
            <w:hideMark/>
          </w:tcPr>
          <w:p w14:paraId="5D1E5D69"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16.6</w:t>
            </w:r>
          </w:p>
        </w:tc>
      </w:tr>
      <w:tr w:rsidR="00D07A53" w:rsidRPr="00A73D3D" w14:paraId="63B7B5F9" w14:textId="77777777" w:rsidTr="003632F4">
        <w:trPr>
          <w:trHeight w:val="291"/>
        </w:trPr>
        <w:tc>
          <w:tcPr>
            <w:tcW w:w="2641" w:type="dxa"/>
            <w:tcBorders>
              <w:top w:val="nil"/>
              <w:left w:val="nil"/>
              <w:bottom w:val="nil"/>
              <w:right w:val="nil"/>
            </w:tcBorders>
            <w:shd w:val="clear" w:color="auto" w:fill="auto"/>
            <w:noWrap/>
            <w:vAlign w:val="bottom"/>
            <w:hideMark/>
          </w:tcPr>
          <w:p w14:paraId="207455B7"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Drug Use</w:t>
            </w:r>
          </w:p>
        </w:tc>
        <w:tc>
          <w:tcPr>
            <w:tcW w:w="1129" w:type="dxa"/>
            <w:tcBorders>
              <w:top w:val="nil"/>
              <w:left w:val="nil"/>
              <w:bottom w:val="nil"/>
              <w:right w:val="nil"/>
            </w:tcBorders>
            <w:shd w:val="clear" w:color="auto" w:fill="auto"/>
            <w:noWrap/>
            <w:vAlign w:val="bottom"/>
            <w:hideMark/>
          </w:tcPr>
          <w:p w14:paraId="2A092107"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3987</w:t>
            </w:r>
          </w:p>
        </w:tc>
        <w:tc>
          <w:tcPr>
            <w:tcW w:w="996" w:type="dxa"/>
            <w:tcBorders>
              <w:top w:val="nil"/>
              <w:left w:val="nil"/>
              <w:bottom w:val="nil"/>
              <w:right w:val="nil"/>
            </w:tcBorders>
            <w:shd w:val="clear" w:color="auto" w:fill="auto"/>
            <w:noWrap/>
            <w:vAlign w:val="bottom"/>
            <w:hideMark/>
          </w:tcPr>
          <w:p w14:paraId="3B44D153"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62.5</w:t>
            </w:r>
          </w:p>
        </w:tc>
        <w:tc>
          <w:tcPr>
            <w:tcW w:w="1129" w:type="dxa"/>
            <w:tcBorders>
              <w:top w:val="nil"/>
              <w:left w:val="nil"/>
              <w:bottom w:val="nil"/>
              <w:right w:val="nil"/>
            </w:tcBorders>
            <w:shd w:val="clear" w:color="auto" w:fill="auto"/>
            <w:noWrap/>
            <w:vAlign w:val="bottom"/>
            <w:hideMark/>
          </w:tcPr>
          <w:p w14:paraId="5A1F3771"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1642</w:t>
            </w:r>
          </w:p>
        </w:tc>
        <w:tc>
          <w:tcPr>
            <w:tcW w:w="996" w:type="dxa"/>
            <w:tcBorders>
              <w:top w:val="nil"/>
              <w:left w:val="nil"/>
              <w:bottom w:val="nil"/>
              <w:right w:val="nil"/>
            </w:tcBorders>
            <w:shd w:val="clear" w:color="auto" w:fill="auto"/>
            <w:noWrap/>
            <w:vAlign w:val="bottom"/>
            <w:hideMark/>
          </w:tcPr>
          <w:p w14:paraId="7A9EBF2B"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25.7</w:t>
            </w:r>
          </w:p>
        </w:tc>
        <w:tc>
          <w:tcPr>
            <w:tcW w:w="1129" w:type="dxa"/>
            <w:tcBorders>
              <w:top w:val="nil"/>
              <w:left w:val="nil"/>
              <w:bottom w:val="nil"/>
              <w:right w:val="nil"/>
            </w:tcBorders>
            <w:shd w:val="clear" w:color="auto" w:fill="auto"/>
            <w:noWrap/>
            <w:vAlign w:val="bottom"/>
            <w:hideMark/>
          </w:tcPr>
          <w:p w14:paraId="3718BBA6"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751</w:t>
            </w:r>
          </w:p>
        </w:tc>
        <w:tc>
          <w:tcPr>
            <w:tcW w:w="996" w:type="dxa"/>
            <w:tcBorders>
              <w:top w:val="nil"/>
              <w:left w:val="nil"/>
              <w:bottom w:val="nil"/>
              <w:right w:val="single" w:sz="4" w:space="0" w:color="auto"/>
            </w:tcBorders>
            <w:shd w:val="clear" w:color="auto" w:fill="auto"/>
            <w:noWrap/>
            <w:vAlign w:val="bottom"/>
            <w:hideMark/>
          </w:tcPr>
          <w:p w14:paraId="4AE39FDA"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11.8</w:t>
            </w:r>
          </w:p>
        </w:tc>
        <w:tc>
          <w:tcPr>
            <w:tcW w:w="1336" w:type="dxa"/>
            <w:tcBorders>
              <w:top w:val="nil"/>
              <w:left w:val="nil"/>
              <w:bottom w:val="nil"/>
              <w:right w:val="nil"/>
            </w:tcBorders>
            <w:shd w:val="clear" w:color="auto" w:fill="auto"/>
            <w:noWrap/>
            <w:vAlign w:val="bottom"/>
            <w:hideMark/>
          </w:tcPr>
          <w:p w14:paraId="19785227"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5649</w:t>
            </w:r>
          </w:p>
        </w:tc>
        <w:tc>
          <w:tcPr>
            <w:tcW w:w="957" w:type="dxa"/>
            <w:tcBorders>
              <w:top w:val="nil"/>
              <w:left w:val="nil"/>
              <w:bottom w:val="nil"/>
              <w:right w:val="nil"/>
            </w:tcBorders>
            <w:shd w:val="clear" w:color="auto" w:fill="auto"/>
            <w:noWrap/>
            <w:vAlign w:val="bottom"/>
            <w:hideMark/>
          </w:tcPr>
          <w:p w14:paraId="37F4617C"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41.8</w:t>
            </w:r>
          </w:p>
        </w:tc>
        <w:tc>
          <w:tcPr>
            <w:tcW w:w="1084" w:type="dxa"/>
            <w:tcBorders>
              <w:top w:val="nil"/>
              <w:left w:val="nil"/>
              <w:bottom w:val="nil"/>
              <w:right w:val="nil"/>
            </w:tcBorders>
            <w:shd w:val="clear" w:color="auto" w:fill="auto"/>
            <w:noWrap/>
            <w:vAlign w:val="bottom"/>
            <w:hideMark/>
          </w:tcPr>
          <w:p w14:paraId="354C982E"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5656</w:t>
            </w:r>
          </w:p>
        </w:tc>
        <w:tc>
          <w:tcPr>
            <w:tcW w:w="958" w:type="dxa"/>
            <w:tcBorders>
              <w:top w:val="nil"/>
              <w:left w:val="nil"/>
              <w:bottom w:val="nil"/>
              <w:right w:val="nil"/>
            </w:tcBorders>
            <w:shd w:val="clear" w:color="auto" w:fill="auto"/>
            <w:noWrap/>
            <w:vAlign w:val="bottom"/>
            <w:hideMark/>
          </w:tcPr>
          <w:p w14:paraId="5676F726"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41.8</w:t>
            </w:r>
          </w:p>
        </w:tc>
        <w:tc>
          <w:tcPr>
            <w:tcW w:w="1084" w:type="dxa"/>
            <w:tcBorders>
              <w:top w:val="nil"/>
              <w:left w:val="nil"/>
              <w:bottom w:val="nil"/>
              <w:right w:val="nil"/>
            </w:tcBorders>
            <w:shd w:val="clear" w:color="auto" w:fill="auto"/>
            <w:noWrap/>
            <w:vAlign w:val="bottom"/>
            <w:hideMark/>
          </w:tcPr>
          <w:p w14:paraId="2CF44FDD"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2221</w:t>
            </w:r>
          </w:p>
        </w:tc>
        <w:tc>
          <w:tcPr>
            <w:tcW w:w="958" w:type="dxa"/>
            <w:tcBorders>
              <w:top w:val="nil"/>
              <w:left w:val="nil"/>
              <w:bottom w:val="nil"/>
              <w:right w:val="nil"/>
            </w:tcBorders>
            <w:shd w:val="clear" w:color="auto" w:fill="auto"/>
            <w:noWrap/>
            <w:vAlign w:val="bottom"/>
            <w:hideMark/>
          </w:tcPr>
          <w:p w14:paraId="33A889B5"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16.4</w:t>
            </w:r>
          </w:p>
        </w:tc>
      </w:tr>
      <w:tr w:rsidR="00D07A53" w:rsidRPr="00A73D3D" w14:paraId="0EFF3CDF" w14:textId="77777777" w:rsidTr="003632F4">
        <w:trPr>
          <w:trHeight w:val="291"/>
        </w:trPr>
        <w:tc>
          <w:tcPr>
            <w:tcW w:w="2641" w:type="dxa"/>
            <w:tcBorders>
              <w:top w:val="nil"/>
              <w:left w:val="nil"/>
              <w:bottom w:val="nil"/>
              <w:right w:val="nil"/>
            </w:tcBorders>
            <w:shd w:val="clear" w:color="auto" w:fill="auto"/>
            <w:noWrap/>
            <w:vAlign w:val="bottom"/>
            <w:hideMark/>
          </w:tcPr>
          <w:p w14:paraId="19CD0DC4"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Gambler Harm</w:t>
            </w:r>
          </w:p>
        </w:tc>
        <w:tc>
          <w:tcPr>
            <w:tcW w:w="1129" w:type="dxa"/>
            <w:tcBorders>
              <w:top w:val="nil"/>
              <w:left w:val="nil"/>
              <w:bottom w:val="nil"/>
              <w:right w:val="nil"/>
            </w:tcBorders>
            <w:shd w:val="clear" w:color="auto" w:fill="auto"/>
            <w:noWrap/>
            <w:vAlign w:val="bottom"/>
            <w:hideMark/>
          </w:tcPr>
          <w:p w14:paraId="6A95D8CA"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6225</w:t>
            </w:r>
          </w:p>
        </w:tc>
        <w:tc>
          <w:tcPr>
            <w:tcW w:w="996" w:type="dxa"/>
            <w:tcBorders>
              <w:top w:val="nil"/>
              <w:left w:val="nil"/>
              <w:bottom w:val="nil"/>
              <w:right w:val="nil"/>
            </w:tcBorders>
            <w:shd w:val="clear" w:color="auto" w:fill="auto"/>
            <w:noWrap/>
            <w:vAlign w:val="bottom"/>
            <w:hideMark/>
          </w:tcPr>
          <w:p w14:paraId="11AAAD41"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97.6</w:t>
            </w:r>
          </w:p>
        </w:tc>
        <w:tc>
          <w:tcPr>
            <w:tcW w:w="1129" w:type="dxa"/>
            <w:tcBorders>
              <w:top w:val="nil"/>
              <w:left w:val="nil"/>
              <w:bottom w:val="nil"/>
              <w:right w:val="nil"/>
            </w:tcBorders>
            <w:shd w:val="clear" w:color="auto" w:fill="auto"/>
            <w:noWrap/>
            <w:vAlign w:val="bottom"/>
            <w:hideMark/>
          </w:tcPr>
          <w:p w14:paraId="5BC5515B"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108</w:t>
            </w:r>
          </w:p>
        </w:tc>
        <w:tc>
          <w:tcPr>
            <w:tcW w:w="996" w:type="dxa"/>
            <w:tcBorders>
              <w:top w:val="nil"/>
              <w:left w:val="nil"/>
              <w:bottom w:val="nil"/>
              <w:right w:val="nil"/>
            </w:tcBorders>
            <w:shd w:val="clear" w:color="auto" w:fill="auto"/>
            <w:noWrap/>
            <w:vAlign w:val="bottom"/>
            <w:hideMark/>
          </w:tcPr>
          <w:p w14:paraId="3BCEF97C"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1.7</w:t>
            </w:r>
          </w:p>
        </w:tc>
        <w:tc>
          <w:tcPr>
            <w:tcW w:w="1129" w:type="dxa"/>
            <w:tcBorders>
              <w:top w:val="nil"/>
              <w:left w:val="nil"/>
              <w:bottom w:val="nil"/>
              <w:right w:val="nil"/>
            </w:tcBorders>
            <w:shd w:val="clear" w:color="auto" w:fill="auto"/>
            <w:noWrap/>
            <w:vAlign w:val="bottom"/>
            <w:hideMark/>
          </w:tcPr>
          <w:p w14:paraId="0E45D355"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47</w:t>
            </w:r>
          </w:p>
        </w:tc>
        <w:tc>
          <w:tcPr>
            <w:tcW w:w="996" w:type="dxa"/>
            <w:tcBorders>
              <w:top w:val="nil"/>
              <w:left w:val="nil"/>
              <w:bottom w:val="nil"/>
              <w:right w:val="single" w:sz="4" w:space="0" w:color="auto"/>
            </w:tcBorders>
            <w:shd w:val="clear" w:color="auto" w:fill="auto"/>
            <w:noWrap/>
            <w:vAlign w:val="bottom"/>
            <w:hideMark/>
          </w:tcPr>
          <w:p w14:paraId="27C909B8"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0.7</w:t>
            </w:r>
          </w:p>
        </w:tc>
        <w:tc>
          <w:tcPr>
            <w:tcW w:w="1336" w:type="dxa"/>
            <w:tcBorders>
              <w:top w:val="nil"/>
              <w:left w:val="nil"/>
              <w:bottom w:val="nil"/>
              <w:right w:val="nil"/>
            </w:tcBorders>
            <w:shd w:val="clear" w:color="auto" w:fill="auto"/>
            <w:noWrap/>
            <w:vAlign w:val="bottom"/>
            <w:hideMark/>
          </w:tcPr>
          <w:p w14:paraId="6686A744"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3520</w:t>
            </w:r>
          </w:p>
        </w:tc>
        <w:tc>
          <w:tcPr>
            <w:tcW w:w="957" w:type="dxa"/>
            <w:tcBorders>
              <w:top w:val="nil"/>
              <w:left w:val="nil"/>
              <w:bottom w:val="nil"/>
              <w:right w:val="nil"/>
            </w:tcBorders>
            <w:shd w:val="clear" w:color="auto" w:fill="auto"/>
            <w:noWrap/>
            <w:vAlign w:val="bottom"/>
            <w:hideMark/>
          </w:tcPr>
          <w:p w14:paraId="56CBCA39"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26</w:t>
            </w:r>
          </w:p>
        </w:tc>
        <w:tc>
          <w:tcPr>
            <w:tcW w:w="1084" w:type="dxa"/>
            <w:tcBorders>
              <w:top w:val="nil"/>
              <w:left w:val="nil"/>
              <w:bottom w:val="nil"/>
              <w:right w:val="nil"/>
            </w:tcBorders>
            <w:shd w:val="clear" w:color="auto" w:fill="auto"/>
            <w:noWrap/>
            <w:vAlign w:val="bottom"/>
            <w:hideMark/>
          </w:tcPr>
          <w:p w14:paraId="6319C379"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5723</w:t>
            </w:r>
          </w:p>
        </w:tc>
        <w:tc>
          <w:tcPr>
            <w:tcW w:w="958" w:type="dxa"/>
            <w:tcBorders>
              <w:top w:val="nil"/>
              <w:left w:val="nil"/>
              <w:bottom w:val="nil"/>
              <w:right w:val="nil"/>
            </w:tcBorders>
            <w:shd w:val="clear" w:color="auto" w:fill="auto"/>
            <w:noWrap/>
            <w:vAlign w:val="bottom"/>
            <w:hideMark/>
          </w:tcPr>
          <w:p w14:paraId="6E6CDFD5"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42.3</w:t>
            </w:r>
          </w:p>
        </w:tc>
        <w:tc>
          <w:tcPr>
            <w:tcW w:w="1084" w:type="dxa"/>
            <w:tcBorders>
              <w:top w:val="nil"/>
              <w:left w:val="nil"/>
              <w:bottom w:val="nil"/>
              <w:right w:val="nil"/>
            </w:tcBorders>
            <w:shd w:val="clear" w:color="auto" w:fill="auto"/>
            <w:noWrap/>
            <w:vAlign w:val="bottom"/>
            <w:hideMark/>
          </w:tcPr>
          <w:p w14:paraId="61D3D747"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4283</w:t>
            </w:r>
          </w:p>
        </w:tc>
        <w:tc>
          <w:tcPr>
            <w:tcW w:w="958" w:type="dxa"/>
            <w:tcBorders>
              <w:top w:val="nil"/>
              <w:left w:val="nil"/>
              <w:bottom w:val="nil"/>
              <w:right w:val="nil"/>
            </w:tcBorders>
            <w:shd w:val="clear" w:color="auto" w:fill="auto"/>
            <w:noWrap/>
            <w:vAlign w:val="bottom"/>
            <w:hideMark/>
          </w:tcPr>
          <w:p w14:paraId="16F6A406"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31.7</w:t>
            </w:r>
          </w:p>
        </w:tc>
      </w:tr>
      <w:tr w:rsidR="00D07A53" w:rsidRPr="00A73D3D" w14:paraId="09CA3F6C" w14:textId="77777777" w:rsidTr="003632F4">
        <w:trPr>
          <w:trHeight w:val="291"/>
        </w:trPr>
        <w:tc>
          <w:tcPr>
            <w:tcW w:w="2641" w:type="dxa"/>
            <w:tcBorders>
              <w:top w:val="nil"/>
              <w:left w:val="nil"/>
              <w:bottom w:val="nil"/>
              <w:right w:val="nil"/>
            </w:tcBorders>
            <w:shd w:val="clear" w:color="auto" w:fill="auto"/>
            <w:noWrap/>
            <w:vAlign w:val="bottom"/>
            <w:hideMark/>
          </w:tcPr>
          <w:p w14:paraId="70CEDD73"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Gambler Control</w:t>
            </w:r>
          </w:p>
        </w:tc>
        <w:tc>
          <w:tcPr>
            <w:tcW w:w="1129" w:type="dxa"/>
            <w:tcBorders>
              <w:top w:val="nil"/>
              <w:left w:val="nil"/>
              <w:bottom w:val="nil"/>
              <w:right w:val="nil"/>
            </w:tcBorders>
            <w:shd w:val="clear" w:color="auto" w:fill="auto"/>
            <w:noWrap/>
            <w:vAlign w:val="bottom"/>
            <w:hideMark/>
          </w:tcPr>
          <w:p w14:paraId="4B126596"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6232</w:t>
            </w:r>
          </w:p>
        </w:tc>
        <w:tc>
          <w:tcPr>
            <w:tcW w:w="996" w:type="dxa"/>
            <w:tcBorders>
              <w:top w:val="nil"/>
              <w:left w:val="nil"/>
              <w:bottom w:val="nil"/>
              <w:right w:val="nil"/>
            </w:tcBorders>
            <w:shd w:val="clear" w:color="auto" w:fill="auto"/>
            <w:noWrap/>
            <w:vAlign w:val="bottom"/>
            <w:hideMark/>
          </w:tcPr>
          <w:p w14:paraId="1BCFF90C"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97.7</w:t>
            </w:r>
          </w:p>
        </w:tc>
        <w:tc>
          <w:tcPr>
            <w:tcW w:w="1129" w:type="dxa"/>
            <w:tcBorders>
              <w:top w:val="nil"/>
              <w:left w:val="nil"/>
              <w:bottom w:val="nil"/>
              <w:right w:val="nil"/>
            </w:tcBorders>
            <w:shd w:val="clear" w:color="auto" w:fill="auto"/>
            <w:noWrap/>
            <w:vAlign w:val="bottom"/>
            <w:hideMark/>
          </w:tcPr>
          <w:p w14:paraId="1491F4C3"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100</w:t>
            </w:r>
          </w:p>
        </w:tc>
        <w:tc>
          <w:tcPr>
            <w:tcW w:w="996" w:type="dxa"/>
            <w:tcBorders>
              <w:top w:val="nil"/>
              <w:left w:val="nil"/>
              <w:bottom w:val="nil"/>
              <w:right w:val="nil"/>
            </w:tcBorders>
            <w:shd w:val="clear" w:color="auto" w:fill="auto"/>
            <w:noWrap/>
            <w:vAlign w:val="bottom"/>
            <w:hideMark/>
          </w:tcPr>
          <w:p w14:paraId="3E67A78B"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1.6</w:t>
            </w:r>
          </w:p>
        </w:tc>
        <w:tc>
          <w:tcPr>
            <w:tcW w:w="1129" w:type="dxa"/>
            <w:tcBorders>
              <w:top w:val="nil"/>
              <w:left w:val="nil"/>
              <w:bottom w:val="nil"/>
              <w:right w:val="nil"/>
            </w:tcBorders>
            <w:shd w:val="clear" w:color="auto" w:fill="auto"/>
            <w:noWrap/>
            <w:vAlign w:val="bottom"/>
            <w:hideMark/>
          </w:tcPr>
          <w:p w14:paraId="29935D02"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48</w:t>
            </w:r>
          </w:p>
        </w:tc>
        <w:tc>
          <w:tcPr>
            <w:tcW w:w="996" w:type="dxa"/>
            <w:tcBorders>
              <w:top w:val="nil"/>
              <w:left w:val="nil"/>
              <w:bottom w:val="nil"/>
              <w:right w:val="single" w:sz="4" w:space="0" w:color="auto"/>
            </w:tcBorders>
            <w:shd w:val="clear" w:color="auto" w:fill="auto"/>
            <w:noWrap/>
            <w:vAlign w:val="bottom"/>
            <w:hideMark/>
          </w:tcPr>
          <w:p w14:paraId="1563E394"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0.8</w:t>
            </w:r>
          </w:p>
        </w:tc>
        <w:tc>
          <w:tcPr>
            <w:tcW w:w="1336" w:type="dxa"/>
            <w:tcBorders>
              <w:top w:val="nil"/>
              <w:left w:val="nil"/>
              <w:bottom w:val="nil"/>
              <w:right w:val="nil"/>
            </w:tcBorders>
            <w:shd w:val="clear" w:color="auto" w:fill="auto"/>
            <w:noWrap/>
            <w:vAlign w:val="bottom"/>
            <w:hideMark/>
          </w:tcPr>
          <w:p w14:paraId="341E740A"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4092</w:t>
            </w:r>
          </w:p>
        </w:tc>
        <w:tc>
          <w:tcPr>
            <w:tcW w:w="957" w:type="dxa"/>
            <w:tcBorders>
              <w:top w:val="nil"/>
              <w:left w:val="nil"/>
              <w:bottom w:val="nil"/>
              <w:right w:val="nil"/>
            </w:tcBorders>
            <w:shd w:val="clear" w:color="auto" w:fill="auto"/>
            <w:noWrap/>
            <w:vAlign w:val="bottom"/>
            <w:hideMark/>
          </w:tcPr>
          <w:p w14:paraId="0F568438"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30.3</w:t>
            </w:r>
          </w:p>
        </w:tc>
        <w:tc>
          <w:tcPr>
            <w:tcW w:w="1084" w:type="dxa"/>
            <w:tcBorders>
              <w:top w:val="nil"/>
              <w:left w:val="nil"/>
              <w:bottom w:val="nil"/>
              <w:right w:val="nil"/>
            </w:tcBorders>
            <w:shd w:val="clear" w:color="auto" w:fill="auto"/>
            <w:noWrap/>
            <w:vAlign w:val="bottom"/>
            <w:hideMark/>
          </w:tcPr>
          <w:p w14:paraId="051B10FE"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5490</w:t>
            </w:r>
          </w:p>
        </w:tc>
        <w:tc>
          <w:tcPr>
            <w:tcW w:w="958" w:type="dxa"/>
            <w:tcBorders>
              <w:top w:val="nil"/>
              <w:left w:val="nil"/>
              <w:bottom w:val="nil"/>
              <w:right w:val="nil"/>
            </w:tcBorders>
            <w:shd w:val="clear" w:color="auto" w:fill="auto"/>
            <w:noWrap/>
            <w:vAlign w:val="bottom"/>
            <w:hideMark/>
          </w:tcPr>
          <w:p w14:paraId="7A67A009"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40.6</w:t>
            </w:r>
          </w:p>
        </w:tc>
        <w:tc>
          <w:tcPr>
            <w:tcW w:w="1084" w:type="dxa"/>
            <w:tcBorders>
              <w:top w:val="nil"/>
              <w:left w:val="nil"/>
              <w:bottom w:val="nil"/>
              <w:right w:val="nil"/>
            </w:tcBorders>
            <w:shd w:val="clear" w:color="auto" w:fill="auto"/>
            <w:noWrap/>
            <w:vAlign w:val="bottom"/>
            <w:hideMark/>
          </w:tcPr>
          <w:p w14:paraId="74736936"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3944</w:t>
            </w:r>
          </w:p>
        </w:tc>
        <w:tc>
          <w:tcPr>
            <w:tcW w:w="958" w:type="dxa"/>
            <w:tcBorders>
              <w:top w:val="nil"/>
              <w:left w:val="nil"/>
              <w:bottom w:val="nil"/>
              <w:right w:val="nil"/>
            </w:tcBorders>
            <w:shd w:val="clear" w:color="auto" w:fill="auto"/>
            <w:noWrap/>
            <w:vAlign w:val="bottom"/>
            <w:hideMark/>
          </w:tcPr>
          <w:p w14:paraId="0A9824D9"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29.2</w:t>
            </w:r>
          </w:p>
        </w:tc>
      </w:tr>
      <w:tr w:rsidR="00D07A53" w:rsidRPr="00A73D3D" w14:paraId="0516FAA7" w14:textId="77777777" w:rsidTr="003632F4">
        <w:trPr>
          <w:trHeight w:val="291"/>
        </w:trPr>
        <w:tc>
          <w:tcPr>
            <w:tcW w:w="2641" w:type="dxa"/>
            <w:tcBorders>
              <w:top w:val="nil"/>
              <w:left w:val="nil"/>
              <w:bottom w:val="single" w:sz="4" w:space="0" w:color="auto"/>
              <w:right w:val="nil"/>
            </w:tcBorders>
            <w:shd w:val="clear" w:color="auto" w:fill="auto"/>
            <w:noWrap/>
            <w:vAlign w:val="bottom"/>
            <w:hideMark/>
          </w:tcPr>
          <w:p w14:paraId="2EEFDA9E" w14:textId="77777777" w:rsidR="00D07A53" w:rsidRPr="00A73D3D" w:rsidRDefault="00D07A53" w:rsidP="003632F4">
            <w:pPr>
              <w:spacing w:line="240" w:lineRule="auto"/>
              <w:rPr>
                <w:rFonts w:eastAsia="Times New Roman"/>
                <w:color w:val="000000"/>
                <w:sz w:val="22"/>
                <w:szCs w:val="22"/>
                <w:lang w:eastAsia="en-NZ"/>
              </w:rPr>
            </w:pPr>
            <w:r w:rsidRPr="00A73D3D">
              <w:rPr>
                <w:rFonts w:eastAsia="Times New Roman"/>
                <w:color w:val="000000"/>
                <w:sz w:val="22"/>
                <w:szCs w:val="22"/>
                <w:lang w:eastAsia="en-NZ"/>
              </w:rPr>
              <w:t>Gambler dollars lost</w:t>
            </w:r>
          </w:p>
        </w:tc>
        <w:tc>
          <w:tcPr>
            <w:tcW w:w="1129" w:type="dxa"/>
            <w:tcBorders>
              <w:top w:val="nil"/>
              <w:left w:val="nil"/>
              <w:bottom w:val="single" w:sz="4" w:space="0" w:color="auto"/>
              <w:right w:val="nil"/>
            </w:tcBorders>
            <w:shd w:val="clear" w:color="auto" w:fill="auto"/>
            <w:noWrap/>
            <w:vAlign w:val="bottom"/>
            <w:hideMark/>
          </w:tcPr>
          <w:p w14:paraId="42A2A4B5"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6235</w:t>
            </w:r>
          </w:p>
        </w:tc>
        <w:tc>
          <w:tcPr>
            <w:tcW w:w="996" w:type="dxa"/>
            <w:tcBorders>
              <w:top w:val="nil"/>
              <w:left w:val="nil"/>
              <w:bottom w:val="single" w:sz="4" w:space="0" w:color="auto"/>
              <w:right w:val="nil"/>
            </w:tcBorders>
            <w:shd w:val="clear" w:color="auto" w:fill="auto"/>
            <w:noWrap/>
            <w:vAlign w:val="bottom"/>
            <w:hideMark/>
          </w:tcPr>
          <w:p w14:paraId="74958E44"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97.7</w:t>
            </w:r>
          </w:p>
        </w:tc>
        <w:tc>
          <w:tcPr>
            <w:tcW w:w="1129" w:type="dxa"/>
            <w:tcBorders>
              <w:top w:val="nil"/>
              <w:left w:val="nil"/>
              <w:bottom w:val="single" w:sz="4" w:space="0" w:color="auto"/>
              <w:right w:val="nil"/>
            </w:tcBorders>
            <w:shd w:val="clear" w:color="auto" w:fill="auto"/>
            <w:noWrap/>
            <w:vAlign w:val="bottom"/>
            <w:hideMark/>
          </w:tcPr>
          <w:p w14:paraId="287FB0BA"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98</w:t>
            </w:r>
          </w:p>
        </w:tc>
        <w:tc>
          <w:tcPr>
            <w:tcW w:w="996" w:type="dxa"/>
            <w:tcBorders>
              <w:top w:val="nil"/>
              <w:left w:val="nil"/>
              <w:bottom w:val="single" w:sz="4" w:space="0" w:color="auto"/>
              <w:right w:val="nil"/>
            </w:tcBorders>
            <w:shd w:val="clear" w:color="auto" w:fill="auto"/>
            <w:noWrap/>
            <w:vAlign w:val="bottom"/>
            <w:hideMark/>
          </w:tcPr>
          <w:p w14:paraId="45ABAA4F"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1.5</w:t>
            </w:r>
          </w:p>
        </w:tc>
        <w:tc>
          <w:tcPr>
            <w:tcW w:w="1129" w:type="dxa"/>
            <w:tcBorders>
              <w:top w:val="nil"/>
              <w:left w:val="nil"/>
              <w:bottom w:val="single" w:sz="4" w:space="0" w:color="auto"/>
              <w:right w:val="nil"/>
            </w:tcBorders>
            <w:shd w:val="clear" w:color="auto" w:fill="auto"/>
            <w:noWrap/>
            <w:vAlign w:val="bottom"/>
            <w:hideMark/>
          </w:tcPr>
          <w:p w14:paraId="65B17143"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47</w:t>
            </w:r>
          </w:p>
        </w:tc>
        <w:tc>
          <w:tcPr>
            <w:tcW w:w="996" w:type="dxa"/>
            <w:tcBorders>
              <w:top w:val="nil"/>
              <w:left w:val="nil"/>
              <w:bottom w:val="single" w:sz="4" w:space="0" w:color="auto"/>
              <w:right w:val="single" w:sz="4" w:space="0" w:color="auto"/>
            </w:tcBorders>
            <w:shd w:val="clear" w:color="auto" w:fill="auto"/>
            <w:noWrap/>
            <w:vAlign w:val="bottom"/>
            <w:hideMark/>
          </w:tcPr>
          <w:p w14:paraId="63530C00"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0.7</w:t>
            </w:r>
          </w:p>
        </w:tc>
        <w:tc>
          <w:tcPr>
            <w:tcW w:w="1336" w:type="dxa"/>
            <w:tcBorders>
              <w:top w:val="nil"/>
              <w:left w:val="nil"/>
              <w:bottom w:val="single" w:sz="4" w:space="0" w:color="auto"/>
              <w:right w:val="nil"/>
            </w:tcBorders>
            <w:shd w:val="clear" w:color="auto" w:fill="auto"/>
            <w:noWrap/>
            <w:vAlign w:val="bottom"/>
            <w:hideMark/>
          </w:tcPr>
          <w:p w14:paraId="04005517"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4382</w:t>
            </w:r>
          </w:p>
        </w:tc>
        <w:tc>
          <w:tcPr>
            <w:tcW w:w="957" w:type="dxa"/>
            <w:tcBorders>
              <w:top w:val="nil"/>
              <w:left w:val="nil"/>
              <w:bottom w:val="single" w:sz="4" w:space="0" w:color="auto"/>
              <w:right w:val="nil"/>
            </w:tcBorders>
            <w:shd w:val="clear" w:color="auto" w:fill="auto"/>
            <w:noWrap/>
            <w:vAlign w:val="bottom"/>
            <w:hideMark/>
          </w:tcPr>
          <w:p w14:paraId="1BCCF4DA"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32.4</w:t>
            </w:r>
          </w:p>
        </w:tc>
        <w:tc>
          <w:tcPr>
            <w:tcW w:w="1084" w:type="dxa"/>
            <w:tcBorders>
              <w:top w:val="nil"/>
              <w:left w:val="nil"/>
              <w:bottom w:val="single" w:sz="4" w:space="0" w:color="auto"/>
              <w:right w:val="nil"/>
            </w:tcBorders>
            <w:shd w:val="clear" w:color="auto" w:fill="auto"/>
            <w:noWrap/>
            <w:vAlign w:val="bottom"/>
            <w:hideMark/>
          </w:tcPr>
          <w:p w14:paraId="20DA0A17"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5138</w:t>
            </w:r>
          </w:p>
        </w:tc>
        <w:tc>
          <w:tcPr>
            <w:tcW w:w="958" w:type="dxa"/>
            <w:tcBorders>
              <w:top w:val="nil"/>
              <w:left w:val="nil"/>
              <w:bottom w:val="single" w:sz="4" w:space="0" w:color="auto"/>
              <w:right w:val="nil"/>
            </w:tcBorders>
            <w:shd w:val="clear" w:color="auto" w:fill="auto"/>
            <w:noWrap/>
            <w:vAlign w:val="bottom"/>
            <w:hideMark/>
          </w:tcPr>
          <w:p w14:paraId="67C1E55A"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38</w:t>
            </w:r>
          </w:p>
        </w:tc>
        <w:tc>
          <w:tcPr>
            <w:tcW w:w="1084" w:type="dxa"/>
            <w:tcBorders>
              <w:top w:val="nil"/>
              <w:left w:val="nil"/>
              <w:bottom w:val="single" w:sz="4" w:space="0" w:color="auto"/>
              <w:right w:val="nil"/>
            </w:tcBorders>
            <w:shd w:val="clear" w:color="auto" w:fill="auto"/>
            <w:noWrap/>
            <w:vAlign w:val="bottom"/>
            <w:hideMark/>
          </w:tcPr>
          <w:p w14:paraId="14889519" w14:textId="77777777" w:rsidR="00D07A53" w:rsidRPr="00A73D3D" w:rsidRDefault="00D07A53" w:rsidP="003632F4">
            <w:pPr>
              <w:spacing w:line="240" w:lineRule="auto"/>
              <w:jc w:val="right"/>
              <w:rPr>
                <w:rFonts w:eastAsia="Times New Roman"/>
                <w:color w:val="000000"/>
                <w:sz w:val="22"/>
                <w:szCs w:val="22"/>
                <w:lang w:eastAsia="en-NZ"/>
              </w:rPr>
            </w:pPr>
            <w:r w:rsidRPr="00A73D3D">
              <w:rPr>
                <w:rFonts w:eastAsia="Times New Roman"/>
                <w:color w:val="000000"/>
                <w:sz w:val="22"/>
                <w:szCs w:val="22"/>
                <w:lang w:eastAsia="en-NZ"/>
              </w:rPr>
              <w:t>4006</w:t>
            </w:r>
          </w:p>
        </w:tc>
        <w:tc>
          <w:tcPr>
            <w:tcW w:w="958" w:type="dxa"/>
            <w:tcBorders>
              <w:top w:val="nil"/>
              <w:left w:val="nil"/>
              <w:bottom w:val="single" w:sz="4" w:space="0" w:color="auto"/>
              <w:right w:val="nil"/>
            </w:tcBorders>
            <w:shd w:val="clear" w:color="auto" w:fill="auto"/>
            <w:noWrap/>
            <w:vAlign w:val="bottom"/>
            <w:hideMark/>
          </w:tcPr>
          <w:p w14:paraId="56CCAD08" w14:textId="77777777" w:rsidR="00D07A53" w:rsidRPr="00A73D3D" w:rsidRDefault="00D07A53" w:rsidP="003632F4">
            <w:pPr>
              <w:spacing w:line="240" w:lineRule="auto"/>
              <w:jc w:val="right"/>
              <w:rPr>
                <w:rFonts w:eastAsia="Times New Roman"/>
                <w:i/>
                <w:iCs/>
                <w:color w:val="000000"/>
                <w:sz w:val="22"/>
                <w:szCs w:val="22"/>
                <w:lang w:eastAsia="en-NZ"/>
              </w:rPr>
            </w:pPr>
            <w:r w:rsidRPr="00A73D3D">
              <w:rPr>
                <w:rFonts w:eastAsia="Times New Roman"/>
                <w:i/>
                <w:iCs/>
                <w:color w:val="000000"/>
                <w:sz w:val="22"/>
                <w:szCs w:val="22"/>
                <w:lang w:eastAsia="en-NZ"/>
              </w:rPr>
              <w:t>29.6</w:t>
            </w:r>
          </w:p>
        </w:tc>
      </w:tr>
      <w:bookmarkEnd w:id="180"/>
    </w:tbl>
    <w:p w14:paraId="5D9A9DFA" w14:textId="77777777" w:rsidR="00D07A53" w:rsidRDefault="00D07A53" w:rsidP="00D07A53">
      <w:pPr>
        <w:sectPr w:rsidR="00D07A53" w:rsidSect="003632F4">
          <w:pgSz w:w="16838" w:h="11906" w:orient="landscape"/>
          <w:pgMar w:top="1440" w:right="1440" w:bottom="1440" w:left="1440" w:header="708" w:footer="708" w:gutter="0"/>
          <w:cols w:space="708"/>
          <w:docGrid w:linePitch="360"/>
        </w:sectPr>
      </w:pPr>
    </w:p>
    <w:p w14:paraId="0123E354" w14:textId="1110F8B1" w:rsidR="00E45F72" w:rsidRDefault="00E45F72" w:rsidP="00E45F72">
      <w:pPr>
        <w:pStyle w:val="Heading3"/>
      </w:pPr>
      <w:bookmarkStart w:id="181" w:name="_Toc58400792"/>
      <w:r w:rsidRPr="006A4BB8">
        <w:lastRenderedPageBreak/>
        <w:t>Discussion</w:t>
      </w:r>
      <w:bookmarkEnd w:id="181"/>
      <w:r w:rsidRPr="006A4BB8">
        <w:t xml:space="preserve"> </w:t>
      </w:r>
    </w:p>
    <w:p w14:paraId="5486F80A" w14:textId="57D2D233" w:rsidR="00EA5E6D" w:rsidRDefault="00EF5409" w:rsidP="00F46353">
      <w:pPr>
        <w:jc w:val="both"/>
      </w:pPr>
      <w:r>
        <w:t xml:space="preserve">This descriptive analysis was conducted to explore the </w:t>
      </w:r>
      <w:r w:rsidRPr="00EF5409">
        <w:t>demographic characteristics</w:t>
      </w:r>
      <w:r>
        <w:t xml:space="preserve"> of FAOs engaging with New Zealand gambling services, and how these clients </w:t>
      </w:r>
      <w:r w:rsidR="00B80EF4">
        <w:t>appear to be</w:t>
      </w:r>
      <w:r>
        <w:t xml:space="preserve"> engaged. </w:t>
      </w:r>
      <w:r w:rsidR="00F46353">
        <w:t xml:space="preserve">When all intervention types were considered together, </w:t>
      </w:r>
      <w:r w:rsidR="00441D81">
        <w:t xml:space="preserve">the largest proportion of FAOs engaging with </w:t>
      </w:r>
      <w:r w:rsidR="00F46353">
        <w:t xml:space="preserve">services </w:t>
      </w:r>
      <w:r w:rsidR="00441D81">
        <w:t>were</w:t>
      </w:r>
      <w:r w:rsidR="00F46353">
        <w:t xml:space="preserve"> </w:t>
      </w:r>
      <w:r w:rsidR="00F46353" w:rsidRPr="00EB5B7F">
        <w:t>Māori</w:t>
      </w:r>
      <w:r w:rsidR="00F46353">
        <w:t xml:space="preserve"> women (27%) and European/Other women (21%), followed by </w:t>
      </w:r>
      <w:r w:rsidR="00F46353" w:rsidRPr="00EB5B7F">
        <w:t>Māori</w:t>
      </w:r>
      <w:r w:rsidR="00F46353">
        <w:t xml:space="preserve"> men (13%) and Pacific women (12%). Lower engagement was noted </w:t>
      </w:r>
      <w:r w:rsidR="00441D81">
        <w:t xml:space="preserve">for </w:t>
      </w:r>
      <w:r w:rsidR="00F46353">
        <w:t xml:space="preserve">Pacific men (10%), European/Other men (10%), East Asian women (5%) and East Asian men (2%). </w:t>
      </w:r>
      <w:r w:rsidR="00F46353" w:rsidRPr="00F46353">
        <w:t xml:space="preserve">All intervention service providers are responsible for promoting their services, with a primary focus on </w:t>
      </w:r>
      <w:r w:rsidR="000D058A">
        <w:t>“</w:t>
      </w:r>
      <w:r w:rsidR="00F46353" w:rsidRPr="00F46353">
        <w:t>at-risk and high-need populations</w:t>
      </w:r>
      <w:r w:rsidR="000D058A">
        <w:t>”</w:t>
      </w:r>
      <w:r w:rsidR="00F46353">
        <w:t xml:space="preserve"> </w:t>
      </w:r>
      <w:r w:rsidR="00F46353">
        <w:fldChar w:fldCharType="begin"/>
      </w:r>
      <w:r w:rsidR="000D058A">
        <w:instrText xml:space="preserve"> ADDIN EN.CITE &lt;EndNote&gt;&lt;Cite&gt;&lt;Author&gt;Ministry of Health&lt;/Author&gt;&lt;Year&gt;2019&lt;/Year&gt;&lt;RecNum&gt;223&lt;/RecNum&gt;&lt;Pages&gt;4&lt;/Pages&gt;&lt;DisplayText&gt;(Ministry of Health, 2019, p. 4)&lt;/DisplayText&gt;&lt;record&gt;&lt;rec-number&gt;223&lt;/rec-number&gt;&lt;foreign-keys&gt;&lt;key app="EN" db-id="25rszwft292ev3esrpvpde0cpxrd9ex0xspp" timestamp="1588887840"&gt;223&lt;/key&gt;&lt;/foreign-keys&gt;&lt;ref-type name="Report"&gt;27&lt;/ref-type&gt;&lt;contributors&gt;&lt;authors&gt;&lt;author&gt;Ministry of Health,&lt;/author&gt;&lt;/authors&gt;&lt;/contributors&gt;&lt;titles&gt;&lt;title&gt;Preventing and Minimising Gambling Harm: Practitioner’s Guide&lt;/title&gt;&lt;/titles&gt;&lt;dates&gt;&lt;year&gt;2019&lt;/year&gt;&lt;/dates&gt;&lt;pub-location&gt;Wellington&lt;/pub-location&gt;&lt;publisher&gt;Ministry of Health&lt;/publisher&gt;&lt;urls&gt;&lt;/urls&gt;&lt;/record&gt;&lt;/Cite&gt;&lt;/EndNote&gt;</w:instrText>
      </w:r>
      <w:r w:rsidR="00F46353">
        <w:fldChar w:fldCharType="separate"/>
      </w:r>
      <w:r w:rsidR="000D058A">
        <w:rPr>
          <w:noProof/>
        </w:rPr>
        <w:t>(Ministry of Health, 2019, p. 4)</w:t>
      </w:r>
      <w:r w:rsidR="00F46353">
        <w:fldChar w:fldCharType="end"/>
      </w:r>
      <w:r w:rsidR="00F46353" w:rsidRPr="00F46353">
        <w:t>.</w:t>
      </w:r>
      <w:r w:rsidR="00F46353">
        <w:t xml:space="preserve"> New Zealand population research shows </w:t>
      </w:r>
      <w:r w:rsidR="00EB5B7F">
        <w:t xml:space="preserve">a disproportionately </w:t>
      </w:r>
      <w:r w:rsidR="00EB5B7F" w:rsidRPr="00EB5B7F">
        <w:t>higher rate of reporting by Māori of family members and other people considered likely to have gambling-related problems. This is also evident to a lesser degree for Pacific people</w:t>
      </w:r>
      <w:r w:rsidR="00EB5B7F">
        <w:t xml:space="preserve"> </w:t>
      </w:r>
      <w:r w:rsidR="00EB5B7F">
        <w:fldChar w:fldCharType="begin"/>
      </w:r>
      <w:r w:rsidR="00D945BB">
        <w:instrText xml:space="preserve"> ADDIN EN.CITE &lt;EndNote&gt;&lt;Cite&gt;&lt;Author&gt;Abbott&lt;/Author&gt;&lt;Year&gt;2014&lt;/Year&gt;&lt;RecNum&gt;11&lt;/RecNum&gt;&lt;DisplayText&gt;(Abbott et al., 2014)&lt;/DisplayText&gt;&lt;record&gt;&lt;rec-number&gt;11&lt;/rec-number&gt;&lt;foreign-keys&gt;&lt;key app="EN" db-id="25rszwft292ev3esrpvpde0cpxrd9ex0xspp" timestamp="1536107177"&gt;11&lt;/key&gt;&lt;/foreign-keys&gt;&lt;ref-type name="Report"&gt;27&lt;/ref-type&gt;&lt;contributors&gt;&lt;authors&gt;&lt;author&gt;Abbott, Max&lt;/author&gt;&lt;author&gt;Bellringer, Maria&lt;/author&gt;&lt;author&gt;Garrett, Nick&lt;/author&gt;&lt;author&gt;Mundy-McPherson, Stuart&lt;/author&gt;&lt;/authors&gt;&lt;/contributors&gt;&lt;titles&gt;&lt;title&gt;New Zealand National Gambling Study: Gambling harm and problem gambling report number 2 prepared for the Ministry of Health&lt;/title&gt;&lt;/titles&gt;&lt;dates&gt;&lt;year&gt;2014&lt;/year&gt;&lt;/dates&gt;&lt;pub-location&gt;Auckland&lt;/pub-location&gt;&lt;publisher&gt;Gambling and Addictions Research Centre, Auckland University of Technology&lt;/publisher&gt;&lt;urls&gt;&lt;/urls&gt;&lt;/record&gt;&lt;/Cite&gt;&lt;/EndNote&gt;</w:instrText>
      </w:r>
      <w:r w:rsidR="00EB5B7F">
        <w:fldChar w:fldCharType="separate"/>
      </w:r>
      <w:r w:rsidR="00D945BB">
        <w:rPr>
          <w:noProof/>
        </w:rPr>
        <w:t>(Abbott et al., 2014)</w:t>
      </w:r>
      <w:r w:rsidR="00EB5B7F">
        <w:fldChar w:fldCharType="end"/>
      </w:r>
      <w:r w:rsidR="00EB5B7F" w:rsidRPr="00EB5B7F">
        <w:t>.</w:t>
      </w:r>
      <w:r w:rsidR="00F46353">
        <w:t xml:space="preserve"> </w:t>
      </w:r>
      <w:r w:rsidR="00EA5E6D">
        <w:t xml:space="preserve">Asian </w:t>
      </w:r>
      <w:r w:rsidR="00441D81">
        <w:t>p</w:t>
      </w:r>
      <w:r w:rsidR="00EA5E6D">
        <w:t xml:space="preserve">eople </w:t>
      </w:r>
      <w:r w:rsidR="00F46353">
        <w:t>are</w:t>
      </w:r>
      <w:r w:rsidR="00EA5E6D">
        <w:t xml:space="preserve"> far less likely to report knowing someone experiencing gambling problems than all other ethnic groups (less than one quarter of Asian identified people), compared to around </w:t>
      </w:r>
      <w:r w:rsidR="005D7F16">
        <w:t>one</w:t>
      </w:r>
      <w:r w:rsidR="00EA5E6D">
        <w:t xml:space="preserve">-third of European/Other and Pacific people, and half of Māori </w:t>
      </w:r>
      <w:r w:rsidR="00EA5E6D">
        <w:fldChar w:fldCharType="begin"/>
      </w:r>
      <w:r w:rsidR="00D945BB">
        <w:instrText xml:space="preserve"> ADDIN EN.CITE &lt;EndNote&gt;&lt;Cite&gt;&lt;Author&gt;Abbott&lt;/Author&gt;&lt;Year&gt;2014&lt;/Year&gt;&lt;RecNum&gt;11&lt;/RecNum&gt;&lt;DisplayText&gt;(Abbott et al., 2014)&lt;/DisplayText&gt;&lt;record&gt;&lt;rec-number&gt;11&lt;/rec-number&gt;&lt;foreign-keys&gt;&lt;key app="EN" db-id="25rszwft292ev3esrpvpde0cpxrd9ex0xspp" timestamp="1536107177"&gt;11&lt;/key&gt;&lt;/foreign-keys&gt;&lt;ref-type name="Report"&gt;27&lt;/ref-type&gt;&lt;contributors&gt;&lt;authors&gt;&lt;author&gt;Abbott, Max&lt;/author&gt;&lt;author&gt;Bellringer, Maria&lt;/author&gt;&lt;author&gt;Garrett, Nick&lt;/author&gt;&lt;author&gt;Mundy-McPherson, Stuart&lt;/author&gt;&lt;/authors&gt;&lt;/contributors&gt;&lt;titles&gt;&lt;title&gt;New Zealand National Gambling Study: Gambling harm and problem gambling report number 2 prepared for the Ministry of Health&lt;/title&gt;&lt;/titles&gt;&lt;dates&gt;&lt;year&gt;2014&lt;/year&gt;&lt;/dates&gt;&lt;pub-location&gt;Auckland&lt;/pub-location&gt;&lt;publisher&gt;Gambling and Addictions Research Centre, Auckland University of Technology&lt;/publisher&gt;&lt;urls&gt;&lt;/urls&gt;&lt;/record&gt;&lt;/Cite&gt;&lt;/EndNote&gt;</w:instrText>
      </w:r>
      <w:r w:rsidR="00EA5E6D">
        <w:fldChar w:fldCharType="separate"/>
      </w:r>
      <w:r w:rsidR="00D945BB">
        <w:rPr>
          <w:noProof/>
        </w:rPr>
        <w:t>(Abbott et al., 2014)</w:t>
      </w:r>
      <w:r w:rsidR="00EA5E6D">
        <w:fldChar w:fldCharType="end"/>
      </w:r>
      <w:r w:rsidR="00EA5E6D">
        <w:t xml:space="preserve">. </w:t>
      </w:r>
      <w:r w:rsidR="000F597C">
        <w:t xml:space="preserve">New Zealand women are more likely to identify harm from someone else’s gambling and more severe harms </w:t>
      </w:r>
      <w:r w:rsidR="000F597C">
        <w:fldChar w:fldCharType="begin"/>
      </w:r>
      <w:r w:rsidR="00D945BB">
        <w:instrText xml:space="preserve"> ADDIN EN.CITE &lt;EndNote&gt;&lt;Cite&gt;&lt;Author&gt;Abbott&lt;/Author&gt;&lt;Year&gt;2014&lt;/Year&gt;&lt;RecNum&gt;11&lt;/RecNum&gt;&lt;DisplayText&gt;(Abbott et al., 2014)&lt;/DisplayText&gt;&lt;record&gt;&lt;rec-number&gt;11&lt;/rec-number&gt;&lt;foreign-keys&gt;&lt;key app="EN" db-id="25rszwft292ev3esrpvpde0cpxrd9ex0xspp" timestamp="1536107177"&gt;11&lt;/key&gt;&lt;/foreign-keys&gt;&lt;ref-type name="Report"&gt;27&lt;/ref-type&gt;&lt;contributors&gt;&lt;authors&gt;&lt;author&gt;Abbott, Max&lt;/author&gt;&lt;author&gt;Bellringer, Maria&lt;/author&gt;&lt;author&gt;Garrett, Nick&lt;/author&gt;&lt;author&gt;Mundy-McPherson, Stuart&lt;/author&gt;&lt;/authors&gt;&lt;/contributors&gt;&lt;titles&gt;&lt;title&gt;New Zealand National Gambling Study: Gambling harm and problem gambling report number 2 prepared for the Ministry of Health&lt;/title&gt;&lt;/titles&gt;&lt;dates&gt;&lt;year&gt;2014&lt;/year&gt;&lt;/dates&gt;&lt;pub-location&gt;Auckland&lt;/pub-location&gt;&lt;publisher&gt;Gambling and Addictions Research Centre, Auckland University of Technology&lt;/publisher&gt;&lt;urls&gt;&lt;/urls&gt;&lt;/record&gt;&lt;/Cite&gt;&lt;/EndNote&gt;</w:instrText>
      </w:r>
      <w:r w:rsidR="000F597C">
        <w:fldChar w:fldCharType="separate"/>
      </w:r>
      <w:r w:rsidR="00D945BB">
        <w:rPr>
          <w:noProof/>
        </w:rPr>
        <w:t>(Abbott et al., 2014)</w:t>
      </w:r>
      <w:r w:rsidR="000F597C">
        <w:fldChar w:fldCharType="end"/>
      </w:r>
      <w:r w:rsidR="000F597C">
        <w:t xml:space="preserve">. </w:t>
      </w:r>
      <w:r w:rsidR="00B80EF4">
        <w:t>Taken together, t</w:t>
      </w:r>
      <w:r w:rsidR="00413641">
        <w:t xml:space="preserve">hese </w:t>
      </w:r>
      <w:r w:rsidR="00B80EF4">
        <w:t>findings</w:t>
      </w:r>
      <w:r w:rsidR="00413641">
        <w:t xml:space="preserve"> suggest that service engagement </w:t>
      </w:r>
      <w:r w:rsidR="00C43374">
        <w:t xml:space="preserve">is broadly in alignment </w:t>
      </w:r>
      <w:r w:rsidR="00413641">
        <w:t>with priority populations</w:t>
      </w:r>
      <w:r w:rsidR="00C43374">
        <w:t>, however engagement with Pacific peoples c</w:t>
      </w:r>
      <w:r w:rsidR="00413641">
        <w:t xml:space="preserve">ould be improved. </w:t>
      </w:r>
    </w:p>
    <w:p w14:paraId="2C602210" w14:textId="7F079228" w:rsidR="00B80EF4" w:rsidRDefault="00B80EF4" w:rsidP="00F46353">
      <w:pPr>
        <w:jc w:val="both"/>
      </w:pPr>
    </w:p>
    <w:p w14:paraId="12940B6C" w14:textId="1FBE9B73" w:rsidR="00EA5E6D" w:rsidRDefault="00B80EF4" w:rsidP="00F46353">
      <w:pPr>
        <w:jc w:val="both"/>
      </w:pPr>
      <w:r>
        <w:t xml:space="preserve">Support for both FAOs and gamblers appears to be </w:t>
      </w:r>
      <w:r w:rsidR="000F597C">
        <w:t xml:space="preserve">largely </w:t>
      </w:r>
      <w:r>
        <w:t xml:space="preserve">concentrated around the individual at present. Most FAOs were engaged for one, brief, one-on-one session of motivational support conducted outside a clinical setting. There was little evidence of intervention practice involving couples or families for either FAO or gambler clients. Group support and/or therapy sessions comprised a quarter of session attended by gamblers, yet only around one in ten sessions attended by FAOs. </w:t>
      </w:r>
      <w:r w:rsidR="00AC4122" w:rsidRPr="00AC4122">
        <w:t xml:space="preserve">Couple and family sessions </w:t>
      </w:r>
      <w:r w:rsidR="00AC4122">
        <w:t>accounted</w:t>
      </w:r>
      <w:r w:rsidR="00AC4122" w:rsidRPr="00AC4122">
        <w:t xml:space="preserve"> for just 4 percent of FAO and 2 per cent of gambler sessions</w:t>
      </w:r>
      <w:r w:rsidR="00AC4122">
        <w:t xml:space="preserve">. </w:t>
      </w:r>
      <w:r w:rsidR="000F597C">
        <w:t>Further research could ascertain whether this reflects FAO preference</w:t>
      </w:r>
      <w:r w:rsidR="00AC4122">
        <w:t>s</w:t>
      </w:r>
      <w:r w:rsidR="000F597C">
        <w:t xml:space="preserve"> or the availability of </w:t>
      </w:r>
      <w:r w:rsidR="00AC4122">
        <w:t xml:space="preserve">support options. </w:t>
      </w:r>
      <w:r w:rsidR="000F597C">
        <w:t xml:space="preserve">Given that high engagement with FAOs is already occurring </w:t>
      </w:r>
      <w:r w:rsidR="00AC4122">
        <w:t xml:space="preserve">opportunistically </w:t>
      </w:r>
      <w:r w:rsidR="000F597C">
        <w:t xml:space="preserve">in community contexts, finding ways to support community-based/community-led programmes and events may provide </w:t>
      </w:r>
      <w:r w:rsidR="00AC4122">
        <w:t xml:space="preserve">additional </w:t>
      </w:r>
      <w:r w:rsidR="000F597C">
        <w:t xml:space="preserve">opportunities for more in-depth </w:t>
      </w:r>
      <w:r w:rsidR="00AC4122">
        <w:t xml:space="preserve">FAO </w:t>
      </w:r>
      <w:r w:rsidR="000F597C">
        <w:t>engagement.</w:t>
      </w:r>
    </w:p>
    <w:p w14:paraId="174BBB84" w14:textId="77777777" w:rsidR="005D7F16" w:rsidRDefault="005D7F16" w:rsidP="00E45F72"/>
    <w:p w14:paraId="1A498828" w14:textId="30A07EFF" w:rsidR="00EB5B7F" w:rsidRDefault="000F597C" w:rsidP="00FD292F">
      <w:pPr>
        <w:jc w:val="both"/>
      </w:pPr>
      <w:r>
        <w:t>S</w:t>
      </w:r>
      <w:r w:rsidRPr="000F597C">
        <w:t xml:space="preserve">ome services appear to </w:t>
      </w:r>
      <w:r w:rsidR="00AC4122">
        <w:t xml:space="preserve">be </w:t>
      </w:r>
      <w:r w:rsidRPr="000F597C">
        <w:t>engag</w:t>
      </w:r>
      <w:r w:rsidR="00AC4122">
        <w:t>ing</w:t>
      </w:r>
      <w:r w:rsidRPr="000F597C">
        <w:t xml:space="preserve"> with a high proportion of FAO clients</w:t>
      </w:r>
      <w:r w:rsidR="00AC4122">
        <w:t xml:space="preserve"> in comparison to other services. Examples include The Salvation Army, </w:t>
      </w:r>
      <w:r w:rsidR="00AC4122" w:rsidRPr="00AC4122">
        <w:t>Te Rangihaeata Oranga Trust</w:t>
      </w:r>
      <w:r w:rsidR="00AC4122">
        <w:t xml:space="preserve"> and Tu Te Ihi. </w:t>
      </w:r>
      <w:r w:rsidR="00AC4122" w:rsidRPr="00AC4122">
        <w:t>Te Rangihaeata Oranga Trust</w:t>
      </w:r>
      <w:r w:rsidR="00AC4122">
        <w:t>, located in a small region on New Zealand’s East Coast</w:t>
      </w:r>
      <w:r w:rsidR="00483566">
        <w:t xml:space="preserve"> (Hawke’s Bay, population </w:t>
      </w:r>
      <w:r w:rsidR="00483566" w:rsidRPr="00483566">
        <w:t>175,100</w:t>
      </w:r>
      <w:r w:rsidR="00483566">
        <w:t>)</w:t>
      </w:r>
      <w:r w:rsidR="00AC4122">
        <w:t xml:space="preserve">, engaged with almost ten percent of FAO clients nationally, during the data collection period. </w:t>
      </w:r>
      <w:r w:rsidR="00FD292F">
        <w:t xml:space="preserve">The latest New Zealand inquiry into mental health and addictions services found that while overall quality and effective engagement with families was poor, some services were doing markedly better, for example services undertaking a wrap-around </w:t>
      </w:r>
      <w:r w:rsidR="002B56C5" w:rsidRPr="002B56C5">
        <w:t xml:space="preserve">Whānau Ora approach </w:t>
      </w:r>
      <w:r w:rsidR="002B56C5">
        <w:fldChar w:fldCharType="begin"/>
      </w:r>
      <w:r w:rsidR="002B56C5">
        <w:instrText xml:space="preserve"> ADDIN EN.CITE &lt;EndNote&gt;&lt;Cite&gt;&lt;Author&gt;Patterson&lt;/Author&gt;&lt;Year&gt;2018&lt;/Year&gt;&lt;RecNum&gt;240&lt;/RecNum&gt;&lt;DisplayText&gt;(Patterson et al., 2018)&lt;/DisplayText&gt;&lt;record&gt;&lt;rec-number&gt;240&lt;/rec-number&gt;&lt;foreign-keys&gt;&lt;key app="EN" db-id="25rszwft292ev3esrpvpde0cpxrd9ex0xspp" timestamp="1589319428"&gt;240&lt;/key&gt;&lt;/foreign-keys&gt;&lt;ref-type name="Journal Article"&gt;17&lt;/ref-type&gt;&lt;contributors&gt;&lt;authors&gt;&lt;author&gt;Patterson, R&lt;/author&gt;&lt;author&gt;Durie, M&lt;/author&gt;&lt;author&gt;Disley, B&lt;/author&gt;&lt;author&gt;Tiatia-Seath, Sipaea&lt;/author&gt;&lt;author&gt;Tualamali&amp;apos;i, J&lt;/author&gt;&lt;/authors&gt;&lt;/contributors&gt;&lt;titles&gt;&lt;title&gt;He Ara Oranga: Report of the government inquiry into mental health and addiction&lt;/title&gt;&lt;/titles&gt;&lt;dates&gt;&lt;year&gt;2018&lt;/year&gt;&lt;/dates&gt;&lt;isbn&gt;0994124538&lt;/isbn&gt;&lt;urls&gt;&lt;/urls&gt;&lt;/record&gt;&lt;/Cite&gt;&lt;/EndNote&gt;</w:instrText>
      </w:r>
      <w:r w:rsidR="002B56C5">
        <w:fldChar w:fldCharType="separate"/>
      </w:r>
      <w:r w:rsidR="002B56C5">
        <w:rPr>
          <w:noProof/>
        </w:rPr>
        <w:t>(Patterson et al., 2018)</w:t>
      </w:r>
      <w:r w:rsidR="002B56C5">
        <w:fldChar w:fldCharType="end"/>
      </w:r>
      <w:r w:rsidR="002B56C5">
        <w:t xml:space="preserve">. </w:t>
      </w:r>
      <w:r w:rsidR="002B56C5" w:rsidRPr="002B56C5">
        <w:t>This approach</w:t>
      </w:r>
      <w:r w:rsidR="002B56C5">
        <w:t>, based in Māori understandings of wellness and community,</w:t>
      </w:r>
      <w:r w:rsidR="002B56C5" w:rsidRPr="002B56C5">
        <w:t xml:space="preserve"> emphasises encouraging families to identify the aspirations they have to improve their lives and building whānau capacity to achieve their goals </w:t>
      </w:r>
      <w:r w:rsidR="002B56C5" w:rsidRPr="002B56C5">
        <w:lastRenderedPageBreak/>
        <w:t xml:space="preserve">(Independent Whānau Ora Review Panel, 2018). </w:t>
      </w:r>
      <w:r w:rsidR="00FD292F">
        <w:t xml:space="preserve">In depth </w:t>
      </w:r>
      <w:r w:rsidR="00441D81">
        <w:t>mixed methods research</w:t>
      </w:r>
      <w:r w:rsidR="00FD292F">
        <w:t xml:space="preserve"> with </w:t>
      </w:r>
      <w:r w:rsidR="002B56C5">
        <w:t xml:space="preserve">gambling </w:t>
      </w:r>
      <w:r w:rsidR="00FD292F">
        <w:t xml:space="preserve">services who are </w:t>
      </w:r>
      <w:r w:rsidR="002B56C5">
        <w:t xml:space="preserve">achieving high levels of engagement with FAOs could deliver learning and benefits for the harm minimisation and prevention sector. In the addictions field there is limited understanding of how to increase, achieve and sustain family focussed practice in services </w:t>
      </w:r>
      <w:r w:rsidR="002B56C5">
        <w:fldChar w:fldCharType="begin"/>
      </w:r>
      <w:r w:rsidR="002B56C5">
        <w:instrText xml:space="preserve"> ADDIN EN.CITE &lt;EndNote&gt;&lt;Cite&gt;&lt;Author&gt;Orford&lt;/Author&gt;&lt;Year&gt;2009&lt;/Year&gt;&lt;RecNum&gt;256&lt;/RecNum&gt;&lt;DisplayText&gt;(Orford et al., 2009)&lt;/DisplayText&gt;&lt;record&gt;&lt;rec-number&gt;256&lt;/rec-number&gt;&lt;foreign-keys&gt;&lt;key app="EN" db-id="25rszwft292ev3esrpvpde0cpxrd9ex0xspp" timestamp="1589926972"&gt;256&lt;/key&gt;&lt;/foreign-keys&gt;&lt;ref-type name="Journal Article"&gt;17&lt;/ref-type&gt;&lt;contributors&gt;&lt;authors&gt;&lt;author&gt;Orford, Jim&lt;/author&gt;&lt;author&gt;Templeton, Lorna&lt;/author&gt;&lt;author&gt;Copello, Alex&lt;/author&gt;&lt;author&gt;Velleman, Richard&lt;/author&gt;&lt;author&gt;Ibanga, Akan&lt;/author&gt;&lt;author&gt;Binnie, Charlotte&lt;/author&gt;&lt;/authors&gt;&lt;/contributors&gt;&lt;titles&gt;&lt;title&gt;Increasing the involvement of family members in alcohol and drug treatment services: The results of an action research project in two specialist agencies&lt;/title&gt;&lt;secondary-title&gt;Drugs: education, prevention and policy&lt;/secondary-title&gt;&lt;/titles&gt;&lt;periodical&gt;&lt;full-title&gt;Drugs: education, prevention and policy&lt;/full-title&gt;&lt;/periodical&gt;&lt;pages&gt;379-408&lt;/pages&gt;&lt;volume&gt;16&lt;/volume&gt;&lt;number&gt;5&lt;/number&gt;&lt;dates&gt;&lt;year&gt;2009&lt;/year&gt;&lt;/dates&gt;&lt;isbn&gt;0968-7637&lt;/isbn&gt;&lt;urls&gt;&lt;/urls&gt;&lt;/record&gt;&lt;/Cite&gt;&lt;/EndNote&gt;</w:instrText>
      </w:r>
      <w:r w:rsidR="002B56C5">
        <w:fldChar w:fldCharType="separate"/>
      </w:r>
      <w:r w:rsidR="002B56C5">
        <w:rPr>
          <w:noProof/>
        </w:rPr>
        <w:t>(Orford et al., 2009)</w:t>
      </w:r>
      <w:r w:rsidR="002B56C5">
        <w:fldChar w:fldCharType="end"/>
      </w:r>
      <w:r w:rsidR="002B56C5">
        <w:t>.</w:t>
      </w:r>
    </w:p>
    <w:p w14:paraId="14D332C3" w14:textId="77777777" w:rsidR="000F597C" w:rsidRDefault="000F597C" w:rsidP="00FD292F">
      <w:pPr>
        <w:jc w:val="both"/>
      </w:pPr>
    </w:p>
    <w:p w14:paraId="0E540792" w14:textId="612D375C" w:rsidR="00EB5B7F" w:rsidRDefault="00EB5B7F" w:rsidP="00C43374">
      <w:pPr>
        <w:pStyle w:val="Heading4"/>
        <w:jc w:val="both"/>
      </w:pPr>
      <w:r>
        <w:t>Limitations</w:t>
      </w:r>
    </w:p>
    <w:p w14:paraId="1EB1B80A" w14:textId="28D93DEA" w:rsidR="00EB5B7F" w:rsidRDefault="002B56C5" w:rsidP="00C43374">
      <w:pPr>
        <w:jc w:val="both"/>
      </w:pPr>
      <w:r>
        <w:t>The CLIC database is a tool designed to support funding accountability and decision making. As such it is an imperfect research tool. CLIC data may be interpreted as indicative of currently practice</w:t>
      </w:r>
      <w:r w:rsidR="00441D81">
        <w:t xml:space="preserve">, and suggestive of avenues for further investigation </w:t>
      </w:r>
      <w:r>
        <w:t xml:space="preserve">only. Data constitutes </w:t>
      </w:r>
      <w:r w:rsidRPr="002B56C5">
        <w:t xml:space="preserve">indicative information about how services work and engage with </w:t>
      </w:r>
      <w:r w:rsidR="00C43374" w:rsidRPr="002B56C5">
        <w:t>clients</w:t>
      </w:r>
      <w:r w:rsidR="00C43374">
        <w:t xml:space="preserve"> and</w:t>
      </w:r>
      <w:r>
        <w:t xml:space="preserve"> is reliant on service compliance with data collection protocols</w:t>
      </w:r>
      <w:r w:rsidRPr="002B56C5">
        <w:t>.</w:t>
      </w:r>
      <w:r w:rsidR="00441D81">
        <w:t xml:space="preserve"> </w:t>
      </w:r>
    </w:p>
    <w:p w14:paraId="40D37DD6" w14:textId="77777777" w:rsidR="00EB5B7F" w:rsidRDefault="00EB5B7F" w:rsidP="00E45F72"/>
    <w:p w14:paraId="5E48E487" w14:textId="07D50F64" w:rsidR="00E45F72" w:rsidRDefault="00EB5B7F" w:rsidP="008E2739">
      <w:pPr>
        <w:pStyle w:val="Heading3"/>
        <w:jc w:val="both"/>
      </w:pPr>
      <w:bookmarkStart w:id="182" w:name="_Toc58400793"/>
      <w:r>
        <w:t>C</w:t>
      </w:r>
      <w:r w:rsidRPr="006A4BB8">
        <w:t>onclusion</w:t>
      </w:r>
      <w:bookmarkEnd w:id="182"/>
    </w:p>
    <w:p w14:paraId="13BC1ACA" w14:textId="2CF81825" w:rsidR="00EB5B7F" w:rsidRDefault="008E2739" w:rsidP="008E2739">
      <w:pPr>
        <w:jc w:val="both"/>
      </w:pPr>
      <w:r>
        <w:t>S</w:t>
      </w:r>
      <w:r w:rsidRPr="008E2739">
        <w:t>ervice</w:t>
      </w:r>
      <w:r w:rsidR="00D108C0">
        <w:t xml:space="preserve">s are engaging appropriately </w:t>
      </w:r>
      <w:r w:rsidRPr="008E2739">
        <w:t xml:space="preserve">with priority </w:t>
      </w:r>
      <w:r>
        <w:t xml:space="preserve">FAO </w:t>
      </w:r>
      <w:r w:rsidRPr="008E2739">
        <w:t xml:space="preserve">populations, however engagement with Pacific </w:t>
      </w:r>
      <w:r>
        <w:t>men and women</w:t>
      </w:r>
      <w:r w:rsidRPr="008E2739">
        <w:t xml:space="preserve"> could be improved.</w:t>
      </w:r>
      <w:r>
        <w:t xml:space="preserve"> Support for both FAOs and gamblers appears to be largely concentrated around the individual at present. Most FAOs were engaged for one, brief, one-on-one session of motivational support conducted outside </w:t>
      </w:r>
      <w:r w:rsidR="00D108C0">
        <w:t xml:space="preserve">of </w:t>
      </w:r>
      <w:r>
        <w:t xml:space="preserve">a clinical setting. </w:t>
      </w:r>
      <w:r w:rsidR="001645CF">
        <w:t xml:space="preserve">It is unknown whether FAOs </w:t>
      </w:r>
      <w:r w:rsidR="004F0E0E">
        <w:t>needs are met</w:t>
      </w:r>
      <w:r w:rsidR="001645CF">
        <w:t xml:space="preserve"> in this brief engagement</w:t>
      </w:r>
      <w:r w:rsidR="004F0E0E">
        <w:t>.</w:t>
      </w:r>
      <w:r w:rsidR="001645CF">
        <w:t xml:space="preserve"> </w:t>
      </w:r>
      <w:r>
        <w:t>There was little evidence of intervention practice involving couples or families for either FAO or gambler clients. S</w:t>
      </w:r>
      <w:r w:rsidRPr="000F597C">
        <w:t xml:space="preserve">ome services appear to </w:t>
      </w:r>
      <w:r>
        <w:t xml:space="preserve">be </w:t>
      </w:r>
      <w:r w:rsidRPr="000F597C">
        <w:t>engag</w:t>
      </w:r>
      <w:r>
        <w:t>ing</w:t>
      </w:r>
      <w:r w:rsidRPr="000F597C">
        <w:t xml:space="preserve"> with a high proportion of FAO clients</w:t>
      </w:r>
      <w:r>
        <w:t xml:space="preserve"> in comparison to other services. In depth </w:t>
      </w:r>
      <w:r w:rsidR="004F0E0E">
        <w:t>exploration with</w:t>
      </w:r>
      <w:r>
        <w:t xml:space="preserve"> gambling services who are achieving high levels of engagement with FAOs could deliver </w:t>
      </w:r>
      <w:r w:rsidR="004F0E0E">
        <w:t xml:space="preserve">important </w:t>
      </w:r>
      <w:r>
        <w:t xml:space="preserve">learning and benefits for the </w:t>
      </w:r>
      <w:r w:rsidR="00D108C0">
        <w:t xml:space="preserve">gambling </w:t>
      </w:r>
      <w:r>
        <w:t>harm minimisation and prevention sector</w:t>
      </w:r>
      <w:r w:rsidR="004F0E0E">
        <w:t xml:space="preserve"> re: development and sustainability of quality and effective programmes. </w:t>
      </w:r>
    </w:p>
    <w:p w14:paraId="2081B451" w14:textId="2AEF53EE" w:rsidR="00EB5B7F" w:rsidRDefault="00EB5B7F" w:rsidP="00E45F72"/>
    <w:p w14:paraId="3A739665" w14:textId="77777777" w:rsidR="00EB5B7F" w:rsidRDefault="00EB5B7F" w:rsidP="00E45F72"/>
    <w:p w14:paraId="76109587" w14:textId="77777777" w:rsidR="00E45F72" w:rsidRDefault="00E45F72">
      <w:pPr>
        <w:spacing w:after="160" w:line="259" w:lineRule="auto"/>
        <w:rPr>
          <w:b/>
        </w:rPr>
      </w:pPr>
      <w:r>
        <w:br w:type="page"/>
      </w:r>
    </w:p>
    <w:p w14:paraId="38D2123A" w14:textId="4AF1F49B" w:rsidR="00705F26" w:rsidRPr="005C46A2" w:rsidRDefault="002951A5" w:rsidP="00C13E89">
      <w:pPr>
        <w:pStyle w:val="Heading1"/>
        <w:jc w:val="both"/>
      </w:pPr>
      <w:bookmarkStart w:id="183" w:name="_Toc58400794"/>
      <w:r>
        <w:lastRenderedPageBreak/>
        <w:t>OPPORTUNITIES TO ENHANCE SUPPORT FOR FAOs IN NEW ZEALAND GAMBLING SERVICES</w:t>
      </w:r>
      <w:bookmarkEnd w:id="183"/>
      <w:r>
        <w:t xml:space="preserve"> </w:t>
      </w:r>
    </w:p>
    <w:p w14:paraId="50C1DECA" w14:textId="4530F3DD" w:rsidR="00660DBC" w:rsidRDefault="0028014F" w:rsidP="00660DBC">
      <w:pPr>
        <w:jc w:val="both"/>
      </w:pPr>
      <w:r>
        <w:t xml:space="preserve">In this discussion chapter, we explore opportunities to enhance support for FAOs in New Zealand gambling services, as suggested by our mixed methods study. </w:t>
      </w:r>
      <w:r w:rsidR="00660DBC" w:rsidRPr="00B140A3">
        <w:t xml:space="preserve">Gambling harm reduction is a social practice with links to </w:t>
      </w:r>
      <w:r w:rsidR="00660DBC">
        <w:t xml:space="preserve">medical, psychological, economic, and political fields of knowledge, and technologies of ‘truth production’ such as academic research </w:t>
      </w:r>
      <w:r w:rsidR="0039407A">
        <w:fldChar w:fldCharType="begin"/>
      </w:r>
      <w:r w:rsidR="001D57D0">
        <w:instrText xml:space="preserve"> ADDIN EN.CITE &lt;EndNote&gt;&lt;Cite&gt;&lt;Author&gt;Adams&lt;/Author&gt;&lt;Year&gt;2007&lt;/Year&gt;&lt;RecNum&gt;102&lt;/RecNum&gt;&lt;DisplayText&gt;(Adams, 2007b; Reith, 2007)&lt;/DisplayText&gt;&lt;record&gt;&lt;rec-number&gt;102&lt;/rec-number&gt;&lt;foreign-keys&gt;&lt;key app="EN" db-id="25rszwft292ev3esrpvpde0cpxrd9ex0xspp" timestamp="1584411327"&gt;102&lt;/key&gt;&lt;/foreign-keys&gt;&lt;ref-type name="Book"&gt;6&lt;/ref-type&gt;&lt;contributors&gt;&lt;authors&gt;&lt;author&gt;Adams, Peter&lt;/author&gt;&lt;/authors&gt;&lt;/contributors&gt;&lt;titles&gt;&lt;title&gt;Gambling, freedom and democracy&lt;/title&gt;&lt;/titles&gt;&lt;volume&gt;53&lt;/volume&gt;&lt;dates&gt;&lt;year&gt;2007&lt;/year&gt;&lt;/dates&gt;&lt;publisher&gt;Routledge&lt;/publisher&gt;&lt;isbn&gt;1135907293&lt;/isbn&gt;&lt;urls&gt;&lt;/urls&gt;&lt;/record&gt;&lt;/Cite&gt;&lt;Cite&gt;&lt;Author&gt;Reith&lt;/Author&gt;&lt;Year&gt;2007&lt;/Year&gt;&lt;RecNum&gt;331&lt;/RecNum&gt;&lt;record&gt;&lt;rec-number&gt;331&lt;/rec-number&gt;&lt;foreign-keys&gt;&lt;key app="EN" db-id="25rszwft292ev3esrpvpde0cpxrd9ex0xspp" timestamp="1603916137"&gt;331&lt;/key&gt;&lt;/foreign-keys&gt;&lt;ref-type name="Journal Article"&gt;17&lt;/ref-type&gt;&lt;contributors&gt;&lt;authors&gt;&lt;author&gt;Reith, Gerda&lt;/author&gt;&lt;/authors&gt;&lt;/contributors&gt;&lt;titles&gt;&lt;title&gt;Gambling and the contradictions of consumption: A genealogy of the “pathological” subject&lt;/title&gt;&lt;secondary-title&gt;American behavioral scientist&lt;/secondary-title&gt;&lt;/titles&gt;&lt;periodical&gt;&lt;full-title&gt;American Behavioral Scientist&lt;/full-title&gt;&lt;/periodical&gt;&lt;pages&gt;33-55&lt;/pages&gt;&lt;volume&gt;51&lt;/volume&gt;&lt;number&gt;1&lt;/number&gt;&lt;dates&gt;&lt;year&gt;2007&lt;/year&gt;&lt;/dates&gt;&lt;isbn&gt;0002-7642&lt;/isbn&gt;&lt;urls&gt;&lt;/urls&gt;&lt;/record&gt;&lt;/Cite&gt;&lt;/EndNote&gt;</w:instrText>
      </w:r>
      <w:r w:rsidR="0039407A">
        <w:fldChar w:fldCharType="separate"/>
      </w:r>
      <w:r w:rsidR="001D57D0">
        <w:rPr>
          <w:noProof/>
        </w:rPr>
        <w:t>(Adams, 2007b; Reith, 2007)</w:t>
      </w:r>
      <w:r w:rsidR="0039407A">
        <w:fldChar w:fldCharType="end"/>
      </w:r>
      <w:r w:rsidR="00E43BD1">
        <w:t xml:space="preserve">. </w:t>
      </w:r>
      <w:r w:rsidR="00660DBC" w:rsidRPr="00180576">
        <w:t>Focussed on reducing the negative impact of gambling on the wellbeing of people, communities and populations</w:t>
      </w:r>
      <w:r w:rsidR="00660DBC">
        <w:t>, i</w:t>
      </w:r>
      <w:r w:rsidR="00660DBC" w:rsidRPr="00F10ADB">
        <w:t xml:space="preserve">t involves many diverse, strategies and programmes to achieve this aim, which have changed over time </w:t>
      </w:r>
      <w:r w:rsidR="00E762FC">
        <w:fldChar w:fldCharType="begin"/>
      </w:r>
      <w:r w:rsidR="00E762FC">
        <w:instrText xml:space="preserve"> ADDIN EN.CITE &lt;EndNote&gt;&lt;Cite&gt;&lt;Author&gt;Livingstone&lt;/Author&gt;&lt;Year&gt;2019&lt;/Year&gt;&lt;RecNum&gt;96&lt;/RecNum&gt;&lt;DisplayText&gt;(Livingstone et al., 2019; Reith, 2007)&lt;/DisplayText&gt;&lt;record&gt;&lt;rec-number&gt;96&lt;/rec-number&gt;&lt;foreign-keys&gt;&lt;key app="EN" db-id="25rszwft292ev3esrpvpde0cpxrd9ex0xspp" timestamp="1582494015"&gt;96&lt;/key&gt;&lt;/foreign-keys&gt;&lt;ref-type name="Report"&gt;27&lt;/ref-type&gt;&lt;contributors&gt;&lt;authors&gt;&lt;author&gt;Livingstone, C&lt;/author&gt;&lt;author&gt;Rintoul, A&lt;/author&gt;&lt;author&gt;de Lacy-Vawdon, C&lt;/author&gt;&lt;author&gt;Borland, R&lt;/author&gt;&lt;author&gt;Dietze, P&lt;/author&gt;&lt;author&gt;Jenkinson, R&lt;/author&gt;&lt;author&gt;Livingston, M&lt;/author&gt;&lt;author&gt;Room, R&lt;/author&gt;&lt;author&gt;Smith, B&lt;/author&gt;&lt;author&gt;Stoove, M&lt;/author&gt;&lt;/authors&gt;&lt;/contributors&gt;&lt;titles&gt;&lt;title&gt;Identifying effective policy interventions to prevent gambling-related harm&lt;/title&gt;&lt;/titles&gt;&lt;dates&gt;&lt;year&gt;2019&lt;/year&gt;&lt;/dates&gt;&lt;pub-location&gt;Melbourne&lt;/pub-location&gt;&lt;publisher&gt;Victorian Responsible Gambling Foundation&lt;/publisher&gt;&lt;urls&gt;&lt;/urls&gt;&lt;/record&gt;&lt;/Cite&gt;&lt;Cite&gt;&lt;Author&gt;Reith&lt;/Author&gt;&lt;Year&gt;2007&lt;/Year&gt;&lt;RecNum&gt;331&lt;/RecNum&gt;&lt;record&gt;&lt;rec-number&gt;331&lt;/rec-number&gt;&lt;foreign-keys&gt;&lt;key app="EN" db-id="25rszwft292ev3esrpvpde0cpxrd9ex0xspp" timestamp="1603916137"&gt;331&lt;/key&gt;&lt;/foreign-keys&gt;&lt;ref-type name="Journal Article"&gt;17&lt;/ref-type&gt;&lt;contributors&gt;&lt;authors&gt;&lt;author&gt;Reith, Gerda&lt;/author&gt;&lt;/authors&gt;&lt;/contributors&gt;&lt;titles&gt;&lt;title&gt;Gambling and the contradictions of consumption: A genealogy of the “pathological” subject&lt;/title&gt;&lt;secondary-title&gt;American behavioral scientist&lt;/secondary-title&gt;&lt;/titles&gt;&lt;periodical&gt;&lt;full-title&gt;American Behavioral Scientist&lt;/full-title&gt;&lt;/periodical&gt;&lt;pages&gt;33-55&lt;/pages&gt;&lt;volume&gt;51&lt;/volume&gt;&lt;number&gt;1&lt;/number&gt;&lt;dates&gt;&lt;year&gt;2007&lt;/year&gt;&lt;/dates&gt;&lt;isbn&gt;0002-7642&lt;/isbn&gt;&lt;urls&gt;&lt;/urls&gt;&lt;/record&gt;&lt;/Cite&gt;&lt;/EndNote&gt;</w:instrText>
      </w:r>
      <w:r w:rsidR="00E762FC">
        <w:fldChar w:fldCharType="separate"/>
      </w:r>
      <w:r w:rsidR="00E762FC">
        <w:rPr>
          <w:noProof/>
        </w:rPr>
        <w:t>(Livingstone et al., 2019; Reith, 2007)</w:t>
      </w:r>
      <w:r w:rsidR="00E762FC">
        <w:fldChar w:fldCharType="end"/>
      </w:r>
      <w:r w:rsidR="00E762FC">
        <w:t xml:space="preserve">. </w:t>
      </w:r>
      <w:r w:rsidR="00660DBC" w:rsidRPr="00F10ADB">
        <w:t>Exploration and discussion of the influence of culture and values in gambling harm reduction and recovery promotion can be controversial</w:t>
      </w:r>
      <w:r w:rsidR="00D301D3">
        <w:t xml:space="preserve">. This is </w:t>
      </w:r>
      <w:r w:rsidR="00660DBC" w:rsidRPr="00F10ADB">
        <w:t xml:space="preserve">especially </w:t>
      </w:r>
      <w:r w:rsidR="00D301D3">
        <w:t xml:space="preserve">true </w:t>
      </w:r>
      <w:r w:rsidR="00660DBC" w:rsidRPr="00F10ADB">
        <w:t xml:space="preserve">in questioning our understandings of people affected, what they need and how best to </w:t>
      </w:r>
      <w:r w:rsidR="00D301D3">
        <w:t>support them</w:t>
      </w:r>
      <w:r w:rsidR="00D301D3" w:rsidRPr="00F10ADB">
        <w:t xml:space="preserve"> </w:t>
      </w:r>
      <w:r w:rsidR="00D301D3">
        <w:t xml:space="preserve">and </w:t>
      </w:r>
      <w:r w:rsidR="00660DBC">
        <w:t xml:space="preserve">reduce harm </w:t>
      </w:r>
      <w:r w:rsidR="001D57D0">
        <w:fldChar w:fldCharType="begin"/>
      </w:r>
      <w:r w:rsidR="001D57D0">
        <w:instrText xml:space="preserve"> ADDIN EN.CITE &lt;EndNote&gt;&lt;Cite&gt;&lt;Author&gt;Adams&lt;/Author&gt;&lt;Year&gt;2016&lt;/Year&gt;&lt;RecNum&gt;225&lt;/RecNum&gt;&lt;DisplayText&gt;(Adams, 2016; Gordon &amp;amp; Reith, 2019)&lt;/DisplayText&gt;&lt;record&gt;&lt;rec-number&gt;225&lt;/rec-number&gt;&lt;foreign-keys&gt;&lt;key app="EN" db-id="25rszwft292ev3esrpvpde0cpxrd9ex0xspp" timestamp="1589145984"&gt;225&lt;/key&gt;&lt;/foreign-keys&gt;&lt;ref-type name="Journal Article"&gt;17&lt;/ref-type&gt;&lt;contributors&gt;&lt;authors&gt;&lt;author&gt;Adams, Peter&lt;/author&gt;&lt;/authors&gt;&lt;/contributors&gt;&lt;titles&gt;&lt;title&gt;Switching to a social approach to addiction: implications for theory and practice&lt;/title&gt;&lt;secondary-title&gt;International Journal of Mental Health and Addiction&lt;/secondary-title&gt;&lt;/titles&gt;&lt;periodical&gt;&lt;full-title&gt;International Journal of Mental Health and Addiction&lt;/full-title&gt;&lt;/periodical&gt;&lt;pages&gt;86-94&lt;/pages&gt;&lt;volume&gt;14&lt;/volume&gt;&lt;number&gt;1&lt;/number&gt;&lt;dates&gt;&lt;year&gt;2016&lt;/year&gt;&lt;/dates&gt;&lt;isbn&gt;1557-1874&lt;/isbn&gt;&lt;urls&gt;&lt;/urls&gt;&lt;/record&gt;&lt;/Cite&gt;&lt;Cite&gt;&lt;Author&gt;Gordon&lt;/Author&gt;&lt;Year&gt;2019&lt;/Year&gt;&lt;RecNum&gt;332&lt;/RecNum&gt;&lt;record&gt;&lt;rec-number&gt;332&lt;/rec-number&gt;&lt;foreign-keys&gt;&lt;key app="EN" db-id="25rszwft292ev3esrpvpde0cpxrd9ex0xspp" timestamp="1603917048"&gt;332&lt;/key&gt;&lt;/foreign-keys&gt;&lt;ref-type name="Journal Article"&gt;17&lt;/ref-type&gt;&lt;contributors&gt;&lt;authors&gt;&lt;author&gt;Gordon, Ross&lt;/author&gt;&lt;author&gt;Reith, Gerda&lt;/author&gt;&lt;/authors&gt;&lt;/contributors&gt;&lt;titles&gt;&lt;title&gt;Gambling as social practice: a complementary approach for reducing harm?&lt;/title&gt;&lt;secondary-title&gt;Harm Reduction Journal&lt;/secondary-title&gt;&lt;/titles&gt;&lt;periodical&gt;&lt;full-title&gt;Harm Reduction Journal&lt;/full-title&gt;&lt;/periodical&gt;&lt;pages&gt;1-11&lt;/pages&gt;&lt;volume&gt;16&lt;/volume&gt;&lt;number&gt;1&lt;/number&gt;&lt;dates&gt;&lt;year&gt;2019&lt;/year&gt;&lt;/dates&gt;&lt;isbn&gt;1477-7517&lt;/isbn&gt;&lt;urls&gt;&lt;/urls&gt;&lt;/record&gt;&lt;/Cite&gt;&lt;/EndNote&gt;</w:instrText>
      </w:r>
      <w:r w:rsidR="001D57D0">
        <w:fldChar w:fldCharType="separate"/>
      </w:r>
      <w:r w:rsidR="001D57D0">
        <w:rPr>
          <w:noProof/>
        </w:rPr>
        <w:t>(Adams, 2016; Gordon &amp; Reith, 2019)</w:t>
      </w:r>
      <w:r w:rsidR="001D57D0">
        <w:fldChar w:fldCharType="end"/>
      </w:r>
      <w:r w:rsidR="001D57D0">
        <w:t>.</w:t>
      </w:r>
    </w:p>
    <w:p w14:paraId="388CD9FA" w14:textId="77777777" w:rsidR="00660DBC" w:rsidRDefault="00660DBC" w:rsidP="00660DBC">
      <w:pPr>
        <w:jc w:val="both"/>
      </w:pPr>
    </w:p>
    <w:p w14:paraId="0E93298F" w14:textId="684099F3" w:rsidR="00660DBC" w:rsidRDefault="00660DBC" w:rsidP="00660DBC">
      <w:pPr>
        <w:jc w:val="both"/>
      </w:pPr>
      <w:r>
        <w:t xml:space="preserve">Addictions support systems have largely been designed to reduce addictive behaviours in individuals experiencing addiction. </w:t>
      </w:r>
      <w:r w:rsidRPr="00C4211C">
        <w:t xml:space="preserve">In present services much of what is talked about, decided upon and done is </w:t>
      </w:r>
      <w:r>
        <w:t xml:space="preserve">clearly </w:t>
      </w:r>
      <w:r w:rsidRPr="00C4211C">
        <w:t xml:space="preserve">based around the views, perspectives and culture of service systems and professionals. </w:t>
      </w:r>
      <w:r>
        <w:t xml:space="preserve">Our research suggests that many nodes of family focussed thinking and practice exist, </w:t>
      </w:r>
      <w:r w:rsidR="007A52C4">
        <w:t xml:space="preserve">particularly in relation to culturally specific services, </w:t>
      </w:r>
      <w:r>
        <w:t xml:space="preserve">but these have not yet been ‘joined up’ into a force powerful enough to create systemic change. </w:t>
      </w:r>
      <w:r w:rsidR="00391F4C">
        <w:t xml:space="preserve">It remains largely unclear what FAOs would like gambling harm reduction support to look like, and whether the support they are currently receiving (when they access it) is of sufficient quality and effectiveness from their perspective. </w:t>
      </w:r>
    </w:p>
    <w:p w14:paraId="67A2E124" w14:textId="6EA41D2F" w:rsidR="007A52C4" w:rsidRDefault="007A52C4" w:rsidP="00660DBC">
      <w:pPr>
        <w:jc w:val="both"/>
      </w:pPr>
    </w:p>
    <w:p w14:paraId="639F3F53" w14:textId="290BF7A4" w:rsidR="00D41E89" w:rsidRDefault="00660DBC" w:rsidP="00660DBC">
      <w:pPr>
        <w:jc w:val="both"/>
      </w:pPr>
      <w:r>
        <w:t>Promising avenues for enhancing support provided for FAOs through service commissioning include designated support and initiatives for: practitioner-inquirers</w:t>
      </w:r>
      <w:r w:rsidR="00C47B20">
        <w:t xml:space="preserve"> </w:t>
      </w:r>
      <w:r w:rsidR="006B1561">
        <w:t>(</w:t>
      </w:r>
      <w:r w:rsidR="006B1561" w:rsidRPr="006B1561">
        <w:t xml:space="preserve">clinicians and service managers who critically engage with a research/practice nexus e.g. in postgraduate study or in partnership with researchers </w:t>
      </w:r>
      <w:r w:rsidR="00C47B20">
        <w:t>and training</w:t>
      </w:r>
      <w:r w:rsidR="006B1561">
        <w:t>)</w:t>
      </w:r>
      <w:r>
        <w:t>, collaborative and participatory service design</w:t>
      </w:r>
      <w:r w:rsidR="00C47B20">
        <w:t xml:space="preserve"> and re-design</w:t>
      </w:r>
      <w:r>
        <w:t xml:space="preserve">, evaluation that includes FAO voices, and enhancing workforce diversity. </w:t>
      </w:r>
      <w:r w:rsidR="0044608D">
        <w:t xml:space="preserve">A </w:t>
      </w:r>
      <w:r w:rsidR="00D41E89">
        <w:t>designated</w:t>
      </w:r>
      <w:r w:rsidR="0044608D" w:rsidRPr="0044608D">
        <w:t xml:space="preserve"> budget for family specific intervention training and remodelling of current intervention strategies with families and children </w:t>
      </w:r>
      <w:r w:rsidR="00D41E89">
        <w:t xml:space="preserve">in mind </w:t>
      </w:r>
      <w:r w:rsidR="0044608D">
        <w:t xml:space="preserve">was </w:t>
      </w:r>
      <w:r w:rsidR="00D41E89">
        <w:t>suggested</w:t>
      </w:r>
      <w:r w:rsidR="0044608D">
        <w:t xml:space="preserve"> by </w:t>
      </w:r>
      <w:r w:rsidR="0044608D" w:rsidRPr="0044608D">
        <w:t xml:space="preserve">service managers </w:t>
      </w:r>
      <w:r w:rsidR="0044608D">
        <w:t xml:space="preserve">both in </w:t>
      </w:r>
      <w:r w:rsidR="0044608D" w:rsidRPr="0044608D">
        <w:t>NZ and international</w:t>
      </w:r>
      <w:r w:rsidR="0044608D">
        <w:t xml:space="preserve">ly. </w:t>
      </w:r>
      <w:r w:rsidR="00D41E89">
        <w:t>F</w:t>
      </w:r>
      <w:r w:rsidR="00C47B20">
        <w:t xml:space="preserve">unding for the phased development and evaluation of a new service based on the principles </w:t>
      </w:r>
      <w:r w:rsidR="00D41E89">
        <w:t xml:space="preserve">above </w:t>
      </w:r>
      <w:r w:rsidR="00C47B20">
        <w:t xml:space="preserve">could benefit New Zealand families. </w:t>
      </w:r>
    </w:p>
    <w:p w14:paraId="15C56DE8" w14:textId="77777777" w:rsidR="00166750" w:rsidRDefault="00166750" w:rsidP="00660DBC">
      <w:pPr>
        <w:jc w:val="both"/>
      </w:pPr>
    </w:p>
    <w:p w14:paraId="10D3583D" w14:textId="205270FD" w:rsidR="0019073D" w:rsidRDefault="00660DBC" w:rsidP="00660DBC">
      <w:pPr>
        <w:jc w:val="both"/>
      </w:pPr>
      <w:r>
        <w:t xml:space="preserve">These suggestions are not new in the mental health and addictions fields </w:t>
      </w:r>
      <w:r>
        <w:fldChar w:fldCharType="begin"/>
      </w:r>
      <w:r w:rsidR="001D57D0">
        <w:instrText xml:space="preserve"> ADDIN EN.CITE &lt;EndNote&gt;&lt;Cite&gt;&lt;Author&gt;Abbotts&lt;/Author&gt;&lt;Year&gt;1994&lt;/Year&gt;&lt;RecNum&gt;124&lt;/RecNum&gt;&lt;Prefix&gt;see &lt;/Prefix&gt;&lt;DisplayText&gt;(see Abbotts, 1994; Adams, 2007a)&lt;/DisplayText&gt;&lt;record&gt;&lt;rec-number&gt;124&lt;/rec-number&gt;&lt;foreign-keys&gt;&lt;key app="EN" db-id="25rszwft292ev3esrpvpde0cpxrd9ex0xspp" timestamp="1585519974"&gt;124&lt;/key&gt;&lt;/foreign-keys&gt;&lt;ref-type name="Journal Article"&gt;17&lt;/ref-type&gt;&lt;contributors&gt;&lt;authors&gt;&lt;author&gt;Abbotts, Ann&lt;/author&gt;&lt;/authors&gt;&lt;/contributors&gt;&lt;titles&gt;&lt;title&gt;A feminist approach to substance abuse treatment and service delivery&lt;/title&gt;&lt;secondary-title&gt;Social Work in Health Care&lt;/secondary-title&gt;&lt;/titles&gt;&lt;periodical&gt;&lt;full-title&gt;Social Work in Health Care&lt;/full-title&gt;&lt;/periodical&gt;&lt;pages&gt;67-83&lt;/pages&gt;&lt;volume&gt;19&lt;/volume&gt;&lt;number&gt;3-4&lt;/number&gt;&lt;dates&gt;&lt;year&gt;1994&lt;/year&gt;&lt;/dates&gt;&lt;isbn&gt;0098-1389&lt;/isbn&gt;&lt;urls&gt;&lt;/urls&gt;&lt;/record&gt;&lt;/Cite&gt;&lt;Cite&gt;&lt;Author&gt;Adams&lt;/Author&gt;&lt;Year&gt;2007&lt;/Year&gt;&lt;RecNum&gt;224&lt;/RecNum&gt;&lt;record&gt;&lt;rec-number&gt;224&lt;/rec-number&gt;&lt;foreign-keys&gt;&lt;key app="EN" db-id="25rszwft292ev3esrpvpde0cpxrd9ex0xspp" timestamp="1589145904"&gt;224&lt;/key&gt;&lt;/foreign-keys&gt;&lt;ref-type name="Book"&gt;6&lt;/ref-type&gt;&lt;contributors&gt;&lt;authors&gt;&lt;author&gt;Adams, Peter&lt;/author&gt;&lt;/authors&gt;&lt;/contributors&gt;&lt;titles&gt;&lt;title&gt;Fragmented intimacy: Addiction in a social world&lt;/title&gt;&lt;/titles&gt;&lt;dates&gt;&lt;year&gt;2007&lt;/year&gt;&lt;/dates&gt;&lt;publisher&gt;Springer &lt;/publisher&gt;&lt;isbn&gt;0387726616&lt;/isbn&gt;&lt;urls&gt;&lt;/urls&gt;&lt;/record&gt;&lt;/Cite&gt;&lt;/EndNote&gt;</w:instrText>
      </w:r>
      <w:r>
        <w:fldChar w:fldCharType="separate"/>
      </w:r>
      <w:r w:rsidR="001D57D0">
        <w:rPr>
          <w:noProof/>
        </w:rPr>
        <w:t>(see Abbotts, 1994; Adams, 2007a)</w:t>
      </w:r>
      <w:r>
        <w:fldChar w:fldCharType="end"/>
      </w:r>
      <w:r w:rsidR="007A52C4">
        <w:t xml:space="preserve">. </w:t>
      </w:r>
      <w:r w:rsidR="0019073D">
        <w:t>Some</w:t>
      </w:r>
      <w:r w:rsidR="007A52C4">
        <w:t xml:space="preserve"> services in New Zealand </w:t>
      </w:r>
      <w:r w:rsidR="0019073D">
        <w:t xml:space="preserve">appear to </w:t>
      </w:r>
      <w:r w:rsidR="007A52C4">
        <w:t>have been developed</w:t>
      </w:r>
      <w:r w:rsidR="0019073D">
        <w:t xml:space="preserve"> in closer alignment with the above than others. For example, Mapu Maia’s Pacific gambling harm reduction service design involved </w:t>
      </w:r>
      <w:r w:rsidR="0019073D" w:rsidRPr="0019073D">
        <w:t xml:space="preserve">a year-long </w:t>
      </w:r>
      <w:r w:rsidR="0019073D">
        <w:t>consultation</w:t>
      </w:r>
      <w:r w:rsidR="0019073D" w:rsidRPr="0019073D">
        <w:t xml:space="preserve"> process</w:t>
      </w:r>
      <w:r w:rsidR="0019073D">
        <w:t xml:space="preserve"> with families </w:t>
      </w:r>
      <w:r w:rsidR="0019073D" w:rsidRPr="0019073D">
        <w:t xml:space="preserve">and </w:t>
      </w:r>
      <w:r w:rsidR="00D41E89" w:rsidRPr="0019073D">
        <w:t>communities</w:t>
      </w:r>
      <w:r w:rsidR="00D41E89">
        <w:t xml:space="preserve"> and</w:t>
      </w:r>
      <w:r w:rsidR="0019073D">
        <w:t xml:space="preserve"> </w:t>
      </w:r>
      <w:r w:rsidR="00D41E89">
        <w:t xml:space="preserve">centralising </w:t>
      </w:r>
      <w:r w:rsidR="0019073D">
        <w:t>Pacific models of relational wellbeing</w:t>
      </w:r>
      <w:r w:rsidR="0019073D" w:rsidRPr="0019073D">
        <w:t xml:space="preserve">. </w:t>
      </w:r>
      <w:r w:rsidR="0019073D">
        <w:t>Service s</w:t>
      </w:r>
      <w:r w:rsidR="0019073D" w:rsidRPr="0019073D">
        <w:t xml:space="preserve">trategy </w:t>
      </w:r>
      <w:r w:rsidR="0019073D">
        <w:t>was designed to reflect these</w:t>
      </w:r>
      <w:r w:rsidR="0019073D" w:rsidRPr="0019073D">
        <w:t xml:space="preserve"> interactions and conversations </w:t>
      </w:r>
      <w:r w:rsidR="00D41E89">
        <w:t>leading to</w:t>
      </w:r>
      <w:r w:rsidR="0019073D">
        <w:t xml:space="preserve"> </w:t>
      </w:r>
      <w:r w:rsidR="0019073D" w:rsidRPr="0019073D">
        <w:t>Pacific communities actively design</w:t>
      </w:r>
      <w:r w:rsidR="0019073D">
        <w:t>ing</w:t>
      </w:r>
      <w:r w:rsidR="0019073D" w:rsidRPr="0019073D">
        <w:t xml:space="preserve"> and lead</w:t>
      </w:r>
      <w:r w:rsidR="0019073D">
        <w:t>ing</w:t>
      </w:r>
      <w:r w:rsidR="0019073D" w:rsidRPr="0019073D">
        <w:t xml:space="preserve"> their own innovative solutions.</w:t>
      </w:r>
      <w:r w:rsidR="0019073D">
        <w:t xml:space="preserve"> </w:t>
      </w:r>
    </w:p>
    <w:p w14:paraId="62A2F199" w14:textId="77777777" w:rsidR="0019073D" w:rsidRDefault="0019073D" w:rsidP="00660DBC">
      <w:pPr>
        <w:jc w:val="both"/>
      </w:pPr>
    </w:p>
    <w:p w14:paraId="77953952" w14:textId="0A55778D" w:rsidR="00660DBC" w:rsidRDefault="007A52C4" w:rsidP="00660DBC">
      <w:pPr>
        <w:jc w:val="both"/>
      </w:pPr>
      <w:r>
        <w:lastRenderedPageBreak/>
        <w:t>O</w:t>
      </w:r>
      <w:r w:rsidR="00660DBC">
        <w:t xml:space="preserve">ur research has </w:t>
      </w:r>
      <w:r w:rsidR="0019073D">
        <w:t xml:space="preserve">also </w:t>
      </w:r>
      <w:r w:rsidR="00660DBC">
        <w:t xml:space="preserve">showcased the persistence of interest, energy and willing </w:t>
      </w:r>
      <w:r>
        <w:t>towards</w:t>
      </w:r>
      <w:r w:rsidR="00660DBC">
        <w:t xml:space="preserve"> </w:t>
      </w:r>
      <w:r>
        <w:t>improving support for families</w:t>
      </w:r>
      <w:r w:rsidR="0019073D">
        <w:t xml:space="preserve"> across the gambling harm reduction sector</w:t>
      </w:r>
      <w:r w:rsidR="00660DBC">
        <w:t xml:space="preserve">. We suggest </w:t>
      </w:r>
      <w:r>
        <w:t>three</w:t>
      </w:r>
      <w:r w:rsidR="00660DBC">
        <w:t xml:space="preserve"> underlying principles that could be leveraged to create action towards systemic change</w:t>
      </w:r>
      <w:r>
        <w:t xml:space="preserve"> in New Zealand</w:t>
      </w:r>
      <w:r w:rsidR="00660DBC">
        <w:t xml:space="preserve">: </w:t>
      </w:r>
      <w:r>
        <w:t xml:space="preserve">honouring </w:t>
      </w:r>
      <w:r w:rsidRPr="007A52C4">
        <w:t>Te Tiriti o Waitangi</w:t>
      </w:r>
      <w:r>
        <w:t xml:space="preserve"> (embedding genuine </w:t>
      </w:r>
      <w:r w:rsidR="00B76C14">
        <w:t xml:space="preserve">and empowering </w:t>
      </w:r>
      <w:r>
        <w:t xml:space="preserve">partnerships with </w:t>
      </w:r>
      <w:r w:rsidRPr="007A52C4">
        <w:t>Māori</w:t>
      </w:r>
      <w:r>
        <w:t xml:space="preserve"> at all levels of </w:t>
      </w:r>
      <w:r w:rsidR="00B76C14">
        <w:t>our gambling harm reduction system</w:t>
      </w:r>
      <w:r>
        <w:t xml:space="preserve">), </w:t>
      </w:r>
      <w:r w:rsidR="00660DBC">
        <w:t xml:space="preserve">an integrative approach to ‘evidence-based practice’, and transformative action-oriented </w:t>
      </w:r>
      <w:r w:rsidR="00B542D9">
        <w:t>research</w:t>
      </w:r>
      <w:r w:rsidR="00660DBC">
        <w:t xml:space="preserve">. </w:t>
      </w:r>
    </w:p>
    <w:p w14:paraId="7E444516" w14:textId="1C1B56AE" w:rsidR="00B76C14" w:rsidRDefault="00B76C14" w:rsidP="00660DBC">
      <w:pPr>
        <w:jc w:val="both"/>
      </w:pPr>
    </w:p>
    <w:p w14:paraId="5FD90416" w14:textId="64BE26EA" w:rsidR="00B76C14" w:rsidRDefault="00B76C14" w:rsidP="00B76C14">
      <w:pPr>
        <w:pStyle w:val="Heading2"/>
      </w:pPr>
      <w:bookmarkStart w:id="184" w:name="_Toc58400795"/>
      <w:r>
        <w:t>H</w:t>
      </w:r>
      <w:r w:rsidRPr="00B76C14">
        <w:t>onouring Te Tiriti o Waitangi</w:t>
      </w:r>
      <w:bookmarkEnd w:id="184"/>
    </w:p>
    <w:p w14:paraId="151C691F" w14:textId="77777777" w:rsidR="00B542D9" w:rsidRDefault="00E1762A" w:rsidP="001F2368">
      <w:pPr>
        <w:jc w:val="both"/>
      </w:pPr>
      <w:r w:rsidRPr="00E1762A">
        <w:t>Te Tiriti o Waitangi (the Treaty</w:t>
      </w:r>
      <w:r>
        <w:t xml:space="preserve"> of Waitangi</w:t>
      </w:r>
      <w:r w:rsidRPr="00E1762A">
        <w:t>) is the foundation for power sharing between tāngata whenua (</w:t>
      </w:r>
      <w:r w:rsidR="00B542D9" w:rsidRPr="00E1762A">
        <w:t>Māori</w:t>
      </w:r>
      <w:r w:rsidR="00B542D9">
        <w:t xml:space="preserve"> as </w:t>
      </w:r>
      <w:r w:rsidRPr="00E1762A">
        <w:t xml:space="preserve">the first peoples of Aotearoa), and tāngata Tiriti (all others who have come here). </w:t>
      </w:r>
      <w:r w:rsidR="001F2368">
        <w:t>Te Tiriti</w:t>
      </w:r>
      <w:r w:rsidRPr="00E1762A">
        <w:t xml:space="preserve"> affirmed the sovereignty of hapū </w:t>
      </w:r>
      <w:r>
        <w:t>(ki</w:t>
      </w:r>
      <w:r w:rsidR="00884B05">
        <w:t>n</w:t>
      </w:r>
      <w:r>
        <w:t xml:space="preserve">ship groups) </w:t>
      </w:r>
      <w:r w:rsidRPr="00E1762A">
        <w:t xml:space="preserve">and provided for the British to exercise governance. The intention of the Treaty was to establish an on-going relationship of mutual benefit, built on trust and good faith between tāngata whenua and all </w:t>
      </w:r>
      <w:r w:rsidR="001F2368">
        <w:t>others</w:t>
      </w:r>
      <w:r w:rsidRPr="00E1762A">
        <w:t xml:space="preserve">. </w:t>
      </w:r>
      <w:r w:rsidR="00081F48">
        <w:t>Through</w:t>
      </w:r>
      <w:r w:rsidRPr="00E1762A">
        <w:t xml:space="preserve"> colonisation, the foundations of Māori society have been eroded and hapū rights to be self-determining have not been upheld. As a result, there is deep imbalance in our communities/society</w:t>
      </w:r>
      <w:r w:rsidR="001F2368">
        <w:t xml:space="preserve">, and </w:t>
      </w:r>
      <w:r w:rsidR="00B542D9">
        <w:t xml:space="preserve">resulting </w:t>
      </w:r>
      <w:r w:rsidR="001F2368" w:rsidRPr="00E1762A">
        <w:t>Māori</w:t>
      </w:r>
      <w:r w:rsidR="001F2368">
        <w:t xml:space="preserve"> health inequities </w:t>
      </w:r>
      <w:r w:rsidR="001F2368">
        <w:fldChar w:fldCharType="begin"/>
      </w:r>
      <w:r w:rsidR="001F2368">
        <w:instrText xml:space="preserve"> ADDIN EN.CITE &lt;EndNote&gt;&lt;Cite&gt;&lt;Author&gt;Durie&lt;/Author&gt;&lt;Year&gt;1997&lt;/Year&gt;&lt;RecNum&gt;241&lt;/RecNum&gt;&lt;DisplayText&gt;(Durie, 1997)&lt;/DisplayText&gt;&lt;record&gt;&lt;rec-number&gt;241&lt;/rec-number&gt;&lt;foreign-keys&gt;&lt;key app="EN" db-id="25rszwft292ev3esrpvpde0cpxrd9ex0xspp" timestamp="1589319643"&gt;241&lt;/key&gt;&lt;/foreign-keys&gt;&lt;ref-type name="Journal Article"&gt;17&lt;/ref-type&gt;&lt;contributors&gt;&lt;authors&gt;&lt;author&gt;Durie, Mason&lt;/author&gt;&lt;/authors&gt;&lt;/contributors&gt;&lt;titles&gt;&lt;title&gt;Whanau, whanaungatanga and healthy Maori development&lt;/title&gt;&lt;secondary-title&gt;Mai i Rangiatea: Maori wellbeing and development. Bridget Williams Books, Auckland&lt;/secondary-title&gt;&lt;/titles&gt;&lt;periodical&gt;&lt;full-title&gt;Mai i Rangiatea: Maori wellbeing and development. Bridget Williams Books, Auckland&lt;/full-title&gt;&lt;/periodical&gt;&lt;dates&gt;&lt;year&gt;1997&lt;/year&gt;&lt;/dates&gt;&lt;urls&gt;&lt;/urls&gt;&lt;/record&gt;&lt;/Cite&gt;&lt;/EndNote&gt;</w:instrText>
      </w:r>
      <w:r w:rsidR="001F2368">
        <w:fldChar w:fldCharType="separate"/>
      </w:r>
      <w:r w:rsidR="001F2368">
        <w:rPr>
          <w:noProof/>
        </w:rPr>
        <w:t>(Durie, 1997)</w:t>
      </w:r>
      <w:r w:rsidR="001F2368">
        <w:fldChar w:fldCharType="end"/>
      </w:r>
      <w:r>
        <w:t xml:space="preserve">. </w:t>
      </w:r>
      <w:r w:rsidR="001F2368" w:rsidRPr="00D36C6F">
        <w:t>Māori in Aotearoa New Zealand have seen the individuali</w:t>
      </w:r>
      <w:r w:rsidR="001F2368">
        <w:t>s</w:t>
      </w:r>
      <w:r w:rsidR="001F2368" w:rsidRPr="00D36C6F">
        <w:t xml:space="preserve">ed nature of Western </w:t>
      </w:r>
      <w:r w:rsidR="001F2368">
        <w:t>health</w:t>
      </w:r>
      <w:r w:rsidR="001F2368" w:rsidRPr="00D36C6F">
        <w:t xml:space="preserve"> systems creating access barriers and poorer outcomes when compared to </w:t>
      </w:r>
      <w:r w:rsidR="001F2368">
        <w:t>support and intervention</w:t>
      </w:r>
      <w:r w:rsidR="001F2368" w:rsidRPr="00D36C6F">
        <w:t xml:space="preserve"> that encompasses vital cultural concepts such as whānau (family systems) and wairua (spirit) </w:t>
      </w:r>
      <w:r w:rsidR="001F2368">
        <w:fldChar w:fldCharType="begin"/>
      </w:r>
      <w:r w:rsidR="001F2368">
        <w:instrText xml:space="preserve"> ADDIN EN.CITE &lt;EndNote&gt;&lt;Cite&gt;&lt;Author&gt;Graham&lt;/Author&gt;&lt;Year&gt;2020&lt;/Year&gt;&lt;RecNum&gt;292&lt;/RecNum&gt;&lt;DisplayText&gt;(R. Graham &amp;amp; Masters‐Awatere, 2020)&lt;/DisplayText&gt;&lt;record&gt;&lt;rec-number&gt;292&lt;/rec-number&gt;&lt;foreign-keys&gt;&lt;key app="EN" db-id="25rszwft292ev3esrpvpde0cpxrd9ex0xspp" timestamp="1600722382"&gt;292&lt;/key&gt;&lt;/foreign-keys&gt;&lt;ref-type name="Journal Article"&gt;17&lt;/ref-type&gt;&lt;contributors&gt;&lt;authors&gt;&lt;author&gt;Graham, Rebekah&lt;/author&gt;&lt;author&gt;Masters‐Awatere, Bridgette&lt;/author&gt;&lt;/authors&gt;&lt;/contributors&gt;&lt;titles&gt;&lt;title&gt;Experiences of Māori of Aotearoa New Zealand&amp;apos;s public health system: a systematic review of two decades of published qualitative research&lt;/title&gt;&lt;secondary-title&gt;Australian and New Zealand Journal of Public Health&lt;/secondary-title&gt;&lt;/titles&gt;&lt;periodical&gt;&lt;full-title&gt;Australian and New Zealand Journal of Public Health&lt;/full-title&gt;&lt;/periodical&gt;&lt;pages&gt;193-200&lt;/pages&gt;&lt;volume&gt;44&lt;/volume&gt;&lt;number&gt;3&lt;/number&gt;&lt;dates&gt;&lt;year&gt;2020&lt;/year&gt;&lt;/dates&gt;&lt;isbn&gt;1326-0200&lt;/isbn&gt;&lt;urls&gt;&lt;/urls&gt;&lt;/record&gt;&lt;/Cite&gt;&lt;/EndNote&gt;</w:instrText>
      </w:r>
      <w:r w:rsidR="001F2368">
        <w:fldChar w:fldCharType="separate"/>
      </w:r>
      <w:r w:rsidR="001F2368">
        <w:rPr>
          <w:noProof/>
        </w:rPr>
        <w:t>(R. Graham &amp; Masters‐Awatere, 2020)</w:t>
      </w:r>
      <w:r w:rsidR="001F2368">
        <w:fldChar w:fldCharType="end"/>
      </w:r>
      <w:r w:rsidR="001F2368">
        <w:t xml:space="preserve">. </w:t>
      </w:r>
    </w:p>
    <w:p w14:paraId="6B47A011" w14:textId="77777777" w:rsidR="00B542D9" w:rsidRDefault="00B542D9" w:rsidP="001F2368">
      <w:pPr>
        <w:jc w:val="both"/>
      </w:pPr>
    </w:p>
    <w:p w14:paraId="4D61DA35" w14:textId="12D7E507" w:rsidR="001F2368" w:rsidRDefault="001F2368" w:rsidP="001F2368">
      <w:pPr>
        <w:jc w:val="both"/>
      </w:pPr>
      <w:r>
        <w:t>W</w:t>
      </w:r>
      <w:r w:rsidRPr="00E1762A">
        <w:t xml:space="preserve">hānaungatanga (“relationships”) are regarded as instrumental in the life journeys and support/treatment processes for Māori families and communities </w:t>
      </w:r>
      <w:r w:rsidRPr="00E1762A">
        <w:fldChar w:fldCharType="begin"/>
      </w:r>
      <w:r>
        <w:instrText xml:space="preserve"> ADDIN EN.CITE &lt;EndNote&gt;&lt;Cite&gt;&lt;Author&gt;Huriwai&lt;/Author&gt;&lt;Year&gt;2001&lt;/Year&gt;&lt;RecNum&gt;264&lt;/RecNum&gt;&lt;DisplayText&gt;(Huriwai et al., 2001)&lt;/DisplayText&gt;&lt;record&gt;&lt;rec-number&gt;264&lt;/rec-number&gt;&lt;foreign-keys&gt;&lt;key app="EN" db-id="25rszwft292ev3esrpvpde0cpxrd9ex0xspp" timestamp="1590442198"&gt;264&lt;/key&gt;&lt;/foreign-keys&gt;&lt;ref-type name="Journal Article"&gt;17&lt;/ref-type&gt;&lt;contributors&gt;&lt;authors&gt;&lt;author&gt;Huriwai, Terry&lt;/author&gt;&lt;author&gt;Robertson, Paul J&lt;/author&gt;&lt;author&gt;Armstrong, Delaraine&lt;/author&gt;&lt;author&gt;Kingi, Te Pare&lt;/author&gt;&lt;author&gt;Huata, Paraire&lt;/author&gt;&lt;/authors&gt;&lt;/contributors&gt;&lt;titles&gt;&lt;title&gt;WHANAUNGATANGA–A PROCESS IN THE TREATMENT OF MA ORI WITH ALCOHOL-AND DRUG-USE RELATED PROBLEMS&lt;/title&gt;&lt;secondary-title&gt;Substance use &amp;amp; misuse&lt;/secondary-title&gt;&lt;/titles&gt;&lt;periodical&gt;&lt;full-title&gt;Substance use &amp;amp; misuse&lt;/full-title&gt;&lt;/periodical&gt;&lt;pages&gt;1033-1051&lt;/pages&gt;&lt;volume&gt;36&lt;/volume&gt;&lt;number&gt;8&lt;/number&gt;&lt;dates&gt;&lt;year&gt;2001&lt;/year&gt;&lt;/dates&gt;&lt;isbn&gt;1082-6084&lt;/isbn&gt;&lt;urls&gt;&lt;/urls&gt;&lt;/record&gt;&lt;/Cite&gt;&lt;/EndNote&gt;</w:instrText>
      </w:r>
      <w:r w:rsidRPr="00E1762A">
        <w:fldChar w:fldCharType="separate"/>
      </w:r>
      <w:r>
        <w:rPr>
          <w:noProof/>
        </w:rPr>
        <w:t>(Huriwai et al., 2001)</w:t>
      </w:r>
      <w:r w:rsidRPr="00E1762A">
        <w:fldChar w:fldCharType="end"/>
      </w:r>
      <w:r w:rsidRPr="00E1762A">
        <w:t xml:space="preserve">. </w:t>
      </w:r>
      <w:r w:rsidR="00B542D9">
        <w:t xml:space="preserve">Our research suggest that </w:t>
      </w:r>
      <w:r w:rsidR="00C73418" w:rsidRPr="00D36C6F">
        <w:t>Māori</w:t>
      </w:r>
      <w:r w:rsidR="00C73418">
        <w:t xml:space="preserve"> approaches provide a useful model for family </w:t>
      </w:r>
      <w:r w:rsidR="00932275">
        <w:t>involvement in addiction harm reduction</w:t>
      </w:r>
      <w:r w:rsidR="00B542D9">
        <w:t>.</w:t>
      </w:r>
      <w:r w:rsidR="00932275">
        <w:t xml:space="preserve"> </w:t>
      </w:r>
      <w:r>
        <w:t>I</w:t>
      </w:r>
      <w:r w:rsidRPr="00E1762A">
        <w:t xml:space="preserve">nquiry continues to document important links between indigenous healing practices, cultural concepts </w:t>
      </w:r>
      <w:r>
        <w:t>and recovery from addictions</w:t>
      </w:r>
      <w:r w:rsidRPr="00E1762A">
        <w:t xml:space="preserve"> and wellbeing </w:t>
      </w:r>
      <w:r w:rsidRPr="00E1762A">
        <w:fldChar w:fldCharType="begin">
          <w:fldData xml:space="preserve">PEVuZE5vdGU+PENpdGU+PEF1dGhvcj5QYXR0ZXJzb248L0F1dGhvcj48WWVhcj4yMDE4PC9ZZWFy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</w:fldData>
        </w:fldChar>
      </w:r>
      <w:r>
        <w:instrText xml:space="preserve"> ADDIN EN.CITE </w:instrText>
      </w:r>
      <w:r>
        <w:fldChar w:fldCharType="begin">
          <w:fldData xml:space="preserve">PEVuZE5vdGU+PENpdGU+PEF1dGhvcj5QYXR0ZXJzb248L0F1dGhvcj48WWVhcj4yMDE4PC9ZZWFy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</w:fldData>
        </w:fldChar>
      </w:r>
      <w:r>
        <w:instrText xml:space="preserve"> ADDIN EN.CITE.DATA </w:instrText>
      </w:r>
      <w:r>
        <w:fldChar w:fldCharType="end"/>
      </w:r>
      <w:r w:rsidRPr="00E1762A">
        <w:fldChar w:fldCharType="separate"/>
      </w:r>
      <w:r>
        <w:rPr>
          <w:noProof/>
        </w:rPr>
        <w:t>(see for example Beals et al., 2006; R. Graham &amp; Masters‐Awatere, 2020; Patterson et al., 2018; Stone et al., 2006)</w:t>
      </w:r>
      <w:r w:rsidRPr="00E1762A">
        <w:fldChar w:fldCharType="end"/>
      </w:r>
      <w:r w:rsidRPr="00E1762A">
        <w:t>.</w:t>
      </w:r>
      <w:r>
        <w:t xml:space="preserve"> In New Zealand mental health and addictions services</w:t>
      </w:r>
      <w:r w:rsidR="00932275">
        <w:t>,</w:t>
      </w:r>
      <w:r>
        <w:t xml:space="preserve"> </w:t>
      </w:r>
      <w:r w:rsidRPr="00D928F2">
        <w:t xml:space="preserve">quality and effective engagement with families </w:t>
      </w:r>
      <w:r>
        <w:t>has been associated with</w:t>
      </w:r>
      <w:r w:rsidRPr="00D928F2">
        <w:t xml:space="preserve"> services undertaking a wrap-around </w:t>
      </w:r>
      <w:bookmarkStart w:id="185" w:name="_Hlk54688873"/>
      <w:r w:rsidRPr="00D928F2">
        <w:t xml:space="preserve">Whānau Ora approach </w:t>
      </w:r>
      <w:bookmarkEnd w:id="185"/>
      <w:r w:rsidRPr="00D928F2">
        <w:t xml:space="preserve">based </w:t>
      </w:r>
      <w:bookmarkStart w:id="186" w:name="_Hlk54688897"/>
      <w:r w:rsidRPr="00D928F2">
        <w:t>in Māori understandings of wellness and community</w:t>
      </w:r>
      <w:bookmarkEnd w:id="186"/>
      <w:r w:rsidRPr="00D928F2">
        <w:t xml:space="preserve"> </w:t>
      </w:r>
      <w:r w:rsidRPr="00D928F2">
        <w:fldChar w:fldCharType="begin"/>
      </w:r>
      <w:r w:rsidRPr="00D928F2">
        <w:instrText xml:space="preserve"> ADDIN EN.CITE &lt;EndNote&gt;&lt;Cite&gt;&lt;Author&gt;Patterson&lt;/Author&gt;&lt;Year&gt;2018&lt;/Year&gt;&lt;RecNum&gt;240&lt;/RecNum&gt;&lt;DisplayText&gt;(Patterson et al., 2018)&lt;/DisplayText&gt;&lt;record&gt;&lt;rec-number&gt;240&lt;/rec-number&gt;&lt;foreign-keys&gt;&lt;key app="EN" db-id="25rszwft292ev3esrpvpde0cpxrd9ex0xspp" timestamp="1589319428"&gt;240&lt;/key&gt;&lt;/foreign-keys&gt;&lt;ref-type name="Journal Article"&gt;17&lt;/ref-type&gt;&lt;contributors&gt;&lt;authors&gt;&lt;author&gt;Patterson, R&lt;/author&gt;&lt;author&gt;Durie, M&lt;/author&gt;&lt;author&gt;Disley, B&lt;/author&gt;&lt;author&gt;Tiatia-Seath, Sipaea&lt;/author&gt;&lt;author&gt;Tualamali&amp;apos;i, J&lt;/author&gt;&lt;/authors&gt;&lt;/contributors&gt;&lt;titles&gt;&lt;title&gt;He Ara Oranga: Report of the government inquiry into mental health and addiction&lt;/title&gt;&lt;/titles&gt;&lt;dates&gt;&lt;year&gt;2018&lt;/year&gt;&lt;/dates&gt;&lt;isbn&gt;0994124538&lt;/isbn&gt;&lt;urls&gt;&lt;/urls&gt;&lt;/record&gt;&lt;/Cite&gt;&lt;/EndNote&gt;</w:instrText>
      </w:r>
      <w:r w:rsidRPr="00D928F2">
        <w:fldChar w:fldCharType="separate"/>
      </w:r>
      <w:r w:rsidRPr="00D928F2">
        <w:t>(Patterson et al., 2018)</w:t>
      </w:r>
      <w:r w:rsidRPr="00D928F2">
        <w:fldChar w:fldCharType="end"/>
      </w:r>
      <w:r w:rsidRPr="00D928F2">
        <w:t>. This approach</w:t>
      </w:r>
      <w:r>
        <w:t xml:space="preserve"> </w:t>
      </w:r>
      <w:r w:rsidRPr="00D928F2">
        <w:t>emphasises encouraging families to identify the aspirations they have to improve their lives and building whā</w:t>
      </w:r>
      <w:r w:rsidR="00932275">
        <w:t>n</w:t>
      </w:r>
      <w:r w:rsidRPr="00D928F2">
        <w:t>au capacity to achieve their goals (Independent Whānau Ora Review Panel, 2018)</w:t>
      </w:r>
      <w:r>
        <w:t>.</w:t>
      </w:r>
    </w:p>
    <w:p w14:paraId="1ED87EA6" w14:textId="77777777" w:rsidR="001F2368" w:rsidRDefault="001F2368" w:rsidP="00E1762A">
      <w:pPr>
        <w:jc w:val="both"/>
      </w:pPr>
    </w:p>
    <w:p w14:paraId="35AF6145" w14:textId="01FD4778" w:rsidR="00E1762A" w:rsidRDefault="00052D16" w:rsidP="00E1762A">
      <w:pPr>
        <w:jc w:val="both"/>
      </w:pPr>
      <w:r w:rsidRPr="00E1762A">
        <w:t xml:space="preserve">Te Tiriti </w:t>
      </w:r>
      <w:r w:rsidR="00E1762A">
        <w:t xml:space="preserve">obligations are an appropriate foundation for achieving Māori health aspirations and equity for Māori, recognising the status of Māori as </w:t>
      </w:r>
      <w:r w:rsidR="00E1762A" w:rsidRPr="00E1762A">
        <w:t>tāngata whenua</w:t>
      </w:r>
      <w:r w:rsidR="00E1762A">
        <w:t xml:space="preserve">  </w:t>
      </w:r>
      <w:r w:rsidR="00E1762A">
        <w:fldChar w:fldCharType="begin"/>
      </w:r>
      <w:r w:rsidR="00E1762A">
        <w:instrText xml:space="preserve"> ADDIN EN.CITE &lt;EndNote&gt;&lt;Cite&gt;&lt;Author&gt;Graham&lt;/Author&gt;&lt;Year&gt;2020&lt;/Year&gt;&lt;RecNum&gt;292&lt;/RecNum&gt;&lt;DisplayText&gt;(R. Graham &amp;amp; Masters‐Awatere, 2020; Morrison, 2008)&lt;/DisplayText&gt;&lt;record&gt;&lt;rec-number&gt;292&lt;/rec-number&gt;&lt;foreign-keys&gt;&lt;key app="EN" db-id="25rszwft292ev3esrpvpde0cpxrd9ex0xspp" timestamp="1600722382"&gt;292&lt;/key&gt;&lt;/foreign-keys&gt;&lt;ref-type name="Journal Article"&gt;17&lt;/ref-type&gt;&lt;contributors&gt;&lt;authors&gt;&lt;author&gt;Graham, Rebekah&lt;/author&gt;&lt;author&gt;Masters‐Awatere, Bridgette&lt;/author&gt;&lt;/authors&gt;&lt;/contributors&gt;&lt;titles&gt;&lt;title&gt;Experiences of Māori of Aotearoa New Zealand&amp;apos;s public health system: a systematic review of two decades of published qualitative research&lt;/title&gt;&lt;secondary-title&gt;Australian and New Zealand Journal of Public Health&lt;/secondary-title&gt;&lt;/titles&gt;&lt;periodical&gt;&lt;full-title&gt;Australian and New Zealand Journal of Public Health&lt;/full-title&gt;&lt;/periodical&gt;&lt;pages&gt;193-200&lt;/pages&gt;&lt;volume&gt;44&lt;/volume&gt;&lt;number&gt;3&lt;/number&gt;&lt;dates&gt;&lt;year&gt;2020&lt;/year&gt;&lt;/dates&gt;&lt;isbn&gt;1326-0200&lt;/isbn&gt;&lt;urls&gt;&lt;/urls&gt;&lt;/record&gt;&lt;/Cite&gt;&lt;Cite&gt;&lt;Author&gt;Morrison&lt;/Author&gt;&lt;Year&gt;2008&lt;/Year&gt;&lt;RecNum&gt;205&lt;/RecNum&gt;&lt;record&gt;&lt;rec-number&gt;205&lt;/rec-number&gt;&lt;foreign-keys&gt;&lt;key app="EN" db-id="25rszwft292ev3esrpvpde0cpxrd9ex0xspp" timestamp="1588118130"&gt;205&lt;/key&gt;&lt;/foreign-keys&gt;&lt;ref-type name="Thesis"&gt;32&lt;/ref-type&gt;&lt;contributors&gt;&lt;authors&gt;&lt;author&gt;Morrison, Laurie&lt;/author&gt;&lt;/authors&gt;&lt;/contributors&gt;&lt;titles&gt;&lt;title&gt;Māori Women and Gambling: Every Day is a War Day!&lt;/title&gt;&lt;/titles&gt;&lt;dates&gt;&lt;year&gt;2008&lt;/year&gt;&lt;/dates&gt;&lt;publisher&gt;The University of Waikato&lt;/publisher&gt;&lt;urls&gt;&lt;/urls&gt;&lt;/record&gt;&lt;/Cite&gt;&lt;/EndNote&gt;</w:instrText>
      </w:r>
      <w:r w:rsidR="00E1762A">
        <w:fldChar w:fldCharType="separate"/>
      </w:r>
      <w:r w:rsidR="00E1762A">
        <w:rPr>
          <w:noProof/>
        </w:rPr>
        <w:t>(R. Graham &amp; Masters‐Awatere, 2020; Morrison, 2008)</w:t>
      </w:r>
      <w:r w:rsidR="00E1762A">
        <w:fldChar w:fldCharType="end"/>
      </w:r>
      <w:r w:rsidR="00E1762A" w:rsidRPr="00E1762A">
        <w:t>.</w:t>
      </w:r>
      <w:r w:rsidR="00884B05">
        <w:t xml:space="preserve"> The Ministry of Health </w:t>
      </w:r>
      <w:r w:rsidR="00884B05">
        <w:fldChar w:fldCharType="begin"/>
      </w:r>
      <w:r w:rsidR="00A8131F">
        <w:instrText xml:space="preserve"> ADDIN EN.CITE &lt;EndNote&gt;&lt;Cite ExcludeAuth="1"&gt;&lt;Author&gt;Ministry of Health&lt;/Author&gt;&lt;Year&gt;2020&lt;/Year&gt;&lt;RecNum&gt;328&lt;/RecNum&gt;&lt;DisplayText&gt;(2020d)&lt;/DisplayText&gt;&lt;record&gt;&lt;rec-number&gt;328&lt;/rec-number&gt;&lt;foreign-keys&gt;&lt;key app="EN" db-id="25rszwft292ev3esrpvpde0cpxrd9ex0xspp" timestamp="1603746123"&gt;328&lt;/key&gt;&lt;/foreign-keys&gt;&lt;ref-type name="Web Page"&gt;12&lt;/ref-type&gt;&lt;contributors&gt;&lt;authors&gt;&lt;author&gt;Ministry of Health,&lt;/author&gt;&lt;/authors&gt;&lt;/contributors&gt;&lt;titles&gt;&lt;title&gt;Te Tiriti o Waitangi&lt;/title&gt;&lt;/titles&gt;&lt;volume&gt;2020&lt;/volume&gt;&lt;number&gt;27 October&lt;/number&gt;&lt;dates&gt;&lt;year&gt;2020&lt;/year&gt;&lt;/dates&gt;&lt;publisher&gt;Ministry of Health &lt;/publisher&gt;&lt;urls&gt;&lt;related-urls&gt;&lt;url&gt;https://www.health.govt.nz/our-work/populations/maori-health/te-tiriti-o-waitangi&lt;/url&gt;&lt;/related-urls&gt;&lt;/urls&gt;&lt;/record&gt;&lt;/Cite&gt;&lt;/EndNote&gt;</w:instrText>
      </w:r>
      <w:r w:rsidR="00884B05">
        <w:fldChar w:fldCharType="separate"/>
      </w:r>
      <w:r w:rsidR="00A8131F">
        <w:rPr>
          <w:noProof/>
        </w:rPr>
        <w:t>(2020d)</w:t>
      </w:r>
      <w:r w:rsidR="00884B05">
        <w:fldChar w:fldCharType="end"/>
      </w:r>
      <w:r w:rsidR="00884B05">
        <w:t xml:space="preserve"> identifies four goals, with their basis in Te Tiriti, expressed in terms of mana (lifeforce):</w:t>
      </w:r>
    </w:p>
    <w:p w14:paraId="21FE682D" w14:textId="77777777" w:rsidR="00884B05" w:rsidRDefault="00884B05" w:rsidP="00884B05">
      <w:pPr>
        <w:jc w:val="both"/>
      </w:pPr>
    </w:p>
    <w:p w14:paraId="5324F1A0" w14:textId="461B57A6" w:rsidR="00884B05" w:rsidRDefault="00884B05" w:rsidP="00884B05">
      <w:pPr>
        <w:pStyle w:val="ListParagraph"/>
        <w:numPr>
          <w:ilvl w:val="0"/>
          <w:numId w:val="33"/>
        </w:numPr>
        <w:jc w:val="both"/>
      </w:pPr>
      <w:r>
        <w:t>Mana whakahaere: effective and appropriate stewardship or kaitiakitanga over the health and disability system. This goes beyond the management of assets or resources.</w:t>
      </w:r>
    </w:p>
    <w:p w14:paraId="4B566C81" w14:textId="77777777" w:rsidR="00884B05" w:rsidRDefault="00884B05" w:rsidP="00884B05">
      <w:pPr>
        <w:pStyle w:val="ListParagraph"/>
        <w:numPr>
          <w:ilvl w:val="0"/>
          <w:numId w:val="33"/>
        </w:numPr>
        <w:jc w:val="both"/>
      </w:pPr>
      <w:r>
        <w:lastRenderedPageBreak/>
        <w:t>Mana motuhake: Enabling the right for Māori to be Māori (Māori self-determination); to exercise their authority over their lives, and to live on Māori terms and according to Māori philosophies, values and practices including tikanga Māori.</w:t>
      </w:r>
    </w:p>
    <w:p w14:paraId="4D8D617C" w14:textId="77777777" w:rsidR="00884B05" w:rsidRDefault="00884B05" w:rsidP="00884B05">
      <w:pPr>
        <w:pStyle w:val="ListParagraph"/>
        <w:numPr>
          <w:ilvl w:val="0"/>
          <w:numId w:val="33"/>
        </w:numPr>
        <w:jc w:val="both"/>
      </w:pPr>
      <w:r>
        <w:t>Mana tangata: Achieving equity in health and disability outcomes for Māori across the life course and contributing to Māori wellness.</w:t>
      </w:r>
    </w:p>
    <w:p w14:paraId="20DF9542" w14:textId="43E1BCF8" w:rsidR="00884B05" w:rsidRDefault="00884B05" w:rsidP="00884B05">
      <w:pPr>
        <w:pStyle w:val="ListParagraph"/>
        <w:numPr>
          <w:ilvl w:val="0"/>
          <w:numId w:val="33"/>
        </w:numPr>
        <w:jc w:val="both"/>
      </w:pPr>
      <w:r>
        <w:t>Mana Māori: Enabling Ritenga Māori (Māori customary rituals) which are framed by te ao Māori (the Māori world), enacted through tikanga Māori (Māori philosophy &amp; customary practices) and encapsulated within mātauranga Māori (Māori knowledge).</w:t>
      </w:r>
    </w:p>
    <w:p w14:paraId="38FFFE88" w14:textId="77777777" w:rsidR="00081F48" w:rsidRDefault="00081F48" w:rsidP="00E1762A">
      <w:pPr>
        <w:jc w:val="both"/>
      </w:pPr>
    </w:p>
    <w:p w14:paraId="5FEA0F7B" w14:textId="17D147BD" w:rsidR="00884B05" w:rsidRDefault="00E1762A" w:rsidP="008567C0">
      <w:pPr>
        <w:jc w:val="both"/>
      </w:pPr>
      <w:r w:rsidRPr="008567C0">
        <w:t xml:space="preserve">Māori </w:t>
      </w:r>
      <w:r w:rsidR="00081F48">
        <w:t xml:space="preserve">are disproportionately harmed by gambling, and </w:t>
      </w:r>
      <w:r w:rsidRPr="008567C0">
        <w:t xml:space="preserve">have </w:t>
      </w:r>
      <w:r w:rsidR="00B542D9">
        <w:t xml:space="preserve">long </w:t>
      </w:r>
      <w:r w:rsidRPr="008567C0">
        <w:t xml:space="preserve">argued </w:t>
      </w:r>
      <w:r w:rsidR="00052D16">
        <w:t>as Te Tiriti</w:t>
      </w:r>
      <w:r w:rsidRPr="008567C0">
        <w:t xml:space="preserve"> partners, for whānau involvement at all levels of decision making in determining gambling policies, services and revenue direction </w:t>
      </w:r>
      <w:r w:rsidRPr="008567C0">
        <w:fldChar w:fldCharType="begin"/>
      </w:r>
      <w:r w:rsidRPr="008567C0">
        <w:instrText xml:space="preserve"> ADDIN EN.CITE &lt;EndNote&gt;&lt;Cite&gt;&lt;Author&gt;Dyall&lt;/Author&gt;&lt;Year&gt;2012&lt;/Year&gt;&lt;RecNum&gt;216&lt;/RecNum&gt;&lt;DisplayText&gt;(Dyall et al., 2012)&lt;/DisplayText&gt;&lt;record&gt;&lt;rec-number&gt;216&lt;/rec-number&gt;&lt;foreign-keys&gt;&lt;key app="EN" db-id="25rszwft292ev3esrpvpde0cpxrd9ex0xspp" timestamp="1588626866"&gt;216&lt;/key&gt;&lt;/foreign-keys&gt;&lt;ref-type name="Journal Article"&gt;17&lt;/ref-type&gt;&lt;contributors&gt;&lt;authors&gt;&lt;author&gt;Dyall, Lorna&lt;/author&gt;&lt;author&gt;Hawke, Zoe&lt;/author&gt;&lt;author&gt;Herd, Ruth&lt;/author&gt;&lt;author&gt;Nahi, Papa&lt;/author&gt;&lt;/authors&gt;&lt;/contributors&gt;&lt;titles&gt;&lt;title&gt;Housework metaphor for gambling public health action: An indigenous perspective&lt;/title&gt;&lt;secondary-title&gt;International Journal of Mental Health and Addiction&lt;/secondary-title&gt;&lt;/titles&gt;&lt;periodical&gt;&lt;full-title&gt;International Journal of Mental Health and Addiction&lt;/full-title&gt;&lt;/periodical&gt;&lt;pages&gt;737-747&lt;/pages&gt;&lt;volume&gt;10&lt;/volume&gt;&lt;number&gt;5&lt;/number&gt;&lt;dates&gt;&lt;year&gt;2012&lt;/year&gt;&lt;/dates&gt;&lt;isbn&gt;1557-1874&lt;/isbn&gt;&lt;urls&gt;&lt;/urls&gt;&lt;/record&gt;&lt;/Cite&gt;&lt;/EndNote&gt;</w:instrText>
      </w:r>
      <w:r w:rsidRPr="008567C0">
        <w:fldChar w:fldCharType="separate"/>
      </w:r>
      <w:r w:rsidRPr="008567C0">
        <w:t>(Dyall et al., 2012)</w:t>
      </w:r>
      <w:r w:rsidRPr="008567C0">
        <w:fldChar w:fldCharType="end"/>
      </w:r>
      <w:r w:rsidRPr="008567C0">
        <w:t>.</w:t>
      </w:r>
      <w:r>
        <w:t xml:space="preserve"> </w:t>
      </w:r>
      <w:r w:rsidR="00884B05">
        <w:t>These conversations link</w:t>
      </w:r>
      <w:r w:rsidR="00932275">
        <w:t xml:space="preserve"> </w:t>
      </w:r>
      <w:r w:rsidR="00884B05">
        <w:t xml:space="preserve">to the </w:t>
      </w:r>
      <w:r w:rsidR="00081F48">
        <w:t xml:space="preserve">recent New Zealand government commissioned Health and Disability Systems Review </w:t>
      </w:r>
      <w:r w:rsidR="00081F48">
        <w:fldChar w:fldCharType="begin"/>
      </w:r>
      <w:r w:rsidR="00081F48">
        <w:instrText xml:space="preserve"> ADDIN EN.CITE &lt;EndNote&gt;&lt;Cite ExcludeAuth="1"&gt;&lt;Author&gt;Health and Disability System Review&lt;/Author&gt;&lt;Year&gt;2020&lt;/Year&gt;&lt;RecNum&gt;329&lt;/RecNum&gt;&lt;DisplayText&gt;(2020)&lt;/DisplayText&gt;&lt;record&gt;&lt;rec-number&gt;329&lt;/rec-number&gt;&lt;foreign-keys&gt;&lt;key app="EN" db-id="25rszwft292ev3esrpvpde0cpxrd9ex0xspp" timestamp="1603748953"&gt;329&lt;/key&gt;&lt;/foreign-keys&gt;&lt;ref-type name="Report"&gt;27&lt;/ref-type&gt;&lt;contributors&gt;&lt;authors&gt;&lt;author&gt; Health and Disability System Review,&lt;/author&gt;&lt;/authors&gt;&lt;/contributors&gt;&lt;titles&gt;&lt;title&gt;&lt;style face="normal" font="default" size="100%"&gt;Health and Disability System Review - Final Report - P&lt;/style&gt;&lt;style face="normal" font="default" charset="186" size="100%"&gt;ūrongo Whakamutunga&lt;/style&gt;&lt;/title&gt;&lt;/titles&gt;&lt;dates&gt;&lt;year&gt;2020&lt;/year&gt;&lt;/dates&gt;&lt;pub-location&gt;&lt;style face="normal" font="default" charset="186" size="100%"&gt;Wellington&lt;/style&gt;&lt;/pub-location&gt;&lt;publisher&gt;&lt;style face="normal" font="default" charset="186" size="100%"&gt;HDSR&lt;/style&gt;&lt;/publisher&gt;&lt;urls&gt;&lt;/urls&gt;&lt;/record&gt;&lt;/Cite&gt;&lt;/EndNote&gt;</w:instrText>
      </w:r>
      <w:r w:rsidR="00081F48">
        <w:fldChar w:fldCharType="separate"/>
      </w:r>
      <w:r w:rsidR="00081F48">
        <w:rPr>
          <w:noProof/>
        </w:rPr>
        <w:t>(2020)</w:t>
      </w:r>
      <w:r w:rsidR="00081F48">
        <w:fldChar w:fldCharType="end"/>
      </w:r>
      <w:r w:rsidR="00081F48">
        <w:t>. The review panel highlighted how consultation cannot be the end point of equity partnerships</w:t>
      </w:r>
      <w:r w:rsidR="001F2368">
        <w:t xml:space="preserve"> for health system and service design and delivery</w:t>
      </w:r>
      <w:r w:rsidR="00081F48">
        <w:t xml:space="preserve">, they must move to financial and decision-making empowerment. Most of the review panel, as well as the </w:t>
      </w:r>
      <w:r w:rsidR="00081F48" w:rsidRPr="00081F48">
        <w:t>Māori</w:t>
      </w:r>
      <w:r w:rsidR="00081F48">
        <w:t xml:space="preserve"> advisory group recommended a </w:t>
      </w:r>
      <w:r w:rsidR="00081F48" w:rsidRPr="00E1762A">
        <w:t>Māori</w:t>
      </w:r>
      <w:r w:rsidR="00081F48">
        <w:t xml:space="preserve"> Health Authority be established </w:t>
      </w:r>
      <w:r w:rsidR="000937D8">
        <w:t xml:space="preserve">to commission health services for </w:t>
      </w:r>
      <w:r w:rsidR="000937D8" w:rsidRPr="00E1762A">
        <w:t>Māori</w:t>
      </w:r>
      <w:r w:rsidR="000937D8">
        <w:t xml:space="preserve"> using an indigenous driven model within the health system to achieve equity. </w:t>
      </w:r>
      <w:r w:rsidR="00932275">
        <w:t xml:space="preserve">This model could usefully be applied to gambling harm reduction service commissioning. </w:t>
      </w:r>
      <w:r w:rsidR="000937D8">
        <w:t xml:space="preserve">The recent Waitangi Tribunal report on Health Services and Outcomes </w:t>
      </w:r>
      <w:r w:rsidR="000937D8">
        <w:fldChar w:fldCharType="begin"/>
      </w:r>
      <w:r w:rsidR="000937D8">
        <w:instrText xml:space="preserve"> ADDIN EN.CITE &lt;EndNote&gt;&lt;Cite ExcludeAuth="1"&gt;&lt;Author&gt;Waitangi Tribunal&lt;/Author&gt;&lt;Year&gt;2019&lt;/Year&gt;&lt;RecNum&gt;330&lt;/RecNum&gt;&lt;DisplayText&gt;(2019)&lt;/DisplayText&gt;&lt;record&gt;&lt;rec-number&gt;330&lt;/rec-number&gt;&lt;foreign-keys&gt;&lt;key app="EN" db-id="25rszwft292ev3esrpvpde0cpxrd9ex0xspp" timestamp="1603749471"&gt;330&lt;/key&gt;&lt;/foreign-keys&gt;&lt;ref-type name="Report"&gt;27&lt;/ref-type&gt;&lt;contributors&gt;&lt;authors&gt;&lt;author&gt;Waitangi Tribunal,&lt;/author&gt;&lt;/authors&gt;&lt;/contributors&gt;&lt;titles&gt;&lt;title&gt;Hauora: Report on Stage One of the Health Services and Outcomes Kaupapa Inquiry&lt;/title&gt;&lt;/titles&gt;&lt;dates&gt;&lt;year&gt;2019&lt;/year&gt;&lt;/dates&gt;&lt;publisher&gt;Waitangi Trubunal&lt;/publisher&gt;&lt;urls&gt;&lt;/urls&gt;&lt;/record&gt;&lt;/Cite&gt;&lt;/EndNote&gt;</w:instrText>
      </w:r>
      <w:r w:rsidR="000937D8">
        <w:fldChar w:fldCharType="separate"/>
      </w:r>
      <w:r w:rsidR="000937D8">
        <w:rPr>
          <w:noProof/>
        </w:rPr>
        <w:t>(2019)</w:t>
      </w:r>
      <w:r w:rsidR="000937D8">
        <w:fldChar w:fldCharType="end"/>
      </w:r>
      <w:r w:rsidR="000937D8">
        <w:t xml:space="preserve">, particularly emphasises the </w:t>
      </w:r>
      <w:r w:rsidR="001834A6">
        <w:t>need to</w:t>
      </w:r>
      <w:r w:rsidR="000937D8">
        <w:t xml:space="preserve"> support </w:t>
      </w:r>
      <w:r w:rsidR="000937D8" w:rsidRPr="00E1762A">
        <w:t>Māori</w:t>
      </w:r>
      <w:r w:rsidR="000937D8">
        <w:t xml:space="preserve"> aspirations for tino rangatiratanga (self-governance) and mana motuhake (autonomy)</w:t>
      </w:r>
      <w:r w:rsidR="001F2368">
        <w:t>: Concepts our expert panel identified as key to gambling harm reduction</w:t>
      </w:r>
      <w:r w:rsidR="000937D8">
        <w:t xml:space="preserve">. </w:t>
      </w:r>
    </w:p>
    <w:p w14:paraId="68015A88" w14:textId="16FAF813" w:rsidR="008567C0" w:rsidRDefault="008567C0" w:rsidP="008567C0">
      <w:pPr>
        <w:jc w:val="both"/>
      </w:pPr>
    </w:p>
    <w:p w14:paraId="47804A29" w14:textId="77777777" w:rsidR="00660DBC" w:rsidRPr="00A5084B" w:rsidRDefault="00660DBC" w:rsidP="00660DBC">
      <w:pPr>
        <w:pStyle w:val="Heading2"/>
      </w:pPr>
      <w:bookmarkStart w:id="187" w:name="_Toc58400796"/>
      <w:r>
        <w:t>An i</w:t>
      </w:r>
      <w:r w:rsidRPr="00A5084B">
        <w:t>ntegrative perspective on ‘evidence-based practice’</w:t>
      </w:r>
      <w:bookmarkEnd w:id="187"/>
    </w:p>
    <w:p w14:paraId="1FA9F50B" w14:textId="52C808EE" w:rsidR="00660DBC" w:rsidRDefault="00D945BB" w:rsidP="00660DBC">
      <w:pPr>
        <w:jc w:val="both"/>
      </w:pPr>
      <w:bookmarkStart w:id="188" w:name="_Hlk58233786"/>
      <w:r>
        <w:t>E</w:t>
      </w:r>
      <w:r w:rsidR="006E06F9" w:rsidRPr="006E06F9">
        <w:t>vidence for the effectiveness of gambling treatments</w:t>
      </w:r>
      <w:r w:rsidR="006E06F9">
        <w:t xml:space="preserve"> </w:t>
      </w:r>
      <w:r>
        <w:t xml:space="preserve">remains extremely limited, which, in combination with processes of self-directed and natural recovery, may go some way to explaining low help-seeking by people who gamble and their FAOs </w:t>
      </w:r>
      <w:r>
        <w:fldChar w:fldCharType="begin"/>
      </w:r>
      <w:r>
        <w:instrText xml:space="preserve"> ADDIN EN.CITE &lt;EndNote&gt;&lt;Cite&gt;&lt;Author&gt;Abbott&lt;/Author&gt;&lt;Year&gt;2019&lt;/Year&gt;&lt;RecNum&gt;337&lt;/RecNum&gt;&lt;DisplayText&gt;(Abbott, 2019a, 2019b)&lt;/DisplayText&gt;&lt;record&gt;&lt;rec-number&gt;337&lt;/rec-number&gt;&lt;foreign-keys&gt;&lt;key app="EN" db-id="25rszwft292ev3esrpvpde0cpxrd9ex0xspp" timestamp="1607294472"&gt;337&lt;/key&gt;&lt;/foreign-keys&gt;&lt;ref-type name="Journal Article"&gt;17&lt;/ref-type&gt;&lt;contributors&gt;&lt;authors&gt;&lt;author&gt;Abbott, Max&lt;/author&gt;&lt;/authors&gt;&lt;/contributors&gt;&lt;titles&gt;&lt;title&gt;Self-directed interventions for gambling disorder&lt;/title&gt;&lt;secondary-title&gt;Current opinion in psychiatry&lt;/secondary-title&gt;&lt;/titles&gt;&lt;periodical&gt;&lt;full-title&gt;Current opinion in psychiatry&lt;/full-title&gt;&lt;/periodical&gt;&lt;pages&gt;307-312&lt;/pages&gt;&lt;volume&gt;32&lt;/volume&gt;&lt;number&gt;4&lt;/number&gt;&lt;dates&gt;&lt;year&gt;2019&lt;/year&gt;&lt;/dates&gt;&lt;isbn&gt;0951-7367&lt;/isbn&gt;&lt;urls&gt;&lt;/urls&gt;&lt;/record&gt;&lt;/Cite&gt;&lt;Cite&gt;&lt;Author&gt;Abbott&lt;/Author&gt;&lt;Year&gt;2019&lt;/Year&gt;&lt;RecNum&gt;338&lt;/RecNum&gt;&lt;record&gt;&lt;rec-number&gt;338&lt;/rec-number&gt;&lt;foreign-keys&gt;&lt;key app="EN" db-id="25rszwft292ev3esrpvpde0cpxrd9ex0xspp" timestamp="1607294493"&gt;338&lt;/key&gt;&lt;/foreign-keys&gt;&lt;ref-type name="Journal Article"&gt;17&lt;/ref-type&gt;&lt;contributors&gt;&lt;authors&gt;&lt;author&gt;Abbott, Max&lt;/author&gt;&lt;/authors&gt;&lt;/contributors&gt;&lt;titles&gt;&lt;title&gt;Professionally delivered interventions for gambling disorder&lt;/title&gt;&lt;secondary-title&gt;Current opinion in psychiatry&lt;/secondary-title&gt;&lt;/titles&gt;&lt;periodical&gt;&lt;full-title&gt;Current opinion in psychiatry&lt;/full-title&gt;&lt;/periodical&gt;&lt;pages&gt;313-319&lt;/pages&gt;&lt;volume&gt;32&lt;/volume&gt;&lt;number&gt;4&lt;/number&gt;&lt;dates&gt;&lt;year&gt;2019&lt;/year&gt;&lt;/dates&gt;&lt;isbn&gt;0951-7367&lt;/isbn&gt;&lt;urls&gt;&lt;/urls&gt;&lt;/record&gt;&lt;/Cite&gt;&lt;/EndNote&gt;</w:instrText>
      </w:r>
      <w:r>
        <w:fldChar w:fldCharType="separate"/>
      </w:r>
      <w:r>
        <w:rPr>
          <w:noProof/>
        </w:rPr>
        <w:t>(Abbott, 2019a, 2019b)</w:t>
      </w:r>
      <w:r>
        <w:fldChar w:fldCharType="end"/>
      </w:r>
      <w:r>
        <w:t xml:space="preserve">. </w:t>
      </w:r>
      <w:bookmarkEnd w:id="188"/>
      <w:r w:rsidR="00660DBC" w:rsidRPr="00A5084B">
        <w:t xml:space="preserve">Experiential and values-based evidence is </w:t>
      </w:r>
      <w:r>
        <w:t xml:space="preserve">particularly </w:t>
      </w:r>
      <w:r w:rsidR="00660DBC" w:rsidRPr="00A5084B">
        <w:t xml:space="preserve">underdeveloped and underutilised in service design and delivery to support recovery from mental health and addictions in New Zealand and internationally </w:t>
      </w:r>
      <w:r w:rsidR="00660DBC" w:rsidRPr="00A5084B">
        <w:fldChar w:fldCharType="begin"/>
      </w:r>
      <w:r w:rsidR="00660DBC" w:rsidRPr="00A5084B">
        <w:instrText xml:space="preserve"> ADDIN EN.CITE &lt;EndNote&gt;&lt;Cite&gt;&lt;Author&gt;Patterson&lt;/Author&gt;&lt;Year&gt;2018&lt;/Year&gt;&lt;RecNum&gt;240&lt;/RecNum&gt;&lt;DisplayText&gt;(Johnstone &amp;amp; Boyle, 2018; Patterson et al., 2018)&lt;/DisplayText&gt;&lt;record&gt;&lt;rec-number&gt;240&lt;/rec-number&gt;&lt;foreign-keys&gt;&lt;key app="EN" db-id="25rszwft292ev3esrpvpde0cpxrd9ex0xspp" timestamp="1589319428"&gt;240&lt;/key&gt;&lt;/foreign-keys&gt;&lt;ref-type name="Journal Article"&gt;17&lt;/ref-type&gt;&lt;contributors&gt;&lt;authors&gt;&lt;author&gt;Patterson, R&lt;/author&gt;&lt;author&gt;Durie, M&lt;/author&gt;&lt;author&gt;Disley, B&lt;/author&gt;&lt;author&gt;Tiatia-Seath, Sipaea&lt;/author&gt;&lt;author&gt;Tualamali&amp;apos;i, J&lt;/author&gt;&lt;/authors&gt;&lt;/contributors&gt;&lt;titles&gt;&lt;title&gt;He Ara Oranga: Report of the government inquiry into mental health and addiction&lt;/title&gt;&lt;/titles&gt;&lt;dates&gt;&lt;year&gt;2018&lt;/year&gt;&lt;/dates&gt;&lt;isbn&gt;0994124538&lt;/isbn&gt;&lt;urls&gt;&lt;/urls&gt;&lt;/record&gt;&lt;/Cite&gt;&lt;Cite&gt;&lt;Author&gt;Johnstone&lt;/Author&gt;&lt;Year&gt;2018&lt;/Year&gt;&lt;RecNum&gt;258&lt;/RecNum&gt;&lt;record&gt;&lt;rec-number&gt;258&lt;/rec-number&gt;&lt;foreign-keys&gt;&lt;key app="EN" db-id="25rszwft292ev3esrpvpde0cpxrd9ex0xspp" timestamp="1589932147"&gt;258&lt;/key&gt;&lt;/foreign-keys&gt;&lt;ref-type name="Journal Article"&gt;17&lt;/ref-type&gt;&lt;contributors&gt;&lt;authors&gt;&lt;author&gt;Johnstone, Lucy&lt;/author&gt;&lt;author&gt;Boyle, Mary&lt;/author&gt;&lt;/authors&gt;&lt;/contributors&gt;&lt;titles&gt;&lt;title&gt;The power threat meaning framework: An alternative nondiagnostic conceptual system&lt;/title&gt;&lt;secondary-title&gt;Journal of Humanistic Psychology&lt;/secondary-title&gt;&lt;/titles&gt;&lt;periodical&gt;&lt;full-title&gt;Journal of Humanistic Psychology&lt;/full-title&gt;&lt;/periodical&gt;&lt;pages&gt;0022167818793289&lt;/pages&gt;&lt;dates&gt;&lt;year&gt;2018&lt;/year&gt;&lt;/dates&gt;&lt;isbn&gt;0022-1678&lt;/isbn&gt;&lt;urls&gt;&lt;/urls&gt;&lt;/record&gt;&lt;/Cite&gt;&lt;/EndNote&gt;</w:instrText>
      </w:r>
      <w:r w:rsidR="00660DBC" w:rsidRPr="00A5084B">
        <w:fldChar w:fldCharType="separate"/>
      </w:r>
      <w:r w:rsidR="00660DBC" w:rsidRPr="00A5084B">
        <w:t>(Johnstone &amp; Boyle, 2018; Patterson et al., 2018)</w:t>
      </w:r>
      <w:r w:rsidR="00660DBC" w:rsidRPr="00A5084B">
        <w:fldChar w:fldCharType="end"/>
      </w:r>
      <w:r w:rsidR="00660DBC" w:rsidRPr="00A5084B">
        <w:t xml:space="preserve">. </w:t>
      </w:r>
      <w:r w:rsidR="00660DBC">
        <w:t>‘E</w:t>
      </w:r>
      <w:r w:rsidR="00660DBC" w:rsidRPr="00D36C6F">
        <w:t xml:space="preserve">vidence-based </w:t>
      </w:r>
      <w:r w:rsidR="00660DBC">
        <w:t>practice’</w:t>
      </w:r>
      <w:r w:rsidR="00660DBC" w:rsidRPr="00D36C6F">
        <w:t xml:space="preserve"> </w:t>
      </w:r>
      <w:r w:rsidR="00660DBC">
        <w:t xml:space="preserve">(EBP) traditionally </w:t>
      </w:r>
      <w:r w:rsidR="00660DBC" w:rsidRPr="00D36C6F">
        <w:t>rel</w:t>
      </w:r>
      <w:r w:rsidR="00660DBC">
        <w:t>ies</w:t>
      </w:r>
      <w:r w:rsidR="00660DBC" w:rsidRPr="00D36C6F">
        <w:t xml:space="preserve"> heavily on randomized controlled trials (RCTs), which test the efficacy of interventions for a defined population</w:t>
      </w:r>
      <w:r w:rsidR="00660DBC">
        <w:t xml:space="preserve">. The </w:t>
      </w:r>
      <w:r w:rsidR="00660DBC" w:rsidRPr="00D36C6F">
        <w:t xml:space="preserve">need for </w:t>
      </w:r>
      <w:r w:rsidR="00660DBC">
        <w:t>approaches</w:t>
      </w:r>
      <w:r w:rsidR="00660DBC" w:rsidRPr="00D36C6F">
        <w:t xml:space="preserve"> to demonstrate efficacy in terms of generali</w:t>
      </w:r>
      <w:r w:rsidR="00660DBC">
        <w:t>s</w:t>
      </w:r>
      <w:r w:rsidR="00660DBC" w:rsidRPr="00D36C6F">
        <w:t>ability of the intervention being tested across a population inherently marginali</w:t>
      </w:r>
      <w:r w:rsidR="00660DBC">
        <w:t>s</w:t>
      </w:r>
      <w:r w:rsidR="00660DBC" w:rsidRPr="00D36C6F">
        <w:t xml:space="preserve">es systems </w:t>
      </w:r>
      <w:r w:rsidR="00660DBC">
        <w:t>where</w:t>
      </w:r>
      <w:r w:rsidR="00660DBC" w:rsidRPr="00D36C6F">
        <w:t xml:space="preserve"> it is expected that </w:t>
      </w:r>
      <w:r w:rsidR="00660DBC">
        <w:t>an approach or intervention</w:t>
      </w:r>
      <w:r w:rsidR="00660DBC" w:rsidRPr="00D36C6F">
        <w:t xml:space="preserve"> will interact with individual people in different ways, as is common in traditional medical systems</w:t>
      </w:r>
      <w:r w:rsidR="00660DBC">
        <w:t xml:space="preserve"> </w:t>
      </w:r>
      <w:r w:rsidR="00660DBC">
        <w:fldChar w:fldCharType="begin"/>
      </w:r>
      <w:r w:rsidR="00660DBC">
        <w:instrText xml:space="preserve"> ADDIN EN.CITE &lt;EndNote&gt;&lt;Cite&gt;&lt;Author&gt;Fung&lt;/Author&gt;&lt;Year&gt;2015&lt;/Year&gt;&lt;RecNum&gt;326&lt;/RecNum&gt;&lt;DisplayText&gt;(Fung &amp;amp; Linn, 2015)&lt;/DisplayText&gt;&lt;record&gt;&lt;rec-number&gt;326&lt;/rec-number&gt;&lt;foreign-keys&gt;&lt;key app="EN" db-id="25rszwft292ev3esrpvpde0cpxrd9ex0xspp" timestamp="1602197645"&gt;326&lt;/key&gt;&lt;/foreign-keys&gt;&lt;ref-type name="Journal Article"&gt;17&lt;/ref-type&gt;&lt;contributors&gt;&lt;authors&gt;&lt;author&gt;Fung, Foon Yin&lt;/author&gt;&lt;author&gt;Linn, Yeh Ching&lt;/author&gt;&lt;/authors&gt;&lt;/contributors&gt;&lt;titles&gt;&lt;title&gt;Developing traditional Chinese medicine in the era of evidence-based medicine: current evidences and challenges&lt;/title&gt;&lt;secondary-title&gt;Evidence-Based Complementary and Alternative Medicine&lt;/secondary-title&gt;&lt;/titles&gt;&lt;periodical&gt;&lt;full-title&gt;Evidence-Based Complementary and Alternative Medicine&lt;/full-title&gt;&lt;/periodical&gt;&lt;volume&gt;2015&lt;/volume&gt;&lt;dates&gt;&lt;year&gt;2015&lt;/year&gt;&lt;/dates&gt;&lt;isbn&gt;1741-427X&lt;/isbn&gt;&lt;urls&gt;&lt;/urls&gt;&lt;/record&gt;&lt;/Cite&gt;&lt;/EndNote&gt;</w:instrText>
      </w:r>
      <w:r w:rsidR="00660DBC">
        <w:fldChar w:fldCharType="separate"/>
      </w:r>
      <w:r w:rsidR="00660DBC">
        <w:rPr>
          <w:noProof/>
        </w:rPr>
        <w:t>(Fung &amp; Linn, 2015)</w:t>
      </w:r>
      <w:r w:rsidR="00660DBC">
        <w:fldChar w:fldCharType="end"/>
      </w:r>
      <w:r w:rsidR="00660DBC" w:rsidRPr="00D36C6F">
        <w:t xml:space="preserve">. </w:t>
      </w:r>
      <w:r w:rsidR="00660DBC" w:rsidRPr="00A5084B">
        <w:t>The dominance of empirical-analytical evidence</w:t>
      </w:r>
      <w:r w:rsidR="00660DBC">
        <w:rPr>
          <w:rStyle w:val="FootnoteReference"/>
        </w:rPr>
        <w:footnoteReference w:id="2"/>
      </w:r>
      <w:r w:rsidR="00660DBC" w:rsidRPr="00A5084B">
        <w:t xml:space="preserve"> as a decision-making tool in healthcare provision </w:t>
      </w:r>
      <w:r w:rsidR="00660DBC">
        <w:t>often fails to produce</w:t>
      </w:r>
      <w:r w:rsidR="00660DBC" w:rsidRPr="00100659">
        <w:t xml:space="preserve"> equity</w:t>
      </w:r>
      <w:r w:rsidR="00660DBC">
        <w:t xml:space="preserve"> because it ignores </w:t>
      </w:r>
      <w:r w:rsidR="00660DBC" w:rsidRPr="00100659">
        <w:t>how socio-cultural dynamics contribute to what is considered good practice and appropriate systems</w:t>
      </w:r>
      <w:r w:rsidR="00660DBC">
        <w:t xml:space="preserve"> </w:t>
      </w:r>
      <w:r w:rsidR="00660DBC">
        <w:fldChar w:fldCharType="begin"/>
      </w:r>
      <w:r w:rsidR="00660DBC">
        <w:instrText xml:space="preserve"> ADDIN EN.CITE &lt;EndNote&gt;&lt;Cite&gt;&lt;Author&gt;Mykhalovskiy&lt;/Author&gt;&lt;Year&gt;2004&lt;/Year&gt;&lt;RecNum&gt;291&lt;/RecNum&gt;&lt;DisplayText&gt;(Mykhalovskiy &amp;amp; Weir, 2004)&lt;/DisplayText&gt;&lt;record&gt;&lt;rec-number&gt;291&lt;/rec-number&gt;&lt;foreign-keys&gt;&lt;key app="EN" db-id="25rszwft292ev3esrpvpde0cpxrd9ex0xspp" timestamp="1600721856"&gt;291&lt;/key&gt;&lt;/foreign-keys&gt;&lt;ref-type name="Journal Article"&gt;17&lt;/ref-type&gt;&lt;contributors&gt;&lt;authors&gt;&lt;author&gt;Mykhalovskiy, Eric&lt;/author&gt;&lt;author&gt;Weir, Lorna&lt;/author&gt;&lt;/authors&gt;&lt;/contributors&gt;&lt;titles&gt;&lt;title&gt;The problem of evidence-based medicine: directions for social science&lt;/title&gt;&lt;secondary-title&gt;Social science &amp;amp; medicine&lt;/secondary-title&gt;&lt;/titles&gt;&lt;periodical&gt;&lt;full-title&gt;Social science &amp;amp; medicine&lt;/full-title&gt;&lt;/periodical&gt;&lt;pages&gt;1059-1069&lt;/pages&gt;&lt;volume&gt;59&lt;/volume&gt;&lt;number&gt;5&lt;/number&gt;&lt;dates&gt;&lt;year&gt;2004&lt;/year&gt;&lt;/dates&gt;&lt;isbn&gt;0277-9536&lt;/isbn&gt;&lt;urls&gt;&lt;/urls&gt;&lt;/record&gt;&lt;/Cite&gt;&lt;/EndNote&gt;</w:instrText>
      </w:r>
      <w:r w:rsidR="00660DBC">
        <w:fldChar w:fldCharType="separate"/>
      </w:r>
      <w:r w:rsidR="00660DBC">
        <w:rPr>
          <w:noProof/>
        </w:rPr>
        <w:t>(Mykhalovskiy &amp; Weir, 2004)</w:t>
      </w:r>
      <w:r w:rsidR="00660DBC">
        <w:fldChar w:fldCharType="end"/>
      </w:r>
      <w:r w:rsidR="00660DBC">
        <w:t xml:space="preserve">. </w:t>
      </w:r>
      <w:r w:rsidR="00660DBC" w:rsidRPr="00A5084B">
        <w:t xml:space="preserve">Significantly, this </w:t>
      </w:r>
      <w:r w:rsidR="00660DBC">
        <w:t xml:space="preserve">can exclude </w:t>
      </w:r>
      <w:r w:rsidR="00D960D6">
        <w:t xml:space="preserve">some </w:t>
      </w:r>
      <w:r w:rsidR="00660DBC" w:rsidRPr="00A5084B">
        <w:t xml:space="preserve">Indigenous peoples </w:t>
      </w:r>
      <w:r w:rsidR="00660DBC" w:rsidRPr="00A5084B">
        <w:lastRenderedPageBreak/>
        <w:fldChar w:fldCharType="begin"/>
      </w:r>
      <w:r w:rsidR="00660DBC">
        <w:instrText xml:space="preserve"> ADDIN EN.CITE &lt;EndNote&gt;&lt;Cite&gt;&lt;Author&gt;Stephens&lt;/Author&gt;&lt;Year&gt;2006&lt;/Year&gt;&lt;RecNum&gt;295&lt;/RecNum&gt;&lt;DisplayText&gt;(Stephens et al., 2006)&lt;/DisplayText&gt;&lt;record&gt;&lt;rec-number&gt;295&lt;/rec-number&gt;&lt;foreign-keys&gt;&lt;key app="EN" db-id="25rszwft292ev3esrpvpde0cpxrd9ex0xspp" timestamp="1600722705"&gt;295&lt;/key&gt;&lt;/foreign-keys&gt;&lt;ref-type name="Journal Article"&gt;17&lt;/ref-type&gt;&lt;contributors&gt;&lt;authors&gt;&lt;author&gt;Stephens, Carolyn&lt;/author&gt;&lt;author&gt;Porter, John&lt;/author&gt;&lt;author&gt;Nettleton, Clive&lt;/author&gt;&lt;author&gt;Willis, Ruth&lt;/author&gt;&lt;/authors&gt;&lt;/contributors&gt;&lt;titles&gt;&lt;title&gt;Disappearing, displaced, and undervalued: a call to action for Indigenous health worldwide&lt;/title&gt;&lt;secondary-title&gt;The lancet&lt;/secondary-title&gt;&lt;/titles&gt;&lt;periodical&gt;&lt;full-title&gt;The lancet&lt;/full-title&gt;&lt;/periodical&gt;&lt;pages&gt;2019-2028&lt;/pages&gt;&lt;volume&gt;367&lt;/volume&gt;&lt;number&gt;9527&lt;/number&gt;&lt;dates&gt;&lt;year&gt;2006&lt;/year&gt;&lt;/dates&gt;&lt;isbn&gt;0140-6736&lt;/isbn&gt;&lt;urls&gt;&lt;/urls&gt;&lt;/record&gt;&lt;/Cite&gt;&lt;/EndNote&gt;</w:instrText>
      </w:r>
      <w:r w:rsidR="00660DBC" w:rsidRPr="00A5084B">
        <w:fldChar w:fldCharType="separate"/>
      </w:r>
      <w:r w:rsidR="00660DBC">
        <w:rPr>
          <w:noProof/>
        </w:rPr>
        <w:t>(Stephens et al., 2006)</w:t>
      </w:r>
      <w:r w:rsidR="00660DBC" w:rsidRPr="00A5084B">
        <w:fldChar w:fldCharType="end"/>
      </w:r>
      <w:r w:rsidR="00660DBC" w:rsidRPr="00A5084B">
        <w:t xml:space="preserve">, who already experience substantial health disparities relative to non-Indigenous counterparts worldwide </w:t>
      </w:r>
      <w:r w:rsidR="00660DBC" w:rsidRPr="00A5084B">
        <w:fldChar w:fldCharType="begin"/>
      </w:r>
      <w:r w:rsidR="00660DBC">
        <w:instrText xml:space="preserve"> ADDIN EN.CITE &lt;EndNote&gt;&lt;Cite&gt;&lt;Author&gt;King&lt;/Author&gt;&lt;Year&gt;2009&lt;/Year&gt;&lt;RecNum&gt;310&lt;/RecNum&gt;&lt;DisplayText&gt;(King, Smith, &amp;amp; Gracey, 2009)&lt;/DisplayText&gt;&lt;record&gt;&lt;rec-number&gt;310&lt;/rec-number&gt;&lt;foreign-keys&gt;&lt;key app="EN" db-id="25rszwft292ev3esrpvpde0cpxrd9ex0xspp" timestamp="1601850489"&gt;310&lt;/key&gt;&lt;/foreign-keys&gt;&lt;ref-type name="Journal Article"&gt;17&lt;/ref-type&gt;&lt;contributors&gt;&lt;authors&gt;&lt;author&gt;King, Malcolm&lt;/author&gt;&lt;author&gt;Smith, Alexandra&lt;/author&gt;&lt;author&gt;Gracey, Michael&lt;/author&gt;&lt;/authors&gt;&lt;/contributors&gt;&lt;titles&gt;&lt;title&gt;Indigenous health part 2: the underlying causes of the health gap&lt;/title&gt;&lt;secondary-title&gt;The lancet&lt;/secondary-title&gt;&lt;/titles&gt;&lt;periodical&gt;&lt;full-title&gt;The lancet&lt;/full-title&gt;&lt;/periodical&gt;&lt;pages&gt;76-85&lt;/pages&gt;&lt;volume&gt;374&lt;/volume&gt;&lt;number&gt;9683&lt;/number&gt;&lt;dates&gt;&lt;year&gt;2009&lt;/year&gt;&lt;/dates&gt;&lt;isbn&gt;0140-6736&lt;/isbn&gt;&lt;urls&gt;&lt;/urls&gt;&lt;/record&gt;&lt;/Cite&gt;&lt;/EndNote&gt;</w:instrText>
      </w:r>
      <w:r w:rsidR="00660DBC" w:rsidRPr="00A5084B">
        <w:fldChar w:fldCharType="separate"/>
      </w:r>
      <w:r w:rsidR="00660DBC">
        <w:rPr>
          <w:noProof/>
        </w:rPr>
        <w:t>(King, Smith, &amp; Gracey, 2009)</w:t>
      </w:r>
      <w:r w:rsidR="00660DBC" w:rsidRPr="00A5084B">
        <w:fldChar w:fldCharType="end"/>
      </w:r>
      <w:r w:rsidR="00660DBC" w:rsidRPr="00A5084B">
        <w:t>.</w:t>
      </w:r>
      <w:r w:rsidR="00660DBC">
        <w:t xml:space="preserve"> </w:t>
      </w:r>
    </w:p>
    <w:p w14:paraId="562A5AEC" w14:textId="77777777" w:rsidR="00660DBC" w:rsidRDefault="00660DBC" w:rsidP="00660DBC">
      <w:pPr>
        <w:jc w:val="both"/>
      </w:pPr>
    </w:p>
    <w:p w14:paraId="31EEE4DB" w14:textId="4CAF1F09" w:rsidR="00660DBC" w:rsidRDefault="001D57D0" w:rsidP="00660DBC">
      <w:pPr>
        <w:jc w:val="both"/>
      </w:pPr>
      <w:r w:rsidRPr="00D36C6F">
        <w:t xml:space="preserve">An integrative approach to enhancing practice requires the understanding of diverse approaches to addiction harm reduction: their conceptualisation, respective measurement techniques, and evaluation standards </w:t>
      </w:r>
      <w:r w:rsidRPr="00D36C6F">
        <w:fldChar w:fldCharType="begin"/>
      </w:r>
      <w:r>
        <w:instrText xml:space="preserve"> ADDIN EN.CITE &lt;EndNote&gt;&lt;Cite&gt;&lt;Author&gt;Claes&lt;/Author&gt;&lt;Year&gt;2015&lt;/Year&gt;&lt;RecNum&gt;150&lt;/RecNum&gt;&lt;DisplayText&gt;(Claes et al., 2015)&lt;/DisplayText&gt;&lt;record&gt;&lt;rec-number&gt;150&lt;/rec-number&gt;&lt;foreign-keys&gt;&lt;key app="EN" db-id="25rszwft292ev3esrpvpde0cpxrd9ex0xspp" timestamp="1585865046"&gt;150&lt;/key&gt;&lt;/foreign-keys&gt;&lt;ref-type name="Journal Article"&gt;17&lt;/ref-type&gt;&lt;contributors&gt;&lt;authors&gt;&lt;author&gt;Claes, Claudia&lt;/author&gt;&lt;author&gt;van Loon, Jos&lt;/author&gt;&lt;author&gt;Vandevelde, Stijn&lt;/author&gt;&lt;author&gt;Schalock, Robert&lt;/author&gt;&lt;/authors&gt;&lt;/contributors&gt;&lt;titles&gt;&lt;title&gt;An integrative approach to evidence based practices&lt;/title&gt;&lt;secondary-title&gt;Evaluation and Program Planning&lt;/secondary-title&gt;&lt;/titles&gt;&lt;periodical&gt;&lt;full-title&gt;Evaluation and Program Planning&lt;/full-title&gt;&lt;/periodical&gt;&lt;pages&gt;132-136&lt;/pages&gt;&lt;volume&gt;48&lt;/volume&gt;&lt;dates&gt;&lt;year&gt;2015&lt;/year&gt;&lt;/dates&gt;&lt;isbn&gt;0149-7189&lt;/isbn&gt;&lt;urls&gt;&lt;/urls&gt;&lt;/record&gt;&lt;/Cite&gt;&lt;/EndNote&gt;</w:instrText>
      </w:r>
      <w:r w:rsidRPr="00D36C6F">
        <w:fldChar w:fldCharType="separate"/>
      </w:r>
      <w:r>
        <w:rPr>
          <w:noProof/>
        </w:rPr>
        <w:t>(Claes et al., 2015)</w:t>
      </w:r>
      <w:r w:rsidRPr="00D36C6F">
        <w:fldChar w:fldCharType="end"/>
      </w:r>
      <w:r w:rsidRPr="00D36C6F">
        <w:t>.</w:t>
      </w:r>
      <w:r>
        <w:t xml:space="preserve"> </w:t>
      </w:r>
      <w:r w:rsidR="00B542D9">
        <w:t xml:space="preserve">It is not a matter of rejecting traditional EBP, but of expanding our conceptualisation of quality and effective support, particularly from the perspectives of those most affected. </w:t>
      </w:r>
      <w:r w:rsidR="007C7D89">
        <w:t xml:space="preserve">If we engage </w:t>
      </w:r>
      <w:r w:rsidR="007C7D89" w:rsidRPr="00BB2AB4">
        <w:t>a ‘human prerogative</w:t>
      </w:r>
      <w:r w:rsidR="00AF2E52">
        <w:t>’ or ‘person/family-centred</w:t>
      </w:r>
      <w:r w:rsidR="007C7D89" w:rsidRPr="00BB2AB4">
        <w:t xml:space="preserve"> care’</w:t>
      </w:r>
      <w:r w:rsidR="007C7D89">
        <w:t xml:space="preserve">, we can accept that </w:t>
      </w:r>
      <w:r w:rsidR="007C7D89" w:rsidRPr="00BB2AB4">
        <w:t xml:space="preserve">no single </w:t>
      </w:r>
      <w:r w:rsidR="007C7D89">
        <w:t>support</w:t>
      </w:r>
      <w:r w:rsidR="007C7D89" w:rsidRPr="00BB2AB4">
        <w:t xml:space="preserve"> system can address all addiction-related problems for families</w:t>
      </w:r>
      <w:r w:rsidR="007C7D89">
        <w:t xml:space="preserve">. </w:t>
      </w:r>
      <w:r w:rsidR="00000DCB" w:rsidRPr="007C7D89">
        <w:t xml:space="preserve">Instead, engaged commitment is needed </w:t>
      </w:r>
      <w:r w:rsidR="007C7D89">
        <w:t xml:space="preserve">from all stakeholders </w:t>
      </w:r>
      <w:r w:rsidR="00000DCB" w:rsidRPr="007C7D89">
        <w:t xml:space="preserve">that consists of an open, methodical, meaningful and ongoing search for the best responses </w:t>
      </w:r>
      <w:r w:rsidR="007C7D89">
        <w:t>to</w:t>
      </w:r>
      <w:r w:rsidR="00000DCB" w:rsidRPr="007C7D89">
        <w:t xml:space="preserve"> certain </w:t>
      </w:r>
      <w:r w:rsidR="007C7D89">
        <w:t xml:space="preserve">issues, needs </w:t>
      </w:r>
      <w:r w:rsidR="00000DCB" w:rsidRPr="007C7D89">
        <w:t xml:space="preserve">and families </w:t>
      </w:r>
      <w:r w:rsidR="00000DCB" w:rsidRPr="007C7D89">
        <w:fldChar w:fldCharType="begin"/>
      </w:r>
      <w:r w:rsidR="00AF2E52">
        <w:instrText xml:space="preserve"> ADDIN EN.CITE &lt;EndNote&gt;&lt;Cite&gt;&lt;Author&gt;Broekaert&lt;/Author&gt;&lt;Year&gt;2010&lt;/Year&gt;&lt;RecNum&gt;136&lt;/RecNum&gt;&lt;DisplayText&gt;(Broekaert et al., 2010; Hummelvoll et al., 2015)&lt;/DisplayText&gt;&lt;record&gt;&lt;rec-number&gt;136&lt;/rec-number&gt;&lt;foreign-keys&gt;&lt;key app="EN" db-id="25rszwft292ev3esrpvpde0cpxrd9ex0xspp" timestamp="1585699841"&gt;136&lt;/key&gt;&lt;/foreign-keys&gt;&lt;ref-type name="Journal Article"&gt;17&lt;/ref-type&gt;&lt;contributors&gt;&lt;authors&gt;&lt;author&gt;Broekaert, Eric&lt;/author&gt;&lt;author&gt;Autrique, Mieke&lt;/author&gt;&lt;author&gt;Vanderplasschen, Wouter&lt;/author&gt;&lt;author&gt;Colpaert, Kathy&lt;/author&gt;&lt;/authors&gt;&lt;/contributors&gt;&lt;titles&gt;&lt;title&gt;‘The human prerogative’: a critical analysis of evidence-based and other paradigms of care in substance abuse treatment&lt;/title&gt;&lt;secondary-title&gt;Psychiatric Quarterly&lt;/secondary-title&gt;&lt;/titles&gt;&lt;periodical&gt;&lt;full-title&gt;Psychiatric Quarterly&lt;/full-title&gt;&lt;/periodical&gt;&lt;pages&gt;227-238&lt;/pages&gt;&lt;volume&gt;81&lt;/volume&gt;&lt;number&gt;3&lt;/number&gt;&lt;dates&gt;&lt;year&gt;2010&lt;/year&gt;&lt;/dates&gt;&lt;isbn&gt;0033-2720&lt;/isbn&gt;&lt;urls&gt;&lt;/urls&gt;&lt;/record&gt;&lt;/Cite&gt;&lt;Cite&gt;&lt;Author&gt;Hummelvoll&lt;/Author&gt;&lt;Year&gt;2015&lt;/Year&gt;&lt;RecNum&gt;112&lt;/RecNum&gt;&lt;record&gt;&lt;rec-number&gt;112&lt;/rec-number&gt;&lt;foreign-keys&gt;&lt;key app="EN" db-id="25rszwft292ev3esrpvpde0cpxrd9ex0xspp" timestamp="1584496423"&gt;112&lt;/key&gt;&lt;/foreign-keys&gt;&lt;ref-type name="Journal Article"&gt;17&lt;/ref-type&gt;&lt;contributors&gt;&lt;authors&gt;&lt;author&gt;Hummelvoll, Jan Kåre&lt;/author&gt;&lt;author&gt;Karlsson, Bengt&lt;/author&gt;&lt;author&gt;Borg, Marit&lt;/author&gt;&lt;/authors&gt;&lt;/contributors&gt;&lt;titles&gt;&lt;title&gt;Recovery and person-centredness in mental health services: roots of the concepts and implications for practice&lt;/title&gt;&lt;secondary-title&gt;International Practice Development Journal&lt;/secondary-title&gt;&lt;/titles&gt;&lt;periodical&gt;&lt;full-title&gt;International Practice Development Journal&lt;/full-title&gt;&lt;/periodical&gt;&lt;volume&gt;5&lt;/volume&gt;&lt;dates&gt;&lt;year&gt;2015&lt;/year&gt;&lt;/dates&gt;&lt;isbn&gt;2046-9292&lt;/isbn&gt;&lt;urls&gt;&lt;/urls&gt;&lt;/record&gt;&lt;/Cite&gt;&lt;/EndNote&gt;</w:instrText>
      </w:r>
      <w:r w:rsidR="00000DCB" w:rsidRPr="007C7D89">
        <w:fldChar w:fldCharType="separate"/>
      </w:r>
      <w:r w:rsidR="00AF2E52">
        <w:rPr>
          <w:noProof/>
        </w:rPr>
        <w:t>(Broekaert et al., 2010; Hummelvoll et al., 2015)</w:t>
      </w:r>
      <w:r w:rsidR="00000DCB" w:rsidRPr="007C7D89">
        <w:fldChar w:fldCharType="end"/>
      </w:r>
      <w:r w:rsidR="00000DCB" w:rsidRPr="007C7D89">
        <w:t>.</w:t>
      </w:r>
      <w:r w:rsidR="00AA4229">
        <w:t xml:space="preserve"> </w:t>
      </w:r>
      <w:r w:rsidR="00B542D9">
        <w:t xml:space="preserve">Ongoing inquiry into and </w:t>
      </w:r>
      <w:r w:rsidR="00B542D9" w:rsidRPr="00F10ADB">
        <w:t xml:space="preserve">questioning </w:t>
      </w:r>
      <w:r w:rsidR="00B542D9">
        <w:t xml:space="preserve">of </w:t>
      </w:r>
      <w:r w:rsidR="00B542D9" w:rsidRPr="00F10ADB">
        <w:t xml:space="preserve">our understandings of people affected, what they need and how best to </w:t>
      </w:r>
      <w:r w:rsidR="00B542D9">
        <w:t xml:space="preserve">reduce harm and support them is vitally important to person and family centred approaches, services and care </w:t>
      </w:r>
      <w:r w:rsidR="00B542D9">
        <w:fldChar w:fldCharType="begin"/>
      </w:r>
      <w:r w:rsidR="00B542D9">
        <w:instrText xml:space="preserve"> ADDIN EN.CITE &lt;EndNote&gt;&lt;Cite&gt;&lt;Author&gt;Borg&lt;/Author&gt;&lt;Year&gt;2017&lt;/Year&gt;&lt;RecNum&gt;297&lt;/RecNum&gt;&lt;DisplayText&gt;(Borg &amp;amp; Karlsson, 2017)&lt;/DisplayText&gt;&lt;record&gt;&lt;rec-number&gt;297&lt;/rec-number&gt;&lt;foreign-keys&gt;&lt;key app="EN" db-id="25rszwft292ev3esrpvpde0cpxrd9ex0xspp" timestamp="1600728769"&gt;297&lt;/key&gt;&lt;/foreign-keys&gt;&lt;ref-type name="Journal Article"&gt;17&lt;/ref-type&gt;&lt;contributors&gt;&lt;authors&gt;&lt;author&gt;Borg, Marit&lt;/author&gt;&lt;author&gt;Karlsson, Bengt&lt;/author&gt;&lt;/authors&gt;&lt;/contributors&gt;&lt;titles&gt;&lt;title&gt;Person-centredness, recovery and user involvement in mental health services&lt;/title&gt;&lt;secondary-title&gt;Person-Centred practice in nursing and health care: Theory and practice&lt;/secondary-title&gt;&lt;/titles&gt;&lt;periodical&gt;&lt;full-title&gt;Person-Centred practice in nursing and health care: Theory and practice&lt;/full-title&gt;&lt;/periodical&gt;&lt;pages&gt;15-23&lt;/pages&gt;&lt;dates&gt;&lt;year&gt;2017&lt;/year&gt;&lt;/dates&gt;&lt;urls&gt;&lt;/urls&gt;&lt;/record&gt;&lt;/Cite&gt;&lt;/EndNote&gt;</w:instrText>
      </w:r>
      <w:r w:rsidR="00B542D9">
        <w:fldChar w:fldCharType="separate"/>
      </w:r>
      <w:r w:rsidR="00B542D9">
        <w:rPr>
          <w:noProof/>
        </w:rPr>
        <w:t>(Borg &amp; Karlsson, 2017)</w:t>
      </w:r>
      <w:r w:rsidR="00B542D9">
        <w:fldChar w:fldCharType="end"/>
      </w:r>
      <w:r w:rsidR="00B542D9">
        <w:t xml:space="preserve">. </w:t>
      </w:r>
      <w:r w:rsidR="00AA4229">
        <w:t>Energy and enthusiasm for such conversations was demonstrated in our inquiry by the willingness and generosity of the expert panel</w:t>
      </w:r>
      <w:r w:rsidR="00B542D9">
        <w:t>. Our panel emphasised</w:t>
      </w:r>
      <w:r w:rsidR="00AA4229">
        <w:t xml:space="preserve"> the limited space and time available to have critical conversations about practice. </w:t>
      </w:r>
    </w:p>
    <w:p w14:paraId="34CE6639" w14:textId="77777777" w:rsidR="00660DBC" w:rsidRDefault="00660DBC" w:rsidP="00660DBC">
      <w:pPr>
        <w:jc w:val="both"/>
      </w:pPr>
    </w:p>
    <w:p w14:paraId="0EB3E6B3" w14:textId="7F5E745F" w:rsidR="00660DBC" w:rsidRDefault="00660DBC" w:rsidP="00660DBC">
      <w:pPr>
        <w:pStyle w:val="Heading2"/>
      </w:pPr>
      <w:bookmarkStart w:id="189" w:name="_Toc58400797"/>
      <w:r>
        <w:t xml:space="preserve">Transformative and action-oriented </w:t>
      </w:r>
      <w:r w:rsidR="00B542D9">
        <w:t>research</w:t>
      </w:r>
      <w:bookmarkEnd w:id="189"/>
    </w:p>
    <w:p w14:paraId="26A6248A" w14:textId="7B79FCC6" w:rsidR="00660DBC" w:rsidRDefault="00A713BF" w:rsidP="00660DBC">
      <w:pPr>
        <w:jc w:val="both"/>
      </w:pPr>
      <w:r>
        <w:t xml:space="preserve">Outcome and evaluation data relevant to supporting families harmed by gambling is limited. </w:t>
      </w:r>
      <w:r w:rsidR="00660DBC">
        <w:t>P</w:t>
      </w:r>
      <w:r w:rsidR="00660DBC" w:rsidRPr="00FB7254">
        <w:t>rinciples of transformative and action research</w:t>
      </w:r>
      <w:r w:rsidR="00660DBC">
        <w:t xml:space="preserve"> </w:t>
      </w:r>
      <w:r w:rsidR="00660DBC" w:rsidRPr="00FB7254">
        <w:t xml:space="preserve">hold that often we can come to understand a </w:t>
      </w:r>
      <w:r w:rsidR="0035580E">
        <w:t xml:space="preserve">phenomena, </w:t>
      </w:r>
      <w:r w:rsidR="00660DBC" w:rsidRPr="00FB7254">
        <w:t xml:space="preserve">process or system much more deeply when we work together with key stakeholders to try to </w:t>
      </w:r>
      <w:r w:rsidR="0035580E">
        <w:t>enhance</w:t>
      </w:r>
      <w:r w:rsidR="00660DBC" w:rsidRPr="00FB7254">
        <w:t xml:space="preserve"> it </w:t>
      </w:r>
      <w:r w:rsidR="00660DBC" w:rsidRPr="00FB7254">
        <w:fldChar w:fldCharType="begin"/>
      </w:r>
      <w:r w:rsidR="00660DBC" w:rsidRPr="00FB7254">
        <w:instrText xml:space="preserve"> ADDIN EN.CITE &lt;EndNote&gt;&lt;Cite&gt;&lt;Author&gt;Argyris&lt;/Author&gt;&lt;Year&gt;1993&lt;/Year&gt;&lt;RecNum&gt;49&lt;/RecNum&gt;&lt;DisplayText&gt;(Argyris, 1993)&lt;/DisplayText&gt;&lt;record&gt;&lt;rec-number&gt;49&lt;/rec-number&gt;&lt;foreign-keys&gt;&lt;key app="EN" db-id="25rszwft292ev3esrpvpde0cpxrd9ex0xspp" timestamp="1550453481"&gt;49&lt;/key&gt;&lt;/foreign-keys&gt;&lt;ref-type name="Book"&gt;6&lt;/ref-type&gt;&lt;contributors&gt;&lt;authors&gt;&lt;author&gt;Argyris, Chris&lt;/author&gt;&lt;/authors&gt;&lt;/contributors&gt;&lt;titles&gt;&lt;title&gt;Knowledge for action: A guide to overcoming barriers to organizational change&lt;/title&gt;&lt;/titles&gt;&lt;dates&gt;&lt;year&gt;1993&lt;/year&gt;&lt;/dates&gt;&lt;publisher&gt;ERIC&lt;/publisher&gt;&lt;isbn&gt;1555425194&lt;/isbn&gt;&lt;urls&gt;&lt;/urls&gt;&lt;/record&gt;&lt;/Cite&gt;&lt;/EndNote&gt;</w:instrText>
      </w:r>
      <w:r w:rsidR="00660DBC" w:rsidRPr="00FB7254">
        <w:fldChar w:fldCharType="separate"/>
      </w:r>
      <w:r w:rsidR="00660DBC" w:rsidRPr="00FB7254">
        <w:t>(Argyris, 1993)</w:t>
      </w:r>
      <w:r w:rsidR="00660DBC" w:rsidRPr="00FB7254">
        <w:fldChar w:fldCharType="end"/>
      </w:r>
      <w:r w:rsidR="00660DBC" w:rsidRPr="00FB7254">
        <w:t>.</w:t>
      </w:r>
      <w:r w:rsidR="00660DBC">
        <w:t xml:space="preserve"> </w:t>
      </w:r>
      <w:r w:rsidR="00B460A5">
        <w:t>In this case t</w:t>
      </w:r>
      <w:r w:rsidR="003F1B05">
        <w:t xml:space="preserve">he </w:t>
      </w:r>
      <w:r w:rsidR="003F1B05" w:rsidRPr="003F1B05">
        <w:t xml:space="preserve">purpose of </w:t>
      </w:r>
      <w:r w:rsidR="003F1B05">
        <w:t>inquiry</w:t>
      </w:r>
      <w:r w:rsidR="003F1B05" w:rsidRPr="003F1B05">
        <w:t xml:space="preserve"> is not just to describe, understand</w:t>
      </w:r>
      <w:r w:rsidR="003F1B05">
        <w:t xml:space="preserve">, recommend or </w:t>
      </w:r>
      <w:r w:rsidR="003F1B05" w:rsidRPr="003F1B05">
        <w:t xml:space="preserve">explain, but to try to support and effect positive change </w:t>
      </w:r>
      <w:r w:rsidR="003F1B05" w:rsidRPr="003F1B05">
        <w:fldChar w:fldCharType="begin"/>
      </w:r>
      <w:r w:rsidR="003F1B05" w:rsidRPr="003F1B05">
        <w:instrText xml:space="preserve"> ADDIN EN.CITE &lt;EndNote&gt;&lt;Cite&gt;&lt;Author&gt;Reason&lt;/Author&gt;&lt;Year&gt;2001&lt;/Year&gt;&lt;RecNum&gt;47&lt;/RecNum&gt;&lt;DisplayText&gt;(Reason &amp;amp; Torbert, 2001)&lt;/DisplayText&gt;&lt;record&gt;&lt;rec-number&gt;47&lt;/rec-number&gt;&lt;foreign-keys&gt;&lt;key app="EN" db-id="25rszwft292ev3esrpvpde0cpxrd9ex0xspp" timestamp="1550453254"&gt;47&lt;/key&gt;&lt;/foreign-keys&gt;&lt;ref-type name="Journal Article"&gt;17&lt;/ref-type&gt;&lt;contributors&gt;&lt;authors&gt;&lt;author&gt;Reason, Peter&lt;/author&gt;&lt;author&gt;Torbert, William&lt;/author&gt;&lt;/authors&gt;&lt;/contributors&gt;&lt;titles&gt;&lt;title&gt;The action turn: Toward a transformational social science&lt;/title&gt;&lt;secondary-title&gt;Concepts and transformation&lt;/secondary-title&gt;&lt;/titles&gt;&lt;periodical&gt;&lt;full-title&gt;Concepts and transformation&lt;/full-title&gt;&lt;/periodical&gt;&lt;pages&gt;1-37&lt;/pages&gt;&lt;volume&gt;6&lt;/volume&gt;&lt;number&gt;1&lt;/number&gt;&lt;dates&gt;&lt;year&gt;2001&lt;/year&gt;&lt;/dates&gt;&lt;isbn&gt;1384-6639&lt;/isbn&gt;&lt;urls&gt;&lt;/urls&gt;&lt;/record&gt;&lt;/Cite&gt;&lt;/EndNote&gt;</w:instrText>
      </w:r>
      <w:r w:rsidR="003F1B05" w:rsidRPr="003F1B05">
        <w:fldChar w:fldCharType="separate"/>
      </w:r>
      <w:r w:rsidR="003F1B05" w:rsidRPr="003F1B05">
        <w:t>(Reason &amp; Torbert, 2001)</w:t>
      </w:r>
      <w:r w:rsidR="003F1B05" w:rsidRPr="003F1B05">
        <w:fldChar w:fldCharType="end"/>
      </w:r>
      <w:r w:rsidR="003F1B05">
        <w:t xml:space="preserve">. </w:t>
      </w:r>
      <w:r w:rsidR="00660DBC">
        <w:t>S</w:t>
      </w:r>
      <w:r w:rsidR="00660DBC" w:rsidRPr="005B45F7">
        <w:t xml:space="preserve">ervice </w:t>
      </w:r>
      <w:r w:rsidR="00B460A5">
        <w:t>improvement</w:t>
      </w:r>
      <w:r w:rsidR="00660DBC" w:rsidRPr="005B45F7">
        <w:t xml:space="preserve"> is </w:t>
      </w:r>
      <w:r w:rsidR="003F1B05">
        <w:t xml:space="preserve">seen as </w:t>
      </w:r>
      <w:r w:rsidR="00660DBC" w:rsidRPr="005B45F7">
        <w:t xml:space="preserve">a journey, that begins with an iterative, collaborative and inclusive inquiry process </w:t>
      </w:r>
      <w:r w:rsidR="00660DBC" w:rsidRPr="005B45F7">
        <w:fldChar w:fldCharType="begin"/>
      </w:r>
      <w:r w:rsidR="00660DBC" w:rsidRPr="005B45F7">
        <w:instrText xml:space="preserve"> ADDIN EN.CITE &lt;EndNote&gt;&lt;Cite&gt;&lt;Author&gt;Abercrombie&lt;/Author&gt;&lt;Year&gt;2015&lt;/Year&gt;&lt;RecNum&gt;51&lt;/RecNum&gt;&lt;DisplayText&gt;(Abercrombie et al., 2015)&lt;/DisplayText&gt;&lt;record&gt;&lt;rec-number&gt;51&lt;/rec-number&gt;&lt;foreign-keys&gt;&lt;key app="EN" db-id="25rszwft292ev3esrpvpde0cpxrd9ex0xspp" timestamp="1550454445"&gt;51&lt;/key&gt;&lt;/foreign-keys&gt;&lt;ref-type name="Journal Article"&gt;17&lt;/ref-type&gt;&lt;contributors&gt;&lt;authors&gt;&lt;author&gt;Abercrombie, Rob&lt;/author&gt;&lt;author&gt;Harries, Ellen&lt;/author&gt;&lt;author&gt;Wharton, Rachel&lt;/author&gt;&lt;/authors&gt;&lt;/contributors&gt;&lt;titles&gt;&lt;title&gt;Systems change: A guide to what it is and how to do it&lt;/title&gt;&lt;secondary-title&gt;New Philanthrophy Capital&lt;/secondary-title&gt;&lt;/titles&gt;&lt;periodical&gt;&lt;full-title&gt;New Philanthrophy Capital&lt;/full-title&gt;&lt;/periodical&gt;&lt;dates&gt;&lt;year&gt;2015&lt;/year&gt;&lt;/dates&gt;&lt;urls&gt;&lt;/urls&gt;&lt;/record&gt;&lt;/Cite&gt;&lt;/EndNote&gt;</w:instrText>
      </w:r>
      <w:r w:rsidR="00660DBC" w:rsidRPr="005B45F7">
        <w:fldChar w:fldCharType="separate"/>
      </w:r>
      <w:r w:rsidR="00660DBC" w:rsidRPr="005B45F7">
        <w:t>(Abercrombie et al., 2015)</w:t>
      </w:r>
      <w:r w:rsidR="00660DBC" w:rsidRPr="005B45F7">
        <w:fldChar w:fldCharType="end"/>
      </w:r>
      <w:r w:rsidR="00660DBC" w:rsidRPr="005B45F7">
        <w:t xml:space="preserve">. </w:t>
      </w:r>
      <w:r w:rsidR="00660DBC">
        <w:t xml:space="preserve">For example, in our research, experts endorsed the practice of critical reflexivity. </w:t>
      </w:r>
      <w:r w:rsidR="00660DBC" w:rsidRPr="00FB7254">
        <w:t xml:space="preserve">Critical reflexivity happens when professionals working in a field are supported to actively consider how their practices interact with prevailing knowledge systems, generally through exposure to different ways of thinking about intervention, and particularly as grounded in client’s experiences </w:t>
      </w:r>
      <w:r w:rsidR="00660DBC" w:rsidRPr="00FB7254">
        <w:fldChar w:fldCharType="begin">
          <w:fldData xml:space="preserve">PEVuZE5vdGU+PENpdGU+PEF1dGhvcj5HaWJzb248L0F1dGhvcj48WWVhcj4yMDE2PC9ZZWFyPjxS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</w:fldData>
        </w:fldChar>
      </w:r>
      <w:r w:rsidR="00660DBC">
        <w:instrText xml:space="preserve"> ADDIN EN.CITE </w:instrText>
      </w:r>
      <w:r w:rsidR="00660DBC">
        <w:fldChar w:fldCharType="begin">
          <w:fldData xml:space="preserve">PEVuZE5vdGU+PENpdGU+PEF1dGhvcj5HaWJzb248L0F1dGhvcj48WWVhcj4yMDE2PC9ZZWFyPjxS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</w:fldData>
        </w:fldChar>
      </w:r>
      <w:r w:rsidR="00660DBC">
        <w:instrText xml:space="preserve"> ADDIN EN.CITE.DATA </w:instrText>
      </w:r>
      <w:r w:rsidR="00660DBC">
        <w:fldChar w:fldCharType="end"/>
      </w:r>
      <w:r w:rsidR="00660DBC" w:rsidRPr="00FB7254">
        <w:fldChar w:fldCharType="separate"/>
      </w:r>
      <w:r w:rsidR="00660DBC">
        <w:rPr>
          <w:noProof/>
        </w:rPr>
        <w:t>(Gibson, 2016; Kinsella et al., 2012; Kinsella &amp; Whiteford, 2009)</w:t>
      </w:r>
      <w:r w:rsidR="00660DBC" w:rsidRPr="00FB7254">
        <w:fldChar w:fldCharType="end"/>
      </w:r>
      <w:r w:rsidR="00660DBC" w:rsidRPr="00FB7254">
        <w:t xml:space="preserve">. When facilitated in clinical settings, critical reflexivity generates new insight into intervention and engagement strategies, and understanding of desired endpoints or outcomes, that can contribute directly to service improvement </w:t>
      </w:r>
      <w:r w:rsidR="00660DBC" w:rsidRPr="00FB7254">
        <w:fldChar w:fldCharType="begin"/>
      </w:r>
      <w:r w:rsidR="00660DBC" w:rsidRPr="00FB7254">
        <w:instrText xml:space="preserve"> ADDIN EN.CITE &lt;EndNote&gt;&lt;Cite&gt;&lt;Author&gt;Gibson&lt;/Author&gt;&lt;Year&gt;2016&lt;/Year&gt;&lt;RecNum&gt;57&lt;/RecNum&gt;&lt;DisplayText&gt;(Gibson, 2016)&lt;/DisplayText&gt;&lt;record&gt;&lt;rec-number&gt;57&lt;/rec-number&gt;&lt;foreign-keys&gt;&lt;key app="EN" db-id="25rszwft292ev3esrpvpde0cpxrd9ex0xspp" timestamp="1550459652"&gt;57&lt;/key&gt;&lt;/foreign-keys&gt;&lt;ref-type name="Book"&gt;6&lt;/ref-type&gt;&lt;contributors&gt;&lt;authors&gt;&lt;author&gt;Gibson, Barbara&lt;/author&gt;&lt;/authors&gt;&lt;/contributors&gt;&lt;titles&gt;&lt;title&gt;Rehabilitation: A post-critical approach&lt;/title&gt;&lt;/titles&gt;&lt;dates&gt;&lt;year&gt;2016&lt;/year&gt;&lt;/dates&gt;&lt;publisher&gt;CRC Press&lt;/publisher&gt;&lt;isbn&gt;1482237245&lt;/isbn&gt;&lt;urls&gt;&lt;/urls&gt;&lt;/record&gt;&lt;/Cite&gt;&lt;/EndNote&gt;</w:instrText>
      </w:r>
      <w:r w:rsidR="00660DBC" w:rsidRPr="00FB7254">
        <w:fldChar w:fldCharType="separate"/>
      </w:r>
      <w:r w:rsidR="00660DBC" w:rsidRPr="00FB7254">
        <w:t>(Gibson, 2016)</w:t>
      </w:r>
      <w:r w:rsidR="00660DBC" w:rsidRPr="00FB7254">
        <w:fldChar w:fldCharType="end"/>
      </w:r>
      <w:r w:rsidR="00660DBC" w:rsidRPr="00FB7254">
        <w:t>.</w:t>
      </w:r>
    </w:p>
    <w:p w14:paraId="4ED48EDC" w14:textId="77777777" w:rsidR="00660DBC" w:rsidRDefault="00660DBC" w:rsidP="00660DBC">
      <w:pPr>
        <w:jc w:val="both"/>
      </w:pPr>
    </w:p>
    <w:p w14:paraId="4B7967C3" w14:textId="0D6F1F1D" w:rsidR="00660DBC" w:rsidRDefault="00B460A5" w:rsidP="00660DBC">
      <w:pPr>
        <w:jc w:val="both"/>
      </w:pPr>
      <w:r>
        <w:t>At present l</w:t>
      </w:r>
      <w:r w:rsidR="00660DBC" w:rsidRPr="00444166">
        <w:t xml:space="preserve">ittle is known about how to achieve successful implementation and sustainability of family-focused practice within addictions treatment services </w:t>
      </w:r>
      <w:r w:rsidR="00660DBC" w:rsidRPr="00444166">
        <w:fldChar w:fldCharType="begin"/>
      </w:r>
      <w:r w:rsidR="00660DBC" w:rsidRPr="00444166">
        <w:instrText xml:space="preserve"> ADDIN EN.CITE &lt;EndNote&gt;&lt;Cite&gt;&lt;Author&gt;Hampson&lt;/Author&gt;&lt;Year&gt;2012&lt;/Year&gt;&lt;RecNum&gt;255&lt;/RecNum&gt;&lt;DisplayText&gt;(Hampson, 2012; Orford et al., 2009)&lt;/DisplayText&gt;&lt;record&gt;&lt;rec-number&gt;255&lt;/rec-number&gt;&lt;foreign-keys&gt;&lt;key app="EN" db-id="25rszwft292ev3esrpvpde0cpxrd9ex0xspp" timestamp="1589926892"&gt;255&lt;/key&gt;&lt;/foreign-keys&gt;&lt;ref-type name="Thesis"&gt;32&lt;/ref-type&gt;&lt;contributors&gt;&lt;authors&gt;&lt;author&gt;Hampson, Claire&lt;/author&gt;&lt;/authors&gt;&lt;/contributors&gt;&lt;titles&gt;&lt;title&gt;Integrating family-focussed practice into routine addiction services&lt;/title&gt;&lt;secondary-title&gt;School of Psychology&lt;/secondary-title&gt;&lt;/titles&gt;&lt;volume&gt;Doctor of Philosophy&lt;/volume&gt;&lt;dates&gt;&lt;year&gt;2012&lt;/year&gt;&lt;/dates&gt;&lt;pub-location&gt;Birmingham, UK.&lt;/pub-location&gt;&lt;publisher&gt;The University of Birmingham&lt;/publisher&gt;&lt;urls&gt;&lt;/urls&gt;&lt;/record&gt;&lt;/Cite&gt;&lt;Cite&gt;&lt;Author&gt;Orford&lt;/Author&gt;&lt;Year&gt;2009&lt;/Year&gt;&lt;RecNum&gt;256&lt;/RecNum&gt;&lt;record&gt;&lt;rec-number&gt;256&lt;/rec-number&gt;&lt;foreign-keys&gt;&lt;key app="EN" db-id="25rszwft292ev3esrpvpde0cpxrd9ex0xspp" timestamp="1589926972"&gt;256&lt;/key&gt;&lt;/foreign-keys&gt;&lt;ref-type name="Journal Article"&gt;17&lt;/ref-type&gt;&lt;contributors&gt;&lt;authors&gt;&lt;author&gt;Orford, Jim&lt;/author&gt;&lt;author&gt;Templeton, Lorna&lt;/author&gt;&lt;author&gt;Copello, Alex&lt;/author&gt;&lt;author&gt;Velleman, Richard&lt;/author&gt;&lt;author&gt;Ibanga, Akan&lt;/author&gt;&lt;author&gt;Binnie, Charlotte&lt;/author&gt;&lt;/authors&gt;&lt;/contributors&gt;&lt;titles&gt;&lt;title&gt;Increasing the involvement of family members in alcohol and drug treatment services: The results of an action research project in two specialist agencies&lt;/title&gt;&lt;secondary-title&gt;Drugs: education, prevention and policy&lt;/secondary-title&gt;&lt;/titles&gt;&lt;periodical&gt;&lt;full-title&gt;Drugs: education, prevention and policy&lt;/full-title&gt;&lt;/periodical&gt;&lt;pages&gt;379-408&lt;/pages&gt;&lt;volume&gt;16&lt;/volume&gt;&lt;number&gt;5&lt;/number&gt;&lt;dates&gt;&lt;year&gt;2009&lt;/year&gt;&lt;/dates&gt;&lt;isbn&gt;0968-7637&lt;/isbn&gt;&lt;urls&gt;&lt;/urls&gt;&lt;/record&gt;&lt;/Cite&gt;&lt;/EndNote&gt;</w:instrText>
      </w:r>
      <w:r w:rsidR="00660DBC" w:rsidRPr="00444166">
        <w:fldChar w:fldCharType="separate"/>
      </w:r>
      <w:r w:rsidR="00660DBC" w:rsidRPr="00444166">
        <w:t>(Hampson, 2012; Orford et al., 2009)</w:t>
      </w:r>
      <w:r w:rsidR="00660DBC" w:rsidRPr="00444166">
        <w:fldChar w:fldCharType="end"/>
      </w:r>
      <w:r w:rsidR="00660DBC" w:rsidRPr="00444166">
        <w:t>.</w:t>
      </w:r>
      <w:r w:rsidR="00660DBC">
        <w:t xml:space="preserve"> </w:t>
      </w:r>
      <w:r w:rsidR="0018408E">
        <w:t xml:space="preserve">This is a serious limiting factor for those seeking to enhance services for families. </w:t>
      </w:r>
      <w:r w:rsidR="00A713BF">
        <w:t>While our exploration of current FAO support practice was limited</w:t>
      </w:r>
      <w:r w:rsidR="0018408E">
        <w:t>,</w:t>
      </w:r>
      <w:r w:rsidR="00A713BF">
        <w:t xml:space="preserve"> and therefore indicative only, w</w:t>
      </w:r>
      <w:r w:rsidR="00660DBC">
        <w:t>e found that s</w:t>
      </w:r>
      <w:r w:rsidR="00660DBC" w:rsidRPr="000F3C4C">
        <w:t xml:space="preserve">ome services </w:t>
      </w:r>
      <w:r w:rsidR="00A713BF">
        <w:t xml:space="preserve">do </w:t>
      </w:r>
      <w:r w:rsidR="00660DBC" w:rsidRPr="000F3C4C">
        <w:t>appear to be engaging with a high proportion of FAO clients</w:t>
      </w:r>
      <w:r w:rsidR="00660DBC">
        <w:t>, and/or engaging with explicitly family focussed paradigms and</w:t>
      </w:r>
      <w:r w:rsidR="00392749">
        <w:t>/or</w:t>
      </w:r>
      <w:r w:rsidR="00660DBC">
        <w:t xml:space="preserve"> approaches</w:t>
      </w:r>
      <w:r w:rsidR="003F1B05">
        <w:t xml:space="preserve"> that </w:t>
      </w:r>
      <w:r w:rsidR="00392749">
        <w:t xml:space="preserve">are aligned </w:t>
      </w:r>
      <w:r w:rsidR="00392749">
        <w:lastRenderedPageBreak/>
        <w:t>with the recommendations of our panel and research</w:t>
      </w:r>
      <w:r w:rsidR="00660DBC">
        <w:t xml:space="preserve">. </w:t>
      </w:r>
      <w:r w:rsidR="0018408E">
        <w:t xml:space="preserve">We found that these services are far less likely to be engaged in evaluation processes that result in accessible information for the harm reduction sector. </w:t>
      </w:r>
      <w:r w:rsidR="00660DBC" w:rsidRPr="000F3C4C">
        <w:t xml:space="preserve">In depth engagement with gambling services who are </w:t>
      </w:r>
      <w:r w:rsidR="00660DBC">
        <w:t>working in these ways</w:t>
      </w:r>
      <w:r w:rsidR="00660DBC" w:rsidRPr="000F3C4C">
        <w:t xml:space="preserve"> could deliver learning and benefits for the gambling harm minimisation and prevention sector.</w:t>
      </w:r>
      <w:r w:rsidR="00660DBC">
        <w:t xml:space="preserve"> </w:t>
      </w:r>
      <w:r w:rsidR="0018408E">
        <w:t>T</w:t>
      </w:r>
      <w:r w:rsidR="00660DBC" w:rsidRPr="00230916">
        <w:t xml:space="preserve">he role of services in creating effective advocacy mechanisms for the lived experience of FAOs in decision making processes about how economic systems are structured and run and who is regarded as acceptable/valuable, have yet to be explored. For example, in New Zealand The Salvation Army run gambling support services and also a Social Policy &amp; Parliamentary Unit which works toward the eradication of poverty by encouraging policies and practices that strengthen the social framework of New Zealand. </w:t>
      </w:r>
      <w:r w:rsidR="0018408E">
        <w:t xml:space="preserve">These practices were highlighted as a key part of quality and effective service provision for families in our research. </w:t>
      </w:r>
      <w:r w:rsidR="00660DBC" w:rsidRPr="00230916">
        <w:t xml:space="preserve">Exploration of </w:t>
      </w:r>
      <w:r w:rsidR="00660DBC">
        <w:t xml:space="preserve">how to achieve </w:t>
      </w:r>
      <w:r w:rsidR="00660DBC" w:rsidRPr="00230916">
        <w:t xml:space="preserve">quality and effective family engagement in these processes could </w:t>
      </w:r>
      <w:r w:rsidR="0018408E">
        <w:t xml:space="preserve">usefully </w:t>
      </w:r>
      <w:r w:rsidR="00660DBC" w:rsidRPr="00230916">
        <w:t xml:space="preserve">inform </w:t>
      </w:r>
      <w:r w:rsidR="0018408E">
        <w:t xml:space="preserve">and expand </w:t>
      </w:r>
      <w:r w:rsidR="00660DBC" w:rsidRPr="00230916">
        <w:t>harm reduction practice.</w:t>
      </w:r>
    </w:p>
    <w:p w14:paraId="7B095BAC" w14:textId="310EC1E8" w:rsidR="00160593" w:rsidRDefault="00160593" w:rsidP="00660DBC">
      <w:pPr>
        <w:jc w:val="both"/>
      </w:pPr>
    </w:p>
    <w:p w14:paraId="1E31B4D4" w14:textId="32106E40" w:rsidR="00160593" w:rsidRDefault="00160593" w:rsidP="00160593">
      <w:pPr>
        <w:pStyle w:val="Heading2"/>
        <w:jc w:val="both"/>
      </w:pPr>
      <w:bookmarkStart w:id="190" w:name="_Toc58400798"/>
      <w:r w:rsidRPr="00166750">
        <w:t>Final recommendations</w:t>
      </w:r>
      <w:bookmarkEnd w:id="190"/>
    </w:p>
    <w:p w14:paraId="4F44A59C" w14:textId="77777777" w:rsidR="00166750" w:rsidRDefault="00166750" w:rsidP="00166750">
      <w:pPr>
        <w:jc w:val="both"/>
      </w:pPr>
      <w:r>
        <w:t>This research has suggested a range of opportunities to enhance support for family and affected others (FAOs) in New Zealand gambling services including:</w:t>
      </w:r>
    </w:p>
    <w:p w14:paraId="17922D03" w14:textId="77777777" w:rsidR="00166750" w:rsidRDefault="00166750" w:rsidP="00166750">
      <w:pPr>
        <w:pStyle w:val="ListParagraph"/>
        <w:numPr>
          <w:ilvl w:val="0"/>
          <w:numId w:val="32"/>
        </w:numPr>
        <w:jc w:val="both"/>
      </w:pPr>
      <w:r>
        <w:t>In depth engagement with how a range of FAOs view gambling harm and recovery, and the development of models and approaches in accordance with this.</w:t>
      </w:r>
    </w:p>
    <w:p w14:paraId="5DD58FAC" w14:textId="77777777" w:rsidR="00166750" w:rsidRDefault="00166750" w:rsidP="00166750">
      <w:pPr>
        <w:pStyle w:val="ListParagraph"/>
        <w:numPr>
          <w:ilvl w:val="0"/>
          <w:numId w:val="32"/>
        </w:numPr>
        <w:jc w:val="both"/>
      </w:pPr>
      <w:r>
        <w:t>Developing and expanding approaches that look beyond the individual to conceptualise harm and recovery as social and relational phenomena</w:t>
      </w:r>
    </w:p>
    <w:p w14:paraId="64F5B38A" w14:textId="77777777" w:rsidR="00166750" w:rsidRDefault="00166750" w:rsidP="00166750">
      <w:pPr>
        <w:pStyle w:val="ListParagraph"/>
        <w:numPr>
          <w:ilvl w:val="0"/>
          <w:numId w:val="32"/>
        </w:numPr>
        <w:jc w:val="both"/>
      </w:pPr>
      <w:r>
        <w:t>Mindfully engaging multiple harm and recovery paradigms (</w:t>
      </w:r>
      <w:r w:rsidRPr="001A6DA4">
        <w:t>individual psychological and broader social, cultural and relational</w:t>
      </w:r>
      <w:r>
        <w:t>)</w:t>
      </w:r>
    </w:p>
    <w:p w14:paraId="40F5B137" w14:textId="77777777" w:rsidR="00166750" w:rsidRDefault="00166750" w:rsidP="00166750">
      <w:pPr>
        <w:pStyle w:val="ListParagraph"/>
        <w:numPr>
          <w:ilvl w:val="0"/>
          <w:numId w:val="32"/>
        </w:numPr>
        <w:jc w:val="both"/>
      </w:pPr>
      <w:r>
        <w:t>Participatory research, service design and evaluation</w:t>
      </w:r>
    </w:p>
    <w:p w14:paraId="2C9C5D07" w14:textId="77777777" w:rsidR="00166750" w:rsidRDefault="00166750" w:rsidP="00166750">
      <w:pPr>
        <w:pStyle w:val="ListParagraph"/>
        <w:numPr>
          <w:ilvl w:val="0"/>
          <w:numId w:val="32"/>
        </w:numPr>
        <w:jc w:val="both"/>
      </w:pPr>
      <w:r>
        <w:t>Creative workforce development</w:t>
      </w:r>
    </w:p>
    <w:p w14:paraId="022F3BE8" w14:textId="6919DFDD" w:rsidR="00392749" w:rsidRDefault="00392749" w:rsidP="00660DBC">
      <w:pPr>
        <w:jc w:val="both"/>
      </w:pPr>
    </w:p>
    <w:p w14:paraId="20C923EA" w14:textId="7E3ED79C" w:rsidR="001138F6" w:rsidRDefault="001138F6" w:rsidP="00994D9D">
      <w:pPr>
        <w:pStyle w:val="Heading2"/>
        <w:jc w:val="both"/>
      </w:pPr>
      <w:bookmarkStart w:id="191" w:name="_Toc58400799"/>
      <w:r w:rsidRPr="005C015A">
        <w:t xml:space="preserve">Limitations of this </w:t>
      </w:r>
      <w:r w:rsidR="00820874" w:rsidRPr="005C015A">
        <w:t>inquiry</w:t>
      </w:r>
      <w:bookmarkEnd w:id="191"/>
    </w:p>
    <w:p w14:paraId="2A7C6DDB" w14:textId="0E3FF24C" w:rsidR="00C67BEF" w:rsidRDefault="005C015A" w:rsidP="007C5D86">
      <w:pPr>
        <w:jc w:val="both"/>
      </w:pPr>
      <w:r>
        <w:t>Our mixed methods inquiry has</w:t>
      </w:r>
      <w:r w:rsidRPr="005C015A">
        <w:t xml:space="preserve"> </w:t>
      </w:r>
      <w:r>
        <w:t xml:space="preserve">enabled the </w:t>
      </w:r>
      <w:r w:rsidRPr="005C015A">
        <w:t xml:space="preserve">triangulation of multiple data sources to suggest </w:t>
      </w:r>
      <w:r>
        <w:t xml:space="preserve">some </w:t>
      </w:r>
      <w:r w:rsidRPr="005C015A">
        <w:t>further avenues for enhancing support for FAOs in New Zealand gambling services.</w:t>
      </w:r>
      <w:r>
        <w:t xml:space="preserve"> </w:t>
      </w:r>
      <w:r w:rsidR="0052284A">
        <w:t>O</w:t>
      </w:r>
      <w:r>
        <w:t xml:space="preserve">ur engagement with experts was limited by participant availability during the COVID-19 international pandemic and suffered from low consumer participation. </w:t>
      </w:r>
      <w:r w:rsidR="0052284A">
        <w:t>L</w:t>
      </w:r>
      <w:r>
        <w:t>imited engagement with FAOs who use services (and those who do not) in gambling studies is a barrier to quality and effective support practice which should be addressed in future studies. O</w:t>
      </w:r>
      <w:r w:rsidRPr="005C015A">
        <w:t xml:space="preserve">ur exploration of current FAO support practice was </w:t>
      </w:r>
      <w:r w:rsidR="002726F0">
        <w:t xml:space="preserve">high-level, </w:t>
      </w:r>
      <w:r w:rsidRPr="005C015A">
        <w:t>limited</w:t>
      </w:r>
      <w:r>
        <w:t xml:space="preserve"> in scope</w:t>
      </w:r>
      <w:r w:rsidR="002726F0">
        <w:t>,</w:t>
      </w:r>
      <w:r w:rsidRPr="005C015A">
        <w:t xml:space="preserve"> and therefore indicative </w:t>
      </w:r>
      <w:r>
        <w:t xml:space="preserve">of future avenues of inquiry </w:t>
      </w:r>
      <w:r w:rsidRPr="005C015A">
        <w:t>only</w:t>
      </w:r>
      <w:r>
        <w:t xml:space="preserve">. </w:t>
      </w:r>
      <w:r w:rsidR="00A0317D">
        <w:t xml:space="preserve">We argue that </w:t>
      </w:r>
      <w:r w:rsidR="0052284A">
        <w:t xml:space="preserve">further </w:t>
      </w:r>
      <w:r w:rsidR="00A0317D">
        <w:t xml:space="preserve">in-depth exploration of </w:t>
      </w:r>
      <w:r w:rsidR="0052284A">
        <w:t xml:space="preserve">gambling harm reduction </w:t>
      </w:r>
      <w:r w:rsidR="00A0317D">
        <w:t>practice</w:t>
      </w:r>
      <w:r w:rsidR="0052284A">
        <w:t xml:space="preserve"> with families</w:t>
      </w:r>
      <w:r w:rsidR="00A0317D">
        <w:t xml:space="preserve">, with a view to service enhancement, is necessary to build an evidence base and improve support provided for FAOs. </w:t>
      </w:r>
    </w:p>
    <w:p w14:paraId="355FDBBB" w14:textId="397D560C" w:rsidR="005C015A" w:rsidRDefault="005C015A" w:rsidP="007C5D86">
      <w:pPr>
        <w:jc w:val="both"/>
      </w:pPr>
    </w:p>
    <w:p w14:paraId="6CA88B9E" w14:textId="77777777" w:rsidR="00761829" w:rsidRDefault="00761829">
      <w:pPr>
        <w:spacing w:after="160" w:line="259" w:lineRule="auto"/>
        <w:rPr>
          <w:b/>
        </w:rPr>
      </w:pPr>
      <w:r>
        <w:br w:type="page"/>
      </w:r>
    </w:p>
    <w:p w14:paraId="66AEED3B" w14:textId="23AADB37" w:rsidR="005377A4" w:rsidRPr="005C46A2" w:rsidRDefault="00A87F41" w:rsidP="00C13E89">
      <w:pPr>
        <w:pStyle w:val="Heading1"/>
        <w:jc w:val="both"/>
      </w:pPr>
      <w:bookmarkStart w:id="192" w:name="_Toc58400800"/>
      <w:r w:rsidRPr="005C46A2">
        <w:lastRenderedPageBreak/>
        <w:t>CONCLUSION</w:t>
      </w:r>
      <w:bookmarkEnd w:id="192"/>
    </w:p>
    <w:p w14:paraId="73A4441F" w14:textId="36061726" w:rsidR="00660DBC" w:rsidRPr="00444166" w:rsidRDefault="00FC7843" w:rsidP="00660DBC">
      <w:pPr>
        <w:jc w:val="both"/>
      </w:pPr>
      <w:r>
        <w:t>This research was conducted to explore how gambling support services for family and affected others (FAOs) could be enhanced in New Zealand, in the context of long-standing disconnect between the expectations of families</w:t>
      </w:r>
      <w:r w:rsidR="0052284A">
        <w:rPr>
          <w:lang w:val="en-GB"/>
        </w:rPr>
        <w:t>/</w:t>
      </w:r>
      <w:r w:rsidR="0052284A" w:rsidRPr="00C54755">
        <w:rPr>
          <w:lang w:val="en-GB"/>
        </w:rPr>
        <w:t>whānau</w:t>
      </w:r>
      <w:r>
        <w:t xml:space="preserve"> and mental health and addictions service delivery. </w:t>
      </w:r>
      <w:r w:rsidR="005B129B" w:rsidRPr="005B129B">
        <w:t xml:space="preserve">Addiction </w:t>
      </w:r>
      <w:r w:rsidR="005B129B">
        <w:t xml:space="preserve">related harm in families </w:t>
      </w:r>
      <w:r w:rsidR="005B129B" w:rsidRPr="005B129B">
        <w:t xml:space="preserve">is a complex and multidimensional phenomenon. </w:t>
      </w:r>
      <w:r w:rsidR="005B129B">
        <w:t>N</w:t>
      </w:r>
      <w:r w:rsidR="005B129B" w:rsidRPr="005B129B">
        <w:t xml:space="preserve">o single </w:t>
      </w:r>
      <w:r w:rsidR="005B129B">
        <w:t xml:space="preserve">treatment </w:t>
      </w:r>
      <w:r w:rsidR="005B129B" w:rsidRPr="005B129B">
        <w:t>system can address all addiction-related problems for families</w:t>
      </w:r>
      <w:r w:rsidR="005B129B">
        <w:t>. S</w:t>
      </w:r>
      <w:r w:rsidR="005B129B" w:rsidRPr="005B129B">
        <w:t>upport should therefore engage with the multiple mechanisms through which addiction develops, is maintained and harm experienced</w:t>
      </w:r>
      <w:r w:rsidR="005B129B">
        <w:t>. A</w:t>
      </w:r>
      <w:r w:rsidR="005B129B" w:rsidRPr="00444166">
        <w:t>ddictions services tend to be guided by one approach to engaging and supporting FAOs at best</w:t>
      </w:r>
      <w:r w:rsidR="005B129B">
        <w:t xml:space="preserve">, and to be dominated by the views of professionals. </w:t>
      </w:r>
      <w:r w:rsidR="00660DBC" w:rsidRPr="00444166">
        <w:t xml:space="preserve">The service-user and person-centred movements within mental health care identify the role of services/interventions in helping FAOs to both conceptualise and articulate their </w:t>
      </w:r>
      <w:r>
        <w:t xml:space="preserve">multiple understandings of harm and recovery </w:t>
      </w:r>
      <w:r w:rsidR="00660DBC" w:rsidRPr="00444166">
        <w:t xml:space="preserve">needs. </w:t>
      </w:r>
      <w:r w:rsidR="005B129B">
        <w:t>Honouring Te Ti</w:t>
      </w:r>
      <w:r w:rsidR="00AD367B">
        <w:t>r</w:t>
      </w:r>
      <w:r w:rsidR="005B129B">
        <w:t xml:space="preserve">iti o Waitangi by realising </w:t>
      </w:r>
      <w:r w:rsidR="005B129B" w:rsidRPr="00E1762A">
        <w:t>Māori</w:t>
      </w:r>
      <w:r w:rsidR="005B129B">
        <w:t xml:space="preserve"> aspirations for tino rangatiratanga (self-governance) and mana motuhake (autonomy) will improve support for New Zealand families by centralising </w:t>
      </w:r>
      <w:r w:rsidR="005B129B" w:rsidRPr="00D769DC">
        <w:t>whānau (family systems)</w:t>
      </w:r>
      <w:r w:rsidR="005B129B">
        <w:t xml:space="preserve"> and w</w:t>
      </w:r>
      <w:r w:rsidR="005B129B" w:rsidRPr="00D769DC">
        <w:t xml:space="preserve">hānaungatanga (relationships) </w:t>
      </w:r>
      <w:r w:rsidR="005B129B">
        <w:t xml:space="preserve">in gambling harm reduction. Transformative and </w:t>
      </w:r>
      <w:r w:rsidR="0069040D">
        <w:t>a</w:t>
      </w:r>
      <w:r w:rsidR="0069040D" w:rsidRPr="00444166">
        <w:t>ction-oriented</w:t>
      </w:r>
      <w:r w:rsidR="00660DBC">
        <w:t xml:space="preserve"> </w:t>
      </w:r>
      <w:r w:rsidR="00660DBC" w:rsidRPr="00444166">
        <w:t xml:space="preserve">research has </w:t>
      </w:r>
      <w:r w:rsidR="005B129B">
        <w:t>the potential</w:t>
      </w:r>
      <w:r w:rsidR="00660DBC" w:rsidRPr="00444166">
        <w:t xml:space="preserve"> </w:t>
      </w:r>
      <w:r w:rsidR="005B129B">
        <w:t xml:space="preserve">to facilitate </w:t>
      </w:r>
      <w:r w:rsidR="00660DBC" w:rsidRPr="00444166">
        <w:t xml:space="preserve">in-depth and collaborative engagement between addictions service providers and FAOs in reshaping services to enhance the range and quality of support provided for FAOs. </w:t>
      </w:r>
      <w:r w:rsidR="005B129B">
        <w:t>C</w:t>
      </w:r>
      <w:r w:rsidR="00660DBC" w:rsidRPr="00444166">
        <w:t xml:space="preserve">ollaborative techniques and processes </w:t>
      </w:r>
      <w:r w:rsidR="002027DA">
        <w:t xml:space="preserve">(e.g. co-design and consumer governance roles) </w:t>
      </w:r>
      <w:r w:rsidR="00660DBC" w:rsidRPr="00444166">
        <w:t>could be usefully employed to conceptualise, design, plan and evaluate enhanced gambling harm reduction services for FAOs</w:t>
      </w:r>
      <w:r w:rsidR="00660DBC">
        <w:t xml:space="preserve"> in New Zealand</w:t>
      </w:r>
      <w:r w:rsidR="00660DBC" w:rsidRPr="00444166">
        <w:t xml:space="preserve">. </w:t>
      </w:r>
      <w:bookmarkStart w:id="193" w:name="_Hlk57887686"/>
      <w:r w:rsidR="006B1561">
        <w:t xml:space="preserve">These activities should be supported by appropriate </w:t>
      </w:r>
      <w:r w:rsidR="00851E4D">
        <w:t xml:space="preserve">government </w:t>
      </w:r>
      <w:r w:rsidR="006B1561">
        <w:t xml:space="preserve">policy and funding for </w:t>
      </w:r>
      <w:r w:rsidR="006B1561" w:rsidRPr="006B1561">
        <w:t>practitioner-inquirers</w:t>
      </w:r>
      <w:r w:rsidR="006B1561">
        <w:t>, en</w:t>
      </w:r>
      <w:r w:rsidR="006B1561" w:rsidRPr="006B1561">
        <w:t>hancing workforce diversity</w:t>
      </w:r>
      <w:r w:rsidR="006B1561">
        <w:t xml:space="preserve">, </w:t>
      </w:r>
      <w:r w:rsidR="006B1561" w:rsidRPr="006B1561">
        <w:t xml:space="preserve">family specific </w:t>
      </w:r>
      <w:r w:rsidR="006B1561">
        <w:t xml:space="preserve">support and </w:t>
      </w:r>
      <w:r w:rsidR="006B1561" w:rsidRPr="006B1561">
        <w:t xml:space="preserve">intervention training and remodelling of current </w:t>
      </w:r>
      <w:r w:rsidR="006B1561">
        <w:t xml:space="preserve">service </w:t>
      </w:r>
      <w:r w:rsidR="006B1561" w:rsidRPr="006B1561">
        <w:t xml:space="preserve">strategies </w:t>
      </w:r>
      <w:r w:rsidR="0016743C">
        <w:t xml:space="preserve">and offerings </w:t>
      </w:r>
      <w:r w:rsidR="006B1561" w:rsidRPr="006B1561">
        <w:t>with families and children in mind</w:t>
      </w:r>
      <w:r w:rsidR="006B1561">
        <w:t>.</w:t>
      </w:r>
      <w:bookmarkEnd w:id="193"/>
    </w:p>
    <w:p w14:paraId="70A2DE76" w14:textId="3C4EA450" w:rsidR="00816C25" w:rsidRDefault="00816C25" w:rsidP="00495C74">
      <w:pPr>
        <w:spacing w:line="259" w:lineRule="auto"/>
        <w:jc w:val="both"/>
      </w:pPr>
    </w:p>
    <w:p w14:paraId="23FD6758" w14:textId="77777777" w:rsidR="008F7B3C" w:rsidRPr="005C46A2" w:rsidRDefault="008F7B3C" w:rsidP="00495C74">
      <w:pPr>
        <w:spacing w:after="160" w:line="259" w:lineRule="auto"/>
        <w:jc w:val="both"/>
        <w:rPr>
          <w:b/>
        </w:rPr>
      </w:pPr>
      <w:r w:rsidRPr="005C46A2">
        <w:br w:type="page"/>
      </w:r>
    </w:p>
    <w:p w14:paraId="57011637" w14:textId="0BF7E5E1" w:rsidR="004075C3" w:rsidRPr="005C46A2" w:rsidRDefault="00821485" w:rsidP="00C13E89">
      <w:pPr>
        <w:pStyle w:val="Heading1"/>
        <w:jc w:val="both"/>
      </w:pPr>
      <w:bookmarkStart w:id="194" w:name="_Toc58400801"/>
      <w:r w:rsidRPr="005C46A2">
        <w:lastRenderedPageBreak/>
        <w:t>REFERENCES</w:t>
      </w:r>
      <w:bookmarkEnd w:id="194"/>
    </w:p>
    <w:p w14:paraId="0A36FFED" w14:textId="77777777" w:rsidR="000C6F7B" w:rsidRPr="000C6F7B" w:rsidRDefault="00C65586" w:rsidP="000C6F7B">
      <w:pPr>
        <w:pStyle w:val="EndNoteBibliography"/>
        <w:spacing w:after="240"/>
      </w:pPr>
      <w:r>
        <w:fldChar w:fldCharType="begin"/>
      </w:r>
      <w:r>
        <w:instrText xml:space="preserve"> ADDIN EN.REFLIST </w:instrText>
      </w:r>
      <w:r>
        <w:fldChar w:fldCharType="separate"/>
      </w:r>
      <w:r w:rsidR="000C6F7B" w:rsidRPr="000C6F7B">
        <w:t xml:space="preserve">Abbott, M. (2019a). Professionally delivered interventions for gambling disorder. </w:t>
      </w:r>
      <w:r w:rsidR="000C6F7B" w:rsidRPr="000C6F7B">
        <w:rPr>
          <w:i/>
        </w:rPr>
        <w:t>Current opinion in psychiatry, 32</w:t>
      </w:r>
      <w:r w:rsidR="000C6F7B" w:rsidRPr="000C6F7B">
        <w:t>(4), 313-319.</w:t>
      </w:r>
    </w:p>
    <w:p w14:paraId="048CC7B7" w14:textId="77777777" w:rsidR="000C6F7B" w:rsidRPr="000C6F7B" w:rsidRDefault="000C6F7B" w:rsidP="000C6F7B">
      <w:pPr>
        <w:pStyle w:val="EndNoteBibliography"/>
        <w:spacing w:after="240"/>
      </w:pPr>
      <w:r w:rsidRPr="000C6F7B">
        <w:t xml:space="preserve">Abbott, M. (2019b). Self-directed interventions for gambling disorder. </w:t>
      </w:r>
      <w:r w:rsidRPr="000C6F7B">
        <w:rPr>
          <w:i/>
        </w:rPr>
        <w:t>Current opinion in psychiatry, 32</w:t>
      </w:r>
      <w:r w:rsidRPr="000C6F7B">
        <w:t>(4), 307-312.</w:t>
      </w:r>
    </w:p>
    <w:p w14:paraId="0EAB0EAA" w14:textId="77777777" w:rsidR="000C6F7B" w:rsidRPr="000C6F7B" w:rsidRDefault="000C6F7B" w:rsidP="000C6F7B">
      <w:pPr>
        <w:pStyle w:val="EndNoteBibliography"/>
        <w:spacing w:after="240"/>
      </w:pPr>
      <w:r w:rsidRPr="000C6F7B">
        <w:t xml:space="preserve">Abbott, M., Bellringer, M., Garrett, N., &amp; Mundy-McPherson, S. (2014). </w:t>
      </w:r>
      <w:r w:rsidRPr="000C6F7B">
        <w:rPr>
          <w:i/>
        </w:rPr>
        <w:t>New Zealand National Gambling Study: Gambling harm and problem gambling report number 2 prepared for the Ministry of Health</w:t>
      </w:r>
      <w:r w:rsidRPr="000C6F7B">
        <w:t>. Auckland: Gambling and Addictions Research Centre, Auckland University of Technology.</w:t>
      </w:r>
    </w:p>
    <w:p w14:paraId="64E10877" w14:textId="77777777" w:rsidR="000C6F7B" w:rsidRPr="000C6F7B" w:rsidRDefault="000C6F7B" w:rsidP="000C6F7B">
      <w:pPr>
        <w:pStyle w:val="EndNoteBibliography"/>
        <w:spacing w:after="240"/>
      </w:pPr>
      <w:r w:rsidRPr="000C6F7B">
        <w:t xml:space="preserve">Abbotts, A. (1994). A feminist approach to substance abuse treatment and service delivery. </w:t>
      </w:r>
      <w:r w:rsidRPr="000C6F7B">
        <w:rPr>
          <w:i/>
        </w:rPr>
        <w:t>Social Work in Health Care, 19</w:t>
      </w:r>
      <w:r w:rsidRPr="000C6F7B">
        <w:t>(3-4), 67-83.</w:t>
      </w:r>
    </w:p>
    <w:p w14:paraId="4499844A" w14:textId="77777777" w:rsidR="000C6F7B" w:rsidRPr="000C6F7B" w:rsidRDefault="000C6F7B" w:rsidP="000C6F7B">
      <w:pPr>
        <w:pStyle w:val="EndNoteBibliography"/>
        <w:spacing w:after="240"/>
      </w:pPr>
      <w:r w:rsidRPr="000C6F7B">
        <w:t xml:space="preserve">Abercrombie, R., Harries, E., &amp; Wharton, R. (2015). Systems change: A guide to what it is and how to do it. </w:t>
      </w:r>
      <w:r w:rsidRPr="000C6F7B">
        <w:rPr>
          <w:i/>
        </w:rPr>
        <w:t>New Philanthrophy Capital</w:t>
      </w:r>
      <w:r w:rsidRPr="000C6F7B">
        <w:t>.</w:t>
      </w:r>
    </w:p>
    <w:p w14:paraId="2FA27CF1" w14:textId="77777777" w:rsidR="000C6F7B" w:rsidRPr="000C6F7B" w:rsidRDefault="000C6F7B" w:rsidP="000C6F7B">
      <w:pPr>
        <w:pStyle w:val="EndNoteBibliography"/>
        <w:spacing w:after="240"/>
      </w:pPr>
      <w:r w:rsidRPr="000C6F7B">
        <w:t xml:space="preserve">Adams, P. (2007a). </w:t>
      </w:r>
      <w:r w:rsidRPr="000C6F7B">
        <w:rPr>
          <w:i/>
        </w:rPr>
        <w:t>Fragmented intimacy: Addiction in a social world</w:t>
      </w:r>
      <w:r w:rsidRPr="000C6F7B">
        <w:t xml:space="preserve">: Springer </w:t>
      </w:r>
    </w:p>
    <w:p w14:paraId="1D19EE42" w14:textId="77777777" w:rsidR="000C6F7B" w:rsidRPr="000C6F7B" w:rsidRDefault="000C6F7B" w:rsidP="000C6F7B">
      <w:pPr>
        <w:pStyle w:val="EndNoteBibliography"/>
        <w:spacing w:after="240"/>
      </w:pPr>
      <w:r w:rsidRPr="000C6F7B">
        <w:t xml:space="preserve">Adams, P. (2007b). </w:t>
      </w:r>
      <w:r w:rsidRPr="000C6F7B">
        <w:rPr>
          <w:i/>
        </w:rPr>
        <w:t>Gambling, freedom and democracy</w:t>
      </w:r>
      <w:r w:rsidRPr="000C6F7B">
        <w:t xml:space="preserve"> (Vol. 53): Routledge.</w:t>
      </w:r>
    </w:p>
    <w:p w14:paraId="7767F0A0" w14:textId="77777777" w:rsidR="000C6F7B" w:rsidRPr="000C6F7B" w:rsidRDefault="000C6F7B" w:rsidP="000C6F7B">
      <w:pPr>
        <w:pStyle w:val="EndNoteBibliography"/>
        <w:spacing w:after="240"/>
      </w:pPr>
      <w:r w:rsidRPr="000C6F7B">
        <w:t xml:space="preserve">Adams, P. (2016). Switching to a social approach to addiction: implications for theory and practice. </w:t>
      </w:r>
      <w:r w:rsidRPr="000C6F7B">
        <w:rPr>
          <w:i/>
        </w:rPr>
        <w:t>International Journal of Mental Health and Addiction, 14</w:t>
      </w:r>
      <w:r w:rsidRPr="000C6F7B">
        <w:t>(1), 86-94.</w:t>
      </w:r>
    </w:p>
    <w:p w14:paraId="0896B603" w14:textId="77777777" w:rsidR="000C6F7B" w:rsidRPr="000C6F7B" w:rsidRDefault="000C6F7B" w:rsidP="000C6F7B">
      <w:pPr>
        <w:pStyle w:val="EndNoteBibliography"/>
        <w:spacing w:after="240"/>
      </w:pPr>
      <w:r w:rsidRPr="000C6F7B">
        <w:t xml:space="preserve">Adams, P., Morrison, L., McMillan, L., Orme, C., Sloan, M., Tse, S., &amp; Campbell, C. (2003). Problem gambling workforce development 2003: The first step in developing counsellor practitioner competencies. </w:t>
      </w:r>
      <w:r w:rsidRPr="000C6F7B">
        <w:rPr>
          <w:i/>
        </w:rPr>
        <w:t>Auckland, NZ: Problem Gambling Foundation of New Zealand</w:t>
      </w:r>
      <w:r w:rsidRPr="000C6F7B">
        <w:t>.</w:t>
      </w:r>
    </w:p>
    <w:p w14:paraId="0F3AC56A" w14:textId="77777777" w:rsidR="000C6F7B" w:rsidRPr="000C6F7B" w:rsidRDefault="000C6F7B" w:rsidP="000C6F7B">
      <w:pPr>
        <w:pStyle w:val="EndNoteBibliography"/>
        <w:spacing w:after="240"/>
      </w:pPr>
      <w:r w:rsidRPr="000C6F7B">
        <w:t xml:space="preserve">Addington, D. E., McKenzie, E., Norman, R., Wang, J., &amp; Bond, G. R. (2013). Essential evidence-based components of first-episode psychosis services. </w:t>
      </w:r>
      <w:r w:rsidRPr="000C6F7B">
        <w:rPr>
          <w:i/>
        </w:rPr>
        <w:t>Psychiatric Services, 64</w:t>
      </w:r>
      <w:r w:rsidRPr="000C6F7B">
        <w:t>(5), 452-457.</w:t>
      </w:r>
    </w:p>
    <w:p w14:paraId="5B1D4DC7" w14:textId="77777777" w:rsidR="000C6F7B" w:rsidRPr="000C6F7B" w:rsidRDefault="000C6F7B" w:rsidP="000C6F7B">
      <w:pPr>
        <w:pStyle w:val="EndNoteBibliography"/>
        <w:spacing w:after="240"/>
      </w:pPr>
      <w:r w:rsidRPr="000C6F7B">
        <w:t xml:space="preserve">Ahl, H. (2007). A Foucauldian framework for discourse analysis. In H. Neergaard &amp; J. Parm Ulhoi (Eds.), </w:t>
      </w:r>
      <w:r w:rsidRPr="000C6F7B">
        <w:rPr>
          <w:i/>
        </w:rPr>
        <w:t>Handbook of qualitative research methods in entrepreneurship</w:t>
      </w:r>
      <w:r w:rsidRPr="000C6F7B">
        <w:t xml:space="preserve"> (pp. 216-250). USA: Edward Elgar Publishing Limited.</w:t>
      </w:r>
    </w:p>
    <w:p w14:paraId="71A97058" w14:textId="77777777" w:rsidR="000C6F7B" w:rsidRPr="000C6F7B" w:rsidRDefault="000C6F7B" w:rsidP="000C6F7B">
      <w:pPr>
        <w:pStyle w:val="EndNoteBibliography"/>
        <w:spacing w:after="240"/>
      </w:pPr>
      <w:r w:rsidRPr="000C6F7B">
        <w:t xml:space="preserve">Alexander, B. K. (2012). Addiction: The urgent need for a paradigm shift. </w:t>
      </w:r>
      <w:r w:rsidRPr="000C6F7B">
        <w:rPr>
          <w:i/>
        </w:rPr>
        <w:t>Substance use &amp; misuse, 47</w:t>
      </w:r>
      <w:r w:rsidRPr="000C6F7B">
        <w:t>(13-14), 1475-1482.</w:t>
      </w:r>
    </w:p>
    <w:p w14:paraId="7EB14D17" w14:textId="77777777" w:rsidR="000C6F7B" w:rsidRPr="000C6F7B" w:rsidRDefault="000C6F7B" w:rsidP="000C6F7B">
      <w:pPr>
        <w:pStyle w:val="EndNoteBibliography"/>
        <w:spacing w:after="240"/>
      </w:pPr>
      <w:r w:rsidRPr="000C6F7B">
        <w:t xml:space="preserve">Allan, J., &amp; Campbell, M. (2011). Improving access to hard-to-reach services: a soft entry approach to drug and alcohol services for rural Australian Aboriginal communities. </w:t>
      </w:r>
      <w:r w:rsidRPr="000C6F7B">
        <w:rPr>
          <w:i/>
        </w:rPr>
        <w:t>Social work in health care, 50</w:t>
      </w:r>
      <w:r w:rsidRPr="000C6F7B">
        <w:t>(6), 443-465.</w:t>
      </w:r>
    </w:p>
    <w:p w14:paraId="34B9CBD1" w14:textId="77777777" w:rsidR="000C6F7B" w:rsidRPr="000C6F7B" w:rsidRDefault="000C6F7B" w:rsidP="000C6F7B">
      <w:pPr>
        <w:pStyle w:val="EndNoteBibliography"/>
        <w:spacing w:after="240"/>
      </w:pPr>
      <w:r w:rsidRPr="000C6F7B">
        <w:t xml:space="preserve">Anderson, H. (2016). Listening, hearing and speaking: Brief thoughts on the relationship to dialogue. </w:t>
      </w:r>
      <w:r w:rsidRPr="000C6F7B">
        <w:rPr>
          <w:i/>
        </w:rPr>
        <w:t>Psychological Opinions, 7</w:t>
      </w:r>
      <w:r w:rsidRPr="000C6F7B">
        <w:t>, 10-14.</w:t>
      </w:r>
    </w:p>
    <w:p w14:paraId="66373569" w14:textId="77777777" w:rsidR="000C6F7B" w:rsidRPr="000C6F7B" w:rsidRDefault="000C6F7B" w:rsidP="000C6F7B">
      <w:pPr>
        <w:pStyle w:val="EndNoteBibliography"/>
        <w:spacing w:after="240"/>
      </w:pPr>
      <w:r w:rsidRPr="000C6F7B">
        <w:t xml:space="preserve">Archer, M., Harwood, H., Stevelink, S., Rafferty, L., &amp; Greenberg, N. (2019). Community Reinforcement and Family Training and rates of treatment entry: A systematic review. </w:t>
      </w:r>
      <w:r w:rsidRPr="000C6F7B">
        <w:rPr>
          <w:i/>
        </w:rPr>
        <w:t>Addiction</w:t>
      </w:r>
      <w:r w:rsidRPr="000C6F7B">
        <w:t>.</w:t>
      </w:r>
    </w:p>
    <w:p w14:paraId="41F86A09" w14:textId="77777777" w:rsidR="000C6F7B" w:rsidRPr="000C6F7B" w:rsidRDefault="000C6F7B" w:rsidP="000C6F7B">
      <w:pPr>
        <w:pStyle w:val="EndNoteBibliography"/>
        <w:spacing w:after="240"/>
      </w:pPr>
      <w:r w:rsidRPr="000C6F7B">
        <w:lastRenderedPageBreak/>
        <w:t xml:space="preserve">Argyris, C. (1993). </w:t>
      </w:r>
      <w:r w:rsidRPr="000C6F7B">
        <w:rPr>
          <w:i/>
        </w:rPr>
        <w:t>Knowledge for action: A guide to overcoming barriers to organizational change</w:t>
      </w:r>
      <w:r w:rsidRPr="000C6F7B">
        <w:t>: ERIC.</w:t>
      </w:r>
    </w:p>
    <w:p w14:paraId="552F6CCA" w14:textId="0183ED79" w:rsidR="000C6F7B" w:rsidRPr="000C6F7B" w:rsidRDefault="000C6F7B" w:rsidP="000C6F7B">
      <w:pPr>
        <w:pStyle w:val="EndNoteBibliography"/>
        <w:spacing w:after="240"/>
      </w:pPr>
      <w:r w:rsidRPr="000C6F7B">
        <w:t xml:space="preserve">Asian Family Services. (2019). </w:t>
      </w:r>
      <w:r w:rsidRPr="000C6F7B">
        <w:rPr>
          <w:i/>
        </w:rPr>
        <w:t>Six weeks after her dream wedding Ahalya discovered her husband was a problem gambling [Facebook status update]</w:t>
      </w:r>
      <w:r w:rsidRPr="000C6F7B">
        <w:t xml:space="preserve">. Retrieved from </w:t>
      </w:r>
      <w:hyperlink r:id="rId51" w:history="1">
        <w:r w:rsidRPr="000C6F7B">
          <w:rPr>
            <w:rStyle w:val="Hyperlink"/>
          </w:rPr>
          <w:t>https://www.facebook.com/NZAFS/posts/1681376495328524</w:t>
        </w:r>
      </w:hyperlink>
    </w:p>
    <w:p w14:paraId="5CAAE930" w14:textId="77777777" w:rsidR="000C6F7B" w:rsidRPr="000C6F7B" w:rsidRDefault="000C6F7B" w:rsidP="000C6F7B">
      <w:pPr>
        <w:pStyle w:val="EndNoteBibliography"/>
        <w:spacing w:after="240"/>
      </w:pPr>
      <w:r w:rsidRPr="000C6F7B">
        <w:t xml:space="preserve">Asian Family Services. (n.d.). </w:t>
      </w:r>
      <w:r w:rsidRPr="000C6F7B">
        <w:rPr>
          <w:i/>
        </w:rPr>
        <w:t>Working with Asian families and communities to be healthy and resilient [General brochure]</w:t>
      </w:r>
      <w:r w:rsidRPr="000C6F7B">
        <w:t>. Retrieved</w:t>
      </w:r>
    </w:p>
    <w:p w14:paraId="77EE5066" w14:textId="77777777" w:rsidR="000C6F7B" w:rsidRPr="000C6F7B" w:rsidRDefault="000C6F7B" w:rsidP="000C6F7B">
      <w:pPr>
        <w:pStyle w:val="EndNoteBibliography"/>
        <w:spacing w:after="240"/>
      </w:pPr>
      <w:r w:rsidRPr="000C6F7B">
        <w:t xml:space="preserve">Baharudina, D. F., &amp; Sumarib, M. (2017). An Exploratory Study on the Conceptualization of Wellness among Families affected by Substance Abuse. </w:t>
      </w:r>
      <w:r w:rsidRPr="000C6F7B">
        <w:rPr>
          <w:i/>
        </w:rPr>
        <w:t>International Journal of Academic Research in Business and Social Sciences</w:t>
      </w:r>
      <w:r w:rsidRPr="000C6F7B">
        <w:t>, 99-118.</w:t>
      </w:r>
    </w:p>
    <w:p w14:paraId="6E10B255" w14:textId="77777777" w:rsidR="000C6F7B" w:rsidRPr="000C6F7B" w:rsidRDefault="000C6F7B" w:rsidP="000C6F7B">
      <w:pPr>
        <w:pStyle w:val="EndNoteBibliography"/>
        <w:spacing w:after="240"/>
      </w:pPr>
      <w:r w:rsidRPr="000C6F7B">
        <w:t xml:space="preserve">Bainbridge, R., Tsey, K., McCalman, J., Kinchin, I., Saunders, V., Lui, F. W., . . . Lawson, K. (2015). No one’s discussing the elephant in the room: contemplating questions of research impact and benefit in Aboriginal and Torres Strait Islander Australian health research. </w:t>
      </w:r>
      <w:r w:rsidRPr="000C6F7B">
        <w:rPr>
          <w:i/>
        </w:rPr>
        <w:t>BMC public health, 15</w:t>
      </w:r>
      <w:r w:rsidRPr="000C6F7B">
        <w:t>(1), 696.</w:t>
      </w:r>
    </w:p>
    <w:p w14:paraId="4816AA19" w14:textId="77777777" w:rsidR="000C6F7B" w:rsidRPr="000C6F7B" w:rsidRDefault="000C6F7B" w:rsidP="000C6F7B">
      <w:pPr>
        <w:pStyle w:val="EndNoteBibliography"/>
        <w:spacing w:after="240"/>
      </w:pPr>
      <w:r w:rsidRPr="000C6F7B">
        <w:t xml:space="preserve">Bauer, G. R. (2014). Incorporating intersectionality theory into population health research methodology: challenges and the potential to advance health equity. </w:t>
      </w:r>
      <w:r w:rsidRPr="000C6F7B">
        <w:rPr>
          <w:i/>
        </w:rPr>
        <w:t>Social science &amp; medicine, 110</w:t>
      </w:r>
      <w:r w:rsidRPr="000C6F7B">
        <w:t>, 10-17.</w:t>
      </w:r>
    </w:p>
    <w:p w14:paraId="5BBEA783" w14:textId="77777777" w:rsidR="000C6F7B" w:rsidRPr="000C6F7B" w:rsidRDefault="000C6F7B" w:rsidP="000C6F7B">
      <w:pPr>
        <w:pStyle w:val="EndNoteBibliography"/>
        <w:spacing w:after="240"/>
      </w:pPr>
      <w:r w:rsidRPr="000C6F7B">
        <w:t xml:space="preserve">Beals, J., Novins, D. K., Spicer, P., Whitesell, N. R., Mitchell, C. M., &amp; Manson, S. M. (2006). Help seeking for substance use problems in two American Indian reservation populations. </w:t>
      </w:r>
      <w:r w:rsidRPr="000C6F7B">
        <w:rPr>
          <w:i/>
        </w:rPr>
        <w:t>Psychiatric Services, 57</w:t>
      </w:r>
      <w:r w:rsidRPr="000C6F7B">
        <w:t>(4), 512-520.</w:t>
      </w:r>
    </w:p>
    <w:p w14:paraId="2F808996" w14:textId="77777777" w:rsidR="000C6F7B" w:rsidRPr="000C6F7B" w:rsidRDefault="000C6F7B" w:rsidP="000C6F7B">
      <w:pPr>
        <w:pStyle w:val="EndNoteBibliography"/>
        <w:spacing w:after="240"/>
      </w:pPr>
      <w:r w:rsidRPr="000C6F7B">
        <w:t xml:space="preserve">Becker, J. B., McClellan, M., &amp; Reed, B. G. (2016). Sociocultural context for sex differences in addiction. </w:t>
      </w:r>
      <w:r w:rsidRPr="000C6F7B">
        <w:rPr>
          <w:i/>
        </w:rPr>
        <w:t>Addiction biology, 21</w:t>
      </w:r>
      <w:r w:rsidRPr="000C6F7B">
        <w:t>(5), 1052-1059.</w:t>
      </w:r>
    </w:p>
    <w:p w14:paraId="458C8461" w14:textId="77777777" w:rsidR="000C6F7B" w:rsidRPr="000C6F7B" w:rsidRDefault="000C6F7B" w:rsidP="000C6F7B">
      <w:pPr>
        <w:pStyle w:val="EndNoteBibliography"/>
        <w:spacing w:after="240"/>
      </w:pPr>
      <w:r w:rsidRPr="000C6F7B">
        <w:t xml:space="preserve">Becker, J. B., McClellan, M. L., &amp; Reed, B. G. (2017). Sex differences, gender and addiction. </w:t>
      </w:r>
      <w:r w:rsidRPr="000C6F7B">
        <w:rPr>
          <w:i/>
        </w:rPr>
        <w:t>Journal of neuroscience research, 95</w:t>
      </w:r>
      <w:r w:rsidRPr="000C6F7B">
        <w:t>(1-2), 136-147.</w:t>
      </w:r>
    </w:p>
    <w:p w14:paraId="59400EA7" w14:textId="77777777" w:rsidR="000C6F7B" w:rsidRPr="000C6F7B" w:rsidRDefault="000C6F7B" w:rsidP="000C6F7B">
      <w:pPr>
        <w:pStyle w:val="EndNoteBibliography"/>
        <w:spacing w:after="240"/>
      </w:pPr>
      <w:r w:rsidRPr="000C6F7B">
        <w:t xml:space="preserve">Best, D., &amp; Laudet, A. (2010). The potential of recovery capital. </w:t>
      </w:r>
      <w:r w:rsidRPr="000C6F7B">
        <w:rPr>
          <w:i/>
        </w:rPr>
        <w:t>London: RSA</w:t>
      </w:r>
      <w:r w:rsidRPr="000C6F7B">
        <w:t>.</w:t>
      </w:r>
    </w:p>
    <w:p w14:paraId="53E1C747" w14:textId="77777777" w:rsidR="000C6F7B" w:rsidRPr="000C6F7B" w:rsidRDefault="000C6F7B" w:rsidP="000C6F7B">
      <w:pPr>
        <w:pStyle w:val="EndNoteBibliography"/>
        <w:spacing w:after="240"/>
      </w:pPr>
      <w:r w:rsidRPr="000C6F7B">
        <w:t xml:space="preserve">Best, D., McKitterick, T., Beswick, T., &amp; Savic, M. (2015). Recovery capital and social networks among people in treatment and among those in recovery in York, England. </w:t>
      </w:r>
      <w:r w:rsidRPr="000C6F7B">
        <w:rPr>
          <w:i/>
        </w:rPr>
        <w:t>Alcoholism Treatment Quarterly, 33</w:t>
      </w:r>
      <w:r w:rsidRPr="000C6F7B">
        <w:t>(3), 270-282.</w:t>
      </w:r>
    </w:p>
    <w:p w14:paraId="4D384EA9" w14:textId="77777777" w:rsidR="000C6F7B" w:rsidRPr="000C6F7B" w:rsidRDefault="000C6F7B" w:rsidP="000C6F7B">
      <w:pPr>
        <w:pStyle w:val="EndNoteBibliography"/>
        <w:spacing w:after="240"/>
      </w:pPr>
      <w:r w:rsidRPr="000C6F7B">
        <w:t xml:space="preserve">Betty Ford Institute Consensus Panel. (2007). What is recovery? A working definition from the Betty Ford Institute. </w:t>
      </w:r>
      <w:r w:rsidRPr="000C6F7B">
        <w:rPr>
          <w:i/>
        </w:rPr>
        <w:t>Journal of substance abuse treatment, 33</w:t>
      </w:r>
      <w:r w:rsidRPr="000C6F7B">
        <w:t>(3), 221-228.</w:t>
      </w:r>
    </w:p>
    <w:p w14:paraId="0916D355" w14:textId="77777777" w:rsidR="000C6F7B" w:rsidRPr="000C6F7B" w:rsidRDefault="000C6F7B" w:rsidP="000C6F7B">
      <w:pPr>
        <w:pStyle w:val="EndNoteBibliography"/>
        <w:spacing w:after="240"/>
      </w:pPr>
      <w:r w:rsidRPr="000C6F7B">
        <w:t xml:space="preserve">Bliuc, A.-M., Best, D., Iqbal, M., &amp; Upton, K. (2017). Building addiction recovery capital through online participation in a recovery community. </w:t>
      </w:r>
      <w:r w:rsidRPr="000C6F7B">
        <w:rPr>
          <w:i/>
        </w:rPr>
        <w:t>Social science &amp; medicine, 193</w:t>
      </w:r>
      <w:r w:rsidRPr="000C6F7B">
        <w:t>, 110-117.</w:t>
      </w:r>
    </w:p>
    <w:p w14:paraId="3B97194B" w14:textId="77777777" w:rsidR="000C6F7B" w:rsidRPr="000C6F7B" w:rsidRDefault="000C6F7B" w:rsidP="000C6F7B">
      <w:pPr>
        <w:pStyle w:val="EndNoteBibliography"/>
        <w:spacing w:after="240"/>
      </w:pPr>
      <w:r w:rsidRPr="000C6F7B">
        <w:t xml:space="preserve">Borg, M., &amp; Karlsson, B. (2017). Person-centredness, recovery and user involvement in mental health services. </w:t>
      </w:r>
      <w:r w:rsidRPr="000C6F7B">
        <w:rPr>
          <w:i/>
        </w:rPr>
        <w:t>Person-Centred practice in nursing and health care: Theory and practice</w:t>
      </w:r>
      <w:r w:rsidRPr="000C6F7B">
        <w:t>, 15-23.</w:t>
      </w:r>
    </w:p>
    <w:p w14:paraId="2B506DF3" w14:textId="77777777" w:rsidR="000C6F7B" w:rsidRPr="000C6F7B" w:rsidRDefault="000C6F7B" w:rsidP="000C6F7B">
      <w:pPr>
        <w:pStyle w:val="EndNoteBibliography"/>
        <w:spacing w:after="240"/>
      </w:pPr>
      <w:r w:rsidRPr="000C6F7B">
        <w:lastRenderedPageBreak/>
        <w:t xml:space="preserve">Bowden-Jones, H., &amp; George, S. (2015). Family interventions in gambling. In H. Bowden-Jones &amp; S. George (Eds.), </w:t>
      </w:r>
      <w:r w:rsidRPr="000C6F7B">
        <w:rPr>
          <w:i/>
        </w:rPr>
        <w:t>A clinician's guide to working with problem gamblers</w:t>
      </w:r>
      <w:r w:rsidRPr="000C6F7B">
        <w:t xml:space="preserve"> (pp. 163-171). UK: Routledge.</w:t>
      </w:r>
    </w:p>
    <w:p w14:paraId="3398875B" w14:textId="77777777" w:rsidR="000C6F7B" w:rsidRPr="000C6F7B" w:rsidRDefault="000C6F7B" w:rsidP="000C6F7B">
      <w:pPr>
        <w:pStyle w:val="EndNoteBibliography"/>
        <w:spacing w:after="240"/>
      </w:pPr>
      <w:r w:rsidRPr="000C6F7B">
        <w:t xml:space="preserve">Bowleg, L. (2012). The problem with the phrase women and minorities: intersectionality—an important theoretical framework for public health. </w:t>
      </w:r>
      <w:r w:rsidRPr="000C6F7B">
        <w:rPr>
          <w:i/>
        </w:rPr>
        <w:t>American journal of public health, 102</w:t>
      </w:r>
      <w:r w:rsidRPr="000C6F7B">
        <w:t>(7), 1267-1273.</w:t>
      </w:r>
    </w:p>
    <w:p w14:paraId="38C31E51" w14:textId="77777777" w:rsidR="000C6F7B" w:rsidRPr="000C6F7B" w:rsidRDefault="000C6F7B" w:rsidP="000C6F7B">
      <w:pPr>
        <w:pStyle w:val="EndNoteBibliography"/>
        <w:spacing w:after="240"/>
      </w:pPr>
      <w:r w:rsidRPr="000C6F7B">
        <w:t xml:space="preserve">Brady, S. R. (2015). Utilizing and adapting the Delphi method for use in qualitative research. </w:t>
      </w:r>
      <w:r w:rsidRPr="000C6F7B">
        <w:rPr>
          <w:i/>
        </w:rPr>
        <w:t>International Journal of Qualitative Methods, 14</w:t>
      </w:r>
      <w:r w:rsidRPr="000C6F7B">
        <w:t>(5), 1609406915621381.</w:t>
      </w:r>
    </w:p>
    <w:p w14:paraId="0D4C2CB1" w14:textId="77777777" w:rsidR="000C6F7B" w:rsidRPr="000C6F7B" w:rsidRDefault="000C6F7B" w:rsidP="000C6F7B">
      <w:pPr>
        <w:pStyle w:val="EndNoteBibliography"/>
        <w:spacing w:after="240"/>
      </w:pPr>
      <w:r w:rsidRPr="000C6F7B">
        <w:t xml:space="preserve">Braun, V., &amp; Clarke, V. (2006). Using thematic analysis in psychology. </w:t>
      </w:r>
      <w:r w:rsidRPr="000C6F7B">
        <w:rPr>
          <w:i/>
        </w:rPr>
        <w:t>Qualitative Research in Psychology, 3</w:t>
      </w:r>
      <w:r w:rsidRPr="000C6F7B">
        <w:t>(2), 77-101.</w:t>
      </w:r>
    </w:p>
    <w:p w14:paraId="3DB59D45" w14:textId="77777777" w:rsidR="000C6F7B" w:rsidRPr="000C6F7B" w:rsidRDefault="000C6F7B" w:rsidP="000C6F7B">
      <w:pPr>
        <w:pStyle w:val="EndNoteBibliography"/>
        <w:spacing w:after="240"/>
      </w:pPr>
      <w:r w:rsidRPr="000C6F7B">
        <w:t xml:space="preserve">Brem, M. J., Florimbio, A. R., Elmquist, J., Shorey, R. C., &amp; Stuart, G. L. (2018). Antisocial traits, distress tolerance, and alcohol problems as predictors of intimate partner violence in men arrested for domestic violence. </w:t>
      </w:r>
      <w:r w:rsidRPr="000C6F7B">
        <w:rPr>
          <w:i/>
        </w:rPr>
        <w:t>Psychology of violence, 8</w:t>
      </w:r>
      <w:r w:rsidRPr="000C6F7B">
        <w:t>(1), 132.</w:t>
      </w:r>
    </w:p>
    <w:p w14:paraId="5C9A3BB1" w14:textId="77777777" w:rsidR="000C6F7B" w:rsidRPr="000C6F7B" w:rsidRDefault="000C6F7B" w:rsidP="000C6F7B">
      <w:pPr>
        <w:pStyle w:val="EndNoteBibliography"/>
        <w:spacing w:after="240"/>
      </w:pPr>
      <w:r w:rsidRPr="000C6F7B">
        <w:t xml:space="preserve">Broekaert, E., Autrique, M., Vanderplasschen, W., &amp; Colpaert, K. (2010). ‘The human prerogative’: a critical analysis of evidence-based and other paradigms of care in substance abuse treatment. </w:t>
      </w:r>
      <w:r w:rsidRPr="000C6F7B">
        <w:rPr>
          <w:i/>
        </w:rPr>
        <w:t>Psychiatric Quarterly, 81</w:t>
      </w:r>
      <w:r w:rsidRPr="000C6F7B">
        <w:t>(3), 227-238.</w:t>
      </w:r>
    </w:p>
    <w:p w14:paraId="6B3B67BC" w14:textId="77777777" w:rsidR="000C6F7B" w:rsidRPr="000C6F7B" w:rsidRDefault="000C6F7B" w:rsidP="000C6F7B">
      <w:pPr>
        <w:pStyle w:val="EndNoteBibliography"/>
        <w:spacing w:after="240"/>
      </w:pPr>
      <w:r w:rsidRPr="000C6F7B">
        <w:t xml:space="preserve">Brogly, S. B., Link, K., &amp; Newman, A. (2018). Barriers to treatment for substance use disorders among women with children. </w:t>
      </w:r>
      <w:r w:rsidRPr="000C6F7B">
        <w:rPr>
          <w:i/>
        </w:rPr>
        <w:t>Canadian Journal of Addiction, 9</w:t>
      </w:r>
      <w:r w:rsidRPr="000C6F7B">
        <w:t>(3), 18-22.</w:t>
      </w:r>
    </w:p>
    <w:p w14:paraId="01022923" w14:textId="77777777" w:rsidR="000C6F7B" w:rsidRPr="000C6F7B" w:rsidRDefault="000C6F7B" w:rsidP="000C6F7B">
      <w:pPr>
        <w:pStyle w:val="EndNoteBibliography"/>
        <w:spacing w:after="240"/>
      </w:pPr>
      <w:r w:rsidRPr="000C6F7B">
        <w:t xml:space="preserve">Calabria, B., Clifford, A., Rose, M., &amp; Shakeshaft, A. P. (2014). Tailoring a family-based alcohol intervention for Aboriginal Australians, and the experiences and perceptions of health care providers trained in its delivery. </w:t>
      </w:r>
      <w:r w:rsidRPr="000C6F7B">
        <w:rPr>
          <w:i/>
        </w:rPr>
        <w:t>BMC public health, 14</w:t>
      </w:r>
      <w:r w:rsidRPr="000C6F7B">
        <w:t>(1), 322.</w:t>
      </w:r>
    </w:p>
    <w:p w14:paraId="6C44CD61" w14:textId="77777777" w:rsidR="000C6F7B" w:rsidRPr="000C6F7B" w:rsidRDefault="000C6F7B" w:rsidP="000C6F7B">
      <w:pPr>
        <w:pStyle w:val="EndNoteBibliography"/>
        <w:spacing w:after="240"/>
      </w:pPr>
      <w:r w:rsidRPr="000C6F7B">
        <w:t xml:space="preserve">Calabria, B., Clifford, A., Shakeshaft, A., Allan, J., Bliss, D., &amp; Doran, C. (2013). The acceptability to A boriginal A ustralians of a family‐based intervention to reduce alcohol‐related harms. </w:t>
      </w:r>
      <w:r w:rsidRPr="000C6F7B">
        <w:rPr>
          <w:i/>
        </w:rPr>
        <w:t>Drug and alcohol review, 32</w:t>
      </w:r>
      <w:r w:rsidRPr="000C6F7B">
        <w:t>(3), 328-332.</w:t>
      </w:r>
    </w:p>
    <w:p w14:paraId="379331ED" w14:textId="77777777" w:rsidR="000C6F7B" w:rsidRPr="000C6F7B" w:rsidRDefault="000C6F7B" w:rsidP="000C6F7B">
      <w:pPr>
        <w:pStyle w:val="EndNoteBibliography"/>
        <w:spacing w:after="240"/>
      </w:pPr>
      <w:r w:rsidRPr="000C6F7B">
        <w:t xml:space="preserve">Calabria, B., Shakeshaft, A. P., Clifford, A., Stone, C., Clare, P. J., Allan, J., &amp; Bliss, D. (2019). Reducing drug and alcohol use and improving well‐being for Indigenous and non‐Indigenous Australians using the Community Reinforcement Approach: A feasibility and acceptability study. </w:t>
      </w:r>
      <w:r w:rsidRPr="000C6F7B">
        <w:rPr>
          <w:i/>
        </w:rPr>
        <w:t>International Journal of Psychology</w:t>
      </w:r>
      <w:r w:rsidRPr="000C6F7B">
        <w:t>.</w:t>
      </w:r>
    </w:p>
    <w:p w14:paraId="4144119E" w14:textId="77777777" w:rsidR="000C6F7B" w:rsidRPr="000C6F7B" w:rsidRDefault="000C6F7B" w:rsidP="000C6F7B">
      <w:pPr>
        <w:pStyle w:val="EndNoteBibliography"/>
        <w:spacing w:after="240"/>
      </w:pPr>
      <w:r w:rsidRPr="000C6F7B">
        <w:t xml:space="preserve">Calderwood, K. A., &amp; Rajesparam, A. (2014). Applying the codependency concept to concerned significant others of problem gamblers: Words of caution. </w:t>
      </w:r>
      <w:r w:rsidRPr="000C6F7B">
        <w:rPr>
          <w:i/>
        </w:rPr>
        <w:t>Journal of Gambling Issues</w:t>
      </w:r>
      <w:r w:rsidRPr="000C6F7B">
        <w:t>(29), 1-16.</w:t>
      </w:r>
    </w:p>
    <w:p w14:paraId="1FF1A45B" w14:textId="77777777" w:rsidR="000C6F7B" w:rsidRPr="000C6F7B" w:rsidRDefault="000C6F7B" w:rsidP="000C6F7B">
      <w:pPr>
        <w:pStyle w:val="EndNoteBibliography"/>
        <w:spacing w:after="240"/>
      </w:pPr>
      <w:r w:rsidRPr="000C6F7B">
        <w:t xml:space="preserve">Cano, I., Best, D., Edwards, M., &amp; Lehman, J. (2017). Recovery capital pathways: Modelling the components of recovery wellbeing. </w:t>
      </w:r>
      <w:r w:rsidRPr="000C6F7B">
        <w:rPr>
          <w:i/>
        </w:rPr>
        <w:t>Drug and alcohol dependence, 181</w:t>
      </w:r>
      <w:r w:rsidRPr="000C6F7B">
        <w:t>, 11-19.</w:t>
      </w:r>
    </w:p>
    <w:p w14:paraId="359760AC" w14:textId="77777777" w:rsidR="000C6F7B" w:rsidRPr="000C6F7B" w:rsidRDefault="000C6F7B" w:rsidP="000C6F7B">
      <w:pPr>
        <w:pStyle w:val="EndNoteBibliography"/>
        <w:spacing w:after="240"/>
      </w:pPr>
      <w:r w:rsidRPr="000C6F7B">
        <w:t xml:space="preserve">Cassell, E. J. (1998). The nature of suffering and the goals of medicine. </w:t>
      </w:r>
      <w:r w:rsidRPr="000C6F7B">
        <w:rPr>
          <w:i/>
        </w:rPr>
        <w:t>Loss, Grief &amp; Care, 8</w:t>
      </w:r>
      <w:r w:rsidRPr="000C6F7B">
        <w:t>(1-2), 129-142.</w:t>
      </w:r>
    </w:p>
    <w:p w14:paraId="22790CEE" w14:textId="77777777" w:rsidR="000C6F7B" w:rsidRPr="000C6F7B" w:rsidRDefault="000C6F7B" w:rsidP="000C6F7B">
      <w:pPr>
        <w:pStyle w:val="EndNoteBibliography"/>
        <w:spacing w:after="240"/>
      </w:pPr>
      <w:r w:rsidRPr="000C6F7B">
        <w:lastRenderedPageBreak/>
        <w:t xml:space="preserve">Casswell, S., &amp; Maxwell, A. (2005). What works to reduce alcohol-related harm and why aren't the policies more popular? </w:t>
      </w:r>
      <w:r w:rsidRPr="000C6F7B">
        <w:rPr>
          <w:i/>
        </w:rPr>
        <w:t>Social Policy Journal of New Zealand Te Puna Whakaaro, 25</w:t>
      </w:r>
      <w:r w:rsidRPr="000C6F7B">
        <w:t>(July).</w:t>
      </w:r>
    </w:p>
    <w:p w14:paraId="0F179F9A" w14:textId="77777777" w:rsidR="000C6F7B" w:rsidRPr="000C6F7B" w:rsidRDefault="000C6F7B" w:rsidP="000C6F7B">
      <w:pPr>
        <w:pStyle w:val="EndNoteBibliography"/>
        <w:spacing w:after="240"/>
      </w:pPr>
      <w:r w:rsidRPr="000C6F7B">
        <w:t>Central and North West London NHS Foundation Trust. (2020a). National Problem Gambling Clinic: About Us.</w:t>
      </w:r>
    </w:p>
    <w:p w14:paraId="048187FC" w14:textId="7B9C389A" w:rsidR="000C6F7B" w:rsidRPr="000C6F7B" w:rsidRDefault="000C6F7B" w:rsidP="000C6F7B">
      <w:pPr>
        <w:pStyle w:val="EndNoteBibliography"/>
        <w:spacing w:after="240"/>
      </w:pPr>
      <w:r w:rsidRPr="000C6F7B">
        <w:t xml:space="preserve">Central and North West London NHS Foundation Trust. (2020b). </w:t>
      </w:r>
      <w:r w:rsidRPr="000C6F7B">
        <w:rPr>
          <w:i/>
        </w:rPr>
        <w:t>National Problem Gambling Clinic: How to refer</w:t>
      </w:r>
      <w:r w:rsidRPr="000C6F7B">
        <w:t xml:space="preserve">. Retrieved from </w:t>
      </w:r>
      <w:hyperlink r:id="rId52" w:history="1">
        <w:r w:rsidRPr="000C6F7B">
          <w:rPr>
            <w:rStyle w:val="Hyperlink"/>
          </w:rPr>
          <w:t>https://www.cnwl.nhs.uk/services/mental-health-services/addictions-and-substance-misuse/national-problem-gambling-clinic</w:t>
        </w:r>
      </w:hyperlink>
    </w:p>
    <w:p w14:paraId="02798E2E" w14:textId="06B9FD25" w:rsidR="000C6F7B" w:rsidRPr="000C6F7B" w:rsidRDefault="000C6F7B" w:rsidP="000C6F7B">
      <w:pPr>
        <w:pStyle w:val="EndNoteBibliography"/>
        <w:spacing w:after="240"/>
      </w:pPr>
      <w:r w:rsidRPr="000C6F7B">
        <w:t xml:space="preserve">Centre for Addiction and Mental Health. (2020). </w:t>
      </w:r>
      <w:r w:rsidRPr="000C6F7B">
        <w:rPr>
          <w:i/>
        </w:rPr>
        <w:t>When a family member is unwilling to seek help</w:t>
      </w:r>
      <w:r w:rsidRPr="000C6F7B">
        <w:t xml:space="preserve">. Retrieved from </w:t>
      </w:r>
      <w:hyperlink r:id="rId53" w:history="1">
        <w:r w:rsidRPr="000C6F7B">
          <w:rPr>
            <w:rStyle w:val="Hyperlink"/>
          </w:rPr>
          <w:t>https://www.camh.ca/en/health-info/guides-and-publications/when-a-family-member-is-unwilling-to-seek-help</w:t>
        </w:r>
      </w:hyperlink>
    </w:p>
    <w:p w14:paraId="5A0320E8" w14:textId="77777777" w:rsidR="000C6F7B" w:rsidRPr="000C6F7B" w:rsidRDefault="000C6F7B" w:rsidP="000C6F7B">
      <w:pPr>
        <w:pStyle w:val="EndNoteBibliography"/>
        <w:spacing w:after="240"/>
      </w:pPr>
      <w:r w:rsidRPr="000C6F7B">
        <w:t>Centre for Addiction and Mental Health [@CAMH_GGTU]. (2019). Gambling, Gaming &amp; Technology Use.</w:t>
      </w:r>
    </w:p>
    <w:p w14:paraId="69D466B0" w14:textId="77777777" w:rsidR="000C6F7B" w:rsidRPr="000C6F7B" w:rsidRDefault="000C6F7B" w:rsidP="000C6F7B">
      <w:pPr>
        <w:pStyle w:val="EndNoteBibliography"/>
        <w:spacing w:after="240"/>
      </w:pPr>
      <w:r w:rsidRPr="000C6F7B">
        <w:t xml:space="preserve">Claes, C., van Loon, J., Vandevelde, S., &amp; Schalock, R. (2015). An integrative approach to evidence based practices. </w:t>
      </w:r>
      <w:r w:rsidRPr="000C6F7B">
        <w:rPr>
          <w:i/>
        </w:rPr>
        <w:t>Evaluation and Program Planning, 48</w:t>
      </w:r>
      <w:r w:rsidRPr="000C6F7B">
        <w:t>, 132-136.</w:t>
      </w:r>
    </w:p>
    <w:p w14:paraId="0AA8327A" w14:textId="77777777" w:rsidR="000C6F7B" w:rsidRPr="000C6F7B" w:rsidRDefault="000C6F7B" w:rsidP="000C6F7B">
      <w:pPr>
        <w:pStyle w:val="EndNoteBibliography"/>
        <w:spacing w:after="240"/>
      </w:pPr>
      <w:r w:rsidRPr="000C6F7B">
        <w:t xml:space="preserve">Colorafi, K. J., &amp; Evans, B. (2016). Qualitative descriptive methods in health science research. </w:t>
      </w:r>
      <w:r w:rsidRPr="000C6F7B">
        <w:rPr>
          <w:i/>
        </w:rPr>
        <w:t>HERD: Health Environments Research &amp; Design Journal, 9</w:t>
      </w:r>
      <w:r w:rsidRPr="000C6F7B">
        <w:t>(4), 16-25.</w:t>
      </w:r>
    </w:p>
    <w:p w14:paraId="692063D6" w14:textId="77777777" w:rsidR="000C6F7B" w:rsidRPr="000C6F7B" w:rsidRDefault="000C6F7B" w:rsidP="000C6F7B">
      <w:pPr>
        <w:pStyle w:val="EndNoteBibliography"/>
        <w:spacing w:after="240"/>
      </w:pPr>
      <w:r w:rsidRPr="000C6F7B">
        <w:t xml:space="preserve">Commission, U. K. D. P. (2008). </w:t>
      </w:r>
      <w:r w:rsidRPr="000C6F7B">
        <w:rPr>
          <w:i/>
        </w:rPr>
        <w:t>The UK drug policy commission recovery consensus group: A vision of recovery</w:t>
      </w:r>
      <w:r w:rsidRPr="000C6F7B">
        <w:t>.</w:t>
      </w:r>
    </w:p>
    <w:p w14:paraId="6C71DD79" w14:textId="79A994E0" w:rsidR="000C6F7B" w:rsidRPr="000C6F7B" w:rsidRDefault="000C6F7B" w:rsidP="000C6F7B">
      <w:pPr>
        <w:pStyle w:val="EndNoteBibliography"/>
        <w:spacing w:after="240"/>
      </w:pPr>
      <w:r w:rsidRPr="000C6F7B">
        <w:t xml:space="preserve">Cooke, M. A. (2007). </w:t>
      </w:r>
      <w:r w:rsidRPr="000C6F7B">
        <w:rPr>
          <w:i/>
        </w:rPr>
        <w:t>The Forgotten Family</w:t>
      </w:r>
      <w:r w:rsidRPr="000C6F7B">
        <w:t xml:space="preserve">. Retrieved from </w:t>
      </w:r>
      <w:hyperlink r:id="rId54" w:history="1">
        <w:r w:rsidRPr="000C6F7B">
          <w:rPr>
            <w:rStyle w:val="Hyperlink"/>
          </w:rPr>
          <w:t>https://www.acts.co.nz/Art-The-Forgotten-Family-Gambling-Additiction.php</w:t>
        </w:r>
      </w:hyperlink>
    </w:p>
    <w:p w14:paraId="54DB44BC" w14:textId="72236B0F" w:rsidR="000C6F7B" w:rsidRPr="000C6F7B" w:rsidRDefault="000C6F7B" w:rsidP="000C6F7B">
      <w:pPr>
        <w:pStyle w:val="EndNoteBibliography"/>
        <w:spacing w:after="240"/>
      </w:pPr>
      <w:r w:rsidRPr="000C6F7B">
        <w:t xml:space="preserve">Cooke, M. A. (2018). </w:t>
      </w:r>
      <w:r w:rsidRPr="000C6F7B">
        <w:rPr>
          <w:i/>
        </w:rPr>
        <w:t>Supporting Parents Healthy Children: Bringing that green book to life in addiction and minimising gambling harm services</w:t>
      </w:r>
      <w:r w:rsidRPr="000C6F7B">
        <w:t xml:space="preserve">. presented at the meeting of the International Gambling Conference, Auckland, New Zealand Retrieved from </w:t>
      </w:r>
      <w:hyperlink r:id="rId55" w:history="1">
        <w:r w:rsidRPr="000C6F7B">
          <w:rPr>
            <w:rStyle w:val="Hyperlink"/>
          </w:rPr>
          <w:t>http://www.internationalgamblingconference.com/wp-content/uploads/2018/03/Supporting-parents-healthy-children...-Anna-Nelson-Bronwyn-Dunnachie-Mary-Anne-Cooke.pdf</w:t>
        </w:r>
      </w:hyperlink>
    </w:p>
    <w:p w14:paraId="780AFB62" w14:textId="77777777" w:rsidR="000C6F7B" w:rsidRPr="000C6F7B" w:rsidRDefault="000C6F7B" w:rsidP="000C6F7B">
      <w:pPr>
        <w:pStyle w:val="EndNoteBibliography"/>
        <w:spacing w:after="240"/>
      </w:pPr>
      <w:r w:rsidRPr="000C6F7B">
        <w:t xml:space="preserve">Copello, A., Bowden-Jones, H., Cousins, J., Orford, J., &amp; George, S. (n.d.). </w:t>
      </w:r>
      <w:r w:rsidRPr="000C6F7B">
        <w:rPr>
          <w:i/>
        </w:rPr>
        <w:t>Gambling, the family and you: A self-help handbook for family members</w:t>
      </w:r>
      <w:r w:rsidRPr="000C6F7B">
        <w:t>. UK.</w:t>
      </w:r>
    </w:p>
    <w:p w14:paraId="0D826F78" w14:textId="77777777" w:rsidR="000C6F7B" w:rsidRPr="000C6F7B" w:rsidRDefault="000C6F7B" w:rsidP="000C6F7B">
      <w:pPr>
        <w:pStyle w:val="EndNoteBibliography"/>
        <w:spacing w:after="240"/>
      </w:pPr>
      <w:r w:rsidRPr="000C6F7B">
        <w:t xml:space="preserve">Copello, A., Templeton, L., Orford, J., &amp; Velleman, R. (2010). The 5-Step Method: Evidence of gains for affected family members. </w:t>
      </w:r>
      <w:r w:rsidRPr="000C6F7B">
        <w:rPr>
          <w:i/>
        </w:rPr>
        <w:t>Drugs: education, prevention and policy, 17</w:t>
      </w:r>
      <w:r w:rsidRPr="000C6F7B">
        <w:t>(sup1), 100-112.</w:t>
      </w:r>
    </w:p>
    <w:p w14:paraId="4E6A3389" w14:textId="77777777" w:rsidR="000C6F7B" w:rsidRPr="000C6F7B" w:rsidRDefault="000C6F7B" w:rsidP="000C6F7B">
      <w:pPr>
        <w:pStyle w:val="EndNoteBibliography"/>
        <w:spacing w:after="240"/>
      </w:pPr>
      <w:r w:rsidRPr="000C6F7B">
        <w:t xml:space="preserve">Copello, A., Templeton, L., &amp; Velleman, R. (2006). Family interventions for drug and alcohol misuse: is there a best practice? </w:t>
      </w:r>
      <w:r w:rsidRPr="000C6F7B">
        <w:rPr>
          <w:i/>
        </w:rPr>
        <w:t>Current opinion in psychiatry, 19</w:t>
      </w:r>
      <w:r w:rsidRPr="000C6F7B">
        <w:t>(3), 271-276.</w:t>
      </w:r>
    </w:p>
    <w:p w14:paraId="70549E9C" w14:textId="77777777" w:rsidR="000C6F7B" w:rsidRPr="000C6F7B" w:rsidRDefault="000C6F7B" w:rsidP="000C6F7B">
      <w:pPr>
        <w:pStyle w:val="EndNoteBibliography"/>
        <w:spacing w:after="240"/>
      </w:pPr>
      <w:r w:rsidRPr="000C6F7B">
        <w:t xml:space="preserve">Darbyshire, P., Oster, C., &amp; Carrig, H. (2001). The experience of pervasive loss: Children and young people living in a family where parental gambling is a problem. </w:t>
      </w:r>
      <w:r w:rsidRPr="000C6F7B">
        <w:rPr>
          <w:i/>
        </w:rPr>
        <w:t>Journal of gambling studies, 17</w:t>
      </w:r>
      <w:r w:rsidRPr="000C6F7B">
        <w:t>(1), 23-45.</w:t>
      </w:r>
    </w:p>
    <w:p w14:paraId="3B6436F5" w14:textId="77777777" w:rsidR="000C6F7B" w:rsidRPr="000C6F7B" w:rsidRDefault="000C6F7B" w:rsidP="000C6F7B">
      <w:pPr>
        <w:pStyle w:val="EndNoteBibliography"/>
        <w:spacing w:after="240"/>
      </w:pPr>
      <w:r w:rsidRPr="000C6F7B">
        <w:lastRenderedPageBreak/>
        <w:t xml:space="preserve">Delfabbro, P. (2000). Gender differences in Australian gambling: A critical summary of sociological and psychological research. </w:t>
      </w:r>
      <w:r w:rsidRPr="000C6F7B">
        <w:rPr>
          <w:i/>
        </w:rPr>
        <w:t>Australian Journal of Social Issues, 35</w:t>
      </w:r>
      <w:r w:rsidRPr="000C6F7B">
        <w:t>(2), 145-158.</w:t>
      </w:r>
    </w:p>
    <w:p w14:paraId="27E56BF2" w14:textId="77777777" w:rsidR="000C6F7B" w:rsidRPr="000C6F7B" w:rsidRDefault="000C6F7B" w:rsidP="000C6F7B">
      <w:pPr>
        <w:pStyle w:val="EndNoteBibliography"/>
        <w:spacing w:after="240"/>
      </w:pPr>
      <w:r w:rsidRPr="000C6F7B">
        <w:t xml:space="preserve">Denning, P. (2010). Harm reduction therapy with families and friends of people with drug problems. </w:t>
      </w:r>
      <w:r w:rsidRPr="000C6F7B">
        <w:rPr>
          <w:i/>
        </w:rPr>
        <w:t>Journal of clinical psychology, 66</w:t>
      </w:r>
      <w:r w:rsidRPr="000C6F7B">
        <w:t>(2), 164-174.</w:t>
      </w:r>
    </w:p>
    <w:p w14:paraId="4B1C7011" w14:textId="77777777" w:rsidR="000C6F7B" w:rsidRPr="000C6F7B" w:rsidRDefault="000C6F7B" w:rsidP="000C6F7B">
      <w:pPr>
        <w:pStyle w:val="EndNoteBibliography"/>
        <w:spacing w:after="240"/>
      </w:pPr>
      <w:r w:rsidRPr="000C6F7B">
        <w:t xml:space="preserve">Denning, P., &amp; Little, J. (2011). </w:t>
      </w:r>
      <w:r w:rsidRPr="000C6F7B">
        <w:rPr>
          <w:i/>
        </w:rPr>
        <w:t>Practicing harm reduction psychotherapy: An alternative approach to addictions</w:t>
      </w:r>
      <w:r w:rsidRPr="000C6F7B">
        <w:t>: Guilford Press.</w:t>
      </w:r>
    </w:p>
    <w:p w14:paraId="41054A0B" w14:textId="77777777" w:rsidR="000C6F7B" w:rsidRPr="000C6F7B" w:rsidRDefault="000C6F7B" w:rsidP="000C6F7B">
      <w:pPr>
        <w:pStyle w:val="EndNoteBibliography"/>
        <w:spacing w:after="240"/>
      </w:pPr>
      <w:r w:rsidRPr="000C6F7B">
        <w:t xml:space="preserve">DeVerteuil, G., &amp; Wilson, K. (2010). Reconciling indigenous need with the urban welfare state? Evidence of culturally-appropriate services and spaces for Aboriginals in Winnipeg, Canada. </w:t>
      </w:r>
      <w:r w:rsidRPr="000C6F7B">
        <w:rPr>
          <w:i/>
        </w:rPr>
        <w:t>Geoforum, 41</w:t>
      </w:r>
      <w:r w:rsidRPr="000C6F7B">
        <w:t>(3), 498-507.</w:t>
      </w:r>
    </w:p>
    <w:p w14:paraId="19168701" w14:textId="77777777" w:rsidR="000C6F7B" w:rsidRPr="000C6F7B" w:rsidRDefault="000C6F7B" w:rsidP="000C6F7B">
      <w:pPr>
        <w:pStyle w:val="EndNoteBibliography"/>
        <w:spacing w:after="240"/>
      </w:pPr>
      <w:r w:rsidRPr="000C6F7B">
        <w:t xml:space="preserve">Dowling, N., Ewin, C., Youssef, G. J., Merkouris, S. S., Suomi, A., Thomas, S. A., &amp; Jackson, A. C. (2018). Problem gambling and family violence: Findings from a population-representative study. </w:t>
      </w:r>
      <w:r w:rsidRPr="000C6F7B">
        <w:rPr>
          <w:i/>
        </w:rPr>
        <w:t>Journal of behavioral addictions, 7</w:t>
      </w:r>
      <w:r w:rsidRPr="000C6F7B">
        <w:t>(3), 806-813.</w:t>
      </w:r>
    </w:p>
    <w:p w14:paraId="0A1A3B9E" w14:textId="77777777" w:rsidR="000C6F7B" w:rsidRPr="000C6F7B" w:rsidRDefault="000C6F7B" w:rsidP="000C6F7B">
      <w:pPr>
        <w:pStyle w:val="EndNoteBibliography"/>
        <w:spacing w:after="240"/>
      </w:pPr>
      <w:r w:rsidRPr="000C6F7B">
        <w:t xml:space="preserve">Dowling, N., Smith, D., &amp; Thomas, T. (2009). The family functioning of female pathological gamblers. </w:t>
      </w:r>
      <w:r w:rsidRPr="000C6F7B">
        <w:rPr>
          <w:i/>
        </w:rPr>
        <w:t>International Journal of Mental Health and Addiction, 7</w:t>
      </w:r>
      <w:r w:rsidRPr="000C6F7B">
        <w:t>(1), 29-44.</w:t>
      </w:r>
    </w:p>
    <w:p w14:paraId="2D682616" w14:textId="77777777" w:rsidR="000C6F7B" w:rsidRPr="000C6F7B" w:rsidRDefault="000C6F7B" w:rsidP="000C6F7B">
      <w:pPr>
        <w:pStyle w:val="EndNoteBibliography"/>
        <w:spacing w:after="240"/>
      </w:pPr>
      <w:r w:rsidRPr="000C6F7B">
        <w:t xml:space="preserve">Durie, M. (1997). Whanau, whanaungatanga and healthy Maori development. </w:t>
      </w:r>
      <w:r w:rsidRPr="000C6F7B">
        <w:rPr>
          <w:i/>
        </w:rPr>
        <w:t>Mai i Rangiatea: Maori wellbeing and development. Bridget Williams Books, Auckland</w:t>
      </w:r>
      <w:r w:rsidRPr="000C6F7B">
        <w:t>.</w:t>
      </w:r>
    </w:p>
    <w:p w14:paraId="79B5D2D0" w14:textId="77777777" w:rsidR="000C6F7B" w:rsidRPr="000C6F7B" w:rsidRDefault="000C6F7B" w:rsidP="000C6F7B">
      <w:pPr>
        <w:pStyle w:val="EndNoteBibliography"/>
        <w:spacing w:after="240"/>
      </w:pPr>
      <w:r w:rsidRPr="000C6F7B">
        <w:t xml:space="preserve">Dutcher, L. W., Anderson, R., Moore, M., Luna-Anderson, C., Meyers, R. J., Delaney, H. D., &amp; Smith, J. E. (2009). Community Reinforcement and Family Training (CRAFT): An effectiveness study. </w:t>
      </w:r>
      <w:r w:rsidRPr="000C6F7B">
        <w:rPr>
          <w:i/>
        </w:rPr>
        <w:t>Journal of Behavior Analysis in Health, Sports, Fitness and Medicine, 2</w:t>
      </w:r>
      <w:r w:rsidRPr="000C6F7B">
        <w:t>(1), 80.</w:t>
      </w:r>
    </w:p>
    <w:p w14:paraId="4186580F" w14:textId="77777777" w:rsidR="000C6F7B" w:rsidRPr="000C6F7B" w:rsidRDefault="000C6F7B" w:rsidP="000C6F7B">
      <w:pPr>
        <w:pStyle w:val="EndNoteBibliography"/>
        <w:spacing w:after="240"/>
      </w:pPr>
      <w:r w:rsidRPr="000C6F7B">
        <w:t xml:space="preserve">Dyall, L. (2007). Gambling, social disorganisation and deprivation. </w:t>
      </w:r>
      <w:r w:rsidRPr="000C6F7B">
        <w:rPr>
          <w:i/>
        </w:rPr>
        <w:t>International Journal of Mental Health and Addiction, 5</w:t>
      </w:r>
      <w:r w:rsidRPr="000C6F7B">
        <w:t>(4), 320-330.</w:t>
      </w:r>
    </w:p>
    <w:p w14:paraId="74EB6A81" w14:textId="77777777" w:rsidR="000C6F7B" w:rsidRPr="000C6F7B" w:rsidRDefault="000C6F7B" w:rsidP="000C6F7B">
      <w:pPr>
        <w:pStyle w:val="EndNoteBibliography"/>
        <w:spacing w:after="240"/>
      </w:pPr>
      <w:r w:rsidRPr="000C6F7B">
        <w:t xml:space="preserve">Dyall, L. (2012). Gambling and Whänau Ora: Changing Lifestyles and Life Choices. </w:t>
      </w:r>
      <w:r w:rsidRPr="000C6F7B">
        <w:rPr>
          <w:i/>
        </w:rPr>
        <w:t>He Pukenga Korero, 9</w:t>
      </w:r>
      <w:r w:rsidRPr="000C6F7B">
        <w:t>(2).</w:t>
      </w:r>
    </w:p>
    <w:p w14:paraId="794EC834" w14:textId="77777777" w:rsidR="000C6F7B" w:rsidRPr="000C6F7B" w:rsidRDefault="000C6F7B" w:rsidP="000C6F7B">
      <w:pPr>
        <w:pStyle w:val="EndNoteBibliography"/>
        <w:spacing w:after="240"/>
      </w:pPr>
      <w:r w:rsidRPr="000C6F7B">
        <w:t xml:space="preserve">Dyall, L., Hawke, Z., Herd, R., &amp; Nahi, P. (2012). Housework metaphor for gambling public health action: An indigenous perspective. </w:t>
      </w:r>
      <w:r w:rsidRPr="000C6F7B">
        <w:rPr>
          <w:i/>
        </w:rPr>
        <w:t>International Journal of Mental Health and Addiction, 10</w:t>
      </w:r>
      <w:r w:rsidRPr="000C6F7B">
        <w:t>(5), 737-747.</w:t>
      </w:r>
    </w:p>
    <w:p w14:paraId="44FD8BF4" w14:textId="77777777" w:rsidR="000C6F7B" w:rsidRPr="000C6F7B" w:rsidRDefault="000C6F7B" w:rsidP="000C6F7B">
      <w:pPr>
        <w:pStyle w:val="EndNoteBibliography"/>
        <w:spacing w:after="240"/>
      </w:pPr>
      <w:r w:rsidRPr="000C6F7B">
        <w:t>Erbes, C., Kuhn, E., Gifford, E., Spoont, M., Meis, L., Polusny, M., &amp; Wright, J. (2015). A pilot trial of VA-CRAFT: Online training to enhance family well-being and veteran mental health service use Symposium conducted at the meeting of the International Society for Traumatic Stress Studies (ISTSS) Annual Meeting, New Orleans, LA</w:t>
      </w:r>
    </w:p>
    <w:p w14:paraId="0437574D" w14:textId="77777777" w:rsidR="000C6F7B" w:rsidRPr="000C6F7B" w:rsidRDefault="000C6F7B" w:rsidP="000C6F7B">
      <w:pPr>
        <w:pStyle w:val="EndNoteBibliography"/>
        <w:spacing w:after="240"/>
      </w:pPr>
      <w:r w:rsidRPr="000C6F7B">
        <w:t>Family Drug Help. (2017). Reducing gambling harm for families.</w:t>
      </w:r>
    </w:p>
    <w:p w14:paraId="217D105F" w14:textId="77777777" w:rsidR="000C6F7B" w:rsidRPr="000C6F7B" w:rsidRDefault="000C6F7B" w:rsidP="000C6F7B">
      <w:pPr>
        <w:pStyle w:val="EndNoteBibliography"/>
        <w:spacing w:after="240"/>
      </w:pPr>
      <w:r w:rsidRPr="000C6F7B">
        <w:t xml:space="preserve">Ferris, J., &amp; Wynne, H. (2001). </w:t>
      </w:r>
      <w:r w:rsidRPr="000C6F7B">
        <w:rPr>
          <w:i/>
        </w:rPr>
        <w:t>The Canadian Problem Gambling Index: final report, phase II final report to the Canadian Inter-Provincial Task Force on Problem Gambling</w:t>
      </w:r>
      <w:r w:rsidRPr="000C6F7B">
        <w:t>. Ottawa, ON.</w:t>
      </w:r>
    </w:p>
    <w:p w14:paraId="15406ABC" w14:textId="77777777" w:rsidR="000C6F7B" w:rsidRPr="000C6F7B" w:rsidRDefault="000C6F7B" w:rsidP="000C6F7B">
      <w:pPr>
        <w:pStyle w:val="EndNoteBibliography"/>
        <w:spacing w:after="240"/>
      </w:pPr>
      <w:r w:rsidRPr="000C6F7B">
        <w:lastRenderedPageBreak/>
        <w:t xml:space="preserve">Fink-Hafner, D., Dagen, T., Doušak, M., Novak, M., &amp; Hafner-Fink, M. (2019). Delphi Method: Strengths and Weaknesses. </w:t>
      </w:r>
      <w:r w:rsidRPr="000C6F7B">
        <w:rPr>
          <w:i/>
        </w:rPr>
        <w:t>Advances in Methodology &amp; Statistics/Metodoloski zvezki, 16</w:t>
      </w:r>
      <w:r w:rsidRPr="000C6F7B">
        <w:t>(2).</w:t>
      </w:r>
    </w:p>
    <w:p w14:paraId="5E76F4A7" w14:textId="77777777" w:rsidR="000C6F7B" w:rsidRPr="000C6F7B" w:rsidRDefault="000C6F7B" w:rsidP="000C6F7B">
      <w:pPr>
        <w:pStyle w:val="EndNoteBibliography"/>
        <w:spacing w:after="240"/>
      </w:pPr>
      <w:r w:rsidRPr="000C6F7B">
        <w:t xml:space="preserve">FitzGerald, C., &amp; Hurst, S. (2017). Implicit bias in healthcare professionals: a systematic review. </w:t>
      </w:r>
      <w:r w:rsidRPr="000C6F7B">
        <w:rPr>
          <w:i/>
        </w:rPr>
        <w:t>BMC medical ethics, 18</w:t>
      </w:r>
      <w:r w:rsidRPr="000C6F7B">
        <w:t>(1), 19.</w:t>
      </w:r>
    </w:p>
    <w:p w14:paraId="61DC7E51" w14:textId="77777777" w:rsidR="000C6F7B" w:rsidRPr="000C6F7B" w:rsidRDefault="000C6F7B" w:rsidP="000C6F7B">
      <w:pPr>
        <w:pStyle w:val="EndNoteBibliography"/>
        <w:spacing w:after="240"/>
      </w:pPr>
      <w:r w:rsidRPr="000C6F7B">
        <w:t xml:space="preserve">Fletcher, A. J., &amp; Marchildon, G. P. (2014). Using the Delphi method for qualitative, participatory action research in health leadership. </w:t>
      </w:r>
      <w:r w:rsidRPr="000C6F7B">
        <w:rPr>
          <w:i/>
        </w:rPr>
        <w:t>International Journal of Qualitative Methods, 13</w:t>
      </w:r>
      <w:r w:rsidRPr="000C6F7B">
        <w:t>(1), 1-18.</w:t>
      </w:r>
    </w:p>
    <w:p w14:paraId="581C5F1C" w14:textId="77777777" w:rsidR="000C6F7B" w:rsidRPr="000C6F7B" w:rsidRDefault="000C6F7B" w:rsidP="000C6F7B">
      <w:pPr>
        <w:pStyle w:val="EndNoteBibliography"/>
        <w:spacing w:after="240"/>
      </w:pPr>
      <w:r w:rsidRPr="000C6F7B">
        <w:t xml:space="preserve">Florimbio, A. R., Brem, M. J., Grigorian, H. L., Elmquist, J., Shorey, R. C., Temple, J. R., &amp; Stuart, G. L. (2019). An examination of sexting, sexual violence, and alcohol use among men arrested for domestic violence. </w:t>
      </w:r>
      <w:r w:rsidRPr="000C6F7B">
        <w:rPr>
          <w:i/>
        </w:rPr>
        <w:t>Archives of sexual behavior, 48</w:t>
      </w:r>
      <w:r w:rsidRPr="000C6F7B">
        <w:t>(8), 2381-2387.</w:t>
      </w:r>
    </w:p>
    <w:p w14:paraId="47275554" w14:textId="77777777" w:rsidR="000C6F7B" w:rsidRPr="000C6F7B" w:rsidRDefault="000C6F7B" w:rsidP="000C6F7B">
      <w:pPr>
        <w:pStyle w:val="EndNoteBibliography"/>
        <w:spacing w:after="240"/>
      </w:pPr>
      <w:r w:rsidRPr="000C6F7B">
        <w:t xml:space="preserve">Fung, F. Y., &amp; Linn, Y. C. (2015). Developing traditional Chinese medicine in the era of evidence-based medicine: current evidences and challenges. </w:t>
      </w:r>
      <w:r w:rsidRPr="000C6F7B">
        <w:rPr>
          <w:i/>
        </w:rPr>
        <w:t>Evidence-Based Complementary and Alternative Medicine, 2015</w:t>
      </w:r>
      <w:r w:rsidRPr="000C6F7B">
        <w:t>.</w:t>
      </w:r>
    </w:p>
    <w:p w14:paraId="47EF89A5" w14:textId="77777777" w:rsidR="000C6F7B" w:rsidRPr="000C6F7B" w:rsidRDefault="000C6F7B" w:rsidP="000C6F7B">
      <w:pPr>
        <w:pStyle w:val="EndNoteBibliography"/>
        <w:spacing w:after="240"/>
      </w:pPr>
      <w:r w:rsidRPr="000C6F7B">
        <w:t xml:space="preserve">Galvani, S. (2006). Alcohol and domestic violence: Womens views. </w:t>
      </w:r>
      <w:r w:rsidRPr="000C6F7B">
        <w:rPr>
          <w:i/>
        </w:rPr>
        <w:t>Violence against women, 12</w:t>
      </w:r>
      <w:r w:rsidRPr="000C6F7B">
        <w:t>(7), 641-662.</w:t>
      </w:r>
    </w:p>
    <w:p w14:paraId="16509D07" w14:textId="6A652A73" w:rsidR="000C6F7B" w:rsidRPr="000C6F7B" w:rsidRDefault="000C6F7B" w:rsidP="000C6F7B">
      <w:pPr>
        <w:pStyle w:val="EndNoteBibliography"/>
        <w:spacing w:after="240"/>
      </w:pPr>
      <w:r w:rsidRPr="000C6F7B">
        <w:t xml:space="preserve">GAM-ANON. (n.d.). </w:t>
      </w:r>
      <w:r w:rsidRPr="000C6F7B">
        <w:rPr>
          <w:i/>
        </w:rPr>
        <w:t>Homepage: Welcome</w:t>
      </w:r>
      <w:r w:rsidRPr="000C6F7B">
        <w:t xml:space="preserve">. Retrieved from </w:t>
      </w:r>
      <w:hyperlink r:id="rId56" w:history="1">
        <w:r w:rsidRPr="000C6F7B">
          <w:rPr>
            <w:rStyle w:val="Hyperlink"/>
          </w:rPr>
          <w:t>https://www.gam-anon.org/</w:t>
        </w:r>
      </w:hyperlink>
    </w:p>
    <w:p w14:paraId="291C0FD2" w14:textId="5B6BBB84" w:rsidR="000C6F7B" w:rsidRPr="000C6F7B" w:rsidRDefault="000C6F7B" w:rsidP="000C6F7B">
      <w:pPr>
        <w:pStyle w:val="EndNoteBibliography"/>
        <w:spacing w:after="240"/>
      </w:pPr>
      <w:r w:rsidRPr="000C6F7B">
        <w:t xml:space="preserve">Gambler's Help. (2020a). </w:t>
      </w:r>
      <w:r w:rsidRPr="000C6F7B">
        <w:rPr>
          <w:i/>
        </w:rPr>
        <w:t>Find support</w:t>
      </w:r>
      <w:r w:rsidRPr="000C6F7B">
        <w:t xml:space="preserve">. Retrieved from </w:t>
      </w:r>
      <w:hyperlink r:id="rId57" w:history="1">
        <w:r w:rsidRPr="000C6F7B">
          <w:rPr>
            <w:rStyle w:val="Hyperlink"/>
          </w:rPr>
          <w:t>https://gamblershelp.com.au/get-help/find-support/</w:t>
        </w:r>
      </w:hyperlink>
    </w:p>
    <w:p w14:paraId="09B8FA1D" w14:textId="72A768E0" w:rsidR="000C6F7B" w:rsidRPr="000C6F7B" w:rsidRDefault="000C6F7B" w:rsidP="000C6F7B">
      <w:pPr>
        <w:pStyle w:val="EndNoteBibliography"/>
        <w:spacing w:after="240"/>
      </w:pPr>
      <w:r w:rsidRPr="000C6F7B">
        <w:t xml:space="preserve">Gambler's Help. (2020b). </w:t>
      </w:r>
      <w:r w:rsidRPr="000C6F7B">
        <w:rPr>
          <w:i/>
        </w:rPr>
        <w:t>Support Someone: Having the conversation</w:t>
      </w:r>
      <w:r w:rsidRPr="000C6F7B">
        <w:t xml:space="preserve">. Retrieved from </w:t>
      </w:r>
      <w:hyperlink r:id="rId58" w:history="1">
        <w:r w:rsidRPr="000C6F7B">
          <w:rPr>
            <w:rStyle w:val="Hyperlink"/>
          </w:rPr>
          <w:t>https://gamblershelp.com.au/support-someone/having-conversation/</w:t>
        </w:r>
      </w:hyperlink>
    </w:p>
    <w:p w14:paraId="311427EB" w14:textId="5899D9FF" w:rsidR="000C6F7B" w:rsidRPr="000C6F7B" w:rsidRDefault="000C6F7B" w:rsidP="000C6F7B">
      <w:pPr>
        <w:pStyle w:val="EndNoteBibliography"/>
        <w:spacing w:after="240"/>
      </w:pPr>
      <w:r w:rsidRPr="000C6F7B">
        <w:t xml:space="preserve">Gambling Help NSW. (2019). </w:t>
      </w:r>
      <w:r w:rsidRPr="000C6F7B">
        <w:rPr>
          <w:i/>
        </w:rPr>
        <w:t>Do you use Gambling Help services? [Facebook status update]</w:t>
      </w:r>
      <w:r w:rsidRPr="000C6F7B">
        <w:t xml:space="preserve">. Retrieved from </w:t>
      </w:r>
      <w:hyperlink r:id="rId59" w:history="1">
        <w:r w:rsidRPr="000C6F7B">
          <w:rPr>
            <w:rStyle w:val="Hyperlink"/>
          </w:rPr>
          <w:t>http://ow.ly/yVWR50uuSgt</w:t>
        </w:r>
      </w:hyperlink>
    </w:p>
    <w:p w14:paraId="349E466A" w14:textId="77777777" w:rsidR="000C6F7B" w:rsidRPr="000C6F7B" w:rsidRDefault="000C6F7B" w:rsidP="000C6F7B">
      <w:pPr>
        <w:pStyle w:val="EndNoteBibliography"/>
        <w:spacing w:after="240"/>
      </w:pPr>
      <w:r w:rsidRPr="000C6F7B">
        <w:t>Gambling Help NSW. (2020). Have a mate you're concerned might be spending to much time or money gambling? [Facebook status update].</w:t>
      </w:r>
    </w:p>
    <w:p w14:paraId="1D767DB8" w14:textId="1E57CFAE" w:rsidR="000C6F7B" w:rsidRPr="000C6F7B" w:rsidRDefault="000C6F7B" w:rsidP="000C6F7B">
      <w:pPr>
        <w:pStyle w:val="EndNoteBibliography"/>
        <w:spacing w:after="240"/>
      </w:pPr>
      <w:r w:rsidRPr="000C6F7B">
        <w:t xml:space="preserve">Gambling Help NSW. (n.d.-a). </w:t>
      </w:r>
      <w:r w:rsidRPr="000C6F7B">
        <w:rPr>
          <w:i/>
        </w:rPr>
        <w:t>Classroom resources</w:t>
      </w:r>
      <w:r w:rsidRPr="000C6F7B">
        <w:t xml:space="preserve">. Retrieved from </w:t>
      </w:r>
      <w:hyperlink r:id="rId60" w:history="1">
        <w:r w:rsidRPr="000C6F7B">
          <w:rPr>
            <w:rStyle w:val="Hyperlink"/>
          </w:rPr>
          <w:t>https://gamblinghelp.nsw.gov.au/support-someone/classroom-resources/</w:t>
        </w:r>
      </w:hyperlink>
    </w:p>
    <w:p w14:paraId="5DD09C69" w14:textId="77777777" w:rsidR="000C6F7B" w:rsidRPr="000C6F7B" w:rsidRDefault="000C6F7B" w:rsidP="000C6F7B">
      <w:pPr>
        <w:pStyle w:val="EndNoteBibliography"/>
        <w:spacing w:after="240"/>
      </w:pPr>
      <w:r w:rsidRPr="000C6F7B">
        <w:t xml:space="preserve">Gambling Help NSW. (n.d.-b). </w:t>
      </w:r>
      <w:r w:rsidRPr="000C6F7B">
        <w:rPr>
          <w:i/>
        </w:rPr>
        <w:t>Problem Gambling: A guide for family and friends</w:t>
      </w:r>
      <w:r w:rsidRPr="000C6F7B">
        <w:t>. Victoria, NSW.</w:t>
      </w:r>
    </w:p>
    <w:p w14:paraId="462FC99C" w14:textId="77777777" w:rsidR="000C6F7B" w:rsidRPr="000C6F7B" w:rsidRDefault="000C6F7B" w:rsidP="000C6F7B">
      <w:pPr>
        <w:pStyle w:val="EndNoteBibliography"/>
        <w:spacing w:after="240"/>
      </w:pPr>
      <w:r w:rsidRPr="000C6F7B">
        <w:t>Gambling Help Online. (2020a). Accessing Help.</w:t>
      </w:r>
    </w:p>
    <w:p w14:paraId="567BBB4C" w14:textId="41849F29" w:rsidR="000C6F7B" w:rsidRPr="000C6F7B" w:rsidRDefault="000C6F7B" w:rsidP="000C6F7B">
      <w:pPr>
        <w:pStyle w:val="EndNoteBibliography"/>
        <w:spacing w:after="240"/>
      </w:pPr>
      <w:r w:rsidRPr="000C6F7B">
        <w:t xml:space="preserve">Gambling Help Online. (2020b). </w:t>
      </w:r>
      <w:r w:rsidRPr="000C6F7B">
        <w:rPr>
          <w:i/>
        </w:rPr>
        <w:t>Gambling Help Online: Support for anyone affected by gambling</w:t>
      </w:r>
      <w:r w:rsidRPr="000C6F7B">
        <w:t xml:space="preserve">. Retrieved from </w:t>
      </w:r>
      <w:hyperlink r:id="rId61" w:history="1">
        <w:r w:rsidRPr="000C6F7B">
          <w:rPr>
            <w:rStyle w:val="Hyperlink"/>
          </w:rPr>
          <w:t>https://www.gamblinghelponline.org.au/</w:t>
        </w:r>
      </w:hyperlink>
    </w:p>
    <w:p w14:paraId="511AEA5B" w14:textId="69AD1193" w:rsidR="000C6F7B" w:rsidRPr="000C6F7B" w:rsidRDefault="000C6F7B" w:rsidP="000C6F7B">
      <w:pPr>
        <w:pStyle w:val="EndNoteBibliography"/>
        <w:spacing w:after="240"/>
      </w:pPr>
      <w:r w:rsidRPr="000C6F7B">
        <w:t xml:space="preserve">Gambling Help Online. (2020c). </w:t>
      </w:r>
      <w:r w:rsidRPr="000C6F7B">
        <w:rPr>
          <w:i/>
        </w:rPr>
        <w:t>Helping others: Impacts of gambling</w:t>
      </w:r>
      <w:r w:rsidRPr="000C6F7B">
        <w:t xml:space="preserve">. Retrieved from </w:t>
      </w:r>
      <w:hyperlink r:id="rId62" w:history="1">
        <w:r w:rsidRPr="000C6F7B">
          <w:rPr>
            <w:rStyle w:val="Hyperlink"/>
          </w:rPr>
          <w:t>https://www.gamblinghelponline.org.au/helping-others/impact-on-others</w:t>
        </w:r>
      </w:hyperlink>
    </w:p>
    <w:p w14:paraId="0931FA01" w14:textId="155D7122" w:rsidR="000C6F7B" w:rsidRPr="000C6F7B" w:rsidRDefault="000C6F7B" w:rsidP="000C6F7B">
      <w:pPr>
        <w:pStyle w:val="EndNoteBibliography"/>
        <w:spacing w:after="240"/>
      </w:pPr>
      <w:r w:rsidRPr="000C6F7B">
        <w:lastRenderedPageBreak/>
        <w:t xml:space="preserve">Gambling Help Online. (2020d). </w:t>
      </w:r>
      <w:r w:rsidRPr="000C6F7B">
        <w:rPr>
          <w:i/>
        </w:rPr>
        <w:t>Helping others: Starting the conversation</w:t>
      </w:r>
      <w:r w:rsidRPr="000C6F7B">
        <w:t xml:space="preserve">. Retrieved from </w:t>
      </w:r>
      <w:hyperlink r:id="rId63" w:history="1">
        <w:r w:rsidRPr="000C6F7B">
          <w:rPr>
            <w:rStyle w:val="Hyperlink"/>
          </w:rPr>
          <w:t>https://www.gamblinghelponline.org.au/helping-others/starting-the-conversation</w:t>
        </w:r>
      </w:hyperlink>
    </w:p>
    <w:p w14:paraId="7D278E64" w14:textId="346B6C07" w:rsidR="000C6F7B" w:rsidRPr="000C6F7B" w:rsidRDefault="000C6F7B" w:rsidP="000C6F7B">
      <w:pPr>
        <w:pStyle w:val="EndNoteBibliography"/>
        <w:spacing w:after="240"/>
      </w:pPr>
      <w:r w:rsidRPr="000C6F7B">
        <w:t xml:space="preserve">GamCare. (2020). </w:t>
      </w:r>
      <w:r w:rsidRPr="000C6F7B">
        <w:rPr>
          <w:i/>
        </w:rPr>
        <w:t>Peer Aid: Supporting you through shared experience</w:t>
      </w:r>
      <w:r w:rsidRPr="000C6F7B">
        <w:t xml:space="preserve">. Retrieved from </w:t>
      </w:r>
      <w:hyperlink r:id="rId64" w:history="1">
        <w:r w:rsidRPr="000C6F7B">
          <w:rPr>
            <w:rStyle w:val="Hyperlink"/>
          </w:rPr>
          <w:t>https://www.gamcare.org.uk/get-support/find-local-treatment/gamcare-london/peer-aid/</w:t>
        </w:r>
      </w:hyperlink>
    </w:p>
    <w:p w14:paraId="1AE29973" w14:textId="77777777" w:rsidR="000C6F7B" w:rsidRPr="000C6F7B" w:rsidRDefault="000C6F7B" w:rsidP="000C6F7B">
      <w:pPr>
        <w:pStyle w:val="EndNoteBibliography"/>
        <w:spacing w:after="240"/>
      </w:pPr>
      <w:r w:rsidRPr="000C6F7B">
        <w:t xml:space="preserve">Gethin, A., Trimingham, T., Chang, T., Farrell, M., &amp; Ross, J. (2016). Coping with problematic drug use in the family: An evaluation of the S tepping S tones program. </w:t>
      </w:r>
      <w:r w:rsidRPr="000C6F7B">
        <w:rPr>
          <w:i/>
        </w:rPr>
        <w:t>Drug and alcohol review, 35</w:t>
      </w:r>
      <w:r w:rsidRPr="000C6F7B">
        <w:t>(4), 470-476.</w:t>
      </w:r>
    </w:p>
    <w:p w14:paraId="1B8092EF" w14:textId="77777777" w:rsidR="000C6F7B" w:rsidRPr="000C6F7B" w:rsidRDefault="000C6F7B" w:rsidP="000C6F7B">
      <w:pPr>
        <w:pStyle w:val="EndNoteBibliography"/>
        <w:spacing w:after="240"/>
      </w:pPr>
      <w:r w:rsidRPr="000C6F7B">
        <w:t xml:space="preserve">Gibson, B. (2016). </w:t>
      </w:r>
      <w:r w:rsidRPr="000C6F7B">
        <w:rPr>
          <w:i/>
        </w:rPr>
        <w:t>Rehabilitation: A post-critical approach</w:t>
      </w:r>
      <w:r w:rsidRPr="000C6F7B">
        <w:t>: CRC Press.</w:t>
      </w:r>
    </w:p>
    <w:p w14:paraId="211E30DF" w14:textId="77777777" w:rsidR="000C6F7B" w:rsidRPr="000C6F7B" w:rsidRDefault="000C6F7B" w:rsidP="000C6F7B">
      <w:pPr>
        <w:pStyle w:val="EndNoteBibliography"/>
        <w:spacing w:after="240"/>
      </w:pPr>
      <w:r w:rsidRPr="000C6F7B">
        <w:t xml:space="preserve">Goodwin, B. C., Browne, M., Rockloff, M., &amp; Rose, J. (2017). A typical problem gambler affects six others. </w:t>
      </w:r>
      <w:r w:rsidRPr="000C6F7B">
        <w:rPr>
          <w:i/>
        </w:rPr>
        <w:t>International Gambling Studies, 17</w:t>
      </w:r>
      <w:r w:rsidRPr="000C6F7B">
        <w:t>(2), 276-289.</w:t>
      </w:r>
    </w:p>
    <w:p w14:paraId="054F82C7" w14:textId="77777777" w:rsidR="000C6F7B" w:rsidRPr="000C6F7B" w:rsidRDefault="000C6F7B" w:rsidP="000C6F7B">
      <w:pPr>
        <w:pStyle w:val="EndNoteBibliography"/>
        <w:spacing w:after="240"/>
      </w:pPr>
      <w:r w:rsidRPr="000C6F7B">
        <w:t xml:space="preserve">Gordon, R., &amp; Reith, G. (2019). Gambling as social practice: a complementary approach for reducing harm? </w:t>
      </w:r>
      <w:r w:rsidRPr="000C6F7B">
        <w:rPr>
          <w:i/>
        </w:rPr>
        <w:t>Harm Reduction Journal, 16</w:t>
      </w:r>
      <w:r w:rsidRPr="000C6F7B">
        <w:t>(1), 1-11.</w:t>
      </w:r>
    </w:p>
    <w:p w14:paraId="2828DE90" w14:textId="77777777" w:rsidR="000C6F7B" w:rsidRPr="000C6F7B" w:rsidRDefault="000C6F7B" w:rsidP="000C6F7B">
      <w:pPr>
        <w:pStyle w:val="EndNoteBibliography"/>
        <w:spacing w:after="240"/>
      </w:pPr>
      <w:r w:rsidRPr="000C6F7B">
        <w:t xml:space="preserve">Graham, H. (1982). Coping: or how mothers are seen and not heard. In S. Friedman &amp; E. Sarah (Eds.), </w:t>
      </w:r>
      <w:r w:rsidRPr="000C6F7B">
        <w:rPr>
          <w:i/>
        </w:rPr>
        <w:t xml:space="preserve">On the problem of men: Two feminist conferences </w:t>
      </w:r>
      <w:r w:rsidRPr="000C6F7B">
        <w:t>(pp. 101-106). London: The women's press.</w:t>
      </w:r>
    </w:p>
    <w:p w14:paraId="31852A7F" w14:textId="77777777" w:rsidR="000C6F7B" w:rsidRPr="000C6F7B" w:rsidRDefault="000C6F7B" w:rsidP="000C6F7B">
      <w:pPr>
        <w:pStyle w:val="EndNoteBibliography"/>
        <w:spacing w:after="240"/>
      </w:pPr>
      <w:r w:rsidRPr="000C6F7B">
        <w:t xml:space="preserve">Graham, R., &amp; Masters‐Awatere, B. (2020). Experiences of Māori of Aotearoa New Zealand's public health system: a systematic review of two decades of published qualitative research. </w:t>
      </w:r>
      <w:r w:rsidRPr="000C6F7B">
        <w:rPr>
          <w:i/>
        </w:rPr>
        <w:t>Australian and New Zealand Journal of Public Health, 44</w:t>
      </w:r>
      <w:r w:rsidRPr="000C6F7B">
        <w:t>(3), 193-200.</w:t>
      </w:r>
    </w:p>
    <w:p w14:paraId="0100411D" w14:textId="77777777" w:rsidR="000C6F7B" w:rsidRPr="000C6F7B" w:rsidRDefault="000C6F7B" w:rsidP="000C6F7B">
      <w:pPr>
        <w:pStyle w:val="EndNoteBibliography"/>
        <w:spacing w:after="240"/>
      </w:pPr>
      <w:r w:rsidRPr="000C6F7B">
        <w:t xml:space="preserve">Granero, R., Fernández-Aranda, F., Mestre-Bach, G., Steward, T., García-Caro, B., Prever, F., . . . Aymamí, N. (2018). Clustering of treatment-seeking women with gambling disorder. </w:t>
      </w:r>
      <w:r w:rsidRPr="000C6F7B">
        <w:rPr>
          <w:i/>
        </w:rPr>
        <w:t>Journal of behavioral addictions, 7</w:t>
      </w:r>
      <w:r w:rsidRPr="000C6F7B">
        <w:t>(3), 770-780.</w:t>
      </w:r>
    </w:p>
    <w:p w14:paraId="79F66473" w14:textId="77777777" w:rsidR="000C6F7B" w:rsidRPr="000C6F7B" w:rsidRDefault="000C6F7B" w:rsidP="000C6F7B">
      <w:pPr>
        <w:pStyle w:val="EndNoteBibliography"/>
        <w:spacing w:after="240"/>
      </w:pPr>
      <w:r w:rsidRPr="000C6F7B">
        <w:t xml:space="preserve">Greene, J. C. (2007). </w:t>
      </w:r>
      <w:r w:rsidRPr="000C6F7B">
        <w:rPr>
          <w:i/>
        </w:rPr>
        <w:t>Mixed methods in social inquiry</w:t>
      </w:r>
      <w:r w:rsidRPr="000C6F7B">
        <w:t>. San Francisco, CA: John Wiley &amp; Sons.</w:t>
      </w:r>
    </w:p>
    <w:p w14:paraId="34C309C4" w14:textId="77777777" w:rsidR="000C6F7B" w:rsidRPr="000C6F7B" w:rsidRDefault="000C6F7B" w:rsidP="000C6F7B">
      <w:pPr>
        <w:pStyle w:val="EndNoteBibliography"/>
        <w:spacing w:after="240"/>
      </w:pPr>
      <w:r w:rsidRPr="000C6F7B">
        <w:t xml:space="preserve">Greene, J. C., Caracelli, V. J., &amp; Graham, W. F. (1989). Toward a conceptual framework for mixed-method evaluation designs. </w:t>
      </w:r>
      <w:r w:rsidRPr="000C6F7B">
        <w:rPr>
          <w:i/>
        </w:rPr>
        <w:t>Educational evaluation and policy analysis, 11</w:t>
      </w:r>
      <w:r w:rsidRPr="000C6F7B">
        <w:t>(3), 255-274.</w:t>
      </w:r>
    </w:p>
    <w:p w14:paraId="3D9F740F" w14:textId="77777777" w:rsidR="000C6F7B" w:rsidRPr="000C6F7B" w:rsidRDefault="000C6F7B" w:rsidP="000C6F7B">
      <w:pPr>
        <w:pStyle w:val="EndNoteBibliography"/>
        <w:spacing w:after="240"/>
      </w:pPr>
      <w:r w:rsidRPr="000C6F7B">
        <w:t xml:space="preserve">Griffiths, M. D., &amp; Delfabbro, P. (2001). The biopsychosocial approach to gambling: Contextual factors in research and clinical interventions. </w:t>
      </w:r>
      <w:r w:rsidRPr="000C6F7B">
        <w:rPr>
          <w:i/>
        </w:rPr>
        <w:t>Journal of Gambling Issues (JGI)</w:t>
      </w:r>
      <w:r w:rsidRPr="000C6F7B">
        <w:t>(5).</w:t>
      </w:r>
    </w:p>
    <w:p w14:paraId="696168BD" w14:textId="77777777" w:rsidR="000C6F7B" w:rsidRPr="000C6F7B" w:rsidRDefault="000C6F7B" w:rsidP="000C6F7B">
      <w:pPr>
        <w:pStyle w:val="EndNoteBibliography"/>
        <w:spacing w:after="240"/>
      </w:pPr>
      <w:r w:rsidRPr="000C6F7B">
        <w:t xml:space="preserve">Hampson, C. (2012). </w:t>
      </w:r>
      <w:r w:rsidRPr="000C6F7B">
        <w:rPr>
          <w:i/>
        </w:rPr>
        <w:t>Integrating family-focussed practice into routine addiction services</w:t>
      </w:r>
      <w:r w:rsidRPr="000C6F7B">
        <w:t>. The University of Birmingham, Birmingham, UK.</w:t>
      </w:r>
    </w:p>
    <w:p w14:paraId="587D3A87" w14:textId="77777777" w:rsidR="000C6F7B" w:rsidRPr="000C6F7B" w:rsidRDefault="000C6F7B" w:rsidP="000C6F7B">
      <w:pPr>
        <w:pStyle w:val="EndNoteBibliography"/>
        <w:spacing w:after="240"/>
      </w:pPr>
      <w:r w:rsidRPr="000C6F7B">
        <w:t xml:space="preserve">Harvey, J., &amp; Delfabbro, P. H. (2004). Psychological resilience in disadvantaged youth: A critical overview. </w:t>
      </w:r>
      <w:r w:rsidRPr="000C6F7B">
        <w:rPr>
          <w:i/>
        </w:rPr>
        <w:t>Australian Psychologist, 39</w:t>
      </w:r>
      <w:r w:rsidRPr="000C6F7B">
        <w:t>(1), 3-13.</w:t>
      </w:r>
    </w:p>
    <w:p w14:paraId="4BB55004" w14:textId="77777777" w:rsidR="000C6F7B" w:rsidRPr="000C6F7B" w:rsidRDefault="000C6F7B" w:rsidP="000C6F7B">
      <w:pPr>
        <w:pStyle w:val="EndNoteBibliography"/>
        <w:spacing w:after="240"/>
      </w:pPr>
      <w:r w:rsidRPr="000C6F7B">
        <w:t xml:space="preserve">Health and Disability System Review. (2020). </w:t>
      </w:r>
      <w:r w:rsidRPr="000C6F7B">
        <w:rPr>
          <w:i/>
        </w:rPr>
        <w:t>Health and Disability System Review - Final Report - Pūrongo Whakamutunga</w:t>
      </w:r>
      <w:r w:rsidRPr="000C6F7B">
        <w:t>. Wellington: HDSR.</w:t>
      </w:r>
    </w:p>
    <w:p w14:paraId="69AF9A7B" w14:textId="77777777" w:rsidR="000C6F7B" w:rsidRPr="000C6F7B" w:rsidRDefault="000C6F7B" w:rsidP="000C6F7B">
      <w:pPr>
        <w:pStyle w:val="EndNoteBibliography"/>
        <w:spacing w:after="240"/>
      </w:pPr>
      <w:r w:rsidRPr="000C6F7B">
        <w:lastRenderedPageBreak/>
        <w:t xml:space="preserve">Holdsworth, L., Hing, N., &amp; Breen, H. (2012). Exploring women's problem gambling: a review of the literature. </w:t>
      </w:r>
      <w:r w:rsidRPr="000C6F7B">
        <w:rPr>
          <w:i/>
        </w:rPr>
        <w:t>International Gambling Studies, 12</w:t>
      </w:r>
      <w:r w:rsidRPr="000C6F7B">
        <w:t>(2), 199-213.</w:t>
      </w:r>
    </w:p>
    <w:p w14:paraId="3647E842" w14:textId="77777777" w:rsidR="000C6F7B" w:rsidRPr="000C6F7B" w:rsidRDefault="000C6F7B" w:rsidP="000C6F7B">
      <w:pPr>
        <w:pStyle w:val="EndNoteBibliography"/>
        <w:spacing w:after="240"/>
      </w:pPr>
      <w:r w:rsidRPr="000C6F7B">
        <w:t xml:space="preserve">Howells, E., &amp; Orford, J. (2006). Coping with a problem drinker: A therapeutic intervention for the partners of problem drinkers, in their own right. </w:t>
      </w:r>
      <w:r w:rsidRPr="000C6F7B">
        <w:rPr>
          <w:i/>
        </w:rPr>
        <w:t>Journal of Substance Use, 11</w:t>
      </w:r>
      <w:r w:rsidRPr="000C6F7B">
        <w:t>(1), 53-71.</w:t>
      </w:r>
    </w:p>
    <w:p w14:paraId="2AE9B0F0" w14:textId="77777777" w:rsidR="000C6F7B" w:rsidRPr="000C6F7B" w:rsidRDefault="000C6F7B" w:rsidP="000C6F7B">
      <w:pPr>
        <w:pStyle w:val="EndNoteBibliography"/>
        <w:spacing w:after="240"/>
      </w:pPr>
      <w:r w:rsidRPr="000C6F7B">
        <w:t xml:space="preserve">Hummelvoll, J. K., Karlsson, B., &amp; Borg, M. (2015). Recovery and person-centredness in mental health services: roots of the concepts and implications for practice. </w:t>
      </w:r>
      <w:r w:rsidRPr="000C6F7B">
        <w:rPr>
          <w:i/>
        </w:rPr>
        <w:t>International Practice Development Journal, 5</w:t>
      </w:r>
      <w:r w:rsidRPr="000C6F7B">
        <w:t>.</w:t>
      </w:r>
    </w:p>
    <w:p w14:paraId="29F8AE07" w14:textId="77777777" w:rsidR="000C6F7B" w:rsidRPr="000C6F7B" w:rsidRDefault="000C6F7B" w:rsidP="000C6F7B">
      <w:pPr>
        <w:pStyle w:val="EndNoteBibliography"/>
        <w:spacing w:after="240"/>
      </w:pPr>
      <w:r w:rsidRPr="000C6F7B">
        <w:t xml:space="preserve">Huriwai, T. (2002). Re-enculturation: Culturally congruent interventions for Mäori with alcohol-and drug-use-associated problems in New Zealand. </w:t>
      </w:r>
      <w:r w:rsidRPr="000C6F7B">
        <w:rPr>
          <w:i/>
        </w:rPr>
        <w:t>Substance use &amp; misuse, 37</w:t>
      </w:r>
      <w:r w:rsidRPr="000C6F7B">
        <w:t>(8-10), 1259-1268.</w:t>
      </w:r>
    </w:p>
    <w:p w14:paraId="7C713921" w14:textId="77777777" w:rsidR="000C6F7B" w:rsidRPr="000C6F7B" w:rsidRDefault="000C6F7B" w:rsidP="000C6F7B">
      <w:pPr>
        <w:pStyle w:val="EndNoteBibliography"/>
        <w:spacing w:after="240"/>
      </w:pPr>
      <w:r w:rsidRPr="000C6F7B">
        <w:t xml:space="preserve">Huriwai, T., Robertson, P. J., Armstrong, D., Kingi, T. P., &amp; Huata, P. (2001). WHANAUNGATANGA–A PROCESS IN THE TREATMENT OF MA ORI WITH ALCOHOL-AND DRUG-USE RELATED PROBLEMS. </w:t>
      </w:r>
      <w:r w:rsidRPr="000C6F7B">
        <w:rPr>
          <w:i/>
        </w:rPr>
        <w:t>Substance use &amp; misuse, 36</w:t>
      </w:r>
      <w:r w:rsidRPr="000C6F7B">
        <w:t>(8), 1033-1051.</w:t>
      </w:r>
    </w:p>
    <w:p w14:paraId="6B15D046" w14:textId="77777777" w:rsidR="000C6F7B" w:rsidRPr="000C6F7B" w:rsidRDefault="000C6F7B" w:rsidP="000C6F7B">
      <w:pPr>
        <w:pStyle w:val="EndNoteBibliography"/>
        <w:spacing w:after="240"/>
      </w:pPr>
      <w:r w:rsidRPr="000C6F7B">
        <w:t xml:space="preserve">Independent Whānau Ora Review Panel. (2018). </w:t>
      </w:r>
      <w:r w:rsidRPr="000C6F7B">
        <w:rPr>
          <w:i/>
        </w:rPr>
        <w:t>Whānau Ora Review: Tipu Matoro ki to Ao</w:t>
      </w:r>
      <w:r w:rsidRPr="000C6F7B">
        <w:t>. Wellington: Independent Whānau Ora Review Panel.</w:t>
      </w:r>
    </w:p>
    <w:p w14:paraId="70AB641B" w14:textId="77777777" w:rsidR="000C6F7B" w:rsidRPr="000C6F7B" w:rsidRDefault="000C6F7B" w:rsidP="000C6F7B">
      <w:pPr>
        <w:pStyle w:val="EndNoteBibliography"/>
        <w:spacing w:after="240"/>
      </w:pPr>
      <w:r w:rsidRPr="000C6F7B">
        <w:t xml:space="preserve">Jackson, L. A., Dykeman, M., Gahagan, J., Karabanow, J., &amp; Parker, J. (2011). Challenges and opportunities to integrating family members of injection drug users into harm reduction efforts within the Atlantic Canadian context. </w:t>
      </w:r>
      <w:r w:rsidRPr="000C6F7B">
        <w:rPr>
          <w:i/>
        </w:rPr>
        <w:t>International Journal of Drug Policy, 22</w:t>
      </w:r>
      <w:r w:rsidRPr="000C6F7B">
        <w:t>(5), 385-392.</w:t>
      </w:r>
    </w:p>
    <w:p w14:paraId="2D0D57A5" w14:textId="77777777" w:rsidR="000C6F7B" w:rsidRPr="000C6F7B" w:rsidRDefault="000C6F7B" w:rsidP="000C6F7B">
      <w:pPr>
        <w:pStyle w:val="EndNoteBibliography"/>
        <w:spacing w:after="240"/>
      </w:pPr>
      <w:r w:rsidRPr="000C6F7B">
        <w:t xml:space="preserve">Jiménez-Murcia, S., Tremblay, J., Stinchfield, R., Granero, R., Fernández-Aranda, F., Mestre-Bach, G., . . . Moragas, L. (2017). The involvement of a concerned significant other in gambling disorder treatment outcome. </w:t>
      </w:r>
      <w:r w:rsidRPr="000C6F7B">
        <w:rPr>
          <w:i/>
        </w:rPr>
        <w:t>Journal of gambling studies, 33</w:t>
      </w:r>
      <w:r w:rsidRPr="000C6F7B">
        <w:t>(3), 937-953.</w:t>
      </w:r>
    </w:p>
    <w:p w14:paraId="79F1221A" w14:textId="77777777" w:rsidR="000C6F7B" w:rsidRPr="000C6F7B" w:rsidRDefault="000C6F7B" w:rsidP="000C6F7B">
      <w:pPr>
        <w:pStyle w:val="EndNoteBibliography"/>
        <w:spacing w:after="240"/>
      </w:pPr>
      <w:r w:rsidRPr="000C6F7B">
        <w:t xml:space="preserve">Johnson, S. B., Riis, J. L., &amp; Noble, K. G. (2016). State of the art review: poverty and the developing brain. </w:t>
      </w:r>
      <w:r w:rsidRPr="000C6F7B">
        <w:rPr>
          <w:i/>
        </w:rPr>
        <w:t>Pediatrics, 137</w:t>
      </w:r>
      <w:r w:rsidRPr="000C6F7B">
        <w:t>(4), e20153075.</w:t>
      </w:r>
    </w:p>
    <w:p w14:paraId="1666A19A" w14:textId="77777777" w:rsidR="000C6F7B" w:rsidRPr="000C6F7B" w:rsidRDefault="000C6F7B" w:rsidP="000C6F7B">
      <w:pPr>
        <w:pStyle w:val="EndNoteBibliography"/>
        <w:spacing w:after="240"/>
      </w:pPr>
      <w:r w:rsidRPr="000C6F7B">
        <w:t xml:space="preserve">Johnstone, L., &amp; Boyle, M. (2018). The power threat meaning framework: An alternative nondiagnostic conceptual system. </w:t>
      </w:r>
      <w:r w:rsidRPr="000C6F7B">
        <w:rPr>
          <w:i/>
        </w:rPr>
        <w:t>Journal of Humanistic Psychology</w:t>
      </w:r>
      <w:r w:rsidRPr="000C6F7B">
        <w:t>, 0022167818793289.</w:t>
      </w:r>
    </w:p>
    <w:p w14:paraId="21F1B86C" w14:textId="77777777" w:rsidR="000C6F7B" w:rsidRPr="000C6F7B" w:rsidRDefault="000C6F7B" w:rsidP="000C6F7B">
      <w:pPr>
        <w:pStyle w:val="EndNoteBibliography"/>
        <w:spacing w:after="240"/>
      </w:pPr>
      <w:r w:rsidRPr="000C6F7B">
        <w:t xml:space="preserve">Jorm, A. F. (2015). Using the Delphi expert consensus method in mental health research. </w:t>
      </w:r>
      <w:r w:rsidRPr="000C6F7B">
        <w:rPr>
          <w:i/>
        </w:rPr>
        <w:t>Australian &amp; New Zealand Journal of Psychiatry, 49</w:t>
      </w:r>
      <w:r w:rsidRPr="000C6F7B">
        <w:t>(10), 887-897.</w:t>
      </w:r>
    </w:p>
    <w:p w14:paraId="693C6FEC" w14:textId="77777777" w:rsidR="000C6F7B" w:rsidRPr="000C6F7B" w:rsidRDefault="000C6F7B" w:rsidP="000C6F7B">
      <w:pPr>
        <w:pStyle w:val="EndNoteBibliography"/>
        <w:spacing w:after="240"/>
      </w:pPr>
      <w:r w:rsidRPr="000C6F7B">
        <w:t xml:space="preserve">Keeney, S., McKenna, H., &amp; Hasson, F. (2010). </w:t>
      </w:r>
      <w:r w:rsidRPr="000C6F7B">
        <w:rPr>
          <w:i/>
        </w:rPr>
        <w:t>The Delphi technique in nursing and health research</w:t>
      </w:r>
      <w:r w:rsidRPr="000C6F7B">
        <w:t>: John Wiley &amp; Sons.</w:t>
      </w:r>
    </w:p>
    <w:p w14:paraId="7E73D0F4" w14:textId="23F16CBC" w:rsidR="000C6F7B" w:rsidRPr="000C6F7B" w:rsidRDefault="000C6F7B" w:rsidP="000C6F7B">
      <w:pPr>
        <w:pStyle w:val="EndNoteBibliography"/>
        <w:spacing w:after="240"/>
      </w:pPr>
      <w:r w:rsidRPr="000C6F7B">
        <w:t xml:space="preserve">KIN, &amp; Arohaina Riwaka Thorpe, J. (2015). </w:t>
      </w:r>
      <w:r w:rsidRPr="000C6F7B">
        <w:rPr>
          <w:i/>
        </w:rPr>
        <w:t>Tihei Mauri Ora! Knowledge Maori</w:t>
      </w:r>
      <w:r w:rsidRPr="000C6F7B">
        <w:t xml:space="preserve">. Retrieved 2 October, 2020, from </w:t>
      </w:r>
      <w:hyperlink r:id="rId65" w:anchor=":~:text=Mauri%20ora%2C%20literally%20means%20mauri,ways%20with%20Te%20Ao%20M%C4%81ori" w:history="1">
        <w:r w:rsidRPr="000C6F7B">
          <w:rPr>
            <w:rStyle w:val="Hyperlink"/>
          </w:rPr>
          <w:t>https://indigenousknowledgenetwork.net/2015/11/14/tihei-mauri-ora/#:~:text=Mauri%20ora%2C%20literally%20means%20mauri,ways%20with%20Te%20Ao%20M%C4%81ori</w:t>
        </w:r>
      </w:hyperlink>
      <w:r w:rsidRPr="000C6F7B">
        <w:t>.</w:t>
      </w:r>
    </w:p>
    <w:p w14:paraId="4E41107E" w14:textId="77777777" w:rsidR="000C6F7B" w:rsidRPr="000C6F7B" w:rsidRDefault="000C6F7B" w:rsidP="000C6F7B">
      <w:pPr>
        <w:pStyle w:val="EndNoteBibliography"/>
        <w:spacing w:after="240"/>
      </w:pPr>
      <w:r w:rsidRPr="000C6F7B">
        <w:lastRenderedPageBreak/>
        <w:t xml:space="preserve">King, M., Smith, A., &amp; Gracey, M. (2009). Indigenous health part 2: the underlying causes of the health gap. </w:t>
      </w:r>
      <w:r w:rsidRPr="000C6F7B">
        <w:rPr>
          <w:i/>
        </w:rPr>
        <w:t>The lancet, 374</w:t>
      </w:r>
      <w:r w:rsidRPr="000C6F7B">
        <w:t>(9683), 76-85.</w:t>
      </w:r>
    </w:p>
    <w:p w14:paraId="1E312C92" w14:textId="77777777" w:rsidR="000C6F7B" w:rsidRPr="000C6F7B" w:rsidRDefault="000C6F7B" w:rsidP="000C6F7B">
      <w:pPr>
        <w:pStyle w:val="EndNoteBibliography"/>
        <w:spacing w:after="240"/>
      </w:pPr>
      <w:r w:rsidRPr="000C6F7B">
        <w:t xml:space="preserve">Kinsella, E., Caty, E., Ng, S., &amp; Jenkins, K. (2012). Reflective Practice for Allied Health: Theory and Applications. In L. M. English (Ed.), </w:t>
      </w:r>
      <w:r w:rsidRPr="000C6F7B">
        <w:rPr>
          <w:i/>
        </w:rPr>
        <w:t>Adult education and health</w:t>
      </w:r>
      <w:r w:rsidRPr="000C6F7B">
        <w:t xml:space="preserve"> (pp. 210-228). Toronto: University of Toronto Press.</w:t>
      </w:r>
    </w:p>
    <w:p w14:paraId="66F3D594" w14:textId="77777777" w:rsidR="000C6F7B" w:rsidRPr="000C6F7B" w:rsidRDefault="000C6F7B" w:rsidP="000C6F7B">
      <w:pPr>
        <w:pStyle w:val="EndNoteBibliography"/>
        <w:spacing w:after="240"/>
      </w:pPr>
      <w:r w:rsidRPr="000C6F7B">
        <w:t xml:space="preserve">Kinsella, E., &amp; Whiteford, G. E. (2009). Knowledge generation and utilisation in occupational therapy: Towards epistemic reflexivity. </w:t>
      </w:r>
      <w:r w:rsidRPr="000C6F7B">
        <w:rPr>
          <w:i/>
        </w:rPr>
        <w:t>Australian occupational therapy journal, 56</w:t>
      </w:r>
      <w:r w:rsidRPr="000C6F7B">
        <w:t>(4), 249-258.</w:t>
      </w:r>
    </w:p>
    <w:p w14:paraId="4FEE3BBE" w14:textId="77777777" w:rsidR="000C6F7B" w:rsidRPr="000C6F7B" w:rsidRDefault="000C6F7B" w:rsidP="000C6F7B">
      <w:pPr>
        <w:pStyle w:val="EndNoteBibliography"/>
        <w:spacing w:after="240"/>
      </w:pPr>
      <w:r w:rsidRPr="000C6F7B">
        <w:t xml:space="preserve">Kirby, K. C., Benishek, L. A., Kerwin, M. E., Dugosh, K. L., Carpenedo, C. M., Bresani, E., . . . Meyers, R. J. (2017). Analyzing components of Community Reinforcement and Family Training (CRAFT): Is treatment entry training sufficient? </w:t>
      </w:r>
      <w:r w:rsidRPr="000C6F7B">
        <w:rPr>
          <w:i/>
        </w:rPr>
        <w:t>Psychology of Addictive Behaviors, 31</w:t>
      </w:r>
      <w:r w:rsidRPr="000C6F7B">
        <w:t>(7), 818.</w:t>
      </w:r>
    </w:p>
    <w:p w14:paraId="59167805" w14:textId="77777777" w:rsidR="000C6F7B" w:rsidRPr="000C6F7B" w:rsidRDefault="000C6F7B" w:rsidP="000C6F7B">
      <w:pPr>
        <w:pStyle w:val="EndNoteBibliography"/>
        <w:spacing w:after="240"/>
      </w:pPr>
      <w:r w:rsidRPr="000C6F7B">
        <w:t xml:space="preserve">Kirby, K. C., Marlowe, D. B., Festinger, D. S., Garvey, K. A., &amp; LaMonaca, V. (1999). Community reinforcement training for family and significant others of drug abusers: A unilateral intervention to increase treatment entry of drug users. </w:t>
      </w:r>
      <w:r w:rsidRPr="000C6F7B">
        <w:rPr>
          <w:i/>
        </w:rPr>
        <w:t>Drug and Alcohol Dependence, 56</w:t>
      </w:r>
      <w:r w:rsidRPr="000C6F7B">
        <w:t>(1), 85-96.</w:t>
      </w:r>
    </w:p>
    <w:p w14:paraId="07F17823" w14:textId="77777777" w:rsidR="000C6F7B" w:rsidRPr="000C6F7B" w:rsidRDefault="000C6F7B" w:rsidP="000C6F7B">
      <w:pPr>
        <w:pStyle w:val="EndNoteBibliography"/>
        <w:spacing w:after="240"/>
      </w:pPr>
      <w:r w:rsidRPr="000C6F7B">
        <w:t xml:space="preserve">Kolandai-Matchett, K., Landon, J., Bellringer, M., Garrett, N., Mundy-McPherson, S., Abbott, M., . . . Cumming, S. (2015). </w:t>
      </w:r>
      <w:r w:rsidRPr="000C6F7B">
        <w:rPr>
          <w:i/>
        </w:rPr>
        <w:t>Evaluation and clinical audit of problem gambling intervention and public health services</w:t>
      </w:r>
      <w:r w:rsidRPr="000C6F7B">
        <w:t>. Auckland: Gambling and Addictions Research Centre, AUT University.</w:t>
      </w:r>
    </w:p>
    <w:p w14:paraId="49C40D03" w14:textId="77777777" w:rsidR="000C6F7B" w:rsidRPr="000C6F7B" w:rsidRDefault="000C6F7B" w:rsidP="000C6F7B">
      <w:pPr>
        <w:pStyle w:val="EndNoteBibliography"/>
        <w:spacing w:after="240"/>
      </w:pPr>
      <w:r w:rsidRPr="000C6F7B">
        <w:t xml:space="preserve">Kourgiantakis, T., &amp; Ashcroft, R. (2018). Family-focused practices in addictions: a scoping review protocol. </w:t>
      </w:r>
      <w:r w:rsidRPr="000C6F7B">
        <w:rPr>
          <w:i/>
        </w:rPr>
        <w:t>BMJ open, 8</w:t>
      </w:r>
      <w:r w:rsidRPr="000C6F7B">
        <w:t>(1), e019433.</w:t>
      </w:r>
    </w:p>
    <w:p w14:paraId="42F9D6F6" w14:textId="77777777" w:rsidR="000C6F7B" w:rsidRPr="000C6F7B" w:rsidRDefault="000C6F7B" w:rsidP="000C6F7B">
      <w:pPr>
        <w:pStyle w:val="EndNoteBibliography"/>
        <w:spacing w:after="240"/>
      </w:pPr>
      <w:r w:rsidRPr="000C6F7B">
        <w:t xml:space="preserve">Kourgiantakis, T., Saint-Jacques, M.-C., &amp; Tremblay, J. (2013). Problem gambling and families: A systematic review. </w:t>
      </w:r>
      <w:r w:rsidRPr="000C6F7B">
        <w:rPr>
          <w:i/>
        </w:rPr>
        <w:t>Journal of Social Work Practice in the Addictions, 13</w:t>
      </w:r>
      <w:r w:rsidRPr="000C6F7B">
        <w:t>(4), 353-372.</w:t>
      </w:r>
    </w:p>
    <w:p w14:paraId="18E7C42D" w14:textId="77777777" w:rsidR="000C6F7B" w:rsidRPr="000C6F7B" w:rsidRDefault="000C6F7B" w:rsidP="000C6F7B">
      <w:pPr>
        <w:pStyle w:val="EndNoteBibliography"/>
        <w:spacing w:after="240"/>
      </w:pPr>
      <w:r w:rsidRPr="000C6F7B">
        <w:t xml:space="preserve">Kourgiantakis, T., Saint-Jacques, M.-C., &amp; Tremblay, J. (2018). Facilitators and barriers to family involvement in problem gambling treatment. </w:t>
      </w:r>
      <w:r w:rsidRPr="000C6F7B">
        <w:rPr>
          <w:i/>
        </w:rPr>
        <w:t>International Journal of Mental Health and Addiction, 16</w:t>
      </w:r>
      <w:r w:rsidRPr="000C6F7B">
        <w:t>(2), 291-312.</w:t>
      </w:r>
    </w:p>
    <w:p w14:paraId="43827D3B" w14:textId="77777777" w:rsidR="000C6F7B" w:rsidRPr="000C6F7B" w:rsidRDefault="000C6F7B" w:rsidP="000C6F7B">
      <w:pPr>
        <w:pStyle w:val="EndNoteBibliography"/>
        <w:spacing w:after="240"/>
      </w:pPr>
      <w:r w:rsidRPr="000C6F7B">
        <w:t xml:space="preserve">Kourgiantakis, T., Weyman, M., Teasell, B., &amp; Pont, L. (2013a). </w:t>
      </w:r>
      <w:r w:rsidRPr="000C6F7B">
        <w:rPr>
          <w:i/>
        </w:rPr>
        <w:t xml:space="preserve">Family support and psychoeducational group manual for problem gambling </w:t>
      </w:r>
      <w:r w:rsidRPr="000C6F7B">
        <w:t>Toronto, ON.</w:t>
      </w:r>
    </w:p>
    <w:p w14:paraId="43EAAD63" w14:textId="77777777" w:rsidR="000C6F7B" w:rsidRPr="000C6F7B" w:rsidRDefault="000C6F7B" w:rsidP="000C6F7B">
      <w:pPr>
        <w:pStyle w:val="EndNoteBibliography"/>
        <w:spacing w:after="240"/>
      </w:pPr>
      <w:r w:rsidRPr="000C6F7B">
        <w:t xml:space="preserve">Kourgiantakis, T., Weyman, M., Teasell, B., &amp; Pont, L. (2013b). </w:t>
      </w:r>
      <w:r w:rsidRPr="000C6F7B">
        <w:rPr>
          <w:i/>
        </w:rPr>
        <w:t>Family support and psychoeducational group manual for problem gambling</w:t>
      </w:r>
      <w:r w:rsidRPr="000C6F7B">
        <w:t>. Toronto, ON.</w:t>
      </w:r>
    </w:p>
    <w:p w14:paraId="29122842" w14:textId="77777777" w:rsidR="000C6F7B" w:rsidRPr="000C6F7B" w:rsidRDefault="000C6F7B" w:rsidP="000C6F7B">
      <w:pPr>
        <w:pStyle w:val="EndNoteBibliography"/>
        <w:spacing w:after="240"/>
      </w:pPr>
      <w:r w:rsidRPr="000C6F7B">
        <w:t xml:space="preserve">Kumagai, A. K., &amp; Wear, D. (2014). “Making strange”: a role for the humanities in medical education. </w:t>
      </w:r>
      <w:r w:rsidRPr="000C6F7B">
        <w:rPr>
          <w:i/>
        </w:rPr>
        <w:t>Academic Medicine, 89</w:t>
      </w:r>
      <w:r w:rsidRPr="000C6F7B">
        <w:t>(7), 973-977.</w:t>
      </w:r>
    </w:p>
    <w:p w14:paraId="4C2D2F50" w14:textId="77777777" w:rsidR="000C6F7B" w:rsidRPr="000C6F7B" w:rsidRDefault="000C6F7B" w:rsidP="000C6F7B">
      <w:pPr>
        <w:pStyle w:val="EndNoteBibliography"/>
        <w:spacing w:after="240"/>
      </w:pPr>
      <w:r w:rsidRPr="000C6F7B">
        <w:t xml:space="preserve">Kuusi, O. (1999). </w:t>
      </w:r>
      <w:r w:rsidRPr="000C6F7B">
        <w:rPr>
          <w:i/>
        </w:rPr>
        <w:t>Expertise in the future use of generic technologies</w:t>
      </w:r>
      <w:r w:rsidRPr="000C6F7B">
        <w:t>: Valtion taloudellinen tutkimuskeskus VATT.</w:t>
      </w:r>
    </w:p>
    <w:p w14:paraId="68D573F3" w14:textId="77777777" w:rsidR="000C6F7B" w:rsidRPr="000C6F7B" w:rsidRDefault="000C6F7B" w:rsidP="000C6F7B">
      <w:pPr>
        <w:pStyle w:val="EndNoteBibliography"/>
        <w:spacing w:after="240"/>
      </w:pPr>
      <w:r w:rsidRPr="000C6F7B">
        <w:lastRenderedPageBreak/>
        <w:t xml:space="preserve">Kwan, E., Tse, S., &amp; Jackson, A. C. (2020). The Impact of Problem Gambling on the Female Spouses of Male Chinese Gamblers in Hong Kong: Emergence of a Multiple-Self Model. </w:t>
      </w:r>
      <w:r w:rsidRPr="000C6F7B">
        <w:rPr>
          <w:i/>
        </w:rPr>
        <w:t>International Journal of Mental Health and Addiction</w:t>
      </w:r>
      <w:r w:rsidRPr="000C6F7B">
        <w:t>, 1-15.</w:t>
      </w:r>
    </w:p>
    <w:p w14:paraId="6FD85BDD" w14:textId="77777777" w:rsidR="000C6F7B" w:rsidRPr="000C6F7B" w:rsidRDefault="000C6F7B" w:rsidP="000C6F7B">
      <w:pPr>
        <w:pStyle w:val="EndNoteBibliography"/>
        <w:spacing w:after="240"/>
      </w:pPr>
      <w:r w:rsidRPr="000C6F7B">
        <w:t xml:space="preserve">Langham, E., Thorne, H., Browne, M., Donaldson, P., Rose, J., &amp; Rockloff, M. (2015). Understanding gambling related harm: A proposed definition, conceptual framework, and taxonomy of harms. </w:t>
      </w:r>
      <w:r w:rsidRPr="000C6F7B">
        <w:rPr>
          <w:i/>
        </w:rPr>
        <w:t>BMC public health, 16</w:t>
      </w:r>
      <w:r w:rsidRPr="000C6F7B">
        <w:t>(1), 80.</w:t>
      </w:r>
    </w:p>
    <w:p w14:paraId="1170D7F4" w14:textId="1094ABD3" w:rsidR="000C6F7B" w:rsidRPr="000C6F7B" w:rsidRDefault="000C6F7B" w:rsidP="000C6F7B">
      <w:pPr>
        <w:pStyle w:val="EndNoteBibliography"/>
        <w:spacing w:after="240"/>
      </w:pPr>
      <w:r w:rsidRPr="000C6F7B">
        <w:t xml:space="preserve">Langi, B. (2017). </w:t>
      </w:r>
      <w:r w:rsidRPr="000C6F7B">
        <w:rPr>
          <w:i/>
        </w:rPr>
        <w:t>Pasifika counselling: A Mapu Maia approach [Blog post]</w:t>
      </w:r>
      <w:r w:rsidRPr="000C6F7B">
        <w:t xml:space="preserve">. Retrieved from </w:t>
      </w:r>
      <w:hyperlink r:id="rId66" w:history="1">
        <w:r w:rsidRPr="000C6F7B">
          <w:rPr>
            <w:rStyle w:val="Hyperlink"/>
          </w:rPr>
          <w:t>https://www.pgf.nz/blog/pasifika-counselling-a-mapu-maia-approach</w:t>
        </w:r>
      </w:hyperlink>
    </w:p>
    <w:p w14:paraId="37347E9F" w14:textId="77777777" w:rsidR="000C6F7B" w:rsidRPr="000C6F7B" w:rsidRDefault="000C6F7B" w:rsidP="000C6F7B">
      <w:pPr>
        <w:pStyle w:val="EndNoteBibliography"/>
        <w:spacing w:after="240"/>
      </w:pPr>
      <w:r w:rsidRPr="000C6F7B">
        <w:t xml:space="preserve">Lee, B. K., &amp; Awosoga, O. (2015). Congruence couple therapy for pathological gambling: A pilot randomized controlled trial. </w:t>
      </w:r>
      <w:r w:rsidRPr="000C6F7B">
        <w:rPr>
          <w:i/>
        </w:rPr>
        <w:t>Journal of gambling studies, 31</w:t>
      </w:r>
      <w:r w:rsidRPr="000C6F7B">
        <w:t>(3), 1047-1068.</w:t>
      </w:r>
    </w:p>
    <w:p w14:paraId="5FD8521E" w14:textId="77777777" w:rsidR="000C6F7B" w:rsidRPr="000C6F7B" w:rsidRDefault="000C6F7B" w:rsidP="000C6F7B">
      <w:pPr>
        <w:pStyle w:val="EndNoteBibliography"/>
        <w:spacing w:after="240"/>
      </w:pPr>
      <w:r w:rsidRPr="000C6F7B">
        <w:t xml:space="preserve">Linstone, H. A., &amp; Turoff, M. (1975). </w:t>
      </w:r>
      <w:r w:rsidRPr="000C6F7B">
        <w:rPr>
          <w:i/>
        </w:rPr>
        <w:t>The Delphi method: Techniques and applications</w:t>
      </w:r>
      <w:r w:rsidRPr="000C6F7B">
        <w:t xml:space="preserve"> </w:t>
      </w:r>
    </w:p>
    <w:p w14:paraId="1C55C31D" w14:textId="77777777" w:rsidR="000C6F7B" w:rsidRPr="000C6F7B" w:rsidRDefault="000C6F7B" w:rsidP="000C6F7B">
      <w:pPr>
        <w:pStyle w:val="EndNoteBibliography"/>
        <w:spacing w:after="240"/>
      </w:pPr>
      <w:r w:rsidRPr="000C6F7B">
        <w:t xml:space="preserve">Livingstone, C., Rintoul, A., de Lacy-Vawdon, C., Borland, R., Dietze, P., Jenkinson, R., . . . Stoove, M. (2019). </w:t>
      </w:r>
      <w:r w:rsidRPr="000C6F7B">
        <w:rPr>
          <w:i/>
        </w:rPr>
        <w:t>Identifying effective policy interventions to prevent gambling-related harm</w:t>
      </w:r>
      <w:r w:rsidRPr="000C6F7B">
        <w:t>. Melbourne: Victorian Responsible Gambling Foundation.</w:t>
      </w:r>
    </w:p>
    <w:p w14:paraId="092DAF68" w14:textId="77777777" w:rsidR="000C6F7B" w:rsidRPr="000C6F7B" w:rsidRDefault="000C6F7B" w:rsidP="000C6F7B">
      <w:pPr>
        <w:pStyle w:val="EndNoteBibliography"/>
        <w:spacing w:after="240"/>
      </w:pPr>
      <w:r w:rsidRPr="000C6F7B">
        <w:t xml:space="preserve">Lobsinger, C. (1997). Addiction, power and gender. </w:t>
      </w:r>
      <w:r w:rsidRPr="000C6F7B">
        <w:rPr>
          <w:i/>
        </w:rPr>
        <w:t>Australian and New Zealand Journal of Family Therapy, 18</w:t>
      </w:r>
      <w:r w:rsidRPr="000C6F7B">
        <w:t>(4), 210-215.</w:t>
      </w:r>
    </w:p>
    <w:p w14:paraId="010E68B7" w14:textId="77777777" w:rsidR="000C6F7B" w:rsidRPr="000C6F7B" w:rsidRDefault="000C6F7B" w:rsidP="000C6F7B">
      <w:pPr>
        <w:pStyle w:val="EndNoteBibliography"/>
        <w:spacing w:after="240"/>
      </w:pPr>
      <w:r w:rsidRPr="000C6F7B">
        <w:t xml:space="preserve">Maltzahn, K., Vaughan, R., Griffin, T., Thomas, D., Stephens, R., Whiteside, M., &amp; Maclean, S. (2019). Pleasures and risks associated with bingo playing in an Australian Aboriginal community: Lessons for policy and intervention. </w:t>
      </w:r>
      <w:r w:rsidRPr="000C6F7B">
        <w:rPr>
          <w:i/>
        </w:rPr>
        <w:t>Journal of gambling studies, 35</w:t>
      </w:r>
      <w:r w:rsidRPr="000C6F7B">
        <w:t>(2), 653-670.</w:t>
      </w:r>
    </w:p>
    <w:p w14:paraId="5D0375C7" w14:textId="77777777" w:rsidR="000C6F7B" w:rsidRPr="000C6F7B" w:rsidRDefault="000C6F7B" w:rsidP="000C6F7B">
      <w:pPr>
        <w:pStyle w:val="EndNoteBibliography"/>
        <w:spacing w:after="240"/>
      </w:pPr>
      <w:r w:rsidRPr="000C6F7B">
        <w:t xml:space="preserve">Manley, R. A. (2013). The Policy Delphi: a method for identifying intended and unintended consequences of educational policy. </w:t>
      </w:r>
      <w:r w:rsidRPr="000C6F7B">
        <w:rPr>
          <w:i/>
        </w:rPr>
        <w:t>Policy Futures in Education, 11</w:t>
      </w:r>
      <w:r w:rsidRPr="000C6F7B">
        <w:t>(6), 755-768.</w:t>
      </w:r>
    </w:p>
    <w:p w14:paraId="2FF5BA3B" w14:textId="4A13D590" w:rsidR="000C6F7B" w:rsidRPr="000C6F7B" w:rsidRDefault="000C6F7B" w:rsidP="000C6F7B">
      <w:pPr>
        <w:pStyle w:val="EndNoteBibliography"/>
        <w:spacing w:after="240"/>
      </w:pPr>
      <w:r w:rsidRPr="000C6F7B">
        <w:t xml:space="preserve">Mapu Maia. (2020a). </w:t>
      </w:r>
      <w:r w:rsidRPr="000C6F7B">
        <w:rPr>
          <w:i/>
        </w:rPr>
        <w:t>Our Mission</w:t>
      </w:r>
      <w:r w:rsidRPr="000C6F7B">
        <w:t xml:space="preserve">. Retrieved from </w:t>
      </w:r>
      <w:hyperlink r:id="rId67" w:history="1">
        <w:r w:rsidRPr="000C6F7B">
          <w:rPr>
            <w:rStyle w:val="Hyperlink"/>
          </w:rPr>
          <w:t>https://www.mapumaia.nz/</w:t>
        </w:r>
      </w:hyperlink>
    </w:p>
    <w:p w14:paraId="00ADFB0E" w14:textId="77777777" w:rsidR="000C6F7B" w:rsidRPr="000C6F7B" w:rsidRDefault="000C6F7B" w:rsidP="000C6F7B">
      <w:pPr>
        <w:pStyle w:val="EndNoteBibliography"/>
        <w:spacing w:after="240"/>
      </w:pPr>
      <w:r w:rsidRPr="000C6F7B">
        <w:t xml:space="preserve">Mapu Maia. (2020b). </w:t>
      </w:r>
      <w:r w:rsidRPr="000C6F7B">
        <w:rPr>
          <w:i/>
        </w:rPr>
        <w:t>Our process: Va tagata</w:t>
      </w:r>
      <w:r w:rsidRPr="000C6F7B">
        <w:t>. Retrieved 2 October, 2020,</w:t>
      </w:r>
    </w:p>
    <w:p w14:paraId="6A234036" w14:textId="77777777" w:rsidR="000C6F7B" w:rsidRPr="000C6F7B" w:rsidRDefault="000C6F7B" w:rsidP="000C6F7B">
      <w:pPr>
        <w:pStyle w:val="EndNoteBibliography"/>
        <w:spacing w:after="240"/>
      </w:pPr>
      <w:r w:rsidRPr="000C6F7B">
        <w:t xml:space="preserve">Marchand, K., Beaumont, S., Westfall, J., MacDonald, S., Harrison, S., Marsh, D. C., . . . Oviedo-Joekes, E. (2018). Patient-centred care for addiction treatment: a scoping review protocol. </w:t>
      </w:r>
      <w:r w:rsidRPr="000C6F7B">
        <w:rPr>
          <w:i/>
        </w:rPr>
        <w:t>BMJ open, 8</w:t>
      </w:r>
      <w:r w:rsidRPr="000C6F7B">
        <w:t>(12), e024588.</w:t>
      </w:r>
    </w:p>
    <w:p w14:paraId="13C49E8E" w14:textId="77777777" w:rsidR="000C6F7B" w:rsidRPr="000C6F7B" w:rsidRDefault="000C6F7B" w:rsidP="000C6F7B">
      <w:pPr>
        <w:pStyle w:val="EndNoteBibliography"/>
        <w:spacing w:after="240"/>
      </w:pPr>
      <w:r w:rsidRPr="000C6F7B">
        <w:t xml:space="preserve">McCalman, J., Tsey, K., Bainbridge, R., Shakeshaft, A., Singleton, M., &amp; Doran, C. (2013). Tailoring a response to youth binge drinking in an Aboriginal Australian community: a grounded theory study. </w:t>
      </w:r>
      <w:r w:rsidRPr="000C6F7B">
        <w:rPr>
          <w:i/>
        </w:rPr>
        <w:t>BMC public health, 13</w:t>
      </w:r>
      <w:r w:rsidRPr="000C6F7B">
        <w:t>(1), 726.</w:t>
      </w:r>
    </w:p>
    <w:p w14:paraId="3462A087" w14:textId="77777777" w:rsidR="000C6F7B" w:rsidRPr="000C6F7B" w:rsidRDefault="000C6F7B" w:rsidP="000C6F7B">
      <w:pPr>
        <w:pStyle w:val="EndNoteBibliography"/>
        <w:spacing w:after="240"/>
      </w:pPr>
      <w:r w:rsidRPr="000C6F7B">
        <w:t xml:space="preserve">McComb, J. L., Lee, B. K., &amp; Sprenkle, D. H. (2009). Conceptualizing and treating problem gambling as a family issue. </w:t>
      </w:r>
      <w:r w:rsidRPr="000C6F7B">
        <w:rPr>
          <w:i/>
        </w:rPr>
        <w:t>Journal of marital and family therapy, 35</w:t>
      </w:r>
      <w:r w:rsidRPr="000C6F7B">
        <w:t>(4), 415-431.</w:t>
      </w:r>
    </w:p>
    <w:p w14:paraId="74FD3C9D" w14:textId="77777777" w:rsidR="000C6F7B" w:rsidRPr="000C6F7B" w:rsidRDefault="000C6F7B" w:rsidP="000C6F7B">
      <w:pPr>
        <w:pStyle w:val="EndNoteBibliography"/>
        <w:spacing w:after="240"/>
      </w:pPr>
      <w:r w:rsidRPr="000C6F7B">
        <w:t xml:space="preserve">McGowan, V. (2003). Counter-story, resistance and reconciliation in online narratives of women in recovery from problem gambling. </w:t>
      </w:r>
      <w:r w:rsidRPr="000C6F7B">
        <w:rPr>
          <w:i/>
        </w:rPr>
        <w:t>International Gambling Studies, 3</w:t>
      </w:r>
      <w:r w:rsidRPr="000C6F7B">
        <w:t>(2), 115-131.</w:t>
      </w:r>
    </w:p>
    <w:p w14:paraId="7499BE87" w14:textId="77777777" w:rsidR="000C6F7B" w:rsidRPr="000C6F7B" w:rsidRDefault="000C6F7B" w:rsidP="000C6F7B">
      <w:pPr>
        <w:pStyle w:val="EndNoteBibliography"/>
        <w:spacing w:after="240"/>
      </w:pPr>
      <w:r w:rsidRPr="000C6F7B">
        <w:lastRenderedPageBreak/>
        <w:t xml:space="preserve">Meyers, R. J., Miller, W. R., Hill, D. E., &amp; Tonigan, J. S. (1998). Community reinforcement and family training (CRAFT): Engaging unmotivated drug users in treatment. </w:t>
      </w:r>
      <w:r w:rsidRPr="000C6F7B">
        <w:rPr>
          <w:i/>
        </w:rPr>
        <w:t>Journal of Substance Abuse, 10</w:t>
      </w:r>
      <w:r w:rsidRPr="000C6F7B">
        <w:t>(3), 291-308.</w:t>
      </w:r>
    </w:p>
    <w:p w14:paraId="10282282" w14:textId="77777777" w:rsidR="000C6F7B" w:rsidRPr="000C6F7B" w:rsidRDefault="000C6F7B" w:rsidP="000C6F7B">
      <w:pPr>
        <w:pStyle w:val="EndNoteBibliography"/>
        <w:spacing w:after="240"/>
      </w:pPr>
      <w:r w:rsidRPr="000C6F7B">
        <w:t xml:space="preserve">Meyers, R. J., Miller, W. R., Smith, J. E., &amp; Tonigan, J. S. (2002). A randomized trial of two methods for engaging treatment-refusing drug users through concerned significant others. </w:t>
      </w:r>
      <w:r w:rsidRPr="000C6F7B">
        <w:rPr>
          <w:i/>
        </w:rPr>
        <w:t>Journal of consulting and clinical psychology, 70</w:t>
      </w:r>
      <w:r w:rsidRPr="000C6F7B">
        <w:t>(5), 1182.</w:t>
      </w:r>
    </w:p>
    <w:p w14:paraId="2378A34C" w14:textId="77777777" w:rsidR="000C6F7B" w:rsidRPr="000C6F7B" w:rsidRDefault="000C6F7B" w:rsidP="000C6F7B">
      <w:pPr>
        <w:pStyle w:val="EndNoteBibliography"/>
        <w:spacing w:after="240"/>
      </w:pPr>
      <w:r w:rsidRPr="000C6F7B">
        <w:t xml:space="preserve">Meyers, R. J., Smith, J. E., &amp; Lash, D. N. (2005). A program for engaging treatment-refusing substance abusers into treatment: CRAFT. </w:t>
      </w:r>
      <w:r w:rsidRPr="000C6F7B">
        <w:rPr>
          <w:i/>
        </w:rPr>
        <w:t>International Journal of Behavioral Consultation and Therapy, 1</w:t>
      </w:r>
      <w:r w:rsidRPr="000C6F7B">
        <w:t>(2), 90.</w:t>
      </w:r>
    </w:p>
    <w:p w14:paraId="029E807A" w14:textId="77777777" w:rsidR="000C6F7B" w:rsidRPr="000C6F7B" w:rsidRDefault="000C6F7B" w:rsidP="000C6F7B">
      <w:pPr>
        <w:pStyle w:val="EndNoteBibliography"/>
        <w:spacing w:after="240"/>
      </w:pPr>
      <w:r w:rsidRPr="000C6F7B">
        <w:t xml:space="preserve">Milford, J. L., Austin, J. L., &amp; Smith, J. E. (2007). Community reinforcement and the dissemination of evidence-based practice: Implications for public policy. </w:t>
      </w:r>
      <w:r w:rsidRPr="000C6F7B">
        <w:rPr>
          <w:i/>
        </w:rPr>
        <w:t>International Journal of Behavioral Consultation and Therapy, 3</w:t>
      </w:r>
      <w:r w:rsidRPr="000C6F7B">
        <w:t>(1), 77.</w:t>
      </w:r>
    </w:p>
    <w:p w14:paraId="2FD1FD8F" w14:textId="77777777" w:rsidR="000C6F7B" w:rsidRPr="000C6F7B" w:rsidRDefault="000C6F7B" w:rsidP="000C6F7B">
      <w:pPr>
        <w:pStyle w:val="EndNoteBibliography"/>
        <w:spacing w:after="240"/>
      </w:pPr>
      <w:r w:rsidRPr="000C6F7B">
        <w:t xml:space="preserve">Miller, W. R., &amp; Meyers, R. J. (2004). The community-reinforcement approach. In </w:t>
      </w:r>
      <w:r w:rsidRPr="000C6F7B">
        <w:rPr>
          <w:i/>
        </w:rPr>
        <w:t>Psychosocial Treatments</w:t>
      </w:r>
      <w:r w:rsidRPr="000C6F7B">
        <w:t xml:space="preserve"> (pp. 59-70): Routledge.</w:t>
      </w:r>
    </w:p>
    <w:p w14:paraId="63BD67F5" w14:textId="77777777" w:rsidR="000C6F7B" w:rsidRPr="000C6F7B" w:rsidRDefault="000C6F7B" w:rsidP="000C6F7B">
      <w:pPr>
        <w:pStyle w:val="EndNoteBibliography"/>
        <w:spacing w:after="240"/>
      </w:pPr>
      <w:r w:rsidRPr="000C6F7B">
        <w:t xml:space="preserve">Miller, W. R., Meyers, R. J., &amp; Tonigan, J. S. (1999). Engaging the unmotivated in treatment for alcohol problems: A comparison of three strategies for intervention through family members. </w:t>
      </w:r>
      <w:r w:rsidRPr="000C6F7B">
        <w:rPr>
          <w:i/>
        </w:rPr>
        <w:t>Journal of consulting and clinical psychology, 67</w:t>
      </w:r>
      <w:r w:rsidRPr="000C6F7B">
        <w:t>(5), 688.</w:t>
      </w:r>
    </w:p>
    <w:p w14:paraId="2340861B" w14:textId="77777777" w:rsidR="000C6F7B" w:rsidRPr="000C6F7B" w:rsidRDefault="000C6F7B" w:rsidP="000C6F7B">
      <w:pPr>
        <w:pStyle w:val="EndNoteBibliography"/>
        <w:spacing w:after="240"/>
      </w:pPr>
      <w:r w:rsidRPr="000C6F7B">
        <w:t xml:space="preserve">Miller, W. R., Sorensen, J. L., Selzer, J. A., &amp; Brigham, G. S. (2006). Disseminating evidence-based practices in substance abuse treatment: A review with suggestions. </w:t>
      </w:r>
      <w:r w:rsidRPr="000C6F7B">
        <w:rPr>
          <w:i/>
        </w:rPr>
        <w:t>Journal of substance abuse treatment, 31</w:t>
      </w:r>
      <w:r w:rsidRPr="000C6F7B">
        <w:t>(1), 25-39.</w:t>
      </w:r>
    </w:p>
    <w:p w14:paraId="124E19CC" w14:textId="77777777" w:rsidR="000C6F7B" w:rsidRPr="000C6F7B" w:rsidRDefault="000C6F7B" w:rsidP="000C6F7B">
      <w:pPr>
        <w:pStyle w:val="EndNoteBibliography"/>
        <w:spacing w:after="240"/>
      </w:pPr>
      <w:r w:rsidRPr="000C6F7B">
        <w:t xml:space="preserve">Ministry of Health. (1994). </w:t>
      </w:r>
      <w:r w:rsidRPr="000C6F7B">
        <w:rPr>
          <w:i/>
        </w:rPr>
        <w:t>Looking forward: Strategic directions for the mental health services</w:t>
      </w:r>
      <w:r w:rsidRPr="000C6F7B">
        <w:t xml:space="preserve">. Wellington: Ministry of Health </w:t>
      </w:r>
    </w:p>
    <w:p w14:paraId="139B2CC8" w14:textId="77777777" w:rsidR="000C6F7B" w:rsidRPr="000C6F7B" w:rsidRDefault="000C6F7B" w:rsidP="000C6F7B">
      <w:pPr>
        <w:pStyle w:val="EndNoteBibliography"/>
        <w:spacing w:after="240"/>
      </w:pPr>
      <w:r w:rsidRPr="000C6F7B">
        <w:t xml:space="preserve">Ministry of Health. (1997). </w:t>
      </w:r>
      <w:r w:rsidRPr="000C6F7B">
        <w:rPr>
          <w:i/>
        </w:rPr>
        <w:t>Moving forward: the national mental health plan for more and better services</w:t>
      </w:r>
      <w:r w:rsidRPr="000C6F7B">
        <w:t xml:space="preserve">. Wellington: Ministry of Health </w:t>
      </w:r>
    </w:p>
    <w:p w14:paraId="23118C77" w14:textId="77777777" w:rsidR="000C6F7B" w:rsidRPr="000C6F7B" w:rsidRDefault="000C6F7B" w:rsidP="000C6F7B">
      <w:pPr>
        <w:pStyle w:val="EndNoteBibliography"/>
        <w:spacing w:after="240"/>
      </w:pPr>
      <w:r w:rsidRPr="000C6F7B">
        <w:t xml:space="preserve">Ministry of Health. (2006). </w:t>
      </w:r>
      <w:r w:rsidRPr="000C6F7B">
        <w:rPr>
          <w:i/>
        </w:rPr>
        <w:t>Te Kōkiri: The Mental Health and Addiction Action Plan, 2006-2015</w:t>
      </w:r>
      <w:r w:rsidRPr="000C6F7B">
        <w:t xml:space="preserve"> (0478300301). Wellington: Ministry of Health.</w:t>
      </w:r>
    </w:p>
    <w:p w14:paraId="707AEF70" w14:textId="77777777" w:rsidR="000C6F7B" w:rsidRPr="000C6F7B" w:rsidRDefault="000C6F7B" w:rsidP="000C6F7B">
      <w:pPr>
        <w:pStyle w:val="EndNoteBibliography"/>
        <w:spacing w:after="240"/>
      </w:pPr>
      <w:r w:rsidRPr="000C6F7B">
        <w:t xml:space="preserve">Ministry of Health. (2012a). </w:t>
      </w:r>
      <w:r w:rsidRPr="000C6F7B">
        <w:rPr>
          <w:i/>
        </w:rPr>
        <w:t>Problem gambling service: Data management manual v1.2</w:t>
      </w:r>
      <w:r w:rsidRPr="000C6F7B">
        <w:t xml:space="preserve">. Wellington: Ministry of Health </w:t>
      </w:r>
    </w:p>
    <w:p w14:paraId="5F433E11" w14:textId="77777777" w:rsidR="000C6F7B" w:rsidRPr="000C6F7B" w:rsidRDefault="000C6F7B" w:rsidP="000C6F7B">
      <w:pPr>
        <w:pStyle w:val="EndNoteBibliography"/>
        <w:spacing w:after="240"/>
      </w:pPr>
      <w:r w:rsidRPr="000C6F7B">
        <w:t xml:space="preserve">Ministry of Health. (2012b). </w:t>
      </w:r>
      <w:r w:rsidRPr="000C6F7B">
        <w:rPr>
          <w:i/>
        </w:rPr>
        <w:t>Rising to the Challenge: The Mental Health and Addiction Service Development Plan 2012–2017</w:t>
      </w:r>
      <w:r w:rsidRPr="000C6F7B">
        <w:t xml:space="preserve">. Wellington: Ministry of Health </w:t>
      </w:r>
    </w:p>
    <w:p w14:paraId="6CA2D861" w14:textId="77777777" w:rsidR="000C6F7B" w:rsidRPr="000C6F7B" w:rsidRDefault="000C6F7B" w:rsidP="000C6F7B">
      <w:pPr>
        <w:pStyle w:val="EndNoteBibliography"/>
        <w:spacing w:after="240"/>
      </w:pPr>
      <w:r w:rsidRPr="000C6F7B">
        <w:t xml:space="preserve">Ministry of Health. (2015). </w:t>
      </w:r>
      <w:r w:rsidRPr="000C6F7B">
        <w:rPr>
          <w:i/>
        </w:rPr>
        <w:t>Supporting Parents Healthy CHildren</w:t>
      </w:r>
      <w:r w:rsidRPr="000C6F7B">
        <w:t>. Wellington: Ministry of Health.</w:t>
      </w:r>
    </w:p>
    <w:p w14:paraId="36DD61E7" w14:textId="77777777" w:rsidR="000C6F7B" w:rsidRPr="000C6F7B" w:rsidRDefault="000C6F7B" w:rsidP="000C6F7B">
      <w:pPr>
        <w:pStyle w:val="EndNoteBibliography"/>
        <w:spacing w:after="240"/>
      </w:pPr>
      <w:r w:rsidRPr="000C6F7B">
        <w:t xml:space="preserve">Ministry of Health. (2018). </w:t>
      </w:r>
      <w:r w:rsidRPr="000C6F7B">
        <w:rPr>
          <w:i/>
        </w:rPr>
        <w:t>Mental Health and Addiction Workforce Action Plan 2017-2021 (2nd edn).</w:t>
      </w:r>
      <w:r w:rsidRPr="000C6F7B">
        <w:t xml:space="preserve"> Wellington: Ministry of Health.</w:t>
      </w:r>
    </w:p>
    <w:p w14:paraId="667B3672" w14:textId="77777777" w:rsidR="000C6F7B" w:rsidRPr="000C6F7B" w:rsidRDefault="000C6F7B" w:rsidP="000C6F7B">
      <w:pPr>
        <w:pStyle w:val="EndNoteBibliography"/>
        <w:spacing w:after="240"/>
      </w:pPr>
      <w:r w:rsidRPr="000C6F7B">
        <w:t xml:space="preserve">Ministry of Health. (2019). </w:t>
      </w:r>
      <w:r w:rsidRPr="000C6F7B">
        <w:rPr>
          <w:i/>
        </w:rPr>
        <w:t>Preventing and Minimising Gambling Harm: Practitioner’s Guide</w:t>
      </w:r>
      <w:r w:rsidRPr="000C6F7B">
        <w:t>. Wellington: Ministry of Health.</w:t>
      </w:r>
    </w:p>
    <w:p w14:paraId="7BC5C0FA" w14:textId="7F73EAFE" w:rsidR="000C6F7B" w:rsidRPr="000C6F7B" w:rsidRDefault="000C6F7B" w:rsidP="000C6F7B">
      <w:pPr>
        <w:pStyle w:val="EndNoteBibliography"/>
        <w:spacing w:after="240"/>
      </w:pPr>
      <w:r w:rsidRPr="000C6F7B">
        <w:lastRenderedPageBreak/>
        <w:t xml:space="preserve">Ministry of Health. (2020a). </w:t>
      </w:r>
      <w:r w:rsidRPr="000C6F7B">
        <w:rPr>
          <w:i/>
        </w:rPr>
        <w:t>Intervention client data</w:t>
      </w:r>
      <w:r w:rsidRPr="000C6F7B">
        <w:t xml:space="preserve">. Retrieved 16 September, 2020, from </w:t>
      </w:r>
      <w:hyperlink r:id="rId68" w:history="1">
        <w:r w:rsidRPr="000C6F7B">
          <w:rPr>
            <w:rStyle w:val="Hyperlink"/>
          </w:rPr>
          <w:t>https://www.health.govt.nz/our-work/mental-health-and-addictions/gambling/service-user-data/intervention-client-data</w:t>
        </w:r>
      </w:hyperlink>
    </w:p>
    <w:p w14:paraId="39F00CED" w14:textId="60B191E5" w:rsidR="000C6F7B" w:rsidRPr="000C6F7B" w:rsidRDefault="000C6F7B" w:rsidP="000C6F7B">
      <w:pPr>
        <w:pStyle w:val="EndNoteBibliography"/>
        <w:spacing w:after="240"/>
      </w:pPr>
      <w:r w:rsidRPr="000C6F7B">
        <w:t xml:space="preserve">Ministry of Health. (2020b). </w:t>
      </w:r>
      <w:r w:rsidRPr="000C6F7B">
        <w:rPr>
          <w:i/>
        </w:rPr>
        <w:t>Problem gambling services</w:t>
      </w:r>
      <w:r w:rsidRPr="000C6F7B">
        <w:t xml:space="preserve">. Retrieved 7 October, 2020, from </w:t>
      </w:r>
      <w:hyperlink r:id="rId69" w:history="1">
        <w:r w:rsidRPr="000C6F7B">
          <w:rPr>
            <w:rStyle w:val="Hyperlink"/>
          </w:rPr>
          <w:t>https://www.health.govt.nz/our-work/mental-health-and-addictions/gambling/problem-gambling-services</w:t>
        </w:r>
      </w:hyperlink>
    </w:p>
    <w:p w14:paraId="04986C6A" w14:textId="2314D69D" w:rsidR="000C6F7B" w:rsidRPr="000C6F7B" w:rsidRDefault="000C6F7B" w:rsidP="000C6F7B">
      <w:pPr>
        <w:pStyle w:val="EndNoteBibliography"/>
        <w:spacing w:after="240"/>
      </w:pPr>
      <w:r w:rsidRPr="000C6F7B">
        <w:t xml:space="preserve">Ministry of Health. (2020c). </w:t>
      </w:r>
      <w:r w:rsidRPr="000C6F7B">
        <w:rPr>
          <w:i/>
        </w:rPr>
        <w:t>Smokefree Aotearoa 2025</w:t>
      </w:r>
      <w:r w:rsidRPr="000C6F7B">
        <w:t xml:space="preserve">. Retrieved 1 December, 2020, from </w:t>
      </w:r>
      <w:hyperlink r:id="rId70" w:history="1">
        <w:r w:rsidRPr="000C6F7B">
          <w:rPr>
            <w:rStyle w:val="Hyperlink"/>
          </w:rPr>
          <w:t>https://www.health.govt.nz/our-work/preventative-health-wellness/tobacco-control/smokefree-aotearoa-2025</w:t>
        </w:r>
      </w:hyperlink>
    </w:p>
    <w:p w14:paraId="6B2F75CD" w14:textId="24F495C7" w:rsidR="000C6F7B" w:rsidRPr="000C6F7B" w:rsidRDefault="000C6F7B" w:rsidP="000C6F7B">
      <w:pPr>
        <w:pStyle w:val="EndNoteBibliography"/>
        <w:spacing w:after="240"/>
      </w:pPr>
      <w:r w:rsidRPr="000C6F7B">
        <w:t xml:space="preserve">Ministry of Health. (2020d). </w:t>
      </w:r>
      <w:r w:rsidRPr="000C6F7B">
        <w:rPr>
          <w:i/>
        </w:rPr>
        <w:t>Te Tiriti o Waitangi</w:t>
      </w:r>
      <w:r w:rsidRPr="000C6F7B">
        <w:t xml:space="preserve">. Retrieved 27 October, 2020, from </w:t>
      </w:r>
      <w:hyperlink r:id="rId71" w:history="1">
        <w:r w:rsidRPr="000C6F7B">
          <w:rPr>
            <w:rStyle w:val="Hyperlink"/>
          </w:rPr>
          <w:t>https://www.health.govt.nz/our-work/populations/maori-health/te-tiriti-o-waitangi</w:t>
        </w:r>
      </w:hyperlink>
    </w:p>
    <w:p w14:paraId="3542C4BA" w14:textId="77777777" w:rsidR="000C6F7B" w:rsidRPr="000C6F7B" w:rsidRDefault="000C6F7B" w:rsidP="000C6F7B">
      <w:pPr>
        <w:pStyle w:val="EndNoteBibliography"/>
        <w:spacing w:after="240"/>
      </w:pPr>
      <w:r w:rsidRPr="000C6F7B">
        <w:t xml:space="preserve">Morrison, L. (2008). </w:t>
      </w:r>
      <w:r w:rsidRPr="000C6F7B">
        <w:rPr>
          <w:i/>
        </w:rPr>
        <w:t>Māori Women and Gambling: Every Day is a War Day!</w:t>
      </w:r>
      <w:r w:rsidRPr="000C6F7B">
        <w:t xml:space="preserve"> The University of Waikato.</w:t>
      </w:r>
    </w:p>
    <w:p w14:paraId="770EDB10" w14:textId="77777777" w:rsidR="000C6F7B" w:rsidRPr="000C6F7B" w:rsidRDefault="000C6F7B" w:rsidP="000C6F7B">
      <w:pPr>
        <w:pStyle w:val="EndNoteBibliography"/>
        <w:spacing w:after="240"/>
      </w:pPr>
      <w:r w:rsidRPr="000C6F7B">
        <w:t xml:space="preserve">Morrison, L., &amp; Boulton, A. (2013). Reversing the harmful effects of gambling in indigenous families: The development of the Tu Toa Tu Maia Intervention. </w:t>
      </w:r>
      <w:r w:rsidRPr="000C6F7B">
        <w:rPr>
          <w:i/>
        </w:rPr>
        <w:t>Pimatisiwin: A Journal of Aboriginal and Indigenous Community Health, 11</w:t>
      </w:r>
      <w:r w:rsidRPr="000C6F7B">
        <w:t>(2), 255-268.</w:t>
      </w:r>
    </w:p>
    <w:p w14:paraId="0D7EEA85" w14:textId="77777777" w:rsidR="000C6F7B" w:rsidRPr="000C6F7B" w:rsidRDefault="000C6F7B" w:rsidP="000C6F7B">
      <w:pPr>
        <w:pStyle w:val="EndNoteBibliography"/>
        <w:spacing w:after="240"/>
      </w:pPr>
      <w:r w:rsidRPr="000C6F7B">
        <w:t xml:space="preserve">Morrison, L., &amp; Wilson, D. (2013). Ngā pou wāhine: A framework of empowerment for Māori women and gambling misuse. </w:t>
      </w:r>
      <w:r w:rsidRPr="000C6F7B">
        <w:rPr>
          <w:i/>
        </w:rPr>
        <w:t>Mai Journal, 2</w:t>
      </w:r>
      <w:r w:rsidRPr="000C6F7B">
        <w:t>(2).</w:t>
      </w:r>
    </w:p>
    <w:p w14:paraId="72613F3F" w14:textId="77777777" w:rsidR="000C6F7B" w:rsidRPr="000C6F7B" w:rsidRDefault="000C6F7B" w:rsidP="000C6F7B">
      <w:pPr>
        <w:pStyle w:val="EndNoteBibliography"/>
        <w:spacing w:after="240"/>
      </w:pPr>
      <w:r w:rsidRPr="000C6F7B">
        <w:t xml:space="preserve">Mykhalovskiy, E., &amp; Weir, L. (2004). The problem of evidence-based medicine: directions for social science. </w:t>
      </w:r>
      <w:r w:rsidRPr="000C6F7B">
        <w:rPr>
          <w:i/>
        </w:rPr>
        <w:t>Social science &amp; medicine, 59</w:t>
      </w:r>
      <w:r w:rsidRPr="000C6F7B">
        <w:t>(5), 1059-1069.</w:t>
      </w:r>
    </w:p>
    <w:p w14:paraId="1D6DA5AE" w14:textId="77777777" w:rsidR="000C6F7B" w:rsidRPr="000C6F7B" w:rsidRDefault="000C6F7B" w:rsidP="000C6F7B">
      <w:pPr>
        <w:pStyle w:val="EndNoteBibliography"/>
        <w:spacing w:after="240"/>
      </w:pPr>
      <w:r w:rsidRPr="000C6F7B">
        <w:t xml:space="preserve">Nagel, T., Hinton, R., Thompson, V., &amp; Spencer, N. (2011). Yarning about gambling in indigenous communities: An Aboriginal and Islander mental health initiative. </w:t>
      </w:r>
      <w:r w:rsidRPr="000C6F7B">
        <w:rPr>
          <w:i/>
        </w:rPr>
        <w:t>Australian Journal of Social Issues, 46</w:t>
      </w:r>
      <w:r w:rsidRPr="000C6F7B">
        <w:t>(4), 371-389.</w:t>
      </w:r>
    </w:p>
    <w:p w14:paraId="61E1F41C" w14:textId="77777777" w:rsidR="000C6F7B" w:rsidRPr="000C6F7B" w:rsidRDefault="000C6F7B" w:rsidP="000C6F7B">
      <w:pPr>
        <w:pStyle w:val="EndNoteBibliography"/>
        <w:spacing w:after="240"/>
      </w:pPr>
      <w:r w:rsidRPr="000C6F7B">
        <w:t xml:space="preserve">National Health Medical Research Council. (2003). </w:t>
      </w:r>
      <w:r w:rsidRPr="000C6F7B">
        <w:rPr>
          <w:i/>
        </w:rPr>
        <w:t>Values and ethics: Guidelines for ethical conduct in Aboriginal and Torres Strait Islander health research</w:t>
      </w:r>
      <w:r w:rsidRPr="000C6F7B">
        <w:t xml:space="preserve"> (1864962135): The Council.</w:t>
      </w:r>
    </w:p>
    <w:p w14:paraId="7C2A49FB" w14:textId="77777777" w:rsidR="000C6F7B" w:rsidRPr="000C6F7B" w:rsidRDefault="000C6F7B" w:rsidP="000C6F7B">
      <w:pPr>
        <w:pStyle w:val="EndNoteBibliography"/>
        <w:spacing w:after="240"/>
      </w:pPr>
      <w:r w:rsidRPr="000C6F7B">
        <w:t xml:space="preserve">Nayoski, N., &amp; Hodgins, D. C. (2016). The efficacy of individual community reinforcement and family training (CRAFT) for concerned significant others of problem gamblers. </w:t>
      </w:r>
      <w:r w:rsidRPr="000C6F7B">
        <w:rPr>
          <w:i/>
        </w:rPr>
        <w:t>Journal of Gambling Issues</w:t>
      </w:r>
      <w:r w:rsidRPr="000C6F7B">
        <w:t>(33), 189-212.</w:t>
      </w:r>
    </w:p>
    <w:p w14:paraId="740E6160" w14:textId="77777777" w:rsidR="000C6F7B" w:rsidRPr="000C6F7B" w:rsidRDefault="000C6F7B" w:rsidP="000C6F7B">
      <w:pPr>
        <w:pStyle w:val="EndNoteBibliography"/>
        <w:spacing w:after="240"/>
      </w:pPr>
      <w:r w:rsidRPr="000C6F7B">
        <w:t xml:space="preserve">Nieweglowski, K., Corrigan, P. W., Tyas, T., Tooley, A., Dubke, R., Lara, J., . . . Team, A. S. R. (2018). Exploring the public stigma of substance use disorder through community-based participatory research. </w:t>
      </w:r>
      <w:r w:rsidRPr="000C6F7B">
        <w:rPr>
          <w:i/>
        </w:rPr>
        <w:t>Addiction Research &amp; Theory, 26</w:t>
      </w:r>
      <w:r w:rsidRPr="000C6F7B">
        <w:t>(4), 323-329.</w:t>
      </w:r>
    </w:p>
    <w:p w14:paraId="7C1B979C" w14:textId="77777777" w:rsidR="000C6F7B" w:rsidRPr="000C6F7B" w:rsidRDefault="000C6F7B" w:rsidP="000C6F7B">
      <w:pPr>
        <w:pStyle w:val="EndNoteBibliography"/>
        <w:spacing w:after="240"/>
      </w:pPr>
      <w:r w:rsidRPr="000C6F7B">
        <w:t xml:space="preserve">Nikora, L. W., LaBoucane-Benson, P., Bublitz, B., &amp; McClintock, K. (2016). A New Beginning for Indigenous Wellbeing–Guest Editorial. </w:t>
      </w:r>
      <w:r w:rsidRPr="000C6F7B">
        <w:rPr>
          <w:i/>
        </w:rPr>
        <w:t>Journal of Indigenous Wellbeing, 1</w:t>
      </w:r>
      <w:r w:rsidRPr="000C6F7B">
        <w:t>(1), 1-4.</w:t>
      </w:r>
    </w:p>
    <w:p w14:paraId="6A992F14" w14:textId="77777777" w:rsidR="000C6F7B" w:rsidRPr="000C6F7B" w:rsidRDefault="000C6F7B" w:rsidP="000C6F7B">
      <w:pPr>
        <w:pStyle w:val="EndNoteBibliography"/>
        <w:spacing w:after="240"/>
      </w:pPr>
      <w:r w:rsidRPr="000C6F7B">
        <w:lastRenderedPageBreak/>
        <w:t xml:space="preserve">Nilsson, A., Magnusson, K., Carlbring, P., Andersson, G., &amp; Hellner, C. (2019). Behavioral couples therapy versus cognitive behavioral therapy for problem gambling: a randomized controlled trial. </w:t>
      </w:r>
      <w:r w:rsidRPr="000C6F7B">
        <w:rPr>
          <w:i/>
        </w:rPr>
        <w:t>Addiction</w:t>
      </w:r>
      <w:r w:rsidRPr="000C6F7B">
        <w:t>.</w:t>
      </w:r>
    </w:p>
    <w:p w14:paraId="29E6E119" w14:textId="77777777" w:rsidR="000C6F7B" w:rsidRPr="000C6F7B" w:rsidRDefault="000C6F7B" w:rsidP="000C6F7B">
      <w:pPr>
        <w:pStyle w:val="EndNoteBibliography"/>
        <w:spacing w:after="240"/>
      </w:pPr>
      <w:r w:rsidRPr="000C6F7B">
        <w:t xml:space="preserve">Nower, L., &amp; Blaszczynski, A. (2008). Recovery in pathological gambling: An imprecise concept. </w:t>
      </w:r>
      <w:r w:rsidRPr="000C6F7B">
        <w:rPr>
          <w:i/>
        </w:rPr>
        <w:t>Substance use &amp; misuse, 43</w:t>
      </w:r>
      <w:r w:rsidRPr="000C6F7B">
        <w:t>(12-13), 1844-1864.</w:t>
      </w:r>
    </w:p>
    <w:p w14:paraId="3BC1BAA0" w14:textId="77777777" w:rsidR="000C6F7B" w:rsidRPr="000C6F7B" w:rsidRDefault="000C6F7B" w:rsidP="000C6F7B">
      <w:pPr>
        <w:pStyle w:val="EndNoteBibliography"/>
        <w:spacing w:after="240"/>
      </w:pPr>
      <w:r w:rsidRPr="000C6F7B">
        <w:t xml:space="preserve">NSW Department of Industry. (2019). </w:t>
      </w:r>
      <w:r w:rsidRPr="000C6F7B">
        <w:rPr>
          <w:i/>
        </w:rPr>
        <w:t>Department of industry annual report [Report to stakeholders]</w:t>
      </w:r>
      <w:r w:rsidRPr="000C6F7B">
        <w:t>. Australia, NSW.</w:t>
      </w:r>
    </w:p>
    <w:p w14:paraId="23354A3A" w14:textId="77777777" w:rsidR="000C6F7B" w:rsidRPr="000C6F7B" w:rsidRDefault="000C6F7B" w:rsidP="000C6F7B">
      <w:pPr>
        <w:pStyle w:val="EndNoteBibliography"/>
        <w:spacing w:after="240"/>
      </w:pPr>
      <w:r w:rsidRPr="000C6F7B">
        <w:t xml:space="preserve">O’Farrell, T. J., &amp; Clements, K. (2012). Review of outcome research on marital and family therapy in treatment for alcoholism. </w:t>
      </w:r>
      <w:r w:rsidRPr="000C6F7B">
        <w:rPr>
          <w:i/>
        </w:rPr>
        <w:t>Journal of marital and family therapy, 38</w:t>
      </w:r>
      <w:r w:rsidRPr="000C6F7B">
        <w:t>(1), 122-144.</w:t>
      </w:r>
    </w:p>
    <w:p w14:paraId="13F5E524" w14:textId="77777777" w:rsidR="000C6F7B" w:rsidRPr="000C6F7B" w:rsidRDefault="000C6F7B" w:rsidP="000C6F7B">
      <w:pPr>
        <w:pStyle w:val="EndNoteBibliography"/>
        <w:spacing w:after="240"/>
      </w:pPr>
      <w:r w:rsidRPr="000C6F7B">
        <w:t xml:space="preserve">Orford, J. (1990). Alcohol and the family. In </w:t>
      </w:r>
      <w:r w:rsidRPr="000C6F7B">
        <w:rPr>
          <w:i/>
        </w:rPr>
        <w:t>Research advances in alcohol and drug problems</w:t>
      </w:r>
      <w:r w:rsidRPr="000C6F7B">
        <w:t xml:space="preserve"> (pp. 81-155): Springer.</w:t>
      </w:r>
    </w:p>
    <w:p w14:paraId="33CDC295" w14:textId="77777777" w:rsidR="000C6F7B" w:rsidRPr="000C6F7B" w:rsidRDefault="000C6F7B" w:rsidP="000C6F7B">
      <w:pPr>
        <w:pStyle w:val="EndNoteBibliography"/>
        <w:spacing w:after="240"/>
      </w:pPr>
      <w:r w:rsidRPr="000C6F7B">
        <w:t xml:space="preserve">Orford, J. (1994). Empowering family and friends: a new approach to the secondary prevention of addiction. </w:t>
      </w:r>
      <w:r w:rsidRPr="000C6F7B">
        <w:rPr>
          <w:i/>
        </w:rPr>
        <w:t>Drug and alcohol review, 13</w:t>
      </w:r>
      <w:r w:rsidRPr="000C6F7B">
        <w:t>(4), 417-429.</w:t>
      </w:r>
    </w:p>
    <w:p w14:paraId="6A0086BD" w14:textId="77777777" w:rsidR="000C6F7B" w:rsidRPr="000C6F7B" w:rsidRDefault="000C6F7B" w:rsidP="000C6F7B">
      <w:pPr>
        <w:pStyle w:val="EndNoteBibliography"/>
        <w:spacing w:after="240"/>
      </w:pPr>
      <w:r w:rsidRPr="000C6F7B">
        <w:t xml:space="preserve">Orford, J. (2014). A response to Calderwood and Rajesparam's ideas on codependence. </w:t>
      </w:r>
      <w:r w:rsidRPr="000C6F7B">
        <w:rPr>
          <w:i/>
        </w:rPr>
        <w:t>Journal of Gambling Issues</w:t>
      </w:r>
      <w:r w:rsidRPr="000C6F7B">
        <w:t>(29), 1-4.</w:t>
      </w:r>
    </w:p>
    <w:p w14:paraId="1A02AE4E" w14:textId="77777777" w:rsidR="000C6F7B" w:rsidRPr="000C6F7B" w:rsidRDefault="000C6F7B" w:rsidP="000C6F7B">
      <w:pPr>
        <w:pStyle w:val="EndNoteBibliography"/>
        <w:spacing w:after="240"/>
      </w:pPr>
      <w:r w:rsidRPr="000C6F7B">
        <w:t xml:space="preserve">Orford, J., Copello, A., Velleman, R., &amp; Templeton, L. (2010). Family members affected by a close relative's addiction: The stress-strain-coping-support model. </w:t>
      </w:r>
      <w:r w:rsidRPr="000C6F7B">
        <w:rPr>
          <w:i/>
        </w:rPr>
        <w:t>Drugs: education, prevention and policy, 17</w:t>
      </w:r>
      <w:r w:rsidRPr="000C6F7B">
        <w:t>(sup1), 36-43.</w:t>
      </w:r>
    </w:p>
    <w:p w14:paraId="66DF6E0E" w14:textId="77777777" w:rsidR="000C6F7B" w:rsidRPr="000C6F7B" w:rsidRDefault="000C6F7B" w:rsidP="000C6F7B">
      <w:pPr>
        <w:pStyle w:val="EndNoteBibliography"/>
        <w:spacing w:after="240"/>
      </w:pPr>
      <w:r w:rsidRPr="000C6F7B">
        <w:t xml:space="preserve">Orford, J., Cousins, J., Smith, N., &amp; Bowden-Jones, H. (2017). Stress, strain, coping and social support for affected family members attending the National Problem Gambling Clinic, London. </w:t>
      </w:r>
      <w:r w:rsidRPr="000C6F7B">
        <w:rPr>
          <w:i/>
        </w:rPr>
        <w:t>International Gambling Studies, 17</w:t>
      </w:r>
      <w:r w:rsidRPr="000C6F7B">
        <w:t>(2), 259-275.</w:t>
      </w:r>
    </w:p>
    <w:p w14:paraId="40F14ABE" w14:textId="77777777" w:rsidR="000C6F7B" w:rsidRPr="000C6F7B" w:rsidRDefault="000C6F7B" w:rsidP="000C6F7B">
      <w:pPr>
        <w:pStyle w:val="EndNoteBibliography"/>
        <w:spacing w:after="240"/>
      </w:pPr>
      <w:r w:rsidRPr="000C6F7B">
        <w:t xml:space="preserve">Orford, J., Templeton, L., Copello, A., Velleman, R., Ibanga, A., &amp; Binnie, C. (2009). Increasing the involvement of family members in alcohol and drug treatment services: The results of an action research project in two specialist agencies. </w:t>
      </w:r>
      <w:r w:rsidRPr="000C6F7B">
        <w:rPr>
          <w:i/>
        </w:rPr>
        <w:t>Drugs: education, prevention and policy, 16</w:t>
      </w:r>
      <w:r w:rsidRPr="000C6F7B">
        <w:t>(5), 379-408.</w:t>
      </w:r>
    </w:p>
    <w:p w14:paraId="182773F4" w14:textId="77777777" w:rsidR="000C6F7B" w:rsidRPr="000C6F7B" w:rsidRDefault="000C6F7B" w:rsidP="000C6F7B">
      <w:pPr>
        <w:pStyle w:val="EndNoteBibliography"/>
        <w:spacing w:after="240"/>
      </w:pPr>
      <w:r w:rsidRPr="000C6F7B">
        <w:t xml:space="preserve">Orford, J., Templeton, L., Patel, A., Copello, A., &amp; Velleman, R. (2007). The 5-Step family intervention in primary care: I. Strengths and limitations according to family members. </w:t>
      </w:r>
      <w:r w:rsidRPr="000C6F7B">
        <w:rPr>
          <w:i/>
        </w:rPr>
        <w:t>Drugs: education, prevention and policy, 14</w:t>
      </w:r>
      <w:r w:rsidRPr="000C6F7B">
        <w:t>(1), 29-47.</w:t>
      </w:r>
    </w:p>
    <w:p w14:paraId="638B7915" w14:textId="77777777" w:rsidR="000C6F7B" w:rsidRPr="000C6F7B" w:rsidRDefault="000C6F7B" w:rsidP="000C6F7B">
      <w:pPr>
        <w:pStyle w:val="EndNoteBibliography"/>
        <w:spacing w:after="240"/>
      </w:pPr>
      <w:r w:rsidRPr="000C6F7B">
        <w:t xml:space="preserve">Orford, J., Templeton, L., Patel, A., Velleman, R., &amp; Copello, A. (2007). The 5-Step family intervention in primary care: II. The views of primary healthcare professionals. </w:t>
      </w:r>
      <w:r w:rsidRPr="000C6F7B">
        <w:rPr>
          <w:i/>
        </w:rPr>
        <w:t>Drugs: education, prevention and policy, 14</w:t>
      </w:r>
      <w:r w:rsidRPr="000C6F7B">
        <w:t>(2), 117-135.</w:t>
      </w:r>
    </w:p>
    <w:p w14:paraId="7EB5FC66" w14:textId="77777777" w:rsidR="000C6F7B" w:rsidRPr="000C6F7B" w:rsidRDefault="000C6F7B" w:rsidP="000C6F7B">
      <w:pPr>
        <w:pStyle w:val="EndNoteBibliography"/>
        <w:spacing w:after="240"/>
      </w:pPr>
      <w:r w:rsidRPr="000C6F7B">
        <w:t xml:space="preserve">Orford, J., Templeton, L., Velleman, R., &amp; Copello, A. (2005). Family members of relatives with alcohol, drug and gambling problems: a set of standardized questionnaires for assessing stress, coping and strain. </w:t>
      </w:r>
      <w:r w:rsidRPr="000C6F7B">
        <w:rPr>
          <w:i/>
        </w:rPr>
        <w:t>Addiction, 100</w:t>
      </w:r>
      <w:r w:rsidRPr="000C6F7B">
        <w:t>(11), 1611-1624.</w:t>
      </w:r>
    </w:p>
    <w:p w14:paraId="02D47A25" w14:textId="77777777" w:rsidR="000C6F7B" w:rsidRPr="000C6F7B" w:rsidRDefault="000C6F7B" w:rsidP="000C6F7B">
      <w:pPr>
        <w:pStyle w:val="EndNoteBibliography"/>
        <w:spacing w:after="240"/>
      </w:pPr>
      <w:r w:rsidRPr="000C6F7B">
        <w:t xml:space="preserve">Orford, J., Velleman, R., Natera, G., Templeton, L., &amp; Copello, A. (2013). Addiction in the family is a major but neglected contributor to the global burden of adult ill-health. </w:t>
      </w:r>
      <w:r w:rsidRPr="000C6F7B">
        <w:rPr>
          <w:i/>
        </w:rPr>
        <w:t>Social science &amp; medicine, 78</w:t>
      </w:r>
      <w:r w:rsidRPr="000C6F7B">
        <w:t>, 70-77.</w:t>
      </w:r>
    </w:p>
    <w:p w14:paraId="526344EE" w14:textId="77777777" w:rsidR="000C6F7B" w:rsidRPr="000C6F7B" w:rsidRDefault="000C6F7B" w:rsidP="000C6F7B">
      <w:pPr>
        <w:pStyle w:val="EndNoteBibliography"/>
        <w:spacing w:after="240"/>
      </w:pPr>
      <w:r w:rsidRPr="000C6F7B">
        <w:lastRenderedPageBreak/>
        <w:t xml:space="preserve">Osilla, K. C., Trail, T. E., Pedersen, E. R., Gore, K. L., Tolpadi, A., &amp; Rodriguez, L. M. (2018). Efficacy of a web‐based intervention for concerned spouses of service members and veterans with alcohol misuse. </w:t>
      </w:r>
      <w:r w:rsidRPr="000C6F7B">
        <w:rPr>
          <w:i/>
        </w:rPr>
        <w:t>Journal of marital and family therapy, 44</w:t>
      </w:r>
      <w:r w:rsidRPr="000C6F7B">
        <w:t>(2), 292-306.</w:t>
      </w:r>
    </w:p>
    <w:p w14:paraId="63CDFB25" w14:textId="77777777" w:rsidR="000C6F7B" w:rsidRPr="000C6F7B" w:rsidRDefault="000C6F7B" w:rsidP="000C6F7B">
      <w:pPr>
        <w:pStyle w:val="EndNoteBibliography"/>
        <w:spacing w:after="240"/>
      </w:pPr>
      <w:r w:rsidRPr="000C6F7B">
        <w:t xml:space="preserve">Palmer du Preez, K., Bellringer, M., Pearson, J., Dowling, N., Suomi, A., Koziol-Mclain, J., . . . Jackson, A. (2018). Family violence in gambling help-seeking populations. </w:t>
      </w:r>
      <w:r w:rsidRPr="000C6F7B">
        <w:rPr>
          <w:i/>
        </w:rPr>
        <w:t>International Gambling Studies, 18</w:t>
      </w:r>
      <w:r w:rsidRPr="000C6F7B">
        <w:t>(3), 477-494.</w:t>
      </w:r>
    </w:p>
    <w:p w14:paraId="23B07550" w14:textId="77777777" w:rsidR="000C6F7B" w:rsidRPr="000C6F7B" w:rsidRDefault="000C6F7B" w:rsidP="000C6F7B">
      <w:pPr>
        <w:pStyle w:val="EndNoteBibliography"/>
        <w:spacing w:after="240"/>
      </w:pPr>
      <w:r w:rsidRPr="000C6F7B">
        <w:t>Patterson, R., Durie, M., Disley, B., Tiatia-Seath, S., &amp; Tualamali'i, J. (2018). He Ara Oranga: Report of the government inquiry into mental health and addiction.</w:t>
      </w:r>
    </w:p>
    <w:p w14:paraId="44180196" w14:textId="77777777" w:rsidR="000C6F7B" w:rsidRPr="000C6F7B" w:rsidRDefault="000C6F7B" w:rsidP="000C6F7B">
      <w:pPr>
        <w:pStyle w:val="EndNoteBibliography"/>
        <w:spacing w:after="240"/>
      </w:pPr>
      <w:r w:rsidRPr="000C6F7B">
        <w:t xml:space="preserve">Perron, B. E., Mowbray, O. P., Glass, J. E., Delva, J., Vaughn, M. G., &amp; Howard, M. O. (2009). Differences in service utilization and barriers among Blacks, Hispanics, and Whites with drug use disorders. </w:t>
      </w:r>
      <w:r w:rsidRPr="000C6F7B">
        <w:rPr>
          <w:i/>
        </w:rPr>
        <w:t>Substance Abuse Treatment, Prevention, and Policy, 4</w:t>
      </w:r>
      <w:r w:rsidRPr="000C6F7B">
        <w:t>(1), 3.</w:t>
      </w:r>
    </w:p>
    <w:p w14:paraId="1882CF60" w14:textId="77777777" w:rsidR="000C6F7B" w:rsidRPr="000C6F7B" w:rsidRDefault="000C6F7B" w:rsidP="000C6F7B">
      <w:pPr>
        <w:pStyle w:val="EndNoteBibliography"/>
        <w:spacing w:after="240"/>
      </w:pPr>
      <w:r w:rsidRPr="000C6F7B">
        <w:t xml:space="preserve">Petry, N. M., &amp; Steinberg, K. L. (2005). Childhood maltreatment in male and female treatment-seeking pathological gamblers. </w:t>
      </w:r>
      <w:r w:rsidRPr="000C6F7B">
        <w:rPr>
          <w:i/>
        </w:rPr>
        <w:t>Psychology of Addictive Behaviors, 19</w:t>
      </w:r>
      <w:r w:rsidRPr="000C6F7B">
        <w:t>(2), 226.</w:t>
      </w:r>
    </w:p>
    <w:p w14:paraId="3BF930A7" w14:textId="77777777" w:rsidR="000C6F7B" w:rsidRPr="000C6F7B" w:rsidRDefault="000C6F7B" w:rsidP="000C6F7B">
      <w:pPr>
        <w:pStyle w:val="EndNoteBibliography"/>
        <w:spacing w:after="240"/>
      </w:pPr>
      <w:r w:rsidRPr="000C6F7B">
        <w:t xml:space="preserve">PGF Group. (2018). </w:t>
      </w:r>
      <w:r w:rsidRPr="000C6F7B">
        <w:rPr>
          <w:i/>
        </w:rPr>
        <w:t>Problem Gambling Foundation of NZ: Report to stakeholders 2018 [Report to stakeholders]</w:t>
      </w:r>
      <w:r w:rsidRPr="000C6F7B">
        <w:t>.</w:t>
      </w:r>
    </w:p>
    <w:p w14:paraId="7C457BD0" w14:textId="77777777" w:rsidR="000C6F7B" w:rsidRPr="000C6F7B" w:rsidRDefault="000C6F7B" w:rsidP="000C6F7B">
      <w:pPr>
        <w:pStyle w:val="EndNoteBibliography"/>
        <w:spacing w:after="240"/>
      </w:pPr>
      <w:r w:rsidRPr="000C6F7B">
        <w:t xml:space="preserve">PGF Group. (2019). </w:t>
      </w:r>
      <w:r w:rsidRPr="000C6F7B">
        <w:rPr>
          <w:i/>
        </w:rPr>
        <w:t>PGF Group: Healthy and resilient communities in a just society [Report to stakeholders]</w:t>
      </w:r>
      <w:r w:rsidRPr="000C6F7B">
        <w:t>.</w:t>
      </w:r>
    </w:p>
    <w:p w14:paraId="24F3B3D8" w14:textId="6A429E8D" w:rsidR="000C6F7B" w:rsidRPr="000C6F7B" w:rsidRDefault="000C6F7B" w:rsidP="000C6F7B">
      <w:pPr>
        <w:pStyle w:val="EndNoteBibliography"/>
        <w:spacing w:after="240"/>
      </w:pPr>
      <w:r w:rsidRPr="000C6F7B">
        <w:t xml:space="preserve">PGF Services. (2019a). </w:t>
      </w:r>
      <w:r w:rsidRPr="000C6F7B">
        <w:rPr>
          <w:i/>
        </w:rPr>
        <w:t>Children are more likely to suffer physical violence or abuse if they have parents with problem gambling, especially when combined with other problems such as alcohol abuse [Facebook status update]</w:t>
      </w:r>
      <w:r w:rsidRPr="000C6F7B">
        <w:t xml:space="preserve">. Retrieved from </w:t>
      </w:r>
      <w:hyperlink r:id="rId72" w:history="1">
        <w:r w:rsidRPr="000C6F7B">
          <w:rPr>
            <w:rStyle w:val="Hyperlink"/>
          </w:rPr>
          <w:t>https://www.facebook.com/PGFNZ/posts/10156885378840482</w:t>
        </w:r>
      </w:hyperlink>
    </w:p>
    <w:p w14:paraId="6C561BF3" w14:textId="69814926" w:rsidR="000C6F7B" w:rsidRPr="000C6F7B" w:rsidRDefault="000C6F7B" w:rsidP="000C6F7B">
      <w:pPr>
        <w:pStyle w:val="EndNoteBibliography"/>
        <w:spacing w:after="240"/>
      </w:pPr>
      <w:r w:rsidRPr="000C6F7B">
        <w:t xml:space="preserve">PGF Services. (2019b). </w:t>
      </w:r>
      <w:r w:rsidRPr="000C6F7B">
        <w:rPr>
          <w:i/>
        </w:rPr>
        <w:t>How can you support someone struggling with a gambling problem this holiday season? [Facebook status update]</w:t>
      </w:r>
      <w:r w:rsidRPr="000C6F7B">
        <w:t xml:space="preserve">. Retrieved from </w:t>
      </w:r>
      <w:hyperlink r:id="rId73" w:history="1">
        <w:r w:rsidRPr="000C6F7B">
          <w:rPr>
            <w:rStyle w:val="Hyperlink"/>
          </w:rPr>
          <w:t>https://www.facebook.com/PGFNZ/posts/10157577083600482</w:t>
        </w:r>
      </w:hyperlink>
    </w:p>
    <w:p w14:paraId="17E8DA67" w14:textId="28FD6380" w:rsidR="000C6F7B" w:rsidRPr="000C6F7B" w:rsidRDefault="000C6F7B" w:rsidP="000C6F7B">
      <w:pPr>
        <w:pStyle w:val="EndNoteBibliography"/>
        <w:spacing w:after="240"/>
      </w:pPr>
      <w:r w:rsidRPr="000C6F7B">
        <w:t xml:space="preserve">PGF Services. (n.d.-a). </w:t>
      </w:r>
      <w:r w:rsidRPr="000C6F7B">
        <w:rPr>
          <w:i/>
        </w:rPr>
        <w:t>20 questions from Gam-Anon</w:t>
      </w:r>
      <w:r w:rsidRPr="000C6F7B">
        <w:t xml:space="preserve">. Retrieved from </w:t>
      </w:r>
      <w:hyperlink r:id="rId74" w:history="1">
        <w:r w:rsidRPr="000C6F7B">
          <w:rPr>
            <w:rStyle w:val="Hyperlink"/>
          </w:rPr>
          <w:t>https://www.pgf.nz/test-someone-elses-gambling.html</w:t>
        </w:r>
      </w:hyperlink>
    </w:p>
    <w:p w14:paraId="773E3B17" w14:textId="4ABA87C2" w:rsidR="000C6F7B" w:rsidRPr="000C6F7B" w:rsidRDefault="000C6F7B" w:rsidP="000C6F7B">
      <w:pPr>
        <w:pStyle w:val="EndNoteBibliography"/>
        <w:spacing w:after="240"/>
      </w:pPr>
      <w:r w:rsidRPr="000C6F7B">
        <w:t xml:space="preserve">PGF Services. (n.d.-b). </w:t>
      </w:r>
      <w:r w:rsidRPr="000C6F7B">
        <w:rPr>
          <w:i/>
        </w:rPr>
        <w:t>Gambling support groups: Auckland</w:t>
      </w:r>
      <w:r w:rsidRPr="000C6F7B">
        <w:t xml:space="preserve">. Retrieved from </w:t>
      </w:r>
      <w:hyperlink r:id="rId75" w:history="1">
        <w:r w:rsidRPr="000C6F7B">
          <w:rPr>
            <w:rStyle w:val="Hyperlink"/>
          </w:rPr>
          <w:t>https://www.pgf.nz/gambling-support-groups.html</w:t>
        </w:r>
      </w:hyperlink>
    </w:p>
    <w:p w14:paraId="054D4F3D" w14:textId="77777777" w:rsidR="000C6F7B" w:rsidRPr="000C6F7B" w:rsidRDefault="000C6F7B" w:rsidP="000C6F7B">
      <w:pPr>
        <w:pStyle w:val="EndNoteBibliography"/>
        <w:spacing w:after="240"/>
      </w:pPr>
      <w:r w:rsidRPr="000C6F7B">
        <w:t>PGF Services. (n.d.-c). Get Help.</w:t>
      </w:r>
    </w:p>
    <w:p w14:paraId="38041AFA" w14:textId="50FA8203" w:rsidR="000C6F7B" w:rsidRPr="000C6F7B" w:rsidRDefault="000C6F7B" w:rsidP="000C6F7B">
      <w:pPr>
        <w:pStyle w:val="EndNoteBibliography"/>
        <w:spacing w:after="240"/>
      </w:pPr>
      <w:r w:rsidRPr="000C6F7B">
        <w:t>Pidd, H. (2020, 25 September). Inquest into suicide of gambling addict will explore if UK state failed him.</w:t>
      </w:r>
      <w:r w:rsidRPr="000C6F7B">
        <w:rPr>
          <w:i/>
        </w:rPr>
        <w:t xml:space="preserve"> The Guardian</w:t>
      </w:r>
      <w:r w:rsidRPr="000C6F7B">
        <w:t xml:space="preserve">. Retrieved from </w:t>
      </w:r>
      <w:hyperlink r:id="rId76" w:history="1">
        <w:r w:rsidRPr="000C6F7B">
          <w:rPr>
            <w:rStyle w:val="Hyperlink"/>
          </w:rPr>
          <w:t>https://www.theguardian.com/society/2020/sep/25/inquest-into-suicide-of-gambling-addict-to-explore-if-uk-state-failed-him</w:t>
        </w:r>
      </w:hyperlink>
    </w:p>
    <w:p w14:paraId="5D6F96CA" w14:textId="6BA190B9" w:rsidR="000C6F7B" w:rsidRPr="000C6F7B" w:rsidRDefault="000C6F7B" w:rsidP="000C6F7B">
      <w:pPr>
        <w:pStyle w:val="EndNoteBibliography"/>
        <w:spacing w:after="240"/>
      </w:pPr>
      <w:r w:rsidRPr="000C6F7B">
        <w:t xml:space="preserve">Provincial System Support Program. (2020). </w:t>
      </w:r>
      <w:r w:rsidRPr="000C6F7B">
        <w:rPr>
          <w:i/>
        </w:rPr>
        <w:t>Call for members: Lived experience and advisory panel</w:t>
      </w:r>
      <w:r w:rsidRPr="000C6F7B">
        <w:t xml:space="preserve">. Retrieved from </w:t>
      </w:r>
      <w:hyperlink r:id="rId77" w:history="1">
        <w:r w:rsidRPr="000C6F7B">
          <w:rPr>
            <w:rStyle w:val="Hyperlink"/>
          </w:rPr>
          <w:t>https://www.eenet.ca/article/call-members-lived-experience-family-advisory-panel</w:t>
        </w:r>
      </w:hyperlink>
    </w:p>
    <w:p w14:paraId="0796114A" w14:textId="070F029F" w:rsidR="000C6F7B" w:rsidRPr="000C6F7B" w:rsidRDefault="000C6F7B" w:rsidP="000C6F7B">
      <w:pPr>
        <w:pStyle w:val="EndNoteBibliography"/>
        <w:spacing w:after="240"/>
      </w:pPr>
      <w:r w:rsidRPr="000C6F7B">
        <w:lastRenderedPageBreak/>
        <w:t xml:space="preserve">Provincial System Support Program [@CAMH_PSSP]. (2018). </w:t>
      </w:r>
      <w:r w:rsidRPr="000C6F7B">
        <w:rPr>
          <w:i/>
        </w:rPr>
        <w:t>Call for members: Lived experience and family advisory panel [Twitter post]</w:t>
      </w:r>
      <w:r w:rsidRPr="000C6F7B">
        <w:t xml:space="preserve">. Retrieved from </w:t>
      </w:r>
      <w:hyperlink r:id="rId78" w:history="1">
        <w:r w:rsidRPr="000C6F7B">
          <w:rPr>
            <w:rStyle w:val="Hyperlink"/>
          </w:rPr>
          <w:t>https://www.eenet.ca/article/call-members-lived-experience-family-advisory-panel</w:t>
        </w:r>
      </w:hyperlink>
    </w:p>
    <w:p w14:paraId="7FE48758" w14:textId="3DD49FFD" w:rsidR="000C6F7B" w:rsidRPr="000C6F7B" w:rsidRDefault="000C6F7B" w:rsidP="000C6F7B">
      <w:pPr>
        <w:pStyle w:val="EndNoteBibliography"/>
        <w:spacing w:after="240"/>
      </w:pPr>
      <w:r w:rsidRPr="000C6F7B">
        <w:t xml:space="preserve">Raki, M. (2017). </w:t>
      </w:r>
      <w:r w:rsidRPr="000C6F7B">
        <w:rPr>
          <w:i/>
        </w:rPr>
        <w:t>Helping families to find a balance in an unbalanced world</w:t>
      </w:r>
      <w:r w:rsidRPr="000C6F7B">
        <w:t xml:space="preserve">. Retrieved 2 October, 2020, from </w:t>
      </w:r>
      <w:hyperlink r:id="rId79" w:history="1">
        <w:r w:rsidRPr="000C6F7B">
          <w:rPr>
            <w:rStyle w:val="Hyperlink"/>
          </w:rPr>
          <w:t>https://www.matuaraki.org.nz/news/helping-families-to-find-a-balance-in-an-unbalanced-world/1036</w:t>
        </w:r>
      </w:hyperlink>
    </w:p>
    <w:p w14:paraId="7FEDAD7D" w14:textId="5C6FDA46" w:rsidR="000C6F7B" w:rsidRPr="000C6F7B" w:rsidRDefault="000C6F7B" w:rsidP="000C6F7B">
      <w:pPr>
        <w:pStyle w:val="EndNoteBibliography"/>
        <w:spacing w:after="240"/>
      </w:pPr>
      <w:r w:rsidRPr="000C6F7B">
        <w:t xml:space="preserve">Raukura Hauora O Tainui. (2020). </w:t>
      </w:r>
      <w:r w:rsidRPr="000C6F7B">
        <w:rPr>
          <w:i/>
        </w:rPr>
        <w:t>Problem Gambling Services - Māori: Te Piringa Tupono</w:t>
      </w:r>
      <w:r w:rsidRPr="000C6F7B">
        <w:t xml:space="preserve">. Retrieved from </w:t>
      </w:r>
      <w:hyperlink r:id="rId80" w:history="1">
        <w:r w:rsidRPr="000C6F7B">
          <w:rPr>
            <w:rStyle w:val="Hyperlink"/>
          </w:rPr>
          <w:t>https://www.raukura.org.nz/english/services/addictions-services/problem-gambling-services-maori/</w:t>
        </w:r>
      </w:hyperlink>
    </w:p>
    <w:p w14:paraId="27E5C6D1" w14:textId="77777777" w:rsidR="000C6F7B" w:rsidRPr="000C6F7B" w:rsidRDefault="000C6F7B" w:rsidP="000C6F7B">
      <w:pPr>
        <w:pStyle w:val="EndNoteBibliography"/>
        <w:spacing w:after="240"/>
      </w:pPr>
      <w:r w:rsidRPr="000C6F7B">
        <w:t xml:space="preserve">Reason, P., &amp; Torbert, W. (2001). The action turn: Toward a transformational social science. </w:t>
      </w:r>
      <w:r w:rsidRPr="000C6F7B">
        <w:rPr>
          <w:i/>
        </w:rPr>
        <w:t>Concepts and transformation, 6</w:t>
      </w:r>
      <w:r w:rsidRPr="000C6F7B">
        <w:t>(1), 1-37.</w:t>
      </w:r>
    </w:p>
    <w:p w14:paraId="1C25A6DE" w14:textId="77777777" w:rsidR="000C6F7B" w:rsidRPr="000C6F7B" w:rsidRDefault="000C6F7B" w:rsidP="000C6F7B">
      <w:pPr>
        <w:pStyle w:val="EndNoteBibliography"/>
        <w:spacing w:after="240"/>
      </w:pPr>
      <w:r w:rsidRPr="000C6F7B">
        <w:t xml:space="preserve">Reith, G. (2007). Gambling and the contradictions of consumption: A genealogy of the “pathological” subject. </w:t>
      </w:r>
      <w:r w:rsidRPr="000C6F7B">
        <w:rPr>
          <w:i/>
        </w:rPr>
        <w:t>American Behavioral Scientist, 51</w:t>
      </w:r>
      <w:r w:rsidRPr="000C6F7B">
        <w:t>(1), 33-55.</w:t>
      </w:r>
    </w:p>
    <w:p w14:paraId="57D44EAA" w14:textId="77777777" w:rsidR="000C6F7B" w:rsidRPr="000C6F7B" w:rsidRDefault="000C6F7B" w:rsidP="000C6F7B">
      <w:pPr>
        <w:pStyle w:val="EndNoteBibliography"/>
        <w:spacing w:after="240"/>
      </w:pPr>
      <w:r w:rsidRPr="000C6F7B">
        <w:t xml:space="preserve">Reith, G., &amp; Dobbie, F. (2012). Lost in the game: Narratives of addiction and identity in recovery from problem gambling. </w:t>
      </w:r>
      <w:r w:rsidRPr="000C6F7B">
        <w:rPr>
          <w:i/>
        </w:rPr>
        <w:t>Addiction Research &amp; Theory, 20</w:t>
      </w:r>
      <w:r w:rsidRPr="000C6F7B">
        <w:t>(6), 511-521.</w:t>
      </w:r>
    </w:p>
    <w:p w14:paraId="0E5E3C1C" w14:textId="00B85583" w:rsidR="000C6F7B" w:rsidRPr="000C6F7B" w:rsidRDefault="000C6F7B" w:rsidP="000C6F7B">
      <w:pPr>
        <w:pStyle w:val="EndNoteBibliography"/>
        <w:spacing w:after="240"/>
      </w:pPr>
      <w:r w:rsidRPr="000C6F7B">
        <w:t xml:space="preserve">Responsible Gambling NSW. (n.d.). </w:t>
      </w:r>
      <w:r w:rsidRPr="000C6F7B">
        <w:rPr>
          <w:i/>
        </w:rPr>
        <w:t>Gambling check-in tool</w:t>
      </w:r>
      <w:r w:rsidRPr="000C6F7B">
        <w:t xml:space="preserve">. Retrieved from </w:t>
      </w:r>
      <w:hyperlink r:id="rId81" w:history="1">
        <w:r w:rsidRPr="000C6F7B">
          <w:rPr>
            <w:rStyle w:val="Hyperlink"/>
          </w:rPr>
          <w:t>https://www.responsiblegambling.nsw.gov.au/check-in/quiz</w:t>
        </w:r>
      </w:hyperlink>
    </w:p>
    <w:p w14:paraId="2C4A53DB" w14:textId="77777777" w:rsidR="000C6F7B" w:rsidRPr="000C6F7B" w:rsidRDefault="000C6F7B" w:rsidP="000C6F7B">
      <w:pPr>
        <w:pStyle w:val="EndNoteBibliography"/>
        <w:spacing w:after="240"/>
      </w:pPr>
      <w:r w:rsidRPr="000C6F7B">
        <w:t xml:space="preserve">Rey, G. N., Mora-Ríos, J., Sainz, M. T., &amp; Aguilar, P. M. (2010). An international perspective: Constructing intervention strategies for families in Mexico. </w:t>
      </w:r>
      <w:r w:rsidRPr="000C6F7B">
        <w:rPr>
          <w:i/>
        </w:rPr>
        <w:t>Drugs: education, prevention and policy, 17</w:t>
      </w:r>
      <w:r w:rsidRPr="000C6F7B">
        <w:t>(sup1), 193-202.</w:t>
      </w:r>
    </w:p>
    <w:p w14:paraId="2A91DC1D" w14:textId="77777777" w:rsidR="000C6F7B" w:rsidRPr="000C6F7B" w:rsidRDefault="000C6F7B" w:rsidP="000C6F7B">
      <w:pPr>
        <w:pStyle w:val="EndNoteBibliography"/>
        <w:spacing w:after="240"/>
      </w:pPr>
      <w:r w:rsidRPr="000C6F7B">
        <w:t xml:space="preserve">Rey, G. N., &amp; Sainz, M. T. (2007). Tailoring an intervention model to help indigenous families cope with excessive drinking in central Mexico. </w:t>
      </w:r>
      <w:r w:rsidRPr="000C6F7B">
        <w:rPr>
          <w:i/>
        </w:rPr>
        <w:t>Salud mental, 30</w:t>
      </w:r>
      <w:r w:rsidRPr="000C6F7B">
        <w:t>(6), 32-42.</w:t>
      </w:r>
    </w:p>
    <w:p w14:paraId="72C9FCF9" w14:textId="77777777" w:rsidR="000C6F7B" w:rsidRPr="000C6F7B" w:rsidRDefault="000C6F7B" w:rsidP="000C6F7B">
      <w:pPr>
        <w:pStyle w:val="EndNoteBibliography"/>
        <w:spacing w:after="240"/>
      </w:pPr>
      <w:r w:rsidRPr="000C6F7B">
        <w:t xml:space="preserve">Riley, B. J., Harvey, P., Crisp, B. R., Battersby, M., &amp; Lawn, S. (2018). Gambling-related harm as reported by concerned significant others: a systematic review and meta-synthesis of empirical studies. </w:t>
      </w:r>
      <w:r w:rsidRPr="000C6F7B">
        <w:rPr>
          <w:i/>
        </w:rPr>
        <w:t>Journal of Family Studies</w:t>
      </w:r>
      <w:r w:rsidRPr="000C6F7B">
        <w:t>, 1-19.</w:t>
      </w:r>
    </w:p>
    <w:p w14:paraId="391B03B1" w14:textId="77777777" w:rsidR="000C6F7B" w:rsidRPr="000C6F7B" w:rsidRDefault="000C6F7B" w:rsidP="000C6F7B">
      <w:pPr>
        <w:pStyle w:val="EndNoteBibliography"/>
        <w:spacing w:after="240"/>
      </w:pPr>
      <w:r w:rsidRPr="000C6F7B">
        <w:t>Robertson, P., Pitama, S., Huriwai, T., Ahuriri-Driscoll, A., Larsen, J., Uta’i, S., &amp; Haitana, T. (2005). Developing services in te rohe o Ngai Tahu for Maori with gambling related problems.</w:t>
      </w:r>
    </w:p>
    <w:p w14:paraId="6B2E423F" w14:textId="77777777" w:rsidR="000C6F7B" w:rsidRPr="000C6F7B" w:rsidRDefault="000C6F7B" w:rsidP="000C6F7B">
      <w:pPr>
        <w:pStyle w:val="EndNoteBibliography"/>
        <w:spacing w:after="240"/>
      </w:pPr>
      <w:r w:rsidRPr="000C6F7B">
        <w:t xml:space="preserve">Rodda, S., Dowling, N. A., Thomas, A. C., Bagot, K. L., &amp; Lubman, D. I. (2019). Treatment for Family Members of People Experiencing Gambling Problems: Family Members Want Both Gambler-Focused and Family-Focused Options. </w:t>
      </w:r>
      <w:r w:rsidRPr="000C6F7B">
        <w:rPr>
          <w:i/>
        </w:rPr>
        <w:t>International Journal of Mental Health and Addiction</w:t>
      </w:r>
      <w:r w:rsidRPr="000C6F7B">
        <w:t>, 1-17.</w:t>
      </w:r>
    </w:p>
    <w:p w14:paraId="34924E4C" w14:textId="77777777" w:rsidR="000C6F7B" w:rsidRPr="000C6F7B" w:rsidRDefault="000C6F7B" w:rsidP="000C6F7B">
      <w:pPr>
        <w:pStyle w:val="EndNoteBibliography"/>
        <w:spacing w:after="240"/>
      </w:pPr>
      <w:r w:rsidRPr="000C6F7B">
        <w:t xml:space="preserve">Rodda, S., Lubman, D. I., Dowling, N. A., &amp; McCann, T. V. (2013). Reasons for using web-based counselling among family and friends impacted by problem gambling. </w:t>
      </w:r>
      <w:r w:rsidRPr="000C6F7B">
        <w:rPr>
          <w:i/>
        </w:rPr>
        <w:t>Asian Journal of Gambling Issues and Public Health, 3</w:t>
      </w:r>
      <w:r w:rsidRPr="000C6F7B">
        <w:t>(1), 12.</w:t>
      </w:r>
    </w:p>
    <w:p w14:paraId="3EAD03A3" w14:textId="77777777" w:rsidR="000C6F7B" w:rsidRPr="000C6F7B" w:rsidRDefault="000C6F7B" w:rsidP="000C6F7B">
      <w:pPr>
        <w:pStyle w:val="EndNoteBibliography"/>
        <w:spacing w:after="240"/>
      </w:pPr>
      <w:r w:rsidRPr="000C6F7B">
        <w:lastRenderedPageBreak/>
        <w:t xml:space="preserve">Roozen, H. G., De Waart, R., &amp; Van Der Kroft, P. (2010). Community reinforcement and family training: An effective option to engage treatment‐resistant substance‐abusing individuals in treatment. </w:t>
      </w:r>
      <w:r w:rsidRPr="000C6F7B">
        <w:rPr>
          <w:i/>
        </w:rPr>
        <w:t>Addiction, 105</w:t>
      </w:r>
      <w:r w:rsidRPr="000C6F7B">
        <w:t>(10), 1729-1738.</w:t>
      </w:r>
    </w:p>
    <w:p w14:paraId="34589329" w14:textId="77777777" w:rsidR="000C6F7B" w:rsidRPr="000C6F7B" w:rsidRDefault="000C6F7B" w:rsidP="000C6F7B">
      <w:pPr>
        <w:pStyle w:val="EndNoteBibliography"/>
        <w:spacing w:after="240"/>
      </w:pPr>
      <w:r w:rsidRPr="000C6F7B">
        <w:t xml:space="preserve">Sandelowski, M. (2000). Whatever happened to qualitative description? </w:t>
      </w:r>
      <w:r w:rsidRPr="000C6F7B">
        <w:rPr>
          <w:i/>
        </w:rPr>
        <w:t>Research in nursing &amp; health, 23</w:t>
      </w:r>
      <w:r w:rsidRPr="000C6F7B">
        <w:t>(4), 334-340.</w:t>
      </w:r>
    </w:p>
    <w:p w14:paraId="6D1237C3" w14:textId="77777777" w:rsidR="000C6F7B" w:rsidRPr="000C6F7B" w:rsidRDefault="000C6F7B" w:rsidP="000C6F7B">
      <w:pPr>
        <w:pStyle w:val="EndNoteBibliography"/>
        <w:spacing w:after="240"/>
      </w:pPr>
      <w:r w:rsidRPr="000C6F7B">
        <w:t xml:space="preserve">Sandelowski, M. (2010). What's in a name? Qualitative description revisited. </w:t>
      </w:r>
      <w:r w:rsidRPr="000C6F7B">
        <w:rPr>
          <w:i/>
        </w:rPr>
        <w:t>Research in nursing &amp; health, 33</w:t>
      </w:r>
      <w:r w:rsidRPr="000C6F7B">
        <w:t>(1), 77-84.</w:t>
      </w:r>
    </w:p>
    <w:p w14:paraId="5E11AC09" w14:textId="77777777" w:rsidR="000C6F7B" w:rsidRPr="000C6F7B" w:rsidRDefault="000C6F7B" w:rsidP="000C6F7B">
      <w:pPr>
        <w:pStyle w:val="EndNoteBibliography"/>
        <w:spacing w:after="240"/>
      </w:pPr>
      <w:r w:rsidRPr="000C6F7B">
        <w:t xml:space="preserve">Saunders, S. M., Zygowicz, K. M., &amp; D'Angelo, B. R. (2006). Person-related and treatment-related barriers to alcohol treatment. </w:t>
      </w:r>
      <w:r w:rsidRPr="000C6F7B">
        <w:rPr>
          <w:i/>
        </w:rPr>
        <w:t>Journal of Substance Abuse Treatment, 30</w:t>
      </w:r>
      <w:r w:rsidRPr="000C6F7B">
        <w:t>(3), 261-270.</w:t>
      </w:r>
    </w:p>
    <w:p w14:paraId="459AC2A1" w14:textId="77777777" w:rsidR="000C6F7B" w:rsidRPr="000C6F7B" w:rsidRDefault="000C6F7B" w:rsidP="000C6F7B">
      <w:pPr>
        <w:pStyle w:val="EndNoteBibliography"/>
        <w:spacing w:after="240"/>
      </w:pPr>
      <w:r w:rsidRPr="000C6F7B">
        <w:t xml:space="preserve">Selbekk, A. S., &amp; Sagvaag, H. (2016). Troubled families and individualised solutions: an institutional discourse analysis of alcohol and drug treatment practices involving affected others. </w:t>
      </w:r>
      <w:r w:rsidRPr="000C6F7B">
        <w:rPr>
          <w:i/>
        </w:rPr>
        <w:t>Sociology of health &amp; illness, 38</w:t>
      </w:r>
      <w:r w:rsidRPr="000C6F7B">
        <w:t>(7), 1058-1073.</w:t>
      </w:r>
    </w:p>
    <w:p w14:paraId="4FE1419B" w14:textId="77777777" w:rsidR="000C6F7B" w:rsidRPr="000C6F7B" w:rsidRDefault="000C6F7B" w:rsidP="000C6F7B">
      <w:pPr>
        <w:pStyle w:val="EndNoteBibliography"/>
        <w:spacing w:after="240"/>
      </w:pPr>
      <w:r w:rsidRPr="000C6F7B">
        <w:t xml:space="preserve">Selbekk, A. S., Sagvaag, H., &amp; Fauske, H. (2015). Addiction, families and treatment: a critical realist search for theories that can improve practice. </w:t>
      </w:r>
      <w:r w:rsidRPr="000C6F7B">
        <w:rPr>
          <w:i/>
        </w:rPr>
        <w:t>Addiction Research &amp; Theory, 23</w:t>
      </w:r>
      <w:r w:rsidRPr="000C6F7B">
        <w:t>(3), 196-204.</w:t>
      </w:r>
    </w:p>
    <w:p w14:paraId="5685EA66" w14:textId="00FFE6A9" w:rsidR="000C6F7B" w:rsidRPr="000C6F7B" w:rsidRDefault="000C6F7B" w:rsidP="000C6F7B">
      <w:pPr>
        <w:pStyle w:val="EndNoteBibliography"/>
        <w:spacing w:after="240"/>
      </w:pPr>
      <w:r w:rsidRPr="000C6F7B">
        <w:t xml:space="preserve">SHARC. (n.d.). </w:t>
      </w:r>
      <w:r w:rsidRPr="000C6F7B">
        <w:rPr>
          <w:i/>
        </w:rPr>
        <w:t>Family Gambling Help</w:t>
      </w:r>
      <w:r w:rsidRPr="000C6F7B">
        <w:t xml:space="preserve">. Retrieved from </w:t>
      </w:r>
      <w:hyperlink r:id="rId82" w:history="1">
        <w:r w:rsidRPr="000C6F7B">
          <w:rPr>
            <w:rStyle w:val="Hyperlink"/>
          </w:rPr>
          <w:t>https://www.sharc.org.au/family-drug-help/family-gambling-help/</w:t>
        </w:r>
      </w:hyperlink>
    </w:p>
    <w:p w14:paraId="3970C311" w14:textId="77777777" w:rsidR="000C6F7B" w:rsidRPr="000C6F7B" w:rsidRDefault="000C6F7B" w:rsidP="000C6F7B">
      <w:pPr>
        <w:pStyle w:val="EndNoteBibliography"/>
        <w:spacing w:after="240"/>
      </w:pPr>
      <w:r w:rsidRPr="000C6F7B">
        <w:t xml:space="preserve">Sharpe, L. (2002). A reformulated cognitive–behavioral model of problem gambling: A biopsychosocial perspective. </w:t>
      </w:r>
      <w:r w:rsidRPr="000C6F7B">
        <w:rPr>
          <w:i/>
        </w:rPr>
        <w:t>Clinical psychology review, 22</w:t>
      </w:r>
      <w:r w:rsidRPr="000C6F7B">
        <w:t>(1), 1-25.</w:t>
      </w:r>
    </w:p>
    <w:p w14:paraId="0BCE7C38" w14:textId="77777777" w:rsidR="000C6F7B" w:rsidRPr="000C6F7B" w:rsidRDefault="000C6F7B" w:rsidP="000C6F7B">
      <w:pPr>
        <w:pStyle w:val="EndNoteBibliography"/>
        <w:spacing w:after="240"/>
      </w:pPr>
      <w:r w:rsidRPr="000C6F7B">
        <w:t xml:space="preserve">Simmons, M., &amp; Gooding, P. M. (2017). Spot the difference: shared decision-making and supported decision-making in mental health. </w:t>
      </w:r>
      <w:r w:rsidRPr="000C6F7B">
        <w:rPr>
          <w:i/>
        </w:rPr>
        <w:t>Irish Journal of Psychological Medicine, 34</w:t>
      </w:r>
      <w:r w:rsidRPr="000C6F7B">
        <w:t>(4), 275-286.</w:t>
      </w:r>
    </w:p>
    <w:p w14:paraId="0C45EE94" w14:textId="77777777" w:rsidR="000C6F7B" w:rsidRPr="000C6F7B" w:rsidRDefault="000C6F7B" w:rsidP="000C6F7B">
      <w:pPr>
        <w:pStyle w:val="EndNoteBibliography"/>
        <w:spacing w:after="240"/>
      </w:pPr>
      <w:r w:rsidRPr="000C6F7B">
        <w:t xml:space="preserve">Sisson, R. W., &amp; Azrin, N. H. (1986). Family-member involvement to initiate and promote treatment of problem drinkers. </w:t>
      </w:r>
      <w:r w:rsidRPr="000C6F7B">
        <w:rPr>
          <w:i/>
        </w:rPr>
        <w:t>Journal of Behavior Therapy and Experimental Psychiatry, 17</w:t>
      </w:r>
      <w:r w:rsidRPr="000C6F7B">
        <w:t>(1), 15-21.</w:t>
      </w:r>
    </w:p>
    <w:p w14:paraId="232604A6" w14:textId="77777777" w:rsidR="000C6F7B" w:rsidRPr="000C6F7B" w:rsidRDefault="000C6F7B" w:rsidP="000C6F7B">
      <w:pPr>
        <w:pStyle w:val="EndNoteBibliography"/>
        <w:spacing w:after="240"/>
      </w:pPr>
      <w:r w:rsidRPr="000C6F7B">
        <w:t xml:space="preserve">Slade, M. (2010). Mental illness and well-being: the central importance of positive psychology and recovery approaches. </w:t>
      </w:r>
      <w:r w:rsidRPr="000C6F7B">
        <w:rPr>
          <w:i/>
        </w:rPr>
        <w:t>BMC health services research, 10</w:t>
      </w:r>
      <w:r w:rsidRPr="000C6F7B">
        <w:t>(1), 1-14.</w:t>
      </w:r>
    </w:p>
    <w:p w14:paraId="34DA2E04" w14:textId="77777777" w:rsidR="000C6F7B" w:rsidRPr="000C6F7B" w:rsidRDefault="000C6F7B" w:rsidP="000C6F7B">
      <w:pPr>
        <w:pStyle w:val="EndNoteBibliography"/>
        <w:spacing w:after="240"/>
      </w:pPr>
      <w:r w:rsidRPr="000C6F7B">
        <w:t xml:space="preserve">Stephens, C., Porter, J., Nettleton, C., &amp; Willis, R. (2006). Disappearing, displaced, and undervalued: a call to action for Indigenous health worldwide. </w:t>
      </w:r>
      <w:r w:rsidRPr="000C6F7B">
        <w:rPr>
          <w:i/>
        </w:rPr>
        <w:t>The lancet, 367</w:t>
      </w:r>
      <w:r w:rsidRPr="000C6F7B">
        <w:t>(9527), 2019-2028.</w:t>
      </w:r>
    </w:p>
    <w:p w14:paraId="31027CB8" w14:textId="77777777" w:rsidR="000C6F7B" w:rsidRPr="000C6F7B" w:rsidRDefault="000C6F7B" w:rsidP="000C6F7B">
      <w:pPr>
        <w:pStyle w:val="EndNoteBibliography"/>
        <w:spacing w:after="240"/>
      </w:pPr>
      <w:r w:rsidRPr="000C6F7B">
        <w:t xml:space="preserve">Stinson, F. S., Grant, B. F., Dawson, D. A., Ruan, W. J., Huang, B., &amp; Saha, T. (2005). Comorbidity between DSM-IV alcohol and specific drug use disorders in the United States: results from the National Epidemiologic Survey on Alcohol and Related Conditions. </w:t>
      </w:r>
      <w:r w:rsidRPr="000C6F7B">
        <w:rPr>
          <w:i/>
        </w:rPr>
        <w:t>Drug and alcohol dependence, 80</w:t>
      </w:r>
      <w:r w:rsidRPr="000C6F7B">
        <w:t>(1), 105-116.</w:t>
      </w:r>
    </w:p>
    <w:p w14:paraId="24264BBF" w14:textId="77777777" w:rsidR="000C6F7B" w:rsidRPr="000C6F7B" w:rsidRDefault="000C6F7B" w:rsidP="000C6F7B">
      <w:pPr>
        <w:pStyle w:val="EndNoteBibliography"/>
        <w:spacing w:after="240"/>
      </w:pPr>
      <w:r w:rsidRPr="000C6F7B">
        <w:t xml:space="preserve">Stone, R. A. T., Whitbeck, L. B., Chen, X., Johnson, K., &amp; Olson, D. M. (2006). Traditional practices, traditional spirituality, and alcohol cessation among American Indians. </w:t>
      </w:r>
      <w:r w:rsidRPr="000C6F7B">
        <w:rPr>
          <w:i/>
        </w:rPr>
        <w:t>Journal of studies on alcohol, 67</w:t>
      </w:r>
      <w:r w:rsidRPr="000C6F7B">
        <w:t>(2), 236-244.</w:t>
      </w:r>
    </w:p>
    <w:p w14:paraId="3C9805BC" w14:textId="77777777" w:rsidR="000C6F7B" w:rsidRPr="000C6F7B" w:rsidRDefault="000C6F7B" w:rsidP="000C6F7B">
      <w:pPr>
        <w:pStyle w:val="EndNoteBibliography"/>
        <w:spacing w:after="240"/>
      </w:pPr>
      <w:r w:rsidRPr="000C6F7B">
        <w:lastRenderedPageBreak/>
        <w:t xml:space="preserve">Straus, S., Tetroe, J., &amp; Graham, I. D. (2013). </w:t>
      </w:r>
      <w:r w:rsidRPr="000C6F7B">
        <w:rPr>
          <w:i/>
        </w:rPr>
        <w:t>Knowledge translation in health care: moving from evidence to practice</w:t>
      </w:r>
      <w:r w:rsidRPr="000C6F7B">
        <w:t>: John Wiley &amp; Sons.</w:t>
      </w:r>
    </w:p>
    <w:p w14:paraId="1A9C635F" w14:textId="77777777" w:rsidR="000C6F7B" w:rsidRPr="000C6F7B" w:rsidRDefault="000C6F7B" w:rsidP="000C6F7B">
      <w:pPr>
        <w:pStyle w:val="EndNoteBibliography"/>
        <w:spacing w:after="240"/>
      </w:pPr>
      <w:r w:rsidRPr="000C6F7B">
        <w:t xml:space="preserve">Surowiecki, J. (2004). </w:t>
      </w:r>
      <w:r w:rsidRPr="000C6F7B">
        <w:rPr>
          <w:i/>
        </w:rPr>
        <w:t>The wisdom of crowds: why the many are smarter than the few</w:t>
      </w:r>
      <w:r w:rsidRPr="000C6F7B">
        <w:t>. London: Abacus.</w:t>
      </w:r>
    </w:p>
    <w:p w14:paraId="2987304D" w14:textId="77777777" w:rsidR="000C6F7B" w:rsidRPr="000C6F7B" w:rsidRDefault="000C6F7B" w:rsidP="000C6F7B">
      <w:pPr>
        <w:pStyle w:val="EndNoteBibliography"/>
        <w:spacing w:after="240"/>
      </w:pPr>
      <w:r w:rsidRPr="000C6F7B">
        <w:t xml:space="preserve">Templeton, L., Velleman, R., &amp; Russell, C. (2010). Psychological interventions with families of alcohol misusers: A systematic review. </w:t>
      </w:r>
      <w:r w:rsidRPr="000C6F7B">
        <w:rPr>
          <w:i/>
        </w:rPr>
        <w:t>Addiction Research &amp; Theory, 18</w:t>
      </w:r>
      <w:r w:rsidRPr="000C6F7B">
        <w:t>(6), 616-648.</w:t>
      </w:r>
    </w:p>
    <w:p w14:paraId="3AEA21EA" w14:textId="77777777" w:rsidR="000C6F7B" w:rsidRPr="000C6F7B" w:rsidRDefault="000C6F7B" w:rsidP="000C6F7B">
      <w:pPr>
        <w:pStyle w:val="EndNoteBibliography"/>
        <w:spacing w:after="240"/>
      </w:pPr>
      <w:r w:rsidRPr="000C6F7B">
        <w:t>The Salvation Army. (2020).</w:t>
      </w:r>
      <w:r w:rsidRPr="000C6F7B">
        <w:rPr>
          <w:i/>
        </w:rPr>
        <w:t xml:space="preserve"> Addiction, supportive accommodation &amp; reintegration services policy: Family/whānau participation [Policy: FWP 0619]</w:t>
      </w:r>
      <w:r w:rsidRPr="000C6F7B">
        <w:t>.</w:t>
      </w:r>
    </w:p>
    <w:p w14:paraId="54AD340E" w14:textId="195DF683" w:rsidR="000C6F7B" w:rsidRPr="000C6F7B" w:rsidRDefault="000C6F7B" w:rsidP="000C6F7B">
      <w:pPr>
        <w:pStyle w:val="EndNoteBibliography"/>
        <w:spacing w:after="240"/>
      </w:pPr>
      <w:r w:rsidRPr="000C6F7B">
        <w:t xml:space="preserve">The Salvation Army Oasis. (2020a). </w:t>
      </w:r>
      <w:r w:rsidRPr="000C6F7B">
        <w:rPr>
          <w:i/>
        </w:rPr>
        <w:t>Family and Whānau counselling with Oasis</w:t>
      </w:r>
      <w:r w:rsidRPr="000C6F7B">
        <w:t xml:space="preserve">. Retrieved from </w:t>
      </w:r>
      <w:hyperlink r:id="rId83" w:history="1">
        <w:r w:rsidRPr="000C6F7B">
          <w:rPr>
            <w:rStyle w:val="Hyperlink"/>
          </w:rPr>
          <w:t>https://oasis.salvationarmy.org.nz/resource/family-and-wh%C4%81nau-counselling-oasis</w:t>
        </w:r>
      </w:hyperlink>
    </w:p>
    <w:p w14:paraId="53E4643C" w14:textId="77777777" w:rsidR="000C6F7B" w:rsidRPr="000C6F7B" w:rsidRDefault="000C6F7B" w:rsidP="000C6F7B">
      <w:pPr>
        <w:pStyle w:val="EndNoteBibliography"/>
        <w:spacing w:after="240"/>
      </w:pPr>
      <w:r w:rsidRPr="000C6F7B">
        <w:t>The Salvation Army Oasis. (2020b). Oasis Reducing Gambling Harm.</w:t>
      </w:r>
    </w:p>
    <w:p w14:paraId="46E00C80" w14:textId="7F9CE21A" w:rsidR="000C6F7B" w:rsidRPr="000C6F7B" w:rsidRDefault="000C6F7B" w:rsidP="000C6F7B">
      <w:pPr>
        <w:pStyle w:val="EndNoteBibliography"/>
        <w:spacing w:after="240"/>
      </w:pPr>
      <w:r w:rsidRPr="000C6F7B">
        <w:t xml:space="preserve">The Salvation Army Oasis. (2020c). </w:t>
      </w:r>
      <w:r w:rsidRPr="000C6F7B">
        <w:rPr>
          <w:i/>
        </w:rPr>
        <w:t>Stories of change</w:t>
      </w:r>
      <w:r w:rsidRPr="000C6F7B">
        <w:t xml:space="preserve">. Retrieved from </w:t>
      </w:r>
      <w:hyperlink r:id="rId84" w:history="1">
        <w:r w:rsidRPr="000C6F7B">
          <w:rPr>
            <w:rStyle w:val="Hyperlink"/>
          </w:rPr>
          <w:t>https://oasis.salvationarmy.org.nz/stories-change</w:t>
        </w:r>
      </w:hyperlink>
    </w:p>
    <w:p w14:paraId="71F3DCF7" w14:textId="77777777" w:rsidR="000C6F7B" w:rsidRPr="000C6F7B" w:rsidRDefault="000C6F7B" w:rsidP="000C6F7B">
      <w:pPr>
        <w:pStyle w:val="EndNoteBibliography"/>
        <w:spacing w:after="240"/>
      </w:pPr>
      <w:r w:rsidRPr="000C6F7B">
        <w:t xml:space="preserve">The Salvation Army Oasis. (n.d.-a). </w:t>
      </w:r>
      <w:r w:rsidRPr="000C6F7B">
        <w:rPr>
          <w:i/>
        </w:rPr>
        <w:t>The 5-Step method of counselling</w:t>
      </w:r>
      <w:r w:rsidRPr="000C6F7B">
        <w:t>: The Salvation Army Oasis.</w:t>
      </w:r>
    </w:p>
    <w:p w14:paraId="0AE8C13B" w14:textId="77777777" w:rsidR="000C6F7B" w:rsidRPr="000C6F7B" w:rsidRDefault="000C6F7B" w:rsidP="000C6F7B">
      <w:pPr>
        <w:pStyle w:val="EndNoteBibliography"/>
        <w:spacing w:after="240"/>
      </w:pPr>
      <w:r w:rsidRPr="000C6F7B">
        <w:t xml:space="preserve">The Salvation Army Oasis. (n.d.-b). </w:t>
      </w:r>
      <w:r w:rsidRPr="000C6F7B">
        <w:rPr>
          <w:i/>
        </w:rPr>
        <w:t>Caring for people, transforming lives and reforming society: A free and confidential service [Brochure]</w:t>
      </w:r>
      <w:r w:rsidRPr="000C6F7B">
        <w:t>. Retrieved</w:t>
      </w:r>
    </w:p>
    <w:p w14:paraId="3A4E76E0" w14:textId="796EDC23" w:rsidR="000C6F7B" w:rsidRPr="000C6F7B" w:rsidRDefault="000C6F7B" w:rsidP="000C6F7B">
      <w:pPr>
        <w:pStyle w:val="EndNoteBibliography"/>
        <w:spacing w:after="240"/>
      </w:pPr>
      <w:r w:rsidRPr="000C6F7B">
        <w:t xml:space="preserve">The Salvation Army Oasis. (n.d.-c). </w:t>
      </w:r>
      <w:r w:rsidRPr="000C6F7B">
        <w:rPr>
          <w:i/>
        </w:rPr>
        <w:t>Matara Uru women's support group</w:t>
      </w:r>
      <w:r w:rsidRPr="000C6F7B">
        <w:t xml:space="preserve">. Retrieved from </w:t>
      </w:r>
      <w:hyperlink r:id="rId85" w:history="1">
        <w:r w:rsidRPr="000C6F7B">
          <w:rPr>
            <w:rStyle w:val="Hyperlink"/>
          </w:rPr>
          <w:t>https://oasis.salvationarmy.org.nz/sites/default/files/files/%5Bfile_field%3Atype%5D/womens_support_group_flyer_16_july_2020-merged.pdf</w:t>
        </w:r>
      </w:hyperlink>
    </w:p>
    <w:p w14:paraId="51457A62" w14:textId="77777777" w:rsidR="000C6F7B" w:rsidRPr="000C6F7B" w:rsidRDefault="000C6F7B" w:rsidP="000C6F7B">
      <w:pPr>
        <w:pStyle w:val="EndNoteBibliography"/>
        <w:spacing w:after="240"/>
      </w:pPr>
      <w:r w:rsidRPr="000C6F7B">
        <w:t xml:space="preserve">Tremblay, J., Dufour, M., Bertrand, K., Blanchette-Martin, N., Ferland, F., Savard, A.-C., . . . Côté, M. (2018). The experience of couples in the process of treatment of pathological gambling: couple vs. individual therapy. </w:t>
      </w:r>
      <w:r w:rsidRPr="000C6F7B">
        <w:rPr>
          <w:i/>
        </w:rPr>
        <w:t>Frontiers in psychology, 8</w:t>
      </w:r>
      <w:r w:rsidRPr="000C6F7B">
        <w:t>, 2344.</w:t>
      </w:r>
    </w:p>
    <w:p w14:paraId="2C559F3A" w14:textId="77777777" w:rsidR="000C6F7B" w:rsidRPr="000C6F7B" w:rsidRDefault="000C6F7B" w:rsidP="000C6F7B">
      <w:pPr>
        <w:pStyle w:val="EndNoteBibliography"/>
        <w:spacing w:after="240"/>
      </w:pPr>
      <w:r w:rsidRPr="000C6F7B">
        <w:t>Tremblay, J., Savard, A.-C., Blanchette-Martin, N., Dufour, M. H., Bertrand, K., Ferland, F., . . . Saint-Jacques, M. (2015). Integrative couple treatment for pathological gambling/ICT-PG: description of the therapeutic process.</w:t>
      </w:r>
    </w:p>
    <w:p w14:paraId="757F4866" w14:textId="77777777" w:rsidR="000C6F7B" w:rsidRPr="000C6F7B" w:rsidRDefault="000C6F7B" w:rsidP="000C6F7B">
      <w:pPr>
        <w:pStyle w:val="EndNoteBibliography"/>
        <w:spacing w:after="240"/>
      </w:pPr>
      <w:r w:rsidRPr="000C6F7B">
        <w:t xml:space="preserve">Tuchman, E. (2010). Women and addiction: the importance of gender issues in substance abuse research. </w:t>
      </w:r>
      <w:r w:rsidRPr="000C6F7B">
        <w:rPr>
          <w:i/>
        </w:rPr>
        <w:t>Journal of addictive diseases, 29</w:t>
      </w:r>
      <w:r w:rsidRPr="000C6F7B">
        <w:t>(2), 127-138.</w:t>
      </w:r>
    </w:p>
    <w:p w14:paraId="14DE0A3F" w14:textId="77777777" w:rsidR="000C6F7B" w:rsidRPr="000C6F7B" w:rsidRDefault="000C6F7B" w:rsidP="000C6F7B">
      <w:pPr>
        <w:pStyle w:val="EndNoteBibliography"/>
        <w:spacing w:after="240"/>
      </w:pPr>
      <w:r w:rsidRPr="000C6F7B">
        <w:t xml:space="preserve">Tuma, J. M. (1989). Mental health services for children: The state of the art. </w:t>
      </w:r>
      <w:r w:rsidRPr="000C6F7B">
        <w:rPr>
          <w:i/>
        </w:rPr>
        <w:t>American Psychologist, 44</w:t>
      </w:r>
      <w:r w:rsidRPr="000C6F7B">
        <w:t>(2), 188.</w:t>
      </w:r>
    </w:p>
    <w:p w14:paraId="01DF47D5" w14:textId="77777777" w:rsidR="000C6F7B" w:rsidRPr="000C6F7B" w:rsidRDefault="000C6F7B" w:rsidP="000C6F7B">
      <w:pPr>
        <w:pStyle w:val="EndNoteBibliography"/>
        <w:spacing w:after="240"/>
      </w:pPr>
      <w:r w:rsidRPr="000C6F7B">
        <w:t xml:space="preserve">Turoff, M. (1975). The Policy Delphi. In H. A. Linstone &amp; M. turoff (Eds.), </w:t>
      </w:r>
      <w:r w:rsidRPr="000C6F7B">
        <w:rPr>
          <w:i/>
        </w:rPr>
        <w:t>The delphi method: tehcniques and applications</w:t>
      </w:r>
      <w:r w:rsidRPr="000C6F7B">
        <w:t xml:space="preserve"> (pp. 80-96)</w:t>
      </w:r>
    </w:p>
    <w:p w14:paraId="4C226566" w14:textId="77777777" w:rsidR="000C6F7B" w:rsidRPr="000C6F7B" w:rsidRDefault="000C6F7B" w:rsidP="000C6F7B">
      <w:pPr>
        <w:pStyle w:val="EndNoteBibliography"/>
        <w:spacing w:after="240"/>
      </w:pPr>
      <w:r w:rsidRPr="000C6F7B">
        <w:t xml:space="preserve">Vaioleti, T. (2006). Talanoa research methodology: A developing position on Pacific research. </w:t>
      </w:r>
      <w:r w:rsidRPr="000C6F7B">
        <w:rPr>
          <w:i/>
        </w:rPr>
        <w:t>Waikato journal of education (Te Hautaka Mātauranga o Waikato), 12</w:t>
      </w:r>
      <w:r w:rsidRPr="000C6F7B">
        <w:t>, 21-35.</w:t>
      </w:r>
    </w:p>
    <w:p w14:paraId="2EAF2EC0" w14:textId="77777777" w:rsidR="000C6F7B" w:rsidRPr="000C6F7B" w:rsidRDefault="000C6F7B" w:rsidP="000C6F7B">
      <w:pPr>
        <w:pStyle w:val="EndNoteBibliography"/>
        <w:spacing w:after="240"/>
      </w:pPr>
      <w:r w:rsidRPr="000C6F7B">
        <w:lastRenderedPageBreak/>
        <w:t xml:space="preserve">Vaioleti, T. (2013). Talanoa: Differentiating the talanoa research methodology from phenomenology, narrative, Kaupapa Maori and feminist methodologies. </w:t>
      </w:r>
      <w:r w:rsidRPr="000C6F7B">
        <w:rPr>
          <w:i/>
        </w:rPr>
        <w:t>Te Reo, 56</w:t>
      </w:r>
      <w:r w:rsidRPr="000C6F7B">
        <w:t>, 191-212.</w:t>
      </w:r>
    </w:p>
    <w:p w14:paraId="4461E0C3" w14:textId="77777777" w:rsidR="000C6F7B" w:rsidRPr="000C6F7B" w:rsidRDefault="000C6F7B" w:rsidP="000C6F7B">
      <w:pPr>
        <w:pStyle w:val="EndNoteBibliography"/>
        <w:spacing w:after="240"/>
      </w:pPr>
      <w:r w:rsidRPr="000C6F7B">
        <w:t xml:space="preserve">Vaka, S., Brannelly, T., &amp; Huntington, A. (2016). Getting to the heart of the story: using Talanoa to explore Pacific mental health. </w:t>
      </w:r>
      <w:r w:rsidRPr="000C6F7B">
        <w:rPr>
          <w:i/>
        </w:rPr>
        <w:t>Issues in Mental Health Nursing, 37</w:t>
      </w:r>
      <w:r w:rsidRPr="000C6F7B">
        <w:t>(8), 537-544.</w:t>
      </w:r>
    </w:p>
    <w:p w14:paraId="4B5FCE5D" w14:textId="77777777" w:rsidR="000C6F7B" w:rsidRPr="000C6F7B" w:rsidRDefault="000C6F7B" w:rsidP="000C6F7B">
      <w:pPr>
        <w:pStyle w:val="EndNoteBibliography"/>
        <w:spacing w:after="240"/>
      </w:pPr>
      <w:r w:rsidRPr="000C6F7B">
        <w:t xml:space="preserve">Vardeman-Winter, J., Jiang, H., &amp; Tindall, N. T. (2013). Information-seeking outcomes of representational, structural, and political intersectionality among health media consumers. </w:t>
      </w:r>
      <w:r w:rsidRPr="000C6F7B">
        <w:rPr>
          <w:i/>
        </w:rPr>
        <w:t>Journal of Applied Communication Research, 41</w:t>
      </w:r>
      <w:r w:rsidRPr="000C6F7B">
        <w:t>(4), 389-411.</w:t>
      </w:r>
    </w:p>
    <w:p w14:paraId="1E1E2203" w14:textId="6AD37223" w:rsidR="000C6F7B" w:rsidRPr="000C6F7B" w:rsidRDefault="000C6F7B" w:rsidP="000C6F7B">
      <w:pPr>
        <w:pStyle w:val="EndNoteBibliography"/>
        <w:spacing w:after="240"/>
      </w:pPr>
      <w:r w:rsidRPr="000C6F7B">
        <w:t xml:space="preserve">Victorian Responsible Gambling Foundation. (2019a). </w:t>
      </w:r>
      <w:r w:rsidRPr="000C6F7B">
        <w:rPr>
          <w:i/>
        </w:rPr>
        <w:t>It's not just gamblers that need support [Facebook status update]</w:t>
      </w:r>
      <w:r w:rsidRPr="000C6F7B">
        <w:t xml:space="preserve">. Retrieved from </w:t>
      </w:r>
      <w:hyperlink r:id="rId86" w:history="1">
        <w:r w:rsidRPr="000C6F7B">
          <w:rPr>
            <w:rStyle w:val="Hyperlink"/>
          </w:rPr>
          <w:t>https://www.facebook.com/responsiblegambling</w:t>
        </w:r>
      </w:hyperlink>
    </w:p>
    <w:p w14:paraId="78C0812E" w14:textId="52DBD424" w:rsidR="000C6F7B" w:rsidRPr="000C6F7B" w:rsidRDefault="000C6F7B" w:rsidP="000C6F7B">
      <w:pPr>
        <w:pStyle w:val="EndNoteBibliography"/>
        <w:spacing w:after="240"/>
      </w:pPr>
      <w:r w:rsidRPr="000C6F7B">
        <w:t xml:space="preserve">Victorian Responsible Gambling Foundation. (2019b). </w:t>
      </w:r>
      <w:r w:rsidRPr="000C6F7B">
        <w:rPr>
          <w:i/>
        </w:rPr>
        <w:t>It can be hard to tell, but there are signs a young person is beginning to gamble [Facebook status update]</w:t>
      </w:r>
      <w:r w:rsidRPr="000C6F7B">
        <w:t xml:space="preserve">. Retrieved from </w:t>
      </w:r>
      <w:hyperlink r:id="rId87" w:history="1">
        <w:r w:rsidRPr="000C6F7B">
          <w:rPr>
            <w:rStyle w:val="Hyperlink"/>
          </w:rPr>
          <w:t>https://www.facebook.com/responsiblegambling/posts/2352312375044323</w:t>
        </w:r>
      </w:hyperlink>
    </w:p>
    <w:p w14:paraId="7F3F8DB1" w14:textId="26F7F73C" w:rsidR="000C6F7B" w:rsidRPr="000C6F7B" w:rsidRDefault="000C6F7B" w:rsidP="000C6F7B">
      <w:pPr>
        <w:pStyle w:val="EndNoteBibliography"/>
        <w:spacing w:after="240"/>
      </w:pPr>
      <w:r w:rsidRPr="000C6F7B">
        <w:t xml:space="preserve">Victorian Responsible Gambling Foundation. (2019c). </w:t>
      </w:r>
      <w:r w:rsidRPr="000C6F7B">
        <w:rPr>
          <w:i/>
        </w:rPr>
        <w:t>Read Lucy's and more personal stories of #gambling harm [Facebook status update]</w:t>
      </w:r>
      <w:r w:rsidRPr="000C6F7B">
        <w:t xml:space="preserve">. Retrieved from </w:t>
      </w:r>
      <w:hyperlink r:id="rId88" w:history="1">
        <w:r w:rsidRPr="000C6F7B">
          <w:rPr>
            <w:rStyle w:val="Hyperlink"/>
          </w:rPr>
          <w:t>https://www.facebook.com/responsiblegambling/posts/2417176411891252</w:t>
        </w:r>
      </w:hyperlink>
    </w:p>
    <w:p w14:paraId="6D83F816" w14:textId="77777777" w:rsidR="000C6F7B" w:rsidRPr="000C6F7B" w:rsidRDefault="000C6F7B" w:rsidP="000C6F7B">
      <w:pPr>
        <w:pStyle w:val="EndNoteBibliography"/>
        <w:spacing w:after="240"/>
      </w:pPr>
      <w:r w:rsidRPr="000C6F7B">
        <w:t xml:space="preserve">Volberg, R. A. (2003). Has there been a" feminization" of gambling and problem gambling in the United States? </w:t>
      </w:r>
      <w:r w:rsidRPr="000C6F7B">
        <w:rPr>
          <w:i/>
        </w:rPr>
        <w:t>Journal of Gambling Issues</w:t>
      </w:r>
      <w:r w:rsidRPr="000C6F7B">
        <w:t>(8).</w:t>
      </w:r>
    </w:p>
    <w:p w14:paraId="4C377858" w14:textId="77777777" w:rsidR="000C6F7B" w:rsidRPr="000C6F7B" w:rsidRDefault="000C6F7B" w:rsidP="000C6F7B">
      <w:pPr>
        <w:pStyle w:val="EndNoteBibliography"/>
        <w:spacing w:after="240"/>
      </w:pPr>
      <w:r w:rsidRPr="000C6F7B">
        <w:t xml:space="preserve">Waitangi Tribunal. (2019). </w:t>
      </w:r>
      <w:r w:rsidRPr="000C6F7B">
        <w:rPr>
          <w:i/>
        </w:rPr>
        <w:t>Hauora: Report on Stage One of the Health Services and Outcomes Kaupapa Inquiry</w:t>
      </w:r>
      <w:r w:rsidRPr="000C6F7B">
        <w:t>: Waitangi Trubunal.</w:t>
      </w:r>
    </w:p>
    <w:p w14:paraId="4E25074F" w14:textId="77777777" w:rsidR="000C6F7B" w:rsidRPr="000C6F7B" w:rsidRDefault="000C6F7B" w:rsidP="000C6F7B">
      <w:pPr>
        <w:pStyle w:val="EndNoteBibliography"/>
        <w:spacing w:after="240"/>
      </w:pPr>
      <w:r w:rsidRPr="000C6F7B">
        <w:t xml:space="preserve">Waldron, H. B., Kern-Jones, S., Turner, C. W., Peterson, T. R., &amp; Ozechowski, T. J. (2007). Engaging resistant adolescents in drug abuse treatment. </w:t>
      </w:r>
      <w:r w:rsidRPr="000C6F7B">
        <w:rPr>
          <w:i/>
        </w:rPr>
        <w:t>Journal of substance abuse treatment, 32</w:t>
      </w:r>
      <w:r w:rsidRPr="000C6F7B">
        <w:t>(2), 133-142.</w:t>
      </w:r>
    </w:p>
    <w:p w14:paraId="15D71CCC" w14:textId="77777777" w:rsidR="000C6F7B" w:rsidRPr="000C6F7B" w:rsidRDefault="000C6F7B" w:rsidP="000C6F7B">
      <w:pPr>
        <w:pStyle w:val="EndNoteBibliography"/>
        <w:spacing w:after="240"/>
      </w:pPr>
      <w:r w:rsidRPr="000C6F7B">
        <w:t xml:space="preserve">Walitzer, K. S., &amp; Dermen, K. H. (2004). Alcohol-focused spouse involvement and behavioral couples therapy: evaluation of enhancements to drinking reduction treatment for male problem drinkers. </w:t>
      </w:r>
      <w:r w:rsidRPr="000C6F7B">
        <w:rPr>
          <w:i/>
        </w:rPr>
        <w:t>Journal of consulting and clinical psychology, 72</w:t>
      </w:r>
      <w:r w:rsidRPr="000C6F7B">
        <w:t>(6), 944.</w:t>
      </w:r>
    </w:p>
    <w:p w14:paraId="4824ECED" w14:textId="77777777" w:rsidR="000C6F7B" w:rsidRPr="000C6F7B" w:rsidRDefault="000C6F7B" w:rsidP="000C6F7B">
      <w:pPr>
        <w:pStyle w:val="EndNoteBibliography"/>
        <w:spacing w:after="240"/>
      </w:pPr>
      <w:r w:rsidRPr="000C6F7B">
        <w:t xml:space="preserve">Wallerstein, N., Oetzel, J. G., Sanchez-Youngman, S., Boursaw, B., Dickson, E., Kastelic, S., . . . Ortiz, K. (2020). Engage for equity: A long-term study of community-based participatory research and community-engaged research practices and outcomes. </w:t>
      </w:r>
      <w:r w:rsidRPr="000C6F7B">
        <w:rPr>
          <w:i/>
        </w:rPr>
        <w:t>Health Education &amp; Behavior, 47</w:t>
      </w:r>
      <w:r w:rsidRPr="000C6F7B">
        <w:t>(3), 380-390.</w:t>
      </w:r>
    </w:p>
    <w:p w14:paraId="0922B51B" w14:textId="012AED26" w:rsidR="000C6F7B" w:rsidRPr="000C6F7B" w:rsidRDefault="000C6F7B" w:rsidP="000C6F7B">
      <w:pPr>
        <w:pStyle w:val="EndNoteBibliography"/>
        <w:spacing w:after="240"/>
      </w:pPr>
      <w:r w:rsidRPr="000C6F7B">
        <w:t xml:space="preserve">Warruwi Gambling Help. (2020). </w:t>
      </w:r>
      <w:r w:rsidRPr="000C6F7B">
        <w:rPr>
          <w:i/>
        </w:rPr>
        <w:t>Community Engagement Objectives</w:t>
      </w:r>
      <w:r w:rsidRPr="000C6F7B">
        <w:t xml:space="preserve">. Retrieved 2 October, 2020, from </w:t>
      </w:r>
      <w:hyperlink r:id="rId89" w:history="1">
        <w:r w:rsidRPr="000C6F7B">
          <w:rPr>
            <w:rStyle w:val="Hyperlink"/>
          </w:rPr>
          <w:t>https://aboriginalsafegambling.com.au/community-engagement/</w:t>
        </w:r>
      </w:hyperlink>
    </w:p>
    <w:p w14:paraId="46989D76" w14:textId="750C9F9B" w:rsidR="000C6F7B" w:rsidRPr="000C6F7B" w:rsidRDefault="000C6F7B" w:rsidP="000C6F7B">
      <w:pPr>
        <w:pStyle w:val="EndNoteBibliography"/>
        <w:spacing w:after="240"/>
      </w:pPr>
      <w:r w:rsidRPr="000C6F7B">
        <w:t xml:space="preserve">Warruwi Gambling Help. (n.d.-a). </w:t>
      </w:r>
      <w:r w:rsidRPr="000C6F7B">
        <w:rPr>
          <w:i/>
        </w:rPr>
        <w:t>Aboriginal Safe Gambling Services NSW: About us</w:t>
      </w:r>
      <w:r w:rsidRPr="000C6F7B">
        <w:t xml:space="preserve">. Retrieved from </w:t>
      </w:r>
      <w:hyperlink r:id="rId90" w:history="1">
        <w:r w:rsidRPr="000C6F7B">
          <w:rPr>
            <w:rStyle w:val="Hyperlink"/>
          </w:rPr>
          <w:t>https://aboriginalsafegambling.com.au/about-us/</w:t>
        </w:r>
      </w:hyperlink>
    </w:p>
    <w:p w14:paraId="2E135617" w14:textId="6A3F8035" w:rsidR="000C6F7B" w:rsidRPr="000C6F7B" w:rsidRDefault="000C6F7B" w:rsidP="000C6F7B">
      <w:pPr>
        <w:pStyle w:val="EndNoteBibliography"/>
        <w:spacing w:after="240"/>
      </w:pPr>
      <w:r w:rsidRPr="000C6F7B">
        <w:t xml:space="preserve">Warruwi Gambling Help. (n.d.-b). </w:t>
      </w:r>
      <w:r w:rsidRPr="000C6F7B">
        <w:rPr>
          <w:i/>
        </w:rPr>
        <w:t>Aboriginal Safe Gambling Services NSW: Warruwi Gamblng Help</w:t>
      </w:r>
      <w:r w:rsidRPr="000C6F7B">
        <w:t xml:space="preserve">. Retrieved from </w:t>
      </w:r>
      <w:hyperlink r:id="rId91" w:history="1">
        <w:r w:rsidRPr="000C6F7B">
          <w:rPr>
            <w:rStyle w:val="Hyperlink"/>
          </w:rPr>
          <w:t>https://aboriginalsafegambling.com.au/</w:t>
        </w:r>
      </w:hyperlink>
    </w:p>
    <w:p w14:paraId="4CC7108E" w14:textId="77777777" w:rsidR="000C6F7B" w:rsidRPr="000C6F7B" w:rsidRDefault="000C6F7B" w:rsidP="000C6F7B">
      <w:pPr>
        <w:pStyle w:val="EndNoteBibliography"/>
        <w:spacing w:after="240"/>
      </w:pPr>
      <w:r w:rsidRPr="000C6F7B">
        <w:lastRenderedPageBreak/>
        <w:t xml:space="preserve">Werner, A., &amp; Malterud, K. (2016). Encounters with service professionals experienced by children from families with alcohol problems: a qualitative interview study. </w:t>
      </w:r>
      <w:r w:rsidRPr="000C6F7B">
        <w:rPr>
          <w:i/>
        </w:rPr>
        <w:t>Scandinavian journal of public health, 44</w:t>
      </w:r>
      <w:r w:rsidRPr="000C6F7B">
        <w:t>(7), 663-670.</w:t>
      </w:r>
    </w:p>
    <w:p w14:paraId="37A42756" w14:textId="77777777" w:rsidR="000C6F7B" w:rsidRPr="000C6F7B" w:rsidRDefault="000C6F7B" w:rsidP="000C6F7B">
      <w:pPr>
        <w:pStyle w:val="EndNoteBibliography"/>
        <w:spacing w:after="240"/>
      </w:pPr>
      <w:r w:rsidRPr="000C6F7B">
        <w:t xml:space="preserve">White, W., &amp; Savage, B. (2005). All in the family: Alcohol and other drug problems, recovery, advocacy. </w:t>
      </w:r>
      <w:r w:rsidRPr="000C6F7B">
        <w:rPr>
          <w:i/>
        </w:rPr>
        <w:t>Alcoholism Treatment Quarterly, 23</w:t>
      </w:r>
      <w:r w:rsidRPr="000C6F7B">
        <w:t>(4), 3-37.</w:t>
      </w:r>
    </w:p>
    <w:p w14:paraId="59A26496" w14:textId="77777777" w:rsidR="000C6F7B" w:rsidRPr="000C6F7B" w:rsidRDefault="000C6F7B" w:rsidP="000C6F7B">
      <w:pPr>
        <w:pStyle w:val="EndNoteBibliography"/>
        <w:spacing w:after="240"/>
      </w:pPr>
      <w:r w:rsidRPr="000C6F7B">
        <w:t xml:space="preserve">Wilson, D., McBride-Henry, K., &amp; Huntington, A. (2005). Family violence: Walking the tight rope between maternal alienation and child safety. </w:t>
      </w:r>
      <w:r w:rsidRPr="000C6F7B">
        <w:rPr>
          <w:i/>
        </w:rPr>
        <w:t>Contemporary nurse, 18</w:t>
      </w:r>
      <w:r w:rsidRPr="000C6F7B">
        <w:t>(1-2), 85-96.</w:t>
      </w:r>
    </w:p>
    <w:p w14:paraId="685E2AA8" w14:textId="77777777" w:rsidR="000C6F7B" w:rsidRPr="000C6F7B" w:rsidRDefault="000C6F7B" w:rsidP="000C6F7B">
      <w:pPr>
        <w:pStyle w:val="EndNoteBibliography"/>
        <w:spacing w:after="240"/>
      </w:pPr>
      <w:r w:rsidRPr="000C6F7B">
        <w:t xml:space="preserve">World Health Organisation. (1948). Preamble to the Constitution of the World Health Organization as adopted by the International Health Conference, New York, 19-22 June, 1946; signed on 22 July 1946 by the representatives of 61 States snd entered into force on 7 April 1948. </w:t>
      </w:r>
      <w:r w:rsidRPr="000C6F7B">
        <w:rPr>
          <w:i/>
        </w:rPr>
        <w:t>Official Records of the World Health Organization, 2</w:t>
      </w:r>
      <w:r w:rsidRPr="000C6F7B">
        <w:t>, 100.</w:t>
      </w:r>
    </w:p>
    <w:p w14:paraId="05198C50" w14:textId="77777777" w:rsidR="000C6F7B" w:rsidRPr="000C6F7B" w:rsidRDefault="000C6F7B" w:rsidP="000C6F7B">
      <w:pPr>
        <w:pStyle w:val="EndNoteBibliography"/>
        <w:spacing w:after="240"/>
      </w:pPr>
      <w:r w:rsidRPr="000C6F7B">
        <w:t xml:space="preserve">Yap, M. B., Pilkington, P. D., Ryan, S. M., Kelly, C. M., &amp; Jorm, A. F. (2014). Parenting strategies for reducing the risk of adolescent depression and anxiety disorders: a Delphi consensus study. </w:t>
      </w:r>
      <w:r w:rsidRPr="000C6F7B">
        <w:rPr>
          <w:i/>
        </w:rPr>
        <w:t>Journal of affective disorders, 156</w:t>
      </w:r>
      <w:r w:rsidRPr="000C6F7B">
        <w:t>, 67-75.</w:t>
      </w:r>
    </w:p>
    <w:p w14:paraId="56142DA8" w14:textId="77777777" w:rsidR="000C6F7B" w:rsidRPr="000C6F7B" w:rsidRDefault="000C6F7B" w:rsidP="000C6F7B">
      <w:pPr>
        <w:pStyle w:val="EndNoteBibliography"/>
      </w:pPr>
      <w:r w:rsidRPr="000C6F7B">
        <w:t xml:space="preserve">Yates, F. (1988). The evaluation of a ‘co‐operative counselling’alcohol service which uses family and affected others to reach and influence problem drinkers. </w:t>
      </w:r>
      <w:r w:rsidRPr="000C6F7B">
        <w:rPr>
          <w:i/>
        </w:rPr>
        <w:t>British journal of addiction, 83</w:t>
      </w:r>
      <w:r w:rsidRPr="000C6F7B">
        <w:t>(11), 1309-1319.</w:t>
      </w:r>
    </w:p>
    <w:p w14:paraId="797D879A" w14:textId="6D28ECE0" w:rsidR="00C65586" w:rsidRDefault="00C65586" w:rsidP="00820874">
      <w:r>
        <w:fldChar w:fldCharType="end"/>
      </w:r>
    </w:p>
    <w:p w14:paraId="70957E88" w14:textId="77777777" w:rsidR="00C65586" w:rsidRPr="005C46A2" w:rsidRDefault="00C65586" w:rsidP="00495C74">
      <w:pPr>
        <w:jc w:val="both"/>
      </w:pPr>
    </w:p>
    <w:p w14:paraId="2EFD0F6D" w14:textId="77777777" w:rsidR="001B041E" w:rsidRPr="005C46A2" w:rsidRDefault="001B041E" w:rsidP="00495C74">
      <w:pPr>
        <w:spacing w:after="160" w:line="259" w:lineRule="auto"/>
        <w:jc w:val="both"/>
      </w:pPr>
      <w:r w:rsidRPr="005C46A2">
        <w:br w:type="page"/>
      </w:r>
    </w:p>
    <w:p w14:paraId="29D4D81F" w14:textId="1ACA6820" w:rsidR="00341FAE" w:rsidRPr="005C46A2" w:rsidRDefault="00341FAE" w:rsidP="00341FAE">
      <w:pPr>
        <w:pStyle w:val="Heading1"/>
        <w:shd w:val="clear" w:color="auto" w:fill="auto"/>
      </w:pPr>
      <w:bookmarkStart w:id="195" w:name="_Toc58400802"/>
      <w:r>
        <w:lastRenderedPageBreak/>
        <w:t>APPENDIX ONE: Results of Round 1 engagement with expert opinion</w:t>
      </w:r>
      <w:bookmarkEnd w:id="195"/>
    </w:p>
    <w:p w14:paraId="6573E9FD" w14:textId="77777777" w:rsidR="00341FAE" w:rsidRDefault="00341FAE" w:rsidP="00341FAE">
      <w:pPr>
        <w:jc w:val="both"/>
        <w:rPr>
          <w:lang w:eastAsia="en-NZ"/>
        </w:rPr>
      </w:pPr>
      <w:r>
        <w:rPr>
          <w:lang w:eastAsia="en-NZ"/>
        </w:rPr>
        <w:t>Results</w:t>
      </w:r>
      <w:r w:rsidRPr="00162DEC">
        <w:rPr>
          <w:lang w:eastAsia="en-NZ"/>
        </w:rPr>
        <w:t xml:space="preserve"> of the Round 1 survey are presented in this section. </w:t>
      </w:r>
      <w:r>
        <w:rPr>
          <w:lang w:eastAsia="en-NZ"/>
        </w:rPr>
        <w:t>T</w:t>
      </w:r>
      <w:r w:rsidRPr="00162DEC">
        <w:rPr>
          <w:lang w:eastAsia="en-NZ"/>
        </w:rPr>
        <w:t xml:space="preserve">hese results </w:t>
      </w:r>
      <w:r>
        <w:rPr>
          <w:lang w:eastAsia="en-NZ"/>
        </w:rPr>
        <w:t>were</w:t>
      </w:r>
      <w:r w:rsidRPr="00162DEC">
        <w:rPr>
          <w:lang w:eastAsia="en-NZ"/>
        </w:rPr>
        <w:t xml:space="preserve"> provided to participants and used to inform the development of Round Two.</w:t>
      </w:r>
      <w:r w:rsidRPr="005C46A2">
        <w:rPr>
          <w:lang w:eastAsia="en-NZ"/>
        </w:rPr>
        <w:t xml:space="preserve"> </w:t>
      </w:r>
    </w:p>
    <w:p w14:paraId="2AE468C0" w14:textId="77777777" w:rsidR="00341FAE" w:rsidRDefault="00341FAE" w:rsidP="00341FAE">
      <w:pPr>
        <w:jc w:val="both"/>
        <w:rPr>
          <w:lang w:eastAsia="en-NZ"/>
        </w:rPr>
      </w:pPr>
    </w:p>
    <w:p w14:paraId="17935F6D" w14:textId="77777777" w:rsidR="00341FAE" w:rsidRPr="006D461F" w:rsidRDefault="00341FAE" w:rsidP="00341FAE">
      <w:pPr>
        <w:rPr>
          <w:b/>
          <w:bCs/>
          <w:lang w:eastAsia="en-NZ"/>
        </w:rPr>
      </w:pPr>
      <w:r w:rsidRPr="006D461F">
        <w:rPr>
          <w:b/>
          <w:bCs/>
          <w:lang w:eastAsia="en-NZ"/>
        </w:rPr>
        <w:t>The purpose of providing support/intervention services for FAOs affected by addiction</w:t>
      </w:r>
    </w:p>
    <w:p w14:paraId="0BC08BA1" w14:textId="0E44C6C1" w:rsidR="00341FAE" w:rsidRDefault="00341FAE" w:rsidP="00341FAE">
      <w:pPr>
        <w:jc w:val="both"/>
        <w:rPr>
          <w:lang w:eastAsia="en-NZ"/>
        </w:rPr>
      </w:pPr>
      <w:r>
        <w:rPr>
          <w:lang w:eastAsia="en-NZ"/>
        </w:rPr>
        <w:t>Participants converged on the notion that FAO services exist to support individual FAOs to address their own needs (</w:t>
      </w:r>
      <w:r w:rsidRPr="00793AEE">
        <w:rPr>
          <w:lang w:eastAsia="en-NZ"/>
        </w:rPr>
        <w:fldChar w:fldCharType="begin"/>
      </w:r>
      <w:r w:rsidRPr="00793AEE">
        <w:rPr>
          <w:lang w:eastAsia="en-NZ"/>
        </w:rPr>
        <w:instrText xml:space="preserve"> REF _Ref46237701 \h  \* MERGEFORMAT </w:instrText>
      </w:r>
      <w:r w:rsidRPr="00793AEE">
        <w:rPr>
          <w:lang w:eastAsia="en-NZ"/>
        </w:rPr>
      </w:r>
      <w:r w:rsidRPr="00793AEE">
        <w:rPr>
          <w:lang w:eastAsia="en-NZ"/>
        </w:rPr>
        <w:fldChar w:fldCharType="separate"/>
      </w:r>
      <w:r w:rsidR="00DF0799" w:rsidRPr="00DF0799">
        <w:rPr>
          <w:lang w:eastAsia="en-NZ"/>
        </w:rPr>
        <w:t>Table</w:t>
      </w:r>
      <w:r w:rsidRPr="00793AEE">
        <w:rPr>
          <w:lang w:eastAsia="en-NZ"/>
        </w:rPr>
        <w:fldChar w:fldCharType="end"/>
      </w:r>
      <w:r>
        <w:rPr>
          <w:lang w:eastAsia="en-NZ"/>
        </w:rPr>
        <w:t>)</w:t>
      </w:r>
      <w:r w:rsidRPr="00793AEE">
        <w:rPr>
          <w:lang w:eastAsia="en-NZ"/>
        </w:rPr>
        <w:t>,</w:t>
      </w:r>
      <w:r>
        <w:rPr>
          <w:lang w:eastAsia="en-NZ"/>
        </w:rPr>
        <w:t xml:space="preserve"> e.g.:</w:t>
      </w:r>
    </w:p>
    <w:p w14:paraId="74B94759" w14:textId="77777777" w:rsidR="00341FAE" w:rsidRDefault="00341FAE" w:rsidP="00341FAE">
      <w:pPr>
        <w:jc w:val="both"/>
        <w:rPr>
          <w:lang w:eastAsia="en-NZ"/>
        </w:rPr>
      </w:pPr>
    </w:p>
    <w:p w14:paraId="02F31374" w14:textId="77777777" w:rsidR="00341FAE" w:rsidRPr="00C70365" w:rsidRDefault="00341FAE" w:rsidP="00341FAE">
      <w:pPr>
        <w:ind w:left="720"/>
        <w:jc w:val="both"/>
        <w:rPr>
          <w:i/>
          <w:iCs/>
          <w:lang w:eastAsia="en-NZ"/>
        </w:rPr>
      </w:pPr>
      <w:r w:rsidRPr="00C70365">
        <w:rPr>
          <w:i/>
          <w:iCs/>
          <w:lang w:eastAsia="en-NZ"/>
        </w:rPr>
        <w:t>“So FAOs know they are not alone, can develop strategies for coping and boundaries; relationship and communication skill development; safety planning; grief and trauma support.” (Clinician, NZ)</w:t>
      </w:r>
    </w:p>
    <w:p w14:paraId="423DEED4" w14:textId="77777777" w:rsidR="00341FAE" w:rsidRDefault="00341FAE" w:rsidP="00341FAE">
      <w:pPr>
        <w:jc w:val="both"/>
        <w:rPr>
          <w:lang w:eastAsia="en-NZ"/>
        </w:rPr>
      </w:pPr>
    </w:p>
    <w:p w14:paraId="5D0022DE" w14:textId="77777777" w:rsidR="00341FAE" w:rsidRDefault="00341FAE" w:rsidP="00341FAE">
      <w:pPr>
        <w:jc w:val="both"/>
        <w:rPr>
          <w:lang w:eastAsia="en-NZ"/>
        </w:rPr>
      </w:pPr>
      <w:r>
        <w:rPr>
          <w:lang w:eastAsia="en-NZ"/>
        </w:rPr>
        <w:t>Around a third endorsed a dual purpose including reducing gambling behaviours in the family (e.g. by supporting a gambler into treatment or creating conditions supportive of reduced gambling at home). The notion of addictions support as part of family/whānau focussed care involved an explorative and client-led approach (involving multi-disciplinary teams) that did not make assumptions about the needs of family in advance of working with them. Another key role was identified for services in preventing addiction related harm, including educating and empowering families and communities. Responding to an understanding of family and addiction systems was highlighted in this regard:</w:t>
      </w:r>
    </w:p>
    <w:p w14:paraId="6946860C" w14:textId="77777777" w:rsidR="00341FAE" w:rsidRDefault="00341FAE" w:rsidP="00341FAE">
      <w:pPr>
        <w:jc w:val="both"/>
        <w:rPr>
          <w:lang w:eastAsia="en-NZ"/>
        </w:rPr>
      </w:pPr>
    </w:p>
    <w:p w14:paraId="51916DAC" w14:textId="77777777" w:rsidR="00341FAE" w:rsidRPr="00C70365" w:rsidRDefault="00341FAE" w:rsidP="00341FAE">
      <w:pPr>
        <w:ind w:left="720"/>
        <w:jc w:val="both"/>
        <w:rPr>
          <w:i/>
          <w:iCs/>
          <w:lang w:eastAsia="en-NZ"/>
        </w:rPr>
      </w:pPr>
      <w:r w:rsidRPr="00C70365">
        <w:rPr>
          <w:i/>
          <w:iCs/>
          <w:lang w:eastAsia="en-NZ"/>
        </w:rPr>
        <w:t>“It is part of understanding that someone with an addiction exists or lives within a whānau context - they are part of a system that has given rise to their addiction, and their addiction impacts on others within that system. A multi-pronged approach is needed to ensure success and recovery for the addicted person, wellbeing for family and others, and to ensure that family and others can support the addicted person's recovery.”</w:t>
      </w:r>
      <w:r>
        <w:rPr>
          <w:i/>
          <w:iCs/>
          <w:lang w:eastAsia="en-NZ"/>
        </w:rPr>
        <w:t xml:space="preserve"> (Researcher, NZ)</w:t>
      </w:r>
    </w:p>
    <w:p w14:paraId="53294E3A" w14:textId="77777777" w:rsidR="00341FAE" w:rsidRDefault="00341FAE" w:rsidP="00341FAE">
      <w:pPr>
        <w:jc w:val="both"/>
        <w:rPr>
          <w:lang w:eastAsia="en-NZ"/>
        </w:rPr>
      </w:pPr>
    </w:p>
    <w:p w14:paraId="72AAF2BD" w14:textId="77777777" w:rsidR="00341FAE" w:rsidRPr="00C473DF" w:rsidRDefault="00341FAE" w:rsidP="00341FAE">
      <w:pPr>
        <w:rPr>
          <w:b/>
          <w:bCs/>
          <w:lang w:eastAsia="en-NZ"/>
        </w:rPr>
      </w:pPr>
      <w:bookmarkStart w:id="196" w:name="_Ref46237701"/>
      <w:bookmarkStart w:id="197" w:name="_Toc51240655"/>
      <w:bookmarkStart w:id="198" w:name="_Ref51678634"/>
      <w:r w:rsidRPr="00C473DF">
        <w:rPr>
          <w:b/>
          <w:bCs/>
          <w:lang w:eastAsia="en-NZ"/>
        </w:rPr>
        <w:t>Table</w:t>
      </w:r>
      <w:bookmarkEnd w:id="196"/>
      <w:r>
        <w:rPr>
          <w:b/>
          <w:bCs/>
          <w:lang w:eastAsia="en-NZ"/>
        </w:rPr>
        <w:t xml:space="preserve"> 10</w:t>
      </w:r>
      <w:r w:rsidRPr="00C473DF">
        <w:rPr>
          <w:b/>
          <w:bCs/>
          <w:lang w:eastAsia="en-NZ"/>
        </w:rPr>
        <w:t>: The purpose of providing support/intervention services for FAOs affected by addiction</w:t>
      </w:r>
      <w:bookmarkEnd w:id="197"/>
      <w:bookmarkEnd w:id="19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134"/>
        <w:gridCol w:w="799"/>
      </w:tblGrid>
      <w:tr w:rsidR="00341FAE" w:rsidRPr="00C473DF" w14:paraId="117BE5BF" w14:textId="77777777" w:rsidTr="00443763">
        <w:tc>
          <w:tcPr>
            <w:tcW w:w="7083" w:type="dxa"/>
            <w:tcBorders>
              <w:top w:val="single" w:sz="4" w:space="0" w:color="auto"/>
              <w:bottom w:val="single" w:sz="4" w:space="0" w:color="auto"/>
            </w:tcBorders>
          </w:tcPr>
          <w:p w14:paraId="232F3D8A" w14:textId="77777777" w:rsidR="00341FAE" w:rsidRPr="00C473DF" w:rsidRDefault="00341FAE" w:rsidP="00443763">
            <w:pPr>
              <w:jc w:val="both"/>
              <w:rPr>
                <w:lang w:eastAsia="en-NZ"/>
              </w:rPr>
            </w:pPr>
            <w:r w:rsidRPr="00C473DF">
              <w:rPr>
                <w:lang w:eastAsia="en-NZ"/>
              </w:rPr>
              <w:t>Purpose</w:t>
            </w:r>
          </w:p>
        </w:tc>
        <w:tc>
          <w:tcPr>
            <w:tcW w:w="1134" w:type="dxa"/>
            <w:tcBorders>
              <w:top w:val="single" w:sz="4" w:space="0" w:color="auto"/>
              <w:bottom w:val="single" w:sz="4" w:space="0" w:color="auto"/>
            </w:tcBorders>
            <w:vAlign w:val="bottom"/>
          </w:tcPr>
          <w:p w14:paraId="66589ACB" w14:textId="77777777" w:rsidR="00341FAE" w:rsidRPr="00C473DF" w:rsidRDefault="00341FAE" w:rsidP="00443763">
            <w:pPr>
              <w:jc w:val="both"/>
              <w:rPr>
                <w:lang w:eastAsia="en-NZ"/>
              </w:rPr>
            </w:pPr>
            <w:r w:rsidRPr="00C473DF">
              <w:rPr>
                <w:i/>
                <w:lang w:eastAsia="en-NZ"/>
              </w:rPr>
              <w:t xml:space="preserve">n </w:t>
            </w:r>
            <w:r w:rsidRPr="00C473DF">
              <w:rPr>
                <w:lang w:eastAsia="en-NZ"/>
              </w:rPr>
              <w:t>= 38</w:t>
            </w:r>
          </w:p>
        </w:tc>
        <w:tc>
          <w:tcPr>
            <w:tcW w:w="799" w:type="dxa"/>
            <w:tcBorders>
              <w:top w:val="single" w:sz="4" w:space="0" w:color="auto"/>
              <w:bottom w:val="single" w:sz="4" w:space="0" w:color="auto"/>
            </w:tcBorders>
            <w:vAlign w:val="bottom"/>
          </w:tcPr>
          <w:p w14:paraId="70373868" w14:textId="77777777" w:rsidR="00341FAE" w:rsidRPr="00C473DF" w:rsidRDefault="00341FAE" w:rsidP="00443763">
            <w:pPr>
              <w:jc w:val="both"/>
              <w:rPr>
                <w:lang w:eastAsia="en-NZ"/>
              </w:rPr>
            </w:pPr>
            <w:r w:rsidRPr="00C473DF">
              <w:rPr>
                <w:lang w:eastAsia="en-NZ"/>
              </w:rPr>
              <w:t>%</w:t>
            </w:r>
          </w:p>
        </w:tc>
      </w:tr>
      <w:tr w:rsidR="00341FAE" w:rsidRPr="00C473DF" w14:paraId="4AF1C30C" w14:textId="77777777" w:rsidTr="00443763">
        <w:tc>
          <w:tcPr>
            <w:tcW w:w="7083" w:type="dxa"/>
            <w:tcBorders>
              <w:top w:val="single" w:sz="4" w:space="0" w:color="auto"/>
              <w:bottom w:val="nil"/>
            </w:tcBorders>
            <w:shd w:val="clear" w:color="auto" w:fill="BFBFBF" w:themeFill="background1" w:themeFillShade="BF"/>
          </w:tcPr>
          <w:p w14:paraId="59297C85" w14:textId="77777777" w:rsidR="00341FAE" w:rsidRPr="00C473DF" w:rsidRDefault="00341FAE" w:rsidP="00443763">
            <w:pPr>
              <w:jc w:val="both"/>
              <w:rPr>
                <w:b/>
                <w:lang w:eastAsia="en-NZ"/>
              </w:rPr>
            </w:pPr>
            <w:r w:rsidRPr="00C473DF">
              <w:rPr>
                <w:lang w:eastAsia="en-NZ"/>
              </w:rPr>
              <w:t>To support FAOs to identify and address their own needs</w:t>
            </w:r>
          </w:p>
        </w:tc>
        <w:tc>
          <w:tcPr>
            <w:tcW w:w="1134" w:type="dxa"/>
            <w:tcBorders>
              <w:top w:val="single" w:sz="4" w:space="0" w:color="auto"/>
              <w:bottom w:val="nil"/>
            </w:tcBorders>
            <w:shd w:val="clear" w:color="auto" w:fill="BFBFBF" w:themeFill="background1" w:themeFillShade="BF"/>
            <w:vAlign w:val="bottom"/>
          </w:tcPr>
          <w:p w14:paraId="279AD3A2" w14:textId="77777777" w:rsidR="00341FAE" w:rsidRPr="00C473DF" w:rsidRDefault="00341FAE" w:rsidP="00443763">
            <w:pPr>
              <w:jc w:val="both"/>
              <w:rPr>
                <w:b/>
                <w:i/>
                <w:lang w:eastAsia="en-NZ"/>
              </w:rPr>
            </w:pPr>
            <w:r w:rsidRPr="00C473DF">
              <w:rPr>
                <w:lang w:eastAsia="en-NZ"/>
              </w:rPr>
              <w:t>15</w:t>
            </w:r>
          </w:p>
        </w:tc>
        <w:tc>
          <w:tcPr>
            <w:tcW w:w="799" w:type="dxa"/>
            <w:tcBorders>
              <w:top w:val="single" w:sz="4" w:space="0" w:color="auto"/>
              <w:bottom w:val="nil"/>
            </w:tcBorders>
            <w:shd w:val="clear" w:color="auto" w:fill="BFBFBF" w:themeFill="background1" w:themeFillShade="BF"/>
            <w:vAlign w:val="bottom"/>
          </w:tcPr>
          <w:p w14:paraId="79B5B51B" w14:textId="77777777" w:rsidR="00341FAE" w:rsidRPr="00C473DF" w:rsidRDefault="00341FAE" w:rsidP="00443763">
            <w:pPr>
              <w:jc w:val="both"/>
              <w:rPr>
                <w:b/>
                <w:lang w:eastAsia="en-NZ"/>
              </w:rPr>
            </w:pPr>
            <w:r w:rsidRPr="00C473DF">
              <w:rPr>
                <w:lang w:eastAsia="en-NZ"/>
              </w:rPr>
              <w:t>39</w:t>
            </w:r>
          </w:p>
        </w:tc>
      </w:tr>
      <w:tr w:rsidR="00341FAE" w:rsidRPr="00C473DF" w14:paraId="18219F8E" w14:textId="77777777" w:rsidTr="00443763">
        <w:tc>
          <w:tcPr>
            <w:tcW w:w="7083" w:type="dxa"/>
            <w:tcBorders>
              <w:top w:val="nil"/>
              <w:bottom w:val="nil"/>
            </w:tcBorders>
            <w:shd w:val="clear" w:color="auto" w:fill="auto"/>
          </w:tcPr>
          <w:p w14:paraId="37D46F1D" w14:textId="77777777" w:rsidR="00341FAE" w:rsidRPr="00C473DF" w:rsidRDefault="00341FAE" w:rsidP="00443763">
            <w:pPr>
              <w:jc w:val="both"/>
              <w:rPr>
                <w:lang w:eastAsia="en-NZ"/>
              </w:rPr>
            </w:pPr>
            <w:r w:rsidRPr="00C473DF">
              <w:rPr>
                <w:lang w:eastAsia="en-NZ"/>
              </w:rPr>
              <w:t>To support FAOs to identify and address their own needs and reduce addictive behaviours in families.</w:t>
            </w:r>
          </w:p>
        </w:tc>
        <w:tc>
          <w:tcPr>
            <w:tcW w:w="1134" w:type="dxa"/>
            <w:tcBorders>
              <w:top w:val="nil"/>
              <w:bottom w:val="nil"/>
            </w:tcBorders>
            <w:shd w:val="clear" w:color="auto" w:fill="auto"/>
            <w:vAlign w:val="bottom"/>
          </w:tcPr>
          <w:p w14:paraId="6BB77783" w14:textId="77777777" w:rsidR="00341FAE" w:rsidRPr="00C473DF" w:rsidRDefault="00341FAE" w:rsidP="00443763">
            <w:pPr>
              <w:jc w:val="both"/>
              <w:rPr>
                <w:lang w:eastAsia="en-NZ"/>
              </w:rPr>
            </w:pPr>
            <w:r w:rsidRPr="00C473DF">
              <w:rPr>
                <w:lang w:eastAsia="en-NZ"/>
              </w:rPr>
              <w:t>12</w:t>
            </w:r>
          </w:p>
        </w:tc>
        <w:tc>
          <w:tcPr>
            <w:tcW w:w="799" w:type="dxa"/>
            <w:tcBorders>
              <w:top w:val="nil"/>
              <w:bottom w:val="nil"/>
            </w:tcBorders>
            <w:shd w:val="clear" w:color="auto" w:fill="auto"/>
            <w:vAlign w:val="bottom"/>
          </w:tcPr>
          <w:p w14:paraId="7870BD78" w14:textId="77777777" w:rsidR="00341FAE" w:rsidRPr="00C473DF" w:rsidRDefault="00341FAE" w:rsidP="00443763">
            <w:pPr>
              <w:jc w:val="both"/>
              <w:rPr>
                <w:lang w:eastAsia="en-NZ"/>
              </w:rPr>
            </w:pPr>
            <w:r w:rsidRPr="00C473DF">
              <w:rPr>
                <w:lang w:eastAsia="en-NZ"/>
              </w:rPr>
              <w:t>32</w:t>
            </w:r>
          </w:p>
        </w:tc>
      </w:tr>
      <w:tr w:rsidR="00341FAE" w:rsidRPr="00C473DF" w14:paraId="2FEB599E" w14:textId="77777777" w:rsidTr="00443763">
        <w:tc>
          <w:tcPr>
            <w:tcW w:w="7083" w:type="dxa"/>
            <w:tcBorders>
              <w:top w:val="nil"/>
              <w:bottom w:val="nil"/>
            </w:tcBorders>
            <w:shd w:val="clear" w:color="auto" w:fill="BFBFBF" w:themeFill="background1" w:themeFillShade="BF"/>
          </w:tcPr>
          <w:p w14:paraId="5CF2C0E8" w14:textId="77777777" w:rsidR="00341FAE" w:rsidRPr="00C473DF" w:rsidRDefault="00341FAE" w:rsidP="00443763">
            <w:pPr>
              <w:jc w:val="both"/>
              <w:rPr>
                <w:lang w:eastAsia="en-NZ"/>
              </w:rPr>
            </w:pPr>
            <w:r w:rsidRPr="00C473DF">
              <w:rPr>
                <w:lang w:eastAsia="en-NZ"/>
              </w:rPr>
              <w:t xml:space="preserve">To provide family/whānau focussed care </w:t>
            </w:r>
          </w:p>
        </w:tc>
        <w:tc>
          <w:tcPr>
            <w:tcW w:w="1134" w:type="dxa"/>
            <w:tcBorders>
              <w:top w:val="nil"/>
              <w:bottom w:val="nil"/>
            </w:tcBorders>
            <w:shd w:val="clear" w:color="auto" w:fill="BFBFBF" w:themeFill="background1" w:themeFillShade="BF"/>
            <w:vAlign w:val="bottom"/>
          </w:tcPr>
          <w:p w14:paraId="67DF7891" w14:textId="77777777" w:rsidR="00341FAE" w:rsidRPr="00C473DF" w:rsidRDefault="00341FAE" w:rsidP="00443763">
            <w:pPr>
              <w:jc w:val="both"/>
              <w:rPr>
                <w:lang w:eastAsia="en-NZ"/>
              </w:rPr>
            </w:pPr>
            <w:r w:rsidRPr="00C473DF">
              <w:rPr>
                <w:lang w:eastAsia="en-NZ"/>
              </w:rPr>
              <w:t>8</w:t>
            </w:r>
          </w:p>
        </w:tc>
        <w:tc>
          <w:tcPr>
            <w:tcW w:w="799" w:type="dxa"/>
            <w:tcBorders>
              <w:top w:val="nil"/>
              <w:bottom w:val="nil"/>
            </w:tcBorders>
            <w:shd w:val="clear" w:color="auto" w:fill="BFBFBF" w:themeFill="background1" w:themeFillShade="BF"/>
            <w:vAlign w:val="bottom"/>
          </w:tcPr>
          <w:p w14:paraId="03214F49" w14:textId="77777777" w:rsidR="00341FAE" w:rsidRPr="00C473DF" w:rsidRDefault="00341FAE" w:rsidP="00443763">
            <w:pPr>
              <w:jc w:val="both"/>
              <w:rPr>
                <w:lang w:eastAsia="en-NZ"/>
              </w:rPr>
            </w:pPr>
            <w:r w:rsidRPr="00C473DF">
              <w:rPr>
                <w:lang w:eastAsia="en-NZ"/>
              </w:rPr>
              <w:t>21</w:t>
            </w:r>
          </w:p>
        </w:tc>
      </w:tr>
      <w:tr w:rsidR="00341FAE" w:rsidRPr="00C473DF" w14:paraId="5D483C19" w14:textId="77777777" w:rsidTr="00443763">
        <w:tc>
          <w:tcPr>
            <w:tcW w:w="7083" w:type="dxa"/>
            <w:tcBorders>
              <w:top w:val="nil"/>
            </w:tcBorders>
            <w:shd w:val="clear" w:color="auto" w:fill="auto"/>
          </w:tcPr>
          <w:p w14:paraId="72D9E1C8" w14:textId="77777777" w:rsidR="00341FAE" w:rsidRPr="00C473DF" w:rsidRDefault="00341FAE" w:rsidP="00443763">
            <w:pPr>
              <w:jc w:val="both"/>
              <w:rPr>
                <w:lang w:eastAsia="en-NZ"/>
              </w:rPr>
            </w:pPr>
            <w:r w:rsidRPr="00C473DF">
              <w:rPr>
                <w:lang w:eastAsia="en-NZ"/>
              </w:rPr>
              <w:t>To prevent addiction-related harm in families</w:t>
            </w:r>
          </w:p>
        </w:tc>
        <w:tc>
          <w:tcPr>
            <w:tcW w:w="1134" w:type="dxa"/>
            <w:tcBorders>
              <w:top w:val="nil"/>
            </w:tcBorders>
            <w:shd w:val="clear" w:color="auto" w:fill="auto"/>
            <w:vAlign w:val="bottom"/>
          </w:tcPr>
          <w:p w14:paraId="2BB7AF44" w14:textId="77777777" w:rsidR="00341FAE" w:rsidRPr="00C473DF" w:rsidRDefault="00341FAE" w:rsidP="00443763">
            <w:pPr>
              <w:jc w:val="both"/>
              <w:rPr>
                <w:lang w:eastAsia="en-NZ"/>
              </w:rPr>
            </w:pPr>
            <w:r w:rsidRPr="00C473DF">
              <w:rPr>
                <w:lang w:eastAsia="en-NZ"/>
              </w:rPr>
              <w:t>5</w:t>
            </w:r>
          </w:p>
        </w:tc>
        <w:tc>
          <w:tcPr>
            <w:tcW w:w="799" w:type="dxa"/>
            <w:tcBorders>
              <w:top w:val="nil"/>
            </w:tcBorders>
            <w:shd w:val="clear" w:color="auto" w:fill="auto"/>
            <w:vAlign w:val="bottom"/>
          </w:tcPr>
          <w:p w14:paraId="40CB960D" w14:textId="77777777" w:rsidR="00341FAE" w:rsidRPr="00C473DF" w:rsidRDefault="00341FAE" w:rsidP="00443763">
            <w:pPr>
              <w:jc w:val="both"/>
              <w:rPr>
                <w:lang w:eastAsia="en-NZ"/>
              </w:rPr>
            </w:pPr>
            <w:r w:rsidRPr="00C473DF">
              <w:rPr>
                <w:lang w:eastAsia="en-NZ"/>
              </w:rPr>
              <w:t>13</w:t>
            </w:r>
          </w:p>
        </w:tc>
      </w:tr>
      <w:tr w:rsidR="00341FAE" w:rsidRPr="00C473DF" w14:paraId="7916C00A" w14:textId="77777777" w:rsidTr="00443763">
        <w:tc>
          <w:tcPr>
            <w:tcW w:w="7083" w:type="dxa"/>
            <w:shd w:val="clear" w:color="auto" w:fill="BFBFBF" w:themeFill="background1" w:themeFillShade="BF"/>
          </w:tcPr>
          <w:p w14:paraId="373680F2" w14:textId="77777777" w:rsidR="00341FAE" w:rsidRPr="00C473DF" w:rsidRDefault="00341FAE" w:rsidP="00443763">
            <w:pPr>
              <w:jc w:val="both"/>
              <w:rPr>
                <w:lang w:eastAsia="en-NZ"/>
              </w:rPr>
            </w:pPr>
            <w:r w:rsidRPr="00C473DF">
              <w:rPr>
                <w:lang w:eastAsia="en-NZ"/>
              </w:rPr>
              <w:t>To reduce addictive behaviours in families</w:t>
            </w:r>
          </w:p>
        </w:tc>
        <w:tc>
          <w:tcPr>
            <w:tcW w:w="1134" w:type="dxa"/>
            <w:shd w:val="clear" w:color="auto" w:fill="BFBFBF" w:themeFill="background1" w:themeFillShade="BF"/>
            <w:vAlign w:val="bottom"/>
          </w:tcPr>
          <w:p w14:paraId="40FD930A" w14:textId="77777777" w:rsidR="00341FAE" w:rsidRPr="00C473DF" w:rsidRDefault="00341FAE" w:rsidP="00443763">
            <w:pPr>
              <w:jc w:val="both"/>
              <w:rPr>
                <w:lang w:eastAsia="en-NZ"/>
              </w:rPr>
            </w:pPr>
            <w:r w:rsidRPr="00C473DF">
              <w:rPr>
                <w:lang w:eastAsia="en-NZ"/>
              </w:rPr>
              <w:t>4</w:t>
            </w:r>
          </w:p>
        </w:tc>
        <w:tc>
          <w:tcPr>
            <w:tcW w:w="799" w:type="dxa"/>
            <w:shd w:val="clear" w:color="auto" w:fill="BFBFBF" w:themeFill="background1" w:themeFillShade="BF"/>
            <w:vAlign w:val="bottom"/>
          </w:tcPr>
          <w:p w14:paraId="5AFEB947" w14:textId="77777777" w:rsidR="00341FAE" w:rsidRPr="00C473DF" w:rsidRDefault="00341FAE" w:rsidP="00443763">
            <w:pPr>
              <w:jc w:val="both"/>
              <w:rPr>
                <w:lang w:eastAsia="en-NZ"/>
              </w:rPr>
            </w:pPr>
            <w:r w:rsidRPr="00C473DF">
              <w:rPr>
                <w:lang w:eastAsia="en-NZ"/>
              </w:rPr>
              <w:t>11</w:t>
            </w:r>
          </w:p>
        </w:tc>
      </w:tr>
      <w:tr w:rsidR="00341FAE" w:rsidRPr="00C473DF" w14:paraId="03BB33C5" w14:textId="77777777" w:rsidTr="00443763">
        <w:tc>
          <w:tcPr>
            <w:tcW w:w="7083" w:type="dxa"/>
            <w:shd w:val="clear" w:color="auto" w:fill="auto"/>
          </w:tcPr>
          <w:p w14:paraId="78D24B5F" w14:textId="77777777" w:rsidR="00341FAE" w:rsidRPr="00C473DF" w:rsidRDefault="00341FAE" w:rsidP="00443763">
            <w:pPr>
              <w:jc w:val="both"/>
              <w:rPr>
                <w:lang w:eastAsia="en-NZ"/>
              </w:rPr>
            </w:pPr>
            <w:r w:rsidRPr="00C473DF">
              <w:rPr>
                <w:lang w:eastAsia="en-NZ"/>
              </w:rPr>
              <w:t xml:space="preserve">To educate and empower families and communities </w:t>
            </w:r>
          </w:p>
        </w:tc>
        <w:tc>
          <w:tcPr>
            <w:tcW w:w="1134" w:type="dxa"/>
            <w:shd w:val="clear" w:color="auto" w:fill="auto"/>
            <w:vAlign w:val="bottom"/>
          </w:tcPr>
          <w:p w14:paraId="36A27293" w14:textId="77777777" w:rsidR="00341FAE" w:rsidRPr="00C473DF" w:rsidRDefault="00341FAE" w:rsidP="00443763">
            <w:pPr>
              <w:jc w:val="both"/>
              <w:rPr>
                <w:lang w:eastAsia="en-NZ"/>
              </w:rPr>
            </w:pPr>
            <w:r w:rsidRPr="00C473DF">
              <w:rPr>
                <w:lang w:eastAsia="en-NZ"/>
              </w:rPr>
              <w:t>4</w:t>
            </w:r>
          </w:p>
        </w:tc>
        <w:tc>
          <w:tcPr>
            <w:tcW w:w="799" w:type="dxa"/>
            <w:shd w:val="clear" w:color="auto" w:fill="auto"/>
            <w:vAlign w:val="bottom"/>
          </w:tcPr>
          <w:p w14:paraId="11123D02" w14:textId="77777777" w:rsidR="00341FAE" w:rsidRPr="00C473DF" w:rsidRDefault="00341FAE" w:rsidP="00443763">
            <w:pPr>
              <w:jc w:val="both"/>
              <w:rPr>
                <w:lang w:eastAsia="en-NZ"/>
              </w:rPr>
            </w:pPr>
            <w:r w:rsidRPr="00C473DF">
              <w:rPr>
                <w:lang w:eastAsia="en-NZ"/>
              </w:rPr>
              <w:t>11</w:t>
            </w:r>
          </w:p>
        </w:tc>
      </w:tr>
      <w:tr w:rsidR="00341FAE" w:rsidRPr="00C473DF" w14:paraId="40CB7D41" w14:textId="77777777" w:rsidTr="00443763">
        <w:tc>
          <w:tcPr>
            <w:tcW w:w="7083" w:type="dxa"/>
            <w:shd w:val="clear" w:color="auto" w:fill="BFBFBF" w:themeFill="background1" w:themeFillShade="BF"/>
          </w:tcPr>
          <w:p w14:paraId="3FBDCF54" w14:textId="77777777" w:rsidR="00341FAE" w:rsidRPr="00C473DF" w:rsidRDefault="00341FAE" w:rsidP="00443763">
            <w:pPr>
              <w:jc w:val="both"/>
              <w:rPr>
                <w:lang w:eastAsia="en-NZ"/>
              </w:rPr>
            </w:pPr>
            <w:r w:rsidRPr="00C473DF">
              <w:rPr>
                <w:lang w:eastAsia="en-NZ"/>
              </w:rPr>
              <w:t>Other (e.g. ‘unsure’)</w:t>
            </w:r>
          </w:p>
        </w:tc>
        <w:tc>
          <w:tcPr>
            <w:tcW w:w="1134" w:type="dxa"/>
            <w:shd w:val="clear" w:color="auto" w:fill="BFBFBF" w:themeFill="background1" w:themeFillShade="BF"/>
            <w:vAlign w:val="bottom"/>
          </w:tcPr>
          <w:p w14:paraId="6FC79D48" w14:textId="77777777" w:rsidR="00341FAE" w:rsidRPr="00C473DF" w:rsidRDefault="00341FAE" w:rsidP="00443763">
            <w:pPr>
              <w:jc w:val="both"/>
              <w:rPr>
                <w:lang w:eastAsia="en-NZ"/>
              </w:rPr>
            </w:pPr>
            <w:r w:rsidRPr="00C473DF">
              <w:rPr>
                <w:lang w:eastAsia="en-NZ"/>
              </w:rPr>
              <w:t>3</w:t>
            </w:r>
          </w:p>
        </w:tc>
        <w:tc>
          <w:tcPr>
            <w:tcW w:w="799" w:type="dxa"/>
            <w:shd w:val="clear" w:color="auto" w:fill="BFBFBF" w:themeFill="background1" w:themeFillShade="BF"/>
            <w:vAlign w:val="bottom"/>
          </w:tcPr>
          <w:p w14:paraId="57E9D634" w14:textId="77777777" w:rsidR="00341FAE" w:rsidRPr="00C473DF" w:rsidRDefault="00341FAE" w:rsidP="00443763">
            <w:pPr>
              <w:jc w:val="both"/>
              <w:rPr>
                <w:lang w:eastAsia="en-NZ"/>
              </w:rPr>
            </w:pPr>
            <w:r w:rsidRPr="00C473DF">
              <w:rPr>
                <w:lang w:eastAsia="en-NZ"/>
              </w:rPr>
              <w:t>8</w:t>
            </w:r>
          </w:p>
        </w:tc>
      </w:tr>
    </w:tbl>
    <w:p w14:paraId="599103D3" w14:textId="77777777" w:rsidR="00341FAE" w:rsidRPr="00C473DF" w:rsidRDefault="00341FAE" w:rsidP="00341FAE">
      <w:pPr>
        <w:jc w:val="both"/>
        <w:rPr>
          <w:lang w:eastAsia="en-NZ"/>
        </w:rPr>
      </w:pPr>
      <w:bookmarkStart w:id="199" w:name="_Toc45533120"/>
    </w:p>
    <w:p w14:paraId="2B4C8DFF" w14:textId="77777777" w:rsidR="00341FAE" w:rsidRPr="00162DEC" w:rsidRDefault="00341FAE" w:rsidP="00341FAE">
      <w:pPr>
        <w:rPr>
          <w:b/>
          <w:bCs/>
          <w:i/>
          <w:iCs/>
          <w:lang w:eastAsia="en-NZ"/>
        </w:rPr>
      </w:pPr>
      <w:bookmarkStart w:id="200" w:name="_Toc46492356"/>
      <w:bookmarkEnd w:id="199"/>
      <w:r w:rsidRPr="00162DEC">
        <w:rPr>
          <w:b/>
          <w:bCs/>
          <w:i/>
          <w:iCs/>
          <w:lang w:eastAsia="en-NZ"/>
        </w:rPr>
        <w:t>Important outcomes of an addictions service / intervention for FAOs</w:t>
      </w:r>
      <w:bookmarkEnd w:id="200"/>
    </w:p>
    <w:p w14:paraId="32F02908" w14:textId="7D5D85A1" w:rsidR="00341FAE" w:rsidRPr="00C473DF" w:rsidRDefault="00341FAE" w:rsidP="00341FAE">
      <w:pPr>
        <w:jc w:val="both"/>
        <w:rPr>
          <w:lang w:eastAsia="en-NZ"/>
        </w:rPr>
      </w:pPr>
      <w:r>
        <w:rPr>
          <w:lang w:eastAsia="en-NZ"/>
        </w:rPr>
        <w:lastRenderedPageBreak/>
        <w:t xml:space="preserve">Views on </w:t>
      </w:r>
      <w:r w:rsidRPr="00C473DF">
        <w:rPr>
          <w:lang w:eastAsia="en-NZ"/>
        </w:rPr>
        <w:t>key outcomes of an addictions service for FAOs were varied (</w:t>
      </w:r>
      <w:r w:rsidRPr="00793AEE">
        <w:rPr>
          <w:lang w:eastAsia="en-NZ"/>
        </w:rPr>
        <w:fldChar w:fldCharType="begin"/>
      </w:r>
      <w:r w:rsidRPr="00793AEE">
        <w:rPr>
          <w:lang w:eastAsia="en-NZ"/>
        </w:rPr>
        <w:instrText xml:space="preserve"> REF _Ref46238394 \h  \* MERGEFORMAT </w:instrText>
      </w:r>
      <w:r w:rsidRPr="00793AEE">
        <w:rPr>
          <w:lang w:eastAsia="en-NZ"/>
        </w:rPr>
      </w:r>
      <w:r w:rsidRPr="00793AEE">
        <w:rPr>
          <w:lang w:eastAsia="en-NZ"/>
        </w:rPr>
        <w:fldChar w:fldCharType="separate"/>
      </w:r>
      <w:r w:rsidR="00DF0799" w:rsidRPr="00DF0799">
        <w:rPr>
          <w:lang w:eastAsia="en-NZ"/>
        </w:rPr>
        <w:t>Table</w:t>
      </w:r>
      <w:r w:rsidRPr="00793AEE">
        <w:rPr>
          <w:lang w:eastAsia="en-NZ"/>
        </w:rPr>
        <w:fldChar w:fldCharType="end"/>
      </w:r>
      <w:r w:rsidRPr="00793AEE">
        <w:rPr>
          <w:lang w:eastAsia="en-NZ"/>
        </w:rPr>
        <w:t>).</w:t>
      </w:r>
      <w:r w:rsidRPr="00C473DF">
        <w:rPr>
          <w:lang w:eastAsia="en-NZ"/>
        </w:rPr>
        <w:t xml:space="preserve"> Important outcomes ranged from individual outcomes such as </w:t>
      </w:r>
      <w:r w:rsidRPr="00C473DF">
        <w:rPr>
          <w:i/>
          <w:iCs/>
          <w:lang w:eastAsia="en-NZ"/>
        </w:rPr>
        <w:t>FAO wellbeing</w:t>
      </w:r>
      <w:r w:rsidRPr="00C473DF">
        <w:rPr>
          <w:lang w:eastAsia="en-NZ"/>
        </w:rPr>
        <w:t xml:space="preserve"> (Improvement in empirical measures of individual FAO wellbeing and quality of life, ability to support gambling individual), </w:t>
      </w:r>
      <w:r w:rsidRPr="00C473DF">
        <w:rPr>
          <w:i/>
          <w:iCs/>
          <w:lang w:eastAsia="en-NZ"/>
        </w:rPr>
        <w:t>FAO-centric outcomes</w:t>
      </w:r>
      <w:r w:rsidRPr="00C473DF">
        <w:rPr>
          <w:lang w:eastAsia="en-NZ"/>
        </w:rPr>
        <w:t xml:space="preserve"> (holistic formulation of meaningful change and meaning for individual families), </w:t>
      </w:r>
      <w:r w:rsidRPr="00C473DF">
        <w:rPr>
          <w:i/>
          <w:iCs/>
          <w:lang w:eastAsia="en-NZ"/>
        </w:rPr>
        <w:t>relational outcomes</w:t>
      </w:r>
      <w:r w:rsidRPr="00C473DF">
        <w:rPr>
          <w:lang w:eastAsia="en-NZ"/>
        </w:rPr>
        <w:t xml:space="preserve"> (Improved family relationships, improved relationship with gambling individual reduced isolation / increased support networks), </w:t>
      </w:r>
      <w:r w:rsidRPr="00C473DF">
        <w:rPr>
          <w:i/>
          <w:iCs/>
          <w:lang w:eastAsia="en-NZ"/>
        </w:rPr>
        <w:t>outcomes for the gambling individual</w:t>
      </w:r>
      <w:r w:rsidRPr="00C473DF">
        <w:rPr>
          <w:lang w:eastAsia="en-NZ"/>
        </w:rPr>
        <w:t xml:space="preserve"> (Reduction in measures of gambling (e.g. time/expenditure), and </w:t>
      </w:r>
      <w:r w:rsidRPr="00C473DF">
        <w:rPr>
          <w:i/>
          <w:iCs/>
          <w:lang w:eastAsia="en-NZ"/>
        </w:rPr>
        <w:t>public health based outcomes</w:t>
      </w:r>
      <w:r w:rsidRPr="00C473DF">
        <w:rPr>
          <w:lang w:eastAsia="en-NZ"/>
        </w:rPr>
        <w:t xml:space="preserve"> (Social/political change in communities served, enhanced education / understanding of gambling and services.)</w:t>
      </w:r>
    </w:p>
    <w:p w14:paraId="4262F6FE" w14:textId="77777777" w:rsidR="00341FAE" w:rsidRPr="00C473DF" w:rsidRDefault="00341FAE" w:rsidP="00341FAE">
      <w:pPr>
        <w:jc w:val="both"/>
        <w:rPr>
          <w:lang w:eastAsia="en-NZ"/>
        </w:rPr>
      </w:pPr>
    </w:p>
    <w:p w14:paraId="69AA3501" w14:textId="77777777" w:rsidR="00341FAE" w:rsidRPr="00C473DF" w:rsidRDefault="00341FAE" w:rsidP="00341FAE">
      <w:pPr>
        <w:jc w:val="both"/>
        <w:rPr>
          <w:b/>
          <w:bCs/>
          <w:lang w:eastAsia="en-NZ"/>
        </w:rPr>
      </w:pPr>
      <w:bookmarkStart w:id="201" w:name="_Ref46238394"/>
      <w:bookmarkStart w:id="202" w:name="_Toc51240656"/>
      <w:r w:rsidRPr="00C473DF">
        <w:rPr>
          <w:b/>
          <w:bCs/>
          <w:lang w:eastAsia="en-NZ"/>
        </w:rPr>
        <w:t>Table</w:t>
      </w:r>
      <w:bookmarkEnd w:id="201"/>
      <w:r>
        <w:rPr>
          <w:b/>
          <w:bCs/>
          <w:lang w:eastAsia="en-NZ"/>
        </w:rPr>
        <w:t>11</w:t>
      </w:r>
      <w:r w:rsidRPr="00C473DF">
        <w:rPr>
          <w:b/>
          <w:bCs/>
          <w:lang w:eastAsia="en-NZ"/>
        </w:rPr>
        <w:t>: Important outcomes of an addictions service / intervention for FAOs</w:t>
      </w:r>
      <w:bookmarkEnd w:id="202"/>
    </w:p>
    <w:tbl>
      <w:tblPr>
        <w:tblStyle w:val="TableGrid"/>
        <w:tblW w:w="901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gridCol w:w="516"/>
      </w:tblGrid>
      <w:tr w:rsidR="00341FAE" w:rsidRPr="00C473DF" w14:paraId="17465248" w14:textId="77777777" w:rsidTr="00443763">
        <w:tc>
          <w:tcPr>
            <w:tcW w:w="7650" w:type="dxa"/>
            <w:tcBorders>
              <w:top w:val="single" w:sz="4" w:space="0" w:color="auto"/>
              <w:bottom w:val="single" w:sz="4" w:space="0" w:color="auto"/>
            </w:tcBorders>
          </w:tcPr>
          <w:p w14:paraId="41C0532F" w14:textId="77777777" w:rsidR="00341FAE" w:rsidRPr="00C473DF" w:rsidRDefault="00341FAE" w:rsidP="00443763">
            <w:pPr>
              <w:jc w:val="both"/>
              <w:rPr>
                <w:lang w:eastAsia="en-NZ"/>
              </w:rPr>
            </w:pPr>
            <w:r w:rsidRPr="00C473DF">
              <w:rPr>
                <w:lang w:eastAsia="en-NZ"/>
              </w:rPr>
              <w:t>Key Outcome (coded qualitative responses)</w:t>
            </w:r>
          </w:p>
        </w:tc>
        <w:tc>
          <w:tcPr>
            <w:tcW w:w="850" w:type="dxa"/>
            <w:tcBorders>
              <w:top w:val="single" w:sz="4" w:space="0" w:color="auto"/>
              <w:bottom w:val="single" w:sz="4" w:space="0" w:color="auto"/>
            </w:tcBorders>
            <w:vAlign w:val="bottom"/>
          </w:tcPr>
          <w:p w14:paraId="0A441A87" w14:textId="77777777" w:rsidR="00341FAE" w:rsidRPr="00C473DF" w:rsidRDefault="00341FAE" w:rsidP="00443763">
            <w:pPr>
              <w:jc w:val="both"/>
              <w:rPr>
                <w:lang w:eastAsia="en-NZ"/>
              </w:rPr>
            </w:pPr>
            <w:r w:rsidRPr="00C473DF">
              <w:rPr>
                <w:i/>
                <w:lang w:eastAsia="en-NZ"/>
              </w:rPr>
              <w:t xml:space="preserve">n </w:t>
            </w:r>
            <w:r w:rsidRPr="00C473DF">
              <w:rPr>
                <w:lang w:eastAsia="en-NZ"/>
              </w:rPr>
              <w:t>= 38</w:t>
            </w:r>
          </w:p>
        </w:tc>
        <w:tc>
          <w:tcPr>
            <w:tcW w:w="516" w:type="dxa"/>
            <w:tcBorders>
              <w:top w:val="single" w:sz="4" w:space="0" w:color="auto"/>
              <w:bottom w:val="single" w:sz="4" w:space="0" w:color="auto"/>
            </w:tcBorders>
            <w:vAlign w:val="bottom"/>
          </w:tcPr>
          <w:p w14:paraId="71BA6875" w14:textId="77777777" w:rsidR="00341FAE" w:rsidRPr="00C473DF" w:rsidRDefault="00341FAE" w:rsidP="00443763">
            <w:pPr>
              <w:jc w:val="both"/>
              <w:rPr>
                <w:lang w:eastAsia="en-NZ"/>
              </w:rPr>
            </w:pPr>
            <w:r w:rsidRPr="00C473DF">
              <w:rPr>
                <w:lang w:eastAsia="en-NZ"/>
              </w:rPr>
              <w:t>%</w:t>
            </w:r>
          </w:p>
        </w:tc>
      </w:tr>
      <w:tr w:rsidR="00341FAE" w:rsidRPr="00C473DF" w14:paraId="5F8C6FF5" w14:textId="77777777" w:rsidTr="00443763">
        <w:tc>
          <w:tcPr>
            <w:tcW w:w="7650" w:type="dxa"/>
            <w:tcBorders>
              <w:top w:val="single" w:sz="4" w:space="0" w:color="auto"/>
            </w:tcBorders>
            <w:shd w:val="clear" w:color="auto" w:fill="D9D9D9" w:themeFill="background1" w:themeFillShade="D9"/>
          </w:tcPr>
          <w:p w14:paraId="7FCF5EB5" w14:textId="77777777" w:rsidR="00341FAE" w:rsidRPr="00C473DF" w:rsidRDefault="00341FAE" w:rsidP="00443763">
            <w:pPr>
              <w:jc w:val="both"/>
              <w:rPr>
                <w:lang w:eastAsia="en-NZ"/>
              </w:rPr>
            </w:pPr>
            <w:r w:rsidRPr="00C473DF">
              <w:rPr>
                <w:lang w:eastAsia="en-NZ"/>
              </w:rPr>
              <w:t>Improvement in measures of individual FAO wellbeing and quality of life</w:t>
            </w:r>
          </w:p>
        </w:tc>
        <w:tc>
          <w:tcPr>
            <w:tcW w:w="850" w:type="dxa"/>
            <w:tcBorders>
              <w:top w:val="single" w:sz="4" w:space="0" w:color="auto"/>
            </w:tcBorders>
            <w:shd w:val="clear" w:color="auto" w:fill="D9D9D9" w:themeFill="background1" w:themeFillShade="D9"/>
            <w:vAlign w:val="bottom"/>
          </w:tcPr>
          <w:p w14:paraId="51713BB1" w14:textId="77777777" w:rsidR="00341FAE" w:rsidRPr="00C473DF" w:rsidRDefault="00341FAE" w:rsidP="00443763">
            <w:pPr>
              <w:jc w:val="both"/>
              <w:rPr>
                <w:lang w:eastAsia="en-NZ"/>
              </w:rPr>
            </w:pPr>
            <w:r w:rsidRPr="00C473DF">
              <w:rPr>
                <w:lang w:eastAsia="en-NZ"/>
              </w:rPr>
              <w:t>25</w:t>
            </w:r>
          </w:p>
        </w:tc>
        <w:tc>
          <w:tcPr>
            <w:tcW w:w="516" w:type="dxa"/>
            <w:tcBorders>
              <w:top w:val="single" w:sz="4" w:space="0" w:color="auto"/>
            </w:tcBorders>
            <w:shd w:val="clear" w:color="auto" w:fill="D9D9D9" w:themeFill="background1" w:themeFillShade="D9"/>
            <w:vAlign w:val="bottom"/>
          </w:tcPr>
          <w:p w14:paraId="000BCB8C" w14:textId="77777777" w:rsidR="00341FAE" w:rsidRPr="00C473DF" w:rsidRDefault="00341FAE" w:rsidP="00443763">
            <w:pPr>
              <w:jc w:val="both"/>
              <w:rPr>
                <w:lang w:eastAsia="en-NZ"/>
              </w:rPr>
            </w:pPr>
            <w:r w:rsidRPr="00C473DF">
              <w:rPr>
                <w:lang w:eastAsia="en-NZ"/>
              </w:rPr>
              <w:t>66</w:t>
            </w:r>
          </w:p>
        </w:tc>
      </w:tr>
      <w:tr w:rsidR="00341FAE" w:rsidRPr="00C473DF" w14:paraId="55C3E5EC" w14:textId="77777777" w:rsidTr="00443763">
        <w:tc>
          <w:tcPr>
            <w:tcW w:w="7650" w:type="dxa"/>
          </w:tcPr>
          <w:p w14:paraId="29AFE964" w14:textId="77777777" w:rsidR="00341FAE" w:rsidRPr="00C473DF" w:rsidRDefault="00341FAE" w:rsidP="00443763">
            <w:pPr>
              <w:jc w:val="both"/>
              <w:rPr>
                <w:lang w:eastAsia="en-NZ"/>
              </w:rPr>
            </w:pPr>
            <w:r w:rsidRPr="00C473DF">
              <w:rPr>
                <w:lang w:eastAsia="en-NZ"/>
              </w:rPr>
              <w:t>Holistic formulation of wellbeing, change and meaning for individual families</w:t>
            </w:r>
          </w:p>
        </w:tc>
        <w:tc>
          <w:tcPr>
            <w:tcW w:w="850" w:type="dxa"/>
            <w:vAlign w:val="bottom"/>
          </w:tcPr>
          <w:p w14:paraId="5C996B35" w14:textId="77777777" w:rsidR="00341FAE" w:rsidRPr="00C473DF" w:rsidRDefault="00341FAE" w:rsidP="00443763">
            <w:pPr>
              <w:jc w:val="both"/>
              <w:rPr>
                <w:lang w:eastAsia="en-NZ"/>
              </w:rPr>
            </w:pPr>
            <w:r w:rsidRPr="00C473DF">
              <w:rPr>
                <w:lang w:eastAsia="en-NZ"/>
              </w:rPr>
              <w:t>21</w:t>
            </w:r>
          </w:p>
        </w:tc>
        <w:tc>
          <w:tcPr>
            <w:tcW w:w="516" w:type="dxa"/>
            <w:vAlign w:val="bottom"/>
          </w:tcPr>
          <w:p w14:paraId="04B2ADD8" w14:textId="77777777" w:rsidR="00341FAE" w:rsidRPr="00C473DF" w:rsidRDefault="00341FAE" w:rsidP="00443763">
            <w:pPr>
              <w:jc w:val="both"/>
              <w:rPr>
                <w:lang w:eastAsia="en-NZ"/>
              </w:rPr>
            </w:pPr>
            <w:r w:rsidRPr="00C473DF">
              <w:rPr>
                <w:lang w:eastAsia="en-NZ"/>
              </w:rPr>
              <w:t>55</w:t>
            </w:r>
          </w:p>
        </w:tc>
      </w:tr>
      <w:tr w:rsidR="00341FAE" w:rsidRPr="00C473DF" w14:paraId="43F61E9F" w14:textId="77777777" w:rsidTr="00443763">
        <w:tc>
          <w:tcPr>
            <w:tcW w:w="7650" w:type="dxa"/>
            <w:shd w:val="clear" w:color="auto" w:fill="D9D9D9" w:themeFill="background1" w:themeFillShade="D9"/>
          </w:tcPr>
          <w:p w14:paraId="57588040" w14:textId="77777777" w:rsidR="00341FAE" w:rsidRPr="00C473DF" w:rsidRDefault="00341FAE" w:rsidP="00443763">
            <w:pPr>
              <w:jc w:val="both"/>
              <w:rPr>
                <w:lang w:eastAsia="en-NZ"/>
              </w:rPr>
            </w:pPr>
            <w:r w:rsidRPr="00C473DF">
              <w:rPr>
                <w:lang w:eastAsia="en-NZ"/>
              </w:rPr>
              <w:t>Social/political change in communities served</w:t>
            </w:r>
          </w:p>
        </w:tc>
        <w:tc>
          <w:tcPr>
            <w:tcW w:w="850" w:type="dxa"/>
            <w:shd w:val="clear" w:color="auto" w:fill="D9D9D9" w:themeFill="background1" w:themeFillShade="D9"/>
            <w:vAlign w:val="bottom"/>
          </w:tcPr>
          <w:p w14:paraId="793CF834" w14:textId="77777777" w:rsidR="00341FAE" w:rsidRPr="00C473DF" w:rsidRDefault="00341FAE" w:rsidP="00443763">
            <w:pPr>
              <w:jc w:val="both"/>
              <w:rPr>
                <w:lang w:eastAsia="en-NZ"/>
              </w:rPr>
            </w:pPr>
            <w:r w:rsidRPr="00C473DF">
              <w:rPr>
                <w:lang w:eastAsia="en-NZ"/>
              </w:rPr>
              <w:t>15</w:t>
            </w:r>
          </w:p>
        </w:tc>
        <w:tc>
          <w:tcPr>
            <w:tcW w:w="516" w:type="dxa"/>
            <w:shd w:val="clear" w:color="auto" w:fill="D9D9D9" w:themeFill="background1" w:themeFillShade="D9"/>
            <w:vAlign w:val="bottom"/>
          </w:tcPr>
          <w:p w14:paraId="330AE4BE" w14:textId="77777777" w:rsidR="00341FAE" w:rsidRPr="00C473DF" w:rsidRDefault="00341FAE" w:rsidP="00443763">
            <w:pPr>
              <w:jc w:val="both"/>
              <w:rPr>
                <w:lang w:eastAsia="en-NZ"/>
              </w:rPr>
            </w:pPr>
            <w:r w:rsidRPr="00C473DF">
              <w:rPr>
                <w:lang w:eastAsia="en-NZ"/>
              </w:rPr>
              <w:t>39</w:t>
            </w:r>
          </w:p>
        </w:tc>
      </w:tr>
      <w:tr w:rsidR="00341FAE" w:rsidRPr="00C473DF" w14:paraId="4EF06989" w14:textId="77777777" w:rsidTr="00443763">
        <w:tc>
          <w:tcPr>
            <w:tcW w:w="7650" w:type="dxa"/>
          </w:tcPr>
          <w:p w14:paraId="54018C2F" w14:textId="77777777" w:rsidR="00341FAE" w:rsidRPr="00C473DF" w:rsidRDefault="00341FAE" w:rsidP="00443763">
            <w:pPr>
              <w:jc w:val="both"/>
              <w:rPr>
                <w:lang w:eastAsia="en-NZ"/>
              </w:rPr>
            </w:pPr>
            <w:r w:rsidRPr="00C473DF">
              <w:rPr>
                <w:lang w:eastAsia="en-NZ"/>
              </w:rPr>
              <w:t>Enhanced education / understanding of gambling and services</w:t>
            </w:r>
          </w:p>
        </w:tc>
        <w:tc>
          <w:tcPr>
            <w:tcW w:w="850" w:type="dxa"/>
            <w:vAlign w:val="bottom"/>
          </w:tcPr>
          <w:p w14:paraId="5A6BB96B" w14:textId="77777777" w:rsidR="00341FAE" w:rsidRPr="00C473DF" w:rsidRDefault="00341FAE" w:rsidP="00443763">
            <w:pPr>
              <w:jc w:val="both"/>
              <w:rPr>
                <w:lang w:eastAsia="en-NZ"/>
              </w:rPr>
            </w:pPr>
            <w:r w:rsidRPr="00C473DF">
              <w:rPr>
                <w:lang w:eastAsia="en-NZ"/>
              </w:rPr>
              <w:t>11</w:t>
            </w:r>
          </w:p>
        </w:tc>
        <w:tc>
          <w:tcPr>
            <w:tcW w:w="516" w:type="dxa"/>
            <w:vAlign w:val="bottom"/>
          </w:tcPr>
          <w:p w14:paraId="71B52F9C" w14:textId="77777777" w:rsidR="00341FAE" w:rsidRPr="00C473DF" w:rsidRDefault="00341FAE" w:rsidP="00443763">
            <w:pPr>
              <w:jc w:val="both"/>
              <w:rPr>
                <w:lang w:eastAsia="en-NZ"/>
              </w:rPr>
            </w:pPr>
            <w:r w:rsidRPr="00C473DF">
              <w:rPr>
                <w:lang w:eastAsia="en-NZ"/>
              </w:rPr>
              <w:t>29</w:t>
            </w:r>
          </w:p>
        </w:tc>
      </w:tr>
      <w:tr w:rsidR="00341FAE" w:rsidRPr="00C473DF" w14:paraId="2DDA3FDB" w14:textId="77777777" w:rsidTr="00443763">
        <w:tc>
          <w:tcPr>
            <w:tcW w:w="7650" w:type="dxa"/>
            <w:shd w:val="clear" w:color="auto" w:fill="D9D9D9" w:themeFill="background1" w:themeFillShade="D9"/>
          </w:tcPr>
          <w:p w14:paraId="780D7BF7" w14:textId="77777777" w:rsidR="00341FAE" w:rsidRPr="00C473DF" w:rsidRDefault="00341FAE" w:rsidP="00443763">
            <w:pPr>
              <w:jc w:val="both"/>
              <w:rPr>
                <w:lang w:eastAsia="en-NZ"/>
              </w:rPr>
            </w:pPr>
            <w:r w:rsidRPr="00C473DF">
              <w:rPr>
                <w:lang w:eastAsia="en-NZ"/>
              </w:rPr>
              <w:t>Improved family relationships</w:t>
            </w:r>
          </w:p>
        </w:tc>
        <w:tc>
          <w:tcPr>
            <w:tcW w:w="850" w:type="dxa"/>
            <w:shd w:val="clear" w:color="auto" w:fill="D9D9D9" w:themeFill="background1" w:themeFillShade="D9"/>
            <w:vAlign w:val="bottom"/>
          </w:tcPr>
          <w:p w14:paraId="3859B2B5" w14:textId="77777777" w:rsidR="00341FAE" w:rsidRPr="00C473DF" w:rsidRDefault="00341FAE" w:rsidP="00443763">
            <w:pPr>
              <w:jc w:val="both"/>
              <w:rPr>
                <w:lang w:eastAsia="en-NZ"/>
              </w:rPr>
            </w:pPr>
            <w:r w:rsidRPr="00C473DF">
              <w:rPr>
                <w:lang w:eastAsia="en-NZ"/>
              </w:rPr>
              <w:t>11</w:t>
            </w:r>
          </w:p>
        </w:tc>
        <w:tc>
          <w:tcPr>
            <w:tcW w:w="516" w:type="dxa"/>
            <w:shd w:val="clear" w:color="auto" w:fill="D9D9D9" w:themeFill="background1" w:themeFillShade="D9"/>
            <w:vAlign w:val="bottom"/>
          </w:tcPr>
          <w:p w14:paraId="6429ACE2" w14:textId="77777777" w:rsidR="00341FAE" w:rsidRPr="00C473DF" w:rsidRDefault="00341FAE" w:rsidP="00443763">
            <w:pPr>
              <w:jc w:val="both"/>
              <w:rPr>
                <w:lang w:eastAsia="en-NZ"/>
              </w:rPr>
            </w:pPr>
            <w:r w:rsidRPr="00C473DF">
              <w:rPr>
                <w:lang w:eastAsia="en-NZ"/>
              </w:rPr>
              <w:t>29</w:t>
            </w:r>
          </w:p>
        </w:tc>
      </w:tr>
      <w:tr w:rsidR="00341FAE" w:rsidRPr="00C473DF" w14:paraId="06E47120" w14:textId="77777777" w:rsidTr="00443763">
        <w:tc>
          <w:tcPr>
            <w:tcW w:w="7650" w:type="dxa"/>
          </w:tcPr>
          <w:p w14:paraId="28D081A9" w14:textId="77777777" w:rsidR="00341FAE" w:rsidRPr="00C473DF" w:rsidRDefault="00341FAE" w:rsidP="00443763">
            <w:pPr>
              <w:jc w:val="both"/>
              <w:rPr>
                <w:lang w:eastAsia="en-NZ"/>
              </w:rPr>
            </w:pPr>
            <w:r w:rsidRPr="00C473DF">
              <w:rPr>
                <w:lang w:eastAsia="en-NZ"/>
              </w:rPr>
              <w:t>Reduced isolation / increased support networks</w:t>
            </w:r>
          </w:p>
        </w:tc>
        <w:tc>
          <w:tcPr>
            <w:tcW w:w="850" w:type="dxa"/>
            <w:vAlign w:val="bottom"/>
          </w:tcPr>
          <w:p w14:paraId="620B06B6" w14:textId="77777777" w:rsidR="00341FAE" w:rsidRPr="00C473DF" w:rsidRDefault="00341FAE" w:rsidP="00443763">
            <w:pPr>
              <w:jc w:val="both"/>
              <w:rPr>
                <w:lang w:eastAsia="en-NZ"/>
              </w:rPr>
            </w:pPr>
            <w:r w:rsidRPr="00C473DF">
              <w:rPr>
                <w:lang w:eastAsia="en-NZ"/>
              </w:rPr>
              <w:t>10</w:t>
            </w:r>
          </w:p>
        </w:tc>
        <w:tc>
          <w:tcPr>
            <w:tcW w:w="516" w:type="dxa"/>
            <w:vAlign w:val="bottom"/>
          </w:tcPr>
          <w:p w14:paraId="5C0D578C" w14:textId="77777777" w:rsidR="00341FAE" w:rsidRPr="00C473DF" w:rsidRDefault="00341FAE" w:rsidP="00443763">
            <w:pPr>
              <w:jc w:val="both"/>
              <w:rPr>
                <w:lang w:eastAsia="en-NZ"/>
              </w:rPr>
            </w:pPr>
            <w:r w:rsidRPr="00C473DF">
              <w:rPr>
                <w:lang w:eastAsia="en-NZ"/>
              </w:rPr>
              <w:t>26</w:t>
            </w:r>
          </w:p>
        </w:tc>
      </w:tr>
      <w:tr w:rsidR="00341FAE" w:rsidRPr="00C473DF" w14:paraId="3F9480D9" w14:textId="77777777" w:rsidTr="00443763">
        <w:tc>
          <w:tcPr>
            <w:tcW w:w="7650" w:type="dxa"/>
            <w:shd w:val="clear" w:color="auto" w:fill="D9D9D9" w:themeFill="background1" w:themeFillShade="D9"/>
          </w:tcPr>
          <w:p w14:paraId="04D4953F" w14:textId="77777777" w:rsidR="00341FAE" w:rsidRPr="00C473DF" w:rsidRDefault="00341FAE" w:rsidP="00443763">
            <w:pPr>
              <w:jc w:val="both"/>
              <w:rPr>
                <w:lang w:eastAsia="en-NZ"/>
              </w:rPr>
            </w:pPr>
            <w:r w:rsidRPr="00C473DF">
              <w:rPr>
                <w:lang w:eastAsia="en-NZ"/>
              </w:rPr>
              <w:t>Reduction in measures of gambling (e.g. time/expenditure)</w:t>
            </w:r>
          </w:p>
        </w:tc>
        <w:tc>
          <w:tcPr>
            <w:tcW w:w="850" w:type="dxa"/>
            <w:shd w:val="clear" w:color="auto" w:fill="D9D9D9" w:themeFill="background1" w:themeFillShade="D9"/>
            <w:vAlign w:val="bottom"/>
          </w:tcPr>
          <w:p w14:paraId="6A6E4356" w14:textId="77777777" w:rsidR="00341FAE" w:rsidRPr="00C473DF" w:rsidRDefault="00341FAE" w:rsidP="00443763">
            <w:pPr>
              <w:jc w:val="both"/>
              <w:rPr>
                <w:lang w:eastAsia="en-NZ"/>
              </w:rPr>
            </w:pPr>
            <w:r w:rsidRPr="00C473DF">
              <w:rPr>
                <w:lang w:eastAsia="en-NZ"/>
              </w:rPr>
              <w:t>8</w:t>
            </w:r>
          </w:p>
        </w:tc>
        <w:tc>
          <w:tcPr>
            <w:tcW w:w="516" w:type="dxa"/>
            <w:shd w:val="clear" w:color="auto" w:fill="D9D9D9" w:themeFill="background1" w:themeFillShade="D9"/>
            <w:vAlign w:val="bottom"/>
          </w:tcPr>
          <w:p w14:paraId="231A35F3" w14:textId="77777777" w:rsidR="00341FAE" w:rsidRPr="00C473DF" w:rsidRDefault="00341FAE" w:rsidP="00443763">
            <w:pPr>
              <w:jc w:val="both"/>
              <w:rPr>
                <w:lang w:eastAsia="en-NZ"/>
              </w:rPr>
            </w:pPr>
            <w:r w:rsidRPr="00C473DF">
              <w:rPr>
                <w:lang w:eastAsia="en-NZ"/>
              </w:rPr>
              <w:t>21</w:t>
            </w:r>
          </w:p>
        </w:tc>
      </w:tr>
      <w:tr w:rsidR="00341FAE" w:rsidRPr="00C473DF" w14:paraId="53141A28" w14:textId="77777777" w:rsidTr="00443763">
        <w:tc>
          <w:tcPr>
            <w:tcW w:w="7650" w:type="dxa"/>
          </w:tcPr>
          <w:p w14:paraId="3F1FC8F1" w14:textId="77777777" w:rsidR="00341FAE" w:rsidRPr="00C473DF" w:rsidRDefault="00341FAE" w:rsidP="00443763">
            <w:pPr>
              <w:jc w:val="both"/>
              <w:rPr>
                <w:lang w:eastAsia="en-NZ"/>
              </w:rPr>
            </w:pPr>
            <w:r w:rsidRPr="00C473DF">
              <w:rPr>
                <w:lang w:eastAsia="en-NZ"/>
              </w:rPr>
              <w:t>Improvement in measure of individual financial security</w:t>
            </w:r>
          </w:p>
        </w:tc>
        <w:tc>
          <w:tcPr>
            <w:tcW w:w="850" w:type="dxa"/>
            <w:vAlign w:val="bottom"/>
          </w:tcPr>
          <w:p w14:paraId="416CA3A9" w14:textId="77777777" w:rsidR="00341FAE" w:rsidRPr="00C473DF" w:rsidRDefault="00341FAE" w:rsidP="00443763">
            <w:pPr>
              <w:jc w:val="both"/>
              <w:rPr>
                <w:lang w:eastAsia="en-NZ"/>
              </w:rPr>
            </w:pPr>
            <w:r w:rsidRPr="00C473DF">
              <w:rPr>
                <w:lang w:eastAsia="en-NZ"/>
              </w:rPr>
              <w:t>7</w:t>
            </w:r>
          </w:p>
        </w:tc>
        <w:tc>
          <w:tcPr>
            <w:tcW w:w="516" w:type="dxa"/>
            <w:vAlign w:val="bottom"/>
          </w:tcPr>
          <w:p w14:paraId="7FCF69A0" w14:textId="77777777" w:rsidR="00341FAE" w:rsidRPr="00C473DF" w:rsidRDefault="00341FAE" w:rsidP="00443763">
            <w:pPr>
              <w:jc w:val="both"/>
              <w:rPr>
                <w:lang w:eastAsia="en-NZ"/>
              </w:rPr>
            </w:pPr>
            <w:r w:rsidRPr="00C473DF">
              <w:rPr>
                <w:lang w:eastAsia="en-NZ"/>
              </w:rPr>
              <w:t>18</w:t>
            </w:r>
          </w:p>
        </w:tc>
      </w:tr>
      <w:tr w:rsidR="00341FAE" w:rsidRPr="00C473DF" w14:paraId="3E1B4239" w14:textId="77777777" w:rsidTr="00443763">
        <w:tc>
          <w:tcPr>
            <w:tcW w:w="7650" w:type="dxa"/>
            <w:shd w:val="clear" w:color="auto" w:fill="D9D9D9" w:themeFill="background1" w:themeFillShade="D9"/>
          </w:tcPr>
          <w:p w14:paraId="453C5443" w14:textId="77777777" w:rsidR="00341FAE" w:rsidRPr="00C473DF" w:rsidRDefault="00341FAE" w:rsidP="00443763">
            <w:pPr>
              <w:jc w:val="both"/>
              <w:rPr>
                <w:lang w:eastAsia="en-NZ"/>
              </w:rPr>
            </w:pPr>
            <w:r w:rsidRPr="00C473DF">
              <w:rPr>
                <w:lang w:eastAsia="en-NZ"/>
              </w:rPr>
              <w:t>Improved relationship with gambling individual</w:t>
            </w:r>
          </w:p>
        </w:tc>
        <w:tc>
          <w:tcPr>
            <w:tcW w:w="850" w:type="dxa"/>
            <w:shd w:val="clear" w:color="auto" w:fill="D9D9D9" w:themeFill="background1" w:themeFillShade="D9"/>
            <w:vAlign w:val="bottom"/>
          </w:tcPr>
          <w:p w14:paraId="36795F1D" w14:textId="77777777" w:rsidR="00341FAE" w:rsidRPr="00C473DF" w:rsidRDefault="00341FAE" w:rsidP="00443763">
            <w:pPr>
              <w:jc w:val="both"/>
              <w:rPr>
                <w:lang w:eastAsia="en-NZ"/>
              </w:rPr>
            </w:pPr>
            <w:r w:rsidRPr="00C473DF">
              <w:rPr>
                <w:lang w:eastAsia="en-NZ"/>
              </w:rPr>
              <w:t>7</w:t>
            </w:r>
          </w:p>
        </w:tc>
        <w:tc>
          <w:tcPr>
            <w:tcW w:w="516" w:type="dxa"/>
            <w:shd w:val="clear" w:color="auto" w:fill="D9D9D9" w:themeFill="background1" w:themeFillShade="D9"/>
            <w:vAlign w:val="bottom"/>
          </w:tcPr>
          <w:p w14:paraId="6942AE07" w14:textId="77777777" w:rsidR="00341FAE" w:rsidRPr="00C473DF" w:rsidRDefault="00341FAE" w:rsidP="00443763">
            <w:pPr>
              <w:jc w:val="both"/>
              <w:rPr>
                <w:lang w:eastAsia="en-NZ"/>
              </w:rPr>
            </w:pPr>
            <w:r w:rsidRPr="00C473DF">
              <w:rPr>
                <w:lang w:eastAsia="en-NZ"/>
              </w:rPr>
              <w:t>18</w:t>
            </w:r>
          </w:p>
        </w:tc>
      </w:tr>
      <w:tr w:rsidR="00341FAE" w:rsidRPr="00C473DF" w14:paraId="3D6AC20D" w14:textId="77777777" w:rsidTr="00443763">
        <w:tc>
          <w:tcPr>
            <w:tcW w:w="7650" w:type="dxa"/>
          </w:tcPr>
          <w:p w14:paraId="36C84BF7" w14:textId="77777777" w:rsidR="00341FAE" w:rsidRPr="00C473DF" w:rsidRDefault="00341FAE" w:rsidP="00443763">
            <w:pPr>
              <w:jc w:val="both"/>
              <w:rPr>
                <w:lang w:eastAsia="en-NZ"/>
              </w:rPr>
            </w:pPr>
            <w:r w:rsidRPr="00C473DF">
              <w:rPr>
                <w:lang w:eastAsia="en-NZ"/>
              </w:rPr>
              <w:t>Enhanced ability to support gambling individual</w:t>
            </w:r>
          </w:p>
        </w:tc>
        <w:tc>
          <w:tcPr>
            <w:tcW w:w="850" w:type="dxa"/>
            <w:vAlign w:val="bottom"/>
          </w:tcPr>
          <w:p w14:paraId="3D17129B" w14:textId="77777777" w:rsidR="00341FAE" w:rsidRPr="00C473DF" w:rsidRDefault="00341FAE" w:rsidP="00443763">
            <w:pPr>
              <w:jc w:val="both"/>
              <w:rPr>
                <w:lang w:eastAsia="en-NZ"/>
              </w:rPr>
            </w:pPr>
            <w:r w:rsidRPr="00C473DF">
              <w:rPr>
                <w:lang w:eastAsia="en-NZ"/>
              </w:rPr>
              <w:t>6</w:t>
            </w:r>
          </w:p>
        </w:tc>
        <w:tc>
          <w:tcPr>
            <w:tcW w:w="516" w:type="dxa"/>
            <w:vAlign w:val="bottom"/>
          </w:tcPr>
          <w:p w14:paraId="39318FE9" w14:textId="77777777" w:rsidR="00341FAE" w:rsidRPr="00C473DF" w:rsidRDefault="00341FAE" w:rsidP="00443763">
            <w:pPr>
              <w:jc w:val="both"/>
              <w:rPr>
                <w:lang w:eastAsia="en-NZ"/>
              </w:rPr>
            </w:pPr>
            <w:r w:rsidRPr="00C473DF">
              <w:rPr>
                <w:lang w:eastAsia="en-NZ"/>
              </w:rPr>
              <w:t>16</w:t>
            </w:r>
          </w:p>
        </w:tc>
      </w:tr>
      <w:tr w:rsidR="00341FAE" w:rsidRPr="00C473DF" w14:paraId="285D9DF6" w14:textId="77777777" w:rsidTr="00443763">
        <w:tc>
          <w:tcPr>
            <w:tcW w:w="7650" w:type="dxa"/>
            <w:shd w:val="clear" w:color="auto" w:fill="D9D9D9" w:themeFill="background1" w:themeFillShade="D9"/>
          </w:tcPr>
          <w:p w14:paraId="43A32F7C" w14:textId="77777777" w:rsidR="00341FAE" w:rsidRPr="00C473DF" w:rsidRDefault="00341FAE" w:rsidP="00443763">
            <w:pPr>
              <w:jc w:val="both"/>
              <w:rPr>
                <w:lang w:eastAsia="en-NZ"/>
              </w:rPr>
            </w:pPr>
            <w:r w:rsidRPr="00C473DF">
              <w:rPr>
                <w:lang w:eastAsia="en-NZ"/>
              </w:rPr>
              <w:t>Appropriate referral (e.g. legal advice, access to foodbanks)</w:t>
            </w:r>
          </w:p>
        </w:tc>
        <w:tc>
          <w:tcPr>
            <w:tcW w:w="850" w:type="dxa"/>
            <w:shd w:val="clear" w:color="auto" w:fill="D9D9D9" w:themeFill="background1" w:themeFillShade="D9"/>
            <w:vAlign w:val="bottom"/>
          </w:tcPr>
          <w:p w14:paraId="66617BD1" w14:textId="77777777" w:rsidR="00341FAE" w:rsidRPr="00C473DF" w:rsidRDefault="00341FAE" w:rsidP="00443763">
            <w:pPr>
              <w:jc w:val="both"/>
              <w:rPr>
                <w:lang w:eastAsia="en-NZ"/>
              </w:rPr>
            </w:pPr>
            <w:r w:rsidRPr="00C473DF">
              <w:rPr>
                <w:lang w:eastAsia="en-NZ"/>
              </w:rPr>
              <w:t>4</w:t>
            </w:r>
          </w:p>
        </w:tc>
        <w:tc>
          <w:tcPr>
            <w:tcW w:w="516" w:type="dxa"/>
            <w:shd w:val="clear" w:color="auto" w:fill="D9D9D9" w:themeFill="background1" w:themeFillShade="D9"/>
            <w:vAlign w:val="bottom"/>
          </w:tcPr>
          <w:p w14:paraId="44D7DD9D" w14:textId="77777777" w:rsidR="00341FAE" w:rsidRPr="00C473DF" w:rsidRDefault="00341FAE" w:rsidP="00443763">
            <w:pPr>
              <w:jc w:val="both"/>
              <w:rPr>
                <w:lang w:eastAsia="en-NZ"/>
              </w:rPr>
            </w:pPr>
            <w:r w:rsidRPr="00C473DF">
              <w:rPr>
                <w:lang w:eastAsia="en-NZ"/>
              </w:rPr>
              <w:t>11</w:t>
            </w:r>
          </w:p>
        </w:tc>
      </w:tr>
      <w:tr w:rsidR="00341FAE" w:rsidRPr="00C473DF" w14:paraId="523F5AE7" w14:textId="77777777" w:rsidTr="00443763">
        <w:tc>
          <w:tcPr>
            <w:tcW w:w="7650" w:type="dxa"/>
          </w:tcPr>
          <w:p w14:paraId="2A81BC9C" w14:textId="77777777" w:rsidR="00341FAE" w:rsidRPr="00C473DF" w:rsidRDefault="00341FAE" w:rsidP="00443763">
            <w:pPr>
              <w:jc w:val="both"/>
              <w:rPr>
                <w:lang w:eastAsia="en-NZ"/>
              </w:rPr>
            </w:pPr>
            <w:r w:rsidRPr="00C473DF">
              <w:rPr>
                <w:lang w:eastAsia="en-NZ"/>
              </w:rPr>
              <w:t>Other (e.g. ‘unsure’)</w:t>
            </w:r>
          </w:p>
        </w:tc>
        <w:tc>
          <w:tcPr>
            <w:tcW w:w="850" w:type="dxa"/>
            <w:vAlign w:val="bottom"/>
          </w:tcPr>
          <w:p w14:paraId="4E2D8922" w14:textId="77777777" w:rsidR="00341FAE" w:rsidRPr="00C473DF" w:rsidRDefault="00341FAE" w:rsidP="00443763">
            <w:pPr>
              <w:jc w:val="both"/>
              <w:rPr>
                <w:lang w:eastAsia="en-NZ"/>
              </w:rPr>
            </w:pPr>
            <w:r w:rsidRPr="00C473DF">
              <w:rPr>
                <w:lang w:eastAsia="en-NZ"/>
              </w:rPr>
              <w:t>3</w:t>
            </w:r>
          </w:p>
        </w:tc>
        <w:tc>
          <w:tcPr>
            <w:tcW w:w="516" w:type="dxa"/>
            <w:vAlign w:val="bottom"/>
          </w:tcPr>
          <w:p w14:paraId="43F2BCBC" w14:textId="77777777" w:rsidR="00341FAE" w:rsidRPr="00C473DF" w:rsidRDefault="00341FAE" w:rsidP="00443763">
            <w:pPr>
              <w:jc w:val="both"/>
              <w:rPr>
                <w:lang w:eastAsia="en-NZ"/>
              </w:rPr>
            </w:pPr>
            <w:r w:rsidRPr="00C473DF">
              <w:rPr>
                <w:lang w:eastAsia="en-NZ"/>
              </w:rPr>
              <w:t>8</w:t>
            </w:r>
          </w:p>
        </w:tc>
      </w:tr>
    </w:tbl>
    <w:p w14:paraId="638F2B41" w14:textId="77777777" w:rsidR="00341FAE" w:rsidRPr="00C473DF" w:rsidRDefault="00341FAE" w:rsidP="00341FAE">
      <w:pPr>
        <w:jc w:val="both"/>
        <w:rPr>
          <w:lang w:eastAsia="en-NZ"/>
        </w:rPr>
      </w:pPr>
    </w:p>
    <w:p w14:paraId="067B4691" w14:textId="77777777" w:rsidR="00341FAE" w:rsidRPr="00162DEC" w:rsidRDefault="00341FAE" w:rsidP="00341FAE">
      <w:pPr>
        <w:rPr>
          <w:b/>
          <w:bCs/>
          <w:i/>
          <w:iCs/>
          <w:lang w:eastAsia="en-NZ"/>
        </w:rPr>
      </w:pPr>
      <w:bookmarkStart w:id="203" w:name="_Toc46492357"/>
      <w:r w:rsidRPr="00162DEC">
        <w:rPr>
          <w:b/>
          <w:bCs/>
          <w:i/>
          <w:iCs/>
          <w:lang w:eastAsia="en-NZ"/>
        </w:rPr>
        <w:t>Measuring the quality and effectiveness of addictions services for FAOs</w:t>
      </w:r>
      <w:bookmarkEnd w:id="203"/>
    </w:p>
    <w:p w14:paraId="424ED602" w14:textId="57358048" w:rsidR="00341FAE" w:rsidRDefault="00341FAE" w:rsidP="00341FAE">
      <w:pPr>
        <w:jc w:val="both"/>
        <w:rPr>
          <w:lang w:eastAsia="en-NZ"/>
        </w:rPr>
      </w:pPr>
      <w:r w:rsidRPr="00C473DF">
        <w:rPr>
          <w:lang w:eastAsia="en-NZ"/>
        </w:rPr>
        <w:t xml:space="preserve">Quality and effectiveness were discussed </w:t>
      </w:r>
      <w:r>
        <w:rPr>
          <w:lang w:eastAsia="en-NZ"/>
        </w:rPr>
        <w:t>as</w:t>
      </w:r>
      <w:r w:rsidRPr="00C473DF">
        <w:rPr>
          <w:lang w:eastAsia="en-NZ"/>
        </w:rPr>
        <w:t xml:space="preserve"> involving the use of empirical performance </w:t>
      </w:r>
      <w:r>
        <w:rPr>
          <w:lang w:eastAsia="en-NZ"/>
        </w:rPr>
        <w:t xml:space="preserve">outcomes </w:t>
      </w:r>
      <w:r w:rsidRPr="00C473DF">
        <w:rPr>
          <w:lang w:eastAsia="en-NZ"/>
        </w:rPr>
        <w:t xml:space="preserve">measurement and accountability frameworks measures such as </w:t>
      </w:r>
      <w:r>
        <w:rPr>
          <w:lang w:eastAsia="en-NZ"/>
        </w:rPr>
        <w:t>R</w:t>
      </w:r>
      <w:r w:rsidRPr="00C473DF">
        <w:rPr>
          <w:lang w:eastAsia="en-NZ"/>
        </w:rPr>
        <w:t>esults-</w:t>
      </w:r>
      <w:r>
        <w:rPr>
          <w:lang w:eastAsia="en-NZ"/>
        </w:rPr>
        <w:t>B</w:t>
      </w:r>
      <w:r w:rsidRPr="00C473DF">
        <w:rPr>
          <w:lang w:eastAsia="en-NZ"/>
        </w:rPr>
        <w:t xml:space="preserve">ased </w:t>
      </w:r>
      <w:r>
        <w:rPr>
          <w:lang w:eastAsia="en-NZ"/>
        </w:rPr>
        <w:t>A</w:t>
      </w:r>
      <w:r w:rsidRPr="00C473DF">
        <w:rPr>
          <w:lang w:eastAsia="en-NZ"/>
        </w:rPr>
        <w:t>ccountability (RBA), Continuous Quality Improvement (CQI), and the collection of validated screening and data from clients over time (</w:t>
      </w:r>
      <w:r w:rsidRPr="00657D30">
        <w:rPr>
          <w:lang w:eastAsia="en-NZ"/>
        </w:rPr>
        <w:fldChar w:fldCharType="begin"/>
      </w:r>
      <w:r w:rsidRPr="00657D30">
        <w:rPr>
          <w:lang w:eastAsia="en-NZ"/>
        </w:rPr>
        <w:instrText xml:space="preserve"> REF _Ref46238614 \h  \* MERGEFORMAT </w:instrText>
      </w:r>
      <w:r w:rsidRPr="00657D30">
        <w:rPr>
          <w:lang w:eastAsia="en-NZ"/>
        </w:rPr>
      </w:r>
      <w:r w:rsidRPr="00657D30">
        <w:rPr>
          <w:lang w:eastAsia="en-NZ"/>
        </w:rPr>
        <w:fldChar w:fldCharType="separate"/>
      </w:r>
      <w:r w:rsidR="00DF0799" w:rsidRPr="00DF0799">
        <w:rPr>
          <w:lang w:eastAsia="en-NZ"/>
        </w:rPr>
        <w:t>Table</w:t>
      </w:r>
      <w:r w:rsidRPr="00657D30">
        <w:rPr>
          <w:lang w:eastAsia="en-NZ"/>
        </w:rPr>
        <w:fldChar w:fldCharType="end"/>
      </w:r>
      <w:r w:rsidRPr="00657D30">
        <w:rPr>
          <w:lang w:eastAsia="en-NZ"/>
        </w:rPr>
        <w:t xml:space="preserve"> and </w:t>
      </w:r>
      <w:r w:rsidRPr="00657D30">
        <w:rPr>
          <w:lang w:eastAsia="en-NZ"/>
        </w:rPr>
        <w:fldChar w:fldCharType="begin"/>
      </w:r>
      <w:r w:rsidRPr="00657D30">
        <w:rPr>
          <w:lang w:eastAsia="en-NZ"/>
        </w:rPr>
        <w:instrText xml:space="preserve"> REF _Ref46493396 \h  \* MERGEFORMAT </w:instrText>
      </w:r>
      <w:r w:rsidRPr="00657D30">
        <w:rPr>
          <w:lang w:eastAsia="en-NZ"/>
        </w:rPr>
      </w:r>
      <w:r w:rsidRPr="00657D30">
        <w:rPr>
          <w:lang w:eastAsia="en-NZ"/>
        </w:rPr>
        <w:fldChar w:fldCharType="separate"/>
      </w:r>
      <w:r w:rsidR="00DF0799" w:rsidRPr="00DF0799">
        <w:rPr>
          <w:lang w:eastAsia="en-NZ"/>
        </w:rPr>
        <w:t>Table</w:t>
      </w:r>
      <w:r w:rsidRPr="00657D30">
        <w:rPr>
          <w:lang w:eastAsia="en-NZ"/>
        </w:rPr>
        <w:fldChar w:fldCharType="end"/>
      </w:r>
      <w:r w:rsidRPr="00C473DF">
        <w:rPr>
          <w:lang w:eastAsia="en-NZ"/>
        </w:rPr>
        <w:t xml:space="preserve">). </w:t>
      </w:r>
      <w:r>
        <w:rPr>
          <w:lang w:eastAsia="en-NZ"/>
        </w:rPr>
        <w:t>In relation to quality choice and multiple approaches was emphasised by over two fifths of the panel, e.g.:</w:t>
      </w:r>
    </w:p>
    <w:p w14:paraId="6574E071" w14:textId="77777777" w:rsidR="00341FAE" w:rsidRDefault="00341FAE" w:rsidP="00341FAE">
      <w:pPr>
        <w:jc w:val="both"/>
        <w:rPr>
          <w:lang w:eastAsia="en-NZ"/>
        </w:rPr>
      </w:pPr>
    </w:p>
    <w:p w14:paraId="4FD34776" w14:textId="77777777" w:rsidR="00341FAE" w:rsidRPr="00AD5029" w:rsidRDefault="00341FAE" w:rsidP="00341FAE">
      <w:pPr>
        <w:ind w:left="720"/>
        <w:jc w:val="both"/>
        <w:rPr>
          <w:i/>
          <w:iCs/>
          <w:lang w:eastAsia="en-NZ"/>
        </w:rPr>
      </w:pPr>
      <w:r w:rsidRPr="00AD5029">
        <w:rPr>
          <w:i/>
          <w:iCs/>
          <w:lang w:eastAsia="en-NZ"/>
        </w:rPr>
        <w:t>“Some family members want to learn more about problem gambling, others need to connect with others so they feel less isolated, others need professional support regarding their own needs whilst others feel the impact most acutely within their relationship with their gambling relative and therefore may need family therapy. Having a wide number of options that can be accessed at different points or at the same time is vital.”</w:t>
      </w:r>
      <w:r>
        <w:rPr>
          <w:i/>
          <w:iCs/>
          <w:lang w:eastAsia="en-NZ"/>
        </w:rPr>
        <w:t xml:space="preserve"> (Clinician, UK)</w:t>
      </w:r>
    </w:p>
    <w:p w14:paraId="77694FBB" w14:textId="77777777" w:rsidR="00341FAE" w:rsidRDefault="00341FAE" w:rsidP="00341FAE">
      <w:pPr>
        <w:jc w:val="both"/>
        <w:rPr>
          <w:lang w:eastAsia="en-NZ"/>
        </w:rPr>
      </w:pPr>
    </w:p>
    <w:p w14:paraId="1E24BF48" w14:textId="77777777" w:rsidR="00341FAE" w:rsidRDefault="00341FAE" w:rsidP="00341FAE">
      <w:pPr>
        <w:jc w:val="both"/>
        <w:rPr>
          <w:lang w:eastAsia="en-NZ"/>
        </w:rPr>
      </w:pPr>
      <w:r>
        <w:rPr>
          <w:lang w:eastAsia="en-NZ"/>
        </w:rPr>
        <w:t>In commenting on quality and effectiveness, t</w:t>
      </w:r>
      <w:r w:rsidRPr="00C473DF">
        <w:rPr>
          <w:lang w:eastAsia="en-NZ"/>
        </w:rPr>
        <w:t xml:space="preserve">en participants suggested that </w:t>
      </w:r>
      <w:r w:rsidRPr="00E95EEC">
        <w:rPr>
          <w:lang w:eastAsia="en-NZ"/>
        </w:rPr>
        <w:t>a ‘culture of curiosity and learning’</w:t>
      </w:r>
      <w:r w:rsidRPr="00C473DF">
        <w:rPr>
          <w:lang w:eastAsia="en-NZ"/>
        </w:rPr>
        <w:t xml:space="preserve"> should be developed as a key strategy for ensuring that services conceptualise and measure outcomes that are relevant to the communities they purport to serve</w:t>
      </w:r>
      <w:r>
        <w:rPr>
          <w:lang w:eastAsia="en-NZ"/>
        </w:rPr>
        <w:t>:</w:t>
      </w:r>
    </w:p>
    <w:p w14:paraId="02CAFADC" w14:textId="77777777" w:rsidR="00341FAE" w:rsidRDefault="00341FAE" w:rsidP="00341FAE">
      <w:pPr>
        <w:jc w:val="both"/>
        <w:rPr>
          <w:lang w:eastAsia="en-NZ"/>
        </w:rPr>
      </w:pPr>
    </w:p>
    <w:p w14:paraId="40068B42" w14:textId="77777777" w:rsidR="00341FAE" w:rsidRPr="00AD5029" w:rsidRDefault="00341FAE" w:rsidP="00341FAE">
      <w:pPr>
        <w:ind w:left="720"/>
        <w:jc w:val="both"/>
        <w:rPr>
          <w:i/>
          <w:iCs/>
          <w:lang w:eastAsia="en-NZ"/>
        </w:rPr>
      </w:pPr>
      <w:r w:rsidRPr="00AD5029">
        <w:rPr>
          <w:i/>
          <w:iCs/>
          <w:lang w:eastAsia="en-NZ"/>
        </w:rPr>
        <w:t xml:space="preserve">“Service quality is about </w:t>
      </w:r>
      <w:r>
        <w:rPr>
          <w:i/>
          <w:iCs/>
          <w:lang w:eastAsia="en-NZ"/>
        </w:rPr>
        <w:t xml:space="preserve">mechanisms for </w:t>
      </w:r>
      <w:r w:rsidRPr="00AD5029">
        <w:rPr>
          <w:i/>
          <w:iCs/>
          <w:lang w:eastAsia="en-NZ"/>
        </w:rPr>
        <w:t>listening carefully to clients’ stories, being open and curious to picking up clues hidden within those stories, to make a commitment to assist in empathetic ways, to collect learning and feed it back into practice.”</w:t>
      </w:r>
      <w:r>
        <w:rPr>
          <w:i/>
          <w:iCs/>
          <w:lang w:eastAsia="en-NZ"/>
        </w:rPr>
        <w:t xml:space="preserve"> (Researcher, Australia)</w:t>
      </w:r>
    </w:p>
    <w:p w14:paraId="56194BCD" w14:textId="77777777" w:rsidR="00341FAE" w:rsidRPr="00C473DF" w:rsidRDefault="00341FAE" w:rsidP="00341FAE">
      <w:pPr>
        <w:jc w:val="both"/>
        <w:rPr>
          <w:lang w:eastAsia="en-NZ"/>
        </w:rPr>
      </w:pPr>
    </w:p>
    <w:p w14:paraId="237DECBD" w14:textId="77777777" w:rsidR="00341FAE" w:rsidRPr="00C473DF" w:rsidRDefault="00341FAE" w:rsidP="00341FAE">
      <w:pPr>
        <w:jc w:val="both"/>
        <w:rPr>
          <w:b/>
          <w:bCs/>
          <w:lang w:eastAsia="en-NZ"/>
        </w:rPr>
      </w:pPr>
      <w:bookmarkStart w:id="204" w:name="_Ref46238614"/>
      <w:bookmarkStart w:id="205" w:name="_Toc51240657"/>
      <w:r w:rsidRPr="00C473DF">
        <w:rPr>
          <w:b/>
          <w:bCs/>
          <w:lang w:eastAsia="en-NZ"/>
        </w:rPr>
        <w:t>Table</w:t>
      </w:r>
      <w:bookmarkEnd w:id="204"/>
      <w:r>
        <w:rPr>
          <w:b/>
          <w:bCs/>
          <w:lang w:eastAsia="en-NZ"/>
        </w:rPr>
        <w:t xml:space="preserve"> 12</w:t>
      </w:r>
      <w:r w:rsidRPr="00C473DF">
        <w:rPr>
          <w:b/>
          <w:bCs/>
          <w:lang w:eastAsia="en-NZ"/>
        </w:rPr>
        <w:t>: Measures of quality services for FAOs affected by addiction</w:t>
      </w:r>
      <w:bookmarkEnd w:id="20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1559"/>
        <w:gridCol w:w="794"/>
      </w:tblGrid>
      <w:tr w:rsidR="00341FAE" w:rsidRPr="00C473DF" w14:paraId="05374A37" w14:textId="77777777" w:rsidTr="00443763">
        <w:tc>
          <w:tcPr>
            <w:tcW w:w="6663" w:type="dxa"/>
            <w:tcBorders>
              <w:top w:val="single" w:sz="4" w:space="0" w:color="auto"/>
              <w:bottom w:val="single" w:sz="4" w:space="0" w:color="auto"/>
            </w:tcBorders>
          </w:tcPr>
          <w:p w14:paraId="30EFCC67" w14:textId="77777777" w:rsidR="00341FAE" w:rsidRPr="00C473DF" w:rsidRDefault="00341FAE" w:rsidP="00443763">
            <w:pPr>
              <w:jc w:val="both"/>
              <w:rPr>
                <w:lang w:eastAsia="en-NZ"/>
              </w:rPr>
            </w:pPr>
            <w:r w:rsidRPr="00C473DF">
              <w:rPr>
                <w:lang w:eastAsia="en-NZ"/>
              </w:rPr>
              <w:t>Key Measure (coded qualitative responses)</w:t>
            </w:r>
          </w:p>
        </w:tc>
        <w:tc>
          <w:tcPr>
            <w:tcW w:w="1559" w:type="dxa"/>
            <w:tcBorders>
              <w:top w:val="single" w:sz="4" w:space="0" w:color="auto"/>
              <w:bottom w:val="single" w:sz="4" w:space="0" w:color="auto"/>
            </w:tcBorders>
            <w:vAlign w:val="bottom"/>
          </w:tcPr>
          <w:p w14:paraId="7A8158AA" w14:textId="77777777" w:rsidR="00341FAE" w:rsidRPr="00C473DF" w:rsidRDefault="00341FAE" w:rsidP="00443763">
            <w:pPr>
              <w:jc w:val="both"/>
              <w:rPr>
                <w:lang w:eastAsia="en-NZ"/>
              </w:rPr>
            </w:pPr>
            <w:r w:rsidRPr="00C473DF">
              <w:rPr>
                <w:i/>
                <w:lang w:eastAsia="en-NZ"/>
              </w:rPr>
              <w:t xml:space="preserve">n </w:t>
            </w:r>
            <w:r w:rsidRPr="00C473DF">
              <w:rPr>
                <w:lang w:eastAsia="en-NZ"/>
              </w:rPr>
              <w:t>= 38</w:t>
            </w:r>
          </w:p>
        </w:tc>
        <w:tc>
          <w:tcPr>
            <w:tcW w:w="794" w:type="dxa"/>
            <w:tcBorders>
              <w:top w:val="single" w:sz="4" w:space="0" w:color="auto"/>
              <w:bottom w:val="single" w:sz="4" w:space="0" w:color="auto"/>
            </w:tcBorders>
            <w:vAlign w:val="bottom"/>
          </w:tcPr>
          <w:p w14:paraId="4F337C60" w14:textId="77777777" w:rsidR="00341FAE" w:rsidRPr="00C473DF" w:rsidRDefault="00341FAE" w:rsidP="00443763">
            <w:pPr>
              <w:jc w:val="both"/>
              <w:rPr>
                <w:lang w:eastAsia="en-NZ"/>
              </w:rPr>
            </w:pPr>
            <w:r w:rsidRPr="00C473DF">
              <w:rPr>
                <w:lang w:eastAsia="en-NZ"/>
              </w:rPr>
              <w:t>%</w:t>
            </w:r>
          </w:p>
        </w:tc>
      </w:tr>
      <w:tr w:rsidR="00341FAE" w:rsidRPr="00C473DF" w14:paraId="3FA9207B" w14:textId="77777777" w:rsidTr="00443763">
        <w:tc>
          <w:tcPr>
            <w:tcW w:w="6663" w:type="dxa"/>
            <w:tcBorders>
              <w:top w:val="single" w:sz="4" w:space="0" w:color="auto"/>
            </w:tcBorders>
            <w:shd w:val="clear" w:color="auto" w:fill="D9D9D9" w:themeFill="background1" w:themeFillShade="D9"/>
          </w:tcPr>
          <w:p w14:paraId="3526E391" w14:textId="77777777" w:rsidR="00341FAE" w:rsidRPr="00C473DF" w:rsidRDefault="00341FAE" w:rsidP="00443763">
            <w:pPr>
              <w:jc w:val="both"/>
              <w:rPr>
                <w:lang w:eastAsia="en-NZ"/>
              </w:rPr>
            </w:pPr>
            <w:r w:rsidRPr="00C473DF">
              <w:rPr>
                <w:lang w:eastAsia="en-NZ"/>
              </w:rPr>
              <w:t>Empirical measures, e.g. Treatment Outcome Profile, Results-based accountability (RBA), Continuous Quality Improvement (CQI)</w:t>
            </w:r>
          </w:p>
        </w:tc>
        <w:tc>
          <w:tcPr>
            <w:tcW w:w="1559" w:type="dxa"/>
            <w:tcBorders>
              <w:top w:val="single" w:sz="4" w:space="0" w:color="auto"/>
            </w:tcBorders>
            <w:shd w:val="clear" w:color="auto" w:fill="D9D9D9" w:themeFill="background1" w:themeFillShade="D9"/>
            <w:vAlign w:val="bottom"/>
          </w:tcPr>
          <w:p w14:paraId="2FF5055F" w14:textId="77777777" w:rsidR="00341FAE" w:rsidRPr="00C473DF" w:rsidRDefault="00341FAE" w:rsidP="00443763">
            <w:pPr>
              <w:jc w:val="both"/>
              <w:rPr>
                <w:lang w:eastAsia="en-NZ"/>
              </w:rPr>
            </w:pPr>
            <w:r w:rsidRPr="00C473DF">
              <w:rPr>
                <w:lang w:eastAsia="en-NZ"/>
              </w:rPr>
              <w:t>27</w:t>
            </w:r>
          </w:p>
        </w:tc>
        <w:tc>
          <w:tcPr>
            <w:tcW w:w="794" w:type="dxa"/>
            <w:tcBorders>
              <w:top w:val="single" w:sz="4" w:space="0" w:color="auto"/>
            </w:tcBorders>
            <w:shd w:val="clear" w:color="auto" w:fill="D9D9D9" w:themeFill="background1" w:themeFillShade="D9"/>
            <w:vAlign w:val="bottom"/>
          </w:tcPr>
          <w:p w14:paraId="65DBE33A" w14:textId="77777777" w:rsidR="00341FAE" w:rsidRPr="00C473DF" w:rsidRDefault="00341FAE" w:rsidP="00443763">
            <w:pPr>
              <w:jc w:val="both"/>
              <w:rPr>
                <w:lang w:eastAsia="en-NZ"/>
              </w:rPr>
            </w:pPr>
            <w:r w:rsidRPr="00C473DF">
              <w:rPr>
                <w:lang w:eastAsia="en-NZ"/>
              </w:rPr>
              <w:t>71</w:t>
            </w:r>
          </w:p>
        </w:tc>
      </w:tr>
      <w:tr w:rsidR="00341FAE" w:rsidRPr="00C473DF" w14:paraId="330ADB79" w14:textId="77777777" w:rsidTr="00443763">
        <w:tc>
          <w:tcPr>
            <w:tcW w:w="6663" w:type="dxa"/>
          </w:tcPr>
          <w:p w14:paraId="564FE48D" w14:textId="77777777" w:rsidR="00341FAE" w:rsidRPr="00C473DF" w:rsidRDefault="00341FAE" w:rsidP="00443763">
            <w:pPr>
              <w:jc w:val="both"/>
              <w:rPr>
                <w:lang w:eastAsia="en-NZ"/>
              </w:rPr>
            </w:pPr>
            <w:r>
              <w:rPr>
                <w:lang w:eastAsia="en-NZ"/>
              </w:rPr>
              <w:t>A wide range of options to access</w:t>
            </w:r>
          </w:p>
        </w:tc>
        <w:tc>
          <w:tcPr>
            <w:tcW w:w="1559" w:type="dxa"/>
            <w:vAlign w:val="bottom"/>
          </w:tcPr>
          <w:p w14:paraId="51FFD534" w14:textId="77777777" w:rsidR="00341FAE" w:rsidRPr="00C473DF" w:rsidRDefault="00341FAE" w:rsidP="00443763">
            <w:pPr>
              <w:jc w:val="both"/>
              <w:rPr>
                <w:lang w:eastAsia="en-NZ"/>
              </w:rPr>
            </w:pPr>
            <w:r w:rsidRPr="00C473DF">
              <w:rPr>
                <w:lang w:eastAsia="en-NZ"/>
              </w:rPr>
              <w:t>16</w:t>
            </w:r>
          </w:p>
        </w:tc>
        <w:tc>
          <w:tcPr>
            <w:tcW w:w="794" w:type="dxa"/>
            <w:vAlign w:val="bottom"/>
          </w:tcPr>
          <w:p w14:paraId="5EA31FE1" w14:textId="77777777" w:rsidR="00341FAE" w:rsidRPr="00C473DF" w:rsidRDefault="00341FAE" w:rsidP="00443763">
            <w:pPr>
              <w:jc w:val="both"/>
              <w:rPr>
                <w:lang w:eastAsia="en-NZ"/>
              </w:rPr>
            </w:pPr>
            <w:r w:rsidRPr="00C473DF">
              <w:rPr>
                <w:lang w:eastAsia="en-NZ"/>
              </w:rPr>
              <w:t>42</w:t>
            </w:r>
          </w:p>
        </w:tc>
      </w:tr>
      <w:tr w:rsidR="00341FAE" w:rsidRPr="00C473DF" w14:paraId="4600CD79" w14:textId="77777777" w:rsidTr="00443763">
        <w:tc>
          <w:tcPr>
            <w:tcW w:w="6663" w:type="dxa"/>
            <w:shd w:val="clear" w:color="auto" w:fill="D9D9D9" w:themeFill="background1" w:themeFillShade="D9"/>
          </w:tcPr>
          <w:p w14:paraId="4292778A" w14:textId="77777777" w:rsidR="00341FAE" w:rsidRPr="00C473DF" w:rsidRDefault="00341FAE" w:rsidP="00443763">
            <w:pPr>
              <w:jc w:val="both"/>
              <w:rPr>
                <w:lang w:eastAsia="en-NZ"/>
              </w:rPr>
            </w:pPr>
            <w:r w:rsidRPr="00C473DF">
              <w:rPr>
                <w:lang w:eastAsia="en-NZ"/>
              </w:rPr>
              <w:t xml:space="preserve">Community </w:t>
            </w:r>
            <w:r>
              <w:rPr>
                <w:lang w:eastAsia="en-NZ"/>
              </w:rPr>
              <w:t xml:space="preserve">and client </w:t>
            </w:r>
            <w:r w:rsidRPr="00C473DF">
              <w:rPr>
                <w:lang w:eastAsia="en-NZ"/>
              </w:rPr>
              <w:t>perspectives on service relevance, availability and engagement</w:t>
            </w:r>
          </w:p>
        </w:tc>
        <w:tc>
          <w:tcPr>
            <w:tcW w:w="1559" w:type="dxa"/>
            <w:shd w:val="clear" w:color="auto" w:fill="D9D9D9" w:themeFill="background1" w:themeFillShade="D9"/>
            <w:vAlign w:val="bottom"/>
          </w:tcPr>
          <w:p w14:paraId="0800C706" w14:textId="77777777" w:rsidR="00341FAE" w:rsidRPr="00C473DF" w:rsidRDefault="00341FAE" w:rsidP="00443763">
            <w:pPr>
              <w:jc w:val="both"/>
              <w:rPr>
                <w:lang w:eastAsia="en-NZ"/>
              </w:rPr>
            </w:pPr>
            <w:r w:rsidRPr="00C473DF">
              <w:rPr>
                <w:lang w:eastAsia="en-NZ"/>
              </w:rPr>
              <w:t>15</w:t>
            </w:r>
          </w:p>
        </w:tc>
        <w:tc>
          <w:tcPr>
            <w:tcW w:w="794" w:type="dxa"/>
            <w:shd w:val="clear" w:color="auto" w:fill="D9D9D9" w:themeFill="background1" w:themeFillShade="D9"/>
            <w:vAlign w:val="bottom"/>
          </w:tcPr>
          <w:p w14:paraId="20DFD526" w14:textId="77777777" w:rsidR="00341FAE" w:rsidRPr="00C473DF" w:rsidRDefault="00341FAE" w:rsidP="00443763">
            <w:pPr>
              <w:jc w:val="both"/>
              <w:rPr>
                <w:lang w:eastAsia="en-NZ"/>
              </w:rPr>
            </w:pPr>
            <w:r w:rsidRPr="00C473DF">
              <w:rPr>
                <w:lang w:eastAsia="en-NZ"/>
              </w:rPr>
              <w:t>39</w:t>
            </w:r>
          </w:p>
        </w:tc>
      </w:tr>
      <w:tr w:rsidR="00341FAE" w:rsidRPr="00C473DF" w14:paraId="400DEAE7" w14:textId="77777777" w:rsidTr="00443763">
        <w:tc>
          <w:tcPr>
            <w:tcW w:w="6663" w:type="dxa"/>
          </w:tcPr>
          <w:p w14:paraId="27D77D6A" w14:textId="77777777" w:rsidR="00341FAE" w:rsidRPr="00C473DF" w:rsidRDefault="00341FAE" w:rsidP="00443763">
            <w:pPr>
              <w:jc w:val="both"/>
              <w:rPr>
                <w:lang w:eastAsia="en-NZ"/>
              </w:rPr>
            </w:pPr>
            <w:r w:rsidRPr="00C473DF">
              <w:rPr>
                <w:lang w:eastAsia="en-NZ"/>
              </w:rPr>
              <w:t>Service staff commitment to a culture of learning</w:t>
            </w:r>
          </w:p>
        </w:tc>
        <w:tc>
          <w:tcPr>
            <w:tcW w:w="1559" w:type="dxa"/>
            <w:vAlign w:val="bottom"/>
          </w:tcPr>
          <w:p w14:paraId="10F318E9" w14:textId="77777777" w:rsidR="00341FAE" w:rsidRPr="00C473DF" w:rsidRDefault="00341FAE" w:rsidP="00443763">
            <w:pPr>
              <w:jc w:val="both"/>
              <w:rPr>
                <w:lang w:eastAsia="en-NZ"/>
              </w:rPr>
            </w:pPr>
            <w:r w:rsidRPr="00C473DF">
              <w:rPr>
                <w:lang w:eastAsia="en-NZ"/>
              </w:rPr>
              <w:t>7</w:t>
            </w:r>
          </w:p>
        </w:tc>
        <w:tc>
          <w:tcPr>
            <w:tcW w:w="794" w:type="dxa"/>
            <w:vAlign w:val="bottom"/>
          </w:tcPr>
          <w:p w14:paraId="590F6E79" w14:textId="77777777" w:rsidR="00341FAE" w:rsidRPr="00C473DF" w:rsidRDefault="00341FAE" w:rsidP="00443763">
            <w:pPr>
              <w:jc w:val="both"/>
              <w:rPr>
                <w:lang w:eastAsia="en-NZ"/>
              </w:rPr>
            </w:pPr>
            <w:r w:rsidRPr="00C473DF">
              <w:rPr>
                <w:lang w:eastAsia="en-NZ"/>
              </w:rPr>
              <w:t>18</w:t>
            </w:r>
          </w:p>
        </w:tc>
      </w:tr>
      <w:tr w:rsidR="00341FAE" w:rsidRPr="00C473DF" w14:paraId="65B5442A" w14:textId="77777777" w:rsidTr="00443763">
        <w:tc>
          <w:tcPr>
            <w:tcW w:w="6663" w:type="dxa"/>
            <w:shd w:val="clear" w:color="auto" w:fill="D9D9D9" w:themeFill="background1" w:themeFillShade="D9"/>
          </w:tcPr>
          <w:p w14:paraId="70F97CAD" w14:textId="77777777" w:rsidR="00341FAE" w:rsidRPr="00C473DF" w:rsidRDefault="00341FAE" w:rsidP="00443763">
            <w:pPr>
              <w:jc w:val="both"/>
              <w:rPr>
                <w:lang w:eastAsia="en-NZ"/>
              </w:rPr>
            </w:pPr>
            <w:r w:rsidRPr="00C473DF">
              <w:rPr>
                <w:lang w:eastAsia="en-NZ"/>
              </w:rPr>
              <w:t>Cultural quality e.g. resourcing and accessibility of kaupapa Māori services</w:t>
            </w:r>
          </w:p>
        </w:tc>
        <w:tc>
          <w:tcPr>
            <w:tcW w:w="1559" w:type="dxa"/>
            <w:shd w:val="clear" w:color="auto" w:fill="D9D9D9" w:themeFill="background1" w:themeFillShade="D9"/>
            <w:vAlign w:val="bottom"/>
          </w:tcPr>
          <w:p w14:paraId="2E30F41B" w14:textId="77777777" w:rsidR="00341FAE" w:rsidRPr="00C473DF" w:rsidRDefault="00341FAE" w:rsidP="00443763">
            <w:pPr>
              <w:jc w:val="both"/>
              <w:rPr>
                <w:lang w:eastAsia="en-NZ"/>
              </w:rPr>
            </w:pPr>
            <w:r w:rsidRPr="00C473DF">
              <w:rPr>
                <w:lang w:eastAsia="en-NZ"/>
              </w:rPr>
              <w:t>4</w:t>
            </w:r>
          </w:p>
        </w:tc>
        <w:tc>
          <w:tcPr>
            <w:tcW w:w="794" w:type="dxa"/>
            <w:shd w:val="clear" w:color="auto" w:fill="D9D9D9" w:themeFill="background1" w:themeFillShade="D9"/>
            <w:vAlign w:val="bottom"/>
          </w:tcPr>
          <w:p w14:paraId="27118202" w14:textId="77777777" w:rsidR="00341FAE" w:rsidRPr="00C473DF" w:rsidRDefault="00341FAE" w:rsidP="00443763">
            <w:pPr>
              <w:jc w:val="both"/>
              <w:rPr>
                <w:lang w:eastAsia="en-NZ"/>
              </w:rPr>
            </w:pPr>
            <w:r w:rsidRPr="00C473DF">
              <w:rPr>
                <w:lang w:eastAsia="en-NZ"/>
              </w:rPr>
              <w:t>11</w:t>
            </w:r>
          </w:p>
        </w:tc>
      </w:tr>
      <w:tr w:rsidR="00341FAE" w:rsidRPr="00C473DF" w14:paraId="45C962F8" w14:textId="77777777" w:rsidTr="00443763">
        <w:tc>
          <w:tcPr>
            <w:tcW w:w="6663" w:type="dxa"/>
          </w:tcPr>
          <w:p w14:paraId="7604FD5C" w14:textId="77777777" w:rsidR="00341FAE" w:rsidRPr="00C473DF" w:rsidRDefault="00341FAE" w:rsidP="00443763">
            <w:pPr>
              <w:jc w:val="both"/>
              <w:rPr>
                <w:lang w:eastAsia="en-NZ"/>
              </w:rPr>
            </w:pPr>
            <w:r w:rsidRPr="00C473DF">
              <w:rPr>
                <w:lang w:eastAsia="en-NZ"/>
              </w:rPr>
              <w:t>Other (e.g. ‘unsure’)</w:t>
            </w:r>
          </w:p>
        </w:tc>
        <w:tc>
          <w:tcPr>
            <w:tcW w:w="1559" w:type="dxa"/>
            <w:vAlign w:val="bottom"/>
          </w:tcPr>
          <w:p w14:paraId="3878A729" w14:textId="77777777" w:rsidR="00341FAE" w:rsidRPr="00C473DF" w:rsidRDefault="00341FAE" w:rsidP="00443763">
            <w:pPr>
              <w:jc w:val="both"/>
              <w:rPr>
                <w:lang w:eastAsia="en-NZ"/>
              </w:rPr>
            </w:pPr>
            <w:r w:rsidRPr="00C473DF">
              <w:rPr>
                <w:lang w:eastAsia="en-NZ"/>
              </w:rPr>
              <w:t>3</w:t>
            </w:r>
          </w:p>
        </w:tc>
        <w:tc>
          <w:tcPr>
            <w:tcW w:w="794" w:type="dxa"/>
            <w:vAlign w:val="bottom"/>
          </w:tcPr>
          <w:p w14:paraId="07B1A9BD" w14:textId="77777777" w:rsidR="00341FAE" w:rsidRPr="00C473DF" w:rsidRDefault="00341FAE" w:rsidP="00443763">
            <w:pPr>
              <w:jc w:val="both"/>
              <w:rPr>
                <w:lang w:eastAsia="en-NZ"/>
              </w:rPr>
            </w:pPr>
            <w:r w:rsidRPr="00C473DF">
              <w:rPr>
                <w:lang w:eastAsia="en-NZ"/>
              </w:rPr>
              <w:t>8</w:t>
            </w:r>
          </w:p>
        </w:tc>
      </w:tr>
    </w:tbl>
    <w:p w14:paraId="59E69D7B" w14:textId="77777777" w:rsidR="00341FAE" w:rsidRPr="00C473DF" w:rsidRDefault="00341FAE" w:rsidP="00341FAE">
      <w:pPr>
        <w:jc w:val="both"/>
        <w:rPr>
          <w:lang w:eastAsia="en-NZ"/>
        </w:rPr>
      </w:pPr>
    </w:p>
    <w:p w14:paraId="7F346C45" w14:textId="77777777" w:rsidR="00341FAE" w:rsidRPr="00C473DF" w:rsidRDefault="00341FAE" w:rsidP="00341FAE">
      <w:pPr>
        <w:jc w:val="both"/>
        <w:rPr>
          <w:lang w:eastAsia="en-NZ"/>
        </w:rPr>
      </w:pPr>
      <w:r w:rsidRPr="00C473DF">
        <w:rPr>
          <w:lang w:eastAsia="en-NZ"/>
        </w:rPr>
        <w:t xml:space="preserve">Participants also emphasised how both quality and effectiveness should be explored in a way that centralises FAO’s perspectives on their wellbeing – including lived experience of harm and service use. From a third, values-based perspective, support and intervention quality and effectiveness was seen to be based on key principles such as inclusion, equity, self-determination, participation, and empowerment. </w:t>
      </w:r>
    </w:p>
    <w:p w14:paraId="192A852F" w14:textId="77777777" w:rsidR="00341FAE" w:rsidRPr="00C473DF" w:rsidRDefault="00341FAE" w:rsidP="00341FAE">
      <w:pPr>
        <w:jc w:val="both"/>
        <w:rPr>
          <w:lang w:eastAsia="en-NZ"/>
        </w:rPr>
      </w:pPr>
    </w:p>
    <w:p w14:paraId="0F442821" w14:textId="77777777" w:rsidR="00341FAE" w:rsidRPr="00C473DF" w:rsidRDefault="00341FAE" w:rsidP="00341FAE">
      <w:pPr>
        <w:jc w:val="both"/>
        <w:rPr>
          <w:b/>
          <w:bCs/>
          <w:lang w:eastAsia="en-NZ"/>
        </w:rPr>
      </w:pPr>
      <w:bookmarkStart w:id="206" w:name="_Ref46493396"/>
      <w:bookmarkStart w:id="207" w:name="_Toc51240658"/>
      <w:r w:rsidRPr="00C473DF">
        <w:rPr>
          <w:b/>
          <w:bCs/>
          <w:lang w:eastAsia="en-NZ"/>
        </w:rPr>
        <w:t>Table</w:t>
      </w:r>
      <w:bookmarkEnd w:id="206"/>
      <w:r>
        <w:rPr>
          <w:b/>
          <w:bCs/>
          <w:lang w:eastAsia="en-NZ"/>
        </w:rPr>
        <w:t xml:space="preserve"> 13</w:t>
      </w:r>
      <w:r w:rsidRPr="00C473DF">
        <w:rPr>
          <w:b/>
          <w:bCs/>
          <w:lang w:eastAsia="en-NZ"/>
        </w:rPr>
        <w:t>: Measures of effective services for FAOs affected by addiction</w:t>
      </w:r>
      <w:bookmarkEnd w:id="20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851"/>
        <w:gridCol w:w="652"/>
      </w:tblGrid>
      <w:tr w:rsidR="00341FAE" w:rsidRPr="00C473DF" w14:paraId="675AACD7" w14:textId="77777777" w:rsidTr="00443763">
        <w:tc>
          <w:tcPr>
            <w:tcW w:w="7513" w:type="dxa"/>
            <w:tcBorders>
              <w:top w:val="single" w:sz="4" w:space="0" w:color="auto"/>
              <w:bottom w:val="single" w:sz="4" w:space="0" w:color="auto"/>
            </w:tcBorders>
          </w:tcPr>
          <w:p w14:paraId="44C43B7A" w14:textId="77777777" w:rsidR="00341FAE" w:rsidRPr="00C473DF" w:rsidRDefault="00341FAE" w:rsidP="00443763">
            <w:pPr>
              <w:jc w:val="both"/>
              <w:rPr>
                <w:lang w:eastAsia="en-NZ"/>
              </w:rPr>
            </w:pPr>
            <w:r w:rsidRPr="00C473DF">
              <w:rPr>
                <w:lang w:eastAsia="en-NZ"/>
              </w:rPr>
              <w:t>Key Measure:</w:t>
            </w:r>
          </w:p>
        </w:tc>
        <w:tc>
          <w:tcPr>
            <w:tcW w:w="851" w:type="dxa"/>
            <w:tcBorders>
              <w:top w:val="single" w:sz="4" w:space="0" w:color="auto"/>
              <w:bottom w:val="single" w:sz="4" w:space="0" w:color="auto"/>
            </w:tcBorders>
            <w:vAlign w:val="bottom"/>
          </w:tcPr>
          <w:p w14:paraId="372A87B8" w14:textId="77777777" w:rsidR="00341FAE" w:rsidRPr="00C473DF" w:rsidRDefault="00341FAE" w:rsidP="00443763">
            <w:pPr>
              <w:jc w:val="both"/>
              <w:rPr>
                <w:lang w:eastAsia="en-NZ"/>
              </w:rPr>
            </w:pPr>
            <w:r w:rsidRPr="00C473DF">
              <w:rPr>
                <w:i/>
                <w:lang w:eastAsia="en-NZ"/>
              </w:rPr>
              <w:t xml:space="preserve">n </w:t>
            </w:r>
            <w:r w:rsidRPr="00C473DF">
              <w:rPr>
                <w:lang w:eastAsia="en-NZ"/>
              </w:rPr>
              <w:t>= 37</w:t>
            </w:r>
          </w:p>
        </w:tc>
        <w:tc>
          <w:tcPr>
            <w:tcW w:w="652" w:type="dxa"/>
            <w:tcBorders>
              <w:top w:val="single" w:sz="4" w:space="0" w:color="auto"/>
              <w:bottom w:val="single" w:sz="4" w:space="0" w:color="auto"/>
            </w:tcBorders>
            <w:vAlign w:val="bottom"/>
          </w:tcPr>
          <w:p w14:paraId="75A573DC" w14:textId="77777777" w:rsidR="00341FAE" w:rsidRPr="00C473DF" w:rsidRDefault="00341FAE" w:rsidP="00443763">
            <w:pPr>
              <w:jc w:val="both"/>
              <w:rPr>
                <w:lang w:eastAsia="en-NZ"/>
              </w:rPr>
            </w:pPr>
            <w:r w:rsidRPr="00C473DF">
              <w:rPr>
                <w:lang w:eastAsia="en-NZ"/>
              </w:rPr>
              <w:t>%</w:t>
            </w:r>
          </w:p>
        </w:tc>
      </w:tr>
      <w:tr w:rsidR="00341FAE" w:rsidRPr="00C473DF" w14:paraId="2A4F41FE" w14:textId="77777777" w:rsidTr="00443763">
        <w:tc>
          <w:tcPr>
            <w:tcW w:w="7513" w:type="dxa"/>
            <w:tcBorders>
              <w:top w:val="single" w:sz="4" w:space="0" w:color="auto"/>
            </w:tcBorders>
            <w:shd w:val="clear" w:color="auto" w:fill="D9D9D9" w:themeFill="background1" w:themeFillShade="D9"/>
          </w:tcPr>
          <w:p w14:paraId="1CA59FEE" w14:textId="77777777" w:rsidR="00341FAE" w:rsidRPr="00C473DF" w:rsidRDefault="00341FAE" w:rsidP="00443763">
            <w:pPr>
              <w:jc w:val="both"/>
              <w:rPr>
                <w:lang w:eastAsia="en-NZ"/>
              </w:rPr>
            </w:pPr>
            <w:r w:rsidRPr="00C473DF">
              <w:rPr>
                <w:lang w:eastAsia="en-NZ"/>
              </w:rPr>
              <w:t>Evidence-based measures (pre- and post- service engagement) e.g. Recovery Index, Family Member Questionnaire (FMQ)</w:t>
            </w:r>
          </w:p>
        </w:tc>
        <w:tc>
          <w:tcPr>
            <w:tcW w:w="851" w:type="dxa"/>
            <w:tcBorders>
              <w:top w:val="single" w:sz="4" w:space="0" w:color="auto"/>
            </w:tcBorders>
            <w:shd w:val="clear" w:color="auto" w:fill="D9D9D9" w:themeFill="background1" w:themeFillShade="D9"/>
            <w:vAlign w:val="bottom"/>
          </w:tcPr>
          <w:p w14:paraId="18F52F8D" w14:textId="77777777" w:rsidR="00341FAE" w:rsidRPr="00C473DF" w:rsidRDefault="00341FAE" w:rsidP="00443763">
            <w:pPr>
              <w:jc w:val="both"/>
              <w:rPr>
                <w:lang w:eastAsia="en-NZ"/>
              </w:rPr>
            </w:pPr>
            <w:r w:rsidRPr="00C473DF">
              <w:rPr>
                <w:lang w:eastAsia="en-NZ"/>
              </w:rPr>
              <w:t>25</w:t>
            </w:r>
          </w:p>
        </w:tc>
        <w:tc>
          <w:tcPr>
            <w:tcW w:w="652" w:type="dxa"/>
            <w:tcBorders>
              <w:top w:val="single" w:sz="4" w:space="0" w:color="auto"/>
            </w:tcBorders>
            <w:shd w:val="clear" w:color="auto" w:fill="D9D9D9" w:themeFill="background1" w:themeFillShade="D9"/>
            <w:vAlign w:val="bottom"/>
          </w:tcPr>
          <w:p w14:paraId="112DEFA5" w14:textId="77777777" w:rsidR="00341FAE" w:rsidRPr="00C473DF" w:rsidRDefault="00341FAE" w:rsidP="00443763">
            <w:pPr>
              <w:jc w:val="both"/>
              <w:rPr>
                <w:lang w:eastAsia="en-NZ"/>
              </w:rPr>
            </w:pPr>
            <w:r w:rsidRPr="00C473DF">
              <w:rPr>
                <w:lang w:eastAsia="en-NZ"/>
              </w:rPr>
              <w:t>68</w:t>
            </w:r>
          </w:p>
        </w:tc>
      </w:tr>
      <w:tr w:rsidR="00341FAE" w:rsidRPr="00C473DF" w14:paraId="64049DCD" w14:textId="77777777" w:rsidTr="00443763">
        <w:tc>
          <w:tcPr>
            <w:tcW w:w="7513" w:type="dxa"/>
          </w:tcPr>
          <w:p w14:paraId="3DA377D4" w14:textId="77777777" w:rsidR="00341FAE" w:rsidRPr="00C473DF" w:rsidRDefault="00341FAE" w:rsidP="00443763">
            <w:pPr>
              <w:jc w:val="both"/>
              <w:rPr>
                <w:lang w:eastAsia="en-NZ"/>
              </w:rPr>
            </w:pPr>
            <w:r w:rsidRPr="00C473DF">
              <w:rPr>
                <w:lang w:eastAsia="en-NZ"/>
              </w:rPr>
              <w:t>Meeting FAO identified need</w:t>
            </w:r>
          </w:p>
        </w:tc>
        <w:tc>
          <w:tcPr>
            <w:tcW w:w="851" w:type="dxa"/>
            <w:vAlign w:val="bottom"/>
          </w:tcPr>
          <w:p w14:paraId="4338CF97" w14:textId="77777777" w:rsidR="00341FAE" w:rsidRPr="00C473DF" w:rsidRDefault="00341FAE" w:rsidP="00443763">
            <w:pPr>
              <w:jc w:val="both"/>
              <w:rPr>
                <w:lang w:eastAsia="en-NZ"/>
              </w:rPr>
            </w:pPr>
            <w:r w:rsidRPr="00C473DF">
              <w:rPr>
                <w:lang w:eastAsia="en-NZ"/>
              </w:rPr>
              <w:t>21</w:t>
            </w:r>
          </w:p>
        </w:tc>
        <w:tc>
          <w:tcPr>
            <w:tcW w:w="652" w:type="dxa"/>
            <w:vAlign w:val="bottom"/>
          </w:tcPr>
          <w:p w14:paraId="7580A9F2" w14:textId="77777777" w:rsidR="00341FAE" w:rsidRPr="00C473DF" w:rsidRDefault="00341FAE" w:rsidP="00443763">
            <w:pPr>
              <w:jc w:val="both"/>
              <w:rPr>
                <w:lang w:eastAsia="en-NZ"/>
              </w:rPr>
            </w:pPr>
            <w:r w:rsidRPr="00C473DF">
              <w:rPr>
                <w:lang w:eastAsia="en-NZ"/>
              </w:rPr>
              <w:t>57</w:t>
            </w:r>
          </w:p>
        </w:tc>
      </w:tr>
      <w:tr w:rsidR="00341FAE" w:rsidRPr="00C473DF" w14:paraId="420E6979" w14:textId="77777777" w:rsidTr="00443763">
        <w:tc>
          <w:tcPr>
            <w:tcW w:w="7513" w:type="dxa"/>
            <w:shd w:val="clear" w:color="auto" w:fill="D9D9D9" w:themeFill="background1" w:themeFillShade="D9"/>
          </w:tcPr>
          <w:p w14:paraId="2026A91A" w14:textId="77777777" w:rsidR="00341FAE" w:rsidRPr="00C473DF" w:rsidRDefault="00341FAE" w:rsidP="00443763">
            <w:pPr>
              <w:jc w:val="both"/>
              <w:rPr>
                <w:lang w:eastAsia="en-NZ"/>
              </w:rPr>
            </w:pPr>
            <w:r w:rsidRPr="00C473DF">
              <w:rPr>
                <w:lang w:eastAsia="en-NZ"/>
              </w:rPr>
              <w:t>Client retention / recommendation</w:t>
            </w:r>
          </w:p>
        </w:tc>
        <w:tc>
          <w:tcPr>
            <w:tcW w:w="851" w:type="dxa"/>
            <w:shd w:val="clear" w:color="auto" w:fill="D9D9D9" w:themeFill="background1" w:themeFillShade="D9"/>
            <w:vAlign w:val="bottom"/>
          </w:tcPr>
          <w:p w14:paraId="063205F1" w14:textId="77777777" w:rsidR="00341FAE" w:rsidRPr="00C473DF" w:rsidRDefault="00341FAE" w:rsidP="00443763">
            <w:pPr>
              <w:jc w:val="both"/>
              <w:rPr>
                <w:lang w:eastAsia="en-NZ"/>
              </w:rPr>
            </w:pPr>
            <w:r w:rsidRPr="00C473DF">
              <w:rPr>
                <w:lang w:eastAsia="en-NZ"/>
              </w:rPr>
              <w:t>12</w:t>
            </w:r>
          </w:p>
        </w:tc>
        <w:tc>
          <w:tcPr>
            <w:tcW w:w="652" w:type="dxa"/>
            <w:shd w:val="clear" w:color="auto" w:fill="D9D9D9" w:themeFill="background1" w:themeFillShade="D9"/>
            <w:vAlign w:val="bottom"/>
          </w:tcPr>
          <w:p w14:paraId="481AAA91" w14:textId="77777777" w:rsidR="00341FAE" w:rsidRPr="00C473DF" w:rsidRDefault="00341FAE" w:rsidP="00443763">
            <w:pPr>
              <w:jc w:val="both"/>
              <w:rPr>
                <w:lang w:eastAsia="en-NZ"/>
              </w:rPr>
            </w:pPr>
            <w:r w:rsidRPr="00C473DF">
              <w:rPr>
                <w:lang w:eastAsia="en-NZ"/>
              </w:rPr>
              <w:t>32</w:t>
            </w:r>
          </w:p>
        </w:tc>
      </w:tr>
      <w:tr w:rsidR="00341FAE" w:rsidRPr="00C473DF" w14:paraId="524CE4D2" w14:textId="77777777" w:rsidTr="00443763">
        <w:tc>
          <w:tcPr>
            <w:tcW w:w="7513" w:type="dxa"/>
          </w:tcPr>
          <w:p w14:paraId="3DF116E8" w14:textId="77777777" w:rsidR="00341FAE" w:rsidRPr="00C473DF" w:rsidRDefault="00341FAE" w:rsidP="00443763">
            <w:pPr>
              <w:jc w:val="both"/>
              <w:rPr>
                <w:lang w:eastAsia="en-NZ"/>
              </w:rPr>
            </w:pPr>
            <w:r w:rsidRPr="00C473DF">
              <w:rPr>
                <w:lang w:eastAsia="en-NZ"/>
              </w:rPr>
              <w:t>Public health measures of an effective service e.g. diversity of families accessing services, community awareness of service</w:t>
            </w:r>
          </w:p>
        </w:tc>
        <w:tc>
          <w:tcPr>
            <w:tcW w:w="851" w:type="dxa"/>
            <w:vAlign w:val="bottom"/>
          </w:tcPr>
          <w:p w14:paraId="650894DA" w14:textId="77777777" w:rsidR="00341FAE" w:rsidRPr="00C473DF" w:rsidRDefault="00341FAE" w:rsidP="00443763">
            <w:pPr>
              <w:jc w:val="both"/>
              <w:rPr>
                <w:lang w:eastAsia="en-NZ"/>
              </w:rPr>
            </w:pPr>
            <w:r w:rsidRPr="00C473DF">
              <w:rPr>
                <w:lang w:eastAsia="en-NZ"/>
              </w:rPr>
              <w:t>6</w:t>
            </w:r>
          </w:p>
        </w:tc>
        <w:tc>
          <w:tcPr>
            <w:tcW w:w="652" w:type="dxa"/>
            <w:vAlign w:val="bottom"/>
          </w:tcPr>
          <w:p w14:paraId="15434F7B" w14:textId="77777777" w:rsidR="00341FAE" w:rsidRPr="00C473DF" w:rsidRDefault="00341FAE" w:rsidP="00443763">
            <w:pPr>
              <w:jc w:val="both"/>
              <w:rPr>
                <w:lang w:eastAsia="en-NZ"/>
              </w:rPr>
            </w:pPr>
            <w:r w:rsidRPr="00C473DF">
              <w:rPr>
                <w:lang w:eastAsia="en-NZ"/>
              </w:rPr>
              <w:t>16</w:t>
            </w:r>
          </w:p>
        </w:tc>
      </w:tr>
      <w:tr w:rsidR="00341FAE" w:rsidRPr="00C473DF" w14:paraId="35C76808" w14:textId="77777777" w:rsidTr="00443763">
        <w:tc>
          <w:tcPr>
            <w:tcW w:w="7513" w:type="dxa"/>
            <w:shd w:val="clear" w:color="auto" w:fill="D9D9D9" w:themeFill="background1" w:themeFillShade="D9"/>
          </w:tcPr>
          <w:p w14:paraId="6AF31C89" w14:textId="77777777" w:rsidR="00341FAE" w:rsidRPr="00C473DF" w:rsidRDefault="00341FAE" w:rsidP="00443763">
            <w:pPr>
              <w:jc w:val="both"/>
              <w:rPr>
                <w:lang w:eastAsia="en-NZ"/>
              </w:rPr>
            </w:pPr>
            <w:r w:rsidRPr="00C473DF">
              <w:rPr>
                <w:lang w:eastAsia="en-NZ"/>
              </w:rPr>
              <w:t>Service quality improvement initiatives</w:t>
            </w:r>
          </w:p>
        </w:tc>
        <w:tc>
          <w:tcPr>
            <w:tcW w:w="851" w:type="dxa"/>
            <w:shd w:val="clear" w:color="auto" w:fill="D9D9D9" w:themeFill="background1" w:themeFillShade="D9"/>
            <w:vAlign w:val="bottom"/>
          </w:tcPr>
          <w:p w14:paraId="0B9AA238" w14:textId="77777777" w:rsidR="00341FAE" w:rsidRPr="00C473DF" w:rsidRDefault="00341FAE" w:rsidP="00443763">
            <w:pPr>
              <w:jc w:val="both"/>
              <w:rPr>
                <w:lang w:eastAsia="en-NZ"/>
              </w:rPr>
            </w:pPr>
            <w:r w:rsidRPr="00C473DF">
              <w:rPr>
                <w:lang w:eastAsia="en-NZ"/>
              </w:rPr>
              <w:t>5</w:t>
            </w:r>
          </w:p>
        </w:tc>
        <w:tc>
          <w:tcPr>
            <w:tcW w:w="652" w:type="dxa"/>
            <w:shd w:val="clear" w:color="auto" w:fill="D9D9D9" w:themeFill="background1" w:themeFillShade="D9"/>
            <w:vAlign w:val="bottom"/>
          </w:tcPr>
          <w:p w14:paraId="464DE7EE" w14:textId="77777777" w:rsidR="00341FAE" w:rsidRPr="00C473DF" w:rsidRDefault="00341FAE" w:rsidP="00443763">
            <w:pPr>
              <w:jc w:val="both"/>
              <w:rPr>
                <w:lang w:eastAsia="en-NZ"/>
              </w:rPr>
            </w:pPr>
            <w:r w:rsidRPr="00C473DF">
              <w:rPr>
                <w:lang w:eastAsia="en-NZ"/>
              </w:rPr>
              <w:t>14</w:t>
            </w:r>
          </w:p>
        </w:tc>
      </w:tr>
    </w:tbl>
    <w:p w14:paraId="3DEEDB31" w14:textId="77777777" w:rsidR="00341FAE" w:rsidRPr="00C473DF" w:rsidRDefault="00341FAE" w:rsidP="00341FAE">
      <w:pPr>
        <w:jc w:val="both"/>
        <w:rPr>
          <w:lang w:eastAsia="en-NZ"/>
        </w:rPr>
      </w:pPr>
    </w:p>
    <w:p w14:paraId="0F5BA9F1" w14:textId="77777777" w:rsidR="00341FAE" w:rsidRPr="005C46A2" w:rsidRDefault="00341FAE" w:rsidP="00341FAE">
      <w:pPr>
        <w:jc w:val="both"/>
        <w:rPr>
          <w:lang w:eastAsia="en-NZ"/>
        </w:rPr>
      </w:pPr>
    </w:p>
    <w:p w14:paraId="4A932C6F" w14:textId="77777777" w:rsidR="00341FAE" w:rsidRPr="006D461F" w:rsidRDefault="00341FAE" w:rsidP="00341FAE">
      <w:pPr>
        <w:rPr>
          <w:b/>
          <w:bCs/>
          <w:lang w:eastAsia="en-NZ"/>
        </w:rPr>
      </w:pPr>
      <w:bookmarkStart w:id="208" w:name="_Hlk50972167"/>
      <w:r w:rsidRPr="006D461F">
        <w:rPr>
          <w:b/>
          <w:bCs/>
          <w:lang w:eastAsia="en-NZ"/>
        </w:rPr>
        <w:t>Views on approaches to supporting FAOs in the addictions literature</w:t>
      </w:r>
    </w:p>
    <w:p w14:paraId="0B1C8CC6" w14:textId="6FD36FC1" w:rsidR="00341FAE" w:rsidRPr="002E74CE" w:rsidRDefault="00341FAE" w:rsidP="00341FAE">
      <w:pPr>
        <w:spacing w:line="259" w:lineRule="auto"/>
        <w:jc w:val="both"/>
      </w:pPr>
      <w:r>
        <w:t>Participants’ rated t</w:t>
      </w:r>
      <w:r w:rsidRPr="00AD0040">
        <w:t xml:space="preserve">he extent that services should </w:t>
      </w:r>
      <w:r>
        <w:t xml:space="preserve">be </w:t>
      </w:r>
      <w:r w:rsidRPr="00AD0040">
        <w:t xml:space="preserve">designed/orientated </w:t>
      </w:r>
      <w:r>
        <w:t xml:space="preserve">around </w:t>
      </w:r>
      <w:r w:rsidRPr="00AD0040">
        <w:t>four approaches</w:t>
      </w:r>
      <w:r>
        <w:t xml:space="preserve"> we identified in the conceptual literature review</w:t>
      </w:r>
      <w:r w:rsidRPr="00AD0040">
        <w:t xml:space="preserve">. </w:t>
      </w:r>
      <w:r w:rsidRPr="002E74CE">
        <w:t>The four approaches were:</w:t>
      </w:r>
    </w:p>
    <w:p w14:paraId="6151315D" w14:textId="77777777" w:rsidR="00341FAE" w:rsidRPr="002E74CE" w:rsidRDefault="00341FAE" w:rsidP="00341FAE">
      <w:pPr>
        <w:pStyle w:val="ListParagraph"/>
        <w:numPr>
          <w:ilvl w:val="0"/>
          <w:numId w:val="16"/>
        </w:numPr>
        <w:spacing w:line="259" w:lineRule="auto"/>
        <w:jc w:val="both"/>
      </w:pPr>
      <w:r w:rsidRPr="002E74CE">
        <w:t>Supporting FAOs to influence the person who is gambling;</w:t>
      </w:r>
    </w:p>
    <w:p w14:paraId="02DFA7C9" w14:textId="77777777" w:rsidR="00341FAE" w:rsidRPr="002E74CE" w:rsidRDefault="00341FAE" w:rsidP="00341FAE">
      <w:pPr>
        <w:pStyle w:val="ListParagraph"/>
        <w:numPr>
          <w:ilvl w:val="0"/>
          <w:numId w:val="16"/>
        </w:numPr>
        <w:spacing w:line="259" w:lineRule="auto"/>
        <w:jc w:val="both"/>
      </w:pPr>
      <w:r w:rsidRPr="002E74CE">
        <w:t>Improving the relationships between FAOs and the person who is gambling;</w:t>
      </w:r>
    </w:p>
    <w:p w14:paraId="59348C2E" w14:textId="77777777" w:rsidR="00341FAE" w:rsidRPr="002E74CE" w:rsidRDefault="00341FAE" w:rsidP="00341FAE">
      <w:pPr>
        <w:pStyle w:val="ListParagraph"/>
        <w:numPr>
          <w:ilvl w:val="0"/>
          <w:numId w:val="16"/>
        </w:numPr>
        <w:spacing w:line="259" w:lineRule="auto"/>
        <w:jc w:val="both"/>
      </w:pPr>
      <w:r w:rsidRPr="002E74CE">
        <w:t>Supporting FAOs to enhance their own wellbeing;</w:t>
      </w:r>
    </w:p>
    <w:p w14:paraId="4FF2A976" w14:textId="77777777" w:rsidR="00341FAE" w:rsidRPr="002E74CE" w:rsidRDefault="00341FAE" w:rsidP="00341FAE">
      <w:pPr>
        <w:pStyle w:val="ListParagraph"/>
        <w:numPr>
          <w:ilvl w:val="0"/>
          <w:numId w:val="16"/>
        </w:numPr>
        <w:spacing w:line="259" w:lineRule="auto"/>
        <w:jc w:val="both"/>
      </w:pPr>
      <w:r w:rsidRPr="002E74CE">
        <w:t>Engaging FAOs and communities to develop gambling harm reduction techniques.</w:t>
      </w:r>
    </w:p>
    <w:p w14:paraId="2B5C022A" w14:textId="77777777" w:rsidR="00341FAE" w:rsidRDefault="00341FAE" w:rsidP="00341FAE">
      <w:pPr>
        <w:spacing w:line="259" w:lineRule="auto"/>
        <w:jc w:val="both"/>
      </w:pPr>
    </w:p>
    <w:p w14:paraId="03CBC720" w14:textId="77777777" w:rsidR="00341FAE" w:rsidRPr="00AD0040" w:rsidRDefault="00341FAE" w:rsidP="00341FAE">
      <w:pPr>
        <w:spacing w:line="259" w:lineRule="auto"/>
        <w:jc w:val="both"/>
      </w:pPr>
      <w:r w:rsidRPr="00AD0040">
        <w:t xml:space="preserve">Orientation towards enhancing FAO wellbeing, improving family relationships and engaging FAOs and communities in harm reduction </w:t>
      </w:r>
      <w:r>
        <w:t xml:space="preserve">activities </w:t>
      </w:r>
      <w:r w:rsidRPr="00AD0040">
        <w:t xml:space="preserve">were </w:t>
      </w:r>
      <w:r>
        <w:t xml:space="preserve">clearly </w:t>
      </w:r>
      <w:r w:rsidRPr="00AD0040">
        <w:t xml:space="preserve">preferred over supporting FAOs to influence the gambler. </w:t>
      </w:r>
    </w:p>
    <w:bookmarkEnd w:id="208"/>
    <w:p w14:paraId="3BA2BD24" w14:textId="77777777" w:rsidR="00341FAE" w:rsidRPr="00AD0040" w:rsidRDefault="00341FAE" w:rsidP="00341FAE">
      <w:pPr>
        <w:spacing w:line="259" w:lineRule="auto"/>
        <w:jc w:val="both"/>
      </w:pPr>
    </w:p>
    <w:p w14:paraId="6D3ECF7D" w14:textId="77777777" w:rsidR="00341FAE" w:rsidRPr="00AD0040" w:rsidRDefault="00341FAE" w:rsidP="00341FAE">
      <w:pPr>
        <w:spacing w:line="259" w:lineRule="auto"/>
        <w:jc w:val="both"/>
      </w:pPr>
      <w:r w:rsidRPr="00AD0040">
        <w:rPr>
          <w:noProof/>
          <w:lang w:eastAsia="en-NZ"/>
        </w:rPr>
        <w:drawing>
          <wp:inline distT="0" distB="0" distL="0" distR="0" wp14:anchorId="2BC7359E" wp14:editId="1460AD44">
            <wp:extent cx="5779135" cy="1785668"/>
            <wp:effectExtent l="0" t="0" r="12065" b="508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DAADE35" w14:textId="77777777" w:rsidR="00341FAE" w:rsidRPr="00AD0040" w:rsidRDefault="00341FAE" w:rsidP="00341FAE">
      <w:pPr>
        <w:spacing w:line="240" w:lineRule="auto"/>
        <w:jc w:val="both"/>
        <w:rPr>
          <w:b/>
          <w:bCs/>
          <w:sz w:val="22"/>
          <w:szCs w:val="22"/>
        </w:rPr>
      </w:pPr>
      <w:r>
        <w:rPr>
          <w:b/>
          <w:bCs/>
          <w:noProof/>
          <w:sz w:val="22"/>
          <w:szCs w:val="22"/>
        </w:rPr>
        <w:t>Figure 3.</w:t>
      </w:r>
      <w:r w:rsidRPr="00AD0040">
        <w:rPr>
          <w:b/>
          <w:bCs/>
          <w:sz w:val="22"/>
          <w:szCs w:val="22"/>
        </w:rPr>
        <w:t xml:space="preserve"> The extent that services should designed/orientated to the four approaches</w:t>
      </w:r>
    </w:p>
    <w:p w14:paraId="3F1B4B08" w14:textId="77777777" w:rsidR="00341FAE" w:rsidRDefault="00341FAE" w:rsidP="00341FAE">
      <w:pPr>
        <w:spacing w:line="259" w:lineRule="auto"/>
        <w:jc w:val="both"/>
      </w:pPr>
    </w:p>
    <w:p w14:paraId="151A3917" w14:textId="77777777" w:rsidR="00341FAE" w:rsidRDefault="00341FAE" w:rsidP="00341FAE">
      <w:pPr>
        <w:spacing w:line="259" w:lineRule="auto"/>
        <w:jc w:val="both"/>
      </w:pPr>
      <w:r w:rsidRPr="00AD0040">
        <w:t xml:space="preserve">In general, there was a large amount of uncertainty regarding effectiveness/appropriateness of each approach. What was clear, however, </w:t>
      </w:r>
      <w:r>
        <w:t>wa</w:t>
      </w:r>
      <w:r w:rsidRPr="00AD0040">
        <w:t xml:space="preserve">s that approaches that focus on supporting the FAO to influence the gambler were consistently rated the lowest on effectiveness and appropriateness (more “not at all” and “not effective/appropriate” responses). Moreover, approaches that focus on supporting FAOs to enhance their wellbeing were rated as “highly effective” and “effective” the most often. The reasons behind panel members’ ratings were teased out in their responses to the open-ended questions. These are explored in more depth in the following sections which focus on </w:t>
      </w:r>
      <w:r>
        <w:t xml:space="preserve">participants views on </w:t>
      </w:r>
      <w:r w:rsidRPr="00AD0040">
        <w:t>each approach.</w:t>
      </w:r>
      <w:r>
        <w:t xml:space="preserve"> Generally, supporting FAO wellbeing, as an end goal in itself, was seen as the most appropriate. Participants highlighted that </w:t>
      </w:r>
      <w:r w:rsidRPr="00E402EA">
        <w:t>FAO</w:t>
      </w:r>
      <w:r>
        <w:t>s</w:t>
      </w:r>
      <w:r w:rsidRPr="00E402EA">
        <w:t xml:space="preserve"> </w:t>
      </w:r>
      <w:r>
        <w:t>are often in acute distress, and f</w:t>
      </w:r>
      <w:r w:rsidRPr="00E402EA">
        <w:t>or many FAOs who could benefit</w:t>
      </w:r>
      <w:r>
        <w:t xml:space="preserve"> from support</w:t>
      </w:r>
      <w:r w:rsidRPr="00E402EA">
        <w:t xml:space="preserve"> the</w:t>
      </w:r>
      <w:r>
        <w:t>ir</w:t>
      </w:r>
      <w:r w:rsidRPr="00E402EA">
        <w:t xml:space="preserve"> relative is currently not engaged in treatment or contemplating change</w:t>
      </w:r>
      <w:r>
        <w:t xml:space="preserve">. Further, from a family systems perspective, </w:t>
      </w:r>
      <w:r w:rsidRPr="00E402EA">
        <w:t xml:space="preserve">helping the FAO </w:t>
      </w:r>
      <w:r>
        <w:t xml:space="preserve">would </w:t>
      </w:r>
      <w:r w:rsidRPr="00E402EA">
        <w:t>likely benefit the relative to</w:t>
      </w:r>
      <w:r>
        <w:t xml:space="preserve">o. </w:t>
      </w:r>
    </w:p>
    <w:p w14:paraId="2A0CF043" w14:textId="77777777" w:rsidR="00341FAE" w:rsidRDefault="00341FAE" w:rsidP="00341FAE">
      <w:pPr>
        <w:spacing w:line="259" w:lineRule="auto"/>
        <w:jc w:val="both"/>
      </w:pPr>
    </w:p>
    <w:p w14:paraId="4D6A0A10" w14:textId="1D733188" w:rsidR="00341FAE" w:rsidRDefault="00341FAE" w:rsidP="00341FAE">
      <w:pPr>
        <w:spacing w:line="259" w:lineRule="auto"/>
        <w:jc w:val="both"/>
      </w:pPr>
      <w:r w:rsidRPr="00AD0040">
        <w:t xml:space="preserve">The four intervention approaches were seen to be </w:t>
      </w:r>
      <w:r>
        <w:t xml:space="preserve">somewhat </w:t>
      </w:r>
      <w:r w:rsidRPr="00AD0040">
        <w:t xml:space="preserve">reflected in current </w:t>
      </w:r>
      <w:r w:rsidRPr="00E402EA">
        <w:t>practice.</w:t>
      </w:r>
      <w:r w:rsidRPr="00AD0040">
        <w:t xml:space="preserve"> A single or combined mix of </w:t>
      </w:r>
      <w:r>
        <w:t xml:space="preserve">‘Supporting FAOs to influence the person who is gambling’ and ‘Improving the relationships between FAOs and the person who is gambling’ </w:t>
      </w:r>
      <w:r w:rsidRPr="00AD0040">
        <w:t xml:space="preserve">was identified as most common within </w:t>
      </w:r>
      <w:r>
        <w:t xml:space="preserve">current </w:t>
      </w:r>
      <w:r w:rsidRPr="00AD0040">
        <w:t>practice</w:t>
      </w:r>
      <w:r>
        <w:t xml:space="preserve">. ‘Supporting FAOs to enhance their own wellbeing’ and ‘Engaging FAOs and communities to develop gambling harm reduction techniques’ were </w:t>
      </w:r>
      <w:r w:rsidRPr="00AD0040">
        <w:t>not as well recognised or taken up</w:t>
      </w:r>
      <w:r>
        <w:t xml:space="preserve"> as harm prevention/reduction approaches</w:t>
      </w:r>
      <w:r w:rsidRPr="00AD0040">
        <w:t xml:space="preserve">. Participants converged on the notion that each of the four approaches was necessary to </w:t>
      </w:r>
      <w:r>
        <w:t xml:space="preserve">engage and </w:t>
      </w:r>
      <w:r w:rsidRPr="00AD0040">
        <w:t>explore in far greater depth to address and prevent gambling harm for FAOs</w:t>
      </w:r>
      <w:r>
        <w:t>, e.g.:</w:t>
      </w:r>
    </w:p>
    <w:p w14:paraId="7810EBD7" w14:textId="77777777" w:rsidR="00341FAE" w:rsidRDefault="00341FAE" w:rsidP="00341FAE">
      <w:pPr>
        <w:spacing w:line="259" w:lineRule="auto"/>
        <w:jc w:val="both"/>
      </w:pPr>
    </w:p>
    <w:p w14:paraId="3C3483C1" w14:textId="77777777" w:rsidR="00341FAE" w:rsidRPr="00E402EA" w:rsidRDefault="00341FAE" w:rsidP="00341FAE">
      <w:pPr>
        <w:spacing w:line="259" w:lineRule="auto"/>
        <w:ind w:left="720"/>
        <w:jc w:val="both"/>
        <w:rPr>
          <w:i/>
          <w:iCs/>
        </w:rPr>
      </w:pPr>
      <w:r w:rsidRPr="00E402EA">
        <w:rPr>
          <w:i/>
          <w:iCs/>
        </w:rPr>
        <w:t>“The whole range is needed to ensure learning impacts positively on the patient as well as the FAO.” (Clinician, researcher, service manager, UK)</w:t>
      </w:r>
    </w:p>
    <w:p w14:paraId="45AF4546" w14:textId="77777777" w:rsidR="00341FAE" w:rsidRDefault="00341FAE" w:rsidP="00341FAE">
      <w:pPr>
        <w:spacing w:line="259" w:lineRule="auto"/>
        <w:jc w:val="both"/>
      </w:pPr>
    </w:p>
    <w:p w14:paraId="7001772D" w14:textId="77777777" w:rsidR="00341FAE" w:rsidRDefault="00341FAE" w:rsidP="00341FAE">
      <w:pPr>
        <w:spacing w:line="259" w:lineRule="auto"/>
        <w:ind w:left="720"/>
        <w:jc w:val="both"/>
        <w:rPr>
          <w:i/>
          <w:iCs/>
        </w:rPr>
      </w:pPr>
      <w:r w:rsidRPr="002901B0">
        <w:rPr>
          <w:i/>
          <w:iCs/>
        </w:rPr>
        <w:lastRenderedPageBreak/>
        <w:t>“All of the approaches have validity, however I feel a range needs to be offered. The safety of FAO and the person who is gambling needs to be fully assessed.” (Clinician, Australia)</w:t>
      </w:r>
    </w:p>
    <w:p w14:paraId="0345F702" w14:textId="77777777" w:rsidR="00341FAE" w:rsidRDefault="00341FAE" w:rsidP="00341FAE">
      <w:pPr>
        <w:spacing w:line="259" w:lineRule="auto"/>
        <w:jc w:val="both"/>
      </w:pPr>
    </w:p>
    <w:p w14:paraId="2E21AC5E" w14:textId="77777777" w:rsidR="00341FAE" w:rsidRPr="00AD0040" w:rsidRDefault="00341FAE" w:rsidP="00341FAE">
      <w:pPr>
        <w:spacing w:line="259" w:lineRule="auto"/>
        <w:jc w:val="both"/>
      </w:pPr>
      <w:r w:rsidRPr="00AD0040">
        <w:rPr>
          <w:noProof/>
          <w:lang w:eastAsia="en-NZ"/>
        </w:rPr>
        <w:drawing>
          <wp:inline distT="0" distB="0" distL="0" distR="0" wp14:anchorId="5BE3CC63" wp14:editId="4D24E521">
            <wp:extent cx="4572000" cy="2544792"/>
            <wp:effectExtent l="0" t="0" r="0" b="825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CDE652B" w14:textId="77777777" w:rsidR="00341FAE" w:rsidRPr="00AD0040" w:rsidRDefault="00341FAE" w:rsidP="00341FAE">
      <w:pPr>
        <w:spacing w:line="240" w:lineRule="auto"/>
        <w:jc w:val="both"/>
        <w:rPr>
          <w:b/>
          <w:bCs/>
          <w:sz w:val="22"/>
          <w:szCs w:val="22"/>
        </w:rPr>
      </w:pPr>
      <w:r>
        <w:rPr>
          <w:b/>
          <w:bCs/>
          <w:sz w:val="22"/>
          <w:szCs w:val="22"/>
        </w:rPr>
        <w:t xml:space="preserve">Figure 4. </w:t>
      </w:r>
      <w:r w:rsidRPr="00AD0040">
        <w:rPr>
          <w:b/>
          <w:bCs/>
          <w:sz w:val="22"/>
          <w:szCs w:val="22"/>
        </w:rPr>
        <w:t>The extent that the four researcher-identified approaches are reflect</w:t>
      </w:r>
      <w:r>
        <w:rPr>
          <w:b/>
          <w:bCs/>
          <w:sz w:val="22"/>
          <w:szCs w:val="22"/>
        </w:rPr>
        <w:t>ive of</w:t>
      </w:r>
      <w:r w:rsidRPr="00AD0040">
        <w:rPr>
          <w:b/>
          <w:bCs/>
          <w:sz w:val="22"/>
          <w:szCs w:val="22"/>
        </w:rPr>
        <w:t xml:space="preserve"> current practice with FAOs</w:t>
      </w:r>
    </w:p>
    <w:p w14:paraId="5ADC1D5A" w14:textId="77777777" w:rsidR="00341FAE" w:rsidRPr="00AD0040" w:rsidRDefault="00341FAE" w:rsidP="00341FAE">
      <w:pPr>
        <w:spacing w:line="259" w:lineRule="auto"/>
        <w:jc w:val="both"/>
      </w:pPr>
    </w:p>
    <w:p w14:paraId="495EF3C4" w14:textId="77777777" w:rsidR="00341FAE" w:rsidRDefault="00341FAE" w:rsidP="00341FAE">
      <w:pPr>
        <w:spacing w:line="259" w:lineRule="auto"/>
        <w:jc w:val="both"/>
      </w:pPr>
      <w:r w:rsidRPr="008B3D45">
        <w:t>A key challenge was identified in terms of services having access to and understanding of a range of approaches and being able to engage the approach/s best suited to affected families. Participants noted that generally it was the practitioner/s or the organisational structure and culture which determined the priority given to the approaches – rather than service users and/or the evidence base. This was seen as problematic.</w:t>
      </w:r>
    </w:p>
    <w:p w14:paraId="5ABA7986" w14:textId="77777777" w:rsidR="00341FAE" w:rsidRDefault="00341FAE" w:rsidP="00341FAE">
      <w:pPr>
        <w:spacing w:line="259" w:lineRule="auto"/>
        <w:jc w:val="both"/>
      </w:pPr>
    </w:p>
    <w:p w14:paraId="3ED4E2EB" w14:textId="77777777" w:rsidR="00341FAE" w:rsidRPr="00E402EA" w:rsidRDefault="00341FAE" w:rsidP="00341FAE">
      <w:pPr>
        <w:spacing w:line="259" w:lineRule="auto"/>
        <w:ind w:left="720"/>
        <w:jc w:val="both"/>
        <w:rPr>
          <w:i/>
          <w:iCs/>
        </w:rPr>
      </w:pPr>
      <w:r w:rsidRPr="00E402EA">
        <w:rPr>
          <w:i/>
          <w:iCs/>
        </w:rPr>
        <w:t>“Really a good comprehensive service would not just be based on one or two of those approaches but, by engaging FAOs fully, would respond with whichever approach(es) were requested/considered most suitable.” (Clinician, service manager, UK)</w:t>
      </w:r>
    </w:p>
    <w:p w14:paraId="08123807" w14:textId="77777777" w:rsidR="00341FAE" w:rsidRDefault="00341FAE" w:rsidP="00341FAE">
      <w:pPr>
        <w:spacing w:line="259" w:lineRule="auto"/>
        <w:jc w:val="both"/>
      </w:pPr>
    </w:p>
    <w:p w14:paraId="3DFC122D" w14:textId="77777777" w:rsidR="00341FAE" w:rsidRPr="002901B0" w:rsidRDefault="00341FAE" w:rsidP="00341FAE">
      <w:pPr>
        <w:spacing w:line="259" w:lineRule="auto"/>
        <w:ind w:left="720"/>
        <w:jc w:val="both"/>
        <w:rPr>
          <w:i/>
          <w:iCs/>
        </w:rPr>
      </w:pPr>
      <w:r w:rsidRPr="00C361E6">
        <w:rPr>
          <w:i/>
          <w:iCs/>
        </w:rPr>
        <w:t>“I would want to provide all the interventions described [in the literature], according to client needs and desires, and integrated with treatment services for the person with the gambling problem. The flexibility of the approach is difficult to actualize as professionals develop ideas of what is required and orient services in that way.” (Researcher, Canada)</w:t>
      </w:r>
    </w:p>
    <w:p w14:paraId="0A521394" w14:textId="77777777" w:rsidR="00341FAE" w:rsidRDefault="00341FAE" w:rsidP="00341FAE">
      <w:pPr>
        <w:spacing w:line="259" w:lineRule="auto"/>
        <w:jc w:val="both"/>
      </w:pPr>
    </w:p>
    <w:p w14:paraId="09C5D655" w14:textId="77777777" w:rsidR="00341FAE" w:rsidRPr="00AD0040" w:rsidRDefault="00341FAE" w:rsidP="00341FAE">
      <w:pPr>
        <w:spacing w:line="259" w:lineRule="auto"/>
        <w:jc w:val="both"/>
      </w:pPr>
      <w:r>
        <w:t>C</w:t>
      </w:r>
      <w:r w:rsidRPr="00AD0040">
        <w:t xml:space="preserve">onstraints and possibilities for service design and FAO wellbeing were inherent within each way of conceptualising support (discussed in the following sections). Complexity (e.g. multiple co-existing individual, social/cultural/contextual and relational considerations) was held to be the norm in work supporting families. </w:t>
      </w:r>
    </w:p>
    <w:p w14:paraId="05BC2BE3" w14:textId="77777777" w:rsidR="00341FAE" w:rsidRDefault="00341FAE" w:rsidP="00341FAE">
      <w:pPr>
        <w:spacing w:line="259" w:lineRule="auto"/>
        <w:jc w:val="both"/>
      </w:pPr>
    </w:p>
    <w:p w14:paraId="1EEC4F00" w14:textId="77777777" w:rsidR="00341FAE" w:rsidRPr="00A83BAF" w:rsidRDefault="00341FAE" w:rsidP="00341FAE">
      <w:pPr>
        <w:rPr>
          <w:b/>
          <w:bCs/>
          <w:i/>
          <w:iCs/>
        </w:rPr>
      </w:pPr>
      <w:r w:rsidRPr="00A83BAF">
        <w:rPr>
          <w:b/>
          <w:bCs/>
          <w:i/>
          <w:iCs/>
        </w:rPr>
        <w:t>Developing a social approach to supporting FAOs</w:t>
      </w:r>
    </w:p>
    <w:p w14:paraId="6A9F7AEE" w14:textId="77777777" w:rsidR="00341FAE" w:rsidRPr="00AD0040" w:rsidRDefault="00341FAE" w:rsidP="00341FAE">
      <w:pPr>
        <w:spacing w:line="259" w:lineRule="auto"/>
        <w:jc w:val="both"/>
      </w:pPr>
      <w:r w:rsidRPr="00AD0040">
        <w:t xml:space="preserve">Panel member responses regarding additional approaches </w:t>
      </w:r>
      <w:r>
        <w:t xml:space="preserve">not reflected in the literature </w:t>
      </w:r>
      <w:r w:rsidRPr="00AD0040">
        <w:t xml:space="preserve">highlighted that </w:t>
      </w:r>
      <w:r>
        <w:t xml:space="preserve">service user and </w:t>
      </w:r>
      <w:r w:rsidRPr="00AD0040">
        <w:t xml:space="preserve">practice-based knowledge was not well represented. </w:t>
      </w:r>
      <w:r w:rsidRPr="00AD0040">
        <w:lastRenderedPageBreak/>
        <w:t xml:space="preserve">Additional approaches not covered by the four identified approaches related to (1) culturally specific approaches; (2) harm prevention approaches; (3) family inclusive practice and impacts on children; and (4) </w:t>
      </w:r>
      <w:r>
        <w:t>social approaches</w:t>
      </w:r>
      <w:r w:rsidRPr="00AD0040">
        <w:t xml:space="preserve"> using notions of social cohesion, </w:t>
      </w:r>
      <w:r>
        <w:t xml:space="preserve">social capital, </w:t>
      </w:r>
      <w:r w:rsidRPr="00AD0040">
        <w:t xml:space="preserve">family mobilisation, and collective action. </w:t>
      </w:r>
    </w:p>
    <w:p w14:paraId="033BE4B1" w14:textId="77777777" w:rsidR="00341FAE" w:rsidRDefault="00341FAE" w:rsidP="00341FAE">
      <w:pPr>
        <w:spacing w:line="259" w:lineRule="auto"/>
        <w:jc w:val="both"/>
        <w:rPr>
          <w:i/>
          <w:iCs/>
        </w:rPr>
      </w:pPr>
    </w:p>
    <w:p w14:paraId="2BC100D1" w14:textId="77777777" w:rsidR="00341FAE" w:rsidRPr="00386CFC" w:rsidRDefault="00341FAE" w:rsidP="00341FAE">
      <w:pPr>
        <w:spacing w:line="259" w:lineRule="auto"/>
        <w:ind w:left="720"/>
        <w:jc w:val="both"/>
        <w:rPr>
          <w:i/>
          <w:iCs/>
        </w:rPr>
      </w:pPr>
      <w:r w:rsidRPr="00386CFC">
        <w:rPr>
          <w:i/>
          <w:iCs/>
        </w:rPr>
        <w:t>“None of the approaches mentioned engage with a social approach. They all look at outcomes in terms of individuals not families</w:t>
      </w:r>
      <w:r>
        <w:rPr>
          <w:i/>
          <w:iCs/>
        </w:rPr>
        <w:t xml:space="preserve"> or communities</w:t>
      </w:r>
      <w:r w:rsidRPr="00386CFC">
        <w:rPr>
          <w:i/>
          <w:iCs/>
        </w:rPr>
        <w:t>.” (Researcher, NZ)</w:t>
      </w:r>
    </w:p>
    <w:p w14:paraId="26491358" w14:textId="77777777" w:rsidR="00341FAE" w:rsidRPr="00AD0040" w:rsidRDefault="00341FAE" w:rsidP="00341FAE">
      <w:pPr>
        <w:spacing w:line="259" w:lineRule="auto"/>
        <w:jc w:val="both"/>
      </w:pPr>
    </w:p>
    <w:p w14:paraId="5C77D109" w14:textId="77777777" w:rsidR="00341FAE" w:rsidRDefault="00341FAE" w:rsidP="00341FAE">
      <w:pPr>
        <w:spacing w:line="259" w:lineRule="auto"/>
        <w:jc w:val="both"/>
      </w:pPr>
      <w:r w:rsidRPr="00AD0040">
        <w:t xml:space="preserve">Taken together, participants’ comments on missing approaches </w:t>
      </w:r>
      <w:r w:rsidRPr="00386CFC">
        <w:t>suggested a ‘social approach’ to supporting FAOs is needed to complement the more individua</w:t>
      </w:r>
      <w:r>
        <w:t>l bio-psychological approaches that dominate the addictions field</w:t>
      </w:r>
      <w:r w:rsidRPr="00AD0040">
        <w:t xml:space="preserve">. The social approach holds that 'gambling harm', 'recovery' and 'wellbeing' are socially and culturally constructed </w:t>
      </w:r>
      <w:r>
        <w:t xml:space="preserve">and enacted </w:t>
      </w:r>
      <w:r w:rsidRPr="00AD0040">
        <w:t>phenomena. The meanings that are given to them, the way they are experienced, and what constitutes quality and effective support/intervention are shaped by particular family, community, cultural, gender and broader societal dynamics in play. This includes the practices of industries and governments, service organisational contexts</w:t>
      </w:r>
      <w:r>
        <w:t xml:space="preserve"> and</w:t>
      </w:r>
      <w:r w:rsidRPr="00AD0040">
        <w:t xml:space="preserve"> funding models. </w:t>
      </w:r>
      <w:r>
        <w:t>Participants who drew on this way of understanding harm/recovery described t</w:t>
      </w:r>
      <w:r w:rsidRPr="000A428B">
        <w:t>he integrity and wealth of relationships available to people as a defining feature of wellbeing</w:t>
      </w:r>
      <w:r>
        <w:t xml:space="preserve"> and recovery capital:</w:t>
      </w:r>
    </w:p>
    <w:p w14:paraId="7B9B3DB4" w14:textId="77777777" w:rsidR="00341FAE" w:rsidRDefault="00341FAE" w:rsidP="00341FAE">
      <w:pPr>
        <w:spacing w:line="259" w:lineRule="auto"/>
        <w:jc w:val="both"/>
      </w:pPr>
    </w:p>
    <w:p w14:paraId="0D9B10C3" w14:textId="77777777" w:rsidR="00341FAE" w:rsidRPr="003D010F" w:rsidRDefault="00341FAE" w:rsidP="00341FAE">
      <w:pPr>
        <w:spacing w:line="259" w:lineRule="auto"/>
        <w:ind w:left="720"/>
        <w:jc w:val="both"/>
        <w:rPr>
          <w:i/>
          <w:iCs/>
        </w:rPr>
      </w:pPr>
      <w:r w:rsidRPr="003D010F">
        <w:rPr>
          <w:i/>
          <w:iCs/>
        </w:rPr>
        <w:t>“</w:t>
      </w:r>
      <w:r>
        <w:rPr>
          <w:i/>
          <w:iCs/>
        </w:rPr>
        <w:t>Recovery</w:t>
      </w:r>
      <w:r w:rsidRPr="003D010F">
        <w:rPr>
          <w:i/>
          <w:iCs/>
        </w:rPr>
        <w:t xml:space="preserve"> involves ‘family’ (defined in </w:t>
      </w:r>
      <w:r>
        <w:rPr>
          <w:i/>
          <w:iCs/>
        </w:rPr>
        <w:t>the</w:t>
      </w:r>
      <w:r w:rsidRPr="003D010F">
        <w:rPr>
          <w:i/>
          <w:iCs/>
        </w:rPr>
        <w:t xml:space="preserve"> broad</w:t>
      </w:r>
      <w:r>
        <w:rPr>
          <w:i/>
          <w:iCs/>
        </w:rPr>
        <w:t>est</w:t>
      </w:r>
      <w:r w:rsidRPr="003D010F">
        <w:rPr>
          <w:i/>
          <w:iCs/>
        </w:rPr>
        <w:t xml:space="preserve"> sense</w:t>
      </w:r>
      <w:r>
        <w:rPr>
          <w:i/>
          <w:iCs/>
        </w:rPr>
        <w:t>, could be flatmates</w:t>
      </w:r>
      <w:r w:rsidRPr="003D010F">
        <w:rPr>
          <w:i/>
          <w:iCs/>
        </w:rPr>
        <w:t xml:space="preserve">), and questioning where are the opportunities for strengthening relationships in this nexus? How safe is it to connect? From a service development perspective this suggests being set up to support incremental change </w:t>
      </w:r>
      <w:r>
        <w:rPr>
          <w:i/>
          <w:iCs/>
        </w:rPr>
        <w:t xml:space="preserve">in relationships </w:t>
      </w:r>
      <w:r w:rsidRPr="003D010F">
        <w:rPr>
          <w:i/>
          <w:iCs/>
        </w:rPr>
        <w:t>over a long period of time, family inclusion to equip them, culturally based approaches and community engagement</w:t>
      </w:r>
      <w:r>
        <w:rPr>
          <w:i/>
          <w:iCs/>
        </w:rPr>
        <w:t xml:space="preserve"> to strengthen social capital</w:t>
      </w:r>
      <w:r w:rsidRPr="003D010F">
        <w:rPr>
          <w:i/>
          <w:iCs/>
        </w:rPr>
        <w:t>.”</w:t>
      </w:r>
      <w:r>
        <w:rPr>
          <w:i/>
          <w:iCs/>
        </w:rPr>
        <w:t xml:space="preserve"> (Researcher, clinician, NZ)</w:t>
      </w:r>
    </w:p>
    <w:p w14:paraId="10DED1C0" w14:textId="77777777" w:rsidR="00341FAE" w:rsidRDefault="00341FAE" w:rsidP="00341FAE">
      <w:pPr>
        <w:spacing w:line="259" w:lineRule="auto"/>
        <w:jc w:val="both"/>
      </w:pPr>
    </w:p>
    <w:p w14:paraId="4F215C1C" w14:textId="77777777" w:rsidR="00341FAE" w:rsidRPr="00AD0040" w:rsidRDefault="00341FAE" w:rsidP="00341FAE">
      <w:pPr>
        <w:spacing w:line="259" w:lineRule="auto"/>
        <w:jc w:val="both"/>
      </w:pPr>
      <w:r w:rsidRPr="00AD0040">
        <w:t xml:space="preserve">This approach directs ongoing service attention to the </w:t>
      </w:r>
      <w:r>
        <w:t xml:space="preserve">social contexts </w:t>
      </w:r>
      <w:r w:rsidRPr="00AD0040">
        <w:t>in which harm/recovery is produced in the families/communities they serve, e.g. through community development and advocacy work.</w:t>
      </w:r>
      <w:r w:rsidRPr="005C46A2">
        <w:t xml:space="preserve"> It also encourages the conceptualisation of </w:t>
      </w:r>
      <w:r>
        <w:t xml:space="preserve">additional </w:t>
      </w:r>
      <w:r w:rsidRPr="005C46A2">
        <w:t>social process and outcomes evaluation criteria</w:t>
      </w:r>
      <w:r>
        <w:t>:</w:t>
      </w:r>
      <w:r w:rsidRPr="005C46A2">
        <w:t xml:space="preserve"> </w:t>
      </w:r>
    </w:p>
    <w:p w14:paraId="4DD78233" w14:textId="77777777" w:rsidR="00341FAE" w:rsidRDefault="00341FAE" w:rsidP="00341FAE">
      <w:pPr>
        <w:spacing w:line="259" w:lineRule="auto"/>
        <w:jc w:val="both"/>
      </w:pPr>
    </w:p>
    <w:p w14:paraId="5FAACB2C" w14:textId="77777777" w:rsidR="00341FAE" w:rsidRDefault="00341FAE" w:rsidP="00341FAE">
      <w:pPr>
        <w:spacing w:line="259" w:lineRule="auto"/>
        <w:ind w:left="720"/>
        <w:jc w:val="both"/>
        <w:rPr>
          <w:i/>
          <w:iCs/>
        </w:rPr>
      </w:pPr>
      <w:r w:rsidRPr="00386CFC">
        <w:rPr>
          <w:i/>
          <w:iCs/>
        </w:rPr>
        <w:t>“</w:t>
      </w:r>
      <w:r>
        <w:rPr>
          <w:i/>
          <w:iCs/>
        </w:rPr>
        <w:t>Missing key</w:t>
      </w:r>
      <w:r w:rsidRPr="00386CFC">
        <w:rPr>
          <w:i/>
          <w:iCs/>
        </w:rPr>
        <w:t xml:space="preserve"> outcomes </w:t>
      </w:r>
      <w:r>
        <w:rPr>
          <w:i/>
          <w:iCs/>
        </w:rPr>
        <w:t>are</w:t>
      </w:r>
      <w:r w:rsidRPr="00386CFC">
        <w:rPr>
          <w:i/>
          <w:iCs/>
        </w:rPr>
        <w:t xml:space="preserve"> to support local and national political action to change the environments either causing or exacerbating harm” (Service manager, NZ).</w:t>
      </w:r>
    </w:p>
    <w:p w14:paraId="36413F5C" w14:textId="77777777" w:rsidR="00341FAE" w:rsidRDefault="00341FAE" w:rsidP="00341FAE">
      <w:pPr>
        <w:spacing w:line="259" w:lineRule="auto"/>
        <w:jc w:val="both"/>
        <w:rPr>
          <w:i/>
          <w:iCs/>
        </w:rPr>
      </w:pPr>
    </w:p>
    <w:p w14:paraId="0028873D" w14:textId="77777777" w:rsidR="00341FAE" w:rsidRDefault="00341FAE" w:rsidP="00341FAE">
      <w:pPr>
        <w:spacing w:line="259" w:lineRule="auto"/>
        <w:ind w:left="720"/>
        <w:jc w:val="both"/>
        <w:rPr>
          <w:i/>
          <w:iCs/>
        </w:rPr>
      </w:pPr>
      <w:r>
        <w:rPr>
          <w:i/>
          <w:iCs/>
        </w:rPr>
        <w:t>“Engagement with families and communities</w:t>
      </w:r>
      <w:r w:rsidRPr="00400971">
        <w:rPr>
          <w:i/>
          <w:iCs/>
        </w:rPr>
        <w:t xml:space="preserve"> would be my preferred starting point. </w:t>
      </w:r>
      <w:r>
        <w:rPr>
          <w:i/>
          <w:iCs/>
        </w:rPr>
        <w:t>The key outcome here is t</w:t>
      </w:r>
      <w:r w:rsidRPr="00400971">
        <w:rPr>
          <w:i/>
          <w:iCs/>
        </w:rPr>
        <w:t>ino rangatiratanga</w:t>
      </w:r>
      <w:r>
        <w:rPr>
          <w:i/>
          <w:iCs/>
        </w:rPr>
        <w:t>.” (Service manager, NZ)</w:t>
      </w:r>
    </w:p>
    <w:p w14:paraId="2DD8E855" w14:textId="77777777" w:rsidR="00341FAE" w:rsidRDefault="00341FAE" w:rsidP="00341FAE">
      <w:pPr>
        <w:spacing w:line="259" w:lineRule="auto"/>
        <w:jc w:val="both"/>
      </w:pPr>
    </w:p>
    <w:p w14:paraId="7555CF0E" w14:textId="77777777" w:rsidR="00341FAE" w:rsidRDefault="00341FAE" w:rsidP="00341FAE">
      <w:pPr>
        <w:spacing w:line="259" w:lineRule="auto"/>
        <w:jc w:val="both"/>
      </w:pPr>
      <w:r>
        <w:t xml:space="preserve">Five participants reported that the approaches models and frameworks identified in the addictions literature did not recognise and properly provide for tino rangatiratanga (sovereignty) and mana motuhake (autonomy) of hauora </w:t>
      </w:r>
      <w:bookmarkStart w:id="209" w:name="_Hlk50541341"/>
      <w:r>
        <w:t>Māori</w:t>
      </w:r>
      <w:bookmarkEnd w:id="209"/>
      <w:r>
        <w:t xml:space="preserve"> (indigenous Māori health). It was suggested that partnerships and processes are reviewed to ensure that Māori are able to participate in decision making about service delivery for w</w:t>
      </w:r>
      <w:r w:rsidRPr="007A4E5B">
        <w:t>hānau</w:t>
      </w:r>
      <w:r>
        <w:t xml:space="preserve">.  </w:t>
      </w:r>
    </w:p>
    <w:p w14:paraId="77F553EE" w14:textId="77777777" w:rsidR="00341FAE" w:rsidRDefault="00341FAE" w:rsidP="00341FAE">
      <w:pPr>
        <w:spacing w:line="259" w:lineRule="auto"/>
        <w:jc w:val="both"/>
      </w:pPr>
    </w:p>
    <w:p w14:paraId="19A1B771" w14:textId="77777777" w:rsidR="00341FAE" w:rsidRPr="006D461F" w:rsidRDefault="00341FAE" w:rsidP="00341FAE">
      <w:pPr>
        <w:rPr>
          <w:b/>
          <w:bCs/>
          <w:lang w:eastAsia="en-NZ"/>
        </w:rPr>
      </w:pPr>
      <w:r w:rsidRPr="006D461F">
        <w:rPr>
          <w:b/>
          <w:bCs/>
          <w:lang w:eastAsia="en-NZ"/>
        </w:rPr>
        <w:t>Supporting FAOs to enhance their own wellbeing;</w:t>
      </w:r>
    </w:p>
    <w:p w14:paraId="6C0725C4" w14:textId="673FEFF7" w:rsidR="00341FAE" w:rsidRPr="00AD0040" w:rsidRDefault="00341FAE" w:rsidP="00341FAE">
      <w:pPr>
        <w:spacing w:line="259" w:lineRule="auto"/>
        <w:jc w:val="both"/>
      </w:pPr>
      <w:r w:rsidRPr="00AD0040">
        <w:lastRenderedPageBreak/>
        <w:t>Panel members were asked to consider the key elements of effectively support</w:t>
      </w:r>
      <w:r>
        <w:t>ing</w:t>
      </w:r>
      <w:r w:rsidRPr="00AD0040">
        <w:t xml:space="preserve"> FAOs to </w:t>
      </w:r>
      <w:r>
        <w:t>enhance their own wellbeing</w:t>
      </w:r>
      <w:r w:rsidRPr="00400971">
        <w:t>.</w:t>
      </w:r>
      <w:r>
        <w:t xml:space="preserve"> </w:t>
      </w:r>
      <w:r w:rsidRPr="00AD0040">
        <w:t xml:space="preserve">Providing assurance that the needs of family and affected others are at least as important as the person who is gambling, and responding in a client centred way were identified by more than half of the panel members. The importance of trauma informed care was also emphasised, alongside a focus on stress, strain, coping and social support. </w:t>
      </w:r>
    </w:p>
    <w:p w14:paraId="6940C77D" w14:textId="77777777" w:rsidR="00341FAE" w:rsidRPr="00AD0040" w:rsidRDefault="00341FAE" w:rsidP="00341FAE">
      <w:pPr>
        <w:spacing w:line="259" w:lineRule="auto"/>
        <w:jc w:val="both"/>
      </w:pPr>
    </w:p>
    <w:p w14:paraId="7531E6D7" w14:textId="77777777" w:rsidR="00341FAE" w:rsidRPr="00AD0040" w:rsidRDefault="00341FAE" w:rsidP="00341FAE">
      <w:pPr>
        <w:spacing w:line="240" w:lineRule="auto"/>
        <w:jc w:val="both"/>
        <w:rPr>
          <w:b/>
          <w:bCs/>
          <w:sz w:val="22"/>
          <w:szCs w:val="22"/>
        </w:rPr>
      </w:pPr>
      <w:bookmarkStart w:id="210" w:name="_Toc51240659"/>
      <w:r>
        <w:rPr>
          <w:b/>
          <w:bCs/>
          <w:sz w:val="22"/>
          <w:szCs w:val="22"/>
        </w:rPr>
        <w:t>Table 14</w:t>
      </w:r>
      <w:r w:rsidRPr="00AD0040">
        <w:rPr>
          <w:b/>
          <w:bCs/>
          <w:sz w:val="22"/>
          <w:szCs w:val="22"/>
        </w:rPr>
        <w:t>: Key elements of effective interventions to support FAOs to enhance their own wellbeing</w:t>
      </w:r>
      <w:bookmarkEnd w:id="210"/>
    </w:p>
    <w:tbl>
      <w:tblPr>
        <w:tblStyle w:val="TableGrid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850"/>
        <w:gridCol w:w="1083"/>
      </w:tblGrid>
      <w:tr w:rsidR="00341FAE" w:rsidRPr="00AD0040" w14:paraId="2B1CFF34" w14:textId="77777777" w:rsidTr="00443763">
        <w:tc>
          <w:tcPr>
            <w:tcW w:w="7083" w:type="dxa"/>
            <w:tcBorders>
              <w:top w:val="single" w:sz="4" w:space="0" w:color="auto"/>
              <w:bottom w:val="single" w:sz="4" w:space="0" w:color="auto"/>
            </w:tcBorders>
          </w:tcPr>
          <w:p w14:paraId="1671BD8B" w14:textId="77777777" w:rsidR="00341FAE" w:rsidRPr="00AD0040" w:rsidRDefault="00341FAE" w:rsidP="00443763">
            <w:pPr>
              <w:spacing w:line="240" w:lineRule="auto"/>
              <w:jc w:val="both"/>
            </w:pPr>
            <w:r w:rsidRPr="00AD0040">
              <w:t>Key Elements (coded qualitative responses)</w:t>
            </w:r>
          </w:p>
        </w:tc>
        <w:tc>
          <w:tcPr>
            <w:tcW w:w="850" w:type="dxa"/>
            <w:tcBorders>
              <w:top w:val="single" w:sz="4" w:space="0" w:color="auto"/>
              <w:bottom w:val="single" w:sz="4" w:space="0" w:color="auto"/>
            </w:tcBorders>
            <w:vAlign w:val="bottom"/>
          </w:tcPr>
          <w:p w14:paraId="248145A7" w14:textId="77777777" w:rsidR="00341FAE" w:rsidRPr="00AD0040" w:rsidRDefault="00341FAE" w:rsidP="00443763">
            <w:pPr>
              <w:spacing w:line="240" w:lineRule="auto"/>
              <w:jc w:val="both"/>
              <w:rPr>
                <w:i/>
                <w:lang w:eastAsia="en-NZ"/>
              </w:rPr>
            </w:pPr>
            <w:r w:rsidRPr="00AD0040">
              <w:rPr>
                <w:i/>
                <w:lang w:eastAsia="en-NZ"/>
              </w:rPr>
              <w:t xml:space="preserve">n </w:t>
            </w:r>
            <w:r w:rsidRPr="00AD0040">
              <w:rPr>
                <w:lang w:eastAsia="en-NZ"/>
              </w:rPr>
              <w:t>= 20</w:t>
            </w:r>
          </w:p>
        </w:tc>
        <w:tc>
          <w:tcPr>
            <w:tcW w:w="1083" w:type="dxa"/>
            <w:tcBorders>
              <w:top w:val="single" w:sz="4" w:space="0" w:color="auto"/>
              <w:bottom w:val="single" w:sz="4" w:space="0" w:color="auto"/>
            </w:tcBorders>
            <w:vAlign w:val="bottom"/>
          </w:tcPr>
          <w:p w14:paraId="0E59EE70" w14:textId="77777777" w:rsidR="00341FAE" w:rsidRPr="00AD0040" w:rsidRDefault="00341FAE" w:rsidP="00443763">
            <w:pPr>
              <w:spacing w:line="240" w:lineRule="auto"/>
              <w:jc w:val="both"/>
              <w:rPr>
                <w:lang w:eastAsia="en-NZ"/>
              </w:rPr>
            </w:pPr>
            <w:r w:rsidRPr="00AD0040">
              <w:rPr>
                <w:lang w:eastAsia="en-NZ"/>
              </w:rPr>
              <w:t>%</w:t>
            </w:r>
          </w:p>
        </w:tc>
      </w:tr>
      <w:tr w:rsidR="00341FAE" w:rsidRPr="00AD0040" w14:paraId="43F74B32" w14:textId="77777777" w:rsidTr="00443763">
        <w:tc>
          <w:tcPr>
            <w:tcW w:w="7083" w:type="dxa"/>
            <w:tcBorders>
              <w:top w:val="single" w:sz="4" w:space="0" w:color="auto"/>
            </w:tcBorders>
            <w:shd w:val="clear" w:color="auto" w:fill="D9D9D9" w:themeFill="background1" w:themeFillShade="D9"/>
          </w:tcPr>
          <w:p w14:paraId="1277306E" w14:textId="77777777" w:rsidR="00341FAE" w:rsidRPr="00AD0040" w:rsidRDefault="00341FAE" w:rsidP="00443763">
            <w:pPr>
              <w:spacing w:line="240" w:lineRule="auto"/>
              <w:jc w:val="both"/>
            </w:pPr>
            <w:r w:rsidRPr="00AD0040">
              <w:t>Provide assurance that FAO needs are important</w:t>
            </w:r>
          </w:p>
        </w:tc>
        <w:tc>
          <w:tcPr>
            <w:tcW w:w="850" w:type="dxa"/>
            <w:tcBorders>
              <w:top w:val="single" w:sz="4" w:space="0" w:color="auto"/>
            </w:tcBorders>
            <w:shd w:val="clear" w:color="auto" w:fill="D9D9D9" w:themeFill="background1" w:themeFillShade="D9"/>
            <w:vAlign w:val="bottom"/>
          </w:tcPr>
          <w:p w14:paraId="0189AAD4" w14:textId="77777777" w:rsidR="00341FAE" w:rsidRPr="00AD0040" w:rsidRDefault="00341FAE" w:rsidP="00443763">
            <w:pPr>
              <w:spacing w:line="240" w:lineRule="auto"/>
              <w:jc w:val="both"/>
              <w:rPr>
                <w:lang w:eastAsia="en-NZ"/>
              </w:rPr>
            </w:pPr>
            <w:r w:rsidRPr="00AD0040">
              <w:rPr>
                <w:lang w:eastAsia="en-NZ"/>
              </w:rPr>
              <w:t>11</w:t>
            </w:r>
          </w:p>
        </w:tc>
        <w:tc>
          <w:tcPr>
            <w:tcW w:w="1083" w:type="dxa"/>
            <w:tcBorders>
              <w:top w:val="single" w:sz="4" w:space="0" w:color="auto"/>
            </w:tcBorders>
            <w:shd w:val="clear" w:color="auto" w:fill="D9D9D9" w:themeFill="background1" w:themeFillShade="D9"/>
            <w:vAlign w:val="bottom"/>
          </w:tcPr>
          <w:p w14:paraId="196B49B4" w14:textId="77777777" w:rsidR="00341FAE" w:rsidRPr="00AD0040" w:rsidRDefault="00341FAE" w:rsidP="00443763">
            <w:pPr>
              <w:spacing w:line="240" w:lineRule="auto"/>
              <w:jc w:val="both"/>
              <w:rPr>
                <w:lang w:eastAsia="en-NZ"/>
              </w:rPr>
            </w:pPr>
            <w:r w:rsidRPr="00AD0040">
              <w:rPr>
                <w:lang w:eastAsia="en-NZ"/>
              </w:rPr>
              <w:t>55</w:t>
            </w:r>
          </w:p>
        </w:tc>
      </w:tr>
      <w:tr w:rsidR="00341FAE" w:rsidRPr="00AD0040" w14:paraId="506F9F4E" w14:textId="77777777" w:rsidTr="00443763">
        <w:tc>
          <w:tcPr>
            <w:tcW w:w="7083" w:type="dxa"/>
          </w:tcPr>
          <w:p w14:paraId="010C831D" w14:textId="77777777" w:rsidR="00341FAE" w:rsidRPr="00AD0040" w:rsidRDefault="00341FAE" w:rsidP="00443763">
            <w:pPr>
              <w:spacing w:line="240" w:lineRule="auto"/>
              <w:jc w:val="both"/>
            </w:pPr>
            <w:r w:rsidRPr="00AD0040">
              <w:t>Key elements are unique to the FAO and family/whānau</w:t>
            </w:r>
          </w:p>
        </w:tc>
        <w:tc>
          <w:tcPr>
            <w:tcW w:w="850" w:type="dxa"/>
            <w:vAlign w:val="bottom"/>
          </w:tcPr>
          <w:p w14:paraId="580EA555" w14:textId="77777777" w:rsidR="00341FAE" w:rsidRPr="00AD0040" w:rsidRDefault="00341FAE" w:rsidP="00443763">
            <w:pPr>
              <w:spacing w:line="240" w:lineRule="auto"/>
              <w:jc w:val="both"/>
              <w:rPr>
                <w:lang w:eastAsia="en-NZ"/>
              </w:rPr>
            </w:pPr>
            <w:r w:rsidRPr="00AD0040">
              <w:rPr>
                <w:lang w:eastAsia="en-NZ"/>
              </w:rPr>
              <w:t>9</w:t>
            </w:r>
          </w:p>
        </w:tc>
        <w:tc>
          <w:tcPr>
            <w:tcW w:w="1083" w:type="dxa"/>
            <w:vAlign w:val="bottom"/>
          </w:tcPr>
          <w:p w14:paraId="44E997C1" w14:textId="77777777" w:rsidR="00341FAE" w:rsidRPr="00AD0040" w:rsidRDefault="00341FAE" w:rsidP="00443763">
            <w:pPr>
              <w:spacing w:line="240" w:lineRule="auto"/>
              <w:jc w:val="both"/>
              <w:rPr>
                <w:lang w:eastAsia="en-NZ"/>
              </w:rPr>
            </w:pPr>
            <w:r w:rsidRPr="00AD0040">
              <w:rPr>
                <w:lang w:eastAsia="en-NZ"/>
              </w:rPr>
              <w:t>44</w:t>
            </w:r>
          </w:p>
        </w:tc>
      </w:tr>
      <w:tr w:rsidR="00341FAE" w:rsidRPr="00AD0040" w14:paraId="1BE65FC9" w14:textId="77777777" w:rsidTr="00443763">
        <w:tc>
          <w:tcPr>
            <w:tcW w:w="7083" w:type="dxa"/>
            <w:shd w:val="clear" w:color="auto" w:fill="D9D9D9" w:themeFill="background1" w:themeFillShade="D9"/>
          </w:tcPr>
          <w:p w14:paraId="653F4528" w14:textId="77777777" w:rsidR="00341FAE" w:rsidRPr="00AD0040" w:rsidRDefault="00341FAE" w:rsidP="00443763">
            <w:pPr>
              <w:spacing w:line="240" w:lineRule="auto"/>
              <w:jc w:val="both"/>
            </w:pPr>
            <w:r w:rsidRPr="00AD0040">
              <w:t>Matching the service / counsellors’ therapeutic approach to FAOs</w:t>
            </w:r>
          </w:p>
        </w:tc>
        <w:tc>
          <w:tcPr>
            <w:tcW w:w="850" w:type="dxa"/>
            <w:shd w:val="clear" w:color="auto" w:fill="D9D9D9" w:themeFill="background1" w:themeFillShade="D9"/>
            <w:vAlign w:val="bottom"/>
          </w:tcPr>
          <w:p w14:paraId="474CF6DB" w14:textId="77777777" w:rsidR="00341FAE" w:rsidRPr="00AD0040" w:rsidRDefault="00341FAE" w:rsidP="00443763">
            <w:pPr>
              <w:spacing w:line="240" w:lineRule="auto"/>
              <w:jc w:val="both"/>
              <w:rPr>
                <w:lang w:eastAsia="en-NZ"/>
              </w:rPr>
            </w:pPr>
            <w:r w:rsidRPr="00AD0040">
              <w:rPr>
                <w:lang w:eastAsia="en-NZ"/>
              </w:rPr>
              <w:t>7</w:t>
            </w:r>
          </w:p>
        </w:tc>
        <w:tc>
          <w:tcPr>
            <w:tcW w:w="1083" w:type="dxa"/>
            <w:shd w:val="clear" w:color="auto" w:fill="D9D9D9" w:themeFill="background1" w:themeFillShade="D9"/>
            <w:vAlign w:val="bottom"/>
          </w:tcPr>
          <w:p w14:paraId="6EA71BE7" w14:textId="77777777" w:rsidR="00341FAE" w:rsidRPr="00AD0040" w:rsidRDefault="00341FAE" w:rsidP="00443763">
            <w:pPr>
              <w:spacing w:line="240" w:lineRule="auto"/>
              <w:jc w:val="both"/>
              <w:rPr>
                <w:lang w:eastAsia="en-NZ"/>
              </w:rPr>
            </w:pPr>
            <w:r w:rsidRPr="00AD0040">
              <w:rPr>
                <w:lang w:eastAsia="en-NZ"/>
              </w:rPr>
              <w:t>35</w:t>
            </w:r>
          </w:p>
        </w:tc>
      </w:tr>
      <w:tr w:rsidR="00341FAE" w:rsidRPr="00AD0040" w14:paraId="20316E88" w14:textId="77777777" w:rsidTr="00443763">
        <w:tc>
          <w:tcPr>
            <w:tcW w:w="7083" w:type="dxa"/>
          </w:tcPr>
          <w:p w14:paraId="6FF56707" w14:textId="77777777" w:rsidR="00341FAE" w:rsidRPr="00AD0040" w:rsidRDefault="00341FAE" w:rsidP="00443763">
            <w:pPr>
              <w:spacing w:line="240" w:lineRule="auto"/>
              <w:jc w:val="both"/>
            </w:pPr>
            <w:r w:rsidRPr="00AD0040">
              <w:t>Trauma informed care</w:t>
            </w:r>
          </w:p>
        </w:tc>
        <w:tc>
          <w:tcPr>
            <w:tcW w:w="850" w:type="dxa"/>
            <w:vAlign w:val="bottom"/>
          </w:tcPr>
          <w:p w14:paraId="347E5C8C" w14:textId="77777777" w:rsidR="00341FAE" w:rsidRPr="00AD0040" w:rsidRDefault="00341FAE" w:rsidP="00443763">
            <w:pPr>
              <w:spacing w:line="240" w:lineRule="auto"/>
              <w:jc w:val="both"/>
              <w:rPr>
                <w:lang w:eastAsia="en-NZ"/>
              </w:rPr>
            </w:pPr>
            <w:r w:rsidRPr="00AD0040">
              <w:rPr>
                <w:lang w:eastAsia="en-NZ"/>
              </w:rPr>
              <w:t>7</w:t>
            </w:r>
          </w:p>
        </w:tc>
        <w:tc>
          <w:tcPr>
            <w:tcW w:w="1083" w:type="dxa"/>
            <w:vAlign w:val="bottom"/>
          </w:tcPr>
          <w:p w14:paraId="6EB13B00" w14:textId="77777777" w:rsidR="00341FAE" w:rsidRPr="00AD0040" w:rsidRDefault="00341FAE" w:rsidP="00443763">
            <w:pPr>
              <w:spacing w:line="240" w:lineRule="auto"/>
              <w:jc w:val="both"/>
              <w:rPr>
                <w:lang w:eastAsia="en-NZ"/>
              </w:rPr>
            </w:pPr>
            <w:r w:rsidRPr="00AD0040">
              <w:rPr>
                <w:lang w:eastAsia="en-NZ"/>
              </w:rPr>
              <w:t>35</w:t>
            </w:r>
          </w:p>
        </w:tc>
      </w:tr>
      <w:tr w:rsidR="00341FAE" w:rsidRPr="00AD0040" w14:paraId="77DF123C" w14:textId="77777777" w:rsidTr="00443763">
        <w:tc>
          <w:tcPr>
            <w:tcW w:w="7083" w:type="dxa"/>
            <w:shd w:val="clear" w:color="auto" w:fill="D9D9D9" w:themeFill="background1" w:themeFillShade="D9"/>
          </w:tcPr>
          <w:p w14:paraId="236A10E1" w14:textId="77777777" w:rsidR="00341FAE" w:rsidRPr="00AD0040" w:rsidRDefault="00341FAE" w:rsidP="00443763">
            <w:pPr>
              <w:spacing w:line="240" w:lineRule="auto"/>
              <w:jc w:val="both"/>
            </w:pPr>
            <w:r w:rsidRPr="00AD0040">
              <w:t>Explore wider support networks for FAO</w:t>
            </w:r>
          </w:p>
        </w:tc>
        <w:tc>
          <w:tcPr>
            <w:tcW w:w="850" w:type="dxa"/>
            <w:shd w:val="clear" w:color="auto" w:fill="D9D9D9" w:themeFill="background1" w:themeFillShade="D9"/>
            <w:vAlign w:val="bottom"/>
          </w:tcPr>
          <w:p w14:paraId="3716476E" w14:textId="77777777" w:rsidR="00341FAE" w:rsidRPr="00AD0040" w:rsidRDefault="00341FAE" w:rsidP="00443763">
            <w:pPr>
              <w:spacing w:line="240" w:lineRule="auto"/>
              <w:jc w:val="both"/>
              <w:rPr>
                <w:lang w:eastAsia="en-NZ"/>
              </w:rPr>
            </w:pPr>
            <w:r w:rsidRPr="00AD0040">
              <w:rPr>
                <w:lang w:eastAsia="en-NZ"/>
              </w:rPr>
              <w:t>4</w:t>
            </w:r>
          </w:p>
        </w:tc>
        <w:tc>
          <w:tcPr>
            <w:tcW w:w="1083" w:type="dxa"/>
            <w:shd w:val="clear" w:color="auto" w:fill="D9D9D9" w:themeFill="background1" w:themeFillShade="D9"/>
            <w:vAlign w:val="bottom"/>
          </w:tcPr>
          <w:p w14:paraId="6CBF0992" w14:textId="77777777" w:rsidR="00341FAE" w:rsidRPr="00AD0040" w:rsidRDefault="00341FAE" w:rsidP="00443763">
            <w:pPr>
              <w:spacing w:line="240" w:lineRule="auto"/>
              <w:jc w:val="both"/>
              <w:rPr>
                <w:lang w:eastAsia="en-NZ"/>
              </w:rPr>
            </w:pPr>
            <w:r w:rsidRPr="00AD0040">
              <w:rPr>
                <w:lang w:eastAsia="en-NZ"/>
              </w:rPr>
              <w:t>20</w:t>
            </w:r>
          </w:p>
        </w:tc>
      </w:tr>
      <w:tr w:rsidR="00341FAE" w:rsidRPr="00AD0040" w14:paraId="012B43D6" w14:textId="77777777" w:rsidTr="00443763">
        <w:tc>
          <w:tcPr>
            <w:tcW w:w="7083" w:type="dxa"/>
          </w:tcPr>
          <w:p w14:paraId="43CB6CBA" w14:textId="77777777" w:rsidR="00341FAE" w:rsidRPr="00AD0040" w:rsidRDefault="00341FAE" w:rsidP="00443763">
            <w:pPr>
              <w:spacing w:line="240" w:lineRule="auto"/>
              <w:jc w:val="both"/>
            </w:pPr>
            <w:r w:rsidRPr="00AD0040">
              <w:t>Address stress, strain, coping, and social support</w:t>
            </w:r>
          </w:p>
        </w:tc>
        <w:tc>
          <w:tcPr>
            <w:tcW w:w="850" w:type="dxa"/>
            <w:vAlign w:val="bottom"/>
          </w:tcPr>
          <w:p w14:paraId="6E16E8D2" w14:textId="77777777" w:rsidR="00341FAE" w:rsidRPr="00AD0040" w:rsidRDefault="00341FAE" w:rsidP="00443763">
            <w:pPr>
              <w:spacing w:line="240" w:lineRule="auto"/>
              <w:jc w:val="both"/>
              <w:rPr>
                <w:lang w:eastAsia="en-NZ"/>
              </w:rPr>
            </w:pPr>
            <w:r w:rsidRPr="00AD0040">
              <w:rPr>
                <w:lang w:eastAsia="en-NZ"/>
              </w:rPr>
              <w:t>4</w:t>
            </w:r>
          </w:p>
        </w:tc>
        <w:tc>
          <w:tcPr>
            <w:tcW w:w="1083" w:type="dxa"/>
            <w:vAlign w:val="bottom"/>
          </w:tcPr>
          <w:p w14:paraId="7FEEA48A" w14:textId="77777777" w:rsidR="00341FAE" w:rsidRPr="00AD0040" w:rsidRDefault="00341FAE" w:rsidP="00443763">
            <w:pPr>
              <w:spacing w:line="240" w:lineRule="auto"/>
              <w:jc w:val="both"/>
              <w:rPr>
                <w:lang w:eastAsia="en-NZ"/>
              </w:rPr>
            </w:pPr>
            <w:r w:rsidRPr="00AD0040">
              <w:rPr>
                <w:lang w:eastAsia="en-NZ"/>
              </w:rPr>
              <w:t>20</w:t>
            </w:r>
          </w:p>
        </w:tc>
      </w:tr>
      <w:tr w:rsidR="00341FAE" w:rsidRPr="00AD0040" w14:paraId="0BADE0A7" w14:textId="77777777" w:rsidTr="00443763">
        <w:tc>
          <w:tcPr>
            <w:tcW w:w="7083" w:type="dxa"/>
            <w:shd w:val="clear" w:color="auto" w:fill="D9D9D9" w:themeFill="background1" w:themeFillShade="D9"/>
          </w:tcPr>
          <w:p w14:paraId="73D62C66" w14:textId="77777777" w:rsidR="00341FAE" w:rsidRPr="00AD0040" w:rsidRDefault="00341FAE" w:rsidP="00443763">
            <w:pPr>
              <w:spacing w:line="240" w:lineRule="auto"/>
              <w:jc w:val="both"/>
            </w:pPr>
            <w:r w:rsidRPr="00AD0040">
              <w:t>Other (e.g. ‘unsure’)</w:t>
            </w:r>
          </w:p>
        </w:tc>
        <w:tc>
          <w:tcPr>
            <w:tcW w:w="850" w:type="dxa"/>
            <w:shd w:val="clear" w:color="auto" w:fill="D9D9D9" w:themeFill="background1" w:themeFillShade="D9"/>
            <w:vAlign w:val="bottom"/>
          </w:tcPr>
          <w:p w14:paraId="7A724614" w14:textId="77777777" w:rsidR="00341FAE" w:rsidRPr="00AD0040" w:rsidRDefault="00341FAE" w:rsidP="00443763">
            <w:pPr>
              <w:spacing w:line="240" w:lineRule="auto"/>
              <w:jc w:val="both"/>
              <w:rPr>
                <w:lang w:eastAsia="en-NZ"/>
              </w:rPr>
            </w:pPr>
            <w:r w:rsidRPr="00AD0040">
              <w:rPr>
                <w:lang w:eastAsia="en-NZ"/>
              </w:rPr>
              <w:t>4</w:t>
            </w:r>
          </w:p>
        </w:tc>
        <w:tc>
          <w:tcPr>
            <w:tcW w:w="1083" w:type="dxa"/>
            <w:shd w:val="clear" w:color="auto" w:fill="D9D9D9" w:themeFill="background1" w:themeFillShade="D9"/>
            <w:vAlign w:val="bottom"/>
          </w:tcPr>
          <w:p w14:paraId="0CF770C5" w14:textId="77777777" w:rsidR="00341FAE" w:rsidRPr="00AD0040" w:rsidRDefault="00341FAE" w:rsidP="00443763">
            <w:pPr>
              <w:spacing w:line="240" w:lineRule="auto"/>
              <w:jc w:val="both"/>
              <w:rPr>
                <w:lang w:eastAsia="en-NZ"/>
              </w:rPr>
            </w:pPr>
            <w:r w:rsidRPr="00AD0040">
              <w:rPr>
                <w:lang w:eastAsia="en-NZ"/>
              </w:rPr>
              <w:t>20</w:t>
            </w:r>
          </w:p>
        </w:tc>
      </w:tr>
      <w:tr w:rsidR="00341FAE" w:rsidRPr="00AD0040" w14:paraId="6A94C459" w14:textId="77777777" w:rsidTr="00443763">
        <w:tc>
          <w:tcPr>
            <w:tcW w:w="7083" w:type="dxa"/>
          </w:tcPr>
          <w:p w14:paraId="28902B27" w14:textId="77777777" w:rsidR="00341FAE" w:rsidRPr="00AD0040" w:rsidRDefault="00341FAE" w:rsidP="00443763">
            <w:pPr>
              <w:spacing w:line="240" w:lineRule="auto"/>
              <w:jc w:val="both"/>
            </w:pPr>
            <w:r w:rsidRPr="00AD0040">
              <w:t xml:space="preserve">Ensure safety for family members is considered </w:t>
            </w:r>
          </w:p>
        </w:tc>
        <w:tc>
          <w:tcPr>
            <w:tcW w:w="850" w:type="dxa"/>
            <w:vAlign w:val="bottom"/>
          </w:tcPr>
          <w:p w14:paraId="3DD451C2" w14:textId="77777777" w:rsidR="00341FAE" w:rsidRPr="00AD0040" w:rsidRDefault="00341FAE" w:rsidP="00443763">
            <w:pPr>
              <w:spacing w:line="240" w:lineRule="auto"/>
              <w:jc w:val="both"/>
              <w:rPr>
                <w:lang w:eastAsia="en-NZ"/>
              </w:rPr>
            </w:pPr>
            <w:r w:rsidRPr="00AD0040">
              <w:rPr>
                <w:lang w:eastAsia="en-NZ"/>
              </w:rPr>
              <w:t>3</w:t>
            </w:r>
          </w:p>
        </w:tc>
        <w:tc>
          <w:tcPr>
            <w:tcW w:w="1083" w:type="dxa"/>
            <w:vAlign w:val="bottom"/>
          </w:tcPr>
          <w:p w14:paraId="15514A1C" w14:textId="77777777" w:rsidR="00341FAE" w:rsidRPr="00AD0040" w:rsidRDefault="00341FAE" w:rsidP="00443763">
            <w:pPr>
              <w:spacing w:line="240" w:lineRule="auto"/>
              <w:jc w:val="both"/>
              <w:rPr>
                <w:lang w:eastAsia="en-NZ"/>
              </w:rPr>
            </w:pPr>
            <w:r w:rsidRPr="00AD0040">
              <w:rPr>
                <w:lang w:eastAsia="en-NZ"/>
              </w:rPr>
              <w:t>15</w:t>
            </w:r>
          </w:p>
        </w:tc>
      </w:tr>
      <w:tr w:rsidR="00341FAE" w:rsidRPr="00AD0040" w14:paraId="343A12FD" w14:textId="77777777" w:rsidTr="00443763">
        <w:tc>
          <w:tcPr>
            <w:tcW w:w="7083" w:type="dxa"/>
            <w:shd w:val="clear" w:color="auto" w:fill="D9D9D9" w:themeFill="background1" w:themeFillShade="D9"/>
          </w:tcPr>
          <w:p w14:paraId="683D82AA" w14:textId="77777777" w:rsidR="00341FAE" w:rsidRPr="00AD0040" w:rsidRDefault="00341FAE" w:rsidP="00443763">
            <w:pPr>
              <w:spacing w:line="240" w:lineRule="auto"/>
              <w:jc w:val="both"/>
            </w:pPr>
            <w:r w:rsidRPr="00AD0040">
              <w:t>Cultural safety / incorporating culturally appropriate procedures</w:t>
            </w:r>
          </w:p>
        </w:tc>
        <w:tc>
          <w:tcPr>
            <w:tcW w:w="850" w:type="dxa"/>
            <w:shd w:val="clear" w:color="auto" w:fill="D9D9D9" w:themeFill="background1" w:themeFillShade="D9"/>
            <w:vAlign w:val="bottom"/>
          </w:tcPr>
          <w:p w14:paraId="1ACAA906" w14:textId="77777777" w:rsidR="00341FAE" w:rsidRPr="00AD0040" w:rsidRDefault="00341FAE" w:rsidP="00443763">
            <w:pPr>
              <w:spacing w:line="240" w:lineRule="auto"/>
              <w:jc w:val="both"/>
              <w:rPr>
                <w:lang w:eastAsia="en-NZ"/>
              </w:rPr>
            </w:pPr>
            <w:r w:rsidRPr="00AD0040">
              <w:rPr>
                <w:lang w:eastAsia="en-NZ"/>
              </w:rPr>
              <w:t>2</w:t>
            </w:r>
          </w:p>
        </w:tc>
        <w:tc>
          <w:tcPr>
            <w:tcW w:w="1083" w:type="dxa"/>
            <w:shd w:val="clear" w:color="auto" w:fill="D9D9D9" w:themeFill="background1" w:themeFillShade="D9"/>
            <w:vAlign w:val="bottom"/>
          </w:tcPr>
          <w:p w14:paraId="6BC308EB" w14:textId="77777777" w:rsidR="00341FAE" w:rsidRPr="00AD0040" w:rsidRDefault="00341FAE" w:rsidP="00443763">
            <w:pPr>
              <w:spacing w:line="240" w:lineRule="auto"/>
              <w:jc w:val="both"/>
              <w:rPr>
                <w:lang w:eastAsia="en-NZ"/>
              </w:rPr>
            </w:pPr>
            <w:r w:rsidRPr="00AD0040">
              <w:rPr>
                <w:lang w:eastAsia="en-NZ"/>
              </w:rPr>
              <w:t>10</w:t>
            </w:r>
          </w:p>
        </w:tc>
      </w:tr>
      <w:tr w:rsidR="00341FAE" w:rsidRPr="00AD0040" w14:paraId="541B34EC" w14:textId="77777777" w:rsidTr="00443763">
        <w:tc>
          <w:tcPr>
            <w:tcW w:w="7083" w:type="dxa"/>
          </w:tcPr>
          <w:p w14:paraId="32F731E1" w14:textId="77777777" w:rsidR="00341FAE" w:rsidRPr="00AD0040" w:rsidRDefault="00341FAE" w:rsidP="00443763">
            <w:pPr>
              <w:spacing w:line="240" w:lineRule="auto"/>
              <w:jc w:val="both"/>
            </w:pPr>
            <w:r w:rsidRPr="00AD0040">
              <w:t>Provide psychoeducation to enhance understanding of gambling / addictions</w:t>
            </w:r>
          </w:p>
        </w:tc>
        <w:tc>
          <w:tcPr>
            <w:tcW w:w="850" w:type="dxa"/>
            <w:vAlign w:val="bottom"/>
          </w:tcPr>
          <w:p w14:paraId="50414088" w14:textId="77777777" w:rsidR="00341FAE" w:rsidRPr="00AD0040" w:rsidRDefault="00341FAE" w:rsidP="00443763">
            <w:pPr>
              <w:spacing w:line="240" w:lineRule="auto"/>
              <w:jc w:val="both"/>
              <w:rPr>
                <w:lang w:eastAsia="en-NZ"/>
              </w:rPr>
            </w:pPr>
            <w:r w:rsidRPr="00AD0040">
              <w:rPr>
                <w:lang w:eastAsia="en-NZ"/>
              </w:rPr>
              <w:t>2</w:t>
            </w:r>
          </w:p>
        </w:tc>
        <w:tc>
          <w:tcPr>
            <w:tcW w:w="1083" w:type="dxa"/>
            <w:vAlign w:val="bottom"/>
          </w:tcPr>
          <w:p w14:paraId="7255794B" w14:textId="77777777" w:rsidR="00341FAE" w:rsidRPr="00AD0040" w:rsidRDefault="00341FAE" w:rsidP="00443763">
            <w:pPr>
              <w:spacing w:line="240" w:lineRule="auto"/>
              <w:jc w:val="both"/>
              <w:rPr>
                <w:lang w:eastAsia="en-NZ"/>
              </w:rPr>
            </w:pPr>
            <w:r w:rsidRPr="00AD0040">
              <w:rPr>
                <w:lang w:eastAsia="en-NZ"/>
              </w:rPr>
              <w:t>10</w:t>
            </w:r>
          </w:p>
        </w:tc>
      </w:tr>
    </w:tbl>
    <w:p w14:paraId="32CA132F" w14:textId="77777777" w:rsidR="00341FAE" w:rsidRPr="00AD0040" w:rsidRDefault="00341FAE" w:rsidP="00341FAE">
      <w:pPr>
        <w:spacing w:line="259" w:lineRule="auto"/>
        <w:jc w:val="both"/>
      </w:pPr>
    </w:p>
    <w:p w14:paraId="0D4EB690" w14:textId="77777777" w:rsidR="00341FAE" w:rsidRDefault="00341FAE" w:rsidP="00341FAE">
      <w:pPr>
        <w:spacing w:line="259" w:lineRule="auto"/>
        <w:jc w:val="both"/>
      </w:pPr>
      <w:r>
        <w:t>Th</w:t>
      </w:r>
      <w:r w:rsidRPr="00AD0040">
        <w:t xml:space="preserve">e panel </w:t>
      </w:r>
      <w:r>
        <w:t xml:space="preserve">also </w:t>
      </w:r>
      <w:r w:rsidRPr="00AD0040">
        <w:t>identified a range of constraints and opportunities of this approach for service design and FAO wellbeing including:</w:t>
      </w:r>
    </w:p>
    <w:p w14:paraId="1FBE668A" w14:textId="77777777" w:rsidR="00341FAE" w:rsidRPr="00AD0040" w:rsidRDefault="00341FAE" w:rsidP="00341FAE">
      <w:pPr>
        <w:spacing w:line="259" w:lineRule="auto"/>
        <w:jc w:val="both"/>
      </w:pPr>
    </w:p>
    <w:p w14:paraId="667086C2" w14:textId="77777777" w:rsidR="00341FAE" w:rsidRPr="00A83BAF" w:rsidRDefault="00341FAE" w:rsidP="00341FAE">
      <w:pPr>
        <w:rPr>
          <w:b/>
          <w:bCs/>
          <w:i/>
          <w:iCs/>
        </w:rPr>
      </w:pPr>
      <w:r w:rsidRPr="00A83BAF">
        <w:rPr>
          <w:b/>
          <w:bCs/>
          <w:i/>
          <w:iCs/>
        </w:rPr>
        <w:t>Identifying unique and wide-ranging needs to inform family-centred approaches</w:t>
      </w:r>
    </w:p>
    <w:p w14:paraId="05EEBD63" w14:textId="77777777" w:rsidR="00341FAE" w:rsidRDefault="00341FAE" w:rsidP="00341FAE">
      <w:pPr>
        <w:spacing w:line="259" w:lineRule="auto"/>
        <w:jc w:val="both"/>
      </w:pPr>
      <w:bookmarkStart w:id="211" w:name="_Hlk51593874"/>
      <w:r w:rsidRPr="008B3D45">
        <w:t>Participants reported that FAO-centric service provision must allow enough time spent identifying FAO (and broader community) needs, so that family-centred approaches could be developed and implemented</w:t>
      </w:r>
      <w:bookmarkEnd w:id="211"/>
      <w:r w:rsidRPr="00AD0040">
        <w:t xml:space="preserve">. </w:t>
      </w:r>
      <w:r>
        <w:t xml:space="preserve">In many communities, this groundwork has yet to be completed. </w:t>
      </w:r>
      <w:r w:rsidRPr="00AD0040">
        <w:t xml:space="preserve">The key outcomes of approaches that focus on FAO wellbeing </w:t>
      </w:r>
      <w:r>
        <w:t>could be</w:t>
      </w:r>
      <w:r w:rsidRPr="00AD0040">
        <w:t xml:space="preserve"> wide ranging, e.g.  improvements in FAO mental and physical health; FAOs leav</w:t>
      </w:r>
      <w:r>
        <w:t>ing</w:t>
      </w:r>
      <w:r w:rsidRPr="00AD0040">
        <w:t xml:space="preserve"> feeling heard, understood, and validated; and </w:t>
      </w:r>
      <w:r>
        <w:t>t</w:t>
      </w:r>
      <w:r w:rsidRPr="00AD0040">
        <w:t>ino rangatiratanga (self-determination</w:t>
      </w:r>
      <w:r>
        <w:t>, family and community empowerment</w:t>
      </w:r>
      <w:r w:rsidRPr="00AD0040">
        <w:t xml:space="preserve">). </w:t>
      </w:r>
    </w:p>
    <w:p w14:paraId="32E42A93" w14:textId="77777777" w:rsidR="00341FAE" w:rsidRPr="00AD0040" w:rsidRDefault="00341FAE" w:rsidP="00341FAE">
      <w:pPr>
        <w:spacing w:line="259" w:lineRule="auto"/>
        <w:jc w:val="both"/>
      </w:pPr>
    </w:p>
    <w:p w14:paraId="7642184D" w14:textId="77777777" w:rsidR="00341FAE" w:rsidRPr="00A83BAF" w:rsidRDefault="00341FAE" w:rsidP="00341FAE">
      <w:pPr>
        <w:rPr>
          <w:b/>
          <w:bCs/>
          <w:i/>
          <w:iCs/>
        </w:rPr>
      </w:pPr>
      <w:r w:rsidRPr="00A83BAF">
        <w:rPr>
          <w:b/>
          <w:bCs/>
          <w:i/>
          <w:iCs/>
        </w:rPr>
        <w:t>Addressing the problem gambling behaviour</w:t>
      </w:r>
    </w:p>
    <w:p w14:paraId="60AB2613" w14:textId="77777777" w:rsidR="00341FAE" w:rsidRDefault="00341FAE" w:rsidP="00341FAE">
      <w:pPr>
        <w:spacing w:line="259" w:lineRule="auto"/>
        <w:jc w:val="both"/>
      </w:pPr>
      <w:r w:rsidRPr="00AD0040">
        <w:t xml:space="preserve">The panel described approaches that focus on FAO wellbeing as particularly important </w:t>
      </w:r>
      <w:r>
        <w:t xml:space="preserve">because in many </w:t>
      </w:r>
      <w:r w:rsidRPr="00AD0040">
        <w:t xml:space="preserve">circumstances </w:t>
      </w:r>
      <w:r>
        <w:t>t</w:t>
      </w:r>
      <w:r w:rsidRPr="00AD0040">
        <w:t xml:space="preserve">he individual with the gambling problem was not willing or able to change or access support. </w:t>
      </w:r>
      <w:r>
        <w:t>T</w:t>
      </w:r>
      <w:r w:rsidRPr="00AD0040">
        <w:t>wo participants commented that the effectiveness of this approach will be limited if the gambling individual/behaviour is not explicitly addressed.</w:t>
      </w:r>
      <w:r>
        <w:t xml:space="preserve"> </w:t>
      </w:r>
    </w:p>
    <w:p w14:paraId="20E09A85" w14:textId="77777777" w:rsidR="00341FAE" w:rsidRPr="00AD0040" w:rsidRDefault="00341FAE" w:rsidP="00341FAE">
      <w:pPr>
        <w:spacing w:line="259" w:lineRule="auto"/>
        <w:jc w:val="both"/>
      </w:pPr>
    </w:p>
    <w:p w14:paraId="63949E35" w14:textId="77777777" w:rsidR="00341FAE" w:rsidRPr="00A83BAF" w:rsidRDefault="00341FAE" w:rsidP="00341FAE">
      <w:pPr>
        <w:rPr>
          <w:b/>
          <w:bCs/>
          <w:i/>
          <w:iCs/>
        </w:rPr>
      </w:pPr>
      <w:r w:rsidRPr="00A83BAF">
        <w:rPr>
          <w:b/>
          <w:bCs/>
          <w:i/>
          <w:iCs/>
        </w:rPr>
        <w:t>Incorporating understanding of cultural complexity and collective communities</w:t>
      </w:r>
    </w:p>
    <w:p w14:paraId="57863271" w14:textId="77777777" w:rsidR="00341FAE" w:rsidRPr="00AD0040" w:rsidRDefault="00341FAE" w:rsidP="00341FAE">
      <w:pPr>
        <w:spacing w:line="259" w:lineRule="auto"/>
        <w:jc w:val="both"/>
      </w:pPr>
      <w:r w:rsidRPr="00AD0040">
        <w:t xml:space="preserve">A focus on individual FAO wellbeing was held to be less valuable for individuals living in a collective culture (e.g. some Asian families). However if FAO wellbeing support was developed and implemented appropriately, it had the possibility of empowering the individual in ways that would follow through to the wellbeing of the family. Whānau ora, wrap around support, family-inclusive practice, and culturally appropriate methods of addressing wellbeing were reported to ensure that both individual health and family/whānau health needs were </w:t>
      </w:r>
      <w:r w:rsidRPr="00AD0040">
        <w:lastRenderedPageBreak/>
        <w:t xml:space="preserve">addressed. Examining intergenerational patterns in culture and worldviews was highlighted as important to provide holistic insight into ways to coordinate services and resources for families of diverse </w:t>
      </w:r>
      <w:r>
        <w:t>heritage</w:t>
      </w:r>
      <w:r w:rsidRPr="00AD0040">
        <w:t>.</w:t>
      </w:r>
    </w:p>
    <w:p w14:paraId="5249F510" w14:textId="77777777" w:rsidR="00341FAE" w:rsidRPr="00AD0040" w:rsidRDefault="00341FAE" w:rsidP="00341FAE">
      <w:pPr>
        <w:spacing w:line="259" w:lineRule="auto"/>
        <w:jc w:val="both"/>
      </w:pPr>
    </w:p>
    <w:p w14:paraId="7A4B42BF" w14:textId="77777777" w:rsidR="00341FAE" w:rsidRPr="006D461F" w:rsidRDefault="00341FAE" w:rsidP="00341FAE">
      <w:pPr>
        <w:rPr>
          <w:b/>
          <w:bCs/>
          <w:lang w:eastAsia="en-NZ"/>
        </w:rPr>
      </w:pPr>
      <w:r w:rsidRPr="006D461F">
        <w:rPr>
          <w:b/>
          <w:bCs/>
          <w:lang w:eastAsia="en-NZ"/>
        </w:rPr>
        <w:t>Improving the relationships between FAOs and the person who is gambling</w:t>
      </w:r>
    </w:p>
    <w:p w14:paraId="344C94B8" w14:textId="1AE5D476" w:rsidR="00341FAE" w:rsidRPr="00AD0040" w:rsidRDefault="00341FAE" w:rsidP="00341FAE">
      <w:pPr>
        <w:spacing w:line="259" w:lineRule="auto"/>
        <w:jc w:val="both"/>
      </w:pPr>
      <w:r w:rsidRPr="00AD0040">
        <w:t xml:space="preserve">Panel members were asked to consider the key elements of </w:t>
      </w:r>
      <w:r>
        <w:t>approaches</w:t>
      </w:r>
      <w:r w:rsidRPr="00AD0040">
        <w:t xml:space="preserve"> that effectively improve the relationship/s between FAOs and the person who is gambling</w:t>
      </w:r>
      <w:r>
        <w:t>. T</w:t>
      </w:r>
      <w:r w:rsidRPr="00AD0040">
        <w:t>here was less consensus than divergence in views on what constitutes key elements of this approach</w:t>
      </w:r>
      <w:r>
        <w:t>, however enhancing communication skills was identified by half of the panel. Effective intervention was mainly conceptualised at the individual level (e.g. increasing FAOs understanding of family dynamics, and gamblers’ understanding of the impact of their gambling on FAOs). Some participants constructed improving relationships at a broader societal level (e.g. u</w:t>
      </w:r>
      <w:r w:rsidRPr="00BA76C4">
        <w:t xml:space="preserve">nderstanding the context of gambling </w:t>
      </w:r>
      <w:r>
        <w:t xml:space="preserve">as </w:t>
      </w:r>
      <w:r w:rsidRPr="00BA76C4">
        <w:t>wider society/cultural issues</w:t>
      </w:r>
      <w:r>
        <w:t xml:space="preserve"> and i</w:t>
      </w:r>
      <w:r w:rsidRPr="00BA76C4">
        <w:t>ncreasing support networks in communities</w:t>
      </w:r>
      <w:r>
        <w:t xml:space="preserve">). </w:t>
      </w:r>
    </w:p>
    <w:p w14:paraId="78F23015" w14:textId="77777777" w:rsidR="00341FAE" w:rsidRPr="00AD0040" w:rsidRDefault="00341FAE" w:rsidP="00341FAE">
      <w:pPr>
        <w:spacing w:line="259" w:lineRule="auto"/>
        <w:jc w:val="both"/>
      </w:pPr>
    </w:p>
    <w:p w14:paraId="7E2B7C47" w14:textId="77777777" w:rsidR="00341FAE" w:rsidRPr="00AD0040" w:rsidRDefault="00341FAE" w:rsidP="00341FAE">
      <w:pPr>
        <w:spacing w:line="240" w:lineRule="auto"/>
        <w:jc w:val="both"/>
        <w:rPr>
          <w:b/>
          <w:bCs/>
          <w:sz w:val="22"/>
          <w:szCs w:val="22"/>
        </w:rPr>
      </w:pPr>
      <w:bookmarkStart w:id="212" w:name="_Toc51240660"/>
      <w:r>
        <w:rPr>
          <w:b/>
          <w:bCs/>
          <w:sz w:val="22"/>
          <w:szCs w:val="22"/>
        </w:rPr>
        <w:t>Table 15</w:t>
      </w:r>
      <w:r w:rsidRPr="00AD0040">
        <w:rPr>
          <w:b/>
          <w:bCs/>
          <w:sz w:val="22"/>
          <w:szCs w:val="22"/>
        </w:rPr>
        <w:t>: Key elements of effective interventions to improve the relationship/s between FAOs and the person who is gambling</w:t>
      </w:r>
      <w:bookmarkEnd w:id="212"/>
    </w:p>
    <w:tbl>
      <w:tblPr>
        <w:tblStyle w:val="TableGrid2"/>
        <w:tblW w:w="901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850"/>
        <w:gridCol w:w="511"/>
      </w:tblGrid>
      <w:tr w:rsidR="00341FAE" w:rsidRPr="00AD0040" w14:paraId="68F27E0F" w14:textId="77777777" w:rsidTr="00443763">
        <w:tc>
          <w:tcPr>
            <w:tcW w:w="7655" w:type="dxa"/>
            <w:tcBorders>
              <w:top w:val="single" w:sz="4" w:space="0" w:color="auto"/>
              <w:bottom w:val="single" w:sz="4" w:space="0" w:color="auto"/>
            </w:tcBorders>
          </w:tcPr>
          <w:p w14:paraId="654BAA4C" w14:textId="77777777" w:rsidR="00341FAE" w:rsidRPr="00AD0040" w:rsidRDefault="00341FAE" w:rsidP="00443763">
            <w:pPr>
              <w:spacing w:line="240" w:lineRule="auto"/>
              <w:jc w:val="both"/>
            </w:pPr>
            <w:r w:rsidRPr="00AD0040">
              <w:t>Key Elements (coded qualitative responses)</w:t>
            </w:r>
          </w:p>
        </w:tc>
        <w:tc>
          <w:tcPr>
            <w:tcW w:w="850" w:type="dxa"/>
            <w:tcBorders>
              <w:top w:val="single" w:sz="4" w:space="0" w:color="auto"/>
              <w:bottom w:val="single" w:sz="4" w:space="0" w:color="auto"/>
            </w:tcBorders>
            <w:vAlign w:val="bottom"/>
          </w:tcPr>
          <w:p w14:paraId="22D12537" w14:textId="77777777" w:rsidR="00341FAE" w:rsidRPr="00AD0040" w:rsidRDefault="00341FAE" w:rsidP="00443763">
            <w:pPr>
              <w:spacing w:line="240" w:lineRule="auto"/>
              <w:jc w:val="both"/>
              <w:rPr>
                <w:i/>
                <w:lang w:eastAsia="en-NZ"/>
              </w:rPr>
            </w:pPr>
            <w:r w:rsidRPr="00AD0040">
              <w:rPr>
                <w:i/>
                <w:lang w:eastAsia="en-NZ"/>
              </w:rPr>
              <w:t xml:space="preserve">n </w:t>
            </w:r>
            <w:r w:rsidRPr="00AD0040">
              <w:rPr>
                <w:lang w:eastAsia="en-NZ"/>
              </w:rPr>
              <w:t>= 22</w:t>
            </w:r>
          </w:p>
        </w:tc>
        <w:tc>
          <w:tcPr>
            <w:tcW w:w="511" w:type="dxa"/>
            <w:tcBorders>
              <w:top w:val="single" w:sz="4" w:space="0" w:color="auto"/>
              <w:bottom w:val="single" w:sz="4" w:space="0" w:color="auto"/>
              <w:right w:val="nil"/>
            </w:tcBorders>
            <w:vAlign w:val="bottom"/>
          </w:tcPr>
          <w:p w14:paraId="4C8D6F45" w14:textId="77777777" w:rsidR="00341FAE" w:rsidRPr="00AD0040" w:rsidRDefault="00341FAE" w:rsidP="00443763">
            <w:pPr>
              <w:spacing w:line="240" w:lineRule="auto"/>
              <w:jc w:val="both"/>
              <w:rPr>
                <w:lang w:eastAsia="en-NZ"/>
              </w:rPr>
            </w:pPr>
            <w:r w:rsidRPr="00AD0040">
              <w:rPr>
                <w:lang w:eastAsia="en-NZ"/>
              </w:rPr>
              <w:t>%</w:t>
            </w:r>
          </w:p>
        </w:tc>
      </w:tr>
      <w:tr w:rsidR="00341FAE" w:rsidRPr="00AD0040" w14:paraId="0D62B853" w14:textId="77777777" w:rsidTr="00443763">
        <w:tc>
          <w:tcPr>
            <w:tcW w:w="7655" w:type="dxa"/>
            <w:tcBorders>
              <w:top w:val="single" w:sz="4" w:space="0" w:color="auto"/>
            </w:tcBorders>
            <w:shd w:val="clear" w:color="auto" w:fill="D9D9D9" w:themeFill="background1" w:themeFillShade="D9"/>
          </w:tcPr>
          <w:p w14:paraId="39DAF70B" w14:textId="77777777" w:rsidR="00341FAE" w:rsidRPr="00AD0040" w:rsidRDefault="00341FAE" w:rsidP="00443763">
            <w:pPr>
              <w:spacing w:line="240" w:lineRule="auto"/>
              <w:jc w:val="both"/>
            </w:pPr>
            <w:r w:rsidRPr="00AD0040">
              <w:t>Enhancing communication skills</w:t>
            </w:r>
          </w:p>
        </w:tc>
        <w:tc>
          <w:tcPr>
            <w:tcW w:w="850" w:type="dxa"/>
            <w:tcBorders>
              <w:top w:val="single" w:sz="4" w:space="0" w:color="auto"/>
            </w:tcBorders>
            <w:shd w:val="clear" w:color="auto" w:fill="D9D9D9" w:themeFill="background1" w:themeFillShade="D9"/>
            <w:vAlign w:val="bottom"/>
          </w:tcPr>
          <w:p w14:paraId="20442290" w14:textId="77777777" w:rsidR="00341FAE" w:rsidRPr="00AD0040" w:rsidRDefault="00341FAE" w:rsidP="00443763">
            <w:pPr>
              <w:spacing w:line="240" w:lineRule="auto"/>
              <w:jc w:val="both"/>
              <w:rPr>
                <w:lang w:eastAsia="en-NZ"/>
              </w:rPr>
            </w:pPr>
            <w:r w:rsidRPr="00AD0040">
              <w:rPr>
                <w:lang w:eastAsia="en-NZ"/>
              </w:rPr>
              <w:t>11</w:t>
            </w:r>
          </w:p>
        </w:tc>
        <w:tc>
          <w:tcPr>
            <w:tcW w:w="511" w:type="dxa"/>
            <w:tcBorders>
              <w:top w:val="single" w:sz="4" w:space="0" w:color="auto"/>
            </w:tcBorders>
            <w:shd w:val="clear" w:color="auto" w:fill="D9D9D9" w:themeFill="background1" w:themeFillShade="D9"/>
            <w:vAlign w:val="bottom"/>
          </w:tcPr>
          <w:p w14:paraId="70EE9F50" w14:textId="77777777" w:rsidR="00341FAE" w:rsidRPr="00AD0040" w:rsidRDefault="00341FAE" w:rsidP="00443763">
            <w:pPr>
              <w:spacing w:line="240" w:lineRule="auto"/>
              <w:jc w:val="both"/>
              <w:rPr>
                <w:lang w:eastAsia="en-NZ"/>
              </w:rPr>
            </w:pPr>
            <w:r w:rsidRPr="00AD0040">
              <w:rPr>
                <w:lang w:eastAsia="en-NZ"/>
              </w:rPr>
              <w:t>50</w:t>
            </w:r>
          </w:p>
        </w:tc>
      </w:tr>
      <w:tr w:rsidR="00341FAE" w:rsidRPr="00AD0040" w14:paraId="1881C54E" w14:textId="77777777" w:rsidTr="00443763">
        <w:tc>
          <w:tcPr>
            <w:tcW w:w="7655" w:type="dxa"/>
          </w:tcPr>
          <w:p w14:paraId="1F461029" w14:textId="77777777" w:rsidR="00341FAE" w:rsidRPr="00AD0040" w:rsidRDefault="00341FAE" w:rsidP="00443763">
            <w:pPr>
              <w:spacing w:line="240" w:lineRule="auto"/>
              <w:jc w:val="both"/>
            </w:pPr>
            <w:r w:rsidRPr="00AD0040">
              <w:t xml:space="preserve">Focus on </w:t>
            </w:r>
            <w:r>
              <w:t>building</w:t>
            </w:r>
            <w:r w:rsidRPr="00AD0040">
              <w:t xml:space="preserve"> </w:t>
            </w:r>
            <w:r>
              <w:t xml:space="preserve">and strengthening </w:t>
            </w:r>
            <w:r w:rsidRPr="00AD0040">
              <w:t>relationship</w:t>
            </w:r>
            <w:r>
              <w:t>s</w:t>
            </w:r>
            <w:r w:rsidRPr="00AD0040">
              <w:t xml:space="preserve"> (gambling as a sub-focus)</w:t>
            </w:r>
          </w:p>
        </w:tc>
        <w:tc>
          <w:tcPr>
            <w:tcW w:w="850" w:type="dxa"/>
            <w:vAlign w:val="bottom"/>
          </w:tcPr>
          <w:p w14:paraId="5DE6BDB9" w14:textId="77777777" w:rsidR="00341FAE" w:rsidRPr="00AD0040" w:rsidRDefault="00341FAE" w:rsidP="00443763">
            <w:pPr>
              <w:spacing w:line="240" w:lineRule="auto"/>
              <w:jc w:val="both"/>
              <w:rPr>
                <w:lang w:eastAsia="en-NZ"/>
              </w:rPr>
            </w:pPr>
            <w:r w:rsidRPr="00AD0040">
              <w:rPr>
                <w:lang w:eastAsia="en-NZ"/>
              </w:rPr>
              <w:t>8</w:t>
            </w:r>
          </w:p>
        </w:tc>
        <w:tc>
          <w:tcPr>
            <w:tcW w:w="511" w:type="dxa"/>
            <w:vAlign w:val="bottom"/>
          </w:tcPr>
          <w:p w14:paraId="78095153" w14:textId="77777777" w:rsidR="00341FAE" w:rsidRPr="00AD0040" w:rsidRDefault="00341FAE" w:rsidP="00443763">
            <w:pPr>
              <w:spacing w:line="240" w:lineRule="auto"/>
              <w:jc w:val="both"/>
              <w:rPr>
                <w:lang w:eastAsia="en-NZ"/>
              </w:rPr>
            </w:pPr>
            <w:r w:rsidRPr="00AD0040">
              <w:rPr>
                <w:lang w:eastAsia="en-NZ"/>
              </w:rPr>
              <w:t>36</w:t>
            </w:r>
          </w:p>
        </w:tc>
      </w:tr>
      <w:tr w:rsidR="00341FAE" w:rsidRPr="00AD0040" w14:paraId="7A3435F2" w14:textId="77777777" w:rsidTr="00443763">
        <w:tc>
          <w:tcPr>
            <w:tcW w:w="7655" w:type="dxa"/>
            <w:shd w:val="clear" w:color="auto" w:fill="D9D9D9" w:themeFill="background1" w:themeFillShade="D9"/>
          </w:tcPr>
          <w:p w14:paraId="457B0765" w14:textId="77777777" w:rsidR="00341FAE" w:rsidRPr="00AD0040" w:rsidRDefault="00341FAE" w:rsidP="00443763">
            <w:pPr>
              <w:spacing w:line="240" w:lineRule="auto"/>
              <w:jc w:val="both"/>
            </w:pPr>
            <w:r w:rsidRPr="00AD0040">
              <w:t>Ensuring an understanding of family dynamics / family roles</w:t>
            </w:r>
          </w:p>
        </w:tc>
        <w:tc>
          <w:tcPr>
            <w:tcW w:w="850" w:type="dxa"/>
            <w:shd w:val="clear" w:color="auto" w:fill="D9D9D9" w:themeFill="background1" w:themeFillShade="D9"/>
            <w:vAlign w:val="bottom"/>
          </w:tcPr>
          <w:p w14:paraId="1BD7812A" w14:textId="77777777" w:rsidR="00341FAE" w:rsidRPr="00AD0040" w:rsidRDefault="00341FAE" w:rsidP="00443763">
            <w:pPr>
              <w:spacing w:line="240" w:lineRule="auto"/>
              <w:jc w:val="both"/>
              <w:rPr>
                <w:lang w:eastAsia="en-NZ"/>
              </w:rPr>
            </w:pPr>
            <w:r w:rsidRPr="00AD0040">
              <w:rPr>
                <w:lang w:eastAsia="en-NZ"/>
              </w:rPr>
              <w:t>7</w:t>
            </w:r>
          </w:p>
        </w:tc>
        <w:tc>
          <w:tcPr>
            <w:tcW w:w="511" w:type="dxa"/>
            <w:shd w:val="clear" w:color="auto" w:fill="D9D9D9" w:themeFill="background1" w:themeFillShade="D9"/>
            <w:vAlign w:val="bottom"/>
          </w:tcPr>
          <w:p w14:paraId="3582E912" w14:textId="77777777" w:rsidR="00341FAE" w:rsidRPr="00AD0040" w:rsidRDefault="00341FAE" w:rsidP="00443763">
            <w:pPr>
              <w:spacing w:line="240" w:lineRule="auto"/>
              <w:jc w:val="both"/>
              <w:rPr>
                <w:lang w:eastAsia="en-NZ"/>
              </w:rPr>
            </w:pPr>
            <w:r w:rsidRPr="00AD0040">
              <w:rPr>
                <w:lang w:eastAsia="en-NZ"/>
              </w:rPr>
              <w:t>32</w:t>
            </w:r>
          </w:p>
        </w:tc>
      </w:tr>
      <w:tr w:rsidR="00341FAE" w:rsidRPr="00AD0040" w14:paraId="5C08614A" w14:textId="77777777" w:rsidTr="00443763">
        <w:tc>
          <w:tcPr>
            <w:tcW w:w="7655" w:type="dxa"/>
          </w:tcPr>
          <w:p w14:paraId="40068006" w14:textId="77777777" w:rsidR="00341FAE" w:rsidRPr="00AD0040" w:rsidRDefault="00341FAE" w:rsidP="00443763">
            <w:pPr>
              <w:spacing w:line="240" w:lineRule="auto"/>
              <w:jc w:val="both"/>
            </w:pPr>
            <w:r w:rsidRPr="00AD0040">
              <w:t>Other (e.g. ‘unsure but critical approach’, ‘ensure not offered in isolation’)</w:t>
            </w:r>
          </w:p>
        </w:tc>
        <w:tc>
          <w:tcPr>
            <w:tcW w:w="850" w:type="dxa"/>
            <w:vAlign w:val="bottom"/>
          </w:tcPr>
          <w:p w14:paraId="546A2A70" w14:textId="77777777" w:rsidR="00341FAE" w:rsidRPr="00AD0040" w:rsidRDefault="00341FAE" w:rsidP="00443763">
            <w:pPr>
              <w:spacing w:line="240" w:lineRule="auto"/>
              <w:jc w:val="both"/>
              <w:rPr>
                <w:lang w:eastAsia="en-NZ"/>
              </w:rPr>
            </w:pPr>
            <w:r w:rsidRPr="00AD0040">
              <w:rPr>
                <w:lang w:eastAsia="en-NZ"/>
              </w:rPr>
              <w:t>7</w:t>
            </w:r>
          </w:p>
        </w:tc>
        <w:tc>
          <w:tcPr>
            <w:tcW w:w="511" w:type="dxa"/>
            <w:vAlign w:val="bottom"/>
          </w:tcPr>
          <w:p w14:paraId="07EAF6BD" w14:textId="77777777" w:rsidR="00341FAE" w:rsidRPr="00AD0040" w:rsidRDefault="00341FAE" w:rsidP="00443763">
            <w:pPr>
              <w:spacing w:line="240" w:lineRule="auto"/>
              <w:jc w:val="both"/>
              <w:rPr>
                <w:lang w:eastAsia="en-NZ"/>
              </w:rPr>
            </w:pPr>
            <w:r w:rsidRPr="00AD0040">
              <w:rPr>
                <w:lang w:eastAsia="en-NZ"/>
              </w:rPr>
              <w:t>32</w:t>
            </w:r>
          </w:p>
        </w:tc>
      </w:tr>
      <w:tr w:rsidR="00341FAE" w:rsidRPr="00AD0040" w14:paraId="05782C41" w14:textId="77777777" w:rsidTr="00443763">
        <w:tc>
          <w:tcPr>
            <w:tcW w:w="7655" w:type="dxa"/>
            <w:shd w:val="clear" w:color="auto" w:fill="D9D9D9" w:themeFill="background1" w:themeFillShade="D9"/>
          </w:tcPr>
          <w:p w14:paraId="4889294D" w14:textId="77777777" w:rsidR="00341FAE" w:rsidRPr="00AD0040" w:rsidRDefault="00341FAE" w:rsidP="00443763">
            <w:pPr>
              <w:spacing w:line="240" w:lineRule="auto"/>
              <w:jc w:val="both"/>
            </w:pPr>
            <w:r w:rsidRPr="00AD0040">
              <w:t>Rebuilding trust in families</w:t>
            </w:r>
          </w:p>
        </w:tc>
        <w:tc>
          <w:tcPr>
            <w:tcW w:w="850" w:type="dxa"/>
            <w:shd w:val="clear" w:color="auto" w:fill="D9D9D9" w:themeFill="background1" w:themeFillShade="D9"/>
            <w:vAlign w:val="bottom"/>
          </w:tcPr>
          <w:p w14:paraId="51024B82" w14:textId="77777777" w:rsidR="00341FAE" w:rsidRPr="00AD0040" w:rsidRDefault="00341FAE" w:rsidP="00443763">
            <w:pPr>
              <w:spacing w:line="240" w:lineRule="auto"/>
              <w:jc w:val="both"/>
              <w:rPr>
                <w:lang w:eastAsia="en-NZ"/>
              </w:rPr>
            </w:pPr>
            <w:r w:rsidRPr="00AD0040">
              <w:rPr>
                <w:lang w:eastAsia="en-NZ"/>
              </w:rPr>
              <w:t>6</w:t>
            </w:r>
          </w:p>
        </w:tc>
        <w:tc>
          <w:tcPr>
            <w:tcW w:w="511" w:type="dxa"/>
            <w:shd w:val="clear" w:color="auto" w:fill="D9D9D9" w:themeFill="background1" w:themeFillShade="D9"/>
            <w:vAlign w:val="bottom"/>
          </w:tcPr>
          <w:p w14:paraId="6017A094" w14:textId="77777777" w:rsidR="00341FAE" w:rsidRPr="00AD0040" w:rsidRDefault="00341FAE" w:rsidP="00443763">
            <w:pPr>
              <w:spacing w:line="240" w:lineRule="auto"/>
              <w:jc w:val="both"/>
              <w:rPr>
                <w:lang w:eastAsia="en-NZ"/>
              </w:rPr>
            </w:pPr>
            <w:r w:rsidRPr="00AD0040">
              <w:rPr>
                <w:lang w:eastAsia="en-NZ"/>
              </w:rPr>
              <w:t>27</w:t>
            </w:r>
          </w:p>
        </w:tc>
      </w:tr>
      <w:tr w:rsidR="00341FAE" w:rsidRPr="00AD0040" w14:paraId="533309FD" w14:textId="77777777" w:rsidTr="00443763">
        <w:tc>
          <w:tcPr>
            <w:tcW w:w="7655" w:type="dxa"/>
          </w:tcPr>
          <w:p w14:paraId="6E466EF6" w14:textId="77777777" w:rsidR="00341FAE" w:rsidRPr="00AD0040" w:rsidRDefault="00341FAE" w:rsidP="00443763">
            <w:pPr>
              <w:spacing w:line="240" w:lineRule="auto"/>
              <w:jc w:val="both"/>
            </w:pPr>
            <w:r w:rsidRPr="00AD0040">
              <w:t>Enhancing gamblers</w:t>
            </w:r>
            <w:r>
              <w:t>’</w:t>
            </w:r>
            <w:r w:rsidRPr="00AD0040">
              <w:t xml:space="preserve"> understanding of </w:t>
            </w:r>
            <w:r>
              <w:t xml:space="preserve">the consequences of </w:t>
            </w:r>
            <w:r w:rsidRPr="00AD0040">
              <w:t>their actions</w:t>
            </w:r>
          </w:p>
        </w:tc>
        <w:tc>
          <w:tcPr>
            <w:tcW w:w="850" w:type="dxa"/>
            <w:vAlign w:val="bottom"/>
          </w:tcPr>
          <w:p w14:paraId="1F1BB9CC" w14:textId="77777777" w:rsidR="00341FAE" w:rsidRPr="00AD0040" w:rsidRDefault="00341FAE" w:rsidP="00443763">
            <w:pPr>
              <w:spacing w:line="240" w:lineRule="auto"/>
              <w:jc w:val="both"/>
              <w:rPr>
                <w:lang w:eastAsia="en-NZ"/>
              </w:rPr>
            </w:pPr>
            <w:r w:rsidRPr="00AD0040">
              <w:rPr>
                <w:lang w:eastAsia="en-NZ"/>
              </w:rPr>
              <w:t>4</w:t>
            </w:r>
          </w:p>
        </w:tc>
        <w:tc>
          <w:tcPr>
            <w:tcW w:w="511" w:type="dxa"/>
            <w:vAlign w:val="bottom"/>
          </w:tcPr>
          <w:p w14:paraId="05B38647" w14:textId="77777777" w:rsidR="00341FAE" w:rsidRPr="00AD0040" w:rsidRDefault="00341FAE" w:rsidP="00443763">
            <w:pPr>
              <w:spacing w:line="240" w:lineRule="auto"/>
              <w:jc w:val="both"/>
              <w:rPr>
                <w:lang w:eastAsia="en-NZ"/>
              </w:rPr>
            </w:pPr>
            <w:r w:rsidRPr="00AD0040">
              <w:rPr>
                <w:lang w:eastAsia="en-NZ"/>
              </w:rPr>
              <w:t>18</w:t>
            </w:r>
          </w:p>
        </w:tc>
      </w:tr>
      <w:tr w:rsidR="00341FAE" w:rsidRPr="00AD0040" w14:paraId="78CF5F46" w14:textId="77777777" w:rsidTr="00443763">
        <w:tc>
          <w:tcPr>
            <w:tcW w:w="7655" w:type="dxa"/>
            <w:shd w:val="clear" w:color="auto" w:fill="D9D9D9" w:themeFill="background1" w:themeFillShade="D9"/>
          </w:tcPr>
          <w:p w14:paraId="68131197" w14:textId="77777777" w:rsidR="00341FAE" w:rsidRPr="00AD0040" w:rsidRDefault="00341FAE" w:rsidP="00443763">
            <w:pPr>
              <w:spacing w:line="240" w:lineRule="auto"/>
              <w:jc w:val="both"/>
            </w:pPr>
            <w:r w:rsidRPr="00AD0040">
              <w:t xml:space="preserve">Understanding </w:t>
            </w:r>
            <w:r>
              <w:t>the</w:t>
            </w:r>
            <w:r w:rsidRPr="00AD0040">
              <w:t xml:space="preserve"> context of gambling (e.g. wider society/cultural issues)</w:t>
            </w:r>
          </w:p>
        </w:tc>
        <w:tc>
          <w:tcPr>
            <w:tcW w:w="850" w:type="dxa"/>
            <w:shd w:val="clear" w:color="auto" w:fill="D9D9D9" w:themeFill="background1" w:themeFillShade="D9"/>
            <w:vAlign w:val="bottom"/>
          </w:tcPr>
          <w:p w14:paraId="3E96B029" w14:textId="77777777" w:rsidR="00341FAE" w:rsidRPr="00AD0040" w:rsidRDefault="00341FAE" w:rsidP="00443763">
            <w:pPr>
              <w:spacing w:line="240" w:lineRule="auto"/>
              <w:jc w:val="both"/>
              <w:rPr>
                <w:lang w:eastAsia="en-NZ"/>
              </w:rPr>
            </w:pPr>
            <w:r>
              <w:rPr>
                <w:lang w:eastAsia="en-NZ"/>
              </w:rPr>
              <w:t>3</w:t>
            </w:r>
          </w:p>
        </w:tc>
        <w:tc>
          <w:tcPr>
            <w:tcW w:w="511" w:type="dxa"/>
            <w:shd w:val="clear" w:color="auto" w:fill="D9D9D9" w:themeFill="background1" w:themeFillShade="D9"/>
            <w:vAlign w:val="bottom"/>
          </w:tcPr>
          <w:p w14:paraId="35F0FAB9" w14:textId="77777777" w:rsidR="00341FAE" w:rsidRPr="00AD0040" w:rsidRDefault="00341FAE" w:rsidP="00443763">
            <w:pPr>
              <w:spacing w:line="240" w:lineRule="auto"/>
              <w:jc w:val="both"/>
              <w:rPr>
                <w:lang w:eastAsia="en-NZ"/>
              </w:rPr>
            </w:pPr>
            <w:r>
              <w:rPr>
                <w:lang w:eastAsia="en-NZ"/>
              </w:rPr>
              <w:t>14</w:t>
            </w:r>
          </w:p>
        </w:tc>
      </w:tr>
      <w:tr w:rsidR="00341FAE" w:rsidRPr="00AD0040" w14:paraId="6AB343F8" w14:textId="77777777" w:rsidTr="00443763">
        <w:tc>
          <w:tcPr>
            <w:tcW w:w="7655" w:type="dxa"/>
          </w:tcPr>
          <w:p w14:paraId="4686F8FD" w14:textId="77777777" w:rsidR="00341FAE" w:rsidRPr="00AD0040" w:rsidRDefault="00341FAE" w:rsidP="00443763">
            <w:pPr>
              <w:spacing w:line="240" w:lineRule="auto"/>
              <w:jc w:val="both"/>
            </w:pPr>
            <w:r w:rsidRPr="00AD0040">
              <w:t>Increasing support networks in communit</w:t>
            </w:r>
            <w:r>
              <w:t>ies</w:t>
            </w:r>
          </w:p>
        </w:tc>
        <w:tc>
          <w:tcPr>
            <w:tcW w:w="850" w:type="dxa"/>
            <w:vAlign w:val="bottom"/>
          </w:tcPr>
          <w:p w14:paraId="430AE5CA" w14:textId="77777777" w:rsidR="00341FAE" w:rsidRPr="00AD0040" w:rsidRDefault="00341FAE" w:rsidP="00443763">
            <w:pPr>
              <w:spacing w:line="240" w:lineRule="auto"/>
              <w:jc w:val="both"/>
              <w:rPr>
                <w:lang w:eastAsia="en-NZ"/>
              </w:rPr>
            </w:pPr>
            <w:r>
              <w:rPr>
                <w:lang w:eastAsia="en-NZ"/>
              </w:rPr>
              <w:t>2</w:t>
            </w:r>
          </w:p>
        </w:tc>
        <w:tc>
          <w:tcPr>
            <w:tcW w:w="511" w:type="dxa"/>
            <w:vAlign w:val="bottom"/>
          </w:tcPr>
          <w:p w14:paraId="141E5518" w14:textId="77777777" w:rsidR="00341FAE" w:rsidRPr="00AD0040" w:rsidRDefault="00341FAE" w:rsidP="00443763">
            <w:pPr>
              <w:spacing w:line="240" w:lineRule="auto"/>
              <w:jc w:val="both"/>
              <w:rPr>
                <w:lang w:eastAsia="en-NZ"/>
              </w:rPr>
            </w:pPr>
            <w:r>
              <w:rPr>
                <w:lang w:eastAsia="en-NZ"/>
              </w:rPr>
              <w:t>9</w:t>
            </w:r>
          </w:p>
        </w:tc>
      </w:tr>
      <w:tr w:rsidR="00341FAE" w:rsidRPr="00AD0040" w14:paraId="220DF291" w14:textId="77777777" w:rsidTr="00443763">
        <w:tc>
          <w:tcPr>
            <w:tcW w:w="7655" w:type="dxa"/>
            <w:shd w:val="clear" w:color="auto" w:fill="D9D9D9" w:themeFill="background1" w:themeFillShade="D9"/>
          </w:tcPr>
          <w:p w14:paraId="7A438185" w14:textId="77777777" w:rsidR="00341FAE" w:rsidRPr="00AD0040" w:rsidRDefault="00341FAE" w:rsidP="00443763">
            <w:pPr>
              <w:spacing w:line="240" w:lineRule="auto"/>
              <w:jc w:val="both"/>
            </w:pPr>
            <w:r w:rsidRPr="00AD0040">
              <w:t>Determine safety of family/whānau (e.g. domestic violence, impact on children)</w:t>
            </w:r>
          </w:p>
        </w:tc>
        <w:tc>
          <w:tcPr>
            <w:tcW w:w="850" w:type="dxa"/>
            <w:shd w:val="clear" w:color="auto" w:fill="D9D9D9" w:themeFill="background1" w:themeFillShade="D9"/>
            <w:vAlign w:val="bottom"/>
          </w:tcPr>
          <w:p w14:paraId="0ACCB1E6" w14:textId="77777777" w:rsidR="00341FAE" w:rsidRPr="00AD0040" w:rsidRDefault="00341FAE" w:rsidP="00443763">
            <w:pPr>
              <w:spacing w:line="240" w:lineRule="auto"/>
              <w:jc w:val="both"/>
              <w:rPr>
                <w:lang w:eastAsia="en-NZ"/>
              </w:rPr>
            </w:pPr>
            <w:r w:rsidRPr="00AD0040">
              <w:rPr>
                <w:lang w:eastAsia="en-NZ"/>
              </w:rPr>
              <w:t>2</w:t>
            </w:r>
          </w:p>
        </w:tc>
        <w:tc>
          <w:tcPr>
            <w:tcW w:w="511" w:type="dxa"/>
            <w:shd w:val="clear" w:color="auto" w:fill="D9D9D9" w:themeFill="background1" w:themeFillShade="D9"/>
            <w:vAlign w:val="bottom"/>
          </w:tcPr>
          <w:p w14:paraId="69D16B4A" w14:textId="77777777" w:rsidR="00341FAE" w:rsidRPr="00AD0040" w:rsidRDefault="00341FAE" w:rsidP="00443763">
            <w:pPr>
              <w:spacing w:line="240" w:lineRule="auto"/>
              <w:jc w:val="both"/>
              <w:rPr>
                <w:lang w:eastAsia="en-NZ"/>
              </w:rPr>
            </w:pPr>
            <w:r w:rsidRPr="00AD0040">
              <w:rPr>
                <w:lang w:eastAsia="en-NZ"/>
              </w:rPr>
              <w:t>9</w:t>
            </w:r>
          </w:p>
        </w:tc>
      </w:tr>
      <w:tr w:rsidR="00341FAE" w:rsidRPr="00AD0040" w14:paraId="31F58651" w14:textId="77777777" w:rsidTr="00443763">
        <w:tc>
          <w:tcPr>
            <w:tcW w:w="7655" w:type="dxa"/>
          </w:tcPr>
          <w:p w14:paraId="0C1F61BF" w14:textId="77777777" w:rsidR="00341FAE" w:rsidRPr="00AD0040" w:rsidRDefault="00341FAE" w:rsidP="00443763">
            <w:pPr>
              <w:spacing w:line="240" w:lineRule="auto"/>
              <w:jc w:val="both"/>
            </w:pPr>
            <w:r w:rsidRPr="00AD0040">
              <w:t>Multiple key elements that are unique to the family/whānau</w:t>
            </w:r>
          </w:p>
        </w:tc>
        <w:tc>
          <w:tcPr>
            <w:tcW w:w="850" w:type="dxa"/>
            <w:vAlign w:val="bottom"/>
          </w:tcPr>
          <w:p w14:paraId="2AF5914A" w14:textId="77777777" w:rsidR="00341FAE" w:rsidRPr="00AD0040" w:rsidRDefault="00341FAE" w:rsidP="00443763">
            <w:pPr>
              <w:spacing w:line="240" w:lineRule="auto"/>
              <w:jc w:val="both"/>
              <w:rPr>
                <w:lang w:eastAsia="en-NZ"/>
              </w:rPr>
            </w:pPr>
            <w:r>
              <w:rPr>
                <w:lang w:eastAsia="en-NZ"/>
              </w:rPr>
              <w:t>2</w:t>
            </w:r>
          </w:p>
        </w:tc>
        <w:tc>
          <w:tcPr>
            <w:tcW w:w="511" w:type="dxa"/>
            <w:vAlign w:val="bottom"/>
          </w:tcPr>
          <w:p w14:paraId="29D38080" w14:textId="77777777" w:rsidR="00341FAE" w:rsidRPr="00AD0040" w:rsidRDefault="00341FAE" w:rsidP="00443763">
            <w:pPr>
              <w:spacing w:line="240" w:lineRule="auto"/>
              <w:jc w:val="both"/>
              <w:rPr>
                <w:lang w:eastAsia="en-NZ"/>
              </w:rPr>
            </w:pPr>
            <w:r>
              <w:rPr>
                <w:lang w:eastAsia="en-NZ"/>
              </w:rPr>
              <w:t>9</w:t>
            </w:r>
          </w:p>
        </w:tc>
      </w:tr>
      <w:tr w:rsidR="00341FAE" w:rsidRPr="00AD0040" w14:paraId="5F0CE7C3" w14:textId="77777777" w:rsidTr="00443763">
        <w:tc>
          <w:tcPr>
            <w:tcW w:w="7655" w:type="dxa"/>
            <w:shd w:val="clear" w:color="auto" w:fill="D9D9D9" w:themeFill="background1" w:themeFillShade="D9"/>
          </w:tcPr>
          <w:p w14:paraId="332EA6C5" w14:textId="77777777" w:rsidR="00341FAE" w:rsidRPr="00AD0040" w:rsidRDefault="00341FAE" w:rsidP="00443763">
            <w:pPr>
              <w:spacing w:line="240" w:lineRule="auto"/>
              <w:jc w:val="both"/>
            </w:pPr>
            <w:r w:rsidRPr="00AD0040">
              <w:t>Cultural safety / incorporating culturally appropriate procedures</w:t>
            </w:r>
          </w:p>
        </w:tc>
        <w:tc>
          <w:tcPr>
            <w:tcW w:w="850" w:type="dxa"/>
            <w:shd w:val="clear" w:color="auto" w:fill="D9D9D9" w:themeFill="background1" w:themeFillShade="D9"/>
            <w:vAlign w:val="bottom"/>
          </w:tcPr>
          <w:p w14:paraId="1FC0A923" w14:textId="77777777" w:rsidR="00341FAE" w:rsidRPr="00AD0040" w:rsidRDefault="00341FAE" w:rsidP="00443763">
            <w:pPr>
              <w:spacing w:line="240" w:lineRule="auto"/>
              <w:jc w:val="both"/>
              <w:rPr>
                <w:lang w:eastAsia="en-NZ"/>
              </w:rPr>
            </w:pPr>
            <w:r w:rsidRPr="00AD0040">
              <w:rPr>
                <w:lang w:eastAsia="en-NZ"/>
              </w:rPr>
              <w:t>1</w:t>
            </w:r>
          </w:p>
        </w:tc>
        <w:tc>
          <w:tcPr>
            <w:tcW w:w="511" w:type="dxa"/>
            <w:shd w:val="clear" w:color="auto" w:fill="D9D9D9" w:themeFill="background1" w:themeFillShade="D9"/>
            <w:vAlign w:val="bottom"/>
          </w:tcPr>
          <w:p w14:paraId="3D2567D3" w14:textId="77777777" w:rsidR="00341FAE" w:rsidRPr="00AD0040" w:rsidRDefault="00341FAE" w:rsidP="00443763">
            <w:pPr>
              <w:spacing w:line="240" w:lineRule="auto"/>
              <w:jc w:val="both"/>
              <w:rPr>
                <w:lang w:eastAsia="en-NZ"/>
              </w:rPr>
            </w:pPr>
            <w:r w:rsidRPr="00AD0040">
              <w:rPr>
                <w:lang w:eastAsia="en-NZ"/>
              </w:rPr>
              <w:t>5</w:t>
            </w:r>
          </w:p>
        </w:tc>
      </w:tr>
      <w:tr w:rsidR="00341FAE" w:rsidRPr="00AD0040" w14:paraId="61F1AE99" w14:textId="77777777" w:rsidTr="00443763">
        <w:tc>
          <w:tcPr>
            <w:tcW w:w="7655" w:type="dxa"/>
          </w:tcPr>
          <w:p w14:paraId="0D240314" w14:textId="77777777" w:rsidR="00341FAE" w:rsidRPr="00AD0040" w:rsidRDefault="00341FAE" w:rsidP="00443763">
            <w:pPr>
              <w:spacing w:line="240" w:lineRule="auto"/>
              <w:jc w:val="both"/>
            </w:pPr>
            <w:r w:rsidRPr="00AD0040">
              <w:t>Implementing strategies for relationship conflict</w:t>
            </w:r>
          </w:p>
        </w:tc>
        <w:tc>
          <w:tcPr>
            <w:tcW w:w="850" w:type="dxa"/>
            <w:vAlign w:val="bottom"/>
          </w:tcPr>
          <w:p w14:paraId="3996C492" w14:textId="77777777" w:rsidR="00341FAE" w:rsidRPr="00AD0040" w:rsidRDefault="00341FAE" w:rsidP="00443763">
            <w:pPr>
              <w:spacing w:line="240" w:lineRule="auto"/>
              <w:jc w:val="both"/>
              <w:rPr>
                <w:lang w:eastAsia="en-NZ"/>
              </w:rPr>
            </w:pPr>
            <w:r w:rsidRPr="00AD0040">
              <w:rPr>
                <w:lang w:eastAsia="en-NZ"/>
              </w:rPr>
              <w:t>1</w:t>
            </w:r>
          </w:p>
        </w:tc>
        <w:tc>
          <w:tcPr>
            <w:tcW w:w="511" w:type="dxa"/>
            <w:vAlign w:val="bottom"/>
          </w:tcPr>
          <w:p w14:paraId="67FFF89E" w14:textId="77777777" w:rsidR="00341FAE" w:rsidRPr="00AD0040" w:rsidRDefault="00341FAE" w:rsidP="00443763">
            <w:pPr>
              <w:spacing w:line="240" w:lineRule="auto"/>
              <w:jc w:val="both"/>
              <w:rPr>
                <w:lang w:eastAsia="en-NZ"/>
              </w:rPr>
            </w:pPr>
            <w:r w:rsidRPr="00AD0040">
              <w:rPr>
                <w:lang w:eastAsia="en-NZ"/>
              </w:rPr>
              <w:t>5</w:t>
            </w:r>
          </w:p>
        </w:tc>
      </w:tr>
    </w:tbl>
    <w:p w14:paraId="0FC3FE53" w14:textId="77777777" w:rsidR="00341FAE" w:rsidRPr="00AD0040" w:rsidRDefault="00341FAE" w:rsidP="00341FAE">
      <w:pPr>
        <w:spacing w:line="259" w:lineRule="auto"/>
        <w:jc w:val="both"/>
      </w:pPr>
    </w:p>
    <w:p w14:paraId="6D00685A" w14:textId="77777777" w:rsidR="00341FAE" w:rsidRDefault="00341FAE" w:rsidP="00341FAE">
      <w:pPr>
        <w:spacing w:line="259" w:lineRule="auto"/>
        <w:jc w:val="both"/>
      </w:pPr>
      <w:r w:rsidRPr="00AD0040">
        <w:t>The panel also identified a range of constraints and opportunities of this approach for service design and FAO wellbeing including:</w:t>
      </w:r>
    </w:p>
    <w:p w14:paraId="43B0395C" w14:textId="77777777" w:rsidR="00341FAE" w:rsidRPr="00AD0040" w:rsidRDefault="00341FAE" w:rsidP="00341FAE">
      <w:pPr>
        <w:spacing w:line="259" w:lineRule="auto"/>
        <w:jc w:val="both"/>
      </w:pPr>
    </w:p>
    <w:p w14:paraId="5A955137" w14:textId="77777777" w:rsidR="00341FAE" w:rsidRPr="00A83BAF" w:rsidRDefault="00341FAE" w:rsidP="00341FAE">
      <w:pPr>
        <w:rPr>
          <w:b/>
          <w:bCs/>
          <w:i/>
          <w:iCs/>
        </w:rPr>
      </w:pPr>
      <w:r w:rsidRPr="00A83BAF">
        <w:rPr>
          <w:b/>
          <w:bCs/>
          <w:i/>
          <w:iCs/>
        </w:rPr>
        <w:t>Viewing gambling harm as a relational (rather than an individual) issue</w:t>
      </w:r>
    </w:p>
    <w:p w14:paraId="2D59A02B" w14:textId="77777777" w:rsidR="00341FAE" w:rsidRPr="00AD0040" w:rsidRDefault="00341FAE" w:rsidP="00341FAE">
      <w:pPr>
        <w:spacing w:line="259" w:lineRule="auto"/>
        <w:jc w:val="both"/>
      </w:pPr>
      <w:r w:rsidRPr="00AD0040">
        <w:t>Participants reported that a focus on the family and relationships allowed exploration of and support for the relational context for gambling harm and recovery: couple, family, culture and community. However, the possibilities of this approach for conceptualising support beyond individuals was limited by an emphasis in research and service design on individual outcomes and ‘couples therapies’.</w:t>
      </w:r>
      <w:r>
        <w:t xml:space="preserve"> </w:t>
      </w:r>
      <w:bookmarkStart w:id="213" w:name="_Hlk51593888"/>
      <w:r w:rsidRPr="008B3D45">
        <w:t>Three participants noted that family systems approaches have been shown to have a powerful effect on substance use and harm, yet were rarely enacted in the gambling services. These participants advocated for gambling workforce development in family systems work, alongside pilot projects and evaluation strategies.</w:t>
      </w:r>
      <w:r>
        <w:t xml:space="preserve"> </w:t>
      </w:r>
      <w:bookmarkEnd w:id="213"/>
    </w:p>
    <w:p w14:paraId="62626EC1" w14:textId="77777777" w:rsidR="00341FAE" w:rsidRDefault="00341FAE" w:rsidP="00341FAE"/>
    <w:p w14:paraId="753FD9D9" w14:textId="77777777" w:rsidR="00341FAE" w:rsidRPr="00A83BAF" w:rsidRDefault="00341FAE" w:rsidP="00341FAE">
      <w:pPr>
        <w:rPr>
          <w:b/>
          <w:bCs/>
          <w:i/>
          <w:iCs/>
        </w:rPr>
      </w:pPr>
      <w:r w:rsidRPr="00A83BAF">
        <w:rPr>
          <w:b/>
          <w:bCs/>
          <w:i/>
          <w:iCs/>
        </w:rPr>
        <w:t>Family relationships are built and maintained through social and cultural contexts</w:t>
      </w:r>
    </w:p>
    <w:p w14:paraId="2D953DB7" w14:textId="77777777" w:rsidR="00341FAE" w:rsidRPr="00AD0040" w:rsidRDefault="00341FAE" w:rsidP="00341FAE">
      <w:pPr>
        <w:spacing w:line="259" w:lineRule="auto"/>
        <w:jc w:val="both"/>
      </w:pPr>
      <w:r w:rsidRPr="00AD0040">
        <w:lastRenderedPageBreak/>
        <w:t>In general, this approach was considered appropriate for use with diverse communities, to the extent that social and cultural factors are taken into consideration. The design and delivery of the specific service utilising this approach would differ depending on the needs of the community served. For example, it was reported that Western models of family functioning can overemphasise ‘independence’ and ‘individual behaviour and self-expression’. Awareness of how cultural norms and power dynamics play out within Māori</w:t>
      </w:r>
      <w:r>
        <w:t xml:space="preserve">, Pacific and Asian </w:t>
      </w:r>
      <w:r w:rsidRPr="00AD0040">
        <w:t>families</w:t>
      </w:r>
      <w:r>
        <w:t xml:space="preserve"> </w:t>
      </w:r>
      <w:r w:rsidRPr="00AD0040">
        <w:t xml:space="preserve">and communities was held to be underdeveloped in </w:t>
      </w:r>
      <w:r>
        <w:t xml:space="preserve">some </w:t>
      </w:r>
      <w:r w:rsidRPr="00AD0040">
        <w:t xml:space="preserve">services. </w:t>
      </w:r>
      <w:r>
        <w:t>R</w:t>
      </w:r>
      <w:r w:rsidRPr="00AD0040">
        <w:t>esponding to social and cultural dynamics require</w:t>
      </w:r>
      <w:r>
        <w:t>d</w:t>
      </w:r>
      <w:r w:rsidRPr="00AD0040">
        <w:t xml:space="preserve"> </w:t>
      </w:r>
      <w:r>
        <w:t xml:space="preserve">that </w:t>
      </w:r>
      <w:r w:rsidRPr="00AD0040">
        <w:t>a safe space and culturally responsive ways of working</w:t>
      </w:r>
      <w:r>
        <w:t xml:space="preserve"> were available to families</w:t>
      </w:r>
      <w:r w:rsidRPr="00AD0040">
        <w:t xml:space="preserve">; for example, five participants mentioned that kaupapa Māori or Māori-focused approaches </w:t>
      </w:r>
      <w:r>
        <w:t>should be available and accessible to</w:t>
      </w:r>
      <w:r w:rsidRPr="00AD0040">
        <w:t xml:space="preserve"> Māori whānau. </w:t>
      </w:r>
    </w:p>
    <w:p w14:paraId="516D4DE7" w14:textId="77777777" w:rsidR="00341FAE" w:rsidRPr="00AD0040" w:rsidRDefault="00341FAE" w:rsidP="00341FAE">
      <w:pPr>
        <w:spacing w:line="259" w:lineRule="auto"/>
        <w:jc w:val="both"/>
      </w:pPr>
    </w:p>
    <w:p w14:paraId="69526823" w14:textId="77777777" w:rsidR="00341FAE" w:rsidRPr="006D461F" w:rsidRDefault="00341FAE" w:rsidP="00341FAE">
      <w:pPr>
        <w:rPr>
          <w:b/>
          <w:bCs/>
          <w:lang w:eastAsia="en-NZ"/>
        </w:rPr>
      </w:pPr>
      <w:r w:rsidRPr="006D461F">
        <w:rPr>
          <w:b/>
          <w:bCs/>
          <w:lang w:eastAsia="en-NZ"/>
        </w:rPr>
        <w:t>Engaging FAOs and communities to develop gambling harm reduction techniques.</w:t>
      </w:r>
    </w:p>
    <w:p w14:paraId="19720306" w14:textId="7E1484C3" w:rsidR="00341FAE" w:rsidRPr="00AD0040" w:rsidRDefault="00341FAE" w:rsidP="00341FAE">
      <w:pPr>
        <w:spacing w:line="259" w:lineRule="auto"/>
        <w:jc w:val="both"/>
      </w:pPr>
      <w:r w:rsidRPr="00AD0040">
        <w:t>Panel members were asked to consider the key elements of interventions that effectively engage FAOs and communities to develop gambling harm reduction techniques</w:t>
      </w:r>
      <w:r>
        <w:t xml:space="preserve">. </w:t>
      </w:r>
      <w:r w:rsidRPr="00AD0040">
        <w:t>These included resourcing families and communities to participate in community activism</w:t>
      </w:r>
      <w:r>
        <w:t>/action</w:t>
      </w:r>
      <w:r w:rsidRPr="00AD0040">
        <w:t xml:space="preserve">, policy and service development, and supported sharing of lived experiences to reduce stigma. A role for families within services as mental health support workers and consumer advisors was also mentioned. </w:t>
      </w:r>
    </w:p>
    <w:p w14:paraId="45EABDC5" w14:textId="77777777" w:rsidR="00341FAE" w:rsidRPr="00AD0040" w:rsidRDefault="00341FAE" w:rsidP="00341FAE">
      <w:pPr>
        <w:spacing w:line="259" w:lineRule="auto"/>
        <w:jc w:val="both"/>
      </w:pPr>
    </w:p>
    <w:p w14:paraId="597EF812" w14:textId="77777777" w:rsidR="00341FAE" w:rsidRPr="00AD0040" w:rsidRDefault="00341FAE" w:rsidP="00341FAE">
      <w:pPr>
        <w:spacing w:line="240" w:lineRule="auto"/>
        <w:jc w:val="both"/>
        <w:rPr>
          <w:b/>
          <w:bCs/>
          <w:sz w:val="22"/>
          <w:szCs w:val="22"/>
        </w:rPr>
      </w:pPr>
      <w:bookmarkStart w:id="214" w:name="_Toc51240661"/>
      <w:r>
        <w:rPr>
          <w:b/>
          <w:bCs/>
          <w:sz w:val="22"/>
          <w:szCs w:val="22"/>
        </w:rPr>
        <w:t>Table 16</w:t>
      </w:r>
      <w:r w:rsidRPr="00AD0040">
        <w:rPr>
          <w:b/>
          <w:bCs/>
          <w:sz w:val="22"/>
          <w:szCs w:val="22"/>
        </w:rPr>
        <w:t>: Key elements of effective interventions to support FAOs and communities to develop gambling harm reduction techniques</w:t>
      </w:r>
      <w:bookmarkEnd w:id="214"/>
    </w:p>
    <w:tbl>
      <w:tblPr>
        <w:tblStyle w:val="TableGrid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51"/>
        <w:gridCol w:w="799"/>
      </w:tblGrid>
      <w:tr w:rsidR="00341FAE" w:rsidRPr="00AD0040" w14:paraId="29777D09" w14:textId="77777777" w:rsidTr="00443763">
        <w:tc>
          <w:tcPr>
            <w:tcW w:w="7366" w:type="dxa"/>
            <w:tcBorders>
              <w:top w:val="single" w:sz="4" w:space="0" w:color="auto"/>
              <w:bottom w:val="single" w:sz="4" w:space="0" w:color="auto"/>
            </w:tcBorders>
          </w:tcPr>
          <w:p w14:paraId="76FFABA5" w14:textId="77777777" w:rsidR="00341FAE" w:rsidRPr="00AD0040" w:rsidRDefault="00341FAE" w:rsidP="00443763">
            <w:pPr>
              <w:spacing w:line="240" w:lineRule="auto"/>
              <w:jc w:val="both"/>
            </w:pPr>
            <w:r w:rsidRPr="00AD0040">
              <w:t>Key elements (coded qualitative responses)</w:t>
            </w:r>
          </w:p>
        </w:tc>
        <w:tc>
          <w:tcPr>
            <w:tcW w:w="851" w:type="dxa"/>
            <w:tcBorders>
              <w:top w:val="single" w:sz="4" w:space="0" w:color="auto"/>
              <w:bottom w:val="single" w:sz="4" w:space="0" w:color="auto"/>
            </w:tcBorders>
            <w:vAlign w:val="bottom"/>
          </w:tcPr>
          <w:p w14:paraId="4968C25E" w14:textId="77777777" w:rsidR="00341FAE" w:rsidRPr="00AD0040" w:rsidRDefault="00341FAE" w:rsidP="00443763">
            <w:pPr>
              <w:spacing w:line="240" w:lineRule="auto"/>
              <w:jc w:val="both"/>
              <w:rPr>
                <w:i/>
                <w:lang w:eastAsia="en-NZ"/>
              </w:rPr>
            </w:pPr>
            <w:r w:rsidRPr="00AD0040">
              <w:rPr>
                <w:i/>
                <w:lang w:eastAsia="en-NZ"/>
              </w:rPr>
              <w:t xml:space="preserve">n </w:t>
            </w:r>
            <w:r w:rsidRPr="00AD0040">
              <w:rPr>
                <w:lang w:eastAsia="en-NZ"/>
              </w:rPr>
              <w:t>= 18</w:t>
            </w:r>
          </w:p>
        </w:tc>
        <w:tc>
          <w:tcPr>
            <w:tcW w:w="799" w:type="dxa"/>
            <w:tcBorders>
              <w:top w:val="single" w:sz="4" w:space="0" w:color="auto"/>
              <w:bottom w:val="single" w:sz="4" w:space="0" w:color="auto"/>
            </w:tcBorders>
            <w:vAlign w:val="bottom"/>
          </w:tcPr>
          <w:p w14:paraId="52F55981" w14:textId="77777777" w:rsidR="00341FAE" w:rsidRPr="00AD0040" w:rsidRDefault="00341FAE" w:rsidP="00443763">
            <w:pPr>
              <w:spacing w:line="240" w:lineRule="auto"/>
              <w:jc w:val="both"/>
              <w:rPr>
                <w:lang w:eastAsia="en-NZ"/>
              </w:rPr>
            </w:pPr>
            <w:r w:rsidRPr="00AD0040">
              <w:rPr>
                <w:lang w:eastAsia="en-NZ"/>
              </w:rPr>
              <w:t>%</w:t>
            </w:r>
          </w:p>
        </w:tc>
      </w:tr>
      <w:tr w:rsidR="00341FAE" w:rsidRPr="00AD0040" w14:paraId="737960CF" w14:textId="77777777" w:rsidTr="00443763">
        <w:tc>
          <w:tcPr>
            <w:tcW w:w="7366" w:type="dxa"/>
            <w:tcBorders>
              <w:top w:val="single" w:sz="4" w:space="0" w:color="auto"/>
            </w:tcBorders>
            <w:shd w:val="clear" w:color="auto" w:fill="D9D9D9" w:themeFill="background1" w:themeFillShade="D9"/>
          </w:tcPr>
          <w:p w14:paraId="68048D92" w14:textId="77777777" w:rsidR="00341FAE" w:rsidRPr="00AD0040" w:rsidRDefault="00341FAE" w:rsidP="00443763">
            <w:pPr>
              <w:spacing w:line="240" w:lineRule="auto"/>
              <w:jc w:val="both"/>
            </w:pPr>
            <w:r w:rsidRPr="00AD0040">
              <w:t xml:space="preserve">Providing families and communities with resources to get involved with community activism / policy  </w:t>
            </w:r>
          </w:p>
        </w:tc>
        <w:tc>
          <w:tcPr>
            <w:tcW w:w="851" w:type="dxa"/>
            <w:tcBorders>
              <w:top w:val="single" w:sz="4" w:space="0" w:color="auto"/>
            </w:tcBorders>
            <w:shd w:val="clear" w:color="auto" w:fill="D9D9D9" w:themeFill="background1" w:themeFillShade="D9"/>
            <w:vAlign w:val="bottom"/>
          </w:tcPr>
          <w:p w14:paraId="11B808F0" w14:textId="77777777" w:rsidR="00341FAE" w:rsidRPr="00AD0040" w:rsidRDefault="00341FAE" w:rsidP="00443763">
            <w:pPr>
              <w:spacing w:line="240" w:lineRule="auto"/>
              <w:jc w:val="both"/>
              <w:rPr>
                <w:lang w:eastAsia="en-NZ"/>
              </w:rPr>
            </w:pPr>
            <w:r w:rsidRPr="00AD0040">
              <w:rPr>
                <w:lang w:eastAsia="en-NZ"/>
              </w:rPr>
              <w:t>7</w:t>
            </w:r>
          </w:p>
        </w:tc>
        <w:tc>
          <w:tcPr>
            <w:tcW w:w="799" w:type="dxa"/>
            <w:tcBorders>
              <w:top w:val="single" w:sz="4" w:space="0" w:color="auto"/>
            </w:tcBorders>
            <w:shd w:val="clear" w:color="auto" w:fill="D9D9D9" w:themeFill="background1" w:themeFillShade="D9"/>
            <w:vAlign w:val="bottom"/>
          </w:tcPr>
          <w:p w14:paraId="5C3B8C11" w14:textId="77777777" w:rsidR="00341FAE" w:rsidRPr="00AD0040" w:rsidRDefault="00341FAE" w:rsidP="00443763">
            <w:pPr>
              <w:spacing w:line="240" w:lineRule="auto"/>
              <w:jc w:val="both"/>
              <w:rPr>
                <w:lang w:eastAsia="en-NZ"/>
              </w:rPr>
            </w:pPr>
            <w:r w:rsidRPr="00AD0040">
              <w:rPr>
                <w:lang w:eastAsia="en-NZ"/>
              </w:rPr>
              <w:t>41</w:t>
            </w:r>
          </w:p>
        </w:tc>
      </w:tr>
      <w:tr w:rsidR="00341FAE" w:rsidRPr="00AD0040" w14:paraId="64E2FE82" w14:textId="77777777" w:rsidTr="00443763">
        <w:tc>
          <w:tcPr>
            <w:tcW w:w="7366" w:type="dxa"/>
          </w:tcPr>
          <w:p w14:paraId="1283CFFA" w14:textId="77777777" w:rsidR="00341FAE" w:rsidRPr="00AD0040" w:rsidRDefault="00341FAE" w:rsidP="00443763">
            <w:pPr>
              <w:spacing w:line="240" w:lineRule="auto"/>
              <w:jc w:val="both"/>
            </w:pPr>
            <w:r w:rsidRPr="00AD0040">
              <w:t>Respectful consultation and joint participation/collaboration with communities</w:t>
            </w:r>
          </w:p>
        </w:tc>
        <w:tc>
          <w:tcPr>
            <w:tcW w:w="851" w:type="dxa"/>
            <w:vAlign w:val="bottom"/>
          </w:tcPr>
          <w:p w14:paraId="65CE5726" w14:textId="77777777" w:rsidR="00341FAE" w:rsidRPr="00AD0040" w:rsidRDefault="00341FAE" w:rsidP="00443763">
            <w:pPr>
              <w:spacing w:line="240" w:lineRule="auto"/>
              <w:jc w:val="both"/>
              <w:rPr>
                <w:lang w:eastAsia="en-NZ"/>
              </w:rPr>
            </w:pPr>
            <w:r w:rsidRPr="00AD0040">
              <w:rPr>
                <w:lang w:eastAsia="en-NZ"/>
              </w:rPr>
              <w:t>7</w:t>
            </w:r>
          </w:p>
        </w:tc>
        <w:tc>
          <w:tcPr>
            <w:tcW w:w="799" w:type="dxa"/>
            <w:vAlign w:val="bottom"/>
          </w:tcPr>
          <w:p w14:paraId="37F248E3" w14:textId="77777777" w:rsidR="00341FAE" w:rsidRPr="00AD0040" w:rsidRDefault="00341FAE" w:rsidP="00443763">
            <w:pPr>
              <w:spacing w:line="240" w:lineRule="auto"/>
              <w:jc w:val="both"/>
              <w:rPr>
                <w:lang w:eastAsia="en-NZ"/>
              </w:rPr>
            </w:pPr>
            <w:r w:rsidRPr="00AD0040">
              <w:rPr>
                <w:lang w:eastAsia="en-NZ"/>
              </w:rPr>
              <w:t>41</w:t>
            </w:r>
          </w:p>
        </w:tc>
      </w:tr>
      <w:tr w:rsidR="00341FAE" w:rsidRPr="00AD0040" w14:paraId="64A137DF" w14:textId="77777777" w:rsidTr="00443763">
        <w:tc>
          <w:tcPr>
            <w:tcW w:w="7366" w:type="dxa"/>
            <w:shd w:val="clear" w:color="auto" w:fill="D9D9D9" w:themeFill="background1" w:themeFillShade="D9"/>
          </w:tcPr>
          <w:p w14:paraId="734ABD74" w14:textId="77777777" w:rsidR="00341FAE" w:rsidRPr="00AD0040" w:rsidRDefault="00341FAE" w:rsidP="00443763">
            <w:pPr>
              <w:spacing w:line="240" w:lineRule="auto"/>
              <w:jc w:val="both"/>
            </w:pPr>
            <w:r w:rsidRPr="00AD0040">
              <w:t>Lived experience to enhance community awareness / reduce stigma</w:t>
            </w:r>
          </w:p>
        </w:tc>
        <w:tc>
          <w:tcPr>
            <w:tcW w:w="851" w:type="dxa"/>
            <w:shd w:val="clear" w:color="auto" w:fill="D9D9D9" w:themeFill="background1" w:themeFillShade="D9"/>
            <w:vAlign w:val="bottom"/>
          </w:tcPr>
          <w:p w14:paraId="1553117D" w14:textId="77777777" w:rsidR="00341FAE" w:rsidRPr="00AD0040" w:rsidRDefault="00341FAE" w:rsidP="00443763">
            <w:pPr>
              <w:spacing w:line="240" w:lineRule="auto"/>
              <w:jc w:val="both"/>
              <w:rPr>
                <w:lang w:eastAsia="en-NZ"/>
              </w:rPr>
            </w:pPr>
            <w:r w:rsidRPr="00AD0040">
              <w:rPr>
                <w:lang w:eastAsia="en-NZ"/>
              </w:rPr>
              <w:t>6</w:t>
            </w:r>
          </w:p>
        </w:tc>
        <w:tc>
          <w:tcPr>
            <w:tcW w:w="799" w:type="dxa"/>
            <w:shd w:val="clear" w:color="auto" w:fill="D9D9D9" w:themeFill="background1" w:themeFillShade="D9"/>
            <w:vAlign w:val="bottom"/>
          </w:tcPr>
          <w:p w14:paraId="2ED2B61D" w14:textId="77777777" w:rsidR="00341FAE" w:rsidRPr="00AD0040" w:rsidRDefault="00341FAE" w:rsidP="00443763">
            <w:pPr>
              <w:spacing w:line="240" w:lineRule="auto"/>
              <w:jc w:val="both"/>
              <w:rPr>
                <w:lang w:eastAsia="en-NZ"/>
              </w:rPr>
            </w:pPr>
            <w:r w:rsidRPr="00AD0040">
              <w:rPr>
                <w:lang w:eastAsia="en-NZ"/>
              </w:rPr>
              <w:t>25</w:t>
            </w:r>
          </w:p>
        </w:tc>
      </w:tr>
      <w:tr w:rsidR="00341FAE" w:rsidRPr="00AD0040" w14:paraId="73EA737C" w14:textId="77777777" w:rsidTr="00443763">
        <w:tc>
          <w:tcPr>
            <w:tcW w:w="7366" w:type="dxa"/>
          </w:tcPr>
          <w:p w14:paraId="17E94ED7" w14:textId="77777777" w:rsidR="00341FAE" w:rsidRPr="00AD0040" w:rsidRDefault="00341FAE" w:rsidP="00443763">
            <w:pPr>
              <w:spacing w:line="240" w:lineRule="auto"/>
              <w:jc w:val="both"/>
            </w:pPr>
            <w:r w:rsidRPr="00AD0040">
              <w:t>Support and training for FAO to ensure they have a voice and can safely share their experience (e.g. ensure safety, clarity about process, ability to withdraw)</w:t>
            </w:r>
          </w:p>
        </w:tc>
        <w:tc>
          <w:tcPr>
            <w:tcW w:w="851" w:type="dxa"/>
            <w:vAlign w:val="bottom"/>
          </w:tcPr>
          <w:p w14:paraId="6C824600" w14:textId="77777777" w:rsidR="00341FAE" w:rsidRPr="00AD0040" w:rsidRDefault="00341FAE" w:rsidP="00443763">
            <w:pPr>
              <w:spacing w:line="240" w:lineRule="auto"/>
              <w:jc w:val="both"/>
              <w:rPr>
                <w:lang w:eastAsia="en-NZ"/>
              </w:rPr>
            </w:pPr>
            <w:r w:rsidRPr="00AD0040">
              <w:rPr>
                <w:lang w:eastAsia="en-NZ"/>
              </w:rPr>
              <w:t>5</w:t>
            </w:r>
          </w:p>
        </w:tc>
        <w:tc>
          <w:tcPr>
            <w:tcW w:w="799" w:type="dxa"/>
            <w:vAlign w:val="bottom"/>
          </w:tcPr>
          <w:p w14:paraId="5CC45B2B" w14:textId="77777777" w:rsidR="00341FAE" w:rsidRPr="00AD0040" w:rsidRDefault="00341FAE" w:rsidP="00443763">
            <w:pPr>
              <w:spacing w:line="240" w:lineRule="auto"/>
              <w:jc w:val="both"/>
              <w:rPr>
                <w:lang w:eastAsia="en-NZ"/>
              </w:rPr>
            </w:pPr>
            <w:r w:rsidRPr="00AD0040">
              <w:rPr>
                <w:lang w:eastAsia="en-NZ"/>
              </w:rPr>
              <w:t>29</w:t>
            </w:r>
          </w:p>
        </w:tc>
      </w:tr>
      <w:tr w:rsidR="00341FAE" w:rsidRPr="00AD0040" w14:paraId="4CA6A047" w14:textId="77777777" w:rsidTr="00443763">
        <w:tc>
          <w:tcPr>
            <w:tcW w:w="7366" w:type="dxa"/>
            <w:shd w:val="clear" w:color="auto" w:fill="D9D9D9" w:themeFill="background1" w:themeFillShade="D9"/>
          </w:tcPr>
          <w:p w14:paraId="045D4759" w14:textId="77777777" w:rsidR="00341FAE" w:rsidRPr="00AD0040" w:rsidRDefault="00341FAE" w:rsidP="00443763">
            <w:pPr>
              <w:spacing w:line="240" w:lineRule="auto"/>
              <w:jc w:val="both"/>
            </w:pPr>
            <w:r w:rsidRPr="00AD0040">
              <w:t>Other (e.g. unsure)</w:t>
            </w:r>
          </w:p>
        </w:tc>
        <w:tc>
          <w:tcPr>
            <w:tcW w:w="851" w:type="dxa"/>
            <w:shd w:val="clear" w:color="auto" w:fill="D9D9D9" w:themeFill="background1" w:themeFillShade="D9"/>
            <w:vAlign w:val="bottom"/>
          </w:tcPr>
          <w:p w14:paraId="0986D902" w14:textId="77777777" w:rsidR="00341FAE" w:rsidRPr="00AD0040" w:rsidRDefault="00341FAE" w:rsidP="00443763">
            <w:pPr>
              <w:spacing w:line="240" w:lineRule="auto"/>
              <w:jc w:val="both"/>
              <w:rPr>
                <w:lang w:eastAsia="en-NZ"/>
              </w:rPr>
            </w:pPr>
            <w:r w:rsidRPr="00AD0040">
              <w:rPr>
                <w:lang w:eastAsia="en-NZ"/>
              </w:rPr>
              <w:t>3</w:t>
            </w:r>
          </w:p>
        </w:tc>
        <w:tc>
          <w:tcPr>
            <w:tcW w:w="799" w:type="dxa"/>
            <w:shd w:val="clear" w:color="auto" w:fill="D9D9D9" w:themeFill="background1" w:themeFillShade="D9"/>
            <w:vAlign w:val="bottom"/>
          </w:tcPr>
          <w:p w14:paraId="153FD3A2" w14:textId="77777777" w:rsidR="00341FAE" w:rsidRPr="00AD0040" w:rsidRDefault="00341FAE" w:rsidP="00443763">
            <w:pPr>
              <w:spacing w:line="240" w:lineRule="auto"/>
              <w:jc w:val="both"/>
              <w:rPr>
                <w:lang w:eastAsia="en-NZ"/>
              </w:rPr>
            </w:pPr>
            <w:r w:rsidRPr="00AD0040">
              <w:rPr>
                <w:lang w:eastAsia="en-NZ"/>
              </w:rPr>
              <w:t>18</w:t>
            </w:r>
          </w:p>
        </w:tc>
      </w:tr>
      <w:tr w:rsidR="00341FAE" w:rsidRPr="00AD0040" w14:paraId="16FB091D" w14:textId="77777777" w:rsidTr="00443763">
        <w:tc>
          <w:tcPr>
            <w:tcW w:w="7366" w:type="dxa"/>
          </w:tcPr>
          <w:p w14:paraId="2F5FA700" w14:textId="77777777" w:rsidR="00341FAE" w:rsidRPr="00AD0040" w:rsidRDefault="00341FAE" w:rsidP="00443763">
            <w:pPr>
              <w:spacing w:line="240" w:lineRule="auto"/>
              <w:jc w:val="both"/>
            </w:pPr>
            <w:r w:rsidRPr="00AD0040">
              <w:t xml:space="preserve">Public health training (gambling and addictions) for staff in other sectors </w:t>
            </w:r>
          </w:p>
        </w:tc>
        <w:tc>
          <w:tcPr>
            <w:tcW w:w="851" w:type="dxa"/>
            <w:vAlign w:val="bottom"/>
          </w:tcPr>
          <w:p w14:paraId="0396715D" w14:textId="77777777" w:rsidR="00341FAE" w:rsidRPr="00AD0040" w:rsidRDefault="00341FAE" w:rsidP="00443763">
            <w:pPr>
              <w:spacing w:line="240" w:lineRule="auto"/>
              <w:jc w:val="both"/>
              <w:rPr>
                <w:lang w:eastAsia="en-NZ"/>
              </w:rPr>
            </w:pPr>
            <w:r w:rsidRPr="00AD0040">
              <w:rPr>
                <w:lang w:eastAsia="en-NZ"/>
              </w:rPr>
              <w:t>2</w:t>
            </w:r>
          </w:p>
        </w:tc>
        <w:tc>
          <w:tcPr>
            <w:tcW w:w="799" w:type="dxa"/>
            <w:vAlign w:val="bottom"/>
          </w:tcPr>
          <w:p w14:paraId="3D879F67" w14:textId="77777777" w:rsidR="00341FAE" w:rsidRPr="00AD0040" w:rsidRDefault="00341FAE" w:rsidP="00443763">
            <w:pPr>
              <w:spacing w:line="240" w:lineRule="auto"/>
              <w:jc w:val="both"/>
              <w:rPr>
                <w:lang w:eastAsia="en-NZ"/>
              </w:rPr>
            </w:pPr>
            <w:r w:rsidRPr="00AD0040">
              <w:rPr>
                <w:lang w:eastAsia="en-NZ"/>
              </w:rPr>
              <w:t>12</w:t>
            </w:r>
          </w:p>
        </w:tc>
      </w:tr>
      <w:tr w:rsidR="00341FAE" w:rsidRPr="00AD0040" w14:paraId="28148916" w14:textId="77777777" w:rsidTr="00443763">
        <w:tc>
          <w:tcPr>
            <w:tcW w:w="7366" w:type="dxa"/>
            <w:shd w:val="clear" w:color="auto" w:fill="D9D9D9" w:themeFill="background1" w:themeFillShade="D9"/>
          </w:tcPr>
          <w:p w14:paraId="37995715" w14:textId="77777777" w:rsidR="00341FAE" w:rsidRPr="00AD0040" w:rsidRDefault="00341FAE" w:rsidP="00443763">
            <w:pPr>
              <w:spacing w:line="240" w:lineRule="auto"/>
              <w:jc w:val="both"/>
            </w:pPr>
            <w:r w:rsidRPr="00AD0040">
              <w:t>Consumer advisors and peer support workers employed by service</w:t>
            </w:r>
          </w:p>
        </w:tc>
        <w:tc>
          <w:tcPr>
            <w:tcW w:w="851" w:type="dxa"/>
            <w:shd w:val="clear" w:color="auto" w:fill="D9D9D9" w:themeFill="background1" w:themeFillShade="D9"/>
            <w:vAlign w:val="bottom"/>
          </w:tcPr>
          <w:p w14:paraId="10AE874A" w14:textId="77777777" w:rsidR="00341FAE" w:rsidRPr="00AD0040" w:rsidRDefault="00341FAE" w:rsidP="00443763">
            <w:pPr>
              <w:spacing w:line="240" w:lineRule="auto"/>
              <w:jc w:val="both"/>
              <w:rPr>
                <w:lang w:eastAsia="en-NZ"/>
              </w:rPr>
            </w:pPr>
            <w:r w:rsidRPr="00AD0040">
              <w:rPr>
                <w:lang w:eastAsia="en-NZ"/>
              </w:rPr>
              <w:t>2</w:t>
            </w:r>
          </w:p>
        </w:tc>
        <w:tc>
          <w:tcPr>
            <w:tcW w:w="799" w:type="dxa"/>
            <w:shd w:val="clear" w:color="auto" w:fill="D9D9D9" w:themeFill="background1" w:themeFillShade="D9"/>
            <w:vAlign w:val="bottom"/>
          </w:tcPr>
          <w:p w14:paraId="1288E060" w14:textId="77777777" w:rsidR="00341FAE" w:rsidRPr="00AD0040" w:rsidRDefault="00341FAE" w:rsidP="00443763">
            <w:pPr>
              <w:spacing w:line="240" w:lineRule="auto"/>
              <w:jc w:val="both"/>
              <w:rPr>
                <w:lang w:eastAsia="en-NZ"/>
              </w:rPr>
            </w:pPr>
            <w:r w:rsidRPr="00AD0040">
              <w:rPr>
                <w:lang w:eastAsia="en-NZ"/>
              </w:rPr>
              <w:t>12</w:t>
            </w:r>
          </w:p>
        </w:tc>
      </w:tr>
      <w:tr w:rsidR="00341FAE" w:rsidRPr="00AD0040" w14:paraId="75F9766C" w14:textId="77777777" w:rsidTr="00443763">
        <w:tc>
          <w:tcPr>
            <w:tcW w:w="7366" w:type="dxa"/>
          </w:tcPr>
          <w:p w14:paraId="36DBCC09" w14:textId="77777777" w:rsidR="00341FAE" w:rsidRPr="00AD0040" w:rsidRDefault="00341FAE" w:rsidP="00443763">
            <w:pPr>
              <w:spacing w:line="240" w:lineRule="auto"/>
              <w:jc w:val="both"/>
            </w:pPr>
            <w:r w:rsidRPr="00AD0040">
              <w:t>Prior therapeutic work for FAOs to address acute harms</w:t>
            </w:r>
          </w:p>
        </w:tc>
        <w:tc>
          <w:tcPr>
            <w:tcW w:w="851" w:type="dxa"/>
            <w:vAlign w:val="bottom"/>
          </w:tcPr>
          <w:p w14:paraId="292F5435" w14:textId="77777777" w:rsidR="00341FAE" w:rsidRPr="00AD0040" w:rsidRDefault="00341FAE" w:rsidP="00443763">
            <w:pPr>
              <w:spacing w:line="240" w:lineRule="auto"/>
              <w:jc w:val="both"/>
              <w:rPr>
                <w:lang w:eastAsia="en-NZ"/>
              </w:rPr>
            </w:pPr>
            <w:r w:rsidRPr="00AD0040">
              <w:rPr>
                <w:lang w:eastAsia="en-NZ"/>
              </w:rPr>
              <w:t>1</w:t>
            </w:r>
          </w:p>
        </w:tc>
        <w:tc>
          <w:tcPr>
            <w:tcW w:w="799" w:type="dxa"/>
            <w:vAlign w:val="bottom"/>
          </w:tcPr>
          <w:p w14:paraId="17BE2E0D" w14:textId="77777777" w:rsidR="00341FAE" w:rsidRPr="00AD0040" w:rsidRDefault="00341FAE" w:rsidP="00443763">
            <w:pPr>
              <w:spacing w:line="240" w:lineRule="auto"/>
              <w:jc w:val="both"/>
              <w:rPr>
                <w:lang w:eastAsia="en-NZ"/>
              </w:rPr>
            </w:pPr>
            <w:r w:rsidRPr="00AD0040">
              <w:rPr>
                <w:lang w:eastAsia="en-NZ"/>
              </w:rPr>
              <w:t>6</w:t>
            </w:r>
          </w:p>
        </w:tc>
      </w:tr>
      <w:tr w:rsidR="00341FAE" w:rsidRPr="00AD0040" w14:paraId="3CCA6C5B" w14:textId="77777777" w:rsidTr="00443763">
        <w:tc>
          <w:tcPr>
            <w:tcW w:w="7366" w:type="dxa"/>
            <w:shd w:val="clear" w:color="auto" w:fill="D9D9D9" w:themeFill="background1" w:themeFillShade="D9"/>
          </w:tcPr>
          <w:p w14:paraId="7E40F4EF" w14:textId="77777777" w:rsidR="00341FAE" w:rsidRPr="00AD0040" w:rsidRDefault="00341FAE" w:rsidP="00443763">
            <w:pPr>
              <w:spacing w:line="240" w:lineRule="auto"/>
              <w:jc w:val="both"/>
            </w:pPr>
            <w:r w:rsidRPr="00AD0040">
              <w:t>Having a long-term service plan/strategy around ‘lived experience’</w:t>
            </w:r>
          </w:p>
        </w:tc>
        <w:tc>
          <w:tcPr>
            <w:tcW w:w="851" w:type="dxa"/>
            <w:shd w:val="clear" w:color="auto" w:fill="D9D9D9" w:themeFill="background1" w:themeFillShade="D9"/>
            <w:vAlign w:val="bottom"/>
          </w:tcPr>
          <w:p w14:paraId="1D015DA7" w14:textId="77777777" w:rsidR="00341FAE" w:rsidRPr="00AD0040" w:rsidRDefault="00341FAE" w:rsidP="00443763">
            <w:pPr>
              <w:spacing w:line="240" w:lineRule="auto"/>
              <w:jc w:val="both"/>
              <w:rPr>
                <w:lang w:eastAsia="en-NZ"/>
              </w:rPr>
            </w:pPr>
            <w:r w:rsidRPr="00AD0040">
              <w:rPr>
                <w:lang w:eastAsia="en-NZ"/>
              </w:rPr>
              <w:t>1</w:t>
            </w:r>
          </w:p>
        </w:tc>
        <w:tc>
          <w:tcPr>
            <w:tcW w:w="799" w:type="dxa"/>
            <w:shd w:val="clear" w:color="auto" w:fill="D9D9D9" w:themeFill="background1" w:themeFillShade="D9"/>
            <w:vAlign w:val="bottom"/>
          </w:tcPr>
          <w:p w14:paraId="587287A3" w14:textId="77777777" w:rsidR="00341FAE" w:rsidRPr="00AD0040" w:rsidRDefault="00341FAE" w:rsidP="00443763">
            <w:pPr>
              <w:spacing w:line="240" w:lineRule="auto"/>
              <w:jc w:val="both"/>
              <w:rPr>
                <w:lang w:eastAsia="en-NZ"/>
              </w:rPr>
            </w:pPr>
            <w:r w:rsidRPr="00AD0040">
              <w:rPr>
                <w:lang w:eastAsia="en-NZ"/>
              </w:rPr>
              <w:t>6</w:t>
            </w:r>
          </w:p>
        </w:tc>
      </w:tr>
    </w:tbl>
    <w:p w14:paraId="3CABA75D" w14:textId="77777777" w:rsidR="00341FAE" w:rsidRPr="00AD0040" w:rsidRDefault="00341FAE" w:rsidP="00341FAE">
      <w:pPr>
        <w:spacing w:line="259" w:lineRule="auto"/>
        <w:jc w:val="both"/>
      </w:pPr>
    </w:p>
    <w:p w14:paraId="20407F7E" w14:textId="77777777" w:rsidR="00341FAE" w:rsidRDefault="00341FAE" w:rsidP="00341FAE">
      <w:pPr>
        <w:spacing w:line="259" w:lineRule="auto"/>
        <w:jc w:val="both"/>
      </w:pPr>
      <w:r w:rsidRPr="00AD0040">
        <w:t>The panel also identified a range of constraints and opportunities of this approach for service design and FAO wellbeing including:</w:t>
      </w:r>
    </w:p>
    <w:p w14:paraId="6567BD0B" w14:textId="77777777" w:rsidR="00341FAE" w:rsidRPr="00AD0040" w:rsidRDefault="00341FAE" w:rsidP="00341FAE">
      <w:pPr>
        <w:spacing w:line="259" w:lineRule="auto"/>
        <w:jc w:val="both"/>
      </w:pPr>
    </w:p>
    <w:p w14:paraId="57CC38A5" w14:textId="77777777" w:rsidR="00341FAE" w:rsidRPr="006743E0" w:rsidRDefault="00341FAE" w:rsidP="00341FAE">
      <w:pPr>
        <w:rPr>
          <w:b/>
          <w:bCs/>
          <w:i/>
          <w:iCs/>
        </w:rPr>
      </w:pPr>
      <w:r w:rsidRPr="006743E0">
        <w:rPr>
          <w:b/>
          <w:bCs/>
          <w:i/>
          <w:iCs/>
        </w:rPr>
        <w:t>Lived experience of FAOs and communities to develop gambling harm reduction techniques</w:t>
      </w:r>
    </w:p>
    <w:p w14:paraId="50A5F020" w14:textId="77777777" w:rsidR="00341FAE" w:rsidRPr="00AD0040" w:rsidRDefault="00341FAE" w:rsidP="00341FAE">
      <w:pPr>
        <w:spacing w:line="259" w:lineRule="auto"/>
        <w:jc w:val="both"/>
      </w:pPr>
      <w:r>
        <w:t xml:space="preserve">Engaging FAOs in </w:t>
      </w:r>
      <w:r w:rsidRPr="00AD0040">
        <w:t xml:space="preserve">harm reduction was held to effect larger (environmental) change and raise awareness of gambling as a public health issue. This approach was key to ensuring that the lived experience of FAOs was reflected in service and policy design, development, and evaluation – maintaining the relevance of services to affected communities. The collective </w:t>
      </w:r>
      <w:r w:rsidRPr="00AD0040">
        <w:lastRenderedPageBreak/>
        <w:t>voice of FAOs’ lived experiences could contribute to community wellbeing through peer support and advocacy/activism initiatives (e.g. media work, lobbying, and policy submissions).</w:t>
      </w:r>
    </w:p>
    <w:p w14:paraId="08F9E1D5" w14:textId="77777777" w:rsidR="00341FAE" w:rsidRPr="00AD0040" w:rsidRDefault="00341FAE" w:rsidP="00341FAE">
      <w:pPr>
        <w:spacing w:line="259" w:lineRule="auto"/>
        <w:jc w:val="both"/>
      </w:pPr>
    </w:p>
    <w:p w14:paraId="75595290" w14:textId="77777777" w:rsidR="00341FAE" w:rsidRPr="006743E0" w:rsidRDefault="00341FAE" w:rsidP="00341FAE">
      <w:pPr>
        <w:rPr>
          <w:b/>
          <w:bCs/>
          <w:i/>
          <w:iCs/>
        </w:rPr>
      </w:pPr>
      <w:r w:rsidRPr="006743E0">
        <w:rPr>
          <w:b/>
          <w:bCs/>
          <w:i/>
          <w:iCs/>
        </w:rPr>
        <w:t>‘Activism’ vs ‘therapy’, ‘empowerment’ vs ‘exploitation’</w:t>
      </w:r>
    </w:p>
    <w:p w14:paraId="7EC14243" w14:textId="77777777" w:rsidR="00341FAE" w:rsidRDefault="00341FAE" w:rsidP="00341FAE">
      <w:pPr>
        <w:spacing w:line="259" w:lineRule="auto"/>
        <w:jc w:val="both"/>
      </w:pPr>
      <w:r w:rsidRPr="00AD0040">
        <w:t xml:space="preserve">Several participants advanced the notion that supporting FAO participation in community activism and change practices/processes may not be compatible with individual therapeutic goals. Other participants cautioned against </w:t>
      </w:r>
      <w:r w:rsidRPr="005C3A3E">
        <w:t>the potential exploitation of ‘lived experience’</w:t>
      </w:r>
      <w:r w:rsidRPr="00AD0040">
        <w:t xml:space="preserve"> in service design, promotion, mental health support work, and public health practice (awareness raising) given that significant shame and stigma remains in the community regarding gambling addiction. Families affected by gambling harm may be vulnerable and underserved in a range of areas of their lives. </w:t>
      </w:r>
    </w:p>
    <w:p w14:paraId="57181088" w14:textId="77777777" w:rsidR="00341FAE" w:rsidRDefault="00341FAE" w:rsidP="00341FAE">
      <w:pPr>
        <w:spacing w:line="259" w:lineRule="auto"/>
        <w:jc w:val="both"/>
      </w:pPr>
    </w:p>
    <w:p w14:paraId="513F058D" w14:textId="77777777" w:rsidR="00341FAE" w:rsidRPr="005C46A2" w:rsidRDefault="00341FAE" w:rsidP="00341FAE">
      <w:pPr>
        <w:spacing w:line="259" w:lineRule="auto"/>
        <w:jc w:val="both"/>
      </w:pPr>
      <w:r w:rsidRPr="005C46A2">
        <w:t xml:space="preserve">Further, one participant </w:t>
      </w:r>
      <w:r>
        <w:t>cautioned</w:t>
      </w:r>
      <w:r w:rsidRPr="005C46A2">
        <w:t xml:space="preserve"> that this approach is not transformed into a mechanism for placing additional responsibility for addressing gambling harm producing environments on families. These comments point to tensions between therapy or support work, community development work and political engagement/advocacy, and complex ethical issues around professional practice.  </w:t>
      </w:r>
    </w:p>
    <w:p w14:paraId="79C4CB62" w14:textId="77777777" w:rsidR="00341FAE" w:rsidRPr="005C46A2" w:rsidRDefault="00341FAE" w:rsidP="00341FAE">
      <w:pPr>
        <w:spacing w:line="259" w:lineRule="auto"/>
        <w:jc w:val="both"/>
      </w:pPr>
    </w:p>
    <w:p w14:paraId="0DBB74A7" w14:textId="77777777" w:rsidR="00341FAE" w:rsidRPr="006D461F" w:rsidRDefault="00341FAE" w:rsidP="00341FAE">
      <w:pPr>
        <w:rPr>
          <w:b/>
          <w:bCs/>
          <w:lang w:eastAsia="en-NZ"/>
        </w:rPr>
      </w:pPr>
      <w:r w:rsidRPr="006D461F">
        <w:rPr>
          <w:b/>
          <w:bCs/>
          <w:lang w:eastAsia="en-NZ"/>
        </w:rPr>
        <w:t>Supporting FAOs to influence the person who is gambling</w:t>
      </w:r>
    </w:p>
    <w:p w14:paraId="6B76DC7E" w14:textId="74361B22" w:rsidR="00341FAE" w:rsidRPr="00AD0040" w:rsidRDefault="00341FAE" w:rsidP="00341FAE">
      <w:pPr>
        <w:spacing w:line="259" w:lineRule="auto"/>
        <w:jc w:val="both"/>
      </w:pPr>
      <w:r>
        <w:t>Although the least preferred approach overall, p</w:t>
      </w:r>
      <w:r w:rsidRPr="009535BF">
        <w:t>anel members reported a wide range of key elements of approaches that effectively support FAOs to influence the person who is gambling. Note that no key elements were endorsed by more than half of participants who answered this question.</w:t>
      </w:r>
      <w:r w:rsidRPr="00AD0040">
        <w:t xml:space="preserve"> </w:t>
      </w:r>
      <w:r>
        <w:t xml:space="preserve">A key element, mentioned by nine participants (38%), was ensuring that FAO wellbeing is also supported. </w:t>
      </w:r>
    </w:p>
    <w:p w14:paraId="49F5C5F5" w14:textId="77777777" w:rsidR="00341FAE" w:rsidRPr="00AD0040" w:rsidRDefault="00341FAE" w:rsidP="00341FAE">
      <w:pPr>
        <w:spacing w:line="259" w:lineRule="auto"/>
        <w:jc w:val="both"/>
      </w:pPr>
    </w:p>
    <w:p w14:paraId="74B82F54" w14:textId="77777777" w:rsidR="00341FAE" w:rsidRPr="00AD0040" w:rsidRDefault="00341FAE" w:rsidP="00341FAE">
      <w:pPr>
        <w:spacing w:line="240" w:lineRule="auto"/>
        <w:jc w:val="both"/>
        <w:rPr>
          <w:b/>
          <w:bCs/>
          <w:sz w:val="22"/>
          <w:szCs w:val="22"/>
        </w:rPr>
      </w:pPr>
      <w:bookmarkStart w:id="215" w:name="_Toc51240662"/>
      <w:r>
        <w:rPr>
          <w:b/>
          <w:bCs/>
          <w:sz w:val="22"/>
          <w:szCs w:val="22"/>
        </w:rPr>
        <w:t>Table 17</w:t>
      </w:r>
      <w:r w:rsidRPr="00AD0040">
        <w:rPr>
          <w:b/>
          <w:bCs/>
          <w:sz w:val="22"/>
          <w:szCs w:val="22"/>
        </w:rPr>
        <w:t>: Key elements of effective interventions to support FAOs to influence the person who is gambling</w:t>
      </w:r>
      <w:bookmarkEnd w:id="215"/>
    </w:p>
    <w:tbl>
      <w:tblPr>
        <w:tblStyle w:val="TableGrid2"/>
        <w:tblW w:w="90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850"/>
        <w:gridCol w:w="940"/>
      </w:tblGrid>
      <w:tr w:rsidR="00341FAE" w:rsidRPr="00AD0040" w14:paraId="6CEA1A64" w14:textId="77777777" w:rsidTr="00443763">
        <w:tc>
          <w:tcPr>
            <w:tcW w:w="7225" w:type="dxa"/>
            <w:tcBorders>
              <w:top w:val="single" w:sz="4" w:space="0" w:color="auto"/>
              <w:bottom w:val="single" w:sz="4" w:space="0" w:color="auto"/>
            </w:tcBorders>
          </w:tcPr>
          <w:p w14:paraId="58FC95DC" w14:textId="77777777" w:rsidR="00341FAE" w:rsidRPr="00AD0040" w:rsidRDefault="00341FAE" w:rsidP="00443763">
            <w:pPr>
              <w:spacing w:line="240" w:lineRule="auto"/>
              <w:jc w:val="both"/>
            </w:pPr>
            <w:r w:rsidRPr="00AD0040">
              <w:t>Key Elements (coded qualitative responses)</w:t>
            </w:r>
          </w:p>
        </w:tc>
        <w:tc>
          <w:tcPr>
            <w:tcW w:w="850" w:type="dxa"/>
            <w:tcBorders>
              <w:top w:val="single" w:sz="4" w:space="0" w:color="auto"/>
              <w:bottom w:val="single" w:sz="4" w:space="0" w:color="auto"/>
            </w:tcBorders>
            <w:vAlign w:val="bottom"/>
          </w:tcPr>
          <w:p w14:paraId="6D0E0BEF" w14:textId="77777777" w:rsidR="00341FAE" w:rsidRPr="00AD0040" w:rsidRDefault="00341FAE" w:rsidP="00443763">
            <w:pPr>
              <w:spacing w:line="240" w:lineRule="auto"/>
              <w:jc w:val="both"/>
              <w:rPr>
                <w:i/>
                <w:lang w:eastAsia="en-NZ"/>
              </w:rPr>
            </w:pPr>
            <w:r w:rsidRPr="00AD0040">
              <w:rPr>
                <w:i/>
                <w:lang w:eastAsia="en-NZ"/>
              </w:rPr>
              <w:t xml:space="preserve">n </w:t>
            </w:r>
            <w:r w:rsidRPr="00AD0040">
              <w:rPr>
                <w:lang w:eastAsia="en-NZ"/>
              </w:rPr>
              <w:t>= 24</w:t>
            </w:r>
          </w:p>
        </w:tc>
        <w:tc>
          <w:tcPr>
            <w:tcW w:w="940" w:type="dxa"/>
            <w:tcBorders>
              <w:top w:val="single" w:sz="4" w:space="0" w:color="auto"/>
              <w:bottom w:val="single" w:sz="4" w:space="0" w:color="auto"/>
            </w:tcBorders>
            <w:vAlign w:val="bottom"/>
          </w:tcPr>
          <w:p w14:paraId="4EECC90F" w14:textId="77777777" w:rsidR="00341FAE" w:rsidRPr="00AD0040" w:rsidRDefault="00341FAE" w:rsidP="00443763">
            <w:pPr>
              <w:spacing w:line="240" w:lineRule="auto"/>
              <w:jc w:val="both"/>
              <w:rPr>
                <w:lang w:eastAsia="en-NZ"/>
              </w:rPr>
            </w:pPr>
            <w:r w:rsidRPr="00AD0040">
              <w:rPr>
                <w:lang w:eastAsia="en-NZ"/>
              </w:rPr>
              <w:t>%</w:t>
            </w:r>
          </w:p>
        </w:tc>
      </w:tr>
      <w:tr w:rsidR="00341FAE" w:rsidRPr="00AD0040" w14:paraId="1FCAC394" w14:textId="77777777" w:rsidTr="00443763">
        <w:tc>
          <w:tcPr>
            <w:tcW w:w="7225" w:type="dxa"/>
            <w:tcBorders>
              <w:top w:val="single" w:sz="4" w:space="0" w:color="auto"/>
            </w:tcBorders>
            <w:shd w:val="clear" w:color="auto" w:fill="D9D9D9" w:themeFill="background1" w:themeFillShade="D9"/>
          </w:tcPr>
          <w:p w14:paraId="6C035547" w14:textId="77777777" w:rsidR="00341FAE" w:rsidRPr="00AD0040" w:rsidRDefault="00341FAE" w:rsidP="00443763">
            <w:pPr>
              <w:spacing w:line="240" w:lineRule="auto"/>
              <w:jc w:val="both"/>
            </w:pPr>
            <w:r w:rsidRPr="00AD0040">
              <w:t>Ensuring FAO wellbeing is supported</w:t>
            </w:r>
          </w:p>
        </w:tc>
        <w:tc>
          <w:tcPr>
            <w:tcW w:w="850" w:type="dxa"/>
            <w:tcBorders>
              <w:top w:val="single" w:sz="4" w:space="0" w:color="auto"/>
            </w:tcBorders>
            <w:shd w:val="clear" w:color="auto" w:fill="D9D9D9" w:themeFill="background1" w:themeFillShade="D9"/>
            <w:vAlign w:val="bottom"/>
          </w:tcPr>
          <w:p w14:paraId="56EB74CF" w14:textId="77777777" w:rsidR="00341FAE" w:rsidRPr="00AD0040" w:rsidRDefault="00341FAE" w:rsidP="00443763">
            <w:pPr>
              <w:spacing w:line="240" w:lineRule="auto"/>
              <w:jc w:val="both"/>
              <w:rPr>
                <w:lang w:eastAsia="en-NZ"/>
              </w:rPr>
            </w:pPr>
            <w:r w:rsidRPr="00AD0040">
              <w:rPr>
                <w:lang w:eastAsia="en-NZ"/>
              </w:rPr>
              <w:t>9</w:t>
            </w:r>
          </w:p>
        </w:tc>
        <w:tc>
          <w:tcPr>
            <w:tcW w:w="940" w:type="dxa"/>
            <w:tcBorders>
              <w:top w:val="single" w:sz="4" w:space="0" w:color="auto"/>
            </w:tcBorders>
            <w:shd w:val="clear" w:color="auto" w:fill="D9D9D9" w:themeFill="background1" w:themeFillShade="D9"/>
            <w:vAlign w:val="bottom"/>
          </w:tcPr>
          <w:p w14:paraId="21ED1852" w14:textId="77777777" w:rsidR="00341FAE" w:rsidRPr="00AD0040" w:rsidRDefault="00341FAE" w:rsidP="00443763">
            <w:pPr>
              <w:spacing w:line="240" w:lineRule="auto"/>
              <w:jc w:val="both"/>
              <w:rPr>
                <w:lang w:eastAsia="en-NZ"/>
              </w:rPr>
            </w:pPr>
            <w:r w:rsidRPr="00AD0040">
              <w:rPr>
                <w:lang w:eastAsia="en-NZ"/>
              </w:rPr>
              <w:t>38</w:t>
            </w:r>
          </w:p>
        </w:tc>
      </w:tr>
      <w:tr w:rsidR="00341FAE" w:rsidRPr="00AD0040" w14:paraId="404156B1" w14:textId="77777777" w:rsidTr="00443763">
        <w:tc>
          <w:tcPr>
            <w:tcW w:w="7225" w:type="dxa"/>
          </w:tcPr>
          <w:p w14:paraId="40BDCAAD" w14:textId="77777777" w:rsidR="00341FAE" w:rsidRPr="00AD0040" w:rsidRDefault="00341FAE" w:rsidP="00443763">
            <w:pPr>
              <w:spacing w:line="240" w:lineRule="auto"/>
              <w:jc w:val="both"/>
            </w:pPr>
            <w:r w:rsidRPr="00AD0040">
              <w:t>Enhance communication skills</w:t>
            </w:r>
          </w:p>
        </w:tc>
        <w:tc>
          <w:tcPr>
            <w:tcW w:w="850" w:type="dxa"/>
            <w:vAlign w:val="bottom"/>
          </w:tcPr>
          <w:p w14:paraId="4C151461" w14:textId="77777777" w:rsidR="00341FAE" w:rsidRPr="00AD0040" w:rsidRDefault="00341FAE" w:rsidP="00443763">
            <w:pPr>
              <w:spacing w:line="240" w:lineRule="auto"/>
              <w:jc w:val="both"/>
              <w:rPr>
                <w:lang w:eastAsia="en-NZ"/>
              </w:rPr>
            </w:pPr>
            <w:r w:rsidRPr="00AD0040">
              <w:rPr>
                <w:lang w:eastAsia="en-NZ"/>
              </w:rPr>
              <w:t>7</w:t>
            </w:r>
          </w:p>
        </w:tc>
        <w:tc>
          <w:tcPr>
            <w:tcW w:w="940" w:type="dxa"/>
            <w:vAlign w:val="bottom"/>
          </w:tcPr>
          <w:p w14:paraId="5FBBBCA8" w14:textId="77777777" w:rsidR="00341FAE" w:rsidRPr="00AD0040" w:rsidRDefault="00341FAE" w:rsidP="00443763">
            <w:pPr>
              <w:spacing w:line="240" w:lineRule="auto"/>
              <w:jc w:val="both"/>
              <w:rPr>
                <w:lang w:eastAsia="en-NZ"/>
              </w:rPr>
            </w:pPr>
            <w:r w:rsidRPr="00AD0040">
              <w:rPr>
                <w:lang w:eastAsia="en-NZ"/>
              </w:rPr>
              <w:t>29</w:t>
            </w:r>
          </w:p>
        </w:tc>
      </w:tr>
      <w:tr w:rsidR="00341FAE" w:rsidRPr="00AD0040" w14:paraId="636B9793" w14:textId="77777777" w:rsidTr="00443763">
        <w:tc>
          <w:tcPr>
            <w:tcW w:w="7225" w:type="dxa"/>
            <w:shd w:val="clear" w:color="auto" w:fill="D9D9D9" w:themeFill="background1" w:themeFillShade="D9"/>
          </w:tcPr>
          <w:p w14:paraId="25A7A017" w14:textId="77777777" w:rsidR="00341FAE" w:rsidRPr="00AD0040" w:rsidRDefault="00341FAE" w:rsidP="00443763">
            <w:pPr>
              <w:spacing w:line="240" w:lineRule="auto"/>
              <w:jc w:val="both"/>
            </w:pPr>
            <w:r w:rsidRPr="00AD0040">
              <w:t>Repair family relationships</w:t>
            </w:r>
          </w:p>
        </w:tc>
        <w:tc>
          <w:tcPr>
            <w:tcW w:w="850" w:type="dxa"/>
            <w:shd w:val="clear" w:color="auto" w:fill="D9D9D9" w:themeFill="background1" w:themeFillShade="D9"/>
            <w:vAlign w:val="bottom"/>
          </w:tcPr>
          <w:p w14:paraId="2AB55964" w14:textId="77777777" w:rsidR="00341FAE" w:rsidRPr="00AD0040" w:rsidRDefault="00341FAE" w:rsidP="00443763">
            <w:pPr>
              <w:spacing w:line="240" w:lineRule="auto"/>
              <w:jc w:val="both"/>
              <w:rPr>
                <w:lang w:eastAsia="en-NZ"/>
              </w:rPr>
            </w:pPr>
            <w:r w:rsidRPr="00AD0040">
              <w:rPr>
                <w:lang w:eastAsia="en-NZ"/>
              </w:rPr>
              <w:t>6</w:t>
            </w:r>
          </w:p>
        </w:tc>
        <w:tc>
          <w:tcPr>
            <w:tcW w:w="940" w:type="dxa"/>
            <w:shd w:val="clear" w:color="auto" w:fill="D9D9D9" w:themeFill="background1" w:themeFillShade="D9"/>
            <w:vAlign w:val="bottom"/>
          </w:tcPr>
          <w:p w14:paraId="0A330C4D" w14:textId="77777777" w:rsidR="00341FAE" w:rsidRPr="00AD0040" w:rsidRDefault="00341FAE" w:rsidP="00443763">
            <w:pPr>
              <w:spacing w:line="240" w:lineRule="auto"/>
              <w:jc w:val="both"/>
              <w:rPr>
                <w:lang w:eastAsia="en-NZ"/>
              </w:rPr>
            </w:pPr>
            <w:r w:rsidRPr="00AD0040">
              <w:rPr>
                <w:lang w:eastAsia="en-NZ"/>
              </w:rPr>
              <w:t>25</w:t>
            </w:r>
          </w:p>
        </w:tc>
      </w:tr>
      <w:tr w:rsidR="00341FAE" w:rsidRPr="00AD0040" w14:paraId="2014D25D" w14:textId="77777777" w:rsidTr="00443763">
        <w:tc>
          <w:tcPr>
            <w:tcW w:w="7225" w:type="dxa"/>
          </w:tcPr>
          <w:p w14:paraId="31A2C5AF" w14:textId="77777777" w:rsidR="00341FAE" w:rsidRPr="00AD0040" w:rsidRDefault="00341FAE" w:rsidP="00443763">
            <w:pPr>
              <w:spacing w:line="240" w:lineRule="auto"/>
              <w:jc w:val="both"/>
            </w:pPr>
            <w:r w:rsidRPr="00AD0040">
              <w:t>Enhance education on gambling (triggers, responses, enabling behaviours etc.)</w:t>
            </w:r>
          </w:p>
        </w:tc>
        <w:tc>
          <w:tcPr>
            <w:tcW w:w="850" w:type="dxa"/>
            <w:vAlign w:val="bottom"/>
          </w:tcPr>
          <w:p w14:paraId="4C8697E6" w14:textId="77777777" w:rsidR="00341FAE" w:rsidRPr="00AD0040" w:rsidRDefault="00341FAE" w:rsidP="00443763">
            <w:pPr>
              <w:spacing w:line="240" w:lineRule="auto"/>
              <w:jc w:val="both"/>
              <w:rPr>
                <w:lang w:eastAsia="en-NZ"/>
              </w:rPr>
            </w:pPr>
            <w:r w:rsidRPr="00AD0040">
              <w:rPr>
                <w:lang w:eastAsia="en-NZ"/>
              </w:rPr>
              <w:t>6</w:t>
            </w:r>
          </w:p>
        </w:tc>
        <w:tc>
          <w:tcPr>
            <w:tcW w:w="940" w:type="dxa"/>
            <w:vAlign w:val="bottom"/>
          </w:tcPr>
          <w:p w14:paraId="627E3DC6" w14:textId="77777777" w:rsidR="00341FAE" w:rsidRPr="00AD0040" w:rsidRDefault="00341FAE" w:rsidP="00443763">
            <w:pPr>
              <w:spacing w:line="240" w:lineRule="auto"/>
              <w:jc w:val="both"/>
              <w:rPr>
                <w:lang w:eastAsia="en-NZ"/>
              </w:rPr>
            </w:pPr>
            <w:r w:rsidRPr="00AD0040">
              <w:rPr>
                <w:lang w:eastAsia="en-NZ"/>
              </w:rPr>
              <w:t>25</w:t>
            </w:r>
          </w:p>
        </w:tc>
      </w:tr>
      <w:tr w:rsidR="00341FAE" w:rsidRPr="00AD0040" w14:paraId="2317DCCE" w14:textId="77777777" w:rsidTr="00443763">
        <w:tc>
          <w:tcPr>
            <w:tcW w:w="7225" w:type="dxa"/>
            <w:shd w:val="clear" w:color="auto" w:fill="D9D9D9" w:themeFill="background1" w:themeFillShade="D9"/>
          </w:tcPr>
          <w:p w14:paraId="59D6EFCF" w14:textId="77777777" w:rsidR="00341FAE" w:rsidRPr="00AD0040" w:rsidRDefault="00341FAE" w:rsidP="00443763">
            <w:pPr>
              <w:spacing w:line="240" w:lineRule="auto"/>
              <w:jc w:val="both"/>
            </w:pPr>
            <w:r w:rsidRPr="00AD0040">
              <w:t>Enhance ability to support gambler (to stop gambling, enter treatment etc)</w:t>
            </w:r>
          </w:p>
        </w:tc>
        <w:tc>
          <w:tcPr>
            <w:tcW w:w="850" w:type="dxa"/>
            <w:shd w:val="clear" w:color="auto" w:fill="D9D9D9" w:themeFill="background1" w:themeFillShade="D9"/>
            <w:vAlign w:val="bottom"/>
          </w:tcPr>
          <w:p w14:paraId="25BAB09E" w14:textId="77777777" w:rsidR="00341FAE" w:rsidRPr="00AD0040" w:rsidRDefault="00341FAE" w:rsidP="00443763">
            <w:pPr>
              <w:spacing w:line="240" w:lineRule="auto"/>
              <w:jc w:val="both"/>
              <w:rPr>
                <w:lang w:eastAsia="en-NZ"/>
              </w:rPr>
            </w:pPr>
            <w:r w:rsidRPr="00AD0040">
              <w:rPr>
                <w:lang w:eastAsia="en-NZ"/>
              </w:rPr>
              <w:t>6</w:t>
            </w:r>
          </w:p>
        </w:tc>
        <w:tc>
          <w:tcPr>
            <w:tcW w:w="940" w:type="dxa"/>
            <w:shd w:val="clear" w:color="auto" w:fill="D9D9D9" w:themeFill="background1" w:themeFillShade="D9"/>
            <w:vAlign w:val="bottom"/>
          </w:tcPr>
          <w:p w14:paraId="06165DC4" w14:textId="77777777" w:rsidR="00341FAE" w:rsidRPr="00AD0040" w:rsidRDefault="00341FAE" w:rsidP="00443763">
            <w:pPr>
              <w:spacing w:line="240" w:lineRule="auto"/>
              <w:jc w:val="both"/>
              <w:rPr>
                <w:lang w:eastAsia="en-NZ"/>
              </w:rPr>
            </w:pPr>
            <w:r w:rsidRPr="00AD0040">
              <w:rPr>
                <w:lang w:eastAsia="en-NZ"/>
              </w:rPr>
              <w:t>25</w:t>
            </w:r>
          </w:p>
        </w:tc>
      </w:tr>
      <w:tr w:rsidR="00341FAE" w:rsidRPr="00AD0040" w14:paraId="605E4849" w14:textId="77777777" w:rsidTr="00443763">
        <w:tc>
          <w:tcPr>
            <w:tcW w:w="7225" w:type="dxa"/>
          </w:tcPr>
          <w:p w14:paraId="657E91F1" w14:textId="77777777" w:rsidR="00341FAE" w:rsidRPr="00AD0040" w:rsidRDefault="00341FAE" w:rsidP="00443763">
            <w:pPr>
              <w:spacing w:line="240" w:lineRule="auto"/>
              <w:jc w:val="both"/>
            </w:pPr>
            <w:r w:rsidRPr="00AD0040">
              <w:t>Family dynamics and safety is considered</w:t>
            </w:r>
          </w:p>
        </w:tc>
        <w:tc>
          <w:tcPr>
            <w:tcW w:w="850" w:type="dxa"/>
            <w:vAlign w:val="bottom"/>
          </w:tcPr>
          <w:p w14:paraId="43B1B2DA" w14:textId="77777777" w:rsidR="00341FAE" w:rsidRPr="00AD0040" w:rsidRDefault="00341FAE" w:rsidP="00443763">
            <w:pPr>
              <w:spacing w:line="240" w:lineRule="auto"/>
              <w:jc w:val="both"/>
              <w:rPr>
                <w:lang w:eastAsia="en-NZ"/>
              </w:rPr>
            </w:pPr>
            <w:r w:rsidRPr="00AD0040">
              <w:rPr>
                <w:lang w:eastAsia="en-NZ"/>
              </w:rPr>
              <w:t>5</w:t>
            </w:r>
          </w:p>
        </w:tc>
        <w:tc>
          <w:tcPr>
            <w:tcW w:w="940" w:type="dxa"/>
            <w:vAlign w:val="bottom"/>
          </w:tcPr>
          <w:p w14:paraId="1327290B" w14:textId="77777777" w:rsidR="00341FAE" w:rsidRPr="00AD0040" w:rsidRDefault="00341FAE" w:rsidP="00443763">
            <w:pPr>
              <w:spacing w:line="240" w:lineRule="auto"/>
              <w:jc w:val="both"/>
              <w:rPr>
                <w:lang w:eastAsia="en-NZ"/>
              </w:rPr>
            </w:pPr>
            <w:r w:rsidRPr="00AD0040">
              <w:rPr>
                <w:lang w:eastAsia="en-NZ"/>
              </w:rPr>
              <w:t>21</w:t>
            </w:r>
          </w:p>
        </w:tc>
      </w:tr>
      <w:tr w:rsidR="00341FAE" w:rsidRPr="00AD0040" w14:paraId="005633E7" w14:textId="77777777" w:rsidTr="00443763">
        <w:tc>
          <w:tcPr>
            <w:tcW w:w="7225" w:type="dxa"/>
            <w:shd w:val="clear" w:color="auto" w:fill="D9D9D9" w:themeFill="background1" w:themeFillShade="D9"/>
          </w:tcPr>
          <w:p w14:paraId="1C0808B1" w14:textId="77777777" w:rsidR="00341FAE" w:rsidRPr="00AD0040" w:rsidRDefault="00341FAE" w:rsidP="00443763">
            <w:pPr>
              <w:spacing w:line="240" w:lineRule="auto"/>
              <w:jc w:val="both"/>
            </w:pPr>
            <w:r w:rsidRPr="00AD0040">
              <w:t>Multiple key elements that are unique to the FAO and family/whānau</w:t>
            </w:r>
          </w:p>
        </w:tc>
        <w:tc>
          <w:tcPr>
            <w:tcW w:w="850" w:type="dxa"/>
            <w:shd w:val="clear" w:color="auto" w:fill="D9D9D9" w:themeFill="background1" w:themeFillShade="D9"/>
            <w:vAlign w:val="bottom"/>
          </w:tcPr>
          <w:p w14:paraId="7B421E8D" w14:textId="77777777" w:rsidR="00341FAE" w:rsidRPr="00AD0040" w:rsidRDefault="00341FAE" w:rsidP="00443763">
            <w:pPr>
              <w:spacing w:line="240" w:lineRule="auto"/>
              <w:jc w:val="both"/>
              <w:rPr>
                <w:lang w:eastAsia="en-NZ"/>
              </w:rPr>
            </w:pPr>
            <w:r w:rsidRPr="00AD0040">
              <w:rPr>
                <w:lang w:eastAsia="en-NZ"/>
              </w:rPr>
              <w:t>4</w:t>
            </w:r>
          </w:p>
        </w:tc>
        <w:tc>
          <w:tcPr>
            <w:tcW w:w="940" w:type="dxa"/>
            <w:shd w:val="clear" w:color="auto" w:fill="D9D9D9" w:themeFill="background1" w:themeFillShade="D9"/>
            <w:vAlign w:val="bottom"/>
          </w:tcPr>
          <w:p w14:paraId="329B0687" w14:textId="77777777" w:rsidR="00341FAE" w:rsidRPr="00AD0040" w:rsidRDefault="00341FAE" w:rsidP="00443763">
            <w:pPr>
              <w:spacing w:line="240" w:lineRule="auto"/>
              <w:jc w:val="both"/>
              <w:rPr>
                <w:lang w:eastAsia="en-NZ"/>
              </w:rPr>
            </w:pPr>
            <w:r w:rsidRPr="00AD0040">
              <w:rPr>
                <w:lang w:eastAsia="en-NZ"/>
              </w:rPr>
              <w:t>17</w:t>
            </w:r>
          </w:p>
        </w:tc>
      </w:tr>
      <w:tr w:rsidR="00341FAE" w:rsidRPr="00AD0040" w14:paraId="6D68F2B5" w14:textId="77777777" w:rsidTr="00443763">
        <w:tc>
          <w:tcPr>
            <w:tcW w:w="7225" w:type="dxa"/>
          </w:tcPr>
          <w:p w14:paraId="0611C3A4" w14:textId="77777777" w:rsidR="00341FAE" w:rsidRPr="00AD0040" w:rsidRDefault="00341FAE" w:rsidP="00443763">
            <w:pPr>
              <w:spacing w:line="240" w:lineRule="auto"/>
              <w:jc w:val="both"/>
            </w:pPr>
            <w:r w:rsidRPr="00AD0040">
              <w:t>Cooperation from gambling individual</w:t>
            </w:r>
          </w:p>
        </w:tc>
        <w:tc>
          <w:tcPr>
            <w:tcW w:w="850" w:type="dxa"/>
            <w:vAlign w:val="bottom"/>
          </w:tcPr>
          <w:p w14:paraId="728B302F" w14:textId="77777777" w:rsidR="00341FAE" w:rsidRPr="00AD0040" w:rsidRDefault="00341FAE" w:rsidP="00443763">
            <w:pPr>
              <w:spacing w:line="240" w:lineRule="auto"/>
              <w:jc w:val="both"/>
              <w:rPr>
                <w:lang w:eastAsia="en-NZ"/>
              </w:rPr>
            </w:pPr>
            <w:r w:rsidRPr="00AD0040">
              <w:rPr>
                <w:lang w:eastAsia="en-NZ"/>
              </w:rPr>
              <w:t>2</w:t>
            </w:r>
          </w:p>
        </w:tc>
        <w:tc>
          <w:tcPr>
            <w:tcW w:w="940" w:type="dxa"/>
            <w:vAlign w:val="bottom"/>
          </w:tcPr>
          <w:p w14:paraId="60C47FD5" w14:textId="77777777" w:rsidR="00341FAE" w:rsidRPr="00AD0040" w:rsidRDefault="00341FAE" w:rsidP="00443763">
            <w:pPr>
              <w:spacing w:line="240" w:lineRule="auto"/>
              <w:jc w:val="both"/>
              <w:rPr>
                <w:lang w:eastAsia="en-NZ"/>
              </w:rPr>
            </w:pPr>
            <w:r w:rsidRPr="00AD0040">
              <w:rPr>
                <w:lang w:eastAsia="en-NZ"/>
              </w:rPr>
              <w:t>8</w:t>
            </w:r>
          </w:p>
        </w:tc>
      </w:tr>
      <w:tr w:rsidR="00341FAE" w:rsidRPr="00AD0040" w14:paraId="07EDE7BB" w14:textId="77777777" w:rsidTr="00443763">
        <w:tc>
          <w:tcPr>
            <w:tcW w:w="7225" w:type="dxa"/>
            <w:shd w:val="clear" w:color="auto" w:fill="D9D9D9" w:themeFill="background1" w:themeFillShade="D9"/>
          </w:tcPr>
          <w:p w14:paraId="6E33EBE8" w14:textId="77777777" w:rsidR="00341FAE" w:rsidRPr="00AD0040" w:rsidRDefault="00341FAE" w:rsidP="00443763">
            <w:pPr>
              <w:spacing w:line="240" w:lineRule="auto"/>
              <w:jc w:val="both"/>
            </w:pPr>
            <w:r w:rsidRPr="00AD0040">
              <w:t>Clear guidelines/procedures are followed (e.g. CRAFT)</w:t>
            </w:r>
          </w:p>
        </w:tc>
        <w:tc>
          <w:tcPr>
            <w:tcW w:w="850" w:type="dxa"/>
            <w:shd w:val="clear" w:color="auto" w:fill="D9D9D9" w:themeFill="background1" w:themeFillShade="D9"/>
            <w:vAlign w:val="bottom"/>
          </w:tcPr>
          <w:p w14:paraId="58EE21AF" w14:textId="77777777" w:rsidR="00341FAE" w:rsidRPr="00AD0040" w:rsidRDefault="00341FAE" w:rsidP="00443763">
            <w:pPr>
              <w:spacing w:line="240" w:lineRule="auto"/>
              <w:jc w:val="both"/>
              <w:rPr>
                <w:lang w:eastAsia="en-NZ"/>
              </w:rPr>
            </w:pPr>
            <w:r w:rsidRPr="00AD0040">
              <w:rPr>
                <w:lang w:eastAsia="en-NZ"/>
              </w:rPr>
              <w:t>2</w:t>
            </w:r>
          </w:p>
        </w:tc>
        <w:tc>
          <w:tcPr>
            <w:tcW w:w="940" w:type="dxa"/>
            <w:shd w:val="clear" w:color="auto" w:fill="D9D9D9" w:themeFill="background1" w:themeFillShade="D9"/>
            <w:vAlign w:val="bottom"/>
          </w:tcPr>
          <w:p w14:paraId="428F20E6" w14:textId="77777777" w:rsidR="00341FAE" w:rsidRPr="00AD0040" w:rsidRDefault="00341FAE" w:rsidP="00443763">
            <w:pPr>
              <w:spacing w:line="240" w:lineRule="auto"/>
              <w:jc w:val="both"/>
              <w:rPr>
                <w:lang w:eastAsia="en-NZ"/>
              </w:rPr>
            </w:pPr>
            <w:r w:rsidRPr="00AD0040">
              <w:rPr>
                <w:lang w:eastAsia="en-NZ"/>
              </w:rPr>
              <w:t>8</w:t>
            </w:r>
          </w:p>
        </w:tc>
      </w:tr>
      <w:tr w:rsidR="00341FAE" w:rsidRPr="00AD0040" w14:paraId="55C97E8E" w14:textId="77777777" w:rsidTr="00443763">
        <w:tc>
          <w:tcPr>
            <w:tcW w:w="7225" w:type="dxa"/>
          </w:tcPr>
          <w:p w14:paraId="4CDFB20C" w14:textId="77777777" w:rsidR="00341FAE" w:rsidRPr="00AD0040" w:rsidRDefault="00341FAE" w:rsidP="00443763">
            <w:pPr>
              <w:spacing w:line="240" w:lineRule="auto"/>
              <w:jc w:val="both"/>
            </w:pPr>
            <w:r w:rsidRPr="00AD0040">
              <w:t>Other (e.g. not enough knowledge about approach)</w:t>
            </w:r>
          </w:p>
        </w:tc>
        <w:tc>
          <w:tcPr>
            <w:tcW w:w="850" w:type="dxa"/>
            <w:vAlign w:val="bottom"/>
          </w:tcPr>
          <w:p w14:paraId="3CBE4A48" w14:textId="77777777" w:rsidR="00341FAE" w:rsidRPr="00AD0040" w:rsidRDefault="00341FAE" w:rsidP="00443763">
            <w:pPr>
              <w:spacing w:line="240" w:lineRule="auto"/>
              <w:jc w:val="both"/>
              <w:rPr>
                <w:lang w:eastAsia="en-NZ"/>
              </w:rPr>
            </w:pPr>
            <w:r w:rsidRPr="00AD0040">
              <w:rPr>
                <w:lang w:eastAsia="en-NZ"/>
              </w:rPr>
              <w:t>2</w:t>
            </w:r>
          </w:p>
        </w:tc>
        <w:tc>
          <w:tcPr>
            <w:tcW w:w="940" w:type="dxa"/>
            <w:vAlign w:val="bottom"/>
          </w:tcPr>
          <w:p w14:paraId="6B34706A" w14:textId="77777777" w:rsidR="00341FAE" w:rsidRPr="00AD0040" w:rsidRDefault="00341FAE" w:rsidP="00443763">
            <w:pPr>
              <w:spacing w:line="240" w:lineRule="auto"/>
              <w:jc w:val="both"/>
              <w:rPr>
                <w:lang w:eastAsia="en-NZ"/>
              </w:rPr>
            </w:pPr>
            <w:r w:rsidRPr="00AD0040">
              <w:rPr>
                <w:lang w:eastAsia="en-NZ"/>
              </w:rPr>
              <w:t>8</w:t>
            </w:r>
          </w:p>
        </w:tc>
      </w:tr>
      <w:tr w:rsidR="00341FAE" w:rsidRPr="00AD0040" w14:paraId="1542A16F" w14:textId="77777777" w:rsidTr="00443763">
        <w:tc>
          <w:tcPr>
            <w:tcW w:w="7225" w:type="dxa"/>
            <w:shd w:val="clear" w:color="auto" w:fill="D9D9D9" w:themeFill="background1" w:themeFillShade="D9"/>
          </w:tcPr>
          <w:p w14:paraId="2E08E4BB" w14:textId="77777777" w:rsidR="00341FAE" w:rsidRPr="00AD0040" w:rsidRDefault="00341FAE" w:rsidP="00443763">
            <w:pPr>
              <w:spacing w:line="240" w:lineRule="auto"/>
              <w:jc w:val="both"/>
            </w:pPr>
            <w:r w:rsidRPr="00AD0040">
              <w:t>Ensure FAO financial security</w:t>
            </w:r>
          </w:p>
        </w:tc>
        <w:tc>
          <w:tcPr>
            <w:tcW w:w="850" w:type="dxa"/>
            <w:shd w:val="clear" w:color="auto" w:fill="D9D9D9" w:themeFill="background1" w:themeFillShade="D9"/>
            <w:vAlign w:val="bottom"/>
          </w:tcPr>
          <w:p w14:paraId="263B96ED" w14:textId="77777777" w:rsidR="00341FAE" w:rsidRPr="00AD0040" w:rsidRDefault="00341FAE" w:rsidP="00443763">
            <w:pPr>
              <w:spacing w:line="240" w:lineRule="auto"/>
              <w:jc w:val="both"/>
              <w:rPr>
                <w:lang w:eastAsia="en-NZ"/>
              </w:rPr>
            </w:pPr>
            <w:r w:rsidRPr="00AD0040">
              <w:rPr>
                <w:lang w:eastAsia="en-NZ"/>
              </w:rPr>
              <w:t>1</w:t>
            </w:r>
          </w:p>
        </w:tc>
        <w:tc>
          <w:tcPr>
            <w:tcW w:w="940" w:type="dxa"/>
            <w:shd w:val="clear" w:color="auto" w:fill="D9D9D9" w:themeFill="background1" w:themeFillShade="D9"/>
            <w:vAlign w:val="bottom"/>
          </w:tcPr>
          <w:p w14:paraId="5719D664" w14:textId="77777777" w:rsidR="00341FAE" w:rsidRPr="00AD0040" w:rsidRDefault="00341FAE" w:rsidP="00443763">
            <w:pPr>
              <w:spacing w:line="240" w:lineRule="auto"/>
              <w:jc w:val="both"/>
              <w:rPr>
                <w:lang w:eastAsia="en-NZ"/>
              </w:rPr>
            </w:pPr>
            <w:r w:rsidRPr="00AD0040">
              <w:rPr>
                <w:lang w:eastAsia="en-NZ"/>
              </w:rPr>
              <w:t>4</w:t>
            </w:r>
          </w:p>
        </w:tc>
      </w:tr>
      <w:tr w:rsidR="00341FAE" w:rsidRPr="00AD0040" w14:paraId="7D617B1D" w14:textId="77777777" w:rsidTr="00443763">
        <w:tc>
          <w:tcPr>
            <w:tcW w:w="7225" w:type="dxa"/>
          </w:tcPr>
          <w:p w14:paraId="3837D067" w14:textId="77777777" w:rsidR="00341FAE" w:rsidRPr="00AD0040" w:rsidRDefault="00341FAE" w:rsidP="00443763">
            <w:pPr>
              <w:spacing w:line="240" w:lineRule="auto"/>
              <w:jc w:val="both"/>
            </w:pPr>
            <w:r w:rsidRPr="00AD0040">
              <w:t>Cultural safety / incorporating culturally appropriate procedures</w:t>
            </w:r>
          </w:p>
        </w:tc>
        <w:tc>
          <w:tcPr>
            <w:tcW w:w="850" w:type="dxa"/>
            <w:vAlign w:val="bottom"/>
          </w:tcPr>
          <w:p w14:paraId="5042D848" w14:textId="77777777" w:rsidR="00341FAE" w:rsidRPr="00AD0040" w:rsidRDefault="00341FAE" w:rsidP="00443763">
            <w:pPr>
              <w:spacing w:line="240" w:lineRule="auto"/>
              <w:jc w:val="both"/>
              <w:rPr>
                <w:lang w:eastAsia="en-NZ"/>
              </w:rPr>
            </w:pPr>
            <w:r w:rsidRPr="00AD0040">
              <w:rPr>
                <w:lang w:eastAsia="en-NZ"/>
              </w:rPr>
              <w:t>1</w:t>
            </w:r>
          </w:p>
        </w:tc>
        <w:tc>
          <w:tcPr>
            <w:tcW w:w="940" w:type="dxa"/>
            <w:vAlign w:val="bottom"/>
          </w:tcPr>
          <w:p w14:paraId="2F702C55" w14:textId="77777777" w:rsidR="00341FAE" w:rsidRPr="00AD0040" w:rsidRDefault="00341FAE" w:rsidP="00443763">
            <w:pPr>
              <w:spacing w:line="240" w:lineRule="auto"/>
              <w:jc w:val="both"/>
              <w:rPr>
                <w:lang w:eastAsia="en-NZ"/>
              </w:rPr>
            </w:pPr>
            <w:r w:rsidRPr="00AD0040">
              <w:rPr>
                <w:lang w:eastAsia="en-NZ"/>
              </w:rPr>
              <w:t>4</w:t>
            </w:r>
          </w:p>
        </w:tc>
      </w:tr>
    </w:tbl>
    <w:p w14:paraId="1FBCF741" w14:textId="77777777" w:rsidR="00341FAE" w:rsidRPr="00AD0040" w:rsidRDefault="00341FAE" w:rsidP="00341FAE">
      <w:pPr>
        <w:spacing w:line="259" w:lineRule="auto"/>
        <w:jc w:val="both"/>
      </w:pPr>
    </w:p>
    <w:p w14:paraId="2F664BDC" w14:textId="77777777" w:rsidR="00341FAE" w:rsidRDefault="00341FAE" w:rsidP="00341FAE">
      <w:pPr>
        <w:spacing w:line="259" w:lineRule="auto"/>
        <w:jc w:val="both"/>
      </w:pPr>
      <w:r w:rsidRPr="00AD0040">
        <w:t>The panel also identified a range of constraints and opportunities of this approach for service design and FAO wellbeing including:</w:t>
      </w:r>
    </w:p>
    <w:p w14:paraId="02790932" w14:textId="77777777" w:rsidR="00341FAE" w:rsidRPr="00AD0040" w:rsidRDefault="00341FAE" w:rsidP="00341FAE">
      <w:pPr>
        <w:spacing w:line="259" w:lineRule="auto"/>
        <w:jc w:val="both"/>
      </w:pPr>
    </w:p>
    <w:p w14:paraId="78628792" w14:textId="77777777" w:rsidR="00341FAE" w:rsidRPr="000738EB" w:rsidRDefault="00341FAE" w:rsidP="00341FAE">
      <w:pPr>
        <w:rPr>
          <w:b/>
          <w:bCs/>
          <w:i/>
          <w:iCs/>
        </w:rPr>
      </w:pPr>
      <w:r w:rsidRPr="000738EB">
        <w:rPr>
          <w:b/>
          <w:bCs/>
          <w:i/>
          <w:iCs/>
        </w:rPr>
        <w:t>Responding to FAO identified needs</w:t>
      </w:r>
    </w:p>
    <w:p w14:paraId="76F7E606" w14:textId="77777777" w:rsidR="00341FAE" w:rsidRDefault="00341FAE" w:rsidP="00341FAE">
      <w:pPr>
        <w:spacing w:line="259" w:lineRule="auto"/>
        <w:jc w:val="both"/>
      </w:pPr>
      <w:r w:rsidRPr="00AD0040">
        <w:lastRenderedPageBreak/>
        <w:t>The panel reported that many FAOs request support to help the gambler access treatment and/or change</w:t>
      </w:r>
      <w:r>
        <w:t xml:space="preserve">. In these cases, this </w:t>
      </w:r>
      <w:r w:rsidRPr="00AD0040">
        <w:t xml:space="preserve">approach was </w:t>
      </w:r>
      <w:r>
        <w:t xml:space="preserve">seen </w:t>
      </w:r>
      <w:r w:rsidRPr="00AD0040">
        <w:t>an important component of service provision that responds to FAO-identified needs. However, participants were generally uncertain about the effectiveness of this approach in encouraging treatment-seeking, reducing gambling behaviour or supporting FAO wellbeing. Some panel members described the need to design and build an evidence base for programs that provide families from diverse social and cultural backgrounds with strategies to motivate problem gamblers to acknowledge their problem and seek help.</w:t>
      </w:r>
    </w:p>
    <w:p w14:paraId="1F405A02" w14:textId="77777777" w:rsidR="00341FAE" w:rsidRPr="00AD0040" w:rsidRDefault="00341FAE" w:rsidP="00341FAE">
      <w:pPr>
        <w:spacing w:line="259" w:lineRule="auto"/>
        <w:jc w:val="both"/>
      </w:pPr>
    </w:p>
    <w:p w14:paraId="02C9D2E0" w14:textId="77777777" w:rsidR="00341FAE" w:rsidRPr="000738EB" w:rsidRDefault="00341FAE" w:rsidP="00341FAE">
      <w:pPr>
        <w:rPr>
          <w:b/>
          <w:bCs/>
          <w:i/>
          <w:iCs/>
        </w:rPr>
      </w:pPr>
      <w:r w:rsidRPr="000738EB">
        <w:rPr>
          <w:b/>
          <w:bCs/>
          <w:i/>
          <w:iCs/>
        </w:rPr>
        <w:t xml:space="preserve">Social and cultural complexity shapes FAOs ability to influence gambling in their families </w:t>
      </w:r>
    </w:p>
    <w:p w14:paraId="13AB8E2E" w14:textId="77777777" w:rsidR="00341FAE" w:rsidRPr="00AD0040" w:rsidRDefault="00341FAE" w:rsidP="00341FAE">
      <w:pPr>
        <w:spacing w:line="259" w:lineRule="auto"/>
        <w:jc w:val="both"/>
      </w:pPr>
      <w:r w:rsidRPr="00AD0040">
        <w:t>Limits on FAOs’ ability to create change in/for gambler</w:t>
      </w:r>
      <w:r>
        <w:t>s</w:t>
      </w:r>
      <w:r w:rsidRPr="00AD0040">
        <w:t xml:space="preserve"> were discussed, as well as the potential for interventions emphasising gambler change to ‘set FAOs up to fail’ (basing support around the needs/behaviours of another, often treatment-resistant, person). FAO safety could be jeopardised given (1) gendered power differentials in family dynamics, and (2) the rate of domestic violence in the addictions field. </w:t>
      </w:r>
      <w:r>
        <w:t>Caution</w:t>
      </w:r>
      <w:r w:rsidRPr="00AD0040">
        <w:t xml:space="preserve"> </w:t>
      </w:r>
      <w:r>
        <w:t xml:space="preserve">was </w:t>
      </w:r>
      <w:r w:rsidRPr="00AD0040">
        <w:t xml:space="preserve">advised regarding </w:t>
      </w:r>
      <w:r>
        <w:t>this approach to supporting</w:t>
      </w:r>
      <w:r w:rsidRPr="00AD0040">
        <w:t xml:space="preserve"> FAOs who are women. Some participants reported that in the absence of a broader social change/effort to encourage/allow men to take on caring roles and seek support for these issues, this approach has the potential to reinforce gender roles of women being the ‘carer’ in families - increasing the pressure and responsibility on women. Additionally, participants described how in some cultures and families where there is a strong patriarchal family structure (e.g. some Asian and Pacific families), it is highly unlikely that a woman could effectively challenge, shape or influence the gambling behaviour of her male partner/spouse, particularly in the absence of broader whānau/family engagement and support.</w:t>
      </w:r>
    </w:p>
    <w:p w14:paraId="377A3409" w14:textId="77777777" w:rsidR="00341FAE" w:rsidRPr="00AD0040" w:rsidRDefault="00341FAE" w:rsidP="00341FAE">
      <w:pPr>
        <w:spacing w:line="259" w:lineRule="auto"/>
        <w:jc w:val="both"/>
      </w:pPr>
    </w:p>
    <w:p w14:paraId="662B0606" w14:textId="77777777" w:rsidR="00341FAE" w:rsidRDefault="00341FAE" w:rsidP="00341FAE">
      <w:pPr>
        <w:spacing w:line="259" w:lineRule="auto"/>
        <w:jc w:val="both"/>
      </w:pPr>
      <w:r w:rsidRPr="00AD0040">
        <w:t xml:space="preserve">Most panel members were clear that this approach was generally inappropriate and unethical for use with children. However, a panel member with expertise/experience in relation to Pacific populations reported that in some whānau contexts, young adults and children can be highly influential whilst in others the children would be at risk if they challenged the gambling behaviour of their parents or elders. </w:t>
      </w:r>
    </w:p>
    <w:p w14:paraId="1B92FC55" w14:textId="77777777" w:rsidR="00341FAE" w:rsidRDefault="00341FAE" w:rsidP="00341FAE">
      <w:pPr>
        <w:spacing w:line="259" w:lineRule="auto"/>
        <w:jc w:val="both"/>
      </w:pPr>
    </w:p>
    <w:p w14:paraId="70E70EC9" w14:textId="77777777" w:rsidR="00341FAE" w:rsidRPr="006D461F" w:rsidRDefault="00341FAE" w:rsidP="00341FAE">
      <w:pPr>
        <w:rPr>
          <w:b/>
          <w:bCs/>
          <w:lang w:eastAsia="en-NZ"/>
        </w:rPr>
      </w:pPr>
      <w:r w:rsidRPr="006D461F">
        <w:rPr>
          <w:b/>
          <w:bCs/>
          <w:lang w:eastAsia="en-NZ"/>
        </w:rPr>
        <w:t>Endorsement of literature inspired statements</w:t>
      </w:r>
    </w:p>
    <w:p w14:paraId="6B2F20EA" w14:textId="77777777" w:rsidR="00341FAE" w:rsidRDefault="00341FAE" w:rsidP="00341FAE">
      <w:pPr>
        <w:spacing w:line="259" w:lineRule="auto"/>
        <w:jc w:val="both"/>
      </w:pPr>
      <w:r>
        <w:t>Endorsement of literature inspired statements (see Round 1 questionnaire, Appendix One), suggested s</w:t>
      </w:r>
      <w:r w:rsidRPr="00527100">
        <w:t>trong support for social harm prevention and reduction and a focus on FAO wellbeing</w:t>
      </w:r>
      <w:r>
        <w:t xml:space="preserve">. </w:t>
      </w:r>
      <w:r w:rsidRPr="00527100">
        <w:t>There were diverging opinions around the relationship between supporting FAOs and reduction or improvement in the gambler/gambling behaviour</w:t>
      </w:r>
      <w:r>
        <w:t>. Over 75% of participants agreed with the notions that ‘All gambling harm interventions should seek to involve wider family/whanau’. Over two thirds of the panel agreed that ‘Much of what is discussed, decided on and done for FAOs in current services is ad-hoc and lacks strategy’, however the remaining participants were neutral/unsure.</w:t>
      </w:r>
    </w:p>
    <w:p w14:paraId="0A0EA06E" w14:textId="77777777" w:rsidR="00341FAE" w:rsidRDefault="00341FAE" w:rsidP="00341FAE">
      <w:pPr>
        <w:spacing w:line="259" w:lineRule="auto"/>
        <w:jc w:val="both"/>
      </w:pPr>
    </w:p>
    <w:p w14:paraId="6E2D5355" w14:textId="77777777" w:rsidR="00341FAE" w:rsidRPr="006D461F" w:rsidRDefault="00341FAE" w:rsidP="00341FAE">
      <w:pPr>
        <w:rPr>
          <w:b/>
          <w:bCs/>
          <w:i/>
          <w:iCs/>
        </w:rPr>
      </w:pPr>
      <w:r w:rsidRPr="006D461F">
        <w:rPr>
          <w:b/>
          <w:bCs/>
          <w:i/>
          <w:iCs/>
        </w:rPr>
        <w:t xml:space="preserve">Strong support for social harm prevention and reduction and a focus on FAO wellbeing </w:t>
      </w:r>
    </w:p>
    <w:p w14:paraId="5BE2C6A2" w14:textId="5ABBCF93" w:rsidR="00341FAE" w:rsidRDefault="00341FAE" w:rsidP="00341FAE">
      <w:pPr>
        <w:spacing w:line="259" w:lineRule="auto"/>
        <w:jc w:val="both"/>
      </w:pPr>
      <w:r w:rsidRPr="006D461F">
        <w:t>Analysis of 26 statements indicating convergence (agreement by over 80% of the panel)</w:t>
      </w:r>
      <w:r>
        <w:t xml:space="preserve"> revealed a preference for social harm reduction approaches and a focus on FAO wellbeing. Social approaches maintained a focus that was broader than the individual and included a clear </w:t>
      </w:r>
      <w:r>
        <w:lastRenderedPageBreak/>
        <w:t>harm prevention focus e.g. ‘It is important to teach young people how media, industry, family and peers influence opportunities and decisions to gamble’. Strong support for engaging service user and community knowledge and experience to reduce harm was evident, e.g. ‘Active engagement of FAOs in gambling harm reduction policy and service design is vital for harm reduction’, ‘Gambling harm reduction interventions for FAOs should be defined by the communities most affected’, and ‘</w:t>
      </w:r>
      <w:r w:rsidRPr="00271137">
        <w:t>FAOs require a supportive collective environment so that they can share their experiences and gain support from one another</w:t>
      </w:r>
      <w:r>
        <w:t>’.</w:t>
      </w:r>
    </w:p>
    <w:p w14:paraId="25EB1E47" w14:textId="77777777" w:rsidR="00341FAE" w:rsidRDefault="00341FAE" w:rsidP="00341FAE">
      <w:pPr>
        <w:spacing w:line="259" w:lineRule="auto"/>
        <w:jc w:val="both"/>
      </w:pPr>
    </w:p>
    <w:p w14:paraId="47F55313" w14:textId="77777777" w:rsidR="00341FAE" w:rsidRDefault="00341FAE" w:rsidP="00341FAE">
      <w:pPr>
        <w:spacing w:line="259" w:lineRule="auto"/>
        <w:jc w:val="both"/>
      </w:pPr>
      <w:r>
        <w:t xml:space="preserve">The importance of social and cultural context (including gender, cultural and socioeconomic background) for both the development of support and the evidence base was highlighted, e.g. ‘Social and cultural context must inform the design and implementation of support for FAOs’ and ‘Practice-based evidence must be taken seriously within service transformation, where the lived-experience of service users, family members, and practitioners are recognised.’ </w:t>
      </w:r>
    </w:p>
    <w:p w14:paraId="2980CC1B" w14:textId="77777777" w:rsidR="00341FAE" w:rsidRDefault="00341FAE" w:rsidP="00341FAE">
      <w:pPr>
        <w:spacing w:line="259" w:lineRule="auto"/>
        <w:jc w:val="both"/>
      </w:pPr>
    </w:p>
    <w:p w14:paraId="4D22F73B" w14:textId="77777777" w:rsidR="00341FAE" w:rsidRDefault="00341FAE" w:rsidP="00341FAE">
      <w:pPr>
        <w:spacing w:line="259" w:lineRule="auto"/>
        <w:jc w:val="both"/>
      </w:pPr>
      <w:r>
        <w:t>A focus on supporting FAO wellbeing independently of the gambler was clearly endorsed by the panel, e.g. ‘</w:t>
      </w:r>
      <w:r w:rsidRPr="00203A9A">
        <w:t>FAOs can be supported to reduce their distress and cope more effectively, even if the person with the gambling problem does not seek treatment</w:t>
      </w:r>
      <w:r>
        <w:t>’, ‘</w:t>
      </w:r>
      <w:r w:rsidRPr="00203A9A">
        <w:t>FAOs should be the focus of help and support in their own right, without necessary reference to the gambler's needs or issues</w:t>
      </w:r>
      <w:r>
        <w:t>’. The panel also converged on support for two key statements relevant to supporting FAOs to influence the person who is gambling: ‘FAOs can support behaviour change in the person who is gambling, even if the gambler never accesses formal treatment’ , ‘Including FAOs in the treatment of gamblers improves gambler treatment engagement, adherence, and overall outcome’.</w:t>
      </w:r>
    </w:p>
    <w:p w14:paraId="517380F4" w14:textId="77777777" w:rsidR="00341FAE" w:rsidRDefault="00341FAE" w:rsidP="00341FAE">
      <w:pPr>
        <w:spacing w:line="259" w:lineRule="auto"/>
        <w:jc w:val="both"/>
      </w:pPr>
    </w:p>
    <w:p w14:paraId="5726E768" w14:textId="77777777" w:rsidR="00341FAE" w:rsidRDefault="00341FAE" w:rsidP="00341FAE">
      <w:pPr>
        <w:spacing w:line="259" w:lineRule="auto"/>
        <w:jc w:val="both"/>
      </w:pPr>
    </w:p>
    <w:p w14:paraId="0A8867A9" w14:textId="77777777" w:rsidR="00341FAE" w:rsidRDefault="00341FAE" w:rsidP="00341FAE">
      <w:pPr>
        <w:spacing w:line="259" w:lineRule="auto"/>
        <w:jc w:val="both"/>
        <w:sectPr w:rsidR="00341FAE" w:rsidSect="00E137E0">
          <w:footerReference w:type="default" r:id="rId94"/>
          <w:pgSz w:w="11906" w:h="16838"/>
          <w:pgMar w:top="1440" w:right="1440" w:bottom="1440" w:left="1440" w:header="708" w:footer="708" w:gutter="0"/>
          <w:cols w:space="708"/>
          <w:docGrid w:linePitch="360"/>
        </w:sectPr>
      </w:pPr>
    </w:p>
    <w:p w14:paraId="2DFD80EF" w14:textId="77777777" w:rsidR="00341FAE" w:rsidRDefault="00341FAE" w:rsidP="00341FAE">
      <w:pPr>
        <w:pStyle w:val="Caption"/>
      </w:pPr>
      <w:bookmarkStart w:id="216" w:name="_Toc51240663"/>
      <w:r>
        <w:lastRenderedPageBreak/>
        <w:t>Table 18. Statement ratings suggesting convergence</w:t>
      </w:r>
      <w:bookmarkEnd w:id="216"/>
    </w:p>
    <w:tbl>
      <w:tblPr>
        <w:tblStyle w:val="TableGrid"/>
        <w:tblW w:w="0" w:type="auto"/>
        <w:tblLayout w:type="fixed"/>
        <w:tblLook w:val="04A0" w:firstRow="1" w:lastRow="0" w:firstColumn="1" w:lastColumn="0" w:noHBand="0" w:noVBand="1"/>
      </w:tblPr>
      <w:tblGrid>
        <w:gridCol w:w="7792"/>
        <w:gridCol w:w="879"/>
        <w:gridCol w:w="879"/>
        <w:gridCol w:w="880"/>
        <w:gridCol w:w="879"/>
        <w:gridCol w:w="880"/>
        <w:gridCol w:w="879"/>
        <w:gridCol w:w="880"/>
      </w:tblGrid>
      <w:tr w:rsidR="00341FAE" w:rsidRPr="00FE36FB" w14:paraId="37DF3725" w14:textId="77777777" w:rsidTr="00443763">
        <w:tc>
          <w:tcPr>
            <w:tcW w:w="7792" w:type="dxa"/>
          </w:tcPr>
          <w:p w14:paraId="71480FB0" w14:textId="77777777" w:rsidR="00341FAE" w:rsidRPr="00FE36FB" w:rsidRDefault="00341FAE" w:rsidP="00443763">
            <w:pPr>
              <w:spacing w:line="240" w:lineRule="auto"/>
              <w:jc w:val="both"/>
              <w:rPr>
                <w:b/>
                <w:bCs/>
                <w:sz w:val="22"/>
                <w:szCs w:val="22"/>
              </w:rPr>
            </w:pPr>
            <w:r w:rsidRPr="00FE36FB">
              <w:rPr>
                <w:b/>
                <w:bCs/>
                <w:sz w:val="22"/>
                <w:szCs w:val="22"/>
              </w:rPr>
              <w:t>Statement</w:t>
            </w:r>
          </w:p>
        </w:tc>
        <w:tc>
          <w:tcPr>
            <w:tcW w:w="879" w:type="dxa"/>
          </w:tcPr>
          <w:p w14:paraId="748EBBFC" w14:textId="77777777" w:rsidR="00341FAE" w:rsidRPr="00FE36FB" w:rsidRDefault="00341FAE" w:rsidP="00443763">
            <w:pPr>
              <w:spacing w:line="240" w:lineRule="auto"/>
              <w:jc w:val="both"/>
              <w:rPr>
                <w:b/>
                <w:bCs/>
                <w:sz w:val="18"/>
                <w:szCs w:val="18"/>
              </w:rPr>
            </w:pPr>
            <w:r w:rsidRPr="00FE36FB">
              <w:rPr>
                <w:b/>
                <w:bCs/>
                <w:sz w:val="18"/>
                <w:szCs w:val="18"/>
              </w:rPr>
              <w:t>Strongly agree</w:t>
            </w:r>
          </w:p>
        </w:tc>
        <w:tc>
          <w:tcPr>
            <w:tcW w:w="879" w:type="dxa"/>
          </w:tcPr>
          <w:p w14:paraId="22CEA5DD" w14:textId="77777777" w:rsidR="00341FAE" w:rsidRPr="00FE36FB" w:rsidRDefault="00341FAE" w:rsidP="00443763">
            <w:pPr>
              <w:spacing w:line="240" w:lineRule="auto"/>
              <w:jc w:val="both"/>
              <w:rPr>
                <w:b/>
                <w:bCs/>
                <w:sz w:val="18"/>
                <w:szCs w:val="18"/>
              </w:rPr>
            </w:pPr>
            <w:r w:rsidRPr="00FE36FB">
              <w:rPr>
                <w:b/>
                <w:bCs/>
                <w:sz w:val="18"/>
                <w:szCs w:val="18"/>
              </w:rPr>
              <w:t>Agree</w:t>
            </w:r>
          </w:p>
        </w:tc>
        <w:tc>
          <w:tcPr>
            <w:tcW w:w="880" w:type="dxa"/>
          </w:tcPr>
          <w:p w14:paraId="6CBDD7BD" w14:textId="77777777" w:rsidR="00341FAE" w:rsidRPr="00FE36FB" w:rsidRDefault="00341FAE" w:rsidP="00443763">
            <w:pPr>
              <w:spacing w:line="240" w:lineRule="auto"/>
              <w:jc w:val="both"/>
              <w:rPr>
                <w:b/>
                <w:bCs/>
                <w:sz w:val="18"/>
                <w:szCs w:val="18"/>
              </w:rPr>
            </w:pPr>
            <w:r w:rsidRPr="00FE36FB">
              <w:rPr>
                <w:b/>
                <w:bCs/>
                <w:sz w:val="18"/>
                <w:szCs w:val="18"/>
              </w:rPr>
              <w:t>Some</w:t>
            </w:r>
            <w:r>
              <w:rPr>
                <w:b/>
                <w:bCs/>
                <w:sz w:val="18"/>
                <w:szCs w:val="18"/>
              </w:rPr>
              <w:t>-</w:t>
            </w:r>
            <w:r w:rsidRPr="00FE36FB">
              <w:rPr>
                <w:b/>
                <w:bCs/>
                <w:sz w:val="18"/>
                <w:szCs w:val="18"/>
              </w:rPr>
              <w:t>what agree</w:t>
            </w:r>
          </w:p>
        </w:tc>
        <w:tc>
          <w:tcPr>
            <w:tcW w:w="879" w:type="dxa"/>
          </w:tcPr>
          <w:p w14:paraId="4A0A604D" w14:textId="77777777" w:rsidR="00341FAE" w:rsidRPr="00FE36FB" w:rsidRDefault="00341FAE" w:rsidP="00443763">
            <w:pPr>
              <w:spacing w:line="240" w:lineRule="auto"/>
              <w:jc w:val="both"/>
              <w:rPr>
                <w:b/>
                <w:bCs/>
                <w:sz w:val="18"/>
                <w:szCs w:val="18"/>
              </w:rPr>
            </w:pPr>
            <w:r w:rsidRPr="00FE36FB">
              <w:rPr>
                <w:b/>
                <w:bCs/>
                <w:sz w:val="18"/>
                <w:szCs w:val="18"/>
              </w:rPr>
              <w:t>Neutral</w:t>
            </w:r>
          </w:p>
        </w:tc>
        <w:tc>
          <w:tcPr>
            <w:tcW w:w="880" w:type="dxa"/>
          </w:tcPr>
          <w:p w14:paraId="0B1D4085" w14:textId="77777777" w:rsidR="00341FAE" w:rsidRDefault="00341FAE" w:rsidP="00443763">
            <w:pPr>
              <w:spacing w:line="240" w:lineRule="auto"/>
              <w:jc w:val="both"/>
              <w:rPr>
                <w:b/>
                <w:bCs/>
                <w:sz w:val="18"/>
                <w:szCs w:val="18"/>
              </w:rPr>
            </w:pPr>
            <w:r w:rsidRPr="00FE36FB">
              <w:rPr>
                <w:b/>
                <w:bCs/>
                <w:sz w:val="18"/>
                <w:szCs w:val="18"/>
              </w:rPr>
              <w:t>Some</w:t>
            </w:r>
            <w:r>
              <w:rPr>
                <w:b/>
                <w:bCs/>
                <w:sz w:val="18"/>
                <w:szCs w:val="18"/>
              </w:rPr>
              <w:t>-</w:t>
            </w:r>
          </w:p>
          <w:p w14:paraId="7C40D9EC" w14:textId="77777777" w:rsidR="00341FAE" w:rsidRPr="00FE36FB" w:rsidRDefault="00341FAE" w:rsidP="00443763">
            <w:pPr>
              <w:spacing w:line="240" w:lineRule="auto"/>
              <w:jc w:val="both"/>
              <w:rPr>
                <w:b/>
                <w:bCs/>
                <w:sz w:val="18"/>
                <w:szCs w:val="18"/>
              </w:rPr>
            </w:pPr>
            <w:r w:rsidRPr="00FE36FB">
              <w:rPr>
                <w:b/>
                <w:bCs/>
                <w:sz w:val="18"/>
                <w:szCs w:val="18"/>
              </w:rPr>
              <w:t>what disagree</w:t>
            </w:r>
          </w:p>
        </w:tc>
        <w:tc>
          <w:tcPr>
            <w:tcW w:w="879" w:type="dxa"/>
          </w:tcPr>
          <w:p w14:paraId="5EF527FF" w14:textId="77777777" w:rsidR="00341FAE" w:rsidRPr="00FE36FB" w:rsidRDefault="00341FAE" w:rsidP="00443763">
            <w:pPr>
              <w:spacing w:line="240" w:lineRule="auto"/>
              <w:jc w:val="both"/>
              <w:rPr>
                <w:b/>
                <w:bCs/>
                <w:sz w:val="18"/>
                <w:szCs w:val="18"/>
              </w:rPr>
            </w:pPr>
            <w:r w:rsidRPr="00FE36FB">
              <w:rPr>
                <w:b/>
                <w:bCs/>
                <w:sz w:val="18"/>
                <w:szCs w:val="18"/>
              </w:rPr>
              <w:t>Disagree</w:t>
            </w:r>
          </w:p>
        </w:tc>
        <w:tc>
          <w:tcPr>
            <w:tcW w:w="880" w:type="dxa"/>
          </w:tcPr>
          <w:p w14:paraId="7E0C45D0" w14:textId="77777777" w:rsidR="00341FAE" w:rsidRPr="00FE36FB" w:rsidRDefault="00341FAE" w:rsidP="00443763">
            <w:pPr>
              <w:spacing w:line="240" w:lineRule="auto"/>
              <w:jc w:val="both"/>
              <w:rPr>
                <w:b/>
                <w:bCs/>
                <w:sz w:val="18"/>
                <w:szCs w:val="18"/>
              </w:rPr>
            </w:pPr>
            <w:r w:rsidRPr="00FE36FB">
              <w:rPr>
                <w:b/>
                <w:bCs/>
                <w:sz w:val="18"/>
                <w:szCs w:val="18"/>
              </w:rPr>
              <w:t>Strongly disagree</w:t>
            </w:r>
          </w:p>
        </w:tc>
      </w:tr>
      <w:tr w:rsidR="00341FAE" w:rsidRPr="00FE36FB" w14:paraId="5786C8ED" w14:textId="77777777" w:rsidTr="00443763">
        <w:tc>
          <w:tcPr>
            <w:tcW w:w="7792" w:type="dxa"/>
          </w:tcPr>
          <w:p w14:paraId="09536694" w14:textId="77777777" w:rsidR="00341FAE" w:rsidRPr="00FE36FB" w:rsidRDefault="00341FAE" w:rsidP="00443763">
            <w:pPr>
              <w:spacing w:line="240" w:lineRule="auto"/>
              <w:jc w:val="both"/>
              <w:rPr>
                <w:b/>
                <w:bCs/>
                <w:sz w:val="22"/>
                <w:szCs w:val="22"/>
              </w:rPr>
            </w:pPr>
          </w:p>
        </w:tc>
        <w:tc>
          <w:tcPr>
            <w:tcW w:w="879" w:type="dxa"/>
          </w:tcPr>
          <w:p w14:paraId="5F92F0F7" w14:textId="77777777" w:rsidR="00341FAE" w:rsidRPr="00FE36FB" w:rsidRDefault="00341FAE" w:rsidP="00443763">
            <w:pPr>
              <w:spacing w:line="240" w:lineRule="auto"/>
              <w:jc w:val="right"/>
              <w:rPr>
                <w:b/>
                <w:bCs/>
                <w:sz w:val="22"/>
                <w:szCs w:val="22"/>
              </w:rPr>
            </w:pPr>
            <w:r w:rsidRPr="00FE36FB">
              <w:rPr>
                <w:b/>
                <w:bCs/>
                <w:sz w:val="22"/>
                <w:szCs w:val="22"/>
              </w:rPr>
              <w:t>%</w:t>
            </w:r>
          </w:p>
        </w:tc>
        <w:tc>
          <w:tcPr>
            <w:tcW w:w="879" w:type="dxa"/>
          </w:tcPr>
          <w:p w14:paraId="23330C39" w14:textId="77777777" w:rsidR="00341FAE" w:rsidRPr="00FE36FB" w:rsidRDefault="00341FAE" w:rsidP="00443763">
            <w:pPr>
              <w:spacing w:line="240" w:lineRule="auto"/>
              <w:jc w:val="right"/>
              <w:rPr>
                <w:b/>
                <w:bCs/>
                <w:sz w:val="22"/>
                <w:szCs w:val="22"/>
              </w:rPr>
            </w:pPr>
            <w:r w:rsidRPr="00FE36FB">
              <w:rPr>
                <w:b/>
                <w:bCs/>
                <w:sz w:val="22"/>
                <w:szCs w:val="22"/>
              </w:rPr>
              <w:t>%</w:t>
            </w:r>
          </w:p>
        </w:tc>
        <w:tc>
          <w:tcPr>
            <w:tcW w:w="880" w:type="dxa"/>
          </w:tcPr>
          <w:p w14:paraId="7868AE09" w14:textId="77777777" w:rsidR="00341FAE" w:rsidRPr="00FE36FB" w:rsidRDefault="00341FAE" w:rsidP="00443763">
            <w:pPr>
              <w:spacing w:line="240" w:lineRule="auto"/>
              <w:jc w:val="right"/>
              <w:rPr>
                <w:b/>
                <w:bCs/>
                <w:sz w:val="22"/>
                <w:szCs w:val="22"/>
              </w:rPr>
            </w:pPr>
            <w:r w:rsidRPr="00FE36FB">
              <w:rPr>
                <w:b/>
                <w:bCs/>
                <w:sz w:val="22"/>
                <w:szCs w:val="22"/>
              </w:rPr>
              <w:t>%</w:t>
            </w:r>
          </w:p>
        </w:tc>
        <w:tc>
          <w:tcPr>
            <w:tcW w:w="879" w:type="dxa"/>
          </w:tcPr>
          <w:p w14:paraId="62E98C79" w14:textId="77777777" w:rsidR="00341FAE" w:rsidRPr="00FE36FB" w:rsidRDefault="00341FAE" w:rsidP="00443763">
            <w:pPr>
              <w:spacing w:line="240" w:lineRule="auto"/>
              <w:jc w:val="right"/>
              <w:rPr>
                <w:b/>
                <w:bCs/>
                <w:sz w:val="22"/>
                <w:szCs w:val="22"/>
              </w:rPr>
            </w:pPr>
            <w:r w:rsidRPr="00FE36FB">
              <w:rPr>
                <w:b/>
                <w:bCs/>
                <w:sz w:val="22"/>
                <w:szCs w:val="22"/>
              </w:rPr>
              <w:t>%</w:t>
            </w:r>
          </w:p>
        </w:tc>
        <w:tc>
          <w:tcPr>
            <w:tcW w:w="880" w:type="dxa"/>
          </w:tcPr>
          <w:p w14:paraId="34BEEBE1" w14:textId="77777777" w:rsidR="00341FAE" w:rsidRPr="00FE36FB" w:rsidRDefault="00341FAE" w:rsidP="00443763">
            <w:pPr>
              <w:spacing w:line="240" w:lineRule="auto"/>
              <w:jc w:val="right"/>
              <w:rPr>
                <w:b/>
                <w:bCs/>
                <w:sz w:val="22"/>
                <w:szCs w:val="22"/>
              </w:rPr>
            </w:pPr>
            <w:r w:rsidRPr="00FE36FB">
              <w:rPr>
                <w:b/>
                <w:bCs/>
                <w:sz w:val="22"/>
                <w:szCs w:val="22"/>
              </w:rPr>
              <w:t>%</w:t>
            </w:r>
          </w:p>
        </w:tc>
        <w:tc>
          <w:tcPr>
            <w:tcW w:w="879" w:type="dxa"/>
          </w:tcPr>
          <w:p w14:paraId="1B6BDC20" w14:textId="77777777" w:rsidR="00341FAE" w:rsidRPr="00FE36FB" w:rsidRDefault="00341FAE" w:rsidP="00443763">
            <w:pPr>
              <w:spacing w:line="240" w:lineRule="auto"/>
              <w:jc w:val="right"/>
              <w:rPr>
                <w:b/>
                <w:bCs/>
                <w:sz w:val="22"/>
                <w:szCs w:val="22"/>
              </w:rPr>
            </w:pPr>
            <w:r w:rsidRPr="00FE36FB">
              <w:rPr>
                <w:b/>
                <w:bCs/>
                <w:sz w:val="22"/>
                <w:szCs w:val="22"/>
              </w:rPr>
              <w:t>%</w:t>
            </w:r>
          </w:p>
        </w:tc>
        <w:tc>
          <w:tcPr>
            <w:tcW w:w="880" w:type="dxa"/>
          </w:tcPr>
          <w:p w14:paraId="13E872BF" w14:textId="77777777" w:rsidR="00341FAE" w:rsidRPr="00FE36FB" w:rsidRDefault="00341FAE" w:rsidP="00443763">
            <w:pPr>
              <w:spacing w:line="240" w:lineRule="auto"/>
              <w:jc w:val="right"/>
              <w:rPr>
                <w:b/>
                <w:bCs/>
                <w:sz w:val="22"/>
                <w:szCs w:val="22"/>
              </w:rPr>
            </w:pPr>
            <w:r w:rsidRPr="00FE36FB">
              <w:rPr>
                <w:b/>
                <w:bCs/>
                <w:sz w:val="22"/>
                <w:szCs w:val="22"/>
              </w:rPr>
              <w:t>%</w:t>
            </w:r>
          </w:p>
        </w:tc>
      </w:tr>
      <w:tr w:rsidR="00341FAE" w:rsidRPr="00FE36FB" w14:paraId="70865D20" w14:textId="77777777" w:rsidTr="00443763">
        <w:tc>
          <w:tcPr>
            <w:tcW w:w="7792" w:type="dxa"/>
          </w:tcPr>
          <w:p w14:paraId="68D70722" w14:textId="77777777" w:rsidR="00341FAE" w:rsidRPr="00FE36FB" w:rsidRDefault="00341FAE" w:rsidP="00443763">
            <w:pPr>
              <w:spacing w:line="240" w:lineRule="auto"/>
              <w:rPr>
                <w:sz w:val="22"/>
                <w:szCs w:val="22"/>
              </w:rPr>
            </w:pPr>
            <w:r w:rsidRPr="00D040F2">
              <w:t>Practitioners must integrate knowledge of the social and cultural context of people, families and whānau they are working with.</w:t>
            </w:r>
          </w:p>
        </w:tc>
        <w:tc>
          <w:tcPr>
            <w:tcW w:w="879" w:type="dxa"/>
          </w:tcPr>
          <w:p w14:paraId="1C3997CB" w14:textId="77777777" w:rsidR="00341FAE" w:rsidRPr="00FE36FB" w:rsidRDefault="00341FAE" w:rsidP="00443763">
            <w:pPr>
              <w:spacing w:line="240" w:lineRule="auto"/>
              <w:jc w:val="right"/>
              <w:rPr>
                <w:sz w:val="22"/>
                <w:szCs w:val="22"/>
              </w:rPr>
            </w:pPr>
            <w:r w:rsidRPr="00D040F2">
              <w:t>79.3</w:t>
            </w:r>
          </w:p>
        </w:tc>
        <w:tc>
          <w:tcPr>
            <w:tcW w:w="879" w:type="dxa"/>
          </w:tcPr>
          <w:p w14:paraId="6881048F" w14:textId="77777777" w:rsidR="00341FAE" w:rsidRPr="00FE36FB" w:rsidRDefault="00341FAE" w:rsidP="00443763">
            <w:pPr>
              <w:spacing w:line="240" w:lineRule="auto"/>
              <w:jc w:val="right"/>
              <w:rPr>
                <w:sz w:val="22"/>
                <w:szCs w:val="22"/>
              </w:rPr>
            </w:pPr>
            <w:r w:rsidRPr="00D040F2">
              <w:t>20.7</w:t>
            </w:r>
          </w:p>
        </w:tc>
        <w:tc>
          <w:tcPr>
            <w:tcW w:w="880" w:type="dxa"/>
          </w:tcPr>
          <w:p w14:paraId="3898DC88" w14:textId="77777777" w:rsidR="00341FAE" w:rsidRPr="00FE36FB" w:rsidRDefault="00341FAE" w:rsidP="00443763">
            <w:pPr>
              <w:spacing w:line="240" w:lineRule="auto"/>
              <w:jc w:val="right"/>
              <w:rPr>
                <w:sz w:val="22"/>
                <w:szCs w:val="22"/>
              </w:rPr>
            </w:pPr>
            <w:r w:rsidRPr="00D040F2">
              <w:t>0.0</w:t>
            </w:r>
          </w:p>
        </w:tc>
        <w:tc>
          <w:tcPr>
            <w:tcW w:w="879" w:type="dxa"/>
          </w:tcPr>
          <w:p w14:paraId="5B512D8A" w14:textId="77777777" w:rsidR="00341FAE" w:rsidRPr="00FE36FB" w:rsidRDefault="00341FAE" w:rsidP="00443763">
            <w:pPr>
              <w:spacing w:line="240" w:lineRule="auto"/>
              <w:jc w:val="right"/>
              <w:rPr>
                <w:sz w:val="22"/>
                <w:szCs w:val="22"/>
              </w:rPr>
            </w:pPr>
            <w:r w:rsidRPr="00D040F2">
              <w:t>0.0</w:t>
            </w:r>
          </w:p>
        </w:tc>
        <w:tc>
          <w:tcPr>
            <w:tcW w:w="880" w:type="dxa"/>
          </w:tcPr>
          <w:p w14:paraId="544CE2B2" w14:textId="77777777" w:rsidR="00341FAE" w:rsidRPr="00FE36FB" w:rsidRDefault="00341FAE" w:rsidP="00443763">
            <w:pPr>
              <w:spacing w:line="240" w:lineRule="auto"/>
              <w:jc w:val="right"/>
              <w:rPr>
                <w:sz w:val="22"/>
                <w:szCs w:val="22"/>
              </w:rPr>
            </w:pPr>
            <w:r w:rsidRPr="00D040F2">
              <w:t>0.0</w:t>
            </w:r>
          </w:p>
        </w:tc>
        <w:tc>
          <w:tcPr>
            <w:tcW w:w="879" w:type="dxa"/>
          </w:tcPr>
          <w:p w14:paraId="24A19F28" w14:textId="77777777" w:rsidR="00341FAE" w:rsidRPr="00FE36FB" w:rsidRDefault="00341FAE" w:rsidP="00443763">
            <w:pPr>
              <w:spacing w:line="240" w:lineRule="auto"/>
              <w:jc w:val="right"/>
              <w:rPr>
                <w:sz w:val="22"/>
                <w:szCs w:val="22"/>
              </w:rPr>
            </w:pPr>
            <w:r w:rsidRPr="00D040F2">
              <w:t>0.0</w:t>
            </w:r>
          </w:p>
        </w:tc>
        <w:tc>
          <w:tcPr>
            <w:tcW w:w="880" w:type="dxa"/>
          </w:tcPr>
          <w:p w14:paraId="676388DC" w14:textId="77777777" w:rsidR="00341FAE" w:rsidRPr="00FE36FB" w:rsidRDefault="00341FAE" w:rsidP="00443763">
            <w:pPr>
              <w:spacing w:line="240" w:lineRule="auto"/>
              <w:jc w:val="right"/>
              <w:rPr>
                <w:sz w:val="22"/>
                <w:szCs w:val="22"/>
              </w:rPr>
            </w:pPr>
            <w:r w:rsidRPr="00D040F2">
              <w:t>0.0</w:t>
            </w:r>
          </w:p>
        </w:tc>
      </w:tr>
      <w:tr w:rsidR="00341FAE" w:rsidRPr="00FE36FB" w14:paraId="35C3C326" w14:textId="77777777" w:rsidTr="00443763">
        <w:tc>
          <w:tcPr>
            <w:tcW w:w="7792" w:type="dxa"/>
          </w:tcPr>
          <w:p w14:paraId="6DAF8278" w14:textId="77777777" w:rsidR="00341FAE" w:rsidRPr="00FE36FB" w:rsidRDefault="00341FAE" w:rsidP="00443763">
            <w:pPr>
              <w:spacing w:line="240" w:lineRule="auto"/>
              <w:jc w:val="both"/>
              <w:rPr>
                <w:sz w:val="22"/>
                <w:szCs w:val="22"/>
              </w:rPr>
            </w:pPr>
            <w:r w:rsidRPr="00D040F2">
              <w:t>Practice-based evidence must be taken seriously within service transformation, where the lived-experience of service users, family members, and practitioners are recognised.</w:t>
            </w:r>
          </w:p>
        </w:tc>
        <w:tc>
          <w:tcPr>
            <w:tcW w:w="879" w:type="dxa"/>
          </w:tcPr>
          <w:p w14:paraId="012D1A87" w14:textId="77777777" w:rsidR="00341FAE" w:rsidRPr="00FE36FB" w:rsidRDefault="00341FAE" w:rsidP="00443763">
            <w:pPr>
              <w:spacing w:line="240" w:lineRule="auto"/>
              <w:jc w:val="right"/>
              <w:rPr>
                <w:sz w:val="22"/>
                <w:szCs w:val="22"/>
              </w:rPr>
            </w:pPr>
            <w:r w:rsidRPr="00D040F2">
              <w:t>69.0</w:t>
            </w:r>
          </w:p>
        </w:tc>
        <w:tc>
          <w:tcPr>
            <w:tcW w:w="879" w:type="dxa"/>
          </w:tcPr>
          <w:p w14:paraId="3A5F53EE" w14:textId="77777777" w:rsidR="00341FAE" w:rsidRPr="00FE36FB" w:rsidRDefault="00341FAE" w:rsidP="00443763">
            <w:pPr>
              <w:spacing w:line="240" w:lineRule="auto"/>
              <w:jc w:val="right"/>
              <w:rPr>
                <w:sz w:val="22"/>
                <w:szCs w:val="22"/>
              </w:rPr>
            </w:pPr>
            <w:r w:rsidRPr="00D040F2">
              <w:t>24.1</w:t>
            </w:r>
          </w:p>
        </w:tc>
        <w:tc>
          <w:tcPr>
            <w:tcW w:w="880" w:type="dxa"/>
          </w:tcPr>
          <w:p w14:paraId="7623B5B7" w14:textId="77777777" w:rsidR="00341FAE" w:rsidRPr="00FE36FB" w:rsidRDefault="00341FAE" w:rsidP="00443763">
            <w:pPr>
              <w:spacing w:line="240" w:lineRule="auto"/>
              <w:jc w:val="right"/>
              <w:rPr>
                <w:sz w:val="22"/>
                <w:szCs w:val="22"/>
              </w:rPr>
            </w:pPr>
            <w:r w:rsidRPr="00D040F2">
              <w:t>3.4</w:t>
            </w:r>
          </w:p>
        </w:tc>
        <w:tc>
          <w:tcPr>
            <w:tcW w:w="879" w:type="dxa"/>
          </w:tcPr>
          <w:p w14:paraId="52FF1422" w14:textId="77777777" w:rsidR="00341FAE" w:rsidRPr="00FE36FB" w:rsidRDefault="00341FAE" w:rsidP="00443763">
            <w:pPr>
              <w:spacing w:line="240" w:lineRule="auto"/>
              <w:jc w:val="right"/>
              <w:rPr>
                <w:sz w:val="22"/>
                <w:szCs w:val="22"/>
              </w:rPr>
            </w:pPr>
            <w:r w:rsidRPr="00D040F2">
              <w:t>3.4</w:t>
            </w:r>
          </w:p>
        </w:tc>
        <w:tc>
          <w:tcPr>
            <w:tcW w:w="880" w:type="dxa"/>
          </w:tcPr>
          <w:p w14:paraId="1EB43080" w14:textId="77777777" w:rsidR="00341FAE" w:rsidRPr="00FE36FB" w:rsidRDefault="00341FAE" w:rsidP="00443763">
            <w:pPr>
              <w:spacing w:line="240" w:lineRule="auto"/>
              <w:jc w:val="right"/>
              <w:rPr>
                <w:sz w:val="22"/>
                <w:szCs w:val="22"/>
              </w:rPr>
            </w:pPr>
            <w:r w:rsidRPr="00D040F2">
              <w:t>0.0</w:t>
            </w:r>
          </w:p>
        </w:tc>
        <w:tc>
          <w:tcPr>
            <w:tcW w:w="879" w:type="dxa"/>
          </w:tcPr>
          <w:p w14:paraId="01B5514E" w14:textId="77777777" w:rsidR="00341FAE" w:rsidRPr="00FE36FB" w:rsidRDefault="00341FAE" w:rsidP="00443763">
            <w:pPr>
              <w:spacing w:line="240" w:lineRule="auto"/>
              <w:jc w:val="right"/>
              <w:rPr>
                <w:sz w:val="22"/>
                <w:szCs w:val="22"/>
              </w:rPr>
            </w:pPr>
            <w:r w:rsidRPr="00D040F2">
              <w:t>0.0</w:t>
            </w:r>
          </w:p>
        </w:tc>
        <w:tc>
          <w:tcPr>
            <w:tcW w:w="880" w:type="dxa"/>
          </w:tcPr>
          <w:p w14:paraId="23FCD6A8" w14:textId="77777777" w:rsidR="00341FAE" w:rsidRPr="00FE36FB" w:rsidRDefault="00341FAE" w:rsidP="00443763">
            <w:pPr>
              <w:spacing w:line="240" w:lineRule="auto"/>
              <w:jc w:val="right"/>
              <w:rPr>
                <w:sz w:val="22"/>
                <w:szCs w:val="22"/>
              </w:rPr>
            </w:pPr>
            <w:r w:rsidRPr="00D040F2">
              <w:t>0.0</w:t>
            </w:r>
          </w:p>
        </w:tc>
      </w:tr>
      <w:tr w:rsidR="00341FAE" w:rsidRPr="00FE36FB" w14:paraId="74B7E9ED" w14:textId="77777777" w:rsidTr="00443763">
        <w:tc>
          <w:tcPr>
            <w:tcW w:w="7792" w:type="dxa"/>
          </w:tcPr>
          <w:p w14:paraId="32226AAA" w14:textId="77777777" w:rsidR="00341FAE" w:rsidRPr="00FE36FB" w:rsidRDefault="00341FAE" w:rsidP="00443763">
            <w:pPr>
              <w:spacing w:line="240" w:lineRule="auto"/>
              <w:jc w:val="both"/>
              <w:rPr>
                <w:sz w:val="22"/>
                <w:szCs w:val="22"/>
              </w:rPr>
            </w:pPr>
            <w:r w:rsidRPr="00D040F2">
              <w:t>Social and cultural context must inform the design and implementation of support for FAOs.</w:t>
            </w:r>
          </w:p>
        </w:tc>
        <w:tc>
          <w:tcPr>
            <w:tcW w:w="879" w:type="dxa"/>
          </w:tcPr>
          <w:p w14:paraId="6D62B7C6" w14:textId="77777777" w:rsidR="00341FAE" w:rsidRPr="00FE36FB" w:rsidRDefault="00341FAE" w:rsidP="00443763">
            <w:pPr>
              <w:spacing w:line="240" w:lineRule="auto"/>
              <w:jc w:val="right"/>
              <w:rPr>
                <w:sz w:val="22"/>
                <w:szCs w:val="22"/>
              </w:rPr>
            </w:pPr>
            <w:r w:rsidRPr="00D040F2">
              <w:t>62.1</w:t>
            </w:r>
          </w:p>
        </w:tc>
        <w:tc>
          <w:tcPr>
            <w:tcW w:w="879" w:type="dxa"/>
          </w:tcPr>
          <w:p w14:paraId="7F3113B9" w14:textId="77777777" w:rsidR="00341FAE" w:rsidRPr="00FE36FB" w:rsidRDefault="00341FAE" w:rsidP="00443763">
            <w:pPr>
              <w:spacing w:line="240" w:lineRule="auto"/>
              <w:jc w:val="right"/>
              <w:rPr>
                <w:sz w:val="22"/>
                <w:szCs w:val="22"/>
              </w:rPr>
            </w:pPr>
            <w:r w:rsidRPr="00D040F2">
              <w:t>37.9</w:t>
            </w:r>
          </w:p>
        </w:tc>
        <w:tc>
          <w:tcPr>
            <w:tcW w:w="880" w:type="dxa"/>
          </w:tcPr>
          <w:p w14:paraId="18CE9686" w14:textId="77777777" w:rsidR="00341FAE" w:rsidRPr="00FE36FB" w:rsidRDefault="00341FAE" w:rsidP="00443763">
            <w:pPr>
              <w:spacing w:line="240" w:lineRule="auto"/>
              <w:jc w:val="right"/>
              <w:rPr>
                <w:sz w:val="22"/>
                <w:szCs w:val="22"/>
              </w:rPr>
            </w:pPr>
            <w:r w:rsidRPr="00D040F2">
              <w:t>0.0</w:t>
            </w:r>
          </w:p>
        </w:tc>
        <w:tc>
          <w:tcPr>
            <w:tcW w:w="879" w:type="dxa"/>
          </w:tcPr>
          <w:p w14:paraId="48713EF6" w14:textId="77777777" w:rsidR="00341FAE" w:rsidRPr="00FE36FB" w:rsidRDefault="00341FAE" w:rsidP="00443763">
            <w:pPr>
              <w:spacing w:line="240" w:lineRule="auto"/>
              <w:jc w:val="right"/>
              <w:rPr>
                <w:sz w:val="22"/>
                <w:szCs w:val="22"/>
              </w:rPr>
            </w:pPr>
            <w:r w:rsidRPr="00D040F2">
              <w:t>0.0</w:t>
            </w:r>
          </w:p>
        </w:tc>
        <w:tc>
          <w:tcPr>
            <w:tcW w:w="880" w:type="dxa"/>
          </w:tcPr>
          <w:p w14:paraId="3B894A9E" w14:textId="77777777" w:rsidR="00341FAE" w:rsidRPr="00FE36FB" w:rsidRDefault="00341FAE" w:rsidP="00443763">
            <w:pPr>
              <w:spacing w:line="240" w:lineRule="auto"/>
              <w:jc w:val="right"/>
              <w:rPr>
                <w:sz w:val="22"/>
                <w:szCs w:val="22"/>
              </w:rPr>
            </w:pPr>
            <w:r w:rsidRPr="00D040F2">
              <w:t>0.0</w:t>
            </w:r>
          </w:p>
        </w:tc>
        <w:tc>
          <w:tcPr>
            <w:tcW w:w="879" w:type="dxa"/>
          </w:tcPr>
          <w:p w14:paraId="1D0074C7" w14:textId="77777777" w:rsidR="00341FAE" w:rsidRPr="00FE36FB" w:rsidRDefault="00341FAE" w:rsidP="00443763">
            <w:pPr>
              <w:spacing w:line="240" w:lineRule="auto"/>
              <w:jc w:val="right"/>
              <w:rPr>
                <w:sz w:val="22"/>
                <w:szCs w:val="22"/>
              </w:rPr>
            </w:pPr>
            <w:r w:rsidRPr="00D040F2">
              <w:t>0.0</w:t>
            </w:r>
          </w:p>
        </w:tc>
        <w:tc>
          <w:tcPr>
            <w:tcW w:w="880" w:type="dxa"/>
          </w:tcPr>
          <w:p w14:paraId="358CC6EB" w14:textId="77777777" w:rsidR="00341FAE" w:rsidRPr="00FE36FB" w:rsidRDefault="00341FAE" w:rsidP="00443763">
            <w:pPr>
              <w:spacing w:line="240" w:lineRule="auto"/>
              <w:jc w:val="right"/>
              <w:rPr>
                <w:sz w:val="22"/>
                <w:szCs w:val="22"/>
              </w:rPr>
            </w:pPr>
            <w:r w:rsidRPr="00D040F2">
              <w:t>0.0</w:t>
            </w:r>
          </w:p>
        </w:tc>
      </w:tr>
      <w:tr w:rsidR="00341FAE" w:rsidRPr="00FE36FB" w14:paraId="1EAB7494" w14:textId="77777777" w:rsidTr="00443763">
        <w:tc>
          <w:tcPr>
            <w:tcW w:w="7792" w:type="dxa"/>
          </w:tcPr>
          <w:p w14:paraId="4E963104" w14:textId="77777777" w:rsidR="00341FAE" w:rsidRPr="00FE36FB" w:rsidRDefault="00341FAE" w:rsidP="00443763">
            <w:pPr>
              <w:spacing w:line="240" w:lineRule="auto"/>
              <w:jc w:val="both"/>
              <w:rPr>
                <w:sz w:val="22"/>
                <w:szCs w:val="22"/>
              </w:rPr>
            </w:pPr>
            <w:r w:rsidRPr="00D040F2">
              <w:t>The most important thing professionals can do is listen non-judgmentally to FAOs as they describe the problem in their own terms.</w:t>
            </w:r>
          </w:p>
        </w:tc>
        <w:tc>
          <w:tcPr>
            <w:tcW w:w="879" w:type="dxa"/>
          </w:tcPr>
          <w:p w14:paraId="72E35379" w14:textId="77777777" w:rsidR="00341FAE" w:rsidRPr="00FE36FB" w:rsidRDefault="00341FAE" w:rsidP="00443763">
            <w:pPr>
              <w:spacing w:line="240" w:lineRule="auto"/>
              <w:jc w:val="right"/>
              <w:rPr>
                <w:sz w:val="22"/>
                <w:szCs w:val="22"/>
              </w:rPr>
            </w:pPr>
            <w:r w:rsidRPr="00D040F2">
              <w:t>58.6</w:t>
            </w:r>
          </w:p>
        </w:tc>
        <w:tc>
          <w:tcPr>
            <w:tcW w:w="879" w:type="dxa"/>
          </w:tcPr>
          <w:p w14:paraId="16062DD0" w14:textId="77777777" w:rsidR="00341FAE" w:rsidRPr="00FE36FB" w:rsidRDefault="00341FAE" w:rsidP="00443763">
            <w:pPr>
              <w:spacing w:line="240" w:lineRule="auto"/>
              <w:jc w:val="right"/>
              <w:rPr>
                <w:sz w:val="22"/>
                <w:szCs w:val="22"/>
              </w:rPr>
            </w:pPr>
            <w:r w:rsidRPr="00D040F2">
              <w:t>27.6</w:t>
            </w:r>
          </w:p>
        </w:tc>
        <w:tc>
          <w:tcPr>
            <w:tcW w:w="880" w:type="dxa"/>
          </w:tcPr>
          <w:p w14:paraId="06184AED" w14:textId="77777777" w:rsidR="00341FAE" w:rsidRPr="00FE36FB" w:rsidRDefault="00341FAE" w:rsidP="00443763">
            <w:pPr>
              <w:spacing w:line="240" w:lineRule="auto"/>
              <w:jc w:val="right"/>
              <w:rPr>
                <w:sz w:val="22"/>
                <w:szCs w:val="22"/>
              </w:rPr>
            </w:pPr>
            <w:r w:rsidRPr="00D040F2">
              <w:t>10.3</w:t>
            </w:r>
          </w:p>
        </w:tc>
        <w:tc>
          <w:tcPr>
            <w:tcW w:w="879" w:type="dxa"/>
          </w:tcPr>
          <w:p w14:paraId="6CFF08B6" w14:textId="77777777" w:rsidR="00341FAE" w:rsidRPr="00FE36FB" w:rsidRDefault="00341FAE" w:rsidP="00443763">
            <w:pPr>
              <w:spacing w:line="240" w:lineRule="auto"/>
              <w:jc w:val="right"/>
              <w:rPr>
                <w:sz w:val="22"/>
                <w:szCs w:val="22"/>
              </w:rPr>
            </w:pPr>
            <w:r w:rsidRPr="00D040F2">
              <w:t>0.0</w:t>
            </w:r>
          </w:p>
        </w:tc>
        <w:tc>
          <w:tcPr>
            <w:tcW w:w="880" w:type="dxa"/>
          </w:tcPr>
          <w:p w14:paraId="0EFE2B2D" w14:textId="77777777" w:rsidR="00341FAE" w:rsidRPr="00FE36FB" w:rsidRDefault="00341FAE" w:rsidP="00443763">
            <w:pPr>
              <w:spacing w:line="240" w:lineRule="auto"/>
              <w:jc w:val="right"/>
              <w:rPr>
                <w:sz w:val="22"/>
                <w:szCs w:val="22"/>
              </w:rPr>
            </w:pPr>
            <w:r w:rsidRPr="00D040F2">
              <w:t>0.0</w:t>
            </w:r>
          </w:p>
        </w:tc>
        <w:tc>
          <w:tcPr>
            <w:tcW w:w="879" w:type="dxa"/>
          </w:tcPr>
          <w:p w14:paraId="47CB16F8" w14:textId="77777777" w:rsidR="00341FAE" w:rsidRPr="00FE36FB" w:rsidRDefault="00341FAE" w:rsidP="00443763">
            <w:pPr>
              <w:spacing w:line="240" w:lineRule="auto"/>
              <w:jc w:val="right"/>
              <w:rPr>
                <w:sz w:val="22"/>
                <w:szCs w:val="22"/>
              </w:rPr>
            </w:pPr>
            <w:r w:rsidRPr="00D040F2">
              <w:t>3.4</w:t>
            </w:r>
          </w:p>
        </w:tc>
        <w:tc>
          <w:tcPr>
            <w:tcW w:w="880" w:type="dxa"/>
          </w:tcPr>
          <w:p w14:paraId="553CF5B8" w14:textId="77777777" w:rsidR="00341FAE" w:rsidRPr="00FE36FB" w:rsidRDefault="00341FAE" w:rsidP="00443763">
            <w:pPr>
              <w:spacing w:line="240" w:lineRule="auto"/>
              <w:jc w:val="right"/>
              <w:rPr>
                <w:sz w:val="22"/>
                <w:szCs w:val="22"/>
              </w:rPr>
            </w:pPr>
            <w:r w:rsidRPr="00D040F2">
              <w:t>0.0</w:t>
            </w:r>
          </w:p>
        </w:tc>
      </w:tr>
      <w:tr w:rsidR="00341FAE" w:rsidRPr="00FE36FB" w14:paraId="4B4DE745" w14:textId="77777777" w:rsidTr="00443763">
        <w:tc>
          <w:tcPr>
            <w:tcW w:w="7792" w:type="dxa"/>
          </w:tcPr>
          <w:p w14:paraId="32A41859" w14:textId="77777777" w:rsidR="00341FAE" w:rsidRPr="00FE36FB" w:rsidRDefault="00341FAE" w:rsidP="00443763">
            <w:pPr>
              <w:spacing w:line="240" w:lineRule="auto"/>
              <w:jc w:val="both"/>
              <w:rPr>
                <w:sz w:val="22"/>
                <w:szCs w:val="22"/>
              </w:rPr>
            </w:pPr>
            <w:r w:rsidRPr="00D040F2">
              <w:t>Interventions for families should include learning about problem gambling, coping skill development, and support from peers and professionals.</w:t>
            </w:r>
          </w:p>
        </w:tc>
        <w:tc>
          <w:tcPr>
            <w:tcW w:w="879" w:type="dxa"/>
          </w:tcPr>
          <w:p w14:paraId="5C46EC37" w14:textId="77777777" w:rsidR="00341FAE" w:rsidRPr="00FE36FB" w:rsidRDefault="00341FAE" w:rsidP="00443763">
            <w:pPr>
              <w:spacing w:line="240" w:lineRule="auto"/>
              <w:jc w:val="right"/>
              <w:rPr>
                <w:sz w:val="22"/>
                <w:szCs w:val="22"/>
              </w:rPr>
            </w:pPr>
            <w:r w:rsidRPr="00D040F2">
              <w:t>58.6</w:t>
            </w:r>
          </w:p>
        </w:tc>
        <w:tc>
          <w:tcPr>
            <w:tcW w:w="879" w:type="dxa"/>
          </w:tcPr>
          <w:p w14:paraId="27E0EAAD" w14:textId="77777777" w:rsidR="00341FAE" w:rsidRPr="00FE36FB" w:rsidRDefault="00341FAE" w:rsidP="00443763">
            <w:pPr>
              <w:spacing w:line="240" w:lineRule="auto"/>
              <w:jc w:val="right"/>
              <w:rPr>
                <w:sz w:val="22"/>
                <w:szCs w:val="22"/>
              </w:rPr>
            </w:pPr>
            <w:r w:rsidRPr="00D040F2">
              <w:t>31.0</w:t>
            </w:r>
          </w:p>
        </w:tc>
        <w:tc>
          <w:tcPr>
            <w:tcW w:w="880" w:type="dxa"/>
          </w:tcPr>
          <w:p w14:paraId="7A97A983" w14:textId="77777777" w:rsidR="00341FAE" w:rsidRPr="00FE36FB" w:rsidRDefault="00341FAE" w:rsidP="00443763">
            <w:pPr>
              <w:spacing w:line="240" w:lineRule="auto"/>
              <w:jc w:val="right"/>
              <w:rPr>
                <w:sz w:val="22"/>
                <w:szCs w:val="22"/>
              </w:rPr>
            </w:pPr>
            <w:r w:rsidRPr="00D040F2">
              <w:t>6.9</w:t>
            </w:r>
          </w:p>
        </w:tc>
        <w:tc>
          <w:tcPr>
            <w:tcW w:w="879" w:type="dxa"/>
          </w:tcPr>
          <w:p w14:paraId="274F0F69" w14:textId="77777777" w:rsidR="00341FAE" w:rsidRPr="00FE36FB" w:rsidRDefault="00341FAE" w:rsidP="00443763">
            <w:pPr>
              <w:spacing w:line="240" w:lineRule="auto"/>
              <w:jc w:val="right"/>
              <w:rPr>
                <w:sz w:val="22"/>
                <w:szCs w:val="22"/>
              </w:rPr>
            </w:pPr>
            <w:r w:rsidRPr="00D040F2">
              <w:t>3.4</w:t>
            </w:r>
          </w:p>
        </w:tc>
        <w:tc>
          <w:tcPr>
            <w:tcW w:w="880" w:type="dxa"/>
          </w:tcPr>
          <w:p w14:paraId="1F0EFCB3" w14:textId="77777777" w:rsidR="00341FAE" w:rsidRPr="00FE36FB" w:rsidRDefault="00341FAE" w:rsidP="00443763">
            <w:pPr>
              <w:spacing w:line="240" w:lineRule="auto"/>
              <w:jc w:val="right"/>
              <w:rPr>
                <w:sz w:val="22"/>
                <w:szCs w:val="22"/>
              </w:rPr>
            </w:pPr>
            <w:r w:rsidRPr="00D040F2">
              <w:t>0.0</w:t>
            </w:r>
          </w:p>
        </w:tc>
        <w:tc>
          <w:tcPr>
            <w:tcW w:w="879" w:type="dxa"/>
          </w:tcPr>
          <w:p w14:paraId="1D01126E" w14:textId="77777777" w:rsidR="00341FAE" w:rsidRPr="00FE36FB" w:rsidRDefault="00341FAE" w:rsidP="00443763">
            <w:pPr>
              <w:spacing w:line="240" w:lineRule="auto"/>
              <w:jc w:val="right"/>
              <w:rPr>
                <w:sz w:val="22"/>
                <w:szCs w:val="22"/>
              </w:rPr>
            </w:pPr>
            <w:r w:rsidRPr="00D040F2">
              <w:t>0.0</w:t>
            </w:r>
          </w:p>
        </w:tc>
        <w:tc>
          <w:tcPr>
            <w:tcW w:w="880" w:type="dxa"/>
          </w:tcPr>
          <w:p w14:paraId="4D2CD0AA" w14:textId="77777777" w:rsidR="00341FAE" w:rsidRPr="00FE36FB" w:rsidRDefault="00341FAE" w:rsidP="00443763">
            <w:pPr>
              <w:spacing w:line="240" w:lineRule="auto"/>
              <w:jc w:val="right"/>
              <w:rPr>
                <w:sz w:val="22"/>
                <w:szCs w:val="22"/>
              </w:rPr>
            </w:pPr>
            <w:r w:rsidRPr="00D040F2">
              <w:t>0.0</w:t>
            </w:r>
          </w:p>
        </w:tc>
      </w:tr>
      <w:tr w:rsidR="00341FAE" w:rsidRPr="00FE36FB" w14:paraId="1AAE71AE" w14:textId="77777777" w:rsidTr="00443763">
        <w:tc>
          <w:tcPr>
            <w:tcW w:w="7792" w:type="dxa"/>
          </w:tcPr>
          <w:p w14:paraId="06AE0FEC" w14:textId="77777777" w:rsidR="00341FAE" w:rsidRPr="00FE36FB" w:rsidRDefault="00341FAE" w:rsidP="00443763">
            <w:pPr>
              <w:spacing w:line="240" w:lineRule="auto"/>
              <w:jc w:val="both"/>
              <w:rPr>
                <w:sz w:val="22"/>
                <w:szCs w:val="22"/>
              </w:rPr>
            </w:pPr>
            <w:r w:rsidRPr="008B3D45">
              <w:t>It is important to teach young people how media, industry, family, and peers influence opportunities and decisions to gamble.</w:t>
            </w:r>
          </w:p>
        </w:tc>
        <w:tc>
          <w:tcPr>
            <w:tcW w:w="879" w:type="dxa"/>
          </w:tcPr>
          <w:p w14:paraId="5EA579A5" w14:textId="77777777" w:rsidR="00341FAE" w:rsidRPr="00FE36FB" w:rsidRDefault="00341FAE" w:rsidP="00443763">
            <w:pPr>
              <w:spacing w:line="240" w:lineRule="auto"/>
              <w:jc w:val="right"/>
              <w:rPr>
                <w:sz w:val="22"/>
                <w:szCs w:val="22"/>
              </w:rPr>
            </w:pPr>
            <w:r w:rsidRPr="00D040F2">
              <w:t>55.2</w:t>
            </w:r>
          </w:p>
        </w:tc>
        <w:tc>
          <w:tcPr>
            <w:tcW w:w="879" w:type="dxa"/>
          </w:tcPr>
          <w:p w14:paraId="0D388F87" w14:textId="77777777" w:rsidR="00341FAE" w:rsidRPr="00FE36FB" w:rsidRDefault="00341FAE" w:rsidP="00443763">
            <w:pPr>
              <w:spacing w:line="240" w:lineRule="auto"/>
              <w:jc w:val="right"/>
              <w:rPr>
                <w:sz w:val="22"/>
                <w:szCs w:val="22"/>
              </w:rPr>
            </w:pPr>
            <w:r w:rsidRPr="00D040F2">
              <w:t>34.5</w:t>
            </w:r>
          </w:p>
        </w:tc>
        <w:tc>
          <w:tcPr>
            <w:tcW w:w="880" w:type="dxa"/>
          </w:tcPr>
          <w:p w14:paraId="4DE6E6B0" w14:textId="77777777" w:rsidR="00341FAE" w:rsidRPr="00FE36FB" w:rsidRDefault="00341FAE" w:rsidP="00443763">
            <w:pPr>
              <w:spacing w:line="240" w:lineRule="auto"/>
              <w:jc w:val="right"/>
              <w:rPr>
                <w:sz w:val="22"/>
                <w:szCs w:val="22"/>
              </w:rPr>
            </w:pPr>
            <w:r w:rsidRPr="00D040F2">
              <w:t>10.3</w:t>
            </w:r>
          </w:p>
        </w:tc>
        <w:tc>
          <w:tcPr>
            <w:tcW w:w="879" w:type="dxa"/>
          </w:tcPr>
          <w:p w14:paraId="2E2CD411" w14:textId="77777777" w:rsidR="00341FAE" w:rsidRPr="00FE36FB" w:rsidRDefault="00341FAE" w:rsidP="00443763">
            <w:pPr>
              <w:spacing w:line="240" w:lineRule="auto"/>
              <w:jc w:val="right"/>
              <w:rPr>
                <w:sz w:val="22"/>
                <w:szCs w:val="22"/>
              </w:rPr>
            </w:pPr>
            <w:r w:rsidRPr="00D040F2">
              <w:t>0.0</w:t>
            </w:r>
          </w:p>
        </w:tc>
        <w:tc>
          <w:tcPr>
            <w:tcW w:w="880" w:type="dxa"/>
          </w:tcPr>
          <w:p w14:paraId="08D059C2" w14:textId="77777777" w:rsidR="00341FAE" w:rsidRPr="00FE36FB" w:rsidRDefault="00341FAE" w:rsidP="00443763">
            <w:pPr>
              <w:spacing w:line="240" w:lineRule="auto"/>
              <w:jc w:val="right"/>
              <w:rPr>
                <w:sz w:val="22"/>
                <w:szCs w:val="22"/>
              </w:rPr>
            </w:pPr>
            <w:r w:rsidRPr="00D040F2">
              <w:t>0.0</w:t>
            </w:r>
          </w:p>
        </w:tc>
        <w:tc>
          <w:tcPr>
            <w:tcW w:w="879" w:type="dxa"/>
          </w:tcPr>
          <w:p w14:paraId="3C102930" w14:textId="77777777" w:rsidR="00341FAE" w:rsidRPr="00FE36FB" w:rsidRDefault="00341FAE" w:rsidP="00443763">
            <w:pPr>
              <w:spacing w:line="240" w:lineRule="auto"/>
              <w:jc w:val="right"/>
              <w:rPr>
                <w:sz w:val="22"/>
                <w:szCs w:val="22"/>
              </w:rPr>
            </w:pPr>
            <w:r w:rsidRPr="00D040F2">
              <w:t>0.0</w:t>
            </w:r>
          </w:p>
        </w:tc>
        <w:tc>
          <w:tcPr>
            <w:tcW w:w="880" w:type="dxa"/>
          </w:tcPr>
          <w:p w14:paraId="5308FBBD" w14:textId="77777777" w:rsidR="00341FAE" w:rsidRPr="00FE36FB" w:rsidRDefault="00341FAE" w:rsidP="00443763">
            <w:pPr>
              <w:spacing w:line="240" w:lineRule="auto"/>
              <w:jc w:val="right"/>
              <w:rPr>
                <w:sz w:val="22"/>
                <w:szCs w:val="22"/>
              </w:rPr>
            </w:pPr>
            <w:r w:rsidRPr="00D040F2">
              <w:t>0.0</w:t>
            </w:r>
          </w:p>
        </w:tc>
      </w:tr>
      <w:tr w:rsidR="00341FAE" w:rsidRPr="00FE36FB" w14:paraId="43ABE732" w14:textId="77777777" w:rsidTr="00443763">
        <w:tc>
          <w:tcPr>
            <w:tcW w:w="7792" w:type="dxa"/>
          </w:tcPr>
          <w:p w14:paraId="314BE8E5" w14:textId="77777777" w:rsidR="00341FAE" w:rsidRPr="00FE36FB" w:rsidRDefault="00341FAE" w:rsidP="00443763">
            <w:pPr>
              <w:spacing w:line="240" w:lineRule="auto"/>
              <w:jc w:val="both"/>
              <w:rPr>
                <w:sz w:val="22"/>
                <w:szCs w:val="22"/>
              </w:rPr>
            </w:pPr>
            <w:r w:rsidRPr="00D040F2">
              <w:t>FAOs can be supported to reduce their distress and cope more effectively, even if the person with the gambling problem does not seek treatment.</w:t>
            </w:r>
          </w:p>
        </w:tc>
        <w:tc>
          <w:tcPr>
            <w:tcW w:w="879" w:type="dxa"/>
          </w:tcPr>
          <w:p w14:paraId="48325403" w14:textId="77777777" w:rsidR="00341FAE" w:rsidRPr="00FE36FB" w:rsidRDefault="00341FAE" w:rsidP="00443763">
            <w:pPr>
              <w:spacing w:line="240" w:lineRule="auto"/>
              <w:jc w:val="right"/>
              <w:rPr>
                <w:sz w:val="22"/>
                <w:szCs w:val="22"/>
              </w:rPr>
            </w:pPr>
            <w:r w:rsidRPr="00D040F2">
              <w:t>51.7</w:t>
            </w:r>
          </w:p>
        </w:tc>
        <w:tc>
          <w:tcPr>
            <w:tcW w:w="879" w:type="dxa"/>
          </w:tcPr>
          <w:p w14:paraId="4DCDC11E" w14:textId="77777777" w:rsidR="00341FAE" w:rsidRPr="00FE36FB" w:rsidRDefault="00341FAE" w:rsidP="00443763">
            <w:pPr>
              <w:spacing w:line="240" w:lineRule="auto"/>
              <w:jc w:val="right"/>
              <w:rPr>
                <w:sz w:val="22"/>
                <w:szCs w:val="22"/>
              </w:rPr>
            </w:pPr>
            <w:r w:rsidRPr="00D040F2">
              <w:t>41.4</w:t>
            </w:r>
          </w:p>
        </w:tc>
        <w:tc>
          <w:tcPr>
            <w:tcW w:w="880" w:type="dxa"/>
          </w:tcPr>
          <w:p w14:paraId="6976876B" w14:textId="77777777" w:rsidR="00341FAE" w:rsidRPr="00FE36FB" w:rsidRDefault="00341FAE" w:rsidP="00443763">
            <w:pPr>
              <w:spacing w:line="240" w:lineRule="auto"/>
              <w:jc w:val="right"/>
              <w:rPr>
                <w:sz w:val="22"/>
                <w:szCs w:val="22"/>
              </w:rPr>
            </w:pPr>
            <w:r w:rsidRPr="00D040F2">
              <w:t>6.9</w:t>
            </w:r>
          </w:p>
        </w:tc>
        <w:tc>
          <w:tcPr>
            <w:tcW w:w="879" w:type="dxa"/>
          </w:tcPr>
          <w:p w14:paraId="033606D1" w14:textId="77777777" w:rsidR="00341FAE" w:rsidRPr="00FE36FB" w:rsidRDefault="00341FAE" w:rsidP="00443763">
            <w:pPr>
              <w:spacing w:line="240" w:lineRule="auto"/>
              <w:jc w:val="right"/>
              <w:rPr>
                <w:sz w:val="22"/>
                <w:szCs w:val="22"/>
              </w:rPr>
            </w:pPr>
            <w:r w:rsidRPr="00D040F2">
              <w:t>0.0</w:t>
            </w:r>
          </w:p>
        </w:tc>
        <w:tc>
          <w:tcPr>
            <w:tcW w:w="880" w:type="dxa"/>
          </w:tcPr>
          <w:p w14:paraId="4AB02577" w14:textId="77777777" w:rsidR="00341FAE" w:rsidRPr="00FE36FB" w:rsidRDefault="00341FAE" w:rsidP="00443763">
            <w:pPr>
              <w:spacing w:line="240" w:lineRule="auto"/>
              <w:jc w:val="right"/>
              <w:rPr>
                <w:sz w:val="22"/>
                <w:szCs w:val="22"/>
              </w:rPr>
            </w:pPr>
            <w:r w:rsidRPr="00D040F2">
              <w:t>0.0</w:t>
            </w:r>
          </w:p>
        </w:tc>
        <w:tc>
          <w:tcPr>
            <w:tcW w:w="879" w:type="dxa"/>
          </w:tcPr>
          <w:p w14:paraId="629A2025" w14:textId="77777777" w:rsidR="00341FAE" w:rsidRPr="00FE36FB" w:rsidRDefault="00341FAE" w:rsidP="00443763">
            <w:pPr>
              <w:spacing w:line="240" w:lineRule="auto"/>
              <w:jc w:val="right"/>
              <w:rPr>
                <w:sz w:val="22"/>
                <w:szCs w:val="22"/>
              </w:rPr>
            </w:pPr>
            <w:r w:rsidRPr="00D040F2">
              <w:t>0.0</w:t>
            </w:r>
          </w:p>
        </w:tc>
        <w:tc>
          <w:tcPr>
            <w:tcW w:w="880" w:type="dxa"/>
          </w:tcPr>
          <w:p w14:paraId="4DD01B16" w14:textId="77777777" w:rsidR="00341FAE" w:rsidRPr="00FE36FB" w:rsidRDefault="00341FAE" w:rsidP="00443763">
            <w:pPr>
              <w:spacing w:line="240" w:lineRule="auto"/>
              <w:jc w:val="right"/>
              <w:rPr>
                <w:sz w:val="22"/>
                <w:szCs w:val="22"/>
              </w:rPr>
            </w:pPr>
            <w:r w:rsidRPr="00D040F2">
              <w:t>0.0</w:t>
            </w:r>
          </w:p>
        </w:tc>
      </w:tr>
      <w:tr w:rsidR="00341FAE" w:rsidRPr="00FE36FB" w14:paraId="6CBAB164" w14:textId="77777777" w:rsidTr="00443763">
        <w:tc>
          <w:tcPr>
            <w:tcW w:w="7792" w:type="dxa"/>
          </w:tcPr>
          <w:p w14:paraId="34D13897" w14:textId="77777777" w:rsidR="00341FAE" w:rsidRPr="00FE36FB" w:rsidRDefault="00341FAE" w:rsidP="00443763">
            <w:pPr>
              <w:spacing w:line="240" w:lineRule="auto"/>
              <w:jc w:val="both"/>
              <w:rPr>
                <w:sz w:val="22"/>
                <w:szCs w:val="22"/>
              </w:rPr>
            </w:pPr>
            <w:r w:rsidRPr="00D040F2">
              <w:t>Many gambling harms are largely a product of wider structural and societal forces that shape gambling availability, practices, and impacts.</w:t>
            </w:r>
          </w:p>
        </w:tc>
        <w:tc>
          <w:tcPr>
            <w:tcW w:w="879" w:type="dxa"/>
          </w:tcPr>
          <w:p w14:paraId="5974C103" w14:textId="77777777" w:rsidR="00341FAE" w:rsidRPr="00FE36FB" w:rsidRDefault="00341FAE" w:rsidP="00443763">
            <w:pPr>
              <w:spacing w:line="240" w:lineRule="auto"/>
              <w:jc w:val="right"/>
              <w:rPr>
                <w:sz w:val="22"/>
                <w:szCs w:val="22"/>
              </w:rPr>
            </w:pPr>
            <w:r w:rsidRPr="00D040F2">
              <w:t>48.3</w:t>
            </w:r>
          </w:p>
        </w:tc>
        <w:tc>
          <w:tcPr>
            <w:tcW w:w="879" w:type="dxa"/>
          </w:tcPr>
          <w:p w14:paraId="6F1D66DB" w14:textId="77777777" w:rsidR="00341FAE" w:rsidRPr="00FE36FB" w:rsidRDefault="00341FAE" w:rsidP="00443763">
            <w:pPr>
              <w:spacing w:line="240" w:lineRule="auto"/>
              <w:jc w:val="right"/>
              <w:rPr>
                <w:sz w:val="22"/>
                <w:szCs w:val="22"/>
              </w:rPr>
            </w:pPr>
            <w:r w:rsidRPr="00D040F2">
              <w:t>41.4</w:t>
            </w:r>
          </w:p>
        </w:tc>
        <w:tc>
          <w:tcPr>
            <w:tcW w:w="880" w:type="dxa"/>
          </w:tcPr>
          <w:p w14:paraId="55FFC66F" w14:textId="77777777" w:rsidR="00341FAE" w:rsidRPr="00FE36FB" w:rsidRDefault="00341FAE" w:rsidP="00443763">
            <w:pPr>
              <w:spacing w:line="240" w:lineRule="auto"/>
              <w:jc w:val="right"/>
              <w:rPr>
                <w:sz w:val="22"/>
                <w:szCs w:val="22"/>
              </w:rPr>
            </w:pPr>
            <w:r w:rsidRPr="00D040F2">
              <w:t>10.3</w:t>
            </w:r>
          </w:p>
        </w:tc>
        <w:tc>
          <w:tcPr>
            <w:tcW w:w="879" w:type="dxa"/>
          </w:tcPr>
          <w:p w14:paraId="506C794C" w14:textId="77777777" w:rsidR="00341FAE" w:rsidRPr="00FE36FB" w:rsidRDefault="00341FAE" w:rsidP="00443763">
            <w:pPr>
              <w:spacing w:line="240" w:lineRule="auto"/>
              <w:jc w:val="right"/>
              <w:rPr>
                <w:sz w:val="22"/>
                <w:szCs w:val="22"/>
              </w:rPr>
            </w:pPr>
            <w:r w:rsidRPr="00D040F2">
              <w:t>0.0</w:t>
            </w:r>
          </w:p>
        </w:tc>
        <w:tc>
          <w:tcPr>
            <w:tcW w:w="880" w:type="dxa"/>
          </w:tcPr>
          <w:p w14:paraId="6C7644CE" w14:textId="77777777" w:rsidR="00341FAE" w:rsidRPr="00FE36FB" w:rsidRDefault="00341FAE" w:rsidP="00443763">
            <w:pPr>
              <w:spacing w:line="240" w:lineRule="auto"/>
              <w:jc w:val="right"/>
              <w:rPr>
                <w:sz w:val="22"/>
                <w:szCs w:val="22"/>
              </w:rPr>
            </w:pPr>
            <w:r w:rsidRPr="00D040F2">
              <w:t>0.0</w:t>
            </w:r>
          </w:p>
        </w:tc>
        <w:tc>
          <w:tcPr>
            <w:tcW w:w="879" w:type="dxa"/>
          </w:tcPr>
          <w:p w14:paraId="103A77C5" w14:textId="77777777" w:rsidR="00341FAE" w:rsidRPr="00FE36FB" w:rsidRDefault="00341FAE" w:rsidP="00443763">
            <w:pPr>
              <w:spacing w:line="240" w:lineRule="auto"/>
              <w:jc w:val="right"/>
              <w:rPr>
                <w:sz w:val="22"/>
                <w:szCs w:val="22"/>
              </w:rPr>
            </w:pPr>
            <w:r w:rsidRPr="00D040F2">
              <w:t>0.0</w:t>
            </w:r>
          </w:p>
        </w:tc>
        <w:tc>
          <w:tcPr>
            <w:tcW w:w="880" w:type="dxa"/>
          </w:tcPr>
          <w:p w14:paraId="2E116775" w14:textId="77777777" w:rsidR="00341FAE" w:rsidRPr="00FE36FB" w:rsidRDefault="00341FAE" w:rsidP="00443763">
            <w:pPr>
              <w:spacing w:line="240" w:lineRule="auto"/>
              <w:jc w:val="right"/>
              <w:rPr>
                <w:sz w:val="22"/>
                <w:szCs w:val="22"/>
              </w:rPr>
            </w:pPr>
            <w:r w:rsidRPr="00D040F2">
              <w:t>0.0</w:t>
            </w:r>
          </w:p>
        </w:tc>
      </w:tr>
      <w:tr w:rsidR="00341FAE" w:rsidRPr="00FE36FB" w14:paraId="2E786F9C" w14:textId="77777777" w:rsidTr="00443763">
        <w:tc>
          <w:tcPr>
            <w:tcW w:w="7792" w:type="dxa"/>
          </w:tcPr>
          <w:p w14:paraId="51344AE1" w14:textId="77777777" w:rsidR="00341FAE" w:rsidRPr="00FE36FB" w:rsidRDefault="00341FAE" w:rsidP="00443763">
            <w:pPr>
              <w:spacing w:line="240" w:lineRule="auto"/>
              <w:jc w:val="both"/>
              <w:rPr>
                <w:sz w:val="22"/>
                <w:szCs w:val="22"/>
              </w:rPr>
            </w:pPr>
            <w:r w:rsidRPr="00D040F2">
              <w:t>Active engagement of FAOs in gambling harm reduction policy and service design is vital for harm reduction.</w:t>
            </w:r>
          </w:p>
        </w:tc>
        <w:tc>
          <w:tcPr>
            <w:tcW w:w="879" w:type="dxa"/>
          </w:tcPr>
          <w:p w14:paraId="5E2975D3" w14:textId="77777777" w:rsidR="00341FAE" w:rsidRPr="00FE36FB" w:rsidRDefault="00341FAE" w:rsidP="00443763">
            <w:pPr>
              <w:spacing w:line="240" w:lineRule="auto"/>
              <w:jc w:val="right"/>
              <w:rPr>
                <w:sz w:val="22"/>
                <w:szCs w:val="22"/>
              </w:rPr>
            </w:pPr>
            <w:r w:rsidRPr="00D040F2">
              <w:t>44.8</w:t>
            </w:r>
          </w:p>
        </w:tc>
        <w:tc>
          <w:tcPr>
            <w:tcW w:w="879" w:type="dxa"/>
          </w:tcPr>
          <w:p w14:paraId="779A028E" w14:textId="77777777" w:rsidR="00341FAE" w:rsidRPr="00FE36FB" w:rsidRDefault="00341FAE" w:rsidP="00443763">
            <w:pPr>
              <w:spacing w:line="240" w:lineRule="auto"/>
              <w:jc w:val="right"/>
              <w:rPr>
                <w:sz w:val="22"/>
                <w:szCs w:val="22"/>
              </w:rPr>
            </w:pPr>
            <w:r w:rsidRPr="00D040F2">
              <w:t>24.1</w:t>
            </w:r>
          </w:p>
        </w:tc>
        <w:tc>
          <w:tcPr>
            <w:tcW w:w="880" w:type="dxa"/>
          </w:tcPr>
          <w:p w14:paraId="6A60F8CB" w14:textId="77777777" w:rsidR="00341FAE" w:rsidRPr="00FE36FB" w:rsidRDefault="00341FAE" w:rsidP="00443763">
            <w:pPr>
              <w:spacing w:line="240" w:lineRule="auto"/>
              <w:jc w:val="right"/>
              <w:rPr>
                <w:sz w:val="22"/>
                <w:szCs w:val="22"/>
              </w:rPr>
            </w:pPr>
            <w:r w:rsidRPr="00D040F2">
              <w:t>24.1</w:t>
            </w:r>
          </w:p>
        </w:tc>
        <w:tc>
          <w:tcPr>
            <w:tcW w:w="879" w:type="dxa"/>
          </w:tcPr>
          <w:p w14:paraId="253583A7" w14:textId="77777777" w:rsidR="00341FAE" w:rsidRPr="00FE36FB" w:rsidRDefault="00341FAE" w:rsidP="00443763">
            <w:pPr>
              <w:spacing w:line="240" w:lineRule="auto"/>
              <w:jc w:val="right"/>
              <w:rPr>
                <w:sz w:val="22"/>
                <w:szCs w:val="22"/>
              </w:rPr>
            </w:pPr>
            <w:r w:rsidRPr="00D040F2">
              <w:t>3.4</w:t>
            </w:r>
          </w:p>
        </w:tc>
        <w:tc>
          <w:tcPr>
            <w:tcW w:w="880" w:type="dxa"/>
          </w:tcPr>
          <w:p w14:paraId="11085378" w14:textId="77777777" w:rsidR="00341FAE" w:rsidRPr="00FE36FB" w:rsidRDefault="00341FAE" w:rsidP="00443763">
            <w:pPr>
              <w:spacing w:line="240" w:lineRule="auto"/>
              <w:jc w:val="right"/>
              <w:rPr>
                <w:sz w:val="22"/>
                <w:szCs w:val="22"/>
              </w:rPr>
            </w:pPr>
            <w:r w:rsidRPr="00D040F2">
              <w:t>3.4</w:t>
            </w:r>
          </w:p>
        </w:tc>
        <w:tc>
          <w:tcPr>
            <w:tcW w:w="879" w:type="dxa"/>
          </w:tcPr>
          <w:p w14:paraId="0776E61C" w14:textId="77777777" w:rsidR="00341FAE" w:rsidRPr="00FE36FB" w:rsidRDefault="00341FAE" w:rsidP="00443763">
            <w:pPr>
              <w:spacing w:line="240" w:lineRule="auto"/>
              <w:jc w:val="right"/>
              <w:rPr>
                <w:sz w:val="22"/>
                <w:szCs w:val="22"/>
              </w:rPr>
            </w:pPr>
            <w:r w:rsidRPr="00D040F2">
              <w:t>0.0</w:t>
            </w:r>
          </w:p>
        </w:tc>
        <w:tc>
          <w:tcPr>
            <w:tcW w:w="880" w:type="dxa"/>
          </w:tcPr>
          <w:p w14:paraId="77666688" w14:textId="77777777" w:rsidR="00341FAE" w:rsidRPr="00FE36FB" w:rsidRDefault="00341FAE" w:rsidP="00443763">
            <w:pPr>
              <w:spacing w:line="240" w:lineRule="auto"/>
              <w:jc w:val="right"/>
              <w:rPr>
                <w:sz w:val="22"/>
                <w:szCs w:val="22"/>
              </w:rPr>
            </w:pPr>
            <w:r w:rsidRPr="00D040F2">
              <w:t>0.0</w:t>
            </w:r>
          </w:p>
        </w:tc>
      </w:tr>
      <w:tr w:rsidR="00341FAE" w:rsidRPr="00FE36FB" w14:paraId="364259A5" w14:textId="77777777" w:rsidTr="00443763">
        <w:tc>
          <w:tcPr>
            <w:tcW w:w="7792" w:type="dxa"/>
          </w:tcPr>
          <w:p w14:paraId="5D5E856B" w14:textId="77777777" w:rsidR="00341FAE" w:rsidRPr="00FE36FB" w:rsidRDefault="00341FAE" w:rsidP="00443763">
            <w:pPr>
              <w:spacing w:line="240" w:lineRule="auto"/>
              <w:jc w:val="both"/>
              <w:rPr>
                <w:sz w:val="22"/>
                <w:szCs w:val="22"/>
              </w:rPr>
            </w:pPr>
            <w:r w:rsidRPr="00D040F2">
              <w:t>Enabling access to community resources or facilities will contribute to reducing the negative impact of gambling on FAOs in the long-term.</w:t>
            </w:r>
          </w:p>
        </w:tc>
        <w:tc>
          <w:tcPr>
            <w:tcW w:w="879" w:type="dxa"/>
          </w:tcPr>
          <w:p w14:paraId="0E313A3B" w14:textId="77777777" w:rsidR="00341FAE" w:rsidRPr="00FE36FB" w:rsidRDefault="00341FAE" w:rsidP="00443763">
            <w:pPr>
              <w:spacing w:line="240" w:lineRule="auto"/>
              <w:jc w:val="right"/>
              <w:rPr>
                <w:sz w:val="22"/>
                <w:szCs w:val="22"/>
              </w:rPr>
            </w:pPr>
            <w:r w:rsidRPr="00D040F2">
              <w:t>44.8</w:t>
            </w:r>
          </w:p>
        </w:tc>
        <w:tc>
          <w:tcPr>
            <w:tcW w:w="879" w:type="dxa"/>
          </w:tcPr>
          <w:p w14:paraId="1193B38A" w14:textId="77777777" w:rsidR="00341FAE" w:rsidRPr="00FE36FB" w:rsidRDefault="00341FAE" w:rsidP="00443763">
            <w:pPr>
              <w:spacing w:line="240" w:lineRule="auto"/>
              <w:jc w:val="right"/>
              <w:rPr>
                <w:sz w:val="22"/>
                <w:szCs w:val="22"/>
              </w:rPr>
            </w:pPr>
            <w:r w:rsidRPr="00D040F2">
              <w:t>34.5</w:t>
            </w:r>
          </w:p>
        </w:tc>
        <w:tc>
          <w:tcPr>
            <w:tcW w:w="880" w:type="dxa"/>
          </w:tcPr>
          <w:p w14:paraId="6A5B8142" w14:textId="77777777" w:rsidR="00341FAE" w:rsidRPr="00FE36FB" w:rsidRDefault="00341FAE" w:rsidP="00443763">
            <w:pPr>
              <w:spacing w:line="240" w:lineRule="auto"/>
              <w:jc w:val="right"/>
              <w:rPr>
                <w:sz w:val="22"/>
                <w:szCs w:val="22"/>
              </w:rPr>
            </w:pPr>
            <w:r w:rsidRPr="00D040F2">
              <w:t>10.3</w:t>
            </w:r>
          </w:p>
        </w:tc>
        <w:tc>
          <w:tcPr>
            <w:tcW w:w="879" w:type="dxa"/>
          </w:tcPr>
          <w:p w14:paraId="537AAFCB" w14:textId="77777777" w:rsidR="00341FAE" w:rsidRPr="00FE36FB" w:rsidRDefault="00341FAE" w:rsidP="00443763">
            <w:pPr>
              <w:spacing w:line="240" w:lineRule="auto"/>
              <w:jc w:val="right"/>
              <w:rPr>
                <w:sz w:val="22"/>
                <w:szCs w:val="22"/>
              </w:rPr>
            </w:pPr>
            <w:r w:rsidRPr="00D040F2">
              <w:t>6.9</w:t>
            </w:r>
          </w:p>
        </w:tc>
        <w:tc>
          <w:tcPr>
            <w:tcW w:w="880" w:type="dxa"/>
          </w:tcPr>
          <w:p w14:paraId="24B6F163" w14:textId="77777777" w:rsidR="00341FAE" w:rsidRPr="00FE36FB" w:rsidRDefault="00341FAE" w:rsidP="00443763">
            <w:pPr>
              <w:spacing w:line="240" w:lineRule="auto"/>
              <w:jc w:val="right"/>
              <w:rPr>
                <w:sz w:val="22"/>
                <w:szCs w:val="22"/>
              </w:rPr>
            </w:pPr>
            <w:r w:rsidRPr="00D040F2">
              <w:t>0.0</w:t>
            </w:r>
          </w:p>
        </w:tc>
        <w:tc>
          <w:tcPr>
            <w:tcW w:w="879" w:type="dxa"/>
          </w:tcPr>
          <w:p w14:paraId="1957395C" w14:textId="77777777" w:rsidR="00341FAE" w:rsidRPr="00FE36FB" w:rsidRDefault="00341FAE" w:rsidP="00443763">
            <w:pPr>
              <w:spacing w:line="240" w:lineRule="auto"/>
              <w:jc w:val="right"/>
              <w:rPr>
                <w:sz w:val="22"/>
                <w:szCs w:val="22"/>
              </w:rPr>
            </w:pPr>
            <w:r w:rsidRPr="00D040F2">
              <w:t>3.4</w:t>
            </w:r>
          </w:p>
        </w:tc>
        <w:tc>
          <w:tcPr>
            <w:tcW w:w="880" w:type="dxa"/>
          </w:tcPr>
          <w:p w14:paraId="42404275" w14:textId="77777777" w:rsidR="00341FAE" w:rsidRPr="00FE36FB" w:rsidRDefault="00341FAE" w:rsidP="00443763">
            <w:pPr>
              <w:spacing w:line="240" w:lineRule="auto"/>
              <w:jc w:val="right"/>
              <w:rPr>
                <w:sz w:val="22"/>
                <w:szCs w:val="22"/>
              </w:rPr>
            </w:pPr>
            <w:r w:rsidRPr="00D040F2">
              <w:t>0.0</w:t>
            </w:r>
          </w:p>
        </w:tc>
      </w:tr>
      <w:tr w:rsidR="00341FAE" w:rsidRPr="00FE36FB" w14:paraId="5A38EA9A" w14:textId="77777777" w:rsidTr="00443763">
        <w:tc>
          <w:tcPr>
            <w:tcW w:w="7792" w:type="dxa"/>
          </w:tcPr>
          <w:p w14:paraId="2A75F24C" w14:textId="77777777" w:rsidR="00341FAE" w:rsidRPr="00FE36FB" w:rsidRDefault="00341FAE" w:rsidP="00443763">
            <w:pPr>
              <w:spacing w:line="240" w:lineRule="auto"/>
              <w:jc w:val="both"/>
              <w:rPr>
                <w:sz w:val="22"/>
                <w:szCs w:val="22"/>
              </w:rPr>
            </w:pPr>
            <w:r w:rsidRPr="00D040F2">
              <w:t>Approaches to FAO support must engage with the cultural realities shaping how 'coping' is and can be practiced.</w:t>
            </w:r>
          </w:p>
        </w:tc>
        <w:tc>
          <w:tcPr>
            <w:tcW w:w="879" w:type="dxa"/>
          </w:tcPr>
          <w:p w14:paraId="09DD21E8" w14:textId="77777777" w:rsidR="00341FAE" w:rsidRPr="00FE36FB" w:rsidRDefault="00341FAE" w:rsidP="00443763">
            <w:pPr>
              <w:spacing w:line="240" w:lineRule="auto"/>
              <w:jc w:val="right"/>
              <w:rPr>
                <w:sz w:val="22"/>
                <w:szCs w:val="22"/>
              </w:rPr>
            </w:pPr>
            <w:r w:rsidRPr="00D040F2">
              <w:t>41.4</w:t>
            </w:r>
          </w:p>
        </w:tc>
        <w:tc>
          <w:tcPr>
            <w:tcW w:w="879" w:type="dxa"/>
          </w:tcPr>
          <w:p w14:paraId="036A8206" w14:textId="77777777" w:rsidR="00341FAE" w:rsidRPr="00FE36FB" w:rsidRDefault="00341FAE" w:rsidP="00443763">
            <w:pPr>
              <w:spacing w:line="240" w:lineRule="auto"/>
              <w:jc w:val="right"/>
              <w:rPr>
                <w:sz w:val="22"/>
                <w:szCs w:val="22"/>
              </w:rPr>
            </w:pPr>
            <w:r w:rsidRPr="00D040F2">
              <w:t>41.4</w:t>
            </w:r>
          </w:p>
        </w:tc>
        <w:tc>
          <w:tcPr>
            <w:tcW w:w="880" w:type="dxa"/>
          </w:tcPr>
          <w:p w14:paraId="280AD142" w14:textId="77777777" w:rsidR="00341FAE" w:rsidRPr="00FE36FB" w:rsidRDefault="00341FAE" w:rsidP="00443763">
            <w:pPr>
              <w:spacing w:line="240" w:lineRule="auto"/>
              <w:jc w:val="right"/>
              <w:rPr>
                <w:sz w:val="22"/>
                <w:szCs w:val="22"/>
              </w:rPr>
            </w:pPr>
            <w:r w:rsidRPr="00D040F2">
              <w:t>6.9</w:t>
            </w:r>
          </w:p>
        </w:tc>
        <w:tc>
          <w:tcPr>
            <w:tcW w:w="879" w:type="dxa"/>
          </w:tcPr>
          <w:p w14:paraId="420AA9D7" w14:textId="77777777" w:rsidR="00341FAE" w:rsidRPr="00FE36FB" w:rsidRDefault="00341FAE" w:rsidP="00443763">
            <w:pPr>
              <w:spacing w:line="240" w:lineRule="auto"/>
              <w:jc w:val="right"/>
              <w:rPr>
                <w:sz w:val="22"/>
                <w:szCs w:val="22"/>
              </w:rPr>
            </w:pPr>
            <w:r w:rsidRPr="00D040F2">
              <w:t>10.3</w:t>
            </w:r>
          </w:p>
        </w:tc>
        <w:tc>
          <w:tcPr>
            <w:tcW w:w="880" w:type="dxa"/>
          </w:tcPr>
          <w:p w14:paraId="2E228748" w14:textId="77777777" w:rsidR="00341FAE" w:rsidRPr="00FE36FB" w:rsidRDefault="00341FAE" w:rsidP="00443763">
            <w:pPr>
              <w:spacing w:line="240" w:lineRule="auto"/>
              <w:jc w:val="right"/>
              <w:rPr>
                <w:sz w:val="22"/>
                <w:szCs w:val="22"/>
              </w:rPr>
            </w:pPr>
            <w:r w:rsidRPr="00D040F2">
              <w:t>0.0</w:t>
            </w:r>
          </w:p>
        </w:tc>
        <w:tc>
          <w:tcPr>
            <w:tcW w:w="879" w:type="dxa"/>
          </w:tcPr>
          <w:p w14:paraId="7DAC9764" w14:textId="77777777" w:rsidR="00341FAE" w:rsidRPr="00FE36FB" w:rsidRDefault="00341FAE" w:rsidP="00443763">
            <w:pPr>
              <w:spacing w:line="240" w:lineRule="auto"/>
              <w:jc w:val="right"/>
              <w:rPr>
                <w:sz w:val="22"/>
                <w:szCs w:val="22"/>
              </w:rPr>
            </w:pPr>
            <w:r w:rsidRPr="00D040F2">
              <w:t>0.0</w:t>
            </w:r>
          </w:p>
        </w:tc>
        <w:tc>
          <w:tcPr>
            <w:tcW w:w="880" w:type="dxa"/>
          </w:tcPr>
          <w:p w14:paraId="6138C70B" w14:textId="77777777" w:rsidR="00341FAE" w:rsidRPr="00FE36FB" w:rsidRDefault="00341FAE" w:rsidP="00443763">
            <w:pPr>
              <w:spacing w:line="240" w:lineRule="auto"/>
              <w:jc w:val="right"/>
              <w:rPr>
                <w:sz w:val="22"/>
                <w:szCs w:val="22"/>
              </w:rPr>
            </w:pPr>
            <w:r w:rsidRPr="00D040F2">
              <w:t>0.0</w:t>
            </w:r>
          </w:p>
        </w:tc>
      </w:tr>
      <w:tr w:rsidR="00341FAE" w:rsidRPr="00FE36FB" w14:paraId="5C9DB925" w14:textId="77777777" w:rsidTr="00443763">
        <w:tc>
          <w:tcPr>
            <w:tcW w:w="7792" w:type="dxa"/>
          </w:tcPr>
          <w:p w14:paraId="548D0E94" w14:textId="77777777" w:rsidR="00341FAE" w:rsidRPr="00FE36FB" w:rsidRDefault="00341FAE" w:rsidP="00443763">
            <w:pPr>
              <w:spacing w:line="240" w:lineRule="auto"/>
              <w:jc w:val="both"/>
              <w:rPr>
                <w:sz w:val="22"/>
                <w:szCs w:val="22"/>
              </w:rPr>
            </w:pPr>
            <w:r w:rsidRPr="00D040F2">
              <w:t xml:space="preserve">There are common experiences among FAOs which need to be addressed, including high stress, strain in the form of physical and psychological </w:t>
            </w:r>
            <w:r w:rsidRPr="00D040F2">
              <w:lastRenderedPageBreak/>
              <w:t>symptoms, coping dilemmas, and difficulties in obtaining good quality social support.</w:t>
            </w:r>
          </w:p>
        </w:tc>
        <w:tc>
          <w:tcPr>
            <w:tcW w:w="879" w:type="dxa"/>
          </w:tcPr>
          <w:p w14:paraId="42752E8A" w14:textId="77777777" w:rsidR="00341FAE" w:rsidRPr="00FE36FB" w:rsidRDefault="00341FAE" w:rsidP="00443763">
            <w:pPr>
              <w:spacing w:line="240" w:lineRule="auto"/>
              <w:jc w:val="right"/>
              <w:rPr>
                <w:sz w:val="22"/>
                <w:szCs w:val="22"/>
              </w:rPr>
            </w:pPr>
            <w:r w:rsidRPr="00D040F2">
              <w:lastRenderedPageBreak/>
              <w:t>41.4</w:t>
            </w:r>
          </w:p>
        </w:tc>
        <w:tc>
          <w:tcPr>
            <w:tcW w:w="879" w:type="dxa"/>
          </w:tcPr>
          <w:p w14:paraId="248737C1" w14:textId="77777777" w:rsidR="00341FAE" w:rsidRPr="00FE36FB" w:rsidRDefault="00341FAE" w:rsidP="00443763">
            <w:pPr>
              <w:spacing w:line="240" w:lineRule="auto"/>
              <w:jc w:val="right"/>
              <w:rPr>
                <w:sz w:val="22"/>
                <w:szCs w:val="22"/>
              </w:rPr>
            </w:pPr>
            <w:r w:rsidRPr="00D040F2">
              <w:t>34.5</w:t>
            </w:r>
          </w:p>
        </w:tc>
        <w:tc>
          <w:tcPr>
            <w:tcW w:w="880" w:type="dxa"/>
          </w:tcPr>
          <w:p w14:paraId="7272B5DC" w14:textId="77777777" w:rsidR="00341FAE" w:rsidRPr="00FE36FB" w:rsidRDefault="00341FAE" w:rsidP="00443763">
            <w:pPr>
              <w:spacing w:line="240" w:lineRule="auto"/>
              <w:jc w:val="right"/>
              <w:rPr>
                <w:sz w:val="22"/>
                <w:szCs w:val="22"/>
              </w:rPr>
            </w:pPr>
            <w:r w:rsidRPr="00D040F2">
              <w:t>20.7</w:t>
            </w:r>
          </w:p>
        </w:tc>
        <w:tc>
          <w:tcPr>
            <w:tcW w:w="879" w:type="dxa"/>
          </w:tcPr>
          <w:p w14:paraId="35B7B574" w14:textId="77777777" w:rsidR="00341FAE" w:rsidRPr="00FE36FB" w:rsidRDefault="00341FAE" w:rsidP="00443763">
            <w:pPr>
              <w:spacing w:line="240" w:lineRule="auto"/>
              <w:jc w:val="right"/>
              <w:rPr>
                <w:sz w:val="22"/>
                <w:szCs w:val="22"/>
              </w:rPr>
            </w:pPr>
            <w:r w:rsidRPr="00D040F2">
              <w:t>3.4</w:t>
            </w:r>
          </w:p>
        </w:tc>
        <w:tc>
          <w:tcPr>
            <w:tcW w:w="880" w:type="dxa"/>
          </w:tcPr>
          <w:p w14:paraId="63B8F8C8" w14:textId="77777777" w:rsidR="00341FAE" w:rsidRPr="00FE36FB" w:rsidRDefault="00341FAE" w:rsidP="00443763">
            <w:pPr>
              <w:spacing w:line="240" w:lineRule="auto"/>
              <w:jc w:val="right"/>
              <w:rPr>
                <w:sz w:val="22"/>
                <w:szCs w:val="22"/>
              </w:rPr>
            </w:pPr>
            <w:r w:rsidRPr="00D040F2">
              <w:t>0.0</w:t>
            </w:r>
          </w:p>
        </w:tc>
        <w:tc>
          <w:tcPr>
            <w:tcW w:w="879" w:type="dxa"/>
          </w:tcPr>
          <w:p w14:paraId="4A2D0219" w14:textId="77777777" w:rsidR="00341FAE" w:rsidRPr="00FE36FB" w:rsidRDefault="00341FAE" w:rsidP="00443763">
            <w:pPr>
              <w:spacing w:line="240" w:lineRule="auto"/>
              <w:jc w:val="right"/>
              <w:rPr>
                <w:sz w:val="22"/>
                <w:szCs w:val="22"/>
              </w:rPr>
            </w:pPr>
            <w:r w:rsidRPr="00D040F2">
              <w:t>0.0</w:t>
            </w:r>
          </w:p>
        </w:tc>
        <w:tc>
          <w:tcPr>
            <w:tcW w:w="880" w:type="dxa"/>
          </w:tcPr>
          <w:p w14:paraId="3BB65312" w14:textId="77777777" w:rsidR="00341FAE" w:rsidRPr="00FE36FB" w:rsidRDefault="00341FAE" w:rsidP="00443763">
            <w:pPr>
              <w:spacing w:line="240" w:lineRule="auto"/>
              <w:jc w:val="right"/>
              <w:rPr>
                <w:sz w:val="22"/>
                <w:szCs w:val="22"/>
              </w:rPr>
            </w:pPr>
            <w:r w:rsidRPr="00D040F2">
              <w:t>0.0</w:t>
            </w:r>
          </w:p>
        </w:tc>
      </w:tr>
      <w:tr w:rsidR="00341FAE" w:rsidRPr="00FE36FB" w14:paraId="29A803A6" w14:textId="77777777" w:rsidTr="00443763">
        <w:tc>
          <w:tcPr>
            <w:tcW w:w="7792" w:type="dxa"/>
          </w:tcPr>
          <w:p w14:paraId="29D4B7F4" w14:textId="77777777" w:rsidR="00341FAE" w:rsidRPr="00FE36FB" w:rsidRDefault="00341FAE" w:rsidP="00443763">
            <w:pPr>
              <w:spacing w:line="240" w:lineRule="auto"/>
              <w:jc w:val="both"/>
              <w:rPr>
                <w:sz w:val="22"/>
                <w:szCs w:val="22"/>
              </w:rPr>
            </w:pPr>
            <w:r w:rsidRPr="00D040F2">
              <w:t>Gambling services should orient themselves to address the social and cultural constraints on receiving support (e.g. providing services in conjunction with childcare for FAOs who are women).</w:t>
            </w:r>
          </w:p>
        </w:tc>
        <w:tc>
          <w:tcPr>
            <w:tcW w:w="879" w:type="dxa"/>
          </w:tcPr>
          <w:p w14:paraId="60A1DA9D" w14:textId="77777777" w:rsidR="00341FAE" w:rsidRPr="00FE36FB" w:rsidRDefault="00341FAE" w:rsidP="00443763">
            <w:pPr>
              <w:spacing w:line="240" w:lineRule="auto"/>
              <w:jc w:val="right"/>
              <w:rPr>
                <w:sz w:val="22"/>
                <w:szCs w:val="22"/>
              </w:rPr>
            </w:pPr>
            <w:r w:rsidRPr="00D040F2">
              <w:t>41.4</w:t>
            </w:r>
          </w:p>
        </w:tc>
        <w:tc>
          <w:tcPr>
            <w:tcW w:w="879" w:type="dxa"/>
          </w:tcPr>
          <w:p w14:paraId="3C4CA41C" w14:textId="77777777" w:rsidR="00341FAE" w:rsidRPr="00FE36FB" w:rsidRDefault="00341FAE" w:rsidP="00443763">
            <w:pPr>
              <w:spacing w:line="240" w:lineRule="auto"/>
              <w:jc w:val="right"/>
              <w:rPr>
                <w:sz w:val="22"/>
                <w:szCs w:val="22"/>
              </w:rPr>
            </w:pPr>
            <w:r w:rsidRPr="00D040F2">
              <w:t>34.5</w:t>
            </w:r>
          </w:p>
        </w:tc>
        <w:tc>
          <w:tcPr>
            <w:tcW w:w="880" w:type="dxa"/>
          </w:tcPr>
          <w:p w14:paraId="63408F4D" w14:textId="77777777" w:rsidR="00341FAE" w:rsidRPr="00FE36FB" w:rsidRDefault="00341FAE" w:rsidP="00443763">
            <w:pPr>
              <w:spacing w:line="240" w:lineRule="auto"/>
              <w:jc w:val="right"/>
              <w:rPr>
                <w:sz w:val="22"/>
                <w:szCs w:val="22"/>
              </w:rPr>
            </w:pPr>
            <w:r w:rsidRPr="00D040F2">
              <w:t>20.7</w:t>
            </w:r>
          </w:p>
        </w:tc>
        <w:tc>
          <w:tcPr>
            <w:tcW w:w="879" w:type="dxa"/>
          </w:tcPr>
          <w:p w14:paraId="3EC6619A" w14:textId="77777777" w:rsidR="00341FAE" w:rsidRPr="00FE36FB" w:rsidRDefault="00341FAE" w:rsidP="00443763">
            <w:pPr>
              <w:spacing w:line="240" w:lineRule="auto"/>
              <w:jc w:val="right"/>
              <w:rPr>
                <w:sz w:val="22"/>
                <w:szCs w:val="22"/>
              </w:rPr>
            </w:pPr>
            <w:r w:rsidRPr="00D040F2">
              <w:t>0.0</w:t>
            </w:r>
          </w:p>
        </w:tc>
        <w:tc>
          <w:tcPr>
            <w:tcW w:w="880" w:type="dxa"/>
          </w:tcPr>
          <w:p w14:paraId="5B9B289C" w14:textId="77777777" w:rsidR="00341FAE" w:rsidRPr="00FE36FB" w:rsidRDefault="00341FAE" w:rsidP="00443763">
            <w:pPr>
              <w:spacing w:line="240" w:lineRule="auto"/>
              <w:jc w:val="right"/>
              <w:rPr>
                <w:sz w:val="22"/>
                <w:szCs w:val="22"/>
              </w:rPr>
            </w:pPr>
            <w:r w:rsidRPr="00D040F2">
              <w:t>0.0</w:t>
            </w:r>
          </w:p>
        </w:tc>
        <w:tc>
          <w:tcPr>
            <w:tcW w:w="879" w:type="dxa"/>
          </w:tcPr>
          <w:p w14:paraId="6A71D671" w14:textId="77777777" w:rsidR="00341FAE" w:rsidRPr="00FE36FB" w:rsidRDefault="00341FAE" w:rsidP="00443763">
            <w:pPr>
              <w:spacing w:line="240" w:lineRule="auto"/>
              <w:jc w:val="right"/>
              <w:rPr>
                <w:sz w:val="22"/>
                <w:szCs w:val="22"/>
              </w:rPr>
            </w:pPr>
            <w:r w:rsidRPr="00D040F2">
              <w:t>3.4</w:t>
            </w:r>
          </w:p>
        </w:tc>
        <w:tc>
          <w:tcPr>
            <w:tcW w:w="880" w:type="dxa"/>
          </w:tcPr>
          <w:p w14:paraId="2C3C8ADD" w14:textId="77777777" w:rsidR="00341FAE" w:rsidRPr="00FE36FB" w:rsidRDefault="00341FAE" w:rsidP="00443763">
            <w:pPr>
              <w:spacing w:line="240" w:lineRule="auto"/>
              <w:jc w:val="right"/>
              <w:rPr>
                <w:sz w:val="22"/>
                <w:szCs w:val="22"/>
              </w:rPr>
            </w:pPr>
            <w:r w:rsidRPr="00D040F2">
              <w:t>0.0</w:t>
            </w:r>
          </w:p>
        </w:tc>
      </w:tr>
      <w:tr w:rsidR="00341FAE" w:rsidRPr="00FE36FB" w14:paraId="14C8E192" w14:textId="77777777" w:rsidTr="00443763">
        <w:tc>
          <w:tcPr>
            <w:tcW w:w="7792" w:type="dxa"/>
          </w:tcPr>
          <w:p w14:paraId="2DA0B619" w14:textId="77777777" w:rsidR="00341FAE" w:rsidRPr="00FE36FB" w:rsidRDefault="00341FAE" w:rsidP="00443763">
            <w:pPr>
              <w:spacing w:line="240" w:lineRule="auto"/>
              <w:jc w:val="both"/>
              <w:rPr>
                <w:sz w:val="22"/>
                <w:szCs w:val="22"/>
              </w:rPr>
            </w:pPr>
            <w:r w:rsidRPr="00D040F2">
              <w:t>Addressing gambling harm in families with children involves creating space for children to have a voice.</w:t>
            </w:r>
          </w:p>
        </w:tc>
        <w:tc>
          <w:tcPr>
            <w:tcW w:w="879" w:type="dxa"/>
          </w:tcPr>
          <w:p w14:paraId="097698CE" w14:textId="77777777" w:rsidR="00341FAE" w:rsidRPr="00FE36FB" w:rsidRDefault="00341FAE" w:rsidP="00443763">
            <w:pPr>
              <w:spacing w:line="240" w:lineRule="auto"/>
              <w:jc w:val="right"/>
              <w:rPr>
                <w:sz w:val="22"/>
                <w:szCs w:val="22"/>
              </w:rPr>
            </w:pPr>
            <w:r w:rsidRPr="00D040F2">
              <w:t>37.9</w:t>
            </w:r>
          </w:p>
        </w:tc>
        <w:tc>
          <w:tcPr>
            <w:tcW w:w="879" w:type="dxa"/>
          </w:tcPr>
          <w:p w14:paraId="25D0C166" w14:textId="77777777" w:rsidR="00341FAE" w:rsidRPr="00FE36FB" w:rsidRDefault="00341FAE" w:rsidP="00443763">
            <w:pPr>
              <w:spacing w:line="240" w:lineRule="auto"/>
              <w:jc w:val="right"/>
              <w:rPr>
                <w:sz w:val="22"/>
                <w:szCs w:val="22"/>
              </w:rPr>
            </w:pPr>
            <w:r w:rsidRPr="00D040F2">
              <w:t>34.5</w:t>
            </w:r>
          </w:p>
        </w:tc>
        <w:tc>
          <w:tcPr>
            <w:tcW w:w="880" w:type="dxa"/>
          </w:tcPr>
          <w:p w14:paraId="54982020" w14:textId="77777777" w:rsidR="00341FAE" w:rsidRPr="00FE36FB" w:rsidRDefault="00341FAE" w:rsidP="00443763">
            <w:pPr>
              <w:spacing w:line="240" w:lineRule="auto"/>
              <w:jc w:val="right"/>
              <w:rPr>
                <w:sz w:val="22"/>
                <w:szCs w:val="22"/>
              </w:rPr>
            </w:pPr>
            <w:r w:rsidRPr="00D040F2">
              <w:t>20.7</w:t>
            </w:r>
          </w:p>
        </w:tc>
        <w:tc>
          <w:tcPr>
            <w:tcW w:w="879" w:type="dxa"/>
          </w:tcPr>
          <w:p w14:paraId="6B153CB2" w14:textId="77777777" w:rsidR="00341FAE" w:rsidRPr="00FE36FB" w:rsidRDefault="00341FAE" w:rsidP="00443763">
            <w:pPr>
              <w:spacing w:line="240" w:lineRule="auto"/>
              <w:jc w:val="right"/>
              <w:rPr>
                <w:sz w:val="22"/>
                <w:szCs w:val="22"/>
              </w:rPr>
            </w:pPr>
            <w:r w:rsidRPr="00D040F2">
              <w:t>6.9</w:t>
            </w:r>
          </w:p>
        </w:tc>
        <w:tc>
          <w:tcPr>
            <w:tcW w:w="880" w:type="dxa"/>
          </w:tcPr>
          <w:p w14:paraId="28C66709" w14:textId="77777777" w:rsidR="00341FAE" w:rsidRPr="00FE36FB" w:rsidRDefault="00341FAE" w:rsidP="00443763">
            <w:pPr>
              <w:spacing w:line="240" w:lineRule="auto"/>
              <w:jc w:val="right"/>
              <w:rPr>
                <w:sz w:val="22"/>
                <w:szCs w:val="22"/>
              </w:rPr>
            </w:pPr>
            <w:r w:rsidRPr="00D040F2">
              <w:t>0.0</w:t>
            </w:r>
          </w:p>
        </w:tc>
        <w:tc>
          <w:tcPr>
            <w:tcW w:w="879" w:type="dxa"/>
          </w:tcPr>
          <w:p w14:paraId="5E6B8D2C" w14:textId="77777777" w:rsidR="00341FAE" w:rsidRPr="00FE36FB" w:rsidRDefault="00341FAE" w:rsidP="00443763">
            <w:pPr>
              <w:spacing w:line="240" w:lineRule="auto"/>
              <w:jc w:val="right"/>
              <w:rPr>
                <w:sz w:val="22"/>
                <w:szCs w:val="22"/>
              </w:rPr>
            </w:pPr>
            <w:r w:rsidRPr="00D040F2">
              <w:t>0.0</w:t>
            </w:r>
          </w:p>
        </w:tc>
        <w:tc>
          <w:tcPr>
            <w:tcW w:w="880" w:type="dxa"/>
          </w:tcPr>
          <w:p w14:paraId="5F13C712" w14:textId="77777777" w:rsidR="00341FAE" w:rsidRPr="00FE36FB" w:rsidRDefault="00341FAE" w:rsidP="00443763">
            <w:pPr>
              <w:spacing w:line="240" w:lineRule="auto"/>
              <w:jc w:val="right"/>
              <w:rPr>
                <w:sz w:val="22"/>
                <w:szCs w:val="22"/>
              </w:rPr>
            </w:pPr>
            <w:r w:rsidRPr="00D040F2">
              <w:t>0.0</w:t>
            </w:r>
          </w:p>
        </w:tc>
      </w:tr>
      <w:tr w:rsidR="00341FAE" w:rsidRPr="00FE36FB" w14:paraId="0247F027" w14:textId="77777777" w:rsidTr="00443763">
        <w:tc>
          <w:tcPr>
            <w:tcW w:w="7792" w:type="dxa"/>
          </w:tcPr>
          <w:p w14:paraId="79826452" w14:textId="77777777" w:rsidR="00341FAE" w:rsidRPr="00FE36FB" w:rsidRDefault="00341FAE" w:rsidP="00443763">
            <w:pPr>
              <w:spacing w:line="240" w:lineRule="auto"/>
              <w:jc w:val="both"/>
              <w:rPr>
                <w:sz w:val="22"/>
                <w:szCs w:val="22"/>
              </w:rPr>
            </w:pPr>
            <w:r w:rsidRPr="00D040F2">
              <w:t>Community / consumer activism can play a significant role in reducing gambling harms.</w:t>
            </w:r>
          </w:p>
        </w:tc>
        <w:tc>
          <w:tcPr>
            <w:tcW w:w="879" w:type="dxa"/>
          </w:tcPr>
          <w:p w14:paraId="1A4F862B" w14:textId="77777777" w:rsidR="00341FAE" w:rsidRPr="00FE36FB" w:rsidRDefault="00341FAE" w:rsidP="00443763">
            <w:pPr>
              <w:spacing w:line="240" w:lineRule="auto"/>
              <w:jc w:val="right"/>
              <w:rPr>
                <w:sz w:val="22"/>
                <w:szCs w:val="22"/>
              </w:rPr>
            </w:pPr>
            <w:r w:rsidRPr="00D040F2">
              <w:t>37.9</w:t>
            </w:r>
          </w:p>
        </w:tc>
        <w:tc>
          <w:tcPr>
            <w:tcW w:w="879" w:type="dxa"/>
          </w:tcPr>
          <w:p w14:paraId="77DAD425" w14:textId="77777777" w:rsidR="00341FAE" w:rsidRPr="00FE36FB" w:rsidRDefault="00341FAE" w:rsidP="00443763">
            <w:pPr>
              <w:spacing w:line="240" w:lineRule="auto"/>
              <w:jc w:val="right"/>
              <w:rPr>
                <w:sz w:val="22"/>
                <w:szCs w:val="22"/>
              </w:rPr>
            </w:pPr>
            <w:r w:rsidRPr="00D040F2">
              <w:t>34.5</w:t>
            </w:r>
          </w:p>
        </w:tc>
        <w:tc>
          <w:tcPr>
            <w:tcW w:w="880" w:type="dxa"/>
          </w:tcPr>
          <w:p w14:paraId="210975F2" w14:textId="77777777" w:rsidR="00341FAE" w:rsidRPr="00FE36FB" w:rsidRDefault="00341FAE" w:rsidP="00443763">
            <w:pPr>
              <w:spacing w:line="240" w:lineRule="auto"/>
              <w:jc w:val="right"/>
              <w:rPr>
                <w:sz w:val="22"/>
                <w:szCs w:val="22"/>
              </w:rPr>
            </w:pPr>
            <w:r w:rsidRPr="00D040F2">
              <w:t>20.7</w:t>
            </w:r>
          </w:p>
        </w:tc>
        <w:tc>
          <w:tcPr>
            <w:tcW w:w="879" w:type="dxa"/>
          </w:tcPr>
          <w:p w14:paraId="02FE8AFA" w14:textId="77777777" w:rsidR="00341FAE" w:rsidRPr="00FE36FB" w:rsidRDefault="00341FAE" w:rsidP="00443763">
            <w:pPr>
              <w:spacing w:line="240" w:lineRule="auto"/>
              <w:jc w:val="right"/>
              <w:rPr>
                <w:sz w:val="22"/>
                <w:szCs w:val="22"/>
              </w:rPr>
            </w:pPr>
            <w:r w:rsidRPr="00D040F2">
              <w:t>3.4</w:t>
            </w:r>
          </w:p>
        </w:tc>
        <w:tc>
          <w:tcPr>
            <w:tcW w:w="880" w:type="dxa"/>
          </w:tcPr>
          <w:p w14:paraId="7A2645ED" w14:textId="77777777" w:rsidR="00341FAE" w:rsidRPr="00FE36FB" w:rsidRDefault="00341FAE" w:rsidP="00443763">
            <w:pPr>
              <w:spacing w:line="240" w:lineRule="auto"/>
              <w:jc w:val="right"/>
              <w:rPr>
                <w:sz w:val="22"/>
                <w:szCs w:val="22"/>
              </w:rPr>
            </w:pPr>
            <w:r w:rsidRPr="00D040F2">
              <w:t>3.4</w:t>
            </w:r>
          </w:p>
        </w:tc>
        <w:tc>
          <w:tcPr>
            <w:tcW w:w="879" w:type="dxa"/>
          </w:tcPr>
          <w:p w14:paraId="29557C47" w14:textId="77777777" w:rsidR="00341FAE" w:rsidRPr="00FE36FB" w:rsidRDefault="00341FAE" w:rsidP="00443763">
            <w:pPr>
              <w:spacing w:line="240" w:lineRule="auto"/>
              <w:jc w:val="right"/>
              <w:rPr>
                <w:sz w:val="22"/>
                <w:szCs w:val="22"/>
              </w:rPr>
            </w:pPr>
            <w:r w:rsidRPr="00D040F2">
              <w:t>0.0</w:t>
            </w:r>
          </w:p>
        </w:tc>
        <w:tc>
          <w:tcPr>
            <w:tcW w:w="880" w:type="dxa"/>
          </w:tcPr>
          <w:p w14:paraId="4F8D7ED7" w14:textId="77777777" w:rsidR="00341FAE" w:rsidRPr="00FE36FB" w:rsidRDefault="00341FAE" w:rsidP="00443763">
            <w:pPr>
              <w:spacing w:line="240" w:lineRule="auto"/>
              <w:jc w:val="right"/>
              <w:rPr>
                <w:sz w:val="22"/>
                <w:szCs w:val="22"/>
              </w:rPr>
            </w:pPr>
            <w:r w:rsidRPr="00D040F2">
              <w:t>0.0</w:t>
            </w:r>
          </w:p>
        </w:tc>
      </w:tr>
      <w:tr w:rsidR="00341FAE" w:rsidRPr="00FE36FB" w14:paraId="495F8820" w14:textId="77777777" w:rsidTr="00443763">
        <w:tc>
          <w:tcPr>
            <w:tcW w:w="7792" w:type="dxa"/>
          </w:tcPr>
          <w:p w14:paraId="1CD4A6D1" w14:textId="77777777" w:rsidR="00341FAE" w:rsidRPr="00FE36FB" w:rsidRDefault="00341FAE" w:rsidP="00443763">
            <w:pPr>
              <w:spacing w:line="240" w:lineRule="auto"/>
              <w:jc w:val="both"/>
              <w:rPr>
                <w:sz w:val="22"/>
                <w:szCs w:val="22"/>
              </w:rPr>
            </w:pPr>
            <w:r w:rsidRPr="00D040F2">
              <w:t>We need to acknowledge gambling harm as both personal and social.</w:t>
            </w:r>
          </w:p>
        </w:tc>
        <w:tc>
          <w:tcPr>
            <w:tcW w:w="879" w:type="dxa"/>
          </w:tcPr>
          <w:p w14:paraId="25105E92" w14:textId="77777777" w:rsidR="00341FAE" w:rsidRPr="00FE36FB" w:rsidRDefault="00341FAE" w:rsidP="00443763">
            <w:pPr>
              <w:spacing w:line="240" w:lineRule="auto"/>
              <w:jc w:val="right"/>
              <w:rPr>
                <w:sz w:val="22"/>
                <w:szCs w:val="22"/>
              </w:rPr>
            </w:pPr>
            <w:r w:rsidRPr="00D040F2">
              <w:t>37.9</w:t>
            </w:r>
          </w:p>
        </w:tc>
        <w:tc>
          <w:tcPr>
            <w:tcW w:w="879" w:type="dxa"/>
          </w:tcPr>
          <w:p w14:paraId="0008CBD4" w14:textId="77777777" w:rsidR="00341FAE" w:rsidRPr="00FE36FB" w:rsidRDefault="00341FAE" w:rsidP="00443763">
            <w:pPr>
              <w:spacing w:line="240" w:lineRule="auto"/>
              <w:jc w:val="right"/>
              <w:rPr>
                <w:sz w:val="22"/>
                <w:szCs w:val="22"/>
              </w:rPr>
            </w:pPr>
            <w:r w:rsidRPr="00D040F2">
              <w:t>51.7</w:t>
            </w:r>
          </w:p>
        </w:tc>
        <w:tc>
          <w:tcPr>
            <w:tcW w:w="880" w:type="dxa"/>
          </w:tcPr>
          <w:p w14:paraId="6C802DC0" w14:textId="77777777" w:rsidR="00341FAE" w:rsidRPr="00FE36FB" w:rsidRDefault="00341FAE" w:rsidP="00443763">
            <w:pPr>
              <w:spacing w:line="240" w:lineRule="auto"/>
              <w:jc w:val="right"/>
              <w:rPr>
                <w:sz w:val="22"/>
                <w:szCs w:val="22"/>
              </w:rPr>
            </w:pPr>
            <w:r w:rsidRPr="00D040F2">
              <w:t>6.9</w:t>
            </w:r>
          </w:p>
        </w:tc>
        <w:tc>
          <w:tcPr>
            <w:tcW w:w="879" w:type="dxa"/>
          </w:tcPr>
          <w:p w14:paraId="0C67FF43" w14:textId="77777777" w:rsidR="00341FAE" w:rsidRPr="00FE36FB" w:rsidRDefault="00341FAE" w:rsidP="00443763">
            <w:pPr>
              <w:spacing w:line="240" w:lineRule="auto"/>
              <w:jc w:val="right"/>
              <w:rPr>
                <w:sz w:val="22"/>
                <w:szCs w:val="22"/>
              </w:rPr>
            </w:pPr>
            <w:r w:rsidRPr="00D040F2">
              <w:t>3.4</w:t>
            </w:r>
          </w:p>
        </w:tc>
        <w:tc>
          <w:tcPr>
            <w:tcW w:w="880" w:type="dxa"/>
          </w:tcPr>
          <w:p w14:paraId="0CB86CCF" w14:textId="77777777" w:rsidR="00341FAE" w:rsidRPr="00FE36FB" w:rsidRDefault="00341FAE" w:rsidP="00443763">
            <w:pPr>
              <w:spacing w:line="240" w:lineRule="auto"/>
              <w:jc w:val="right"/>
              <w:rPr>
                <w:sz w:val="22"/>
                <w:szCs w:val="22"/>
              </w:rPr>
            </w:pPr>
            <w:r w:rsidRPr="00D040F2">
              <w:t>0.0</w:t>
            </w:r>
          </w:p>
        </w:tc>
        <w:tc>
          <w:tcPr>
            <w:tcW w:w="879" w:type="dxa"/>
          </w:tcPr>
          <w:p w14:paraId="1A32EEE8" w14:textId="77777777" w:rsidR="00341FAE" w:rsidRPr="00FE36FB" w:rsidRDefault="00341FAE" w:rsidP="00443763">
            <w:pPr>
              <w:spacing w:line="240" w:lineRule="auto"/>
              <w:jc w:val="right"/>
              <w:rPr>
                <w:sz w:val="22"/>
                <w:szCs w:val="22"/>
              </w:rPr>
            </w:pPr>
            <w:r w:rsidRPr="00D040F2">
              <w:t>0.0</w:t>
            </w:r>
          </w:p>
        </w:tc>
        <w:tc>
          <w:tcPr>
            <w:tcW w:w="880" w:type="dxa"/>
          </w:tcPr>
          <w:p w14:paraId="2F040C7B" w14:textId="77777777" w:rsidR="00341FAE" w:rsidRPr="00FE36FB" w:rsidRDefault="00341FAE" w:rsidP="00443763">
            <w:pPr>
              <w:spacing w:line="240" w:lineRule="auto"/>
              <w:jc w:val="right"/>
              <w:rPr>
                <w:sz w:val="22"/>
                <w:szCs w:val="22"/>
              </w:rPr>
            </w:pPr>
            <w:r w:rsidRPr="00D040F2">
              <w:t>0.0</w:t>
            </w:r>
          </w:p>
        </w:tc>
      </w:tr>
      <w:tr w:rsidR="00341FAE" w:rsidRPr="00FE36FB" w14:paraId="04C6B0FA" w14:textId="77777777" w:rsidTr="00443763">
        <w:tc>
          <w:tcPr>
            <w:tcW w:w="7792" w:type="dxa"/>
          </w:tcPr>
          <w:p w14:paraId="70F60B5D" w14:textId="77777777" w:rsidR="00341FAE" w:rsidRPr="00FE36FB" w:rsidRDefault="00341FAE" w:rsidP="00443763">
            <w:pPr>
              <w:spacing w:line="240" w:lineRule="auto"/>
              <w:jc w:val="both"/>
              <w:rPr>
                <w:sz w:val="22"/>
                <w:szCs w:val="22"/>
              </w:rPr>
            </w:pPr>
            <w:r w:rsidRPr="00D040F2">
              <w:t>There are many reasons why FAOs may need to end their relationships with people experiencing gambling problems.</w:t>
            </w:r>
          </w:p>
        </w:tc>
        <w:tc>
          <w:tcPr>
            <w:tcW w:w="879" w:type="dxa"/>
          </w:tcPr>
          <w:p w14:paraId="2A1EE386" w14:textId="77777777" w:rsidR="00341FAE" w:rsidRPr="00FE36FB" w:rsidRDefault="00341FAE" w:rsidP="00443763">
            <w:pPr>
              <w:spacing w:line="240" w:lineRule="auto"/>
              <w:jc w:val="right"/>
              <w:rPr>
                <w:sz w:val="22"/>
                <w:szCs w:val="22"/>
              </w:rPr>
            </w:pPr>
            <w:r w:rsidRPr="00D040F2">
              <w:t>34.5</w:t>
            </w:r>
          </w:p>
        </w:tc>
        <w:tc>
          <w:tcPr>
            <w:tcW w:w="879" w:type="dxa"/>
          </w:tcPr>
          <w:p w14:paraId="7E0B6584" w14:textId="77777777" w:rsidR="00341FAE" w:rsidRPr="00FE36FB" w:rsidRDefault="00341FAE" w:rsidP="00443763">
            <w:pPr>
              <w:spacing w:line="240" w:lineRule="auto"/>
              <w:jc w:val="right"/>
              <w:rPr>
                <w:sz w:val="22"/>
                <w:szCs w:val="22"/>
              </w:rPr>
            </w:pPr>
            <w:r w:rsidRPr="00D040F2">
              <w:t>31.0</w:t>
            </w:r>
          </w:p>
        </w:tc>
        <w:tc>
          <w:tcPr>
            <w:tcW w:w="880" w:type="dxa"/>
          </w:tcPr>
          <w:p w14:paraId="164270FE" w14:textId="77777777" w:rsidR="00341FAE" w:rsidRPr="00FE36FB" w:rsidRDefault="00341FAE" w:rsidP="00443763">
            <w:pPr>
              <w:spacing w:line="240" w:lineRule="auto"/>
              <w:jc w:val="right"/>
              <w:rPr>
                <w:sz w:val="22"/>
                <w:szCs w:val="22"/>
              </w:rPr>
            </w:pPr>
            <w:r w:rsidRPr="00D040F2">
              <w:t>17.2</w:t>
            </w:r>
          </w:p>
        </w:tc>
        <w:tc>
          <w:tcPr>
            <w:tcW w:w="879" w:type="dxa"/>
          </w:tcPr>
          <w:p w14:paraId="0DF57374" w14:textId="77777777" w:rsidR="00341FAE" w:rsidRPr="00FE36FB" w:rsidRDefault="00341FAE" w:rsidP="00443763">
            <w:pPr>
              <w:spacing w:line="240" w:lineRule="auto"/>
              <w:jc w:val="right"/>
              <w:rPr>
                <w:sz w:val="22"/>
                <w:szCs w:val="22"/>
              </w:rPr>
            </w:pPr>
            <w:r w:rsidRPr="00D040F2">
              <w:t>13.8</w:t>
            </w:r>
          </w:p>
        </w:tc>
        <w:tc>
          <w:tcPr>
            <w:tcW w:w="880" w:type="dxa"/>
          </w:tcPr>
          <w:p w14:paraId="1C5ADEF1" w14:textId="77777777" w:rsidR="00341FAE" w:rsidRPr="00FE36FB" w:rsidRDefault="00341FAE" w:rsidP="00443763">
            <w:pPr>
              <w:spacing w:line="240" w:lineRule="auto"/>
              <w:jc w:val="right"/>
              <w:rPr>
                <w:sz w:val="22"/>
                <w:szCs w:val="22"/>
              </w:rPr>
            </w:pPr>
            <w:r w:rsidRPr="00D040F2">
              <w:t>3.4</w:t>
            </w:r>
          </w:p>
        </w:tc>
        <w:tc>
          <w:tcPr>
            <w:tcW w:w="879" w:type="dxa"/>
          </w:tcPr>
          <w:p w14:paraId="6527870F" w14:textId="77777777" w:rsidR="00341FAE" w:rsidRPr="00FE36FB" w:rsidRDefault="00341FAE" w:rsidP="00443763">
            <w:pPr>
              <w:spacing w:line="240" w:lineRule="auto"/>
              <w:jc w:val="right"/>
              <w:rPr>
                <w:sz w:val="22"/>
                <w:szCs w:val="22"/>
              </w:rPr>
            </w:pPr>
            <w:r w:rsidRPr="00D040F2">
              <w:t>0.0</w:t>
            </w:r>
          </w:p>
        </w:tc>
        <w:tc>
          <w:tcPr>
            <w:tcW w:w="880" w:type="dxa"/>
          </w:tcPr>
          <w:p w14:paraId="38753D8A" w14:textId="77777777" w:rsidR="00341FAE" w:rsidRPr="00FE36FB" w:rsidRDefault="00341FAE" w:rsidP="00443763">
            <w:pPr>
              <w:spacing w:line="240" w:lineRule="auto"/>
              <w:jc w:val="right"/>
              <w:rPr>
                <w:sz w:val="22"/>
                <w:szCs w:val="22"/>
              </w:rPr>
            </w:pPr>
            <w:r w:rsidRPr="00D040F2">
              <w:t>0.0</w:t>
            </w:r>
          </w:p>
        </w:tc>
      </w:tr>
      <w:tr w:rsidR="00341FAE" w:rsidRPr="00FE36FB" w14:paraId="4947F67B" w14:textId="77777777" w:rsidTr="00443763">
        <w:tc>
          <w:tcPr>
            <w:tcW w:w="7792" w:type="dxa"/>
          </w:tcPr>
          <w:p w14:paraId="55801221" w14:textId="77777777" w:rsidR="00341FAE" w:rsidRPr="00FE36FB" w:rsidRDefault="00341FAE" w:rsidP="00443763">
            <w:pPr>
              <w:spacing w:line="240" w:lineRule="auto"/>
              <w:jc w:val="both"/>
              <w:rPr>
                <w:sz w:val="22"/>
                <w:szCs w:val="22"/>
              </w:rPr>
            </w:pPr>
            <w:r w:rsidRPr="00D040F2">
              <w:t>Family focused intervention should create opportunities for families to spend time together outside of opportunities created by gambling.</w:t>
            </w:r>
          </w:p>
        </w:tc>
        <w:tc>
          <w:tcPr>
            <w:tcW w:w="879" w:type="dxa"/>
          </w:tcPr>
          <w:p w14:paraId="2D445561" w14:textId="77777777" w:rsidR="00341FAE" w:rsidRPr="00FE36FB" w:rsidRDefault="00341FAE" w:rsidP="00443763">
            <w:pPr>
              <w:spacing w:line="240" w:lineRule="auto"/>
              <w:jc w:val="right"/>
              <w:rPr>
                <w:sz w:val="22"/>
                <w:szCs w:val="22"/>
              </w:rPr>
            </w:pPr>
            <w:r w:rsidRPr="00D040F2">
              <w:t>34.5</w:t>
            </w:r>
          </w:p>
        </w:tc>
        <w:tc>
          <w:tcPr>
            <w:tcW w:w="879" w:type="dxa"/>
          </w:tcPr>
          <w:p w14:paraId="318C3877" w14:textId="77777777" w:rsidR="00341FAE" w:rsidRPr="00FE36FB" w:rsidRDefault="00341FAE" w:rsidP="00443763">
            <w:pPr>
              <w:spacing w:line="240" w:lineRule="auto"/>
              <w:jc w:val="right"/>
              <w:rPr>
                <w:sz w:val="22"/>
                <w:szCs w:val="22"/>
              </w:rPr>
            </w:pPr>
            <w:r w:rsidRPr="00D040F2">
              <w:t>37.9</w:t>
            </w:r>
          </w:p>
        </w:tc>
        <w:tc>
          <w:tcPr>
            <w:tcW w:w="880" w:type="dxa"/>
          </w:tcPr>
          <w:p w14:paraId="6B5EF8FB" w14:textId="77777777" w:rsidR="00341FAE" w:rsidRPr="00FE36FB" w:rsidRDefault="00341FAE" w:rsidP="00443763">
            <w:pPr>
              <w:spacing w:line="240" w:lineRule="auto"/>
              <w:jc w:val="right"/>
              <w:rPr>
                <w:sz w:val="22"/>
                <w:szCs w:val="22"/>
              </w:rPr>
            </w:pPr>
            <w:r w:rsidRPr="00D040F2">
              <w:t>17.2</w:t>
            </w:r>
          </w:p>
        </w:tc>
        <w:tc>
          <w:tcPr>
            <w:tcW w:w="879" w:type="dxa"/>
          </w:tcPr>
          <w:p w14:paraId="3582A786" w14:textId="77777777" w:rsidR="00341FAE" w:rsidRPr="00FE36FB" w:rsidRDefault="00341FAE" w:rsidP="00443763">
            <w:pPr>
              <w:spacing w:line="240" w:lineRule="auto"/>
              <w:jc w:val="right"/>
              <w:rPr>
                <w:sz w:val="22"/>
                <w:szCs w:val="22"/>
              </w:rPr>
            </w:pPr>
            <w:r w:rsidRPr="00D040F2">
              <w:t>10.3</w:t>
            </w:r>
          </w:p>
        </w:tc>
        <w:tc>
          <w:tcPr>
            <w:tcW w:w="880" w:type="dxa"/>
          </w:tcPr>
          <w:p w14:paraId="7061A0B6" w14:textId="77777777" w:rsidR="00341FAE" w:rsidRPr="00FE36FB" w:rsidRDefault="00341FAE" w:rsidP="00443763">
            <w:pPr>
              <w:spacing w:line="240" w:lineRule="auto"/>
              <w:jc w:val="right"/>
              <w:rPr>
                <w:sz w:val="22"/>
                <w:szCs w:val="22"/>
              </w:rPr>
            </w:pPr>
            <w:r w:rsidRPr="00D040F2">
              <w:t>0.0</w:t>
            </w:r>
          </w:p>
        </w:tc>
        <w:tc>
          <w:tcPr>
            <w:tcW w:w="879" w:type="dxa"/>
          </w:tcPr>
          <w:p w14:paraId="6C5F4892" w14:textId="77777777" w:rsidR="00341FAE" w:rsidRPr="00FE36FB" w:rsidRDefault="00341FAE" w:rsidP="00443763">
            <w:pPr>
              <w:spacing w:line="240" w:lineRule="auto"/>
              <w:jc w:val="right"/>
              <w:rPr>
                <w:sz w:val="22"/>
                <w:szCs w:val="22"/>
              </w:rPr>
            </w:pPr>
            <w:r w:rsidRPr="00D040F2">
              <w:t>0.0</w:t>
            </w:r>
          </w:p>
        </w:tc>
        <w:tc>
          <w:tcPr>
            <w:tcW w:w="880" w:type="dxa"/>
          </w:tcPr>
          <w:p w14:paraId="1E6FFCF5" w14:textId="77777777" w:rsidR="00341FAE" w:rsidRPr="00FE36FB" w:rsidRDefault="00341FAE" w:rsidP="00443763">
            <w:pPr>
              <w:spacing w:line="240" w:lineRule="auto"/>
              <w:jc w:val="right"/>
              <w:rPr>
                <w:sz w:val="22"/>
                <w:szCs w:val="22"/>
              </w:rPr>
            </w:pPr>
            <w:r w:rsidRPr="00D040F2">
              <w:t>0.0</w:t>
            </w:r>
          </w:p>
        </w:tc>
      </w:tr>
      <w:tr w:rsidR="00341FAE" w:rsidRPr="00FE36FB" w14:paraId="0DBC5725" w14:textId="77777777" w:rsidTr="00443763">
        <w:tc>
          <w:tcPr>
            <w:tcW w:w="7792" w:type="dxa"/>
          </w:tcPr>
          <w:p w14:paraId="68C79E5A" w14:textId="77777777" w:rsidR="00341FAE" w:rsidRPr="00FE36FB" w:rsidRDefault="00341FAE" w:rsidP="00443763">
            <w:pPr>
              <w:spacing w:line="240" w:lineRule="auto"/>
              <w:jc w:val="both"/>
              <w:rPr>
                <w:sz w:val="22"/>
                <w:szCs w:val="22"/>
              </w:rPr>
            </w:pPr>
            <w:r w:rsidRPr="00D040F2">
              <w:t>FAOs can support behaviour change in the person who is gambling, even if the gambler never accesses formal treatment.</w:t>
            </w:r>
          </w:p>
        </w:tc>
        <w:tc>
          <w:tcPr>
            <w:tcW w:w="879" w:type="dxa"/>
          </w:tcPr>
          <w:p w14:paraId="4D12E273" w14:textId="77777777" w:rsidR="00341FAE" w:rsidRPr="00FE36FB" w:rsidRDefault="00341FAE" w:rsidP="00443763">
            <w:pPr>
              <w:spacing w:line="240" w:lineRule="auto"/>
              <w:jc w:val="right"/>
              <w:rPr>
                <w:sz w:val="22"/>
                <w:szCs w:val="22"/>
              </w:rPr>
            </w:pPr>
            <w:r w:rsidRPr="00D040F2">
              <w:t>31.0</w:t>
            </w:r>
          </w:p>
        </w:tc>
        <w:tc>
          <w:tcPr>
            <w:tcW w:w="879" w:type="dxa"/>
          </w:tcPr>
          <w:p w14:paraId="68862400" w14:textId="77777777" w:rsidR="00341FAE" w:rsidRPr="00FE36FB" w:rsidRDefault="00341FAE" w:rsidP="00443763">
            <w:pPr>
              <w:spacing w:line="240" w:lineRule="auto"/>
              <w:jc w:val="right"/>
              <w:rPr>
                <w:sz w:val="22"/>
                <w:szCs w:val="22"/>
              </w:rPr>
            </w:pPr>
            <w:r w:rsidRPr="00D040F2">
              <w:t>41.4</w:t>
            </w:r>
          </w:p>
        </w:tc>
        <w:tc>
          <w:tcPr>
            <w:tcW w:w="880" w:type="dxa"/>
          </w:tcPr>
          <w:p w14:paraId="7D20061D" w14:textId="77777777" w:rsidR="00341FAE" w:rsidRPr="00FE36FB" w:rsidRDefault="00341FAE" w:rsidP="00443763">
            <w:pPr>
              <w:spacing w:line="240" w:lineRule="auto"/>
              <w:jc w:val="right"/>
              <w:rPr>
                <w:sz w:val="22"/>
                <w:szCs w:val="22"/>
              </w:rPr>
            </w:pPr>
            <w:r w:rsidRPr="00D040F2">
              <w:t>24.1</w:t>
            </w:r>
          </w:p>
        </w:tc>
        <w:tc>
          <w:tcPr>
            <w:tcW w:w="879" w:type="dxa"/>
          </w:tcPr>
          <w:p w14:paraId="509778E0" w14:textId="77777777" w:rsidR="00341FAE" w:rsidRPr="00FE36FB" w:rsidRDefault="00341FAE" w:rsidP="00443763">
            <w:pPr>
              <w:spacing w:line="240" w:lineRule="auto"/>
              <w:jc w:val="right"/>
              <w:rPr>
                <w:sz w:val="22"/>
                <w:szCs w:val="22"/>
              </w:rPr>
            </w:pPr>
            <w:r w:rsidRPr="00D040F2">
              <w:t>0.0</w:t>
            </w:r>
          </w:p>
        </w:tc>
        <w:tc>
          <w:tcPr>
            <w:tcW w:w="880" w:type="dxa"/>
          </w:tcPr>
          <w:p w14:paraId="5E050A68" w14:textId="77777777" w:rsidR="00341FAE" w:rsidRPr="00FE36FB" w:rsidRDefault="00341FAE" w:rsidP="00443763">
            <w:pPr>
              <w:spacing w:line="240" w:lineRule="auto"/>
              <w:jc w:val="right"/>
              <w:rPr>
                <w:sz w:val="22"/>
                <w:szCs w:val="22"/>
              </w:rPr>
            </w:pPr>
            <w:r w:rsidRPr="00D040F2">
              <w:t>3.4</w:t>
            </w:r>
          </w:p>
        </w:tc>
        <w:tc>
          <w:tcPr>
            <w:tcW w:w="879" w:type="dxa"/>
          </w:tcPr>
          <w:p w14:paraId="026D1A3E" w14:textId="77777777" w:rsidR="00341FAE" w:rsidRPr="00FE36FB" w:rsidRDefault="00341FAE" w:rsidP="00443763">
            <w:pPr>
              <w:spacing w:line="240" w:lineRule="auto"/>
              <w:jc w:val="right"/>
              <w:rPr>
                <w:sz w:val="22"/>
                <w:szCs w:val="22"/>
              </w:rPr>
            </w:pPr>
            <w:r w:rsidRPr="00D040F2">
              <w:t>0.0</w:t>
            </w:r>
          </w:p>
        </w:tc>
        <w:tc>
          <w:tcPr>
            <w:tcW w:w="880" w:type="dxa"/>
          </w:tcPr>
          <w:p w14:paraId="2E946390" w14:textId="77777777" w:rsidR="00341FAE" w:rsidRPr="00FE36FB" w:rsidRDefault="00341FAE" w:rsidP="00443763">
            <w:pPr>
              <w:spacing w:line="240" w:lineRule="auto"/>
              <w:jc w:val="right"/>
              <w:rPr>
                <w:sz w:val="22"/>
                <w:szCs w:val="22"/>
              </w:rPr>
            </w:pPr>
            <w:r w:rsidRPr="00D040F2">
              <w:t>0.0</w:t>
            </w:r>
          </w:p>
        </w:tc>
      </w:tr>
      <w:tr w:rsidR="00341FAE" w:rsidRPr="00FE36FB" w14:paraId="29F117C1" w14:textId="77777777" w:rsidTr="00443763">
        <w:tc>
          <w:tcPr>
            <w:tcW w:w="7792" w:type="dxa"/>
          </w:tcPr>
          <w:p w14:paraId="0D67EA08" w14:textId="77777777" w:rsidR="00341FAE" w:rsidRPr="00FE36FB" w:rsidRDefault="00341FAE" w:rsidP="00443763">
            <w:pPr>
              <w:spacing w:line="240" w:lineRule="auto"/>
              <w:jc w:val="both"/>
              <w:rPr>
                <w:sz w:val="22"/>
                <w:szCs w:val="22"/>
              </w:rPr>
            </w:pPr>
            <w:r w:rsidRPr="00D040F2">
              <w:t>FAOs should be the focus of help and support in their own right, without necessary reference to the gambler's needs or issues.</w:t>
            </w:r>
          </w:p>
        </w:tc>
        <w:tc>
          <w:tcPr>
            <w:tcW w:w="879" w:type="dxa"/>
          </w:tcPr>
          <w:p w14:paraId="6689E23C" w14:textId="77777777" w:rsidR="00341FAE" w:rsidRPr="00FE36FB" w:rsidRDefault="00341FAE" w:rsidP="00443763">
            <w:pPr>
              <w:spacing w:line="240" w:lineRule="auto"/>
              <w:jc w:val="right"/>
              <w:rPr>
                <w:sz w:val="22"/>
                <w:szCs w:val="22"/>
              </w:rPr>
            </w:pPr>
            <w:r w:rsidRPr="00D040F2">
              <w:t>31.0</w:t>
            </w:r>
          </w:p>
        </w:tc>
        <w:tc>
          <w:tcPr>
            <w:tcW w:w="879" w:type="dxa"/>
          </w:tcPr>
          <w:p w14:paraId="52B913E1" w14:textId="77777777" w:rsidR="00341FAE" w:rsidRPr="00FE36FB" w:rsidRDefault="00341FAE" w:rsidP="00443763">
            <w:pPr>
              <w:spacing w:line="240" w:lineRule="auto"/>
              <w:jc w:val="right"/>
              <w:rPr>
                <w:sz w:val="22"/>
                <w:szCs w:val="22"/>
              </w:rPr>
            </w:pPr>
            <w:r w:rsidRPr="00D040F2">
              <w:t>37.9</w:t>
            </w:r>
          </w:p>
        </w:tc>
        <w:tc>
          <w:tcPr>
            <w:tcW w:w="880" w:type="dxa"/>
          </w:tcPr>
          <w:p w14:paraId="213C70C9" w14:textId="77777777" w:rsidR="00341FAE" w:rsidRPr="00FE36FB" w:rsidRDefault="00341FAE" w:rsidP="00443763">
            <w:pPr>
              <w:spacing w:line="240" w:lineRule="auto"/>
              <w:jc w:val="right"/>
              <w:rPr>
                <w:sz w:val="22"/>
                <w:szCs w:val="22"/>
              </w:rPr>
            </w:pPr>
            <w:r w:rsidRPr="00D040F2">
              <w:t>17.2</w:t>
            </w:r>
          </w:p>
        </w:tc>
        <w:tc>
          <w:tcPr>
            <w:tcW w:w="879" w:type="dxa"/>
          </w:tcPr>
          <w:p w14:paraId="26BFA4E4" w14:textId="77777777" w:rsidR="00341FAE" w:rsidRPr="00FE36FB" w:rsidRDefault="00341FAE" w:rsidP="00443763">
            <w:pPr>
              <w:spacing w:line="240" w:lineRule="auto"/>
              <w:jc w:val="right"/>
              <w:rPr>
                <w:sz w:val="22"/>
                <w:szCs w:val="22"/>
              </w:rPr>
            </w:pPr>
            <w:r w:rsidRPr="00D040F2">
              <w:t>13.8</w:t>
            </w:r>
          </w:p>
        </w:tc>
        <w:tc>
          <w:tcPr>
            <w:tcW w:w="880" w:type="dxa"/>
          </w:tcPr>
          <w:p w14:paraId="21257873" w14:textId="77777777" w:rsidR="00341FAE" w:rsidRPr="00FE36FB" w:rsidRDefault="00341FAE" w:rsidP="00443763">
            <w:pPr>
              <w:spacing w:line="240" w:lineRule="auto"/>
              <w:jc w:val="right"/>
              <w:rPr>
                <w:sz w:val="22"/>
                <w:szCs w:val="22"/>
              </w:rPr>
            </w:pPr>
            <w:r w:rsidRPr="00D040F2">
              <w:t>0.0</w:t>
            </w:r>
          </w:p>
        </w:tc>
        <w:tc>
          <w:tcPr>
            <w:tcW w:w="879" w:type="dxa"/>
          </w:tcPr>
          <w:p w14:paraId="358AA167" w14:textId="77777777" w:rsidR="00341FAE" w:rsidRPr="00FE36FB" w:rsidRDefault="00341FAE" w:rsidP="00443763">
            <w:pPr>
              <w:spacing w:line="240" w:lineRule="auto"/>
              <w:jc w:val="right"/>
              <w:rPr>
                <w:sz w:val="22"/>
                <w:szCs w:val="22"/>
              </w:rPr>
            </w:pPr>
            <w:r w:rsidRPr="00D040F2">
              <w:t>0.0</w:t>
            </w:r>
          </w:p>
        </w:tc>
        <w:tc>
          <w:tcPr>
            <w:tcW w:w="880" w:type="dxa"/>
          </w:tcPr>
          <w:p w14:paraId="225ECD27" w14:textId="77777777" w:rsidR="00341FAE" w:rsidRPr="00FE36FB" w:rsidRDefault="00341FAE" w:rsidP="00443763">
            <w:pPr>
              <w:spacing w:line="240" w:lineRule="auto"/>
              <w:jc w:val="right"/>
              <w:rPr>
                <w:sz w:val="22"/>
                <w:szCs w:val="22"/>
              </w:rPr>
            </w:pPr>
            <w:r w:rsidRPr="00D040F2">
              <w:t>0.0</w:t>
            </w:r>
          </w:p>
        </w:tc>
      </w:tr>
      <w:tr w:rsidR="00341FAE" w:rsidRPr="00FE36FB" w14:paraId="67573E78" w14:textId="77777777" w:rsidTr="00443763">
        <w:tc>
          <w:tcPr>
            <w:tcW w:w="7792" w:type="dxa"/>
          </w:tcPr>
          <w:p w14:paraId="2128FEA3" w14:textId="77777777" w:rsidR="00341FAE" w:rsidRPr="00FE36FB" w:rsidRDefault="00341FAE" w:rsidP="00443763">
            <w:pPr>
              <w:spacing w:line="240" w:lineRule="auto"/>
              <w:jc w:val="both"/>
              <w:rPr>
                <w:sz w:val="22"/>
                <w:szCs w:val="22"/>
              </w:rPr>
            </w:pPr>
            <w:r w:rsidRPr="00D040F2">
              <w:t>FAOs require a supportive collective environment so that they can share their experiences and gain support from one another.</w:t>
            </w:r>
          </w:p>
        </w:tc>
        <w:tc>
          <w:tcPr>
            <w:tcW w:w="879" w:type="dxa"/>
          </w:tcPr>
          <w:p w14:paraId="3CBD7D8B" w14:textId="77777777" w:rsidR="00341FAE" w:rsidRPr="00FE36FB" w:rsidRDefault="00341FAE" w:rsidP="00443763">
            <w:pPr>
              <w:spacing w:line="240" w:lineRule="auto"/>
              <w:jc w:val="right"/>
              <w:rPr>
                <w:sz w:val="22"/>
                <w:szCs w:val="22"/>
              </w:rPr>
            </w:pPr>
            <w:r w:rsidRPr="00D040F2">
              <w:t>31.0</w:t>
            </w:r>
          </w:p>
        </w:tc>
        <w:tc>
          <w:tcPr>
            <w:tcW w:w="879" w:type="dxa"/>
          </w:tcPr>
          <w:p w14:paraId="4C861E87" w14:textId="77777777" w:rsidR="00341FAE" w:rsidRPr="00FE36FB" w:rsidRDefault="00341FAE" w:rsidP="00443763">
            <w:pPr>
              <w:spacing w:line="240" w:lineRule="auto"/>
              <w:jc w:val="right"/>
              <w:rPr>
                <w:sz w:val="22"/>
                <w:szCs w:val="22"/>
              </w:rPr>
            </w:pPr>
            <w:r w:rsidRPr="00D040F2">
              <w:t>44.8</w:t>
            </w:r>
          </w:p>
        </w:tc>
        <w:tc>
          <w:tcPr>
            <w:tcW w:w="880" w:type="dxa"/>
          </w:tcPr>
          <w:p w14:paraId="504E0380" w14:textId="77777777" w:rsidR="00341FAE" w:rsidRPr="00FE36FB" w:rsidRDefault="00341FAE" w:rsidP="00443763">
            <w:pPr>
              <w:spacing w:line="240" w:lineRule="auto"/>
              <w:jc w:val="right"/>
              <w:rPr>
                <w:sz w:val="22"/>
                <w:szCs w:val="22"/>
              </w:rPr>
            </w:pPr>
            <w:r w:rsidRPr="00D040F2">
              <w:t>13.8</w:t>
            </w:r>
          </w:p>
        </w:tc>
        <w:tc>
          <w:tcPr>
            <w:tcW w:w="879" w:type="dxa"/>
          </w:tcPr>
          <w:p w14:paraId="5BE912E6" w14:textId="77777777" w:rsidR="00341FAE" w:rsidRPr="00FE36FB" w:rsidRDefault="00341FAE" w:rsidP="00443763">
            <w:pPr>
              <w:spacing w:line="240" w:lineRule="auto"/>
              <w:jc w:val="right"/>
              <w:rPr>
                <w:sz w:val="22"/>
                <w:szCs w:val="22"/>
              </w:rPr>
            </w:pPr>
            <w:r w:rsidRPr="00D040F2">
              <w:t>6.9</w:t>
            </w:r>
          </w:p>
        </w:tc>
        <w:tc>
          <w:tcPr>
            <w:tcW w:w="880" w:type="dxa"/>
          </w:tcPr>
          <w:p w14:paraId="1786F3C0" w14:textId="77777777" w:rsidR="00341FAE" w:rsidRPr="00FE36FB" w:rsidRDefault="00341FAE" w:rsidP="00443763">
            <w:pPr>
              <w:spacing w:line="240" w:lineRule="auto"/>
              <w:jc w:val="right"/>
              <w:rPr>
                <w:sz w:val="22"/>
                <w:szCs w:val="22"/>
              </w:rPr>
            </w:pPr>
            <w:r w:rsidRPr="00D040F2">
              <w:t>0.0</w:t>
            </w:r>
          </w:p>
        </w:tc>
        <w:tc>
          <w:tcPr>
            <w:tcW w:w="879" w:type="dxa"/>
          </w:tcPr>
          <w:p w14:paraId="2F41B955" w14:textId="77777777" w:rsidR="00341FAE" w:rsidRPr="00FE36FB" w:rsidRDefault="00341FAE" w:rsidP="00443763">
            <w:pPr>
              <w:spacing w:line="240" w:lineRule="auto"/>
              <w:jc w:val="right"/>
              <w:rPr>
                <w:sz w:val="22"/>
                <w:szCs w:val="22"/>
              </w:rPr>
            </w:pPr>
            <w:r w:rsidRPr="00D040F2">
              <w:t>3.4</w:t>
            </w:r>
          </w:p>
        </w:tc>
        <w:tc>
          <w:tcPr>
            <w:tcW w:w="880" w:type="dxa"/>
          </w:tcPr>
          <w:p w14:paraId="076FCEA5" w14:textId="77777777" w:rsidR="00341FAE" w:rsidRPr="00FE36FB" w:rsidRDefault="00341FAE" w:rsidP="00443763">
            <w:pPr>
              <w:spacing w:line="240" w:lineRule="auto"/>
              <w:jc w:val="right"/>
              <w:rPr>
                <w:sz w:val="22"/>
                <w:szCs w:val="22"/>
              </w:rPr>
            </w:pPr>
            <w:r w:rsidRPr="00D040F2">
              <w:t>0.0</w:t>
            </w:r>
          </w:p>
        </w:tc>
      </w:tr>
      <w:tr w:rsidR="00341FAE" w:rsidRPr="00FE36FB" w14:paraId="6C367A6F" w14:textId="77777777" w:rsidTr="00443763">
        <w:tc>
          <w:tcPr>
            <w:tcW w:w="7792" w:type="dxa"/>
          </w:tcPr>
          <w:p w14:paraId="19047A15" w14:textId="77777777" w:rsidR="00341FAE" w:rsidRPr="00FE36FB" w:rsidRDefault="00341FAE" w:rsidP="00443763">
            <w:pPr>
              <w:spacing w:line="240" w:lineRule="auto"/>
              <w:jc w:val="both"/>
              <w:rPr>
                <w:sz w:val="22"/>
                <w:szCs w:val="22"/>
              </w:rPr>
            </w:pPr>
            <w:r w:rsidRPr="00D040F2">
              <w:t>Working with families is not about restoring them to 'full health' but about helping them to enjoy the richness of life, with or without gambling.</w:t>
            </w:r>
          </w:p>
        </w:tc>
        <w:tc>
          <w:tcPr>
            <w:tcW w:w="879" w:type="dxa"/>
          </w:tcPr>
          <w:p w14:paraId="5BCC2E1A" w14:textId="77777777" w:rsidR="00341FAE" w:rsidRPr="00FE36FB" w:rsidRDefault="00341FAE" w:rsidP="00443763">
            <w:pPr>
              <w:spacing w:line="240" w:lineRule="auto"/>
              <w:jc w:val="right"/>
              <w:rPr>
                <w:sz w:val="22"/>
                <w:szCs w:val="22"/>
              </w:rPr>
            </w:pPr>
            <w:r w:rsidRPr="00D040F2">
              <w:t>31.0</w:t>
            </w:r>
          </w:p>
        </w:tc>
        <w:tc>
          <w:tcPr>
            <w:tcW w:w="879" w:type="dxa"/>
          </w:tcPr>
          <w:p w14:paraId="4311774F" w14:textId="77777777" w:rsidR="00341FAE" w:rsidRPr="00FE36FB" w:rsidRDefault="00341FAE" w:rsidP="00443763">
            <w:pPr>
              <w:spacing w:line="240" w:lineRule="auto"/>
              <w:jc w:val="right"/>
              <w:rPr>
                <w:sz w:val="22"/>
                <w:szCs w:val="22"/>
              </w:rPr>
            </w:pPr>
            <w:r w:rsidRPr="00D040F2">
              <w:t>24.1</w:t>
            </w:r>
          </w:p>
        </w:tc>
        <w:tc>
          <w:tcPr>
            <w:tcW w:w="880" w:type="dxa"/>
          </w:tcPr>
          <w:p w14:paraId="101ADFB4" w14:textId="77777777" w:rsidR="00341FAE" w:rsidRPr="00FE36FB" w:rsidRDefault="00341FAE" w:rsidP="00443763">
            <w:pPr>
              <w:spacing w:line="240" w:lineRule="auto"/>
              <w:jc w:val="right"/>
              <w:rPr>
                <w:sz w:val="22"/>
                <w:szCs w:val="22"/>
              </w:rPr>
            </w:pPr>
            <w:r w:rsidRPr="00D040F2">
              <w:t>31.0</w:t>
            </w:r>
          </w:p>
        </w:tc>
        <w:tc>
          <w:tcPr>
            <w:tcW w:w="879" w:type="dxa"/>
          </w:tcPr>
          <w:p w14:paraId="7204B33C" w14:textId="77777777" w:rsidR="00341FAE" w:rsidRPr="00FE36FB" w:rsidRDefault="00341FAE" w:rsidP="00443763">
            <w:pPr>
              <w:spacing w:line="240" w:lineRule="auto"/>
              <w:jc w:val="right"/>
              <w:rPr>
                <w:sz w:val="22"/>
                <w:szCs w:val="22"/>
              </w:rPr>
            </w:pPr>
            <w:r w:rsidRPr="00D040F2">
              <w:t>13.8</w:t>
            </w:r>
          </w:p>
        </w:tc>
        <w:tc>
          <w:tcPr>
            <w:tcW w:w="880" w:type="dxa"/>
          </w:tcPr>
          <w:p w14:paraId="395D0380" w14:textId="77777777" w:rsidR="00341FAE" w:rsidRPr="00FE36FB" w:rsidRDefault="00341FAE" w:rsidP="00443763">
            <w:pPr>
              <w:spacing w:line="240" w:lineRule="auto"/>
              <w:jc w:val="right"/>
              <w:rPr>
                <w:sz w:val="22"/>
                <w:szCs w:val="22"/>
              </w:rPr>
            </w:pPr>
            <w:r w:rsidRPr="00D040F2">
              <w:t>0.0</w:t>
            </w:r>
          </w:p>
        </w:tc>
        <w:tc>
          <w:tcPr>
            <w:tcW w:w="879" w:type="dxa"/>
          </w:tcPr>
          <w:p w14:paraId="405C2555" w14:textId="77777777" w:rsidR="00341FAE" w:rsidRPr="00FE36FB" w:rsidRDefault="00341FAE" w:rsidP="00443763">
            <w:pPr>
              <w:spacing w:line="240" w:lineRule="auto"/>
              <w:jc w:val="right"/>
              <w:rPr>
                <w:sz w:val="22"/>
                <w:szCs w:val="22"/>
              </w:rPr>
            </w:pPr>
            <w:r w:rsidRPr="00D040F2">
              <w:t>0.0</w:t>
            </w:r>
          </w:p>
        </w:tc>
        <w:tc>
          <w:tcPr>
            <w:tcW w:w="880" w:type="dxa"/>
          </w:tcPr>
          <w:p w14:paraId="2A1113EF" w14:textId="77777777" w:rsidR="00341FAE" w:rsidRPr="00FE36FB" w:rsidRDefault="00341FAE" w:rsidP="00443763">
            <w:pPr>
              <w:spacing w:line="240" w:lineRule="auto"/>
              <w:jc w:val="right"/>
              <w:rPr>
                <w:sz w:val="22"/>
                <w:szCs w:val="22"/>
              </w:rPr>
            </w:pPr>
            <w:r w:rsidRPr="00D040F2">
              <w:t>0.0</w:t>
            </w:r>
          </w:p>
        </w:tc>
      </w:tr>
      <w:tr w:rsidR="00341FAE" w:rsidRPr="00FE36FB" w14:paraId="028FBF7F" w14:textId="77777777" w:rsidTr="00443763">
        <w:tc>
          <w:tcPr>
            <w:tcW w:w="7792" w:type="dxa"/>
          </w:tcPr>
          <w:p w14:paraId="0103E086" w14:textId="77777777" w:rsidR="00341FAE" w:rsidRPr="00FE36FB" w:rsidRDefault="00341FAE" w:rsidP="00443763">
            <w:pPr>
              <w:spacing w:line="240" w:lineRule="auto"/>
              <w:jc w:val="both"/>
              <w:rPr>
                <w:sz w:val="22"/>
                <w:szCs w:val="22"/>
              </w:rPr>
            </w:pPr>
            <w:r w:rsidRPr="00D040F2">
              <w:t>Intervention with FAOs must respond to gender-related issues for gambling and harm.</w:t>
            </w:r>
          </w:p>
        </w:tc>
        <w:tc>
          <w:tcPr>
            <w:tcW w:w="879" w:type="dxa"/>
          </w:tcPr>
          <w:p w14:paraId="0CC93340" w14:textId="77777777" w:rsidR="00341FAE" w:rsidRPr="00FE36FB" w:rsidRDefault="00341FAE" w:rsidP="00443763">
            <w:pPr>
              <w:spacing w:line="240" w:lineRule="auto"/>
              <w:jc w:val="right"/>
              <w:rPr>
                <w:sz w:val="22"/>
                <w:szCs w:val="22"/>
              </w:rPr>
            </w:pPr>
            <w:r w:rsidRPr="00D040F2">
              <w:t>27.6</w:t>
            </w:r>
          </w:p>
        </w:tc>
        <w:tc>
          <w:tcPr>
            <w:tcW w:w="879" w:type="dxa"/>
          </w:tcPr>
          <w:p w14:paraId="1DBFC511" w14:textId="77777777" w:rsidR="00341FAE" w:rsidRPr="00FE36FB" w:rsidRDefault="00341FAE" w:rsidP="00443763">
            <w:pPr>
              <w:spacing w:line="240" w:lineRule="auto"/>
              <w:jc w:val="right"/>
              <w:rPr>
                <w:sz w:val="22"/>
                <w:szCs w:val="22"/>
              </w:rPr>
            </w:pPr>
            <w:r w:rsidRPr="00D040F2">
              <w:t>44.8</w:t>
            </w:r>
          </w:p>
        </w:tc>
        <w:tc>
          <w:tcPr>
            <w:tcW w:w="880" w:type="dxa"/>
          </w:tcPr>
          <w:p w14:paraId="60F7DF99" w14:textId="77777777" w:rsidR="00341FAE" w:rsidRPr="00FE36FB" w:rsidRDefault="00341FAE" w:rsidP="00443763">
            <w:pPr>
              <w:spacing w:line="240" w:lineRule="auto"/>
              <w:jc w:val="right"/>
              <w:rPr>
                <w:sz w:val="22"/>
                <w:szCs w:val="22"/>
              </w:rPr>
            </w:pPr>
            <w:r w:rsidRPr="00D040F2">
              <w:t>17.2</w:t>
            </w:r>
          </w:p>
        </w:tc>
        <w:tc>
          <w:tcPr>
            <w:tcW w:w="879" w:type="dxa"/>
          </w:tcPr>
          <w:p w14:paraId="2049DE8B" w14:textId="77777777" w:rsidR="00341FAE" w:rsidRPr="00FE36FB" w:rsidRDefault="00341FAE" w:rsidP="00443763">
            <w:pPr>
              <w:spacing w:line="240" w:lineRule="auto"/>
              <w:jc w:val="right"/>
              <w:rPr>
                <w:sz w:val="22"/>
                <w:szCs w:val="22"/>
              </w:rPr>
            </w:pPr>
            <w:r w:rsidRPr="00D040F2">
              <w:t>6.9</w:t>
            </w:r>
          </w:p>
        </w:tc>
        <w:tc>
          <w:tcPr>
            <w:tcW w:w="880" w:type="dxa"/>
          </w:tcPr>
          <w:p w14:paraId="4CEB3025" w14:textId="77777777" w:rsidR="00341FAE" w:rsidRPr="00FE36FB" w:rsidRDefault="00341FAE" w:rsidP="00443763">
            <w:pPr>
              <w:spacing w:line="240" w:lineRule="auto"/>
              <w:jc w:val="right"/>
              <w:rPr>
                <w:sz w:val="22"/>
                <w:szCs w:val="22"/>
              </w:rPr>
            </w:pPr>
            <w:r w:rsidRPr="00D040F2">
              <w:t>0.0</w:t>
            </w:r>
          </w:p>
        </w:tc>
        <w:tc>
          <w:tcPr>
            <w:tcW w:w="879" w:type="dxa"/>
          </w:tcPr>
          <w:p w14:paraId="75A2D760" w14:textId="77777777" w:rsidR="00341FAE" w:rsidRPr="00FE36FB" w:rsidRDefault="00341FAE" w:rsidP="00443763">
            <w:pPr>
              <w:spacing w:line="240" w:lineRule="auto"/>
              <w:jc w:val="right"/>
              <w:rPr>
                <w:sz w:val="22"/>
                <w:szCs w:val="22"/>
              </w:rPr>
            </w:pPr>
            <w:r w:rsidRPr="00D040F2">
              <w:t>3.4</w:t>
            </w:r>
          </w:p>
        </w:tc>
        <w:tc>
          <w:tcPr>
            <w:tcW w:w="880" w:type="dxa"/>
          </w:tcPr>
          <w:p w14:paraId="032D7936" w14:textId="77777777" w:rsidR="00341FAE" w:rsidRPr="00FE36FB" w:rsidRDefault="00341FAE" w:rsidP="00443763">
            <w:pPr>
              <w:spacing w:line="240" w:lineRule="auto"/>
              <w:jc w:val="right"/>
              <w:rPr>
                <w:sz w:val="22"/>
                <w:szCs w:val="22"/>
              </w:rPr>
            </w:pPr>
            <w:r w:rsidRPr="00D040F2">
              <w:t>0.0</w:t>
            </w:r>
          </w:p>
        </w:tc>
      </w:tr>
      <w:tr w:rsidR="00341FAE" w:rsidRPr="00FE36FB" w14:paraId="248E7D26" w14:textId="77777777" w:rsidTr="00443763">
        <w:tc>
          <w:tcPr>
            <w:tcW w:w="7792" w:type="dxa"/>
          </w:tcPr>
          <w:p w14:paraId="5FB22B6D" w14:textId="77777777" w:rsidR="00341FAE" w:rsidRPr="00FE36FB" w:rsidRDefault="00341FAE" w:rsidP="00443763">
            <w:pPr>
              <w:spacing w:line="240" w:lineRule="auto"/>
              <w:jc w:val="both"/>
              <w:rPr>
                <w:sz w:val="22"/>
                <w:szCs w:val="22"/>
              </w:rPr>
            </w:pPr>
            <w:r w:rsidRPr="00D040F2">
              <w:t>Including FAOs in the treatment of gamblers improves gambler treatment engagement, adherence, and overall outcome.</w:t>
            </w:r>
          </w:p>
        </w:tc>
        <w:tc>
          <w:tcPr>
            <w:tcW w:w="879" w:type="dxa"/>
          </w:tcPr>
          <w:p w14:paraId="5138DF97" w14:textId="77777777" w:rsidR="00341FAE" w:rsidRPr="00FE36FB" w:rsidRDefault="00341FAE" w:rsidP="00443763">
            <w:pPr>
              <w:spacing w:line="240" w:lineRule="auto"/>
              <w:jc w:val="right"/>
              <w:rPr>
                <w:sz w:val="22"/>
                <w:szCs w:val="22"/>
              </w:rPr>
            </w:pPr>
            <w:r w:rsidRPr="00D040F2">
              <w:t>17.2</w:t>
            </w:r>
          </w:p>
        </w:tc>
        <w:tc>
          <w:tcPr>
            <w:tcW w:w="879" w:type="dxa"/>
          </w:tcPr>
          <w:p w14:paraId="0DE684BE" w14:textId="77777777" w:rsidR="00341FAE" w:rsidRPr="00FE36FB" w:rsidRDefault="00341FAE" w:rsidP="00443763">
            <w:pPr>
              <w:spacing w:line="240" w:lineRule="auto"/>
              <w:jc w:val="right"/>
              <w:rPr>
                <w:sz w:val="22"/>
                <w:szCs w:val="22"/>
              </w:rPr>
            </w:pPr>
            <w:r w:rsidRPr="00D040F2">
              <w:t>41.4</w:t>
            </w:r>
          </w:p>
        </w:tc>
        <w:tc>
          <w:tcPr>
            <w:tcW w:w="880" w:type="dxa"/>
          </w:tcPr>
          <w:p w14:paraId="5F7F1B2D" w14:textId="77777777" w:rsidR="00341FAE" w:rsidRPr="00FE36FB" w:rsidRDefault="00341FAE" w:rsidP="00443763">
            <w:pPr>
              <w:spacing w:line="240" w:lineRule="auto"/>
              <w:jc w:val="right"/>
              <w:rPr>
                <w:sz w:val="22"/>
                <w:szCs w:val="22"/>
              </w:rPr>
            </w:pPr>
            <w:r w:rsidRPr="00D040F2">
              <w:t>31.0</w:t>
            </w:r>
          </w:p>
        </w:tc>
        <w:tc>
          <w:tcPr>
            <w:tcW w:w="879" w:type="dxa"/>
          </w:tcPr>
          <w:p w14:paraId="2A42895B" w14:textId="77777777" w:rsidR="00341FAE" w:rsidRPr="00FE36FB" w:rsidRDefault="00341FAE" w:rsidP="00443763">
            <w:pPr>
              <w:spacing w:line="240" w:lineRule="auto"/>
              <w:jc w:val="right"/>
              <w:rPr>
                <w:sz w:val="22"/>
                <w:szCs w:val="22"/>
              </w:rPr>
            </w:pPr>
            <w:r w:rsidRPr="00D040F2">
              <w:t>6.9</w:t>
            </w:r>
          </w:p>
        </w:tc>
        <w:tc>
          <w:tcPr>
            <w:tcW w:w="880" w:type="dxa"/>
          </w:tcPr>
          <w:p w14:paraId="559C3323" w14:textId="77777777" w:rsidR="00341FAE" w:rsidRPr="00FE36FB" w:rsidRDefault="00341FAE" w:rsidP="00443763">
            <w:pPr>
              <w:spacing w:line="240" w:lineRule="auto"/>
              <w:jc w:val="right"/>
              <w:rPr>
                <w:sz w:val="22"/>
                <w:szCs w:val="22"/>
              </w:rPr>
            </w:pPr>
            <w:r w:rsidRPr="00D040F2">
              <w:t>0.0</w:t>
            </w:r>
          </w:p>
        </w:tc>
        <w:tc>
          <w:tcPr>
            <w:tcW w:w="879" w:type="dxa"/>
          </w:tcPr>
          <w:p w14:paraId="64629FB4" w14:textId="77777777" w:rsidR="00341FAE" w:rsidRPr="00FE36FB" w:rsidRDefault="00341FAE" w:rsidP="00443763">
            <w:pPr>
              <w:spacing w:line="240" w:lineRule="auto"/>
              <w:jc w:val="right"/>
              <w:rPr>
                <w:sz w:val="22"/>
                <w:szCs w:val="22"/>
              </w:rPr>
            </w:pPr>
            <w:r w:rsidRPr="00D040F2">
              <w:t>0.0</w:t>
            </w:r>
          </w:p>
        </w:tc>
        <w:tc>
          <w:tcPr>
            <w:tcW w:w="880" w:type="dxa"/>
          </w:tcPr>
          <w:p w14:paraId="36959C00" w14:textId="77777777" w:rsidR="00341FAE" w:rsidRPr="00FE36FB" w:rsidRDefault="00341FAE" w:rsidP="00443763">
            <w:pPr>
              <w:spacing w:line="240" w:lineRule="auto"/>
              <w:jc w:val="right"/>
              <w:rPr>
                <w:sz w:val="22"/>
                <w:szCs w:val="22"/>
              </w:rPr>
            </w:pPr>
            <w:r w:rsidRPr="00D040F2">
              <w:t>3.4</w:t>
            </w:r>
          </w:p>
        </w:tc>
      </w:tr>
      <w:tr w:rsidR="00341FAE" w:rsidRPr="00FE36FB" w14:paraId="6811AF82" w14:textId="77777777" w:rsidTr="00443763">
        <w:tc>
          <w:tcPr>
            <w:tcW w:w="7792" w:type="dxa"/>
          </w:tcPr>
          <w:p w14:paraId="0963E9C8" w14:textId="77777777" w:rsidR="00341FAE" w:rsidRPr="00FE36FB" w:rsidRDefault="00341FAE" w:rsidP="00443763">
            <w:pPr>
              <w:spacing w:line="240" w:lineRule="auto"/>
              <w:jc w:val="both"/>
              <w:rPr>
                <w:sz w:val="22"/>
                <w:szCs w:val="22"/>
              </w:rPr>
            </w:pPr>
            <w:r w:rsidRPr="00D040F2">
              <w:t>Gambling harm reduction interventions for FAOs should be defined by the communities most affected.</w:t>
            </w:r>
          </w:p>
        </w:tc>
        <w:tc>
          <w:tcPr>
            <w:tcW w:w="879" w:type="dxa"/>
          </w:tcPr>
          <w:p w14:paraId="590C625D" w14:textId="77777777" w:rsidR="00341FAE" w:rsidRPr="00FE36FB" w:rsidRDefault="00341FAE" w:rsidP="00443763">
            <w:pPr>
              <w:spacing w:line="240" w:lineRule="auto"/>
              <w:jc w:val="right"/>
              <w:rPr>
                <w:sz w:val="22"/>
                <w:szCs w:val="22"/>
              </w:rPr>
            </w:pPr>
            <w:r w:rsidRPr="00D040F2">
              <w:t>13.8</w:t>
            </w:r>
          </w:p>
        </w:tc>
        <w:tc>
          <w:tcPr>
            <w:tcW w:w="879" w:type="dxa"/>
          </w:tcPr>
          <w:p w14:paraId="4B267947" w14:textId="77777777" w:rsidR="00341FAE" w:rsidRPr="00FE36FB" w:rsidRDefault="00341FAE" w:rsidP="00443763">
            <w:pPr>
              <w:spacing w:line="240" w:lineRule="auto"/>
              <w:jc w:val="right"/>
              <w:rPr>
                <w:sz w:val="22"/>
                <w:szCs w:val="22"/>
              </w:rPr>
            </w:pPr>
            <w:r w:rsidRPr="00D040F2">
              <w:t>31.0</w:t>
            </w:r>
          </w:p>
        </w:tc>
        <w:tc>
          <w:tcPr>
            <w:tcW w:w="880" w:type="dxa"/>
          </w:tcPr>
          <w:p w14:paraId="1E077D6D" w14:textId="77777777" w:rsidR="00341FAE" w:rsidRPr="00FE36FB" w:rsidRDefault="00341FAE" w:rsidP="00443763">
            <w:pPr>
              <w:spacing w:line="240" w:lineRule="auto"/>
              <w:jc w:val="right"/>
              <w:rPr>
                <w:sz w:val="22"/>
                <w:szCs w:val="22"/>
              </w:rPr>
            </w:pPr>
            <w:r w:rsidRPr="00D040F2">
              <w:t>41.4</w:t>
            </w:r>
          </w:p>
        </w:tc>
        <w:tc>
          <w:tcPr>
            <w:tcW w:w="879" w:type="dxa"/>
          </w:tcPr>
          <w:p w14:paraId="20636FE7" w14:textId="77777777" w:rsidR="00341FAE" w:rsidRPr="00FE36FB" w:rsidRDefault="00341FAE" w:rsidP="00443763">
            <w:pPr>
              <w:spacing w:line="240" w:lineRule="auto"/>
              <w:jc w:val="right"/>
              <w:rPr>
                <w:sz w:val="22"/>
                <w:szCs w:val="22"/>
              </w:rPr>
            </w:pPr>
            <w:r w:rsidRPr="00D040F2">
              <w:t>6.9</w:t>
            </w:r>
          </w:p>
        </w:tc>
        <w:tc>
          <w:tcPr>
            <w:tcW w:w="880" w:type="dxa"/>
          </w:tcPr>
          <w:p w14:paraId="21C8B854" w14:textId="77777777" w:rsidR="00341FAE" w:rsidRPr="00FE36FB" w:rsidRDefault="00341FAE" w:rsidP="00443763">
            <w:pPr>
              <w:spacing w:line="240" w:lineRule="auto"/>
              <w:jc w:val="right"/>
              <w:rPr>
                <w:sz w:val="22"/>
                <w:szCs w:val="22"/>
              </w:rPr>
            </w:pPr>
            <w:r w:rsidRPr="00D040F2">
              <w:t>6.9</w:t>
            </w:r>
          </w:p>
        </w:tc>
        <w:tc>
          <w:tcPr>
            <w:tcW w:w="879" w:type="dxa"/>
          </w:tcPr>
          <w:p w14:paraId="2C5425F7" w14:textId="77777777" w:rsidR="00341FAE" w:rsidRPr="00FE36FB" w:rsidRDefault="00341FAE" w:rsidP="00443763">
            <w:pPr>
              <w:spacing w:line="240" w:lineRule="auto"/>
              <w:jc w:val="right"/>
              <w:rPr>
                <w:sz w:val="22"/>
                <w:szCs w:val="22"/>
              </w:rPr>
            </w:pPr>
            <w:r w:rsidRPr="00D040F2">
              <w:t>0.0</w:t>
            </w:r>
          </w:p>
        </w:tc>
        <w:tc>
          <w:tcPr>
            <w:tcW w:w="880" w:type="dxa"/>
          </w:tcPr>
          <w:p w14:paraId="33413818" w14:textId="77777777" w:rsidR="00341FAE" w:rsidRPr="00FE36FB" w:rsidRDefault="00341FAE" w:rsidP="00443763">
            <w:pPr>
              <w:spacing w:line="240" w:lineRule="auto"/>
              <w:jc w:val="right"/>
              <w:rPr>
                <w:sz w:val="22"/>
                <w:szCs w:val="22"/>
              </w:rPr>
            </w:pPr>
            <w:r w:rsidRPr="00D040F2">
              <w:t>0.0</w:t>
            </w:r>
          </w:p>
        </w:tc>
      </w:tr>
      <w:tr w:rsidR="00341FAE" w:rsidRPr="00FE36FB" w14:paraId="7484CCE0" w14:textId="77777777" w:rsidTr="00443763">
        <w:tc>
          <w:tcPr>
            <w:tcW w:w="7792" w:type="dxa"/>
          </w:tcPr>
          <w:p w14:paraId="0986F050" w14:textId="77777777" w:rsidR="00341FAE" w:rsidRPr="00FE36FB" w:rsidRDefault="00341FAE" w:rsidP="00443763">
            <w:pPr>
              <w:spacing w:line="240" w:lineRule="auto"/>
              <w:jc w:val="both"/>
              <w:rPr>
                <w:sz w:val="22"/>
                <w:szCs w:val="22"/>
              </w:rPr>
            </w:pPr>
            <w:r w:rsidRPr="00D040F2">
              <w:t>FAOs should be required to identify themselves as 'dysfunctional' or ' not coping' in order to access support.</w:t>
            </w:r>
          </w:p>
        </w:tc>
        <w:tc>
          <w:tcPr>
            <w:tcW w:w="879" w:type="dxa"/>
          </w:tcPr>
          <w:p w14:paraId="18BDD7A0" w14:textId="77777777" w:rsidR="00341FAE" w:rsidRPr="00FE36FB" w:rsidRDefault="00341FAE" w:rsidP="00443763">
            <w:pPr>
              <w:spacing w:line="240" w:lineRule="auto"/>
              <w:jc w:val="right"/>
              <w:rPr>
                <w:sz w:val="22"/>
                <w:szCs w:val="22"/>
              </w:rPr>
            </w:pPr>
            <w:r w:rsidRPr="00D040F2">
              <w:t>0</w:t>
            </w:r>
          </w:p>
        </w:tc>
        <w:tc>
          <w:tcPr>
            <w:tcW w:w="879" w:type="dxa"/>
          </w:tcPr>
          <w:p w14:paraId="4605CF32" w14:textId="77777777" w:rsidR="00341FAE" w:rsidRPr="00FE36FB" w:rsidRDefault="00341FAE" w:rsidP="00443763">
            <w:pPr>
              <w:spacing w:line="240" w:lineRule="auto"/>
              <w:jc w:val="right"/>
              <w:rPr>
                <w:sz w:val="22"/>
                <w:szCs w:val="22"/>
              </w:rPr>
            </w:pPr>
            <w:r w:rsidRPr="00D040F2">
              <w:t>3.</w:t>
            </w:r>
            <w:r>
              <w:t>5</w:t>
            </w:r>
          </w:p>
        </w:tc>
        <w:tc>
          <w:tcPr>
            <w:tcW w:w="880" w:type="dxa"/>
          </w:tcPr>
          <w:p w14:paraId="67EA823C" w14:textId="77777777" w:rsidR="00341FAE" w:rsidRPr="00FE36FB" w:rsidRDefault="00341FAE" w:rsidP="00443763">
            <w:pPr>
              <w:spacing w:line="240" w:lineRule="auto"/>
              <w:jc w:val="right"/>
              <w:rPr>
                <w:sz w:val="22"/>
                <w:szCs w:val="22"/>
              </w:rPr>
            </w:pPr>
            <w:r w:rsidRPr="00D040F2">
              <w:t>0</w:t>
            </w:r>
          </w:p>
        </w:tc>
        <w:tc>
          <w:tcPr>
            <w:tcW w:w="879" w:type="dxa"/>
          </w:tcPr>
          <w:p w14:paraId="2A93262B" w14:textId="77777777" w:rsidR="00341FAE" w:rsidRPr="00FE36FB" w:rsidRDefault="00341FAE" w:rsidP="00443763">
            <w:pPr>
              <w:spacing w:line="240" w:lineRule="auto"/>
              <w:jc w:val="right"/>
              <w:rPr>
                <w:sz w:val="22"/>
                <w:szCs w:val="22"/>
              </w:rPr>
            </w:pPr>
            <w:r w:rsidRPr="00D040F2">
              <w:t>0</w:t>
            </w:r>
          </w:p>
        </w:tc>
        <w:tc>
          <w:tcPr>
            <w:tcW w:w="880" w:type="dxa"/>
          </w:tcPr>
          <w:p w14:paraId="6A2C0873" w14:textId="77777777" w:rsidR="00341FAE" w:rsidRPr="00FE36FB" w:rsidRDefault="00341FAE" w:rsidP="00443763">
            <w:pPr>
              <w:spacing w:line="240" w:lineRule="auto"/>
              <w:jc w:val="right"/>
              <w:rPr>
                <w:sz w:val="22"/>
                <w:szCs w:val="22"/>
              </w:rPr>
            </w:pPr>
            <w:r w:rsidRPr="00D040F2">
              <w:t>10.3</w:t>
            </w:r>
          </w:p>
        </w:tc>
        <w:tc>
          <w:tcPr>
            <w:tcW w:w="879" w:type="dxa"/>
          </w:tcPr>
          <w:p w14:paraId="364D12E6" w14:textId="77777777" w:rsidR="00341FAE" w:rsidRPr="00FE36FB" w:rsidRDefault="00341FAE" w:rsidP="00443763">
            <w:pPr>
              <w:spacing w:line="240" w:lineRule="auto"/>
              <w:jc w:val="right"/>
              <w:rPr>
                <w:sz w:val="22"/>
                <w:szCs w:val="22"/>
              </w:rPr>
            </w:pPr>
            <w:r w:rsidRPr="00D040F2">
              <w:t>31.0</w:t>
            </w:r>
          </w:p>
        </w:tc>
        <w:tc>
          <w:tcPr>
            <w:tcW w:w="880" w:type="dxa"/>
          </w:tcPr>
          <w:p w14:paraId="45DAC357" w14:textId="77777777" w:rsidR="00341FAE" w:rsidRPr="00FE36FB" w:rsidRDefault="00341FAE" w:rsidP="00443763">
            <w:pPr>
              <w:spacing w:line="240" w:lineRule="auto"/>
              <w:jc w:val="right"/>
              <w:rPr>
                <w:sz w:val="22"/>
                <w:szCs w:val="22"/>
              </w:rPr>
            </w:pPr>
            <w:r w:rsidRPr="00D040F2">
              <w:t>55.</w:t>
            </w:r>
            <w:r>
              <w:t>2</w:t>
            </w:r>
          </w:p>
        </w:tc>
      </w:tr>
    </w:tbl>
    <w:p w14:paraId="25B49946" w14:textId="77777777" w:rsidR="00341FAE" w:rsidRDefault="00341FAE" w:rsidP="00341FAE">
      <w:pPr>
        <w:spacing w:line="259" w:lineRule="auto"/>
        <w:jc w:val="both"/>
        <w:sectPr w:rsidR="00341FAE" w:rsidSect="004860AE">
          <w:pgSz w:w="16838" w:h="11906" w:orient="landscape"/>
          <w:pgMar w:top="1440" w:right="1440" w:bottom="1440" w:left="1440" w:header="708" w:footer="708" w:gutter="0"/>
          <w:cols w:space="708"/>
          <w:docGrid w:linePitch="360"/>
        </w:sectPr>
      </w:pPr>
    </w:p>
    <w:p w14:paraId="1C68DB7D" w14:textId="77777777" w:rsidR="00341FAE" w:rsidRPr="006D461F" w:rsidRDefault="00341FAE" w:rsidP="00341FAE">
      <w:pPr>
        <w:rPr>
          <w:b/>
          <w:bCs/>
          <w:i/>
          <w:iCs/>
        </w:rPr>
      </w:pPr>
      <w:r w:rsidRPr="006D461F">
        <w:rPr>
          <w:b/>
          <w:bCs/>
          <w:i/>
          <w:iCs/>
        </w:rPr>
        <w:lastRenderedPageBreak/>
        <w:t>Divergence around the importance of reduction or improvement in the gambler/gambling behaviour</w:t>
      </w:r>
    </w:p>
    <w:p w14:paraId="7DB901B4" w14:textId="77777777" w:rsidR="00341FAE" w:rsidRDefault="00341FAE" w:rsidP="00341FAE">
      <w:pPr>
        <w:spacing w:line="259" w:lineRule="auto"/>
        <w:jc w:val="both"/>
      </w:pPr>
      <w:r>
        <w:t xml:space="preserve">There were diverging opinions around the relationship between supporting FAOs and reduction or improvement in the gambler/gambling behaviour, i.e. mixed support for the notions that ‘Effective interventions for FAOs must address the gambling behaviour’, ‘FAOs of problem gamblers may unintentionally contribute to the gambling problem’ and ‘Equipping the FAO to support the gambler into treatment will improve outcomes for the FAO. </w:t>
      </w:r>
    </w:p>
    <w:p w14:paraId="3D83588B" w14:textId="77777777" w:rsidR="00341FAE" w:rsidRDefault="00341FAE" w:rsidP="00341FAE">
      <w:pPr>
        <w:spacing w:line="259" w:lineRule="auto"/>
        <w:jc w:val="both"/>
      </w:pPr>
    </w:p>
    <w:p w14:paraId="72E8939A" w14:textId="72172DB7" w:rsidR="00341FAE" w:rsidRDefault="00341FAE" w:rsidP="00341FAE">
      <w:pPr>
        <w:spacing w:line="259" w:lineRule="auto"/>
        <w:jc w:val="both"/>
      </w:pPr>
      <w:r>
        <w:t xml:space="preserve">Clear divergence was seen around the notion that problem gambling reflects an unbalanced family system, the idea that ‘Men may not be as negatively affected as women by a problem gambler’, and an aspect of some forms of empowerment practice, namely that ‘FAO’s decisions should be supported by clinicians, even if those decisions might lead to harm’. </w:t>
      </w:r>
    </w:p>
    <w:p w14:paraId="5F73633E" w14:textId="77777777" w:rsidR="00341FAE" w:rsidRDefault="00341FAE" w:rsidP="00341FAE">
      <w:pPr>
        <w:spacing w:line="259" w:lineRule="auto"/>
        <w:jc w:val="both"/>
      </w:pPr>
    </w:p>
    <w:p w14:paraId="68B33BBB" w14:textId="77777777" w:rsidR="00341FAE" w:rsidRDefault="00341FAE" w:rsidP="00341FAE">
      <w:pPr>
        <w:spacing w:line="259" w:lineRule="auto"/>
        <w:jc w:val="both"/>
      </w:pPr>
      <w:r>
        <w:t>Divergence was also evident around statements in alignment with 12-step approaches to supporting FAO wellbeing, e.g. that ‘FAOs are not responsible for resolving the gambler’s problem’, ‘If FAOs can be encouraged to understand and accept the gambling problem, they can then focus on rebuilding their own lives’, and ‘It is vital for FAOs to acknowledge their lack of control over the gambler’.</w:t>
      </w:r>
    </w:p>
    <w:p w14:paraId="3F075897" w14:textId="77777777" w:rsidR="00341FAE" w:rsidRDefault="00341FAE" w:rsidP="00341FAE">
      <w:pPr>
        <w:spacing w:line="259" w:lineRule="auto"/>
        <w:jc w:val="both"/>
      </w:pPr>
    </w:p>
    <w:p w14:paraId="17DE62AA" w14:textId="77777777" w:rsidR="00341FAE" w:rsidRDefault="00341FAE" w:rsidP="00341FAE">
      <w:pPr>
        <w:spacing w:line="259" w:lineRule="auto"/>
        <w:jc w:val="both"/>
      </w:pPr>
      <w:r>
        <w:t xml:space="preserve">While there was a large amount of support for these statements (over 75% of participants endorsing them), some participants contested the idea that ‘The voices of service users are still not listened to in service design and delivery’ and ‘Support for FAOs must address factors in the wider social environment such as pro-gambling work culture, government acceptance of gambling products, and those responsible for producing and promoting gambling machines and services’. </w:t>
      </w:r>
    </w:p>
    <w:p w14:paraId="497BC403" w14:textId="77777777" w:rsidR="00341FAE" w:rsidRDefault="00341FAE" w:rsidP="00341FAE">
      <w:pPr>
        <w:spacing w:line="259" w:lineRule="auto"/>
        <w:jc w:val="both"/>
      </w:pPr>
    </w:p>
    <w:p w14:paraId="2C1B8008" w14:textId="77777777" w:rsidR="00341FAE" w:rsidRDefault="00341FAE" w:rsidP="00341FAE">
      <w:pPr>
        <w:spacing w:line="259" w:lineRule="auto"/>
        <w:jc w:val="both"/>
      </w:pPr>
    </w:p>
    <w:p w14:paraId="360B7DB0" w14:textId="77777777" w:rsidR="00341FAE" w:rsidRDefault="00341FAE" w:rsidP="00341FAE">
      <w:pPr>
        <w:pStyle w:val="Caption"/>
        <w:sectPr w:rsidR="00341FAE" w:rsidSect="004860AE">
          <w:pgSz w:w="11906" w:h="16838"/>
          <w:pgMar w:top="1440" w:right="1440" w:bottom="1440" w:left="1440" w:header="708" w:footer="708" w:gutter="0"/>
          <w:cols w:space="708"/>
          <w:docGrid w:linePitch="360"/>
        </w:sectPr>
      </w:pPr>
    </w:p>
    <w:p w14:paraId="71E1870D" w14:textId="77777777" w:rsidR="00341FAE" w:rsidRDefault="00341FAE" w:rsidP="00341FAE">
      <w:pPr>
        <w:pStyle w:val="Caption"/>
      </w:pPr>
      <w:bookmarkStart w:id="217" w:name="_Toc51240664"/>
      <w:r>
        <w:lastRenderedPageBreak/>
        <w:t>Table 19. Statement ratings suggesting divergence</w:t>
      </w:r>
      <w:bookmarkEnd w:id="217"/>
    </w:p>
    <w:tbl>
      <w:tblPr>
        <w:tblStyle w:val="TableGrid"/>
        <w:tblW w:w="0" w:type="auto"/>
        <w:tblLayout w:type="fixed"/>
        <w:tblLook w:val="04A0" w:firstRow="1" w:lastRow="0" w:firstColumn="1" w:lastColumn="0" w:noHBand="0" w:noVBand="1"/>
      </w:tblPr>
      <w:tblGrid>
        <w:gridCol w:w="7792"/>
        <w:gridCol w:w="879"/>
        <w:gridCol w:w="879"/>
        <w:gridCol w:w="880"/>
        <w:gridCol w:w="879"/>
        <w:gridCol w:w="877"/>
        <w:gridCol w:w="882"/>
        <w:gridCol w:w="880"/>
      </w:tblGrid>
      <w:tr w:rsidR="00341FAE" w:rsidRPr="00FE36FB" w14:paraId="727E8D85" w14:textId="77777777" w:rsidTr="00443763">
        <w:tc>
          <w:tcPr>
            <w:tcW w:w="7792" w:type="dxa"/>
          </w:tcPr>
          <w:p w14:paraId="7406EDD0" w14:textId="77777777" w:rsidR="00341FAE" w:rsidRPr="00FE36FB" w:rsidRDefault="00341FAE" w:rsidP="00443763">
            <w:pPr>
              <w:spacing w:line="240" w:lineRule="auto"/>
              <w:jc w:val="both"/>
              <w:rPr>
                <w:b/>
                <w:bCs/>
                <w:sz w:val="22"/>
                <w:szCs w:val="22"/>
              </w:rPr>
            </w:pPr>
            <w:r w:rsidRPr="00FE36FB">
              <w:rPr>
                <w:b/>
                <w:bCs/>
                <w:sz w:val="22"/>
                <w:szCs w:val="22"/>
              </w:rPr>
              <w:t>Statement</w:t>
            </w:r>
          </w:p>
        </w:tc>
        <w:tc>
          <w:tcPr>
            <w:tcW w:w="879" w:type="dxa"/>
          </w:tcPr>
          <w:p w14:paraId="48DE3A93" w14:textId="77777777" w:rsidR="00341FAE" w:rsidRPr="00FE36FB" w:rsidRDefault="00341FAE" w:rsidP="00443763">
            <w:pPr>
              <w:spacing w:line="240" w:lineRule="auto"/>
              <w:jc w:val="both"/>
              <w:rPr>
                <w:b/>
                <w:bCs/>
                <w:sz w:val="18"/>
                <w:szCs w:val="18"/>
              </w:rPr>
            </w:pPr>
            <w:r w:rsidRPr="00FE36FB">
              <w:rPr>
                <w:b/>
                <w:bCs/>
                <w:sz w:val="18"/>
                <w:szCs w:val="18"/>
              </w:rPr>
              <w:t>Strongly agree</w:t>
            </w:r>
          </w:p>
        </w:tc>
        <w:tc>
          <w:tcPr>
            <w:tcW w:w="879" w:type="dxa"/>
          </w:tcPr>
          <w:p w14:paraId="1079F68B" w14:textId="77777777" w:rsidR="00341FAE" w:rsidRPr="00FE36FB" w:rsidRDefault="00341FAE" w:rsidP="00443763">
            <w:pPr>
              <w:spacing w:line="240" w:lineRule="auto"/>
              <w:jc w:val="both"/>
              <w:rPr>
                <w:b/>
                <w:bCs/>
                <w:sz w:val="18"/>
                <w:szCs w:val="18"/>
              </w:rPr>
            </w:pPr>
            <w:r w:rsidRPr="00FE36FB">
              <w:rPr>
                <w:b/>
                <w:bCs/>
                <w:sz w:val="18"/>
                <w:szCs w:val="18"/>
              </w:rPr>
              <w:t>Agree</w:t>
            </w:r>
          </w:p>
        </w:tc>
        <w:tc>
          <w:tcPr>
            <w:tcW w:w="880" w:type="dxa"/>
          </w:tcPr>
          <w:p w14:paraId="31F3DD82" w14:textId="77777777" w:rsidR="00341FAE" w:rsidRPr="00FE36FB" w:rsidRDefault="00341FAE" w:rsidP="00443763">
            <w:pPr>
              <w:spacing w:line="240" w:lineRule="auto"/>
              <w:jc w:val="both"/>
              <w:rPr>
                <w:b/>
                <w:bCs/>
                <w:sz w:val="18"/>
                <w:szCs w:val="18"/>
              </w:rPr>
            </w:pPr>
            <w:r w:rsidRPr="00FE36FB">
              <w:rPr>
                <w:b/>
                <w:bCs/>
                <w:sz w:val="18"/>
                <w:szCs w:val="18"/>
              </w:rPr>
              <w:t>Some</w:t>
            </w:r>
            <w:r>
              <w:rPr>
                <w:b/>
                <w:bCs/>
                <w:sz w:val="18"/>
                <w:szCs w:val="18"/>
              </w:rPr>
              <w:t>-</w:t>
            </w:r>
            <w:r w:rsidRPr="00FE36FB">
              <w:rPr>
                <w:b/>
                <w:bCs/>
                <w:sz w:val="18"/>
                <w:szCs w:val="18"/>
              </w:rPr>
              <w:t>what agree</w:t>
            </w:r>
          </w:p>
        </w:tc>
        <w:tc>
          <w:tcPr>
            <w:tcW w:w="879" w:type="dxa"/>
          </w:tcPr>
          <w:p w14:paraId="738581BD" w14:textId="77777777" w:rsidR="00341FAE" w:rsidRPr="00FE36FB" w:rsidRDefault="00341FAE" w:rsidP="00443763">
            <w:pPr>
              <w:spacing w:line="240" w:lineRule="auto"/>
              <w:jc w:val="both"/>
              <w:rPr>
                <w:b/>
                <w:bCs/>
                <w:sz w:val="18"/>
                <w:szCs w:val="18"/>
              </w:rPr>
            </w:pPr>
            <w:r w:rsidRPr="00FE36FB">
              <w:rPr>
                <w:b/>
                <w:bCs/>
                <w:sz w:val="18"/>
                <w:szCs w:val="18"/>
              </w:rPr>
              <w:t>Neutral</w:t>
            </w:r>
          </w:p>
        </w:tc>
        <w:tc>
          <w:tcPr>
            <w:tcW w:w="877" w:type="dxa"/>
          </w:tcPr>
          <w:p w14:paraId="63CF34BB" w14:textId="77777777" w:rsidR="00341FAE" w:rsidRDefault="00341FAE" w:rsidP="00443763">
            <w:pPr>
              <w:spacing w:line="240" w:lineRule="auto"/>
              <w:jc w:val="both"/>
              <w:rPr>
                <w:b/>
                <w:bCs/>
                <w:sz w:val="18"/>
                <w:szCs w:val="18"/>
              </w:rPr>
            </w:pPr>
            <w:r w:rsidRPr="00FE36FB">
              <w:rPr>
                <w:b/>
                <w:bCs/>
                <w:sz w:val="18"/>
                <w:szCs w:val="18"/>
              </w:rPr>
              <w:t>Some</w:t>
            </w:r>
            <w:r>
              <w:rPr>
                <w:b/>
                <w:bCs/>
                <w:sz w:val="18"/>
                <w:szCs w:val="18"/>
              </w:rPr>
              <w:t>-</w:t>
            </w:r>
          </w:p>
          <w:p w14:paraId="1F26DA8E" w14:textId="77777777" w:rsidR="00341FAE" w:rsidRPr="00FE36FB" w:rsidRDefault="00341FAE" w:rsidP="00443763">
            <w:pPr>
              <w:spacing w:line="240" w:lineRule="auto"/>
              <w:jc w:val="both"/>
              <w:rPr>
                <w:b/>
                <w:bCs/>
                <w:sz w:val="18"/>
                <w:szCs w:val="18"/>
              </w:rPr>
            </w:pPr>
            <w:r w:rsidRPr="00FE36FB">
              <w:rPr>
                <w:b/>
                <w:bCs/>
                <w:sz w:val="18"/>
                <w:szCs w:val="18"/>
              </w:rPr>
              <w:t>what disagree</w:t>
            </w:r>
          </w:p>
        </w:tc>
        <w:tc>
          <w:tcPr>
            <w:tcW w:w="882" w:type="dxa"/>
          </w:tcPr>
          <w:p w14:paraId="309B2D4A" w14:textId="77777777" w:rsidR="00341FAE" w:rsidRDefault="00341FAE" w:rsidP="00443763">
            <w:pPr>
              <w:spacing w:line="240" w:lineRule="auto"/>
              <w:jc w:val="both"/>
              <w:rPr>
                <w:b/>
                <w:bCs/>
                <w:sz w:val="18"/>
                <w:szCs w:val="18"/>
              </w:rPr>
            </w:pPr>
            <w:r w:rsidRPr="00FE36FB">
              <w:rPr>
                <w:b/>
                <w:bCs/>
                <w:sz w:val="18"/>
                <w:szCs w:val="18"/>
              </w:rPr>
              <w:t>Dis</w:t>
            </w:r>
            <w:r>
              <w:rPr>
                <w:b/>
                <w:bCs/>
                <w:sz w:val="18"/>
                <w:szCs w:val="18"/>
              </w:rPr>
              <w:t>-</w:t>
            </w:r>
          </w:p>
          <w:p w14:paraId="4C253019" w14:textId="77777777" w:rsidR="00341FAE" w:rsidRPr="00FE36FB" w:rsidRDefault="00341FAE" w:rsidP="00443763">
            <w:pPr>
              <w:spacing w:line="240" w:lineRule="auto"/>
              <w:jc w:val="both"/>
              <w:rPr>
                <w:b/>
                <w:bCs/>
                <w:sz w:val="18"/>
                <w:szCs w:val="18"/>
              </w:rPr>
            </w:pPr>
            <w:r w:rsidRPr="00FE36FB">
              <w:rPr>
                <w:b/>
                <w:bCs/>
                <w:sz w:val="18"/>
                <w:szCs w:val="18"/>
              </w:rPr>
              <w:t>agree</w:t>
            </w:r>
          </w:p>
        </w:tc>
        <w:tc>
          <w:tcPr>
            <w:tcW w:w="880" w:type="dxa"/>
          </w:tcPr>
          <w:p w14:paraId="49B2FC1C" w14:textId="77777777" w:rsidR="00341FAE" w:rsidRPr="00FE36FB" w:rsidRDefault="00341FAE" w:rsidP="00443763">
            <w:pPr>
              <w:spacing w:line="240" w:lineRule="auto"/>
              <w:jc w:val="both"/>
              <w:rPr>
                <w:b/>
                <w:bCs/>
                <w:sz w:val="18"/>
                <w:szCs w:val="18"/>
              </w:rPr>
            </w:pPr>
            <w:r w:rsidRPr="00FE36FB">
              <w:rPr>
                <w:b/>
                <w:bCs/>
                <w:sz w:val="18"/>
                <w:szCs w:val="18"/>
              </w:rPr>
              <w:t>Strongly disagree</w:t>
            </w:r>
          </w:p>
        </w:tc>
      </w:tr>
      <w:tr w:rsidR="00341FAE" w:rsidRPr="00FE36FB" w14:paraId="6A919D95" w14:textId="77777777" w:rsidTr="00443763">
        <w:tc>
          <w:tcPr>
            <w:tcW w:w="7792" w:type="dxa"/>
          </w:tcPr>
          <w:p w14:paraId="7C080EDD" w14:textId="77777777" w:rsidR="00341FAE" w:rsidRPr="00FE36FB" w:rsidRDefault="00341FAE" w:rsidP="00443763">
            <w:pPr>
              <w:spacing w:line="240" w:lineRule="auto"/>
              <w:jc w:val="both"/>
              <w:rPr>
                <w:b/>
                <w:bCs/>
                <w:sz w:val="22"/>
                <w:szCs w:val="22"/>
              </w:rPr>
            </w:pPr>
          </w:p>
        </w:tc>
        <w:tc>
          <w:tcPr>
            <w:tcW w:w="879" w:type="dxa"/>
          </w:tcPr>
          <w:p w14:paraId="5C2F35AF" w14:textId="77777777" w:rsidR="00341FAE" w:rsidRPr="00FE36FB" w:rsidRDefault="00341FAE" w:rsidP="00443763">
            <w:pPr>
              <w:spacing w:line="240" w:lineRule="auto"/>
              <w:jc w:val="right"/>
              <w:rPr>
                <w:b/>
                <w:bCs/>
                <w:sz w:val="22"/>
                <w:szCs w:val="22"/>
              </w:rPr>
            </w:pPr>
            <w:r w:rsidRPr="00FE36FB">
              <w:rPr>
                <w:b/>
                <w:bCs/>
                <w:sz w:val="22"/>
                <w:szCs w:val="22"/>
              </w:rPr>
              <w:t>%</w:t>
            </w:r>
          </w:p>
        </w:tc>
        <w:tc>
          <w:tcPr>
            <w:tcW w:w="879" w:type="dxa"/>
          </w:tcPr>
          <w:p w14:paraId="1A2B6F17" w14:textId="77777777" w:rsidR="00341FAE" w:rsidRPr="00FE36FB" w:rsidRDefault="00341FAE" w:rsidP="00443763">
            <w:pPr>
              <w:spacing w:line="240" w:lineRule="auto"/>
              <w:jc w:val="right"/>
              <w:rPr>
                <w:b/>
                <w:bCs/>
                <w:sz w:val="22"/>
                <w:szCs w:val="22"/>
              </w:rPr>
            </w:pPr>
            <w:r w:rsidRPr="00FE36FB">
              <w:rPr>
                <w:b/>
                <w:bCs/>
                <w:sz w:val="22"/>
                <w:szCs w:val="22"/>
              </w:rPr>
              <w:t>%</w:t>
            </w:r>
          </w:p>
        </w:tc>
        <w:tc>
          <w:tcPr>
            <w:tcW w:w="880" w:type="dxa"/>
          </w:tcPr>
          <w:p w14:paraId="0F518A25" w14:textId="77777777" w:rsidR="00341FAE" w:rsidRPr="00FE36FB" w:rsidRDefault="00341FAE" w:rsidP="00443763">
            <w:pPr>
              <w:spacing w:line="240" w:lineRule="auto"/>
              <w:jc w:val="right"/>
              <w:rPr>
                <w:b/>
                <w:bCs/>
                <w:sz w:val="22"/>
                <w:szCs w:val="22"/>
              </w:rPr>
            </w:pPr>
            <w:r w:rsidRPr="00FE36FB">
              <w:rPr>
                <w:b/>
                <w:bCs/>
                <w:sz w:val="22"/>
                <w:szCs w:val="22"/>
              </w:rPr>
              <w:t>%</w:t>
            </w:r>
          </w:p>
        </w:tc>
        <w:tc>
          <w:tcPr>
            <w:tcW w:w="879" w:type="dxa"/>
          </w:tcPr>
          <w:p w14:paraId="462D572D" w14:textId="77777777" w:rsidR="00341FAE" w:rsidRPr="00FE36FB" w:rsidRDefault="00341FAE" w:rsidP="00443763">
            <w:pPr>
              <w:spacing w:line="240" w:lineRule="auto"/>
              <w:jc w:val="right"/>
              <w:rPr>
                <w:b/>
                <w:bCs/>
                <w:sz w:val="22"/>
                <w:szCs w:val="22"/>
              </w:rPr>
            </w:pPr>
            <w:r w:rsidRPr="00FE36FB">
              <w:rPr>
                <w:b/>
                <w:bCs/>
                <w:sz w:val="22"/>
                <w:szCs w:val="22"/>
              </w:rPr>
              <w:t>%</w:t>
            </w:r>
          </w:p>
        </w:tc>
        <w:tc>
          <w:tcPr>
            <w:tcW w:w="877" w:type="dxa"/>
          </w:tcPr>
          <w:p w14:paraId="547639DB" w14:textId="77777777" w:rsidR="00341FAE" w:rsidRPr="00FE36FB" w:rsidRDefault="00341FAE" w:rsidP="00443763">
            <w:pPr>
              <w:spacing w:line="240" w:lineRule="auto"/>
              <w:jc w:val="right"/>
              <w:rPr>
                <w:b/>
                <w:bCs/>
                <w:sz w:val="22"/>
                <w:szCs w:val="22"/>
              </w:rPr>
            </w:pPr>
            <w:r w:rsidRPr="00FE36FB">
              <w:rPr>
                <w:b/>
                <w:bCs/>
                <w:sz w:val="22"/>
                <w:szCs w:val="22"/>
              </w:rPr>
              <w:t>%</w:t>
            </w:r>
          </w:p>
        </w:tc>
        <w:tc>
          <w:tcPr>
            <w:tcW w:w="882" w:type="dxa"/>
          </w:tcPr>
          <w:p w14:paraId="56965E99" w14:textId="77777777" w:rsidR="00341FAE" w:rsidRPr="00FE36FB" w:rsidRDefault="00341FAE" w:rsidP="00443763">
            <w:pPr>
              <w:spacing w:line="240" w:lineRule="auto"/>
              <w:jc w:val="right"/>
              <w:rPr>
                <w:b/>
                <w:bCs/>
                <w:sz w:val="22"/>
                <w:szCs w:val="22"/>
              </w:rPr>
            </w:pPr>
            <w:r w:rsidRPr="00FE36FB">
              <w:rPr>
                <w:b/>
                <w:bCs/>
                <w:sz w:val="22"/>
                <w:szCs w:val="22"/>
              </w:rPr>
              <w:t>%</w:t>
            </w:r>
          </w:p>
        </w:tc>
        <w:tc>
          <w:tcPr>
            <w:tcW w:w="880" w:type="dxa"/>
          </w:tcPr>
          <w:p w14:paraId="61B7FDD4" w14:textId="77777777" w:rsidR="00341FAE" w:rsidRPr="00FE36FB" w:rsidRDefault="00341FAE" w:rsidP="00443763">
            <w:pPr>
              <w:spacing w:line="240" w:lineRule="auto"/>
              <w:jc w:val="right"/>
              <w:rPr>
                <w:b/>
                <w:bCs/>
                <w:sz w:val="22"/>
                <w:szCs w:val="22"/>
              </w:rPr>
            </w:pPr>
            <w:r w:rsidRPr="00FE36FB">
              <w:rPr>
                <w:b/>
                <w:bCs/>
                <w:sz w:val="22"/>
                <w:szCs w:val="22"/>
              </w:rPr>
              <w:t>%</w:t>
            </w:r>
          </w:p>
        </w:tc>
      </w:tr>
      <w:tr w:rsidR="00341FAE" w:rsidRPr="00FE36FB" w14:paraId="2A755AEB" w14:textId="77777777" w:rsidTr="00443763">
        <w:tc>
          <w:tcPr>
            <w:tcW w:w="7792" w:type="dxa"/>
          </w:tcPr>
          <w:p w14:paraId="6F5748B9" w14:textId="77777777" w:rsidR="00341FAE" w:rsidRPr="00FE36FB" w:rsidRDefault="00341FAE" w:rsidP="00443763">
            <w:pPr>
              <w:spacing w:line="240" w:lineRule="auto"/>
              <w:rPr>
                <w:sz w:val="22"/>
                <w:szCs w:val="22"/>
              </w:rPr>
            </w:pPr>
            <w:r w:rsidRPr="00BD1D4C">
              <w:t>Problem gambling is the outcome of an unbalanced family system.</w:t>
            </w:r>
          </w:p>
        </w:tc>
        <w:tc>
          <w:tcPr>
            <w:tcW w:w="879" w:type="dxa"/>
          </w:tcPr>
          <w:p w14:paraId="028DDB1F" w14:textId="77777777" w:rsidR="00341FAE" w:rsidRPr="00FE36FB" w:rsidRDefault="00341FAE" w:rsidP="00443763">
            <w:pPr>
              <w:spacing w:line="240" w:lineRule="auto"/>
              <w:jc w:val="right"/>
              <w:rPr>
                <w:sz w:val="22"/>
                <w:szCs w:val="22"/>
              </w:rPr>
            </w:pPr>
            <w:r w:rsidRPr="00BD1D4C">
              <w:t>3.4</w:t>
            </w:r>
          </w:p>
        </w:tc>
        <w:tc>
          <w:tcPr>
            <w:tcW w:w="879" w:type="dxa"/>
          </w:tcPr>
          <w:p w14:paraId="171BD5C2" w14:textId="77777777" w:rsidR="00341FAE" w:rsidRPr="00FE36FB" w:rsidRDefault="00341FAE" w:rsidP="00443763">
            <w:pPr>
              <w:spacing w:line="240" w:lineRule="auto"/>
              <w:jc w:val="right"/>
              <w:rPr>
                <w:sz w:val="22"/>
                <w:szCs w:val="22"/>
              </w:rPr>
            </w:pPr>
            <w:r w:rsidRPr="00BD1D4C">
              <w:t>0.0</w:t>
            </w:r>
          </w:p>
        </w:tc>
        <w:tc>
          <w:tcPr>
            <w:tcW w:w="880" w:type="dxa"/>
          </w:tcPr>
          <w:p w14:paraId="21E42E60" w14:textId="77777777" w:rsidR="00341FAE" w:rsidRPr="00FE36FB" w:rsidRDefault="00341FAE" w:rsidP="00443763">
            <w:pPr>
              <w:spacing w:line="240" w:lineRule="auto"/>
              <w:jc w:val="right"/>
              <w:rPr>
                <w:sz w:val="22"/>
                <w:szCs w:val="22"/>
              </w:rPr>
            </w:pPr>
            <w:r w:rsidRPr="00BD1D4C">
              <w:t>17.2</w:t>
            </w:r>
          </w:p>
        </w:tc>
        <w:tc>
          <w:tcPr>
            <w:tcW w:w="879" w:type="dxa"/>
          </w:tcPr>
          <w:p w14:paraId="49D3DA83" w14:textId="77777777" w:rsidR="00341FAE" w:rsidRPr="00FE36FB" w:rsidRDefault="00341FAE" w:rsidP="00443763">
            <w:pPr>
              <w:spacing w:line="240" w:lineRule="auto"/>
              <w:jc w:val="right"/>
              <w:rPr>
                <w:sz w:val="22"/>
                <w:szCs w:val="22"/>
              </w:rPr>
            </w:pPr>
            <w:r w:rsidRPr="00BD1D4C">
              <w:t>20.7</w:t>
            </w:r>
          </w:p>
        </w:tc>
        <w:tc>
          <w:tcPr>
            <w:tcW w:w="877" w:type="dxa"/>
          </w:tcPr>
          <w:p w14:paraId="5F72B1EC" w14:textId="77777777" w:rsidR="00341FAE" w:rsidRPr="00FE36FB" w:rsidRDefault="00341FAE" w:rsidP="00443763">
            <w:pPr>
              <w:spacing w:line="240" w:lineRule="auto"/>
              <w:jc w:val="right"/>
              <w:rPr>
                <w:sz w:val="22"/>
                <w:szCs w:val="22"/>
              </w:rPr>
            </w:pPr>
            <w:r w:rsidRPr="00BD1D4C">
              <w:t>13.8</w:t>
            </w:r>
          </w:p>
        </w:tc>
        <w:tc>
          <w:tcPr>
            <w:tcW w:w="882" w:type="dxa"/>
          </w:tcPr>
          <w:p w14:paraId="4E209EDF" w14:textId="77777777" w:rsidR="00341FAE" w:rsidRPr="00FE36FB" w:rsidRDefault="00341FAE" w:rsidP="00443763">
            <w:pPr>
              <w:spacing w:line="240" w:lineRule="auto"/>
              <w:jc w:val="right"/>
              <w:rPr>
                <w:sz w:val="22"/>
                <w:szCs w:val="22"/>
              </w:rPr>
            </w:pPr>
            <w:r w:rsidRPr="00BD1D4C">
              <w:t>20.7</w:t>
            </w:r>
          </w:p>
        </w:tc>
        <w:tc>
          <w:tcPr>
            <w:tcW w:w="880" w:type="dxa"/>
          </w:tcPr>
          <w:p w14:paraId="547BBFAE" w14:textId="77777777" w:rsidR="00341FAE" w:rsidRPr="00FE36FB" w:rsidRDefault="00341FAE" w:rsidP="00443763">
            <w:pPr>
              <w:spacing w:line="240" w:lineRule="auto"/>
              <w:jc w:val="right"/>
              <w:rPr>
                <w:sz w:val="22"/>
                <w:szCs w:val="22"/>
              </w:rPr>
            </w:pPr>
            <w:r w:rsidRPr="00BD1D4C">
              <w:t>24.1</w:t>
            </w:r>
          </w:p>
        </w:tc>
      </w:tr>
      <w:tr w:rsidR="00341FAE" w:rsidRPr="00FE36FB" w14:paraId="3931C478" w14:textId="77777777" w:rsidTr="00443763">
        <w:tc>
          <w:tcPr>
            <w:tcW w:w="7792" w:type="dxa"/>
          </w:tcPr>
          <w:p w14:paraId="732DA1A4" w14:textId="77777777" w:rsidR="00341FAE" w:rsidRPr="00FE36FB" w:rsidRDefault="00341FAE" w:rsidP="00443763">
            <w:pPr>
              <w:spacing w:line="240" w:lineRule="auto"/>
              <w:jc w:val="both"/>
              <w:rPr>
                <w:sz w:val="22"/>
                <w:szCs w:val="22"/>
              </w:rPr>
            </w:pPr>
            <w:r w:rsidRPr="00BD1D4C">
              <w:t>It is possible that men may not be as negatively affected as women by a problem gambler.</w:t>
            </w:r>
          </w:p>
        </w:tc>
        <w:tc>
          <w:tcPr>
            <w:tcW w:w="879" w:type="dxa"/>
          </w:tcPr>
          <w:p w14:paraId="389EFA3A" w14:textId="77777777" w:rsidR="00341FAE" w:rsidRPr="00FE36FB" w:rsidRDefault="00341FAE" w:rsidP="00443763">
            <w:pPr>
              <w:spacing w:line="240" w:lineRule="auto"/>
              <w:jc w:val="right"/>
              <w:rPr>
                <w:sz w:val="22"/>
                <w:szCs w:val="22"/>
              </w:rPr>
            </w:pPr>
            <w:r w:rsidRPr="00BD1D4C">
              <w:t>6.9</w:t>
            </w:r>
          </w:p>
        </w:tc>
        <w:tc>
          <w:tcPr>
            <w:tcW w:w="879" w:type="dxa"/>
          </w:tcPr>
          <w:p w14:paraId="45F26168" w14:textId="77777777" w:rsidR="00341FAE" w:rsidRPr="00FE36FB" w:rsidRDefault="00341FAE" w:rsidP="00443763">
            <w:pPr>
              <w:spacing w:line="240" w:lineRule="auto"/>
              <w:jc w:val="right"/>
              <w:rPr>
                <w:sz w:val="22"/>
                <w:szCs w:val="22"/>
              </w:rPr>
            </w:pPr>
            <w:r w:rsidRPr="00BD1D4C">
              <w:t>6.9</w:t>
            </w:r>
          </w:p>
        </w:tc>
        <w:tc>
          <w:tcPr>
            <w:tcW w:w="880" w:type="dxa"/>
          </w:tcPr>
          <w:p w14:paraId="7E8FA08E" w14:textId="77777777" w:rsidR="00341FAE" w:rsidRPr="00FE36FB" w:rsidRDefault="00341FAE" w:rsidP="00443763">
            <w:pPr>
              <w:spacing w:line="240" w:lineRule="auto"/>
              <w:jc w:val="right"/>
              <w:rPr>
                <w:sz w:val="22"/>
                <w:szCs w:val="22"/>
              </w:rPr>
            </w:pPr>
            <w:r w:rsidRPr="00BD1D4C">
              <w:t>20.7</w:t>
            </w:r>
          </w:p>
        </w:tc>
        <w:tc>
          <w:tcPr>
            <w:tcW w:w="879" w:type="dxa"/>
          </w:tcPr>
          <w:p w14:paraId="670F5641" w14:textId="77777777" w:rsidR="00341FAE" w:rsidRPr="00FE36FB" w:rsidRDefault="00341FAE" w:rsidP="00443763">
            <w:pPr>
              <w:spacing w:line="240" w:lineRule="auto"/>
              <w:jc w:val="right"/>
              <w:rPr>
                <w:sz w:val="22"/>
                <w:szCs w:val="22"/>
              </w:rPr>
            </w:pPr>
            <w:r w:rsidRPr="00BD1D4C">
              <w:t>17.2</w:t>
            </w:r>
          </w:p>
        </w:tc>
        <w:tc>
          <w:tcPr>
            <w:tcW w:w="877" w:type="dxa"/>
          </w:tcPr>
          <w:p w14:paraId="526CE064" w14:textId="77777777" w:rsidR="00341FAE" w:rsidRPr="00FE36FB" w:rsidRDefault="00341FAE" w:rsidP="00443763">
            <w:pPr>
              <w:spacing w:line="240" w:lineRule="auto"/>
              <w:jc w:val="right"/>
              <w:rPr>
                <w:sz w:val="22"/>
                <w:szCs w:val="22"/>
              </w:rPr>
            </w:pPr>
            <w:r w:rsidRPr="00BD1D4C">
              <w:t>20.7</w:t>
            </w:r>
          </w:p>
        </w:tc>
        <w:tc>
          <w:tcPr>
            <w:tcW w:w="882" w:type="dxa"/>
          </w:tcPr>
          <w:p w14:paraId="35E941EF" w14:textId="77777777" w:rsidR="00341FAE" w:rsidRPr="00FE36FB" w:rsidRDefault="00341FAE" w:rsidP="00443763">
            <w:pPr>
              <w:spacing w:line="240" w:lineRule="auto"/>
              <w:jc w:val="right"/>
              <w:rPr>
                <w:sz w:val="22"/>
                <w:szCs w:val="22"/>
              </w:rPr>
            </w:pPr>
            <w:r w:rsidRPr="00BD1D4C">
              <w:t>10.3</w:t>
            </w:r>
          </w:p>
        </w:tc>
        <w:tc>
          <w:tcPr>
            <w:tcW w:w="880" w:type="dxa"/>
          </w:tcPr>
          <w:p w14:paraId="50932CFD" w14:textId="77777777" w:rsidR="00341FAE" w:rsidRPr="00FE36FB" w:rsidRDefault="00341FAE" w:rsidP="00443763">
            <w:pPr>
              <w:spacing w:line="240" w:lineRule="auto"/>
              <w:jc w:val="right"/>
              <w:rPr>
                <w:sz w:val="22"/>
                <w:szCs w:val="22"/>
              </w:rPr>
            </w:pPr>
            <w:r w:rsidRPr="00BD1D4C">
              <w:t>17.2</w:t>
            </w:r>
          </w:p>
        </w:tc>
      </w:tr>
      <w:tr w:rsidR="00341FAE" w:rsidRPr="00FE36FB" w14:paraId="0E008A4A" w14:textId="77777777" w:rsidTr="00443763">
        <w:tc>
          <w:tcPr>
            <w:tcW w:w="7792" w:type="dxa"/>
          </w:tcPr>
          <w:p w14:paraId="454B1246" w14:textId="77777777" w:rsidR="00341FAE" w:rsidRPr="00FE36FB" w:rsidRDefault="00341FAE" w:rsidP="00443763">
            <w:pPr>
              <w:spacing w:line="240" w:lineRule="auto"/>
              <w:jc w:val="both"/>
              <w:rPr>
                <w:sz w:val="22"/>
                <w:szCs w:val="22"/>
              </w:rPr>
            </w:pPr>
            <w:r w:rsidRPr="00BD1D4C">
              <w:t>FAO's decisions should be supported by clinicians, even if those decisions might lead to harm.</w:t>
            </w:r>
          </w:p>
        </w:tc>
        <w:tc>
          <w:tcPr>
            <w:tcW w:w="879" w:type="dxa"/>
          </w:tcPr>
          <w:p w14:paraId="6C08E9BC" w14:textId="77777777" w:rsidR="00341FAE" w:rsidRPr="00FE36FB" w:rsidRDefault="00341FAE" w:rsidP="00443763">
            <w:pPr>
              <w:spacing w:line="240" w:lineRule="auto"/>
              <w:jc w:val="right"/>
              <w:rPr>
                <w:sz w:val="22"/>
                <w:szCs w:val="22"/>
              </w:rPr>
            </w:pPr>
            <w:r w:rsidRPr="00BD1D4C">
              <w:t>0.0</w:t>
            </w:r>
          </w:p>
        </w:tc>
        <w:tc>
          <w:tcPr>
            <w:tcW w:w="879" w:type="dxa"/>
          </w:tcPr>
          <w:p w14:paraId="2CFBB720" w14:textId="77777777" w:rsidR="00341FAE" w:rsidRPr="00FE36FB" w:rsidRDefault="00341FAE" w:rsidP="00443763">
            <w:pPr>
              <w:spacing w:line="240" w:lineRule="auto"/>
              <w:jc w:val="right"/>
              <w:rPr>
                <w:sz w:val="22"/>
                <w:szCs w:val="22"/>
              </w:rPr>
            </w:pPr>
            <w:r w:rsidRPr="00BD1D4C">
              <w:t>6.9</w:t>
            </w:r>
          </w:p>
        </w:tc>
        <w:tc>
          <w:tcPr>
            <w:tcW w:w="880" w:type="dxa"/>
          </w:tcPr>
          <w:p w14:paraId="4FAD1AC5" w14:textId="77777777" w:rsidR="00341FAE" w:rsidRPr="00FE36FB" w:rsidRDefault="00341FAE" w:rsidP="00443763">
            <w:pPr>
              <w:spacing w:line="240" w:lineRule="auto"/>
              <w:jc w:val="right"/>
              <w:rPr>
                <w:sz w:val="22"/>
                <w:szCs w:val="22"/>
              </w:rPr>
            </w:pPr>
            <w:r w:rsidRPr="00BD1D4C">
              <w:t>20.7</w:t>
            </w:r>
          </w:p>
        </w:tc>
        <w:tc>
          <w:tcPr>
            <w:tcW w:w="879" w:type="dxa"/>
          </w:tcPr>
          <w:p w14:paraId="3EE8D0BB" w14:textId="77777777" w:rsidR="00341FAE" w:rsidRPr="00FE36FB" w:rsidRDefault="00341FAE" w:rsidP="00443763">
            <w:pPr>
              <w:spacing w:line="240" w:lineRule="auto"/>
              <w:jc w:val="right"/>
              <w:rPr>
                <w:sz w:val="22"/>
                <w:szCs w:val="22"/>
              </w:rPr>
            </w:pPr>
            <w:r w:rsidRPr="00BD1D4C">
              <w:t>31.0</w:t>
            </w:r>
          </w:p>
        </w:tc>
        <w:tc>
          <w:tcPr>
            <w:tcW w:w="877" w:type="dxa"/>
          </w:tcPr>
          <w:p w14:paraId="049C759F" w14:textId="77777777" w:rsidR="00341FAE" w:rsidRPr="00FE36FB" w:rsidRDefault="00341FAE" w:rsidP="00443763">
            <w:pPr>
              <w:spacing w:line="240" w:lineRule="auto"/>
              <w:jc w:val="right"/>
              <w:rPr>
                <w:sz w:val="22"/>
                <w:szCs w:val="22"/>
              </w:rPr>
            </w:pPr>
            <w:r w:rsidRPr="00BD1D4C">
              <w:t>20.7</w:t>
            </w:r>
          </w:p>
        </w:tc>
        <w:tc>
          <w:tcPr>
            <w:tcW w:w="882" w:type="dxa"/>
          </w:tcPr>
          <w:p w14:paraId="01590685" w14:textId="77777777" w:rsidR="00341FAE" w:rsidRPr="00FE36FB" w:rsidRDefault="00341FAE" w:rsidP="00443763">
            <w:pPr>
              <w:spacing w:line="240" w:lineRule="auto"/>
              <w:jc w:val="right"/>
              <w:rPr>
                <w:sz w:val="22"/>
                <w:szCs w:val="22"/>
              </w:rPr>
            </w:pPr>
            <w:r w:rsidRPr="00BD1D4C">
              <w:t>17.2</w:t>
            </w:r>
          </w:p>
        </w:tc>
        <w:tc>
          <w:tcPr>
            <w:tcW w:w="880" w:type="dxa"/>
          </w:tcPr>
          <w:p w14:paraId="4F5BC0CE" w14:textId="77777777" w:rsidR="00341FAE" w:rsidRPr="00FE36FB" w:rsidRDefault="00341FAE" w:rsidP="00443763">
            <w:pPr>
              <w:spacing w:line="240" w:lineRule="auto"/>
              <w:jc w:val="right"/>
              <w:rPr>
                <w:sz w:val="22"/>
                <w:szCs w:val="22"/>
              </w:rPr>
            </w:pPr>
            <w:r w:rsidRPr="00BD1D4C">
              <w:t>3.4</w:t>
            </w:r>
          </w:p>
        </w:tc>
      </w:tr>
      <w:tr w:rsidR="00341FAE" w:rsidRPr="00FE36FB" w14:paraId="06662B83" w14:textId="77777777" w:rsidTr="00443763">
        <w:tc>
          <w:tcPr>
            <w:tcW w:w="7792" w:type="dxa"/>
          </w:tcPr>
          <w:p w14:paraId="45C5E398" w14:textId="77777777" w:rsidR="00341FAE" w:rsidRPr="00FE36FB" w:rsidRDefault="00341FAE" w:rsidP="00443763">
            <w:pPr>
              <w:spacing w:line="240" w:lineRule="auto"/>
              <w:jc w:val="both"/>
              <w:rPr>
                <w:sz w:val="22"/>
                <w:szCs w:val="22"/>
              </w:rPr>
            </w:pPr>
            <w:r w:rsidRPr="00BD1D4C">
              <w:t>Effective interventions for FAOs must address the gambling behaviour.</w:t>
            </w:r>
          </w:p>
        </w:tc>
        <w:tc>
          <w:tcPr>
            <w:tcW w:w="879" w:type="dxa"/>
          </w:tcPr>
          <w:p w14:paraId="53B90639" w14:textId="77777777" w:rsidR="00341FAE" w:rsidRPr="00FE36FB" w:rsidRDefault="00341FAE" w:rsidP="00443763">
            <w:pPr>
              <w:spacing w:line="240" w:lineRule="auto"/>
              <w:jc w:val="right"/>
              <w:rPr>
                <w:sz w:val="22"/>
                <w:szCs w:val="22"/>
              </w:rPr>
            </w:pPr>
            <w:r w:rsidRPr="00BD1D4C">
              <w:t>10.3</w:t>
            </w:r>
          </w:p>
        </w:tc>
        <w:tc>
          <w:tcPr>
            <w:tcW w:w="879" w:type="dxa"/>
          </w:tcPr>
          <w:p w14:paraId="7C30A7E6" w14:textId="77777777" w:rsidR="00341FAE" w:rsidRPr="00FE36FB" w:rsidRDefault="00341FAE" w:rsidP="00443763">
            <w:pPr>
              <w:spacing w:line="240" w:lineRule="auto"/>
              <w:jc w:val="right"/>
              <w:rPr>
                <w:sz w:val="22"/>
                <w:szCs w:val="22"/>
              </w:rPr>
            </w:pPr>
            <w:r w:rsidRPr="00BD1D4C">
              <w:t>13.8</w:t>
            </w:r>
          </w:p>
        </w:tc>
        <w:tc>
          <w:tcPr>
            <w:tcW w:w="880" w:type="dxa"/>
          </w:tcPr>
          <w:p w14:paraId="71A611AC" w14:textId="77777777" w:rsidR="00341FAE" w:rsidRPr="00FE36FB" w:rsidRDefault="00341FAE" w:rsidP="00443763">
            <w:pPr>
              <w:spacing w:line="240" w:lineRule="auto"/>
              <w:jc w:val="right"/>
              <w:rPr>
                <w:sz w:val="22"/>
                <w:szCs w:val="22"/>
              </w:rPr>
            </w:pPr>
            <w:r w:rsidRPr="00BD1D4C">
              <w:t>27.6</w:t>
            </w:r>
          </w:p>
        </w:tc>
        <w:tc>
          <w:tcPr>
            <w:tcW w:w="879" w:type="dxa"/>
          </w:tcPr>
          <w:p w14:paraId="0B00DBB7" w14:textId="77777777" w:rsidR="00341FAE" w:rsidRPr="00FE36FB" w:rsidRDefault="00341FAE" w:rsidP="00443763">
            <w:pPr>
              <w:spacing w:line="240" w:lineRule="auto"/>
              <w:jc w:val="right"/>
              <w:rPr>
                <w:sz w:val="22"/>
                <w:szCs w:val="22"/>
              </w:rPr>
            </w:pPr>
            <w:r w:rsidRPr="00BD1D4C">
              <w:t>10.3</w:t>
            </w:r>
          </w:p>
        </w:tc>
        <w:tc>
          <w:tcPr>
            <w:tcW w:w="877" w:type="dxa"/>
          </w:tcPr>
          <w:p w14:paraId="3AF9A212" w14:textId="77777777" w:rsidR="00341FAE" w:rsidRPr="00FE36FB" w:rsidRDefault="00341FAE" w:rsidP="00443763">
            <w:pPr>
              <w:spacing w:line="240" w:lineRule="auto"/>
              <w:jc w:val="right"/>
              <w:rPr>
                <w:sz w:val="22"/>
                <w:szCs w:val="22"/>
              </w:rPr>
            </w:pPr>
            <w:r w:rsidRPr="00BD1D4C">
              <w:t>17.2</w:t>
            </w:r>
          </w:p>
        </w:tc>
        <w:tc>
          <w:tcPr>
            <w:tcW w:w="882" w:type="dxa"/>
          </w:tcPr>
          <w:p w14:paraId="15CB54EC" w14:textId="77777777" w:rsidR="00341FAE" w:rsidRPr="00FE36FB" w:rsidRDefault="00341FAE" w:rsidP="00443763">
            <w:pPr>
              <w:spacing w:line="240" w:lineRule="auto"/>
              <w:jc w:val="right"/>
              <w:rPr>
                <w:sz w:val="22"/>
                <w:szCs w:val="22"/>
              </w:rPr>
            </w:pPr>
            <w:r w:rsidRPr="00BD1D4C">
              <w:t>17.2</w:t>
            </w:r>
          </w:p>
        </w:tc>
        <w:tc>
          <w:tcPr>
            <w:tcW w:w="880" w:type="dxa"/>
          </w:tcPr>
          <w:p w14:paraId="3485A70B" w14:textId="77777777" w:rsidR="00341FAE" w:rsidRPr="00FE36FB" w:rsidRDefault="00341FAE" w:rsidP="00443763">
            <w:pPr>
              <w:spacing w:line="240" w:lineRule="auto"/>
              <w:jc w:val="right"/>
              <w:rPr>
                <w:sz w:val="22"/>
                <w:szCs w:val="22"/>
              </w:rPr>
            </w:pPr>
            <w:r w:rsidRPr="00BD1D4C">
              <w:t>3.4</w:t>
            </w:r>
          </w:p>
        </w:tc>
      </w:tr>
      <w:tr w:rsidR="00341FAE" w:rsidRPr="00FE36FB" w14:paraId="57DF5F51" w14:textId="77777777" w:rsidTr="00443763">
        <w:tc>
          <w:tcPr>
            <w:tcW w:w="7792" w:type="dxa"/>
          </w:tcPr>
          <w:p w14:paraId="18A00441" w14:textId="77777777" w:rsidR="00341FAE" w:rsidRPr="00FE36FB" w:rsidRDefault="00341FAE" w:rsidP="00443763">
            <w:pPr>
              <w:spacing w:line="240" w:lineRule="auto"/>
              <w:jc w:val="both"/>
              <w:rPr>
                <w:sz w:val="22"/>
                <w:szCs w:val="22"/>
              </w:rPr>
            </w:pPr>
            <w:r w:rsidRPr="00BD1D4C">
              <w:t>If FAOs can be encouraged to understand and accept the gambling problem, they can then focus on rebuilding their own lives.</w:t>
            </w:r>
          </w:p>
        </w:tc>
        <w:tc>
          <w:tcPr>
            <w:tcW w:w="879" w:type="dxa"/>
          </w:tcPr>
          <w:p w14:paraId="4DCFE5EA" w14:textId="77777777" w:rsidR="00341FAE" w:rsidRPr="00FE36FB" w:rsidRDefault="00341FAE" w:rsidP="00443763">
            <w:pPr>
              <w:spacing w:line="240" w:lineRule="auto"/>
              <w:jc w:val="right"/>
              <w:rPr>
                <w:sz w:val="22"/>
                <w:szCs w:val="22"/>
              </w:rPr>
            </w:pPr>
            <w:r w:rsidRPr="00BD1D4C">
              <w:t>10.3</w:t>
            </w:r>
          </w:p>
        </w:tc>
        <w:tc>
          <w:tcPr>
            <w:tcW w:w="879" w:type="dxa"/>
          </w:tcPr>
          <w:p w14:paraId="3BB4139B" w14:textId="77777777" w:rsidR="00341FAE" w:rsidRPr="00FE36FB" w:rsidRDefault="00341FAE" w:rsidP="00443763">
            <w:pPr>
              <w:spacing w:line="240" w:lineRule="auto"/>
              <w:jc w:val="right"/>
              <w:rPr>
                <w:sz w:val="22"/>
                <w:szCs w:val="22"/>
              </w:rPr>
            </w:pPr>
            <w:r w:rsidRPr="00BD1D4C">
              <w:t>10.3</w:t>
            </w:r>
          </w:p>
        </w:tc>
        <w:tc>
          <w:tcPr>
            <w:tcW w:w="880" w:type="dxa"/>
          </w:tcPr>
          <w:p w14:paraId="0660F3BC" w14:textId="77777777" w:rsidR="00341FAE" w:rsidRPr="00FE36FB" w:rsidRDefault="00341FAE" w:rsidP="00443763">
            <w:pPr>
              <w:spacing w:line="240" w:lineRule="auto"/>
              <w:jc w:val="right"/>
              <w:rPr>
                <w:sz w:val="22"/>
                <w:szCs w:val="22"/>
              </w:rPr>
            </w:pPr>
            <w:r w:rsidRPr="00BD1D4C">
              <w:t>27.6</w:t>
            </w:r>
          </w:p>
        </w:tc>
        <w:tc>
          <w:tcPr>
            <w:tcW w:w="879" w:type="dxa"/>
          </w:tcPr>
          <w:p w14:paraId="50731F47" w14:textId="77777777" w:rsidR="00341FAE" w:rsidRPr="00FE36FB" w:rsidRDefault="00341FAE" w:rsidP="00443763">
            <w:pPr>
              <w:spacing w:line="240" w:lineRule="auto"/>
              <w:jc w:val="right"/>
              <w:rPr>
                <w:sz w:val="22"/>
                <w:szCs w:val="22"/>
              </w:rPr>
            </w:pPr>
            <w:r w:rsidRPr="00BD1D4C">
              <w:t>24.1</w:t>
            </w:r>
          </w:p>
        </w:tc>
        <w:tc>
          <w:tcPr>
            <w:tcW w:w="877" w:type="dxa"/>
          </w:tcPr>
          <w:p w14:paraId="6B83D888" w14:textId="77777777" w:rsidR="00341FAE" w:rsidRPr="00FE36FB" w:rsidRDefault="00341FAE" w:rsidP="00443763">
            <w:pPr>
              <w:spacing w:line="240" w:lineRule="auto"/>
              <w:jc w:val="right"/>
              <w:rPr>
                <w:sz w:val="22"/>
                <w:szCs w:val="22"/>
              </w:rPr>
            </w:pPr>
            <w:r w:rsidRPr="00BD1D4C">
              <w:t>17.2</w:t>
            </w:r>
          </w:p>
        </w:tc>
        <w:tc>
          <w:tcPr>
            <w:tcW w:w="882" w:type="dxa"/>
          </w:tcPr>
          <w:p w14:paraId="3C16CF45" w14:textId="77777777" w:rsidR="00341FAE" w:rsidRPr="00FE36FB" w:rsidRDefault="00341FAE" w:rsidP="00443763">
            <w:pPr>
              <w:spacing w:line="240" w:lineRule="auto"/>
              <w:jc w:val="right"/>
              <w:rPr>
                <w:sz w:val="22"/>
                <w:szCs w:val="22"/>
              </w:rPr>
            </w:pPr>
            <w:r w:rsidRPr="00BD1D4C">
              <w:t>0.0</w:t>
            </w:r>
          </w:p>
        </w:tc>
        <w:tc>
          <w:tcPr>
            <w:tcW w:w="880" w:type="dxa"/>
          </w:tcPr>
          <w:p w14:paraId="521A5944" w14:textId="77777777" w:rsidR="00341FAE" w:rsidRPr="00FE36FB" w:rsidRDefault="00341FAE" w:rsidP="00443763">
            <w:pPr>
              <w:spacing w:line="240" w:lineRule="auto"/>
              <w:jc w:val="right"/>
              <w:rPr>
                <w:sz w:val="22"/>
                <w:szCs w:val="22"/>
              </w:rPr>
            </w:pPr>
            <w:r w:rsidRPr="00BD1D4C">
              <w:t>10.3</w:t>
            </w:r>
          </w:p>
        </w:tc>
      </w:tr>
      <w:tr w:rsidR="00341FAE" w:rsidRPr="00FE36FB" w14:paraId="49F66107" w14:textId="77777777" w:rsidTr="00443763">
        <w:tc>
          <w:tcPr>
            <w:tcW w:w="7792" w:type="dxa"/>
          </w:tcPr>
          <w:p w14:paraId="2F58898F" w14:textId="77777777" w:rsidR="00341FAE" w:rsidRPr="00FE36FB" w:rsidRDefault="00341FAE" w:rsidP="00443763">
            <w:pPr>
              <w:spacing w:line="240" w:lineRule="auto"/>
              <w:jc w:val="both"/>
              <w:rPr>
                <w:sz w:val="22"/>
                <w:szCs w:val="22"/>
              </w:rPr>
            </w:pPr>
            <w:r w:rsidRPr="00BD1D4C">
              <w:t>It is vital for FAOs to acknowledge their lack of control over the gambler/gambling behaviour.</w:t>
            </w:r>
          </w:p>
        </w:tc>
        <w:tc>
          <w:tcPr>
            <w:tcW w:w="879" w:type="dxa"/>
          </w:tcPr>
          <w:p w14:paraId="72A1F256" w14:textId="77777777" w:rsidR="00341FAE" w:rsidRPr="00FE36FB" w:rsidRDefault="00341FAE" w:rsidP="00443763">
            <w:pPr>
              <w:spacing w:line="240" w:lineRule="auto"/>
              <w:jc w:val="right"/>
              <w:rPr>
                <w:sz w:val="22"/>
                <w:szCs w:val="22"/>
              </w:rPr>
            </w:pPr>
            <w:r w:rsidRPr="00BD1D4C">
              <w:t>10.3</w:t>
            </w:r>
          </w:p>
        </w:tc>
        <w:tc>
          <w:tcPr>
            <w:tcW w:w="879" w:type="dxa"/>
          </w:tcPr>
          <w:p w14:paraId="49DAC0B5" w14:textId="77777777" w:rsidR="00341FAE" w:rsidRPr="00FE36FB" w:rsidRDefault="00341FAE" w:rsidP="00443763">
            <w:pPr>
              <w:spacing w:line="240" w:lineRule="auto"/>
              <w:jc w:val="right"/>
              <w:rPr>
                <w:sz w:val="22"/>
                <w:szCs w:val="22"/>
              </w:rPr>
            </w:pPr>
            <w:r w:rsidRPr="00BD1D4C">
              <w:t>20.7</w:t>
            </w:r>
          </w:p>
        </w:tc>
        <w:tc>
          <w:tcPr>
            <w:tcW w:w="880" w:type="dxa"/>
          </w:tcPr>
          <w:p w14:paraId="681FB625" w14:textId="77777777" w:rsidR="00341FAE" w:rsidRPr="00FE36FB" w:rsidRDefault="00341FAE" w:rsidP="00443763">
            <w:pPr>
              <w:spacing w:line="240" w:lineRule="auto"/>
              <w:jc w:val="right"/>
              <w:rPr>
                <w:sz w:val="22"/>
                <w:szCs w:val="22"/>
              </w:rPr>
            </w:pPr>
            <w:r w:rsidRPr="00BD1D4C">
              <w:t>24.1</w:t>
            </w:r>
          </w:p>
        </w:tc>
        <w:tc>
          <w:tcPr>
            <w:tcW w:w="879" w:type="dxa"/>
          </w:tcPr>
          <w:p w14:paraId="239B93D7" w14:textId="77777777" w:rsidR="00341FAE" w:rsidRPr="00FE36FB" w:rsidRDefault="00341FAE" w:rsidP="00443763">
            <w:pPr>
              <w:spacing w:line="240" w:lineRule="auto"/>
              <w:jc w:val="right"/>
              <w:rPr>
                <w:sz w:val="22"/>
                <w:szCs w:val="22"/>
              </w:rPr>
            </w:pPr>
            <w:r w:rsidRPr="00BD1D4C">
              <w:t>20.7</w:t>
            </w:r>
          </w:p>
        </w:tc>
        <w:tc>
          <w:tcPr>
            <w:tcW w:w="877" w:type="dxa"/>
          </w:tcPr>
          <w:p w14:paraId="22837640" w14:textId="77777777" w:rsidR="00341FAE" w:rsidRPr="00FE36FB" w:rsidRDefault="00341FAE" w:rsidP="00443763">
            <w:pPr>
              <w:spacing w:line="240" w:lineRule="auto"/>
              <w:jc w:val="right"/>
              <w:rPr>
                <w:sz w:val="22"/>
                <w:szCs w:val="22"/>
              </w:rPr>
            </w:pPr>
            <w:r w:rsidRPr="00BD1D4C">
              <w:t>17.2</w:t>
            </w:r>
          </w:p>
        </w:tc>
        <w:tc>
          <w:tcPr>
            <w:tcW w:w="882" w:type="dxa"/>
          </w:tcPr>
          <w:p w14:paraId="285C323E" w14:textId="77777777" w:rsidR="00341FAE" w:rsidRPr="00FE36FB" w:rsidRDefault="00341FAE" w:rsidP="00443763">
            <w:pPr>
              <w:spacing w:line="240" w:lineRule="auto"/>
              <w:jc w:val="right"/>
              <w:rPr>
                <w:sz w:val="22"/>
                <w:szCs w:val="22"/>
              </w:rPr>
            </w:pPr>
            <w:r w:rsidRPr="00BD1D4C">
              <w:t>6.9</w:t>
            </w:r>
          </w:p>
        </w:tc>
        <w:tc>
          <w:tcPr>
            <w:tcW w:w="880" w:type="dxa"/>
          </w:tcPr>
          <w:p w14:paraId="740048D1" w14:textId="77777777" w:rsidR="00341FAE" w:rsidRPr="00FE36FB" w:rsidRDefault="00341FAE" w:rsidP="00443763">
            <w:pPr>
              <w:spacing w:line="240" w:lineRule="auto"/>
              <w:jc w:val="right"/>
              <w:rPr>
                <w:sz w:val="22"/>
                <w:szCs w:val="22"/>
              </w:rPr>
            </w:pPr>
            <w:r w:rsidRPr="00BD1D4C">
              <w:t>0.0</w:t>
            </w:r>
          </w:p>
        </w:tc>
      </w:tr>
      <w:tr w:rsidR="00341FAE" w:rsidRPr="00FE36FB" w14:paraId="5A18B59E" w14:textId="77777777" w:rsidTr="00443763">
        <w:tc>
          <w:tcPr>
            <w:tcW w:w="7792" w:type="dxa"/>
          </w:tcPr>
          <w:p w14:paraId="0BF520FD" w14:textId="77777777" w:rsidR="00341FAE" w:rsidRPr="00FE36FB" w:rsidRDefault="00341FAE" w:rsidP="00443763">
            <w:pPr>
              <w:spacing w:line="240" w:lineRule="auto"/>
              <w:jc w:val="both"/>
              <w:rPr>
                <w:sz w:val="22"/>
                <w:szCs w:val="22"/>
              </w:rPr>
            </w:pPr>
            <w:r w:rsidRPr="00BD1D4C">
              <w:t>Equipping the FAO to support the gambler into treatment will improve outcomes for the FAO.</w:t>
            </w:r>
          </w:p>
        </w:tc>
        <w:tc>
          <w:tcPr>
            <w:tcW w:w="879" w:type="dxa"/>
          </w:tcPr>
          <w:p w14:paraId="55FF3C69" w14:textId="77777777" w:rsidR="00341FAE" w:rsidRPr="00FE36FB" w:rsidRDefault="00341FAE" w:rsidP="00443763">
            <w:pPr>
              <w:spacing w:line="240" w:lineRule="auto"/>
              <w:jc w:val="right"/>
              <w:rPr>
                <w:sz w:val="22"/>
                <w:szCs w:val="22"/>
              </w:rPr>
            </w:pPr>
            <w:r w:rsidRPr="00BD1D4C">
              <w:t>13.8</w:t>
            </w:r>
          </w:p>
        </w:tc>
        <w:tc>
          <w:tcPr>
            <w:tcW w:w="879" w:type="dxa"/>
          </w:tcPr>
          <w:p w14:paraId="3BBD7252" w14:textId="77777777" w:rsidR="00341FAE" w:rsidRPr="00FE36FB" w:rsidRDefault="00341FAE" w:rsidP="00443763">
            <w:pPr>
              <w:spacing w:line="240" w:lineRule="auto"/>
              <w:jc w:val="right"/>
              <w:rPr>
                <w:sz w:val="22"/>
                <w:szCs w:val="22"/>
              </w:rPr>
            </w:pPr>
            <w:r w:rsidRPr="00BD1D4C">
              <w:t>27.6</w:t>
            </w:r>
          </w:p>
        </w:tc>
        <w:tc>
          <w:tcPr>
            <w:tcW w:w="880" w:type="dxa"/>
          </w:tcPr>
          <w:p w14:paraId="6DD77606" w14:textId="77777777" w:rsidR="00341FAE" w:rsidRPr="00FE36FB" w:rsidRDefault="00341FAE" w:rsidP="00443763">
            <w:pPr>
              <w:spacing w:line="240" w:lineRule="auto"/>
              <w:jc w:val="right"/>
              <w:rPr>
                <w:sz w:val="22"/>
                <w:szCs w:val="22"/>
              </w:rPr>
            </w:pPr>
            <w:r w:rsidRPr="00BD1D4C">
              <w:t>37.9</w:t>
            </w:r>
          </w:p>
        </w:tc>
        <w:tc>
          <w:tcPr>
            <w:tcW w:w="879" w:type="dxa"/>
          </w:tcPr>
          <w:p w14:paraId="7DD7B3E5" w14:textId="77777777" w:rsidR="00341FAE" w:rsidRPr="00FE36FB" w:rsidRDefault="00341FAE" w:rsidP="00443763">
            <w:pPr>
              <w:spacing w:line="240" w:lineRule="auto"/>
              <w:jc w:val="right"/>
              <w:rPr>
                <w:sz w:val="22"/>
                <w:szCs w:val="22"/>
              </w:rPr>
            </w:pPr>
            <w:r w:rsidRPr="00BD1D4C">
              <w:t>3.4</w:t>
            </w:r>
          </w:p>
        </w:tc>
        <w:tc>
          <w:tcPr>
            <w:tcW w:w="877" w:type="dxa"/>
          </w:tcPr>
          <w:p w14:paraId="571D51CD" w14:textId="77777777" w:rsidR="00341FAE" w:rsidRPr="00FE36FB" w:rsidRDefault="00341FAE" w:rsidP="00443763">
            <w:pPr>
              <w:spacing w:line="240" w:lineRule="auto"/>
              <w:jc w:val="right"/>
              <w:rPr>
                <w:sz w:val="22"/>
                <w:szCs w:val="22"/>
              </w:rPr>
            </w:pPr>
            <w:r w:rsidRPr="00BD1D4C">
              <w:t>6.9</w:t>
            </w:r>
          </w:p>
        </w:tc>
        <w:tc>
          <w:tcPr>
            <w:tcW w:w="882" w:type="dxa"/>
          </w:tcPr>
          <w:p w14:paraId="1AD7F7D2" w14:textId="77777777" w:rsidR="00341FAE" w:rsidRPr="00FE36FB" w:rsidRDefault="00341FAE" w:rsidP="00443763">
            <w:pPr>
              <w:spacing w:line="240" w:lineRule="auto"/>
              <w:jc w:val="right"/>
              <w:rPr>
                <w:sz w:val="22"/>
                <w:szCs w:val="22"/>
              </w:rPr>
            </w:pPr>
            <w:r w:rsidRPr="00BD1D4C">
              <w:t>6.9</w:t>
            </w:r>
          </w:p>
        </w:tc>
        <w:tc>
          <w:tcPr>
            <w:tcW w:w="880" w:type="dxa"/>
          </w:tcPr>
          <w:p w14:paraId="6A4AFEAA" w14:textId="77777777" w:rsidR="00341FAE" w:rsidRPr="00FE36FB" w:rsidRDefault="00341FAE" w:rsidP="00443763">
            <w:pPr>
              <w:spacing w:line="240" w:lineRule="auto"/>
              <w:jc w:val="right"/>
              <w:rPr>
                <w:sz w:val="22"/>
                <w:szCs w:val="22"/>
              </w:rPr>
            </w:pPr>
            <w:r w:rsidRPr="00BD1D4C">
              <w:t>3.4</w:t>
            </w:r>
          </w:p>
        </w:tc>
      </w:tr>
      <w:tr w:rsidR="00341FAE" w:rsidRPr="00FE36FB" w14:paraId="154825C8" w14:textId="77777777" w:rsidTr="00443763">
        <w:tc>
          <w:tcPr>
            <w:tcW w:w="7792" w:type="dxa"/>
          </w:tcPr>
          <w:p w14:paraId="00FC63E4" w14:textId="77777777" w:rsidR="00341FAE" w:rsidRPr="00FE36FB" w:rsidRDefault="00341FAE" w:rsidP="00443763">
            <w:pPr>
              <w:spacing w:line="240" w:lineRule="auto"/>
              <w:jc w:val="both"/>
              <w:rPr>
                <w:sz w:val="22"/>
                <w:szCs w:val="22"/>
              </w:rPr>
            </w:pPr>
            <w:r w:rsidRPr="00BD1D4C">
              <w:t>Support for FAOs must address factors in the wider social environment such as pro-gambling work culture, government acceptance of gambling products, and those responsible for producing and promoting gambling machines and services.</w:t>
            </w:r>
          </w:p>
        </w:tc>
        <w:tc>
          <w:tcPr>
            <w:tcW w:w="879" w:type="dxa"/>
          </w:tcPr>
          <w:p w14:paraId="6D90CE1C" w14:textId="77777777" w:rsidR="00341FAE" w:rsidRPr="00FE36FB" w:rsidRDefault="00341FAE" w:rsidP="00443763">
            <w:pPr>
              <w:spacing w:line="240" w:lineRule="auto"/>
              <w:jc w:val="right"/>
              <w:rPr>
                <w:sz w:val="22"/>
                <w:szCs w:val="22"/>
              </w:rPr>
            </w:pPr>
            <w:r w:rsidRPr="00BD1D4C">
              <w:t>24.1</w:t>
            </w:r>
          </w:p>
        </w:tc>
        <w:tc>
          <w:tcPr>
            <w:tcW w:w="879" w:type="dxa"/>
          </w:tcPr>
          <w:p w14:paraId="673FEF6C" w14:textId="77777777" w:rsidR="00341FAE" w:rsidRPr="00FE36FB" w:rsidRDefault="00341FAE" w:rsidP="00443763">
            <w:pPr>
              <w:spacing w:line="240" w:lineRule="auto"/>
              <w:jc w:val="right"/>
              <w:rPr>
                <w:sz w:val="22"/>
                <w:szCs w:val="22"/>
              </w:rPr>
            </w:pPr>
            <w:r w:rsidRPr="00BD1D4C">
              <w:t>41.4</w:t>
            </w:r>
          </w:p>
        </w:tc>
        <w:tc>
          <w:tcPr>
            <w:tcW w:w="880" w:type="dxa"/>
          </w:tcPr>
          <w:p w14:paraId="1AD0F327" w14:textId="77777777" w:rsidR="00341FAE" w:rsidRPr="00FE36FB" w:rsidRDefault="00341FAE" w:rsidP="00443763">
            <w:pPr>
              <w:spacing w:line="240" w:lineRule="auto"/>
              <w:jc w:val="right"/>
              <w:rPr>
                <w:sz w:val="22"/>
                <w:szCs w:val="22"/>
              </w:rPr>
            </w:pPr>
            <w:r w:rsidRPr="00BD1D4C">
              <w:t>13.8</w:t>
            </w:r>
          </w:p>
        </w:tc>
        <w:tc>
          <w:tcPr>
            <w:tcW w:w="879" w:type="dxa"/>
          </w:tcPr>
          <w:p w14:paraId="5D0CEEBE" w14:textId="77777777" w:rsidR="00341FAE" w:rsidRPr="00FE36FB" w:rsidRDefault="00341FAE" w:rsidP="00443763">
            <w:pPr>
              <w:spacing w:line="240" w:lineRule="auto"/>
              <w:jc w:val="right"/>
              <w:rPr>
                <w:sz w:val="22"/>
                <w:szCs w:val="22"/>
              </w:rPr>
            </w:pPr>
            <w:r w:rsidRPr="00BD1D4C">
              <w:t>3.4</w:t>
            </w:r>
          </w:p>
        </w:tc>
        <w:tc>
          <w:tcPr>
            <w:tcW w:w="877" w:type="dxa"/>
          </w:tcPr>
          <w:p w14:paraId="542FC51D" w14:textId="77777777" w:rsidR="00341FAE" w:rsidRPr="00FE36FB" w:rsidRDefault="00341FAE" w:rsidP="00443763">
            <w:pPr>
              <w:spacing w:line="240" w:lineRule="auto"/>
              <w:jc w:val="right"/>
              <w:rPr>
                <w:sz w:val="22"/>
                <w:szCs w:val="22"/>
              </w:rPr>
            </w:pPr>
            <w:r w:rsidRPr="00BD1D4C">
              <w:t>13.8</w:t>
            </w:r>
          </w:p>
        </w:tc>
        <w:tc>
          <w:tcPr>
            <w:tcW w:w="882" w:type="dxa"/>
          </w:tcPr>
          <w:p w14:paraId="47A9DE6C" w14:textId="77777777" w:rsidR="00341FAE" w:rsidRPr="00FE36FB" w:rsidRDefault="00341FAE" w:rsidP="00443763">
            <w:pPr>
              <w:spacing w:line="240" w:lineRule="auto"/>
              <w:jc w:val="right"/>
              <w:rPr>
                <w:sz w:val="22"/>
                <w:szCs w:val="22"/>
              </w:rPr>
            </w:pPr>
            <w:r w:rsidRPr="00BD1D4C">
              <w:t>3.4</w:t>
            </w:r>
          </w:p>
        </w:tc>
        <w:tc>
          <w:tcPr>
            <w:tcW w:w="880" w:type="dxa"/>
          </w:tcPr>
          <w:p w14:paraId="5AC6BCDC" w14:textId="77777777" w:rsidR="00341FAE" w:rsidRPr="00FE36FB" w:rsidRDefault="00341FAE" w:rsidP="00443763">
            <w:pPr>
              <w:spacing w:line="240" w:lineRule="auto"/>
              <w:jc w:val="right"/>
              <w:rPr>
                <w:sz w:val="22"/>
                <w:szCs w:val="22"/>
              </w:rPr>
            </w:pPr>
            <w:r w:rsidRPr="00BD1D4C">
              <w:t>0.0</w:t>
            </w:r>
          </w:p>
        </w:tc>
      </w:tr>
      <w:tr w:rsidR="00341FAE" w:rsidRPr="00FE36FB" w14:paraId="65801BC2" w14:textId="77777777" w:rsidTr="00443763">
        <w:tc>
          <w:tcPr>
            <w:tcW w:w="7792" w:type="dxa"/>
          </w:tcPr>
          <w:p w14:paraId="0BDE25AD" w14:textId="77777777" w:rsidR="00341FAE" w:rsidRPr="00FE36FB" w:rsidRDefault="00341FAE" w:rsidP="00443763">
            <w:pPr>
              <w:spacing w:line="240" w:lineRule="auto"/>
              <w:jc w:val="both"/>
              <w:rPr>
                <w:sz w:val="22"/>
                <w:szCs w:val="22"/>
              </w:rPr>
            </w:pPr>
            <w:r w:rsidRPr="00BD1D4C">
              <w:t>FAOs of problem gamblers may unintentionally contribute to the gambling problem (e.g. through enabling behaviours).</w:t>
            </w:r>
          </w:p>
        </w:tc>
        <w:tc>
          <w:tcPr>
            <w:tcW w:w="879" w:type="dxa"/>
          </w:tcPr>
          <w:p w14:paraId="64582447" w14:textId="77777777" w:rsidR="00341FAE" w:rsidRPr="00FE36FB" w:rsidRDefault="00341FAE" w:rsidP="00443763">
            <w:pPr>
              <w:spacing w:line="240" w:lineRule="auto"/>
              <w:jc w:val="right"/>
              <w:rPr>
                <w:sz w:val="22"/>
                <w:szCs w:val="22"/>
              </w:rPr>
            </w:pPr>
            <w:r w:rsidRPr="00BD1D4C">
              <w:t>17.2</w:t>
            </w:r>
          </w:p>
        </w:tc>
        <w:tc>
          <w:tcPr>
            <w:tcW w:w="879" w:type="dxa"/>
          </w:tcPr>
          <w:p w14:paraId="2474AE1B" w14:textId="77777777" w:rsidR="00341FAE" w:rsidRPr="00FE36FB" w:rsidRDefault="00341FAE" w:rsidP="00443763">
            <w:pPr>
              <w:spacing w:line="240" w:lineRule="auto"/>
              <w:jc w:val="right"/>
              <w:rPr>
                <w:sz w:val="22"/>
                <w:szCs w:val="22"/>
              </w:rPr>
            </w:pPr>
            <w:r w:rsidRPr="00BD1D4C">
              <w:t>20.7</w:t>
            </w:r>
          </w:p>
        </w:tc>
        <w:tc>
          <w:tcPr>
            <w:tcW w:w="880" w:type="dxa"/>
          </w:tcPr>
          <w:p w14:paraId="2B481462" w14:textId="77777777" w:rsidR="00341FAE" w:rsidRPr="00FE36FB" w:rsidRDefault="00341FAE" w:rsidP="00443763">
            <w:pPr>
              <w:spacing w:line="240" w:lineRule="auto"/>
              <w:jc w:val="right"/>
              <w:rPr>
                <w:sz w:val="22"/>
                <w:szCs w:val="22"/>
              </w:rPr>
            </w:pPr>
            <w:r w:rsidRPr="00BD1D4C">
              <w:t>34.5</w:t>
            </w:r>
          </w:p>
        </w:tc>
        <w:tc>
          <w:tcPr>
            <w:tcW w:w="879" w:type="dxa"/>
          </w:tcPr>
          <w:p w14:paraId="0742AD86" w14:textId="77777777" w:rsidR="00341FAE" w:rsidRPr="00FE36FB" w:rsidRDefault="00341FAE" w:rsidP="00443763">
            <w:pPr>
              <w:spacing w:line="240" w:lineRule="auto"/>
              <w:jc w:val="right"/>
              <w:rPr>
                <w:sz w:val="22"/>
                <w:szCs w:val="22"/>
              </w:rPr>
            </w:pPr>
            <w:r w:rsidRPr="00BD1D4C">
              <w:t>10.3</w:t>
            </w:r>
          </w:p>
        </w:tc>
        <w:tc>
          <w:tcPr>
            <w:tcW w:w="877" w:type="dxa"/>
          </w:tcPr>
          <w:p w14:paraId="2407B0D1" w14:textId="77777777" w:rsidR="00341FAE" w:rsidRPr="00FE36FB" w:rsidRDefault="00341FAE" w:rsidP="00443763">
            <w:pPr>
              <w:spacing w:line="240" w:lineRule="auto"/>
              <w:jc w:val="right"/>
              <w:rPr>
                <w:sz w:val="22"/>
                <w:szCs w:val="22"/>
              </w:rPr>
            </w:pPr>
            <w:r w:rsidRPr="00BD1D4C">
              <w:t>13.8</w:t>
            </w:r>
          </w:p>
        </w:tc>
        <w:tc>
          <w:tcPr>
            <w:tcW w:w="882" w:type="dxa"/>
          </w:tcPr>
          <w:p w14:paraId="5617122C" w14:textId="77777777" w:rsidR="00341FAE" w:rsidRPr="00FE36FB" w:rsidRDefault="00341FAE" w:rsidP="00443763">
            <w:pPr>
              <w:spacing w:line="240" w:lineRule="auto"/>
              <w:jc w:val="right"/>
              <w:rPr>
                <w:sz w:val="22"/>
                <w:szCs w:val="22"/>
              </w:rPr>
            </w:pPr>
            <w:r w:rsidRPr="00BD1D4C">
              <w:t>3.4</w:t>
            </w:r>
          </w:p>
        </w:tc>
        <w:tc>
          <w:tcPr>
            <w:tcW w:w="880" w:type="dxa"/>
          </w:tcPr>
          <w:p w14:paraId="4E21106E" w14:textId="77777777" w:rsidR="00341FAE" w:rsidRPr="00FE36FB" w:rsidRDefault="00341FAE" w:rsidP="00443763">
            <w:pPr>
              <w:spacing w:line="240" w:lineRule="auto"/>
              <w:jc w:val="right"/>
              <w:rPr>
                <w:sz w:val="22"/>
                <w:szCs w:val="22"/>
              </w:rPr>
            </w:pPr>
            <w:r w:rsidRPr="00BD1D4C">
              <w:t>0.0</w:t>
            </w:r>
          </w:p>
        </w:tc>
      </w:tr>
      <w:tr w:rsidR="00341FAE" w:rsidRPr="00FE36FB" w14:paraId="3947392A" w14:textId="77777777" w:rsidTr="00443763">
        <w:tc>
          <w:tcPr>
            <w:tcW w:w="7792" w:type="dxa"/>
          </w:tcPr>
          <w:p w14:paraId="7EB5CC78" w14:textId="77777777" w:rsidR="00341FAE" w:rsidRPr="00FE36FB" w:rsidRDefault="00341FAE" w:rsidP="00443763">
            <w:pPr>
              <w:spacing w:line="240" w:lineRule="auto"/>
              <w:jc w:val="both"/>
              <w:rPr>
                <w:sz w:val="22"/>
                <w:szCs w:val="22"/>
              </w:rPr>
            </w:pPr>
            <w:r w:rsidRPr="00BD1D4C">
              <w:t>FAOs are not responsible for resolving the gambler's problem, encouraging them to engage and complete treatment, or managing their behaviour.</w:t>
            </w:r>
          </w:p>
        </w:tc>
        <w:tc>
          <w:tcPr>
            <w:tcW w:w="879" w:type="dxa"/>
          </w:tcPr>
          <w:p w14:paraId="1F72267C" w14:textId="77777777" w:rsidR="00341FAE" w:rsidRPr="00FE36FB" w:rsidRDefault="00341FAE" w:rsidP="00443763">
            <w:pPr>
              <w:spacing w:line="240" w:lineRule="auto"/>
              <w:jc w:val="right"/>
              <w:rPr>
                <w:sz w:val="22"/>
                <w:szCs w:val="22"/>
              </w:rPr>
            </w:pPr>
            <w:r w:rsidRPr="00BD1D4C">
              <w:t>24.1</w:t>
            </w:r>
          </w:p>
        </w:tc>
        <w:tc>
          <w:tcPr>
            <w:tcW w:w="879" w:type="dxa"/>
          </w:tcPr>
          <w:p w14:paraId="793B2581" w14:textId="77777777" w:rsidR="00341FAE" w:rsidRPr="00FE36FB" w:rsidRDefault="00341FAE" w:rsidP="00443763">
            <w:pPr>
              <w:spacing w:line="240" w:lineRule="auto"/>
              <w:jc w:val="right"/>
              <w:rPr>
                <w:sz w:val="22"/>
                <w:szCs w:val="22"/>
              </w:rPr>
            </w:pPr>
            <w:r w:rsidRPr="00BD1D4C">
              <w:t>34.5</w:t>
            </w:r>
          </w:p>
        </w:tc>
        <w:tc>
          <w:tcPr>
            <w:tcW w:w="880" w:type="dxa"/>
          </w:tcPr>
          <w:p w14:paraId="6D1ACA7C" w14:textId="77777777" w:rsidR="00341FAE" w:rsidRPr="00FE36FB" w:rsidRDefault="00341FAE" w:rsidP="00443763">
            <w:pPr>
              <w:spacing w:line="240" w:lineRule="auto"/>
              <w:jc w:val="right"/>
              <w:rPr>
                <w:sz w:val="22"/>
                <w:szCs w:val="22"/>
              </w:rPr>
            </w:pPr>
            <w:r w:rsidRPr="00BD1D4C">
              <w:t>20.7</w:t>
            </w:r>
          </w:p>
        </w:tc>
        <w:tc>
          <w:tcPr>
            <w:tcW w:w="879" w:type="dxa"/>
          </w:tcPr>
          <w:p w14:paraId="37D6E45E" w14:textId="77777777" w:rsidR="00341FAE" w:rsidRPr="00FE36FB" w:rsidRDefault="00341FAE" w:rsidP="00443763">
            <w:pPr>
              <w:spacing w:line="240" w:lineRule="auto"/>
              <w:jc w:val="right"/>
              <w:rPr>
                <w:sz w:val="22"/>
                <w:szCs w:val="22"/>
              </w:rPr>
            </w:pPr>
            <w:r w:rsidRPr="00BD1D4C">
              <w:t>6.9</w:t>
            </w:r>
          </w:p>
        </w:tc>
        <w:tc>
          <w:tcPr>
            <w:tcW w:w="877" w:type="dxa"/>
          </w:tcPr>
          <w:p w14:paraId="4A03C496" w14:textId="77777777" w:rsidR="00341FAE" w:rsidRPr="00FE36FB" w:rsidRDefault="00341FAE" w:rsidP="00443763">
            <w:pPr>
              <w:spacing w:line="240" w:lineRule="auto"/>
              <w:jc w:val="right"/>
              <w:rPr>
                <w:sz w:val="22"/>
                <w:szCs w:val="22"/>
              </w:rPr>
            </w:pPr>
            <w:r w:rsidRPr="00BD1D4C">
              <w:t>6.9</w:t>
            </w:r>
          </w:p>
        </w:tc>
        <w:tc>
          <w:tcPr>
            <w:tcW w:w="882" w:type="dxa"/>
          </w:tcPr>
          <w:p w14:paraId="0D99918D" w14:textId="77777777" w:rsidR="00341FAE" w:rsidRPr="00FE36FB" w:rsidRDefault="00341FAE" w:rsidP="00443763">
            <w:pPr>
              <w:spacing w:line="240" w:lineRule="auto"/>
              <w:jc w:val="right"/>
              <w:rPr>
                <w:sz w:val="22"/>
                <w:szCs w:val="22"/>
              </w:rPr>
            </w:pPr>
            <w:r w:rsidRPr="00BD1D4C">
              <w:t>3.4</w:t>
            </w:r>
          </w:p>
        </w:tc>
        <w:tc>
          <w:tcPr>
            <w:tcW w:w="880" w:type="dxa"/>
          </w:tcPr>
          <w:p w14:paraId="577186A4" w14:textId="77777777" w:rsidR="00341FAE" w:rsidRPr="00FE36FB" w:rsidRDefault="00341FAE" w:rsidP="00443763">
            <w:pPr>
              <w:spacing w:line="240" w:lineRule="auto"/>
              <w:jc w:val="right"/>
              <w:rPr>
                <w:sz w:val="22"/>
                <w:szCs w:val="22"/>
              </w:rPr>
            </w:pPr>
            <w:r w:rsidRPr="00BD1D4C">
              <w:t>3.4</w:t>
            </w:r>
          </w:p>
        </w:tc>
      </w:tr>
      <w:tr w:rsidR="00341FAE" w:rsidRPr="00FE36FB" w14:paraId="0449292D" w14:textId="77777777" w:rsidTr="00443763">
        <w:tc>
          <w:tcPr>
            <w:tcW w:w="7792" w:type="dxa"/>
          </w:tcPr>
          <w:p w14:paraId="7C68D632" w14:textId="77777777" w:rsidR="00341FAE" w:rsidRPr="00FE36FB" w:rsidRDefault="00341FAE" w:rsidP="00443763">
            <w:pPr>
              <w:spacing w:line="240" w:lineRule="auto"/>
              <w:jc w:val="both"/>
              <w:rPr>
                <w:sz w:val="22"/>
                <w:szCs w:val="22"/>
              </w:rPr>
            </w:pPr>
            <w:r w:rsidRPr="00BD1D4C">
              <w:t>The voices of service users are still not listened to in service design and delivery.</w:t>
            </w:r>
          </w:p>
        </w:tc>
        <w:tc>
          <w:tcPr>
            <w:tcW w:w="879" w:type="dxa"/>
          </w:tcPr>
          <w:p w14:paraId="5CEE497A" w14:textId="77777777" w:rsidR="00341FAE" w:rsidRPr="00FE36FB" w:rsidRDefault="00341FAE" w:rsidP="00443763">
            <w:pPr>
              <w:spacing w:line="240" w:lineRule="auto"/>
              <w:jc w:val="right"/>
              <w:rPr>
                <w:sz w:val="22"/>
                <w:szCs w:val="22"/>
              </w:rPr>
            </w:pPr>
            <w:r w:rsidRPr="00BD1D4C">
              <w:t>17.2</w:t>
            </w:r>
          </w:p>
        </w:tc>
        <w:tc>
          <w:tcPr>
            <w:tcW w:w="879" w:type="dxa"/>
          </w:tcPr>
          <w:p w14:paraId="3C85BD57" w14:textId="77777777" w:rsidR="00341FAE" w:rsidRPr="00FE36FB" w:rsidRDefault="00341FAE" w:rsidP="00443763">
            <w:pPr>
              <w:spacing w:line="240" w:lineRule="auto"/>
              <w:jc w:val="right"/>
              <w:rPr>
                <w:sz w:val="22"/>
                <w:szCs w:val="22"/>
              </w:rPr>
            </w:pPr>
            <w:r w:rsidRPr="00BD1D4C">
              <w:t>24.1</w:t>
            </w:r>
          </w:p>
        </w:tc>
        <w:tc>
          <w:tcPr>
            <w:tcW w:w="880" w:type="dxa"/>
          </w:tcPr>
          <w:p w14:paraId="71BD7B49" w14:textId="77777777" w:rsidR="00341FAE" w:rsidRPr="00FE36FB" w:rsidRDefault="00341FAE" w:rsidP="00443763">
            <w:pPr>
              <w:spacing w:line="240" w:lineRule="auto"/>
              <w:jc w:val="right"/>
              <w:rPr>
                <w:sz w:val="22"/>
                <w:szCs w:val="22"/>
              </w:rPr>
            </w:pPr>
            <w:r w:rsidRPr="00BD1D4C">
              <w:t>37.9</w:t>
            </w:r>
          </w:p>
        </w:tc>
        <w:tc>
          <w:tcPr>
            <w:tcW w:w="879" w:type="dxa"/>
          </w:tcPr>
          <w:p w14:paraId="0D2F80B4" w14:textId="77777777" w:rsidR="00341FAE" w:rsidRPr="00FE36FB" w:rsidRDefault="00341FAE" w:rsidP="00443763">
            <w:pPr>
              <w:spacing w:line="240" w:lineRule="auto"/>
              <w:jc w:val="right"/>
              <w:rPr>
                <w:sz w:val="22"/>
                <w:szCs w:val="22"/>
              </w:rPr>
            </w:pPr>
            <w:r w:rsidRPr="00BD1D4C">
              <w:t>6.9</w:t>
            </w:r>
          </w:p>
        </w:tc>
        <w:tc>
          <w:tcPr>
            <w:tcW w:w="877" w:type="dxa"/>
          </w:tcPr>
          <w:p w14:paraId="7269437E" w14:textId="77777777" w:rsidR="00341FAE" w:rsidRPr="00FE36FB" w:rsidRDefault="00341FAE" w:rsidP="00443763">
            <w:pPr>
              <w:spacing w:line="240" w:lineRule="auto"/>
              <w:jc w:val="right"/>
              <w:rPr>
                <w:sz w:val="22"/>
                <w:szCs w:val="22"/>
              </w:rPr>
            </w:pPr>
            <w:r w:rsidRPr="00BD1D4C">
              <w:t>6.9</w:t>
            </w:r>
          </w:p>
        </w:tc>
        <w:tc>
          <w:tcPr>
            <w:tcW w:w="882" w:type="dxa"/>
          </w:tcPr>
          <w:p w14:paraId="4B4F2B43" w14:textId="77777777" w:rsidR="00341FAE" w:rsidRPr="00FE36FB" w:rsidRDefault="00341FAE" w:rsidP="00443763">
            <w:pPr>
              <w:spacing w:line="240" w:lineRule="auto"/>
              <w:jc w:val="right"/>
              <w:rPr>
                <w:sz w:val="22"/>
                <w:szCs w:val="22"/>
              </w:rPr>
            </w:pPr>
            <w:r w:rsidRPr="00BD1D4C">
              <w:t>3.4</w:t>
            </w:r>
          </w:p>
        </w:tc>
        <w:tc>
          <w:tcPr>
            <w:tcW w:w="880" w:type="dxa"/>
          </w:tcPr>
          <w:p w14:paraId="373B9829" w14:textId="77777777" w:rsidR="00341FAE" w:rsidRPr="00FE36FB" w:rsidRDefault="00341FAE" w:rsidP="00443763">
            <w:pPr>
              <w:spacing w:line="240" w:lineRule="auto"/>
              <w:jc w:val="right"/>
              <w:rPr>
                <w:sz w:val="22"/>
                <w:szCs w:val="22"/>
              </w:rPr>
            </w:pPr>
            <w:r w:rsidRPr="00BD1D4C">
              <w:t>3.4</w:t>
            </w:r>
          </w:p>
        </w:tc>
      </w:tr>
    </w:tbl>
    <w:p w14:paraId="05BD5361" w14:textId="77777777" w:rsidR="00341FAE" w:rsidRDefault="00341FAE" w:rsidP="00341FAE">
      <w:pPr>
        <w:spacing w:line="259" w:lineRule="auto"/>
        <w:jc w:val="both"/>
        <w:sectPr w:rsidR="00341FAE" w:rsidSect="004860AE">
          <w:pgSz w:w="16838" w:h="11906" w:orient="landscape"/>
          <w:pgMar w:top="1440" w:right="1440" w:bottom="1440" w:left="1440" w:header="708" w:footer="708" w:gutter="0"/>
          <w:cols w:space="708"/>
          <w:docGrid w:linePitch="360"/>
        </w:sectPr>
      </w:pPr>
    </w:p>
    <w:p w14:paraId="4B347446" w14:textId="77777777" w:rsidR="00341FAE" w:rsidRPr="006D461F" w:rsidRDefault="00341FAE" w:rsidP="00341FAE">
      <w:pPr>
        <w:rPr>
          <w:b/>
          <w:bCs/>
          <w:i/>
          <w:iCs/>
        </w:rPr>
      </w:pPr>
      <w:r w:rsidRPr="006D461F">
        <w:rPr>
          <w:b/>
          <w:bCs/>
          <w:i/>
          <w:iCs/>
        </w:rPr>
        <w:lastRenderedPageBreak/>
        <w:t>Good support for involving family, but some uncertainty around couples’ therapy for FAO harm reduction</w:t>
      </w:r>
    </w:p>
    <w:p w14:paraId="365D7892" w14:textId="7E41B439" w:rsidR="00341FAE" w:rsidRDefault="00341FAE" w:rsidP="00341FAE">
      <w:pPr>
        <w:spacing w:line="259" w:lineRule="auto"/>
        <w:jc w:val="both"/>
      </w:pPr>
      <w:r>
        <w:t xml:space="preserve">There was good support for family involvement in gambling care, e.g. over 75% of participants agreed with the notions that ‘All gambling harm interventions should seek to involve wider family/whanau’, ‘Couple therapy can improve communications style… so that gambling as a way of dealing with distress is no longer needed’ and ‘Stronger family relationships set the foundation for change in the gambler’. This support was tempered by neutrality/uncertainty and some disagreement. In particularly, there was less certainty around whether ‘Couple therapy is more effective for FAO wellbeing than individual therapy for the gambler’ (supported by 41.4% of the panel), and ‘Rebuilding couple relationships is a critical part of recovery for both gamblers </w:t>
      </w:r>
      <w:r w:rsidRPr="00697C7C">
        <w:t>and FAOs’</w:t>
      </w:r>
      <w:r>
        <w:t xml:space="preserve"> (supported by 51.7%). </w:t>
      </w:r>
    </w:p>
    <w:p w14:paraId="3AE75C65" w14:textId="77777777" w:rsidR="00341FAE" w:rsidRDefault="00341FAE" w:rsidP="00341FAE">
      <w:pPr>
        <w:spacing w:line="259" w:lineRule="auto"/>
        <w:jc w:val="both"/>
      </w:pPr>
    </w:p>
    <w:p w14:paraId="58D062FC" w14:textId="77777777" w:rsidR="00341FAE" w:rsidRDefault="00341FAE" w:rsidP="00341FAE">
      <w:pPr>
        <w:spacing w:line="259" w:lineRule="auto"/>
        <w:jc w:val="both"/>
      </w:pPr>
      <w:r>
        <w:t xml:space="preserve">While still supported by at least half of the panel, there was less certainty and more disagreement around the notions that ‘Gambling and addictions services often overlook the complex interplay of addiction and intimate relationships’ and ‘FAOs know best how to address harms within their communities’. Over two thirds of the panel agreed that ‘Much of what is discussed, decided on and done for FAOs in current services is ad-hoc and lacks strategy’, however the remaining participants were neutral/unsure. </w:t>
      </w:r>
    </w:p>
    <w:p w14:paraId="4D7244A6" w14:textId="77777777" w:rsidR="00341FAE" w:rsidRDefault="00341FAE" w:rsidP="00341FAE">
      <w:pPr>
        <w:spacing w:line="259" w:lineRule="auto"/>
        <w:jc w:val="both"/>
      </w:pPr>
    </w:p>
    <w:p w14:paraId="33C06BBF" w14:textId="77777777" w:rsidR="00341FAE" w:rsidRDefault="00341FAE" w:rsidP="00341FAE">
      <w:pPr>
        <w:spacing w:line="259" w:lineRule="auto"/>
        <w:jc w:val="both"/>
      </w:pPr>
    </w:p>
    <w:p w14:paraId="77F25740" w14:textId="77777777" w:rsidR="00341FAE" w:rsidRDefault="00341FAE" w:rsidP="00341FAE">
      <w:pPr>
        <w:pStyle w:val="Caption"/>
        <w:sectPr w:rsidR="00341FAE" w:rsidSect="004860AE">
          <w:pgSz w:w="11906" w:h="16838"/>
          <w:pgMar w:top="1440" w:right="1440" w:bottom="1440" w:left="1440" w:header="708" w:footer="708" w:gutter="0"/>
          <w:cols w:space="708"/>
          <w:docGrid w:linePitch="360"/>
        </w:sectPr>
      </w:pPr>
    </w:p>
    <w:p w14:paraId="270A1C6D" w14:textId="77777777" w:rsidR="00341FAE" w:rsidRDefault="00341FAE" w:rsidP="00341FAE">
      <w:pPr>
        <w:pStyle w:val="Caption"/>
      </w:pPr>
      <w:bookmarkStart w:id="218" w:name="_Toc51240665"/>
      <w:r>
        <w:lastRenderedPageBreak/>
        <w:t>Table 20. Statement ratings suggesting uncertainty</w:t>
      </w:r>
      <w:bookmarkEnd w:id="218"/>
    </w:p>
    <w:tbl>
      <w:tblPr>
        <w:tblStyle w:val="TableGrid"/>
        <w:tblW w:w="0" w:type="auto"/>
        <w:tblLayout w:type="fixed"/>
        <w:tblLook w:val="04A0" w:firstRow="1" w:lastRow="0" w:firstColumn="1" w:lastColumn="0" w:noHBand="0" w:noVBand="1"/>
      </w:tblPr>
      <w:tblGrid>
        <w:gridCol w:w="7792"/>
        <w:gridCol w:w="879"/>
        <w:gridCol w:w="879"/>
        <w:gridCol w:w="880"/>
        <w:gridCol w:w="879"/>
        <w:gridCol w:w="880"/>
        <w:gridCol w:w="879"/>
        <w:gridCol w:w="880"/>
      </w:tblGrid>
      <w:tr w:rsidR="00341FAE" w:rsidRPr="00FE36FB" w14:paraId="0D79AD2A" w14:textId="77777777" w:rsidTr="00443763">
        <w:tc>
          <w:tcPr>
            <w:tcW w:w="7792" w:type="dxa"/>
          </w:tcPr>
          <w:p w14:paraId="49F143E9" w14:textId="77777777" w:rsidR="00341FAE" w:rsidRPr="00FE36FB" w:rsidRDefault="00341FAE" w:rsidP="00443763">
            <w:pPr>
              <w:spacing w:line="240" w:lineRule="auto"/>
              <w:jc w:val="both"/>
              <w:rPr>
                <w:b/>
                <w:bCs/>
                <w:sz w:val="22"/>
                <w:szCs w:val="22"/>
              </w:rPr>
            </w:pPr>
            <w:r w:rsidRPr="00FE36FB">
              <w:rPr>
                <w:b/>
                <w:bCs/>
                <w:sz w:val="22"/>
                <w:szCs w:val="22"/>
              </w:rPr>
              <w:t>Statement</w:t>
            </w:r>
          </w:p>
        </w:tc>
        <w:tc>
          <w:tcPr>
            <w:tcW w:w="879" w:type="dxa"/>
          </w:tcPr>
          <w:p w14:paraId="47C711F8" w14:textId="77777777" w:rsidR="00341FAE" w:rsidRPr="00FE36FB" w:rsidRDefault="00341FAE" w:rsidP="00443763">
            <w:pPr>
              <w:spacing w:line="240" w:lineRule="auto"/>
              <w:jc w:val="both"/>
              <w:rPr>
                <w:b/>
                <w:bCs/>
                <w:sz w:val="18"/>
                <w:szCs w:val="18"/>
              </w:rPr>
            </w:pPr>
            <w:r w:rsidRPr="00FE36FB">
              <w:rPr>
                <w:b/>
                <w:bCs/>
                <w:sz w:val="18"/>
                <w:szCs w:val="18"/>
              </w:rPr>
              <w:t>Strongly agree</w:t>
            </w:r>
          </w:p>
        </w:tc>
        <w:tc>
          <w:tcPr>
            <w:tcW w:w="879" w:type="dxa"/>
          </w:tcPr>
          <w:p w14:paraId="3B092625" w14:textId="77777777" w:rsidR="00341FAE" w:rsidRPr="00FE36FB" w:rsidRDefault="00341FAE" w:rsidP="00443763">
            <w:pPr>
              <w:spacing w:line="240" w:lineRule="auto"/>
              <w:jc w:val="both"/>
              <w:rPr>
                <w:b/>
                <w:bCs/>
                <w:sz w:val="18"/>
                <w:szCs w:val="18"/>
              </w:rPr>
            </w:pPr>
            <w:r w:rsidRPr="00FE36FB">
              <w:rPr>
                <w:b/>
                <w:bCs/>
                <w:sz w:val="18"/>
                <w:szCs w:val="18"/>
              </w:rPr>
              <w:t>Agree</w:t>
            </w:r>
          </w:p>
        </w:tc>
        <w:tc>
          <w:tcPr>
            <w:tcW w:w="880" w:type="dxa"/>
          </w:tcPr>
          <w:p w14:paraId="6909251E" w14:textId="77777777" w:rsidR="00341FAE" w:rsidRPr="00FE36FB" w:rsidRDefault="00341FAE" w:rsidP="00443763">
            <w:pPr>
              <w:spacing w:line="240" w:lineRule="auto"/>
              <w:jc w:val="both"/>
              <w:rPr>
                <w:b/>
                <w:bCs/>
                <w:sz w:val="18"/>
                <w:szCs w:val="18"/>
              </w:rPr>
            </w:pPr>
            <w:r w:rsidRPr="00FE36FB">
              <w:rPr>
                <w:b/>
                <w:bCs/>
                <w:sz w:val="18"/>
                <w:szCs w:val="18"/>
              </w:rPr>
              <w:t>Some</w:t>
            </w:r>
            <w:r>
              <w:rPr>
                <w:b/>
                <w:bCs/>
                <w:sz w:val="18"/>
                <w:szCs w:val="18"/>
              </w:rPr>
              <w:t>-</w:t>
            </w:r>
            <w:r w:rsidRPr="00FE36FB">
              <w:rPr>
                <w:b/>
                <w:bCs/>
                <w:sz w:val="18"/>
                <w:szCs w:val="18"/>
              </w:rPr>
              <w:t>what agree</w:t>
            </w:r>
          </w:p>
        </w:tc>
        <w:tc>
          <w:tcPr>
            <w:tcW w:w="879" w:type="dxa"/>
          </w:tcPr>
          <w:p w14:paraId="1EE1DB46" w14:textId="77777777" w:rsidR="00341FAE" w:rsidRPr="00FE36FB" w:rsidRDefault="00341FAE" w:rsidP="00443763">
            <w:pPr>
              <w:spacing w:line="240" w:lineRule="auto"/>
              <w:jc w:val="both"/>
              <w:rPr>
                <w:b/>
                <w:bCs/>
                <w:sz w:val="18"/>
                <w:szCs w:val="18"/>
              </w:rPr>
            </w:pPr>
            <w:r w:rsidRPr="00FE36FB">
              <w:rPr>
                <w:b/>
                <w:bCs/>
                <w:sz w:val="18"/>
                <w:szCs w:val="18"/>
              </w:rPr>
              <w:t>Neutral</w:t>
            </w:r>
          </w:p>
        </w:tc>
        <w:tc>
          <w:tcPr>
            <w:tcW w:w="880" w:type="dxa"/>
          </w:tcPr>
          <w:p w14:paraId="59A5CB12" w14:textId="77777777" w:rsidR="00341FAE" w:rsidRDefault="00341FAE" w:rsidP="00443763">
            <w:pPr>
              <w:spacing w:line="240" w:lineRule="auto"/>
              <w:jc w:val="both"/>
              <w:rPr>
                <w:b/>
                <w:bCs/>
                <w:sz w:val="18"/>
                <w:szCs w:val="18"/>
              </w:rPr>
            </w:pPr>
            <w:r w:rsidRPr="00FE36FB">
              <w:rPr>
                <w:b/>
                <w:bCs/>
                <w:sz w:val="18"/>
                <w:szCs w:val="18"/>
              </w:rPr>
              <w:t>Some</w:t>
            </w:r>
            <w:r>
              <w:rPr>
                <w:b/>
                <w:bCs/>
                <w:sz w:val="18"/>
                <w:szCs w:val="18"/>
              </w:rPr>
              <w:t>-</w:t>
            </w:r>
          </w:p>
          <w:p w14:paraId="486C45AF" w14:textId="77777777" w:rsidR="00341FAE" w:rsidRPr="00FE36FB" w:rsidRDefault="00341FAE" w:rsidP="00443763">
            <w:pPr>
              <w:spacing w:line="240" w:lineRule="auto"/>
              <w:jc w:val="both"/>
              <w:rPr>
                <w:b/>
                <w:bCs/>
                <w:sz w:val="18"/>
                <w:szCs w:val="18"/>
              </w:rPr>
            </w:pPr>
            <w:r w:rsidRPr="00FE36FB">
              <w:rPr>
                <w:b/>
                <w:bCs/>
                <w:sz w:val="18"/>
                <w:szCs w:val="18"/>
              </w:rPr>
              <w:t>what disagree</w:t>
            </w:r>
          </w:p>
        </w:tc>
        <w:tc>
          <w:tcPr>
            <w:tcW w:w="879" w:type="dxa"/>
          </w:tcPr>
          <w:p w14:paraId="7CBA23BC" w14:textId="77777777" w:rsidR="00341FAE" w:rsidRPr="00FE36FB" w:rsidRDefault="00341FAE" w:rsidP="00443763">
            <w:pPr>
              <w:spacing w:line="240" w:lineRule="auto"/>
              <w:jc w:val="both"/>
              <w:rPr>
                <w:b/>
                <w:bCs/>
                <w:sz w:val="18"/>
                <w:szCs w:val="18"/>
              </w:rPr>
            </w:pPr>
            <w:r w:rsidRPr="00FE36FB">
              <w:rPr>
                <w:b/>
                <w:bCs/>
                <w:sz w:val="18"/>
                <w:szCs w:val="18"/>
              </w:rPr>
              <w:t>Disagree</w:t>
            </w:r>
          </w:p>
        </w:tc>
        <w:tc>
          <w:tcPr>
            <w:tcW w:w="880" w:type="dxa"/>
          </w:tcPr>
          <w:p w14:paraId="0BF9E959" w14:textId="77777777" w:rsidR="00341FAE" w:rsidRPr="00FE36FB" w:rsidRDefault="00341FAE" w:rsidP="00443763">
            <w:pPr>
              <w:spacing w:line="240" w:lineRule="auto"/>
              <w:jc w:val="both"/>
              <w:rPr>
                <w:b/>
                <w:bCs/>
                <w:sz w:val="18"/>
                <w:szCs w:val="18"/>
              </w:rPr>
            </w:pPr>
            <w:r w:rsidRPr="00FE36FB">
              <w:rPr>
                <w:b/>
                <w:bCs/>
                <w:sz w:val="18"/>
                <w:szCs w:val="18"/>
              </w:rPr>
              <w:t>Strongly disagree</w:t>
            </w:r>
          </w:p>
        </w:tc>
      </w:tr>
      <w:tr w:rsidR="00341FAE" w:rsidRPr="00FE36FB" w14:paraId="2295054B" w14:textId="77777777" w:rsidTr="00443763">
        <w:tc>
          <w:tcPr>
            <w:tcW w:w="7792" w:type="dxa"/>
          </w:tcPr>
          <w:p w14:paraId="0FF4CFB8" w14:textId="77777777" w:rsidR="00341FAE" w:rsidRPr="00FE36FB" w:rsidRDefault="00341FAE" w:rsidP="00443763">
            <w:pPr>
              <w:spacing w:line="240" w:lineRule="auto"/>
              <w:jc w:val="both"/>
              <w:rPr>
                <w:b/>
                <w:bCs/>
                <w:sz w:val="22"/>
                <w:szCs w:val="22"/>
              </w:rPr>
            </w:pPr>
          </w:p>
        </w:tc>
        <w:tc>
          <w:tcPr>
            <w:tcW w:w="879" w:type="dxa"/>
          </w:tcPr>
          <w:p w14:paraId="3DD186CF" w14:textId="77777777" w:rsidR="00341FAE" w:rsidRPr="00FE36FB" w:rsidRDefault="00341FAE" w:rsidP="00443763">
            <w:pPr>
              <w:spacing w:line="240" w:lineRule="auto"/>
              <w:jc w:val="right"/>
              <w:rPr>
                <w:b/>
                <w:bCs/>
                <w:sz w:val="22"/>
                <w:szCs w:val="22"/>
              </w:rPr>
            </w:pPr>
            <w:r w:rsidRPr="00FE36FB">
              <w:rPr>
                <w:b/>
                <w:bCs/>
                <w:sz w:val="22"/>
                <w:szCs w:val="22"/>
              </w:rPr>
              <w:t>%</w:t>
            </w:r>
          </w:p>
        </w:tc>
        <w:tc>
          <w:tcPr>
            <w:tcW w:w="879" w:type="dxa"/>
          </w:tcPr>
          <w:p w14:paraId="2A2D792F" w14:textId="77777777" w:rsidR="00341FAE" w:rsidRPr="00FE36FB" w:rsidRDefault="00341FAE" w:rsidP="00443763">
            <w:pPr>
              <w:spacing w:line="240" w:lineRule="auto"/>
              <w:jc w:val="right"/>
              <w:rPr>
                <w:b/>
                <w:bCs/>
                <w:sz w:val="22"/>
                <w:szCs w:val="22"/>
              </w:rPr>
            </w:pPr>
            <w:r w:rsidRPr="00FE36FB">
              <w:rPr>
                <w:b/>
                <w:bCs/>
                <w:sz w:val="22"/>
                <w:szCs w:val="22"/>
              </w:rPr>
              <w:t>%</w:t>
            </w:r>
          </w:p>
        </w:tc>
        <w:tc>
          <w:tcPr>
            <w:tcW w:w="880" w:type="dxa"/>
          </w:tcPr>
          <w:p w14:paraId="2D8ECC94" w14:textId="77777777" w:rsidR="00341FAE" w:rsidRPr="00FE36FB" w:rsidRDefault="00341FAE" w:rsidP="00443763">
            <w:pPr>
              <w:spacing w:line="240" w:lineRule="auto"/>
              <w:jc w:val="right"/>
              <w:rPr>
                <w:b/>
                <w:bCs/>
                <w:sz w:val="22"/>
                <w:szCs w:val="22"/>
              </w:rPr>
            </w:pPr>
            <w:r w:rsidRPr="00FE36FB">
              <w:rPr>
                <w:b/>
                <w:bCs/>
                <w:sz w:val="22"/>
                <w:szCs w:val="22"/>
              </w:rPr>
              <w:t>%</w:t>
            </w:r>
          </w:p>
        </w:tc>
        <w:tc>
          <w:tcPr>
            <w:tcW w:w="879" w:type="dxa"/>
          </w:tcPr>
          <w:p w14:paraId="5A4B0EB3" w14:textId="77777777" w:rsidR="00341FAE" w:rsidRPr="00FE36FB" w:rsidRDefault="00341FAE" w:rsidP="00443763">
            <w:pPr>
              <w:spacing w:line="240" w:lineRule="auto"/>
              <w:jc w:val="right"/>
              <w:rPr>
                <w:b/>
                <w:bCs/>
                <w:sz w:val="22"/>
                <w:szCs w:val="22"/>
              </w:rPr>
            </w:pPr>
            <w:r w:rsidRPr="00FE36FB">
              <w:rPr>
                <w:b/>
                <w:bCs/>
                <w:sz w:val="22"/>
                <w:szCs w:val="22"/>
              </w:rPr>
              <w:t>%</w:t>
            </w:r>
          </w:p>
        </w:tc>
        <w:tc>
          <w:tcPr>
            <w:tcW w:w="880" w:type="dxa"/>
          </w:tcPr>
          <w:p w14:paraId="0C7FC711" w14:textId="77777777" w:rsidR="00341FAE" w:rsidRPr="00FE36FB" w:rsidRDefault="00341FAE" w:rsidP="00443763">
            <w:pPr>
              <w:spacing w:line="240" w:lineRule="auto"/>
              <w:jc w:val="right"/>
              <w:rPr>
                <w:b/>
                <w:bCs/>
                <w:sz w:val="22"/>
                <w:szCs w:val="22"/>
              </w:rPr>
            </w:pPr>
            <w:r w:rsidRPr="00FE36FB">
              <w:rPr>
                <w:b/>
                <w:bCs/>
                <w:sz w:val="22"/>
                <w:szCs w:val="22"/>
              </w:rPr>
              <w:t>%</w:t>
            </w:r>
          </w:p>
        </w:tc>
        <w:tc>
          <w:tcPr>
            <w:tcW w:w="879" w:type="dxa"/>
          </w:tcPr>
          <w:p w14:paraId="1D048915" w14:textId="77777777" w:rsidR="00341FAE" w:rsidRPr="00FE36FB" w:rsidRDefault="00341FAE" w:rsidP="00443763">
            <w:pPr>
              <w:spacing w:line="240" w:lineRule="auto"/>
              <w:jc w:val="right"/>
              <w:rPr>
                <w:b/>
                <w:bCs/>
                <w:sz w:val="22"/>
                <w:szCs w:val="22"/>
              </w:rPr>
            </w:pPr>
            <w:r w:rsidRPr="00FE36FB">
              <w:rPr>
                <w:b/>
                <w:bCs/>
                <w:sz w:val="22"/>
                <w:szCs w:val="22"/>
              </w:rPr>
              <w:t>%</w:t>
            </w:r>
          </w:p>
        </w:tc>
        <w:tc>
          <w:tcPr>
            <w:tcW w:w="880" w:type="dxa"/>
          </w:tcPr>
          <w:p w14:paraId="520B9D0E" w14:textId="77777777" w:rsidR="00341FAE" w:rsidRPr="00FE36FB" w:rsidRDefault="00341FAE" w:rsidP="00443763">
            <w:pPr>
              <w:spacing w:line="240" w:lineRule="auto"/>
              <w:jc w:val="right"/>
              <w:rPr>
                <w:b/>
                <w:bCs/>
                <w:sz w:val="22"/>
                <w:szCs w:val="22"/>
              </w:rPr>
            </w:pPr>
            <w:r w:rsidRPr="00FE36FB">
              <w:rPr>
                <w:b/>
                <w:bCs/>
                <w:sz w:val="22"/>
                <w:szCs w:val="22"/>
              </w:rPr>
              <w:t>%</w:t>
            </w:r>
          </w:p>
        </w:tc>
      </w:tr>
      <w:tr w:rsidR="00341FAE" w:rsidRPr="00FE36FB" w14:paraId="12B6C6B3" w14:textId="77777777" w:rsidTr="00443763">
        <w:tc>
          <w:tcPr>
            <w:tcW w:w="7792" w:type="dxa"/>
          </w:tcPr>
          <w:p w14:paraId="49F8D49A" w14:textId="77777777" w:rsidR="00341FAE" w:rsidRPr="00FE36FB" w:rsidRDefault="00341FAE" w:rsidP="00443763">
            <w:pPr>
              <w:spacing w:line="240" w:lineRule="auto"/>
              <w:rPr>
                <w:sz w:val="22"/>
                <w:szCs w:val="22"/>
              </w:rPr>
            </w:pPr>
            <w:r w:rsidRPr="001431B1">
              <w:t>Couple therapy is more effective for FAO wellbeing than individual therapy for the gambler.</w:t>
            </w:r>
          </w:p>
        </w:tc>
        <w:tc>
          <w:tcPr>
            <w:tcW w:w="879" w:type="dxa"/>
          </w:tcPr>
          <w:p w14:paraId="6A010749" w14:textId="77777777" w:rsidR="00341FAE" w:rsidRPr="00FE36FB" w:rsidRDefault="00341FAE" w:rsidP="00443763">
            <w:pPr>
              <w:spacing w:line="240" w:lineRule="auto"/>
              <w:jc w:val="right"/>
              <w:rPr>
                <w:sz w:val="22"/>
                <w:szCs w:val="22"/>
              </w:rPr>
            </w:pPr>
            <w:r w:rsidRPr="001431B1">
              <w:t>6.9</w:t>
            </w:r>
          </w:p>
        </w:tc>
        <w:tc>
          <w:tcPr>
            <w:tcW w:w="879" w:type="dxa"/>
          </w:tcPr>
          <w:p w14:paraId="44817893" w14:textId="77777777" w:rsidR="00341FAE" w:rsidRPr="00FE36FB" w:rsidRDefault="00341FAE" w:rsidP="00443763">
            <w:pPr>
              <w:spacing w:line="240" w:lineRule="auto"/>
              <w:jc w:val="right"/>
              <w:rPr>
                <w:sz w:val="22"/>
                <w:szCs w:val="22"/>
              </w:rPr>
            </w:pPr>
            <w:r w:rsidRPr="001431B1">
              <w:t>17.2</w:t>
            </w:r>
          </w:p>
        </w:tc>
        <w:tc>
          <w:tcPr>
            <w:tcW w:w="880" w:type="dxa"/>
          </w:tcPr>
          <w:p w14:paraId="35FB7F50" w14:textId="77777777" w:rsidR="00341FAE" w:rsidRPr="00FE36FB" w:rsidRDefault="00341FAE" w:rsidP="00443763">
            <w:pPr>
              <w:spacing w:line="240" w:lineRule="auto"/>
              <w:jc w:val="right"/>
              <w:rPr>
                <w:sz w:val="22"/>
                <w:szCs w:val="22"/>
              </w:rPr>
            </w:pPr>
            <w:r w:rsidRPr="001431B1">
              <w:t>17.2</w:t>
            </w:r>
          </w:p>
        </w:tc>
        <w:tc>
          <w:tcPr>
            <w:tcW w:w="879" w:type="dxa"/>
          </w:tcPr>
          <w:p w14:paraId="0C4FE6B9" w14:textId="77777777" w:rsidR="00341FAE" w:rsidRPr="00FE36FB" w:rsidRDefault="00341FAE" w:rsidP="00443763">
            <w:pPr>
              <w:spacing w:line="240" w:lineRule="auto"/>
              <w:jc w:val="right"/>
              <w:rPr>
                <w:sz w:val="22"/>
                <w:szCs w:val="22"/>
              </w:rPr>
            </w:pPr>
            <w:r w:rsidRPr="001431B1">
              <w:t>44.8</w:t>
            </w:r>
          </w:p>
        </w:tc>
        <w:tc>
          <w:tcPr>
            <w:tcW w:w="880" w:type="dxa"/>
          </w:tcPr>
          <w:p w14:paraId="705305B2" w14:textId="77777777" w:rsidR="00341FAE" w:rsidRPr="00FE36FB" w:rsidRDefault="00341FAE" w:rsidP="00443763">
            <w:pPr>
              <w:spacing w:line="240" w:lineRule="auto"/>
              <w:jc w:val="right"/>
              <w:rPr>
                <w:sz w:val="22"/>
                <w:szCs w:val="22"/>
              </w:rPr>
            </w:pPr>
            <w:r w:rsidRPr="001431B1">
              <w:t>3.4</w:t>
            </w:r>
          </w:p>
        </w:tc>
        <w:tc>
          <w:tcPr>
            <w:tcW w:w="879" w:type="dxa"/>
          </w:tcPr>
          <w:p w14:paraId="3C0E6A3C" w14:textId="77777777" w:rsidR="00341FAE" w:rsidRPr="00FE36FB" w:rsidRDefault="00341FAE" w:rsidP="00443763">
            <w:pPr>
              <w:spacing w:line="240" w:lineRule="auto"/>
              <w:jc w:val="right"/>
              <w:rPr>
                <w:sz w:val="22"/>
                <w:szCs w:val="22"/>
              </w:rPr>
            </w:pPr>
            <w:r w:rsidRPr="001431B1">
              <w:t>6.9</w:t>
            </w:r>
          </w:p>
        </w:tc>
        <w:tc>
          <w:tcPr>
            <w:tcW w:w="880" w:type="dxa"/>
          </w:tcPr>
          <w:p w14:paraId="100E6148" w14:textId="77777777" w:rsidR="00341FAE" w:rsidRPr="00FE36FB" w:rsidRDefault="00341FAE" w:rsidP="00443763">
            <w:pPr>
              <w:spacing w:line="240" w:lineRule="auto"/>
              <w:jc w:val="right"/>
              <w:rPr>
                <w:sz w:val="22"/>
                <w:szCs w:val="22"/>
              </w:rPr>
            </w:pPr>
            <w:r w:rsidRPr="001431B1">
              <w:t>3.4</w:t>
            </w:r>
          </w:p>
        </w:tc>
      </w:tr>
      <w:tr w:rsidR="00341FAE" w:rsidRPr="00FE36FB" w14:paraId="712B4E43" w14:textId="77777777" w:rsidTr="00443763">
        <w:tc>
          <w:tcPr>
            <w:tcW w:w="7792" w:type="dxa"/>
          </w:tcPr>
          <w:p w14:paraId="08F175B5" w14:textId="77777777" w:rsidR="00341FAE" w:rsidRPr="00FE36FB" w:rsidRDefault="00341FAE" w:rsidP="00443763">
            <w:pPr>
              <w:spacing w:line="240" w:lineRule="auto"/>
              <w:jc w:val="both"/>
              <w:rPr>
                <w:sz w:val="22"/>
                <w:szCs w:val="22"/>
              </w:rPr>
            </w:pPr>
            <w:r w:rsidRPr="001431B1">
              <w:t>Much of what is discussed, decided on, and done for FAOs in current services is ad-hoc and lacks strategy.</w:t>
            </w:r>
          </w:p>
        </w:tc>
        <w:tc>
          <w:tcPr>
            <w:tcW w:w="879" w:type="dxa"/>
          </w:tcPr>
          <w:p w14:paraId="323D4878" w14:textId="77777777" w:rsidR="00341FAE" w:rsidRPr="00FE36FB" w:rsidRDefault="00341FAE" w:rsidP="00443763">
            <w:pPr>
              <w:spacing w:line="240" w:lineRule="auto"/>
              <w:jc w:val="right"/>
              <w:rPr>
                <w:sz w:val="22"/>
                <w:szCs w:val="22"/>
              </w:rPr>
            </w:pPr>
            <w:r w:rsidRPr="001431B1">
              <w:t>17.2</w:t>
            </w:r>
          </w:p>
        </w:tc>
        <w:tc>
          <w:tcPr>
            <w:tcW w:w="879" w:type="dxa"/>
          </w:tcPr>
          <w:p w14:paraId="7411E168" w14:textId="77777777" w:rsidR="00341FAE" w:rsidRPr="00FE36FB" w:rsidRDefault="00341FAE" w:rsidP="00443763">
            <w:pPr>
              <w:spacing w:line="240" w:lineRule="auto"/>
              <w:jc w:val="right"/>
              <w:rPr>
                <w:sz w:val="22"/>
                <w:szCs w:val="22"/>
              </w:rPr>
            </w:pPr>
            <w:r w:rsidRPr="001431B1">
              <w:t>31.0</w:t>
            </w:r>
          </w:p>
        </w:tc>
        <w:tc>
          <w:tcPr>
            <w:tcW w:w="880" w:type="dxa"/>
          </w:tcPr>
          <w:p w14:paraId="6D014D5D" w14:textId="77777777" w:rsidR="00341FAE" w:rsidRPr="00FE36FB" w:rsidRDefault="00341FAE" w:rsidP="00443763">
            <w:pPr>
              <w:spacing w:line="240" w:lineRule="auto"/>
              <w:jc w:val="right"/>
              <w:rPr>
                <w:sz w:val="22"/>
                <w:szCs w:val="22"/>
              </w:rPr>
            </w:pPr>
            <w:r w:rsidRPr="001431B1">
              <w:t>20.7</w:t>
            </w:r>
          </w:p>
        </w:tc>
        <w:tc>
          <w:tcPr>
            <w:tcW w:w="879" w:type="dxa"/>
          </w:tcPr>
          <w:p w14:paraId="6601C8EB" w14:textId="77777777" w:rsidR="00341FAE" w:rsidRPr="00FE36FB" w:rsidRDefault="00341FAE" w:rsidP="00443763">
            <w:pPr>
              <w:spacing w:line="240" w:lineRule="auto"/>
              <w:jc w:val="right"/>
              <w:rPr>
                <w:sz w:val="22"/>
                <w:szCs w:val="22"/>
              </w:rPr>
            </w:pPr>
            <w:r w:rsidRPr="001431B1">
              <w:t>31.0</w:t>
            </w:r>
          </w:p>
        </w:tc>
        <w:tc>
          <w:tcPr>
            <w:tcW w:w="880" w:type="dxa"/>
          </w:tcPr>
          <w:p w14:paraId="6D85BB02" w14:textId="77777777" w:rsidR="00341FAE" w:rsidRPr="00FE36FB" w:rsidRDefault="00341FAE" w:rsidP="00443763">
            <w:pPr>
              <w:spacing w:line="240" w:lineRule="auto"/>
              <w:jc w:val="right"/>
              <w:rPr>
                <w:sz w:val="22"/>
                <w:szCs w:val="22"/>
              </w:rPr>
            </w:pPr>
            <w:r w:rsidRPr="001431B1">
              <w:t>0.0</w:t>
            </w:r>
          </w:p>
        </w:tc>
        <w:tc>
          <w:tcPr>
            <w:tcW w:w="879" w:type="dxa"/>
          </w:tcPr>
          <w:p w14:paraId="3E641B30" w14:textId="77777777" w:rsidR="00341FAE" w:rsidRPr="00FE36FB" w:rsidRDefault="00341FAE" w:rsidP="00443763">
            <w:pPr>
              <w:spacing w:line="240" w:lineRule="auto"/>
              <w:jc w:val="right"/>
              <w:rPr>
                <w:sz w:val="22"/>
                <w:szCs w:val="22"/>
              </w:rPr>
            </w:pPr>
            <w:r w:rsidRPr="001431B1">
              <w:t>0.0</w:t>
            </w:r>
          </w:p>
        </w:tc>
        <w:tc>
          <w:tcPr>
            <w:tcW w:w="880" w:type="dxa"/>
          </w:tcPr>
          <w:p w14:paraId="2173C3CD" w14:textId="77777777" w:rsidR="00341FAE" w:rsidRPr="00FE36FB" w:rsidRDefault="00341FAE" w:rsidP="00443763">
            <w:pPr>
              <w:spacing w:line="240" w:lineRule="auto"/>
              <w:jc w:val="right"/>
              <w:rPr>
                <w:sz w:val="22"/>
                <w:szCs w:val="22"/>
              </w:rPr>
            </w:pPr>
            <w:r w:rsidRPr="001431B1">
              <w:t>0.0</w:t>
            </w:r>
          </w:p>
        </w:tc>
      </w:tr>
      <w:tr w:rsidR="00341FAE" w:rsidRPr="00FE36FB" w14:paraId="4364961D" w14:textId="77777777" w:rsidTr="00443763">
        <w:tc>
          <w:tcPr>
            <w:tcW w:w="7792" w:type="dxa"/>
          </w:tcPr>
          <w:p w14:paraId="2566426C" w14:textId="77777777" w:rsidR="00341FAE" w:rsidRPr="00FE36FB" w:rsidRDefault="00341FAE" w:rsidP="00443763">
            <w:pPr>
              <w:spacing w:line="240" w:lineRule="auto"/>
              <w:jc w:val="both"/>
              <w:rPr>
                <w:sz w:val="22"/>
                <w:szCs w:val="22"/>
              </w:rPr>
            </w:pPr>
            <w:r w:rsidRPr="001431B1">
              <w:t>Rebuilding couple relationships is a crucial part of recovery for gamblers and FAOs and should therefore become the focus of intervention.</w:t>
            </w:r>
          </w:p>
        </w:tc>
        <w:tc>
          <w:tcPr>
            <w:tcW w:w="879" w:type="dxa"/>
          </w:tcPr>
          <w:p w14:paraId="5F0EFA3B" w14:textId="77777777" w:rsidR="00341FAE" w:rsidRPr="00FE36FB" w:rsidRDefault="00341FAE" w:rsidP="00443763">
            <w:pPr>
              <w:spacing w:line="240" w:lineRule="auto"/>
              <w:jc w:val="right"/>
              <w:rPr>
                <w:sz w:val="22"/>
                <w:szCs w:val="22"/>
              </w:rPr>
            </w:pPr>
            <w:r w:rsidRPr="001431B1">
              <w:t>0.0</w:t>
            </w:r>
          </w:p>
        </w:tc>
        <w:tc>
          <w:tcPr>
            <w:tcW w:w="879" w:type="dxa"/>
          </w:tcPr>
          <w:p w14:paraId="5CA290D5" w14:textId="77777777" w:rsidR="00341FAE" w:rsidRPr="00FE36FB" w:rsidRDefault="00341FAE" w:rsidP="00443763">
            <w:pPr>
              <w:spacing w:line="240" w:lineRule="auto"/>
              <w:jc w:val="right"/>
              <w:rPr>
                <w:sz w:val="22"/>
                <w:szCs w:val="22"/>
              </w:rPr>
            </w:pPr>
            <w:r w:rsidRPr="001431B1">
              <w:t>13.8</w:t>
            </w:r>
          </w:p>
        </w:tc>
        <w:tc>
          <w:tcPr>
            <w:tcW w:w="880" w:type="dxa"/>
          </w:tcPr>
          <w:p w14:paraId="639B2EB1" w14:textId="77777777" w:rsidR="00341FAE" w:rsidRPr="00FE36FB" w:rsidRDefault="00341FAE" w:rsidP="00443763">
            <w:pPr>
              <w:spacing w:line="240" w:lineRule="auto"/>
              <w:jc w:val="right"/>
              <w:rPr>
                <w:sz w:val="22"/>
                <w:szCs w:val="22"/>
              </w:rPr>
            </w:pPr>
            <w:r w:rsidRPr="001431B1">
              <w:t>37.9</w:t>
            </w:r>
          </w:p>
        </w:tc>
        <w:tc>
          <w:tcPr>
            <w:tcW w:w="879" w:type="dxa"/>
          </w:tcPr>
          <w:p w14:paraId="535B2B0B" w14:textId="77777777" w:rsidR="00341FAE" w:rsidRPr="00FE36FB" w:rsidRDefault="00341FAE" w:rsidP="00443763">
            <w:pPr>
              <w:spacing w:line="240" w:lineRule="auto"/>
              <w:jc w:val="right"/>
              <w:rPr>
                <w:sz w:val="22"/>
                <w:szCs w:val="22"/>
              </w:rPr>
            </w:pPr>
            <w:r w:rsidRPr="001431B1">
              <w:t>27.6</w:t>
            </w:r>
          </w:p>
        </w:tc>
        <w:tc>
          <w:tcPr>
            <w:tcW w:w="880" w:type="dxa"/>
          </w:tcPr>
          <w:p w14:paraId="6B8F30AA" w14:textId="77777777" w:rsidR="00341FAE" w:rsidRPr="00FE36FB" w:rsidRDefault="00341FAE" w:rsidP="00443763">
            <w:pPr>
              <w:spacing w:line="240" w:lineRule="auto"/>
              <w:jc w:val="right"/>
              <w:rPr>
                <w:sz w:val="22"/>
                <w:szCs w:val="22"/>
              </w:rPr>
            </w:pPr>
            <w:r w:rsidRPr="001431B1">
              <w:t>10.3</w:t>
            </w:r>
          </w:p>
        </w:tc>
        <w:tc>
          <w:tcPr>
            <w:tcW w:w="879" w:type="dxa"/>
          </w:tcPr>
          <w:p w14:paraId="6F4AEAA2" w14:textId="77777777" w:rsidR="00341FAE" w:rsidRPr="00FE36FB" w:rsidRDefault="00341FAE" w:rsidP="00443763">
            <w:pPr>
              <w:spacing w:line="240" w:lineRule="auto"/>
              <w:jc w:val="right"/>
              <w:rPr>
                <w:sz w:val="22"/>
                <w:szCs w:val="22"/>
              </w:rPr>
            </w:pPr>
            <w:r w:rsidRPr="001431B1">
              <w:t>6.9</w:t>
            </w:r>
          </w:p>
        </w:tc>
        <w:tc>
          <w:tcPr>
            <w:tcW w:w="880" w:type="dxa"/>
          </w:tcPr>
          <w:p w14:paraId="281832E0" w14:textId="77777777" w:rsidR="00341FAE" w:rsidRPr="00FE36FB" w:rsidRDefault="00341FAE" w:rsidP="00443763">
            <w:pPr>
              <w:spacing w:line="240" w:lineRule="auto"/>
              <w:jc w:val="right"/>
              <w:rPr>
                <w:sz w:val="22"/>
                <w:szCs w:val="22"/>
              </w:rPr>
            </w:pPr>
            <w:r w:rsidRPr="001431B1">
              <w:t>3.4</w:t>
            </w:r>
          </w:p>
        </w:tc>
      </w:tr>
      <w:tr w:rsidR="00341FAE" w:rsidRPr="00FE36FB" w14:paraId="155F459C" w14:textId="77777777" w:rsidTr="00443763">
        <w:tc>
          <w:tcPr>
            <w:tcW w:w="7792" w:type="dxa"/>
          </w:tcPr>
          <w:p w14:paraId="04DFAF1B" w14:textId="77777777" w:rsidR="00341FAE" w:rsidRPr="00FE36FB" w:rsidRDefault="00341FAE" w:rsidP="00443763">
            <w:pPr>
              <w:spacing w:line="240" w:lineRule="auto"/>
              <w:jc w:val="both"/>
              <w:rPr>
                <w:sz w:val="22"/>
                <w:szCs w:val="22"/>
              </w:rPr>
            </w:pPr>
            <w:r w:rsidRPr="001431B1">
              <w:t>Interventions designed to support FAOs to influence the person who is gambling have tended to involve women (e.g. partners and mothers).</w:t>
            </w:r>
          </w:p>
        </w:tc>
        <w:tc>
          <w:tcPr>
            <w:tcW w:w="879" w:type="dxa"/>
          </w:tcPr>
          <w:p w14:paraId="144D46C0" w14:textId="77777777" w:rsidR="00341FAE" w:rsidRPr="00FE36FB" w:rsidRDefault="00341FAE" w:rsidP="00443763">
            <w:pPr>
              <w:spacing w:line="240" w:lineRule="auto"/>
              <w:jc w:val="right"/>
              <w:rPr>
                <w:sz w:val="22"/>
                <w:szCs w:val="22"/>
              </w:rPr>
            </w:pPr>
            <w:r w:rsidRPr="001431B1">
              <w:t>10.3</w:t>
            </w:r>
          </w:p>
        </w:tc>
        <w:tc>
          <w:tcPr>
            <w:tcW w:w="879" w:type="dxa"/>
          </w:tcPr>
          <w:p w14:paraId="739FE01B" w14:textId="77777777" w:rsidR="00341FAE" w:rsidRPr="00FE36FB" w:rsidRDefault="00341FAE" w:rsidP="00443763">
            <w:pPr>
              <w:spacing w:line="240" w:lineRule="auto"/>
              <w:jc w:val="right"/>
              <w:rPr>
                <w:sz w:val="22"/>
                <w:szCs w:val="22"/>
              </w:rPr>
            </w:pPr>
            <w:r w:rsidRPr="001431B1">
              <w:t>44.8</w:t>
            </w:r>
          </w:p>
        </w:tc>
        <w:tc>
          <w:tcPr>
            <w:tcW w:w="880" w:type="dxa"/>
          </w:tcPr>
          <w:p w14:paraId="57655A07" w14:textId="77777777" w:rsidR="00341FAE" w:rsidRPr="00FE36FB" w:rsidRDefault="00341FAE" w:rsidP="00443763">
            <w:pPr>
              <w:spacing w:line="240" w:lineRule="auto"/>
              <w:jc w:val="right"/>
              <w:rPr>
                <w:sz w:val="22"/>
                <w:szCs w:val="22"/>
              </w:rPr>
            </w:pPr>
            <w:r w:rsidRPr="001431B1">
              <w:t>17.2</w:t>
            </w:r>
          </w:p>
        </w:tc>
        <w:tc>
          <w:tcPr>
            <w:tcW w:w="879" w:type="dxa"/>
          </w:tcPr>
          <w:p w14:paraId="663B9FDF" w14:textId="77777777" w:rsidR="00341FAE" w:rsidRPr="00FE36FB" w:rsidRDefault="00341FAE" w:rsidP="00443763">
            <w:pPr>
              <w:spacing w:line="240" w:lineRule="auto"/>
              <w:jc w:val="right"/>
              <w:rPr>
                <w:sz w:val="22"/>
                <w:szCs w:val="22"/>
              </w:rPr>
            </w:pPr>
            <w:r w:rsidRPr="001431B1">
              <w:t>27.6</w:t>
            </w:r>
          </w:p>
        </w:tc>
        <w:tc>
          <w:tcPr>
            <w:tcW w:w="880" w:type="dxa"/>
          </w:tcPr>
          <w:p w14:paraId="18712C58" w14:textId="77777777" w:rsidR="00341FAE" w:rsidRPr="00FE36FB" w:rsidRDefault="00341FAE" w:rsidP="00443763">
            <w:pPr>
              <w:spacing w:line="240" w:lineRule="auto"/>
              <w:jc w:val="right"/>
              <w:rPr>
                <w:sz w:val="22"/>
                <w:szCs w:val="22"/>
              </w:rPr>
            </w:pPr>
            <w:r w:rsidRPr="001431B1">
              <w:t>0.0</w:t>
            </w:r>
          </w:p>
        </w:tc>
        <w:tc>
          <w:tcPr>
            <w:tcW w:w="879" w:type="dxa"/>
          </w:tcPr>
          <w:p w14:paraId="48BEE8E3" w14:textId="77777777" w:rsidR="00341FAE" w:rsidRPr="00FE36FB" w:rsidRDefault="00341FAE" w:rsidP="00443763">
            <w:pPr>
              <w:spacing w:line="240" w:lineRule="auto"/>
              <w:jc w:val="right"/>
              <w:rPr>
                <w:sz w:val="22"/>
                <w:szCs w:val="22"/>
              </w:rPr>
            </w:pPr>
            <w:r w:rsidRPr="001431B1">
              <w:t>0.0</w:t>
            </w:r>
          </w:p>
        </w:tc>
        <w:tc>
          <w:tcPr>
            <w:tcW w:w="880" w:type="dxa"/>
          </w:tcPr>
          <w:p w14:paraId="5EF919CA" w14:textId="77777777" w:rsidR="00341FAE" w:rsidRPr="00FE36FB" w:rsidRDefault="00341FAE" w:rsidP="00443763">
            <w:pPr>
              <w:spacing w:line="240" w:lineRule="auto"/>
              <w:jc w:val="right"/>
              <w:rPr>
                <w:sz w:val="22"/>
                <w:szCs w:val="22"/>
              </w:rPr>
            </w:pPr>
            <w:r w:rsidRPr="001431B1">
              <w:t>0.0</w:t>
            </w:r>
          </w:p>
        </w:tc>
      </w:tr>
      <w:tr w:rsidR="00341FAE" w:rsidRPr="00FE36FB" w14:paraId="10A616F4" w14:textId="77777777" w:rsidTr="00443763">
        <w:tc>
          <w:tcPr>
            <w:tcW w:w="7792" w:type="dxa"/>
          </w:tcPr>
          <w:p w14:paraId="02FE2261" w14:textId="77777777" w:rsidR="00341FAE" w:rsidRPr="00FE36FB" w:rsidRDefault="00341FAE" w:rsidP="00443763">
            <w:pPr>
              <w:spacing w:line="240" w:lineRule="auto"/>
              <w:jc w:val="both"/>
              <w:rPr>
                <w:sz w:val="22"/>
                <w:szCs w:val="22"/>
              </w:rPr>
            </w:pPr>
            <w:r w:rsidRPr="001431B1">
              <w:t>There is a lack of understanding of how men can support the treatment and/or recovery of gamblers.</w:t>
            </w:r>
          </w:p>
        </w:tc>
        <w:tc>
          <w:tcPr>
            <w:tcW w:w="879" w:type="dxa"/>
          </w:tcPr>
          <w:p w14:paraId="6A799942" w14:textId="77777777" w:rsidR="00341FAE" w:rsidRPr="00FE36FB" w:rsidRDefault="00341FAE" w:rsidP="00443763">
            <w:pPr>
              <w:spacing w:line="240" w:lineRule="auto"/>
              <w:jc w:val="right"/>
              <w:rPr>
                <w:sz w:val="22"/>
                <w:szCs w:val="22"/>
              </w:rPr>
            </w:pPr>
            <w:r w:rsidRPr="001431B1">
              <w:t>10.3</w:t>
            </w:r>
          </w:p>
        </w:tc>
        <w:tc>
          <w:tcPr>
            <w:tcW w:w="879" w:type="dxa"/>
          </w:tcPr>
          <w:p w14:paraId="55F977C2" w14:textId="77777777" w:rsidR="00341FAE" w:rsidRPr="00FE36FB" w:rsidRDefault="00341FAE" w:rsidP="00443763">
            <w:pPr>
              <w:spacing w:line="240" w:lineRule="auto"/>
              <w:jc w:val="right"/>
              <w:rPr>
                <w:sz w:val="22"/>
                <w:szCs w:val="22"/>
              </w:rPr>
            </w:pPr>
            <w:r w:rsidRPr="001431B1">
              <w:t>20.7</w:t>
            </w:r>
          </w:p>
        </w:tc>
        <w:tc>
          <w:tcPr>
            <w:tcW w:w="880" w:type="dxa"/>
          </w:tcPr>
          <w:p w14:paraId="5E7424D7" w14:textId="77777777" w:rsidR="00341FAE" w:rsidRPr="00FE36FB" w:rsidRDefault="00341FAE" w:rsidP="00443763">
            <w:pPr>
              <w:spacing w:line="240" w:lineRule="auto"/>
              <w:jc w:val="right"/>
              <w:rPr>
                <w:sz w:val="22"/>
                <w:szCs w:val="22"/>
              </w:rPr>
            </w:pPr>
            <w:r w:rsidRPr="001431B1">
              <w:t>24.1</w:t>
            </w:r>
          </w:p>
        </w:tc>
        <w:tc>
          <w:tcPr>
            <w:tcW w:w="879" w:type="dxa"/>
          </w:tcPr>
          <w:p w14:paraId="28B6445E" w14:textId="77777777" w:rsidR="00341FAE" w:rsidRPr="00FE36FB" w:rsidRDefault="00341FAE" w:rsidP="00443763">
            <w:pPr>
              <w:spacing w:line="240" w:lineRule="auto"/>
              <w:jc w:val="right"/>
              <w:rPr>
                <w:sz w:val="22"/>
                <w:szCs w:val="22"/>
              </w:rPr>
            </w:pPr>
            <w:r w:rsidRPr="001431B1">
              <w:t>24.1</w:t>
            </w:r>
          </w:p>
        </w:tc>
        <w:tc>
          <w:tcPr>
            <w:tcW w:w="880" w:type="dxa"/>
          </w:tcPr>
          <w:p w14:paraId="73699214" w14:textId="77777777" w:rsidR="00341FAE" w:rsidRPr="00FE36FB" w:rsidRDefault="00341FAE" w:rsidP="00443763">
            <w:pPr>
              <w:spacing w:line="240" w:lineRule="auto"/>
              <w:jc w:val="right"/>
              <w:rPr>
                <w:sz w:val="22"/>
                <w:szCs w:val="22"/>
              </w:rPr>
            </w:pPr>
            <w:r w:rsidRPr="001431B1">
              <w:t>13.8</w:t>
            </w:r>
          </w:p>
        </w:tc>
        <w:tc>
          <w:tcPr>
            <w:tcW w:w="879" w:type="dxa"/>
          </w:tcPr>
          <w:p w14:paraId="3415F17E" w14:textId="77777777" w:rsidR="00341FAE" w:rsidRPr="00FE36FB" w:rsidRDefault="00341FAE" w:rsidP="00443763">
            <w:pPr>
              <w:spacing w:line="240" w:lineRule="auto"/>
              <w:jc w:val="right"/>
              <w:rPr>
                <w:sz w:val="22"/>
                <w:szCs w:val="22"/>
              </w:rPr>
            </w:pPr>
            <w:r w:rsidRPr="001431B1">
              <w:t>3.4</w:t>
            </w:r>
          </w:p>
        </w:tc>
        <w:tc>
          <w:tcPr>
            <w:tcW w:w="880" w:type="dxa"/>
          </w:tcPr>
          <w:p w14:paraId="48DE3BB9" w14:textId="77777777" w:rsidR="00341FAE" w:rsidRPr="00FE36FB" w:rsidRDefault="00341FAE" w:rsidP="00443763">
            <w:pPr>
              <w:spacing w:line="240" w:lineRule="auto"/>
              <w:jc w:val="right"/>
              <w:rPr>
                <w:sz w:val="22"/>
                <w:szCs w:val="22"/>
              </w:rPr>
            </w:pPr>
            <w:r w:rsidRPr="001431B1">
              <w:t>3.4</w:t>
            </w:r>
          </w:p>
        </w:tc>
      </w:tr>
      <w:tr w:rsidR="00341FAE" w:rsidRPr="00FE36FB" w14:paraId="40772D0C" w14:textId="77777777" w:rsidTr="00443763">
        <w:tc>
          <w:tcPr>
            <w:tcW w:w="7792" w:type="dxa"/>
          </w:tcPr>
          <w:p w14:paraId="4ECB53F3" w14:textId="77777777" w:rsidR="00341FAE" w:rsidRPr="00FE36FB" w:rsidRDefault="00341FAE" w:rsidP="00443763">
            <w:pPr>
              <w:spacing w:line="240" w:lineRule="auto"/>
              <w:jc w:val="both"/>
              <w:rPr>
                <w:sz w:val="22"/>
                <w:szCs w:val="22"/>
              </w:rPr>
            </w:pPr>
            <w:r w:rsidRPr="001431B1">
              <w:t>Gambling and addictions services often overlook the complex interplay of addiction and intimate relationships.</w:t>
            </w:r>
          </w:p>
        </w:tc>
        <w:tc>
          <w:tcPr>
            <w:tcW w:w="879" w:type="dxa"/>
          </w:tcPr>
          <w:p w14:paraId="69606BCA" w14:textId="77777777" w:rsidR="00341FAE" w:rsidRPr="00FE36FB" w:rsidRDefault="00341FAE" w:rsidP="00443763">
            <w:pPr>
              <w:spacing w:line="240" w:lineRule="auto"/>
              <w:jc w:val="right"/>
              <w:rPr>
                <w:sz w:val="22"/>
                <w:szCs w:val="22"/>
              </w:rPr>
            </w:pPr>
            <w:r w:rsidRPr="001431B1">
              <w:t>24.1</w:t>
            </w:r>
          </w:p>
        </w:tc>
        <w:tc>
          <w:tcPr>
            <w:tcW w:w="879" w:type="dxa"/>
          </w:tcPr>
          <w:p w14:paraId="33140E68" w14:textId="77777777" w:rsidR="00341FAE" w:rsidRPr="00FE36FB" w:rsidRDefault="00341FAE" w:rsidP="00443763">
            <w:pPr>
              <w:spacing w:line="240" w:lineRule="auto"/>
              <w:jc w:val="right"/>
              <w:rPr>
                <w:sz w:val="22"/>
                <w:szCs w:val="22"/>
              </w:rPr>
            </w:pPr>
            <w:r w:rsidRPr="001431B1">
              <w:t>27.6</w:t>
            </w:r>
          </w:p>
        </w:tc>
        <w:tc>
          <w:tcPr>
            <w:tcW w:w="880" w:type="dxa"/>
          </w:tcPr>
          <w:p w14:paraId="23798672" w14:textId="77777777" w:rsidR="00341FAE" w:rsidRPr="00FE36FB" w:rsidRDefault="00341FAE" w:rsidP="00443763">
            <w:pPr>
              <w:spacing w:line="240" w:lineRule="auto"/>
              <w:jc w:val="right"/>
              <w:rPr>
                <w:sz w:val="22"/>
                <w:szCs w:val="22"/>
              </w:rPr>
            </w:pPr>
            <w:r w:rsidRPr="001431B1">
              <w:t>6.9</w:t>
            </w:r>
          </w:p>
        </w:tc>
        <w:tc>
          <w:tcPr>
            <w:tcW w:w="879" w:type="dxa"/>
          </w:tcPr>
          <w:p w14:paraId="08279504" w14:textId="77777777" w:rsidR="00341FAE" w:rsidRPr="00FE36FB" w:rsidRDefault="00341FAE" w:rsidP="00443763">
            <w:pPr>
              <w:spacing w:line="240" w:lineRule="auto"/>
              <w:jc w:val="right"/>
              <w:rPr>
                <w:sz w:val="22"/>
                <w:szCs w:val="22"/>
              </w:rPr>
            </w:pPr>
            <w:r w:rsidRPr="001431B1">
              <w:t>24.1</w:t>
            </w:r>
          </w:p>
        </w:tc>
        <w:tc>
          <w:tcPr>
            <w:tcW w:w="880" w:type="dxa"/>
          </w:tcPr>
          <w:p w14:paraId="718C6682" w14:textId="77777777" w:rsidR="00341FAE" w:rsidRPr="00FE36FB" w:rsidRDefault="00341FAE" w:rsidP="00443763">
            <w:pPr>
              <w:spacing w:line="240" w:lineRule="auto"/>
              <w:jc w:val="right"/>
              <w:rPr>
                <w:sz w:val="22"/>
                <w:szCs w:val="22"/>
              </w:rPr>
            </w:pPr>
            <w:r w:rsidRPr="001431B1">
              <w:t>10.3</w:t>
            </w:r>
          </w:p>
        </w:tc>
        <w:tc>
          <w:tcPr>
            <w:tcW w:w="879" w:type="dxa"/>
          </w:tcPr>
          <w:p w14:paraId="324581F0" w14:textId="77777777" w:rsidR="00341FAE" w:rsidRPr="00FE36FB" w:rsidRDefault="00341FAE" w:rsidP="00443763">
            <w:pPr>
              <w:spacing w:line="240" w:lineRule="auto"/>
              <w:jc w:val="right"/>
              <w:rPr>
                <w:sz w:val="22"/>
                <w:szCs w:val="22"/>
              </w:rPr>
            </w:pPr>
            <w:r w:rsidRPr="001431B1">
              <w:t>3.4</w:t>
            </w:r>
          </w:p>
        </w:tc>
        <w:tc>
          <w:tcPr>
            <w:tcW w:w="880" w:type="dxa"/>
          </w:tcPr>
          <w:p w14:paraId="2F969FA4" w14:textId="77777777" w:rsidR="00341FAE" w:rsidRPr="00FE36FB" w:rsidRDefault="00341FAE" w:rsidP="00443763">
            <w:pPr>
              <w:spacing w:line="240" w:lineRule="auto"/>
              <w:jc w:val="right"/>
              <w:rPr>
                <w:sz w:val="22"/>
                <w:szCs w:val="22"/>
              </w:rPr>
            </w:pPr>
            <w:r w:rsidRPr="001431B1">
              <w:t>3.4</w:t>
            </w:r>
          </w:p>
        </w:tc>
      </w:tr>
      <w:tr w:rsidR="00341FAE" w:rsidRPr="00FE36FB" w14:paraId="57468F87" w14:textId="77777777" w:rsidTr="00443763">
        <w:tc>
          <w:tcPr>
            <w:tcW w:w="7792" w:type="dxa"/>
          </w:tcPr>
          <w:p w14:paraId="3707F05D" w14:textId="77777777" w:rsidR="00341FAE" w:rsidRPr="00FE36FB" w:rsidRDefault="00341FAE" w:rsidP="00443763">
            <w:pPr>
              <w:spacing w:line="240" w:lineRule="auto"/>
              <w:jc w:val="both"/>
              <w:rPr>
                <w:sz w:val="22"/>
                <w:szCs w:val="22"/>
              </w:rPr>
            </w:pPr>
            <w:r w:rsidRPr="001431B1">
              <w:t>FAOs know best how to address harms within their communities.</w:t>
            </w:r>
          </w:p>
        </w:tc>
        <w:tc>
          <w:tcPr>
            <w:tcW w:w="879" w:type="dxa"/>
          </w:tcPr>
          <w:p w14:paraId="469CF2CE" w14:textId="77777777" w:rsidR="00341FAE" w:rsidRPr="00FE36FB" w:rsidRDefault="00341FAE" w:rsidP="00443763">
            <w:pPr>
              <w:spacing w:line="240" w:lineRule="auto"/>
              <w:jc w:val="right"/>
              <w:rPr>
                <w:sz w:val="22"/>
                <w:szCs w:val="22"/>
              </w:rPr>
            </w:pPr>
            <w:r w:rsidRPr="001431B1">
              <w:t>20.7</w:t>
            </w:r>
          </w:p>
        </w:tc>
        <w:tc>
          <w:tcPr>
            <w:tcW w:w="879" w:type="dxa"/>
          </w:tcPr>
          <w:p w14:paraId="0E1BAC92" w14:textId="77777777" w:rsidR="00341FAE" w:rsidRPr="00FE36FB" w:rsidRDefault="00341FAE" w:rsidP="00443763">
            <w:pPr>
              <w:spacing w:line="240" w:lineRule="auto"/>
              <w:jc w:val="right"/>
              <w:rPr>
                <w:sz w:val="22"/>
                <w:szCs w:val="22"/>
              </w:rPr>
            </w:pPr>
            <w:r w:rsidRPr="001431B1">
              <w:t>13.8</w:t>
            </w:r>
          </w:p>
        </w:tc>
        <w:tc>
          <w:tcPr>
            <w:tcW w:w="880" w:type="dxa"/>
          </w:tcPr>
          <w:p w14:paraId="56B80773" w14:textId="77777777" w:rsidR="00341FAE" w:rsidRPr="00FE36FB" w:rsidRDefault="00341FAE" w:rsidP="00443763">
            <w:pPr>
              <w:spacing w:line="240" w:lineRule="auto"/>
              <w:jc w:val="right"/>
              <w:rPr>
                <w:sz w:val="22"/>
                <w:szCs w:val="22"/>
              </w:rPr>
            </w:pPr>
            <w:r w:rsidRPr="001431B1">
              <w:t>27.6</w:t>
            </w:r>
          </w:p>
        </w:tc>
        <w:tc>
          <w:tcPr>
            <w:tcW w:w="879" w:type="dxa"/>
          </w:tcPr>
          <w:p w14:paraId="6D029945" w14:textId="77777777" w:rsidR="00341FAE" w:rsidRPr="00FE36FB" w:rsidRDefault="00341FAE" w:rsidP="00443763">
            <w:pPr>
              <w:spacing w:line="240" w:lineRule="auto"/>
              <w:jc w:val="right"/>
              <w:rPr>
                <w:sz w:val="22"/>
                <w:szCs w:val="22"/>
              </w:rPr>
            </w:pPr>
            <w:r w:rsidRPr="001431B1">
              <w:t>20.7</w:t>
            </w:r>
          </w:p>
        </w:tc>
        <w:tc>
          <w:tcPr>
            <w:tcW w:w="880" w:type="dxa"/>
          </w:tcPr>
          <w:p w14:paraId="17BEEBBF" w14:textId="77777777" w:rsidR="00341FAE" w:rsidRPr="00FE36FB" w:rsidRDefault="00341FAE" w:rsidP="00443763">
            <w:pPr>
              <w:spacing w:line="240" w:lineRule="auto"/>
              <w:jc w:val="right"/>
              <w:rPr>
                <w:sz w:val="22"/>
                <w:szCs w:val="22"/>
              </w:rPr>
            </w:pPr>
            <w:r w:rsidRPr="001431B1">
              <w:t>13.8</w:t>
            </w:r>
          </w:p>
        </w:tc>
        <w:tc>
          <w:tcPr>
            <w:tcW w:w="879" w:type="dxa"/>
          </w:tcPr>
          <w:p w14:paraId="1266C5A6" w14:textId="77777777" w:rsidR="00341FAE" w:rsidRPr="00FE36FB" w:rsidRDefault="00341FAE" w:rsidP="00443763">
            <w:pPr>
              <w:spacing w:line="240" w:lineRule="auto"/>
              <w:jc w:val="right"/>
              <w:rPr>
                <w:sz w:val="22"/>
                <w:szCs w:val="22"/>
              </w:rPr>
            </w:pPr>
            <w:r w:rsidRPr="001431B1">
              <w:t>0.0</w:t>
            </w:r>
          </w:p>
        </w:tc>
        <w:tc>
          <w:tcPr>
            <w:tcW w:w="880" w:type="dxa"/>
          </w:tcPr>
          <w:p w14:paraId="0BB91AD2" w14:textId="77777777" w:rsidR="00341FAE" w:rsidRPr="00FE36FB" w:rsidRDefault="00341FAE" w:rsidP="00443763">
            <w:pPr>
              <w:spacing w:line="240" w:lineRule="auto"/>
              <w:jc w:val="right"/>
              <w:rPr>
                <w:sz w:val="22"/>
                <w:szCs w:val="22"/>
              </w:rPr>
            </w:pPr>
            <w:r w:rsidRPr="001431B1">
              <w:t>3.4</w:t>
            </w:r>
          </w:p>
        </w:tc>
      </w:tr>
      <w:tr w:rsidR="00341FAE" w:rsidRPr="00FE36FB" w14:paraId="6130D26B" w14:textId="77777777" w:rsidTr="00443763">
        <w:tc>
          <w:tcPr>
            <w:tcW w:w="7792" w:type="dxa"/>
          </w:tcPr>
          <w:p w14:paraId="48FD1272" w14:textId="77777777" w:rsidR="00341FAE" w:rsidRPr="00FE36FB" w:rsidRDefault="00341FAE" w:rsidP="00443763">
            <w:pPr>
              <w:spacing w:line="240" w:lineRule="auto"/>
              <w:jc w:val="both"/>
              <w:rPr>
                <w:sz w:val="22"/>
                <w:szCs w:val="22"/>
              </w:rPr>
            </w:pPr>
            <w:r w:rsidRPr="001431B1">
              <w:t>Treating FAOs as contributing to the gambling problem can marginalise them and discourage their service use.</w:t>
            </w:r>
          </w:p>
        </w:tc>
        <w:tc>
          <w:tcPr>
            <w:tcW w:w="879" w:type="dxa"/>
          </w:tcPr>
          <w:p w14:paraId="2FB9888A" w14:textId="77777777" w:rsidR="00341FAE" w:rsidRPr="00FE36FB" w:rsidRDefault="00341FAE" w:rsidP="00443763">
            <w:pPr>
              <w:spacing w:line="240" w:lineRule="auto"/>
              <w:jc w:val="right"/>
              <w:rPr>
                <w:sz w:val="22"/>
                <w:szCs w:val="22"/>
              </w:rPr>
            </w:pPr>
            <w:r w:rsidRPr="001431B1">
              <w:t>34.5</w:t>
            </w:r>
          </w:p>
        </w:tc>
        <w:tc>
          <w:tcPr>
            <w:tcW w:w="879" w:type="dxa"/>
          </w:tcPr>
          <w:p w14:paraId="7BB7E9E6" w14:textId="77777777" w:rsidR="00341FAE" w:rsidRPr="00FE36FB" w:rsidRDefault="00341FAE" w:rsidP="00443763">
            <w:pPr>
              <w:spacing w:line="240" w:lineRule="auto"/>
              <w:jc w:val="right"/>
              <w:rPr>
                <w:sz w:val="22"/>
                <w:szCs w:val="22"/>
              </w:rPr>
            </w:pPr>
            <w:r w:rsidRPr="001431B1">
              <w:t>27.6</w:t>
            </w:r>
          </w:p>
        </w:tc>
        <w:tc>
          <w:tcPr>
            <w:tcW w:w="880" w:type="dxa"/>
          </w:tcPr>
          <w:p w14:paraId="59951F9A" w14:textId="77777777" w:rsidR="00341FAE" w:rsidRPr="00FE36FB" w:rsidRDefault="00341FAE" w:rsidP="00443763">
            <w:pPr>
              <w:spacing w:line="240" w:lineRule="auto"/>
              <w:jc w:val="right"/>
              <w:rPr>
                <w:sz w:val="22"/>
                <w:szCs w:val="22"/>
              </w:rPr>
            </w:pPr>
            <w:r w:rsidRPr="001431B1">
              <w:t>6.9</w:t>
            </w:r>
          </w:p>
        </w:tc>
        <w:tc>
          <w:tcPr>
            <w:tcW w:w="879" w:type="dxa"/>
          </w:tcPr>
          <w:p w14:paraId="48EA4B4F" w14:textId="77777777" w:rsidR="00341FAE" w:rsidRPr="00FE36FB" w:rsidRDefault="00341FAE" w:rsidP="00443763">
            <w:pPr>
              <w:spacing w:line="240" w:lineRule="auto"/>
              <w:jc w:val="right"/>
              <w:rPr>
                <w:sz w:val="22"/>
                <w:szCs w:val="22"/>
              </w:rPr>
            </w:pPr>
            <w:r w:rsidRPr="001431B1">
              <w:t>17.2</w:t>
            </w:r>
          </w:p>
        </w:tc>
        <w:tc>
          <w:tcPr>
            <w:tcW w:w="880" w:type="dxa"/>
          </w:tcPr>
          <w:p w14:paraId="5F57F2E9" w14:textId="77777777" w:rsidR="00341FAE" w:rsidRPr="00FE36FB" w:rsidRDefault="00341FAE" w:rsidP="00443763">
            <w:pPr>
              <w:spacing w:line="240" w:lineRule="auto"/>
              <w:jc w:val="right"/>
              <w:rPr>
                <w:sz w:val="22"/>
                <w:szCs w:val="22"/>
              </w:rPr>
            </w:pPr>
            <w:r w:rsidRPr="001431B1">
              <w:t>6.9</w:t>
            </w:r>
          </w:p>
        </w:tc>
        <w:tc>
          <w:tcPr>
            <w:tcW w:w="879" w:type="dxa"/>
          </w:tcPr>
          <w:p w14:paraId="4C0EACFC" w14:textId="77777777" w:rsidR="00341FAE" w:rsidRPr="00FE36FB" w:rsidRDefault="00341FAE" w:rsidP="00443763">
            <w:pPr>
              <w:spacing w:line="240" w:lineRule="auto"/>
              <w:jc w:val="right"/>
              <w:rPr>
                <w:sz w:val="22"/>
                <w:szCs w:val="22"/>
              </w:rPr>
            </w:pPr>
            <w:r w:rsidRPr="001431B1">
              <w:t>3.4</w:t>
            </w:r>
          </w:p>
        </w:tc>
        <w:tc>
          <w:tcPr>
            <w:tcW w:w="880" w:type="dxa"/>
          </w:tcPr>
          <w:p w14:paraId="6A0F1F4E" w14:textId="77777777" w:rsidR="00341FAE" w:rsidRPr="00FE36FB" w:rsidRDefault="00341FAE" w:rsidP="00443763">
            <w:pPr>
              <w:spacing w:line="240" w:lineRule="auto"/>
              <w:jc w:val="right"/>
              <w:rPr>
                <w:sz w:val="22"/>
                <w:szCs w:val="22"/>
              </w:rPr>
            </w:pPr>
            <w:r w:rsidRPr="001431B1">
              <w:t>3.4</w:t>
            </w:r>
          </w:p>
        </w:tc>
      </w:tr>
      <w:tr w:rsidR="00341FAE" w:rsidRPr="00FE36FB" w14:paraId="2931DC2B" w14:textId="77777777" w:rsidTr="00443763">
        <w:tc>
          <w:tcPr>
            <w:tcW w:w="7792" w:type="dxa"/>
          </w:tcPr>
          <w:p w14:paraId="29053FF8" w14:textId="77777777" w:rsidR="00341FAE" w:rsidRPr="00FE36FB" w:rsidRDefault="00341FAE" w:rsidP="00443763">
            <w:pPr>
              <w:spacing w:line="240" w:lineRule="auto"/>
              <w:jc w:val="both"/>
              <w:rPr>
                <w:sz w:val="22"/>
                <w:szCs w:val="22"/>
              </w:rPr>
            </w:pPr>
            <w:r w:rsidRPr="001431B1">
              <w:t>All gambling harm interventions should involve wider family/whānau</w:t>
            </w:r>
          </w:p>
        </w:tc>
        <w:tc>
          <w:tcPr>
            <w:tcW w:w="879" w:type="dxa"/>
          </w:tcPr>
          <w:p w14:paraId="4973D28D" w14:textId="77777777" w:rsidR="00341FAE" w:rsidRPr="00FE36FB" w:rsidRDefault="00341FAE" w:rsidP="00443763">
            <w:pPr>
              <w:spacing w:line="240" w:lineRule="auto"/>
              <w:jc w:val="right"/>
              <w:rPr>
                <w:sz w:val="22"/>
                <w:szCs w:val="22"/>
              </w:rPr>
            </w:pPr>
            <w:r w:rsidRPr="001431B1">
              <w:t>24.1</w:t>
            </w:r>
          </w:p>
        </w:tc>
        <w:tc>
          <w:tcPr>
            <w:tcW w:w="879" w:type="dxa"/>
          </w:tcPr>
          <w:p w14:paraId="7B6153AB" w14:textId="77777777" w:rsidR="00341FAE" w:rsidRPr="00FE36FB" w:rsidRDefault="00341FAE" w:rsidP="00443763">
            <w:pPr>
              <w:spacing w:line="240" w:lineRule="auto"/>
              <w:jc w:val="right"/>
              <w:rPr>
                <w:sz w:val="22"/>
                <w:szCs w:val="22"/>
              </w:rPr>
            </w:pPr>
            <w:r w:rsidRPr="001431B1">
              <w:t>27.6</w:t>
            </w:r>
          </w:p>
        </w:tc>
        <w:tc>
          <w:tcPr>
            <w:tcW w:w="880" w:type="dxa"/>
          </w:tcPr>
          <w:p w14:paraId="5FD3CF44" w14:textId="77777777" w:rsidR="00341FAE" w:rsidRPr="00FE36FB" w:rsidRDefault="00341FAE" w:rsidP="00443763">
            <w:pPr>
              <w:spacing w:line="240" w:lineRule="auto"/>
              <w:jc w:val="right"/>
              <w:rPr>
                <w:sz w:val="22"/>
                <w:szCs w:val="22"/>
              </w:rPr>
            </w:pPr>
            <w:r w:rsidRPr="001431B1">
              <w:t>24.1</w:t>
            </w:r>
          </w:p>
        </w:tc>
        <w:tc>
          <w:tcPr>
            <w:tcW w:w="879" w:type="dxa"/>
          </w:tcPr>
          <w:p w14:paraId="5BC33F30" w14:textId="77777777" w:rsidR="00341FAE" w:rsidRPr="00FE36FB" w:rsidRDefault="00341FAE" w:rsidP="00443763">
            <w:pPr>
              <w:spacing w:line="240" w:lineRule="auto"/>
              <w:jc w:val="right"/>
              <w:rPr>
                <w:sz w:val="22"/>
                <w:szCs w:val="22"/>
              </w:rPr>
            </w:pPr>
            <w:r w:rsidRPr="001431B1">
              <w:t>17.2</w:t>
            </w:r>
          </w:p>
        </w:tc>
        <w:tc>
          <w:tcPr>
            <w:tcW w:w="880" w:type="dxa"/>
          </w:tcPr>
          <w:p w14:paraId="6C5C0C52" w14:textId="77777777" w:rsidR="00341FAE" w:rsidRPr="00FE36FB" w:rsidRDefault="00341FAE" w:rsidP="00443763">
            <w:pPr>
              <w:spacing w:line="240" w:lineRule="auto"/>
              <w:jc w:val="right"/>
              <w:rPr>
                <w:sz w:val="22"/>
                <w:szCs w:val="22"/>
              </w:rPr>
            </w:pPr>
            <w:r w:rsidRPr="001431B1">
              <w:t>3.4</w:t>
            </w:r>
          </w:p>
        </w:tc>
        <w:tc>
          <w:tcPr>
            <w:tcW w:w="879" w:type="dxa"/>
          </w:tcPr>
          <w:p w14:paraId="2251979B" w14:textId="77777777" w:rsidR="00341FAE" w:rsidRPr="00FE36FB" w:rsidRDefault="00341FAE" w:rsidP="00443763">
            <w:pPr>
              <w:spacing w:line="240" w:lineRule="auto"/>
              <w:jc w:val="right"/>
              <w:rPr>
                <w:sz w:val="22"/>
                <w:szCs w:val="22"/>
              </w:rPr>
            </w:pPr>
            <w:r w:rsidRPr="001431B1">
              <w:t>3.4</w:t>
            </w:r>
          </w:p>
        </w:tc>
        <w:tc>
          <w:tcPr>
            <w:tcW w:w="880" w:type="dxa"/>
          </w:tcPr>
          <w:p w14:paraId="2F31EBDA" w14:textId="77777777" w:rsidR="00341FAE" w:rsidRPr="00FE36FB" w:rsidRDefault="00341FAE" w:rsidP="00443763">
            <w:pPr>
              <w:spacing w:line="240" w:lineRule="auto"/>
              <w:jc w:val="right"/>
              <w:rPr>
                <w:sz w:val="22"/>
                <w:szCs w:val="22"/>
              </w:rPr>
            </w:pPr>
            <w:r w:rsidRPr="001431B1">
              <w:t>0.0</w:t>
            </w:r>
          </w:p>
        </w:tc>
      </w:tr>
      <w:tr w:rsidR="00341FAE" w:rsidRPr="00FE36FB" w14:paraId="0D28775C" w14:textId="77777777" w:rsidTr="00443763">
        <w:tc>
          <w:tcPr>
            <w:tcW w:w="7792" w:type="dxa"/>
          </w:tcPr>
          <w:p w14:paraId="78D82C84" w14:textId="77777777" w:rsidR="00341FAE" w:rsidRPr="00FE36FB" w:rsidRDefault="00341FAE" w:rsidP="00443763">
            <w:pPr>
              <w:spacing w:line="240" w:lineRule="auto"/>
              <w:jc w:val="both"/>
              <w:rPr>
                <w:sz w:val="22"/>
                <w:szCs w:val="22"/>
              </w:rPr>
            </w:pPr>
            <w:r w:rsidRPr="001431B1">
              <w:t>Improving family relationships will improve the outcomes for the FAO.</w:t>
            </w:r>
          </w:p>
        </w:tc>
        <w:tc>
          <w:tcPr>
            <w:tcW w:w="879" w:type="dxa"/>
          </w:tcPr>
          <w:p w14:paraId="1830CE6C" w14:textId="77777777" w:rsidR="00341FAE" w:rsidRPr="00FE36FB" w:rsidRDefault="00341FAE" w:rsidP="00443763">
            <w:pPr>
              <w:spacing w:line="240" w:lineRule="auto"/>
              <w:jc w:val="right"/>
              <w:rPr>
                <w:sz w:val="22"/>
                <w:szCs w:val="22"/>
              </w:rPr>
            </w:pPr>
            <w:r w:rsidRPr="001431B1">
              <w:t>20.7</w:t>
            </w:r>
          </w:p>
        </w:tc>
        <w:tc>
          <w:tcPr>
            <w:tcW w:w="879" w:type="dxa"/>
          </w:tcPr>
          <w:p w14:paraId="236BD27D" w14:textId="77777777" w:rsidR="00341FAE" w:rsidRPr="00FE36FB" w:rsidRDefault="00341FAE" w:rsidP="00443763">
            <w:pPr>
              <w:spacing w:line="240" w:lineRule="auto"/>
              <w:jc w:val="right"/>
              <w:rPr>
                <w:sz w:val="22"/>
                <w:szCs w:val="22"/>
              </w:rPr>
            </w:pPr>
            <w:r w:rsidRPr="001431B1">
              <w:t>27.6</w:t>
            </w:r>
          </w:p>
        </w:tc>
        <w:tc>
          <w:tcPr>
            <w:tcW w:w="880" w:type="dxa"/>
          </w:tcPr>
          <w:p w14:paraId="7A76C34C" w14:textId="77777777" w:rsidR="00341FAE" w:rsidRPr="00FE36FB" w:rsidRDefault="00341FAE" w:rsidP="00443763">
            <w:pPr>
              <w:spacing w:line="240" w:lineRule="auto"/>
              <w:jc w:val="right"/>
              <w:rPr>
                <w:sz w:val="22"/>
                <w:szCs w:val="22"/>
              </w:rPr>
            </w:pPr>
            <w:r w:rsidRPr="001431B1">
              <w:t>31.0</w:t>
            </w:r>
          </w:p>
        </w:tc>
        <w:tc>
          <w:tcPr>
            <w:tcW w:w="879" w:type="dxa"/>
          </w:tcPr>
          <w:p w14:paraId="392F3C29" w14:textId="77777777" w:rsidR="00341FAE" w:rsidRPr="00FE36FB" w:rsidRDefault="00341FAE" w:rsidP="00443763">
            <w:pPr>
              <w:spacing w:line="240" w:lineRule="auto"/>
              <w:jc w:val="right"/>
              <w:rPr>
                <w:sz w:val="22"/>
                <w:szCs w:val="22"/>
              </w:rPr>
            </w:pPr>
            <w:r w:rsidRPr="001431B1">
              <w:t>17.2</w:t>
            </w:r>
          </w:p>
        </w:tc>
        <w:tc>
          <w:tcPr>
            <w:tcW w:w="880" w:type="dxa"/>
          </w:tcPr>
          <w:p w14:paraId="6423CCFB" w14:textId="77777777" w:rsidR="00341FAE" w:rsidRPr="00FE36FB" w:rsidRDefault="00341FAE" w:rsidP="00443763">
            <w:pPr>
              <w:spacing w:line="240" w:lineRule="auto"/>
              <w:jc w:val="right"/>
              <w:rPr>
                <w:sz w:val="22"/>
                <w:szCs w:val="22"/>
              </w:rPr>
            </w:pPr>
            <w:r w:rsidRPr="001431B1">
              <w:t>0.0</w:t>
            </w:r>
          </w:p>
        </w:tc>
        <w:tc>
          <w:tcPr>
            <w:tcW w:w="879" w:type="dxa"/>
          </w:tcPr>
          <w:p w14:paraId="4C7B9C17" w14:textId="77777777" w:rsidR="00341FAE" w:rsidRPr="00FE36FB" w:rsidRDefault="00341FAE" w:rsidP="00443763">
            <w:pPr>
              <w:spacing w:line="240" w:lineRule="auto"/>
              <w:jc w:val="right"/>
              <w:rPr>
                <w:sz w:val="22"/>
                <w:szCs w:val="22"/>
              </w:rPr>
            </w:pPr>
            <w:r w:rsidRPr="001431B1">
              <w:t>3.4</w:t>
            </w:r>
          </w:p>
        </w:tc>
        <w:tc>
          <w:tcPr>
            <w:tcW w:w="880" w:type="dxa"/>
          </w:tcPr>
          <w:p w14:paraId="3D1FEF34" w14:textId="77777777" w:rsidR="00341FAE" w:rsidRPr="00FE36FB" w:rsidRDefault="00341FAE" w:rsidP="00443763">
            <w:pPr>
              <w:spacing w:line="240" w:lineRule="auto"/>
              <w:jc w:val="right"/>
              <w:rPr>
                <w:sz w:val="22"/>
                <w:szCs w:val="22"/>
              </w:rPr>
            </w:pPr>
            <w:r w:rsidRPr="001431B1">
              <w:t>0.0</w:t>
            </w:r>
          </w:p>
        </w:tc>
      </w:tr>
      <w:tr w:rsidR="00341FAE" w:rsidRPr="00FE36FB" w14:paraId="02F5D49D" w14:textId="77777777" w:rsidTr="00443763">
        <w:tc>
          <w:tcPr>
            <w:tcW w:w="7792" w:type="dxa"/>
          </w:tcPr>
          <w:p w14:paraId="6477B340" w14:textId="77777777" w:rsidR="00341FAE" w:rsidRPr="00FE36FB" w:rsidRDefault="00341FAE" w:rsidP="00443763">
            <w:pPr>
              <w:spacing w:line="240" w:lineRule="auto"/>
              <w:jc w:val="both"/>
              <w:rPr>
                <w:sz w:val="22"/>
                <w:szCs w:val="22"/>
              </w:rPr>
            </w:pPr>
            <w:r w:rsidRPr="001431B1">
              <w:t>Given the reluctance of many gamblers to seek help, influencing and engaging gamblers in treatment through FAOs is vital for harm reduction.</w:t>
            </w:r>
          </w:p>
        </w:tc>
        <w:tc>
          <w:tcPr>
            <w:tcW w:w="879" w:type="dxa"/>
          </w:tcPr>
          <w:p w14:paraId="5F248C3E" w14:textId="77777777" w:rsidR="00341FAE" w:rsidRPr="00FE36FB" w:rsidRDefault="00341FAE" w:rsidP="00443763">
            <w:pPr>
              <w:spacing w:line="240" w:lineRule="auto"/>
              <w:jc w:val="right"/>
              <w:rPr>
                <w:sz w:val="22"/>
                <w:szCs w:val="22"/>
              </w:rPr>
            </w:pPr>
            <w:r w:rsidRPr="001431B1">
              <w:t>17.2</w:t>
            </w:r>
          </w:p>
        </w:tc>
        <w:tc>
          <w:tcPr>
            <w:tcW w:w="879" w:type="dxa"/>
          </w:tcPr>
          <w:p w14:paraId="1825193E" w14:textId="77777777" w:rsidR="00341FAE" w:rsidRPr="00FE36FB" w:rsidRDefault="00341FAE" w:rsidP="00443763">
            <w:pPr>
              <w:spacing w:line="240" w:lineRule="auto"/>
              <w:jc w:val="right"/>
              <w:rPr>
                <w:sz w:val="22"/>
                <w:szCs w:val="22"/>
              </w:rPr>
            </w:pPr>
            <w:r w:rsidRPr="001431B1">
              <w:t>10.3</w:t>
            </w:r>
          </w:p>
        </w:tc>
        <w:tc>
          <w:tcPr>
            <w:tcW w:w="880" w:type="dxa"/>
          </w:tcPr>
          <w:p w14:paraId="62461685" w14:textId="77777777" w:rsidR="00341FAE" w:rsidRPr="00FE36FB" w:rsidRDefault="00341FAE" w:rsidP="00443763">
            <w:pPr>
              <w:spacing w:line="240" w:lineRule="auto"/>
              <w:jc w:val="right"/>
              <w:rPr>
                <w:sz w:val="22"/>
                <w:szCs w:val="22"/>
              </w:rPr>
            </w:pPr>
            <w:r w:rsidRPr="001431B1">
              <w:t>48.3</w:t>
            </w:r>
          </w:p>
        </w:tc>
        <w:tc>
          <w:tcPr>
            <w:tcW w:w="879" w:type="dxa"/>
          </w:tcPr>
          <w:p w14:paraId="35DAD298" w14:textId="77777777" w:rsidR="00341FAE" w:rsidRPr="00FE36FB" w:rsidRDefault="00341FAE" w:rsidP="00443763">
            <w:pPr>
              <w:spacing w:line="240" w:lineRule="auto"/>
              <w:jc w:val="right"/>
              <w:rPr>
                <w:sz w:val="22"/>
                <w:szCs w:val="22"/>
              </w:rPr>
            </w:pPr>
            <w:r w:rsidRPr="001431B1">
              <w:t>13.8</w:t>
            </w:r>
          </w:p>
        </w:tc>
        <w:tc>
          <w:tcPr>
            <w:tcW w:w="880" w:type="dxa"/>
          </w:tcPr>
          <w:p w14:paraId="26CDE8BD" w14:textId="77777777" w:rsidR="00341FAE" w:rsidRPr="00FE36FB" w:rsidRDefault="00341FAE" w:rsidP="00443763">
            <w:pPr>
              <w:spacing w:line="240" w:lineRule="auto"/>
              <w:jc w:val="right"/>
              <w:rPr>
                <w:sz w:val="22"/>
                <w:szCs w:val="22"/>
              </w:rPr>
            </w:pPr>
            <w:r w:rsidRPr="001431B1">
              <w:t>0.0</w:t>
            </w:r>
          </w:p>
        </w:tc>
        <w:tc>
          <w:tcPr>
            <w:tcW w:w="879" w:type="dxa"/>
          </w:tcPr>
          <w:p w14:paraId="44665421" w14:textId="77777777" w:rsidR="00341FAE" w:rsidRPr="00FE36FB" w:rsidRDefault="00341FAE" w:rsidP="00443763">
            <w:pPr>
              <w:spacing w:line="240" w:lineRule="auto"/>
              <w:jc w:val="right"/>
              <w:rPr>
                <w:sz w:val="22"/>
                <w:szCs w:val="22"/>
              </w:rPr>
            </w:pPr>
            <w:r w:rsidRPr="001431B1">
              <w:t>6.9</w:t>
            </w:r>
          </w:p>
        </w:tc>
        <w:tc>
          <w:tcPr>
            <w:tcW w:w="880" w:type="dxa"/>
          </w:tcPr>
          <w:p w14:paraId="24B65C0B" w14:textId="77777777" w:rsidR="00341FAE" w:rsidRPr="00FE36FB" w:rsidRDefault="00341FAE" w:rsidP="00443763">
            <w:pPr>
              <w:spacing w:line="240" w:lineRule="auto"/>
              <w:jc w:val="right"/>
              <w:rPr>
                <w:sz w:val="22"/>
                <w:szCs w:val="22"/>
              </w:rPr>
            </w:pPr>
            <w:r w:rsidRPr="001431B1">
              <w:t>3.4</w:t>
            </w:r>
          </w:p>
        </w:tc>
      </w:tr>
      <w:tr w:rsidR="00341FAE" w:rsidRPr="00FE36FB" w14:paraId="7DF0B069" w14:textId="77777777" w:rsidTr="00443763">
        <w:tc>
          <w:tcPr>
            <w:tcW w:w="7792" w:type="dxa"/>
          </w:tcPr>
          <w:p w14:paraId="2BEA2A82" w14:textId="77777777" w:rsidR="00341FAE" w:rsidRPr="00FE36FB" w:rsidRDefault="00341FAE" w:rsidP="00443763">
            <w:pPr>
              <w:spacing w:line="240" w:lineRule="auto"/>
              <w:jc w:val="both"/>
              <w:rPr>
                <w:sz w:val="22"/>
                <w:szCs w:val="22"/>
              </w:rPr>
            </w:pPr>
            <w:r w:rsidRPr="001431B1">
              <w:t>Stronger family relationships set the foundation for change in the gambler.</w:t>
            </w:r>
          </w:p>
        </w:tc>
        <w:tc>
          <w:tcPr>
            <w:tcW w:w="879" w:type="dxa"/>
          </w:tcPr>
          <w:p w14:paraId="516D7BCB" w14:textId="77777777" w:rsidR="00341FAE" w:rsidRPr="00FE36FB" w:rsidRDefault="00341FAE" w:rsidP="00443763">
            <w:pPr>
              <w:spacing w:line="240" w:lineRule="auto"/>
              <w:jc w:val="right"/>
              <w:rPr>
                <w:sz w:val="22"/>
                <w:szCs w:val="22"/>
              </w:rPr>
            </w:pPr>
            <w:r w:rsidRPr="001431B1">
              <w:t>13.8</w:t>
            </w:r>
          </w:p>
        </w:tc>
        <w:tc>
          <w:tcPr>
            <w:tcW w:w="879" w:type="dxa"/>
          </w:tcPr>
          <w:p w14:paraId="7032FEEC" w14:textId="77777777" w:rsidR="00341FAE" w:rsidRPr="00FE36FB" w:rsidRDefault="00341FAE" w:rsidP="00443763">
            <w:pPr>
              <w:spacing w:line="240" w:lineRule="auto"/>
              <w:jc w:val="right"/>
              <w:rPr>
                <w:sz w:val="22"/>
                <w:szCs w:val="22"/>
              </w:rPr>
            </w:pPr>
            <w:r w:rsidRPr="001431B1">
              <w:t>27.6</w:t>
            </w:r>
          </w:p>
        </w:tc>
        <w:tc>
          <w:tcPr>
            <w:tcW w:w="880" w:type="dxa"/>
          </w:tcPr>
          <w:p w14:paraId="6F6A9E51" w14:textId="77777777" w:rsidR="00341FAE" w:rsidRPr="00FE36FB" w:rsidRDefault="00341FAE" w:rsidP="00443763">
            <w:pPr>
              <w:spacing w:line="240" w:lineRule="auto"/>
              <w:jc w:val="right"/>
              <w:rPr>
                <w:sz w:val="22"/>
                <w:szCs w:val="22"/>
              </w:rPr>
            </w:pPr>
            <w:r w:rsidRPr="001431B1">
              <w:t>34.5</w:t>
            </w:r>
          </w:p>
        </w:tc>
        <w:tc>
          <w:tcPr>
            <w:tcW w:w="879" w:type="dxa"/>
          </w:tcPr>
          <w:p w14:paraId="6848698F" w14:textId="77777777" w:rsidR="00341FAE" w:rsidRPr="00FE36FB" w:rsidRDefault="00341FAE" w:rsidP="00443763">
            <w:pPr>
              <w:spacing w:line="240" w:lineRule="auto"/>
              <w:jc w:val="right"/>
              <w:rPr>
                <w:sz w:val="22"/>
                <w:szCs w:val="22"/>
              </w:rPr>
            </w:pPr>
            <w:r w:rsidRPr="001431B1">
              <w:t>13.8</w:t>
            </w:r>
          </w:p>
        </w:tc>
        <w:tc>
          <w:tcPr>
            <w:tcW w:w="880" w:type="dxa"/>
          </w:tcPr>
          <w:p w14:paraId="3D066E96" w14:textId="77777777" w:rsidR="00341FAE" w:rsidRPr="00FE36FB" w:rsidRDefault="00341FAE" w:rsidP="00443763">
            <w:pPr>
              <w:spacing w:line="240" w:lineRule="auto"/>
              <w:jc w:val="right"/>
              <w:rPr>
                <w:sz w:val="22"/>
                <w:szCs w:val="22"/>
              </w:rPr>
            </w:pPr>
            <w:r w:rsidRPr="001431B1">
              <w:t>6.9</w:t>
            </w:r>
          </w:p>
        </w:tc>
        <w:tc>
          <w:tcPr>
            <w:tcW w:w="879" w:type="dxa"/>
          </w:tcPr>
          <w:p w14:paraId="3ACD4FF4" w14:textId="77777777" w:rsidR="00341FAE" w:rsidRPr="00FE36FB" w:rsidRDefault="00341FAE" w:rsidP="00443763">
            <w:pPr>
              <w:spacing w:line="240" w:lineRule="auto"/>
              <w:jc w:val="right"/>
              <w:rPr>
                <w:sz w:val="22"/>
                <w:szCs w:val="22"/>
              </w:rPr>
            </w:pPr>
            <w:r w:rsidRPr="001431B1">
              <w:t>0.0</w:t>
            </w:r>
          </w:p>
        </w:tc>
        <w:tc>
          <w:tcPr>
            <w:tcW w:w="880" w:type="dxa"/>
          </w:tcPr>
          <w:p w14:paraId="718106D9" w14:textId="77777777" w:rsidR="00341FAE" w:rsidRPr="00FE36FB" w:rsidRDefault="00341FAE" w:rsidP="00443763">
            <w:pPr>
              <w:spacing w:line="240" w:lineRule="auto"/>
              <w:jc w:val="right"/>
              <w:rPr>
                <w:sz w:val="22"/>
                <w:szCs w:val="22"/>
              </w:rPr>
            </w:pPr>
            <w:r w:rsidRPr="001431B1">
              <w:t>3.4</w:t>
            </w:r>
          </w:p>
        </w:tc>
      </w:tr>
      <w:tr w:rsidR="00341FAE" w:rsidRPr="00FE36FB" w14:paraId="741E902B" w14:textId="77777777" w:rsidTr="00443763">
        <w:tc>
          <w:tcPr>
            <w:tcW w:w="7792" w:type="dxa"/>
          </w:tcPr>
          <w:p w14:paraId="15AC9678" w14:textId="77777777" w:rsidR="00341FAE" w:rsidRPr="00FE36FB" w:rsidRDefault="00341FAE" w:rsidP="00443763">
            <w:pPr>
              <w:spacing w:line="240" w:lineRule="auto"/>
              <w:jc w:val="both"/>
              <w:rPr>
                <w:sz w:val="22"/>
                <w:szCs w:val="22"/>
              </w:rPr>
            </w:pPr>
            <w:r w:rsidRPr="001431B1">
              <w:t>Couple therapy can improve communication style, self-esteem, and self-awareness so that gambling as a way of dealing with stress and distress in the family is no longer needed.</w:t>
            </w:r>
          </w:p>
        </w:tc>
        <w:tc>
          <w:tcPr>
            <w:tcW w:w="879" w:type="dxa"/>
          </w:tcPr>
          <w:p w14:paraId="191549D8" w14:textId="77777777" w:rsidR="00341FAE" w:rsidRPr="00FE36FB" w:rsidRDefault="00341FAE" w:rsidP="00443763">
            <w:pPr>
              <w:spacing w:line="240" w:lineRule="auto"/>
              <w:jc w:val="right"/>
              <w:rPr>
                <w:sz w:val="22"/>
                <w:szCs w:val="22"/>
              </w:rPr>
            </w:pPr>
            <w:r w:rsidRPr="001431B1">
              <w:t>3.4</w:t>
            </w:r>
          </w:p>
        </w:tc>
        <w:tc>
          <w:tcPr>
            <w:tcW w:w="879" w:type="dxa"/>
          </w:tcPr>
          <w:p w14:paraId="60BEAB8C" w14:textId="77777777" w:rsidR="00341FAE" w:rsidRPr="00FE36FB" w:rsidRDefault="00341FAE" w:rsidP="00443763">
            <w:pPr>
              <w:spacing w:line="240" w:lineRule="auto"/>
              <w:jc w:val="right"/>
              <w:rPr>
                <w:sz w:val="22"/>
                <w:szCs w:val="22"/>
              </w:rPr>
            </w:pPr>
            <w:r w:rsidRPr="001431B1">
              <w:t>31.0</w:t>
            </w:r>
          </w:p>
        </w:tc>
        <w:tc>
          <w:tcPr>
            <w:tcW w:w="880" w:type="dxa"/>
          </w:tcPr>
          <w:p w14:paraId="0DC81006" w14:textId="77777777" w:rsidR="00341FAE" w:rsidRPr="00FE36FB" w:rsidRDefault="00341FAE" w:rsidP="00443763">
            <w:pPr>
              <w:spacing w:line="240" w:lineRule="auto"/>
              <w:jc w:val="right"/>
              <w:rPr>
                <w:sz w:val="22"/>
                <w:szCs w:val="22"/>
              </w:rPr>
            </w:pPr>
            <w:r w:rsidRPr="001431B1">
              <w:t>44.8</w:t>
            </w:r>
          </w:p>
        </w:tc>
        <w:tc>
          <w:tcPr>
            <w:tcW w:w="879" w:type="dxa"/>
          </w:tcPr>
          <w:p w14:paraId="4F1B7AD0" w14:textId="77777777" w:rsidR="00341FAE" w:rsidRPr="00FE36FB" w:rsidRDefault="00341FAE" w:rsidP="00443763">
            <w:pPr>
              <w:spacing w:line="240" w:lineRule="auto"/>
              <w:jc w:val="right"/>
              <w:rPr>
                <w:sz w:val="22"/>
                <w:szCs w:val="22"/>
              </w:rPr>
            </w:pPr>
            <w:r w:rsidRPr="001431B1">
              <w:t>13.8</w:t>
            </w:r>
          </w:p>
        </w:tc>
        <w:tc>
          <w:tcPr>
            <w:tcW w:w="880" w:type="dxa"/>
          </w:tcPr>
          <w:p w14:paraId="6C436616" w14:textId="77777777" w:rsidR="00341FAE" w:rsidRPr="00FE36FB" w:rsidRDefault="00341FAE" w:rsidP="00443763">
            <w:pPr>
              <w:spacing w:line="240" w:lineRule="auto"/>
              <w:jc w:val="right"/>
              <w:rPr>
                <w:sz w:val="22"/>
                <w:szCs w:val="22"/>
              </w:rPr>
            </w:pPr>
            <w:r w:rsidRPr="001431B1">
              <w:t>6.9</w:t>
            </w:r>
          </w:p>
        </w:tc>
        <w:tc>
          <w:tcPr>
            <w:tcW w:w="879" w:type="dxa"/>
          </w:tcPr>
          <w:p w14:paraId="70B042BD" w14:textId="77777777" w:rsidR="00341FAE" w:rsidRPr="00FE36FB" w:rsidRDefault="00341FAE" w:rsidP="00443763">
            <w:pPr>
              <w:spacing w:line="240" w:lineRule="auto"/>
              <w:jc w:val="right"/>
              <w:rPr>
                <w:sz w:val="22"/>
                <w:szCs w:val="22"/>
              </w:rPr>
            </w:pPr>
            <w:r w:rsidRPr="001431B1">
              <w:t>0.0</w:t>
            </w:r>
          </w:p>
        </w:tc>
        <w:tc>
          <w:tcPr>
            <w:tcW w:w="880" w:type="dxa"/>
          </w:tcPr>
          <w:p w14:paraId="34FD4A77" w14:textId="77777777" w:rsidR="00341FAE" w:rsidRPr="00FE36FB" w:rsidRDefault="00341FAE" w:rsidP="00443763">
            <w:pPr>
              <w:spacing w:line="240" w:lineRule="auto"/>
              <w:jc w:val="right"/>
              <w:rPr>
                <w:sz w:val="22"/>
                <w:szCs w:val="22"/>
              </w:rPr>
            </w:pPr>
            <w:r w:rsidRPr="001431B1">
              <w:t>0.0</w:t>
            </w:r>
          </w:p>
        </w:tc>
      </w:tr>
    </w:tbl>
    <w:p w14:paraId="538DB2C3" w14:textId="77777777" w:rsidR="00341FAE" w:rsidRPr="00AD0040" w:rsidRDefault="00341FAE" w:rsidP="00341FAE">
      <w:pPr>
        <w:spacing w:line="259" w:lineRule="auto"/>
        <w:jc w:val="both"/>
      </w:pPr>
    </w:p>
    <w:p w14:paraId="7E0FC777" w14:textId="77777777" w:rsidR="00341FAE" w:rsidRDefault="00341FAE" w:rsidP="00341FAE">
      <w:pPr>
        <w:pStyle w:val="Heading1"/>
        <w:shd w:val="clear" w:color="auto" w:fill="auto"/>
        <w:sectPr w:rsidR="00341FAE" w:rsidSect="004860AE">
          <w:pgSz w:w="16838" w:h="11906" w:orient="landscape"/>
          <w:pgMar w:top="1440" w:right="1440" w:bottom="1440" w:left="1440" w:header="708" w:footer="708" w:gutter="0"/>
          <w:cols w:space="708"/>
          <w:docGrid w:linePitch="360"/>
        </w:sectPr>
      </w:pPr>
    </w:p>
    <w:p w14:paraId="3E641E43" w14:textId="77777777" w:rsidR="00341FAE" w:rsidRPr="006D461F" w:rsidRDefault="00341FAE" w:rsidP="00341FAE">
      <w:pPr>
        <w:rPr>
          <w:b/>
          <w:bCs/>
          <w:lang w:eastAsia="en-NZ"/>
        </w:rPr>
      </w:pPr>
      <w:r w:rsidRPr="006D461F">
        <w:rPr>
          <w:b/>
          <w:bCs/>
          <w:lang w:eastAsia="en-NZ"/>
        </w:rPr>
        <w:lastRenderedPageBreak/>
        <w:t xml:space="preserve">Knowledge gaps: Informing FAO support </w:t>
      </w:r>
    </w:p>
    <w:p w14:paraId="21E9B7E6" w14:textId="77777777" w:rsidR="00341FAE" w:rsidRPr="007503F6" w:rsidRDefault="00341FAE" w:rsidP="00341FAE">
      <w:pPr>
        <w:jc w:val="both"/>
      </w:pPr>
      <w:r>
        <w:t xml:space="preserve">Participants identified </w:t>
      </w:r>
      <w:r w:rsidRPr="007503F6">
        <w:t xml:space="preserve">three key gaps in knowledge needed to inform FAO support services and practices identified by the panel: (1) exploration of </w:t>
      </w:r>
      <w:r>
        <w:t xml:space="preserve">service-user and </w:t>
      </w:r>
      <w:r w:rsidRPr="007503F6">
        <w:t>practice-based knowledge, (2) research with diverse groups, and (3) research utilising diverse approaches.</w:t>
      </w:r>
    </w:p>
    <w:p w14:paraId="1E40B7F1" w14:textId="77777777" w:rsidR="00341FAE" w:rsidRPr="007503F6" w:rsidRDefault="00341FAE" w:rsidP="00341FAE">
      <w:pPr>
        <w:jc w:val="both"/>
      </w:pPr>
    </w:p>
    <w:p w14:paraId="33DD53AC" w14:textId="77777777" w:rsidR="00341FAE" w:rsidRPr="006D461F" w:rsidRDefault="00341FAE" w:rsidP="00341FAE">
      <w:pPr>
        <w:rPr>
          <w:b/>
          <w:bCs/>
          <w:i/>
          <w:iCs/>
        </w:rPr>
      </w:pPr>
      <w:bookmarkStart w:id="219" w:name="_Toc46492375"/>
      <w:r w:rsidRPr="006D461F">
        <w:rPr>
          <w:b/>
          <w:bCs/>
          <w:i/>
          <w:iCs/>
        </w:rPr>
        <w:t>Exploration of experiential and practice-based knowledge</w:t>
      </w:r>
      <w:bookmarkEnd w:id="219"/>
    </w:p>
    <w:p w14:paraId="4CDFAD06" w14:textId="77777777" w:rsidR="00341FAE" w:rsidRPr="007503F6" w:rsidRDefault="00341FAE" w:rsidP="00341FAE">
      <w:pPr>
        <w:jc w:val="both"/>
      </w:pPr>
      <w:r w:rsidRPr="007503F6">
        <w:t xml:space="preserve">A significant gap identified was the lack of practice-based knowledge reflected in the literature. The current evidence base for FAO support was described as emerging and theoretically informed (e.g. drawing </w:t>
      </w:r>
      <w:r>
        <w:t xml:space="preserve">largely </w:t>
      </w:r>
      <w:r w:rsidRPr="007503F6">
        <w:t>on cognitive behavioural and motivational understandings of behaviour change). Experiential and practice-based knowledge held by families from diverse backgrounds, and those involved in service design and provision was</w:t>
      </w:r>
      <w:r>
        <w:t xml:space="preserve"> </w:t>
      </w:r>
      <w:r w:rsidRPr="007503F6">
        <w:t xml:space="preserve">underexplored. </w:t>
      </w:r>
    </w:p>
    <w:p w14:paraId="3BFD9A38" w14:textId="77777777" w:rsidR="00341FAE" w:rsidRPr="007503F6" w:rsidRDefault="00341FAE" w:rsidP="00341FAE">
      <w:pPr>
        <w:jc w:val="both"/>
      </w:pPr>
    </w:p>
    <w:p w14:paraId="0B12246C" w14:textId="77777777" w:rsidR="00341FAE" w:rsidRPr="006D461F" w:rsidRDefault="00341FAE" w:rsidP="00341FAE">
      <w:pPr>
        <w:rPr>
          <w:b/>
          <w:bCs/>
          <w:i/>
          <w:iCs/>
        </w:rPr>
      </w:pPr>
      <w:bookmarkStart w:id="220" w:name="_Toc46492376"/>
      <w:r w:rsidRPr="006D461F">
        <w:rPr>
          <w:b/>
          <w:bCs/>
          <w:i/>
          <w:iCs/>
        </w:rPr>
        <w:t>Research with diverse groups</w:t>
      </w:r>
      <w:bookmarkEnd w:id="220"/>
    </w:p>
    <w:p w14:paraId="520C010D" w14:textId="77777777" w:rsidR="00341FAE" w:rsidRPr="007503F6" w:rsidRDefault="00341FAE" w:rsidP="00341FAE">
      <w:pPr>
        <w:jc w:val="both"/>
      </w:pPr>
      <w:r>
        <w:t>P</w:t>
      </w:r>
      <w:r w:rsidRPr="007503F6">
        <w:t>articipants identified a lack of engagement with men and diverse cultural groups</w:t>
      </w:r>
      <w:r>
        <w:t xml:space="preserve"> in the evidence base</w:t>
      </w:r>
      <w:r w:rsidRPr="007503F6">
        <w:t xml:space="preserve">. Exploring needs of different families and communities and consultation and engagement were seen to be important prerequisites for service development. This was followed by appropriate outcome studies and a culture of service learning and evaluation. It was consistently identified by panel members that there remains a paucity in research with the above focus; thus, it was difficult to quantitatively respond to questions on effectiveness and appropriateness of FAO support and intervention approaches. It was reported that some minority groups who experience social disadvantage, marginalisation and discrimination often expect research findings and published evidence to confirm society's negative views. As a result, it can be difficult to engage with these communities in research aimed at improving responsiveness and outcomes. Thus, it was made that clear that any research conducted with diverse ethnic groups, needed to be conducted appropriately, with clear cultural engagement, and led by appropriate researchers/principle investigators. </w:t>
      </w:r>
    </w:p>
    <w:p w14:paraId="319123F1" w14:textId="77777777" w:rsidR="00341FAE" w:rsidRPr="007503F6" w:rsidRDefault="00341FAE" w:rsidP="00341FAE">
      <w:pPr>
        <w:jc w:val="both"/>
      </w:pPr>
    </w:p>
    <w:p w14:paraId="281CB4B0" w14:textId="77777777" w:rsidR="00341FAE" w:rsidRPr="006D461F" w:rsidRDefault="00341FAE" w:rsidP="00341FAE">
      <w:pPr>
        <w:rPr>
          <w:b/>
          <w:bCs/>
          <w:i/>
          <w:iCs/>
        </w:rPr>
      </w:pPr>
      <w:bookmarkStart w:id="221" w:name="_Toc46492377"/>
      <w:r w:rsidRPr="006D461F">
        <w:rPr>
          <w:b/>
          <w:bCs/>
          <w:i/>
          <w:iCs/>
        </w:rPr>
        <w:t>Research with diverse approaches</w:t>
      </w:r>
      <w:bookmarkEnd w:id="221"/>
    </w:p>
    <w:p w14:paraId="704C7922" w14:textId="77777777" w:rsidR="00341FAE" w:rsidRPr="007503F6" w:rsidRDefault="00341FAE" w:rsidP="00341FAE">
      <w:pPr>
        <w:jc w:val="both"/>
      </w:pPr>
      <w:r w:rsidRPr="007503F6">
        <w:t>Several different approaches were discussed as in use by panel members; however, these interventions were not present in the literature. For example, interventions that explored whakapapa (cultural genealogical approaches), whānau hui (gathering), approaches that engaged with sociocultural issues (e.g. Asian acculturative stress ‘Tree Model’), yoga meditation and mindfulness were described by panel members, yet do not yet have a presence in the evidence base. Consideration of a wider array of prevention and harm reduction techniques was suggested including peer support, and community activism and advocacy work.</w:t>
      </w:r>
    </w:p>
    <w:p w14:paraId="40D00C35" w14:textId="77777777" w:rsidR="00341FAE" w:rsidRPr="007503F6" w:rsidRDefault="00341FAE" w:rsidP="00341FAE">
      <w:pPr>
        <w:jc w:val="both"/>
      </w:pPr>
    </w:p>
    <w:p w14:paraId="087114AA" w14:textId="77777777" w:rsidR="00341FAE" w:rsidRDefault="00341FAE" w:rsidP="00341FAE">
      <w:pPr>
        <w:jc w:val="both"/>
      </w:pPr>
      <w:r w:rsidRPr="007503F6">
        <w:t>Participants identified a lack of exploration of prevention/health promotion practices with families. Much of the literature is focussed on individuals in therapy, yet panel members reiterated the importance of diverse family-centric approaches. Indigenous and sociologically informed approaches to engaging with families could offer a method to shift away from an individual focus.</w:t>
      </w:r>
    </w:p>
    <w:p w14:paraId="75327534" w14:textId="77777777" w:rsidR="00341FAE" w:rsidRDefault="00341FAE" w:rsidP="00341FAE">
      <w:pPr>
        <w:spacing w:after="160" w:line="259" w:lineRule="auto"/>
        <w:rPr>
          <w:rFonts w:asciiTheme="minorHAnsi" w:hAnsiTheme="minorHAnsi" w:cstheme="minorBidi"/>
          <w:sz w:val="22"/>
          <w:szCs w:val="22"/>
        </w:rPr>
      </w:pPr>
    </w:p>
    <w:p w14:paraId="503B2B66" w14:textId="51B5B733" w:rsidR="00C65586" w:rsidRPr="005C46A2" w:rsidRDefault="00C65586" w:rsidP="00C65586">
      <w:pPr>
        <w:pStyle w:val="Heading1"/>
        <w:shd w:val="clear" w:color="auto" w:fill="auto"/>
        <w:jc w:val="both"/>
      </w:pPr>
      <w:bookmarkStart w:id="222" w:name="_Toc58400803"/>
      <w:r w:rsidRPr="005C46A2">
        <w:lastRenderedPageBreak/>
        <w:t xml:space="preserve">APPENDIX </w:t>
      </w:r>
      <w:r w:rsidR="00341FAE">
        <w:t>TWO</w:t>
      </w:r>
      <w:r w:rsidRPr="005C46A2">
        <w:t xml:space="preserve">: </w:t>
      </w:r>
      <w:r>
        <w:t>Participant Information Sheet</w:t>
      </w:r>
      <w:bookmarkEnd w:id="222"/>
      <w:r w:rsidR="00DB19B5">
        <w:t xml:space="preserve"> </w:t>
      </w:r>
    </w:p>
    <w:p w14:paraId="6FF9EAE2" w14:textId="028A6324" w:rsidR="00C65586" w:rsidRDefault="00C65586" w:rsidP="00C65586"/>
    <w:p w14:paraId="610386C2" w14:textId="77777777" w:rsidR="00DB19B5" w:rsidRPr="000F12D1" w:rsidRDefault="00DB19B5" w:rsidP="00DB19B5">
      <w:pPr>
        <w:spacing w:line="240" w:lineRule="auto"/>
        <w:ind w:right="685"/>
        <w:jc w:val="center"/>
        <w:rPr>
          <w:rFonts w:eastAsia="Times New Roman"/>
          <w:b/>
        </w:rPr>
      </w:pPr>
      <w:r>
        <w:rPr>
          <w:rFonts w:eastAsia="Times New Roman"/>
          <w:b/>
        </w:rPr>
        <w:t>PARTICIPANT INFORMATION SHEET</w:t>
      </w:r>
    </w:p>
    <w:p w14:paraId="5F559E6F" w14:textId="77777777" w:rsidR="00DB19B5" w:rsidRPr="007A39F3" w:rsidRDefault="00DB19B5" w:rsidP="00DB19B5">
      <w:pPr>
        <w:spacing w:after="480" w:line="240" w:lineRule="auto"/>
        <w:ind w:right="686"/>
        <w:jc w:val="center"/>
        <w:rPr>
          <w:rFonts w:eastAsia="Times New Roman"/>
          <w:b/>
          <w:lang w:val="en-US"/>
        </w:rPr>
      </w:pPr>
      <w:r w:rsidRPr="007A39F3">
        <w:rPr>
          <w:rFonts w:eastAsia="Times New Roman"/>
          <w:b/>
          <w:lang w:val="en-US"/>
        </w:rPr>
        <w:t xml:space="preserve">Enhancing Support Provided for Family Members and Affected Others in New Zealand Gambling Services </w:t>
      </w:r>
    </w:p>
    <w:p w14:paraId="72ABFFFB" w14:textId="77777777" w:rsidR="00DB19B5" w:rsidRPr="003C10FD" w:rsidRDefault="00DB19B5" w:rsidP="00DB19B5">
      <w:pPr>
        <w:spacing w:after="360" w:line="240" w:lineRule="auto"/>
        <w:jc w:val="both"/>
        <w:rPr>
          <w:rFonts w:eastAsia="Times New Roman"/>
        </w:rPr>
      </w:pPr>
      <w:r w:rsidRPr="003C10FD">
        <w:rPr>
          <w:rFonts w:eastAsia="Times New Roman"/>
          <w:b/>
        </w:rPr>
        <w:t>Researchers:</w:t>
      </w:r>
      <w:r w:rsidRPr="003C10FD">
        <w:rPr>
          <w:rFonts w:eastAsia="Times New Roman"/>
        </w:rPr>
        <w:t xml:space="preserve"> </w:t>
      </w:r>
      <w:r>
        <w:rPr>
          <w:rFonts w:eastAsia="Times New Roman"/>
        </w:rPr>
        <w:t>Dr Katie Palmer du Preez, Associate Professor Jason Landon, Dr Giulia Lowe and Laura Mauchline</w:t>
      </w:r>
      <w:r w:rsidRPr="003C10FD">
        <w:rPr>
          <w:rFonts w:eastAsia="Times New Roman"/>
        </w:rPr>
        <w:t xml:space="preserve">. </w:t>
      </w:r>
    </w:p>
    <w:p w14:paraId="4B884375" w14:textId="77777777" w:rsidR="00DB19B5" w:rsidRPr="003C10FD" w:rsidRDefault="00DB19B5" w:rsidP="00DB19B5">
      <w:pPr>
        <w:spacing w:line="240" w:lineRule="auto"/>
        <w:jc w:val="both"/>
        <w:rPr>
          <w:rFonts w:eastAsia="Times New Roman"/>
        </w:rPr>
      </w:pPr>
      <w:r w:rsidRPr="003C10FD">
        <w:rPr>
          <w:rFonts w:eastAsia="Times New Roman"/>
          <w:b/>
        </w:rPr>
        <w:t>Research aims and description</w:t>
      </w:r>
    </w:p>
    <w:p w14:paraId="4590C256" w14:textId="77777777" w:rsidR="00DB19B5" w:rsidRDefault="00DB19B5" w:rsidP="00DB19B5">
      <w:pPr>
        <w:spacing w:line="240" w:lineRule="auto"/>
        <w:jc w:val="both"/>
        <w:rPr>
          <w:rFonts w:eastAsia="Times New Roman"/>
        </w:rPr>
      </w:pPr>
      <w:r>
        <w:rPr>
          <w:rFonts w:eastAsia="Times New Roman"/>
        </w:rPr>
        <w:t>H</w:t>
      </w:r>
      <w:r w:rsidRPr="001D3808">
        <w:rPr>
          <w:rFonts w:eastAsia="Times New Roman"/>
        </w:rPr>
        <w:t xml:space="preserve">arm experienced by the family members and affected others (FAOs) of </w:t>
      </w:r>
      <w:r>
        <w:rPr>
          <w:rFonts w:eastAsia="Times New Roman"/>
        </w:rPr>
        <w:t>people experiencing problems with gambling (and other addictive products) can be severe</w:t>
      </w:r>
      <w:r w:rsidRPr="001D3808">
        <w:rPr>
          <w:rFonts w:eastAsia="Times New Roman"/>
        </w:rPr>
        <w:t xml:space="preserve">. Partners and especially children, </w:t>
      </w:r>
      <w:r>
        <w:rPr>
          <w:rFonts w:eastAsia="Times New Roman"/>
        </w:rPr>
        <w:t xml:space="preserve">may </w:t>
      </w:r>
      <w:r w:rsidRPr="001D3808">
        <w:rPr>
          <w:rFonts w:eastAsia="Times New Roman"/>
        </w:rPr>
        <w:t xml:space="preserve">suffer both mental and physical health problems connected to living in a state of fear, anger, guilt, despair, loss and uncertainty as well as loss of safety and financial security. Appropriate and timely </w:t>
      </w:r>
      <w:r>
        <w:rPr>
          <w:rFonts w:eastAsia="Times New Roman"/>
        </w:rPr>
        <w:t xml:space="preserve">support </w:t>
      </w:r>
      <w:r w:rsidRPr="001D3808">
        <w:rPr>
          <w:rFonts w:eastAsia="Times New Roman"/>
        </w:rPr>
        <w:t>may reduce the severity and range of harms individuals and families experience</w:t>
      </w:r>
      <w:r>
        <w:rPr>
          <w:rFonts w:eastAsia="Times New Roman"/>
        </w:rPr>
        <w:t>. However t</w:t>
      </w:r>
      <w:r w:rsidRPr="001D3808">
        <w:rPr>
          <w:rFonts w:eastAsia="Times New Roman"/>
        </w:rPr>
        <w:t>here is no widely accepted best practice for supporting and intervening with FAOs</w:t>
      </w:r>
      <w:r>
        <w:rPr>
          <w:rFonts w:eastAsia="Times New Roman"/>
        </w:rPr>
        <w:t xml:space="preserve">, </w:t>
      </w:r>
      <w:r w:rsidRPr="001D3808">
        <w:rPr>
          <w:rFonts w:eastAsia="Times New Roman"/>
        </w:rPr>
        <w:t>limite</w:t>
      </w:r>
      <w:r>
        <w:rPr>
          <w:rFonts w:eastAsia="Times New Roman"/>
        </w:rPr>
        <w:t>d research available to support engagement, as well as limited understanding of the range of techniques and strategies currently used.</w:t>
      </w:r>
    </w:p>
    <w:p w14:paraId="5D7C271F" w14:textId="77777777" w:rsidR="00DB19B5" w:rsidRDefault="00DB19B5" w:rsidP="00DB19B5">
      <w:pPr>
        <w:spacing w:line="240" w:lineRule="auto"/>
        <w:jc w:val="both"/>
        <w:rPr>
          <w:rFonts w:eastAsia="Times New Roman"/>
        </w:rPr>
      </w:pPr>
    </w:p>
    <w:p w14:paraId="7EF5ADD8" w14:textId="77777777" w:rsidR="00DB19B5" w:rsidRDefault="00DB19B5" w:rsidP="00DB19B5">
      <w:pPr>
        <w:spacing w:line="240" w:lineRule="auto"/>
        <w:jc w:val="both"/>
        <w:rPr>
          <w:rFonts w:eastAsia="Times New Roman"/>
        </w:rPr>
      </w:pPr>
      <w:r>
        <w:rPr>
          <w:rFonts w:eastAsia="Times New Roman"/>
        </w:rPr>
        <w:t>Y</w:t>
      </w:r>
      <w:r w:rsidRPr="003C10FD">
        <w:rPr>
          <w:rFonts w:eastAsia="Times New Roman"/>
        </w:rPr>
        <w:t xml:space="preserve">ou </w:t>
      </w:r>
      <w:r>
        <w:rPr>
          <w:rFonts w:eastAsia="Times New Roman"/>
        </w:rPr>
        <w:t>are invited to participate in a</w:t>
      </w:r>
      <w:r w:rsidRPr="003C10FD">
        <w:rPr>
          <w:rFonts w:eastAsia="Times New Roman"/>
        </w:rPr>
        <w:t xml:space="preserve"> study </w:t>
      </w:r>
      <w:r>
        <w:rPr>
          <w:rFonts w:eastAsia="Times New Roman"/>
        </w:rPr>
        <w:t xml:space="preserve">exploring how services and support provided for family members and affected others (FAOs) in NZ gambling services could be enhanced. </w:t>
      </w:r>
      <w:r w:rsidRPr="0090788E">
        <w:rPr>
          <w:rFonts w:eastAsia="Times New Roman"/>
        </w:rPr>
        <w:t>The aim</w:t>
      </w:r>
      <w:r>
        <w:rPr>
          <w:rFonts w:eastAsia="Times New Roman"/>
        </w:rPr>
        <w:t xml:space="preserve"> of the study</w:t>
      </w:r>
      <w:r w:rsidRPr="0090788E">
        <w:rPr>
          <w:rFonts w:eastAsia="Times New Roman"/>
        </w:rPr>
        <w:t xml:space="preserve"> is to</w:t>
      </w:r>
      <w:r>
        <w:rPr>
          <w:rFonts w:eastAsia="Times New Roman"/>
        </w:rPr>
        <w:t xml:space="preserve"> identify available services for FAOs in NZ, enhance understanding of best practice, and to ascertain what else might be needed for effective service development and provision. </w:t>
      </w:r>
      <w:r w:rsidRPr="0090788E">
        <w:rPr>
          <w:rFonts w:eastAsia="Times New Roman"/>
        </w:rPr>
        <w:t>It is hoped that findings from the study will</w:t>
      </w:r>
      <w:r>
        <w:rPr>
          <w:rFonts w:eastAsia="Times New Roman"/>
        </w:rPr>
        <w:t xml:space="preserve"> demonstrate the need and value of support services for FAOs in New Zealand, as well as showcase the work currently being done.</w:t>
      </w:r>
    </w:p>
    <w:p w14:paraId="321B32A7" w14:textId="77777777" w:rsidR="00DB19B5" w:rsidRDefault="00DB19B5" w:rsidP="00DB19B5">
      <w:pPr>
        <w:spacing w:line="240" w:lineRule="auto"/>
        <w:jc w:val="both"/>
        <w:rPr>
          <w:rFonts w:eastAsia="Times New Roman"/>
        </w:rPr>
      </w:pPr>
    </w:p>
    <w:p w14:paraId="5872FBD2" w14:textId="77777777" w:rsidR="00DB19B5" w:rsidRDefault="00DB19B5" w:rsidP="00DB19B5">
      <w:pPr>
        <w:spacing w:line="240" w:lineRule="auto"/>
        <w:jc w:val="both"/>
        <w:rPr>
          <w:rFonts w:eastAsia="Times New Roman"/>
          <w:b/>
        </w:rPr>
      </w:pPr>
      <w:r w:rsidRPr="001D3808">
        <w:rPr>
          <w:rFonts w:eastAsia="Times New Roman"/>
          <w:b/>
        </w:rPr>
        <w:t>How was I identified and why am I being invited to participate in this research?</w:t>
      </w:r>
    </w:p>
    <w:p w14:paraId="4E33883F" w14:textId="601891D0" w:rsidR="00DB19B5" w:rsidRPr="001D3808" w:rsidRDefault="00DB19B5" w:rsidP="00DB19B5">
      <w:pPr>
        <w:spacing w:line="240" w:lineRule="auto"/>
        <w:jc w:val="both"/>
        <w:rPr>
          <w:rFonts w:eastAsia="Times New Roman"/>
        </w:rPr>
      </w:pPr>
      <w:r w:rsidRPr="0090788E">
        <w:rPr>
          <w:rFonts w:eastAsia="Times New Roman"/>
        </w:rPr>
        <w:t xml:space="preserve">We wish to draw on </w:t>
      </w:r>
      <w:r>
        <w:rPr>
          <w:rFonts w:eastAsia="Times New Roman"/>
        </w:rPr>
        <w:t>the</w:t>
      </w:r>
      <w:r w:rsidRPr="0090788E">
        <w:rPr>
          <w:rFonts w:eastAsia="Times New Roman"/>
        </w:rPr>
        <w:t xml:space="preserve"> expertise </w:t>
      </w:r>
      <w:r>
        <w:rPr>
          <w:rFonts w:eastAsia="Times New Roman"/>
        </w:rPr>
        <w:t xml:space="preserve">and experience </w:t>
      </w:r>
      <w:r w:rsidRPr="001D3808">
        <w:rPr>
          <w:rFonts w:eastAsia="Times New Roman"/>
        </w:rPr>
        <w:t xml:space="preserve">of national and international researchers, clinicians, consumer advisors, service managers, and </w:t>
      </w:r>
      <w:r w:rsidR="0001065E">
        <w:rPr>
          <w:rFonts w:eastAsia="Times New Roman"/>
        </w:rPr>
        <w:t>policymakers</w:t>
      </w:r>
      <w:r w:rsidRPr="001D3808">
        <w:rPr>
          <w:rFonts w:eastAsia="Times New Roman"/>
        </w:rPr>
        <w:t xml:space="preserve"> </w:t>
      </w:r>
      <w:r>
        <w:rPr>
          <w:rFonts w:eastAsia="Times New Roman"/>
        </w:rPr>
        <w:t>(including the New Zealand Ministry of Health) who have knowledge of</w:t>
      </w:r>
      <w:r w:rsidRPr="001D3808">
        <w:rPr>
          <w:rFonts w:eastAsia="Times New Roman"/>
        </w:rPr>
        <w:t xml:space="preserve"> FAO intervention/services in gam</w:t>
      </w:r>
      <w:r>
        <w:rPr>
          <w:rFonts w:eastAsia="Times New Roman"/>
        </w:rPr>
        <w:t>bling and/or broader addictions.</w:t>
      </w:r>
    </w:p>
    <w:p w14:paraId="29FEB460" w14:textId="77777777" w:rsidR="00DB19B5" w:rsidRDefault="00DB19B5" w:rsidP="00DB19B5">
      <w:pPr>
        <w:spacing w:line="240" w:lineRule="auto"/>
        <w:jc w:val="both"/>
        <w:rPr>
          <w:rFonts w:eastAsia="Times New Roman"/>
        </w:rPr>
      </w:pPr>
    </w:p>
    <w:p w14:paraId="2B5A9866" w14:textId="77777777" w:rsidR="00DB19B5" w:rsidRPr="0090788E" w:rsidRDefault="00DB19B5" w:rsidP="00DB19B5">
      <w:pPr>
        <w:spacing w:line="240" w:lineRule="auto"/>
        <w:jc w:val="both"/>
        <w:rPr>
          <w:rFonts w:eastAsia="Times New Roman"/>
          <w:b/>
        </w:rPr>
      </w:pPr>
      <w:r w:rsidRPr="0090788E">
        <w:rPr>
          <w:rFonts w:eastAsia="Times New Roman"/>
          <w:b/>
        </w:rPr>
        <w:t>What will participation involve?</w:t>
      </w:r>
    </w:p>
    <w:p w14:paraId="4D954C82" w14:textId="77777777" w:rsidR="00DB19B5" w:rsidRDefault="00DB19B5" w:rsidP="00DB19B5">
      <w:pPr>
        <w:spacing w:line="240" w:lineRule="auto"/>
        <w:jc w:val="both"/>
        <w:rPr>
          <w:rFonts w:eastAsia="Times New Roman"/>
        </w:rPr>
      </w:pPr>
      <w:r w:rsidRPr="0090788E">
        <w:rPr>
          <w:rFonts w:eastAsia="Times New Roman"/>
        </w:rPr>
        <w:t>If you agree to participate, you will be invited to</w:t>
      </w:r>
      <w:r>
        <w:rPr>
          <w:rFonts w:eastAsia="Times New Roman"/>
        </w:rPr>
        <w:t xml:space="preserve"> take part in a Critical Delphi panel. </w:t>
      </w:r>
      <w:r w:rsidRPr="006069EA">
        <w:rPr>
          <w:rFonts w:eastAsia="Times New Roman"/>
        </w:rPr>
        <w:t xml:space="preserve">The </w:t>
      </w:r>
      <w:r>
        <w:rPr>
          <w:rFonts w:eastAsia="Times New Roman"/>
        </w:rPr>
        <w:t xml:space="preserve">Critical </w:t>
      </w:r>
      <w:r w:rsidRPr="006069EA">
        <w:rPr>
          <w:rFonts w:eastAsia="Times New Roman"/>
        </w:rPr>
        <w:t xml:space="preserve">Delphi method is a structured method for eliciting expert opinion and </w:t>
      </w:r>
      <w:r>
        <w:rPr>
          <w:rFonts w:eastAsia="Times New Roman"/>
        </w:rPr>
        <w:t>critical reflection</w:t>
      </w:r>
      <w:r w:rsidRPr="006069EA">
        <w:rPr>
          <w:rFonts w:eastAsia="Times New Roman"/>
        </w:rPr>
        <w:t>, which relies on establishing a panel of experts</w:t>
      </w:r>
      <w:r>
        <w:rPr>
          <w:rFonts w:eastAsia="Times New Roman"/>
        </w:rPr>
        <w:t xml:space="preserve">. </w:t>
      </w:r>
      <w:r w:rsidRPr="006069EA">
        <w:rPr>
          <w:rFonts w:eastAsia="Times New Roman"/>
        </w:rPr>
        <w:t xml:space="preserve">The researchers will develop a questionnaire and an interview schedule based on </w:t>
      </w:r>
      <w:r>
        <w:rPr>
          <w:rFonts w:eastAsia="Times New Roman"/>
        </w:rPr>
        <w:t xml:space="preserve">a </w:t>
      </w:r>
      <w:r w:rsidRPr="006069EA">
        <w:rPr>
          <w:rFonts w:eastAsia="Times New Roman"/>
        </w:rPr>
        <w:t>critical review of evidence for effective FAO service design and delivery, including evidence from related fields, e.g. family interventions for alcohol and drug issues and relevant gender and cultural issues.</w:t>
      </w:r>
      <w:r>
        <w:rPr>
          <w:rFonts w:eastAsia="Times New Roman"/>
        </w:rPr>
        <w:t xml:space="preserve"> </w:t>
      </w:r>
      <w:r w:rsidRPr="006069EA">
        <w:rPr>
          <w:rFonts w:eastAsia="Times New Roman"/>
        </w:rPr>
        <w:t>Critical reviews go beyond summarising prior research to evaluate evidence on both a methodological and conceptual level</w:t>
      </w:r>
      <w:r>
        <w:rPr>
          <w:rFonts w:eastAsia="Times New Roman"/>
        </w:rPr>
        <w:t>.</w:t>
      </w:r>
      <w:r w:rsidRPr="006069EA">
        <w:rPr>
          <w:rFonts w:eastAsia="Times New Roman"/>
        </w:rPr>
        <w:t xml:space="preserve"> </w:t>
      </w:r>
    </w:p>
    <w:p w14:paraId="73A4EDB1" w14:textId="77777777" w:rsidR="00DB19B5" w:rsidRDefault="00DB19B5" w:rsidP="00DB19B5">
      <w:pPr>
        <w:spacing w:line="240" w:lineRule="auto"/>
        <w:jc w:val="both"/>
        <w:rPr>
          <w:rFonts w:eastAsia="Times New Roman"/>
        </w:rPr>
      </w:pPr>
    </w:p>
    <w:p w14:paraId="193F90AC" w14:textId="77777777" w:rsidR="00DB19B5" w:rsidRDefault="00DB19B5" w:rsidP="00DB19B5">
      <w:pPr>
        <w:spacing w:line="240" w:lineRule="auto"/>
        <w:jc w:val="both"/>
        <w:rPr>
          <w:rFonts w:eastAsia="Times New Roman"/>
        </w:rPr>
      </w:pPr>
      <w:r>
        <w:rPr>
          <w:rFonts w:eastAsia="Times New Roman"/>
        </w:rPr>
        <w:t>The Critical Delphi method will involve two rounds of surveys with an optional interview, in which the second round is informed by the responses given in the first round. There will be the possibility of a third round. In the first round, you will be asked to complete a questionnaire</w:t>
      </w:r>
      <w:r w:rsidRPr="006069EA">
        <w:rPr>
          <w:rFonts w:eastAsia="Times New Roman"/>
        </w:rPr>
        <w:t xml:space="preserve"> </w:t>
      </w:r>
      <w:r>
        <w:rPr>
          <w:rFonts w:eastAsia="Times New Roman"/>
        </w:rPr>
        <w:t xml:space="preserve">and take part in an interview. You may choose to participate in the survey component only. The researchers will then analyse responses and send the results to participants to review. In </w:t>
      </w:r>
      <w:r>
        <w:rPr>
          <w:rFonts w:eastAsia="Times New Roman"/>
        </w:rPr>
        <w:lastRenderedPageBreak/>
        <w:t xml:space="preserve">the second round you will invited to complete a questionnaire and, based on round one responses, a select number of participants will be invited to take part in a second interview to clarify and deepen thematic analysis.  </w:t>
      </w:r>
    </w:p>
    <w:p w14:paraId="369DC338" w14:textId="77777777" w:rsidR="00DB19B5" w:rsidRDefault="00DB19B5" w:rsidP="00DB19B5">
      <w:pPr>
        <w:spacing w:line="240" w:lineRule="auto"/>
        <w:jc w:val="both"/>
        <w:rPr>
          <w:rFonts w:eastAsia="Times New Roman"/>
        </w:rPr>
      </w:pPr>
    </w:p>
    <w:p w14:paraId="5D56FFAD" w14:textId="77777777" w:rsidR="00DB19B5" w:rsidRDefault="00DB19B5" w:rsidP="00DB19B5">
      <w:pPr>
        <w:spacing w:line="240" w:lineRule="auto"/>
        <w:jc w:val="both"/>
        <w:rPr>
          <w:rFonts w:eastAsia="Times New Roman"/>
        </w:rPr>
      </w:pPr>
      <w:r w:rsidRPr="0090788E">
        <w:rPr>
          <w:rFonts w:eastAsia="Times New Roman"/>
        </w:rPr>
        <w:t>The interview</w:t>
      </w:r>
      <w:r>
        <w:rPr>
          <w:rFonts w:eastAsia="Times New Roman"/>
        </w:rPr>
        <w:t>s and questionnaires</w:t>
      </w:r>
      <w:r w:rsidRPr="0090788E">
        <w:rPr>
          <w:rFonts w:eastAsia="Times New Roman"/>
        </w:rPr>
        <w:t xml:space="preserve"> will include </w:t>
      </w:r>
      <w:r>
        <w:rPr>
          <w:rFonts w:eastAsia="Times New Roman"/>
        </w:rPr>
        <w:t xml:space="preserve">rating scales and open ended </w:t>
      </w:r>
      <w:r w:rsidRPr="0090788E">
        <w:rPr>
          <w:rFonts w:eastAsia="Times New Roman"/>
        </w:rPr>
        <w:t xml:space="preserve">questions about your </w:t>
      </w:r>
      <w:r>
        <w:rPr>
          <w:rFonts w:eastAsia="Times New Roman"/>
        </w:rPr>
        <w:t>understanding of best practice, quality and effective FAO support and service delivery, how you believe FAO service delivery could be enhanced, and factors that have contributed to, or impeded effective service delivery.</w:t>
      </w:r>
    </w:p>
    <w:p w14:paraId="6D9B82DC" w14:textId="77777777" w:rsidR="00DB19B5" w:rsidRDefault="00DB19B5" w:rsidP="00DB19B5">
      <w:pPr>
        <w:spacing w:line="240" w:lineRule="auto"/>
        <w:jc w:val="both"/>
        <w:rPr>
          <w:rFonts w:eastAsia="Times New Roman"/>
        </w:rPr>
      </w:pPr>
    </w:p>
    <w:p w14:paraId="01F82B29" w14:textId="77777777" w:rsidR="00DB19B5" w:rsidRDefault="00DB19B5" w:rsidP="00DB19B5">
      <w:pPr>
        <w:spacing w:line="240" w:lineRule="auto"/>
        <w:jc w:val="both"/>
        <w:rPr>
          <w:rFonts w:eastAsia="Times New Roman"/>
          <w:b/>
        </w:rPr>
      </w:pPr>
      <w:r w:rsidRPr="00267610">
        <w:rPr>
          <w:rFonts w:eastAsia="Times New Roman"/>
          <w:b/>
        </w:rPr>
        <w:t>Diagram of Delphi process</w:t>
      </w:r>
    </w:p>
    <w:p w14:paraId="289C737A" w14:textId="77777777" w:rsidR="00DB19B5" w:rsidRPr="00267610" w:rsidRDefault="00DB19B5" w:rsidP="00DB19B5">
      <w:pPr>
        <w:spacing w:line="240" w:lineRule="auto"/>
        <w:jc w:val="both"/>
        <w:rPr>
          <w:rFonts w:eastAsia="Times New Roman"/>
          <w:b/>
        </w:rPr>
      </w:pPr>
    </w:p>
    <w:p w14:paraId="1506CFEA" w14:textId="77777777" w:rsidR="00DB19B5" w:rsidRDefault="00DB19B5" w:rsidP="00DB19B5">
      <w:pPr>
        <w:spacing w:line="240" w:lineRule="auto"/>
        <w:jc w:val="both"/>
        <w:rPr>
          <w:rFonts w:eastAsia="Times New Roman"/>
        </w:rPr>
      </w:pPr>
      <w:r>
        <w:rPr>
          <w:noProof/>
          <w:lang w:eastAsia="en-NZ"/>
        </w:rPr>
        <w:drawing>
          <wp:inline distT="0" distB="0" distL="0" distR="0" wp14:anchorId="7ED373A9" wp14:editId="110913B5">
            <wp:extent cx="5667375" cy="3562350"/>
            <wp:effectExtent l="0" t="0" r="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4162FE27" w14:textId="77777777" w:rsidR="00DB19B5" w:rsidRDefault="00DB19B5" w:rsidP="00DB19B5">
      <w:pPr>
        <w:spacing w:line="240" w:lineRule="auto"/>
        <w:jc w:val="both"/>
        <w:rPr>
          <w:rFonts w:eastAsia="Times New Roman"/>
        </w:rPr>
      </w:pPr>
    </w:p>
    <w:p w14:paraId="0DBCF636" w14:textId="77777777" w:rsidR="00DB19B5" w:rsidRDefault="00DB19B5" w:rsidP="00DB19B5">
      <w:pPr>
        <w:spacing w:line="240" w:lineRule="auto"/>
        <w:jc w:val="both"/>
        <w:rPr>
          <w:rFonts w:eastAsia="Times New Roman"/>
        </w:rPr>
      </w:pPr>
      <w:r>
        <w:rPr>
          <w:rFonts w:eastAsia="Times New Roman"/>
        </w:rPr>
        <w:t>If you are based in Auckland, t</w:t>
      </w:r>
      <w:r w:rsidRPr="0090788E">
        <w:rPr>
          <w:rFonts w:eastAsia="Times New Roman"/>
        </w:rPr>
        <w:t>he interview will take place at a time and location of convenience to you – for example, at an offi</w:t>
      </w:r>
      <w:r>
        <w:rPr>
          <w:rFonts w:eastAsia="Times New Roman"/>
        </w:rPr>
        <w:t>ce at AUT or other private office space</w:t>
      </w:r>
      <w:r w:rsidRPr="0090788E">
        <w:rPr>
          <w:rFonts w:eastAsia="Times New Roman"/>
        </w:rPr>
        <w:t>.</w:t>
      </w:r>
      <w:r>
        <w:rPr>
          <w:rFonts w:eastAsia="Times New Roman"/>
        </w:rPr>
        <w:t xml:space="preserve"> If you are based outside of Auckland, the interview will take place over the telephone or via video-call (Zoom/Skype) at a time convenient to you.</w:t>
      </w:r>
      <w:r w:rsidRPr="0090788E">
        <w:rPr>
          <w:rFonts w:eastAsia="Times New Roman"/>
        </w:rPr>
        <w:t xml:space="preserve"> </w:t>
      </w:r>
      <w:r w:rsidRPr="0090788E">
        <w:rPr>
          <w:rFonts w:eastAsia="Times New Roman"/>
          <w:lang w:val="en-US"/>
        </w:rPr>
        <w:t>It is anticipated that</w:t>
      </w:r>
      <w:r>
        <w:rPr>
          <w:rFonts w:eastAsia="Times New Roman"/>
          <w:lang w:val="en-US"/>
        </w:rPr>
        <w:t xml:space="preserve"> each</w:t>
      </w:r>
      <w:r w:rsidRPr="0090788E">
        <w:rPr>
          <w:rFonts w:eastAsia="Times New Roman"/>
          <w:lang w:val="en-US"/>
        </w:rPr>
        <w:t xml:space="preserve"> interview will last approximately </w:t>
      </w:r>
      <w:r>
        <w:rPr>
          <w:rFonts w:eastAsia="Times New Roman"/>
          <w:lang w:val="en-US"/>
        </w:rPr>
        <w:t>60</w:t>
      </w:r>
      <w:r w:rsidRPr="0090788E">
        <w:rPr>
          <w:rFonts w:eastAsia="Times New Roman"/>
          <w:lang w:val="en-US"/>
        </w:rPr>
        <w:t xml:space="preserve"> minutes.  The interview would, with your consent, </w:t>
      </w:r>
      <w:r w:rsidRPr="0090788E">
        <w:rPr>
          <w:rFonts w:eastAsia="Times New Roman"/>
        </w:rPr>
        <w:t xml:space="preserve">be audio recorded and transcribed by </w:t>
      </w:r>
      <w:r>
        <w:rPr>
          <w:rFonts w:eastAsia="Times New Roman"/>
        </w:rPr>
        <w:t>a professional transcription service</w:t>
      </w:r>
      <w:r w:rsidRPr="0090788E">
        <w:rPr>
          <w:rFonts w:eastAsia="Times New Roman"/>
        </w:rPr>
        <w:t>.</w:t>
      </w:r>
      <w:r>
        <w:rPr>
          <w:rFonts w:eastAsia="Times New Roman"/>
        </w:rPr>
        <w:t xml:space="preserve"> </w:t>
      </w:r>
    </w:p>
    <w:p w14:paraId="253E3981" w14:textId="77777777" w:rsidR="00DB19B5" w:rsidRDefault="00DB19B5" w:rsidP="00DB19B5">
      <w:pPr>
        <w:spacing w:line="240" w:lineRule="auto"/>
        <w:jc w:val="both"/>
        <w:rPr>
          <w:rFonts w:eastAsia="Times New Roman"/>
        </w:rPr>
      </w:pPr>
      <w:r>
        <w:rPr>
          <w:rFonts w:eastAsia="Times New Roman"/>
        </w:rPr>
        <w:t>The questionnaire will be made available online for completion at a time and place convenient to you.</w:t>
      </w:r>
      <w:r w:rsidRPr="0090788E">
        <w:rPr>
          <w:rFonts w:eastAsia="Times New Roman"/>
        </w:rPr>
        <w:t xml:space="preserve">  </w:t>
      </w:r>
    </w:p>
    <w:p w14:paraId="5F30D311" w14:textId="77777777" w:rsidR="00DB19B5" w:rsidRPr="0090788E" w:rsidRDefault="00DB19B5" w:rsidP="00DB19B5">
      <w:pPr>
        <w:spacing w:line="240" w:lineRule="auto"/>
        <w:jc w:val="both"/>
        <w:rPr>
          <w:rFonts w:eastAsia="Times New Roman"/>
        </w:rPr>
      </w:pPr>
    </w:p>
    <w:p w14:paraId="6F1E1EC5" w14:textId="77777777" w:rsidR="00DB19B5" w:rsidRDefault="00DB19B5" w:rsidP="00DB19B5">
      <w:pPr>
        <w:spacing w:line="240" w:lineRule="auto"/>
        <w:jc w:val="both"/>
        <w:rPr>
          <w:rFonts w:eastAsia="Times New Roman"/>
        </w:rPr>
      </w:pPr>
      <w:r>
        <w:rPr>
          <w:rFonts w:eastAsia="Times New Roman"/>
        </w:rPr>
        <w:t>To arrange an interview, p</w:t>
      </w:r>
      <w:r w:rsidRPr="0090788E">
        <w:rPr>
          <w:rFonts w:eastAsia="Times New Roman"/>
        </w:rPr>
        <w:t>lease contact</w:t>
      </w:r>
      <w:r>
        <w:rPr>
          <w:rFonts w:eastAsia="Times New Roman"/>
        </w:rPr>
        <w:t xml:space="preserve"> Dr Palmer du Preez (k</w:t>
      </w:r>
      <w:r w:rsidRPr="007C67E1">
        <w:rPr>
          <w:rFonts w:eastAsia="Times New Roman"/>
        </w:rPr>
        <w:t>atie.palmerdupreez@aut.ac.nz</w:t>
      </w:r>
      <w:r>
        <w:rPr>
          <w:rFonts w:eastAsia="Times New Roman"/>
        </w:rPr>
        <w:t xml:space="preserve">) or Dr Lowe (giulia.lowe@aut.ac.nz) </w:t>
      </w:r>
      <w:r w:rsidRPr="0090788E">
        <w:rPr>
          <w:rFonts w:eastAsia="Times New Roman"/>
        </w:rPr>
        <w:t>within</w:t>
      </w:r>
      <w:r>
        <w:rPr>
          <w:rFonts w:eastAsia="Times New Roman"/>
        </w:rPr>
        <w:t xml:space="preserve"> the next</w:t>
      </w:r>
      <w:r w:rsidRPr="0090788E">
        <w:rPr>
          <w:rFonts w:eastAsia="Times New Roman"/>
        </w:rPr>
        <w:t xml:space="preserve"> two week</w:t>
      </w:r>
      <w:r>
        <w:rPr>
          <w:rFonts w:eastAsia="Times New Roman"/>
        </w:rPr>
        <w:t>s.</w:t>
      </w:r>
      <w:r w:rsidRPr="0090788E">
        <w:rPr>
          <w:rFonts w:eastAsia="Times New Roman"/>
        </w:rPr>
        <w:t xml:space="preserve">  </w:t>
      </w:r>
    </w:p>
    <w:p w14:paraId="718F6579" w14:textId="77777777" w:rsidR="00DB19B5" w:rsidRPr="0090788E" w:rsidRDefault="00DB19B5" w:rsidP="00DB19B5">
      <w:pPr>
        <w:spacing w:line="240" w:lineRule="auto"/>
        <w:jc w:val="both"/>
        <w:rPr>
          <w:rFonts w:eastAsia="Times New Roman"/>
        </w:rPr>
      </w:pPr>
      <w:r w:rsidRPr="0090788E">
        <w:rPr>
          <w:rFonts w:eastAsia="Times New Roman"/>
        </w:rPr>
        <w:t xml:space="preserve"> </w:t>
      </w:r>
    </w:p>
    <w:p w14:paraId="2534C12E" w14:textId="77777777" w:rsidR="00DB19B5" w:rsidRPr="0090788E" w:rsidRDefault="00DB19B5" w:rsidP="00DB19B5">
      <w:pPr>
        <w:spacing w:line="240" w:lineRule="auto"/>
        <w:jc w:val="both"/>
        <w:rPr>
          <w:rFonts w:eastAsia="Times New Roman"/>
        </w:rPr>
      </w:pPr>
      <w:r w:rsidRPr="0090788E">
        <w:rPr>
          <w:rFonts w:eastAsia="Times New Roman"/>
          <w:b/>
        </w:rPr>
        <w:t>Anonymity and confidentiality</w:t>
      </w:r>
      <w:r w:rsidRPr="0090788E">
        <w:rPr>
          <w:rFonts w:eastAsia="Times New Roman"/>
        </w:rPr>
        <w:t xml:space="preserve">: </w:t>
      </w:r>
    </w:p>
    <w:p w14:paraId="73E3BCAD" w14:textId="77777777" w:rsidR="00DB19B5" w:rsidRDefault="00DB19B5" w:rsidP="00DB19B5">
      <w:pPr>
        <w:spacing w:line="240" w:lineRule="auto"/>
        <w:jc w:val="both"/>
        <w:rPr>
          <w:rFonts w:eastAsia="Times New Roman"/>
        </w:rPr>
      </w:pPr>
      <w:r w:rsidRPr="0090788E">
        <w:rPr>
          <w:rFonts w:eastAsia="Times New Roman"/>
        </w:rPr>
        <w:t xml:space="preserve">Due to a </w:t>
      </w:r>
      <w:r>
        <w:rPr>
          <w:rFonts w:eastAsia="Times New Roman"/>
        </w:rPr>
        <w:t>small number</w:t>
      </w:r>
      <w:r w:rsidRPr="0090788E">
        <w:rPr>
          <w:rFonts w:eastAsia="Times New Roman"/>
        </w:rPr>
        <w:t xml:space="preserve"> of potential participants</w:t>
      </w:r>
      <w:r>
        <w:rPr>
          <w:rFonts w:eastAsia="Times New Roman"/>
        </w:rPr>
        <w:t xml:space="preserve"> in some expert groups</w:t>
      </w:r>
      <w:r w:rsidRPr="0090788E">
        <w:rPr>
          <w:rFonts w:eastAsia="Times New Roman"/>
        </w:rPr>
        <w:t xml:space="preserve">, only limited confidentiality can be offered to those who choose to participate in this research. The extent of this confidentiality is outlined in the following text. Your decision to participate in this research </w:t>
      </w:r>
      <w:r w:rsidRPr="0090788E">
        <w:rPr>
          <w:rFonts w:eastAsia="Times New Roman"/>
        </w:rPr>
        <w:lastRenderedPageBreak/>
        <w:t>(or not) and all information collected from you will remain confidential to the researchers. The researchers will not solicit any information</w:t>
      </w:r>
      <w:r>
        <w:rPr>
          <w:rFonts w:eastAsia="Times New Roman"/>
        </w:rPr>
        <w:t xml:space="preserve"> of a personal nature from participants about themselves, other staff members, or clients.</w:t>
      </w:r>
      <w:r w:rsidRPr="0090788E">
        <w:rPr>
          <w:rFonts w:eastAsia="Times New Roman"/>
        </w:rPr>
        <w:t xml:space="preserve"> </w:t>
      </w:r>
      <w:r>
        <w:rPr>
          <w:rFonts w:eastAsia="Times New Roman"/>
        </w:rPr>
        <w:t>T</w:t>
      </w:r>
      <w:r w:rsidRPr="0090788E">
        <w:rPr>
          <w:rFonts w:eastAsia="Times New Roman"/>
        </w:rPr>
        <w:t>ranscriptions of interviews will be stored using a code number and not your name.</w:t>
      </w:r>
      <w:r>
        <w:rPr>
          <w:rFonts w:eastAsia="Times New Roman"/>
        </w:rPr>
        <w:t xml:space="preserve"> Responses returned to participants in round two (and potentially round three) will be provided in summary form with no identifying information.</w:t>
      </w:r>
      <w:r w:rsidRPr="0090788E">
        <w:rPr>
          <w:rFonts w:eastAsia="Times New Roman"/>
        </w:rPr>
        <w:t xml:space="preserve"> </w:t>
      </w:r>
      <w:r w:rsidRPr="0090788E">
        <w:rPr>
          <w:rFonts w:eastAsia="Times New Roman"/>
          <w:lang w:val="en-US"/>
        </w:rPr>
        <w:t xml:space="preserve">Your name will only appear on the consent form, which will be stored separately from transcriptions. All information collected during this research will be stored in a locked filing cabinet and in password-protected electronic files for six years following publication of research findings.  It will only be accessible to the researchers.  After six years, </w:t>
      </w:r>
      <w:r w:rsidRPr="0090788E">
        <w:rPr>
          <w:rFonts w:eastAsia="Times New Roman"/>
        </w:rPr>
        <w:t>all data will be destroyed (paper records will be shredded and electronic files will be permanently deleted).</w:t>
      </w:r>
    </w:p>
    <w:p w14:paraId="02CA372E" w14:textId="77777777" w:rsidR="00DB19B5" w:rsidRPr="0090788E" w:rsidRDefault="00DB19B5" w:rsidP="00DB19B5">
      <w:pPr>
        <w:spacing w:line="240" w:lineRule="auto"/>
        <w:jc w:val="both"/>
        <w:rPr>
          <w:rFonts w:eastAsia="Times New Roman"/>
        </w:rPr>
      </w:pPr>
    </w:p>
    <w:p w14:paraId="22B39CC8" w14:textId="77777777" w:rsidR="00DB19B5" w:rsidRDefault="00DB19B5" w:rsidP="00DB19B5">
      <w:pPr>
        <w:spacing w:line="240" w:lineRule="auto"/>
        <w:jc w:val="both"/>
        <w:rPr>
          <w:rFonts w:eastAsia="Times New Roman"/>
        </w:rPr>
      </w:pPr>
      <w:r w:rsidRPr="0090788E">
        <w:rPr>
          <w:rFonts w:eastAsia="Times New Roman"/>
        </w:rPr>
        <w:t xml:space="preserve">Research findings will be </w:t>
      </w:r>
      <w:r>
        <w:rPr>
          <w:rFonts w:eastAsia="Times New Roman"/>
        </w:rPr>
        <w:t>produced</w:t>
      </w:r>
      <w:r w:rsidRPr="0090788E">
        <w:rPr>
          <w:rFonts w:eastAsia="Times New Roman"/>
        </w:rPr>
        <w:t xml:space="preserve"> </w:t>
      </w:r>
      <w:r>
        <w:rPr>
          <w:rFonts w:eastAsia="Times New Roman"/>
        </w:rPr>
        <w:t>in a report</w:t>
      </w:r>
      <w:r w:rsidRPr="0090788E">
        <w:rPr>
          <w:rFonts w:eastAsia="Times New Roman"/>
        </w:rPr>
        <w:t xml:space="preserve"> and may be published in academic journals</w:t>
      </w:r>
      <w:r>
        <w:rPr>
          <w:rFonts w:eastAsia="Times New Roman"/>
        </w:rPr>
        <w:t xml:space="preserve"> or presented at national and international conferences</w:t>
      </w:r>
      <w:r w:rsidRPr="0090788E">
        <w:rPr>
          <w:rFonts w:eastAsia="Times New Roman"/>
        </w:rPr>
        <w:t>.</w:t>
      </w:r>
      <w:r>
        <w:rPr>
          <w:rFonts w:eastAsia="Times New Roman"/>
        </w:rPr>
        <w:t xml:space="preserve"> Data collected as part of this study may be provided to students in the future for secondary analyses as part of their qualification (e.g. honours dissertation).</w:t>
      </w:r>
      <w:r w:rsidRPr="0090788E">
        <w:rPr>
          <w:rFonts w:eastAsia="Times New Roman"/>
        </w:rPr>
        <w:t xml:space="preserve"> Identifying information will be </w:t>
      </w:r>
      <w:r>
        <w:rPr>
          <w:rFonts w:eastAsia="Times New Roman"/>
        </w:rPr>
        <w:t>removed</w:t>
      </w:r>
      <w:r w:rsidRPr="0090788E">
        <w:rPr>
          <w:rFonts w:eastAsia="Times New Roman"/>
        </w:rPr>
        <w:t>, and a pseudonym will be given to any of your data used in publications</w:t>
      </w:r>
      <w:r>
        <w:rPr>
          <w:rFonts w:eastAsia="Times New Roman"/>
        </w:rPr>
        <w:t xml:space="preserve"> or student researcher</w:t>
      </w:r>
      <w:r w:rsidRPr="0090788E">
        <w:rPr>
          <w:rFonts w:eastAsia="Times New Roman"/>
        </w:rPr>
        <w:t xml:space="preserve">. This means that your identity will never be made public.  </w:t>
      </w:r>
    </w:p>
    <w:p w14:paraId="5F92598E" w14:textId="77777777" w:rsidR="00DB19B5" w:rsidRPr="0090788E" w:rsidRDefault="00DB19B5" w:rsidP="00DB19B5">
      <w:pPr>
        <w:spacing w:line="240" w:lineRule="auto"/>
        <w:jc w:val="both"/>
        <w:rPr>
          <w:rFonts w:eastAsia="Times New Roman"/>
        </w:rPr>
      </w:pPr>
    </w:p>
    <w:p w14:paraId="0C829693" w14:textId="77777777" w:rsidR="00DB19B5" w:rsidRDefault="00DB19B5" w:rsidP="00DB19B5">
      <w:pPr>
        <w:pStyle w:val="Body3"/>
        <w:numPr>
          <w:ilvl w:val="0"/>
          <w:numId w:val="0"/>
        </w:numPr>
        <w:spacing w:after="0" w:line="240" w:lineRule="auto"/>
        <w:rPr>
          <w:rFonts w:ascii="Times New Roman" w:hAnsi="Times New Roman" w:cs="Times New Roman"/>
          <w:szCs w:val="24"/>
        </w:rPr>
      </w:pPr>
      <w:r w:rsidRPr="0090788E">
        <w:rPr>
          <w:rFonts w:ascii="Times New Roman" w:hAnsi="Times New Roman" w:cs="Times New Roman"/>
          <w:szCs w:val="24"/>
        </w:rPr>
        <w:t xml:space="preserve">Your participation in this research is voluntary (it is your choice) and whether or not you choose to participate will neither advantage nor disadvantage you. You are able to withdraw from the study at any time. If you choose to withdraw from the study, then you will be offered the choice between having any data that is identifiable as belonging to you removed or </w:t>
      </w:r>
      <w:r>
        <w:rPr>
          <w:rFonts w:ascii="Times New Roman" w:hAnsi="Times New Roman" w:cs="Times New Roman"/>
          <w:szCs w:val="24"/>
        </w:rPr>
        <w:t>allowing</w:t>
      </w:r>
      <w:r w:rsidRPr="0090788E">
        <w:rPr>
          <w:rFonts w:ascii="Times New Roman" w:hAnsi="Times New Roman" w:cs="Times New Roman"/>
          <w:szCs w:val="24"/>
        </w:rPr>
        <w:t xml:space="preserve"> it to continue to be used. </w:t>
      </w:r>
      <w:r>
        <w:rPr>
          <w:rFonts w:ascii="Times New Roman" w:hAnsi="Times New Roman" w:cs="Times New Roman"/>
          <w:szCs w:val="24"/>
        </w:rPr>
        <w:t>O</w:t>
      </w:r>
      <w:r w:rsidRPr="0090788E">
        <w:rPr>
          <w:rFonts w:ascii="Times New Roman" w:hAnsi="Times New Roman" w:cs="Times New Roman"/>
          <w:szCs w:val="24"/>
        </w:rPr>
        <w:t xml:space="preserve">nce the findings have been produced </w:t>
      </w:r>
      <w:r w:rsidRPr="0090788E">
        <w:rPr>
          <w:rFonts w:ascii="Times New Roman" w:eastAsia="Times New Roman" w:hAnsi="Times New Roman" w:cs="Times New Roman"/>
          <w:szCs w:val="24"/>
        </w:rPr>
        <w:t>(approx. date</w:t>
      </w:r>
      <w:r>
        <w:rPr>
          <w:rFonts w:ascii="Times New Roman" w:eastAsia="Times New Roman" w:hAnsi="Times New Roman" w:cs="Times New Roman"/>
          <w:szCs w:val="24"/>
        </w:rPr>
        <w:t>:</w:t>
      </w:r>
      <w:r w:rsidRPr="0090788E">
        <w:rPr>
          <w:rFonts w:ascii="Times New Roman" w:eastAsia="Times New Roman" w:hAnsi="Times New Roman" w:cs="Times New Roman"/>
          <w:szCs w:val="24"/>
        </w:rPr>
        <w:t xml:space="preserve"> </w:t>
      </w:r>
      <w:r>
        <w:rPr>
          <w:rFonts w:ascii="Times New Roman" w:eastAsia="Times New Roman" w:hAnsi="Times New Roman" w:cs="Times New Roman"/>
          <w:szCs w:val="24"/>
        </w:rPr>
        <w:t>July</w:t>
      </w:r>
      <w:r w:rsidRPr="0090788E">
        <w:rPr>
          <w:rFonts w:ascii="Times New Roman" w:eastAsia="Times New Roman" w:hAnsi="Times New Roman" w:cs="Times New Roman"/>
          <w:szCs w:val="24"/>
        </w:rPr>
        <w:t xml:space="preserve"> 20</w:t>
      </w:r>
      <w:r>
        <w:rPr>
          <w:rFonts w:ascii="Times New Roman" w:eastAsia="Times New Roman" w:hAnsi="Times New Roman" w:cs="Times New Roman"/>
          <w:szCs w:val="24"/>
        </w:rPr>
        <w:t>20</w:t>
      </w:r>
      <w:r w:rsidRPr="0090788E">
        <w:rPr>
          <w:rFonts w:ascii="Times New Roman" w:eastAsia="Times New Roman" w:hAnsi="Times New Roman" w:cs="Times New Roman"/>
          <w:szCs w:val="24"/>
        </w:rPr>
        <w:t>)</w:t>
      </w:r>
      <w:r w:rsidRPr="0090788E">
        <w:rPr>
          <w:rFonts w:ascii="Times New Roman" w:hAnsi="Times New Roman" w:cs="Times New Roman"/>
          <w:szCs w:val="24"/>
        </w:rPr>
        <w:t xml:space="preserve">, removal of your data </w:t>
      </w:r>
      <w:r>
        <w:rPr>
          <w:rFonts w:ascii="Times New Roman" w:hAnsi="Times New Roman" w:cs="Times New Roman"/>
          <w:szCs w:val="24"/>
        </w:rPr>
        <w:t>will</w:t>
      </w:r>
      <w:r w:rsidRPr="0090788E">
        <w:rPr>
          <w:rFonts w:ascii="Times New Roman" w:hAnsi="Times New Roman" w:cs="Times New Roman"/>
          <w:szCs w:val="24"/>
        </w:rPr>
        <w:t xml:space="preserve"> not be possible.</w:t>
      </w:r>
    </w:p>
    <w:p w14:paraId="08D72DCB" w14:textId="77777777" w:rsidR="00DB19B5" w:rsidRDefault="00DB19B5" w:rsidP="00DB19B5">
      <w:pPr>
        <w:pStyle w:val="Body3"/>
        <w:numPr>
          <w:ilvl w:val="0"/>
          <w:numId w:val="0"/>
        </w:numPr>
        <w:spacing w:after="0" w:line="240" w:lineRule="auto"/>
        <w:rPr>
          <w:rFonts w:ascii="Times New Roman" w:hAnsi="Times New Roman" w:cs="Times New Roman"/>
          <w:szCs w:val="24"/>
        </w:rPr>
      </w:pPr>
    </w:p>
    <w:p w14:paraId="4204748D" w14:textId="77777777" w:rsidR="00DB19B5" w:rsidRPr="0090788E" w:rsidRDefault="00DB19B5" w:rsidP="00DB19B5">
      <w:pPr>
        <w:spacing w:line="240" w:lineRule="auto"/>
        <w:jc w:val="both"/>
        <w:rPr>
          <w:rFonts w:eastAsia="Times New Roman"/>
          <w:b/>
        </w:rPr>
      </w:pPr>
      <w:r w:rsidRPr="0090788E">
        <w:rPr>
          <w:rFonts w:eastAsia="Times New Roman"/>
          <w:b/>
        </w:rPr>
        <w:t>Risks and benefits</w:t>
      </w:r>
    </w:p>
    <w:p w14:paraId="3FF81AB7" w14:textId="77777777" w:rsidR="00DB19B5" w:rsidRDefault="00DB19B5" w:rsidP="00DB19B5">
      <w:pPr>
        <w:spacing w:line="240" w:lineRule="auto"/>
        <w:jc w:val="both"/>
        <w:rPr>
          <w:rFonts w:eastAsia="Times New Roman"/>
        </w:rPr>
      </w:pPr>
      <w:r w:rsidRPr="0090788E">
        <w:rPr>
          <w:rFonts w:eastAsia="Times New Roman"/>
        </w:rPr>
        <w:t xml:space="preserve">There are no anticipated risks to participating in this research.  We hope that you find participation in this research encouraging and </w:t>
      </w:r>
      <w:r>
        <w:rPr>
          <w:rFonts w:eastAsia="Times New Roman"/>
        </w:rPr>
        <w:t>supportive</w:t>
      </w:r>
      <w:r w:rsidRPr="0090788E">
        <w:rPr>
          <w:rFonts w:eastAsia="Times New Roman"/>
        </w:rPr>
        <w:t xml:space="preserve"> of the important work that you do.</w:t>
      </w:r>
    </w:p>
    <w:p w14:paraId="2C25C1FD" w14:textId="77777777" w:rsidR="00DB19B5" w:rsidRDefault="00DB19B5" w:rsidP="00DB19B5">
      <w:pPr>
        <w:spacing w:line="240" w:lineRule="auto"/>
        <w:jc w:val="both"/>
        <w:rPr>
          <w:rFonts w:eastAsia="Times New Roman"/>
        </w:rPr>
      </w:pPr>
    </w:p>
    <w:p w14:paraId="3F8FC2C7" w14:textId="77777777" w:rsidR="00DB19B5" w:rsidRDefault="00DB19B5" w:rsidP="00DB19B5">
      <w:pPr>
        <w:spacing w:line="240" w:lineRule="auto"/>
        <w:jc w:val="both"/>
        <w:rPr>
          <w:rFonts w:eastAsia="Times New Roman"/>
        </w:rPr>
      </w:pPr>
      <w:r>
        <w:rPr>
          <w:rFonts w:eastAsia="Times New Roman"/>
        </w:rPr>
        <w:t>Costs of participating in this research: An interview is likely to last 45-60 minutes.</w:t>
      </w:r>
      <w:r w:rsidRPr="0090788E">
        <w:rPr>
          <w:rFonts w:eastAsia="Times New Roman"/>
        </w:rPr>
        <w:t xml:space="preserve"> </w:t>
      </w:r>
      <w:r>
        <w:rPr>
          <w:rFonts w:eastAsia="Times New Roman"/>
        </w:rPr>
        <w:t>A questionnaire will take approximate 30-45 minutes to complete. Overall, your time commitment to this study is likely to be between 1 and 3 hours over the course of approximately five months.</w:t>
      </w:r>
      <w:r w:rsidRPr="0090788E">
        <w:rPr>
          <w:rFonts w:eastAsia="Times New Roman"/>
        </w:rPr>
        <w:t xml:space="preserve"> </w:t>
      </w:r>
    </w:p>
    <w:p w14:paraId="09302B28" w14:textId="77777777" w:rsidR="00DB19B5" w:rsidRPr="0090788E" w:rsidRDefault="00DB19B5" w:rsidP="00DB19B5">
      <w:pPr>
        <w:spacing w:line="240" w:lineRule="auto"/>
        <w:jc w:val="both"/>
        <w:rPr>
          <w:rFonts w:eastAsia="Times New Roman"/>
        </w:rPr>
      </w:pPr>
    </w:p>
    <w:p w14:paraId="17F44F5D" w14:textId="77777777" w:rsidR="00DB19B5" w:rsidRPr="0090788E" w:rsidRDefault="00DB19B5" w:rsidP="00DB19B5">
      <w:pPr>
        <w:spacing w:line="240" w:lineRule="auto"/>
        <w:jc w:val="both"/>
        <w:rPr>
          <w:rFonts w:eastAsia="Times New Roman"/>
          <w:b/>
        </w:rPr>
      </w:pPr>
      <w:r w:rsidRPr="0090788E">
        <w:rPr>
          <w:rFonts w:eastAsia="Times New Roman"/>
          <w:b/>
        </w:rPr>
        <w:t>Research findings</w:t>
      </w:r>
    </w:p>
    <w:p w14:paraId="12954E3F" w14:textId="77777777" w:rsidR="00DB19B5" w:rsidRDefault="00DB19B5" w:rsidP="00DB19B5">
      <w:pPr>
        <w:spacing w:line="240" w:lineRule="auto"/>
        <w:jc w:val="both"/>
        <w:rPr>
          <w:rFonts w:eastAsia="Times New Roman"/>
        </w:rPr>
      </w:pPr>
      <w:r w:rsidRPr="0090788E">
        <w:rPr>
          <w:rFonts w:eastAsia="Times New Roman"/>
        </w:rPr>
        <w:t xml:space="preserve">You are welcome to a summary of the research findings (please indicate </w:t>
      </w:r>
      <w:r>
        <w:rPr>
          <w:rFonts w:eastAsia="Times New Roman"/>
        </w:rPr>
        <w:t>at the interview</w:t>
      </w:r>
      <w:r w:rsidRPr="0090788E">
        <w:rPr>
          <w:rFonts w:eastAsia="Times New Roman"/>
        </w:rPr>
        <w:t xml:space="preserve"> whether you would like to receive a copy). The summary of findings will be sent via email after the </w:t>
      </w:r>
      <w:r>
        <w:rPr>
          <w:rFonts w:eastAsia="Times New Roman"/>
        </w:rPr>
        <w:t>study has been completed</w:t>
      </w:r>
      <w:r w:rsidRPr="0090788E">
        <w:rPr>
          <w:rFonts w:eastAsia="Times New Roman"/>
        </w:rPr>
        <w:t>.</w:t>
      </w:r>
      <w:r>
        <w:rPr>
          <w:rFonts w:eastAsia="Times New Roman"/>
        </w:rPr>
        <w:t xml:space="preserve"> A copy of the final report will be made available on the Gambling and Addictions Research Centre website (</w:t>
      </w:r>
      <w:r w:rsidRPr="00885ADB">
        <w:rPr>
          <w:rFonts w:eastAsia="Times New Roman"/>
        </w:rPr>
        <w:t>https://niphmhr.aut.ac.nz/research-centres/gambling-and-addictions-research-centre</w:t>
      </w:r>
      <w:r>
        <w:rPr>
          <w:rFonts w:eastAsia="Times New Roman"/>
        </w:rPr>
        <w:t>).</w:t>
      </w:r>
      <w:r w:rsidRPr="0090788E">
        <w:rPr>
          <w:rFonts w:eastAsia="Times New Roman"/>
        </w:rPr>
        <w:t xml:space="preserve"> </w:t>
      </w:r>
    </w:p>
    <w:p w14:paraId="04E787DA" w14:textId="77777777" w:rsidR="00DB19B5" w:rsidRPr="0090788E" w:rsidRDefault="00DB19B5" w:rsidP="00DB19B5">
      <w:pPr>
        <w:spacing w:line="240" w:lineRule="auto"/>
        <w:jc w:val="both"/>
        <w:rPr>
          <w:rFonts w:eastAsia="Times New Roman"/>
        </w:rPr>
      </w:pPr>
    </w:p>
    <w:p w14:paraId="41537C2E" w14:textId="77777777" w:rsidR="00DB19B5" w:rsidRPr="0090788E" w:rsidRDefault="00DB19B5" w:rsidP="00DB19B5">
      <w:pPr>
        <w:spacing w:line="240" w:lineRule="auto"/>
        <w:jc w:val="both"/>
        <w:rPr>
          <w:rFonts w:eastAsia="Times New Roman"/>
          <w:b/>
        </w:rPr>
      </w:pPr>
      <w:r w:rsidRPr="0090788E">
        <w:rPr>
          <w:rFonts w:eastAsia="Times New Roman"/>
          <w:b/>
        </w:rPr>
        <w:t>Queries or concerns</w:t>
      </w:r>
    </w:p>
    <w:p w14:paraId="3ACFBD37" w14:textId="77777777" w:rsidR="00DB19B5" w:rsidRDefault="00DB19B5" w:rsidP="00DB19B5">
      <w:pPr>
        <w:spacing w:line="240" w:lineRule="auto"/>
        <w:jc w:val="both"/>
        <w:rPr>
          <w:rFonts w:eastAsia="Times New Roman"/>
        </w:rPr>
      </w:pPr>
      <w:r w:rsidRPr="0090788E">
        <w:rPr>
          <w:rFonts w:eastAsia="Times New Roman"/>
        </w:rPr>
        <w:t xml:space="preserve">If you agree to participate, we will ask you to sign a consent form indicating that you have understood the information in this letter. If you have any further questions about this project you can contact the research team at the addresses below.  </w:t>
      </w:r>
    </w:p>
    <w:p w14:paraId="4E9AABEA" w14:textId="77777777" w:rsidR="00DB19B5" w:rsidRDefault="00DB19B5" w:rsidP="00DB19B5">
      <w:pPr>
        <w:spacing w:line="240" w:lineRule="auto"/>
        <w:jc w:val="both"/>
        <w:rPr>
          <w:rFonts w:eastAsia="Times New Roma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B19B5" w14:paraId="37F21863" w14:textId="77777777" w:rsidTr="00E02AFD">
        <w:tc>
          <w:tcPr>
            <w:tcW w:w="4508" w:type="dxa"/>
          </w:tcPr>
          <w:p w14:paraId="1EC20E0C" w14:textId="77777777" w:rsidR="00DB19B5" w:rsidRPr="000F12D1" w:rsidRDefault="00DB19B5" w:rsidP="00E02AFD">
            <w:pPr>
              <w:spacing w:before="160" w:line="240" w:lineRule="auto"/>
              <w:jc w:val="both"/>
              <w:rPr>
                <w:rFonts w:eastAsia="Times New Roman"/>
              </w:rPr>
            </w:pPr>
            <w:r w:rsidRPr="000F12D1">
              <w:rPr>
                <w:rFonts w:eastAsia="Times New Roman"/>
              </w:rPr>
              <w:t xml:space="preserve">Dr </w:t>
            </w:r>
            <w:r>
              <w:rPr>
                <w:rFonts w:eastAsia="Times New Roman"/>
              </w:rPr>
              <w:t>Katie Palmer du Preez (p</w:t>
            </w:r>
            <w:r w:rsidRPr="000F12D1">
              <w:rPr>
                <w:rFonts w:eastAsia="Times New Roman"/>
              </w:rPr>
              <w:t>rimary researcher)</w:t>
            </w:r>
          </w:p>
          <w:p w14:paraId="15A19444" w14:textId="77777777" w:rsidR="00DB19B5" w:rsidRDefault="00DB19B5" w:rsidP="00E02AFD">
            <w:pPr>
              <w:spacing w:line="240" w:lineRule="auto"/>
              <w:jc w:val="both"/>
              <w:rPr>
                <w:rFonts w:eastAsia="Times New Roman"/>
              </w:rPr>
            </w:pPr>
            <w:r>
              <w:rPr>
                <w:rFonts w:eastAsia="Times New Roman"/>
              </w:rPr>
              <w:t xml:space="preserve">Gambling and Addictions Research Centre </w:t>
            </w:r>
          </w:p>
          <w:p w14:paraId="72C1A721" w14:textId="77777777" w:rsidR="00DB19B5" w:rsidRPr="000F12D1" w:rsidRDefault="00DB19B5" w:rsidP="00E02AFD">
            <w:pPr>
              <w:spacing w:line="240" w:lineRule="auto"/>
              <w:jc w:val="both"/>
              <w:rPr>
                <w:rFonts w:eastAsia="Times New Roman"/>
              </w:rPr>
            </w:pPr>
            <w:r w:rsidRPr="000F12D1">
              <w:rPr>
                <w:rFonts w:eastAsia="Times New Roman"/>
              </w:rPr>
              <w:lastRenderedPageBreak/>
              <w:t>Auckland University of Technology</w:t>
            </w:r>
          </w:p>
          <w:p w14:paraId="0A358032" w14:textId="77777777" w:rsidR="00DB19B5" w:rsidRPr="000F12D1" w:rsidRDefault="00DB19B5" w:rsidP="00E02AFD">
            <w:pPr>
              <w:spacing w:line="240" w:lineRule="auto"/>
              <w:jc w:val="both"/>
              <w:rPr>
                <w:rFonts w:eastAsia="Times New Roman"/>
              </w:rPr>
            </w:pPr>
            <w:r w:rsidRPr="000F12D1">
              <w:rPr>
                <w:rFonts w:eastAsia="Times New Roman"/>
              </w:rPr>
              <w:t xml:space="preserve">Ph. 09 921 9999 ext. </w:t>
            </w:r>
            <w:r>
              <w:rPr>
                <w:rFonts w:eastAsia="Times New Roman"/>
              </w:rPr>
              <w:t>7640</w:t>
            </w:r>
          </w:p>
          <w:p w14:paraId="4183C486" w14:textId="77777777" w:rsidR="00DB19B5" w:rsidRDefault="00DB19B5" w:rsidP="00E02AFD">
            <w:pPr>
              <w:spacing w:after="160" w:line="240" w:lineRule="auto"/>
              <w:jc w:val="both"/>
              <w:rPr>
                <w:rFonts w:eastAsia="Times New Roman"/>
              </w:rPr>
            </w:pPr>
            <w:r>
              <w:rPr>
                <w:rFonts w:eastAsia="Times New Roman"/>
              </w:rPr>
              <w:t>katie</w:t>
            </w:r>
            <w:r w:rsidRPr="000F12D1">
              <w:rPr>
                <w:rFonts w:eastAsia="Times New Roman"/>
              </w:rPr>
              <w:t>.</w:t>
            </w:r>
            <w:r>
              <w:rPr>
                <w:rFonts w:eastAsia="Times New Roman"/>
              </w:rPr>
              <w:t>palmerdupreez</w:t>
            </w:r>
            <w:r w:rsidRPr="000F12D1">
              <w:rPr>
                <w:rFonts w:eastAsia="Times New Roman"/>
              </w:rPr>
              <w:t>@aut.ac.nz</w:t>
            </w:r>
          </w:p>
        </w:tc>
        <w:tc>
          <w:tcPr>
            <w:tcW w:w="4508" w:type="dxa"/>
          </w:tcPr>
          <w:p w14:paraId="771711A8" w14:textId="77777777" w:rsidR="00DB19B5" w:rsidRPr="000F12D1" w:rsidRDefault="00DB19B5" w:rsidP="00E02AFD">
            <w:pPr>
              <w:spacing w:before="160" w:line="240" w:lineRule="auto"/>
              <w:jc w:val="both"/>
              <w:rPr>
                <w:rFonts w:eastAsia="Times New Roman"/>
              </w:rPr>
            </w:pPr>
            <w:r w:rsidRPr="000F12D1">
              <w:rPr>
                <w:rFonts w:eastAsia="Times New Roman"/>
              </w:rPr>
              <w:lastRenderedPageBreak/>
              <w:t xml:space="preserve">Dr Giulia Lowe </w:t>
            </w:r>
          </w:p>
          <w:p w14:paraId="4B0D5716" w14:textId="77777777" w:rsidR="00DB19B5" w:rsidRPr="000F12D1" w:rsidRDefault="00DB19B5" w:rsidP="00E02AFD">
            <w:pPr>
              <w:spacing w:line="240" w:lineRule="auto"/>
              <w:jc w:val="both"/>
              <w:rPr>
                <w:rFonts w:eastAsia="Times New Roman"/>
              </w:rPr>
            </w:pPr>
            <w:r>
              <w:rPr>
                <w:rFonts w:eastAsia="Times New Roman"/>
              </w:rPr>
              <w:t>Gambling and Addictions Research Centre</w:t>
            </w:r>
          </w:p>
          <w:p w14:paraId="59D2C6F9" w14:textId="77777777" w:rsidR="00DB19B5" w:rsidRPr="000F12D1" w:rsidRDefault="00DB19B5" w:rsidP="00E02AFD">
            <w:pPr>
              <w:spacing w:line="240" w:lineRule="auto"/>
              <w:jc w:val="both"/>
              <w:rPr>
                <w:rFonts w:eastAsia="Times New Roman"/>
              </w:rPr>
            </w:pPr>
            <w:r w:rsidRPr="000F12D1">
              <w:rPr>
                <w:rFonts w:eastAsia="Times New Roman"/>
              </w:rPr>
              <w:t>Auckland University of Technology</w:t>
            </w:r>
          </w:p>
          <w:p w14:paraId="06283273" w14:textId="77777777" w:rsidR="00DB19B5" w:rsidRPr="000F12D1" w:rsidRDefault="00DB19B5" w:rsidP="00E02AFD">
            <w:pPr>
              <w:spacing w:line="240" w:lineRule="auto"/>
              <w:jc w:val="both"/>
              <w:rPr>
                <w:rFonts w:eastAsia="Times New Roman"/>
              </w:rPr>
            </w:pPr>
            <w:r w:rsidRPr="000F12D1">
              <w:rPr>
                <w:rFonts w:eastAsia="Times New Roman"/>
              </w:rPr>
              <w:lastRenderedPageBreak/>
              <w:t>Ph. 09 921 9999 ext. 8164</w:t>
            </w:r>
          </w:p>
          <w:p w14:paraId="4F242025" w14:textId="77777777" w:rsidR="00DB19B5" w:rsidRDefault="00DB19B5" w:rsidP="00E02AFD">
            <w:pPr>
              <w:spacing w:line="240" w:lineRule="auto"/>
              <w:jc w:val="both"/>
              <w:rPr>
                <w:rFonts w:eastAsia="Times New Roman"/>
              </w:rPr>
            </w:pPr>
            <w:r w:rsidRPr="000F12D1">
              <w:rPr>
                <w:rFonts w:eastAsia="Times New Roman"/>
              </w:rPr>
              <w:t>giulia.lowe@aut.ac.nz</w:t>
            </w:r>
          </w:p>
        </w:tc>
      </w:tr>
    </w:tbl>
    <w:p w14:paraId="5D9E6BD9" w14:textId="77777777" w:rsidR="00DB19B5" w:rsidRDefault="00DB19B5" w:rsidP="00DB19B5">
      <w:pPr>
        <w:spacing w:line="240" w:lineRule="auto"/>
        <w:jc w:val="both"/>
        <w:rPr>
          <w:rFonts w:eastAsia="Times New Roman"/>
        </w:rPr>
      </w:pPr>
    </w:p>
    <w:p w14:paraId="219C5487" w14:textId="77777777" w:rsidR="00DB19B5" w:rsidRDefault="00DB19B5" w:rsidP="00DB19B5">
      <w:pPr>
        <w:jc w:val="both"/>
      </w:pPr>
      <w:r>
        <w:t>A</w:t>
      </w:r>
      <w:r w:rsidRPr="0090788E">
        <w:t>ny queries regarding ethical</w:t>
      </w:r>
      <w:r>
        <w:t xml:space="preserve"> or conduct</w:t>
      </w:r>
      <w:r w:rsidRPr="0090788E">
        <w:t xml:space="preserve"> concerns </w:t>
      </w:r>
      <w:r>
        <w:t>should be notified to</w:t>
      </w:r>
      <w:r w:rsidRPr="0090788E">
        <w:t xml:space="preserve"> </w:t>
      </w:r>
      <w:r>
        <w:t xml:space="preserve">Kate O’Connor, </w:t>
      </w:r>
      <w:r w:rsidRPr="0090788E">
        <w:t xml:space="preserve">the Executive Secretary of Auckland University of Technology Ethics Committee: email: </w:t>
      </w:r>
      <w:r w:rsidRPr="0090788E">
        <w:rPr>
          <w:i/>
        </w:rPr>
        <w:t>ethics@aut.ac.nz</w:t>
      </w:r>
      <w:r w:rsidRPr="0090788E">
        <w:t>; Phone 921 9999 ext. 6038</w:t>
      </w:r>
    </w:p>
    <w:p w14:paraId="056379B7" w14:textId="63AD2901" w:rsidR="00DB19B5" w:rsidRPr="000F12D1" w:rsidRDefault="00DB19B5" w:rsidP="00DB19B5">
      <w:pPr>
        <w:pStyle w:val="Body3"/>
        <w:numPr>
          <w:ilvl w:val="0"/>
          <w:numId w:val="0"/>
        </w:numPr>
        <w:rPr>
          <w:rFonts w:ascii="Times New Roman" w:eastAsiaTheme="minorEastAsia" w:hAnsi="Times New Roman" w:cs="Times New Roman"/>
          <w:szCs w:val="24"/>
        </w:rPr>
      </w:pPr>
      <w:r w:rsidRPr="0090788E">
        <w:rPr>
          <w:rFonts w:ascii="Times New Roman" w:hAnsi="Times New Roman" w:cs="Times New Roman"/>
          <w:szCs w:val="24"/>
        </w:rPr>
        <w:t>This research was approved by the Auckland University of Technology Ethics Committee on</w:t>
      </w:r>
      <w:r>
        <w:rPr>
          <w:rFonts w:ascii="Times New Roman" w:hAnsi="Times New Roman" w:cs="Times New Roman"/>
          <w:szCs w:val="24"/>
        </w:rPr>
        <w:t xml:space="preserve"> 8 November, 2019, Reference number </w:t>
      </w:r>
      <w:r w:rsidRPr="00DB19B5">
        <w:rPr>
          <w:rFonts w:ascii="Times New Roman" w:hAnsi="Times New Roman" w:cs="Times New Roman"/>
          <w:szCs w:val="24"/>
        </w:rPr>
        <w:t>19/387</w:t>
      </w:r>
      <w:r>
        <w:rPr>
          <w:rFonts w:ascii="Times New Roman" w:hAnsi="Times New Roman" w:cs="Times New Roman"/>
          <w:szCs w:val="24"/>
        </w:rPr>
        <w:t>.</w:t>
      </w:r>
    </w:p>
    <w:p w14:paraId="54411D92" w14:textId="77777777" w:rsidR="00DB19B5" w:rsidRDefault="00DB19B5" w:rsidP="00DB19B5">
      <w:pPr>
        <w:jc w:val="center"/>
      </w:pPr>
      <w:r>
        <w:t>Please keep this Information Sheet and a copy of the Consent Form for your future reference.</w:t>
      </w:r>
    </w:p>
    <w:p w14:paraId="61185DCD" w14:textId="77777777" w:rsidR="00DB19B5" w:rsidRPr="003C10FD" w:rsidRDefault="00DB19B5" w:rsidP="00DB19B5">
      <w:pPr>
        <w:jc w:val="center"/>
      </w:pPr>
      <w:r>
        <w:t>Thank you for taking the time to consider this research.</w:t>
      </w:r>
    </w:p>
    <w:p w14:paraId="120A1759" w14:textId="6A03B9A6" w:rsidR="00DB19B5" w:rsidRDefault="00DB19B5" w:rsidP="00C65586"/>
    <w:p w14:paraId="2BF5F896" w14:textId="164E5FD2" w:rsidR="00DB19B5" w:rsidRDefault="00DB19B5" w:rsidP="00C65586"/>
    <w:p w14:paraId="57BEC026" w14:textId="77777777" w:rsidR="00DB19B5" w:rsidRDefault="00DB19B5" w:rsidP="00C65586"/>
    <w:p w14:paraId="18F8ADC5" w14:textId="77777777" w:rsidR="00C65586" w:rsidRDefault="00C65586" w:rsidP="00C65586"/>
    <w:p w14:paraId="04949902" w14:textId="77777777" w:rsidR="00C65586" w:rsidRDefault="00C65586">
      <w:pPr>
        <w:spacing w:after="160" w:line="259" w:lineRule="auto"/>
        <w:rPr>
          <w:b/>
        </w:rPr>
      </w:pPr>
      <w:r>
        <w:br w:type="page"/>
      </w:r>
    </w:p>
    <w:p w14:paraId="3F1E092B" w14:textId="11C169AA" w:rsidR="001B041E" w:rsidRPr="005C46A2" w:rsidRDefault="001B041E" w:rsidP="00495C74">
      <w:pPr>
        <w:pStyle w:val="Heading1"/>
        <w:shd w:val="clear" w:color="auto" w:fill="auto"/>
        <w:jc w:val="both"/>
      </w:pPr>
      <w:bookmarkStart w:id="223" w:name="_Toc58400804"/>
      <w:r w:rsidRPr="005C46A2">
        <w:lastRenderedPageBreak/>
        <w:t xml:space="preserve">APPENDIX </w:t>
      </w:r>
      <w:r w:rsidR="00C65586">
        <w:t>T</w:t>
      </w:r>
      <w:r w:rsidR="00341FAE">
        <w:t>HREE</w:t>
      </w:r>
      <w:r w:rsidRPr="005C46A2">
        <w:t xml:space="preserve">: Round One </w:t>
      </w:r>
      <w:r w:rsidR="00215BC8" w:rsidRPr="005C46A2">
        <w:t>Questionnaire</w:t>
      </w:r>
      <w:bookmarkEnd w:id="223"/>
      <w:r w:rsidRPr="005C46A2">
        <w:t xml:space="preserve"> </w:t>
      </w:r>
    </w:p>
    <w:p w14:paraId="6029EE21" w14:textId="77777777" w:rsidR="000676F2" w:rsidRPr="005C46A2" w:rsidRDefault="000676F2" w:rsidP="00495C74">
      <w:pPr>
        <w:spacing w:line="259" w:lineRule="auto"/>
        <w:jc w:val="both"/>
        <w:rPr>
          <w:rFonts w:eastAsia="Calibri"/>
          <w:b/>
          <w:bCs/>
          <w:i/>
          <w:iCs/>
          <w:caps/>
          <w:sz w:val="16"/>
          <w:szCs w:val="16"/>
        </w:rPr>
      </w:pPr>
      <w:r w:rsidRPr="005C46A2">
        <w:rPr>
          <w:rFonts w:eastAsia="Calibri"/>
          <w:b/>
          <w:bCs/>
          <w:i/>
          <w:iCs/>
          <w:caps/>
          <w:sz w:val="18"/>
          <w:szCs w:val="18"/>
        </w:rPr>
        <w:t>Page 0 – CONSENT</w:t>
      </w:r>
    </w:p>
    <w:p w14:paraId="43A14B6B" w14:textId="77777777" w:rsidR="000676F2" w:rsidRPr="005C46A2" w:rsidRDefault="000676F2" w:rsidP="00495C74">
      <w:pPr>
        <w:jc w:val="both"/>
        <w:rPr>
          <w:b/>
          <w:bCs/>
        </w:rPr>
      </w:pPr>
      <w:r w:rsidRPr="005C46A2">
        <w:rPr>
          <w:b/>
          <w:bCs/>
        </w:rPr>
        <w:t>QUESTIONNAIRE: INFORMATION &amp; CONSENT</w:t>
      </w:r>
    </w:p>
    <w:p w14:paraId="1DD72323" w14:textId="77777777" w:rsidR="000676F2" w:rsidRPr="005C46A2" w:rsidRDefault="000676F2" w:rsidP="00495C74">
      <w:pPr>
        <w:spacing w:line="240" w:lineRule="auto"/>
        <w:ind w:right="686"/>
        <w:jc w:val="both"/>
        <w:rPr>
          <w:rFonts w:eastAsia="Times New Roman"/>
          <w:b/>
          <w:sz w:val="22"/>
          <w:szCs w:val="22"/>
          <w:lang w:val="en-US"/>
        </w:rPr>
      </w:pPr>
      <w:r w:rsidRPr="005C46A2">
        <w:rPr>
          <w:rFonts w:eastAsia="Times New Roman"/>
          <w:b/>
          <w:sz w:val="22"/>
          <w:szCs w:val="22"/>
          <w:lang w:val="en-US"/>
        </w:rPr>
        <w:t>Enhancing Support Provided for Family Members and Affected Others in New Zealand Gambling Services</w:t>
      </w:r>
    </w:p>
    <w:p w14:paraId="616BB255" w14:textId="77777777" w:rsidR="000676F2" w:rsidRPr="005C46A2" w:rsidRDefault="000676F2" w:rsidP="00495C74">
      <w:pPr>
        <w:spacing w:line="240" w:lineRule="auto"/>
        <w:ind w:right="686"/>
        <w:jc w:val="both"/>
        <w:rPr>
          <w:rFonts w:eastAsia="Times New Roman"/>
          <w:b/>
          <w:lang w:val="en-US"/>
        </w:rPr>
      </w:pPr>
      <w:r w:rsidRPr="005C46A2">
        <w:rPr>
          <w:rFonts w:eastAsia="Times New Roman"/>
          <w:b/>
          <w:lang w:val="en-US"/>
        </w:rPr>
        <w:t xml:space="preserve"> </w:t>
      </w:r>
    </w:p>
    <w:p w14:paraId="7BA53EB1" w14:textId="77777777" w:rsidR="000676F2" w:rsidRPr="005C46A2" w:rsidRDefault="000676F2" w:rsidP="00495C74">
      <w:pPr>
        <w:spacing w:line="240" w:lineRule="auto"/>
        <w:jc w:val="both"/>
        <w:rPr>
          <w:rFonts w:eastAsia="Times New Roman"/>
          <w:sz w:val="20"/>
          <w:szCs w:val="20"/>
        </w:rPr>
      </w:pPr>
      <w:r w:rsidRPr="005C46A2">
        <w:rPr>
          <w:rFonts w:eastAsia="Times New Roman"/>
          <w:b/>
          <w:sz w:val="20"/>
          <w:szCs w:val="20"/>
        </w:rPr>
        <w:t>Researchers:</w:t>
      </w:r>
      <w:r w:rsidRPr="005C46A2">
        <w:rPr>
          <w:rFonts w:eastAsia="Times New Roman"/>
          <w:sz w:val="20"/>
          <w:szCs w:val="20"/>
        </w:rPr>
        <w:t xml:space="preserve"> Dr Katie Palmer du Preez, Dr Giulia Lowe, Associate Professor Landon, Laura Mauchline. </w:t>
      </w:r>
    </w:p>
    <w:p w14:paraId="0D630803" w14:textId="77777777" w:rsidR="000676F2" w:rsidRPr="005C46A2" w:rsidRDefault="000676F2" w:rsidP="00495C74">
      <w:pPr>
        <w:spacing w:line="240" w:lineRule="auto"/>
        <w:jc w:val="both"/>
        <w:rPr>
          <w:rFonts w:eastAsia="Times New Roman"/>
          <w:sz w:val="20"/>
          <w:szCs w:val="20"/>
        </w:rPr>
      </w:pPr>
    </w:p>
    <w:p w14:paraId="2B370A5F" w14:textId="77777777" w:rsidR="000676F2" w:rsidRPr="005C46A2" w:rsidRDefault="000676F2" w:rsidP="00495C74">
      <w:pPr>
        <w:spacing w:line="240" w:lineRule="auto"/>
        <w:jc w:val="both"/>
        <w:rPr>
          <w:rFonts w:eastAsia="Times New Roman"/>
          <w:sz w:val="20"/>
          <w:szCs w:val="20"/>
        </w:rPr>
      </w:pPr>
      <w:r w:rsidRPr="005C46A2">
        <w:rPr>
          <w:rFonts w:eastAsia="Times New Roman"/>
          <w:sz w:val="20"/>
          <w:szCs w:val="20"/>
        </w:rPr>
        <w:t xml:space="preserve">Thank you for participating in this Delphi study investigating quality and effective service design and delivery for family and others affected by gambling harm (FAOs). Below is a summary of information you would have received in your Participant Information Sheet in the email inviting you take part in this research. Please read thoroughly before continuing onto the next page. </w:t>
      </w:r>
    </w:p>
    <w:p w14:paraId="7995A996" w14:textId="77777777" w:rsidR="000676F2" w:rsidRPr="005C46A2" w:rsidRDefault="000676F2" w:rsidP="00495C74">
      <w:pPr>
        <w:spacing w:line="240" w:lineRule="auto"/>
        <w:jc w:val="both"/>
        <w:rPr>
          <w:rFonts w:eastAsia="Times New Roman"/>
          <w:sz w:val="20"/>
          <w:szCs w:val="20"/>
        </w:rPr>
      </w:pPr>
    </w:p>
    <w:p w14:paraId="7D97DFD7" w14:textId="77777777" w:rsidR="000676F2" w:rsidRPr="005C46A2" w:rsidRDefault="000676F2" w:rsidP="00495C74">
      <w:pPr>
        <w:spacing w:line="240" w:lineRule="auto"/>
        <w:jc w:val="both"/>
        <w:rPr>
          <w:rFonts w:eastAsia="Times New Roman"/>
          <w:sz w:val="20"/>
          <w:szCs w:val="20"/>
        </w:rPr>
      </w:pPr>
      <w:r w:rsidRPr="005C46A2">
        <w:rPr>
          <w:rFonts w:eastAsia="Times New Roman"/>
          <w:b/>
          <w:sz w:val="20"/>
          <w:szCs w:val="20"/>
        </w:rPr>
        <w:t xml:space="preserve">Research aims and description: </w:t>
      </w:r>
      <w:r w:rsidRPr="005C46A2">
        <w:rPr>
          <w:rFonts w:eastAsia="Times New Roman"/>
          <w:sz w:val="20"/>
          <w:szCs w:val="20"/>
        </w:rPr>
        <w:t>We wish to draw on your expertise and experience from working within the gambling and/or wider addictions sector to provide insight into appropriate and effective FAO support. It is hoped that findings from the study will reinforce the need and value of support services for FAOs, document current practice, as well as suggest opportunities for enhancement and/or development.</w:t>
      </w:r>
    </w:p>
    <w:p w14:paraId="46734127" w14:textId="77777777" w:rsidR="000676F2" w:rsidRPr="005C46A2" w:rsidRDefault="000676F2" w:rsidP="00495C74">
      <w:pPr>
        <w:spacing w:line="240" w:lineRule="auto"/>
        <w:jc w:val="both"/>
        <w:rPr>
          <w:rFonts w:eastAsia="Times New Roman"/>
          <w:sz w:val="20"/>
          <w:szCs w:val="20"/>
        </w:rPr>
      </w:pPr>
    </w:p>
    <w:p w14:paraId="4E974D5C" w14:textId="77777777" w:rsidR="000676F2" w:rsidRPr="005C46A2" w:rsidRDefault="000676F2" w:rsidP="00495C74">
      <w:pPr>
        <w:spacing w:line="240" w:lineRule="auto"/>
        <w:jc w:val="both"/>
        <w:rPr>
          <w:rFonts w:eastAsia="Times New Roman"/>
          <w:sz w:val="20"/>
          <w:szCs w:val="20"/>
        </w:rPr>
      </w:pPr>
      <w:r w:rsidRPr="005C46A2">
        <w:rPr>
          <w:rFonts w:eastAsia="Times New Roman"/>
          <w:sz w:val="20"/>
          <w:szCs w:val="20"/>
        </w:rPr>
        <w:t xml:space="preserve">This questionnaire forms </w:t>
      </w:r>
      <w:r w:rsidRPr="005C46A2">
        <w:rPr>
          <w:rFonts w:eastAsia="Times New Roman"/>
          <w:i/>
          <w:iCs/>
          <w:sz w:val="20"/>
          <w:szCs w:val="20"/>
        </w:rPr>
        <w:t>the F</w:t>
      </w:r>
      <w:r w:rsidRPr="005C46A2">
        <w:rPr>
          <w:rFonts w:eastAsia="Times New Roman"/>
          <w:i/>
          <w:sz w:val="20"/>
          <w:szCs w:val="20"/>
        </w:rPr>
        <w:t xml:space="preserve">irst Round </w:t>
      </w:r>
      <w:r w:rsidRPr="005C46A2">
        <w:rPr>
          <w:rFonts w:eastAsia="Times New Roman"/>
          <w:sz w:val="20"/>
          <w:szCs w:val="20"/>
        </w:rPr>
        <w:t>of the Critical Delphi Study and will take approximately 1 hour to complete. In this round, the questionnaire will include open-ended questions and ranking statements that have been developed as a result of a review of AOD, tobacco, and gambling FAO intervention studies. Support for FAOs is an emerging and growing area of research and practice. This Delphi study is an opportunity for gambling studies to consolidate existing knowledge and to learn from approaches taken with FAOs affected by other harmful commodities. Your experience and perspective will be used to enhance our understanding of how FAO services could be enhanced in the gambling field.</w:t>
      </w:r>
    </w:p>
    <w:p w14:paraId="1D7F943F" w14:textId="77777777" w:rsidR="000676F2" w:rsidRPr="005C46A2" w:rsidRDefault="000676F2" w:rsidP="00495C74">
      <w:pPr>
        <w:spacing w:line="240" w:lineRule="auto"/>
        <w:jc w:val="both"/>
        <w:rPr>
          <w:rFonts w:eastAsia="Times New Roman"/>
          <w:sz w:val="20"/>
          <w:szCs w:val="20"/>
        </w:rPr>
      </w:pPr>
    </w:p>
    <w:p w14:paraId="4266F5DA" w14:textId="77777777" w:rsidR="000676F2" w:rsidRPr="005C46A2" w:rsidRDefault="000676F2" w:rsidP="00495C74">
      <w:pPr>
        <w:spacing w:line="240" w:lineRule="auto"/>
        <w:jc w:val="both"/>
        <w:rPr>
          <w:rFonts w:eastAsia="Times New Roman"/>
          <w:sz w:val="20"/>
          <w:szCs w:val="20"/>
        </w:rPr>
      </w:pPr>
      <w:r w:rsidRPr="005C46A2">
        <w:rPr>
          <w:rFonts w:eastAsia="Times New Roman"/>
          <w:sz w:val="20"/>
          <w:szCs w:val="20"/>
        </w:rPr>
        <w:t xml:space="preserve">Following completion of this </w:t>
      </w:r>
      <w:r w:rsidRPr="005C46A2">
        <w:rPr>
          <w:rFonts w:eastAsia="Times New Roman"/>
          <w:i/>
          <w:iCs/>
          <w:sz w:val="20"/>
          <w:szCs w:val="20"/>
        </w:rPr>
        <w:t>round-one</w:t>
      </w:r>
      <w:r w:rsidRPr="005C46A2">
        <w:rPr>
          <w:rFonts w:eastAsia="Times New Roman"/>
          <w:sz w:val="20"/>
          <w:szCs w:val="20"/>
        </w:rPr>
        <w:t xml:space="preserve"> questionnaire, the researchers will collate and analyse responses. You will be sent a summary of your own responses, and responses provided by the entire Delphi panel, along with a link to the next questionnaire (</w:t>
      </w:r>
      <w:r w:rsidRPr="005C46A2">
        <w:rPr>
          <w:rFonts w:eastAsia="Times New Roman"/>
          <w:i/>
          <w:sz w:val="20"/>
          <w:szCs w:val="20"/>
        </w:rPr>
        <w:t>round two</w:t>
      </w:r>
      <w:r w:rsidRPr="005C46A2">
        <w:rPr>
          <w:rFonts w:eastAsia="Times New Roman"/>
          <w:sz w:val="20"/>
          <w:szCs w:val="20"/>
        </w:rPr>
        <w:t xml:space="preserve">). </w:t>
      </w:r>
    </w:p>
    <w:p w14:paraId="02F2722F" w14:textId="77777777" w:rsidR="000676F2" w:rsidRPr="005C46A2" w:rsidRDefault="000676F2" w:rsidP="00495C74">
      <w:pPr>
        <w:spacing w:line="240" w:lineRule="auto"/>
        <w:jc w:val="both"/>
        <w:rPr>
          <w:rFonts w:eastAsia="Times New Roman"/>
          <w:b/>
          <w:sz w:val="20"/>
          <w:szCs w:val="20"/>
        </w:rPr>
      </w:pPr>
    </w:p>
    <w:p w14:paraId="2A131B37" w14:textId="77777777" w:rsidR="000676F2" w:rsidRPr="005C46A2" w:rsidRDefault="000676F2" w:rsidP="00495C74">
      <w:pPr>
        <w:spacing w:line="240" w:lineRule="auto"/>
        <w:jc w:val="both"/>
        <w:rPr>
          <w:rFonts w:eastAsia="Calibri"/>
          <w:sz w:val="20"/>
          <w:szCs w:val="22"/>
        </w:rPr>
      </w:pPr>
      <w:r w:rsidRPr="005C46A2">
        <w:rPr>
          <w:rFonts w:eastAsia="Times New Roman"/>
          <w:b/>
          <w:sz w:val="20"/>
          <w:szCs w:val="20"/>
        </w:rPr>
        <w:t>Anonymity and confidentiality</w:t>
      </w:r>
      <w:r w:rsidRPr="005C46A2">
        <w:rPr>
          <w:rFonts w:eastAsia="Times New Roman"/>
          <w:sz w:val="20"/>
          <w:szCs w:val="20"/>
        </w:rPr>
        <w:t xml:space="preserve">: Due to a small number of potential participants, only limited confidentiality can be offered to those who choose to participate in this research. Only de-identified results will be reported or published. </w:t>
      </w:r>
      <w:r w:rsidRPr="005C46A2">
        <w:rPr>
          <w:rFonts w:eastAsia="Calibri"/>
          <w:sz w:val="20"/>
          <w:szCs w:val="22"/>
        </w:rPr>
        <w:t xml:space="preserve">Your participation in this research is voluntary and whether you choose to participate will neither advantage nor disadvantage you. You can withdraw from the study at any time. If you choose to withdraw from the study, then you will be offered the choice between having any data that is identifiable as belonging to you removed or allowing it to continue to be used. Once the findings have been produced </w:t>
      </w:r>
      <w:r w:rsidRPr="005C46A2">
        <w:rPr>
          <w:rFonts w:eastAsia="Times New Roman"/>
          <w:sz w:val="20"/>
          <w:szCs w:val="22"/>
        </w:rPr>
        <w:t>(approx. date: July 2020)</w:t>
      </w:r>
      <w:r w:rsidRPr="005C46A2">
        <w:rPr>
          <w:rFonts w:eastAsia="Calibri"/>
          <w:sz w:val="20"/>
          <w:szCs w:val="22"/>
        </w:rPr>
        <w:t>, removal of your data may not be possible.</w:t>
      </w:r>
    </w:p>
    <w:p w14:paraId="3A07D1EB" w14:textId="77777777" w:rsidR="000676F2" w:rsidRPr="005C46A2" w:rsidRDefault="000676F2" w:rsidP="00495C74">
      <w:pPr>
        <w:spacing w:line="240" w:lineRule="auto"/>
        <w:jc w:val="both"/>
        <w:rPr>
          <w:rFonts w:eastAsia="Times New Roman"/>
          <w:sz w:val="20"/>
          <w:szCs w:val="20"/>
        </w:rPr>
      </w:pPr>
    </w:p>
    <w:p w14:paraId="590CF30B" w14:textId="77777777" w:rsidR="000676F2" w:rsidRPr="005C46A2" w:rsidRDefault="000676F2" w:rsidP="00495C74">
      <w:pPr>
        <w:spacing w:line="240" w:lineRule="auto"/>
        <w:jc w:val="both"/>
        <w:rPr>
          <w:rFonts w:eastAsia="Times New Roman"/>
          <w:sz w:val="20"/>
          <w:szCs w:val="20"/>
        </w:rPr>
      </w:pPr>
      <w:r w:rsidRPr="005C46A2">
        <w:rPr>
          <w:rFonts w:eastAsia="Times New Roman"/>
          <w:b/>
          <w:sz w:val="20"/>
          <w:szCs w:val="20"/>
        </w:rPr>
        <w:t>Research findings:</w:t>
      </w:r>
      <w:r w:rsidRPr="005C46A2">
        <w:rPr>
          <w:rFonts w:eastAsia="Times New Roman"/>
          <w:sz w:val="20"/>
          <w:szCs w:val="20"/>
        </w:rPr>
        <w:t xml:space="preserve"> The findings from this research will be produced in a publicly available report for the Ministry of Health (research funder), published in academic journals, and presented at conferences. Data collected as part of this study may be provided to students in the future for secondary analyses as part of their qualification. </w:t>
      </w:r>
    </w:p>
    <w:p w14:paraId="60D4E28F" w14:textId="77777777" w:rsidR="000676F2" w:rsidRPr="005C46A2" w:rsidRDefault="000676F2" w:rsidP="00495C74">
      <w:pPr>
        <w:spacing w:line="240" w:lineRule="auto"/>
        <w:jc w:val="both"/>
        <w:rPr>
          <w:rFonts w:eastAsia="Calibri"/>
          <w:sz w:val="20"/>
          <w:szCs w:val="22"/>
        </w:rPr>
      </w:pPr>
    </w:p>
    <w:p w14:paraId="62046190" w14:textId="77777777" w:rsidR="000676F2" w:rsidRPr="005C46A2" w:rsidRDefault="000676F2" w:rsidP="00495C74">
      <w:pPr>
        <w:spacing w:line="240" w:lineRule="auto"/>
        <w:jc w:val="both"/>
        <w:rPr>
          <w:rFonts w:eastAsia="Times New Roman"/>
          <w:sz w:val="20"/>
          <w:szCs w:val="20"/>
        </w:rPr>
      </w:pPr>
      <w:r w:rsidRPr="005C46A2">
        <w:rPr>
          <w:rFonts w:eastAsia="Times New Roman"/>
          <w:b/>
          <w:sz w:val="20"/>
          <w:szCs w:val="20"/>
        </w:rPr>
        <w:t xml:space="preserve">Risks and benefits: </w:t>
      </w:r>
      <w:r w:rsidRPr="005C46A2">
        <w:rPr>
          <w:rFonts w:eastAsia="Times New Roman"/>
          <w:sz w:val="20"/>
          <w:szCs w:val="20"/>
        </w:rPr>
        <w:t>There are no anticipated risks to participating in this research. Findings from this study will have the potential to positively benefit policy and practice. Finally, we hope that you find participation in this research encouraging and supportive of the important work that you do.</w:t>
      </w:r>
    </w:p>
    <w:p w14:paraId="5D1FB471" w14:textId="77777777" w:rsidR="000676F2" w:rsidRPr="005C46A2" w:rsidRDefault="000676F2" w:rsidP="00495C74">
      <w:pPr>
        <w:spacing w:line="240" w:lineRule="auto"/>
        <w:jc w:val="both"/>
        <w:rPr>
          <w:rFonts w:eastAsia="Times New Roman"/>
          <w:sz w:val="20"/>
          <w:szCs w:val="20"/>
        </w:rPr>
      </w:pPr>
    </w:p>
    <w:p w14:paraId="245A38CE" w14:textId="77777777" w:rsidR="000676F2" w:rsidRPr="005C46A2" w:rsidRDefault="000676F2" w:rsidP="00495C74">
      <w:pPr>
        <w:spacing w:line="240" w:lineRule="auto"/>
        <w:jc w:val="both"/>
        <w:rPr>
          <w:rFonts w:eastAsia="Calibri"/>
          <w:sz w:val="20"/>
          <w:szCs w:val="20"/>
        </w:rPr>
      </w:pPr>
      <w:r w:rsidRPr="005C46A2">
        <w:rPr>
          <w:rFonts w:eastAsia="Times New Roman"/>
          <w:b/>
          <w:sz w:val="20"/>
          <w:szCs w:val="20"/>
        </w:rPr>
        <w:t xml:space="preserve">Queries or concerns: </w:t>
      </w:r>
      <w:r w:rsidRPr="005C46A2">
        <w:rPr>
          <w:rFonts w:eastAsia="Calibri"/>
          <w:sz w:val="20"/>
          <w:szCs w:val="20"/>
        </w:rPr>
        <w:t>Any queries regarding ethical or conduct concerns should be notified to</w:t>
      </w:r>
      <w:r w:rsidRPr="005C46A2">
        <w:rPr>
          <w:rFonts w:ascii="Calibri" w:eastAsia="Calibri" w:hAnsi="Calibri"/>
          <w:sz w:val="20"/>
          <w:szCs w:val="20"/>
        </w:rPr>
        <w:t xml:space="preserve"> </w:t>
      </w:r>
      <w:r w:rsidRPr="005C46A2">
        <w:rPr>
          <w:rFonts w:eastAsia="Calibri"/>
          <w:sz w:val="20"/>
          <w:szCs w:val="20"/>
        </w:rPr>
        <w:t xml:space="preserve">Dr Carina Meares, the Executive Secretary of Auckland University of Technology Ethics Committee: email: </w:t>
      </w:r>
      <w:r w:rsidRPr="005C46A2">
        <w:rPr>
          <w:rFonts w:eastAsia="Calibri"/>
          <w:i/>
          <w:sz w:val="20"/>
          <w:szCs w:val="20"/>
        </w:rPr>
        <w:t>ethics@aut.ac.nz</w:t>
      </w:r>
      <w:r w:rsidRPr="005C46A2">
        <w:rPr>
          <w:rFonts w:eastAsia="Calibri"/>
          <w:sz w:val="20"/>
          <w:szCs w:val="20"/>
        </w:rPr>
        <w:t>; Phone 921 9999 ext. 6038</w:t>
      </w:r>
    </w:p>
    <w:p w14:paraId="344203F0" w14:textId="77777777" w:rsidR="000676F2" w:rsidRPr="005C46A2" w:rsidRDefault="000676F2" w:rsidP="00495C74">
      <w:pPr>
        <w:spacing w:line="280" w:lineRule="atLeast"/>
        <w:jc w:val="both"/>
        <w:rPr>
          <w:rFonts w:eastAsia="Times New Roman"/>
          <w:sz w:val="20"/>
          <w:szCs w:val="22"/>
        </w:rPr>
      </w:pPr>
      <w:r w:rsidRPr="005C46A2">
        <w:rPr>
          <w:rFonts w:eastAsia="Calibri"/>
          <w:sz w:val="20"/>
          <w:szCs w:val="22"/>
        </w:rPr>
        <w:t>This research was approved by the Auckland University of Technology Ethics Committee on</w:t>
      </w:r>
      <w:r w:rsidRPr="005C46A2">
        <w:rPr>
          <w:rFonts w:ascii="Calibri" w:eastAsia="Calibri" w:hAnsi="Calibri" w:cs="Calibri"/>
          <w:sz w:val="20"/>
          <w:szCs w:val="20"/>
        </w:rPr>
        <w:t xml:space="preserve"> </w:t>
      </w:r>
      <w:r w:rsidRPr="005C46A2">
        <w:rPr>
          <w:rFonts w:eastAsia="Calibri"/>
          <w:sz w:val="20"/>
          <w:szCs w:val="22"/>
        </w:rPr>
        <w:t>8 November 2019; reference: 19/387</w:t>
      </w:r>
    </w:p>
    <w:p w14:paraId="639DE481" w14:textId="77777777" w:rsidR="000676F2" w:rsidRPr="005C46A2" w:rsidRDefault="000676F2" w:rsidP="00495C74">
      <w:pPr>
        <w:spacing w:line="259" w:lineRule="auto"/>
        <w:jc w:val="both"/>
        <w:rPr>
          <w:rFonts w:eastAsia="Calibri"/>
          <w:sz w:val="20"/>
          <w:szCs w:val="20"/>
        </w:rPr>
      </w:pPr>
    </w:p>
    <w:p w14:paraId="3B540C4B" w14:textId="77777777" w:rsidR="000676F2" w:rsidRPr="005C46A2" w:rsidRDefault="000676F2" w:rsidP="00495C74">
      <w:pPr>
        <w:spacing w:line="259" w:lineRule="auto"/>
        <w:jc w:val="both"/>
        <w:rPr>
          <w:rFonts w:eastAsia="Calibri"/>
          <w:sz w:val="20"/>
          <w:szCs w:val="20"/>
        </w:rPr>
      </w:pPr>
      <w:r w:rsidRPr="005C46A2">
        <w:rPr>
          <w:rFonts w:eastAsia="Calibri"/>
          <w:sz w:val="20"/>
          <w:szCs w:val="20"/>
        </w:rPr>
        <w:t>Thank you again for your participation in this research. To proceed, please click the “consent and proceed” button below, this indicates that you have read and understood the information on this screen and consent to taking part in this research. The survey will begin on the following screen.</w:t>
      </w:r>
    </w:p>
    <w:p w14:paraId="22687483" w14:textId="77777777" w:rsidR="000676F2" w:rsidRPr="005C46A2" w:rsidRDefault="000676F2" w:rsidP="00495C74">
      <w:pPr>
        <w:spacing w:line="259" w:lineRule="auto"/>
        <w:jc w:val="both"/>
        <w:rPr>
          <w:rFonts w:eastAsia="Calibri"/>
          <w:sz w:val="20"/>
          <w:szCs w:val="20"/>
        </w:rPr>
      </w:pPr>
    </w:p>
    <w:p w14:paraId="1C4A8236" w14:textId="77777777" w:rsidR="000676F2" w:rsidRPr="005C46A2" w:rsidRDefault="000676F2" w:rsidP="00A52A05">
      <w:pPr>
        <w:numPr>
          <w:ilvl w:val="0"/>
          <w:numId w:val="3"/>
        </w:numPr>
        <w:pBdr>
          <w:bottom w:val="single" w:sz="12" w:space="1" w:color="auto"/>
        </w:pBdr>
        <w:spacing w:after="160" w:line="259" w:lineRule="auto"/>
        <w:contextualSpacing/>
        <w:jc w:val="both"/>
        <w:rPr>
          <w:rFonts w:eastAsia="Calibri"/>
          <w:b/>
          <w:bCs/>
          <w:sz w:val="22"/>
          <w:szCs w:val="22"/>
        </w:rPr>
      </w:pPr>
      <w:r w:rsidRPr="005C46A2">
        <w:rPr>
          <w:rFonts w:eastAsia="Calibri"/>
          <w:b/>
          <w:bCs/>
          <w:sz w:val="22"/>
          <w:szCs w:val="22"/>
        </w:rPr>
        <w:lastRenderedPageBreak/>
        <w:t>Consent and proceed</w:t>
      </w:r>
    </w:p>
    <w:p w14:paraId="71720311" w14:textId="77777777" w:rsidR="000676F2" w:rsidRPr="005C46A2" w:rsidRDefault="000676F2" w:rsidP="00495C74">
      <w:pPr>
        <w:spacing w:after="160" w:line="259" w:lineRule="auto"/>
        <w:jc w:val="both"/>
        <w:rPr>
          <w:rFonts w:eastAsia="Calibri"/>
          <w:b/>
          <w:bCs/>
          <w:i/>
          <w:iCs/>
          <w:sz w:val="18"/>
          <w:szCs w:val="18"/>
        </w:rPr>
      </w:pPr>
    </w:p>
    <w:p w14:paraId="3DEC9EE2" w14:textId="77777777" w:rsidR="000676F2" w:rsidRPr="005C46A2" w:rsidRDefault="000676F2" w:rsidP="00495C74">
      <w:pPr>
        <w:spacing w:line="259" w:lineRule="auto"/>
        <w:jc w:val="both"/>
        <w:rPr>
          <w:rFonts w:eastAsia="Calibri"/>
          <w:b/>
          <w:bCs/>
          <w:i/>
          <w:iCs/>
          <w:sz w:val="18"/>
          <w:szCs w:val="18"/>
        </w:rPr>
      </w:pPr>
      <w:r w:rsidRPr="005C46A2">
        <w:rPr>
          <w:rFonts w:eastAsia="Calibri"/>
          <w:b/>
          <w:bCs/>
          <w:i/>
          <w:iCs/>
          <w:sz w:val="18"/>
          <w:szCs w:val="18"/>
        </w:rPr>
        <w:t>PAGE 1: Introduction</w:t>
      </w:r>
    </w:p>
    <w:p w14:paraId="399819BF" w14:textId="77777777" w:rsidR="000676F2" w:rsidRPr="005C46A2" w:rsidRDefault="000676F2" w:rsidP="00495C74">
      <w:pPr>
        <w:jc w:val="both"/>
        <w:rPr>
          <w:b/>
          <w:bCs/>
        </w:rPr>
      </w:pPr>
      <w:r w:rsidRPr="005C46A2">
        <w:rPr>
          <w:b/>
          <w:bCs/>
        </w:rPr>
        <w:t>PART ONE: INTRODUCTION AND DEMOGRAPHIC QUESTIONS</w:t>
      </w:r>
    </w:p>
    <w:p w14:paraId="1B207F78"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This study is focussed on exploring evidence-based practice in gambling harm reduction services for family and affected others. We hold that it is very unlikely that any single treatment system can address all issues for all families. We wish to facilitate open and meaningful dialogue around a wide range of responses to gambling issues for families.</w:t>
      </w:r>
    </w:p>
    <w:p w14:paraId="48C6D238" w14:textId="77777777" w:rsidR="000676F2" w:rsidRPr="005C46A2" w:rsidRDefault="000676F2" w:rsidP="00495C74">
      <w:pPr>
        <w:spacing w:line="240" w:lineRule="auto"/>
        <w:jc w:val="both"/>
        <w:rPr>
          <w:rFonts w:eastAsia="Calibri"/>
          <w:sz w:val="22"/>
          <w:szCs w:val="22"/>
        </w:rPr>
      </w:pPr>
    </w:p>
    <w:p w14:paraId="0E7B8DF5"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 xml:space="preserve">There are multiple perspectives on evidence-based practice. For example, the empirical-analytical perspective focuses on experimental evidence (e.g. interventions that seem to produce significant shifts in measures of stress or wellbeing). The phenomenological perspective views intervention success through people’s experiences of well-being. Finally, from a values-based perspective, interventions are evaluated based on principles such as inclusion, equity, self-determination, participation, and empowerment. </w:t>
      </w:r>
    </w:p>
    <w:p w14:paraId="35019ACA" w14:textId="77777777" w:rsidR="000676F2" w:rsidRPr="005C46A2" w:rsidRDefault="000676F2" w:rsidP="00495C74">
      <w:pPr>
        <w:spacing w:line="240" w:lineRule="auto"/>
        <w:jc w:val="both"/>
        <w:rPr>
          <w:rFonts w:eastAsia="Calibri"/>
          <w:sz w:val="22"/>
          <w:szCs w:val="22"/>
        </w:rPr>
      </w:pPr>
    </w:p>
    <w:p w14:paraId="199C065C"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The goal of this inquiry is to draw on your experience, along with a range of others with knowledge of FAO support practice in gambling, alcohol and other addictions. The panel involves people with experience in practice, policy, service design and research as well as people with lived experience (service users). Through engagement with you all, a set of integrated recommendations for evidence-based practice in gambling harm reduction services may emerge. This process allows for doubt and uncertainty - We seek to explore a broad spectrum of possible treatment approaches for FAOs that may not always align.</w:t>
      </w:r>
    </w:p>
    <w:p w14:paraId="11ACBC22" w14:textId="77777777" w:rsidR="000676F2" w:rsidRPr="005C46A2" w:rsidRDefault="000676F2" w:rsidP="00495C74">
      <w:pPr>
        <w:spacing w:line="240" w:lineRule="auto"/>
        <w:jc w:val="both"/>
        <w:rPr>
          <w:rFonts w:eastAsia="Calibri"/>
          <w:sz w:val="22"/>
          <w:szCs w:val="22"/>
        </w:rPr>
      </w:pPr>
    </w:p>
    <w:p w14:paraId="2ABA2D7C"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 xml:space="preserve">We are inviting participants to bring the perspective or perspectives on evidence-based practice that make sense to them, to answer a series of questions related to this main question: What is evidence-based practice in gambling harm reduction services for family and affected others (FAOs)?   </w:t>
      </w:r>
    </w:p>
    <w:p w14:paraId="436FAC50" w14:textId="77777777" w:rsidR="000676F2" w:rsidRPr="005C46A2" w:rsidRDefault="000676F2" w:rsidP="00495C74">
      <w:pPr>
        <w:pBdr>
          <w:bottom w:val="single" w:sz="12" w:space="1" w:color="auto"/>
        </w:pBdr>
        <w:spacing w:line="240" w:lineRule="auto"/>
        <w:jc w:val="both"/>
        <w:rPr>
          <w:rFonts w:eastAsia="Calibri"/>
          <w:b/>
          <w:bCs/>
          <w:sz w:val="22"/>
          <w:szCs w:val="22"/>
        </w:rPr>
      </w:pPr>
    </w:p>
    <w:p w14:paraId="2E3250BB" w14:textId="77777777" w:rsidR="000676F2" w:rsidRPr="005C46A2" w:rsidRDefault="000676F2" w:rsidP="00495C74">
      <w:pPr>
        <w:spacing w:line="240" w:lineRule="auto"/>
        <w:jc w:val="both"/>
        <w:rPr>
          <w:rFonts w:eastAsia="Calibri"/>
          <w:b/>
          <w:bCs/>
          <w:i/>
          <w:iCs/>
          <w:sz w:val="20"/>
          <w:szCs w:val="20"/>
        </w:rPr>
      </w:pPr>
      <w:r w:rsidRPr="005C46A2">
        <w:rPr>
          <w:rFonts w:eastAsia="Calibri"/>
          <w:b/>
          <w:bCs/>
          <w:i/>
          <w:iCs/>
          <w:sz w:val="20"/>
          <w:szCs w:val="20"/>
        </w:rPr>
        <w:t>PAGE 2: Background information / Demographic</w:t>
      </w:r>
    </w:p>
    <w:p w14:paraId="5B4FDD57" w14:textId="77777777" w:rsidR="000676F2" w:rsidRPr="005C46A2" w:rsidRDefault="000676F2" w:rsidP="00495C74">
      <w:pPr>
        <w:spacing w:line="240" w:lineRule="auto"/>
        <w:jc w:val="both"/>
        <w:rPr>
          <w:rFonts w:eastAsia="Calibri"/>
          <w:i/>
          <w:iCs/>
          <w:sz w:val="22"/>
          <w:szCs w:val="22"/>
        </w:rPr>
      </w:pPr>
      <w:bookmarkStart w:id="224" w:name="_Hlk39562486"/>
      <w:r w:rsidRPr="005C46A2">
        <w:rPr>
          <w:rFonts w:eastAsia="Calibri"/>
          <w:i/>
          <w:iCs/>
          <w:sz w:val="22"/>
          <w:szCs w:val="22"/>
        </w:rPr>
        <w:t>To start, we are asking for your email so that we are able to provide feedback on round one responses and for you to indicate whether you would be able to take part in an interview in the second round.</w:t>
      </w:r>
    </w:p>
    <w:bookmarkEnd w:id="224"/>
    <w:p w14:paraId="21EB306B" w14:textId="77777777" w:rsidR="000676F2" w:rsidRPr="005C46A2" w:rsidRDefault="000676F2" w:rsidP="00495C74">
      <w:pPr>
        <w:spacing w:line="240" w:lineRule="auto"/>
        <w:jc w:val="both"/>
        <w:rPr>
          <w:rFonts w:eastAsia="Calibri"/>
          <w:sz w:val="22"/>
          <w:szCs w:val="22"/>
        </w:rPr>
      </w:pPr>
    </w:p>
    <w:p w14:paraId="56AD3C3B" w14:textId="77777777" w:rsidR="000676F2" w:rsidRPr="005C46A2" w:rsidRDefault="000676F2" w:rsidP="00495C74">
      <w:pPr>
        <w:spacing w:line="259" w:lineRule="auto"/>
        <w:jc w:val="both"/>
        <w:rPr>
          <w:rFonts w:eastAsia="Calibri"/>
          <w:b/>
          <w:bCs/>
          <w:sz w:val="22"/>
          <w:szCs w:val="22"/>
        </w:rPr>
      </w:pPr>
      <w:r w:rsidRPr="005C46A2">
        <w:rPr>
          <w:rFonts w:eastAsia="Calibri"/>
          <w:sz w:val="22"/>
          <w:szCs w:val="22"/>
        </w:rPr>
        <w:t xml:space="preserve">Email address: </w:t>
      </w:r>
      <w:r w:rsidRPr="005C46A2">
        <w:rPr>
          <w:rFonts w:eastAsia="Calibri"/>
          <w:sz w:val="22"/>
          <w:szCs w:val="22"/>
        </w:rPr>
        <w:tab/>
      </w:r>
      <w:r w:rsidRPr="005C46A2">
        <w:rPr>
          <w:rFonts w:eastAsia="Calibri"/>
          <w:sz w:val="22"/>
          <w:szCs w:val="22"/>
        </w:rPr>
        <w:tab/>
      </w:r>
      <w:r w:rsidRPr="005C46A2">
        <w:rPr>
          <w:rFonts w:eastAsia="Calibri"/>
          <w:sz w:val="22"/>
          <w:szCs w:val="22"/>
        </w:rPr>
        <w:tab/>
      </w:r>
      <w:r w:rsidRPr="005C46A2">
        <w:rPr>
          <w:rFonts w:eastAsia="Calibri"/>
          <w:sz w:val="22"/>
          <w:szCs w:val="22"/>
        </w:rPr>
        <w:tab/>
      </w:r>
      <w:r w:rsidRPr="005C46A2">
        <w:rPr>
          <w:rFonts w:eastAsia="Calibri"/>
          <w:sz w:val="22"/>
          <w:szCs w:val="22"/>
        </w:rPr>
        <w:tab/>
      </w:r>
      <w:r w:rsidRPr="005C46A2">
        <w:rPr>
          <w:rFonts w:eastAsia="Calibri"/>
          <w:sz w:val="22"/>
          <w:szCs w:val="22"/>
        </w:rPr>
        <w:tab/>
      </w:r>
      <w:r w:rsidRPr="005C46A2">
        <w:rPr>
          <w:rFonts w:eastAsia="Calibri"/>
          <w:sz w:val="22"/>
          <w:szCs w:val="22"/>
        </w:rPr>
        <w:tab/>
      </w:r>
      <w:r w:rsidRPr="005C46A2">
        <w:rPr>
          <w:rFonts w:eastAsia="Calibri"/>
          <w:sz w:val="22"/>
          <w:szCs w:val="22"/>
        </w:rPr>
        <w:tab/>
      </w:r>
      <w:r w:rsidRPr="005C46A2">
        <w:rPr>
          <w:rFonts w:eastAsia="Calibri"/>
          <w:sz w:val="22"/>
          <w:szCs w:val="22"/>
        </w:rPr>
        <w:tab/>
        <w:t>(</w:t>
      </w:r>
      <w:r w:rsidRPr="005C46A2">
        <w:rPr>
          <w:rFonts w:eastAsia="Calibri"/>
          <w:i/>
          <w:iCs/>
          <w:sz w:val="18"/>
          <w:szCs w:val="18"/>
        </w:rPr>
        <w:t>Compulsory Question</w:t>
      </w:r>
      <w:r w:rsidRPr="005C46A2">
        <w:rPr>
          <w:rFonts w:eastAsia="Calibri"/>
          <w:i/>
          <w:iCs/>
          <w:sz w:val="22"/>
          <w:szCs w:val="22"/>
        </w:rPr>
        <w:t>)</w:t>
      </w:r>
    </w:p>
    <w:tbl>
      <w:tblPr>
        <w:tblStyle w:val="TableGrid"/>
        <w:tblW w:w="0" w:type="auto"/>
        <w:tblLook w:val="04A0" w:firstRow="1" w:lastRow="0" w:firstColumn="1" w:lastColumn="0" w:noHBand="0" w:noVBand="1"/>
      </w:tblPr>
      <w:tblGrid>
        <w:gridCol w:w="9016"/>
      </w:tblGrid>
      <w:tr w:rsidR="000676F2" w:rsidRPr="005C46A2" w14:paraId="6340C492" w14:textId="77777777" w:rsidTr="000465E8">
        <w:tc>
          <w:tcPr>
            <w:tcW w:w="9016" w:type="dxa"/>
          </w:tcPr>
          <w:p w14:paraId="4EEC8896" w14:textId="77777777" w:rsidR="000676F2" w:rsidRPr="005C46A2" w:rsidRDefault="000676F2" w:rsidP="00495C74">
            <w:pPr>
              <w:spacing w:line="240" w:lineRule="auto"/>
              <w:jc w:val="both"/>
              <w:rPr>
                <w:rFonts w:eastAsia="Calibri"/>
                <w:sz w:val="22"/>
                <w:szCs w:val="22"/>
              </w:rPr>
            </w:pPr>
          </w:p>
        </w:tc>
      </w:tr>
    </w:tbl>
    <w:p w14:paraId="46C20C53" w14:textId="77777777" w:rsidR="000676F2" w:rsidRPr="005C46A2" w:rsidRDefault="000676F2" w:rsidP="00495C74">
      <w:pPr>
        <w:spacing w:line="259" w:lineRule="auto"/>
        <w:jc w:val="both"/>
        <w:rPr>
          <w:rFonts w:eastAsia="Calibri"/>
          <w:sz w:val="22"/>
          <w:szCs w:val="22"/>
        </w:rPr>
      </w:pPr>
    </w:p>
    <w:p w14:paraId="1D5FAC96"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 xml:space="preserve">In the next round of this Delphi study we would like to conduct some interviews with some of our panel members, so that we can get a more detailed understanding of their experiences. Is this something you might be interested in helping with? </w:t>
      </w:r>
      <w:r w:rsidRPr="005C46A2">
        <w:rPr>
          <w:rFonts w:eastAsia="Calibri"/>
          <w:sz w:val="22"/>
          <w:szCs w:val="22"/>
        </w:rPr>
        <w:tab/>
      </w:r>
      <w:r w:rsidRPr="005C46A2">
        <w:rPr>
          <w:rFonts w:eastAsia="Calibri"/>
          <w:sz w:val="22"/>
          <w:szCs w:val="22"/>
        </w:rPr>
        <w:tab/>
      </w:r>
      <w:r w:rsidRPr="005C46A2">
        <w:rPr>
          <w:rFonts w:eastAsia="Calibri"/>
          <w:sz w:val="22"/>
          <w:szCs w:val="22"/>
        </w:rPr>
        <w:tab/>
      </w:r>
      <w:r w:rsidRPr="005C46A2">
        <w:rPr>
          <w:rFonts w:eastAsia="Calibri"/>
          <w:sz w:val="22"/>
          <w:szCs w:val="22"/>
        </w:rPr>
        <w:tab/>
        <w:t>(</w:t>
      </w:r>
      <w:r w:rsidRPr="005C46A2">
        <w:rPr>
          <w:rFonts w:eastAsia="Calibri"/>
          <w:i/>
          <w:iCs/>
          <w:sz w:val="18"/>
          <w:szCs w:val="18"/>
        </w:rPr>
        <w:t>Compulsory Question</w:t>
      </w:r>
      <w:r w:rsidRPr="005C46A2">
        <w:rPr>
          <w:rFonts w:eastAsia="Calibri"/>
          <w:sz w:val="22"/>
          <w:szCs w:val="22"/>
        </w:rPr>
        <w:t>)</w:t>
      </w:r>
    </w:p>
    <w:p w14:paraId="7A6CC790" w14:textId="77777777" w:rsidR="000676F2" w:rsidRPr="005C46A2" w:rsidRDefault="000676F2" w:rsidP="00A52A05">
      <w:pPr>
        <w:numPr>
          <w:ilvl w:val="0"/>
          <w:numId w:val="11"/>
        </w:numPr>
        <w:spacing w:after="160" w:line="259" w:lineRule="auto"/>
        <w:contextualSpacing/>
        <w:jc w:val="both"/>
        <w:rPr>
          <w:rFonts w:eastAsia="Calibri"/>
          <w:sz w:val="22"/>
          <w:szCs w:val="22"/>
        </w:rPr>
      </w:pPr>
      <w:r w:rsidRPr="005C46A2">
        <w:rPr>
          <w:rFonts w:eastAsia="Calibri"/>
          <w:sz w:val="22"/>
          <w:szCs w:val="22"/>
        </w:rPr>
        <w:t xml:space="preserve">Yes </w:t>
      </w:r>
      <w:r w:rsidRPr="005C46A2">
        <w:rPr>
          <w:rFonts w:eastAsia="Calibri"/>
          <w:sz w:val="22"/>
          <w:szCs w:val="22"/>
        </w:rPr>
        <w:sym w:font="Wingdings" w:char="F0E0"/>
      </w:r>
      <w:r w:rsidRPr="005C46A2">
        <w:rPr>
          <w:rFonts w:eastAsia="Calibri"/>
          <w:sz w:val="22"/>
          <w:szCs w:val="22"/>
        </w:rPr>
        <w:t xml:space="preserve"> email</w:t>
      </w:r>
    </w:p>
    <w:p w14:paraId="3A30CDAF" w14:textId="77777777" w:rsidR="000676F2" w:rsidRPr="005C46A2" w:rsidRDefault="000676F2" w:rsidP="00A52A05">
      <w:pPr>
        <w:numPr>
          <w:ilvl w:val="0"/>
          <w:numId w:val="11"/>
        </w:numPr>
        <w:spacing w:after="160" w:line="259" w:lineRule="auto"/>
        <w:contextualSpacing/>
        <w:jc w:val="both"/>
        <w:rPr>
          <w:rFonts w:eastAsia="Calibri"/>
          <w:sz w:val="22"/>
          <w:szCs w:val="22"/>
        </w:rPr>
      </w:pPr>
      <w:r w:rsidRPr="005C46A2">
        <w:rPr>
          <w:rFonts w:eastAsia="Calibri"/>
          <w:sz w:val="22"/>
          <w:szCs w:val="22"/>
        </w:rPr>
        <w:t>No thanks, I would like to complete the questionnaires only.</w:t>
      </w:r>
    </w:p>
    <w:p w14:paraId="7D4F7B7A" w14:textId="77777777" w:rsidR="000676F2" w:rsidRPr="005C46A2" w:rsidRDefault="000676F2" w:rsidP="00495C74">
      <w:pPr>
        <w:spacing w:line="259" w:lineRule="auto"/>
        <w:jc w:val="both"/>
        <w:rPr>
          <w:rFonts w:eastAsia="Calibri"/>
          <w:sz w:val="22"/>
          <w:szCs w:val="22"/>
        </w:rPr>
      </w:pPr>
    </w:p>
    <w:p w14:paraId="6D40ED68" w14:textId="77777777" w:rsidR="000676F2" w:rsidRPr="005C46A2" w:rsidRDefault="000676F2" w:rsidP="00495C74">
      <w:pPr>
        <w:spacing w:line="240" w:lineRule="auto"/>
        <w:jc w:val="both"/>
        <w:rPr>
          <w:rFonts w:eastAsia="Calibri"/>
          <w:i/>
          <w:iCs/>
          <w:sz w:val="22"/>
          <w:szCs w:val="22"/>
        </w:rPr>
      </w:pPr>
      <w:bookmarkStart w:id="225" w:name="_Hlk39562499"/>
      <w:r w:rsidRPr="005C46A2">
        <w:rPr>
          <w:rFonts w:eastAsia="Calibri"/>
          <w:i/>
          <w:iCs/>
          <w:sz w:val="22"/>
          <w:szCs w:val="22"/>
        </w:rPr>
        <w:t xml:space="preserve">Now we move onto the main body of the questionnaire: </w:t>
      </w:r>
      <w:bookmarkEnd w:id="225"/>
      <w:r w:rsidRPr="005C46A2">
        <w:rPr>
          <w:rFonts w:eastAsia="Calibri"/>
          <w:i/>
          <w:iCs/>
          <w:sz w:val="22"/>
          <w:szCs w:val="22"/>
        </w:rPr>
        <w:t>These initial questions will provide us with some background information regarding your experience with services and interventions for FAOs affected by problematic use of gambling, tobacco, and/or AOD</w:t>
      </w:r>
    </w:p>
    <w:p w14:paraId="6EE092CF" w14:textId="77777777" w:rsidR="000676F2" w:rsidRPr="005C46A2" w:rsidRDefault="000676F2" w:rsidP="00495C74">
      <w:pPr>
        <w:spacing w:line="259" w:lineRule="auto"/>
        <w:jc w:val="both"/>
        <w:rPr>
          <w:rFonts w:eastAsia="Calibri"/>
          <w:sz w:val="22"/>
          <w:szCs w:val="22"/>
        </w:rPr>
      </w:pPr>
    </w:p>
    <w:p w14:paraId="386CFBEC" w14:textId="77777777" w:rsidR="000676F2" w:rsidRPr="005C46A2" w:rsidRDefault="000676F2" w:rsidP="00495C74">
      <w:pPr>
        <w:spacing w:line="259" w:lineRule="auto"/>
        <w:jc w:val="both"/>
        <w:rPr>
          <w:rFonts w:eastAsia="Calibri"/>
          <w:sz w:val="22"/>
          <w:szCs w:val="22"/>
        </w:rPr>
      </w:pPr>
      <w:r w:rsidRPr="005C46A2">
        <w:rPr>
          <w:rFonts w:eastAsia="Calibri"/>
          <w:sz w:val="22"/>
          <w:szCs w:val="22"/>
          <w:u w:val="single"/>
        </w:rPr>
        <w:t>Is your experience in relation to (select all that apply):</w:t>
      </w:r>
      <w:r w:rsidRPr="005C46A2">
        <w:rPr>
          <w:rFonts w:eastAsia="Calibri"/>
          <w:sz w:val="22"/>
          <w:szCs w:val="22"/>
        </w:rPr>
        <w:tab/>
      </w:r>
      <w:r w:rsidRPr="005C46A2">
        <w:rPr>
          <w:rFonts w:eastAsia="Calibri"/>
          <w:sz w:val="22"/>
          <w:szCs w:val="22"/>
        </w:rPr>
        <w:tab/>
      </w:r>
      <w:r w:rsidRPr="005C46A2">
        <w:rPr>
          <w:rFonts w:eastAsia="Calibri"/>
          <w:sz w:val="22"/>
          <w:szCs w:val="22"/>
        </w:rPr>
        <w:tab/>
      </w:r>
      <w:r w:rsidRPr="005C46A2">
        <w:rPr>
          <w:rFonts w:eastAsia="Calibri"/>
          <w:sz w:val="22"/>
          <w:szCs w:val="22"/>
        </w:rPr>
        <w:tab/>
        <w:t>(</w:t>
      </w:r>
      <w:r w:rsidRPr="005C46A2">
        <w:rPr>
          <w:rFonts w:eastAsia="Calibri"/>
          <w:i/>
          <w:iCs/>
          <w:sz w:val="18"/>
          <w:szCs w:val="18"/>
        </w:rPr>
        <w:t>Compulsory Question</w:t>
      </w:r>
      <w:r w:rsidRPr="005C46A2">
        <w:rPr>
          <w:rFonts w:eastAsia="Calibri"/>
          <w:sz w:val="22"/>
          <w:szCs w:val="22"/>
        </w:rPr>
        <w:t>)</w:t>
      </w:r>
    </w:p>
    <w:p w14:paraId="480955CA" w14:textId="77777777" w:rsidR="000676F2" w:rsidRPr="005C46A2" w:rsidRDefault="000676F2" w:rsidP="00A52A05">
      <w:pPr>
        <w:numPr>
          <w:ilvl w:val="0"/>
          <w:numId w:val="8"/>
        </w:numPr>
        <w:spacing w:after="160" w:line="259" w:lineRule="auto"/>
        <w:contextualSpacing/>
        <w:jc w:val="both"/>
        <w:rPr>
          <w:rFonts w:eastAsia="Calibri"/>
          <w:sz w:val="22"/>
          <w:szCs w:val="22"/>
        </w:rPr>
      </w:pPr>
      <w:r w:rsidRPr="005C46A2">
        <w:rPr>
          <w:rFonts w:eastAsia="Calibri"/>
          <w:sz w:val="22"/>
          <w:szCs w:val="22"/>
        </w:rPr>
        <w:t>Family and others affected by gambling (gambling FAOs)</w:t>
      </w:r>
    </w:p>
    <w:p w14:paraId="292D040B" w14:textId="77777777" w:rsidR="000676F2" w:rsidRPr="005C46A2" w:rsidRDefault="000676F2" w:rsidP="00A52A05">
      <w:pPr>
        <w:numPr>
          <w:ilvl w:val="0"/>
          <w:numId w:val="8"/>
        </w:numPr>
        <w:spacing w:after="160" w:line="259" w:lineRule="auto"/>
        <w:contextualSpacing/>
        <w:jc w:val="both"/>
        <w:rPr>
          <w:rFonts w:eastAsia="Calibri"/>
          <w:sz w:val="22"/>
          <w:szCs w:val="22"/>
        </w:rPr>
      </w:pPr>
      <w:r w:rsidRPr="005C46A2">
        <w:rPr>
          <w:rFonts w:eastAsia="Calibri"/>
          <w:sz w:val="22"/>
          <w:szCs w:val="22"/>
        </w:rPr>
        <w:t>Family and others affected by alcohol and/or other drugs (AOD FAOs)</w:t>
      </w:r>
    </w:p>
    <w:p w14:paraId="3F00F5C9" w14:textId="77777777" w:rsidR="000676F2" w:rsidRPr="005C46A2" w:rsidRDefault="000676F2" w:rsidP="00A52A05">
      <w:pPr>
        <w:numPr>
          <w:ilvl w:val="0"/>
          <w:numId w:val="8"/>
        </w:numPr>
        <w:spacing w:after="160" w:line="259" w:lineRule="auto"/>
        <w:contextualSpacing/>
        <w:jc w:val="both"/>
        <w:rPr>
          <w:rFonts w:eastAsia="Calibri"/>
          <w:sz w:val="22"/>
          <w:szCs w:val="22"/>
        </w:rPr>
      </w:pPr>
      <w:r w:rsidRPr="005C46A2">
        <w:rPr>
          <w:rFonts w:eastAsia="Calibri"/>
          <w:sz w:val="22"/>
          <w:szCs w:val="22"/>
        </w:rPr>
        <w:t>Family and others affected by tobacco (tobacco FAOs)</w:t>
      </w:r>
    </w:p>
    <w:p w14:paraId="22E1E70E" w14:textId="77777777" w:rsidR="000676F2" w:rsidRPr="005C46A2" w:rsidRDefault="000676F2" w:rsidP="00A52A05">
      <w:pPr>
        <w:numPr>
          <w:ilvl w:val="0"/>
          <w:numId w:val="8"/>
        </w:numPr>
        <w:spacing w:after="160" w:line="259" w:lineRule="auto"/>
        <w:contextualSpacing/>
        <w:jc w:val="both"/>
        <w:rPr>
          <w:rFonts w:eastAsia="Calibri"/>
          <w:sz w:val="22"/>
          <w:szCs w:val="22"/>
        </w:rPr>
      </w:pPr>
      <w:r w:rsidRPr="005C46A2">
        <w:rPr>
          <w:rFonts w:eastAsia="Calibri"/>
          <w:sz w:val="22"/>
          <w:szCs w:val="22"/>
        </w:rPr>
        <w:t xml:space="preserve">Other. </w:t>
      </w:r>
      <w:r w:rsidRPr="005C46A2">
        <w:rPr>
          <w:rFonts w:ascii="Calibri" w:eastAsia="Calibri" w:hAnsi="Calibri"/>
          <w:sz w:val="22"/>
          <w:szCs w:val="22"/>
        </w:rPr>
        <w:sym w:font="Wingdings" w:char="F0E0"/>
      </w:r>
      <w:r w:rsidRPr="005C46A2">
        <w:rPr>
          <w:rFonts w:eastAsia="Calibri"/>
          <w:sz w:val="22"/>
          <w:szCs w:val="22"/>
        </w:rPr>
        <w:t xml:space="preserve"> Include text box for participant to elaborate</w:t>
      </w:r>
    </w:p>
    <w:p w14:paraId="4F69BF0E" w14:textId="77777777" w:rsidR="000676F2" w:rsidRPr="005C46A2" w:rsidRDefault="000676F2" w:rsidP="00495C74">
      <w:pPr>
        <w:spacing w:line="240" w:lineRule="auto"/>
        <w:jc w:val="both"/>
        <w:rPr>
          <w:rFonts w:eastAsia="Calibri"/>
          <w:sz w:val="22"/>
          <w:szCs w:val="22"/>
        </w:rPr>
      </w:pPr>
    </w:p>
    <w:p w14:paraId="26D3540E" w14:textId="77777777" w:rsidR="000676F2" w:rsidRPr="005C46A2" w:rsidRDefault="000676F2" w:rsidP="00495C74">
      <w:pPr>
        <w:spacing w:line="259" w:lineRule="auto"/>
        <w:jc w:val="both"/>
        <w:rPr>
          <w:rFonts w:eastAsia="Calibri"/>
          <w:sz w:val="22"/>
          <w:szCs w:val="22"/>
        </w:rPr>
      </w:pPr>
      <w:r w:rsidRPr="005C46A2">
        <w:rPr>
          <w:rFonts w:eastAsia="Calibri"/>
          <w:sz w:val="22"/>
          <w:szCs w:val="22"/>
          <w:u w:val="single"/>
        </w:rPr>
        <w:t>Which of the following best describes your area relating to support for FAOs?</w:t>
      </w:r>
      <w:r w:rsidRPr="005C46A2">
        <w:rPr>
          <w:rFonts w:eastAsia="Calibri"/>
          <w:sz w:val="22"/>
          <w:szCs w:val="22"/>
        </w:rPr>
        <w:t xml:space="preserve"> </w:t>
      </w:r>
      <w:r w:rsidRPr="005C46A2">
        <w:rPr>
          <w:rFonts w:eastAsia="Calibri"/>
          <w:sz w:val="22"/>
          <w:szCs w:val="22"/>
        </w:rPr>
        <w:tab/>
        <w:t>(</w:t>
      </w:r>
      <w:r w:rsidRPr="005C46A2">
        <w:rPr>
          <w:rFonts w:eastAsia="Calibri"/>
          <w:i/>
          <w:iCs/>
          <w:sz w:val="18"/>
          <w:szCs w:val="18"/>
        </w:rPr>
        <w:t>Compulsory Question</w:t>
      </w:r>
      <w:r w:rsidRPr="005C46A2">
        <w:rPr>
          <w:rFonts w:eastAsia="Calibri"/>
          <w:sz w:val="22"/>
          <w:szCs w:val="22"/>
        </w:rPr>
        <w:t>)</w:t>
      </w:r>
    </w:p>
    <w:p w14:paraId="144C5A01" w14:textId="77777777" w:rsidR="000676F2" w:rsidRPr="005C46A2" w:rsidRDefault="000676F2" w:rsidP="00A52A05">
      <w:pPr>
        <w:numPr>
          <w:ilvl w:val="0"/>
          <w:numId w:val="9"/>
        </w:numPr>
        <w:spacing w:after="160" w:line="259" w:lineRule="auto"/>
        <w:contextualSpacing/>
        <w:jc w:val="both"/>
        <w:rPr>
          <w:rFonts w:eastAsia="Calibri"/>
          <w:sz w:val="22"/>
          <w:szCs w:val="22"/>
        </w:rPr>
      </w:pPr>
      <w:r w:rsidRPr="005C46A2">
        <w:rPr>
          <w:rFonts w:eastAsia="Calibri"/>
          <w:sz w:val="22"/>
          <w:szCs w:val="22"/>
        </w:rPr>
        <w:t>Policy</w:t>
      </w:r>
    </w:p>
    <w:p w14:paraId="5025A5B0" w14:textId="77777777" w:rsidR="000676F2" w:rsidRPr="005C46A2" w:rsidRDefault="000676F2" w:rsidP="00A52A05">
      <w:pPr>
        <w:numPr>
          <w:ilvl w:val="0"/>
          <w:numId w:val="9"/>
        </w:numPr>
        <w:spacing w:after="160" w:line="259" w:lineRule="auto"/>
        <w:contextualSpacing/>
        <w:jc w:val="both"/>
        <w:rPr>
          <w:rFonts w:eastAsia="Calibri"/>
          <w:sz w:val="22"/>
          <w:szCs w:val="22"/>
        </w:rPr>
      </w:pPr>
      <w:r w:rsidRPr="005C46A2">
        <w:rPr>
          <w:rFonts w:eastAsia="Calibri"/>
          <w:sz w:val="22"/>
          <w:szCs w:val="22"/>
        </w:rPr>
        <w:t>Service management</w:t>
      </w:r>
    </w:p>
    <w:p w14:paraId="4F523C29" w14:textId="77777777" w:rsidR="000676F2" w:rsidRPr="005C46A2" w:rsidRDefault="000676F2" w:rsidP="00A52A05">
      <w:pPr>
        <w:numPr>
          <w:ilvl w:val="0"/>
          <w:numId w:val="9"/>
        </w:numPr>
        <w:spacing w:after="160" w:line="259" w:lineRule="auto"/>
        <w:contextualSpacing/>
        <w:jc w:val="both"/>
        <w:rPr>
          <w:rFonts w:eastAsia="Calibri"/>
          <w:sz w:val="22"/>
          <w:szCs w:val="22"/>
        </w:rPr>
      </w:pPr>
      <w:r w:rsidRPr="005C46A2">
        <w:rPr>
          <w:rFonts w:eastAsia="Calibri"/>
          <w:sz w:val="22"/>
          <w:szCs w:val="22"/>
        </w:rPr>
        <w:t>Research</w:t>
      </w:r>
    </w:p>
    <w:p w14:paraId="20DAC7F7" w14:textId="77777777" w:rsidR="000676F2" w:rsidRPr="005C46A2" w:rsidRDefault="000676F2" w:rsidP="00A52A05">
      <w:pPr>
        <w:numPr>
          <w:ilvl w:val="0"/>
          <w:numId w:val="9"/>
        </w:numPr>
        <w:spacing w:after="160" w:line="259" w:lineRule="auto"/>
        <w:contextualSpacing/>
        <w:jc w:val="both"/>
        <w:rPr>
          <w:rFonts w:eastAsia="Calibri"/>
          <w:sz w:val="22"/>
          <w:szCs w:val="22"/>
        </w:rPr>
      </w:pPr>
      <w:r w:rsidRPr="005C46A2">
        <w:rPr>
          <w:rFonts w:eastAsia="Calibri"/>
          <w:sz w:val="22"/>
          <w:szCs w:val="22"/>
        </w:rPr>
        <w:t>FAO support practitioner</w:t>
      </w:r>
    </w:p>
    <w:p w14:paraId="043604C2" w14:textId="77777777" w:rsidR="000676F2" w:rsidRPr="005C46A2" w:rsidRDefault="000676F2" w:rsidP="00A52A05">
      <w:pPr>
        <w:numPr>
          <w:ilvl w:val="0"/>
          <w:numId w:val="9"/>
        </w:numPr>
        <w:spacing w:after="160" w:line="259" w:lineRule="auto"/>
        <w:contextualSpacing/>
        <w:jc w:val="both"/>
        <w:rPr>
          <w:rFonts w:eastAsia="Calibri"/>
          <w:sz w:val="22"/>
          <w:szCs w:val="22"/>
        </w:rPr>
      </w:pPr>
      <w:r w:rsidRPr="005C46A2">
        <w:rPr>
          <w:rFonts w:eastAsia="Calibri"/>
          <w:sz w:val="22"/>
          <w:szCs w:val="22"/>
        </w:rPr>
        <w:t>Consumer/lived experience</w:t>
      </w:r>
    </w:p>
    <w:p w14:paraId="27613888" w14:textId="77777777" w:rsidR="000676F2" w:rsidRPr="005C46A2" w:rsidRDefault="000676F2" w:rsidP="00A52A05">
      <w:pPr>
        <w:numPr>
          <w:ilvl w:val="0"/>
          <w:numId w:val="9"/>
        </w:numPr>
        <w:spacing w:after="160" w:line="259" w:lineRule="auto"/>
        <w:contextualSpacing/>
        <w:jc w:val="both"/>
        <w:rPr>
          <w:rFonts w:eastAsia="Calibri"/>
          <w:sz w:val="22"/>
          <w:szCs w:val="22"/>
        </w:rPr>
      </w:pPr>
      <w:r w:rsidRPr="005C46A2">
        <w:rPr>
          <w:rFonts w:eastAsia="Calibri"/>
          <w:sz w:val="22"/>
          <w:szCs w:val="22"/>
        </w:rPr>
        <w:t xml:space="preserve">Other. </w:t>
      </w:r>
      <w:r w:rsidRPr="005C46A2">
        <w:rPr>
          <w:rFonts w:ascii="Calibri" w:eastAsia="Calibri" w:hAnsi="Calibri"/>
          <w:sz w:val="22"/>
          <w:szCs w:val="22"/>
        </w:rPr>
        <w:sym w:font="Wingdings" w:char="F0E0"/>
      </w:r>
      <w:r w:rsidRPr="005C46A2">
        <w:rPr>
          <w:rFonts w:eastAsia="Calibri"/>
          <w:sz w:val="22"/>
          <w:szCs w:val="22"/>
        </w:rPr>
        <w:t xml:space="preserve"> Include text box for participant to elaborate</w:t>
      </w:r>
    </w:p>
    <w:p w14:paraId="57C279C5" w14:textId="77777777" w:rsidR="000676F2" w:rsidRPr="005C46A2" w:rsidRDefault="000676F2" w:rsidP="00495C74">
      <w:pPr>
        <w:spacing w:line="259" w:lineRule="auto"/>
        <w:jc w:val="both"/>
        <w:rPr>
          <w:rFonts w:eastAsia="Calibri"/>
          <w:sz w:val="22"/>
          <w:szCs w:val="22"/>
        </w:rPr>
      </w:pPr>
    </w:p>
    <w:p w14:paraId="5AC65587"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 xml:space="preserve">How many years have you been working in the FAO support space? </w:t>
      </w:r>
      <w:r w:rsidRPr="005C46A2">
        <w:rPr>
          <w:rFonts w:eastAsia="Calibri"/>
          <w:sz w:val="22"/>
          <w:szCs w:val="22"/>
        </w:rPr>
        <w:tab/>
      </w:r>
      <w:r w:rsidRPr="005C46A2">
        <w:rPr>
          <w:rFonts w:eastAsia="Calibri"/>
          <w:sz w:val="22"/>
          <w:szCs w:val="22"/>
        </w:rPr>
        <w:tab/>
        <w:t>(</w:t>
      </w:r>
      <w:r w:rsidRPr="005C46A2">
        <w:rPr>
          <w:rFonts w:eastAsia="Calibri"/>
          <w:i/>
          <w:iCs/>
          <w:sz w:val="18"/>
          <w:szCs w:val="18"/>
        </w:rPr>
        <w:t>Compulsory Question</w:t>
      </w:r>
      <w:r w:rsidRPr="005C46A2">
        <w:rPr>
          <w:rFonts w:eastAsia="Calibri"/>
          <w:sz w:val="22"/>
          <w:szCs w:val="22"/>
        </w:rPr>
        <w:t>)</w:t>
      </w:r>
    </w:p>
    <w:tbl>
      <w:tblPr>
        <w:tblStyle w:val="TableGrid"/>
        <w:tblW w:w="0" w:type="auto"/>
        <w:tblLook w:val="04A0" w:firstRow="1" w:lastRow="0" w:firstColumn="1" w:lastColumn="0" w:noHBand="0" w:noVBand="1"/>
      </w:tblPr>
      <w:tblGrid>
        <w:gridCol w:w="9016"/>
      </w:tblGrid>
      <w:tr w:rsidR="000676F2" w:rsidRPr="005C46A2" w14:paraId="7F95CEE3" w14:textId="77777777" w:rsidTr="000465E8">
        <w:tc>
          <w:tcPr>
            <w:tcW w:w="9016" w:type="dxa"/>
            <w:shd w:val="clear" w:color="auto" w:fill="auto"/>
          </w:tcPr>
          <w:p w14:paraId="05CC0984" w14:textId="77777777" w:rsidR="000676F2" w:rsidRPr="005C46A2" w:rsidRDefault="000676F2" w:rsidP="00495C74">
            <w:pPr>
              <w:jc w:val="both"/>
              <w:rPr>
                <w:rFonts w:eastAsia="Calibri"/>
                <w:sz w:val="22"/>
                <w:szCs w:val="22"/>
              </w:rPr>
            </w:pPr>
          </w:p>
        </w:tc>
      </w:tr>
    </w:tbl>
    <w:p w14:paraId="312ED4AD" w14:textId="77777777" w:rsidR="000676F2" w:rsidRPr="005C46A2" w:rsidRDefault="000676F2" w:rsidP="00495C74">
      <w:pPr>
        <w:pBdr>
          <w:bottom w:val="single" w:sz="12" w:space="1" w:color="auto"/>
        </w:pBdr>
        <w:spacing w:line="259" w:lineRule="auto"/>
        <w:jc w:val="both"/>
        <w:rPr>
          <w:rFonts w:eastAsia="Calibri"/>
          <w:sz w:val="22"/>
          <w:szCs w:val="22"/>
        </w:rPr>
      </w:pPr>
    </w:p>
    <w:p w14:paraId="6CA1AE36" w14:textId="77777777" w:rsidR="000676F2" w:rsidRPr="005C46A2" w:rsidRDefault="000676F2" w:rsidP="00495C74">
      <w:pPr>
        <w:spacing w:line="259" w:lineRule="auto"/>
        <w:jc w:val="both"/>
        <w:rPr>
          <w:rFonts w:eastAsia="Calibri"/>
          <w:b/>
          <w:bCs/>
          <w:i/>
          <w:iCs/>
          <w:sz w:val="20"/>
          <w:szCs w:val="20"/>
        </w:rPr>
      </w:pPr>
      <w:r w:rsidRPr="005C46A2">
        <w:rPr>
          <w:rFonts w:eastAsia="Calibri"/>
          <w:b/>
          <w:bCs/>
          <w:i/>
          <w:iCs/>
          <w:sz w:val="20"/>
          <w:szCs w:val="20"/>
        </w:rPr>
        <w:t>PAGE 3:</w:t>
      </w:r>
      <w:r w:rsidRPr="005C46A2">
        <w:rPr>
          <w:rFonts w:eastAsia="Calibri"/>
          <w:b/>
          <w:bCs/>
          <w:sz w:val="20"/>
          <w:szCs w:val="20"/>
        </w:rPr>
        <w:t xml:space="preserve"> </w:t>
      </w:r>
      <w:r w:rsidRPr="005C46A2">
        <w:rPr>
          <w:rFonts w:eastAsia="Calibri"/>
          <w:b/>
          <w:bCs/>
          <w:i/>
          <w:iCs/>
          <w:sz w:val="20"/>
          <w:szCs w:val="20"/>
        </w:rPr>
        <w:t>Background information / Demographic – open-ended.</w:t>
      </w:r>
    </w:p>
    <w:p w14:paraId="11A544C2" w14:textId="77777777" w:rsidR="000676F2" w:rsidRPr="005C46A2" w:rsidRDefault="000676F2" w:rsidP="00495C74">
      <w:pPr>
        <w:spacing w:line="259" w:lineRule="auto"/>
        <w:jc w:val="both"/>
        <w:rPr>
          <w:rFonts w:eastAsia="Calibri"/>
          <w:i/>
          <w:iCs/>
          <w:sz w:val="22"/>
          <w:szCs w:val="22"/>
        </w:rPr>
      </w:pPr>
      <w:r w:rsidRPr="005C46A2">
        <w:rPr>
          <w:rFonts w:eastAsia="Calibri"/>
          <w:i/>
          <w:iCs/>
          <w:sz w:val="22"/>
          <w:szCs w:val="22"/>
        </w:rPr>
        <w:t>The following questions will ask you to tell us about the different groups you have worked, studied or have experience with. If any of the groups are not relevant to you, leave the question blank.</w:t>
      </w:r>
    </w:p>
    <w:p w14:paraId="0C4B72C3" w14:textId="77777777" w:rsidR="000676F2" w:rsidRPr="005C46A2" w:rsidRDefault="000676F2" w:rsidP="00495C74">
      <w:pPr>
        <w:spacing w:line="259" w:lineRule="auto"/>
        <w:jc w:val="both"/>
        <w:rPr>
          <w:rFonts w:eastAsia="Calibri"/>
          <w:sz w:val="22"/>
          <w:szCs w:val="22"/>
        </w:rPr>
      </w:pPr>
    </w:p>
    <w:p w14:paraId="457E63BA"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Please briefly describe your role, experience and/or expertise regarding support provided for family and others affected by gambling, alcohol and/or tobacco (FAOs)</w:t>
      </w:r>
      <w:r w:rsidRPr="005C46A2">
        <w:rPr>
          <w:rFonts w:eastAsia="Calibri"/>
          <w:sz w:val="22"/>
          <w:szCs w:val="22"/>
        </w:rPr>
        <w:tab/>
      </w:r>
      <w:r w:rsidRPr="005C46A2">
        <w:rPr>
          <w:rFonts w:eastAsia="Calibri"/>
          <w:sz w:val="22"/>
          <w:szCs w:val="22"/>
        </w:rPr>
        <w:tab/>
      </w:r>
      <w:r w:rsidRPr="005C46A2">
        <w:rPr>
          <w:rFonts w:eastAsia="Calibri"/>
          <w:sz w:val="22"/>
          <w:szCs w:val="22"/>
        </w:rPr>
        <w:tab/>
        <w:t>(</w:t>
      </w:r>
      <w:r w:rsidRPr="005C46A2">
        <w:rPr>
          <w:rFonts w:eastAsia="Calibri"/>
          <w:i/>
          <w:iCs/>
          <w:sz w:val="18"/>
          <w:szCs w:val="18"/>
        </w:rPr>
        <w:t>Compulsory Question</w:t>
      </w:r>
      <w:r w:rsidRPr="005C46A2">
        <w:rPr>
          <w:rFonts w:eastAsia="Calibri"/>
          <w:sz w:val="22"/>
          <w:szCs w:val="22"/>
        </w:rPr>
        <w:t>)</w:t>
      </w:r>
    </w:p>
    <w:tbl>
      <w:tblPr>
        <w:tblStyle w:val="TableGrid"/>
        <w:tblW w:w="0" w:type="auto"/>
        <w:tblLook w:val="04A0" w:firstRow="1" w:lastRow="0" w:firstColumn="1" w:lastColumn="0" w:noHBand="0" w:noVBand="1"/>
      </w:tblPr>
      <w:tblGrid>
        <w:gridCol w:w="9016"/>
      </w:tblGrid>
      <w:tr w:rsidR="000676F2" w:rsidRPr="005C46A2" w14:paraId="2433477B" w14:textId="77777777" w:rsidTr="000465E8">
        <w:tc>
          <w:tcPr>
            <w:tcW w:w="9016" w:type="dxa"/>
          </w:tcPr>
          <w:p w14:paraId="1CC4BBF3" w14:textId="77777777" w:rsidR="000676F2" w:rsidRPr="005C46A2" w:rsidRDefault="000676F2" w:rsidP="00495C74">
            <w:pPr>
              <w:spacing w:line="240" w:lineRule="auto"/>
              <w:jc w:val="both"/>
              <w:rPr>
                <w:rFonts w:eastAsia="Calibri"/>
                <w:sz w:val="22"/>
                <w:szCs w:val="22"/>
              </w:rPr>
            </w:pPr>
          </w:p>
          <w:p w14:paraId="426B29E6" w14:textId="77777777" w:rsidR="000676F2" w:rsidRPr="005C46A2" w:rsidRDefault="000676F2" w:rsidP="00495C74">
            <w:pPr>
              <w:spacing w:line="240" w:lineRule="auto"/>
              <w:jc w:val="both"/>
              <w:rPr>
                <w:rFonts w:eastAsia="Calibri"/>
                <w:sz w:val="22"/>
                <w:szCs w:val="22"/>
              </w:rPr>
            </w:pPr>
          </w:p>
        </w:tc>
      </w:tr>
    </w:tbl>
    <w:p w14:paraId="5E49F4E0" w14:textId="77777777" w:rsidR="000676F2" w:rsidRPr="005C46A2" w:rsidRDefault="000676F2" w:rsidP="00495C74">
      <w:pPr>
        <w:spacing w:line="259" w:lineRule="auto"/>
        <w:jc w:val="both"/>
        <w:rPr>
          <w:rFonts w:eastAsia="Calibri"/>
          <w:sz w:val="22"/>
          <w:szCs w:val="22"/>
        </w:rPr>
      </w:pPr>
    </w:p>
    <w:p w14:paraId="5644223F"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Please describe any role, experience and/or expertise in intervention with FAOs of different genders (men, women, non-binary)</w:t>
      </w:r>
    </w:p>
    <w:tbl>
      <w:tblPr>
        <w:tblStyle w:val="TableGrid"/>
        <w:tblW w:w="0" w:type="auto"/>
        <w:tblLook w:val="04A0" w:firstRow="1" w:lastRow="0" w:firstColumn="1" w:lastColumn="0" w:noHBand="0" w:noVBand="1"/>
      </w:tblPr>
      <w:tblGrid>
        <w:gridCol w:w="9016"/>
      </w:tblGrid>
      <w:tr w:rsidR="000676F2" w:rsidRPr="005C46A2" w14:paraId="1571132E" w14:textId="77777777" w:rsidTr="000465E8">
        <w:tc>
          <w:tcPr>
            <w:tcW w:w="9016" w:type="dxa"/>
          </w:tcPr>
          <w:p w14:paraId="0EE2A1CF" w14:textId="77777777" w:rsidR="000676F2" w:rsidRPr="005C46A2" w:rsidRDefault="000676F2" w:rsidP="00495C74">
            <w:pPr>
              <w:spacing w:line="240" w:lineRule="auto"/>
              <w:jc w:val="both"/>
              <w:rPr>
                <w:rFonts w:eastAsia="Calibri"/>
                <w:sz w:val="22"/>
                <w:szCs w:val="22"/>
              </w:rPr>
            </w:pPr>
          </w:p>
          <w:p w14:paraId="27662A4A" w14:textId="77777777" w:rsidR="000676F2" w:rsidRPr="005C46A2" w:rsidRDefault="000676F2" w:rsidP="00495C74">
            <w:pPr>
              <w:spacing w:line="240" w:lineRule="auto"/>
              <w:jc w:val="both"/>
              <w:rPr>
                <w:rFonts w:eastAsia="Calibri"/>
                <w:sz w:val="22"/>
                <w:szCs w:val="22"/>
              </w:rPr>
            </w:pPr>
          </w:p>
        </w:tc>
      </w:tr>
    </w:tbl>
    <w:p w14:paraId="2DF98B54" w14:textId="77777777" w:rsidR="000676F2" w:rsidRPr="005C46A2" w:rsidRDefault="000676F2" w:rsidP="00495C74">
      <w:pPr>
        <w:spacing w:line="259" w:lineRule="auto"/>
        <w:jc w:val="both"/>
        <w:rPr>
          <w:rFonts w:eastAsia="Calibri"/>
          <w:sz w:val="22"/>
          <w:szCs w:val="22"/>
        </w:rPr>
      </w:pPr>
    </w:p>
    <w:p w14:paraId="5962D128"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Please describe any role, experience and/or expertise in intervening with FAOs of different cultural heritage or ethnicity</w:t>
      </w:r>
    </w:p>
    <w:tbl>
      <w:tblPr>
        <w:tblStyle w:val="TableGrid"/>
        <w:tblW w:w="0" w:type="auto"/>
        <w:tblLook w:val="04A0" w:firstRow="1" w:lastRow="0" w:firstColumn="1" w:lastColumn="0" w:noHBand="0" w:noVBand="1"/>
      </w:tblPr>
      <w:tblGrid>
        <w:gridCol w:w="9016"/>
      </w:tblGrid>
      <w:tr w:rsidR="000676F2" w:rsidRPr="005C46A2" w14:paraId="3AF9BEAA" w14:textId="77777777" w:rsidTr="000465E8">
        <w:tc>
          <w:tcPr>
            <w:tcW w:w="9016" w:type="dxa"/>
          </w:tcPr>
          <w:p w14:paraId="3EFEDBD9" w14:textId="77777777" w:rsidR="000676F2" w:rsidRPr="005C46A2" w:rsidRDefault="000676F2" w:rsidP="00495C74">
            <w:pPr>
              <w:spacing w:line="240" w:lineRule="auto"/>
              <w:jc w:val="both"/>
              <w:rPr>
                <w:rFonts w:eastAsia="Calibri"/>
                <w:sz w:val="22"/>
                <w:szCs w:val="22"/>
              </w:rPr>
            </w:pPr>
          </w:p>
          <w:p w14:paraId="5244F863" w14:textId="77777777" w:rsidR="000676F2" w:rsidRPr="005C46A2" w:rsidRDefault="000676F2" w:rsidP="00495C74">
            <w:pPr>
              <w:spacing w:line="240" w:lineRule="auto"/>
              <w:jc w:val="both"/>
              <w:rPr>
                <w:rFonts w:eastAsia="Calibri"/>
                <w:sz w:val="22"/>
                <w:szCs w:val="22"/>
              </w:rPr>
            </w:pPr>
          </w:p>
        </w:tc>
      </w:tr>
    </w:tbl>
    <w:p w14:paraId="1A144B4A" w14:textId="77777777" w:rsidR="000676F2" w:rsidRPr="005C46A2" w:rsidRDefault="000676F2" w:rsidP="00495C74">
      <w:pPr>
        <w:spacing w:line="259" w:lineRule="auto"/>
        <w:jc w:val="both"/>
        <w:rPr>
          <w:rFonts w:eastAsia="Calibri"/>
          <w:sz w:val="22"/>
          <w:szCs w:val="22"/>
        </w:rPr>
      </w:pPr>
    </w:p>
    <w:p w14:paraId="17990CF5"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Please describe any role, experience and/or expertise in intervening with FAOs of different age groups</w:t>
      </w:r>
    </w:p>
    <w:tbl>
      <w:tblPr>
        <w:tblStyle w:val="TableGrid"/>
        <w:tblW w:w="0" w:type="auto"/>
        <w:tblLook w:val="04A0" w:firstRow="1" w:lastRow="0" w:firstColumn="1" w:lastColumn="0" w:noHBand="0" w:noVBand="1"/>
      </w:tblPr>
      <w:tblGrid>
        <w:gridCol w:w="9016"/>
      </w:tblGrid>
      <w:tr w:rsidR="000676F2" w:rsidRPr="005C46A2" w14:paraId="009D5422" w14:textId="77777777" w:rsidTr="000465E8">
        <w:tc>
          <w:tcPr>
            <w:tcW w:w="9016" w:type="dxa"/>
          </w:tcPr>
          <w:p w14:paraId="6592D9E2" w14:textId="77777777" w:rsidR="000676F2" w:rsidRPr="005C46A2" w:rsidRDefault="000676F2" w:rsidP="00495C74">
            <w:pPr>
              <w:spacing w:line="240" w:lineRule="auto"/>
              <w:jc w:val="both"/>
              <w:rPr>
                <w:rFonts w:eastAsia="Calibri"/>
                <w:sz w:val="22"/>
                <w:szCs w:val="22"/>
              </w:rPr>
            </w:pPr>
          </w:p>
          <w:p w14:paraId="4DBDACDC" w14:textId="77777777" w:rsidR="000676F2" w:rsidRPr="005C46A2" w:rsidRDefault="000676F2" w:rsidP="00495C74">
            <w:pPr>
              <w:spacing w:line="240" w:lineRule="auto"/>
              <w:jc w:val="both"/>
              <w:rPr>
                <w:rFonts w:eastAsia="Calibri"/>
                <w:sz w:val="22"/>
                <w:szCs w:val="22"/>
              </w:rPr>
            </w:pPr>
          </w:p>
        </w:tc>
      </w:tr>
    </w:tbl>
    <w:p w14:paraId="2EB15885" w14:textId="77777777" w:rsidR="000676F2" w:rsidRPr="005C46A2" w:rsidRDefault="000676F2" w:rsidP="00495C74">
      <w:pPr>
        <w:pBdr>
          <w:bottom w:val="single" w:sz="12" w:space="1" w:color="auto"/>
        </w:pBdr>
        <w:spacing w:line="259" w:lineRule="auto"/>
        <w:jc w:val="both"/>
        <w:rPr>
          <w:rFonts w:eastAsia="Calibri"/>
          <w:sz w:val="22"/>
          <w:szCs w:val="22"/>
        </w:rPr>
      </w:pPr>
    </w:p>
    <w:p w14:paraId="649DBAAF" w14:textId="77777777" w:rsidR="000676F2" w:rsidRPr="005C46A2" w:rsidRDefault="000676F2" w:rsidP="00495C74">
      <w:pPr>
        <w:spacing w:line="259" w:lineRule="auto"/>
        <w:jc w:val="both"/>
        <w:rPr>
          <w:rFonts w:eastAsia="Calibri"/>
          <w:b/>
          <w:bCs/>
          <w:i/>
          <w:iCs/>
          <w:sz w:val="20"/>
          <w:szCs w:val="20"/>
        </w:rPr>
      </w:pPr>
      <w:r w:rsidRPr="005C46A2">
        <w:rPr>
          <w:rFonts w:eastAsia="Calibri"/>
          <w:b/>
          <w:bCs/>
          <w:i/>
          <w:iCs/>
          <w:sz w:val="20"/>
          <w:szCs w:val="20"/>
        </w:rPr>
        <w:t>PAGE 4: Introductory opinion questions</w:t>
      </w:r>
    </w:p>
    <w:p w14:paraId="120FC526" w14:textId="77777777" w:rsidR="000676F2" w:rsidRPr="005C46A2" w:rsidRDefault="000676F2" w:rsidP="00495C74">
      <w:pPr>
        <w:spacing w:line="259" w:lineRule="auto"/>
        <w:jc w:val="both"/>
        <w:rPr>
          <w:rFonts w:eastAsia="Calibri"/>
          <w:i/>
          <w:iCs/>
          <w:sz w:val="22"/>
          <w:szCs w:val="22"/>
        </w:rPr>
      </w:pPr>
      <w:r w:rsidRPr="005C46A2">
        <w:rPr>
          <w:rFonts w:eastAsia="Calibri"/>
          <w:i/>
          <w:iCs/>
          <w:sz w:val="22"/>
          <w:szCs w:val="22"/>
        </w:rPr>
        <w:t xml:space="preserve">The following section is focussed on your perspective: The questions are aimed at understanding your experiences and opinion of FAO services including, their purpose, why they might be needed, and what more is needed. </w:t>
      </w:r>
    </w:p>
    <w:p w14:paraId="020AFE74" w14:textId="77777777" w:rsidR="000676F2" w:rsidRPr="005C46A2" w:rsidRDefault="000676F2" w:rsidP="00495C74">
      <w:pPr>
        <w:spacing w:line="259" w:lineRule="auto"/>
        <w:jc w:val="both"/>
        <w:rPr>
          <w:rFonts w:eastAsia="Calibri"/>
          <w:i/>
          <w:iCs/>
          <w:sz w:val="22"/>
          <w:szCs w:val="22"/>
        </w:rPr>
      </w:pPr>
    </w:p>
    <w:p w14:paraId="7AD04BBA" w14:textId="77777777" w:rsidR="000676F2" w:rsidRPr="005C46A2" w:rsidRDefault="000676F2" w:rsidP="00495C74">
      <w:pPr>
        <w:spacing w:line="259" w:lineRule="auto"/>
        <w:jc w:val="both"/>
        <w:rPr>
          <w:rFonts w:eastAsia="Calibri"/>
          <w:i/>
          <w:iCs/>
          <w:sz w:val="22"/>
          <w:szCs w:val="22"/>
        </w:rPr>
      </w:pPr>
      <w:bookmarkStart w:id="226" w:name="_Hlk39560465"/>
      <w:r w:rsidRPr="005C46A2">
        <w:rPr>
          <w:rFonts w:eastAsia="Calibri"/>
          <w:i/>
          <w:iCs/>
          <w:sz w:val="22"/>
          <w:szCs w:val="22"/>
        </w:rPr>
        <w:t xml:space="preserve">This Delphi study is about exploring the array of ideas, opinions, and experiences – so feel free to get creative with your answers and consider the range of factors that impact or are impacted by addictions and services for FAOs. </w:t>
      </w:r>
      <w:r w:rsidRPr="005C46A2">
        <w:rPr>
          <w:rFonts w:eastAsia="Calibri"/>
          <w:i/>
          <w:iCs/>
          <w:sz w:val="22"/>
          <w:szCs w:val="22"/>
          <w:u w:val="single"/>
        </w:rPr>
        <w:t>Please consider your role and experience when answering each question. Please write as much as little as you feel necessary to answer the question</w:t>
      </w:r>
      <w:r w:rsidRPr="005C46A2">
        <w:rPr>
          <w:rFonts w:eastAsia="Calibri"/>
          <w:i/>
          <w:iCs/>
          <w:sz w:val="22"/>
          <w:szCs w:val="22"/>
        </w:rPr>
        <w:t>.</w:t>
      </w:r>
    </w:p>
    <w:bookmarkEnd w:id="226"/>
    <w:p w14:paraId="23F6297E" w14:textId="77777777" w:rsidR="000676F2" w:rsidRPr="005C46A2" w:rsidRDefault="000676F2" w:rsidP="00495C74">
      <w:pPr>
        <w:spacing w:line="259" w:lineRule="auto"/>
        <w:jc w:val="both"/>
        <w:rPr>
          <w:rFonts w:eastAsia="Calibri"/>
          <w:sz w:val="22"/>
          <w:szCs w:val="22"/>
        </w:rPr>
      </w:pPr>
    </w:p>
    <w:p w14:paraId="35A28830" w14:textId="77777777" w:rsidR="000676F2" w:rsidRPr="005C46A2" w:rsidRDefault="000676F2" w:rsidP="00495C74">
      <w:pPr>
        <w:spacing w:line="259" w:lineRule="auto"/>
        <w:jc w:val="both"/>
        <w:rPr>
          <w:rFonts w:eastAsia="Calibri"/>
          <w:sz w:val="22"/>
          <w:szCs w:val="22"/>
        </w:rPr>
      </w:pPr>
      <w:r w:rsidRPr="005C46A2">
        <w:rPr>
          <w:rFonts w:eastAsia="Calibri"/>
          <w:sz w:val="22"/>
          <w:szCs w:val="22"/>
          <w:u w:val="single"/>
        </w:rPr>
        <w:t>What sorts of services do FAOs request (tick all that apply)?</w:t>
      </w:r>
      <w:r w:rsidRPr="005C46A2">
        <w:rPr>
          <w:rFonts w:eastAsia="Calibri"/>
          <w:sz w:val="22"/>
          <w:szCs w:val="22"/>
        </w:rPr>
        <w:t xml:space="preserve"> </w:t>
      </w:r>
      <w:r w:rsidRPr="005C46A2">
        <w:rPr>
          <w:rFonts w:eastAsia="Calibri"/>
          <w:sz w:val="22"/>
          <w:szCs w:val="22"/>
        </w:rPr>
        <w:tab/>
      </w:r>
      <w:r w:rsidRPr="005C46A2">
        <w:rPr>
          <w:rFonts w:eastAsia="Calibri"/>
          <w:sz w:val="22"/>
          <w:szCs w:val="22"/>
        </w:rPr>
        <w:tab/>
      </w:r>
      <w:r w:rsidRPr="005C46A2">
        <w:rPr>
          <w:rFonts w:eastAsia="Calibri"/>
          <w:sz w:val="22"/>
          <w:szCs w:val="22"/>
        </w:rPr>
        <w:tab/>
        <w:t>(</w:t>
      </w:r>
      <w:r w:rsidRPr="005C46A2">
        <w:rPr>
          <w:rFonts w:eastAsia="Calibri"/>
          <w:i/>
          <w:iCs/>
          <w:sz w:val="18"/>
          <w:szCs w:val="18"/>
        </w:rPr>
        <w:t>Compulsory Question</w:t>
      </w:r>
      <w:r w:rsidRPr="005C46A2">
        <w:rPr>
          <w:rFonts w:eastAsia="Calibri"/>
          <w:sz w:val="22"/>
          <w:szCs w:val="22"/>
        </w:rPr>
        <w:t>)</w:t>
      </w:r>
    </w:p>
    <w:p w14:paraId="374F62DE" w14:textId="77777777" w:rsidR="000676F2" w:rsidRPr="005C46A2" w:rsidRDefault="000676F2" w:rsidP="00A52A05">
      <w:pPr>
        <w:numPr>
          <w:ilvl w:val="0"/>
          <w:numId w:val="10"/>
        </w:numPr>
        <w:spacing w:after="160" w:line="259" w:lineRule="auto"/>
        <w:contextualSpacing/>
        <w:jc w:val="both"/>
        <w:rPr>
          <w:rFonts w:eastAsia="Calibri"/>
          <w:sz w:val="22"/>
          <w:szCs w:val="22"/>
        </w:rPr>
      </w:pPr>
      <w:r w:rsidRPr="005C46A2">
        <w:rPr>
          <w:rFonts w:eastAsia="Calibri"/>
          <w:sz w:val="22"/>
          <w:szCs w:val="22"/>
        </w:rPr>
        <w:t>Information about addictions</w:t>
      </w:r>
    </w:p>
    <w:p w14:paraId="7B90B8C9" w14:textId="77777777" w:rsidR="000676F2" w:rsidRPr="005C46A2" w:rsidRDefault="000676F2" w:rsidP="00A52A05">
      <w:pPr>
        <w:numPr>
          <w:ilvl w:val="0"/>
          <w:numId w:val="10"/>
        </w:numPr>
        <w:spacing w:after="160" w:line="259" w:lineRule="auto"/>
        <w:contextualSpacing/>
        <w:jc w:val="both"/>
        <w:rPr>
          <w:rFonts w:eastAsia="Calibri"/>
          <w:sz w:val="22"/>
          <w:szCs w:val="22"/>
        </w:rPr>
      </w:pPr>
      <w:r w:rsidRPr="005C46A2">
        <w:rPr>
          <w:rFonts w:eastAsia="Calibri"/>
          <w:sz w:val="22"/>
          <w:szCs w:val="22"/>
        </w:rPr>
        <w:t>Self-help resources for FAOs</w:t>
      </w:r>
    </w:p>
    <w:p w14:paraId="7A0DE490" w14:textId="77777777" w:rsidR="000676F2" w:rsidRPr="005C46A2" w:rsidRDefault="000676F2" w:rsidP="00A52A05">
      <w:pPr>
        <w:numPr>
          <w:ilvl w:val="0"/>
          <w:numId w:val="10"/>
        </w:numPr>
        <w:spacing w:after="160" w:line="259" w:lineRule="auto"/>
        <w:contextualSpacing/>
        <w:jc w:val="both"/>
        <w:rPr>
          <w:rFonts w:eastAsia="Calibri"/>
          <w:sz w:val="22"/>
          <w:szCs w:val="22"/>
        </w:rPr>
      </w:pPr>
      <w:r w:rsidRPr="005C46A2">
        <w:rPr>
          <w:rFonts w:eastAsia="Calibri"/>
          <w:sz w:val="22"/>
          <w:szCs w:val="22"/>
        </w:rPr>
        <w:lastRenderedPageBreak/>
        <w:t>Self-help resources for addictions</w:t>
      </w:r>
    </w:p>
    <w:p w14:paraId="020657BC" w14:textId="77777777" w:rsidR="000676F2" w:rsidRPr="005C46A2" w:rsidRDefault="000676F2" w:rsidP="00A52A05">
      <w:pPr>
        <w:numPr>
          <w:ilvl w:val="0"/>
          <w:numId w:val="10"/>
        </w:numPr>
        <w:spacing w:after="160" w:line="259" w:lineRule="auto"/>
        <w:contextualSpacing/>
        <w:jc w:val="both"/>
        <w:rPr>
          <w:rFonts w:eastAsia="Calibri"/>
          <w:sz w:val="22"/>
          <w:szCs w:val="22"/>
        </w:rPr>
      </w:pPr>
      <w:r w:rsidRPr="005C46A2">
        <w:rPr>
          <w:rFonts w:eastAsia="Calibri"/>
          <w:sz w:val="22"/>
          <w:szCs w:val="22"/>
        </w:rPr>
        <w:t>Professional support for FAOs - in person</w:t>
      </w:r>
    </w:p>
    <w:p w14:paraId="48607EAB" w14:textId="77777777" w:rsidR="000676F2" w:rsidRPr="005C46A2" w:rsidRDefault="000676F2" w:rsidP="00A52A05">
      <w:pPr>
        <w:numPr>
          <w:ilvl w:val="0"/>
          <w:numId w:val="10"/>
        </w:numPr>
        <w:spacing w:after="160" w:line="259" w:lineRule="auto"/>
        <w:contextualSpacing/>
        <w:jc w:val="both"/>
        <w:rPr>
          <w:rFonts w:eastAsia="Calibri"/>
          <w:sz w:val="22"/>
          <w:szCs w:val="22"/>
        </w:rPr>
      </w:pPr>
      <w:r w:rsidRPr="005C46A2">
        <w:rPr>
          <w:rFonts w:eastAsia="Calibri"/>
          <w:sz w:val="22"/>
          <w:szCs w:val="22"/>
        </w:rPr>
        <w:t>Professional support for FAOs - online</w:t>
      </w:r>
    </w:p>
    <w:p w14:paraId="38E848E1" w14:textId="77777777" w:rsidR="000676F2" w:rsidRPr="005C46A2" w:rsidRDefault="000676F2" w:rsidP="00A52A05">
      <w:pPr>
        <w:numPr>
          <w:ilvl w:val="0"/>
          <w:numId w:val="10"/>
        </w:numPr>
        <w:spacing w:after="160" w:line="259" w:lineRule="auto"/>
        <w:contextualSpacing/>
        <w:jc w:val="both"/>
        <w:rPr>
          <w:rFonts w:eastAsia="Calibri"/>
          <w:sz w:val="22"/>
          <w:szCs w:val="22"/>
        </w:rPr>
      </w:pPr>
      <w:r w:rsidRPr="005C46A2">
        <w:rPr>
          <w:rFonts w:eastAsia="Calibri"/>
          <w:sz w:val="22"/>
          <w:szCs w:val="22"/>
        </w:rPr>
        <w:t>Support groups for FAOs</w:t>
      </w:r>
    </w:p>
    <w:p w14:paraId="4240B9A7" w14:textId="77777777" w:rsidR="000676F2" w:rsidRPr="005C46A2" w:rsidRDefault="000676F2" w:rsidP="00A52A05">
      <w:pPr>
        <w:numPr>
          <w:ilvl w:val="0"/>
          <w:numId w:val="10"/>
        </w:numPr>
        <w:spacing w:after="160" w:line="259" w:lineRule="auto"/>
        <w:contextualSpacing/>
        <w:jc w:val="both"/>
        <w:rPr>
          <w:rFonts w:eastAsia="Calibri"/>
          <w:sz w:val="22"/>
          <w:szCs w:val="22"/>
        </w:rPr>
      </w:pPr>
      <w:r w:rsidRPr="005C46A2">
        <w:rPr>
          <w:rFonts w:eastAsia="Calibri"/>
          <w:sz w:val="22"/>
          <w:szCs w:val="22"/>
        </w:rPr>
        <w:t>Support groups for gamblers/users</w:t>
      </w:r>
    </w:p>
    <w:p w14:paraId="481F144F" w14:textId="77777777" w:rsidR="000676F2" w:rsidRPr="005C46A2" w:rsidRDefault="000676F2" w:rsidP="00A52A05">
      <w:pPr>
        <w:numPr>
          <w:ilvl w:val="0"/>
          <w:numId w:val="10"/>
        </w:numPr>
        <w:spacing w:after="160" w:line="259" w:lineRule="auto"/>
        <w:contextualSpacing/>
        <w:jc w:val="both"/>
        <w:rPr>
          <w:rFonts w:eastAsia="Calibri"/>
          <w:sz w:val="22"/>
          <w:szCs w:val="22"/>
        </w:rPr>
      </w:pPr>
      <w:r w:rsidRPr="005C46A2">
        <w:rPr>
          <w:rFonts w:eastAsia="Calibri"/>
          <w:sz w:val="22"/>
          <w:szCs w:val="22"/>
        </w:rPr>
        <w:t>Professional support for the gamblers/user – in person</w:t>
      </w:r>
    </w:p>
    <w:p w14:paraId="6B5AEFF7" w14:textId="77777777" w:rsidR="000676F2" w:rsidRPr="005C46A2" w:rsidRDefault="000676F2" w:rsidP="00A52A05">
      <w:pPr>
        <w:numPr>
          <w:ilvl w:val="0"/>
          <w:numId w:val="10"/>
        </w:numPr>
        <w:spacing w:after="160" w:line="259" w:lineRule="auto"/>
        <w:contextualSpacing/>
        <w:jc w:val="both"/>
        <w:rPr>
          <w:rFonts w:eastAsia="Calibri"/>
          <w:sz w:val="22"/>
          <w:szCs w:val="22"/>
        </w:rPr>
      </w:pPr>
      <w:r w:rsidRPr="005C46A2">
        <w:rPr>
          <w:rFonts w:eastAsia="Calibri"/>
          <w:sz w:val="22"/>
          <w:szCs w:val="22"/>
        </w:rPr>
        <w:t>Professional support for the gamblers/user - online</w:t>
      </w:r>
    </w:p>
    <w:p w14:paraId="1AB4CBB2" w14:textId="77777777" w:rsidR="000676F2" w:rsidRPr="005C46A2" w:rsidRDefault="000676F2" w:rsidP="00A52A05">
      <w:pPr>
        <w:numPr>
          <w:ilvl w:val="0"/>
          <w:numId w:val="10"/>
        </w:numPr>
        <w:spacing w:after="160" w:line="259" w:lineRule="auto"/>
        <w:contextualSpacing/>
        <w:jc w:val="both"/>
        <w:rPr>
          <w:rFonts w:eastAsia="Calibri"/>
          <w:sz w:val="22"/>
          <w:szCs w:val="22"/>
        </w:rPr>
      </w:pPr>
      <w:r w:rsidRPr="005C46A2">
        <w:rPr>
          <w:rFonts w:eastAsia="Calibri"/>
          <w:sz w:val="22"/>
          <w:szCs w:val="22"/>
        </w:rPr>
        <w:t>Other (please specify)</w:t>
      </w:r>
    </w:p>
    <w:p w14:paraId="24F733F9" w14:textId="77777777" w:rsidR="000676F2" w:rsidRPr="005C46A2" w:rsidRDefault="000676F2" w:rsidP="00495C74">
      <w:pPr>
        <w:spacing w:line="259" w:lineRule="auto"/>
        <w:jc w:val="both"/>
        <w:rPr>
          <w:rFonts w:eastAsia="Calibri"/>
          <w:sz w:val="22"/>
          <w:szCs w:val="22"/>
        </w:rPr>
      </w:pPr>
    </w:p>
    <w:p w14:paraId="3A9195CC"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 xml:space="preserve">What is the overarching purpose of providing support/intervention services for FAOs affected by addiction? </w:t>
      </w:r>
      <w:r w:rsidRPr="005C46A2">
        <w:rPr>
          <w:rFonts w:eastAsia="Calibri"/>
          <w:sz w:val="22"/>
          <w:szCs w:val="22"/>
        </w:rPr>
        <w:tab/>
      </w:r>
      <w:r w:rsidRPr="005C46A2">
        <w:rPr>
          <w:rFonts w:eastAsia="Calibri"/>
          <w:sz w:val="22"/>
          <w:szCs w:val="22"/>
        </w:rPr>
        <w:tab/>
      </w:r>
      <w:r w:rsidRPr="005C46A2">
        <w:rPr>
          <w:rFonts w:eastAsia="Calibri"/>
          <w:sz w:val="22"/>
          <w:szCs w:val="22"/>
        </w:rPr>
        <w:tab/>
      </w:r>
      <w:r w:rsidRPr="005C46A2">
        <w:rPr>
          <w:rFonts w:eastAsia="Calibri"/>
          <w:sz w:val="22"/>
          <w:szCs w:val="22"/>
        </w:rPr>
        <w:tab/>
      </w:r>
      <w:r w:rsidRPr="005C46A2">
        <w:rPr>
          <w:rFonts w:eastAsia="Calibri"/>
          <w:sz w:val="22"/>
          <w:szCs w:val="22"/>
        </w:rPr>
        <w:tab/>
      </w:r>
      <w:r w:rsidRPr="005C46A2">
        <w:rPr>
          <w:rFonts w:eastAsia="Calibri"/>
          <w:sz w:val="22"/>
          <w:szCs w:val="22"/>
        </w:rPr>
        <w:tab/>
      </w:r>
      <w:r w:rsidRPr="005C46A2">
        <w:rPr>
          <w:rFonts w:eastAsia="Calibri"/>
          <w:sz w:val="22"/>
          <w:szCs w:val="22"/>
        </w:rPr>
        <w:tab/>
      </w:r>
      <w:r w:rsidRPr="005C46A2">
        <w:rPr>
          <w:rFonts w:eastAsia="Calibri"/>
          <w:sz w:val="22"/>
          <w:szCs w:val="22"/>
        </w:rPr>
        <w:tab/>
      </w:r>
      <w:r w:rsidRPr="005C46A2">
        <w:rPr>
          <w:rFonts w:eastAsia="Calibri"/>
          <w:sz w:val="22"/>
          <w:szCs w:val="22"/>
        </w:rPr>
        <w:tab/>
        <w:t>(</w:t>
      </w:r>
      <w:r w:rsidRPr="005C46A2">
        <w:rPr>
          <w:rFonts w:eastAsia="Calibri"/>
          <w:i/>
          <w:iCs/>
          <w:sz w:val="18"/>
          <w:szCs w:val="18"/>
        </w:rPr>
        <w:t>Compulsory Question</w:t>
      </w:r>
      <w:r w:rsidRPr="005C46A2">
        <w:rPr>
          <w:rFonts w:eastAsia="Calibri"/>
          <w:sz w:val="22"/>
          <w:szCs w:val="22"/>
        </w:rPr>
        <w:t>)</w:t>
      </w:r>
    </w:p>
    <w:tbl>
      <w:tblPr>
        <w:tblStyle w:val="TableGrid"/>
        <w:tblW w:w="0" w:type="auto"/>
        <w:tblLook w:val="04A0" w:firstRow="1" w:lastRow="0" w:firstColumn="1" w:lastColumn="0" w:noHBand="0" w:noVBand="1"/>
      </w:tblPr>
      <w:tblGrid>
        <w:gridCol w:w="9016"/>
      </w:tblGrid>
      <w:tr w:rsidR="000676F2" w:rsidRPr="005C46A2" w14:paraId="44C617D2" w14:textId="77777777" w:rsidTr="000465E8">
        <w:tc>
          <w:tcPr>
            <w:tcW w:w="9016" w:type="dxa"/>
          </w:tcPr>
          <w:p w14:paraId="7E2C91BE" w14:textId="77777777" w:rsidR="000676F2" w:rsidRPr="005C46A2" w:rsidRDefault="000676F2" w:rsidP="00495C74">
            <w:pPr>
              <w:spacing w:line="240" w:lineRule="auto"/>
              <w:jc w:val="both"/>
              <w:rPr>
                <w:rFonts w:eastAsia="Calibri"/>
                <w:sz w:val="22"/>
                <w:szCs w:val="22"/>
              </w:rPr>
            </w:pPr>
          </w:p>
          <w:p w14:paraId="0EE00FAD" w14:textId="77777777" w:rsidR="000676F2" w:rsidRPr="005C46A2" w:rsidRDefault="000676F2" w:rsidP="00495C74">
            <w:pPr>
              <w:spacing w:line="240" w:lineRule="auto"/>
              <w:jc w:val="both"/>
              <w:rPr>
                <w:rFonts w:eastAsia="Calibri"/>
                <w:sz w:val="22"/>
                <w:szCs w:val="22"/>
              </w:rPr>
            </w:pPr>
          </w:p>
        </w:tc>
      </w:tr>
    </w:tbl>
    <w:p w14:paraId="7E8CA110" w14:textId="77777777" w:rsidR="000676F2" w:rsidRPr="005C46A2" w:rsidRDefault="000676F2" w:rsidP="00495C74">
      <w:pPr>
        <w:spacing w:line="259" w:lineRule="auto"/>
        <w:jc w:val="both"/>
        <w:rPr>
          <w:rFonts w:eastAsia="Calibri"/>
          <w:sz w:val="22"/>
          <w:szCs w:val="22"/>
        </w:rPr>
      </w:pPr>
    </w:p>
    <w:p w14:paraId="740BD17B"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What are the main reasons an FAO might engage with addiction support services? (</w:t>
      </w:r>
      <w:r w:rsidRPr="005C46A2">
        <w:rPr>
          <w:rFonts w:eastAsia="Calibri"/>
          <w:i/>
          <w:iCs/>
          <w:sz w:val="18"/>
          <w:szCs w:val="18"/>
        </w:rPr>
        <w:t>Compulsory Question</w:t>
      </w:r>
      <w:r w:rsidRPr="005C46A2">
        <w:rPr>
          <w:rFonts w:eastAsia="Calibri"/>
          <w:sz w:val="22"/>
          <w:szCs w:val="22"/>
        </w:rPr>
        <w:t>)</w:t>
      </w:r>
    </w:p>
    <w:tbl>
      <w:tblPr>
        <w:tblStyle w:val="TableGrid"/>
        <w:tblW w:w="0" w:type="auto"/>
        <w:tblLook w:val="04A0" w:firstRow="1" w:lastRow="0" w:firstColumn="1" w:lastColumn="0" w:noHBand="0" w:noVBand="1"/>
      </w:tblPr>
      <w:tblGrid>
        <w:gridCol w:w="9016"/>
      </w:tblGrid>
      <w:tr w:rsidR="000676F2" w:rsidRPr="005C46A2" w14:paraId="1A97C4FF" w14:textId="77777777" w:rsidTr="000465E8">
        <w:tc>
          <w:tcPr>
            <w:tcW w:w="9016" w:type="dxa"/>
          </w:tcPr>
          <w:p w14:paraId="04704077" w14:textId="77777777" w:rsidR="000676F2" w:rsidRPr="005C46A2" w:rsidRDefault="000676F2" w:rsidP="00495C74">
            <w:pPr>
              <w:spacing w:line="240" w:lineRule="auto"/>
              <w:jc w:val="both"/>
              <w:rPr>
                <w:rFonts w:eastAsia="Calibri"/>
                <w:sz w:val="22"/>
                <w:szCs w:val="22"/>
              </w:rPr>
            </w:pPr>
          </w:p>
          <w:p w14:paraId="6165D48B" w14:textId="77777777" w:rsidR="000676F2" w:rsidRPr="005C46A2" w:rsidRDefault="000676F2" w:rsidP="00495C74">
            <w:pPr>
              <w:spacing w:line="240" w:lineRule="auto"/>
              <w:jc w:val="both"/>
              <w:rPr>
                <w:rFonts w:eastAsia="Calibri"/>
                <w:sz w:val="22"/>
                <w:szCs w:val="22"/>
              </w:rPr>
            </w:pPr>
          </w:p>
        </w:tc>
      </w:tr>
    </w:tbl>
    <w:p w14:paraId="4B6D1EB6" w14:textId="77777777" w:rsidR="000676F2" w:rsidRPr="005C46A2" w:rsidRDefault="000676F2" w:rsidP="00495C74">
      <w:pPr>
        <w:spacing w:line="259" w:lineRule="auto"/>
        <w:jc w:val="both"/>
        <w:rPr>
          <w:rFonts w:eastAsia="Calibri"/>
          <w:sz w:val="22"/>
          <w:szCs w:val="22"/>
        </w:rPr>
      </w:pPr>
    </w:p>
    <w:p w14:paraId="34400F2C"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 xml:space="preserve">What do FAOs need from services? </w:t>
      </w:r>
      <w:r w:rsidRPr="005C46A2">
        <w:rPr>
          <w:rFonts w:eastAsia="Calibri"/>
          <w:sz w:val="22"/>
          <w:szCs w:val="22"/>
        </w:rPr>
        <w:tab/>
      </w:r>
      <w:r w:rsidRPr="005C46A2">
        <w:rPr>
          <w:rFonts w:eastAsia="Calibri"/>
          <w:sz w:val="22"/>
          <w:szCs w:val="22"/>
        </w:rPr>
        <w:tab/>
      </w:r>
      <w:r w:rsidRPr="005C46A2">
        <w:rPr>
          <w:rFonts w:eastAsia="Calibri"/>
          <w:sz w:val="22"/>
          <w:szCs w:val="22"/>
        </w:rPr>
        <w:tab/>
      </w:r>
      <w:r w:rsidRPr="005C46A2">
        <w:rPr>
          <w:rFonts w:eastAsia="Calibri"/>
          <w:sz w:val="22"/>
          <w:szCs w:val="22"/>
        </w:rPr>
        <w:tab/>
      </w:r>
      <w:r w:rsidRPr="005C46A2">
        <w:rPr>
          <w:rFonts w:eastAsia="Calibri"/>
          <w:sz w:val="22"/>
          <w:szCs w:val="22"/>
        </w:rPr>
        <w:tab/>
      </w:r>
      <w:r w:rsidRPr="005C46A2">
        <w:rPr>
          <w:rFonts w:eastAsia="Calibri"/>
          <w:sz w:val="22"/>
          <w:szCs w:val="22"/>
        </w:rPr>
        <w:tab/>
        <w:t>(</w:t>
      </w:r>
      <w:r w:rsidRPr="005C46A2">
        <w:rPr>
          <w:rFonts w:eastAsia="Calibri"/>
          <w:i/>
          <w:iCs/>
          <w:sz w:val="18"/>
          <w:szCs w:val="18"/>
        </w:rPr>
        <w:t>Compulsory Question</w:t>
      </w:r>
      <w:r w:rsidRPr="005C46A2">
        <w:rPr>
          <w:rFonts w:eastAsia="Calibri"/>
          <w:sz w:val="22"/>
          <w:szCs w:val="22"/>
        </w:rPr>
        <w:t>)</w:t>
      </w:r>
    </w:p>
    <w:tbl>
      <w:tblPr>
        <w:tblStyle w:val="TableGrid"/>
        <w:tblW w:w="0" w:type="auto"/>
        <w:tblLook w:val="04A0" w:firstRow="1" w:lastRow="0" w:firstColumn="1" w:lastColumn="0" w:noHBand="0" w:noVBand="1"/>
      </w:tblPr>
      <w:tblGrid>
        <w:gridCol w:w="9016"/>
      </w:tblGrid>
      <w:tr w:rsidR="000676F2" w:rsidRPr="005C46A2" w14:paraId="5AAE4A53" w14:textId="77777777" w:rsidTr="000465E8">
        <w:tc>
          <w:tcPr>
            <w:tcW w:w="9016" w:type="dxa"/>
          </w:tcPr>
          <w:p w14:paraId="1892E9C5" w14:textId="77777777" w:rsidR="000676F2" w:rsidRPr="005C46A2" w:rsidRDefault="000676F2" w:rsidP="00495C74">
            <w:pPr>
              <w:spacing w:line="240" w:lineRule="auto"/>
              <w:jc w:val="both"/>
              <w:rPr>
                <w:rFonts w:eastAsia="Calibri"/>
                <w:sz w:val="22"/>
                <w:szCs w:val="22"/>
              </w:rPr>
            </w:pPr>
          </w:p>
          <w:p w14:paraId="571EFBCA" w14:textId="77777777" w:rsidR="000676F2" w:rsidRPr="005C46A2" w:rsidRDefault="000676F2" w:rsidP="00495C74">
            <w:pPr>
              <w:spacing w:line="240" w:lineRule="auto"/>
              <w:jc w:val="both"/>
              <w:rPr>
                <w:rFonts w:eastAsia="Calibri"/>
                <w:sz w:val="22"/>
                <w:szCs w:val="22"/>
              </w:rPr>
            </w:pPr>
          </w:p>
        </w:tc>
      </w:tr>
    </w:tbl>
    <w:p w14:paraId="6B66391A" w14:textId="77777777" w:rsidR="000676F2" w:rsidRPr="005C46A2" w:rsidRDefault="000676F2" w:rsidP="00495C74">
      <w:pPr>
        <w:spacing w:line="259" w:lineRule="auto"/>
        <w:jc w:val="both"/>
        <w:rPr>
          <w:rFonts w:eastAsia="Calibri"/>
          <w:sz w:val="22"/>
          <w:szCs w:val="22"/>
        </w:rPr>
      </w:pPr>
    </w:p>
    <w:p w14:paraId="4BA98A50"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What are the key features of a quality and effective addictions service for FAOs? (</w:t>
      </w:r>
      <w:r w:rsidRPr="005C46A2">
        <w:rPr>
          <w:rFonts w:eastAsia="Calibri"/>
          <w:i/>
          <w:iCs/>
          <w:sz w:val="18"/>
          <w:szCs w:val="18"/>
        </w:rPr>
        <w:t>Compulsory Question</w:t>
      </w:r>
      <w:r w:rsidRPr="005C46A2">
        <w:rPr>
          <w:rFonts w:eastAsia="Calibri"/>
          <w:sz w:val="22"/>
          <w:szCs w:val="22"/>
        </w:rPr>
        <w:t>)</w:t>
      </w:r>
    </w:p>
    <w:tbl>
      <w:tblPr>
        <w:tblStyle w:val="TableGrid"/>
        <w:tblW w:w="0" w:type="auto"/>
        <w:tblLook w:val="04A0" w:firstRow="1" w:lastRow="0" w:firstColumn="1" w:lastColumn="0" w:noHBand="0" w:noVBand="1"/>
      </w:tblPr>
      <w:tblGrid>
        <w:gridCol w:w="9016"/>
      </w:tblGrid>
      <w:tr w:rsidR="000676F2" w:rsidRPr="005C46A2" w14:paraId="2F6B0E88" w14:textId="77777777" w:rsidTr="000465E8">
        <w:tc>
          <w:tcPr>
            <w:tcW w:w="9016" w:type="dxa"/>
          </w:tcPr>
          <w:p w14:paraId="422C003F" w14:textId="77777777" w:rsidR="000676F2" w:rsidRPr="005C46A2" w:rsidRDefault="000676F2" w:rsidP="00495C74">
            <w:pPr>
              <w:spacing w:line="240" w:lineRule="auto"/>
              <w:jc w:val="both"/>
              <w:rPr>
                <w:rFonts w:eastAsia="Calibri"/>
                <w:sz w:val="22"/>
                <w:szCs w:val="22"/>
              </w:rPr>
            </w:pPr>
          </w:p>
          <w:p w14:paraId="2D123AEB" w14:textId="77777777" w:rsidR="000676F2" w:rsidRPr="005C46A2" w:rsidRDefault="000676F2" w:rsidP="00495C74">
            <w:pPr>
              <w:spacing w:line="240" w:lineRule="auto"/>
              <w:jc w:val="both"/>
              <w:rPr>
                <w:rFonts w:eastAsia="Calibri"/>
                <w:sz w:val="22"/>
                <w:szCs w:val="22"/>
              </w:rPr>
            </w:pPr>
          </w:p>
        </w:tc>
      </w:tr>
    </w:tbl>
    <w:p w14:paraId="391943FC" w14:textId="77777777" w:rsidR="000676F2" w:rsidRPr="005C46A2" w:rsidRDefault="000676F2" w:rsidP="00495C74">
      <w:pPr>
        <w:spacing w:line="259" w:lineRule="auto"/>
        <w:jc w:val="both"/>
        <w:rPr>
          <w:rFonts w:eastAsia="Calibri"/>
          <w:b/>
          <w:bCs/>
          <w:sz w:val="22"/>
          <w:szCs w:val="22"/>
        </w:rPr>
      </w:pPr>
    </w:p>
    <w:p w14:paraId="1951E674"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 xml:space="preserve">What are the important outcomes of an addictions service / intervention for FAOs? </w:t>
      </w:r>
    </w:p>
    <w:p w14:paraId="7602A3B0" w14:textId="77777777" w:rsidR="000676F2" w:rsidRPr="005C46A2" w:rsidRDefault="000676F2" w:rsidP="00495C74">
      <w:pPr>
        <w:spacing w:line="259" w:lineRule="auto"/>
        <w:jc w:val="both"/>
        <w:rPr>
          <w:rFonts w:eastAsia="Calibri"/>
          <w:color w:val="FF0000"/>
          <w:sz w:val="22"/>
          <w:szCs w:val="22"/>
        </w:rPr>
      </w:pPr>
      <w:r w:rsidRPr="005C46A2">
        <w:rPr>
          <w:rFonts w:eastAsia="Calibri"/>
          <w:i/>
          <w:iCs/>
          <w:sz w:val="22"/>
          <w:szCs w:val="22"/>
        </w:rPr>
        <w:t>(Consider the range of outcomes including immediate impacts (e.g. on service user) or broader affects (e.g. on the community)</w:t>
      </w:r>
      <w:r w:rsidRPr="005C46A2">
        <w:rPr>
          <w:rFonts w:eastAsia="Calibri"/>
          <w:sz w:val="22"/>
          <w:szCs w:val="22"/>
        </w:rPr>
        <w:t xml:space="preserve"> </w:t>
      </w:r>
      <w:r w:rsidRPr="005C46A2">
        <w:rPr>
          <w:rFonts w:eastAsia="Calibri"/>
          <w:sz w:val="22"/>
          <w:szCs w:val="22"/>
        </w:rPr>
        <w:tab/>
      </w:r>
      <w:r w:rsidRPr="005C46A2">
        <w:rPr>
          <w:rFonts w:eastAsia="Calibri"/>
          <w:sz w:val="22"/>
          <w:szCs w:val="22"/>
        </w:rPr>
        <w:tab/>
      </w:r>
      <w:r w:rsidRPr="005C46A2">
        <w:rPr>
          <w:rFonts w:eastAsia="Calibri"/>
          <w:sz w:val="22"/>
          <w:szCs w:val="22"/>
        </w:rPr>
        <w:tab/>
      </w:r>
      <w:r w:rsidRPr="005C46A2">
        <w:rPr>
          <w:rFonts w:eastAsia="Calibri"/>
          <w:sz w:val="22"/>
          <w:szCs w:val="22"/>
        </w:rPr>
        <w:tab/>
      </w:r>
      <w:r w:rsidRPr="005C46A2">
        <w:rPr>
          <w:rFonts w:eastAsia="Calibri"/>
          <w:sz w:val="22"/>
          <w:szCs w:val="22"/>
        </w:rPr>
        <w:tab/>
      </w:r>
      <w:r w:rsidRPr="005C46A2">
        <w:rPr>
          <w:rFonts w:eastAsia="Calibri"/>
          <w:sz w:val="22"/>
          <w:szCs w:val="22"/>
        </w:rPr>
        <w:tab/>
      </w:r>
      <w:r w:rsidRPr="005C46A2">
        <w:rPr>
          <w:rFonts w:eastAsia="Calibri"/>
          <w:sz w:val="22"/>
          <w:szCs w:val="22"/>
        </w:rPr>
        <w:tab/>
      </w:r>
      <w:r w:rsidRPr="005C46A2">
        <w:rPr>
          <w:rFonts w:eastAsia="Calibri"/>
          <w:sz w:val="22"/>
          <w:szCs w:val="22"/>
        </w:rPr>
        <w:tab/>
        <w:t>(</w:t>
      </w:r>
      <w:r w:rsidRPr="005C46A2">
        <w:rPr>
          <w:rFonts w:eastAsia="Calibri"/>
          <w:i/>
          <w:iCs/>
          <w:sz w:val="18"/>
          <w:szCs w:val="18"/>
        </w:rPr>
        <w:t>Compulsory Question</w:t>
      </w:r>
      <w:r w:rsidRPr="005C46A2">
        <w:rPr>
          <w:rFonts w:eastAsia="Calibri"/>
          <w:sz w:val="22"/>
          <w:szCs w:val="22"/>
        </w:rPr>
        <w:t>)</w:t>
      </w:r>
    </w:p>
    <w:tbl>
      <w:tblPr>
        <w:tblStyle w:val="TableGrid"/>
        <w:tblW w:w="0" w:type="auto"/>
        <w:tblLook w:val="04A0" w:firstRow="1" w:lastRow="0" w:firstColumn="1" w:lastColumn="0" w:noHBand="0" w:noVBand="1"/>
      </w:tblPr>
      <w:tblGrid>
        <w:gridCol w:w="9016"/>
      </w:tblGrid>
      <w:tr w:rsidR="000676F2" w:rsidRPr="005C46A2" w14:paraId="7A970DC2" w14:textId="77777777" w:rsidTr="000465E8">
        <w:tc>
          <w:tcPr>
            <w:tcW w:w="9016" w:type="dxa"/>
          </w:tcPr>
          <w:p w14:paraId="5E4E95F0" w14:textId="77777777" w:rsidR="000676F2" w:rsidRPr="005C46A2" w:rsidRDefault="000676F2" w:rsidP="00495C74">
            <w:pPr>
              <w:spacing w:line="240" w:lineRule="auto"/>
              <w:jc w:val="both"/>
              <w:rPr>
                <w:rFonts w:eastAsia="Calibri"/>
                <w:b/>
                <w:bCs/>
                <w:sz w:val="22"/>
                <w:szCs w:val="22"/>
              </w:rPr>
            </w:pPr>
          </w:p>
          <w:p w14:paraId="07DB13E6" w14:textId="77777777" w:rsidR="000676F2" w:rsidRPr="005C46A2" w:rsidRDefault="000676F2" w:rsidP="00495C74">
            <w:pPr>
              <w:spacing w:line="240" w:lineRule="auto"/>
              <w:jc w:val="both"/>
              <w:rPr>
                <w:rFonts w:eastAsia="Calibri"/>
                <w:b/>
                <w:bCs/>
                <w:sz w:val="22"/>
                <w:szCs w:val="22"/>
              </w:rPr>
            </w:pPr>
          </w:p>
        </w:tc>
      </w:tr>
    </w:tbl>
    <w:p w14:paraId="0FF7B5F4" w14:textId="77777777" w:rsidR="000676F2" w:rsidRPr="005C46A2" w:rsidRDefault="000676F2" w:rsidP="00495C74">
      <w:pPr>
        <w:spacing w:line="259" w:lineRule="auto"/>
        <w:jc w:val="both"/>
        <w:rPr>
          <w:rFonts w:eastAsia="Calibri"/>
          <w:b/>
          <w:bCs/>
          <w:sz w:val="22"/>
          <w:szCs w:val="22"/>
        </w:rPr>
      </w:pPr>
    </w:p>
    <w:p w14:paraId="2D0C0977" w14:textId="77777777" w:rsidR="000676F2" w:rsidRPr="005C46A2" w:rsidRDefault="000676F2" w:rsidP="00495C74">
      <w:pPr>
        <w:spacing w:line="259" w:lineRule="auto"/>
        <w:jc w:val="both"/>
        <w:rPr>
          <w:rFonts w:eastAsia="Calibri"/>
          <w:sz w:val="22"/>
          <w:szCs w:val="20"/>
        </w:rPr>
      </w:pPr>
      <w:r w:rsidRPr="005C46A2">
        <w:rPr>
          <w:rFonts w:eastAsia="Calibri"/>
          <w:sz w:val="22"/>
          <w:szCs w:val="20"/>
        </w:rPr>
        <w:t xml:space="preserve">How would you measure the quality and effectiveness of an addictions service for FAOs? </w:t>
      </w:r>
      <w:r w:rsidRPr="005C46A2">
        <w:rPr>
          <w:rFonts w:eastAsia="Calibri"/>
          <w:sz w:val="22"/>
          <w:szCs w:val="20"/>
        </w:rPr>
        <w:tab/>
      </w:r>
      <w:r w:rsidRPr="005C46A2">
        <w:rPr>
          <w:rFonts w:eastAsia="Calibri"/>
          <w:sz w:val="22"/>
          <w:szCs w:val="20"/>
        </w:rPr>
        <w:tab/>
      </w:r>
      <w:r w:rsidRPr="005C46A2">
        <w:rPr>
          <w:rFonts w:eastAsia="Calibri"/>
          <w:sz w:val="22"/>
          <w:szCs w:val="20"/>
        </w:rPr>
        <w:tab/>
      </w:r>
      <w:r w:rsidRPr="005C46A2">
        <w:rPr>
          <w:rFonts w:eastAsia="Calibri"/>
          <w:sz w:val="22"/>
          <w:szCs w:val="20"/>
        </w:rPr>
        <w:tab/>
      </w:r>
      <w:r w:rsidRPr="005C46A2">
        <w:rPr>
          <w:rFonts w:eastAsia="Calibri"/>
          <w:sz w:val="22"/>
          <w:szCs w:val="20"/>
        </w:rPr>
        <w:tab/>
      </w:r>
      <w:r w:rsidRPr="005C46A2">
        <w:rPr>
          <w:rFonts w:eastAsia="Calibri"/>
          <w:sz w:val="22"/>
          <w:szCs w:val="20"/>
        </w:rPr>
        <w:tab/>
      </w:r>
      <w:r w:rsidRPr="005C46A2">
        <w:rPr>
          <w:rFonts w:eastAsia="Calibri"/>
          <w:sz w:val="22"/>
          <w:szCs w:val="20"/>
        </w:rPr>
        <w:tab/>
      </w:r>
      <w:r w:rsidRPr="005C46A2">
        <w:rPr>
          <w:rFonts w:eastAsia="Calibri"/>
          <w:sz w:val="22"/>
          <w:szCs w:val="20"/>
        </w:rPr>
        <w:tab/>
      </w:r>
      <w:r w:rsidRPr="005C46A2">
        <w:rPr>
          <w:rFonts w:eastAsia="Calibri"/>
          <w:sz w:val="22"/>
          <w:szCs w:val="20"/>
        </w:rPr>
        <w:tab/>
      </w:r>
      <w:r w:rsidRPr="005C46A2">
        <w:rPr>
          <w:rFonts w:eastAsia="Calibri"/>
          <w:sz w:val="22"/>
          <w:szCs w:val="20"/>
        </w:rPr>
        <w:tab/>
      </w:r>
      <w:r w:rsidRPr="005C46A2">
        <w:rPr>
          <w:rFonts w:eastAsia="Calibri"/>
          <w:sz w:val="22"/>
          <w:szCs w:val="20"/>
        </w:rPr>
        <w:tab/>
      </w:r>
      <w:r w:rsidRPr="005C46A2">
        <w:rPr>
          <w:rFonts w:eastAsia="Calibri"/>
          <w:sz w:val="22"/>
          <w:szCs w:val="22"/>
        </w:rPr>
        <w:t>(</w:t>
      </w:r>
      <w:r w:rsidRPr="005C46A2">
        <w:rPr>
          <w:rFonts w:eastAsia="Calibri"/>
          <w:i/>
          <w:iCs/>
          <w:sz w:val="18"/>
          <w:szCs w:val="18"/>
        </w:rPr>
        <w:t>Compulsory Question</w:t>
      </w:r>
      <w:r w:rsidRPr="005C46A2">
        <w:rPr>
          <w:rFonts w:eastAsia="Calibri"/>
          <w:sz w:val="22"/>
          <w:szCs w:val="22"/>
        </w:rPr>
        <w:t>)</w:t>
      </w:r>
    </w:p>
    <w:tbl>
      <w:tblPr>
        <w:tblStyle w:val="TableGrid"/>
        <w:tblW w:w="0" w:type="auto"/>
        <w:tblInd w:w="-5" w:type="dxa"/>
        <w:tblLook w:val="04A0" w:firstRow="1" w:lastRow="0" w:firstColumn="1" w:lastColumn="0" w:noHBand="0" w:noVBand="1"/>
      </w:tblPr>
      <w:tblGrid>
        <w:gridCol w:w="9021"/>
      </w:tblGrid>
      <w:tr w:rsidR="000676F2" w:rsidRPr="005C46A2" w14:paraId="7A6CF0F1" w14:textId="77777777" w:rsidTr="000465E8">
        <w:tc>
          <w:tcPr>
            <w:tcW w:w="9021" w:type="dxa"/>
          </w:tcPr>
          <w:p w14:paraId="41D3DA12" w14:textId="77777777" w:rsidR="000676F2" w:rsidRPr="005C46A2" w:rsidRDefault="000676F2" w:rsidP="00495C74">
            <w:pPr>
              <w:spacing w:line="240" w:lineRule="auto"/>
              <w:contextualSpacing/>
              <w:jc w:val="both"/>
              <w:rPr>
                <w:rFonts w:eastAsia="Calibri"/>
                <w:szCs w:val="22"/>
              </w:rPr>
            </w:pPr>
          </w:p>
          <w:p w14:paraId="7761B515" w14:textId="77777777" w:rsidR="000676F2" w:rsidRPr="005C46A2" w:rsidRDefault="000676F2" w:rsidP="00495C74">
            <w:pPr>
              <w:spacing w:line="240" w:lineRule="auto"/>
              <w:contextualSpacing/>
              <w:jc w:val="both"/>
              <w:rPr>
                <w:rFonts w:eastAsia="Calibri"/>
                <w:szCs w:val="22"/>
              </w:rPr>
            </w:pPr>
          </w:p>
        </w:tc>
      </w:tr>
    </w:tbl>
    <w:p w14:paraId="406459BE" w14:textId="77777777" w:rsidR="000676F2" w:rsidRPr="005C46A2" w:rsidRDefault="000676F2" w:rsidP="00495C74">
      <w:pPr>
        <w:pBdr>
          <w:bottom w:val="single" w:sz="12" w:space="1" w:color="auto"/>
        </w:pBdr>
        <w:spacing w:line="259" w:lineRule="auto"/>
        <w:jc w:val="both"/>
        <w:rPr>
          <w:rFonts w:eastAsia="Calibri"/>
          <w:sz w:val="22"/>
          <w:szCs w:val="22"/>
        </w:rPr>
      </w:pPr>
    </w:p>
    <w:p w14:paraId="64D3A22A" w14:textId="77777777" w:rsidR="000676F2" w:rsidRPr="005C46A2" w:rsidRDefault="000676F2" w:rsidP="00495C74">
      <w:pPr>
        <w:spacing w:line="259" w:lineRule="auto"/>
        <w:jc w:val="both"/>
        <w:rPr>
          <w:rFonts w:eastAsia="Calibri"/>
          <w:b/>
          <w:bCs/>
          <w:i/>
          <w:iCs/>
          <w:sz w:val="20"/>
          <w:szCs w:val="20"/>
        </w:rPr>
      </w:pPr>
      <w:r w:rsidRPr="005C46A2">
        <w:rPr>
          <w:rFonts w:eastAsia="Calibri"/>
          <w:b/>
          <w:bCs/>
          <w:i/>
          <w:iCs/>
          <w:sz w:val="20"/>
          <w:szCs w:val="20"/>
        </w:rPr>
        <w:t>PAGE 5</w:t>
      </w:r>
    </w:p>
    <w:p w14:paraId="260124CA" w14:textId="77777777" w:rsidR="000676F2" w:rsidRPr="005C46A2" w:rsidRDefault="000676F2" w:rsidP="00495C74">
      <w:pPr>
        <w:jc w:val="both"/>
        <w:rPr>
          <w:b/>
          <w:bCs/>
        </w:rPr>
      </w:pPr>
      <w:r w:rsidRPr="005C46A2">
        <w:rPr>
          <w:b/>
          <w:bCs/>
        </w:rPr>
        <w:t>PART TWO: LITERATURE REVIEW INFORMED QUESTIONS</w:t>
      </w:r>
    </w:p>
    <w:p w14:paraId="14ED12B5" w14:textId="77777777" w:rsidR="000676F2" w:rsidRPr="005C46A2" w:rsidRDefault="000676F2" w:rsidP="00495C74">
      <w:pPr>
        <w:spacing w:line="259" w:lineRule="auto"/>
        <w:jc w:val="both"/>
        <w:rPr>
          <w:rFonts w:eastAsia="Calibri"/>
          <w:i/>
          <w:iCs/>
          <w:sz w:val="22"/>
          <w:szCs w:val="22"/>
        </w:rPr>
      </w:pPr>
      <w:r w:rsidRPr="005C46A2">
        <w:rPr>
          <w:rFonts w:eastAsia="Calibri"/>
          <w:sz w:val="22"/>
          <w:szCs w:val="22"/>
        </w:rPr>
        <w:t xml:space="preserve">The researchers reviewed FAO intervention research in the AOD, gambling, and tobacco fields. From this literature review, the researchers identified four intervention approaches (ways of conceptualising FAOs and their intervention needs) which have produced and informed intervention practices. We would like you to consider both the possibilities and drawbacks of these approaches for gambling harm reduction drawing on </w:t>
      </w:r>
      <w:r w:rsidRPr="005C46A2">
        <w:rPr>
          <w:rFonts w:eastAsia="Calibri"/>
          <w:i/>
          <w:iCs/>
          <w:sz w:val="22"/>
          <w:szCs w:val="22"/>
        </w:rPr>
        <w:t xml:space="preserve">your area of expertise (AOD, tobacco etc), mode of work (individual treatment, public health etc), or lived experience. </w:t>
      </w:r>
    </w:p>
    <w:p w14:paraId="65F35B81" w14:textId="77777777" w:rsidR="000676F2" w:rsidRPr="005C46A2" w:rsidRDefault="000676F2" w:rsidP="00495C74">
      <w:pPr>
        <w:spacing w:line="259" w:lineRule="auto"/>
        <w:jc w:val="both"/>
        <w:rPr>
          <w:rFonts w:eastAsia="Calibri"/>
          <w:sz w:val="22"/>
          <w:szCs w:val="22"/>
        </w:rPr>
      </w:pPr>
    </w:p>
    <w:p w14:paraId="440A5514" w14:textId="1E5C42B3" w:rsidR="000676F2" w:rsidRPr="005C46A2" w:rsidRDefault="000676F2" w:rsidP="00A52A05">
      <w:pPr>
        <w:pStyle w:val="ListParagraph"/>
        <w:numPr>
          <w:ilvl w:val="0"/>
          <w:numId w:val="12"/>
        </w:numPr>
        <w:jc w:val="both"/>
        <w:rPr>
          <w:b/>
          <w:bCs/>
        </w:rPr>
      </w:pPr>
      <w:r w:rsidRPr="005C46A2">
        <w:rPr>
          <w:b/>
          <w:bCs/>
        </w:rPr>
        <w:t>Supporting FAOs to influence the person who is gambling</w:t>
      </w:r>
    </w:p>
    <w:p w14:paraId="5B6ECBB6"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lastRenderedPageBreak/>
        <w:t>FAOs have been positioned as a valuable resource in rehabilitation and treatment efforts. This approach positions FAOs as ‘intervention allies’ and as ‘agents of change’. It holds that through learning productive engagement tactics or behaviour change techniques, FAOs can contribute to improvements in the individual with the gambling problem by encouraging them to seek and remain in treatment, and experience benefits themselves e.g. a sense of power, purpose and direction and reduced helplessness</w:t>
      </w:r>
    </w:p>
    <w:p w14:paraId="4489F117" w14:textId="77777777" w:rsidR="000676F2" w:rsidRPr="005C46A2" w:rsidRDefault="000676F2" w:rsidP="00A52A05">
      <w:pPr>
        <w:numPr>
          <w:ilvl w:val="0"/>
          <w:numId w:val="4"/>
        </w:numPr>
        <w:spacing w:after="160" w:line="259" w:lineRule="auto"/>
        <w:contextualSpacing/>
        <w:jc w:val="both"/>
        <w:rPr>
          <w:rFonts w:eastAsia="Calibri"/>
          <w:i/>
          <w:iCs/>
          <w:sz w:val="22"/>
          <w:szCs w:val="22"/>
        </w:rPr>
      </w:pPr>
      <w:r w:rsidRPr="005C46A2">
        <w:rPr>
          <w:rFonts w:eastAsia="Calibri"/>
          <w:i/>
          <w:iCs/>
          <w:sz w:val="22"/>
          <w:szCs w:val="22"/>
        </w:rPr>
        <w:t>Central to approach: Supporting FAOs to influence the individual with problematic gambling to change or engage in treatment will improve the outcomes for the FAO.</w:t>
      </w:r>
    </w:p>
    <w:p w14:paraId="7AF2CF60" w14:textId="77777777" w:rsidR="000676F2" w:rsidRPr="005C46A2" w:rsidRDefault="000676F2" w:rsidP="00495C74">
      <w:pPr>
        <w:spacing w:line="259" w:lineRule="auto"/>
        <w:jc w:val="both"/>
        <w:rPr>
          <w:rFonts w:eastAsia="Calibri"/>
          <w:b/>
          <w:bCs/>
          <w:sz w:val="22"/>
          <w:szCs w:val="22"/>
        </w:rPr>
      </w:pPr>
    </w:p>
    <w:p w14:paraId="500A95C7" w14:textId="77777777" w:rsidR="000676F2" w:rsidRPr="005C46A2" w:rsidRDefault="000676F2" w:rsidP="00A52A05">
      <w:pPr>
        <w:pStyle w:val="ListParagraph"/>
        <w:numPr>
          <w:ilvl w:val="0"/>
          <w:numId w:val="12"/>
        </w:numPr>
        <w:jc w:val="both"/>
        <w:rPr>
          <w:b/>
          <w:bCs/>
        </w:rPr>
      </w:pPr>
      <w:r w:rsidRPr="005C46A2">
        <w:rPr>
          <w:b/>
          <w:bCs/>
        </w:rPr>
        <w:t xml:space="preserve">Improving the relationship/s between FAOs and the person who is gambling: </w:t>
      </w:r>
    </w:p>
    <w:p w14:paraId="4120CF88"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FAOs can be seen as part of an affected family system with implications for their therapeutic journey. This approach holds that the family system has been harmed by the problem gambling and needs to be addressed relationally. Joint couples and/or family intervention or consultation is recommended. A key purpose of intervention is about mending the family system as a whole; this is done through communication, rebuilding trust, and acquiring understanding of each family member’s perspective. General family or couple distress is addressed under the assumption that by improving family functioning and connectedness broadly, FAO wellbeing will improve.</w:t>
      </w:r>
    </w:p>
    <w:p w14:paraId="22C65EE3" w14:textId="77777777" w:rsidR="000676F2" w:rsidRPr="005C46A2" w:rsidRDefault="000676F2" w:rsidP="00A52A05">
      <w:pPr>
        <w:numPr>
          <w:ilvl w:val="0"/>
          <w:numId w:val="5"/>
        </w:numPr>
        <w:spacing w:after="160" w:line="259" w:lineRule="auto"/>
        <w:contextualSpacing/>
        <w:jc w:val="both"/>
        <w:rPr>
          <w:rFonts w:eastAsia="Calibri"/>
          <w:i/>
          <w:iCs/>
          <w:sz w:val="22"/>
          <w:szCs w:val="22"/>
        </w:rPr>
      </w:pPr>
      <w:r w:rsidRPr="005C46A2">
        <w:rPr>
          <w:rFonts w:eastAsia="Calibri"/>
          <w:i/>
          <w:iCs/>
          <w:sz w:val="22"/>
          <w:szCs w:val="22"/>
        </w:rPr>
        <w:t>Central to approach: Improving family relationships will improve the outcomes for the FAO.</w:t>
      </w:r>
    </w:p>
    <w:p w14:paraId="2F32F312" w14:textId="77777777" w:rsidR="000676F2" w:rsidRPr="005C46A2" w:rsidRDefault="000676F2" w:rsidP="00495C74">
      <w:pPr>
        <w:spacing w:line="259" w:lineRule="auto"/>
        <w:ind w:left="360"/>
        <w:contextualSpacing/>
        <w:jc w:val="both"/>
        <w:rPr>
          <w:rFonts w:eastAsia="Calibri"/>
          <w:sz w:val="22"/>
          <w:szCs w:val="22"/>
        </w:rPr>
      </w:pPr>
    </w:p>
    <w:p w14:paraId="50A3D3C1" w14:textId="77777777" w:rsidR="000676F2" w:rsidRPr="005C46A2" w:rsidRDefault="000676F2" w:rsidP="00A52A05">
      <w:pPr>
        <w:pStyle w:val="ListParagraph"/>
        <w:numPr>
          <w:ilvl w:val="0"/>
          <w:numId w:val="12"/>
        </w:numPr>
        <w:jc w:val="both"/>
        <w:rPr>
          <w:b/>
          <w:bCs/>
        </w:rPr>
      </w:pPr>
      <w:bookmarkStart w:id="227" w:name="_Hlk36815392"/>
      <w:r w:rsidRPr="005C46A2">
        <w:rPr>
          <w:b/>
          <w:bCs/>
        </w:rPr>
        <w:t>Supporting FAOs to enhance their own wellbeing:</w:t>
      </w:r>
    </w:p>
    <w:p w14:paraId="37FF6144" w14:textId="77777777" w:rsidR="000676F2" w:rsidRPr="005C46A2" w:rsidRDefault="000676F2" w:rsidP="00495C74">
      <w:pPr>
        <w:spacing w:line="259" w:lineRule="auto"/>
        <w:jc w:val="both"/>
        <w:rPr>
          <w:rFonts w:eastAsia="Calibri"/>
          <w:i/>
          <w:iCs/>
          <w:sz w:val="22"/>
          <w:szCs w:val="22"/>
        </w:rPr>
      </w:pPr>
      <w:r w:rsidRPr="005C46A2">
        <w:rPr>
          <w:rFonts w:eastAsia="Calibri"/>
          <w:sz w:val="22"/>
          <w:szCs w:val="22"/>
        </w:rPr>
        <w:t>This approach holds that the needs of FAO may not be compatible or aligned with the needs of the person who is gambling. Supporting FAO wellbeing is seen as an end-goal in itself (independently of any change in problem gambling behaviour or other outcomes for the person who is gambling). From this perspective, FAOs should become the focus of support in their own right, without necessary reference to the gambler’s needs or issues. While addiction related issues in the family might produce stress, strain and/or trauma, FAOs can be supported to articulate and reduce their distress and cope more effectively, whether or not the gambling behaviour changes</w:t>
      </w:r>
      <w:r w:rsidRPr="005C46A2">
        <w:rPr>
          <w:rFonts w:eastAsia="Calibri"/>
          <w:i/>
          <w:iCs/>
          <w:sz w:val="22"/>
          <w:szCs w:val="22"/>
        </w:rPr>
        <w:t>.</w:t>
      </w:r>
    </w:p>
    <w:p w14:paraId="5B43327C" w14:textId="77777777" w:rsidR="000676F2" w:rsidRPr="005C46A2" w:rsidRDefault="000676F2" w:rsidP="00A52A05">
      <w:pPr>
        <w:numPr>
          <w:ilvl w:val="0"/>
          <w:numId w:val="6"/>
        </w:numPr>
        <w:spacing w:after="160" w:line="259" w:lineRule="auto"/>
        <w:contextualSpacing/>
        <w:jc w:val="both"/>
        <w:rPr>
          <w:rFonts w:eastAsia="Calibri"/>
          <w:b/>
          <w:bCs/>
          <w:i/>
          <w:iCs/>
          <w:sz w:val="22"/>
          <w:szCs w:val="22"/>
        </w:rPr>
      </w:pPr>
      <w:r w:rsidRPr="005C46A2">
        <w:rPr>
          <w:rFonts w:eastAsia="Calibri"/>
          <w:i/>
          <w:iCs/>
          <w:sz w:val="22"/>
          <w:szCs w:val="22"/>
        </w:rPr>
        <w:t>Central to approach: Focus of support is the FAO wellbeing regardless of whether or how the individual with the gambling problem changes or seeks help</w:t>
      </w:r>
      <w:r w:rsidRPr="005C46A2">
        <w:rPr>
          <w:rFonts w:eastAsia="Calibri"/>
          <w:b/>
          <w:bCs/>
          <w:i/>
          <w:iCs/>
          <w:sz w:val="22"/>
          <w:szCs w:val="22"/>
        </w:rPr>
        <w:t>.</w:t>
      </w:r>
    </w:p>
    <w:p w14:paraId="3BF4B582" w14:textId="77777777" w:rsidR="000676F2" w:rsidRPr="005C46A2" w:rsidRDefault="000676F2" w:rsidP="00495C74">
      <w:pPr>
        <w:spacing w:line="259" w:lineRule="auto"/>
        <w:ind w:left="360"/>
        <w:contextualSpacing/>
        <w:jc w:val="both"/>
        <w:rPr>
          <w:rFonts w:eastAsia="Calibri"/>
          <w:b/>
          <w:bCs/>
          <w:i/>
          <w:iCs/>
          <w:sz w:val="22"/>
          <w:szCs w:val="22"/>
        </w:rPr>
      </w:pPr>
    </w:p>
    <w:p w14:paraId="35E41CBC" w14:textId="77777777" w:rsidR="000676F2" w:rsidRPr="005C46A2" w:rsidRDefault="000676F2" w:rsidP="00A52A05">
      <w:pPr>
        <w:pStyle w:val="ListParagraph"/>
        <w:numPr>
          <w:ilvl w:val="0"/>
          <w:numId w:val="12"/>
        </w:numPr>
        <w:jc w:val="both"/>
        <w:rPr>
          <w:b/>
          <w:bCs/>
        </w:rPr>
      </w:pPr>
      <w:r w:rsidRPr="005C46A2">
        <w:rPr>
          <w:b/>
          <w:bCs/>
        </w:rPr>
        <w:t xml:space="preserve">Engaging and empowering FAOs to develop gambling harm reduction strategies: </w:t>
      </w:r>
    </w:p>
    <w:p w14:paraId="0B2F3057"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Harm reduction approaches recognise that as gambling is a legal and accessible practice, some people will gamble, and some will experience harm. As such, minimisation of the potential for harm is a key goal for intervention. These interventions for FAOs focus on enabling family to influence gambling practices and harm in their communities (e.g. through local policy).  The narrative is shifted from individual harm to community or political level harm minimisation. Affected families and communities should be supported to be active and involved in determining harm reduction methods, considering contextual factors that contribute to harm (e.g. cultural, gender, socioeconomic factors), and creating interventions which promote equity and empowerment of communities.</w:t>
      </w:r>
    </w:p>
    <w:p w14:paraId="2C5E3D7E" w14:textId="77777777" w:rsidR="000676F2" w:rsidRPr="005C46A2" w:rsidRDefault="000676F2" w:rsidP="00A52A05">
      <w:pPr>
        <w:numPr>
          <w:ilvl w:val="0"/>
          <w:numId w:val="7"/>
        </w:numPr>
        <w:spacing w:after="160" w:line="259" w:lineRule="auto"/>
        <w:contextualSpacing/>
        <w:jc w:val="both"/>
        <w:rPr>
          <w:rFonts w:eastAsia="Calibri"/>
          <w:i/>
          <w:iCs/>
          <w:sz w:val="22"/>
          <w:szCs w:val="22"/>
        </w:rPr>
      </w:pPr>
      <w:r w:rsidRPr="005C46A2">
        <w:rPr>
          <w:rFonts w:eastAsia="Calibri"/>
          <w:i/>
          <w:iCs/>
          <w:sz w:val="22"/>
          <w:szCs w:val="22"/>
        </w:rPr>
        <w:t xml:space="preserve">Central to approach: Supporting families to name and influence the broader drivers of gambling practices and harm in their communities. </w:t>
      </w:r>
    </w:p>
    <w:p w14:paraId="3669D3FB" w14:textId="77777777" w:rsidR="000676F2" w:rsidRPr="005C46A2" w:rsidRDefault="000676F2" w:rsidP="00495C74">
      <w:pPr>
        <w:spacing w:line="259" w:lineRule="auto"/>
        <w:jc w:val="both"/>
        <w:rPr>
          <w:rFonts w:eastAsia="Calibri"/>
          <w:sz w:val="22"/>
          <w:szCs w:val="22"/>
        </w:rPr>
      </w:pPr>
    </w:p>
    <w:tbl>
      <w:tblPr>
        <w:tblStyle w:val="TableGrid"/>
        <w:tblW w:w="0" w:type="auto"/>
        <w:tblLook w:val="04A0" w:firstRow="1" w:lastRow="0" w:firstColumn="1" w:lastColumn="0" w:noHBand="0" w:noVBand="1"/>
      </w:tblPr>
      <w:tblGrid>
        <w:gridCol w:w="926"/>
        <w:gridCol w:w="1024"/>
        <w:gridCol w:w="1157"/>
        <w:gridCol w:w="1280"/>
        <w:gridCol w:w="1092"/>
        <w:gridCol w:w="1206"/>
        <w:gridCol w:w="1174"/>
        <w:gridCol w:w="1157"/>
      </w:tblGrid>
      <w:tr w:rsidR="000676F2" w:rsidRPr="005C46A2" w14:paraId="0E12CDA8" w14:textId="77777777" w:rsidTr="000465E8">
        <w:tc>
          <w:tcPr>
            <w:tcW w:w="926" w:type="dxa"/>
          </w:tcPr>
          <w:p w14:paraId="14F6096C" w14:textId="77777777" w:rsidR="000676F2" w:rsidRPr="005C46A2" w:rsidRDefault="000676F2" w:rsidP="00495C74">
            <w:pPr>
              <w:spacing w:line="240" w:lineRule="auto"/>
              <w:jc w:val="both"/>
              <w:rPr>
                <w:rFonts w:eastAsia="Calibri"/>
                <w:sz w:val="22"/>
                <w:szCs w:val="22"/>
              </w:rPr>
            </w:pPr>
          </w:p>
        </w:tc>
        <w:tc>
          <w:tcPr>
            <w:tcW w:w="8090" w:type="dxa"/>
            <w:gridSpan w:val="7"/>
          </w:tcPr>
          <w:p w14:paraId="3DD4216B"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In your experience, to what extent do the approaches described above reflect the range of current practice in support available for FAOs?</w:t>
            </w:r>
          </w:p>
        </w:tc>
      </w:tr>
      <w:tr w:rsidR="000676F2" w:rsidRPr="005C46A2" w14:paraId="2EB9081C" w14:textId="77777777" w:rsidTr="000676F2">
        <w:tc>
          <w:tcPr>
            <w:tcW w:w="926" w:type="dxa"/>
            <w:shd w:val="clear" w:color="auto" w:fill="D9D9D9"/>
          </w:tcPr>
          <w:p w14:paraId="026859F6" w14:textId="77777777" w:rsidR="000676F2" w:rsidRPr="005C46A2" w:rsidRDefault="000676F2" w:rsidP="00495C74">
            <w:pPr>
              <w:spacing w:line="240" w:lineRule="auto"/>
              <w:jc w:val="both"/>
              <w:rPr>
                <w:rFonts w:eastAsia="Calibri"/>
                <w:sz w:val="20"/>
                <w:szCs w:val="20"/>
              </w:rPr>
            </w:pPr>
          </w:p>
          <w:p w14:paraId="784FE11F" w14:textId="77777777" w:rsidR="000676F2" w:rsidRPr="005C46A2" w:rsidRDefault="000676F2" w:rsidP="00495C74">
            <w:pPr>
              <w:spacing w:line="240" w:lineRule="auto"/>
              <w:jc w:val="both"/>
              <w:rPr>
                <w:rFonts w:eastAsia="Calibri"/>
                <w:b/>
                <w:bCs/>
                <w:sz w:val="20"/>
                <w:szCs w:val="20"/>
              </w:rPr>
            </w:pPr>
            <w:r w:rsidRPr="005C46A2">
              <w:rPr>
                <w:rFonts w:eastAsia="Calibri"/>
                <w:b/>
                <w:bCs/>
                <w:sz w:val="20"/>
                <w:szCs w:val="20"/>
              </w:rPr>
              <w:t>Unsure</w:t>
            </w:r>
          </w:p>
        </w:tc>
        <w:tc>
          <w:tcPr>
            <w:tcW w:w="1024" w:type="dxa"/>
            <w:shd w:val="clear" w:color="auto" w:fill="D9D9D9"/>
          </w:tcPr>
          <w:p w14:paraId="2B7C494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5A14835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w:t>
            </w:r>
          </w:p>
        </w:tc>
        <w:tc>
          <w:tcPr>
            <w:tcW w:w="1157" w:type="dxa"/>
            <w:shd w:val="clear" w:color="auto" w:fill="D9D9D9"/>
          </w:tcPr>
          <w:p w14:paraId="6000345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02E4D83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reflected</w:t>
            </w:r>
          </w:p>
        </w:tc>
        <w:tc>
          <w:tcPr>
            <w:tcW w:w="1280" w:type="dxa"/>
            <w:shd w:val="clear" w:color="auto" w:fill="D9D9D9"/>
          </w:tcPr>
          <w:p w14:paraId="2048151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085EF6E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not reflected</w:t>
            </w:r>
          </w:p>
        </w:tc>
        <w:tc>
          <w:tcPr>
            <w:tcW w:w="1092" w:type="dxa"/>
            <w:shd w:val="clear" w:color="auto" w:fill="D9D9D9"/>
          </w:tcPr>
          <w:p w14:paraId="3E32754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30C8EBB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206" w:type="dxa"/>
            <w:shd w:val="clear" w:color="auto" w:fill="D9D9D9"/>
          </w:tcPr>
          <w:p w14:paraId="2707D90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731D733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reflected</w:t>
            </w:r>
          </w:p>
        </w:tc>
        <w:tc>
          <w:tcPr>
            <w:tcW w:w="1174" w:type="dxa"/>
            <w:shd w:val="clear" w:color="auto" w:fill="D9D9D9"/>
          </w:tcPr>
          <w:p w14:paraId="4BDA4CD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10C1B23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 xml:space="preserve">Reflected </w:t>
            </w:r>
          </w:p>
        </w:tc>
        <w:tc>
          <w:tcPr>
            <w:tcW w:w="1157" w:type="dxa"/>
            <w:shd w:val="clear" w:color="auto" w:fill="D9D9D9"/>
          </w:tcPr>
          <w:p w14:paraId="71DDA11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5E7AF94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reflected</w:t>
            </w:r>
          </w:p>
        </w:tc>
      </w:tr>
    </w:tbl>
    <w:p w14:paraId="0B78D751" w14:textId="77777777" w:rsidR="000676F2" w:rsidRPr="005C46A2" w:rsidRDefault="000676F2" w:rsidP="00495C74">
      <w:pPr>
        <w:spacing w:line="259" w:lineRule="auto"/>
        <w:ind w:left="6480" w:firstLine="720"/>
        <w:jc w:val="both"/>
        <w:rPr>
          <w:rFonts w:eastAsia="Calibri"/>
          <w:i/>
          <w:iCs/>
          <w:sz w:val="22"/>
          <w:szCs w:val="22"/>
        </w:rPr>
      </w:pPr>
      <w:r w:rsidRPr="005C46A2">
        <w:rPr>
          <w:rFonts w:eastAsia="Calibri"/>
          <w:sz w:val="22"/>
          <w:szCs w:val="22"/>
        </w:rPr>
        <w:t>(</w:t>
      </w:r>
      <w:r w:rsidRPr="005C46A2">
        <w:rPr>
          <w:rFonts w:eastAsia="Calibri"/>
          <w:i/>
          <w:iCs/>
          <w:sz w:val="18"/>
          <w:szCs w:val="18"/>
        </w:rPr>
        <w:t>Compulsory Question</w:t>
      </w:r>
      <w:r w:rsidRPr="005C46A2">
        <w:rPr>
          <w:rFonts w:eastAsia="Calibri"/>
          <w:sz w:val="22"/>
          <w:szCs w:val="22"/>
        </w:rPr>
        <w:t>)</w:t>
      </w:r>
    </w:p>
    <w:p w14:paraId="35E8FA4B" w14:textId="77777777" w:rsidR="000676F2" w:rsidRPr="005C46A2" w:rsidRDefault="000676F2" w:rsidP="00495C74">
      <w:pPr>
        <w:spacing w:line="259" w:lineRule="auto"/>
        <w:jc w:val="both"/>
        <w:rPr>
          <w:rFonts w:eastAsia="Calibri"/>
          <w:sz w:val="22"/>
          <w:szCs w:val="22"/>
        </w:rPr>
      </w:pPr>
    </w:p>
    <w:p w14:paraId="45D6EE1B"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lastRenderedPageBreak/>
        <w:t xml:space="preserve">Please </w:t>
      </w:r>
      <w:r w:rsidRPr="005C46A2">
        <w:rPr>
          <w:rFonts w:eastAsia="Calibri"/>
          <w:b/>
          <w:bCs/>
          <w:sz w:val="22"/>
          <w:szCs w:val="22"/>
        </w:rPr>
        <w:t>(1)</w:t>
      </w:r>
      <w:r w:rsidRPr="005C46A2">
        <w:rPr>
          <w:rFonts w:eastAsia="Calibri"/>
          <w:sz w:val="22"/>
          <w:szCs w:val="22"/>
        </w:rPr>
        <w:t xml:space="preserve"> discuss your thoughts on the intervention approaches summarised above and </w:t>
      </w:r>
      <w:r w:rsidRPr="005C46A2">
        <w:rPr>
          <w:rFonts w:eastAsia="Calibri"/>
          <w:b/>
          <w:bCs/>
          <w:sz w:val="22"/>
          <w:szCs w:val="22"/>
        </w:rPr>
        <w:t>(2)</w:t>
      </w:r>
      <w:r w:rsidRPr="005C46A2">
        <w:rPr>
          <w:rFonts w:eastAsia="Calibri"/>
          <w:sz w:val="22"/>
          <w:szCs w:val="22"/>
        </w:rPr>
        <w:t xml:space="preserve"> list any additional approaches of FAO interventions that you can think of: </w:t>
      </w:r>
      <w:r w:rsidRPr="005C46A2">
        <w:rPr>
          <w:rFonts w:eastAsia="Calibri"/>
          <w:sz w:val="22"/>
          <w:szCs w:val="22"/>
        </w:rPr>
        <w:tab/>
      </w:r>
      <w:r w:rsidRPr="005C46A2">
        <w:rPr>
          <w:rFonts w:eastAsia="Calibri"/>
          <w:sz w:val="22"/>
          <w:szCs w:val="22"/>
        </w:rPr>
        <w:tab/>
        <w:t>(</w:t>
      </w:r>
      <w:r w:rsidRPr="005C46A2">
        <w:rPr>
          <w:rFonts w:eastAsia="Calibri"/>
          <w:i/>
          <w:iCs/>
          <w:sz w:val="18"/>
          <w:szCs w:val="18"/>
        </w:rPr>
        <w:t>Compulsory Question</w:t>
      </w:r>
      <w:r w:rsidRPr="005C46A2">
        <w:rPr>
          <w:rFonts w:eastAsia="Calibri"/>
          <w:sz w:val="22"/>
          <w:szCs w:val="22"/>
        </w:rPr>
        <w:t>)</w:t>
      </w:r>
    </w:p>
    <w:tbl>
      <w:tblPr>
        <w:tblStyle w:val="TableGrid"/>
        <w:tblW w:w="0" w:type="auto"/>
        <w:tblLook w:val="04A0" w:firstRow="1" w:lastRow="0" w:firstColumn="1" w:lastColumn="0" w:noHBand="0" w:noVBand="1"/>
      </w:tblPr>
      <w:tblGrid>
        <w:gridCol w:w="9016"/>
      </w:tblGrid>
      <w:tr w:rsidR="000676F2" w:rsidRPr="005C46A2" w14:paraId="4E35691A" w14:textId="77777777" w:rsidTr="000465E8">
        <w:tc>
          <w:tcPr>
            <w:tcW w:w="9016" w:type="dxa"/>
          </w:tcPr>
          <w:p w14:paraId="617959FF" w14:textId="77777777" w:rsidR="000676F2" w:rsidRPr="005C46A2" w:rsidRDefault="000676F2" w:rsidP="00495C74">
            <w:pPr>
              <w:spacing w:line="240" w:lineRule="auto"/>
              <w:jc w:val="both"/>
              <w:rPr>
                <w:rFonts w:eastAsia="Calibri"/>
                <w:b/>
                <w:bCs/>
                <w:sz w:val="22"/>
                <w:szCs w:val="22"/>
              </w:rPr>
            </w:pPr>
            <w:r w:rsidRPr="005C46A2">
              <w:rPr>
                <w:rFonts w:eastAsia="Calibri"/>
                <w:b/>
                <w:bCs/>
                <w:sz w:val="22"/>
                <w:szCs w:val="22"/>
              </w:rPr>
              <w:t>(1)</w:t>
            </w:r>
          </w:p>
          <w:p w14:paraId="077E83D3" w14:textId="77777777" w:rsidR="000676F2" w:rsidRPr="005C46A2" w:rsidRDefault="000676F2" w:rsidP="00495C74">
            <w:pPr>
              <w:spacing w:line="240" w:lineRule="auto"/>
              <w:jc w:val="both"/>
              <w:rPr>
                <w:rFonts w:eastAsia="Calibri"/>
                <w:b/>
                <w:bCs/>
                <w:sz w:val="22"/>
                <w:szCs w:val="22"/>
              </w:rPr>
            </w:pPr>
          </w:p>
          <w:p w14:paraId="1B93F69E" w14:textId="77777777" w:rsidR="000676F2" w:rsidRPr="005C46A2" w:rsidRDefault="000676F2" w:rsidP="00495C74">
            <w:pPr>
              <w:spacing w:line="240" w:lineRule="auto"/>
              <w:jc w:val="both"/>
              <w:rPr>
                <w:rFonts w:eastAsia="Calibri"/>
                <w:b/>
                <w:bCs/>
                <w:sz w:val="22"/>
                <w:szCs w:val="22"/>
              </w:rPr>
            </w:pPr>
            <w:r w:rsidRPr="005C46A2">
              <w:rPr>
                <w:rFonts w:eastAsia="Calibri"/>
                <w:b/>
                <w:bCs/>
                <w:sz w:val="22"/>
                <w:szCs w:val="22"/>
              </w:rPr>
              <w:t>(2)</w:t>
            </w:r>
          </w:p>
          <w:p w14:paraId="1668D162" w14:textId="77777777" w:rsidR="000676F2" w:rsidRPr="005C46A2" w:rsidRDefault="000676F2" w:rsidP="00495C74">
            <w:pPr>
              <w:spacing w:line="240" w:lineRule="auto"/>
              <w:jc w:val="both"/>
              <w:rPr>
                <w:rFonts w:eastAsia="Calibri"/>
                <w:b/>
                <w:bCs/>
                <w:sz w:val="22"/>
                <w:szCs w:val="22"/>
              </w:rPr>
            </w:pPr>
          </w:p>
        </w:tc>
      </w:tr>
      <w:bookmarkEnd w:id="227"/>
    </w:tbl>
    <w:p w14:paraId="720DF5BD" w14:textId="77777777" w:rsidR="000676F2" w:rsidRPr="005C46A2" w:rsidRDefault="000676F2" w:rsidP="00495C74">
      <w:pPr>
        <w:pBdr>
          <w:bottom w:val="single" w:sz="12" w:space="1" w:color="auto"/>
        </w:pBdr>
        <w:spacing w:line="259" w:lineRule="auto"/>
        <w:jc w:val="both"/>
        <w:rPr>
          <w:rFonts w:eastAsia="Calibri"/>
          <w:sz w:val="22"/>
          <w:szCs w:val="22"/>
        </w:rPr>
      </w:pPr>
    </w:p>
    <w:p w14:paraId="1C995810" w14:textId="77777777" w:rsidR="000676F2" w:rsidRPr="005C46A2" w:rsidRDefault="000676F2" w:rsidP="00495C74">
      <w:pPr>
        <w:pBdr>
          <w:bottom w:val="single" w:sz="12" w:space="1" w:color="auto"/>
        </w:pBdr>
        <w:spacing w:line="259" w:lineRule="auto"/>
        <w:jc w:val="both"/>
        <w:rPr>
          <w:rFonts w:eastAsia="Calibri"/>
          <w:sz w:val="22"/>
          <w:szCs w:val="22"/>
        </w:rPr>
      </w:pPr>
    </w:p>
    <w:p w14:paraId="41D40FCA" w14:textId="77777777" w:rsidR="000676F2" w:rsidRPr="005C46A2" w:rsidRDefault="000676F2" w:rsidP="00495C74">
      <w:pPr>
        <w:pBdr>
          <w:bottom w:val="single" w:sz="12" w:space="1" w:color="auto"/>
        </w:pBdr>
        <w:spacing w:line="259" w:lineRule="auto"/>
        <w:jc w:val="both"/>
        <w:rPr>
          <w:rFonts w:eastAsia="Calibri"/>
          <w:sz w:val="22"/>
          <w:szCs w:val="22"/>
        </w:rPr>
      </w:pPr>
    </w:p>
    <w:p w14:paraId="7F6E9823" w14:textId="77777777" w:rsidR="000676F2" w:rsidRPr="005C46A2" w:rsidRDefault="000676F2" w:rsidP="00495C74">
      <w:pPr>
        <w:spacing w:line="259" w:lineRule="auto"/>
        <w:jc w:val="both"/>
        <w:rPr>
          <w:rFonts w:eastAsia="Calibri"/>
          <w:b/>
          <w:bCs/>
          <w:i/>
          <w:iCs/>
          <w:sz w:val="20"/>
          <w:szCs w:val="20"/>
        </w:rPr>
      </w:pPr>
      <w:r w:rsidRPr="005C46A2">
        <w:rPr>
          <w:rFonts w:eastAsia="Calibri"/>
          <w:b/>
          <w:bCs/>
          <w:i/>
          <w:iCs/>
          <w:sz w:val="20"/>
          <w:szCs w:val="20"/>
        </w:rPr>
        <w:t>PAGE 6</w:t>
      </w:r>
    </w:p>
    <w:p w14:paraId="50CF7C29" w14:textId="77777777" w:rsidR="000676F2" w:rsidRPr="005C46A2" w:rsidRDefault="000676F2" w:rsidP="00495C74">
      <w:pPr>
        <w:jc w:val="both"/>
        <w:rPr>
          <w:b/>
          <w:bCs/>
        </w:rPr>
      </w:pPr>
      <w:r w:rsidRPr="005C46A2">
        <w:rPr>
          <w:b/>
          <w:bCs/>
        </w:rPr>
        <w:t>PART THREE: FAO SERVICES</w:t>
      </w:r>
    </w:p>
    <w:p w14:paraId="42DB1E11" w14:textId="77777777" w:rsidR="000676F2" w:rsidRPr="005C46A2" w:rsidRDefault="000676F2" w:rsidP="00495C74">
      <w:pPr>
        <w:pBdr>
          <w:bottom w:val="single" w:sz="12" w:space="1" w:color="auto"/>
        </w:pBdr>
        <w:spacing w:line="259" w:lineRule="auto"/>
        <w:contextualSpacing/>
        <w:jc w:val="both"/>
        <w:rPr>
          <w:rFonts w:eastAsia="Calibri"/>
          <w:sz w:val="22"/>
          <w:szCs w:val="22"/>
        </w:rPr>
      </w:pPr>
      <w:r w:rsidRPr="005C46A2">
        <w:rPr>
          <w:rFonts w:eastAsia="Calibri"/>
          <w:sz w:val="22"/>
          <w:szCs w:val="22"/>
        </w:rPr>
        <w:t>This section asks for more detailed responses on the four main intervention approaches the researchers identified through the literature review. You will be asked to identify if you have evidence for the intervention approach, the possible outcomes of the approach, and the effectiveness for different populations. You will also be asked to identify if evidence is lacking.</w:t>
      </w:r>
    </w:p>
    <w:p w14:paraId="6B1D3E9A" w14:textId="77777777" w:rsidR="000676F2" w:rsidRPr="005C46A2" w:rsidRDefault="000676F2" w:rsidP="00495C74">
      <w:pPr>
        <w:pBdr>
          <w:bottom w:val="single" w:sz="12" w:space="1" w:color="auto"/>
        </w:pBdr>
        <w:spacing w:line="259" w:lineRule="auto"/>
        <w:contextualSpacing/>
        <w:jc w:val="both"/>
        <w:rPr>
          <w:rFonts w:eastAsia="Calibri"/>
          <w:sz w:val="22"/>
          <w:szCs w:val="22"/>
        </w:rPr>
      </w:pPr>
    </w:p>
    <w:p w14:paraId="5BF77E46" w14:textId="77777777" w:rsidR="000676F2" w:rsidRPr="005C46A2" w:rsidRDefault="000676F2" w:rsidP="00495C74">
      <w:pPr>
        <w:pBdr>
          <w:bottom w:val="single" w:sz="12" w:space="1" w:color="auto"/>
        </w:pBdr>
        <w:spacing w:line="259" w:lineRule="auto"/>
        <w:contextualSpacing/>
        <w:jc w:val="both"/>
        <w:rPr>
          <w:rFonts w:eastAsia="Calibri"/>
          <w:sz w:val="22"/>
          <w:szCs w:val="22"/>
        </w:rPr>
      </w:pPr>
      <w:r w:rsidRPr="005C46A2">
        <w:rPr>
          <w:rFonts w:eastAsia="Calibri"/>
          <w:sz w:val="22"/>
          <w:szCs w:val="22"/>
        </w:rPr>
        <w:t xml:space="preserve">The questions are repeated for each approach, we realise this may become repetitive, but we hope you bear with us and respond to each subsection as an individual set of questions. </w:t>
      </w:r>
    </w:p>
    <w:p w14:paraId="40B425A9" w14:textId="77777777" w:rsidR="000676F2" w:rsidRPr="005C46A2" w:rsidRDefault="000676F2" w:rsidP="00495C74">
      <w:pPr>
        <w:pBdr>
          <w:bottom w:val="single" w:sz="12" w:space="1" w:color="auto"/>
        </w:pBdr>
        <w:spacing w:line="259" w:lineRule="auto"/>
        <w:contextualSpacing/>
        <w:jc w:val="both"/>
        <w:rPr>
          <w:rFonts w:eastAsia="Calibri"/>
          <w:sz w:val="22"/>
          <w:szCs w:val="22"/>
        </w:rPr>
      </w:pPr>
    </w:p>
    <w:p w14:paraId="5A15A341" w14:textId="77777777" w:rsidR="000676F2" w:rsidRPr="005C46A2" w:rsidRDefault="000676F2" w:rsidP="00495C74">
      <w:pPr>
        <w:spacing w:line="259" w:lineRule="auto"/>
        <w:contextualSpacing/>
        <w:jc w:val="both"/>
        <w:rPr>
          <w:rFonts w:eastAsia="Calibri"/>
          <w:b/>
          <w:bCs/>
          <w:i/>
          <w:iCs/>
          <w:sz w:val="20"/>
          <w:szCs w:val="20"/>
        </w:rPr>
      </w:pPr>
      <w:r w:rsidRPr="005C46A2">
        <w:rPr>
          <w:rFonts w:eastAsia="Calibri"/>
          <w:b/>
          <w:bCs/>
          <w:i/>
          <w:iCs/>
          <w:sz w:val="20"/>
          <w:szCs w:val="20"/>
        </w:rPr>
        <w:t>PAGE 7</w:t>
      </w:r>
    </w:p>
    <w:p w14:paraId="0B24CCCF" w14:textId="77777777" w:rsidR="000676F2" w:rsidRPr="005C46A2" w:rsidRDefault="000676F2" w:rsidP="00A52A05">
      <w:pPr>
        <w:pStyle w:val="ListParagraph"/>
        <w:numPr>
          <w:ilvl w:val="0"/>
          <w:numId w:val="13"/>
        </w:numPr>
        <w:jc w:val="both"/>
        <w:rPr>
          <w:b/>
          <w:bCs/>
        </w:rPr>
      </w:pPr>
      <w:r w:rsidRPr="005C46A2">
        <w:rPr>
          <w:b/>
          <w:bCs/>
        </w:rPr>
        <w:t>Supporting FAOs to influence the person who is gambling</w:t>
      </w:r>
    </w:p>
    <w:p w14:paraId="1DD1CCA9" w14:textId="77777777" w:rsidR="000676F2" w:rsidRPr="005C46A2" w:rsidRDefault="000676F2" w:rsidP="00495C74">
      <w:pPr>
        <w:spacing w:line="259" w:lineRule="auto"/>
        <w:jc w:val="both"/>
        <w:rPr>
          <w:rFonts w:eastAsia="Calibri"/>
          <w:i/>
          <w:iCs/>
          <w:sz w:val="22"/>
          <w:szCs w:val="22"/>
        </w:rPr>
      </w:pPr>
      <w:r w:rsidRPr="005C46A2">
        <w:rPr>
          <w:rFonts w:eastAsia="Calibri"/>
          <w:i/>
          <w:iCs/>
          <w:sz w:val="22"/>
          <w:szCs w:val="22"/>
        </w:rPr>
        <w:t>Central to approach: Supporting FAOs to influence the individual with problematic gambling to change or engage in treatment will improve the outcomes for the FAO.</w:t>
      </w:r>
    </w:p>
    <w:p w14:paraId="14A5305C" w14:textId="77777777" w:rsidR="000676F2" w:rsidRPr="005C46A2" w:rsidRDefault="000676F2" w:rsidP="00495C74">
      <w:pPr>
        <w:spacing w:line="259" w:lineRule="auto"/>
        <w:jc w:val="both"/>
        <w:rPr>
          <w:rFonts w:eastAsia="Calibri"/>
          <w:i/>
          <w:iCs/>
          <w:sz w:val="22"/>
          <w:szCs w:val="22"/>
        </w:rPr>
      </w:pPr>
    </w:p>
    <w:p w14:paraId="203CFF68" w14:textId="77777777" w:rsidR="000676F2" w:rsidRPr="005C46A2" w:rsidRDefault="000676F2" w:rsidP="00495C74">
      <w:pPr>
        <w:spacing w:line="259" w:lineRule="auto"/>
        <w:jc w:val="both"/>
        <w:rPr>
          <w:rFonts w:eastAsia="Calibri"/>
          <w:i/>
          <w:iCs/>
          <w:sz w:val="22"/>
          <w:szCs w:val="22"/>
        </w:rPr>
      </w:pPr>
      <w:r w:rsidRPr="005C46A2">
        <w:rPr>
          <w:rFonts w:eastAsia="Calibri"/>
          <w:i/>
          <w:iCs/>
          <w:sz w:val="22"/>
          <w:szCs w:val="22"/>
        </w:rPr>
        <w:t>Please consider your role and experience when answering each question. Please write as much as little as you feel necessary to answer the question. If a question is not relevant to you, select or write N/A.</w:t>
      </w:r>
    </w:p>
    <w:p w14:paraId="5F1F0548" w14:textId="77777777" w:rsidR="000676F2" w:rsidRPr="005C46A2" w:rsidRDefault="000676F2" w:rsidP="00495C74">
      <w:pPr>
        <w:spacing w:line="259" w:lineRule="auto"/>
        <w:jc w:val="both"/>
        <w:rPr>
          <w:rFonts w:eastAsia="Calibri"/>
          <w:i/>
          <w:iCs/>
          <w:sz w:val="22"/>
          <w:szCs w:val="22"/>
        </w:rPr>
      </w:pPr>
      <w:r w:rsidRPr="005C46A2">
        <w:rPr>
          <w:rFonts w:eastAsia="Calibri"/>
          <w:i/>
          <w:iCs/>
          <w:sz w:val="22"/>
          <w:szCs w:val="22"/>
        </w:rPr>
        <w:t>NOTE: The Likert questions require an answer, the open-ended question can be left blank if you do not wish to comment.</w:t>
      </w:r>
    </w:p>
    <w:p w14:paraId="441A8674" w14:textId="77777777" w:rsidR="000676F2" w:rsidRPr="005C46A2" w:rsidRDefault="000676F2" w:rsidP="00495C74">
      <w:pPr>
        <w:spacing w:line="259" w:lineRule="auto"/>
        <w:jc w:val="both"/>
        <w:rPr>
          <w:rFonts w:eastAsia="Calibri"/>
          <w:sz w:val="22"/>
          <w:szCs w:val="22"/>
        </w:rPr>
      </w:pPr>
    </w:p>
    <w:p w14:paraId="48A4EE2D"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Please list examples of interventions you are familiar with that ‘support FAOs to influence the person who is gambling’</w:t>
      </w:r>
    </w:p>
    <w:tbl>
      <w:tblPr>
        <w:tblStyle w:val="TableGrid"/>
        <w:tblW w:w="0" w:type="auto"/>
        <w:tblInd w:w="-5" w:type="dxa"/>
        <w:tblLook w:val="04A0" w:firstRow="1" w:lastRow="0" w:firstColumn="1" w:lastColumn="0" w:noHBand="0" w:noVBand="1"/>
      </w:tblPr>
      <w:tblGrid>
        <w:gridCol w:w="9021"/>
      </w:tblGrid>
      <w:tr w:rsidR="000676F2" w:rsidRPr="005C46A2" w14:paraId="6EC470EE" w14:textId="77777777" w:rsidTr="000465E8">
        <w:tc>
          <w:tcPr>
            <w:tcW w:w="9021" w:type="dxa"/>
          </w:tcPr>
          <w:p w14:paraId="7A520C9C" w14:textId="77777777" w:rsidR="000676F2" w:rsidRPr="005C46A2" w:rsidRDefault="000676F2" w:rsidP="00495C74">
            <w:pPr>
              <w:spacing w:line="240" w:lineRule="auto"/>
              <w:contextualSpacing/>
              <w:jc w:val="both"/>
              <w:rPr>
                <w:rFonts w:eastAsia="Calibri"/>
                <w:sz w:val="22"/>
                <w:szCs w:val="22"/>
              </w:rPr>
            </w:pPr>
            <w:r w:rsidRPr="005C46A2">
              <w:rPr>
                <w:rFonts w:eastAsia="Calibri"/>
                <w:sz w:val="22"/>
                <w:szCs w:val="22"/>
              </w:rPr>
              <w:t>Please comment:</w:t>
            </w:r>
          </w:p>
          <w:p w14:paraId="38BABBD3" w14:textId="77777777" w:rsidR="000676F2" w:rsidRPr="005C46A2" w:rsidRDefault="000676F2" w:rsidP="00495C74">
            <w:pPr>
              <w:spacing w:line="240" w:lineRule="auto"/>
              <w:contextualSpacing/>
              <w:jc w:val="both"/>
              <w:rPr>
                <w:rFonts w:eastAsia="Calibri"/>
                <w:sz w:val="22"/>
                <w:szCs w:val="22"/>
              </w:rPr>
            </w:pPr>
          </w:p>
        </w:tc>
      </w:tr>
    </w:tbl>
    <w:p w14:paraId="012D4E28" w14:textId="77777777" w:rsidR="000676F2" w:rsidRPr="005C46A2" w:rsidRDefault="000676F2" w:rsidP="00495C74">
      <w:pPr>
        <w:spacing w:line="259" w:lineRule="auto"/>
        <w:jc w:val="both"/>
        <w:rPr>
          <w:rFonts w:eastAsia="Calibri"/>
          <w:sz w:val="22"/>
          <w:szCs w:val="22"/>
        </w:rPr>
      </w:pPr>
    </w:p>
    <w:p w14:paraId="421BF307"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 xml:space="preserve">What are the key outcomes </w:t>
      </w:r>
      <w:r w:rsidRPr="005C46A2">
        <w:rPr>
          <w:rFonts w:eastAsia="Calibri"/>
          <w:sz w:val="22"/>
          <w:szCs w:val="22"/>
          <w:u w:val="single"/>
        </w:rPr>
        <w:t>for FAOs</w:t>
      </w:r>
      <w:r w:rsidRPr="005C46A2">
        <w:rPr>
          <w:rFonts w:eastAsia="Calibri"/>
          <w:sz w:val="22"/>
          <w:szCs w:val="22"/>
        </w:rPr>
        <w:t xml:space="preserve">, of intervention approaches that ‘support FAOs to influence the person who is gambling’? </w:t>
      </w:r>
    </w:p>
    <w:tbl>
      <w:tblPr>
        <w:tblStyle w:val="TableGrid"/>
        <w:tblW w:w="0" w:type="auto"/>
        <w:tblInd w:w="-5" w:type="dxa"/>
        <w:tblLook w:val="04A0" w:firstRow="1" w:lastRow="0" w:firstColumn="1" w:lastColumn="0" w:noHBand="0" w:noVBand="1"/>
      </w:tblPr>
      <w:tblGrid>
        <w:gridCol w:w="9021"/>
      </w:tblGrid>
      <w:tr w:rsidR="000676F2" w:rsidRPr="005C46A2" w14:paraId="1EE10715" w14:textId="77777777" w:rsidTr="000465E8">
        <w:tc>
          <w:tcPr>
            <w:tcW w:w="9021" w:type="dxa"/>
          </w:tcPr>
          <w:p w14:paraId="45472A9C" w14:textId="77777777" w:rsidR="000676F2" w:rsidRPr="005C46A2" w:rsidRDefault="000676F2" w:rsidP="00495C74">
            <w:pPr>
              <w:spacing w:line="240" w:lineRule="auto"/>
              <w:contextualSpacing/>
              <w:jc w:val="both"/>
              <w:rPr>
                <w:rFonts w:eastAsia="Calibri"/>
                <w:sz w:val="22"/>
                <w:szCs w:val="22"/>
              </w:rPr>
            </w:pPr>
            <w:r w:rsidRPr="005C46A2">
              <w:rPr>
                <w:rFonts w:eastAsia="Calibri"/>
                <w:sz w:val="22"/>
                <w:szCs w:val="22"/>
              </w:rPr>
              <w:t>Please comment:</w:t>
            </w:r>
          </w:p>
          <w:p w14:paraId="563A8A85" w14:textId="77777777" w:rsidR="000676F2" w:rsidRPr="005C46A2" w:rsidRDefault="000676F2" w:rsidP="00495C74">
            <w:pPr>
              <w:spacing w:line="240" w:lineRule="auto"/>
              <w:contextualSpacing/>
              <w:jc w:val="both"/>
              <w:rPr>
                <w:rFonts w:eastAsia="Calibri"/>
                <w:sz w:val="22"/>
                <w:szCs w:val="22"/>
              </w:rPr>
            </w:pPr>
          </w:p>
        </w:tc>
      </w:tr>
    </w:tbl>
    <w:p w14:paraId="39D96049" w14:textId="77777777" w:rsidR="000676F2" w:rsidRPr="005C46A2" w:rsidRDefault="000676F2" w:rsidP="00495C74">
      <w:pPr>
        <w:spacing w:line="259" w:lineRule="auto"/>
        <w:jc w:val="both"/>
        <w:rPr>
          <w:rFonts w:eastAsia="Calibri"/>
          <w:sz w:val="22"/>
          <w:szCs w:val="22"/>
        </w:rPr>
      </w:pPr>
    </w:p>
    <w:tbl>
      <w:tblPr>
        <w:tblStyle w:val="TableGrid"/>
        <w:tblW w:w="0" w:type="auto"/>
        <w:tblLook w:val="04A0" w:firstRow="1" w:lastRow="0" w:firstColumn="1" w:lastColumn="0" w:noHBand="0" w:noVBand="1"/>
      </w:tblPr>
      <w:tblGrid>
        <w:gridCol w:w="962"/>
        <w:gridCol w:w="1130"/>
        <w:gridCol w:w="1131"/>
        <w:gridCol w:w="1260"/>
        <w:gridCol w:w="1062"/>
        <w:gridCol w:w="1190"/>
        <w:gridCol w:w="1150"/>
        <w:gridCol w:w="1131"/>
      </w:tblGrid>
      <w:tr w:rsidR="000676F2" w:rsidRPr="005C46A2" w14:paraId="6BAE4DC9" w14:textId="77777777" w:rsidTr="000465E8">
        <w:tc>
          <w:tcPr>
            <w:tcW w:w="885" w:type="dxa"/>
          </w:tcPr>
          <w:p w14:paraId="634F9813" w14:textId="77777777" w:rsidR="000676F2" w:rsidRPr="005C46A2" w:rsidRDefault="000676F2" w:rsidP="00495C74">
            <w:pPr>
              <w:spacing w:line="240" w:lineRule="auto"/>
              <w:jc w:val="both"/>
              <w:rPr>
                <w:rFonts w:eastAsia="Calibri"/>
                <w:sz w:val="22"/>
                <w:szCs w:val="22"/>
              </w:rPr>
            </w:pPr>
            <w:r w:rsidRPr="005C46A2">
              <w:rPr>
                <w:rFonts w:eastAsia="Calibri"/>
                <w:sz w:val="18"/>
                <w:szCs w:val="18"/>
              </w:rPr>
              <w:t>(</w:t>
            </w:r>
            <w:r w:rsidRPr="005C46A2">
              <w:rPr>
                <w:rFonts w:eastAsia="Calibri"/>
                <w:i/>
                <w:iCs/>
                <w:sz w:val="14"/>
                <w:szCs w:val="14"/>
              </w:rPr>
              <w:t>Compulsory Question</w:t>
            </w:r>
            <w:r w:rsidRPr="005C46A2">
              <w:rPr>
                <w:rFonts w:eastAsia="Calibri"/>
                <w:sz w:val="18"/>
                <w:szCs w:val="18"/>
              </w:rPr>
              <w:t>)</w:t>
            </w:r>
          </w:p>
        </w:tc>
        <w:tc>
          <w:tcPr>
            <w:tcW w:w="8131" w:type="dxa"/>
            <w:gridSpan w:val="7"/>
          </w:tcPr>
          <w:p w14:paraId="7F89FCA5"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 xml:space="preserve">Please rate how effective you think interventions are that focus on supporting FAOs to influence the person who is gambling </w:t>
            </w:r>
          </w:p>
        </w:tc>
      </w:tr>
      <w:tr w:rsidR="000676F2" w:rsidRPr="005C46A2" w14:paraId="12B4A25E" w14:textId="77777777" w:rsidTr="000676F2">
        <w:tc>
          <w:tcPr>
            <w:tcW w:w="885" w:type="dxa"/>
            <w:shd w:val="clear" w:color="auto" w:fill="D9D9D9"/>
          </w:tcPr>
          <w:p w14:paraId="18EAFE00" w14:textId="77777777" w:rsidR="000676F2" w:rsidRPr="005C46A2" w:rsidRDefault="000676F2" w:rsidP="00495C74">
            <w:pPr>
              <w:spacing w:line="240" w:lineRule="auto"/>
              <w:jc w:val="both"/>
              <w:rPr>
                <w:rFonts w:eastAsia="Calibri"/>
                <w:b/>
                <w:bCs/>
                <w:sz w:val="20"/>
                <w:szCs w:val="20"/>
              </w:rPr>
            </w:pPr>
            <w:r w:rsidRPr="005C46A2">
              <w:rPr>
                <w:rFonts w:eastAsia="Calibri"/>
                <w:b/>
                <w:bCs/>
                <w:sz w:val="20"/>
                <w:szCs w:val="20"/>
              </w:rPr>
              <w:t>N/A</w:t>
            </w:r>
          </w:p>
          <w:p w14:paraId="0A1F01B9" w14:textId="77777777" w:rsidR="000676F2" w:rsidRPr="005C46A2" w:rsidRDefault="000676F2" w:rsidP="00495C74">
            <w:pPr>
              <w:spacing w:line="240" w:lineRule="auto"/>
              <w:jc w:val="both"/>
              <w:rPr>
                <w:rFonts w:eastAsia="Calibri"/>
                <w:b/>
                <w:bCs/>
                <w:sz w:val="20"/>
                <w:szCs w:val="20"/>
              </w:rPr>
            </w:pPr>
            <w:r w:rsidRPr="005C46A2">
              <w:rPr>
                <w:rFonts w:eastAsia="Calibri"/>
                <w:b/>
                <w:bCs/>
                <w:sz w:val="20"/>
                <w:szCs w:val="20"/>
              </w:rPr>
              <w:t xml:space="preserve"> or</w:t>
            </w:r>
          </w:p>
          <w:p w14:paraId="6291C0C4" w14:textId="77777777" w:rsidR="000676F2" w:rsidRPr="005C46A2" w:rsidRDefault="000676F2" w:rsidP="00495C74">
            <w:pPr>
              <w:spacing w:line="240" w:lineRule="auto"/>
              <w:jc w:val="both"/>
              <w:rPr>
                <w:rFonts w:eastAsia="Calibri"/>
                <w:b/>
                <w:bCs/>
                <w:sz w:val="20"/>
                <w:szCs w:val="20"/>
              </w:rPr>
            </w:pPr>
            <w:r w:rsidRPr="005C46A2">
              <w:rPr>
                <w:rFonts w:eastAsia="Calibri"/>
                <w:b/>
                <w:bCs/>
                <w:sz w:val="20"/>
                <w:szCs w:val="20"/>
              </w:rPr>
              <w:t>unsure</w:t>
            </w:r>
          </w:p>
        </w:tc>
        <w:tc>
          <w:tcPr>
            <w:tcW w:w="1142" w:type="dxa"/>
            <w:shd w:val="clear" w:color="auto" w:fill="D9D9D9"/>
          </w:tcPr>
          <w:p w14:paraId="0C9CFFA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7E07E14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3" w:type="dxa"/>
            <w:shd w:val="clear" w:color="auto" w:fill="D9D9D9"/>
          </w:tcPr>
          <w:p w14:paraId="0F5A9BE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221B42B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270" w:type="dxa"/>
            <w:shd w:val="clear" w:color="auto" w:fill="D9D9D9"/>
          </w:tcPr>
          <w:p w14:paraId="0ADBF60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337A01D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1075" w:type="dxa"/>
            <w:shd w:val="clear" w:color="auto" w:fill="D9D9D9"/>
          </w:tcPr>
          <w:p w14:paraId="6AA5A81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702F48E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97" w:type="dxa"/>
            <w:shd w:val="clear" w:color="auto" w:fill="D9D9D9"/>
          </w:tcPr>
          <w:p w14:paraId="610CED7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47FE810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161" w:type="dxa"/>
            <w:shd w:val="clear" w:color="auto" w:fill="D9D9D9"/>
          </w:tcPr>
          <w:p w14:paraId="09A926D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3942CCA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 xml:space="preserve">Effective </w:t>
            </w:r>
          </w:p>
        </w:tc>
        <w:tc>
          <w:tcPr>
            <w:tcW w:w="1143" w:type="dxa"/>
            <w:shd w:val="clear" w:color="auto" w:fill="D9D9D9"/>
          </w:tcPr>
          <w:p w14:paraId="52B233B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1977599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r w:rsidR="000676F2" w:rsidRPr="005C46A2" w14:paraId="7AA582C6" w14:textId="77777777" w:rsidTr="000465E8">
        <w:tc>
          <w:tcPr>
            <w:tcW w:w="885" w:type="dxa"/>
          </w:tcPr>
          <w:p w14:paraId="36C59F94" w14:textId="77777777" w:rsidR="000676F2" w:rsidRPr="005C46A2" w:rsidRDefault="000676F2" w:rsidP="00495C74">
            <w:pPr>
              <w:spacing w:line="240" w:lineRule="auto"/>
              <w:jc w:val="both"/>
              <w:rPr>
                <w:rFonts w:eastAsia="Calibri"/>
                <w:sz w:val="20"/>
                <w:szCs w:val="20"/>
              </w:rPr>
            </w:pPr>
          </w:p>
        </w:tc>
        <w:tc>
          <w:tcPr>
            <w:tcW w:w="8131" w:type="dxa"/>
            <w:gridSpan w:val="7"/>
          </w:tcPr>
          <w:p w14:paraId="5687C9C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Please comment:</w:t>
            </w:r>
          </w:p>
          <w:p w14:paraId="3254CF67" w14:textId="77777777" w:rsidR="000676F2" w:rsidRPr="005C46A2" w:rsidRDefault="000676F2" w:rsidP="00495C74">
            <w:pPr>
              <w:spacing w:line="240" w:lineRule="auto"/>
              <w:jc w:val="both"/>
              <w:rPr>
                <w:rFonts w:eastAsia="Calibri"/>
                <w:sz w:val="20"/>
                <w:szCs w:val="20"/>
              </w:rPr>
            </w:pPr>
          </w:p>
        </w:tc>
      </w:tr>
    </w:tbl>
    <w:p w14:paraId="3A96D666" w14:textId="77777777" w:rsidR="000676F2" w:rsidRPr="005C46A2" w:rsidRDefault="000676F2" w:rsidP="00495C74">
      <w:pPr>
        <w:spacing w:line="259" w:lineRule="auto"/>
        <w:jc w:val="both"/>
        <w:rPr>
          <w:rFonts w:eastAsia="Calibri"/>
          <w:sz w:val="20"/>
          <w:szCs w:val="20"/>
        </w:rPr>
      </w:pPr>
    </w:p>
    <w:p w14:paraId="47ABD342"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What are the key elements of effective interventions to ‘support FAOs to influence the person who is gambling’?</w:t>
      </w:r>
    </w:p>
    <w:tbl>
      <w:tblPr>
        <w:tblStyle w:val="TableGrid"/>
        <w:tblW w:w="0" w:type="auto"/>
        <w:tblInd w:w="-5" w:type="dxa"/>
        <w:tblLook w:val="04A0" w:firstRow="1" w:lastRow="0" w:firstColumn="1" w:lastColumn="0" w:noHBand="0" w:noVBand="1"/>
      </w:tblPr>
      <w:tblGrid>
        <w:gridCol w:w="9021"/>
      </w:tblGrid>
      <w:tr w:rsidR="000676F2" w:rsidRPr="005C46A2" w14:paraId="44B9832B" w14:textId="77777777" w:rsidTr="000465E8">
        <w:tc>
          <w:tcPr>
            <w:tcW w:w="9021" w:type="dxa"/>
          </w:tcPr>
          <w:p w14:paraId="25D45A67" w14:textId="77777777" w:rsidR="000676F2" w:rsidRPr="005C46A2" w:rsidRDefault="000676F2" w:rsidP="00495C74">
            <w:pPr>
              <w:spacing w:line="240" w:lineRule="auto"/>
              <w:contextualSpacing/>
              <w:jc w:val="both"/>
              <w:rPr>
                <w:rFonts w:eastAsia="Calibri"/>
                <w:sz w:val="22"/>
                <w:szCs w:val="22"/>
              </w:rPr>
            </w:pPr>
            <w:r w:rsidRPr="005C46A2">
              <w:rPr>
                <w:rFonts w:eastAsia="Calibri"/>
                <w:sz w:val="22"/>
                <w:szCs w:val="22"/>
              </w:rPr>
              <w:lastRenderedPageBreak/>
              <w:t>Please comment:</w:t>
            </w:r>
          </w:p>
          <w:p w14:paraId="5E9CE993" w14:textId="77777777" w:rsidR="000676F2" w:rsidRPr="005C46A2" w:rsidRDefault="000676F2" w:rsidP="00495C74">
            <w:pPr>
              <w:spacing w:line="240" w:lineRule="auto"/>
              <w:contextualSpacing/>
              <w:jc w:val="both"/>
              <w:rPr>
                <w:rFonts w:eastAsia="Calibri"/>
                <w:sz w:val="22"/>
                <w:szCs w:val="22"/>
              </w:rPr>
            </w:pPr>
          </w:p>
        </w:tc>
      </w:tr>
    </w:tbl>
    <w:p w14:paraId="1BE9EF80" w14:textId="77777777" w:rsidR="000676F2" w:rsidRPr="005C46A2" w:rsidRDefault="000676F2" w:rsidP="00495C74">
      <w:pPr>
        <w:pBdr>
          <w:bottom w:val="single" w:sz="12" w:space="1" w:color="auto"/>
        </w:pBdr>
        <w:spacing w:line="259" w:lineRule="auto"/>
        <w:jc w:val="both"/>
        <w:rPr>
          <w:rFonts w:eastAsia="Calibri"/>
          <w:sz w:val="22"/>
          <w:szCs w:val="22"/>
        </w:rPr>
      </w:pPr>
    </w:p>
    <w:p w14:paraId="7895C408" w14:textId="77777777" w:rsidR="000676F2" w:rsidRPr="005C46A2" w:rsidRDefault="000676F2" w:rsidP="00495C74">
      <w:pPr>
        <w:spacing w:line="259" w:lineRule="auto"/>
        <w:jc w:val="both"/>
        <w:rPr>
          <w:rFonts w:eastAsia="Calibri"/>
          <w:b/>
          <w:bCs/>
          <w:i/>
          <w:iCs/>
          <w:sz w:val="20"/>
          <w:szCs w:val="20"/>
        </w:rPr>
      </w:pPr>
      <w:r w:rsidRPr="005C46A2">
        <w:rPr>
          <w:rFonts w:eastAsia="Calibri"/>
          <w:b/>
          <w:bCs/>
          <w:i/>
          <w:iCs/>
          <w:sz w:val="20"/>
          <w:szCs w:val="20"/>
        </w:rPr>
        <w:t>PAGE 8</w:t>
      </w:r>
    </w:p>
    <w:p w14:paraId="248E7280" w14:textId="77777777" w:rsidR="000676F2" w:rsidRPr="005C46A2" w:rsidRDefault="000676F2" w:rsidP="00495C74">
      <w:pPr>
        <w:spacing w:line="259" w:lineRule="auto"/>
        <w:jc w:val="both"/>
        <w:rPr>
          <w:rFonts w:eastAsia="Calibri"/>
          <w:i/>
          <w:iCs/>
          <w:sz w:val="22"/>
          <w:szCs w:val="22"/>
        </w:rPr>
      </w:pPr>
      <w:r w:rsidRPr="005C46A2">
        <w:rPr>
          <w:rFonts w:eastAsia="Calibri"/>
          <w:i/>
          <w:iCs/>
          <w:sz w:val="22"/>
          <w:szCs w:val="22"/>
        </w:rPr>
        <w:t>Central to approach: Supporting FAOs to influence the individual with problematic gambling to change or engage in treatment will improve the outcomes for the FAO.</w:t>
      </w:r>
    </w:p>
    <w:p w14:paraId="07CB5B44" w14:textId="77777777" w:rsidR="000676F2" w:rsidRPr="005C46A2" w:rsidRDefault="000676F2" w:rsidP="00495C74">
      <w:pPr>
        <w:spacing w:line="259" w:lineRule="auto"/>
        <w:ind w:left="6480"/>
        <w:jc w:val="both"/>
        <w:rPr>
          <w:rFonts w:eastAsia="Calibri"/>
          <w:sz w:val="20"/>
          <w:szCs w:val="20"/>
        </w:rPr>
      </w:pPr>
      <w:r w:rsidRPr="005C46A2">
        <w:rPr>
          <w:rFonts w:eastAsia="Calibri"/>
          <w:sz w:val="20"/>
          <w:szCs w:val="20"/>
        </w:rPr>
        <w:t>(</w:t>
      </w:r>
      <w:r w:rsidRPr="005C46A2">
        <w:rPr>
          <w:rFonts w:eastAsia="Calibri"/>
          <w:i/>
          <w:iCs/>
          <w:sz w:val="16"/>
          <w:szCs w:val="16"/>
        </w:rPr>
        <w:t>Likert questions compulsory</w:t>
      </w:r>
      <w:r w:rsidRPr="005C46A2">
        <w:rPr>
          <w:rFonts w:eastAsia="Calibri"/>
          <w:sz w:val="20"/>
          <w:szCs w:val="20"/>
        </w:rPr>
        <w:t>)</w:t>
      </w:r>
    </w:p>
    <w:tbl>
      <w:tblPr>
        <w:tblStyle w:val="TableGrid"/>
        <w:tblW w:w="0" w:type="auto"/>
        <w:tblLook w:val="04A0" w:firstRow="1" w:lastRow="0" w:firstColumn="1" w:lastColumn="0" w:noHBand="0" w:noVBand="1"/>
      </w:tblPr>
      <w:tblGrid>
        <w:gridCol w:w="1226"/>
        <w:gridCol w:w="1127"/>
        <w:gridCol w:w="1127"/>
        <w:gridCol w:w="1283"/>
        <w:gridCol w:w="816"/>
        <w:gridCol w:w="1127"/>
        <w:gridCol w:w="1183"/>
        <w:gridCol w:w="1127"/>
      </w:tblGrid>
      <w:tr w:rsidR="000676F2" w:rsidRPr="005C46A2" w14:paraId="485EF0D9" w14:textId="77777777" w:rsidTr="000465E8">
        <w:tc>
          <w:tcPr>
            <w:tcW w:w="1343" w:type="dxa"/>
          </w:tcPr>
          <w:p w14:paraId="1F78ED1D" w14:textId="77777777" w:rsidR="000676F2" w:rsidRPr="005C46A2" w:rsidRDefault="000676F2" w:rsidP="00495C74">
            <w:pPr>
              <w:spacing w:line="240" w:lineRule="auto"/>
              <w:jc w:val="both"/>
              <w:rPr>
                <w:rFonts w:eastAsia="Calibri"/>
                <w:sz w:val="22"/>
                <w:szCs w:val="22"/>
              </w:rPr>
            </w:pPr>
          </w:p>
        </w:tc>
        <w:tc>
          <w:tcPr>
            <w:tcW w:w="7673" w:type="dxa"/>
            <w:gridSpan w:val="7"/>
          </w:tcPr>
          <w:p w14:paraId="7D2D27DB"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FAOs who are women?</w:t>
            </w:r>
          </w:p>
        </w:tc>
      </w:tr>
      <w:tr w:rsidR="000676F2" w:rsidRPr="005C46A2" w14:paraId="4215EBE4" w14:textId="77777777" w:rsidTr="000676F2">
        <w:tc>
          <w:tcPr>
            <w:tcW w:w="1343" w:type="dxa"/>
            <w:shd w:val="clear" w:color="auto" w:fill="D9D9D9"/>
          </w:tcPr>
          <w:p w14:paraId="7D4A8B12"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10" w:type="dxa"/>
            <w:shd w:val="clear" w:color="auto" w:fill="D9D9D9"/>
          </w:tcPr>
          <w:p w14:paraId="2FC6345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61D3B35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10" w:type="dxa"/>
            <w:shd w:val="clear" w:color="auto" w:fill="D9D9D9"/>
          </w:tcPr>
          <w:p w14:paraId="11931AF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537E6F3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263" w:type="dxa"/>
            <w:shd w:val="clear" w:color="auto" w:fill="D9D9D9"/>
          </w:tcPr>
          <w:p w14:paraId="347C6F2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24C05E5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05" w:type="dxa"/>
            <w:shd w:val="clear" w:color="auto" w:fill="D9D9D9"/>
          </w:tcPr>
          <w:p w14:paraId="02F10F0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74DA089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10" w:type="dxa"/>
            <w:shd w:val="clear" w:color="auto" w:fill="D9D9D9"/>
          </w:tcPr>
          <w:p w14:paraId="6B8921B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06DE45C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165" w:type="dxa"/>
            <w:shd w:val="clear" w:color="auto" w:fill="D9D9D9"/>
          </w:tcPr>
          <w:p w14:paraId="1827282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313D142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10" w:type="dxa"/>
            <w:shd w:val="clear" w:color="auto" w:fill="D9D9D9"/>
          </w:tcPr>
          <w:p w14:paraId="0F39D7E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391DAA2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35D55411" w14:textId="77777777" w:rsidTr="000465E8">
        <w:tc>
          <w:tcPr>
            <w:tcW w:w="1343" w:type="dxa"/>
          </w:tcPr>
          <w:p w14:paraId="5E07737A" w14:textId="77777777" w:rsidR="000676F2" w:rsidRPr="005C46A2" w:rsidRDefault="000676F2" w:rsidP="00495C74">
            <w:pPr>
              <w:spacing w:line="240" w:lineRule="auto"/>
              <w:jc w:val="both"/>
              <w:rPr>
                <w:rFonts w:eastAsia="Calibri"/>
                <w:sz w:val="22"/>
                <w:szCs w:val="22"/>
              </w:rPr>
            </w:pPr>
          </w:p>
        </w:tc>
        <w:tc>
          <w:tcPr>
            <w:tcW w:w="7673" w:type="dxa"/>
            <w:gridSpan w:val="7"/>
          </w:tcPr>
          <w:p w14:paraId="5EE5ED81"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women FAOs?</w:t>
            </w:r>
          </w:p>
        </w:tc>
      </w:tr>
      <w:tr w:rsidR="000676F2" w:rsidRPr="005C46A2" w14:paraId="1A1A00AC" w14:textId="77777777" w:rsidTr="000676F2">
        <w:tc>
          <w:tcPr>
            <w:tcW w:w="1343" w:type="dxa"/>
            <w:shd w:val="clear" w:color="auto" w:fill="D9D9D9"/>
          </w:tcPr>
          <w:p w14:paraId="5406E0B9"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10" w:type="dxa"/>
            <w:shd w:val="clear" w:color="auto" w:fill="D9D9D9"/>
          </w:tcPr>
          <w:p w14:paraId="26E7FD2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2CE7F39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10" w:type="dxa"/>
            <w:shd w:val="clear" w:color="auto" w:fill="D9D9D9"/>
          </w:tcPr>
          <w:p w14:paraId="5978148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6EB8A63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263" w:type="dxa"/>
            <w:shd w:val="clear" w:color="auto" w:fill="D9D9D9"/>
          </w:tcPr>
          <w:p w14:paraId="3CCD224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24AA0FA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05" w:type="dxa"/>
            <w:shd w:val="clear" w:color="auto" w:fill="D9D9D9"/>
          </w:tcPr>
          <w:p w14:paraId="2B26990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02C8D5C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10" w:type="dxa"/>
            <w:shd w:val="clear" w:color="auto" w:fill="D9D9D9"/>
          </w:tcPr>
          <w:p w14:paraId="6DBE8E1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425DA47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165" w:type="dxa"/>
            <w:shd w:val="clear" w:color="auto" w:fill="D9D9D9"/>
          </w:tcPr>
          <w:p w14:paraId="1D7AEB6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0FA5B28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10" w:type="dxa"/>
            <w:shd w:val="clear" w:color="auto" w:fill="D9D9D9"/>
          </w:tcPr>
          <w:p w14:paraId="62BE8BE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430B0DB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72987C21" w14:textId="77777777" w:rsidR="000676F2" w:rsidRPr="005C46A2" w:rsidRDefault="000676F2" w:rsidP="00495C74">
      <w:pPr>
        <w:spacing w:line="259" w:lineRule="auto"/>
        <w:jc w:val="both"/>
        <w:rPr>
          <w:rFonts w:eastAsia="Calibri"/>
          <w:sz w:val="20"/>
          <w:szCs w:val="20"/>
        </w:rPr>
      </w:pPr>
    </w:p>
    <w:tbl>
      <w:tblPr>
        <w:tblStyle w:val="TableGrid"/>
        <w:tblW w:w="0" w:type="auto"/>
        <w:tblLook w:val="04A0" w:firstRow="1" w:lastRow="0" w:firstColumn="1" w:lastColumn="0" w:noHBand="0" w:noVBand="1"/>
      </w:tblPr>
      <w:tblGrid>
        <w:gridCol w:w="1103"/>
        <w:gridCol w:w="1148"/>
        <w:gridCol w:w="1148"/>
        <w:gridCol w:w="1300"/>
        <w:gridCol w:w="816"/>
        <w:gridCol w:w="1148"/>
        <w:gridCol w:w="1205"/>
        <w:gridCol w:w="1148"/>
      </w:tblGrid>
      <w:tr w:rsidR="000676F2" w:rsidRPr="005C46A2" w14:paraId="1FD9C328" w14:textId="77777777" w:rsidTr="000465E8">
        <w:tc>
          <w:tcPr>
            <w:tcW w:w="1103" w:type="dxa"/>
          </w:tcPr>
          <w:p w14:paraId="5EDF0049" w14:textId="77777777" w:rsidR="000676F2" w:rsidRPr="005C46A2" w:rsidRDefault="000676F2" w:rsidP="00495C74">
            <w:pPr>
              <w:spacing w:line="240" w:lineRule="auto"/>
              <w:jc w:val="both"/>
              <w:rPr>
                <w:rFonts w:eastAsia="Calibri"/>
                <w:sz w:val="22"/>
                <w:szCs w:val="22"/>
              </w:rPr>
            </w:pPr>
          </w:p>
        </w:tc>
        <w:tc>
          <w:tcPr>
            <w:tcW w:w="7913" w:type="dxa"/>
            <w:gridSpan w:val="7"/>
          </w:tcPr>
          <w:p w14:paraId="2C1AEBEE"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men FAOs?</w:t>
            </w:r>
          </w:p>
        </w:tc>
      </w:tr>
      <w:tr w:rsidR="000676F2" w:rsidRPr="005C46A2" w14:paraId="4B6546C9" w14:textId="77777777" w:rsidTr="000676F2">
        <w:tc>
          <w:tcPr>
            <w:tcW w:w="1103" w:type="dxa"/>
            <w:shd w:val="clear" w:color="auto" w:fill="D9D9D9"/>
          </w:tcPr>
          <w:p w14:paraId="0020AA21"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002B6A3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1C976D1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48" w:type="dxa"/>
            <w:shd w:val="clear" w:color="auto" w:fill="D9D9D9"/>
          </w:tcPr>
          <w:p w14:paraId="784200A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171F3ED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300" w:type="dxa"/>
            <w:shd w:val="clear" w:color="auto" w:fill="D9D9D9"/>
          </w:tcPr>
          <w:p w14:paraId="24BAF3F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332DD1C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16" w:type="dxa"/>
            <w:shd w:val="clear" w:color="auto" w:fill="D9D9D9"/>
          </w:tcPr>
          <w:p w14:paraId="7FD5759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3B0DFC5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2295D26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68B5492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205" w:type="dxa"/>
            <w:shd w:val="clear" w:color="auto" w:fill="D9D9D9"/>
          </w:tcPr>
          <w:p w14:paraId="0DC43C8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3C53CFD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48" w:type="dxa"/>
            <w:shd w:val="clear" w:color="auto" w:fill="D9D9D9"/>
          </w:tcPr>
          <w:p w14:paraId="7658D35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48B10DA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1422EB4A" w14:textId="77777777" w:rsidTr="000465E8">
        <w:tc>
          <w:tcPr>
            <w:tcW w:w="1103" w:type="dxa"/>
          </w:tcPr>
          <w:p w14:paraId="075970AE" w14:textId="77777777" w:rsidR="000676F2" w:rsidRPr="005C46A2" w:rsidRDefault="000676F2" w:rsidP="00495C74">
            <w:pPr>
              <w:spacing w:line="240" w:lineRule="auto"/>
              <w:jc w:val="both"/>
              <w:rPr>
                <w:rFonts w:eastAsia="Calibri"/>
                <w:sz w:val="22"/>
                <w:szCs w:val="22"/>
              </w:rPr>
            </w:pPr>
          </w:p>
        </w:tc>
        <w:tc>
          <w:tcPr>
            <w:tcW w:w="7913" w:type="dxa"/>
            <w:gridSpan w:val="7"/>
          </w:tcPr>
          <w:p w14:paraId="0D4466A8"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men FAOs?</w:t>
            </w:r>
          </w:p>
        </w:tc>
      </w:tr>
      <w:tr w:rsidR="000676F2" w:rsidRPr="005C46A2" w14:paraId="3DB19361" w14:textId="77777777" w:rsidTr="000676F2">
        <w:tc>
          <w:tcPr>
            <w:tcW w:w="1103" w:type="dxa"/>
            <w:shd w:val="clear" w:color="auto" w:fill="D9D9D9"/>
          </w:tcPr>
          <w:p w14:paraId="1AA92876"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668201A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2485FB6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8" w:type="dxa"/>
            <w:shd w:val="clear" w:color="auto" w:fill="D9D9D9"/>
          </w:tcPr>
          <w:p w14:paraId="430B27F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1E08FE6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300" w:type="dxa"/>
            <w:shd w:val="clear" w:color="auto" w:fill="D9D9D9"/>
          </w:tcPr>
          <w:p w14:paraId="5A13AC4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3FC5D06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16" w:type="dxa"/>
            <w:shd w:val="clear" w:color="auto" w:fill="D9D9D9"/>
          </w:tcPr>
          <w:p w14:paraId="22D7DAE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4DF4A1B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3CEC90E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5A7F697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205" w:type="dxa"/>
            <w:shd w:val="clear" w:color="auto" w:fill="D9D9D9"/>
          </w:tcPr>
          <w:p w14:paraId="64FF11D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285C43B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48" w:type="dxa"/>
            <w:shd w:val="clear" w:color="auto" w:fill="D9D9D9"/>
          </w:tcPr>
          <w:p w14:paraId="769F934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62E31BE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606FC7C1" w14:textId="77777777" w:rsidR="000676F2" w:rsidRPr="005C46A2" w:rsidRDefault="000676F2" w:rsidP="00495C74">
      <w:pPr>
        <w:spacing w:line="259" w:lineRule="auto"/>
        <w:jc w:val="both"/>
        <w:rPr>
          <w:rFonts w:eastAsia="Calibri"/>
          <w:sz w:val="20"/>
          <w:szCs w:val="20"/>
        </w:rPr>
      </w:pPr>
    </w:p>
    <w:tbl>
      <w:tblPr>
        <w:tblStyle w:val="TableGrid"/>
        <w:tblW w:w="0" w:type="auto"/>
        <w:tblLook w:val="04A0" w:firstRow="1" w:lastRow="0" w:firstColumn="1" w:lastColumn="0" w:noHBand="0" w:noVBand="1"/>
      </w:tblPr>
      <w:tblGrid>
        <w:gridCol w:w="1103"/>
        <w:gridCol w:w="1148"/>
        <w:gridCol w:w="1148"/>
        <w:gridCol w:w="1300"/>
        <w:gridCol w:w="816"/>
        <w:gridCol w:w="1148"/>
        <w:gridCol w:w="1205"/>
        <w:gridCol w:w="1148"/>
      </w:tblGrid>
      <w:tr w:rsidR="000676F2" w:rsidRPr="005C46A2" w14:paraId="267A17B5" w14:textId="77777777" w:rsidTr="000465E8">
        <w:tc>
          <w:tcPr>
            <w:tcW w:w="1103" w:type="dxa"/>
          </w:tcPr>
          <w:p w14:paraId="3B4F16F2" w14:textId="77777777" w:rsidR="000676F2" w:rsidRPr="005C46A2" w:rsidRDefault="000676F2" w:rsidP="00495C74">
            <w:pPr>
              <w:spacing w:line="240" w:lineRule="auto"/>
              <w:jc w:val="both"/>
              <w:rPr>
                <w:rFonts w:eastAsia="Calibri"/>
                <w:sz w:val="22"/>
                <w:szCs w:val="22"/>
              </w:rPr>
            </w:pPr>
          </w:p>
        </w:tc>
        <w:tc>
          <w:tcPr>
            <w:tcW w:w="7913" w:type="dxa"/>
            <w:gridSpan w:val="7"/>
          </w:tcPr>
          <w:p w14:paraId="643027F7"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FAOs who are gender diverse?</w:t>
            </w:r>
          </w:p>
        </w:tc>
      </w:tr>
      <w:tr w:rsidR="000676F2" w:rsidRPr="005C46A2" w14:paraId="42B93155" w14:textId="77777777" w:rsidTr="000676F2">
        <w:tc>
          <w:tcPr>
            <w:tcW w:w="1103" w:type="dxa"/>
            <w:shd w:val="clear" w:color="auto" w:fill="D9D9D9"/>
          </w:tcPr>
          <w:p w14:paraId="34EC4097"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66769F6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6FCEBF6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48" w:type="dxa"/>
            <w:shd w:val="clear" w:color="auto" w:fill="D9D9D9"/>
          </w:tcPr>
          <w:p w14:paraId="6991FC6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208DE75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300" w:type="dxa"/>
            <w:shd w:val="clear" w:color="auto" w:fill="D9D9D9"/>
          </w:tcPr>
          <w:p w14:paraId="7EF0FD9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7E3CCBB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16" w:type="dxa"/>
            <w:shd w:val="clear" w:color="auto" w:fill="D9D9D9"/>
          </w:tcPr>
          <w:p w14:paraId="7D60FBA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0CA4435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14B72CB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523ACAA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205" w:type="dxa"/>
            <w:shd w:val="clear" w:color="auto" w:fill="D9D9D9"/>
          </w:tcPr>
          <w:p w14:paraId="347D83F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4E3D95D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48" w:type="dxa"/>
            <w:shd w:val="clear" w:color="auto" w:fill="D9D9D9"/>
          </w:tcPr>
          <w:p w14:paraId="2BAB436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6444E95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26411EDD" w14:textId="77777777" w:rsidTr="000465E8">
        <w:tc>
          <w:tcPr>
            <w:tcW w:w="1103" w:type="dxa"/>
          </w:tcPr>
          <w:p w14:paraId="55A66B96" w14:textId="77777777" w:rsidR="000676F2" w:rsidRPr="005C46A2" w:rsidRDefault="000676F2" w:rsidP="00495C74">
            <w:pPr>
              <w:spacing w:line="240" w:lineRule="auto"/>
              <w:jc w:val="both"/>
              <w:rPr>
                <w:rFonts w:eastAsia="Calibri"/>
                <w:sz w:val="22"/>
                <w:szCs w:val="22"/>
              </w:rPr>
            </w:pPr>
          </w:p>
        </w:tc>
        <w:tc>
          <w:tcPr>
            <w:tcW w:w="7913" w:type="dxa"/>
            <w:gridSpan w:val="7"/>
          </w:tcPr>
          <w:p w14:paraId="6C7A2DEF"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FAOs who are gender diverse?</w:t>
            </w:r>
          </w:p>
        </w:tc>
      </w:tr>
      <w:tr w:rsidR="000676F2" w:rsidRPr="005C46A2" w14:paraId="0651B9FE" w14:textId="77777777" w:rsidTr="000676F2">
        <w:tc>
          <w:tcPr>
            <w:tcW w:w="1103" w:type="dxa"/>
            <w:shd w:val="clear" w:color="auto" w:fill="D9D9D9"/>
          </w:tcPr>
          <w:p w14:paraId="2B49D3A3"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4A48D56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672FAB4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8" w:type="dxa"/>
            <w:shd w:val="clear" w:color="auto" w:fill="D9D9D9"/>
          </w:tcPr>
          <w:p w14:paraId="2ACBB5D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640BBF2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300" w:type="dxa"/>
            <w:shd w:val="clear" w:color="auto" w:fill="D9D9D9"/>
          </w:tcPr>
          <w:p w14:paraId="31B181B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01CAA3C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16" w:type="dxa"/>
            <w:shd w:val="clear" w:color="auto" w:fill="D9D9D9"/>
          </w:tcPr>
          <w:p w14:paraId="55F8B4C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413CCAD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543F0EB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1225916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205" w:type="dxa"/>
            <w:shd w:val="clear" w:color="auto" w:fill="D9D9D9"/>
          </w:tcPr>
          <w:p w14:paraId="4647D1F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4C4FD23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48" w:type="dxa"/>
            <w:shd w:val="clear" w:color="auto" w:fill="D9D9D9"/>
          </w:tcPr>
          <w:p w14:paraId="2D416D9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4216F8C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0858E965" w14:textId="77777777" w:rsidR="000676F2" w:rsidRPr="005C46A2" w:rsidRDefault="000676F2" w:rsidP="00495C74">
      <w:pPr>
        <w:spacing w:line="259" w:lineRule="auto"/>
        <w:jc w:val="both"/>
        <w:rPr>
          <w:rFonts w:eastAsia="Calibri"/>
          <w:sz w:val="20"/>
          <w:szCs w:val="20"/>
        </w:rPr>
      </w:pPr>
    </w:p>
    <w:p w14:paraId="55FE69EF" w14:textId="77777777" w:rsidR="000676F2" w:rsidRPr="005C46A2" w:rsidRDefault="000676F2" w:rsidP="00495C74">
      <w:pPr>
        <w:spacing w:line="259" w:lineRule="auto"/>
        <w:jc w:val="both"/>
        <w:rPr>
          <w:rFonts w:eastAsia="Calibri"/>
          <w:sz w:val="20"/>
          <w:szCs w:val="20"/>
        </w:rPr>
      </w:pPr>
      <w:r w:rsidRPr="005C46A2">
        <w:rPr>
          <w:rFonts w:eastAsia="Calibri"/>
          <w:sz w:val="20"/>
          <w:szCs w:val="20"/>
        </w:rPr>
        <w:t>What are your thoughts on this approach when working with FAOs who are women, men, or gender diverse?</w:t>
      </w:r>
    </w:p>
    <w:tbl>
      <w:tblPr>
        <w:tblStyle w:val="TableGrid"/>
        <w:tblW w:w="0" w:type="auto"/>
        <w:tblLook w:val="04A0" w:firstRow="1" w:lastRow="0" w:firstColumn="1" w:lastColumn="0" w:noHBand="0" w:noVBand="1"/>
      </w:tblPr>
      <w:tblGrid>
        <w:gridCol w:w="9016"/>
      </w:tblGrid>
      <w:tr w:rsidR="000676F2" w:rsidRPr="005C46A2" w14:paraId="66402CCD" w14:textId="77777777" w:rsidTr="000465E8">
        <w:tc>
          <w:tcPr>
            <w:tcW w:w="9016" w:type="dxa"/>
          </w:tcPr>
          <w:p w14:paraId="1C32D00A" w14:textId="77777777" w:rsidR="000676F2" w:rsidRPr="005C46A2" w:rsidRDefault="000676F2" w:rsidP="00495C74">
            <w:pPr>
              <w:spacing w:line="240" w:lineRule="auto"/>
              <w:jc w:val="both"/>
              <w:rPr>
                <w:rFonts w:eastAsia="Calibri"/>
                <w:sz w:val="20"/>
                <w:szCs w:val="20"/>
              </w:rPr>
            </w:pPr>
          </w:p>
          <w:p w14:paraId="6463DDC8" w14:textId="77777777" w:rsidR="000676F2" w:rsidRPr="005C46A2" w:rsidRDefault="000676F2" w:rsidP="00495C74">
            <w:pPr>
              <w:spacing w:line="240" w:lineRule="auto"/>
              <w:jc w:val="both"/>
              <w:rPr>
                <w:rFonts w:eastAsia="Calibri"/>
                <w:sz w:val="20"/>
                <w:szCs w:val="20"/>
              </w:rPr>
            </w:pPr>
          </w:p>
        </w:tc>
      </w:tr>
    </w:tbl>
    <w:p w14:paraId="4703AAEF" w14:textId="77777777" w:rsidR="000676F2" w:rsidRPr="005C46A2" w:rsidRDefault="000676F2" w:rsidP="00495C74">
      <w:pPr>
        <w:pBdr>
          <w:bottom w:val="single" w:sz="12" w:space="1" w:color="auto"/>
        </w:pBdr>
        <w:spacing w:line="259" w:lineRule="auto"/>
        <w:jc w:val="both"/>
        <w:rPr>
          <w:rFonts w:eastAsia="Calibri"/>
          <w:sz w:val="20"/>
          <w:szCs w:val="20"/>
        </w:rPr>
      </w:pPr>
    </w:p>
    <w:p w14:paraId="72C17354" w14:textId="77777777" w:rsidR="000676F2" w:rsidRPr="005C46A2" w:rsidRDefault="000676F2" w:rsidP="00495C74">
      <w:pPr>
        <w:spacing w:line="259" w:lineRule="auto"/>
        <w:jc w:val="both"/>
        <w:rPr>
          <w:rFonts w:eastAsia="Calibri"/>
          <w:b/>
          <w:bCs/>
          <w:i/>
          <w:iCs/>
          <w:sz w:val="20"/>
          <w:szCs w:val="20"/>
        </w:rPr>
      </w:pPr>
      <w:r w:rsidRPr="005C46A2">
        <w:rPr>
          <w:rFonts w:eastAsia="Calibri"/>
          <w:b/>
          <w:bCs/>
          <w:i/>
          <w:iCs/>
          <w:sz w:val="20"/>
          <w:szCs w:val="20"/>
        </w:rPr>
        <w:t>PAGE 9</w:t>
      </w:r>
    </w:p>
    <w:p w14:paraId="02725BEC" w14:textId="77777777" w:rsidR="000676F2" w:rsidRPr="005C46A2" w:rsidRDefault="000676F2" w:rsidP="00495C74">
      <w:pPr>
        <w:spacing w:line="259" w:lineRule="auto"/>
        <w:jc w:val="both"/>
        <w:rPr>
          <w:rFonts w:eastAsia="Calibri"/>
          <w:i/>
          <w:iCs/>
          <w:sz w:val="22"/>
          <w:szCs w:val="22"/>
        </w:rPr>
      </w:pPr>
      <w:r w:rsidRPr="005C46A2">
        <w:rPr>
          <w:rFonts w:eastAsia="Calibri"/>
          <w:i/>
          <w:iCs/>
          <w:sz w:val="22"/>
          <w:szCs w:val="22"/>
        </w:rPr>
        <w:t>Central to approach: Supporting FAOs to influence the individual with problematic gambling to change or engage in treatment will improve the outcomes for the FAO.</w:t>
      </w:r>
    </w:p>
    <w:p w14:paraId="783D30B1" w14:textId="77777777" w:rsidR="000676F2" w:rsidRPr="005C46A2" w:rsidRDefault="000676F2" w:rsidP="00495C74">
      <w:pPr>
        <w:spacing w:line="259" w:lineRule="auto"/>
        <w:ind w:left="6480"/>
        <w:jc w:val="both"/>
        <w:rPr>
          <w:rFonts w:eastAsia="Calibri"/>
          <w:sz w:val="20"/>
          <w:szCs w:val="20"/>
        </w:rPr>
      </w:pPr>
      <w:r w:rsidRPr="005C46A2">
        <w:rPr>
          <w:rFonts w:eastAsia="Calibri"/>
          <w:sz w:val="20"/>
          <w:szCs w:val="20"/>
        </w:rPr>
        <w:t>(</w:t>
      </w:r>
      <w:r w:rsidRPr="005C46A2">
        <w:rPr>
          <w:rFonts w:eastAsia="Calibri"/>
          <w:i/>
          <w:iCs/>
          <w:sz w:val="16"/>
          <w:szCs w:val="16"/>
        </w:rPr>
        <w:t>Likert questions compulsory</w:t>
      </w:r>
      <w:r w:rsidRPr="005C46A2">
        <w:rPr>
          <w:rFonts w:eastAsia="Calibri"/>
          <w:sz w:val="20"/>
          <w:szCs w:val="20"/>
        </w:rPr>
        <w:t>)</w:t>
      </w:r>
    </w:p>
    <w:tbl>
      <w:tblPr>
        <w:tblStyle w:val="TableGrid"/>
        <w:tblW w:w="0" w:type="auto"/>
        <w:tblLook w:val="04A0" w:firstRow="1" w:lastRow="0" w:firstColumn="1" w:lastColumn="0" w:noHBand="0" w:noVBand="1"/>
      </w:tblPr>
      <w:tblGrid>
        <w:gridCol w:w="1103"/>
        <w:gridCol w:w="1148"/>
        <w:gridCol w:w="1148"/>
        <w:gridCol w:w="1300"/>
        <w:gridCol w:w="816"/>
        <w:gridCol w:w="1148"/>
        <w:gridCol w:w="1205"/>
        <w:gridCol w:w="1148"/>
      </w:tblGrid>
      <w:tr w:rsidR="000676F2" w:rsidRPr="005C46A2" w14:paraId="5E15516E" w14:textId="77777777" w:rsidTr="000465E8">
        <w:tc>
          <w:tcPr>
            <w:tcW w:w="1103" w:type="dxa"/>
          </w:tcPr>
          <w:p w14:paraId="5E81ECD7" w14:textId="77777777" w:rsidR="000676F2" w:rsidRPr="005C46A2" w:rsidRDefault="000676F2" w:rsidP="00495C74">
            <w:pPr>
              <w:spacing w:line="240" w:lineRule="auto"/>
              <w:jc w:val="both"/>
              <w:rPr>
                <w:rFonts w:eastAsia="Calibri"/>
                <w:sz w:val="22"/>
                <w:szCs w:val="22"/>
              </w:rPr>
            </w:pPr>
          </w:p>
        </w:tc>
        <w:tc>
          <w:tcPr>
            <w:tcW w:w="7913" w:type="dxa"/>
            <w:gridSpan w:val="7"/>
          </w:tcPr>
          <w:p w14:paraId="3967CC4C"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young FAOs? (e.g. children)</w:t>
            </w:r>
          </w:p>
        </w:tc>
      </w:tr>
      <w:tr w:rsidR="000676F2" w:rsidRPr="005C46A2" w14:paraId="35ACD7EC" w14:textId="77777777" w:rsidTr="000676F2">
        <w:tc>
          <w:tcPr>
            <w:tcW w:w="1103" w:type="dxa"/>
            <w:shd w:val="clear" w:color="auto" w:fill="D9D9D9"/>
          </w:tcPr>
          <w:p w14:paraId="72E1D049"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5C006CD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175D4D4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48" w:type="dxa"/>
            <w:shd w:val="clear" w:color="auto" w:fill="D9D9D9"/>
          </w:tcPr>
          <w:p w14:paraId="716B55D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3DC9154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300" w:type="dxa"/>
            <w:shd w:val="clear" w:color="auto" w:fill="D9D9D9"/>
          </w:tcPr>
          <w:p w14:paraId="6641846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7A8248A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16" w:type="dxa"/>
            <w:shd w:val="clear" w:color="auto" w:fill="D9D9D9"/>
          </w:tcPr>
          <w:p w14:paraId="732AF11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516FA38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42E2018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7360B54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205" w:type="dxa"/>
            <w:shd w:val="clear" w:color="auto" w:fill="D9D9D9"/>
          </w:tcPr>
          <w:p w14:paraId="6017A24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05B9B29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48" w:type="dxa"/>
            <w:shd w:val="clear" w:color="auto" w:fill="D9D9D9"/>
          </w:tcPr>
          <w:p w14:paraId="4005568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27D51C5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1DB17294" w14:textId="77777777" w:rsidTr="000465E8">
        <w:tc>
          <w:tcPr>
            <w:tcW w:w="1103" w:type="dxa"/>
          </w:tcPr>
          <w:p w14:paraId="42E459EB" w14:textId="77777777" w:rsidR="000676F2" w:rsidRPr="005C46A2" w:rsidRDefault="000676F2" w:rsidP="00495C74">
            <w:pPr>
              <w:spacing w:line="240" w:lineRule="auto"/>
              <w:jc w:val="both"/>
              <w:rPr>
                <w:rFonts w:eastAsia="Calibri"/>
                <w:sz w:val="22"/>
                <w:szCs w:val="22"/>
              </w:rPr>
            </w:pPr>
          </w:p>
        </w:tc>
        <w:tc>
          <w:tcPr>
            <w:tcW w:w="7913" w:type="dxa"/>
            <w:gridSpan w:val="7"/>
          </w:tcPr>
          <w:p w14:paraId="4D5A5666"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young FAOs? (e.g. children)</w:t>
            </w:r>
          </w:p>
        </w:tc>
      </w:tr>
      <w:tr w:rsidR="000676F2" w:rsidRPr="005C46A2" w14:paraId="6D575F7F" w14:textId="77777777" w:rsidTr="000676F2">
        <w:tc>
          <w:tcPr>
            <w:tcW w:w="1103" w:type="dxa"/>
            <w:shd w:val="clear" w:color="auto" w:fill="D9D9D9"/>
          </w:tcPr>
          <w:p w14:paraId="3B856458"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07674FE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216FF7E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lastRenderedPageBreak/>
              <w:t>Not at all effective</w:t>
            </w:r>
          </w:p>
        </w:tc>
        <w:tc>
          <w:tcPr>
            <w:tcW w:w="1148" w:type="dxa"/>
            <w:shd w:val="clear" w:color="auto" w:fill="D9D9D9"/>
          </w:tcPr>
          <w:p w14:paraId="5F8717B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lastRenderedPageBreak/>
              <w:t>2</w:t>
            </w:r>
          </w:p>
          <w:p w14:paraId="5CA682E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lastRenderedPageBreak/>
              <w:t>Not effective</w:t>
            </w:r>
          </w:p>
        </w:tc>
        <w:tc>
          <w:tcPr>
            <w:tcW w:w="1300" w:type="dxa"/>
            <w:shd w:val="clear" w:color="auto" w:fill="D9D9D9"/>
          </w:tcPr>
          <w:p w14:paraId="7AF9B30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lastRenderedPageBreak/>
              <w:t>3</w:t>
            </w:r>
          </w:p>
          <w:p w14:paraId="5857350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lastRenderedPageBreak/>
              <w:t>Somewhat ineffective</w:t>
            </w:r>
          </w:p>
        </w:tc>
        <w:tc>
          <w:tcPr>
            <w:tcW w:w="816" w:type="dxa"/>
            <w:shd w:val="clear" w:color="auto" w:fill="D9D9D9"/>
          </w:tcPr>
          <w:p w14:paraId="249AC4B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lastRenderedPageBreak/>
              <w:t>4</w:t>
            </w:r>
          </w:p>
          <w:p w14:paraId="607A1CB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47AB753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17BC7A5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lastRenderedPageBreak/>
              <w:t>Somewhat effective</w:t>
            </w:r>
          </w:p>
        </w:tc>
        <w:tc>
          <w:tcPr>
            <w:tcW w:w="1205" w:type="dxa"/>
            <w:shd w:val="clear" w:color="auto" w:fill="D9D9D9"/>
          </w:tcPr>
          <w:p w14:paraId="34AD969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lastRenderedPageBreak/>
              <w:t>6</w:t>
            </w:r>
          </w:p>
          <w:p w14:paraId="02773A4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48" w:type="dxa"/>
            <w:shd w:val="clear" w:color="auto" w:fill="D9D9D9"/>
          </w:tcPr>
          <w:p w14:paraId="3302C52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0C5328F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lastRenderedPageBreak/>
              <w:t>Highly effective</w:t>
            </w:r>
          </w:p>
        </w:tc>
      </w:tr>
      <w:tr w:rsidR="000676F2" w:rsidRPr="005C46A2" w14:paraId="446FC6E6" w14:textId="77777777" w:rsidTr="000465E8">
        <w:tc>
          <w:tcPr>
            <w:tcW w:w="1103" w:type="dxa"/>
          </w:tcPr>
          <w:p w14:paraId="4BF78E30" w14:textId="77777777" w:rsidR="000676F2" w:rsidRPr="005C46A2" w:rsidRDefault="000676F2" w:rsidP="00495C74">
            <w:pPr>
              <w:spacing w:line="240" w:lineRule="auto"/>
              <w:jc w:val="both"/>
              <w:rPr>
                <w:rFonts w:eastAsia="Calibri"/>
                <w:sz w:val="22"/>
                <w:szCs w:val="22"/>
              </w:rPr>
            </w:pPr>
          </w:p>
        </w:tc>
        <w:tc>
          <w:tcPr>
            <w:tcW w:w="7913" w:type="dxa"/>
            <w:gridSpan w:val="7"/>
          </w:tcPr>
          <w:p w14:paraId="7316956F"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older adult FAOs?</w:t>
            </w:r>
          </w:p>
        </w:tc>
      </w:tr>
      <w:tr w:rsidR="000676F2" w:rsidRPr="005C46A2" w14:paraId="0EB29657" w14:textId="77777777" w:rsidTr="000676F2">
        <w:tc>
          <w:tcPr>
            <w:tcW w:w="1103" w:type="dxa"/>
            <w:shd w:val="clear" w:color="auto" w:fill="D9D9D9"/>
          </w:tcPr>
          <w:p w14:paraId="0F2E3DE6"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7C0959F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0DCC9E5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48" w:type="dxa"/>
            <w:shd w:val="clear" w:color="auto" w:fill="D9D9D9"/>
          </w:tcPr>
          <w:p w14:paraId="7DE41C9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3329BFA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300" w:type="dxa"/>
            <w:shd w:val="clear" w:color="auto" w:fill="D9D9D9"/>
          </w:tcPr>
          <w:p w14:paraId="63AA014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0BFF963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16" w:type="dxa"/>
            <w:shd w:val="clear" w:color="auto" w:fill="D9D9D9"/>
          </w:tcPr>
          <w:p w14:paraId="6732E09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25DF29E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7D5707A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0ECCE31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205" w:type="dxa"/>
            <w:shd w:val="clear" w:color="auto" w:fill="D9D9D9"/>
          </w:tcPr>
          <w:p w14:paraId="652FB78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72A174C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48" w:type="dxa"/>
            <w:shd w:val="clear" w:color="auto" w:fill="D9D9D9"/>
          </w:tcPr>
          <w:p w14:paraId="370A37A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1E07075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7E14A4B3" w14:textId="77777777" w:rsidTr="000465E8">
        <w:tc>
          <w:tcPr>
            <w:tcW w:w="1103" w:type="dxa"/>
          </w:tcPr>
          <w:p w14:paraId="743E3E60" w14:textId="77777777" w:rsidR="000676F2" w:rsidRPr="005C46A2" w:rsidRDefault="000676F2" w:rsidP="00495C74">
            <w:pPr>
              <w:spacing w:line="240" w:lineRule="auto"/>
              <w:jc w:val="both"/>
              <w:rPr>
                <w:rFonts w:eastAsia="Calibri"/>
                <w:sz w:val="22"/>
                <w:szCs w:val="22"/>
              </w:rPr>
            </w:pPr>
          </w:p>
        </w:tc>
        <w:tc>
          <w:tcPr>
            <w:tcW w:w="7913" w:type="dxa"/>
            <w:gridSpan w:val="7"/>
          </w:tcPr>
          <w:p w14:paraId="12EBE09D"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older adult FAOs?</w:t>
            </w:r>
          </w:p>
        </w:tc>
      </w:tr>
      <w:tr w:rsidR="000676F2" w:rsidRPr="005C46A2" w14:paraId="1FF865C2" w14:textId="77777777" w:rsidTr="000676F2">
        <w:tc>
          <w:tcPr>
            <w:tcW w:w="1103" w:type="dxa"/>
            <w:shd w:val="clear" w:color="auto" w:fill="D9D9D9"/>
          </w:tcPr>
          <w:p w14:paraId="78FF53AC"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7639D60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23D3F38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8" w:type="dxa"/>
            <w:shd w:val="clear" w:color="auto" w:fill="D9D9D9"/>
          </w:tcPr>
          <w:p w14:paraId="1533468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6B26A9B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300" w:type="dxa"/>
            <w:shd w:val="clear" w:color="auto" w:fill="D9D9D9"/>
          </w:tcPr>
          <w:p w14:paraId="454A0CE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44DCD22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16" w:type="dxa"/>
            <w:shd w:val="clear" w:color="auto" w:fill="D9D9D9"/>
          </w:tcPr>
          <w:p w14:paraId="667707C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7F71F61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51FAD54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1ED4E7A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205" w:type="dxa"/>
            <w:shd w:val="clear" w:color="auto" w:fill="D9D9D9"/>
          </w:tcPr>
          <w:p w14:paraId="68C6AF0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293496F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48" w:type="dxa"/>
            <w:shd w:val="clear" w:color="auto" w:fill="D9D9D9"/>
          </w:tcPr>
          <w:p w14:paraId="618FBD1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6256333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1764789B" w14:textId="77777777" w:rsidR="000676F2" w:rsidRPr="005C46A2" w:rsidRDefault="000676F2" w:rsidP="00495C74">
      <w:pPr>
        <w:spacing w:line="259" w:lineRule="auto"/>
        <w:jc w:val="both"/>
        <w:rPr>
          <w:rFonts w:eastAsia="Calibri"/>
          <w:sz w:val="20"/>
          <w:szCs w:val="20"/>
        </w:rPr>
      </w:pPr>
    </w:p>
    <w:p w14:paraId="04737D79" w14:textId="77777777" w:rsidR="000676F2" w:rsidRPr="005C46A2" w:rsidRDefault="000676F2" w:rsidP="00495C74">
      <w:pPr>
        <w:spacing w:line="259" w:lineRule="auto"/>
        <w:jc w:val="both"/>
        <w:rPr>
          <w:rFonts w:eastAsia="Calibri"/>
          <w:sz w:val="20"/>
          <w:szCs w:val="20"/>
        </w:rPr>
      </w:pPr>
      <w:r w:rsidRPr="005C46A2">
        <w:rPr>
          <w:rFonts w:eastAsia="Calibri"/>
          <w:sz w:val="20"/>
          <w:szCs w:val="20"/>
        </w:rPr>
        <w:t>What are your thoughts on this approach when working with FAOs who are children? Or older adults?</w:t>
      </w:r>
    </w:p>
    <w:tbl>
      <w:tblPr>
        <w:tblStyle w:val="TableGrid"/>
        <w:tblW w:w="0" w:type="auto"/>
        <w:tblLook w:val="04A0" w:firstRow="1" w:lastRow="0" w:firstColumn="1" w:lastColumn="0" w:noHBand="0" w:noVBand="1"/>
      </w:tblPr>
      <w:tblGrid>
        <w:gridCol w:w="9016"/>
      </w:tblGrid>
      <w:tr w:rsidR="000676F2" w:rsidRPr="005C46A2" w14:paraId="6F881A04" w14:textId="77777777" w:rsidTr="000465E8">
        <w:tc>
          <w:tcPr>
            <w:tcW w:w="9016" w:type="dxa"/>
          </w:tcPr>
          <w:p w14:paraId="5DA1300C" w14:textId="77777777" w:rsidR="000676F2" w:rsidRPr="005C46A2" w:rsidRDefault="000676F2" w:rsidP="00495C74">
            <w:pPr>
              <w:spacing w:line="240" w:lineRule="auto"/>
              <w:jc w:val="both"/>
              <w:rPr>
                <w:rFonts w:eastAsia="Calibri"/>
                <w:sz w:val="20"/>
                <w:szCs w:val="20"/>
              </w:rPr>
            </w:pPr>
          </w:p>
          <w:p w14:paraId="0BBD12D5" w14:textId="77777777" w:rsidR="000676F2" w:rsidRPr="005C46A2" w:rsidRDefault="000676F2" w:rsidP="00495C74">
            <w:pPr>
              <w:spacing w:line="240" w:lineRule="auto"/>
              <w:jc w:val="both"/>
              <w:rPr>
                <w:rFonts w:eastAsia="Calibri"/>
                <w:sz w:val="20"/>
                <w:szCs w:val="20"/>
              </w:rPr>
            </w:pPr>
          </w:p>
        </w:tc>
      </w:tr>
    </w:tbl>
    <w:p w14:paraId="535B04D6" w14:textId="77777777" w:rsidR="000676F2" w:rsidRPr="005C46A2" w:rsidRDefault="000676F2" w:rsidP="00495C74">
      <w:pPr>
        <w:pBdr>
          <w:bottom w:val="single" w:sz="12" w:space="1" w:color="auto"/>
        </w:pBdr>
        <w:spacing w:line="259" w:lineRule="auto"/>
        <w:jc w:val="both"/>
        <w:rPr>
          <w:rFonts w:eastAsia="Calibri"/>
          <w:sz w:val="20"/>
          <w:szCs w:val="20"/>
        </w:rPr>
      </w:pPr>
    </w:p>
    <w:p w14:paraId="65D56978" w14:textId="77777777" w:rsidR="000676F2" w:rsidRPr="005C46A2" w:rsidRDefault="000676F2" w:rsidP="00495C74">
      <w:pPr>
        <w:spacing w:line="259" w:lineRule="auto"/>
        <w:jc w:val="both"/>
        <w:rPr>
          <w:rFonts w:eastAsia="Calibri"/>
          <w:b/>
          <w:bCs/>
          <w:i/>
          <w:iCs/>
          <w:sz w:val="20"/>
          <w:szCs w:val="20"/>
        </w:rPr>
      </w:pPr>
      <w:r w:rsidRPr="005C46A2">
        <w:rPr>
          <w:rFonts w:eastAsia="Calibri"/>
          <w:b/>
          <w:bCs/>
          <w:i/>
          <w:iCs/>
          <w:sz w:val="20"/>
          <w:szCs w:val="20"/>
        </w:rPr>
        <w:t>PAGE 10</w:t>
      </w:r>
    </w:p>
    <w:p w14:paraId="473C17BB" w14:textId="77777777" w:rsidR="000676F2" w:rsidRPr="005C46A2" w:rsidRDefault="000676F2" w:rsidP="00495C74">
      <w:pPr>
        <w:spacing w:line="259" w:lineRule="auto"/>
        <w:jc w:val="both"/>
        <w:rPr>
          <w:rFonts w:eastAsia="Calibri"/>
          <w:i/>
          <w:iCs/>
          <w:sz w:val="22"/>
          <w:szCs w:val="22"/>
        </w:rPr>
      </w:pPr>
      <w:r w:rsidRPr="005C46A2">
        <w:rPr>
          <w:rFonts w:eastAsia="Calibri"/>
          <w:i/>
          <w:iCs/>
          <w:sz w:val="22"/>
          <w:szCs w:val="22"/>
        </w:rPr>
        <w:t>Central to approach: Supporting FAOs to influence the individual with problematic gambling to change or engage in treatment will improve the outcomes for the FAO.</w:t>
      </w:r>
    </w:p>
    <w:p w14:paraId="6767336D" w14:textId="77777777" w:rsidR="000676F2" w:rsidRPr="005C46A2" w:rsidRDefault="000676F2" w:rsidP="00495C74">
      <w:pPr>
        <w:spacing w:line="259" w:lineRule="auto"/>
        <w:ind w:left="6480"/>
        <w:jc w:val="both"/>
        <w:rPr>
          <w:rFonts w:eastAsia="Calibri"/>
          <w:sz w:val="20"/>
          <w:szCs w:val="20"/>
        </w:rPr>
      </w:pPr>
      <w:r w:rsidRPr="005C46A2">
        <w:rPr>
          <w:rFonts w:eastAsia="Calibri"/>
          <w:sz w:val="20"/>
          <w:szCs w:val="20"/>
        </w:rPr>
        <w:t>(</w:t>
      </w:r>
      <w:r w:rsidRPr="005C46A2">
        <w:rPr>
          <w:rFonts w:eastAsia="Calibri"/>
          <w:i/>
          <w:iCs/>
          <w:sz w:val="16"/>
          <w:szCs w:val="16"/>
        </w:rPr>
        <w:t>Likert questions compulsory</w:t>
      </w:r>
      <w:r w:rsidRPr="005C46A2">
        <w:rPr>
          <w:rFonts w:eastAsia="Calibri"/>
          <w:sz w:val="20"/>
          <w:szCs w:val="20"/>
        </w:rPr>
        <w:t>)</w:t>
      </w:r>
    </w:p>
    <w:tbl>
      <w:tblPr>
        <w:tblStyle w:val="TableGrid"/>
        <w:tblW w:w="0" w:type="auto"/>
        <w:tblLook w:val="04A0" w:firstRow="1" w:lastRow="0" w:firstColumn="1" w:lastColumn="0" w:noHBand="0" w:noVBand="1"/>
      </w:tblPr>
      <w:tblGrid>
        <w:gridCol w:w="1104"/>
        <w:gridCol w:w="1142"/>
        <w:gridCol w:w="1142"/>
        <w:gridCol w:w="1294"/>
        <w:gridCol w:w="857"/>
        <w:gridCol w:w="1142"/>
        <w:gridCol w:w="1193"/>
        <w:gridCol w:w="1142"/>
      </w:tblGrid>
      <w:tr w:rsidR="000676F2" w:rsidRPr="005C46A2" w14:paraId="77175DAB" w14:textId="77777777" w:rsidTr="000465E8">
        <w:tc>
          <w:tcPr>
            <w:tcW w:w="1104" w:type="dxa"/>
          </w:tcPr>
          <w:p w14:paraId="7D2CDC46" w14:textId="77777777" w:rsidR="000676F2" w:rsidRPr="005C46A2" w:rsidRDefault="000676F2" w:rsidP="00495C74">
            <w:pPr>
              <w:spacing w:line="240" w:lineRule="auto"/>
              <w:jc w:val="both"/>
              <w:rPr>
                <w:rFonts w:eastAsia="Calibri"/>
                <w:sz w:val="22"/>
                <w:szCs w:val="22"/>
              </w:rPr>
            </w:pPr>
          </w:p>
        </w:tc>
        <w:tc>
          <w:tcPr>
            <w:tcW w:w="7912" w:type="dxa"/>
            <w:gridSpan w:val="7"/>
          </w:tcPr>
          <w:p w14:paraId="3D0B570D"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New Zealand Māori FAOs?</w:t>
            </w:r>
          </w:p>
        </w:tc>
      </w:tr>
      <w:tr w:rsidR="000676F2" w:rsidRPr="005C46A2" w14:paraId="2C0DB24A" w14:textId="77777777" w:rsidTr="000676F2">
        <w:tc>
          <w:tcPr>
            <w:tcW w:w="1104" w:type="dxa"/>
            <w:shd w:val="clear" w:color="auto" w:fill="D9D9D9"/>
          </w:tcPr>
          <w:p w14:paraId="5671620E"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2" w:type="dxa"/>
            <w:shd w:val="clear" w:color="auto" w:fill="D9D9D9"/>
          </w:tcPr>
          <w:p w14:paraId="56CB938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5AE7266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42" w:type="dxa"/>
            <w:shd w:val="clear" w:color="auto" w:fill="D9D9D9"/>
          </w:tcPr>
          <w:p w14:paraId="70B8925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73D2B61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294" w:type="dxa"/>
            <w:shd w:val="clear" w:color="auto" w:fill="D9D9D9"/>
          </w:tcPr>
          <w:p w14:paraId="759FBFA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0C88784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57" w:type="dxa"/>
            <w:shd w:val="clear" w:color="auto" w:fill="D9D9D9"/>
          </w:tcPr>
          <w:p w14:paraId="6A7A48E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704C9AD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2" w:type="dxa"/>
            <w:shd w:val="clear" w:color="auto" w:fill="D9D9D9"/>
          </w:tcPr>
          <w:p w14:paraId="45DD15C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4D994DE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193" w:type="dxa"/>
            <w:shd w:val="clear" w:color="auto" w:fill="D9D9D9"/>
          </w:tcPr>
          <w:p w14:paraId="0D4DA1B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7642597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42" w:type="dxa"/>
            <w:shd w:val="clear" w:color="auto" w:fill="D9D9D9"/>
          </w:tcPr>
          <w:p w14:paraId="6A6F6F4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500D5F4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043D9F87" w14:textId="77777777" w:rsidTr="000465E8">
        <w:tc>
          <w:tcPr>
            <w:tcW w:w="1104" w:type="dxa"/>
          </w:tcPr>
          <w:p w14:paraId="247D85E5" w14:textId="77777777" w:rsidR="000676F2" w:rsidRPr="005C46A2" w:rsidRDefault="000676F2" w:rsidP="00495C74">
            <w:pPr>
              <w:spacing w:line="240" w:lineRule="auto"/>
              <w:jc w:val="both"/>
              <w:rPr>
                <w:rFonts w:eastAsia="Calibri"/>
                <w:sz w:val="22"/>
                <w:szCs w:val="22"/>
              </w:rPr>
            </w:pPr>
          </w:p>
        </w:tc>
        <w:tc>
          <w:tcPr>
            <w:tcW w:w="7912" w:type="dxa"/>
            <w:gridSpan w:val="7"/>
          </w:tcPr>
          <w:p w14:paraId="7E8660D4"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Māori FAOs?</w:t>
            </w:r>
          </w:p>
        </w:tc>
      </w:tr>
      <w:tr w:rsidR="000676F2" w:rsidRPr="005C46A2" w14:paraId="66E9E1E3" w14:textId="77777777" w:rsidTr="000676F2">
        <w:tc>
          <w:tcPr>
            <w:tcW w:w="1104" w:type="dxa"/>
            <w:shd w:val="clear" w:color="auto" w:fill="D9D9D9"/>
          </w:tcPr>
          <w:p w14:paraId="4B1DB0EB"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2" w:type="dxa"/>
            <w:shd w:val="clear" w:color="auto" w:fill="D9D9D9"/>
          </w:tcPr>
          <w:p w14:paraId="4D190E0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553BD02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2" w:type="dxa"/>
            <w:shd w:val="clear" w:color="auto" w:fill="D9D9D9"/>
          </w:tcPr>
          <w:p w14:paraId="72AE199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1C18045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294" w:type="dxa"/>
            <w:shd w:val="clear" w:color="auto" w:fill="D9D9D9"/>
          </w:tcPr>
          <w:p w14:paraId="606AE1F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7F6B4CD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57" w:type="dxa"/>
            <w:shd w:val="clear" w:color="auto" w:fill="D9D9D9"/>
          </w:tcPr>
          <w:p w14:paraId="5270CAD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4C21C2F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2" w:type="dxa"/>
            <w:shd w:val="clear" w:color="auto" w:fill="D9D9D9"/>
          </w:tcPr>
          <w:p w14:paraId="46414E0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525C3E2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193" w:type="dxa"/>
            <w:shd w:val="clear" w:color="auto" w:fill="D9D9D9"/>
          </w:tcPr>
          <w:p w14:paraId="37C8906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245837B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42" w:type="dxa"/>
            <w:shd w:val="clear" w:color="auto" w:fill="D9D9D9"/>
          </w:tcPr>
          <w:p w14:paraId="675DB30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10AA0E0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358BA126" w14:textId="77777777" w:rsidR="000676F2" w:rsidRPr="005C46A2" w:rsidRDefault="000676F2" w:rsidP="00495C74">
      <w:pPr>
        <w:spacing w:line="259" w:lineRule="auto"/>
        <w:jc w:val="both"/>
        <w:rPr>
          <w:rFonts w:eastAsia="Calibri"/>
          <w:sz w:val="20"/>
          <w:szCs w:val="20"/>
        </w:rPr>
      </w:pPr>
    </w:p>
    <w:tbl>
      <w:tblPr>
        <w:tblStyle w:val="TableGrid"/>
        <w:tblW w:w="0" w:type="auto"/>
        <w:tblLook w:val="04A0" w:firstRow="1" w:lastRow="0" w:firstColumn="1" w:lastColumn="0" w:noHBand="0" w:noVBand="1"/>
      </w:tblPr>
      <w:tblGrid>
        <w:gridCol w:w="1104"/>
        <w:gridCol w:w="1142"/>
        <w:gridCol w:w="1142"/>
        <w:gridCol w:w="1294"/>
        <w:gridCol w:w="857"/>
        <w:gridCol w:w="1142"/>
        <w:gridCol w:w="1193"/>
        <w:gridCol w:w="1142"/>
      </w:tblGrid>
      <w:tr w:rsidR="000676F2" w:rsidRPr="005C46A2" w14:paraId="1DC6A3F1" w14:textId="77777777" w:rsidTr="000465E8">
        <w:tc>
          <w:tcPr>
            <w:tcW w:w="1104" w:type="dxa"/>
          </w:tcPr>
          <w:p w14:paraId="48B206EC" w14:textId="77777777" w:rsidR="000676F2" w:rsidRPr="005C46A2" w:rsidRDefault="000676F2" w:rsidP="00495C74">
            <w:pPr>
              <w:spacing w:line="240" w:lineRule="auto"/>
              <w:jc w:val="both"/>
              <w:rPr>
                <w:rFonts w:eastAsia="Calibri"/>
                <w:sz w:val="22"/>
                <w:szCs w:val="22"/>
              </w:rPr>
            </w:pPr>
          </w:p>
        </w:tc>
        <w:tc>
          <w:tcPr>
            <w:tcW w:w="7912" w:type="dxa"/>
            <w:gridSpan w:val="7"/>
          </w:tcPr>
          <w:p w14:paraId="70C05696"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Pacific FAOs?</w:t>
            </w:r>
          </w:p>
        </w:tc>
      </w:tr>
      <w:tr w:rsidR="000676F2" w:rsidRPr="005C46A2" w14:paraId="5DB90AB3" w14:textId="77777777" w:rsidTr="000676F2">
        <w:tc>
          <w:tcPr>
            <w:tcW w:w="1104" w:type="dxa"/>
            <w:shd w:val="clear" w:color="auto" w:fill="D9D9D9"/>
          </w:tcPr>
          <w:p w14:paraId="688C1A4F"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2" w:type="dxa"/>
            <w:shd w:val="clear" w:color="auto" w:fill="D9D9D9"/>
          </w:tcPr>
          <w:p w14:paraId="61DA26A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0909F2B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42" w:type="dxa"/>
            <w:shd w:val="clear" w:color="auto" w:fill="D9D9D9"/>
          </w:tcPr>
          <w:p w14:paraId="5DB04D3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4F8EF37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294" w:type="dxa"/>
            <w:shd w:val="clear" w:color="auto" w:fill="D9D9D9"/>
          </w:tcPr>
          <w:p w14:paraId="3A1E4CA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376FA69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57" w:type="dxa"/>
            <w:shd w:val="clear" w:color="auto" w:fill="D9D9D9"/>
          </w:tcPr>
          <w:p w14:paraId="5157D03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30DBBF8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2" w:type="dxa"/>
            <w:shd w:val="clear" w:color="auto" w:fill="D9D9D9"/>
          </w:tcPr>
          <w:p w14:paraId="794E4C1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4BCA103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193" w:type="dxa"/>
            <w:shd w:val="clear" w:color="auto" w:fill="D9D9D9"/>
          </w:tcPr>
          <w:p w14:paraId="21DC92D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25FA879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42" w:type="dxa"/>
            <w:shd w:val="clear" w:color="auto" w:fill="D9D9D9"/>
          </w:tcPr>
          <w:p w14:paraId="17318AB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62A48CC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582900D5" w14:textId="77777777" w:rsidTr="000465E8">
        <w:tc>
          <w:tcPr>
            <w:tcW w:w="1104" w:type="dxa"/>
          </w:tcPr>
          <w:p w14:paraId="1EDC6A84" w14:textId="77777777" w:rsidR="000676F2" w:rsidRPr="005C46A2" w:rsidRDefault="000676F2" w:rsidP="00495C74">
            <w:pPr>
              <w:spacing w:line="240" w:lineRule="auto"/>
              <w:jc w:val="both"/>
              <w:rPr>
                <w:rFonts w:eastAsia="Calibri"/>
                <w:sz w:val="22"/>
                <w:szCs w:val="22"/>
              </w:rPr>
            </w:pPr>
          </w:p>
        </w:tc>
        <w:tc>
          <w:tcPr>
            <w:tcW w:w="7912" w:type="dxa"/>
            <w:gridSpan w:val="7"/>
          </w:tcPr>
          <w:p w14:paraId="08EF1C9A"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Pacific FAOs?</w:t>
            </w:r>
          </w:p>
        </w:tc>
      </w:tr>
      <w:tr w:rsidR="000676F2" w:rsidRPr="005C46A2" w14:paraId="40F14DBF" w14:textId="77777777" w:rsidTr="000676F2">
        <w:tc>
          <w:tcPr>
            <w:tcW w:w="1104" w:type="dxa"/>
            <w:shd w:val="clear" w:color="auto" w:fill="D9D9D9"/>
          </w:tcPr>
          <w:p w14:paraId="3811D0C2"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2" w:type="dxa"/>
            <w:shd w:val="clear" w:color="auto" w:fill="D9D9D9"/>
          </w:tcPr>
          <w:p w14:paraId="1E82731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0D86710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2" w:type="dxa"/>
            <w:shd w:val="clear" w:color="auto" w:fill="D9D9D9"/>
          </w:tcPr>
          <w:p w14:paraId="79AA14E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0CF1683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294" w:type="dxa"/>
            <w:shd w:val="clear" w:color="auto" w:fill="D9D9D9"/>
          </w:tcPr>
          <w:p w14:paraId="2438E98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3663425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57" w:type="dxa"/>
            <w:shd w:val="clear" w:color="auto" w:fill="D9D9D9"/>
          </w:tcPr>
          <w:p w14:paraId="18F6130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334599B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2" w:type="dxa"/>
            <w:shd w:val="clear" w:color="auto" w:fill="D9D9D9"/>
          </w:tcPr>
          <w:p w14:paraId="1026B99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38AB24A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193" w:type="dxa"/>
            <w:shd w:val="clear" w:color="auto" w:fill="D9D9D9"/>
          </w:tcPr>
          <w:p w14:paraId="18AA277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52B898F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42" w:type="dxa"/>
            <w:shd w:val="clear" w:color="auto" w:fill="D9D9D9"/>
          </w:tcPr>
          <w:p w14:paraId="0ED0C69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7A5F9C0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044081D1" w14:textId="77777777" w:rsidR="000676F2" w:rsidRPr="005C46A2" w:rsidRDefault="000676F2" w:rsidP="00495C74">
      <w:pPr>
        <w:spacing w:line="259" w:lineRule="auto"/>
        <w:jc w:val="both"/>
        <w:rPr>
          <w:rFonts w:eastAsia="Calibri"/>
          <w:sz w:val="22"/>
          <w:szCs w:val="22"/>
        </w:rPr>
      </w:pPr>
    </w:p>
    <w:tbl>
      <w:tblPr>
        <w:tblStyle w:val="TableGrid"/>
        <w:tblW w:w="0" w:type="auto"/>
        <w:tblLook w:val="04A0" w:firstRow="1" w:lastRow="0" w:firstColumn="1" w:lastColumn="0" w:noHBand="0" w:noVBand="1"/>
      </w:tblPr>
      <w:tblGrid>
        <w:gridCol w:w="1037"/>
        <w:gridCol w:w="1127"/>
        <w:gridCol w:w="1153"/>
        <w:gridCol w:w="1302"/>
        <w:gridCol w:w="889"/>
        <w:gridCol w:w="1153"/>
        <w:gridCol w:w="1202"/>
        <w:gridCol w:w="1153"/>
      </w:tblGrid>
      <w:tr w:rsidR="000676F2" w:rsidRPr="005C46A2" w14:paraId="507BF0E8" w14:textId="77777777" w:rsidTr="000465E8">
        <w:tc>
          <w:tcPr>
            <w:tcW w:w="1037" w:type="dxa"/>
          </w:tcPr>
          <w:p w14:paraId="39C0D1D8" w14:textId="77777777" w:rsidR="000676F2" w:rsidRPr="005C46A2" w:rsidRDefault="000676F2" w:rsidP="00495C74">
            <w:pPr>
              <w:spacing w:line="240" w:lineRule="auto"/>
              <w:jc w:val="both"/>
              <w:rPr>
                <w:rFonts w:eastAsia="Calibri"/>
                <w:sz w:val="22"/>
                <w:szCs w:val="22"/>
              </w:rPr>
            </w:pPr>
          </w:p>
        </w:tc>
        <w:tc>
          <w:tcPr>
            <w:tcW w:w="7979" w:type="dxa"/>
            <w:gridSpan w:val="7"/>
          </w:tcPr>
          <w:p w14:paraId="353F17AC"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Asian FAOs?</w:t>
            </w:r>
          </w:p>
        </w:tc>
      </w:tr>
      <w:tr w:rsidR="000676F2" w:rsidRPr="005C46A2" w14:paraId="6B1CAA62" w14:textId="77777777" w:rsidTr="000676F2">
        <w:tc>
          <w:tcPr>
            <w:tcW w:w="1037" w:type="dxa"/>
            <w:shd w:val="clear" w:color="auto" w:fill="D9D9D9"/>
          </w:tcPr>
          <w:p w14:paraId="3DD5E2CD"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27" w:type="dxa"/>
            <w:shd w:val="clear" w:color="auto" w:fill="D9D9D9"/>
          </w:tcPr>
          <w:p w14:paraId="516AA93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03EB700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53" w:type="dxa"/>
            <w:shd w:val="clear" w:color="auto" w:fill="D9D9D9"/>
          </w:tcPr>
          <w:p w14:paraId="7A35F22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029840D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302" w:type="dxa"/>
            <w:shd w:val="clear" w:color="auto" w:fill="D9D9D9"/>
          </w:tcPr>
          <w:p w14:paraId="25FCADF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69AA63C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89" w:type="dxa"/>
            <w:shd w:val="clear" w:color="auto" w:fill="D9D9D9"/>
          </w:tcPr>
          <w:p w14:paraId="48C2969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6C19169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53" w:type="dxa"/>
            <w:shd w:val="clear" w:color="auto" w:fill="D9D9D9"/>
          </w:tcPr>
          <w:p w14:paraId="1985A8D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37AAA98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202" w:type="dxa"/>
            <w:shd w:val="clear" w:color="auto" w:fill="D9D9D9"/>
          </w:tcPr>
          <w:p w14:paraId="29376C9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4E4D21E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53" w:type="dxa"/>
            <w:shd w:val="clear" w:color="auto" w:fill="D9D9D9"/>
          </w:tcPr>
          <w:p w14:paraId="0019DD2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7B46EDC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23F8C8A2" w14:textId="77777777" w:rsidTr="000465E8">
        <w:tc>
          <w:tcPr>
            <w:tcW w:w="1037" w:type="dxa"/>
          </w:tcPr>
          <w:p w14:paraId="45C156FB" w14:textId="77777777" w:rsidR="000676F2" w:rsidRPr="005C46A2" w:rsidRDefault="000676F2" w:rsidP="00495C74">
            <w:pPr>
              <w:spacing w:line="240" w:lineRule="auto"/>
              <w:jc w:val="both"/>
              <w:rPr>
                <w:rFonts w:eastAsia="Calibri"/>
                <w:sz w:val="22"/>
                <w:szCs w:val="22"/>
              </w:rPr>
            </w:pPr>
          </w:p>
        </w:tc>
        <w:tc>
          <w:tcPr>
            <w:tcW w:w="7979" w:type="dxa"/>
            <w:gridSpan w:val="7"/>
          </w:tcPr>
          <w:p w14:paraId="2532ABE2"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Asian FAOs?</w:t>
            </w:r>
          </w:p>
        </w:tc>
      </w:tr>
      <w:tr w:rsidR="000676F2" w:rsidRPr="005C46A2" w14:paraId="31759482" w14:textId="77777777" w:rsidTr="000676F2">
        <w:tc>
          <w:tcPr>
            <w:tcW w:w="1037" w:type="dxa"/>
            <w:shd w:val="clear" w:color="auto" w:fill="D9D9D9"/>
          </w:tcPr>
          <w:p w14:paraId="1A35A5ED"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27" w:type="dxa"/>
            <w:shd w:val="clear" w:color="auto" w:fill="D9D9D9"/>
          </w:tcPr>
          <w:p w14:paraId="172B3BF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70A8DF9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53" w:type="dxa"/>
            <w:shd w:val="clear" w:color="auto" w:fill="D9D9D9"/>
          </w:tcPr>
          <w:p w14:paraId="199610F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2D1602F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302" w:type="dxa"/>
            <w:shd w:val="clear" w:color="auto" w:fill="D9D9D9"/>
          </w:tcPr>
          <w:p w14:paraId="407D784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287C29D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89" w:type="dxa"/>
            <w:shd w:val="clear" w:color="auto" w:fill="D9D9D9"/>
          </w:tcPr>
          <w:p w14:paraId="3E5ED69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575BD18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53" w:type="dxa"/>
            <w:shd w:val="clear" w:color="auto" w:fill="D9D9D9"/>
          </w:tcPr>
          <w:p w14:paraId="7882CE8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4D394B9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202" w:type="dxa"/>
            <w:shd w:val="clear" w:color="auto" w:fill="D9D9D9"/>
          </w:tcPr>
          <w:p w14:paraId="2A1584C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16944EA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 xml:space="preserve">Effective </w:t>
            </w:r>
          </w:p>
        </w:tc>
        <w:tc>
          <w:tcPr>
            <w:tcW w:w="1153" w:type="dxa"/>
            <w:shd w:val="clear" w:color="auto" w:fill="D9D9D9"/>
          </w:tcPr>
          <w:p w14:paraId="5299BCD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6EEDBCE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06CF12ED" w14:textId="77777777" w:rsidR="000676F2" w:rsidRPr="005C46A2" w:rsidRDefault="000676F2" w:rsidP="00495C74">
      <w:pPr>
        <w:spacing w:line="259" w:lineRule="auto"/>
        <w:jc w:val="both"/>
        <w:rPr>
          <w:rFonts w:eastAsia="Calibri"/>
          <w:sz w:val="22"/>
          <w:szCs w:val="22"/>
        </w:rPr>
      </w:pPr>
    </w:p>
    <w:tbl>
      <w:tblPr>
        <w:tblStyle w:val="TableGrid"/>
        <w:tblW w:w="0" w:type="auto"/>
        <w:tblLayout w:type="fixed"/>
        <w:tblLook w:val="04A0" w:firstRow="1" w:lastRow="0" w:firstColumn="1" w:lastColumn="0" w:noHBand="0" w:noVBand="1"/>
      </w:tblPr>
      <w:tblGrid>
        <w:gridCol w:w="1075"/>
        <w:gridCol w:w="1132"/>
        <w:gridCol w:w="1131"/>
        <w:gridCol w:w="1285"/>
        <w:gridCol w:w="826"/>
        <w:gridCol w:w="1131"/>
        <w:gridCol w:w="1245"/>
        <w:gridCol w:w="1191"/>
      </w:tblGrid>
      <w:tr w:rsidR="000676F2" w:rsidRPr="005C46A2" w14:paraId="2A5F504F" w14:textId="77777777" w:rsidTr="000465E8">
        <w:tc>
          <w:tcPr>
            <w:tcW w:w="1075" w:type="dxa"/>
          </w:tcPr>
          <w:p w14:paraId="5115BD74" w14:textId="77777777" w:rsidR="000676F2" w:rsidRPr="005C46A2" w:rsidRDefault="000676F2" w:rsidP="00495C74">
            <w:pPr>
              <w:spacing w:line="240" w:lineRule="auto"/>
              <w:jc w:val="both"/>
              <w:rPr>
                <w:rFonts w:eastAsia="Calibri"/>
                <w:sz w:val="22"/>
                <w:szCs w:val="22"/>
              </w:rPr>
            </w:pPr>
          </w:p>
        </w:tc>
        <w:tc>
          <w:tcPr>
            <w:tcW w:w="7941" w:type="dxa"/>
            <w:gridSpan w:val="7"/>
          </w:tcPr>
          <w:p w14:paraId="4A11DD30"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minority or other indigenous FAOs?</w:t>
            </w:r>
          </w:p>
        </w:tc>
      </w:tr>
      <w:tr w:rsidR="000676F2" w:rsidRPr="005C46A2" w14:paraId="56AC7E3D" w14:textId="77777777" w:rsidTr="000676F2">
        <w:tc>
          <w:tcPr>
            <w:tcW w:w="1075" w:type="dxa"/>
            <w:shd w:val="clear" w:color="auto" w:fill="D9D9D9"/>
          </w:tcPr>
          <w:p w14:paraId="2598A052"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32" w:type="dxa"/>
            <w:shd w:val="clear" w:color="auto" w:fill="D9D9D9"/>
          </w:tcPr>
          <w:p w14:paraId="6B4B376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3F99BE3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31" w:type="dxa"/>
            <w:shd w:val="clear" w:color="auto" w:fill="D9D9D9"/>
          </w:tcPr>
          <w:p w14:paraId="0824172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6B9A249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285" w:type="dxa"/>
            <w:shd w:val="clear" w:color="auto" w:fill="D9D9D9"/>
          </w:tcPr>
          <w:p w14:paraId="137994E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3A51839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26" w:type="dxa"/>
            <w:shd w:val="clear" w:color="auto" w:fill="D9D9D9"/>
          </w:tcPr>
          <w:p w14:paraId="6431D10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662CFAF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31" w:type="dxa"/>
            <w:shd w:val="clear" w:color="auto" w:fill="D9D9D9"/>
          </w:tcPr>
          <w:p w14:paraId="66A3E3F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386E451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245" w:type="dxa"/>
            <w:shd w:val="clear" w:color="auto" w:fill="D9D9D9"/>
          </w:tcPr>
          <w:p w14:paraId="795D579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 Appropriate</w:t>
            </w:r>
          </w:p>
        </w:tc>
        <w:tc>
          <w:tcPr>
            <w:tcW w:w="1191" w:type="dxa"/>
            <w:shd w:val="clear" w:color="auto" w:fill="D9D9D9"/>
          </w:tcPr>
          <w:p w14:paraId="0CF5828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419D9D6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1C304DEA" w14:textId="77777777" w:rsidTr="000465E8">
        <w:tc>
          <w:tcPr>
            <w:tcW w:w="1075" w:type="dxa"/>
          </w:tcPr>
          <w:p w14:paraId="3273D3BC" w14:textId="77777777" w:rsidR="000676F2" w:rsidRPr="005C46A2" w:rsidRDefault="000676F2" w:rsidP="00495C74">
            <w:pPr>
              <w:spacing w:line="240" w:lineRule="auto"/>
              <w:jc w:val="both"/>
              <w:rPr>
                <w:rFonts w:eastAsia="Calibri"/>
                <w:sz w:val="22"/>
                <w:szCs w:val="22"/>
              </w:rPr>
            </w:pPr>
          </w:p>
        </w:tc>
        <w:tc>
          <w:tcPr>
            <w:tcW w:w="7941" w:type="dxa"/>
            <w:gridSpan w:val="7"/>
          </w:tcPr>
          <w:p w14:paraId="208EAA84"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other minority or other indigenous FAOs?</w:t>
            </w:r>
          </w:p>
        </w:tc>
      </w:tr>
      <w:tr w:rsidR="000676F2" w:rsidRPr="005C46A2" w14:paraId="1CD5B6F0" w14:textId="77777777" w:rsidTr="000676F2">
        <w:tc>
          <w:tcPr>
            <w:tcW w:w="1075" w:type="dxa"/>
            <w:shd w:val="clear" w:color="auto" w:fill="D9D9D9"/>
          </w:tcPr>
          <w:p w14:paraId="0429DA2F" w14:textId="77777777" w:rsidR="000676F2" w:rsidRPr="005C46A2" w:rsidRDefault="000676F2" w:rsidP="00495C74">
            <w:pPr>
              <w:spacing w:line="240" w:lineRule="auto"/>
              <w:jc w:val="both"/>
              <w:rPr>
                <w:rFonts w:eastAsia="Calibri"/>
                <w:b/>
                <w:bCs/>
                <w:sz w:val="20"/>
                <w:szCs w:val="20"/>
              </w:rPr>
            </w:pPr>
            <w:r w:rsidRPr="005C46A2">
              <w:rPr>
                <w:rFonts w:eastAsia="Calibri"/>
                <w:b/>
                <w:bCs/>
                <w:sz w:val="20"/>
                <w:szCs w:val="20"/>
              </w:rPr>
              <w:lastRenderedPageBreak/>
              <w:t>Unsure</w:t>
            </w:r>
          </w:p>
        </w:tc>
        <w:tc>
          <w:tcPr>
            <w:tcW w:w="1132" w:type="dxa"/>
            <w:shd w:val="clear" w:color="auto" w:fill="D9D9D9"/>
          </w:tcPr>
          <w:p w14:paraId="54A3FE3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325B4B5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31" w:type="dxa"/>
            <w:shd w:val="clear" w:color="auto" w:fill="D9D9D9"/>
          </w:tcPr>
          <w:p w14:paraId="7366CCA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49C71B4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285" w:type="dxa"/>
            <w:shd w:val="clear" w:color="auto" w:fill="D9D9D9"/>
          </w:tcPr>
          <w:p w14:paraId="766D8A1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6358844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26" w:type="dxa"/>
            <w:shd w:val="clear" w:color="auto" w:fill="D9D9D9"/>
          </w:tcPr>
          <w:p w14:paraId="55D6860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21E1BC2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31" w:type="dxa"/>
            <w:shd w:val="clear" w:color="auto" w:fill="D9D9D9"/>
          </w:tcPr>
          <w:p w14:paraId="6BFAE6D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1376064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245" w:type="dxa"/>
            <w:shd w:val="clear" w:color="auto" w:fill="D9D9D9"/>
          </w:tcPr>
          <w:p w14:paraId="31DB41D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43796E2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91" w:type="dxa"/>
            <w:shd w:val="clear" w:color="auto" w:fill="D9D9D9"/>
          </w:tcPr>
          <w:p w14:paraId="2482DB7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4B29C77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4DD7CA16" w14:textId="77777777" w:rsidR="000676F2" w:rsidRPr="005C46A2" w:rsidRDefault="000676F2" w:rsidP="00495C74">
      <w:pPr>
        <w:spacing w:line="259" w:lineRule="auto"/>
        <w:jc w:val="both"/>
        <w:rPr>
          <w:rFonts w:eastAsia="Calibri"/>
          <w:sz w:val="20"/>
          <w:szCs w:val="20"/>
        </w:rPr>
      </w:pPr>
    </w:p>
    <w:p w14:paraId="6A7090F8" w14:textId="77777777" w:rsidR="000676F2" w:rsidRPr="005C46A2" w:rsidRDefault="000676F2" w:rsidP="00495C74">
      <w:pPr>
        <w:spacing w:line="259" w:lineRule="auto"/>
        <w:jc w:val="both"/>
        <w:rPr>
          <w:rFonts w:eastAsia="Calibri"/>
          <w:sz w:val="20"/>
          <w:szCs w:val="20"/>
        </w:rPr>
      </w:pPr>
      <w:r w:rsidRPr="005C46A2">
        <w:rPr>
          <w:rFonts w:eastAsia="Calibri"/>
          <w:sz w:val="20"/>
          <w:szCs w:val="20"/>
        </w:rPr>
        <w:t>What are your thoughts on this approach when working with culturally diverse and/or minority communities?</w:t>
      </w:r>
    </w:p>
    <w:tbl>
      <w:tblPr>
        <w:tblStyle w:val="TableGrid"/>
        <w:tblW w:w="0" w:type="auto"/>
        <w:tblLook w:val="04A0" w:firstRow="1" w:lastRow="0" w:firstColumn="1" w:lastColumn="0" w:noHBand="0" w:noVBand="1"/>
      </w:tblPr>
      <w:tblGrid>
        <w:gridCol w:w="9016"/>
      </w:tblGrid>
      <w:tr w:rsidR="000676F2" w:rsidRPr="005C46A2" w14:paraId="576B8392" w14:textId="77777777" w:rsidTr="000465E8">
        <w:tc>
          <w:tcPr>
            <w:tcW w:w="9016" w:type="dxa"/>
          </w:tcPr>
          <w:p w14:paraId="7B767845" w14:textId="77777777" w:rsidR="000676F2" w:rsidRPr="005C46A2" w:rsidRDefault="000676F2" w:rsidP="00495C74">
            <w:pPr>
              <w:spacing w:line="240" w:lineRule="auto"/>
              <w:jc w:val="both"/>
              <w:rPr>
                <w:rFonts w:eastAsia="Calibri"/>
                <w:sz w:val="20"/>
                <w:szCs w:val="20"/>
              </w:rPr>
            </w:pPr>
          </w:p>
          <w:p w14:paraId="0AF0EAC7" w14:textId="77777777" w:rsidR="000676F2" w:rsidRPr="005C46A2" w:rsidRDefault="000676F2" w:rsidP="00495C74">
            <w:pPr>
              <w:spacing w:line="240" w:lineRule="auto"/>
              <w:jc w:val="both"/>
              <w:rPr>
                <w:rFonts w:eastAsia="Calibri"/>
                <w:sz w:val="20"/>
                <w:szCs w:val="20"/>
              </w:rPr>
            </w:pPr>
          </w:p>
        </w:tc>
      </w:tr>
    </w:tbl>
    <w:p w14:paraId="52A3697B" w14:textId="77777777" w:rsidR="000676F2" w:rsidRPr="005C46A2" w:rsidRDefault="000676F2" w:rsidP="00495C74">
      <w:pPr>
        <w:pBdr>
          <w:bottom w:val="single" w:sz="12" w:space="1" w:color="auto"/>
        </w:pBdr>
        <w:spacing w:line="259" w:lineRule="auto"/>
        <w:jc w:val="both"/>
        <w:rPr>
          <w:rFonts w:eastAsia="Calibri"/>
          <w:sz w:val="22"/>
          <w:szCs w:val="22"/>
        </w:rPr>
      </w:pPr>
    </w:p>
    <w:p w14:paraId="62126DAC" w14:textId="77777777" w:rsidR="000676F2" w:rsidRPr="005C46A2" w:rsidRDefault="000676F2" w:rsidP="00495C74">
      <w:pPr>
        <w:spacing w:line="259" w:lineRule="auto"/>
        <w:jc w:val="both"/>
        <w:rPr>
          <w:rFonts w:eastAsia="Calibri"/>
          <w:b/>
          <w:bCs/>
          <w:i/>
          <w:iCs/>
          <w:sz w:val="20"/>
          <w:szCs w:val="20"/>
        </w:rPr>
      </w:pPr>
      <w:r w:rsidRPr="005C46A2">
        <w:rPr>
          <w:rFonts w:eastAsia="Calibri"/>
          <w:b/>
          <w:bCs/>
          <w:i/>
          <w:iCs/>
          <w:sz w:val="20"/>
          <w:szCs w:val="20"/>
        </w:rPr>
        <w:t>PAGE 11</w:t>
      </w:r>
    </w:p>
    <w:p w14:paraId="78063F17" w14:textId="77777777" w:rsidR="000676F2" w:rsidRPr="005C46A2" w:rsidRDefault="000676F2" w:rsidP="00495C74">
      <w:pPr>
        <w:spacing w:line="259" w:lineRule="auto"/>
        <w:jc w:val="both"/>
        <w:rPr>
          <w:rFonts w:eastAsia="Calibri"/>
          <w:i/>
          <w:iCs/>
          <w:sz w:val="22"/>
          <w:szCs w:val="22"/>
        </w:rPr>
      </w:pPr>
      <w:r w:rsidRPr="005C46A2">
        <w:rPr>
          <w:rFonts w:eastAsia="Calibri"/>
          <w:i/>
          <w:iCs/>
          <w:sz w:val="22"/>
          <w:szCs w:val="22"/>
        </w:rPr>
        <w:t>Central to approach: Supporting FAOs to influence the individual with problematic gambling to change or engage in treatment will improve the outcomes for the FAO.</w:t>
      </w:r>
    </w:p>
    <w:p w14:paraId="22AF4CDE" w14:textId="77777777" w:rsidR="000676F2" w:rsidRPr="005C46A2" w:rsidRDefault="000676F2" w:rsidP="00495C74">
      <w:pPr>
        <w:spacing w:line="259" w:lineRule="auto"/>
        <w:ind w:left="6480"/>
        <w:jc w:val="both"/>
        <w:rPr>
          <w:rFonts w:eastAsia="Calibri"/>
          <w:sz w:val="20"/>
          <w:szCs w:val="20"/>
        </w:rPr>
      </w:pPr>
      <w:r w:rsidRPr="005C46A2">
        <w:rPr>
          <w:rFonts w:eastAsia="Calibri"/>
          <w:sz w:val="20"/>
          <w:szCs w:val="20"/>
        </w:rPr>
        <w:t>(</w:t>
      </w:r>
      <w:r w:rsidRPr="005C46A2">
        <w:rPr>
          <w:rFonts w:eastAsia="Calibri"/>
          <w:i/>
          <w:iCs/>
          <w:sz w:val="16"/>
          <w:szCs w:val="16"/>
        </w:rPr>
        <w:t>Likert question compulsory</w:t>
      </w:r>
      <w:r w:rsidRPr="005C46A2">
        <w:rPr>
          <w:rFonts w:eastAsia="Calibri"/>
          <w:sz w:val="20"/>
          <w:szCs w:val="20"/>
        </w:rPr>
        <w:t>)</w:t>
      </w:r>
    </w:p>
    <w:tbl>
      <w:tblPr>
        <w:tblStyle w:val="TableGrid"/>
        <w:tblW w:w="0" w:type="auto"/>
        <w:tblLayout w:type="fixed"/>
        <w:tblLook w:val="04A0" w:firstRow="1" w:lastRow="0" w:firstColumn="1" w:lastColumn="0" w:noHBand="0" w:noVBand="1"/>
      </w:tblPr>
      <w:tblGrid>
        <w:gridCol w:w="1075"/>
        <w:gridCol w:w="1980"/>
        <w:gridCol w:w="3870"/>
        <w:gridCol w:w="2091"/>
      </w:tblGrid>
      <w:tr w:rsidR="000676F2" w:rsidRPr="005C46A2" w14:paraId="2700B1C4" w14:textId="77777777" w:rsidTr="000465E8">
        <w:tc>
          <w:tcPr>
            <w:tcW w:w="1075" w:type="dxa"/>
            <w:tcBorders>
              <w:bottom w:val="single" w:sz="4" w:space="0" w:color="auto"/>
            </w:tcBorders>
          </w:tcPr>
          <w:p w14:paraId="3A24AFB3" w14:textId="77777777" w:rsidR="000676F2" w:rsidRPr="005C46A2" w:rsidRDefault="000676F2" w:rsidP="00495C74">
            <w:pPr>
              <w:spacing w:line="240" w:lineRule="auto"/>
              <w:jc w:val="both"/>
              <w:rPr>
                <w:rFonts w:eastAsia="Calibri"/>
                <w:sz w:val="22"/>
                <w:szCs w:val="22"/>
              </w:rPr>
            </w:pPr>
          </w:p>
        </w:tc>
        <w:tc>
          <w:tcPr>
            <w:tcW w:w="7941" w:type="dxa"/>
            <w:gridSpan w:val="3"/>
            <w:tcBorders>
              <w:bottom w:val="single" w:sz="4" w:space="0" w:color="auto"/>
            </w:tcBorders>
          </w:tcPr>
          <w:p w14:paraId="2C7531B5" w14:textId="77777777" w:rsidR="000676F2" w:rsidRPr="005C46A2" w:rsidRDefault="000676F2" w:rsidP="00495C74">
            <w:pPr>
              <w:spacing w:line="240" w:lineRule="auto"/>
              <w:jc w:val="both"/>
              <w:rPr>
                <w:rFonts w:eastAsia="Calibri"/>
                <w:i/>
                <w:iCs/>
                <w:sz w:val="22"/>
                <w:szCs w:val="22"/>
              </w:rPr>
            </w:pPr>
            <w:r w:rsidRPr="005C46A2">
              <w:rPr>
                <w:rFonts w:eastAsia="Calibri"/>
                <w:sz w:val="22"/>
                <w:szCs w:val="22"/>
              </w:rPr>
              <w:t>To what extent should services be oriented/designed to support FAOs to influence the individual who is gambling? (</w:t>
            </w:r>
            <w:r w:rsidRPr="005C46A2">
              <w:rPr>
                <w:rFonts w:eastAsia="Calibri"/>
                <w:i/>
                <w:iCs/>
                <w:sz w:val="22"/>
                <w:szCs w:val="22"/>
              </w:rPr>
              <w:t>move the slider along the scale)</w:t>
            </w:r>
          </w:p>
        </w:tc>
      </w:tr>
      <w:tr w:rsidR="000676F2" w:rsidRPr="005C46A2" w14:paraId="6025817E" w14:textId="77777777" w:rsidTr="000676F2">
        <w:tc>
          <w:tcPr>
            <w:tcW w:w="1075" w:type="dxa"/>
            <w:tcBorders>
              <w:bottom w:val="nil"/>
            </w:tcBorders>
            <w:shd w:val="clear" w:color="auto" w:fill="D9D9D9"/>
          </w:tcPr>
          <w:p w14:paraId="60B06AD7"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980" w:type="dxa"/>
            <w:tcBorders>
              <w:bottom w:val="nil"/>
              <w:right w:val="nil"/>
            </w:tcBorders>
            <w:shd w:val="clear" w:color="auto" w:fill="D9D9D9"/>
          </w:tcPr>
          <w:p w14:paraId="6AFFB49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6EC0C43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 xml:space="preserve">Not at all designed / orientated in this way </w:t>
            </w:r>
          </w:p>
        </w:tc>
        <w:tc>
          <w:tcPr>
            <w:tcW w:w="3870" w:type="dxa"/>
            <w:tcBorders>
              <w:left w:val="nil"/>
              <w:bottom w:val="nil"/>
              <w:right w:val="nil"/>
            </w:tcBorders>
            <w:shd w:val="clear" w:color="auto" w:fill="D9D9D9"/>
          </w:tcPr>
          <w:p w14:paraId="7433B85C" w14:textId="77777777" w:rsidR="000676F2" w:rsidRPr="005C46A2" w:rsidRDefault="000676F2" w:rsidP="00495C74">
            <w:pPr>
              <w:spacing w:line="240" w:lineRule="auto"/>
              <w:jc w:val="both"/>
              <w:rPr>
                <w:rFonts w:eastAsia="Calibri"/>
                <w:sz w:val="20"/>
                <w:szCs w:val="20"/>
              </w:rPr>
            </w:pPr>
          </w:p>
        </w:tc>
        <w:tc>
          <w:tcPr>
            <w:tcW w:w="2091" w:type="dxa"/>
            <w:tcBorders>
              <w:left w:val="nil"/>
              <w:bottom w:val="nil"/>
            </w:tcBorders>
            <w:shd w:val="clear" w:color="auto" w:fill="D9D9D9"/>
          </w:tcPr>
          <w:p w14:paraId="7F34878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1D40F5E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Completely designed / orientated in this way</w:t>
            </w:r>
          </w:p>
        </w:tc>
      </w:tr>
      <w:tr w:rsidR="000676F2" w:rsidRPr="005C46A2" w14:paraId="523AB565" w14:textId="77777777" w:rsidTr="000676F2">
        <w:tc>
          <w:tcPr>
            <w:tcW w:w="1075" w:type="dxa"/>
            <w:tcBorders>
              <w:top w:val="nil"/>
            </w:tcBorders>
            <w:shd w:val="clear" w:color="auto" w:fill="D9D9D9"/>
          </w:tcPr>
          <w:p w14:paraId="19E5A6ED" w14:textId="77777777" w:rsidR="000676F2" w:rsidRPr="005C46A2" w:rsidRDefault="000676F2" w:rsidP="00495C74">
            <w:pPr>
              <w:spacing w:line="240" w:lineRule="auto"/>
              <w:jc w:val="both"/>
              <w:rPr>
                <w:rFonts w:eastAsia="Calibri"/>
                <w:b/>
                <w:bCs/>
                <w:sz w:val="20"/>
                <w:szCs w:val="20"/>
              </w:rPr>
            </w:pPr>
          </w:p>
          <w:p w14:paraId="1A419802" w14:textId="77777777" w:rsidR="000676F2" w:rsidRPr="005C46A2" w:rsidRDefault="000676F2" w:rsidP="00495C74">
            <w:pPr>
              <w:spacing w:line="240" w:lineRule="auto"/>
              <w:jc w:val="both"/>
              <w:rPr>
                <w:rFonts w:eastAsia="Calibri"/>
                <w:b/>
                <w:bCs/>
                <w:sz w:val="20"/>
                <w:szCs w:val="20"/>
              </w:rPr>
            </w:pPr>
          </w:p>
        </w:tc>
        <w:tc>
          <w:tcPr>
            <w:tcW w:w="7941" w:type="dxa"/>
            <w:gridSpan w:val="3"/>
            <w:tcBorders>
              <w:top w:val="nil"/>
            </w:tcBorders>
            <w:shd w:val="clear" w:color="auto" w:fill="D9D9D9"/>
          </w:tcPr>
          <w:p w14:paraId="61714A42" w14:textId="77777777" w:rsidR="000676F2" w:rsidRPr="005C46A2" w:rsidRDefault="000676F2" w:rsidP="00495C74">
            <w:pPr>
              <w:spacing w:line="240" w:lineRule="auto"/>
              <w:jc w:val="both"/>
              <w:rPr>
                <w:rFonts w:eastAsia="Calibri"/>
                <w:sz w:val="20"/>
                <w:szCs w:val="20"/>
              </w:rPr>
            </w:pPr>
            <w:r w:rsidRPr="005C46A2">
              <w:rPr>
                <w:rFonts w:eastAsia="Calibri"/>
                <w:noProof/>
                <w:sz w:val="20"/>
                <w:szCs w:val="20"/>
              </w:rPr>
              <mc:AlternateContent>
                <mc:Choice Requires="wps">
                  <w:drawing>
                    <wp:anchor distT="0" distB="0" distL="114300" distR="114300" simplePos="0" relativeHeight="251659264" behindDoc="0" locked="0" layoutInCell="1" allowOverlap="1" wp14:anchorId="30E5D39A" wp14:editId="7BF38CB0">
                      <wp:simplePos x="0" y="0"/>
                      <wp:positionH relativeFrom="column">
                        <wp:posOffset>207729</wp:posOffset>
                      </wp:positionH>
                      <wp:positionV relativeFrom="paragraph">
                        <wp:posOffset>121120</wp:posOffset>
                      </wp:positionV>
                      <wp:extent cx="4558830" cy="45719"/>
                      <wp:effectExtent l="19050" t="19050" r="32385" b="31115"/>
                      <wp:wrapNone/>
                      <wp:docPr id="3" name="Arrow: Left-Right 3"/>
                      <wp:cNvGraphicFramePr/>
                      <a:graphic xmlns:a="http://schemas.openxmlformats.org/drawingml/2006/main">
                        <a:graphicData uri="http://schemas.microsoft.com/office/word/2010/wordprocessingShape">
                          <wps:wsp>
                            <wps:cNvSpPr/>
                            <wps:spPr>
                              <a:xfrm>
                                <a:off x="0" y="0"/>
                                <a:ext cx="4558830" cy="45719"/>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AA0D8E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3" o:spid="_x0000_s1026" type="#_x0000_t69" style="position:absolute;margin-left:16.35pt;margin-top:9.55pt;width:358.9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" adj="108" fillcolor="windowText" strokeweight="1pt"/>
                  </w:pict>
                </mc:Fallback>
              </mc:AlternateContent>
            </w:r>
            <w:r w:rsidRPr="005C46A2">
              <w:rPr>
                <w:rFonts w:eastAsia="Calibri"/>
                <w:noProof/>
                <w:sz w:val="20"/>
                <w:szCs w:val="20"/>
              </w:rPr>
              <mc:AlternateContent>
                <mc:Choice Requires="wps">
                  <w:drawing>
                    <wp:anchor distT="0" distB="0" distL="114300" distR="114300" simplePos="0" relativeHeight="251660288" behindDoc="0" locked="0" layoutInCell="1" allowOverlap="1" wp14:anchorId="496942A9" wp14:editId="662F17A5">
                      <wp:simplePos x="0" y="0"/>
                      <wp:positionH relativeFrom="column">
                        <wp:posOffset>2355546</wp:posOffset>
                      </wp:positionH>
                      <wp:positionV relativeFrom="paragraph">
                        <wp:posOffset>71755</wp:posOffset>
                      </wp:positionV>
                      <wp:extent cx="127220" cy="135172"/>
                      <wp:effectExtent l="0" t="0" r="25400" b="17780"/>
                      <wp:wrapNone/>
                      <wp:docPr id="4" name="Oval 4"/>
                      <wp:cNvGraphicFramePr/>
                      <a:graphic xmlns:a="http://schemas.openxmlformats.org/drawingml/2006/main">
                        <a:graphicData uri="http://schemas.microsoft.com/office/word/2010/wordprocessingShape">
                          <wps:wsp>
                            <wps:cNvSpPr/>
                            <wps:spPr>
                              <a:xfrm>
                                <a:off x="0" y="0"/>
                                <a:ext cx="127220" cy="13517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869289" id="Oval 4" o:spid="_x0000_s1026" style="position:absolute;margin-left:185.5pt;margin-top:5.65pt;width:10pt;height:10.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" fillcolor="#4472c4" strokecolor="#2f528f" strokeweight="1pt">
                      <v:stroke joinstyle="miter"/>
                    </v:oval>
                  </w:pict>
                </mc:Fallback>
              </mc:AlternateContent>
            </w:r>
          </w:p>
        </w:tc>
      </w:tr>
      <w:tr w:rsidR="000676F2" w:rsidRPr="005C46A2" w14:paraId="48102999" w14:textId="77777777" w:rsidTr="000465E8">
        <w:tc>
          <w:tcPr>
            <w:tcW w:w="1075" w:type="dxa"/>
            <w:shd w:val="clear" w:color="auto" w:fill="auto"/>
          </w:tcPr>
          <w:p w14:paraId="314DC15A" w14:textId="77777777" w:rsidR="000676F2" w:rsidRPr="005C46A2" w:rsidRDefault="000676F2" w:rsidP="00495C74">
            <w:pPr>
              <w:spacing w:line="240" w:lineRule="auto"/>
              <w:jc w:val="both"/>
              <w:rPr>
                <w:rFonts w:eastAsia="Calibri"/>
                <w:b/>
                <w:bCs/>
                <w:sz w:val="20"/>
                <w:szCs w:val="20"/>
              </w:rPr>
            </w:pPr>
          </w:p>
        </w:tc>
        <w:tc>
          <w:tcPr>
            <w:tcW w:w="7941" w:type="dxa"/>
            <w:gridSpan w:val="3"/>
            <w:shd w:val="clear" w:color="auto" w:fill="auto"/>
          </w:tcPr>
          <w:p w14:paraId="0EFF757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Please comment:</w:t>
            </w:r>
          </w:p>
          <w:p w14:paraId="794ADD13" w14:textId="77777777" w:rsidR="000676F2" w:rsidRPr="005C46A2" w:rsidRDefault="000676F2" w:rsidP="00495C74">
            <w:pPr>
              <w:spacing w:line="240" w:lineRule="auto"/>
              <w:jc w:val="both"/>
              <w:rPr>
                <w:rFonts w:eastAsia="Calibri"/>
                <w:sz w:val="20"/>
                <w:szCs w:val="20"/>
              </w:rPr>
            </w:pPr>
          </w:p>
        </w:tc>
      </w:tr>
    </w:tbl>
    <w:p w14:paraId="2F18AAA0" w14:textId="77777777" w:rsidR="000676F2" w:rsidRPr="005C46A2" w:rsidRDefault="000676F2" w:rsidP="00495C74">
      <w:pPr>
        <w:spacing w:line="259" w:lineRule="auto"/>
        <w:jc w:val="both"/>
        <w:rPr>
          <w:rFonts w:eastAsia="Calibri"/>
          <w:sz w:val="22"/>
          <w:szCs w:val="22"/>
        </w:rPr>
      </w:pPr>
    </w:p>
    <w:p w14:paraId="60568002"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 xml:space="preserve">From your perspective, what evidence is lacking/needed to inform the design of services to support FAOs to influence the individual who is gambling? </w:t>
      </w:r>
    </w:p>
    <w:tbl>
      <w:tblPr>
        <w:tblStyle w:val="TableGrid"/>
        <w:tblW w:w="0" w:type="auto"/>
        <w:tblInd w:w="-5" w:type="dxa"/>
        <w:tblLook w:val="04A0" w:firstRow="1" w:lastRow="0" w:firstColumn="1" w:lastColumn="0" w:noHBand="0" w:noVBand="1"/>
      </w:tblPr>
      <w:tblGrid>
        <w:gridCol w:w="9021"/>
      </w:tblGrid>
      <w:tr w:rsidR="000676F2" w:rsidRPr="005C46A2" w14:paraId="45445604" w14:textId="77777777" w:rsidTr="000465E8">
        <w:tc>
          <w:tcPr>
            <w:tcW w:w="9021" w:type="dxa"/>
          </w:tcPr>
          <w:p w14:paraId="7179BC4B" w14:textId="77777777" w:rsidR="000676F2" w:rsidRPr="005C46A2" w:rsidRDefault="000676F2" w:rsidP="00495C74">
            <w:pPr>
              <w:spacing w:line="240" w:lineRule="auto"/>
              <w:contextualSpacing/>
              <w:jc w:val="both"/>
              <w:rPr>
                <w:rFonts w:eastAsia="Calibri"/>
                <w:sz w:val="22"/>
                <w:szCs w:val="22"/>
              </w:rPr>
            </w:pPr>
            <w:r w:rsidRPr="005C46A2">
              <w:rPr>
                <w:rFonts w:eastAsia="Calibri"/>
                <w:sz w:val="22"/>
                <w:szCs w:val="22"/>
              </w:rPr>
              <w:t>Please comment:</w:t>
            </w:r>
          </w:p>
          <w:p w14:paraId="663974D7" w14:textId="77777777" w:rsidR="000676F2" w:rsidRPr="005C46A2" w:rsidRDefault="000676F2" w:rsidP="00495C74">
            <w:pPr>
              <w:spacing w:line="240" w:lineRule="auto"/>
              <w:contextualSpacing/>
              <w:jc w:val="both"/>
              <w:rPr>
                <w:rFonts w:eastAsia="Calibri"/>
                <w:sz w:val="22"/>
                <w:szCs w:val="22"/>
              </w:rPr>
            </w:pPr>
          </w:p>
        </w:tc>
      </w:tr>
    </w:tbl>
    <w:p w14:paraId="69A49F3B" w14:textId="77777777" w:rsidR="000676F2" w:rsidRPr="005C46A2" w:rsidRDefault="000676F2" w:rsidP="00495C74">
      <w:pPr>
        <w:pBdr>
          <w:bottom w:val="single" w:sz="12" w:space="1" w:color="auto"/>
        </w:pBdr>
        <w:spacing w:line="259" w:lineRule="auto"/>
        <w:jc w:val="both"/>
        <w:rPr>
          <w:rFonts w:ascii="Calibri" w:eastAsia="Calibri" w:hAnsi="Calibri"/>
          <w:sz w:val="22"/>
          <w:szCs w:val="22"/>
        </w:rPr>
      </w:pPr>
    </w:p>
    <w:p w14:paraId="6B7D9B15" w14:textId="77777777" w:rsidR="000676F2" w:rsidRPr="005C46A2" w:rsidRDefault="000676F2" w:rsidP="00495C74">
      <w:pPr>
        <w:spacing w:line="259" w:lineRule="auto"/>
        <w:jc w:val="both"/>
        <w:rPr>
          <w:rFonts w:eastAsia="Calibri"/>
          <w:b/>
          <w:bCs/>
          <w:i/>
          <w:iCs/>
          <w:sz w:val="20"/>
          <w:szCs w:val="20"/>
        </w:rPr>
      </w:pPr>
      <w:r w:rsidRPr="005C46A2">
        <w:rPr>
          <w:rFonts w:eastAsia="Calibri"/>
          <w:b/>
          <w:bCs/>
          <w:i/>
          <w:iCs/>
          <w:sz w:val="20"/>
          <w:szCs w:val="20"/>
        </w:rPr>
        <w:t>PAGE 12</w:t>
      </w:r>
    </w:p>
    <w:p w14:paraId="4CB3701C" w14:textId="77777777" w:rsidR="000676F2" w:rsidRPr="005C46A2" w:rsidRDefault="000676F2" w:rsidP="00A52A05">
      <w:pPr>
        <w:pStyle w:val="ListParagraph"/>
        <w:numPr>
          <w:ilvl w:val="0"/>
          <w:numId w:val="13"/>
        </w:numPr>
        <w:jc w:val="both"/>
        <w:rPr>
          <w:b/>
          <w:bCs/>
        </w:rPr>
      </w:pPr>
      <w:r w:rsidRPr="005C46A2">
        <w:rPr>
          <w:b/>
          <w:bCs/>
        </w:rPr>
        <w:t xml:space="preserve">Improving the relationship/s between FAOs and the person who is gambling: </w:t>
      </w:r>
    </w:p>
    <w:p w14:paraId="1AE0C933" w14:textId="77777777" w:rsidR="000676F2" w:rsidRPr="005C46A2" w:rsidRDefault="000676F2" w:rsidP="00495C74">
      <w:pPr>
        <w:spacing w:line="259" w:lineRule="auto"/>
        <w:jc w:val="both"/>
        <w:rPr>
          <w:rFonts w:eastAsia="Calibri"/>
          <w:i/>
          <w:iCs/>
          <w:sz w:val="22"/>
          <w:szCs w:val="22"/>
        </w:rPr>
      </w:pPr>
      <w:r w:rsidRPr="005C46A2">
        <w:rPr>
          <w:rFonts w:eastAsia="Calibri"/>
          <w:i/>
          <w:iCs/>
          <w:sz w:val="22"/>
          <w:szCs w:val="22"/>
        </w:rPr>
        <w:t>Central to approach: Improving family relationships will improve the outcomes for the FAO.</w:t>
      </w:r>
    </w:p>
    <w:p w14:paraId="3C937A00" w14:textId="77777777" w:rsidR="000676F2" w:rsidRPr="005C46A2" w:rsidRDefault="000676F2" w:rsidP="00495C74">
      <w:pPr>
        <w:spacing w:line="259" w:lineRule="auto"/>
        <w:jc w:val="both"/>
        <w:rPr>
          <w:rFonts w:eastAsia="Calibri"/>
          <w:i/>
          <w:iCs/>
          <w:sz w:val="22"/>
          <w:szCs w:val="22"/>
        </w:rPr>
      </w:pPr>
    </w:p>
    <w:p w14:paraId="00BC2EFD" w14:textId="77777777" w:rsidR="000676F2" w:rsidRPr="005C46A2" w:rsidRDefault="000676F2" w:rsidP="00495C74">
      <w:pPr>
        <w:spacing w:line="259" w:lineRule="auto"/>
        <w:jc w:val="both"/>
        <w:rPr>
          <w:rFonts w:eastAsia="Calibri"/>
          <w:i/>
          <w:iCs/>
          <w:sz w:val="22"/>
          <w:szCs w:val="22"/>
        </w:rPr>
      </w:pPr>
      <w:r w:rsidRPr="005C46A2">
        <w:rPr>
          <w:rFonts w:eastAsia="Calibri"/>
          <w:i/>
          <w:iCs/>
          <w:sz w:val="22"/>
          <w:szCs w:val="22"/>
        </w:rPr>
        <w:t>Please consider your role and experience when answering each question. Please write as much as little as you feel necessary to answer the question. If a question is not relevant to you, select or write N/A.</w:t>
      </w:r>
    </w:p>
    <w:p w14:paraId="4E636358" w14:textId="77777777" w:rsidR="000676F2" w:rsidRPr="005C46A2" w:rsidRDefault="000676F2" w:rsidP="00495C74">
      <w:pPr>
        <w:spacing w:line="259" w:lineRule="auto"/>
        <w:jc w:val="both"/>
        <w:rPr>
          <w:rFonts w:eastAsia="Calibri"/>
          <w:i/>
          <w:iCs/>
          <w:sz w:val="22"/>
          <w:szCs w:val="22"/>
        </w:rPr>
      </w:pPr>
      <w:r w:rsidRPr="005C46A2">
        <w:rPr>
          <w:rFonts w:eastAsia="Calibri"/>
          <w:i/>
          <w:iCs/>
          <w:sz w:val="22"/>
          <w:szCs w:val="22"/>
        </w:rPr>
        <w:t>NOTE: The Likert questions require an answer, the open-ended question can be left blank if you do not wish to comment.</w:t>
      </w:r>
    </w:p>
    <w:p w14:paraId="55E71317" w14:textId="77777777" w:rsidR="000676F2" w:rsidRPr="005C46A2" w:rsidRDefault="000676F2" w:rsidP="00495C74">
      <w:pPr>
        <w:spacing w:line="259" w:lineRule="auto"/>
        <w:jc w:val="both"/>
        <w:rPr>
          <w:rFonts w:eastAsia="Calibri"/>
          <w:sz w:val="22"/>
          <w:szCs w:val="22"/>
        </w:rPr>
      </w:pPr>
    </w:p>
    <w:p w14:paraId="1CD442C8"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Please list examples of interventions you are familiar with that ‘improving the relationship/s between FAOs and the person who is gambling’</w:t>
      </w:r>
    </w:p>
    <w:tbl>
      <w:tblPr>
        <w:tblStyle w:val="TableGrid"/>
        <w:tblW w:w="0" w:type="auto"/>
        <w:tblInd w:w="-5" w:type="dxa"/>
        <w:tblLook w:val="04A0" w:firstRow="1" w:lastRow="0" w:firstColumn="1" w:lastColumn="0" w:noHBand="0" w:noVBand="1"/>
      </w:tblPr>
      <w:tblGrid>
        <w:gridCol w:w="9021"/>
      </w:tblGrid>
      <w:tr w:rsidR="000676F2" w:rsidRPr="005C46A2" w14:paraId="668875C0" w14:textId="77777777" w:rsidTr="000465E8">
        <w:tc>
          <w:tcPr>
            <w:tcW w:w="9021" w:type="dxa"/>
          </w:tcPr>
          <w:p w14:paraId="1612BBF0" w14:textId="77777777" w:rsidR="000676F2" w:rsidRPr="005C46A2" w:rsidRDefault="000676F2" w:rsidP="00495C74">
            <w:pPr>
              <w:spacing w:line="240" w:lineRule="auto"/>
              <w:contextualSpacing/>
              <w:jc w:val="both"/>
              <w:rPr>
                <w:rFonts w:eastAsia="Calibri"/>
                <w:sz w:val="22"/>
                <w:szCs w:val="22"/>
              </w:rPr>
            </w:pPr>
            <w:r w:rsidRPr="005C46A2">
              <w:rPr>
                <w:rFonts w:eastAsia="Calibri"/>
                <w:sz w:val="22"/>
                <w:szCs w:val="22"/>
              </w:rPr>
              <w:t>Please comment:</w:t>
            </w:r>
          </w:p>
          <w:p w14:paraId="67C0B263" w14:textId="77777777" w:rsidR="000676F2" w:rsidRPr="005C46A2" w:rsidRDefault="000676F2" w:rsidP="00495C74">
            <w:pPr>
              <w:spacing w:line="240" w:lineRule="auto"/>
              <w:contextualSpacing/>
              <w:jc w:val="both"/>
              <w:rPr>
                <w:rFonts w:eastAsia="Calibri"/>
                <w:sz w:val="22"/>
                <w:szCs w:val="22"/>
              </w:rPr>
            </w:pPr>
          </w:p>
        </w:tc>
      </w:tr>
    </w:tbl>
    <w:p w14:paraId="1C1A3546" w14:textId="77777777" w:rsidR="000676F2" w:rsidRPr="005C46A2" w:rsidRDefault="000676F2" w:rsidP="00495C74">
      <w:pPr>
        <w:spacing w:line="259" w:lineRule="auto"/>
        <w:jc w:val="both"/>
        <w:rPr>
          <w:rFonts w:eastAsia="Calibri"/>
          <w:sz w:val="22"/>
          <w:szCs w:val="22"/>
        </w:rPr>
      </w:pPr>
    </w:p>
    <w:p w14:paraId="347A6ED6"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 xml:space="preserve">What are the key outcomes for FAOs, of intervention approaches that ‘improving the relationship/s between FAOs and the person who is gambling’? </w:t>
      </w:r>
    </w:p>
    <w:tbl>
      <w:tblPr>
        <w:tblStyle w:val="TableGrid"/>
        <w:tblW w:w="0" w:type="auto"/>
        <w:tblInd w:w="-5" w:type="dxa"/>
        <w:tblLook w:val="04A0" w:firstRow="1" w:lastRow="0" w:firstColumn="1" w:lastColumn="0" w:noHBand="0" w:noVBand="1"/>
      </w:tblPr>
      <w:tblGrid>
        <w:gridCol w:w="9021"/>
      </w:tblGrid>
      <w:tr w:rsidR="000676F2" w:rsidRPr="005C46A2" w14:paraId="408DDCD1" w14:textId="77777777" w:rsidTr="000465E8">
        <w:tc>
          <w:tcPr>
            <w:tcW w:w="9021" w:type="dxa"/>
          </w:tcPr>
          <w:p w14:paraId="57FAC841" w14:textId="77777777" w:rsidR="000676F2" w:rsidRPr="005C46A2" w:rsidRDefault="000676F2" w:rsidP="00495C74">
            <w:pPr>
              <w:spacing w:line="240" w:lineRule="auto"/>
              <w:contextualSpacing/>
              <w:jc w:val="both"/>
              <w:rPr>
                <w:rFonts w:eastAsia="Calibri"/>
                <w:sz w:val="22"/>
                <w:szCs w:val="22"/>
              </w:rPr>
            </w:pPr>
            <w:r w:rsidRPr="005C46A2">
              <w:rPr>
                <w:rFonts w:eastAsia="Calibri"/>
                <w:sz w:val="22"/>
                <w:szCs w:val="22"/>
              </w:rPr>
              <w:t>Please comment:</w:t>
            </w:r>
          </w:p>
          <w:p w14:paraId="4AE14E83" w14:textId="77777777" w:rsidR="000676F2" w:rsidRPr="005C46A2" w:rsidRDefault="000676F2" w:rsidP="00495C74">
            <w:pPr>
              <w:spacing w:line="240" w:lineRule="auto"/>
              <w:contextualSpacing/>
              <w:jc w:val="both"/>
              <w:rPr>
                <w:rFonts w:eastAsia="Calibri"/>
                <w:sz w:val="22"/>
                <w:szCs w:val="22"/>
              </w:rPr>
            </w:pPr>
          </w:p>
        </w:tc>
      </w:tr>
    </w:tbl>
    <w:p w14:paraId="1D5D26FA" w14:textId="77777777" w:rsidR="000676F2" w:rsidRPr="005C46A2" w:rsidRDefault="000676F2" w:rsidP="00495C74">
      <w:pPr>
        <w:spacing w:line="259" w:lineRule="auto"/>
        <w:jc w:val="both"/>
        <w:rPr>
          <w:rFonts w:eastAsia="Calibri"/>
          <w:sz w:val="22"/>
          <w:szCs w:val="22"/>
        </w:rPr>
      </w:pPr>
    </w:p>
    <w:tbl>
      <w:tblPr>
        <w:tblStyle w:val="TableGrid"/>
        <w:tblW w:w="0" w:type="auto"/>
        <w:tblLook w:val="04A0" w:firstRow="1" w:lastRow="0" w:firstColumn="1" w:lastColumn="0" w:noHBand="0" w:noVBand="1"/>
      </w:tblPr>
      <w:tblGrid>
        <w:gridCol w:w="962"/>
        <w:gridCol w:w="1130"/>
        <w:gridCol w:w="1131"/>
        <w:gridCol w:w="1260"/>
        <w:gridCol w:w="1062"/>
        <w:gridCol w:w="1190"/>
        <w:gridCol w:w="1150"/>
        <w:gridCol w:w="1131"/>
      </w:tblGrid>
      <w:tr w:rsidR="000676F2" w:rsidRPr="005C46A2" w14:paraId="079F6B98" w14:textId="77777777" w:rsidTr="000465E8">
        <w:tc>
          <w:tcPr>
            <w:tcW w:w="885" w:type="dxa"/>
          </w:tcPr>
          <w:p w14:paraId="19AD11A0" w14:textId="77777777" w:rsidR="000676F2" w:rsidRPr="005C46A2" w:rsidRDefault="000676F2" w:rsidP="00495C74">
            <w:pPr>
              <w:spacing w:line="240" w:lineRule="auto"/>
              <w:jc w:val="both"/>
              <w:rPr>
                <w:rFonts w:eastAsia="Calibri"/>
                <w:sz w:val="22"/>
                <w:szCs w:val="22"/>
              </w:rPr>
            </w:pPr>
            <w:r w:rsidRPr="005C46A2">
              <w:rPr>
                <w:rFonts w:eastAsia="Calibri"/>
                <w:sz w:val="18"/>
                <w:szCs w:val="18"/>
              </w:rPr>
              <w:t>(</w:t>
            </w:r>
            <w:r w:rsidRPr="005C46A2">
              <w:rPr>
                <w:rFonts w:eastAsia="Calibri"/>
                <w:i/>
                <w:iCs/>
                <w:sz w:val="14"/>
                <w:szCs w:val="14"/>
              </w:rPr>
              <w:t>Compulsory Question</w:t>
            </w:r>
            <w:r w:rsidRPr="005C46A2">
              <w:rPr>
                <w:rFonts w:eastAsia="Calibri"/>
                <w:sz w:val="18"/>
                <w:szCs w:val="18"/>
              </w:rPr>
              <w:t>)</w:t>
            </w:r>
          </w:p>
        </w:tc>
        <w:tc>
          <w:tcPr>
            <w:tcW w:w="8131" w:type="dxa"/>
            <w:gridSpan w:val="7"/>
          </w:tcPr>
          <w:p w14:paraId="1F89E192"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 xml:space="preserve">Please rate how effective you think interventions are that focus on improving the relationship/s between FAOs and the person who is gambling </w:t>
            </w:r>
          </w:p>
        </w:tc>
      </w:tr>
      <w:tr w:rsidR="000676F2" w:rsidRPr="005C46A2" w14:paraId="0E350F80" w14:textId="77777777" w:rsidTr="000676F2">
        <w:tc>
          <w:tcPr>
            <w:tcW w:w="885" w:type="dxa"/>
            <w:shd w:val="clear" w:color="auto" w:fill="D9D9D9"/>
          </w:tcPr>
          <w:p w14:paraId="09EF59A0" w14:textId="77777777" w:rsidR="000676F2" w:rsidRPr="005C46A2" w:rsidRDefault="000676F2" w:rsidP="00495C74">
            <w:pPr>
              <w:spacing w:line="240" w:lineRule="auto"/>
              <w:jc w:val="both"/>
              <w:rPr>
                <w:rFonts w:eastAsia="Calibri"/>
                <w:b/>
                <w:bCs/>
                <w:sz w:val="20"/>
                <w:szCs w:val="20"/>
              </w:rPr>
            </w:pPr>
            <w:r w:rsidRPr="005C46A2">
              <w:rPr>
                <w:rFonts w:eastAsia="Calibri"/>
                <w:b/>
                <w:bCs/>
                <w:sz w:val="20"/>
                <w:szCs w:val="20"/>
              </w:rPr>
              <w:t>N/A</w:t>
            </w:r>
          </w:p>
          <w:p w14:paraId="3E4DF377" w14:textId="77777777" w:rsidR="000676F2" w:rsidRPr="005C46A2" w:rsidRDefault="000676F2" w:rsidP="00495C74">
            <w:pPr>
              <w:spacing w:line="240" w:lineRule="auto"/>
              <w:jc w:val="both"/>
              <w:rPr>
                <w:rFonts w:eastAsia="Calibri"/>
                <w:b/>
                <w:bCs/>
                <w:sz w:val="20"/>
                <w:szCs w:val="20"/>
              </w:rPr>
            </w:pPr>
            <w:r w:rsidRPr="005C46A2">
              <w:rPr>
                <w:rFonts w:eastAsia="Calibri"/>
                <w:b/>
                <w:bCs/>
                <w:sz w:val="20"/>
                <w:szCs w:val="20"/>
              </w:rPr>
              <w:t xml:space="preserve"> or</w:t>
            </w:r>
          </w:p>
          <w:p w14:paraId="4F81F9BE" w14:textId="77777777" w:rsidR="000676F2" w:rsidRPr="005C46A2" w:rsidRDefault="000676F2" w:rsidP="00495C74">
            <w:pPr>
              <w:spacing w:line="240" w:lineRule="auto"/>
              <w:jc w:val="both"/>
              <w:rPr>
                <w:rFonts w:eastAsia="Calibri"/>
                <w:b/>
                <w:bCs/>
                <w:sz w:val="20"/>
                <w:szCs w:val="20"/>
              </w:rPr>
            </w:pPr>
            <w:r w:rsidRPr="005C46A2">
              <w:rPr>
                <w:rFonts w:eastAsia="Calibri"/>
                <w:b/>
                <w:bCs/>
                <w:sz w:val="20"/>
                <w:szCs w:val="20"/>
              </w:rPr>
              <w:t>unsure</w:t>
            </w:r>
          </w:p>
        </w:tc>
        <w:tc>
          <w:tcPr>
            <w:tcW w:w="1142" w:type="dxa"/>
            <w:shd w:val="clear" w:color="auto" w:fill="D9D9D9"/>
          </w:tcPr>
          <w:p w14:paraId="4856BBE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42724FA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3" w:type="dxa"/>
            <w:shd w:val="clear" w:color="auto" w:fill="D9D9D9"/>
          </w:tcPr>
          <w:p w14:paraId="366673E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1378AA7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270" w:type="dxa"/>
            <w:shd w:val="clear" w:color="auto" w:fill="D9D9D9"/>
          </w:tcPr>
          <w:p w14:paraId="1730CA1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45C5779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1075" w:type="dxa"/>
            <w:shd w:val="clear" w:color="auto" w:fill="D9D9D9"/>
          </w:tcPr>
          <w:p w14:paraId="4389041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7A6FB1D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97" w:type="dxa"/>
            <w:shd w:val="clear" w:color="auto" w:fill="D9D9D9"/>
          </w:tcPr>
          <w:p w14:paraId="2A064EC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4F08579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161" w:type="dxa"/>
            <w:shd w:val="clear" w:color="auto" w:fill="D9D9D9"/>
          </w:tcPr>
          <w:p w14:paraId="0E154A5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61D2E46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 xml:space="preserve">Effective </w:t>
            </w:r>
          </w:p>
        </w:tc>
        <w:tc>
          <w:tcPr>
            <w:tcW w:w="1143" w:type="dxa"/>
            <w:shd w:val="clear" w:color="auto" w:fill="D9D9D9"/>
          </w:tcPr>
          <w:p w14:paraId="7291C8C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5DCFF69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r w:rsidR="000676F2" w:rsidRPr="005C46A2" w14:paraId="1A397C9D" w14:textId="77777777" w:rsidTr="000465E8">
        <w:tc>
          <w:tcPr>
            <w:tcW w:w="885" w:type="dxa"/>
          </w:tcPr>
          <w:p w14:paraId="24A05DE5" w14:textId="77777777" w:rsidR="000676F2" w:rsidRPr="005C46A2" w:rsidRDefault="000676F2" w:rsidP="00495C74">
            <w:pPr>
              <w:spacing w:line="240" w:lineRule="auto"/>
              <w:jc w:val="both"/>
              <w:rPr>
                <w:rFonts w:eastAsia="Calibri"/>
                <w:sz w:val="20"/>
                <w:szCs w:val="20"/>
              </w:rPr>
            </w:pPr>
          </w:p>
        </w:tc>
        <w:tc>
          <w:tcPr>
            <w:tcW w:w="8131" w:type="dxa"/>
            <w:gridSpan w:val="7"/>
          </w:tcPr>
          <w:p w14:paraId="373EDD1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Please comment:</w:t>
            </w:r>
          </w:p>
          <w:p w14:paraId="01B51028" w14:textId="77777777" w:rsidR="000676F2" w:rsidRPr="005C46A2" w:rsidRDefault="000676F2" w:rsidP="00495C74">
            <w:pPr>
              <w:spacing w:line="240" w:lineRule="auto"/>
              <w:jc w:val="both"/>
              <w:rPr>
                <w:rFonts w:eastAsia="Calibri"/>
                <w:sz w:val="20"/>
                <w:szCs w:val="20"/>
              </w:rPr>
            </w:pPr>
          </w:p>
        </w:tc>
      </w:tr>
    </w:tbl>
    <w:p w14:paraId="2A6E61B7" w14:textId="77777777" w:rsidR="000676F2" w:rsidRPr="005C46A2" w:rsidRDefault="000676F2" w:rsidP="00495C74">
      <w:pPr>
        <w:spacing w:line="259" w:lineRule="auto"/>
        <w:jc w:val="both"/>
        <w:rPr>
          <w:rFonts w:eastAsia="Calibri"/>
          <w:sz w:val="20"/>
          <w:szCs w:val="20"/>
        </w:rPr>
      </w:pPr>
    </w:p>
    <w:p w14:paraId="67A76951"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What are the key elements of effective interventions to ‘support FAOs to influence the person who is gambling’?</w:t>
      </w:r>
    </w:p>
    <w:tbl>
      <w:tblPr>
        <w:tblStyle w:val="TableGrid"/>
        <w:tblW w:w="0" w:type="auto"/>
        <w:tblInd w:w="-5" w:type="dxa"/>
        <w:tblLook w:val="04A0" w:firstRow="1" w:lastRow="0" w:firstColumn="1" w:lastColumn="0" w:noHBand="0" w:noVBand="1"/>
      </w:tblPr>
      <w:tblGrid>
        <w:gridCol w:w="9021"/>
      </w:tblGrid>
      <w:tr w:rsidR="000676F2" w:rsidRPr="005C46A2" w14:paraId="573025D7" w14:textId="77777777" w:rsidTr="000465E8">
        <w:tc>
          <w:tcPr>
            <w:tcW w:w="9021" w:type="dxa"/>
          </w:tcPr>
          <w:p w14:paraId="1C803F57" w14:textId="77777777" w:rsidR="000676F2" w:rsidRPr="005C46A2" w:rsidRDefault="000676F2" w:rsidP="00495C74">
            <w:pPr>
              <w:spacing w:line="240" w:lineRule="auto"/>
              <w:contextualSpacing/>
              <w:jc w:val="both"/>
              <w:rPr>
                <w:rFonts w:eastAsia="Calibri"/>
                <w:sz w:val="22"/>
                <w:szCs w:val="22"/>
              </w:rPr>
            </w:pPr>
            <w:r w:rsidRPr="005C46A2">
              <w:rPr>
                <w:rFonts w:eastAsia="Calibri"/>
                <w:sz w:val="22"/>
                <w:szCs w:val="22"/>
              </w:rPr>
              <w:t>Please comment:</w:t>
            </w:r>
          </w:p>
          <w:p w14:paraId="7F0AAA31" w14:textId="77777777" w:rsidR="000676F2" w:rsidRPr="005C46A2" w:rsidRDefault="000676F2" w:rsidP="00495C74">
            <w:pPr>
              <w:spacing w:line="240" w:lineRule="auto"/>
              <w:contextualSpacing/>
              <w:jc w:val="both"/>
              <w:rPr>
                <w:rFonts w:eastAsia="Calibri"/>
                <w:sz w:val="22"/>
                <w:szCs w:val="22"/>
              </w:rPr>
            </w:pPr>
          </w:p>
        </w:tc>
      </w:tr>
    </w:tbl>
    <w:p w14:paraId="6D2895AD" w14:textId="77777777" w:rsidR="000676F2" w:rsidRPr="005C46A2" w:rsidRDefault="000676F2" w:rsidP="00495C74">
      <w:pPr>
        <w:pBdr>
          <w:bottom w:val="single" w:sz="12" w:space="1" w:color="auto"/>
        </w:pBdr>
        <w:spacing w:line="259" w:lineRule="auto"/>
        <w:jc w:val="both"/>
        <w:rPr>
          <w:rFonts w:eastAsia="Calibri"/>
          <w:sz w:val="22"/>
          <w:szCs w:val="22"/>
        </w:rPr>
      </w:pPr>
    </w:p>
    <w:p w14:paraId="4902EF41" w14:textId="77777777" w:rsidR="000676F2" w:rsidRPr="005C46A2" w:rsidRDefault="000676F2" w:rsidP="00495C74">
      <w:pPr>
        <w:spacing w:line="259" w:lineRule="auto"/>
        <w:jc w:val="both"/>
        <w:rPr>
          <w:rFonts w:eastAsia="Calibri"/>
          <w:b/>
          <w:bCs/>
          <w:i/>
          <w:iCs/>
          <w:sz w:val="20"/>
          <w:szCs w:val="20"/>
        </w:rPr>
      </w:pPr>
      <w:r w:rsidRPr="005C46A2">
        <w:rPr>
          <w:rFonts w:eastAsia="Calibri"/>
          <w:b/>
          <w:bCs/>
          <w:i/>
          <w:iCs/>
          <w:sz w:val="20"/>
          <w:szCs w:val="20"/>
        </w:rPr>
        <w:t>PAGE 13</w:t>
      </w:r>
    </w:p>
    <w:p w14:paraId="10A16F8D" w14:textId="77777777" w:rsidR="000676F2" w:rsidRPr="005C46A2" w:rsidRDefault="000676F2" w:rsidP="00495C74">
      <w:pPr>
        <w:spacing w:line="259" w:lineRule="auto"/>
        <w:jc w:val="both"/>
        <w:rPr>
          <w:rFonts w:eastAsia="Calibri"/>
          <w:i/>
          <w:iCs/>
          <w:sz w:val="22"/>
          <w:szCs w:val="22"/>
        </w:rPr>
      </w:pPr>
      <w:r w:rsidRPr="005C46A2">
        <w:rPr>
          <w:rFonts w:eastAsia="Calibri"/>
          <w:i/>
          <w:iCs/>
          <w:sz w:val="22"/>
          <w:szCs w:val="22"/>
        </w:rPr>
        <w:t>Central to approach: Improving family relationships will improve the outcomes for the FAO.</w:t>
      </w:r>
    </w:p>
    <w:p w14:paraId="1C412D05" w14:textId="77777777" w:rsidR="000676F2" w:rsidRPr="005C46A2" w:rsidRDefault="000676F2" w:rsidP="00495C74">
      <w:pPr>
        <w:spacing w:line="259" w:lineRule="auto"/>
        <w:ind w:left="6480"/>
        <w:jc w:val="both"/>
        <w:rPr>
          <w:rFonts w:eastAsia="Calibri"/>
          <w:sz w:val="20"/>
          <w:szCs w:val="20"/>
        </w:rPr>
      </w:pPr>
      <w:r w:rsidRPr="005C46A2">
        <w:rPr>
          <w:rFonts w:eastAsia="Calibri"/>
          <w:sz w:val="20"/>
          <w:szCs w:val="20"/>
        </w:rPr>
        <w:t>(</w:t>
      </w:r>
      <w:r w:rsidRPr="005C46A2">
        <w:rPr>
          <w:rFonts w:eastAsia="Calibri"/>
          <w:i/>
          <w:iCs/>
          <w:sz w:val="16"/>
          <w:szCs w:val="16"/>
        </w:rPr>
        <w:t>Likert questions compulsory</w:t>
      </w:r>
      <w:r w:rsidRPr="005C46A2">
        <w:rPr>
          <w:rFonts w:eastAsia="Calibri"/>
          <w:sz w:val="20"/>
          <w:szCs w:val="20"/>
        </w:rPr>
        <w:t>)</w:t>
      </w:r>
    </w:p>
    <w:tbl>
      <w:tblPr>
        <w:tblStyle w:val="TableGrid"/>
        <w:tblW w:w="0" w:type="auto"/>
        <w:tblLook w:val="04A0" w:firstRow="1" w:lastRow="0" w:firstColumn="1" w:lastColumn="0" w:noHBand="0" w:noVBand="1"/>
      </w:tblPr>
      <w:tblGrid>
        <w:gridCol w:w="1226"/>
        <w:gridCol w:w="1127"/>
        <w:gridCol w:w="1127"/>
        <w:gridCol w:w="1283"/>
        <w:gridCol w:w="816"/>
        <w:gridCol w:w="1127"/>
        <w:gridCol w:w="1183"/>
        <w:gridCol w:w="1127"/>
      </w:tblGrid>
      <w:tr w:rsidR="000676F2" w:rsidRPr="005C46A2" w14:paraId="512A187E" w14:textId="77777777" w:rsidTr="000465E8">
        <w:tc>
          <w:tcPr>
            <w:tcW w:w="1343" w:type="dxa"/>
          </w:tcPr>
          <w:p w14:paraId="0B68E685" w14:textId="77777777" w:rsidR="000676F2" w:rsidRPr="005C46A2" w:rsidRDefault="000676F2" w:rsidP="00495C74">
            <w:pPr>
              <w:spacing w:line="240" w:lineRule="auto"/>
              <w:jc w:val="both"/>
              <w:rPr>
                <w:rFonts w:eastAsia="Calibri"/>
                <w:sz w:val="22"/>
                <w:szCs w:val="22"/>
              </w:rPr>
            </w:pPr>
          </w:p>
        </w:tc>
        <w:tc>
          <w:tcPr>
            <w:tcW w:w="7673" w:type="dxa"/>
            <w:gridSpan w:val="7"/>
          </w:tcPr>
          <w:p w14:paraId="52603DA7"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FAOs who are women?</w:t>
            </w:r>
          </w:p>
        </w:tc>
      </w:tr>
      <w:tr w:rsidR="000676F2" w:rsidRPr="005C46A2" w14:paraId="5638F094" w14:textId="77777777" w:rsidTr="000676F2">
        <w:tc>
          <w:tcPr>
            <w:tcW w:w="1343" w:type="dxa"/>
            <w:shd w:val="clear" w:color="auto" w:fill="D9D9D9"/>
          </w:tcPr>
          <w:p w14:paraId="56FA7808"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10" w:type="dxa"/>
            <w:shd w:val="clear" w:color="auto" w:fill="D9D9D9"/>
          </w:tcPr>
          <w:p w14:paraId="61DBB81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4531A3B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10" w:type="dxa"/>
            <w:shd w:val="clear" w:color="auto" w:fill="D9D9D9"/>
          </w:tcPr>
          <w:p w14:paraId="1C61A1A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68827FA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263" w:type="dxa"/>
            <w:shd w:val="clear" w:color="auto" w:fill="D9D9D9"/>
          </w:tcPr>
          <w:p w14:paraId="7167B4D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32912BB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05" w:type="dxa"/>
            <w:shd w:val="clear" w:color="auto" w:fill="D9D9D9"/>
          </w:tcPr>
          <w:p w14:paraId="0645F6C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4517E83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10" w:type="dxa"/>
            <w:shd w:val="clear" w:color="auto" w:fill="D9D9D9"/>
          </w:tcPr>
          <w:p w14:paraId="4135206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2E28409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165" w:type="dxa"/>
            <w:shd w:val="clear" w:color="auto" w:fill="D9D9D9"/>
          </w:tcPr>
          <w:p w14:paraId="5942DDC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754253C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10" w:type="dxa"/>
            <w:shd w:val="clear" w:color="auto" w:fill="D9D9D9"/>
          </w:tcPr>
          <w:p w14:paraId="0C96217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768E900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5E4F6363" w14:textId="77777777" w:rsidTr="000465E8">
        <w:tc>
          <w:tcPr>
            <w:tcW w:w="1343" w:type="dxa"/>
          </w:tcPr>
          <w:p w14:paraId="61723DE6" w14:textId="77777777" w:rsidR="000676F2" w:rsidRPr="005C46A2" w:rsidRDefault="000676F2" w:rsidP="00495C74">
            <w:pPr>
              <w:spacing w:line="240" w:lineRule="auto"/>
              <w:jc w:val="both"/>
              <w:rPr>
                <w:rFonts w:eastAsia="Calibri"/>
                <w:sz w:val="22"/>
                <w:szCs w:val="22"/>
              </w:rPr>
            </w:pPr>
          </w:p>
        </w:tc>
        <w:tc>
          <w:tcPr>
            <w:tcW w:w="7673" w:type="dxa"/>
            <w:gridSpan w:val="7"/>
          </w:tcPr>
          <w:p w14:paraId="76BD7C1D"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women FAOs?</w:t>
            </w:r>
          </w:p>
        </w:tc>
      </w:tr>
      <w:tr w:rsidR="000676F2" w:rsidRPr="005C46A2" w14:paraId="3C41A82B" w14:textId="77777777" w:rsidTr="000676F2">
        <w:tc>
          <w:tcPr>
            <w:tcW w:w="1343" w:type="dxa"/>
            <w:shd w:val="clear" w:color="auto" w:fill="D9D9D9"/>
          </w:tcPr>
          <w:p w14:paraId="26A4BABD"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10" w:type="dxa"/>
            <w:shd w:val="clear" w:color="auto" w:fill="D9D9D9"/>
          </w:tcPr>
          <w:p w14:paraId="189C9C1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4B1DA18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10" w:type="dxa"/>
            <w:shd w:val="clear" w:color="auto" w:fill="D9D9D9"/>
          </w:tcPr>
          <w:p w14:paraId="4ACAC38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5FBD270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263" w:type="dxa"/>
            <w:shd w:val="clear" w:color="auto" w:fill="D9D9D9"/>
          </w:tcPr>
          <w:p w14:paraId="768F2ED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6E045B7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05" w:type="dxa"/>
            <w:shd w:val="clear" w:color="auto" w:fill="D9D9D9"/>
          </w:tcPr>
          <w:p w14:paraId="38351BE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687D222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10" w:type="dxa"/>
            <w:shd w:val="clear" w:color="auto" w:fill="D9D9D9"/>
          </w:tcPr>
          <w:p w14:paraId="2393D77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79BE750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165" w:type="dxa"/>
            <w:shd w:val="clear" w:color="auto" w:fill="D9D9D9"/>
          </w:tcPr>
          <w:p w14:paraId="1A9D7F1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2721698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10" w:type="dxa"/>
            <w:shd w:val="clear" w:color="auto" w:fill="D9D9D9"/>
          </w:tcPr>
          <w:p w14:paraId="47D92CA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7193557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3DDD447A" w14:textId="77777777" w:rsidR="000676F2" w:rsidRPr="005C46A2" w:rsidRDefault="000676F2" w:rsidP="00495C74">
      <w:pPr>
        <w:spacing w:line="259" w:lineRule="auto"/>
        <w:jc w:val="both"/>
        <w:rPr>
          <w:rFonts w:eastAsia="Calibri"/>
          <w:sz w:val="20"/>
          <w:szCs w:val="20"/>
        </w:rPr>
      </w:pPr>
    </w:p>
    <w:tbl>
      <w:tblPr>
        <w:tblStyle w:val="TableGrid"/>
        <w:tblW w:w="0" w:type="auto"/>
        <w:tblLook w:val="04A0" w:firstRow="1" w:lastRow="0" w:firstColumn="1" w:lastColumn="0" w:noHBand="0" w:noVBand="1"/>
      </w:tblPr>
      <w:tblGrid>
        <w:gridCol w:w="1103"/>
        <w:gridCol w:w="1148"/>
        <w:gridCol w:w="1148"/>
        <w:gridCol w:w="1300"/>
        <w:gridCol w:w="816"/>
        <w:gridCol w:w="1148"/>
        <w:gridCol w:w="1205"/>
        <w:gridCol w:w="1148"/>
      </w:tblGrid>
      <w:tr w:rsidR="000676F2" w:rsidRPr="005C46A2" w14:paraId="3357646D" w14:textId="77777777" w:rsidTr="000465E8">
        <w:tc>
          <w:tcPr>
            <w:tcW w:w="1103" w:type="dxa"/>
          </w:tcPr>
          <w:p w14:paraId="6C98C167" w14:textId="77777777" w:rsidR="000676F2" w:rsidRPr="005C46A2" w:rsidRDefault="000676F2" w:rsidP="00495C74">
            <w:pPr>
              <w:spacing w:line="240" w:lineRule="auto"/>
              <w:jc w:val="both"/>
              <w:rPr>
                <w:rFonts w:eastAsia="Calibri"/>
                <w:sz w:val="22"/>
                <w:szCs w:val="22"/>
              </w:rPr>
            </w:pPr>
          </w:p>
        </w:tc>
        <w:tc>
          <w:tcPr>
            <w:tcW w:w="7913" w:type="dxa"/>
            <w:gridSpan w:val="7"/>
          </w:tcPr>
          <w:p w14:paraId="3B407864"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men FAOs?</w:t>
            </w:r>
          </w:p>
        </w:tc>
      </w:tr>
      <w:tr w:rsidR="000676F2" w:rsidRPr="005C46A2" w14:paraId="738DD2A2" w14:textId="77777777" w:rsidTr="000676F2">
        <w:tc>
          <w:tcPr>
            <w:tcW w:w="1103" w:type="dxa"/>
            <w:shd w:val="clear" w:color="auto" w:fill="D9D9D9"/>
          </w:tcPr>
          <w:p w14:paraId="3AB48A1B"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3B2305D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49A4401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48" w:type="dxa"/>
            <w:shd w:val="clear" w:color="auto" w:fill="D9D9D9"/>
          </w:tcPr>
          <w:p w14:paraId="3D3B2ED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22808CF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300" w:type="dxa"/>
            <w:shd w:val="clear" w:color="auto" w:fill="D9D9D9"/>
          </w:tcPr>
          <w:p w14:paraId="38AD265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65A5ABE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16" w:type="dxa"/>
            <w:shd w:val="clear" w:color="auto" w:fill="D9D9D9"/>
          </w:tcPr>
          <w:p w14:paraId="1FC1A3C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62B3D1D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278718A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04CA755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205" w:type="dxa"/>
            <w:shd w:val="clear" w:color="auto" w:fill="D9D9D9"/>
          </w:tcPr>
          <w:p w14:paraId="6603A7C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354840B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48" w:type="dxa"/>
            <w:shd w:val="clear" w:color="auto" w:fill="D9D9D9"/>
          </w:tcPr>
          <w:p w14:paraId="2FE80BB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7415634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30660625" w14:textId="77777777" w:rsidTr="000465E8">
        <w:tc>
          <w:tcPr>
            <w:tcW w:w="1103" w:type="dxa"/>
          </w:tcPr>
          <w:p w14:paraId="22D69434" w14:textId="77777777" w:rsidR="000676F2" w:rsidRPr="005C46A2" w:rsidRDefault="000676F2" w:rsidP="00495C74">
            <w:pPr>
              <w:spacing w:line="240" w:lineRule="auto"/>
              <w:jc w:val="both"/>
              <w:rPr>
                <w:rFonts w:eastAsia="Calibri"/>
                <w:sz w:val="22"/>
                <w:szCs w:val="22"/>
              </w:rPr>
            </w:pPr>
          </w:p>
        </w:tc>
        <w:tc>
          <w:tcPr>
            <w:tcW w:w="7913" w:type="dxa"/>
            <w:gridSpan w:val="7"/>
          </w:tcPr>
          <w:p w14:paraId="1D005267"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men FAOs?</w:t>
            </w:r>
          </w:p>
        </w:tc>
      </w:tr>
      <w:tr w:rsidR="000676F2" w:rsidRPr="005C46A2" w14:paraId="2C92A308" w14:textId="77777777" w:rsidTr="000676F2">
        <w:tc>
          <w:tcPr>
            <w:tcW w:w="1103" w:type="dxa"/>
            <w:shd w:val="clear" w:color="auto" w:fill="D9D9D9"/>
          </w:tcPr>
          <w:p w14:paraId="55069348"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784D02D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3D72586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8" w:type="dxa"/>
            <w:shd w:val="clear" w:color="auto" w:fill="D9D9D9"/>
          </w:tcPr>
          <w:p w14:paraId="66B65C1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7CF7645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300" w:type="dxa"/>
            <w:shd w:val="clear" w:color="auto" w:fill="D9D9D9"/>
          </w:tcPr>
          <w:p w14:paraId="39D1988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38D63A8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16" w:type="dxa"/>
            <w:shd w:val="clear" w:color="auto" w:fill="D9D9D9"/>
          </w:tcPr>
          <w:p w14:paraId="0D91318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1626D18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6A400F3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36938FA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205" w:type="dxa"/>
            <w:shd w:val="clear" w:color="auto" w:fill="D9D9D9"/>
          </w:tcPr>
          <w:p w14:paraId="55FB1D7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1DA6144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48" w:type="dxa"/>
            <w:shd w:val="clear" w:color="auto" w:fill="D9D9D9"/>
          </w:tcPr>
          <w:p w14:paraId="0763DA0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1CB0254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10853104" w14:textId="77777777" w:rsidR="000676F2" w:rsidRPr="005C46A2" w:rsidRDefault="000676F2" w:rsidP="00495C74">
      <w:pPr>
        <w:spacing w:line="259" w:lineRule="auto"/>
        <w:jc w:val="both"/>
        <w:rPr>
          <w:rFonts w:eastAsia="Calibri"/>
          <w:sz w:val="20"/>
          <w:szCs w:val="20"/>
        </w:rPr>
      </w:pPr>
    </w:p>
    <w:tbl>
      <w:tblPr>
        <w:tblStyle w:val="TableGrid"/>
        <w:tblW w:w="0" w:type="auto"/>
        <w:tblLook w:val="04A0" w:firstRow="1" w:lastRow="0" w:firstColumn="1" w:lastColumn="0" w:noHBand="0" w:noVBand="1"/>
      </w:tblPr>
      <w:tblGrid>
        <w:gridCol w:w="1103"/>
        <w:gridCol w:w="1148"/>
        <w:gridCol w:w="1148"/>
        <w:gridCol w:w="1300"/>
        <w:gridCol w:w="816"/>
        <w:gridCol w:w="1148"/>
        <w:gridCol w:w="1205"/>
        <w:gridCol w:w="1148"/>
      </w:tblGrid>
      <w:tr w:rsidR="000676F2" w:rsidRPr="005C46A2" w14:paraId="579B73A3" w14:textId="77777777" w:rsidTr="000465E8">
        <w:tc>
          <w:tcPr>
            <w:tcW w:w="1103" w:type="dxa"/>
          </w:tcPr>
          <w:p w14:paraId="60B62863" w14:textId="77777777" w:rsidR="000676F2" w:rsidRPr="005C46A2" w:rsidRDefault="000676F2" w:rsidP="00495C74">
            <w:pPr>
              <w:spacing w:line="240" w:lineRule="auto"/>
              <w:jc w:val="both"/>
              <w:rPr>
                <w:rFonts w:eastAsia="Calibri"/>
                <w:sz w:val="22"/>
                <w:szCs w:val="22"/>
              </w:rPr>
            </w:pPr>
          </w:p>
        </w:tc>
        <w:tc>
          <w:tcPr>
            <w:tcW w:w="7913" w:type="dxa"/>
            <w:gridSpan w:val="7"/>
          </w:tcPr>
          <w:p w14:paraId="4738582C"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FAOs who are gender diverse?</w:t>
            </w:r>
          </w:p>
        </w:tc>
      </w:tr>
      <w:tr w:rsidR="000676F2" w:rsidRPr="005C46A2" w14:paraId="7B4FB113" w14:textId="77777777" w:rsidTr="000676F2">
        <w:tc>
          <w:tcPr>
            <w:tcW w:w="1103" w:type="dxa"/>
            <w:shd w:val="clear" w:color="auto" w:fill="D9D9D9"/>
          </w:tcPr>
          <w:p w14:paraId="01B02463"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5D709A3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43D92F4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48" w:type="dxa"/>
            <w:shd w:val="clear" w:color="auto" w:fill="D9D9D9"/>
          </w:tcPr>
          <w:p w14:paraId="7DF7E54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2A24966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300" w:type="dxa"/>
            <w:shd w:val="clear" w:color="auto" w:fill="D9D9D9"/>
          </w:tcPr>
          <w:p w14:paraId="58AA1E8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1161A3E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16" w:type="dxa"/>
            <w:shd w:val="clear" w:color="auto" w:fill="D9D9D9"/>
          </w:tcPr>
          <w:p w14:paraId="69D937E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4D43274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2445F69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2B1253C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205" w:type="dxa"/>
            <w:shd w:val="clear" w:color="auto" w:fill="D9D9D9"/>
          </w:tcPr>
          <w:p w14:paraId="7925C1D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388AB4F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48" w:type="dxa"/>
            <w:shd w:val="clear" w:color="auto" w:fill="D9D9D9"/>
          </w:tcPr>
          <w:p w14:paraId="3C4E443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219C114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53331234" w14:textId="77777777" w:rsidTr="000465E8">
        <w:tc>
          <w:tcPr>
            <w:tcW w:w="1103" w:type="dxa"/>
          </w:tcPr>
          <w:p w14:paraId="3B490F67" w14:textId="77777777" w:rsidR="000676F2" w:rsidRPr="005C46A2" w:rsidRDefault="000676F2" w:rsidP="00495C74">
            <w:pPr>
              <w:spacing w:line="240" w:lineRule="auto"/>
              <w:jc w:val="both"/>
              <w:rPr>
                <w:rFonts w:eastAsia="Calibri"/>
                <w:sz w:val="22"/>
                <w:szCs w:val="22"/>
              </w:rPr>
            </w:pPr>
          </w:p>
        </w:tc>
        <w:tc>
          <w:tcPr>
            <w:tcW w:w="7913" w:type="dxa"/>
            <w:gridSpan w:val="7"/>
          </w:tcPr>
          <w:p w14:paraId="7CE0B2AA"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FAOs who are gender diverse?</w:t>
            </w:r>
          </w:p>
        </w:tc>
      </w:tr>
      <w:tr w:rsidR="000676F2" w:rsidRPr="005C46A2" w14:paraId="1BA71809" w14:textId="77777777" w:rsidTr="000676F2">
        <w:tc>
          <w:tcPr>
            <w:tcW w:w="1103" w:type="dxa"/>
            <w:shd w:val="clear" w:color="auto" w:fill="D9D9D9"/>
          </w:tcPr>
          <w:p w14:paraId="694E24D6"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75E81EA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64EDB32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8" w:type="dxa"/>
            <w:shd w:val="clear" w:color="auto" w:fill="D9D9D9"/>
          </w:tcPr>
          <w:p w14:paraId="0DFDE29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5FE9858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300" w:type="dxa"/>
            <w:shd w:val="clear" w:color="auto" w:fill="D9D9D9"/>
          </w:tcPr>
          <w:p w14:paraId="1CB4765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522DC45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16" w:type="dxa"/>
            <w:shd w:val="clear" w:color="auto" w:fill="D9D9D9"/>
          </w:tcPr>
          <w:p w14:paraId="40D1654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3C26B5A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34127F6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44ADBEA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205" w:type="dxa"/>
            <w:shd w:val="clear" w:color="auto" w:fill="D9D9D9"/>
          </w:tcPr>
          <w:p w14:paraId="5877BD4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04A5E20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48" w:type="dxa"/>
            <w:shd w:val="clear" w:color="auto" w:fill="D9D9D9"/>
          </w:tcPr>
          <w:p w14:paraId="6ADD031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3BCBFC9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7451D48D" w14:textId="77777777" w:rsidR="000676F2" w:rsidRPr="005C46A2" w:rsidRDefault="000676F2" w:rsidP="00495C74">
      <w:pPr>
        <w:spacing w:line="259" w:lineRule="auto"/>
        <w:jc w:val="both"/>
        <w:rPr>
          <w:rFonts w:eastAsia="Calibri"/>
          <w:sz w:val="20"/>
          <w:szCs w:val="20"/>
        </w:rPr>
      </w:pPr>
    </w:p>
    <w:p w14:paraId="025429C6" w14:textId="77777777" w:rsidR="000676F2" w:rsidRPr="005C46A2" w:rsidRDefault="000676F2" w:rsidP="00495C74">
      <w:pPr>
        <w:spacing w:line="259" w:lineRule="auto"/>
        <w:jc w:val="both"/>
        <w:rPr>
          <w:rFonts w:eastAsia="Calibri"/>
          <w:sz w:val="20"/>
          <w:szCs w:val="20"/>
        </w:rPr>
      </w:pPr>
      <w:r w:rsidRPr="005C46A2">
        <w:rPr>
          <w:rFonts w:eastAsia="Calibri"/>
          <w:sz w:val="20"/>
          <w:szCs w:val="20"/>
        </w:rPr>
        <w:t>What are your thoughts on this approach when working with FAOs who are women, men, or gender diverse?</w:t>
      </w:r>
    </w:p>
    <w:tbl>
      <w:tblPr>
        <w:tblStyle w:val="TableGrid"/>
        <w:tblW w:w="0" w:type="auto"/>
        <w:tblLook w:val="04A0" w:firstRow="1" w:lastRow="0" w:firstColumn="1" w:lastColumn="0" w:noHBand="0" w:noVBand="1"/>
      </w:tblPr>
      <w:tblGrid>
        <w:gridCol w:w="9016"/>
      </w:tblGrid>
      <w:tr w:rsidR="000676F2" w:rsidRPr="005C46A2" w14:paraId="4176CB75" w14:textId="77777777" w:rsidTr="000465E8">
        <w:tc>
          <w:tcPr>
            <w:tcW w:w="9016" w:type="dxa"/>
          </w:tcPr>
          <w:p w14:paraId="71D350D7" w14:textId="77777777" w:rsidR="000676F2" w:rsidRPr="005C46A2" w:rsidRDefault="000676F2" w:rsidP="00495C74">
            <w:pPr>
              <w:spacing w:line="240" w:lineRule="auto"/>
              <w:jc w:val="both"/>
              <w:rPr>
                <w:rFonts w:eastAsia="Calibri"/>
                <w:sz w:val="20"/>
                <w:szCs w:val="20"/>
              </w:rPr>
            </w:pPr>
          </w:p>
          <w:p w14:paraId="52D145FD" w14:textId="77777777" w:rsidR="000676F2" w:rsidRPr="005C46A2" w:rsidRDefault="000676F2" w:rsidP="00495C74">
            <w:pPr>
              <w:spacing w:line="240" w:lineRule="auto"/>
              <w:jc w:val="both"/>
              <w:rPr>
                <w:rFonts w:eastAsia="Calibri"/>
                <w:sz w:val="20"/>
                <w:szCs w:val="20"/>
              </w:rPr>
            </w:pPr>
          </w:p>
        </w:tc>
      </w:tr>
    </w:tbl>
    <w:p w14:paraId="05682B76" w14:textId="77777777" w:rsidR="000676F2" w:rsidRPr="005C46A2" w:rsidRDefault="000676F2" w:rsidP="00495C74">
      <w:pPr>
        <w:pBdr>
          <w:bottom w:val="single" w:sz="12" w:space="1" w:color="auto"/>
        </w:pBdr>
        <w:spacing w:line="259" w:lineRule="auto"/>
        <w:jc w:val="both"/>
        <w:rPr>
          <w:rFonts w:eastAsia="Calibri"/>
          <w:sz w:val="20"/>
          <w:szCs w:val="20"/>
        </w:rPr>
      </w:pPr>
    </w:p>
    <w:p w14:paraId="08580D2F" w14:textId="77777777" w:rsidR="000676F2" w:rsidRPr="005C46A2" w:rsidRDefault="000676F2" w:rsidP="00495C74">
      <w:pPr>
        <w:spacing w:line="259" w:lineRule="auto"/>
        <w:jc w:val="both"/>
        <w:rPr>
          <w:rFonts w:eastAsia="Calibri"/>
          <w:b/>
          <w:bCs/>
          <w:i/>
          <w:iCs/>
          <w:sz w:val="20"/>
          <w:szCs w:val="20"/>
        </w:rPr>
      </w:pPr>
      <w:r w:rsidRPr="005C46A2">
        <w:rPr>
          <w:rFonts w:eastAsia="Calibri"/>
          <w:b/>
          <w:bCs/>
          <w:i/>
          <w:iCs/>
          <w:sz w:val="20"/>
          <w:szCs w:val="20"/>
        </w:rPr>
        <w:t>PAGE 14</w:t>
      </w:r>
    </w:p>
    <w:p w14:paraId="34FE8A35" w14:textId="77777777" w:rsidR="000676F2" w:rsidRPr="005C46A2" w:rsidRDefault="000676F2" w:rsidP="00495C74">
      <w:pPr>
        <w:spacing w:line="259" w:lineRule="auto"/>
        <w:jc w:val="both"/>
        <w:rPr>
          <w:rFonts w:eastAsia="Calibri"/>
          <w:i/>
          <w:iCs/>
          <w:sz w:val="22"/>
          <w:szCs w:val="22"/>
        </w:rPr>
      </w:pPr>
      <w:r w:rsidRPr="005C46A2">
        <w:rPr>
          <w:rFonts w:eastAsia="Calibri"/>
          <w:i/>
          <w:iCs/>
          <w:sz w:val="22"/>
          <w:szCs w:val="22"/>
        </w:rPr>
        <w:t>Central to approach: Improving family relationships will improve the outcomes for the FAO.</w:t>
      </w:r>
    </w:p>
    <w:p w14:paraId="2408EDB2" w14:textId="77777777" w:rsidR="000676F2" w:rsidRPr="005C46A2" w:rsidRDefault="000676F2" w:rsidP="00495C74">
      <w:pPr>
        <w:spacing w:line="259" w:lineRule="auto"/>
        <w:ind w:left="6480"/>
        <w:jc w:val="both"/>
        <w:rPr>
          <w:rFonts w:eastAsia="Calibri"/>
          <w:sz w:val="20"/>
          <w:szCs w:val="20"/>
        </w:rPr>
      </w:pPr>
      <w:r w:rsidRPr="005C46A2">
        <w:rPr>
          <w:rFonts w:eastAsia="Calibri"/>
          <w:sz w:val="20"/>
          <w:szCs w:val="20"/>
        </w:rPr>
        <w:t>(</w:t>
      </w:r>
      <w:r w:rsidRPr="005C46A2">
        <w:rPr>
          <w:rFonts w:eastAsia="Calibri"/>
          <w:i/>
          <w:iCs/>
          <w:sz w:val="16"/>
          <w:szCs w:val="16"/>
        </w:rPr>
        <w:t>Likert questions compulsory</w:t>
      </w:r>
      <w:r w:rsidRPr="005C46A2">
        <w:rPr>
          <w:rFonts w:eastAsia="Calibri"/>
          <w:sz w:val="20"/>
          <w:szCs w:val="20"/>
        </w:rPr>
        <w:t>)</w:t>
      </w:r>
    </w:p>
    <w:tbl>
      <w:tblPr>
        <w:tblStyle w:val="TableGrid"/>
        <w:tblW w:w="0" w:type="auto"/>
        <w:tblLook w:val="04A0" w:firstRow="1" w:lastRow="0" w:firstColumn="1" w:lastColumn="0" w:noHBand="0" w:noVBand="1"/>
      </w:tblPr>
      <w:tblGrid>
        <w:gridCol w:w="1103"/>
        <w:gridCol w:w="1148"/>
        <w:gridCol w:w="1148"/>
        <w:gridCol w:w="1300"/>
        <w:gridCol w:w="816"/>
        <w:gridCol w:w="1148"/>
        <w:gridCol w:w="1205"/>
        <w:gridCol w:w="1148"/>
      </w:tblGrid>
      <w:tr w:rsidR="000676F2" w:rsidRPr="005C46A2" w14:paraId="28BF1EB1" w14:textId="77777777" w:rsidTr="000465E8">
        <w:tc>
          <w:tcPr>
            <w:tcW w:w="1103" w:type="dxa"/>
          </w:tcPr>
          <w:p w14:paraId="0593825C" w14:textId="77777777" w:rsidR="000676F2" w:rsidRPr="005C46A2" w:rsidRDefault="000676F2" w:rsidP="00495C74">
            <w:pPr>
              <w:spacing w:line="240" w:lineRule="auto"/>
              <w:jc w:val="both"/>
              <w:rPr>
                <w:rFonts w:eastAsia="Calibri"/>
                <w:sz w:val="22"/>
                <w:szCs w:val="22"/>
              </w:rPr>
            </w:pPr>
          </w:p>
        </w:tc>
        <w:tc>
          <w:tcPr>
            <w:tcW w:w="7913" w:type="dxa"/>
            <w:gridSpan w:val="7"/>
          </w:tcPr>
          <w:p w14:paraId="06FCBBD9"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young FAOs? (e.g. children)</w:t>
            </w:r>
          </w:p>
        </w:tc>
      </w:tr>
      <w:tr w:rsidR="000676F2" w:rsidRPr="005C46A2" w14:paraId="2FBEBECB" w14:textId="77777777" w:rsidTr="000676F2">
        <w:tc>
          <w:tcPr>
            <w:tcW w:w="1103" w:type="dxa"/>
            <w:shd w:val="clear" w:color="auto" w:fill="D9D9D9"/>
          </w:tcPr>
          <w:p w14:paraId="4709423E"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493F2B7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1773B0D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48" w:type="dxa"/>
            <w:shd w:val="clear" w:color="auto" w:fill="D9D9D9"/>
          </w:tcPr>
          <w:p w14:paraId="4C536FC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37F34EE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300" w:type="dxa"/>
            <w:shd w:val="clear" w:color="auto" w:fill="D9D9D9"/>
          </w:tcPr>
          <w:p w14:paraId="0C26BD3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453519B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16" w:type="dxa"/>
            <w:shd w:val="clear" w:color="auto" w:fill="D9D9D9"/>
          </w:tcPr>
          <w:p w14:paraId="2128EA5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39B3939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39316B8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37F7274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205" w:type="dxa"/>
            <w:shd w:val="clear" w:color="auto" w:fill="D9D9D9"/>
          </w:tcPr>
          <w:p w14:paraId="1FAADE0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7915A45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48" w:type="dxa"/>
            <w:shd w:val="clear" w:color="auto" w:fill="D9D9D9"/>
          </w:tcPr>
          <w:p w14:paraId="4E4D7A1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0D52777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7BE44D9A" w14:textId="77777777" w:rsidTr="000465E8">
        <w:tc>
          <w:tcPr>
            <w:tcW w:w="1103" w:type="dxa"/>
          </w:tcPr>
          <w:p w14:paraId="43AA370E" w14:textId="77777777" w:rsidR="000676F2" w:rsidRPr="005C46A2" w:rsidRDefault="000676F2" w:rsidP="00495C74">
            <w:pPr>
              <w:spacing w:line="240" w:lineRule="auto"/>
              <w:jc w:val="both"/>
              <w:rPr>
                <w:rFonts w:eastAsia="Calibri"/>
                <w:sz w:val="22"/>
                <w:szCs w:val="22"/>
              </w:rPr>
            </w:pPr>
          </w:p>
        </w:tc>
        <w:tc>
          <w:tcPr>
            <w:tcW w:w="7913" w:type="dxa"/>
            <w:gridSpan w:val="7"/>
          </w:tcPr>
          <w:p w14:paraId="740EEE99"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young FAOs? (e.g. children)</w:t>
            </w:r>
          </w:p>
        </w:tc>
      </w:tr>
      <w:tr w:rsidR="000676F2" w:rsidRPr="005C46A2" w14:paraId="274221F7" w14:textId="77777777" w:rsidTr="000676F2">
        <w:tc>
          <w:tcPr>
            <w:tcW w:w="1103" w:type="dxa"/>
            <w:shd w:val="clear" w:color="auto" w:fill="D9D9D9"/>
          </w:tcPr>
          <w:p w14:paraId="00820E0D"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1861BB0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784FC44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8" w:type="dxa"/>
            <w:shd w:val="clear" w:color="auto" w:fill="D9D9D9"/>
          </w:tcPr>
          <w:p w14:paraId="2729652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7A1AF99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300" w:type="dxa"/>
            <w:shd w:val="clear" w:color="auto" w:fill="D9D9D9"/>
          </w:tcPr>
          <w:p w14:paraId="77E6D17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6CFE2BA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16" w:type="dxa"/>
            <w:shd w:val="clear" w:color="auto" w:fill="D9D9D9"/>
          </w:tcPr>
          <w:p w14:paraId="6DDE724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09D2CCF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770DB1A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6364A3D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205" w:type="dxa"/>
            <w:shd w:val="clear" w:color="auto" w:fill="D9D9D9"/>
          </w:tcPr>
          <w:p w14:paraId="26EF339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419C288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48" w:type="dxa"/>
            <w:shd w:val="clear" w:color="auto" w:fill="D9D9D9"/>
          </w:tcPr>
          <w:p w14:paraId="1ECBFE7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12ECF36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r w:rsidR="000676F2" w:rsidRPr="005C46A2" w14:paraId="22C6726B" w14:textId="77777777" w:rsidTr="000465E8">
        <w:tc>
          <w:tcPr>
            <w:tcW w:w="1103" w:type="dxa"/>
          </w:tcPr>
          <w:p w14:paraId="2F1DC404" w14:textId="77777777" w:rsidR="000676F2" w:rsidRPr="005C46A2" w:rsidRDefault="000676F2" w:rsidP="00495C74">
            <w:pPr>
              <w:spacing w:line="240" w:lineRule="auto"/>
              <w:jc w:val="both"/>
              <w:rPr>
                <w:rFonts w:eastAsia="Calibri"/>
                <w:sz w:val="22"/>
                <w:szCs w:val="22"/>
              </w:rPr>
            </w:pPr>
          </w:p>
        </w:tc>
        <w:tc>
          <w:tcPr>
            <w:tcW w:w="7913" w:type="dxa"/>
            <w:gridSpan w:val="7"/>
          </w:tcPr>
          <w:p w14:paraId="23F5ABA4"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older adult FAOs?</w:t>
            </w:r>
          </w:p>
        </w:tc>
      </w:tr>
      <w:tr w:rsidR="000676F2" w:rsidRPr="005C46A2" w14:paraId="73B0A22D" w14:textId="77777777" w:rsidTr="000676F2">
        <w:tc>
          <w:tcPr>
            <w:tcW w:w="1103" w:type="dxa"/>
            <w:shd w:val="clear" w:color="auto" w:fill="D9D9D9"/>
          </w:tcPr>
          <w:p w14:paraId="3220436C"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1AC743D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6981DB5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48" w:type="dxa"/>
            <w:shd w:val="clear" w:color="auto" w:fill="D9D9D9"/>
          </w:tcPr>
          <w:p w14:paraId="35C8120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5767D78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300" w:type="dxa"/>
            <w:shd w:val="clear" w:color="auto" w:fill="D9D9D9"/>
          </w:tcPr>
          <w:p w14:paraId="45C4391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13CF52D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16" w:type="dxa"/>
            <w:shd w:val="clear" w:color="auto" w:fill="D9D9D9"/>
          </w:tcPr>
          <w:p w14:paraId="13AADFE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1D5B43F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514ACE9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3DE466B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205" w:type="dxa"/>
            <w:shd w:val="clear" w:color="auto" w:fill="D9D9D9"/>
          </w:tcPr>
          <w:p w14:paraId="7E45A85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5156EE7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48" w:type="dxa"/>
            <w:shd w:val="clear" w:color="auto" w:fill="D9D9D9"/>
          </w:tcPr>
          <w:p w14:paraId="0F07FAC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402C046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5DAFDFD6" w14:textId="77777777" w:rsidTr="000465E8">
        <w:tc>
          <w:tcPr>
            <w:tcW w:w="1103" w:type="dxa"/>
          </w:tcPr>
          <w:p w14:paraId="5A4A873E" w14:textId="77777777" w:rsidR="000676F2" w:rsidRPr="005C46A2" w:rsidRDefault="000676F2" w:rsidP="00495C74">
            <w:pPr>
              <w:spacing w:line="240" w:lineRule="auto"/>
              <w:jc w:val="both"/>
              <w:rPr>
                <w:rFonts w:eastAsia="Calibri"/>
                <w:sz w:val="22"/>
                <w:szCs w:val="22"/>
              </w:rPr>
            </w:pPr>
          </w:p>
        </w:tc>
        <w:tc>
          <w:tcPr>
            <w:tcW w:w="7913" w:type="dxa"/>
            <w:gridSpan w:val="7"/>
          </w:tcPr>
          <w:p w14:paraId="783328C4"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older adult FAOs?</w:t>
            </w:r>
          </w:p>
        </w:tc>
      </w:tr>
      <w:tr w:rsidR="000676F2" w:rsidRPr="005C46A2" w14:paraId="60A6E5BB" w14:textId="77777777" w:rsidTr="000676F2">
        <w:tc>
          <w:tcPr>
            <w:tcW w:w="1103" w:type="dxa"/>
            <w:shd w:val="clear" w:color="auto" w:fill="D9D9D9"/>
          </w:tcPr>
          <w:p w14:paraId="3F2AFFAA"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6F9EFE5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418F2FE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8" w:type="dxa"/>
            <w:shd w:val="clear" w:color="auto" w:fill="D9D9D9"/>
          </w:tcPr>
          <w:p w14:paraId="2D2EBAD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74C1B95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300" w:type="dxa"/>
            <w:shd w:val="clear" w:color="auto" w:fill="D9D9D9"/>
          </w:tcPr>
          <w:p w14:paraId="46F0418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0A0DD84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16" w:type="dxa"/>
            <w:shd w:val="clear" w:color="auto" w:fill="D9D9D9"/>
          </w:tcPr>
          <w:p w14:paraId="502F745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478EDED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4F07782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6C9A5EA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205" w:type="dxa"/>
            <w:shd w:val="clear" w:color="auto" w:fill="D9D9D9"/>
          </w:tcPr>
          <w:p w14:paraId="792DA2E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66D046E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48" w:type="dxa"/>
            <w:shd w:val="clear" w:color="auto" w:fill="D9D9D9"/>
          </w:tcPr>
          <w:p w14:paraId="5F3DAA1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5BB2425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7DC81BA2" w14:textId="77777777" w:rsidR="000676F2" w:rsidRPr="005C46A2" w:rsidRDefault="000676F2" w:rsidP="00495C74">
      <w:pPr>
        <w:spacing w:line="259" w:lineRule="auto"/>
        <w:jc w:val="both"/>
        <w:rPr>
          <w:rFonts w:eastAsia="Calibri"/>
          <w:sz w:val="20"/>
          <w:szCs w:val="20"/>
        </w:rPr>
      </w:pPr>
    </w:p>
    <w:p w14:paraId="00D91ADA" w14:textId="77777777" w:rsidR="000676F2" w:rsidRPr="005C46A2" w:rsidRDefault="000676F2" w:rsidP="00495C74">
      <w:pPr>
        <w:spacing w:line="259" w:lineRule="auto"/>
        <w:jc w:val="both"/>
        <w:rPr>
          <w:rFonts w:eastAsia="Calibri"/>
          <w:sz w:val="20"/>
          <w:szCs w:val="20"/>
        </w:rPr>
      </w:pPr>
      <w:r w:rsidRPr="005C46A2">
        <w:rPr>
          <w:rFonts w:eastAsia="Calibri"/>
          <w:sz w:val="20"/>
          <w:szCs w:val="20"/>
        </w:rPr>
        <w:t>What are your thoughts on this approach when working with FAOs who are children? Or older adults?</w:t>
      </w:r>
    </w:p>
    <w:tbl>
      <w:tblPr>
        <w:tblStyle w:val="TableGrid"/>
        <w:tblW w:w="0" w:type="auto"/>
        <w:tblLook w:val="04A0" w:firstRow="1" w:lastRow="0" w:firstColumn="1" w:lastColumn="0" w:noHBand="0" w:noVBand="1"/>
      </w:tblPr>
      <w:tblGrid>
        <w:gridCol w:w="9016"/>
      </w:tblGrid>
      <w:tr w:rsidR="000676F2" w:rsidRPr="005C46A2" w14:paraId="0A8A1C3F" w14:textId="77777777" w:rsidTr="000465E8">
        <w:tc>
          <w:tcPr>
            <w:tcW w:w="9016" w:type="dxa"/>
          </w:tcPr>
          <w:p w14:paraId="23E7E08F" w14:textId="77777777" w:rsidR="000676F2" w:rsidRPr="005C46A2" w:rsidRDefault="000676F2" w:rsidP="00495C74">
            <w:pPr>
              <w:spacing w:line="240" w:lineRule="auto"/>
              <w:jc w:val="both"/>
              <w:rPr>
                <w:rFonts w:eastAsia="Calibri"/>
                <w:sz w:val="20"/>
                <w:szCs w:val="20"/>
              </w:rPr>
            </w:pPr>
          </w:p>
          <w:p w14:paraId="119E8CBE" w14:textId="77777777" w:rsidR="000676F2" w:rsidRPr="005C46A2" w:rsidRDefault="000676F2" w:rsidP="00495C74">
            <w:pPr>
              <w:spacing w:line="240" w:lineRule="auto"/>
              <w:jc w:val="both"/>
              <w:rPr>
                <w:rFonts w:eastAsia="Calibri"/>
                <w:sz w:val="20"/>
                <w:szCs w:val="20"/>
              </w:rPr>
            </w:pPr>
          </w:p>
        </w:tc>
      </w:tr>
    </w:tbl>
    <w:p w14:paraId="6F6A5618" w14:textId="77777777" w:rsidR="000676F2" w:rsidRPr="005C46A2" w:rsidRDefault="000676F2" w:rsidP="00495C74">
      <w:pPr>
        <w:pBdr>
          <w:bottom w:val="single" w:sz="12" w:space="1" w:color="auto"/>
        </w:pBdr>
        <w:spacing w:line="259" w:lineRule="auto"/>
        <w:jc w:val="both"/>
        <w:rPr>
          <w:rFonts w:eastAsia="Calibri"/>
          <w:sz w:val="20"/>
          <w:szCs w:val="20"/>
        </w:rPr>
      </w:pPr>
    </w:p>
    <w:p w14:paraId="5D75B790" w14:textId="77777777" w:rsidR="000676F2" w:rsidRPr="005C46A2" w:rsidRDefault="000676F2" w:rsidP="00495C74">
      <w:pPr>
        <w:spacing w:line="259" w:lineRule="auto"/>
        <w:jc w:val="both"/>
        <w:rPr>
          <w:rFonts w:eastAsia="Calibri"/>
          <w:b/>
          <w:bCs/>
          <w:i/>
          <w:iCs/>
          <w:sz w:val="20"/>
          <w:szCs w:val="20"/>
        </w:rPr>
      </w:pPr>
      <w:r w:rsidRPr="005C46A2">
        <w:rPr>
          <w:rFonts w:eastAsia="Calibri"/>
          <w:b/>
          <w:bCs/>
          <w:i/>
          <w:iCs/>
          <w:sz w:val="20"/>
          <w:szCs w:val="20"/>
        </w:rPr>
        <w:t>PAGE 15</w:t>
      </w:r>
    </w:p>
    <w:p w14:paraId="080FF3A5" w14:textId="77777777" w:rsidR="000676F2" w:rsidRPr="005C46A2" w:rsidRDefault="000676F2" w:rsidP="00495C74">
      <w:pPr>
        <w:spacing w:line="259" w:lineRule="auto"/>
        <w:jc w:val="both"/>
        <w:rPr>
          <w:rFonts w:eastAsia="Calibri"/>
          <w:i/>
          <w:iCs/>
          <w:sz w:val="22"/>
          <w:szCs w:val="22"/>
        </w:rPr>
      </w:pPr>
      <w:r w:rsidRPr="005C46A2">
        <w:rPr>
          <w:rFonts w:eastAsia="Calibri"/>
          <w:i/>
          <w:iCs/>
          <w:sz w:val="22"/>
          <w:szCs w:val="22"/>
        </w:rPr>
        <w:t>Central to approach: Improving family relationships will improve the outcomes for the FAO.</w:t>
      </w:r>
    </w:p>
    <w:p w14:paraId="6702BCBB" w14:textId="77777777" w:rsidR="000676F2" w:rsidRPr="005C46A2" w:rsidRDefault="000676F2" w:rsidP="00495C74">
      <w:pPr>
        <w:spacing w:line="259" w:lineRule="auto"/>
        <w:ind w:left="6480"/>
        <w:jc w:val="both"/>
        <w:rPr>
          <w:rFonts w:eastAsia="Calibri"/>
          <w:sz w:val="20"/>
          <w:szCs w:val="20"/>
        </w:rPr>
      </w:pPr>
      <w:r w:rsidRPr="005C46A2">
        <w:rPr>
          <w:rFonts w:eastAsia="Calibri"/>
          <w:sz w:val="20"/>
          <w:szCs w:val="20"/>
        </w:rPr>
        <w:t>(</w:t>
      </w:r>
      <w:r w:rsidRPr="005C46A2">
        <w:rPr>
          <w:rFonts w:eastAsia="Calibri"/>
          <w:i/>
          <w:iCs/>
          <w:sz w:val="16"/>
          <w:szCs w:val="16"/>
        </w:rPr>
        <w:t>Likert questions compulsory</w:t>
      </w:r>
      <w:r w:rsidRPr="005C46A2">
        <w:rPr>
          <w:rFonts w:eastAsia="Calibri"/>
          <w:sz w:val="20"/>
          <w:szCs w:val="20"/>
        </w:rPr>
        <w:t>)</w:t>
      </w:r>
    </w:p>
    <w:tbl>
      <w:tblPr>
        <w:tblStyle w:val="TableGrid"/>
        <w:tblW w:w="0" w:type="auto"/>
        <w:tblLook w:val="04A0" w:firstRow="1" w:lastRow="0" w:firstColumn="1" w:lastColumn="0" w:noHBand="0" w:noVBand="1"/>
      </w:tblPr>
      <w:tblGrid>
        <w:gridCol w:w="1104"/>
        <w:gridCol w:w="1142"/>
        <w:gridCol w:w="1142"/>
        <w:gridCol w:w="1294"/>
        <w:gridCol w:w="857"/>
        <w:gridCol w:w="1142"/>
        <w:gridCol w:w="1193"/>
        <w:gridCol w:w="1142"/>
      </w:tblGrid>
      <w:tr w:rsidR="000676F2" w:rsidRPr="005C46A2" w14:paraId="1C762033" w14:textId="77777777" w:rsidTr="000465E8">
        <w:tc>
          <w:tcPr>
            <w:tcW w:w="1104" w:type="dxa"/>
          </w:tcPr>
          <w:p w14:paraId="6F0F502F" w14:textId="77777777" w:rsidR="000676F2" w:rsidRPr="005C46A2" w:rsidRDefault="000676F2" w:rsidP="00495C74">
            <w:pPr>
              <w:spacing w:line="240" w:lineRule="auto"/>
              <w:jc w:val="both"/>
              <w:rPr>
                <w:rFonts w:eastAsia="Calibri"/>
                <w:sz w:val="22"/>
                <w:szCs w:val="22"/>
              </w:rPr>
            </w:pPr>
          </w:p>
        </w:tc>
        <w:tc>
          <w:tcPr>
            <w:tcW w:w="7912" w:type="dxa"/>
            <w:gridSpan w:val="7"/>
          </w:tcPr>
          <w:p w14:paraId="39841DC0"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Māori FAOs?</w:t>
            </w:r>
          </w:p>
        </w:tc>
      </w:tr>
      <w:tr w:rsidR="000676F2" w:rsidRPr="005C46A2" w14:paraId="297B2F5F" w14:textId="77777777" w:rsidTr="000676F2">
        <w:tc>
          <w:tcPr>
            <w:tcW w:w="1104" w:type="dxa"/>
            <w:shd w:val="clear" w:color="auto" w:fill="D9D9D9"/>
          </w:tcPr>
          <w:p w14:paraId="7ABE0902"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2" w:type="dxa"/>
            <w:shd w:val="clear" w:color="auto" w:fill="D9D9D9"/>
          </w:tcPr>
          <w:p w14:paraId="676C92A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4B43E7E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42" w:type="dxa"/>
            <w:shd w:val="clear" w:color="auto" w:fill="D9D9D9"/>
          </w:tcPr>
          <w:p w14:paraId="0724D98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2BB9912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294" w:type="dxa"/>
            <w:shd w:val="clear" w:color="auto" w:fill="D9D9D9"/>
          </w:tcPr>
          <w:p w14:paraId="0902EDE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506D4AC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57" w:type="dxa"/>
            <w:shd w:val="clear" w:color="auto" w:fill="D9D9D9"/>
          </w:tcPr>
          <w:p w14:paraId="0BDA6CF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5592195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2" w:type="dxa"/>
            <w:shd w:val="clear" w:color="auto" w:fill="D9D9D9"/>
          </w:tcPr>
          <w:p w14:paraId="60E2020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5973C87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193" w:type="dxa"/>
            <w:shd w:val="clear" w:color="auto" w:fill="D9D9D9"/>
          </w:tcPr>
          <w:p w14:paraId="49DD55F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4B38BAE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42" w:type="dxa"/>
            <w:shd w:val="clear" w:color="auto" w:fill="D9D9D9"/>
          </w:tcPr>
          <w:p w14:paraId="5A68052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639A174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71F54CDD" w14:textId="77777777" w:rsidTr="000465E8">
        <w:tc>
          <w:tcPr>
            <w:tcW w:w="1104" w:type="dxa"/>
          </w:tcPr>
          <w:p w14:paraId="75D514AB" w14:textId="77777777" w:rsidR="000676F2" w:rsidRPr="005C46A2" w:rsidRDefault="000676F2" w:rsidP="00495C74">
            <w:pPr>
              <w:spacing w:line="240" w:lineRule="auto"/>
              <w:jc w:val="both"/>
              <w:rPr>
                <w:rFonts w:eastAsia="Calibri"/>
                <w:sz w:val="22"/>
                <w:szCs w:val="22"/>
              </w:rPr>
            </w:pPr>
          </w:p>
        </w:tc>
        <w:tc>
          <w:tcPr>
            <w:tcW w:w="7912" w:type="dxa"/>
            <w:gridSpan w:val="7"/>
          </w:tcPr>
          <w:p w14:paraId="0A86D711"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Māori FAOs?</w:t>
            </w:r>
          </w:p>
        </w:tc>
      </w:tr>
      <w:tr w:rsidR="000676F2" w:rsidRPr="005C46A2" w14:paraId="6E191E7C" w14:textId="77777777" w:rsidTr="000676F2">
        <w:tc>
          <w:tcPr>
            <w:tcW w:w="1104" w:type="dxa"/>
            <w:shd w:val="clear" w:color="auto" w:fill="D9D9D9"/>
          </w:tcPr>
          <w:p w14:paraId="6A92A222"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2" w:type="dxa"/>
            <w:shd w:val="clear" w:color="auto" w:fill="D9D9D9"/>
          </w:tcPr>
          <w:p w14:paraId="1662E94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6B9B934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2" w:type="dxa"/>
            <w:shd w:val="clear" w:color="auto" w:fill="D9D9D9"/>
          </w:tcPr>
          <w:p w14:paraId="4A6E89E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0DAE0F4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294" w:type="dxa"/>
            <w:shd w:val="clear" w:color="auto" w:fill="D9D9D9"/>
          </w:tcPr>
          <w:p w14:paraId="698E04B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0858CBF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57" w:type="dxa"/>
            <w:shd w:val="clear" w:color="auto" w:fill="D9D9D9"/>
          </w:tcPr>
          <w:p w14:paraId="5195552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68F0F9F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2" w:type="dxa"/>
            <w:shd w:val="clear" w:color="auto" w:fill="D9D9D9"/>
          </w:tcPr>
          <w:p w14:paraId="7FB213B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6DAAC93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193" w:type="dxa"/>
            <w:shd w:val="clear" w:color="auto" w:fill="D9D9D9"/>
          </w:tcPr>
          <w:p w14:paraId="4BF6215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3C68EE4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42" w:type="dxa"/>
            <w:shd w:val="clear" w:color="auto" w:fill="D9D9D9"/>
          </w:tcPr>
          <w:p w14:paraId="2089E91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65BF11C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54B3612C" w14:textId="77777777" w:rsidR="000676F2" w:rsidRPr="005C46A2" w:rsidRDefault="000676F2" w:rsidP="00495C74">
      <w:pPr>
        <w:spacing w:line="259" w:lineRule="auto"/>
        <w:jc w:val="both"/>
        <w:rPr>
          <w:rFonts w:eastAsia="Calibri"/>
          <w:sz w:val="20"/>
          <w:szCs w:val="20"/>
        </w:rPr>
      </w:pPr>
    </w:p>
    <w:tbl>
      <w:tblPr>
        <w:tblStyle w:val="TableGrid"/>
        <w:tblW w:w="0" w:type="auto"/>
        <w:tblLook w:val="04A0" w:firstRow="1" w:lastRow="0" w:firstColumn="1" w:lastColumn="0" w:noHBand="0" w:noVBand="1"/>
      </w:tblPr>
      <w:tblGrid>
        <w:gridCol w:w="1104"/>
        <w:gridCol w:w="1142"/>
        <w:gridCol w:w="1142"/>
        <w:gridCol w:w="1294"/>
        <w:gridCol w:w="857"/>
        <w:gridCol w:w="1142"/>
        <w:gridCol w:w="1193"/>
        <w:gridCol w:w="1142"/>
      </w:tblGrid>
      <w:tr w:rsidR="000676F2" w:rsidRPr="005C46A2" w14:paraId="3E42072E" w14:textId="77777777" w:rsidTr="000465E8">
        <w:tc>
          <w:tcPr>
            <w:tcW w:w="1104" w:type="dxa"/>
          </w:tcPr>
          <w:p w14:paraId="00A3C502" w14:textId="77777777" w:rsidR="000676F2" w:rsidRPr="005C46A2" w:rsidRDefault="000676F2" w:rsidP="00495C74">
            <w:pPr>
              <w:spacing w:line="240" w:lineRule="auto"/>
              <w:jc w:val="both"/>
              <w:rPr>
                <w:rFonts w:eastAsia="Calibri"/>
                <w:sz w:val="22"/>
                <w:szCs w:val="22"/>
              </w:rPr>
            </w:pPr>
          </w:p>
        </w:tc>
        <w:tc>
          <w:tcPr>
            <w:tcW w:w="7912" w:type="dxa"/>
            <w:gridSpan w:val="7"/>
          </w:tcPr>
          <w:p w14:paraId="25C9800C"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Pacific FAOs?</w:t>
            </w:r>
          </w:p>
        </w:tc>
      </w:tr>
      <w:tr w:rsidR="000676F2" w:rsidRPr="005C46A2" w14:paraId="63D32419" w14:textId="77777777" w:rsidTr="000676F2">
        <w:tc>
          <w:tcPr>
            <w:tcW w:w="1104" w:type="dxa"/>
            <w:shd w:val="clear" w:color="auto" w:fill="D9D9D9"/>
          </w:tcPr>
          <w:p w14:paraId="061A453F"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2" w:type="dxa"/>
            <w:shd w:val="clear" w:color="auto" w:fill="D9D9D9"/>
          </w:tcPr>
          <w:p w14:paraId="38DF2F4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65262CE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42" w:type="dxa"/>
            <w:shd w:val="clear" w:color="auto" w:fill="D9D9D9"/>
          </w:tcPr>
          <w:p w14:paraId="04969AC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20BB8DF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294" w:type="dxa"/>
            <w:shd w:val="clear" w:color="auto" w:fill="D9D9D9"/>
          </w:tcPr>
          <w:p w14:paraId="564325B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690B7CA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57" w:type="dxa"/>
            <w:shd w:val="clear" w:color="auto" w:fill="D9D9D9"/>
          </w:tcPr>
          <w:p w14:paraId="78BB01D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39418A4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2" w:type="dxa"/>
            <w:shd w:val="clear" w:color="auto" w:fill="D9D9D9"/>
          </w:tcPr>
          <w:p w14:paraId="2262165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2800C87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193" w:type="dxa"/>
            <w:shd w:val="clear" w:color="auto" w:fill="D9D9D9"/>
          </w:tcPr>
          <w:p w14:paraId="4116B56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1F38F64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42" w:type="dxa"/>
            <w:shd w:val="clear" w:color="auto" w:fill="D9D9D9"/>
          </w:tcPr>
          <w:p w14:paraId="674D93F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2631E96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11952FD4" w14:textId="77777777" w:rsidTr="000465E8">
        <w:tc>
          <w:tcPr>
            <w:tcW w:w="1104" w:type="dxa"/>
          </w:tcPr>
          <w:p w14:paraId="361CC892" w14:textId="77777777" w:rsidR="000676F2" w:rsidRPr="005C46A2" w:rsidRDefault="000676F2" w:rsidP="00495C74">
            <w:pPr>
              <w:spacing w:line="240" w:lineRule="auto"/>
              <w:jc w:val="both"/>
              <w:rPr>
                <w:rFonts w:eastAsia="Calibri"/>
                <w:sz w:val="22"/>
                <w:szCs w:val="22"/>
              </w:rPr>
            </w:pPr>
          </w:p>
        </w:tc>
        <w:tc>
          <w:tcPr>
            <w:tcW w:w="7912" w:type="dxa"/>
            <w:gridSpan w:val="7"/>
          </w:tcPr>
          <w:p w14:paraId="09475BB0"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Pacific FAOs?</w:t>
            </w:r>
          </w:p>
        </w:tc>
      </w:tr>
      <w:tr w:rsidR="000676F2" w:rsidRPr="005C46A2" w14:paraId="64FF0BB2" w14:textId="77777777" w:rsidTr="000676F2">
        <w:tc>
          <w:tcPr>
            <w:tcW w:w="1104" w:type="dxa"/>
            <w:shd w:val="clear" w:color="auto" w:fill="D9D9D9"/>
          </w:tcPr>
          <w:p w14:paraId="23589708"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2" w:type="dxa"/>
            <w:shd w:val="clear" w:color="auto" w:fill="D9D9D9"/>
          </w:tcPr>
          <w:p w14:paraId="18A6DE8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54B3CBF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2" w:type="dxa"/>
            <w:shd w:val="clear" w:color="auto" w:fill="D9D9D9"/>
          </w:tcPr>
          <w:p w14:paraId="10A4A44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173F716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294" w:type="dxa"/>
            <w:shd w:val="clear" w:color="auto" w:fill="D9D9D9"/>
          </w:tcPr>
          <w:p w14:paraId="77EDE03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7BC09F5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57" w:type="dxa"/>
            <w:shd w:val="clear" w:color="auto" w:fill="D9D9D9"/>
          </w:tcPr>
          <w:p w14:paraId="27AD86F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471FEB7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2" w:type="dxa"/>
            <w:shd w:val="clear" w:color="auto" w:fill="D9D9D9"/>
          </w:tcPr>
          <w:p w14:paraId="2E998C2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53A3608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193" w:type="dxa"/>
            <w:shd w:val="clear" w:color="auto" w:fill="D9D9D9"/>
          </w:tcPr>
          <w:p w14:paraId="3DBC08F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71B1D73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42" w:type="dxa"/>
            <w:shd w:val="clear" w:color="auto" w:fill="D9D9D9"/>
          </w:tcPr>
          <w:p w14:paraId="4E99EB6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01E90F5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27708C40" w14:textId="77777777" w:rsidR="000676F2" w:rsidRPr="005C46A2" w:rsidRDefault="000676F2" w:rsidP="00495C74">
      <w:pPr>
        <w:spacing w:line="259" w:lineRule="auto"/>
        <w:jc w:val="both"/>
        <w:rPr>
          <w:rFonts w:eastAsia="Calibri"/>
          <w:sz w:val="22"/>
          <w:szCs w:val="22"/>
        </w:rPr>
      </w:pPr>
    </w:p>
    <w:tbl>
      <w:tblPr>
        <w:tblStyle w:val="TableGrid"/>
        <w:tblW w:w="0" w:type="auto"/>
        <w:tblLook w:val="04A0" w:firstRow="1" w:lastRow="0" w:firstColumn="1" w:lastColumn="0" w:noHBand="0" w:noVBand="1"/>
      </w:tblPr>
      <w:tblGrid>
        <w:gridCol w:w="1037"/>
        <w:gridCol w:w="1127"/>
        <w:gridCol w:w="1153"/>
        <w:gridCol w:w="1302"/>
        <w:gridCol w:w="889"/>
        <w:gridCol w:w="1153"/>
        <w:gridCol w:w="1202"/>
        <w:gridCol w:w="1153"/>
      </w:tblGrid>
      <w:tr w:rsidR="000676F2" w:rsidRPr="005C46A2" w14:paraId="0044CDCE" w14:textId="77777777" w:rsidTr="000465E8">
        <w:tc>
          <w:tcPr>
            <w:tcW w:w="1037" w:type="dxa"/>
          </w:tcPr>
          <w:p w14:paraId="23C142E7" w14:textId="77777777" w:rsidR="000676F2" w:rsidRPr="005C46A2" w:rsidRDefault="000676F2" w:rsidP="00495C74">
            <w:pPr>
              <w:spacing w:line="240" w:lineRule="auto"/>
              <w:jc w:val="both"/>
              <w:rPr>
                <w:rFonts w:eastAsia="Calibri"/>
                <w:sz w:val="22"/>
                <w:szCs w:val="22"/>
              </w:rPr>
            </w:pPr>
          </w:p>
        </w:tc>
        <w:tc>
          <w:tcPr>
            <w:tcW w:w="7979" w:type="dxa"/>
            <w:gridSpan w:val="7"/>
          </w:tcPr>
          <w:p w14:paraId="48304E9E"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Asian FAOs?</w:t>
            </w:r>
          </w:p>
        </w:tc>
      </w:tr>
      <w:tr w:rsidR="000676F2" w:rsidRPr="005C46A2" w14:paraId="1186658A" w14:textId="77777777" w:rsidTr="000676F2">
        <w:tc>
          <w:tcPr>
            <w:tcW w:w="1037" w:type="dxa"/>
            <w:shd w:val="clear" w:color="auto" w:fill="D9D9D9"/>
          </w:tcPr>
          <w:p w14:paraId="6A981979"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27" w:type="dxa"/>
            <w:shd w:val="clear" w:color="auto" w:fill="D9D9D9"/>
          </w:tcPr>
          <w:p w14:paraId="6816154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323BBA6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53" w:type="dxa"/>
            <w:shd w:val="clear" w:color="auto" w:fill="D9D9D9"/>
          </w:tcPr>
          <w:p w14:paraId="386B11A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7E9126C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302" w:type="dxa"/>
            <w:shd w:val="clear" w:color="auto" w:fill="D9D9D9"/>
          </w:tcPr>
          <w:p w14:paraId="2188BA5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1560872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89" w:type="dxa"/>
            <w:shd w:val="clear" w:color="auto" w:fill="D9D9D9"/>
          </w:tcPr>
          <w:p w14:paraId="332E835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1A71911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53" w:type="dxa"/>
            <w:shd w:val="clear" w:color="auto" w:fill="D9D9D9"/>
          </w:tcPr>
          <w:p w14:paraId="11D7520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0C72C55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202" w:type="dxa"/>
            <w:shd w:val="clear" w:color="auto" w:fill="D9D9D9"/>
          </w:tcPr>
          <w:p w14:paraId="2A0A4D1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683B353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53" w:type="dxa"/>
            <w:shd w:val="clear" w:color="auto" w:fill="D9D9D9"/>
          </w:tcPr>
          <w:p w14:paraId="4274F64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1C194C0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5CABB973" w14:textId="77777777" w:rsidTr="000465E8">
        <w:tc>
          <w:tcPr>
            <w:tcW w:w="1037" w:type="dxa"/>
          </w:tcPr>
          <w:p w14:paraId="6BF20D10" w14:textId="77777777" w:rsidR="000676F2" w:rsidRPr="005C46A2" w:rsidRDefault="000676F2" w:rsidP="00495C74">
            <w:pPr>
              <w:spacing w:line="240" w:lineRule="auto"/>
              <w:jc w:val="both"/>
              <w:rPr>
                <w:rFonts w:eastAsia="Calibri"/>
                <w:sz w:val="22"/>
                <w:szCs w:val="22"/>
              </w:rPr>
            </w:pPr>
          </w:p>
        </w:tc>
        <w:tc>
          <w:tcPr>
            <w:tcW w:w="7979" w:type="dxa"/>
            <w:gridSpan w:val="7"/>
          </w:tcPr>
          <w:p w14:paraId="3FEC05EA"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Asian FAOs?</w:t>
            </w:r>
          </w:p>
        </w:tc>
      </w:tr>
      <w:tr w:rsidR="000676F2" w:rsidRPr="005C46A2" w14:paraId="2DE9376B" w14:textId="77777777" w:rsidTr="000676F2">
        <w:tc>
          <w:tcPr>
            <w:tcW w:w="1037" w:type="dxa"/>
            <w:shd w:val="clear" w:color="auto" w:fill="D9D9D9"/>
          </w:tcPr>
          <w:p w14:paraId="42F649A4"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27" w:type="dxa"/>
            <w:shd w:val="clear" w:color="auto" w:fill="D9D9D9"/>
          </w:tcPr>
          <w:p w14:paraId="7D7402C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669A685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53" w:type="dxa"/>
            <w:shd w:val="clear" w:color="auto" w:fill="D9D9D9"/>
          </w:tcPr>
          <w:p w14:paraId="4CA20E0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0001DBE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302" w:type="dxa"/>
            <w:shd w:val="clear" w:color="auto" w:fill="D9D9D9"/>
          </w:tcPr>
          <w:p w14:paraId="625DAB7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3E88EFA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89" w:type="dxa"/>
            <w:shd w:val="clear" w:color="auto" w:fill="D9D9D9"/>
          </w:tcPr>
          <w:p w14:paraId="265F543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322F1E7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53" w:type="dxa"/>
            <w:shd w:val="clear" w:color="auto" w:fill="D9D9D9"/>
          </w:tcPr>
          <w:p w14:paraId="54B1B76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40D6501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202" w:type="dxa"/>
            <w:shd w:val="clear" w:color="auto" w:fill="D9D9D9"/>
          </w:tcPr>
          <w:p w14:paraId="78CAB85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140E36A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 xml:space="preserve">Effective </w:t>
            </w:r>
          </w:p>
        </w:tc>
        <w:tc>
          <w:tcPr>
            <w:tcW w:w="1153" w:type="dxa"/>
            <w:shd w:val="clear" w:color="auto" w:fill="D9D9D9"/>
          </w:tcPr>
          <w:p w14:paraId="00543B5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3A74CCF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66FFD17F" w14:textId="77777777" w:rsidR="000676F2" w:rsidRPr="005C46A2" w:rsidRDefault="000676F2" w:rsidP="00495C74">
      <w:pPr>
        <w:spacing w:line="259" w:lineRule="auto"/>
        <w:jc w:val="both"/>
        <w:rPr>
          <w:rFonts w:eastAsia="Calibri"/>
          <w:sz w:val="22"/>
          <w:szCs w:val="22"/>
        </w:rPr>
      </w:pPr>
    </w:p>
    <w:tbl>
      <w:tblPr>
        <w:tblStyle w:val="TableGrid"/>
        <w:tblW w:w="0" w:type="auto"/>
        <w:tblLayout w:type="fixed"/>
        <w:tblLook w:val="04A0" w:firstRow="1" w:lastRow="0" w:firstColumn="1" w:lastColumn="0" w:noHBand="0" w:noVBand="1"/>
      </w:tblPr>
      <w:tblGrid>
        <w:gridCol w:w="1075"/>
        <w:gridCol w:w="1132"/>
        <w:gridCol w:w="1131"/>
        <w:gridCol w:w="1285"/>
        <w:gridCol w:w="826"/>
        <w:gridCol w:w="1131"/>
        <w:gridCol w:w="1245"/>
        <w:gridCol w:w="1191"/>
      </w:tblGrid>
      <w:tr w:rsidR="000676F2" w:rsidRPr="005C46A2" w14:paraId="69CDAF40" w14:textId="77777777" w:rsidTr="000465E8">
        <w:tc>
          <w:tcPr>
            <w:tcW w:w="1075" w:type="dxa"/>
          </w:tcPr>
          <w:p w14:paraId="7F14D5DE" w14:textId="77777777" w:rsidR="000676F2" w:rsidRPr="005C46A2" w:rsidRDefault="000676F2" w:rsidP="00495C74">
            <w:pPr>
              <w:spacing w:line="240" w:lineRule="auto"/>
              <w:jc w:val="both"/>
              <w:rPr>
                <w:rFonts w:eastAsia="Calibri"/>
                <w:sz w:val="22"/>
                <w:szCs w:val="22"/>
              </w:rPr>
            </w:pPr>
          </w:p>
        </w:tc>
        <w:tc>
          <w:tcPr>
            <w:tcW w:w="7941" w:type="dxa"/>
            <w:gridSpan w:val="7"/>
          </w:tcPr>
          <w:p w14:paraId="5D5D9298"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minority or other indigenous FAOs?</w:t>
            </w:r>
          </w:p>
        </w:tc>
      </w:tr>
      <w:tr w:rsidR="000676F2" w:rsidRPr="005C46A2" w14:paraId="6B36890F" w14:textId="77777777" w:rsidTr="000676F2">
        <w:tc>
          <w:tcPr>
            <w:tcW w:w="1075" w:type="dxa"/>
            <w:shd w:val="clear" w:color="auto" w:fill="D9D9D9"/>
          </w:tcPr>
          <w:p w14:paraId="12C928E2"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32" w:type="dxa"/>
            <w:shd w:val="clear" w:color="auto" w:fill="D9D9D9"/>
          </w:tcPr>
          <w:p w14:paraId="4A32188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7EE3D63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31" w:type="dxa"/>
            <w:shd w:val="clear" w:color="auto" w:fill="D9D9D9"/>
          </w:tcPr>
          <w:p w14:paraId="059F1B9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43F2F8B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285" w:type="dxa"/>
            <w:shd w:val="clear" w:color="auto" w:fill="D9D9D9"/>
          </w:tcPr>
          <w:p w14:paraId="5B3CD53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47CD143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26" w:type="dxa"/>
            <w:shd w:val="clear" w:color="auto" w:fill="D9D9D9"/>
          </w:tcPr>
          <w:p w14:paraId="218D95B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4FB654F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31" w:type="dxa"/>
            <w:shd w:val="clear" w:color="auto" w:fill="D9D9D9"/>
          </w:tcPr>
          <w:p w14:paraId="20E76C3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6930437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245" w:type="dxa"/>
            <w:shd w:val="clear" w:color="auto" w:fill="D9D9D9"/>
          </w:tcPr>
          <w:p w14:paraId="7B98136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 Appropriate</w:t>
            </w:r>
          </w:p>
        </w:tc>
        <w:tc>
          <w:tcPr>
            <w:tcW w:w="1191" w:type="dxa"/>
            <w:shd w:val="clear" w:color="auto" w:fill="D9D9D9"/>
          </w:tcPr>
          <w:p w14:paraId="142C351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7EFDD73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31B296BD" w14:textId="77777777" w:rsidTr="000465E8">
        <w:tc>
          <w:tcPr>
            <w:tcW w:w="1075" w:type="dxa"/>
          </w:tcPr>
          <w:p w14:paraId="2634FF42" w14:textId="77777777" w:rsidR="000676F2" w:rsidRPr="005C46A2" w:rsidRDefault="000676F2" w:rsidP="00495C74">
            <w:pPr>
              <w:spacing w:line="240" w:lineRule="auto"/>
              <w:jc w:val="both"/>
              <w:rPr>
                <w:rFonts w:eastAsia="Calibri"/>
                <w:sz w:val="22"/>
                <w:szCs w:val="22"/>
              </w:rPr>
            </w:pPr>
          </w:p>
        </w:tc>
        <w:tc>
          <w:tcPr>
            <w:tcW w:w="7941" w:type="dxa"/>
            <w:gridSpan w:val="7"/>
          </w:tcPr>
          <w:p w14:paraId="5A3155BA"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other minority or other indigenous FAOs?</w:t>
            </w:r>
          </w:p>
        </w:tc>
      </w:tr>
      <w:tr w:rsidR="000676F2" w:rsidRPr="005C46A2" w14:paraId="42DFBB6C" w14:textId="77777777" w:rsidTr="000676F2">
        <w:tc>
          <w:tcPr>
            <w:tcW w:w="1075" w:type="dxa"/>
            <w:shd w:val="clear" w:color="auto" w:fill="D9D9D9"/>
          </w:tcPr>
          <w:p w14:paraId="2B4DA628" w14:textId="77777777" w:rsidR="000676F2" w:rsidRPr="005C46A2" w:rsidRDefault="000676F2" w:rsidP="00495C74">
            <w:pPr>
              <w:spacing w:line="240" w:lineRule="auto"/>
              <w:jc w:val="both"/>
              <w:rPr>
                <w:rFonts w:eastAsia="Calibri"/>
                <w:b/>
                <w:bCs/>
                <w:sz w:val="20"/>
                <w:szCs w:val="20"/>
              </w:rPr>
            </w:pPr>
            <w:r w:rsidRPr="005C46A2">
              <w:rPr>
                <w:rFonts w:eastAsia="Calibri"/>
                <w:b/>
                <w:bCs/>
                <w:sz w:val="20"/>
                <w:szCs w:val="20"/>
              </w:rPr>
              <w:t>Unsure</w:t>
            </w:r>
          </w:p>
        </w:tc>
        <w:tc>
          <w:tcPr>
            <w:tcW w:w="1132" w:type="dxa"/>
            <w:shd w:val="clear" w:color="auto" w:fill="D9D9D9"/>
          </w:tcPr>
          <w:p w14:paraId="5CEC09A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663BEDB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31" w:type="dxa"/>
            <w:shd w:val="clear" w:color="auto" w:fill="D9D9D9"/>
          </w:tcPr>
          <w:p w14:paraId="241B645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49E535C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285" w:type="dxa"/>
            <w:shd w:val="clear" w:color="auto" w:fill="D9D9D9"/>
          </w:tcPr>
          <w:p w14:paraId="794DA4E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32BD25C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26" w:type="dxa"/>
            <w:shd w:val="clear" w:color="auto" w:fill="D9D9D9"/>
          </w:tcPr>
          <w:p w14:paraId="1D5F7C7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7335CE8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31" w:type="dxa"/>
            <w:shd w:val="clear" w:color="auto" w:fill="D9D9D9"/>
          </w:tcPr>
          <w:p w14:paraId="7240AB7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35FFDF4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245" w:type="dxa"/>
            <w:shd w:val="clear" w:color="auto" w:fill="D9D9D9"/>
          </w:tcPr>
          <w:p w14:paraId="3424C2C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0150A03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91" w:type="dxa"/>
            <w:shd w:val="clear" w:color="auto" w:fill="D9D9D9"/>
          </w:tcPr>
          <w:p w14:paraId="0D1FFF2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1F8B6CF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1C25FA36" w14:textId="77777777" w:rsidR="000676F2" w:rsidRPr="005C46A2" w:rsidRDefault="000676F2" w:rsidP="00495C74">
      <w:pPr>
        <w:spacing w:line="259" w:lineRule="auto"/>
        <w:jc w:val="both"/>
        <w:rPr>
          <w:rFonts w:eastAsia="Calibri"/>
          <w:sz w:val="20"/>
          <w:szCs w:val="20"/>
        </w:rPr>
      </w:pPr>
    </w:p>
    <w:p w14:paraId="77FCAED9" w14:textId="77777777" w:rsidR="000676F2" w:rsidRPr="005C46A2" w:rsidRDefault="000676F2" w:rsidP="00495C74">
      <w:pPr>
        <w:spacing w:line="259" w:lineRule="auto"/>
        <w:jc w:val="both"/>
        <w:rPr>
          <w:rFonts w:eastAsia="Calibri"/>
          <w:sz w:val="20"/>
          <w:szCs w:val="20"/>
        </w:rPr>
      </w:pPr>
      <w:r w:rsidRPr="005C46A2">
        <w:rPr>
          <w:rFonts w:eastAsia="Calibri"/>
          <w:sz w:val="20"/>
          <w:szCs w:val="20"/>
        </w:rPr>
        <w:t>What are your thoughts on this approach when working with minority communities?</w:t>
      </w:r>
    </w:p>
    <w:tbl>
      <w:tblPr>
        <w:tblStyle w:val="TableGrid"/>
        <w:tblW w:w="0" w:type="auto"/>
        <w:tblLook w:val="04A0" w:firstRow="1" w:lastRow="0" w:firstColumn="1" w:lastColumn="0" w:noHBand="0" w:noVBand="1"/>
      </w:tblPr>
      <w:tblGrid>
        <w:gridCol w:w="9016"/>
      </w:tblGrid>
      <w:tr w:rsidR="000676F2" w:rsidRPr="005C46A2" w14:paraId="31482CFF" w14:textId="77777777" w:rsidTr="000465E8">
        <w:tc>
          <w:tcPr>
            <w:tcW w:w="9016" w:type="dxa"/>
          </w:tcPr>
          <w:p w14:paraId="33CCB4BE" w14:textId="77777777" w:rsidR="000676F2" w:rsidRPr="005C46A2" w:rsidRDefault="000676F2" w:rsidP="00495C74">
            <w:pPr>
              <w:spacing w:line="240" w:lineRule="auto"/>
              <w:jc w:val="both"/>
              <w:rPr>
                <w:rFonts w:eastAsia="Calibri"/>
                <w:sz w:val="20"/>
                <w:szCs w:val="20"/>
              </w:rPr>
            </w:pPr>
          </w:p>
          <w:p w14:paraId="4F3EA4E1" w14:textId="77777777" w:rsidR="000676F2" w:rsidRPr="005C46A2" w:rsidRDefault="000676F2" w:rsidP="00495C74">
            <w:pPr>
              <w:spacing w:line="240" w:lineRule="auto"/>
              <w:jc w:val="both"/>
              <w:rPr>
                <w:rFonts w:eastAsia="Calibri"/>
                <w:sz w:val="20"/>
                <w:szCs w:val="20"/>
              </w:rPr>
            </w:pPr>
          </w:p>
        </w:tc>
      </w:tr>
    </w:tbl>
    <w:p w14:paraId="38F303A3" w14:textId="77777777" w:rsidR="000676F2" w:rsidRPr="005C46A2" w:rsidRDefault="000676F2" w:rsidP="00495C74">
      <w:pPr>
        <w:pBdr>
          <w:bottom w:val="single" w:sz="12" w:space="1" w:color="auto"/>
        </w:pBdr>
        <w:spacing w:line="259" w:lineRule="auto"/>
        <w:jc w:val="both"/>
        <w:rPr>
          <w:rFonts w:eastAsia="Calibri"/>
          <w:sz w:val="22"/>
          <w:szCs w:val="22"/>
        </w:rPr>
      </w:pPr>
    </w:p>
    <w:p w14:paraId="5DDF4540" w14:textId="77777777" w:rsidR="000676F2" w:rsidRPr="005C46A2" w:rsidRDefault="000676F2" w:rsidP="00495C74">
      <w:pPr>
        <w:spacing w:line="259" w:lineRule="auto"/>
        <w:jc w:val="both"/>
        <w:rPr>
          <w:rFonts w:eastAsia="Calibri"/>
          <w:b/>
          <w:bCs/>
          <w:i/>
          <w:iCs/>
          <w:sz w:val="20"/>
          <w:szCs w:val="20"/>
        </w:rPr>
      </w:pPr>
      <w:r w:rsidRPr="005C46A2">
        <w:rPr>
          <w:rFonts w:eastAsia="Calibri"/>
          <w:b/>
          <w:bCs/>
          <w:i/>
          <w:iCs/>
          <w:sz w:val="20"/>
          <w:szCs w:val="20"/>
        </w:rPr>
        <w:t>PAGE 16</w:t>
      </w:r>
    </w:p>
    <w:p w14:paraId="59709B90" w14:textId="77777777" w:rsidR="000676F2" w:rsidRPr="005C46A2" w:rsidRDefault="000676F2" w:rsidP="00495C74">
      <w:pPr>
        <w:spacing w:line="259" w:lineRule="auto"/>
        <w:jc w:val="both"/>
        <w:rPr>
          <w:rFonts w:eastAsia="Calibri"/>
          <w:i/>
          <w:iCs/>
          <w:sz w:val="22"/>
          <w:szCs w:val="22"/>
        </w:rPr>
      </w:pPr>
      <w:r w:rsidRPr="005C46A2">
        <w:rPr>
          <w:rFonts w:eastAsia="Calibri"/>
          <w:i/>
          <w:iCs/>
          <w:sz w:val="22"/>
          <w:szCs w:val="22"/>
        </w:rPr>
        <w:t>Central to approach: Improving family relationships will improve the outcomes for the FAO.</w:t>
      </w:r>
    </w:p>
    <w:p w14:paraId="500CD20E" w14:textId="77777777" w:rsidR="000676F2" w:rsidRPr="005C46A2" w:rsidRDefault="000676F2" w:rsidP="00495C74">
      <w:pPr>
        <w:spacing w:line="259" w:lineRule="auto"/>
        <w:ind w:left="6480"/>
        <w:jc w:val="both"/>
        <w:rPr>
          <w:rFonts w:eastAsia="Calibri"/>
          <w:sz w:val="20"/>
          <w:szCs w:val="20"/>
        </w:rPr>
      </w:pPr>
      <w:r w:rsidRPr="005C46A2">
        <w:rPr>
          <w:rFonts w:eastAsia="Calibri"/>
          <w:sz w:val="20"/>
          <w:szCs w:val="20"/>
        </w:rPr>
        <w:t>(</w:t>
      </w:r>
      <w:r w:rsidRPr="005C46A2">
        <w:rPr>
          <w:rFonts w:eastAsia="Calibri"/>
          <w:i/>
          <w:iCs/>
          <w:sz w:val="16"/>
          <w:szCs w:val="16"/>
        </w:rPr>
        <w:t>Likert question compulsory</w:t>
      </w:r>
      <w:r w:rsidRPr="005C46A2">
        <w:rPr>
          <w:rFonts w:eastAsia="Calibri"/>
          <w:sz w:val="20"/>
          <w:szCs w:val="20"/>
        </w:rPr>
        <w:t>)</w:t>
      </w:r>
    </w:p>
    <w:tbl>
      <w:tblPr>
        <w:tblStyle w:val="TableGrid"/>
        <w:tblW w:w="0" w:type="auto"/>
        <w:tblLayout w:type="fixed"/>
        <w:tblLook w:val="04A0" w:firstRow="1" w:lastRow="0" w:firstColumn="1" w:lastColumn="0" w:noHBand="0" w:noVBand="1"/>
      </w:tblPr>
      <w:tblGrid>
        <w:gridCol w:w="1075"/>
        <w:gridCol w:w="1980"/>
        <w:gridCol w:w="3870"/>
        <w:gridCol w:w="2091"/>
      </w:tblGrid>
      <w:tr w:rsidR="000676F2" w:rsidRPr="005C46A2" w14:paraId="2D83CDEF" w14:textId="77777777" w:rsidTr="000465E8">
        <w:tc>
          <w:tcPr>
            <w:tcW w:w="1075" w:type="dxa"/>
            <w:tcBorders>
              <w:bottom w:val="single" w:sz="4" w:space="0" w:color="auto"/>
            </w:tcBorders>
          </w:tcPr>
          <w:p w14:paraId="16E34EC3" w14:textId="77777777" w:rsidR="000676F2" w:rsidRPr="005C46A2" w:rsidRDefault="000676F2" w:rsidP="00495C74">
            <w:pPr>
              <w:spacing w:line="240" w:lineRule="auto"/>
              <w:jc w:val="both"/>
              <w:rPr>
                <w:rFonts w:eastAsia="Calibri"/>
                <w:sz w:val="22"/>
                <w:szCs w:val="22"/>
              </w:rPr>
            </w:pPr>
          </w:p>
        </w:tc>
        <w:tc>
          <w:tcPr>
            <w:tcW w:w="7941" w:type="dxa"/>
            <w:gridSpan w:val="3"/>
            <w:tcBorders>
              <w:bottom w:val="single" w:sz="4" w:space="0" w:color="auto"/>
            </w:tcBorders>
          </w:tcPr>
          <w:p w14:paraId="295142FE" w14:textId="77777777" w:rsidR="000676F2" w:rsidRPr="005C46A2" w:rsidRDefault="000676F2" w:rsidP="00495C74">
            <w:pPr>
              <w:spacing w:line="240" w:lineRule="auto"/>
              <w:jc w:val="both"/>
              <w:rPr>
                <w:rFonts w:eastAsia="Calibri"/>
                <w:i/>
                <w:iCs/>
                <w:sz w:val="22"/>
                <w:szCs w:val="22"/>
              </w:rPr>
            </w:pPr>
            <w:r w:rsidRPr="005C46A2">
              <w:rPr>
                <w:rFonts w:eastAsia="Calibri"/>
                <w:sz w:val="22"/>
                <w:szCs w:val="22"/>
              </w:rPr>
              <w:t>To what extent should services be oriented/designed to improve family relationships? (</w:t>
            </w:r>
            <w:r w:rsidRPr="005C46A2">
              <w:rPr>
                <w:rFonts w:eastAsia="Calibri"/>
                <w:i/>
                <w:iCs/>
                <w:sz w:val="22"/>
                <w:szCs w:val="22"/>
              </w:rPr>
              <w:t>move the slider along the scale)</w:t>
            </w:r>
          </w:p>
        </w:tc>
      </w:tr>
      <w:tr w:rsidR="000676F2" w:rsidRPr="005C46A2" w14:paraId="328CA54A" w14:textId="77777777" w:rsidTr="000676F2">
        <w:tc>
          <w:tcPr>
            <w:tcW w:w="1075" w:type="dxa"/>
            <w:tcBorders>
              <w:bottom w:val="nil"/>
            </w:tcBorders>
            <w:shd w:val="clear" w:color="auto" w:fill="D9D9D9"/>
          </w:tcPr>
          <w:p w14:paraId="3480247D"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980" w:type="dxa"/>
            <w:tcBorders>
              <w:bottom w:val="nil"/>
              <w:right w:val="nil"/>
            </w:tcBorders>
            <w:shd w:val="clear" w:color="auto" w:fill="D9D9D9"/>
          </w:tcPr>
          <w:p w14:paraId="3304A10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53A19C2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 xml:space="preserve">Not at all designed / orientated in this way </w:t>
            </w:r>
          </w:p>
        </w:tc>
        <w:tc>
          <w:tcPr>
            <w:tcW w:w="3870" w:type="dxa"/>
            <w:tcBorders>
              <w:left w:val="nil"/>
              <w:bottom w:val="nil"/>
              <w:right w:val="nil"/>
            </w:tcBorders>
            <w:shd w:val="clear" w:color="auto" w:fill="D9D9D9"/>
          </w:tcPr>
          <w:p w14:paraId="79F03026" w14:textId="77777777" w:rsidR="000676F2" w:rsidRPr="005C46A2" w:rsidRDefault="000676F2" w:rsidP="00495C74">
            <w:pPr>
              <w:spacing w:line="240" w:lineRule="auto"/>
              <w:jc w:val="both"/>
              <w:rPr>
                <w:rFonts w:eastAsia="Calibri"/>
                <w:sz w:val="20"/>
                <w:szCs w:val="20"/>
              </w:rPr>
            </w:pPr>
          </w:p>
        </w:tc>
        <w:tc>
          <w:tcPr>
            <w:tcW w:w="2091" w:type="dxa"/>
            <w:tcBorders>
              <w:left w:val="nil"/>
              <w:bottom w:val="nil"/>
            </w:tcBorders>
            <w:shd w:val="clear" w:color="auto" w:fill="D9D9D9"/>
          </w:tcPr>
          <w:p w14:paraId="0E74138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161EB18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Completely designed / orientated in this way</w:t>
            </w:r>
          </w:p>
        </w:tc>
      </w:tr>
      <w:tr w:rsidR="000676F2" w:rsidRPr="005C46A2" w14:paraId="79FDA271" w14:textId="77777777" w:rsidTr="000676F2">
        <w:tc>
          <w:tcPr>
            <w:tcW w:w="1075" w:type="dxa"/>
            <w:tcBorders>
              <w:top w:val="nil"/>
            </w:tcBorders>
            <w:shd w:val="clear" w:color="auto" w:fill="D9D9D9"/>
          </w:tcPr>
          <w:p w14:paraId="58ADD249" w14:textId="77777777" w:rsidR="000676F2" w:rsidRPr="005C46A2" w:rsidRDefault="000676F2" w:rsidP="00495C74">
            <w:pPr>
              <w:spacing w:line="240" w:lineRule="auto"/>
              <w:jc w:val="both"/>
              <w:rPr>
                <w:rFonts w:eastAsia="Calibri"/>
                <w:b/>
                <w:bCs/>
                <w:sz w:val="20"/>
                <w:szCs w:val="20"/>
              </w:rPr>
            </w:pPr>
          </w:p>
          <w:p w14:paraId="1F692286" w14:textId="77777777" w:rsidR="000676F2" w:rsidRPr="005C46A2" w:rsidRDefault="000676F2" w:rsidP="00495C74">
            <w:pPr>
              <w:spacing w:line="240" w:lineRule="auto"/>
              <w:jc w:val="both"/>
              <w:rPr>
                <w:rFonts w:eastAsia="Calibri"/>
                <w:b/>
                <w:bCs/>
                <w:sz w:val="20"/>
                <w:szCs w:val="20"/>
              </w:rPr>
            </w:pPr>
          </w:p>
        </w:tc>
        <w:tc>
          <w:tcPr>
            <w:tcW w:w="7941" w:type="dxa"/>
            <w:gridSpan w:val="3"/>
            <w:tcBorders>
              <w:top w:val="nil"/>
            </w:tcBorders>
            <w:shd w:val="clear" w:color="auto" w:fill="D9D9D9"/>
          </w:tcPr>
          <w:p w14:paraId="1F5E26A7" w14:textId="77777777" w:rsidR="000676F2" w:rsidRPr="005C46A2" w:rsidRDefault="000676F2" w:rsidP="00495C74">
            <w:pPr>
              <w:spacing w:line="240" w:lineRule="auto"/>
              <w:jc w:val="both"/>
              <w:rPr>
                <w:rFonts w:eastAsia="Calibri"/>
                <w:sz w:val="20"/>
                <w:szCs w:val="20"/>
              </w:rPr>
            </w:pPr>
            <w:r w:rsidRPr="005C46A2">
              <w:rPr>
                <w:rFonts w:eastAsia="Calibri"/>
                <w:noProof/>
                <w:sz w:val="20"/>
                <w:szCs w:val="20"/>
              </w:rPr>
              <mc:AlternateContent>
                <mc:Choice Requires="wps">
                  <w:drawing>
                    <wp:anchor distT="0" distB="0" distL="114300" distR="114300" simplePos="0" relativeHeight="251661312" behindDoc="0" locked="0" layoutInCell="1" allowOverlap="1" wp14:anchorId="37AB155F" wp14:editId="395F9DBA">
                      <wp:simplePos x="0" y="0"/>
                      <wp:positionH relativeFrom="column">
                        <wp:posOffset>207729</wp:posOffset>
                      </wp:positionH>
                      <wp:positionV relativeFrom="paragraph">
                        <wp:posOffset>121120</wp:posOffset>
                      </wp:positionV>
                      <wp:extent cx="4558830" cy="45719"/>
                      <wp:effectExtent l="19050" t="19050" r="32385" b="31115"/>
                      <wp:wrapNone/>
                      <wp:docPr id="5" name="Arrow: Left-Right 5"/>
                      <wp:cNvGraphicFramePr/>
                      <a:graphic xmlns:a="http://schemas.openxmlformats.org/drawingml/2006/main">
                        <a:graphicData uri="http://schemas.microsoft.com/office/word/2010/wordprocessingShape">
                          <wps:wsp>
                            <wps:cNvSpPr/>
                            <wps:spPr>
                              <a:xfrm>
                                <a:off x="0" y="0"/>
                                <a:ext cx="4558830" cy="45719"/>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471531" id="Arrow: Left-Right 5" o:spid="_x0000_s1026" type="#_x0000_t69" style="position:absolute;margin-left:16.35pt;margin-top:9.55pt;width:358.95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" adj="108" fillcolor="windowText" strokeweight="1pt"/>
                  </w:pict>
                </mc:Fallback>
              </mc:AlternateContent>
            </w:r>
            <w:r w:rsidRPr="005C46A2">
              <w:rPr>
                <w:rFonts w:eastAsia="Calibri"/>
                <w:noProof/>
                <w:sz w:val="20"/>
                <w:szCs w:val="20"/>
              </w:rPr>
              <mc:AlternateContent>
                <mc:Choice Requires="wps">
                  <w:drawing>
                    <wp:anchor distT="0" distB="0" distL="114300" distR="114300" simplePos="0" relativeHeight="251662336" behindDoc="0" locked="0" layoutInCell="1" allowOverlap="1" wp14:anchorId="2432B599" wp14:editId="486D7DEE">
                      <wp:simplePos x="0" y="0"/>
                      <wp:positionH relativeFrom="column">
                        <wp:posOffset>2355546</wp:posOffset>
                      </wp:positionH>
                      <wp:positionV relativeFrom="paragraph">
                        <wp:posOffset>71755</wp:posOffset>
                      </wp:positionV>
                      <wp:extent cx="127220" cy="135172"/>
                      <wp:effectExtent l="0" t="0" r="25400" b="17780"/>
                      <wp:wrapNone/>
                      <wp:docPr id="6" name="Oval 6"/>
                      <wp:cNvGraphicFramePr/>
                      <a:graphic xmlns:a="http://schemas.openxmlformats.org/drawingml/2006/main">
                        <a:graphicData uri="http://schemas.microsoft.com/office/word/2010/wordprocessingShape">
                          <wps:wsp>
                            <wps:cNvSpPr/>
                            <wps:spPr>
                              <a:xfrm>
                                <a:off x="0" y="0"/>
                                <a:ext cx="127220" cy="13517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891D48" id="Oval 6" o:spid="_x0000_s1026" style="position:absolute;margin-left:185.5pt;margin-top:5.65pt;width:10pt;height:10.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" fillcolor="#4472c4" strokecolor="#2f528f" strokeweight="1pt">
                      <v:stroke joinstyle="miter"/>
                    </v:oval>
                  </w:pict>
                </mc:Fallback>
              </mc:AlternateContent>
            </w:r>
          </w:p>
        </w:tc>
      </w:tr>
      <w:tr w:rsidR="000676F2" w:rsidRPr="005C46A2" w14:paraId="4E050C50" w14:textId="77777777" w:rsidTr="000465E8">
        <w:tc>
          <w:tcPr>
            <w:tcW w:w="1075" w:type="dxa"/>
            <w:shd w:val="clear" w:color="auto" w:fill="auto"/>
          </w:tcPr>
          <w:p w14:paraId="124DB7B9" w14:textId="77777777" w:rsidR="000676F2" w:rsidRPr="005C46A2" w:rsidRDefault="000676F2" w:rsidP="00495C74">
            <w:pPr>
              <w:spacing w:line="240" w:lineRule="auto"/>
              <w:jc w:val="both"/>
              <w:rPr>
                <w:rFonts w:eastAsia="Calibri"/>
                <w:b/>
                <w:bCs/>
                <w:sz w:val="20"/>
                <w:szCs w:val="20"/>
              </w:rPr>
            </w:pPr>
          </w:p>
        </w:tc>
        <w:tc>
          <w:tcPr>
            <w:tcW w:w="7941" w:type="dxa"/>
            <w:gridSpan w:val="3"/>
            <w:shd w:val="clear" w:color="auto" w:fill="auto"/>
          </w:tcPr>
          <w:p w14:paraId="4A8DF29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Please comment:</w:t>
            </w:r>
          </w:p>
          <w:p w14:paraId="42A1A35D" w14:textId="77777777" w:rsidR="000676F2" w:rsidRPr="005C46A2" w:rsidRDefault="000676F2" w:rsidP="00495C74">
            <w:pPr>
              <w:spacing w:line="240" w:lineRule="auto"/>
              <w:jc w:val="both"/>
              <w:rPr>
                <w:rFonts w:eastAsia="Calibri"/>
                <w:sz w:val="20"/>
                <w:szCs w:val="20"/>
              </w:rPr>
            </w:pPr>
          </w:p>
        </w:tc>
      </w:tr>
    </w:tbl>
    <w:p w14:paraId="32B637A0" w14:textId="77777777" w:rsidR="000676F2" w:rsidRPr="005C46A2" w:rsidRDefault="000676F2" w:rsidP="00495C74">
      <w:pPr>
        <w:spacing w:line="259" w:lineRule="auto"/>
        <w:jc w:val="both"/>
        <w:rPr>
          <w:rFonts w:eastAsia="Calibri"/>
          <w:sz w:val="22"/>
          <w:szCs w:val="22"/>
        </w:rPr>
      </w:pPr>
    </w:p>
    <w:p w14:paraId="1380B172"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 xml:space="preserve">From your perspective, what evidence is lacking/needed to inform the design of services to support FAOs to influence the individual who is gambling? </w:t>
      </w:r>
    </w:p>
    <w:tbl>
      <w:tblPr>
        <w:tblStyle w:val="TableGrid"/>
        <w:tblW w:w="0" w:type="auto"/>
        <w:tblInd w:w="-5" w:type="dxa"/>
        <w:tblLook w:val="04A0" w:firstRow="1" w:lastRow="0" w:firstColumn="1" w:lastColumn="0" w:noHBand="0" w:noVBand="1"/>
      </w:tblPr>
      <w:tblGrid>
        <w:gridCol w:w="9021"/>
      </w:tblGrid>
      <w:tr w:rsidR="000676F2" w:rsidRPr="005C46A2" w14:paraId="6F83CE88" w14:textId="77777777" w:rsidTr="000465E8">
        <w:tc>
          <w:tcPr>
            <w:tcW w:w="9021" w:type="dxa"/>
          </w:tcPr>
          <w:p w14:paraId="4B241E5B" w14:textId="77777777" w:rsidR="000676F2" w:rsidRPr="005C46A2" w:rsidRDefault="000676F2" w:rsidP="00495C74">
            <w:pPr>
              <w:spacing w:line="240" w:lineRule="auto"/>
              <w:contextualSpacing/>
              <w:jc w:val="both"/>
              <w:rPr>
                <w:rFonts w:eastAsia="Calibri"/>
                <w:sz w:val="22"/>
                <w:szCs w:val="22"/>
              </w:rPr>
            </w:pPr>
            <w:r w:rsidRPr="005C46A2">
              <w:rPr>
                <w:rFonts w:eastAsia="Calibri"/>
                <w:sz w:val="22"/>
                <w:szCs w:val="22"/>
              </w:rPr>
              <w:t>Please comment:</w:t>
            </w:r>
          </w:p>
          <w:p w14:paraId="43AD6EE3" w14:textId="77777777" w:rsidR="000676F2" w:rsidRPr="005C46A2" w:rsidRDefault="000676F2" w:rsidP="00495C74">
            <w:pPr>
              <w:spacing w:line="240" w:lineRule="auto"/>
              <w:contextualSpacing/>
              <w:jc w:val="both"/>
              <w:rPr>
                <w:rFonts w:eastAsia="Calibri"/>
                <w:sz w:val="22"/>
                <w:szCs w:val="22"/>
              </w:rPr>
            </w:pPr>
          </w:p>
        </w:tc>
      </w:tr>
    </w:tbl>
    <w:p w14:paraId="2E972FF8" w14:textId="77777777" w:rsidR="000676F2" w:rsidRPr="005C46A2" w:rsidRDefault="000676F2" w:rsidP="00495C74">
      <w:pPr>
        <w:pBdr>
          <w:bottom w:val="single" w:sz="12" w:space="1" w:color="auto"/>
        </w:pBdr>
        <w:spacing w:line="259" w:lineRule="auto"/>
        <w:jc w:val="both"/>
        <w:rPr>
          <w:rFonts w:ascii="Calibri" w:eastAsia="Calibri" w:hAnsi="Calibri"/>
          <w:sz w:val="22"/>
          <w:szCs w:val="22"/>
        </w:rPr>
      </w:pPr>
    </w:p>
    <w:p w14:paraId="7917FA9B" w14:textId="77777777" w:rsidR="000676F2" w:rsidRPr="005C46A2" w:rsidRDefault="000676F2" w:rsidP="00495C74">
      <w:pPr>
        <w:spacing w:line="259" w:lineRule="auto"/>
        <w:jc w:val="both"/>
        <w:rPr>
          <w:rFonts w:eastAsia="Calibri"/>
          <w:b/>
          <w:bCs/>
          <w:i/>
          <w:iCs/>
          <w:sz w:val="20"/>
          <w:szCs w:val="20"/>
        </w:rPr>
      </w:pPr>
      <w:r w:rsidRPr="005C46A2">
        <w:rPr>
          <w:rFonts w:eastAsia="Calibri"/>
          <w:b/>
          <w:bCs/>
          <w:i/>
          <w:iCs/>
          <w:sz w:val="20"/>
          <w:szCs w:val="20"/>
        </w:rPr>
        <w:t>PAGE 17</w:t>
      </w:r>
    </w:p>
    <w:p w14:paraId="27F61162" w14:textId="77777777" w:rsidR="000676F2" w:rsidRPr="005C46A2" w:rsidRDefault="000676F2" w:rsidP="00A52A05">
      <w:pPr>
        <w:pStyle w:val="ListParagraph"/>
        <w:numPr>
          <w:ilvl w:val="0"/>
          <w:numId w:val="13"/>
        </w:numPr>
        <w:jc w:val="both"/>
        <w:rPr>
          <w:b/>
          <w:bCs/>
        </w:rPr>
      </w:pPr>
      <w:r w:rsidRPr="005C46A2">
        <w:rPr>
          <w:b/>
          <w:bCs/>
        </w:rPr>
        <w:t>Supporting FAOs to enhance their own wellbeing</w:t>
      </w:r>
    </w:p>
    <w:p w14:paraId="2605A6DB" w14:textId="77777777" w:rsidR="000676F2" w:rsidRPr="005C46A2" w:rsidRDefault="000676F2" w:rsidP="00495C74">
      <w:pPr>
        <w:spacing w:line="259" w:lineRule="auto"/>
        <w:jc w:val="both"/>
        <w:rPr>
          <w:rFonts w:eastAsia="Calibri"/>
          <w:sz w:val="22"/>
          <w:szCs w:val="22"/>
        </w:rPr>
      </w:pPr>
      <w:r w:rsidRPr="005C46A2">
        <w:rPr>
          <w:rFonts w:eastAsia="Calibri"/>
          <w:i/>
          <w:iCs/>
          <w:sz w:val="22"/>
          <w:szCs w:val="22"/>
        </w:rPr>
        <w:t>Central to approach: Focus of support is the FAO wellbeing regardless of whether or how the individual with the gambling problem changes or seeks help.</w:t>
      </w:r>
    </w:p>
    <w:p w14:paraId="41DEF99F" w14:textId="77777777" w:rsidR="000676F2" w:rsidRPr="005C46A2" w:rsidRDefault="000676F2" w:rsidP="00495C74">
      <w:pPr>
        <w:spacing w:line="259" w:lineRule="auto"/>
        <w:jc w:val="both"/>
        <w:rPr>
          <w:rFonts w:eastAsia="Calibri"/>
          <w:sz w:val="22"/>
          <w:szCs w:val="22"/>
        </w:rPr>
      </w:pPr>
    </w:p>
    <w:p w14:paraId="221B2F57" w14:textId="77777777" w:rsidR="000676F2" w:rsidRPr="005C46A2" w:rsidRDefault="000676F2" w:rsidP="00495C74">
      <w:pPr>
        <w:spacing w:line="259" w:lineRule="auto"/>
        <w:jc w:val="both"/>
        <w:rPr>
          <w:rFonts w:eastAsia="Calibri"/>
          <w:i/>
          <w:iCs/>
          <w:sz w:val="22"/>
          <w:szCs w:val="22"/>
        </w:rPr>
      </w:pPr>
      <w:r w:rsidRPr="005C46A2">
        <w:rPr>
          <w:rFonts w:eastAsia="Calibri"/>
          <w:i/>
          <w:iCs/>
          <w:sz w:val="22"/>
          <w:szCs w:val="22"/>
        </w:rPr>
        <w:t>Please consider your role and experience when answering each question. Please write as much as little as you feel necessary to answer the question. If a question is not relevant to you, select or write N/A.</w:t>
      </w:r>
    </w:p>
    <w:p w14:paraId="07F3E9A3" w14:textId="77777777" w:rsidR="000676F2" w:rsidRPr="005C46A2" w:rsidRDefault="000676F2" w:rsidP="00495C74">
      <w:pPr>
        <w:spacing w:line="259" w:lineRule="auto"/>
        <w:jc w:val="both"/>
        <w:rPr>
          <w:rFonts w:eastAsia="Calibri"/>
          <w:i/>
          <w:iCs/>
          <w:sz w:val="22"/>
          <w:szCs w:val="22"/>
        </w:rPr>
      </w:pPr>
      <w:r w:rsidRPr="005C46A2">
        <w:rPr>
          <w:rFonts w:eastAsia="Calibri"/>
          <w:i/>
          <w:iCs/>
          <w:sz w:val="22"/>
          <w:szCs w:val="22"/>
        </w:rPr>
        <w:t>NOTE: The Likert questions require an answer, the open-ended question can be left blank if you do not wish to comment.</w:t>
      </w:r>
    </w:p>
    <w:p w14:paraId="3356BB34" w14:textId="77777777" w:rsidR="000676F2" w:rsidRPr="005C46A2" w:rsidRDefault="000676F2" w:rsidP="00495C74">
      <w:pPr>
        <w:spacing w:line="259" w:lineRule="auto"/>
        <w:jc w:val="both"/>
        <w:rPr>
          <w:rFonts w:eastAsia="Calibri"/>
          <w:sz w:val="22"/>
          <w:szCs w:val="22"/>
        </w:rPr>
      </w:pPr>
    </w:p>
    <w:p w14:paraId="21587B15" w14:textId="77777777" w:rsidR="000676F2" w:rsidRPr="005C46A2" w:rsidRDefault="000676F2" w:rsidP="00495C74">
      <w:pPr>
        <w:spacing w:line="259" w:lineRule="auto"/>
        <w:jc w:val="both"/>
        <w:rPr>
          <w:rFonts w:eastAsia="Calibri"/>
          <w:sz w:val="22"/>
          <w:szCs w:val="22"/>
        </w:rPr>
      </w:pPr>
    </w:p>
    <w:p w14:paraId="5A768927"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Please list examples of interventions you are familiar with that ‘support FAOs to enhance their own wellbeing’</w:t>
      </w:r>
    </w:p>
    <w:tbl>
      <w:tblPr>
        <w:tblStyle w:val="TableGrid"/>
        <w:tblW w:w="0" w:type="auto"/>
        <w:tblInd w:w="-5" w:type="dxa"/>
        <w:tblLook w:val="04A0" w:firstRow="1" w:lastRow="0" w:firstColumn="1" w:lastColumn="0" w:noHBand="0" w:noVBand="1"/>
      </w:tblPr>
      <w:tblGrid>
        <w:gridCol w:w="9021"/>
      </w:tblGrid>
      <w:tr w:rsidR="000676F2" w:rsidRPr="005C46A2" w14:paraId="55405EF7" w14:textId="77777777" w:rsidTr="000465E8">
        <w:tc>
          <w:tcPr>
            <w:tcW w:w="9021" w:type="dxa"/>
          </w:tcPr>
          <w:p w14:paraId="107883AC" w14:textId="77777777" w:rsidR="000676F2" w:rsidRPr="005C46A2" w:rsidRDefault="000676F2" w:rsidP="00495C74">
            <w:pPr>
              <w:spacing w:line="240" w:lineRule="auto"/>
              <w:contextualSpacing/>
              <w:jc w:val="both"/>
              <w:rPr>
                <w:rFonts w:eastAsia="Calibri"/>
                <w:sz w:val="22"/>
                <w:szCs w:val="22"/>
              </w:rPr>
            </w:pPr>
            <w:r w:rsidRPr="005C46A2">
              <w:rPr>
                <w:rFonts w:eastAsia="Calibri"/>
                <w:sz w:val="22"/>
                <w:szCs w:val="22"/>
              </w:rPr>
              <w:t>Please comment:</w:t>
            </w:r>
          </w:p>
          <w:p w14:paraId="7A60238A" w14:textId="77777777" w:rsidR="000676F2" w:rsidRPr="005C46A2" w:rsidRDefault="000676F2" w:rsidP="00495C74">
            <w:pPr>
              <w:spacing w:line="240" w:lineRule="auto"/>
              <w:contextualSpacing/>
              <w:jc w:val="both"/>
              <w:rPr>
                <w:rFonts w:eastAsia="Calibri"/>
                <w:sz w:val="22"/>
                <w:szCs w:val="22"/>
              </w:rPr>
            </w:pPr>
          </w:p>
        </w:tc>
      </w:tr>
    </w:tbl>
    <w:p w14:paraId="2188110F" w14:textId="77777777" w:rsidR="000676F2" w:rsidRPr="005C46A2" w:rsidRDefault="000676F2" w:rsidP="00495C74">
      <w:pPr>
        <w:spacing w:line="259" w:lineRule="auto"/>
        <w:jc w:val="both"/>
        <w:rPr>
          <w:rFonts w:eastAsia="Calibri"/>
          <w:sz w:val="22"/>
          <w:szCs w:val="22"/>
        </w:rPr>
      </w:pPr>
    </w:p>
    <w:p w14:paraId="7C03326E"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 xml:space="preserve">What are the key outcomes for FAOs, of intervention approaches that ‘support FAOs to enhance their own wellbeing’? </w:t>
      </w:r>
    </w:p>
    <w:tbl>
      <w:tblPr>
        <w:tblStyle w:val="TableGrid"/>
        <w:tblW w:w="0" w:type="auto"/>
        <w:tblInd w:w="-5" w:type="dxa"/>
        <w:tblLook w:val="04A0" w:firstRow="1" w:lastRow="0" w:firstColumn="1" w:lastColumn="0" w:noHBand="0" w:noVBand="1"/>
      </w:tblPr>
      <w:tblGrid>
        <w:gridCol w:w="9021"/>
      </w:tblGrid>
      <w:tr w:rsidR="000676F2" w:rsidRPr="005C46A2" w14:paraId="4E29452F" w14:textId="77777777" w:rsidTr="000465E8">
        <w:tc>
          <w:tcPr>
            <w:tcW w:w="9021" w:type="dxa"/>
          </w:tcPr>
          <w:p w14:paraId="21B298D4" w14:textId="77777777" w:rsidR="000676F2" w:rsidRPr="005C46A2" w:rsidRDefault="000676F2" w:rsidP="00495C74">
            <w:pPr>
              <w:spacing w:line="240" w:lineRule="auto"/>
              <w:contextualSpacing/>
              <w:jc w:val="both"/>
              <w:rPr>
                <w:rFonts w:eastAsia="Calibri"/>
                <w:sz w:val="22"/>
                <w:szCs w:val="22"/>
              </w:rPr>
            </w:pPr>
            <w:r w:rsidRPr="005C46A2">
              <w:rPr>
                <w:rFonts w:eastAsia="Calibri"/>
                <w:sz w:val="22"/>
                <w:szCs w:val="22"/>
              </w:rPr>
              <w:t>Please comment:</w:t>
            </w:r>
          </w:p>
          <w:p w14:paraId="5B9DC206" w14:textId="77777777" w:rsidR="000676F2" w:rsidRPr="005C46A2" w:rsidRDefault="000676F2" w:rsidP="00495C74">
            <w:pPr>
              <w:spacing w:line="240" w:lineRule="auto"/>
              <w:contextualSpacing/>
              <w:jc w:val="both"/>
              <w:rPr>
                <w:rFonts w:eastAsia="Calibri"/>
                <w:sz w:val="22"/>
                <w:szCs w:val="22"/>
              </w:rPr>
            </w:pPr>
          </w:p>
        </w:tc>
      </w:tr>
    </w:tbl>
    <w:p w14:paraId="204FF039" w14:textId="77777777" w:rsidR="000676F2" w:rsidRPr="005C46A2" w:rsidRDefault="000676F2" w:rsidP="00495C74">
      <w:pPr>
        <w:spacing w:line="259" w:lineRule="auto"/>
        <w:jc w:val="both"/>
        <w:rPr>
          <w:rFonts w:eastAsia="Calibri"/>
          <w:sz w:val="22"/>
          <w:szCs w:val="22"/>
        </w:rPr>
      </w:pPr>
    </w:p>
    <w:tbl>
      <w:tblPr>
        <w:tblStyle w:val="TableGrid"/>
        <w:tblW w:w="0" w:type="auto"/>
        <w:tblLook w:val="04A0" w:firstRow="1" w:lastRow="0" w:firstColumn="1" w:lastColumn="0" w:noHBand="0" w:noVBand="1"/>
      </w:tblPr>
      <w:tblGrid>
        <w:gridCol w:w="962"/>
        <w:gridCol w:w="1130"/>
        <w:gridCol w:w="1131"/>
        <w:gridCol w:w="1260"/>
        <w:gridCol w:w="1062"/>
        <w:gridCol w:w="1190"/>
        <w:gridCol w:w="1150"/>
        <w:gridCol w:w="1131"/>
      </w:tblGrid>
      <w:tr w:rsidR="000676F2" w:rsidRPr="005C46A2" w14:paraId="1D1209C3" w14:textId="77777777" w:rsidTr="000465E8">
        <w:tc>
          <w:tcPr>
            <w:tcW w:w="885" w:type="dxa"/>
          </w:tcPr>
          <w:p w14:paraId="35BF6D82" w14:textId="77777777" w:rsidR="000676F2" w:rsidRPr="005C46A2" w:rsidRDefault="000676F2" w:rsidP="00495C74">
            <w:pPr>
              <w:spacing w:line="240" w:lineRule="auto"/>
              <w:jc w:val="both"/>
              <w:rPr>
                <w:rFonts w:eastAsia="Calibri"/>
                <w:sz w:val="22"/>
                <w:szCs w:val="22"/>
              </w:rPr>
            </w:pPr>
            <w:r w:rsidRPr="005C46A2">
              <w:rPr>
                <w:rFonts w:eastAsia="Calibri"/>
                <w:sz w:val="18"/>
                <w:szCs w:val="18"/>
              </w:rPr>
              <w:t>(</w:t>
            </w:r>
            <w:r w:rsidRPr="005C46A2">
              <w:rPr>
                <w:rFonts w:eastAsia="Calibri"/>
                <w:i/>
                <w:iCs/>
                <w:sz w:val="14"/>
                <w:szCs w:val="14"/>
              </w:rPr>
              <w:t>Compulsory Question</w:t>
            </w:r>
            <w:r w:rsidRPr="005C46A2">
              <w:rPr>
                <w:rFonts w:eastAsia="Calibri"/>
                <w:sz w:val="18"/>
                <w:szCs w:val="18"/>
              </w:rPr>
              <w:t>)</w:t>
            </w:r>
          </w:p>
        </w:tc>
        <w:tc>
          <w:tcPr>
            <w:tcW w:w="8131" w:type="dxa"/>
            <w:gridSpan w:val="7"/>
          </w:tcPr>
          <w:p w14:paraId="0BD8F3EA"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Please rate how effective you think interventions are that focus on supporting FAOs to enhance their own wellbeing</w:t>
            </w:r>
          </w:p>
        </w:tc>
      </w:tr>
      <w:tr w:rsidR="000676F2" w:rsidRPr="005C46A2" w14:paraId="252C55D0" w14:textId="77777777" w:rsidTr="000676F2">
        <w:tc>
          <w:tcPr>
            <w:tcW w:w="885" w:type="dxa"/>
            <w:shd w:val="clear" w:color="auto" w:fill="D9D9D9"/>
          </w:tcPr>
          <w:p w14:paraId="580D48B1" w14:textId="77777777" w:rsidR="000676F2" w:rsidRPr="005C46A2" w:rsidRDefault="000676F2" w:rsidP="00495C74">
            <w:pPr>
              <w:spacing w:line="240" w:lineRule="auto"/>
              <w:jc w:val="both"/>
              <w:rPr>
                <w:rFonts w:eastAsia="Calibri"/>
                <w:b/>
                <w:bCs/>
                <w:sz w:val="20"/>
                <w:szCs w:val="20"/>
              </w:rPr>
            </w:pPr>
            <w:r w:rsidRPr="005C46A2">
              <w:rPr>
                <w:rFonts w:eastAsia="Calibri"/>
                <w:b/>
                <w:bCs/>
                <w:sz w:val="20"/>
                <w:szCs w:val="20"/>
              </w:rPr>
              <w:lastRenderedPageBreak/>
              <w:t>N/A</w:t>
            </w:r>
          </w:p>
          <w:p w14:paraId="10AA99C0" w14:textId="77777777" w:rsidR="000676F2" w:rsidRPr="005C46A2" w:rsidRDefault="000676F2" w:rsidP="00495C74">
            <w:pPr>
              <w:spacing w:line="240" w:lineRule="auto"/>
              <w:jc w:val="both"/>
              <w:rPr>
                <w:rFonts w:eastAsia="Calibri"/>
                <w:b/>
                <w:bCs/>
                <w:sz w:val="20"/>
                <w:szCs w:val="20"/>
              </w:rPr>
            </w:pPr>
            <w:r w:rsidRPr="005C46A2">
              <w:rPr>
                <w:rFonts w:eastAsia="Calibri"/>
                <w:b/>
                <w:bCs/>
                <w:sz w:val="20"/>
                <w:szCs w:val="20"/>
              </w:rPr>
              <w:t xml:space="preserve"> or</w:t>
            </w:r>
          </w:p>
          <w:p w14:paraId="7BD9205B" w14:textId="77777777" w:rsidR="000676F2" w:rsidRPr="005C46A2" w:rsidRDefault="000676F2" w:rsidP="00495C74">
            <w:pPr>
              <w:spacing w:line="240" w:lineRule="auto"/>
              <w:jc w:val="both"/>
              <w:rPr>
                <w:rFonts w:eastAsia="Calibri"/>
                <w:b/>
                <w:bCs/>
                <w:sz w:val="20"/>
                <w:szCs w:val="20"/>
              </w:rPr>
            </w:pPr>
            <w:r w:rsidRPr="005C46A2">
              <w:rPr>
                <w:rFonts w:eastAsia="Calibri"/>
                <w:b/>
                <w:bCs/>
                <w:sz w:val="20"/>
                <w:szCs w:val="20"/>
              </w:rPr>
              <w:t>unsure</w:t>
            </w:r>
          </w:p>
        </w:tc>
        <w:tc>
          <w:tcPr>
            <w:tcW w:w="1142" w:type="dxa"/>
            <w:shd w:val="clear" w:color="auto" w:fill="D9D9D9"/>
          </w:tcPr>
          <w:p w14:paraId="53BB397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5097A3F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3" w:type="dxa"/>
            <w:shd w:val="clear" w:color="auto" w:fill="D9D9D9"/>
          </w:tcPr>
          <w:p w14:paraId="6479A3C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298DD95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270" w:type="dxa"/>
            <w:shd w:val="clear" w:color="auto" w:fill="D9D9D9"/>
          </w:tcPr>
          <w:p w14:paraId="41D7F80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1554314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1075" w:type="dxa"/>
            <w:shd w:val="clear" w:color="auto" w:fill="D9D9D9"/>
          </w:tcPr>
          <w:p w14:paraId="59F3B58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7588E1F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97" w:type="dxa"/>
            <w:shd w:val="clear" w:color="auto" w:fill="D9D9D9"/>
          </w:tcPr>
          <w:p w14:paraId="1F52020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2825521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161" w:type="dxa"/>
            <w:shd w:val="clear" w:color="auto" w:fill="D9D9D9"/>
          </w:tcPr>
          <w:p w14:paraId="3ACBEE8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3C89F87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 xml:space="preserve">Effective </w:t>
            </w:r>
          </w:p>
        </w:tc>
        <w:tc>
          <w:tcPr>
            <w:tcW w:w="1143" w:type="dxa"/>
            <w:shd w:val="clear" w:color="auto" w:fill="D9D9D9"/>
          </w:tcPr>
          <w:p w14:paraId="140E0E7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7A4E33F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r w:rsidR="000676F2" w:rsidRPr="005C46A2" w14:paraId="4E1C0C9B" w14:textId="77777777" w:rsidTr="000465E8">
        <w:tc>
          <w:tcPr>
            <w:tcW w:w="885" w:type="dxa"/>
          </w:tcPr>
          <w:p w14:paraId="30E4C057" w14:textId="77777777" w:rsidR="000676F2" w:rsidRPr="005C46A2" w:rsidRDefault="000676F2" w:rsidP="00495C74">
            <w:pPr>
              <w:spacing w:line="240" w:lineRule="auto"/>
              <w:jc w:val="both"/>
              <w:rPr>
                <w:rFonts w:eastAsia="Calibri"/>
                <w:sz w:val="20"/>
                <w:szCs w:val="20"/>
              </w:rPr>
            </w:pPr>
          </w:p>
        </w:tc>
        <w:tc>
          <w:tcPr>
            <w:tcW w:w="8131" w:type="dxa"/>
            <w:gridSpan w:val="7"/>
          </w:tcPr>
          <w:p w14:paraId="52B390C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Please comment:</w:t>
            </w:r>
          </w:p>
          <w:p w14:paraId="4DC65E4A" w14:textId="77777777" w:rsidR="000676F2" w:rsidRPr="005C46A2" w:rsidRDefault="000676F2" w:rsidP="00495C74">
            <w:pPr>
              <w:spacing w:line="240" w:lineRule="auto"/>
              <w:jc w:val="both"/>
              <w:rPr>
                <w:rFonts w:eastAsia="Calibri"/>
                <w:sz w:val="20"/>
                <w:szCs w:val="20"/>
              </w:rPr>
            </w:pPr>
          </w:p>
        </w:tc>
      </w:tr>
    </w:tbl>
    <w:p w14:paraId="251C7A57" w14:textId="77777777" w:rsidR="000676F2" w:rsidRPr="005C46A2" w:rsidRDefault="000676F2" w:rsidP="00495C74">
      <w:pPr>
        <w:spacing w:line="259" w:lineRule="auto"/>
        <w:jc w:val="both"/>
        <w:rPr>
          <w:rFonts w:eastAsia="Calibri"/>
          <w:sz w:val="20"/>
          <w:szCs w:val="20"/>
        </w:rPr>
      </w:pPr>
    </w:p>
    <w:p w14:paraId="508E21E3"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What are the key elements of effective interventions to ‘support FAOs to influence the person who is gambling’?</w:t>
      </w:r>
    </w:p>
    <w:tbl>
      <w:tblPr>
        <w:tblStyle w:val="TableGrid"/>
        <w:tblW w:w="0" w:type="auto"/>
        <w:tblInd w:w="-5" w:type="dxa"/>
        <w:tblLook w:val="04A0" w:firstRow="1" w:lastRow="0" w:firstColumn="1" w:lastColumn="0" w:noHBand="0" w:noVBand="1"/>
      </w:tblPr>
      <w:tblGrid>
        <w:gridCol w:w="9021"/>
      </w:tblGrid>
      <w:tr w:rsidR="000676F2" w:rsidRPr="005C46A2" w14:paraId="0ADD91E9" w14:textId="77777777" w:rsidTr="000465E8">
        <w:tc>
          <w:tcPr>
            <w:tcW w:w="9021" w:type="dxa"/>
          </w:tcPr>
          <w:p w14:paraId="77B6E9D6" w14:textId="77777777" w:rsidR="000676F2" w:rsidRPr="005C46A2" w:rsidRDefault="000676F2" w:rsidP="00495C74">
            <w:pPr>
              <w:spacing w:line="240" w:lineRule="auto"/>
              <w:contextualSpacing/>
              <w:jc w:val="both"/>
              <w:rPr>
                <w:rFonts w:eastAsia="Calibri"/>
                <w:sz w:val="22"/>
                <w:szCs w:val="22"/>
              </w:rPr>
            </w:pPr>
            <w:r w:rsidRPr="005C46A2">
              <w:rPr>
                <w:rFonts w:eastAsia="Calibri"/>
                <w:sz w:val="22"/>
                <w:szCs w:val="22"/>
              </w:rPr>
              <w:t>Please comment:</w:t>
            </w:r>
          </w:p>
          <w:p w14:paraId="3F35B7EB" w14:textId="77777777" w:rsidR="000676F2" w:rsidRPr="005C46A2" w:rsidRDefault="000676F2" w:rsidP="00495C74">
            <w:pPr>
              <w:spacing w:line="240" w:lineRule="auto"/>
              <w:contextualSpacing/>
              <w:jc w:val="both"/>
              <w:rPr>
                <w:rFonts w:eastAsia="Calibri"/>
                <w:sz w:val="22"/>
                <w:szCs w:val="22"/>
              </w:rPr>
            </w:pPr>
          </w:p>
        </w:tc>
      </w:tr>
    </w:tbl>
    <w:p w14:paraId="71333B75" w14:textId="77777777" w:rsidR="000676F2" w:rsidRPr="005C46A2" w:rsidRDefault="000676F2" w:rsidP="00495C74">
      <w:pPr>
        <w:pBdr>
          <w:bottom w:val="single" w:sz="12" w:space="1" w:color="auto"/>
        </w:pBdr>
        <w:spacing w:line="259" w:lineRule="auto"/>
        <w:jc w:val="both"/>
        <w:rPr>
          <w:rFonts w:eastAsia="Calibri"/>
          <w:sz w:val="22"/>
          <w:szCs w:val="22"/>
        </w:rPr>
      </w:pPr>
    </w:p>
    <w:p w14:paraId="557CF0F6" w14:textId="77777777" w:rsidR="000676F2" w:rsidRPr="005C46A2" w:rsidRDefault="000676F2" w:rsidP="00495C74">
      <w:pPr>
        <w:spacing w:line="259" w:lineRule="auto"/>
        <w:jc w:val="both"/>
        <w:rPr>
          <w:rFonts w:eastAsia="Calibri"/>
          <w:b/>
          <w:bCs/>
          <w:i/>
          <w:iCs/>
          <w:sz w:val="20"/>
          <w:szCs w:val="20"/>
        </w:rPr>
      </w:pPr>
      <w:r w:rsidRPr="005C46A2">
        <w:rPr>
          <w:rFonts w:eastAsia="Calibri"/>
          <w:b/>
          <w:bCs/>
          <w:i/>
          <w:iCs/>
          <w:sz w:val="20"/>
          <w:szCs w:val="20"/>
        </w:rPr>
        <w:t>PAGE 18</w:t>
      </w:r>
    </w:p>
    <w:p w14:paraId="3534F824" w14:textId="77777777" w:rsidR="000676F2" w:rsidRPr="005C46A2" w:rsidRDefault="000676F2" w:rsidP="00495C74">
      <w:pPr>
        <w:spacing w:line="259" w:lineRule="auto"/>
        <w:jc w:val="both"/>
        <w:rPr>
          <w:rFonts w:eastAsia="Calibri"/>
          <w:sz w:val="22"/>
          <w:szCs w:val="22"/>
        </w:rPr>
      </w:pPr>
      <w:r w:rsidRPr="005C46A2">
        <w:rPr>
          <w:rFonts w:eastAsia="Calibri"/>
          <w:i/>
          <w:iCs/>
          <w:sz w:val="22"/>
          <w:szCs w:val="22"/>
        </w:rPr>
        <w:t>Central to approach: Focus of support is FAO wellbeing regardless of whether or how the individual with the gambling problem changes or seeks help.</w:t>
      </w:r>
    </w:p>
    <w:p w14:paraId="4C2050B3" w14:textId="77777777" w:rsidR="000676F2" w:rsidRPr="005C46A2" w:rsidRDefault="000676F2" w:rsidP="00495C74">
      <w:pPr>
        <w:spacing w:line="259" w:lineRule="auto"/>
        <w:ind w:left="6480"/>
        <w:jc w:val="both"/>
        <w:rPr>
          <w:rFonts w:eastAsia="Calibri"/>
          <w:sz w:val="20"/>
          <w:szCs w:val="20"/>
        </w:rPr>
      </w:pPr>
      <w:r w:rsidRPr="005C46A2">
        <w:rPr>
          <w:rFonts w:eastAsia="Calibri"/>
          <w:sz w:val="20"/>
          <w:szCs w:val="20"/>
        </w:rPr>
        <w:t>(</w:t>
      </w:r>
      <w:r w:rsidRPr="005C46A2">
        <w:rPr>
          <w:rFonts w:eastAsia="Calibri"/>
          <w:i/>
          <w:iCs/>
          <w:sz w:val="16"/>
          <w:szCs w:val="16"/>
        </w:rPr>
        <w:t>Likert questions compulsory</w:t>
      </w:r>
      <w:r w:rsidRPr="005C46A2">
        <w:rPr>
          <w:rFonts w:eastAsia="Calibri"/>
          <w:sz w:val="20"/>
          <w:szCs w:val="20"/>
        </w:rPr>
        <w:t>)</w:t>
      </w:r>
    </w:p>
    <w:tbl>
      <w:tblPr>
        <w:tblStyle w:val="TableGrid"/>
        <w:tblW w:w="0" w:type="auto"/>
        <w:tblLook w:val="04A0" w:firstRow="1" w:lastRow="0" w:firstColumn="1" w:lastColumn="0" w:noHBand="0" w:noVBand="1"/>
      </w:tblPr>
      <w:tblGrid>
        <w:gridCol w:w="1226"/>
        <w:gridCol w:w="1127"/>
        <w:gridCol w:w="1127"/>
        <w:gridCol w:w="1283"/>
        <w:gridCol w:w="816"/>
        <w:gridCol w:w="1127"/>
        <w:gridCol w:w="1183"/>
        <w:gridCol w:w="1127"/>
      </w:tblGrid>
      <w:tr w:rsidR="000676F2" w:rsidRPr="005C46A2" w14:paraId="2CA9855D" w14:textId="77777777" w:rsidTr="000465E8">
        <w:tc>
          <w:tcPr>
            <w:tcW w:w="1343" w:type="dxa"/>
          </w:tcPr>
          <w:p w14:paraId="0EC4B1C8" w14:textId="77777777" w:rsidR="000676F2" w:rsidRPr="005C46A2" w:rsidRDefault="000676F2" w:rsidP="00495C74">
            <w:pPr>
              <w:spacing w:line="240" w:lineRule="auto"/>
              <w:jc w:val="both"/>
              <w:rPr>
                <w:rFonts w:eastAsia="Calibri"/>
                <w:sz w:val="22"/>
                <w:szCs w:val="22"/>
              </w:rPr>
            </w:pPr>
          </w:p>
        </w:tc>
        <w:tc>
          <w:tcPr>
            <w:tcW w:w="7673" w:type="dxa"/>
            <w:gridSpan w:val="7"/>
          </w:tcPr>
          <w:p w14:paraId="2AE4F576"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FAOs who are women?</w:t>
            </w:r>
          </w:p>
        </w:tc>
      </w:tr>
      <w:tr w:rsidR="000676F2" w:rsidRPr="005C46A2" w14:paraId="7121A600" w14:textId="77777777" w:rsidTr="000676F2">
        <w:tc>
          <w:tcPr>
            <w:tcW w:w="1343" w:type="dxa"/>
            <w:shd w:val="clear" w:color="auto" w:fill="D9D9D9"/>
          </w:tcPr>
          <w:p w14:paraId="7E6DFDEC"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10" w:type="dxa"/>
            <w:shd w:val="clear" w:color="auto" w:fill="D9D9D9"/>
          </w:tcPr>
          <w:p w14:paraId="5CB34F5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65F7287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10" w:type="dxa"/>
            <w:shd w:val="clear" w:color="auto" w:fill="D9D9D9"/>
          </w:tcPr>
          <w:p w14:paraId="55D7A2E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4C929EE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263" w:type="dxa"/>
            <w:shd w:val="clear" w:color="auto" w:fill="D9D9D9"/>
          </w:tcPr>
          <w:p w14:paraId="2FE6522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31EAFE1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05" w:type="dxa"/>
            <w:shd w:val="clear" w:color="auto" w:fill="D9D9D9"/>
          </w:tcPr>
          <w:p w14:paraId="1F2249E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017976A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10" w:type="dxa"/>
            <w:shd w:val="clear" w:color="auto" w:fill="D9D9D9"/>
          </w:tcPr>
          <w:p w14:paraId="2BC917A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5C9CD2E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165" w:type="dxa"/>
            <w:shd w:val="clear" w:color="auto" w:fill="D9D9D9"/>
          </w:tcPr>
          <w:p w14:paraId="0753FBF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3BF50CB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10" w:type="dxa"/>
            <w:shd w:val="clear" w:color="auto" w:fill="D9D9D9"/>
          </w:tcPr>
          <w:p w14:paraId="42F4A85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3EEBA4E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6F1B9308" w14:textId="77777777" w:rsidTr="000465E8">
        <w:tc>
          <w:tcPr>
            <w:tcW w:w="1343" w:type="dxa"/>
          </w:tcPr>
          <w:p w14:paraId="32EA52C6" w14:textId="77777777" w:rsidR="000676F2" w:rsidRPr="005C46A2" w:rsidRDefault="000676F2" w:rsidP="00495C74">
            <w:pPr>
              <w:spacing w:line="240" w:lineRule="auto"/>
              <w:jc w:val="both"/>
              <w:rPr>
                <w:rFonts w:eastAsia="Calibri"/>
                <w:sz w:val="22"/>
                <w:szCs w:val="22"/>
              </w:rPr>
            </w:pPr>
          </w:p>
        </w:tc>
        <w:tc>
          <w:tcPr>
            <w:tcW w:w="7673" w:type="dxa"/>
            <w:gridSpan w:val="7"/>
          </w:tcPr>
          <w:p w14:paraId="62764AAC"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women FAOs?</w:t>
            </w:r>
          </w:p>
        </w:tc>
      </w:tr>
      <w:tr w:rsidR="000676F2" w:rsidRPr="005C46A2" w14:paraId="45819AC0" w14:textId="77777777" w:rsidTr="000676F2">
        <w:tc>
          <w:tcPr>
            <w:tcW w:w="1343" w:type="dxa"/>
            <w:shd w:val="clear" w:color="auto" w:fill="D9D9D9"/>
          </w:tcPr>
          <w:p w14:paraId="0FE47EFD"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10" w:type="dxa"/>
            <w:shd w:val="clear" w:color="auto" w:fill="D9D9D9"/>
          </w:tcPr>
          <w:p w14:paraId="4BE864B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2D6D5C4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10" w:type="dxa"/>
            <w:shd w:val="clear" w:color="auto" w:fill="D9D9D9"/>
          </w:tcPr>
          <w:p w14:paraId="577B1EA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2953282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263" w:type="dxa"/>
            <w:shd w:val="clear" w:color="auto" w:fill="D9D9D9"/>
          </w:tcPr>
          <w:p w14:paraId="76396C2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13F75FF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05" w:type="dxa"/>
            <w:shd w:val="clear" w:color="auto" w:fill="D9D9D9"/>
          </w:tcPr>
          <w:p w14:paraId="1429AFB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1E460A2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10" w:type="dxa"/>
            <w:shd w:val="clear" w:color="auto" w:fill="D9D9D9"/>
          </w:tcPr>
          <w:p w14:paraId="7FFFF60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198F049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165" w:type="dxa"/>
            <w:shd w:val="clear" w:color="auto" w:fill="D9D9D9"/>
          </w:tcPr>
          <w:p w14:paraId="1EAF498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45A5915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10" w:type="dxa"/>
            <w:shd w:val="clear" w:color="auto" w:fill="D9D9D9"/>
          </w:tcPr>
          <w:p w14:paraId="7BC6B99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11CB762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181AA200" w14:textId="77777777" w:rsidR="000676F2" w:rsidRPr="005C46A2" w:rsidRDefault="000676F2" w:rsidP="00495C74">
      <w:pPr>
        <w:spacing w:line="259" w:lineRule="auto"/>
        <w:jc w:val="both"/>
        <w:rPr>
          <w:rFonts w:eastAsia="Calibri"/>
          <w:sz w:val="20"/>
          <w:szCs w:val="20"/>
        </w:rPr>
      </w:pPr>
    </w:p>
    <w:tbl>
      <w:tblPr>
        <w:tblStyle w:val="TableGrid"/>
        <w:tblW w:w="0" w:type="auto"/>
        <w:tblLook w:val="04A0" w:firstRow="1" w:lastRow="0" w:firstColumn="1" w:lastColumn="0" w:noHBand="0" w:noVBand="1"/>
      </w:tblPr>
      <w:tblGrid>
        <w:gridCol w:w="1103"/>
        <w:gridCol w:w="1148"/>
        <w:gridCol w:w="1148"/>
        <w:gridCol w:w="1300"/>
        <w:gridCol w:w="816"/>
        <w:gridCol w:w="1148"/>
        <w:gridCol w:w="1205"/>
        <w:gridCol w:w="1148"/>
      </w:tblGrid>
      <w:tr w:rsidR="000676F2" w:rsidRPr="005C46A2" w14:paraId="762DA7F4" w14:textId="77777777" w:rsidTr="000465E8">
        <w:tc>
          <w:tcPr>
            <w:tcW w:w="1103" w:type="dxa"/>
          </w:tcPr>
          <w:p w14:paraId="50C5A334" w14:textId="77777777" w:rsidR="000676F2" w:rsidRPr="005C46A2" w:rsidRDefault="000676F2" w:rsidP="00495C74">
            <w:pPr>
              <w:spacing w:line="240" w:lineRule="auto"/>
              <w:jc w:val="both"/>
              <w:rPr>
                <w:rFonts w:eastAsia="Calibri"/>
                <w:sz w:val="22"/>
                <w:szCs w:val="22"/>
              </w:rPr>
            </w:pPr>
          </w:p>
        </w:tc>
        <w:tc>
          <w:tcPr>
            <w:tcW w:w="7913" w:type="dxa"/>
            <w:gridSpan w:val="7"/>
          </w:tcPr>
          <w:p w14:paraId="4912ED7D"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men FAOs?</w:t>
            </w:r>
          </w:p>
        </w:tc>
      </w:tr>
      <w:tr w:rsidR="000676F2" w:rsidRPr="005C46A2" w14:paraId="7F309FA1" w14:textId="77777777" w:rsidTr="000676F2">
        <w:tc>
          <w:tcPr>
            <w:tcW w:w="1103" w:type="dxa"/>
            <w:shd w:val="clear" w:color="auto" w:fill="D9D9D9"/>
          </w:tcPr>
          <w:p w14:paraId="509129C9"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6BFCDE7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5EEF118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48" w:type="dxa"/>
            <w:shd w:val="clear" w:color="auto" w:fill="D9D9D9"/>
          </w:tcPr>
          <w:p w14:paraId="148179E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462DB24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300" w:type="dxa"/>
            <w:shd w:val="clear" w:color="auto" w:fill="D9D9D9"/>
          </w:tcPr>
          <w:p w14:paraId="621C820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7AB5A15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16" w:type="dxa"/>
            <w:shd w:val="clear" w:color="auto" w:fill="D9D9D9"/>
          </w:tcPr>
          <w:p w14:paraId="24FB22B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516F31B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31D37A5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190970A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205" w:type="dxa"/>
            <w:shd w:val="clear" w:color="auto" w:fill="D9D9D9"/>
          </w:tcPr>
          <w:p w14:paraId="1A3301E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31DD730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48" w:type="dxa"/>
            <w:shd w:val="clear" w:color="auto" w:fill="D9D9D9"/>
          </w:tcPr>
          <w:p w14:paraId="1791D70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50F26C4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033F9547" w14:textId="77777777" w:rsidTr="000465E8">
        <w:tc>
          <w:tcPr>
            <w:tcW w:w="1103" w:type="dxa"/>
          </w:tcPr>
          <w:p w14:paraId="0768DA67" w14:textId="77777777" w:rsidR="000676F2" w:rsidRPr="005C46A2" w:rsidRDefault="000676F2" w:rsidP="00495C74">
            <w:pPr>
              <w:spacing w:line="240" w:lineRule="auto"/>
              <w:jc w:val="both"/>
              <w:rPr>
                <w:rFonts w:eastAsia="Calibri"/>
                <w:sz w:val="22"/>
                <w:szCs w:val="22"/>
              </w:rPr>
            </w:pPr>
          </w:p>
        </w:tc>
        <w:tc>
          <w:tcPr>
            <w:tcW w:w="7913" w:type="dxa"/>
            <w:gridSpan w:val="7"/>
          </w:tcPr>
          <w:p w14:paraId="5C8F5F15"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men FAOs?</w:t>
            </w:r>
          </w:p>
        </w:tc>
      </w:tr>
      <w:tr w:rsidR="000676F2" w:rsidRPr="005C46A2" w14:paraId="41278090" w14:textId="77777777" w:rsidTr="000676F2">
        <w:tc>
          <w:tcPr>
            <w:tcW w:w="1103" w:type="dxa"/>
            <w:shd w:val="clear" w:color="auto" w:fill="D9D9D9"/>
          </w:tcPr>
          <w:p w14:paraId="394E86CE"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149667A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691341D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8" w:type="dxa"/>
            <w:shd w:val="clear" w:color="auto" w:fill="D9D9D9"/>
          </w:tcPr>
          <w:p w14:paraId="22D1BC9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633C740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300" w:type="dxa"/>
            <w:shd w:val="clear" w:color="auto" w:fill="D9D9D9"/>
          </w:tcPr>
          <w:p w14:paraId="213CDAF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36A9BB3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16" w:type="dxa"/>
            <w:shd w:val="clear" w:color="auto" w:fill="D9D9D9"/>
          </w:tcPr>
          <w:p w14:paraId="28809D6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6924340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2CEC59F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0245254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205" w:type="dxa"/>
            <w:shd w:val="clear" w:color="auto" w:fill="D9D9D9"/>
          </w:tcPr>
          <w:p w14:paraId="31B359D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4889CF5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48" w:type="dxa"/>
            <w:shd w:val="clear" w:color="auto" w:fill="D9D9D9"/>
          </w:tcPr>
          <w:p w14:paraId="69E5203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1611BA5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237BFB0B" w14:textId="77777777" w:rsidR="000676F2" w:rsidRPr="005C46A2" w:rsidRDefault="000676F2" w:rsidP="00495C74">
      <w:pPr>
        <w:spacing w:line="259" w:lineRule="auto"/>
        <w:jc w:val="both"/>
        <w:rPr>
          <w:rFonts w:eastAsia="Calibri"/>
          <w:sz w:val="20"/>
          <w:szCs w:val="20"/>
        </w:rPr>
      </w:pPr>
    </w:p>
    <w:tbl>
      <w:tblPr>
        <w:tblStyle w:val="TableGrid"/>
        <w:tblW w:w="0" w:type="auto"/>
        <w:tblLook w:val="04A0" w:firstRow="1" w:lastRow="0" w:firstColumn="1" w:lastColumn="0" w:noHBand="0" w:noVBand="1"/>
      </w:tblPr>
      <w:tblGrid>
        <w:gridCol w:w="1103"/>
        <w:gridCol w:w="1148"/>
        <w:gridCol w:w="1148"/>
        <w:gridCol w:w="1300"/>
        <w:gridCol w:w="816"/>
        <w:gridCol w:w="1148"/>
        <w:gridCol w:w="1205"/>
        <w:gridCol w:w="1148"/>
      </w:tblGrid>
      <w:tr w:rsidR="000676F2" w:rsidRPr="005C46A2" w14:paraId="2F123D3D" w14:textId="77777777" w:rsidTr="000465E8">
        <w:tc>
          <w:tcPr>
            <w:tcW w:w="1103" w:type="dxa"/>
          </w:tcPr>
          <w:p w14:paraId="665A8998" w14:textId="77777777" w:rsidR="000676F2" w:rsidRPr="005C46A2" w:rsidRDefault="000676F2" w:rsidP="00495C74">
            <w:pPr>
              <w:spacing w:line="240" w:lineRule="auto"/>
              <w:jc w:val="both"/>
              <w:rPr>
                <w:rFonts w:eastAsia="Calibri"/>
                <w:sz w:val="22"/>
                <w:szCs w:val="22"/>
              </w:rPr>
            </w:pPr>
          </w:p>
        </w:tc>
        <w:tc>
          <w:tcPr>
            <w:tcW w:w="7913" w:type="dxa"/>
            <w:gridSpan w:val="7"/>
          </w:tcPr>
          <w:p w14:paraId="3A5D79B1"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FAOs who are gender diverse?</w:t>
            </w:r>
          </w:p>
        </w:tc>
      </w:tr>
      <w:tr w:rsidR="000676F2" w:rsidRPr="005C46A2" w14:paraId="0E47CDB0" w14:textId="77777777" w:rsidTr="000676F2">
        <w:tc>
          <w:tcPr>
            <w:tcW w:w="1103" w:type="dxa"/>
            <w:shd w:val="clear" w:color="auto" w:fill="D9D9D9"/>
          </w:tcPr>
          <w:p w14:paraId="69C42101"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2433070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54A1149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48" w:type="dxa"/>
            <w:shd w:val="clear" w:color="auto" w:fill="D9D9D9"/>
          </w:tcPr>
          <w:p w14:paraId="42A0EE6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32E5D82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300" w:type="dxa"/>
            <w:shd w:val="clear" w:color="auto" w:fill="D9D9D9"/>
          </w:tcPr>
          <w:p w14:paraId="36A3277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2C2ECAE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16" w:type="dxa"/>
            <w:shd w:val="clear" w:color="auto" w:fill="D9D9D9"/>
          </w:tcPr>
          <w:p w14:paraId="1A2A568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65477B9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025D79A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5710795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205" w:type="dxa"/>
            <w:shd w:val="clear" w:color="auto" w:fill="D9D9D9"/>
          </w:tcPr>
          <w:p w14:paraId="2E0C0CF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1F5A7B6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48" w:type="dxa"/>
            <w:shd w:val="clear" w:color="auto" w:fill="D9D9D9"/>
          </w:tcPr>
          <w:p w14:paraId="6D3E160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01E0206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6AF58791" w14:textId="77777777" w:rsidTr="000465E8">
        <w:tc>
          <w:tcPr>
            <w:tcW w:w="1103" w:type="dxa"/>
          </w:tcPr>
          <w:p w14:paraId="73AA8A3D" w14:textId="77777777" w:rsidR="000676F2" w:rsidRPr="005C46A2" w:rsidRDefault="000676F2" w:rsidP="00495C74">
            <w:pPr>
              <w:spacing w:line="240" w:lineRule="auto"/>
              <w:jc w:val="both"/>
              <w:rPr>
                <w:rFonts w:eastAsia="Calibri"/>
                <w:sz w:val="22"/>
                <w:szCs w:val="22"/>
              </w:rPr>
            </w:pPr>
          </w:p>
        </w:tc>
        <w:tc>
          <w:tcPr>
            <w:tcW w:w="7913" w:type="dxa"/>
            <w:gridSpan w:val="7"/>
          </w:tcPr>
          <w:p w14:paraId="70864AEE"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FAOs who are gender diverse?</w:t>
            </w:r>
          </w:p>
        </w:tc>
      </w:tr>
      <w:tr w:rsidR="000676F2" w:rsidRPr="005C46A2" w14:paraId="1302069E" w14:textId="77777777" w:rsidTr="000676F2">
        <w:tc>
          <w:tcPr>
            <w:tcW w:w="1103" w:type="dxa"/>
            <w:shd w:val="clear" w:color="auto" w:fill="D9D9D9"/>
          </w:tcPr>
          <w:p w14:paraId="685EB04C"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139E3FB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38FFC6E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8" w:type="dxa"/>
            <w:shd w:val="clear" w:color="auto" w:fill="D9D9D9"/>
          </w:tcPr>
          <w:p w14:paraId="477E107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4A4B685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300" w:type="dxa"/>
            <w:shd w:val="clear" w:color="auto" w:fill="D9D9D9"/>
          </w:tcPr>
          <w:p w14:paraId="49EDF49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48CE41A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16" w:type="dxa"/>
            <w:shd w:val="clear" w:color="auto" w:fill="D9D9D9"/>
          </w:tcPr>
          <w:p w14:paraId="2BB90E2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7561361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2D64686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0006B1E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205" w:type="dxa"/>
            <w:shd w:val="clear" w:color="auto" w:fill="D9D9D9"/>
          </w:tcPr>
          <w:p w14:paraId="1BE3CD6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0D4AA94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48" w:type="dxa"/>
            <w:shd w:val="clear" w:color="auto" w:fill="D9D9D9"/>
          </w:tcPr>
          <w:p w14:paraId="044CE24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1490D32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4FC4A7C0" w14:textId="77777777" w:rsidR="000676F2" w:rsidRPr="005C46A2" w:rsidRDefault="000676F2" w:rsidP="00495C74">
      <w:pPr>
        <w:spacing w:line="259" w:lineRule="auto"/>
        <w:jc w:val="both"/>
        <w:rPr>
          <w:rFonts w:eastAsia="Calibri"/>
          <w:sz w:val="20"/>
          <w:szCs w:val="20"/>
        </w:rPr>
      </w:pPr>
    </w:p>
    <w:p w14:paraId="46644E1C" w14:textId="77777777" w:rsidR="000676F2" w:rsidRPr="005C46A2" w:rsidRDefault="000676F2" w:rsidP="00495C74">
      <w:pPr>
        <w:spacing w:line="259" w:lineRule="auto"/>
        <w:jc w:val="both"/>
        <w:rPr>
          <w:rFonts w:eastAsia="Calibri"/>
          <w:sz w:val="20"/>
          <w:szCs w:val="20"/>
        </w:rPr>
      </w:pPr>
      <w:r w:rsidRPr="005C46A2">
        <w:rPr>
          <w:rFonts w:eastAsia="Calibri"/>
          <w:sz w:val="20"/>
          <w:szCs w:val="20"/>
        </w:rPr>
        <w:t>What are your thoughts on this approach when working with FAOs who are women, men, or gender diverse?</w:t>
      </w:r>
    </w:p>
    <w:tbl>
      <w:tblPr>
        <w:tblStyle w:val="TableGrid"/>
        <w:tblW w:w="0" w:type="auto"/>
        <w:tblLook w:val="04A0" w:firstRow="1" w:lastRow="0" w:firstColumn="1" w:lastColumn="0" w:noHBand="0" w:noVBand="1"/>
      </w:tblPr>
      <w:tblGrid>
        <w:gridCol w:w="9016"/>
      </w:tblGrid>
      <w:tr w:rsidR="000676F2" w:rsidRPr="005C46A2" w14:paraId="39E06215" w14:textId="77777777" w:rsidTr="000465E8">
        <w:tc>
          <w:tcPr>
            <w:tcW w:w="9016" w:type="dxa"/>
          </w:tcPr>
          <w:p w14:paraId="11156E74" w14:textId="77777777" w:rsidR="000676F2" w:rsidRPr="005C46A2" w:rsidRDefault="000676F2" w:rsidP="00495C74">
            <w:pPr>
              <w:spacing w:line="240" w:lineRule="auto"/>
              <w:jc w:val="both"/>
              <w:rPr>
                <w:rFonts w:eastAsia="Calibri"/>
                <w:sz w:val="20"/>
                <w:szCs w:val="20"/>
              </w:rPr>
            </w:pPr>
          </w:p>
          <w:p w14:paraId="7E3B094A" w14:textId="77777777" w:rsidR="000676F2" w:rsidRPr="005C46A2" w:rsidRDefault="000676F2" w:rsidP="00495C74">
            <w:pPr>
              <w:spacing w:line="240" w:lineRule="auto"/>
              <w:jc w:val="both"/>
              <w:rPr>
                <w:rFonts w:eastAsia="Calibri"/>
                <w:sz w:val="20"/>
                <w:szCs w:val="20"/>
              </w:rPr>
            </w:pPr>
          </w:p>
        </w:tc>
      </w:tr>
    </w:tbl>
    <w:p w14:paraId="701F7F64" w14:textId="77777777" w:rsidR="000676F2" w:rsidRPr="005C46A2" w:rsidRDefault="000676F2" w:rsidP="00495C74">
      <w:pPr>
        <w:pBdr>
          <w:bottom w:val="single" w:sz="12" w:space="1" w:color="auto"/>
        </w:pBdr>
        <w:spacing w:line="259" w:lineRule="auto"/>
        <w:jc w:val="both"/>
        <w:rPr>
          <w:rFonts w:eastAsia="Calibri"/>
          <w:sz w:val="20"/>
          <w:szCs w:val="20"/>
        </w:rPr>
      </w:pPr>
    </w:p>
    <w:p w14:paraId="03670F46" w14:textId="77777777" w:rsidR="000676F2" w:rsidRPr="005C46A2" w:rsidRDefault="000676F2" w:rsidP="00495C74">
      <w:pPr>
        <w:spacing w:line="259" w:lineRule="auto"/>
        <w:jc w:val="both"/>
        <w:rPr>
          <w:rFonts w:eastAsia="Calibri"/>
          <w:b/>
          <w:bCs/>
          <w:i/>
          <w:iCs/>
          <w:sz w:val="20"/>
          <w:szCs w:val="20"/>
        </w:rPr>
      </w:pPr>
      <w:r w:rsidRPr="005C46A2">
        <w:rPr>
          <w:rFonts w:eastAsia="Calibri"/>
          <w:b/>
          <w:bCs/>
          <w:i/>
          <w:iCs/>
          <w:sz w:val="20"/>
          <w:szCs w:val="20"/>
        </w:rPr>
        <w:t>PAGE 19</w:t>
      </w:r>
    </w:p>
    <w:p w14:paraId="23C1B24B" w14:textId="77777777" w:rsidR="000676F2" w:rsidRPr="005C46A2" w:rsidRDefault="000676F2" w:rsidP="00495C74">
      <w:pPr>
        <w:spacing w:line="259" w:lineRule="auto"/>
        <w:jc w:val="both"/>
        <w:rPr>
          <w:rFonts w:eastAsia="Calibri"/>
          <w:sz w:val="22"/>
          <w:szCs w:val="22"/>
        </w:rPr>
      </w:pPr>
      <w:r w:rsidRPr="005C46A2">
        <w:rPr>
          <w:rFonts w:eastAsia="Calibri"/>
          <w:i/>
          <w:iCs/>
          <w:sz w:val="22"/>
          <w:szCs w:val="22"/>
        </w:rPr>
        <w:t>Central to approach: Focus of support is the FAO wellbeing regardless of whether or how the individual with the gambling problem changes or seeks help.</w:t>
      </w:r>
    </w:p>
    <w:p w14:paraId="58E1B41F" w14:textId="77777777" w:rsidR="000676F2" w:rsidRPr="005C46A2" w:rsidRDefault="000676F2" w:rsidP="00495C74">
      <w:pPr>
        <w:spacing w:line="259" w:lineRule="auto"/>
        <w:ind w:left="6480"/>
        <w:jc w:val="both"/>
        <w:rPr>
          <w:rFonts w:eastAsia="Calibri"/>
          <w:sz w:val="20"/>
          <w:szCs w:val="20"/>
        </w:rPr>
      </w:pPr>
      <w:r w:rsidRPr="005C46A2">
        <w:rPr>
          <w:rFonts w:eastAsia="Calibri"/>
          <w:sz w:val="20"/>
          <w:szCs w:val="20"/>
        </w:rPr>
        <w:t>(</w:t>
      </w:r>
      <w:r w:rsidRPr="005C46A2">
        <w:rPr>
          <w:rFonts w:eastAsia="Calibri"/>
          <w:i/>
          <w:iCs/>
          <w:sz w:val="16"/>
          <w:szCs w:val="16"/>
        </w:rPr>
        <w:t>Likert questions compulsory</w:t>
      </w:r>
      <w:r w:rsidRPr="005C46A2">
        <w:rPr>
          <w:rFonts w:eastAsia="Calibri"/>
          <w:sz w:val="20"/>
          <w:szCs w:val="20"/>
        </w:rPr>
        <w:t>)</w:t>
      </w:r>
    </w:p>
    <w:tbl>
      <w:tblPr>
        <w:tblStyle w:val="TableGrid"/>
        <w:tblW w:w="0" w:type="auto"/>
        <w:tblLook w:val="04A0" w:firstRow="1" w:lastRow="0" w:firstColumn="1" w:lastColumn="0" w:noHBand="0" w:noVBand="1"/>
      </w:tblPr>
      <w:tblGrid>
        <w:gridCol w:w="1103"/>
        <w:gridCol w:w="1148"/>
        <w:gridCol w:w="1148"/>
        <w:gridCol w:w="1300"/>
        <w:gridCol w:w="816"/>
        <w:gridCol w:w="1148"/>
        <w:gridCol w:w="1205"/>
        <w:gridCol w:w="1148"/>
      </w:tblGrid>
      <w:tr w:rsidR="000676F2" w:rsidRPr="005C46A2" w14:paraId="63FEFDF3" w14:textId="77777777" w:rsidTr="000465E8">
        <w:tc>
          <w:tcPr>
            <w:tcW w:w="1103" w:type="dxa"/>
          </w:tcPr>
          <w:p w14:paraId="65C7F109" w14:textId="77777777" w:rsidR="000676F2" w:rsidRPr="005C46A2" w:rsidRDefault="000676F2" w:rsidP="00495C74">
            <w:pPr>
              <w:spacing w:line="240" w:lineRule="auto"/>
              <w:jc w:val="both"/>
              <w:rPr>
                <w:rFonts w:eastAsia="Calibri"/>
                <w:sz w:val="22"/>
                <w:szCs w:val="22"/>
              </w:rPr>
            </w:pPr>
          </w:p>
        </w:tc>
        <w:tc>
          <w:tcPr>
            <w:tcW w:w="7913" w:type="dxa"/>
            <w:gridSpan w:val="7"/>
          </w:tcPr>
          <w:p w14:paraId="4276D610"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young FAOs? (e.g. children)</w:t>
            </w:r>
          </w:p>
        </w:tc>
      </w:tr>
      <w:tr w:rsidR="000676F2" w:rsidRPr="005C46A2" w14:paraId="3716D247" w14:textId="77777777" w:rsidTr="000676F2">
        <w:tc>
          <w:tcPr>
            <w:tcW w:w="1103" w:type="dxa"/>
            <w:shd w:val="clear" w:color="auto" w:fill="D9D9D9"/>
          </w:tcPr>
          <w:p w14:paraId="486140D3"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5600A78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7228E8A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48" w:type="dxa"/>
            <w:shd w:val="clear" w:color="auto" w:fill="D9D9D9"/>
          </w:tcPr>
          <w:p w14:paraId="2672F28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22CE785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300" w:type="dxa"/>
            <w:shd w:val="clear" w:color="auto" w:fill="D9D9D9"/>
          </w:tcPr>
          <w:p w14:paraId="65EA5E0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6B26A2B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16" w:type="dxa"/>
            <w:shd w:val="clear" w:color="auto" w:fill="D9D9D9"/>
          </w:tcPr>
          <w:p w14:paraId="443C19D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50B8607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4C5A804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46F776E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205" w:type="dxa"/>
            <w:shd w:val="clear" w:color="auto" w:fill="D9D9D9"/>
          </w:tcPr>
          <w:p w14:paraId="1E99AA0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081D93A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48" w:type="dxa"/>
            <w:shd w:val="clear" w:color="auto" w:fill="D9D9D9"/>
          </w:tcPr>
          <w:p w14:paraId="71B6733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7F6DEC7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6E70B8E7" w14:textId="77777777" w:rsidTr="000465E8">
        <w:tc>
          <w:tcPr>
            <w:tcW w:w="1103" w:type="dxa"/>
          </w:tcPr>
          <w:p w14:paraId="018DB74D" w14:textId="77777777" w:rsidR="000676F2" w:rsidRPr="005C46A2" w:rsidRDefault="000676F2" w:rsidP="00495C74">
            <w:pPr>
              <w:spacing w:line="240" w:lineRule="auto"/>
              <w:jc w:val="both"/>
              <w:rPr>
                <w:rFonts w:eastAsia="Calibri"/>
                <w:sz w:val="22"/>
                <w:szCs w:val="22"/>
              </w:rPr>
            </w:pPr>
          </w:p>
        </w:tc>
        <w:tc>
          <w:tcPr>
            <w:tcW w:w="7913" w:type="dxa"/>
            <w:gridSpan w:val="7"/>
          </w:tcPr>
          <w:p w14:paraId="34BDBFB8"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young FAOs? (e.g. children)</w:t>
            </w:r>
          </w:p>
        </w:tc>
      </w:tr>
      <w:tr w:rsidR="000676F2" w:rsidRPr="005C46A2" w14:paraId="4F6114E6" w14:textId="77777777" w:rsidTr="000676F2">
        <w:tc>
          <w:tcPr>
            <w:tcW w:w="1103" w:type="dxa"/>
            <w:shd w:val="clear" w:color="auto" w:fill="D9D9D9"/>
          </w:tcPr>
          <w:p w14:paraId="7572710F"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42684DB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3679B29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8" w:type="dxa"/>
            <w:shd w:val="clear" w:color="auto" w:fill="D9D9D9"/>
          </w:tcPr>
          <w:p w14:paraId="75C5B15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3C30FF9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300" w:type="dxa"/>
            <w:shd w:val="clear" w:color="auto" w:fill="D9D9D9"/>
          </w:tcPr>
          <w:p w14:paraId="3ECA2B7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6CF2EF8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16" w:type="dxa"/>
            <w:shd w:val="clear" w:color="auto" w:fill="D9D9D9"/>
          </w:tcPr>
          <w:p w14:paraId="3EDC638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27E2857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3826D6C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450AAB7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205" w:type="dxa"/>
            <w:shd w:val="clear" w:color="auto" w:fill="D9D9D9"/>
          </w:tcPr>
          <w:p w14:paraId="4560FB4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3493AC3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48" w:type="dxa"/>
            <w:shd w:val="clear" w:color="auto" w:fill="D9D9D9"/>
          </w:tcPr>
          <w:p w14:paraId="20430F1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47A63C3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r w:rsidR="000676F2" w:rsidRPr="005C46A2" w14:paraId="2364F384" w14:textId="77777777" w:rsidTr="000465E8">
        <w:tc>
          <w:tcPr>
            <w:tcW w:w="1103" w:type="dxa"/>
          </w:tcPr>
          <w:p w14:paraId="5A6B8C40" w14:textId="77777777" w:rsidR="000676F2" w:rsidRPr="005C46A2" w:rsidRDefault="000676F2" w:rsidP="00495C74">
            <w:pPr>
              <w:spacing w:line="240" w:lineRule="auto"/>
              <w:jc w:val="both"/>
              <w:rPr>
                <w:rFonts w:eastAsia="Calibri"/>
                <w:sz w:val="22"/>
                <w:szCs w:val="22"/>
              </w:rPr>
            </w:pPr>
          </w:p>
        </w:tc>
        <w:tc>
          <w:tcPr>
            <w:tcW w:w="7913" w:type="dxa"/>
            <w:gridSpan w:val="7"/>
          </w:tcPr>
          <w:p w14:paraId="6AF06524"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older adult FAOs?</w:t>
            </w:r>
          </w:p>
        </w:tc>
      </w:tr>
      <w:tr w:rsidR="000676F2" w:rsidRPr="005C46A2" w14:paraId="06A5DB17" w14:textId="77777777" w:rsidTr="000676F2">
        <w:tc>
          <w:tcPr>
            <w:tcW w:w="1103" w:type="dxa"/>
            <w:shd w:val="clear" w:color="auto" w:fill="D9D9D9"/>
          </w:tcPr>
          <w:p w14:paraId="72DED5E8"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69C1260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31DBF6F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48" w:type="dxa"/>
            <w:shd w:val="clear" w:color="auto" w:fill="D9D9D9"/>
          </w:tcPr>
          <w:p w14:paraId="5E9E2C3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7512DC3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300" w:type="dxa"/>
            <w:shd w:val="clear" w:color="auto" w:fill="D9D9D9"/>
          </w:tcPr>
          <w:p w14:paraId="6F9750E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1B083BE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16" w:type="dxa"/>
            <w:shd w:val="clear" w:color="auto" w:fill="D9D9D9"/>
          </w:tcPr>
          <w:p w14:paraId="25EE385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3EF39F3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233003B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040BF55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205" w:type="dxa"/>
            <w:shd w:val="clear" w:color="auto" w:fill="D9D9D9"/>
          </w:tcPr>
          <w:p w14:paraId="59D03E0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24E9A06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48" w:type="dxa"/>
            <w:shd w:val="clear" w:color="auto" w:fill="D9D9D9"/>
          </w:tcPr>
          <w:p w14:paraId="31BBC99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0C32745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07B8F8CB" w14:textId="77777777" w:rsidTr="000465E8">
        <w:tc>
          <w:tcPr>
            <w:tcW w:w="1103" w:type="dxa"/>
          </w:tcPr>
          <w:p w14:paraId="23D2BEA6" w14:textId="77777777" w:rsidR="000676F2" w:rsidRPr="005C46A2" w:rsidRDefault="000676F2" w:rsidP="00495C74">
            <w:pPr>
              <w:spacing w:line="240" w:lineRule="auto"/>
              <w:jc w:val="both"/>
              <w:rPr>
                <w:rFonts w:eastAsia="Calibri"/>
                <w:sz w:val="22"/>
                <w:szCs w:val="22"/>
              </w:rPr>
            </w:pPr>
          </w:p>
        </w:tc>
        <w:tc>
          <w:tcPr>
            <w:tcW w:w="7913" w:type="dxa"/>
            <w:gridSpan w:val="7"/>
          </w:tcPr>
          <w:p w14:paraId="66E8B01B"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older adult FAOs?</w:t>
            </w:r>
          </w:p>
        </w:tc>
      </w:tr>
      <w:tr w:rsidR="000676F2" w:rsidRPr="005C46A2" w14:paraId="36289622" w14:textId="77777777" w:rsidTr="000676F2">
        <w:tc>
          <w:tcPr>
            <w:tcW w:w="1103" w:type="dxa"/>
            <w:shd w:val="clear" w:color="auto" w:fill="D9D9D9"/>
          </w:tcPr>
          <w:p w14:paraId="5E2D3652"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0789D8E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4E5406F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8" w:type="dxa"/>
            <w:shd w:val="clear" w:color="auto" w:fill="D9D9D9"/>
          </w:tcPr>
          <w:p w14:paraId="089B154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408C3AC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300" w:type="dxa"/>
            <w:shd w:val="clear" w:color="auto" w:fill="D9D9D9"/>
          </w:tcPr>
          <w:p w14:paraId="5EB8CDE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72BFBAF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16" w:type="dxa"/>
            <w:shd w:val="clear" w:color="auto" w:fill="D9D9D9"/>
          </w:tcPr>
          <w:p w14:paraId="4074310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4488D1B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4FE18DC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1B09E02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205" w:type="dxa"/>
            <w:shd w:val="clear" w:color="auto" w:fill="D9D9D9"/>
          </w:tcPr>
          <w:p w14:paraId="64E8A9C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4CC63C4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48" w:type="dxa"/>
            <w:shd w:val="clear" w:color="auto" w:fill="D9D9D9"/>
          </w:tcPr>
          <w:p w14:paraId="6C03CC8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68CA5B9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4E146DDE" w14:textId="77777777" w:rsidR="000676F2" w:rsidRPr="005C46A2" w:rsidRDefault="000676F2" w:rsidP="00495C74">
      <w:pPr>
        <w:spacing w:line="259" w:lineRule="auto"/>
        <w:jc w:val="both"/>
        <w:rPr>
          <w:rFonts w:eastAsia="Calibri"/>
          <w:sz w:val="20"/>
          <w:szCs w:val="20"/>
        </w:rPr>
      </w:pPr>
    </w:p>
    <w:p w14:paraId="00C7BD7C" w14:textId="77777777" w:rsidR="000676F2" w:rsidRPr="005C46A2" w:rsidRDefault="000676F2" w:rsidP="00495C74">
      <w:pPr>
        <w:spacing w:line="259" w:lineRule="auto"/>
        <w:jc w:val="both"/>
        <w:rPr>
          <w:rFonts w:eastAsia="Calibri"/>
          <w:sz w:val="20"/>
          <w:szCs w:val="20"/>
        </w:rPr>
      </w:pPr>
      <w:r w:rsidRPr="005C46A2">
        <w:rPr>
          <w:rFonts w:eastAsia="Calibri"/>
          <w:sz w:val="20"/>
          <w:szCs w:val="20"/>
        </w:rPr>
        <w:t>What are your thoughts on this approach when working with FAOs who are children? Or older adults?</w:t>
      </w:r>
    </w:p>
    <w:tbl>
      <w:tblPr>
        <w:tblStyle w:val="TableGrid"/>
        <w:tblW w:w="0" w:type="auto"/>
        <w:tblLook w:val="04A0" w:firstRow="1" w:lastRow="0" w:firstColumn="1" w:lastColumn="0" w:noHBand="0" w:noVBand="1"/>
      </w:tblPr>
      <w:tblGrid>
        <w:gridCol w:w="9016"/>
      </w:tblGrid>
      <w:tr w:rsidR="000676F2" w:rsidRPr="005C46A2" w14:paraId="014D94C5" w14:textId="77777777" w:rsidTr="000465E8">
        <w:tc>
          <w:tcPr>
            <w:tcW w:w="9016" w:type="dxa"/>
          </w:tcPr>
          <w:p w14:paraId="09BCFDBD" w14:textId="77777777" w:rsidR="000676F2" w:rsidRPr="005C46A2" w:rsidRDefault="000676F2" w:rsidP="00495C74">
            <w:pPr>
              <w:spacing w:line="240" w:lineRule="auto"/>
              <w:jc w:val="both"/>
              <w:rPr>
                <w:rFonts w:eastAsia="Calibri"/>
                <w:sz w:val="20"/>
                <w:szCs w:val="20"/>
              </w:rPr>
            </w:pPr>
          </w:p>
          <w:p w14:paraId="325EFE46" w14:textId="77777777" w:rsidR="000676F2" w:rsidRPr="005C46A2" w:rsidRDefault="000676F2" w:rsidP="00495C74">
            <w:pPr>
              <w:spacing w:line="240" w:lineRule="auto"/>
              <w:jc w:val="both"/>
              <w:rPr>
                <w:rFonts w:eastAsia="Calibri"/>
                <w:sz w:val="20"/>
                <w:szCs w:val="20"/>
              </w:rPr>
            </w:pPr>
          </w:p>
        </w:tc>
      </w:tr>
    </w:tbl>
    <w:p w14:paraId="1850F06B" w14:textId="77777777" w:rsidR="000676F2" w:rsidRPr="005C46A2" w:rsidRDefault="000676F2" w:rsidP="00495C74">
      <w:pPr>
        <w:pBdr>
          <w:bottom w:val="single" w:sz="12" w:space="1" w:color="auto"/>
        </w:pBdr>
        <w:spacing w:line="259" w:lineRule="auto"/>
        <w:jc w:val="both"/>
        <w:rPr>
          <w:rFonts w:eastAsia="Calibri"/>
          <w:sz w:val="20"/>
          <w:szCs w:val="20"/>
        </w:rPr>
      </w:pPr>
    </w:p>
    <w:p w14:paraId="74240675" w14:textId="77777777" w:rsidR="000676F2" w:rsidRPr="005C46A2" w:rsidRDefault="000676F2" w:rsidP="00495C74">
      <w:pPr>
        <w:spacing w:line="259" w:lineRule="auto"/>
        <w:jc w:val="both"/>
        <w:rPr>
          <w:rFonts w:eastAsia="Calibri"/>
          <w:b/>
          <w:bCs/>
          <w:i/>
          <w:iCs/>
          <w:sz w:val="20"/>
          <w:szCs w:val="20"/>
        </w:rPr>
      </w:pPr>
      <w:r w:rsidRPr="005C46A2">
        <w:rPr>
          <w:rFonts w:eastAsia="Calibri"/>
          <w:b/>
          <w:bCs/>
          <w:i/>
          <w:iCs/>
          <w:sz w:val="20"/>
          <w:szCs w:val="20"/>
        </w:rPr>
        <w:t>PAGE 20</w:t>
      </w:r>
    </w:p>
    <w:p w14:paraId="2518B270" w14:textId="77777777" w:rsidR="000676F2" w:rsidRPr="005C46A2" w:rsidRDefault="000676F2" w:rsidP="00495C74">
      <w:pPr>
        <w:spacing w:line="259" w:lineRule="auto"/>
        <w:jc w:val="both"/>
        <w:rPr>
          <w:rFonts w:eastAsia="Calibri"/>
          <w:sz w:val="22"/>
          <w:szCs w:val="22"/>
        </w:rPr>
      </w:pPr>
      <w:r w:rsidRPr="005C46A2">
        <w:rPr>
          <w:rFonts w:eastAsia="Calibri"/>
          <w:i/>
          <w:iCs/>
          <w:sz w:val="22"/>
          <w:szCs w:val="22"/>
        </w:rPr>
        <w:t>Central to approach: Focus of support is the FAO wellbeing regardless of whether or how the individual with the gambling problem changes or seeks help.</w:t>
      </w:r>
    </w:p>
    <w:p w14:paraId="3F8236F3" w14:textId="77777777" w:rsidR="000676F2" w:rsidRPr="005C46A2" w:rsidRDefault="000676F2" w:rsidP="00495C74">
      <w:pPr>
        <w:spacing w:line="259" w:lineRule="auto"/>
        <w:ind w:left="6480"/>
        <w:jc w:val="both"/>
        <w:rPr>
          <w:rFonts w:eastAsia="Calibri"/>
          <w:sz w:val="20"/>
          <w:szCs w:val="20"/>
        </w:rPr>
      </w:pPr>
      <w:r w:rsidRPr="005C46A2">
        <w:rPr>
          <w:rFonts w:eastAsia="Calibri"/>
          <w:sz w:val="20"/>
          <w:szCs w:val="20"/>
        </w:rPr>
        <w:t>(</w:t>
      </w:r>
      <w:r w:rsidRPr="005C46A2">
        <w:rPr>
          <w:rFonts w:eastAsia="Calibri"/>
          <w:i/>
          <w:iCs/>
          <w:sz w:val="16"/>
          <w:szCs w:val="16"/>
        </w:rPr>
        <w:t>Likert questions compulsory</w:t>
      </w:r>
      <w:r w:rsidRPr="005C46A2">
        <w:rPr>
          <w:rFonts w:eastAsia="Calibri"/>
          <w:sz w:val="20"/>
          <w:szCs w:val="20"/>
        </w:rPr>
        <w:t>)</w:t>
      </w:r>
    </w:p>
    <w:tbl>
      <w:tblPr>
        <w:tblStyle w:val="TableGrid"/>
        <w:tblW w:w="0" w:type="auto"/>
        <w:tblLook w:val="04A0" w:firstRow="1" w:lastRow="0" w:firstColumn="1" w:lastColumn="0" w:noHBand="0" w:noVBand="1"/>
      </w:tblPr>
      <w:tblGrid>
        <w:gridCol w:w="1104"/>
        <w:gridCol w:w="1142"/>
        <w:gridCol w:w="1142"/>
        <w:gridCol w:w="1294"/>
        <w:gridCol w:w="857"/>
        <w:gridCol w:w="1142"/>
        <w:gridCol w:w="1193"/>
        <w:gridCol w:w="1142"/>
      </w:tblGrid>
      <w:tr w:rsidR="000676F2" w:rsidRPr="005C46A2" w14:paraId="10ECF7D8" w14:textId="77777777" w:rsidTr="000465E8">
        <w:tc>
          <w:tcPr>
            <w:tcW w:w="1104" w:type="dxa"/>
          </w:tcPr>
          <w:p w14:paraId="0182CDF7" w14:textId="77777777" w:rsidR="000676F2" w:rsidRPr="005C46A2" w:rsidRDefault="000676F2" w:rsidP="00495C74">
            <w:pPr>
              <w:spacing w:line="240" w:lineRule="auto"/>
              <w:jc w:val="both"/>
              <w:rPr>
                <w:rFonts w:eastAsia="Calibri"/>
                <w:sz w:val="22"/>
                <w:szCs w:val="22"/>
              </w:rPr>
            </w:pPr>
          </w:p>
        </w:tc>
        <w:tc>
          <w:tcPr>
            <w:tcW w:w="7912" w:type="dxa"/>
            <w:gridSpan w:val="7"/>
          </w:tcPr>
          <w:p w14:paraId="12242D5D"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Māori FAOs?</w:t>
            </w:r>
          </w:p>
        </w:tc>
      </w:tr>
      <w:tr w:rsidR="000676F2" w:rsidRPr="005C46A2" w14:paraId="779D5FB8" w14:textId="77777777" w:rsidTr="000676F2">
        <w:tc>
          <w:tcPr>
            <w:tcW w:w="1104" w:type="dxa"/>
            <w:shd w:val="clear" w:color="auto" w:fill="D9D9D9"/>
          </w:tcPr>
          <w:p w14:paraId="6DECDB24"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2" w:type="dxa"/>
            <w:shd w:val="clear" w:color="auto" w:fill="D9D9D9"/>
          </w:tcPr>
          <w:p w14:paraId="329FE91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3BBD833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42" w:type="dxa"/>
            <w:shd w:val="clear" w:color="auto" w:fill="D9D9D9"/>
          </w:tcPr>
          <w:p w14:paraId="705F1AA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0B8F9FA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294" w:type="dxa"/>
            <w:shd w:val="clear" w:color="auto" w:fill="D9D9D9"/>
          </w:tcPr>
          <w:p w14:paraId="1FEC17F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3F6134B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57" w:type="dxa"/>
            <w:shd w:val="clear" w:color="auto" w:fill="D9D9D9"/>
          </w:tcPr>
          <w:p w14:paraId="0F2FB78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34A0A39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2" w:type="dxa"/>
            <w:shd w:val="clear" w:color="auto" w:fill="D9D9D9"/>
          </w:tcPr>
          <w:p w14:paraId="11B0A0C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4014289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193" w:type="dxa"/>
            <w:shd w:val="clear" w:color="auto" w:fill="D9D9D9"/>
          </w:tcPr>
          <w:p w14:paraId="6065005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1DCAF64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42" w:type="dxa"/>
            <w:shd w:val="clear" w:color="auto" w:fill="D9D9D9"/>
          </w:tcPr>
          <w:p w14:paraId="0E55DDA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0F241DF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1D0804F7" w14:textId="77777777" w:rsidTr="000465E8">
        <w:tc>
          <w:tcPr>
            <w:tcW w:w="1104" w:type="dxa"/>
          </w:tcPr>
          <w:p w14:paraId="6B6E0662" w14:textId="77777777" w:rsidR="000676F2" w:rsidRPr="005C46A2" w:rsidRDefault="000676F2" w:rsidP="00495C74">
            <w:pPr>
              <w:spacing w:line="240" w:lineRule="auto"/>
              <w:jc w:val="both"/>
              <w:rPr>
                <w:rFonts w:eastAsia="Calibri"/>
                <w:sz w:val="22"/>
                <w:szCs w:val="22"/>
              </w:rPr>
            </w:pPr>
          </w:p>
        </w:tc>
        <w:tc>
          <w:tcPr>
            <w:tcW w:w="7912" w:type="dxa"/>
            <w:gridSpan w:val="7"/>
          </w:tcPr>
          <w:p w14:paraId="76F7D735"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Māori FAOs?</w:t>
            </w:r>
          </w:p>
        </w:tc>
      </w:tr>
      <w:tr w:rsidR="000676F2" w:rsidRPr="005C46A2" w14:paraId="0F845904" w14:textId="77777777" w:rsidTr="000676F2">
        <w:tc>
          <w:tcPr>
            <w:tcW w:w="1104" w:type="dxa"/>
            <w:shd w:val="clear" w:color="auto" w:fill="D9D9D9"/>
          </w:tcPr>
          <w:p w14:paraId="57B3432F"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2" w:type="dxa"/>
            <w:shd w:val="clear" w:color="auto" w:fill="D9D9D9"/>
          </w:tcPr>
          <w:p w14:paraId="1325388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15F6F78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2" w:type="dxa"/>
            <w:shd w:val="clear" w:color="auto" w:fill="D9D9D9"/>
          </w:tcPr>
          <w:p w14:paraId="3E81BC8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122A1E0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294" w:type="dxa"/>
            <w:shd w:val="clear" w:color="auto" w:fill="D9D9D9"/>
          </w:tcPr>
          <w:p w14:paraId="74CF832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57E681D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57" w:type="dxa"/>
            <w:shd w:val="clear" w:color="auto" w:fill="D9D9D9"/>
          </w:tcPr>
          <w:p w14:paraId="41103B3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26BCC7E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2" w:type="dxa"/>
            <w:shd w:val="clear" w:color="auto" w:fill="D9D9D9"/>
          </w:tcPr>
          <w:p w14:paraId="334EE79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7516E4B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193" w:type="dxa"/>
            <w:shd w:val="clear" w:color="auto" w:fill="D9D9D9"/>
          </w:tcPr>
          <w:p w14:paraId="0A522DE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0DB7F1E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42" w:type="dxa"/>
            <w:shd w:val="clear" w:color="auto" w:fill="D9D9D9"/>
          </w:tcPr>
          <w:p w14:paraId="64C6FAF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409782D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6357A42D" w14:textId="77777777" w:rsidR="000676F2" w:rsidRPr="005C46A2" w:rsidRDefault="000676F2" w:rsidP="00495C74">
      <w:pPr>
        <w:spacing w:line="259" w:lineRule="auto"/>
        <w:jc w:val="both"/>
        <w:rPr>
          <w:rFonts w:eastAsia="Calibri"/>
          <w:sz w:val="20"/>
          <w:szCs w:val="20"/>
        </w:rPr>
      </w:pPr>
    </w:p>
    <w:tbl>
      <w:tblPr>
        <w:tblStyle w:val="TableGrid"/>
        <w:tblW w:w="0" w:type="auto"/>
        <w:tblLook w:val="04A0" w:firstRow="1" w:lastRow="0" w:firstColumn="1" w:lastColumn="0" w:noHBand="0" w:noVBand="1"/>
      </w:tblPr>
      <w:tblGrid>
        <w:gridCol w:w="1104"/>
        <w:gridCol w:w="1142"/>
        <w:gridCol w:w="1142"/>
        <w:gridCol w:w="1294"/>
        <w:gridCol w:w="857"/>
        <w:gridCol w:w="1142"/>
        <w:gridCol w:w="1193"/>
        <w:gridCol w:w="1142"/>
      </w:tblGrid>
      <w:tr w:rsidR="000676F2" w:rsidRPr="005C46A2" w14:paraId="3F80BB55" w14:textId="77777777" w:rsidTr="000465E8">
        <w:tc>
          <w:tcPr>
            <w:tcW w:w="1104" w:type="dxa"/>
          </w:tcPr>
          <w:p w14:paraId="34423541" w14:textId="77777777" w:rsidR="000676F2" w:rsidRPr="005C46A2" w:rsidRDefault="000676F2" w:rsidP="00495C74">
            <w:pPr>
              <w:spacing w:line="240" w:lineRule="auto"/>
              <w:jc w:val="both"/>
              <w:rPr>
                <w:rFonts w:eastAsia="Calibri"/>
                <w:sz w:val="22"/>
                <w:szCs w:val="22"/>
              </w:rPr>
            </w:pPr>
          </w:p>
        </w:tc>
        <w:tc>
          <w:tcPr>
            <w:tcW w:w="7912" w:type="dxa"/>
            <w:gridSpan w:val="7"/>
          </w:tcPr>
          <w:p w14:paraId="6B01CF75"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Pacific FAOs?</w:t>
            </w:r>
          </w:p>
        </w:tc>
      </w:tr>
      <w:tr w:rsidR="000676F2" w:rsidRPr="005C46A2" w14:paraId="3623381A" w14:textId="77777777" w:rsidTr="000676F2">
        <w:tc>
          <w:tcPr>
            <w:tcW w:w="1104" w:type="dxa"/>
            <w:shd w:val="clear" w:color="auto" w:fill="D9D9D9"/>
          </w:tcPr>
          <w:p w14:paraId="489F8139"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2" w:type="dxa"/>
            <w:shd w:val="clear" w:color="auto" w:fill="D9D9D9"/>
          </w:tcPr>
          <w:p w14:paraId="2A2D3D4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249490E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42" w:type="dxa"/>
            <w:shd w:val="clear" w:color="auto" w:fill="D9D9D9"/>
          </w:tcPr>
          <w:p w14:paraId="7287CC0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5EAB07C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294" w:type="dxa"/>
            <w:shd w:val="clear" w:color="auto" w:fill="D9D9D9"/>
          </w:tcPr>
          <w:p w14:paraId="6256320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1FCA6DD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57" w:type="dxa"/>
            <w:shd w:val="clear" w:color="auto" w:fill="D9D9D9"/>
          </w:tcPr>
          <w:p w14:paraId="33E3D00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45AF917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2" w:type="dxa"/>
            <w:shd w:val="clear" w:color="auto" w:fill="D9D9D9"/>
          </w:tcPr>
          <w:p w14:paraId="7B6CCA5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179C31D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193" w:type="dxa"/>
            <w:shd w:val="clear" w:color="auto" w:fill="D9D9D9"/>
          </w:tcPr>
          <w:p w14:paraId="5E31003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18E2022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42" w:type="dxa"/>
            <w:shd w:val="clear" w:color="auto" w:fill="D9D9D9"/>
          </w:tcPr>
          <w:p w14:paraId="3179EA5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2D1FC05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12EF0F1F" w14:textId="77777777" w:rsidTr="000465E8">
        <w:tc>
          <w:tcPr>
            <w:tcW w:w="1104" w:type="dxa"/>
          </w:tcPr>
          <w:p w14:paraId="002C1D82" w14:textId="77777777" w:rsidR="000676F2" w:rsidRPr="005C46A2" w:rsidRDefault="000676F2" w:rsidP="00495C74">
            <w:pPr>
              <w:spacing w:line="240" w:lineRule="auto"/>
              <w:jc w:val="both"/>
              <w:rPr>
                <w:rFonts w:eastAsia="Calibri"/>
                <w:sz w:val="22"/>
                <w:szCs w:val="22"/>
              </w:rPr>
            </w:pPr>
          </w:p>
        </w:tc>
        <w:tc>
          <w:tcPr>
            <w:tcW w:w="7912" w:type="dxa"/>
            <w:gridSpan w:val="7"/>
          </w:tcPr>
          <w:p w14:paraId="3774B275"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Pacific FAOs?</w:t>
            </w:r>
          </w:p>
        </w:tc>
      </w:tr>
      <w:tr w:rsidR="000676F2" w:rsidRPr="005C46A2" w14:paraId="2423BA9E" w14:textId="77777777" w:rsidTr="000676F2">
        <w:tc>
          <w:tcPr>
            <w:tcW w:w="1104" w:type="dxa"/>
            <w:shd w:val="clear" w:color="auto" w:fill="D9D9D9"/>
          </w:tcPr>
          <w:p w14:paraId="7823C73D"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2" w:type="dxa"/>
            <w:shd w:val="clear" w:color="auto" w:fill="D9D9D9"/>
          </w:tcPr>
          <w:p w14:paraId="0F9F6B1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71DC3BF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2" w:type="dxa"/>
            <w:shd w:val="clear" w:color="auto" w:fill="D9D9D9"/>
          </w:tcPr>
          <w:p w14:paraId="28F5D1D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798108C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294" w:type="dxa"/>
            <w:shd w:val="clear" w:color="auto" w:fill="D9D9D9"/>
          </w:tcPr>
          <w:p w14:paraId="663B10B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02FDF71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57" w:type="dxa"/>
            <w:shd w:val="clear" w:color="auto" w:fill="D9D9D9"/>
          </w:tcPr>
          <w:p w14:paraId="63FD957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125C854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2" w:type="dxa"/>
            <w:shd w:val="clear" w:color="auto" w:fill="D9D9D9"/>
          </w:tcPr>
          <w:p w14:paraId="0270B28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387CD8E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193" w:type="dxa"/>
            <w:shd w:val="clear" w:color="auto" w:fill="D9D9D9"/>
          </w:tcPr>
          <w:p w14:paraId="289AE2A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58F6EAE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42" w:type="dxa"/>
            <w:shd w:val="clear" w:color="auto" w:fill="D9D9D9"/>
          </w:tcPr>
          <w:p w14:paraId="139D800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1C45283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09BAF893" w14:textId="77777777" w:rsidR="000676F2" w:rsidRPr="005C46A2" w:rsidRDefault="000676F2" w:rsidP="00495C74">
      <w:pPr>
        <w:spacing w:line="259" w:lineRule="auto"/>
        <w:jc w:val="both"/>
        <w:rPr>
          <w:rFonts w:eastAsia="Calibri"/>
          <w:sz w:val="22"/>
          <w:szCs w:val="22"/>
        </w:rPr>
      </w:pPr>
    </w:p>
    <w:tbl>
      <w:tblPr>
        <w:tblStyle w:val="TableGrid"/>
        <w:tblW w:w="0" w:type="auto"/>
        <w:tblLook w:val="04A0" w:firstRow="1" w:lastRow="0" w:firstColumn="1" w:lastColumn="0" w:noHBand="0" w:noVBand="1"/>
      </w:tblPr>
      <w:tblGrid>
        <w:gridCol w:w="1037"/>
        <w:gridCol w:w="1127"/>
        <w:gridCol w:w="1153"/>
        <w:gridCol w:w="1302"/>
        <w:gridCol w:w="889"/>
        <w:gridCol w:w="1153"/>
        <w:gridCol w:w="1202"/>
        <w:gridCol w:w="1153"/>
      </w:tblGrid>
      <w:tr w:rsidR="000676F2" w:rsidRPr="005C46A2" w14:paraId="3DDAC963" w14:textId="77777777" w:rsidTr="000465E8">
        <w:tc>
          <w:tcPr>
            <w:tcW w:w="1037" w:type="dxa"/>
          </w:tcPr>
          <w:p w14:paraId="64DEC337" w14:textId="77777777" w:rsidR="000676F2" w:rsidRPr="005C46A2" w:rsidRDefault="000676F2" w:rsidP="00495C74">
            <w:pPr>
              <w:spacing w:line="240" w:lineRule="auto"/>
              <w:jc w:val="both"/>
              <w:rPr>
                <w:rFonts w:eastAsia="Calibri"/>
                <w:sz w:val="22"/>
                <w:szCs w:val="22"/>
              </w:rPr>
            </w:pPr>
          </w:p>
        </w:tc>
        <w:tc>
          <w:tcPr>
            <w:tcW w:w="7979" w:type="dxa"/>
            <w:gridSpan w:val="7"/>
          </w:tcPr>
          <w:p w14:paraId="50F40E70"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Asian FAOs?</w:t>
            </w:r>
          </w:p>
        </w:tc>
      </w:tr>
      <w:tr w:rsidR="000676F2" w:rsidRPr="005C46A2" w14:paraId="187D984F" w14:textId="77777777" w:rsidTr="000676F2">
        <w:tc>
          <w:tcPr>
            <w:tcW w:w="1037" w:type="dxa"/>
            <w:shd w:val="clear" w:color="auto" w:fill="D9D9D9"/>
          </w:tcPr>
          <w:p w14:paraId="0D6CA79F"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27" w:type="dxa"/>
            <w:shd w:val="clear" w:color="auto" w:fill="D9D9D9"/>
          </w:tcPr>
          <w:p w14:paraId="1C672B4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3CF3CBD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53" w:type="dxa"/>
            <w:shd w:val="clear" w:color="auto" w:fill="D9D9D9"/>
          </w:tcPr>
          <w:p w14:paraId="6FE08FE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14FEBBF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302" w:type="dxa"/>
            <w:shd w:val="clear" w:color="auto" w:fill="D9D9D9"/>
          </w:tcPr>
          <w:p w14:paraId="0B7CA04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471CD50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89" w:type="dxa"/>
            <w:shd w:val="clear" w:color="auto" w:fill="D9D9D9"/>
          </w:tcPr>
          <w:p w14:paraId="38261BB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29029DC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53" w:type="dxa"/>
            <w:shd w:val="clear" w:color="auto" w:fill="D9D9D9"/>
          </w:tcPr>
          <w:p w14:paraId="646B30F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7F420F2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202" w:type="dxa"/>
            <w:shd w:val="clear" w:color="auto" w:fill="D9D9D9"/>
          </w:tcPr>
          <w:p w14:paraId="244C377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1AF7AFA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53" w:type="dxa"/>
            <w:shd w:val="clear" w:color="auto" w:fill="D9D9D9"/>
          </w:tcPr>
          <w:p w14:paraId="2B1AB66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3AD5006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42BFBFCF" w14:textId="77777777" w:rsidTr="000465E8">
        <w:tc>
          <w:tcPr>
            <w:tcW w:w="1037" w:type="dxa"/>
          </w:tcPr>
          <w:p w14:paraId="2548D236" w14:textId="77777777" w:rsidR="000676F2" w:rsidRPr="005C46A2" w:rsidRDefault="000676F2" w:rsidP="00495C74">
            <w:pPr>
              <w:spacing w:line="240" w:lineRule="auto"/>
              <w:jc w:val="both"/>
              <w:rPr>
                <w:rFonts w:eastAsia="Calibri"/>
                <w:sz w:val="22"/>
                <w:szCs w:val="22"/>
              </w:rPr>
            </w:pPr>
          </w:p>
        </w:tc>
        <w:tc>
          <w:tcPr>
            <w:tcW w:w="7979" w:type="dxa"/>
            <w:gridSpan w:val="7"/>
          </w:tcPr>
          <w:p w14:paraId="75B52E57"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Asian FAOs?</w:t>
            </w:r>
          </w:p>
        </w:tc>
      </w:tr>
      <w:tr w:rsidR="000676F2" w:rsidRPr="005C46A2" w14:paraId="5D6DC8B5" w14:textId="77777777" w:rsidTr="000676F2">
        <w:tc>
          <w:tcPr>
            <w:tcW w:w="1037" w:type="dxa"/>
            <w:shd w:val="clear" w:color="auto" w:fill="D9D9D9"/>
          </w:tcPr>
          <w:p w14:paraId="512E39F2"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27" w:type="dxa"/>
            <w:shd w:val="clear" w:color="auto" w:fill="D9D9D9"/>
          </w:tcPr>
          <w:p w14:paraId="7571D94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2BA91C8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53" w:type="dxa"/>
            <w:shd w:val="clear" w:color="auto" w:fill="D9D9D9"/>
          </w:tcPr>
          <w:p w14:paraId="11B87FF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6E1242E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302" w:type="dxa"/>
            <w:shd w:val="clear" w:color="auto" w:fill="D9D9D9"/>
          </w:tcPr>
          <w:p w14:paraId="4D9CA04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0CBCDAD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89" w:type="dxa"/>
            <w:shd w:val="clear" w:color="auto" w:fill="D9D9D9"/>
          </w:tcPr>
          <w:p w14:paraId="442371C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1ED0775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53" w:type="dxa"/>
            <w:shd w:val="clear" w:color="auto" w:fill="D9D9D9"/>
          </w:tcPr>
          <w:p w14:paraId="3E7F509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3542D69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202" w:type="dxa"/>
            <w:shd w:val="clear" w:color="auto" w:fill="D9D9D9"/>
          </w:tcPr>
          <w:p w14:paraId="602E573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6CD57B7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 xml:space="preserve">Effective </w:t>
            </w:r>
          </w:p>
        </w:tc>
        <w:tc>
          <w:tcPr>
            <w:tcW w:w="1153" w:type="dxa"/>
            <w:shd w:val="clear" w:color="auto" w:fill="D9D9D9"/>
          </w:tcPr>
          <w:p w14:paraId="54EED9A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6A1FB4F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57B9C050" w14:textId="77777777" w:rsidR="000676F2" w:rsidRPr="005C46A2" w:rsidRDefault="000676F2" w:rsidP="00495C74">
      <w:pPr>
        <w:spacing w:line="259" w:lineRule="auto"/>
        <w:jc w:val="both"/>
        <w:rPr>
          <w:rFonts w:eastAsia="Calibri"/>
          <w:sz w:val="22"/>
          <w:szCs w:val="22"/>
        </w:rPr>
      </w:pPr>
    </w:p>
    <w:tbl>
      <w:tblPr>
        <w:tblStyle w:val="TableGrid"/>
        <w:tblW w:w="0" w:type="auto"/>
        <w:tblLayout w:type="fixed"/>
        <w:tblLook w:val="04A0" w:firstRow="1" w:lastRow="0" w:firstColumn="1" w:lastColumn="0" w:noHBand="0" w:noVBand="1"/>
      </w:tblPr>
      <w:tblGrid>
        <w:gridCol w:w="1075"/>
        <w:gridCol w:w="1132"/>
        <w:gridCol w:w="1131"/>
        <w:gridCol w:w="1285"/>
        <w:gridCol w:w="826"/>
        <w:gridCol w:w="1131"/>
        <w:gridCol w:w="1245"/>
        <w:gridCol w:w="1191"/>
      </w:tblGrid>
      <w:tr w:rsidR="000676F2" w:rsidRPr="005C46A2" w14:paraId="2B8C96B4" w14:textId="77777777" w:rsidTr="000465E8">
        <w:tc>
          <w:tcPr>
            <w:tcW w:w="1075" w:type="dxa"/>
          </w:tcPr>
          <w:p w14:paraId="0C13A0DF" w14:textId="77777777" w:rsidR="000676F2" w:rsidRPr="005C46A2" w:rsidRDefault="000676F2" w:rsidP="00495C74">
            <w:pPr>
              <w:spacing w:line="240" w:lineRule="auto"/>
              <w:jc w:val="both"/>
              <w:rPr>
                <w:rFonts w:eastAsia="Calibri"/>
                <w:sz w:val="22"/>
                <w:szCs w:val="22"/>
              </w:rPr>
            </w:pPr>
          </w:p>
        </w:tc>
        <w:tc>
          <w:tcPr>
            <w:tcW w:w="7941" w:type="dxa"/>
            <w:gridSpan w:val="7"/>
          </w:tcPr>
          <w:p w14:paraId="680F3C63"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minority or other indigenous FAOs?</w:t>
            </w:r>
          </w:p>
        </w:tc>
      </w:tr>
      <w:tr w:rsidR="000676F2" w:rsidRPr="005C46A2" w14:paraId="51957ADB" w14:textId="77777777" w:rsidTr="000676F2">
        <w:tc>
          <w:tcPr>
            <w:tcW w:w="1075" w:type="dxa"/>
            <w:shd w:val="clear" w:color="auto" w:fill="D9D9D9"/>
          </w:tcPr>
          <w:p w14:paraId="4B7E5114"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32" w:type="dxa"/>
            <w:shd w:val="clear" w:color="auto" w:fill="D9D9D9"/>
          </w:tcPr>
          <w:p w14:paraId="47F9565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43730F6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31" w:type="dxa"/>
            <w:shd w:val="clear" w:color="auto" w:fill="D9D9D9"/>
          </w:tcPr>
          <w:p w14:paraId="3023495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54C1AE2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285" w:type="dxa"/>
            <w:shd w:val="clear" w:color="auto" w:fill="D9D9D9"/>
          </w:tcPr>
          <w:p w14:paraId="2541F6D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6EA666B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26" w:type="dxa"/>
            <w:shd w:val="clear" w:color="auto" w:fill="D9D9D9"/>
          </w:tcPr>
          <w:p w14:paraId="00BEB26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2ECED71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31" w:type="dxa"/>
            <w:shd w:val="clear" w:color="auto" w:fill="D9D9D9"/>
          </w:tcPr>
          <w:p w14:paraId="501E2D4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30BBCA4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245" w:type="dxa"/>
            <w:shd w:val="clear" w:color="auto" w:fill="D9D9D9"/>
          </w:tcPr>
          <w:p w14:paraId="2F4CFBD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 Appropriate</w:t>
            </w:r>
          </w:p>
        </w:tc>
        <w:tc>
          <w:tcPr>
            <w:tcW w:w="1191" w:type="dxa"/>
            <w:shd w:val="clear" w:color="auto" w:fill="D9D9D9"/>
          </w:tcPr>
          <w:p w14:paraId="376610F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61A6A85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558C88FF" w14:textId="77777777" w:rsidTr="000465E8">
        <w:tc>
          <w:tcPr>
            <w:tcW w:w="1075" w:type="dxa"/>
          </w:tcPr>
          <w:p w14:paraId="6E970E8E" w14:textId="77777777" w:rsidR="000676F2" w:rsidRPr="005C46A2" w:rsidRDefault="000676F2" w:rsidP="00495C74">
            <w:pPr>
              <w:spacing w:line="240" w:lineRule="auto"/>
              <w:jc w:val="both"/>
              <w:rPr>
                <w:rFonts w:eastAsia="Calibri"/>
                <w:sz w:val="22"/>
                <w:szCs w:val="22"/>
              </w:rPr>
            </w:pPr>
          </w:p>
        </w:tc>
        <w:tc>
          <w:tcPr>
            <w:tcW w:w="7941" w:type="dxa"/>
            <w:gridSpan w:val="7"/>
          </w:tcPr>
          <w:p w14:paraId="3416461D"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other minority or other indigenous FAOs?</w:t>
            </w:r>
          </w:p>
        </w:tc>
      </w:tr>
      <w:tr w:rsidR="000676F2" w:rsidRPr="005C46A2" w14:paraId="008D02F1" w14:textId="77777777" w:rsidTr="000676F2">
        <w:tc>
          <w:tcPr>
            <w:tcW w:w="1075" w:type="dxa"/>
            <w:shd w:val="clear" w:color="auto" w:fill="D9D9D9"/>
          </w:tcPr>
          <w:p w14:paraId="0B707CE6" w14:textId="77777777" w:rsidR="000676F2" w:rsidRPr="005C46A2" w:rsidRDefault="000676F2" w:rsidP="00495C74">
            <w:pPr>
              <w:spacing w:line="240" w:lineRule="auto"/>
              <w:jc w:val="both"/>
              <w:rPr>
                <w:rFonts w:eastAsia="Calibri"/>
                <w:b/>
                <w:bCs/>
                <w:sz w:val="20"/>
                <w:szCs w:val="20"/>
              </w:rPr>
            </w:pPr>
            <w:r w:rsidRPr="005C46A2">
              <w:rPr>
                <w:rFonts w:eastAsia="Calibri"/>
                <w:b/>
                <w:bCs/>
                <w:sz w:val="20"/>
                <w:szCs w:val="20"/>
              </w:rPr>
              <w:t>Unsure</w:t>
            </w:r>
          </w:p>
        </w:tc>
        <w:tc>
          <w:tcPr>
            <w:tcW w:w="1132" w:type="dxa"/>
            <w:shd w:val="clear" w:color="auto" w:fill="D9D9D9"/>
          </w:tcPr>
          <w:p w14:paraId="75744A5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09559E3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31" w:type="dxa"/>
            <w:shd w:val="clear" w:color="auto" w:fill="D9D9D9"/>
          </w:tcPr>
          <w:p w14:paraId="34A361F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7AF1631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285" w:type="dxa"/>
            <w:shd w:val="clear" w:color="auto" w:fill="D9D9D9"/>
          </w:tcPr>
          <w:p w14:paraId="1972816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58DC355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26" w:type="dxa"/>
            <w:shd w:val="clear" w:color="auto" w:fill="D9D9D9"/>
          </w:tcPr>
          <w:p w14:paraId="12F76FC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3986D91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31" w:type="dxa"/>
            <w:shd w:val="clear" w:color="auto" w:fill="D9D9D9"/>
          </w:tcPr>
          <w:p w14:paraId="0544088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1E06DD9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245" w:type="dxa"/>
            <w:shd w:val="clear" w:color="auto" w:fill="D9D9D9"/>
          </w:tcPr>
          <w:p w14:paraId="08706B9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5BDD138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91" w:type="dxa"/>
            <w:shd w:val="clear" w:color="auto" w:fill="D9D9D9"/>
          </w:tcPr>
          <w:p w14:paraId="4B42929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53FF347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3CB68A21" w14:textId="77777777" w:rsidR="000676F2" w:rsidRPr="005C46A2" w:rsidRDefault="000676F2" w:rsidP="00495C74">
      <w:pPr>
        <w:spacing w:line="259" w:lineRule="auto"/>
        <w:jc w:val="both"/>
        <w:rPr>
          <w:rFonts w:eastAsia="Calibri"/>
          <w:sz w:val="20"/>
          <w:szCs w:val="20"/>
        </w:rPr>
      </w:pPr>
    </w:p>
    <w:p w14:paraId="41DDDEC5" w14:textId="77777777" w:rsidR="000676F2" w:rsidRPr="005C46A2" w:rsidRDefault="000676F2" w:rsidP="00495C74">
      <w:pPr>
        <w:spacing w:line="259" w:lineRule="auto"/>
        <w:jc w:val="both"/>
        <w:rPr>
          <w:rFonts w:eastAsia="Calibri"/>
          <w:sz w:val="20"/>
          <w:szCs w:val="20"/>
        </w:rPr>
      </w:pPr>
      <w:r w:rsidRPr="005C46A2">
        <w:rPr>
          <w:rFonts w:eastAsia="Calibri"/>
          <w:sz w:val="20"/>
          <w:szCs w:val="20"/>
        </w:rPr>
        <w:t>What are your thoughts on this approach when working with minority communities?</w:t>
      </w:r>
    </w:p>
    <w:tbl>
      <w:tblPr>
        <w:tblStyle w:val="TableGrid"/>
        <w:tblW w:w="0" w:type="auto"/>
        <w:tblLook w:val="04A0" w:firstRow="1" w:lastRow="0" w:firstColumn="1" w:lastColumn="0" w:noHBand="0" w:noVBand="1"/>
      </w:tblPr>
      <w:tblGrid>
        <w:gridCol w:w="9016"/>
      </w:tblGrid>
      <w:tr w:rsidR="000676F2" w:rsidRPr="005C46A2" w14:paraId="4836D155" w14:textId="77777777" w:rsidTr="000465E8">
        <w:tc>
          <w:tcPr>
            <w:tcW w:w="9016" w:type="dxa"/>
          </w:tcPr>
          <w:p w14:paraId="77B7F525" w14:textId="77777777" w:rsidR="000676F2" w:rsidRPr="005C46A2" w:rsidRDefault="000676F2" w:rsidP="00495C74">
            <w:pPr>
              <w:spacing w:line="240" w:lineRule="auto"/>
              <w:jc w:val="both"/>
              <w:rPr>
                <w:rFonts w:eastAsia="Calibri"/>
                <w:sz w:val="20"/>
                <w:szCs w:val="20"/>
              </w:rPr>
            </w:pPr>
          </w:p>
          <w:p w14:paraId="67447484" w14:textId="77777777" w:rsidR="000676F2" w:rsidRPr="005C46A2" w:rsidRDefault="000676F2" w:rsidP="00495C74">
            <w:pPr>
              <w:spacing w:line="240" w:lineRule="auto"/>
              <w:jc w:val="both"/>
              <w:rPr>
                <w:rFonts w:eastAsia="Calibri"/>
                <w:sz w:val="20"/>
                <w:szCs w:val="20"/>
              </w:rPr>
            </w:pPr>
          </w:p>
        </w:tc>
      </w:tr>
    </w:tbl>
    <w:p w14:paraId="7A097A80" w14:textId="77777777" w:rsidR="000676F2" w:rsidRPr="005C46A2" w:rsidRDefault="000676F2" w:rsidP="00495C74">
      <w:pPr>
        <w:pBdr>
          <w:bottom w:val="single" w:sz="12" w:space="1" w:color="auto"/>
        </w:pBdr>
        <w:spacing w:line="259" w:lineRule="auto"/>
        <w:jc w:val="both"/>
        <w:rPr>
          <w:rFonts w:eastAsia="Calibri"/>
          <w:sz w:val="22"/>
          <w:szCs w:val="22"/>
        </w:rPr>
      </w:pPr>
    </w:p>
    <w:p w14:paraId="58AD6B6C" w14:textId="77777777" w:rsidR="000676F2" w:rsidRPr="005C46A2" w:rsidRDefault="000676F2" w:rsidP="00495C74">
      <w:pPr>
        <w:spacing w:line="259" w:lineRule="auto"/>
        <w:jc w:val="both"/>
        <w:rPr>
          <w:rFonts w:eastAsia="Calibri"/>
          <w:b/>
          <w:bCs/>
          <w:i/>
          <w:iCs/>
          <w:sz w:val="20"/>
          <w:szCs w:val="20"/>
        </w:rPr>
      </w:pPr>
      <w:r w:rsidRPr="005C46A2">
        <w:rPr>
          <w:rFonts w:eastAsia="Calibri"/>
          <w:b/>
          <w:bCs/>
          <w:i/>
          <w:iCs/>
          <w:sz w:val="20"/>
          <w:szCs w:val="20"/>
        </w:rPr>
        <w:t>PAGE 21</w:t>
      </w:r>
    </w:p>
    <w:p w14:paraId="0FFEEFDF" w14:textId="77777777" w:rsidR="000676F2" w:rsidRPr="005C46A2" w:rsidRDefault="000676F2" w:rsidP="00495C74">
      <w:pPr>
        <w:spacing w:line="259" w:lineRule="auto"/>
        <w:jc w:val="both"/>
        <w:rPr>
          <w:rFonts w:eastAsia="Calibri"/>
          <w:sz w:val="22"/>
          <w:szCs w:val="22"/>
        </w:rPr>
      </w:pPr>
      <w:r w:rsidRPr="005C46A2">
        <w:rPr>
          <w:rFonts w:eastAsia="Calibri"/>
          <w:i/>
          <w:iCs/>
          <w:sz w:val="22"/>
          <w:szCs w:val="22"/>
        </w:rPr>
        <w:t>Central to approach: Focus of support is the FAO wellbeing regardless of whether or how the individual with the gambling problem changes or seeks help.</w:t>
      </w:r>
    </w:p>
    <w:p w14:paraId="4244E520" w14:textId="77777777" w:rsidR="000676F2" w:rsidRPr="005C46A2" w:rsidRDefault="000676F2" w:rsidP="00495C74">
      <w:pPr>
        <w:spacing w:line="259" w:lineRule="auto"/>
        <w:ind w:left="6480"/>
        <w:jc w:val="both"/>
        <w:rPr>
          <w:rFonts w:eastAsia="Calibri"/>
          <w:sz w:val="20"/>
          <w:szCs w:val="20"/>
        </w:rPr>
      </w:pPr>
      <w:r w:rsidRPr="005C46A2">
        <w:rPr>
          <w:rFonts w:eastAsia="Calibri"/>
          <w:sz w:val="20"/>
          <w:szCs w:val="20"/>
        </w:rPr>
        <w:t>(</w:t>
      </w:r>
      <w:r w:rsidRPr="005C46A2">
        <w:rPr>
          <w:rFonts w:eastAsia="Calibri"/>
          <w:i/>
          <w:iCs/>
          <w:sz w:val="16"/>
          <w:szCs w:val="16"/>
        </w:rPr>
        <w:t>Likert question compulsory</w:t>
      </w:r>
      <w:r w:rsidRPr="005C46A2">
        <w:rPr>
          <w:rFonts w:eastAsia="Calibri"/>
          <w:sz w:val="20"/>
          <w:szCs w:val="20"/>
        </w:rPr>
        <w:t>)</w:t>
      </w:r>
    </w:p>
    <w:tbl>
      <w:tblPr>
        <w:tblStyle w:val="TableGrid"/>
        <w:tblW w:w="0" w:type="auto"/>
        <w:tblLayout w:type="fixed"/>
        <w:tblLook w:val="04A0" w:firstRow="1" w:lastRow="0" w:firstColumn="1" w:lastColumn="0" w:noHBand="0" w:noVBand="1"/>
      </w:tblPr>
      <w:tblGrid>
        <w:gridCol w:w="1075"/>
        <w:gridCol w:w="1980"/>
        <w:gridCol w:w="3870"/>
        <w:gridCol w:w="2091"/>
      </w:tblGrid>
      <w:tr w:rsidR="000676F2" w:rsidRPr="005C46A2" w14:paraId="4406E996" w14:textId="77777777" w:rsidTr="000465E8">
        <w:tc>
          <w:tcPr>
            <w:tcW w:w="1075" w:type="dxa"/>
            <w:tcBorders>
              <w:bottom w:val="single" w:sz="4" w:space="0" w:color="auto"/>
            </w:tcBorders>
          </w:tcPr>
          <w:p w14:paraId="6816CF6B" w14:textId="77777777" w:rsidR="000676F2" w:rsidRPr="005C46A2" w:rsidRDefault="000676F2" w:rsidP="00495C74">
            <w:pPr>
              <w:spacing w:line="240" w:lineRule="auto"/>
              <w:jc w:val="both"/>
              <w:rPr>
                <w:rFonts w:eastAsia="Calibri"/>
                <w:sz w:val="22"/>
                <w:szCs w:val="22"/>
              </w:rPr>
            </w:pPr>
          </w:p>
        </w:tc>
        <w:tc>
          <w:tcPr>
            <w:tcW w:w="7941" w:type="dxa"/>
            <w:gridSpan w:val="3"/>
            <w:tcBorders>
              <w:bottom w:val="single" w:sz="4" w:space="0" w:color="auto"/>
            </w:tcBorders>
          </w:tcPr>
          <w:p w14:paraId="4E20310F" w14:textId="77777777" w:rsidR="000676F2" w:rsidRPr="005C46A2" w:rsidRDefault="000676F2" w:rsidP="00495C74">
            <w:pPr>
              <w:spacing w:line="240" w:lineRule="auto"/>
              <w:jc w:val="both"/>
              <w:rPr>
                <w:rFonts w:eastAsia="Calibri"/>
                <w:i/>
                <w:iCs/>
                <w:sz w:val="22"/>
                <w:szCs w:val="22"/>
              </w:rPr>
            </w:pPr>
            <w:r w:rsidRPr="005C46A2">
              <w:rPr>
                <w:rFonts w:eastAsia="Calibri"/>
                <w:sz w:val="22"/>
                <w:szCs w:val="22"/>
              </w:rPr>
              <w:t>To what extent should services be oriented/designed to support FAO wellbeing regardless of whether or how the individual with the gambling problem changes or seeks help? (</w:t>
            </w:r>
            <w:r w:rsidRPr="005C46A2">
              <w:rPr>
                <w:rFonts w:eastAsia="Calibri"/>
                <w:i/>
                <w:iCs/>
                <w:sz w:val="22"/>
                <w:szCs w:val="22"/>
              </w:rPr>
              <w:t>move the slider along the scale)</w:t>
            </w:r>
          </w:p>
        </w:tc>
      </w:tr>
      <w:tr w:rsidR="000676F2" w:rsidRPr="005C46A2" w14:paraId="75495FD5" w14:textId="77777777" w:rsidTr="000676F2">
        <w:tc>
          <w:tcPr>
            <w:tcW w:w="1075" w:type="dxa"/>
            <w:tcBorders>
              <w:bottom w:val="nil"/>
            </w:tcBorders>
            <w:shd w:val="clear" w:color="auto" w:fill="D9D9D9"/>
          </w:tcPr>
          <w:p w14:paraId="583BF0DD"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980" w:type="dxa"/>
            <w:tcBorders>
              <w:bottom w:val="nil"/>
              <w:right w:val="nil"/>
            </w:tcBorders>
            <w:shd w:val="clear" w:color="auto" w:fill="D9D9D9"/>
          </w:tcPr>
          <w:p w14:paraId="0E94322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665553F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 xml:space="preserve">Not at all designed / orientated in this way </w:t>
            </w:r>
          </w:p>
        </w:tc>
        <w:tc>
          <w:tcPr>
            <w:tcW w:w="3870" w:type="dxa"/>
            <w:tcBorders>
              <w:left w:val="nil"/>
              <w:bottom w:val="nil"/>
              <w:right w:val="nil"/>
            </w:tcBorders>
            <w:shd w:val="clear" w:color="auto" w:fill="D9D9D9"/>
          </w:tcPr>
          <w:p w14:paraId="72831B58" w14:textId="77777777" w:rsidR="000676F2" w:rsidRPr="005C46A2" w:rsidRDefault="000676F2" w:rsidP="00495C74">
            <w:pPr>
              <w:spacing w:line="240" w:lineRule="auto"/>
              <w:jc w:val="both"/>
              <w:rPr>
                <w:rFonts w:eastAsia="Calibri"/>
                <w:sz w:val="20"/>
                <w:szCs w:val="20"/>
              </w:rPr>
            </w:pPr>
          </w:p>
        </w:tc>
        <w:tc>
          <w:tcPr>
            <w:tcW w:w="2091" w:type="dxa"/>
            <w:tcBorders>
              <w:left w:val="nil"/>
              <w:bottom w:val="nil"/>
            </w:tcBorders>
            <w:shd w:val="clear" w:color="auto" w:fill="D9D9D9"/>
          </w:tcPr>
          <w:p w14:paraId="2ABCFF6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2F9EAC6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Completely designed / orientated in this way</w:t>
            </w:r>
          </w:p>
        </w:tc>
      </w:tr>
      <w:tr w:rsidR="000676F2" w:rsidRPr="005C46A2" w14:paraId="79C8E3B5" w14:textId="77777777" w:rsidTr="000676F2">
        <w:tc>
          <w:tcPr>
            <w:tcW w:w="1075" w:type="dxa"/>
            <w:tcBorders>
              <w:top w:val="nil"/>
            </w:tcBorders>
            <w:shd w:val="clear" w:color="auto" w:fill="D9D9D9"/>
          </w:tcPr>
          <w:p w14:paraId="1AEE5BDA" w14:textId="77777777" w:rsidR="000676F2" w:rsidRPr="005C46A2" w:rsidRDefault="000676F2" w:rsidP="00495C74">
            <w:pPr>
              <w:spacing w:line="240" w:lineRule="auto"/>
              <w:jc w:val="both"/>
              <w:rPr>
                <w:rFonts w:eastAsia="Calibri"/>
                <w:b/>
                <w:bCs/>
                <w:sz w:val="20"/>
                <w:szCs w:val="20"/>
              </w:rPr>
            </w:pPr>
          </w:p>
          <w:p w14:paraId="45467C35" w14:textId="77777777" w:rsidR="000676F2" w:rsidRPr="005C46A2" w:rsidRDefault="000676F2" w:rsidP="00495C74">
            <w:pPr>
              <w:spacing w:line="240" w:lineRule="auto"/>
              <w:jc w:val="both"/>
              <w:rPr>
                <w:rFonts w:eastAsia="Calibri"/>
                <w:b/>
                <w:bCs/>
                <w:sz w:val="20"/>
                <w:szCs w:val="20"/>
              </w:rPr>
            </w:pPr>
          </w:p>
        </w:tc>
        <w:tc>
          <w:tcPr>
            <w:tcW w:w="7941" w:type="dxa"/>
            <w:gridSpan w:val="3"/>
            <w:tcBorders>
              <w:top w:val="nil"/>
            </w:tcBorders>
            <w:shd w:val="clear" w:color="auto" w:fill="D9D9D9"/>
          </w:tcPr>
          <w:p w14:paraId="3C17D811" w14:textId="77777777" w:rsidR="000676F2" w:rsidRPr="005C46A2" w:rsidRDefault="000676F2" w:rsidP="00495C74">
            <w:pPr>
              <w:spacing w:line="240" w:lineRule="auto"/>
              <w:jc w:val="both"/>
              <w:rPr>
                <w:rFonts w:eastAsia="Calibri"/>
                <w:sz w:val="20"/>
                <w:szCs w:val="20"/>
              </w:rPr>
            </w:pPr>
            <w:r w:rsidRPr="005C46A2">
              <w:rPr>
                <w:rFonts w:eastAsia="Calibri"/>
                <w:noProof/>
                <w:sz w:val="20"/>
                <w:szCs w:val="20"/>
              </w:rPr>
              <mc:AlternateContent>
                <mc:Choice Requires="wps">
                  <w:drawing>
                    <wp:anchor distT="0" distB="0" distL="114300" distR="114300" simplePos="0" relativeHeight="251663360" behindDoc="0" locked="0" layoutInCell="1" allowOverlap="1" wp14:anchorId="2B84FB03" wp14:editId="279E7CFB">
                      <wp:simplePos x="0" y="0"/>
                      <wp:positionH relativeFrom="column">
                        <wp:posOffset>207729</wp:posOffset>
                      </wp:positionH>
                      <wp:positionV relativeFrom="paragraph">
                        <wp:posOffset>121120</wp:posOffset>
                      </wp:positionV>
                      <wp:extent cx="4558830" cy="45719"/>
                      <wp:effectExtent l="19050" t="19050" r="32385" b="31115"/>
                      <wp:wrapNone/>
                      <wp:docPr id="7" name="Arrow: Left-Right 7"/>
                      <wp:cNvGraphicFramePr/>
                      <a:graphic xmlns:a="http://schemas.openxmlformats.org/drawingml/2006/main">
                        <a:graphicData uri="http://schemas.microsoft.com/office/word/2010/wordprocessingShape">
                          <wps:wsp>
                            <wps:cNvSpPr/>
                            <wps:spPr>
                              <a:xfrm>
                                <a:off x="0" y="0"/>
                                <a:ext cx="4558830" cy="45719"/>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E3F70D" id="Arrow: Left-Right 7" o:spid="_x0000_s1026" type="#_x0000_t69" style="position:absolute;margin-left:16.35pt;margin-top:9.55pt;width:358.95pt;height:3.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" adj="108" fillcolor="windowText" strokeweight="1pt"/>
                  </w:pict>
                </mc:Fallback>
              </mc:AlternateContent>
            </w:r>
            <w:r w:rsidRPr="005C46A2">
              <w:rPr>
                <w:rFonts w:eastAsia="Calibri"/>
                <w:noProof/>
                <w:sz w:val="20"/>
                <w:szCs w:val="20"/>
              </w:rPr>
              <mc:AlternateContent>
                <mc:Choice Requires="wps">
                  <w:drawing>
                    <wp:anchor distT="0" distB="0" distL="114300" distR="114300" simplePos="0" relativeHeight="251664384" behindDoc="0" locked="0" layoutInCell="1" allowOverlap="1" wp14:anchorId="062D6953" wp14:editId="172E5B37">
                      <wp:simplePos x="0" y="0"/>
                      <wp:positionH relativeFrom="column">
                        <wp:posOffset>2355546</wp:posOffset>
                      </wp:positionH>
                      <wp:positionV relativeFrom="paragraph">
                        <wp:posOffset>71755</wp:posOffset>
                      </wp:positionV>
                      <wp:extent cx="127220" cy="135172"/>
                      <wp:effectExtent l="0" t="0" r="25400" b="17780"/>
                      <wp:wrapNone/>
                      <wp:docPr id="8" name="Oval 8"/>
                      <wp:cNvGraphicFramePr/>
                      <a:graphic xmlns:a="http://schemas.openxmlformats.org/drawingml/2006/main">
                        <a:graphicData uri="http://schemas.microsoft.com/office/word/2010/wordprocessingShape">
                          <wps:wsp>
                            <wps:cNvSpPr/>
                            <wps:spPr>
                              <a:xfrm>
                                <a:off x="0" y="0"/>
                                <a:ext cx="127220" cy="13517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AE1CA7" id="Oval 8" o:spid="_x0000_s1026" style="position:absolute;margin-left:185.5pt;margin-top:5.65pt;width:10pt;height:10.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" fillcolor="#4472c4" strokecolor="#2f528f" strokeweight="1pt">
                      <v:stroke joinstyle="miter"/>
                    </v:oval>
                  </w:pict>
                </mc:Fallback>
              </mc:AlternateContent>
            </w:r>
          </w:p>
        </w:tc>
      </w:tr>
      <w:tr w:rsidR="000676F2" w:rsidRPr="005C46A2" w14:paraId="5571EFCA" w14:textId="77777777" w:rsidTr="000465E8">
        <w:tc>
          <w:tcPr>
            <w:tcW w:w="1075" w:type="dxa"/>
            <w:shd w:val="clear" w:color="auto" w:fill="auto"/>
          </w:tcPr>
          <w:p w14:paraId="2AD4874C" w14:textId="77777777" w:rsidR="000676F2" w:rsidRPr="005C46A2" w:rsidRDefault="000676F2" w:rsidP="00495C74">
            <w:pPr>
              <w:spacing w:line="240" w:lineRule="auto"/>
              <w:jc w:val="both"/>
              <w:rPr>
                <w:rFonts w:eastAsia="Calibri"/>
                <w:b/>
                <w:bCs/>
                <w:sz w:val="20"/>
                <w:szCs w:val="20"/>
              </w:rPr>
            </w:pPr>
          </w:p>
        </w:tc>
        <w:tc>
          <w:tcPr>
            <w:tcW w:w="7941" w:type="dxa"/>
            <w:gridSpan w:val="3"/>
            <w:shd w:val="clear" w:color="auto" w:fill="auto"/>
          </w:tcPr>
          <w:p w14:paraId="365741D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Please comment:</w:t>
            </w:r>
          </w:p>
          <w:p w14:paraId="4C8640D4" w14:textId="77777777" w:rsidR="000676F2" w:rsidRPr="005C46A2" w:rsidRDefault="000676F2" w:rsidP="00495C74">
            <w:pPr>
              <w:spacing w:line="240" w:lineRule="auto"/>
              <w:jc w:val="both"/>
              <w:rPr>
                <w:rFonts w:eastAsia="Calibri"/>
                <w:sz w:val="20"/>
                <w:szCs w:val="20"/>
              </w:rPr>
            </w:pPr>
          </w:p>
        </w:tc>
      </w:tr>
    </w:tbl>
    <w:p w14:paraId="0F08EC02" w14:textId="77777777" w:rsidR="000676F2" w:rsidRPr="005C46A2" w:rsidRDefault="000676F2" w:rsidP="00495C74">
      <w:pPr>
        <w:spacing w:line="259" w:lineRule="auto"/>
        <w:jc w:val="both"/>
        <w:rPr>
          <w:rFonts w:eastAsia="Calibri"/>
          <w:sz w:val="22"/>
          <w:szCs w:val="22"/>
        </w:rPr>
      </w:pPr>
    </w:p>
    <w:p w14:paraId="6452B11C"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 xml:space="preserve">From your perspective, what evidence is lacking/needed to inform the design of services to support FAOs to influence the individual who is gambling? </w:t>
      </w:r>
    </w:p>
    <w:tbl>
      <w:tblPr>
        <w:tblStyle w:val="TableGrid"/>
        <w:tblW w:w="0" w:type="auto"/>
        <w:tblInd w:w="-5" w:type="dxa"/>
        <w:tblLook w:val="04A0" w:firstRow="1" w:lastRow="0" w:firstColumn="1" w:lastColumn="0" w:noHBand="0" w:noVBand="1"/>
      </w:tblPr>
      <w:tblGrid>
        <w:gridCol w:w="9021"/>
      </w:tblGrid>
      <w:tr w:rsidR="000676F2" w:rsidRPr="005C46A2" w14:paraId="15912A9C" w14:textId="77777777" w:rsidTr="000465E8">
        <w:tc>
          <w:tcPr>
            <w:tcW w:w="9021" w:type="dxa"/>
          </w:tcPr>
          <w:p w14:paraId="53617BB4" w14:textId="77777777" w:rsidR="000676F2" w:rsidRPr="005C46A2" w:rsidRDefault="000676F2" w:rsidP="00495C74">
            <w:pPr>
              <w:spacing w:line="240" w:lineRule="auto"/>
              <w:contextualSpacing/>
              <w:jc w:val="both"/>
              <w:rPr>
                <w:rFonts w:eastAsia="Calibri"/>
                <w:sz w:val="22"/>
                <w:szCs w:val="22"/>
              </w:rPr>
            </w:pPr>
            <w:r w:rsidRPr="005C46A2">
              <w:rPr>
                <w:rFonts w:eastAsia="Calibri"/>
                <w:sz w:val="22"/>
                <w:szCs w:val="22"/>
              </w:rPr>
              <w:t>Please comment:</w:t>
            </w:r>
          </w:p>
          <w:p w14:paraId="5DD37DE2" w14:textId="77777777" w:rsidR="000676F2" w:rsidRPr="005C46A2" w:rsidRDefault="000676F2" w:rsidP="00495C74">
            <w:pPr>
              <w:spacing w:line="240" w:lineRule="auto"/>
              <w:contextualSpacing/>
              <w:jc w:val="both"/>
              <w:rPr>
                <w:rFonts w:eastAsia="Calibri"/>
                <w:sz w:val="22"/>
                <w:szCs w:val="22"/>
              </w:rPr>
            </w:pPr>
          </w:p>
        </w:tc>
      </w:tr>
    </w:tbl>
    <w:p w14:paraId="7D1C5E89" w14:textId="77777777" w:rsidR="000676F2" w:rsidRPr="005C46A2" w:rsidRDefault="000676F2" w:rsidP="00495C74">
      <w:pPr>
        <w:pBdr>
          <w:bottom w:val="single" w:sz="12" w:space="1" w:color="auto"/>
        </w:pBdr>
        <w:spacing w:line="259" w:lineRule="auto"/>
        <w:jc w:val="both"/>
        <w:rPr>
          <w:rFonts w:ascii="Calibri" w:eastAsia="Calibri" w:hAnsi="Calibri"/>
          <w:sz w:val="22"/>
          <w:szCs w:val="22"/>
        </w:rPr>
      </w:pPr>
    </w:p>
    <w:p w14:paraId="4463B2FE" w14:textId="77777777" w:rsidR="000676F2" w:rsidRPr="005C46A2" w:rsidRDefault="000676F2" w:rsidP="00495C74">
      <w:pPr>
        <w:spacing w:line="259" w:lineRule="auto"/>
        <w:jc w:val="both"/>
        <w:rPr>
          <w:rFonts w:eastAsia="Calibri"/>
          <w:b/>
          <w:bCs/>
          <w:i/>
          <w:iCs/>
          <w:sz w:val="20"/>
          <w:szCs w:val="20"/>
        </w:rPr>
      </w:pPr>
      <w:r w:rsidRPr="005C46A2">
        <w:rPr>
          <w:rFonts w:eastAsia="Calibri"/>
          <w:b/>
          <w:bCs/>
          <w:i/>
          <w:iCs/>
          <w:sz w:val="20"/>
          <w:szCs w:val="20"/>
        </w:rPr>
        <w:t>PAGE 22</w:t>
      </w:r>
    </w:p>
    <w:p w14:paraId="3FD6929D" w14:textId="77777777" w:rsidR="000676F2" w:rsidRPr="005C46A2" w:rsidRDefault="000676F2" w:rsidP="00A52A05">
      <w:pPr>
        <w:pStyle w:val="ListParagraph"/>
        <w:numPr>
          <w:ilvl w:val="0"/>
          <w:numId w:val="13"/>
        </w:numPr>
        <w:jc w:val="both"/>
        <w:rPr>
          <w:b/>
          <w:bCs/>
        </w:rPr>
      </w:pPr>
      <w:r w:rsidRPr="005C46A2">
        <w:rPr>
          <w:b/>
          <w:bCs/>
        </w:rPr>
        <w:t>Engaging FAOs and communities to develop gambling harm reduction techniques</w:t>
      </w:r>
    </w:p>
    <w:p w14:paraId="25C370CC" w14:textId="77777777" w:rsidR="000676F2" w:rsidRPr="005C46A2" w:rsidRDefault="000676F2" w:rsidP="00495C74">
      <w:pPr>
        <w:spacing w:line="259" w:lineRule="auto"/>
        <w:jc w:val="both"/>
        <w:rPr>
          <w:rFonts w:eastAsia="Calibri"/>
          <w:sz w:val="22"/>
          <w:szCs w:val="22"/>
        </w:rPr>
      </w:pPr>
      <w:r w:rsidRPr="005C46A2">
        <w:rPr>
          <w:rFonts w:eastAsia="Calibri"/>
          <w:i/>
          <w:iCs/>
          <w:sz w:val="22"/>
          <w:szCs w:val="22"/>
        </w:rPr>
        <w:t>Central to approach: Supporting families to name and influence the broader drivers of gambling practices and harm in their communities.</w:t>
      </w:r>
    </w:p>
    <w:p w14:paraId="55CAFAD4" w14:textId="77777777" w:rsidR="000676F2" w:rsidRPr="005C46A2" w:rsidRDefault="000676F2" w:rsidP="00495C74">
      <w:pPr>
        <w:spacing w:line="259" w:lineRule="auto"/>
        <w:jc w:val="both"/>
        <w:rPr>
          <w:rFonts w:eastAsia="Calibri"/>
          <w:sz w:val="22"/>
          <w:szCs w:val="22"/>
        </w:rPr>
      </w:pPr>
    </w:p>
    <w:p w14:paraId="6705841C" w14:textId="77777777" w:rsidR="000676F2" w:rsidRPr="005C46A2" w:rsidRDefault="000676F2" w:rsidP="00495C74">
      <w:pPr>
        <w:spacing w:line="259" w:lineRule="auto"/>
        <w:jc w:val="both"/>
        <w:rPr>
          <w:rFonts w:eastAsia="Calibri"/>
          <w:i/>
          <w:iCs/>
          <w:sz w:val="22"/>
          <w:szCs w:val="22"/>
        </w:rPr>
      </w:pPr>
      <w:r w:rsidRPr="005C46A2">
        <w:rPr>
          <w:rFonts w:eastAsia="Calibri"/>
          <w:i/>
          <w:iCs/>
          <w:sz w:val="22"/>
          <w:szCs w:val="22"/>
        </w:rPr>
        <w:t>Please consider your role and experience when answering each question. Please write as much as little as you feel necessary to answer the question. If a question is not relevant to you, select or write N/A.</w:t>
      </w:r>
    </w:p>
    <w:p w14:paraId="59AA11FE" w14:textId="77777777" w:rsidR="000676F2" w:rsidRPr="005C46A2" w:rsidRDefault="000676F2" w:rsidP="00495C74">
      <w:pPr>
        <w:spacing w:line="259" w:lineRule="auto"/>
        <w:jc w:val="both"/>
        <w:rPr>
          <w:rFonts w:eastAsia="Calibri"/>
          <w:i/>
          <w:iCs/>
          <w:sz w:val="22"/>
          <w:szCs w:val="22"/>
        </w:rPr>
      </w:pPr>
      <w:r w:rsidRPr="005C46A2">
        <w:rPr>
          <w:rFonts w:eastAsia="Calibri"/>
          <w:i/>
          <w:iCs/>
          <w:sz w:val="22"/>
          <w:szCs w:val="22"/>
        </w:rPr>
        <w:t>NOTE: The Likert questions require an answer, the open-ended question can be left blank if you do not wish to comment.</w:t>
      </w:r>
    </w:p>
    <w:p w14:paraId="6C8125B9" w14:textId="77777777" w:rsidR="000676F2" w:rsidRPr="005C46A2" w:rsidRDefault="000676F2" w:rsidP="00495C74">
      <w:pPr>
        <w:spacing w:line="259" w:lineRule="auto"/>
        <w:jc w:val="both"/>
        <w:rPr>
          <w:rFonts w:eastAsia="Calibri"/>
          <w:sz w:val="22"/>
          <w:szCs w:val="22"/>
        </w:rPr>
      </w:pPr>
    </w:p>
    <w:p w14:paraId="31910BFD" w14:textId="77777777" w:rsidR="000676F2" w:rsidRPr="005C46A2" w:rsidRDefault="000676F2" w:rsidP="00495C74">
      <w:pPr>
        <w:spacing w:line="259" w:lineRule="auto"/>
        <w:jc w:val="both"/>
        <w:rPr>
          <w:rFonts w:eastAsia="Calibri"/>
          <w:sz w:val="22"/>
          <w:szCs w:val="22"/>
        </w:rPr>
      </w:pPr>
    </w:p>
    <w:p w14:paraId="2485C466"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Please list examples of interventions you are familiar with that are about ‘engaging FAOs and communities to develop gambling harm reduction techniques’</w:t>
      </w:r>
    </w:p>
    <w:tbl>
      <w:tblPr>
        <w:tblStyle w:val="TableGrid"/>
        <w:tblW w:w="0" w:type="auto"/>
        <w:tblInd w:w="-5" w:type="dxa"/>
        <w:tblLook w:val="04A0" w:firstRow="1" w:lastRow="0" w:firstColumn="1" w:lastColumn="0" w:noHBand="0" w:noVBand="1"/>
      </w:tblPr>
      <w:tblGrid>
        <w:gridCol w:w="9021"/>
      </w:tblGrid>
      <w:tr w:rsidR="000676F2" w:rsidRPr="005C46A2" w14:paraId="59BEEDCF" w14:textId="77777777" w:rsidTr="000465E8">
        <w:tc>
          <w:tcPr>
            <w:tcW w:w="9021" w:type="dxa"/>
          </w:tcPr>
          <w:p w14:paraId="3ACC4E94" w14:textId="77777777" w:rsidR="000676F2" w:rsidRPr="005C46A2" w:rsidRDefault="000676F2" w:rsidP="00495C74">
            <w:pPr>
              <w:spacing w:line="240" w:lineRule="auto"/>
              <w:contextualSpacing/>
              <w:jc w:val="both"/>
              <w:rPr>
                <w:rFonts w:eastAsia="Calibri"/>
                <w:sz w:val="22"/>
                <w:szCs w:val="22"/>
              </w:rPr>
            </w:pPr>
            <w:r w:rsidRPr="005C46A2">
              <w:rPr>
                <w:rFonts w:eastAsia="Calibri"/>
                <w:sz w:val="22"/>
                <w:szCs w:val="22"/>
              </w:rPr>
              <w:t>Please comment:</w:t>
            </w:r>
          </w:p>
          <w:p w14:paraId="4AEF4F38" w14:textId="77777777" w:rsidR="000676F2" w:rsidRPr="005C46A2" w:rsidRDefault="000676F2" w:rsidP="00495C74">
            <w:pPr>
              <w:spacing w:line="240" w:lineRule="auto"/>
              <w:contextualSpacing/>
              <w:jc w:val="both"/>
              <w:rPr>
                <w:rFonts w:eastAsia="Calibri"/>
                <w:sz w:val="22"/>
                <w:szCs w:val="22"/>
              </w:rPr>
            </w:pPr>
          </w:p>
        </w:tc>
      </w:tr>
    </w:tbl>
    <w:p w14:paraId="0CB60F92" w14:textId="77777777" w:rsidR="000676F2" w:rsidRPr="005C46A2" w:rsidRDefault="000676F2" w:rsidP="00495C74">
      <w:pPr>
        <w:spacing w:line="259" w:lineRule="auto"/>
        <w:jc w:val="both"/>
        <w:rPr>
          <w:rFonts w:eastAsia="Calibri"/>
          <w:sz w:val="22"/>
          <w:szCs w:val="22"/>
        </w:rPr>
      </w:pPr>
    </w:p>
    <w:p w14:paraId="3F8000B2"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lastRenderedPageBreak/>
        <w:t xml:space="preserve">What are the key outcomes for FAOs, of intervention approaches that ‘engage FAOs and communities to develop gambling harm reduction techniques’? </w:t>
      </w:r>
    </w:p>
    <w:tbl>
      <w:tblPr>
        <w:tblStyle w:val="TableGrid"/>
        <w:tblW w:w="0" w:type="auto"/>
        <w:tblInd w:w="-5" w:type="dxa"/>
        <w:tblLook w:val="04A0" w:firstRow="1" w:lastRow="0" w:firstColumn="1" w:lastColumn="0" w:noHBand="0" w:noVBand="1"/>
      </w:tblPr>
      <w:tblGrid>
        <w:gridCol w:w="9021"/>
      </w:tblGrid>
      <w:tr w:rsidR="000676F2" w:rsidRPr="005C46A2" w14:paraId="4F37FEBA" w14:textId="77777777" w:rsidTr="000465E8">
        <w:tc>
          <w:tcPr>
            <w:tcW w:w="9021" w:type="dxa"/>
          </w:tcPr>
          <w:p w14:paraId="2CA79065" w14:textId="77777777" w:rsidR="000676F2" w:rsidRPr="005C46A2" w:rsidRDefault="000676F2" w:rsidP="00495C74">
            <w:pPr>
              <w:spacing w:line="240" w:lineRule="auto"/>
              <w:contextualSpacing/>
              <w:jc w:val="both"/>
              <w:rPr>
                <w:rFonts w:eastAsia="Calibri"/>
                <w:sz w:val="22"/>
                <w:szCs w:val="22"/>
              </w:rPr>
            </w:pPr>
            <w:r w:rsidRPr="005C46A2">
              <w:rPr>
                <w:rFonts w:eastAsia="Calibri"/>
                <w:sz w:val="22"/>
                <w:szCs w:val="22"/>
              </w:rPr>
              <w:t>Please comment:</w:t>
            </w:r>
          </w:p>
          <w:p w14:paraId="335B4377" w14:textId="77777777" w:rsidR="000676F2" w:rsidRPr="005C46A2" w:rsidRDefault="000676F2" w:rsidP="00495C74">
            <w:pPr>
              <w:spacing w:line="240" w:lineRule="auto"/>
              <w:contextualSpacing/>
              <w:jc w:val="both"/>
              <w:rPr>
                <w:rFonts w:eastAsia="Calibri"/>
                <w:sz w:val="22"/>
                <w:szCs w:val="22"/>
              </w:rPr>
            </w:pPr>
          </w:p>
        </w:tc>
      </w:tr>
    </w:tbl>
    <w:p w14:paraId="3233FEE3" w14:textId="77777777" w:rsidR="000676F2" w:rsidRPr="005C46A2" w:rsidRDefault="000676F2" w:rsidP="00495C74">
      <w:pPr>
        <w:spacing w:line="259" w:lineRule="auto"/>
        <w:jc w:val="both"/>
        <w:rPr>
          <w:rFonts w:eastAsia="Calibri"/>
          <w:sz w:val="22"/>
          <w:szCs w:val="22"/>
        </w:rPr>
      </w:pPr>
    </w:p>
    <w:tbl>
      <w:tblPr>
        <w:tblStyle w:val="TableGrid"/>
        <w:tblW w:w="0" w:type="auto"/>
        <w:tblLook w:val="04A0" w:firstRow="1" w:lastRow="0" w:firstColumn="1" w:lastColumn="0" w:noHBand="0" w:noVBand="1"/>
      </w:tblPr>
      <w:tblGrid>
        <w:gridCol w:w="962"/>
        <w:gridCol w:w="1130"/>
        <w:gridCol w:w="1131"/>
        <w:gridCol w:w="1260"/>
        <w:gridCol w:w="1062"/>
        <w:gridCol w:w="1190"/>
        <w:gridCol w:w="1150"/>
        <w:gridCol w:w="1131"/>
      </w:tblGrid>
      <w:tr w:rsidR="000676F2" w:rsidRPr="005C46A2" w14:paraId="49300F3B" w14:textId="77777777" w:rsidTr="000465E8">
        <w:tc>
          <w:tcPr>
            <w:tcW w:w="885" w:type="dxa"/>
          </w:tcPr>
          <w:p w14:paraId="0FC611BA" w14:textId="77777777" w:rsidR="000676F2" w:rsidRPr="005C46A2" w:rsidRDefault="000676F2" w:rsidP="00495C74">
            <w:pPr>
              <w:spacing w:line="240" w:lineRule="auto"/>
              <w:jc w:val="both"/>
              <w:rPr>
                <w:rFonts w:eastAsia="Calibri"/>
                <w:sz w:val="22"/>
                <w:szCs w:val="22"/>
              </w:rPr>
            </w:pPr>
            <w:r w:rsidRPr="005C46A2">
              <w:rPr>
                <w:rFonts w:eastAsia="Calibri"/>
                <w:sz w:val="18"/>
                <w:szCs w:val="18"/>
              </w:rPr>
              <w:t>(</w:t>
            </w:r>
            <w:r w:rsidRPr="005C46A2">
              <w:rPr>
                <w:rFonts w:eastAsia="Calibri"/>
                <w:i/>
                <w:iCs/>
                <w:sz w:val="14"/>
                <w:szCs w:val="14"/>
              </w:rPr>
              <w:t>Compulsory Question</w:t>
            </w:r>
            <w:r w:rsidRPr="005C46A2">
              <w:rPr>
                <w:rFonts w:eastAsia="Calibri"/>
                <w:sz w:val="18"/>
                <w:szCs w:val="18"/>
              </w:rPr>
              <w:t>)</w:t>
            </w:r>
          </w:p>
        </w:tc>
        <w:tc>
          <w:tcPr>
            <w:tcW w:w="8131" w:type="dxa"/>
            <w:gridSpan w:val="7"/>
          </w:tcPr>
          <w:p w14:paraId="3CA2B615"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Please rate how effective you think interventions are that focus on engaging FAOs and communities to develop gambling harm reduction techniques</w:t>
            </w:r>
          </w:p>
        </w:tc>
      </w:tr>
      <w:tr w:rsidR="000676F2" w:rsidRPr="005C46A2" w14:paraId="05914D92" w14:textId="77777777" w:rsidTr="000676F2">
        <w:tc>
          <w:tcPr>
            <w:tcW w:w="885" w:type="dxa"/>
            <w:shd w:val="clear" w:color="auto" w:fill="D9D9D9"/>
          </w:tcPr>
          <w:p w14:paraId="53C52ED6" w14:textId="77777777" w:rsidR="000676F2" w:rsidRPr="005C46A2" w:rsidRDefault="000676F2" w:rsidP="00495C74">
            <w:pPr>
              <w:spacing w:line="240" w:lineRule="auto"/>
              <w:jc w:val="both"/>
              <w:rPr>
                <w:rFonts w:eastAsia="Calibri"/>
                <w:b/>
                <w:bCs/>
                <w:sz w:val="20"/>
                <w:szCs w:val="20"/>
              </w:rPr>
            </w:pPr>
            <w:r w:rsidRPr="005C46A2">
              <w:rPr>
                <w:rFonts w:eastAsia="Calibri"/>
                <w:b/>
                <w:bCs/>
                <w:sz w:val="20"/>
                <w:szCs w:val="20"/>
              </w:rPr>
              <w:t>N/A</w:t>
            </w:r>
          </w:p>
          <w:p w14:paraId="4EA2B0DE" w14:textId="77777777" w:rsidR="000676F2" w:rsidRPr="005C46A2" w:rsidRDefault="000676F2" w:rsidP="00495C74">
            <w:pPr>
              <w:spacing w:line="240" w:lineRule="auto"/>
              <w:jc w:val="both"/>
              <w:rPr>
                <w:rFonts w:eastAsia="Calibri"/>
                <w:b/>
                <w:bCs/>
                <w:sz w:val="20"/>
                <w:szCs w:val="20"/>
              </w:rPr>
            </w:pPr>
            <w:r w:rsidRPr="005C46A2">
              <w:rPr>
                <w:rFonts w:eastAsia="Calibri"/>
                <w:b/>
                <w:bCs/>
                <w:sz w:val="20"/>
                <w:szCs w:val="20"/>
              </w:rPr>
              <w:t xml:space="preserve"> or</w:t>
            </w:r>
          </w:p>
          <w:p w14:paraId="5268086B" w14:textId="77777777" w:rsidR="000676F2" w:rsidRPr="005C46A2" w:rsidRDefault="000676F2" w:rsidP="00495C74">
            <w:pPr>
              <w:spacing w:line="240" w:lineRule="auto"/>
              <w:jc w:val="both"/>
              <w:rPr>
                <w:rFonts w:eastAsia="Calibri"/>
                <w:b/>
                <w:bCs/>
                <w:sz w:val="20"/>
                <w:szCs w:val="20"/>
              </w:rPr>
            </w:pPr>
            <w:r w:rsidRPr="005C46A2">
              <w:rPr>
                <w:rFonts w:eastAsia="Calibri"/>
                <w:b/>
                <w:bCs/>
                <w:sz w:val="20"/>
                <w:szCs w:val="20"/>
              </w:rPr>
              <w:t>unsure</w:t>
            </w:r>
          </w:p>
        </w:tc>
        <w:tc>
          <w:tcPr>
            <w:tcW w:w="1142" w:type="dxa"/>
            <w:shd w:val="clear" w:color="auto" w:fill="D9D9D9"/>
          </w:tcPr>
          <w:p w14:paraId="7C17CD8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3835B4E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3" w:type="dxa"/>
            <w:shd w:val="clear" w:color="auto" w:fill="D9D9D9"/>
          </w:tcPr>
          <w:p w14:paraId="7F68CB9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725848D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270" w:type="dxa"/>
            <w:shd w:val="clear" w:color="auto" w:fill="D9D9D9"/>
          </w:tcPr>
          <w:p w14:paraId="3FEFFF7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7527F5C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1075" w:type="dxa"/>
            <w:shd w:val="clear" w:color="auto" w:fill="D9D9D9"/>
          </w:tcPr>
          <w:p w14:paraId="190BED8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79A4ADD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97" w:type="dxa"/>
            <w:shd w:val="clear" w:color="auto" w:fill="D9D9D9"/>
          </w:tcPr>
          <w:p w14:paraId="3DAEABE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7104EAB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161" w:type="dxa"/>
            <w:shd w:val="clear" w:color="auto" w:fill="D9D9D9"/>
          </w:tcPr>
          <w:p w14:paraId="64AD8B1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70BD706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 xml:space="preserve">Effective </w:t>
            </w:r>
          </w:p>
        </w:tc>
        <w:tc>
          <w:tcPr>
            <w:tcW w:w="1143" w:type="dxa"/>
            <w:shd w:val="clear" w:color="auto" w:fill="D9D9D9"/>
          </w:tcPr>
          <w:p w14:paraId="2E8D2B9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78CDADC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r w:rsidR="000676F2" w:rsidRPr="005C46A2" w14:paraId="7F64BDEC" w14:textId="77777777" w:rsidTr="000465E8">
        <w:tc>
          <w:tcPr>
            <w:tcW w:w="885" w:type="dxa"/>
          </w:tcPr>
          <w:p w14:paraId="3259813A" w14:textId="77777777" w:rsidR="000676F2" w:rsidRPr="005C46A2" w:rsidRDefault="000676F2" w:rsidP="00495C74">
            <w:pPr>
              <w:spacing w:line="240" w:lineRule="auto"/>
              <w:jc w:val="both"/>
              <w:rPr>
                <w:rFonts w:eastAsia="Calibri"/>
                <w:sz w:val="20"/>
                <w:szCs w:val="20"/>
              </w:rPr>
            </w:pPr>
          </w:p>
        </w:tc>
        <w:tc>
          <w:tcPr>
            <w:tcW w:w="8131" w:type="dxa"/>
            <w:gridSpan w:val="7"/>
          </w:tcPr>
          <w:p w14:paraId="2EBF67D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Please comment:</w:t>
            </w:r>
          </w:p>
          <w:p w14:paraId="7FFF4771" w14:textId="77777777" w:rsidR="000676F2" w:rsidRPr="005C46A2" w:rsidRDefault="000676F2" w:rsidP="00495C74">
            <w:pPr>
              <w:spacing w:line="240" w:lineRule="auto"/>
              <w:jc w:val="both"/>
              <w:rPr>
                <w:rFonts w:eastAsia="Calibri"/>
                <w:sz w:val="20"/>
                <w:szCs w:val="20"/>
              </w:rPr>
            </w:pPr>
          </w:p>
        </w:tc>
      </w:tr>
    </w:tbl>
    <w:p w14:paraId="56D6FAF2" w14:textId="77777777" w:rsidR="000676F2" w:rsidRPr="005C46A2" w:rsidRDefault="000676F2" w:rsidP="00495C74">
      <w:pPr>
        <w:spacing w:line="259" w:lineRule="auto"/>
        <w:jc w:val="both"/>
        <w:rPr>
          <w:rFonts w:eastAsia="Calibri"/>
          <w:sz w:val="20"/>
          <w:szCs w:val="20"/>
        </w:rPr>
      </w:pPr>
    </w:p>
    <w:p w14:paraId="10660BA1"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What are the key elements of effective interventions to ‘engage FAOs and communities to develop gambling harm reduction techniques’?</w:t>
      </w:r>
    </w:p>
    <w:tbl>
      <w:tblPr>
        <w:tblStyle w:val="TableGrid"/>
        <w:tblW w:w="0" w:type="auto"/>
        <w:tblInd w:w="-5" w:type="dxa"/>
        <w:tblLook w:val="04A0" w:firstRow="1" w:lastRow="0" w:firstColumn="1" w:lastColumn="0" w:noHBand="0" w:noVBand="1"/>
      </w:tblPr>
      <w:tblGrid>
        <w:gridCol w:w="9021"/>
      </w:tblGrid>
      <w:tr w:rsidR="000676F2" w:rsidRPr="005C46A2" w14:paraId="3E713DCD" w14:textId="77777777" w:rsidTr="000465E8">
        <w:tc>
          <w:tcPr>
            <w:tcW w:w="9021" w:type="dxa"/>
          </w:tcPr>
          <w:p w14:paraId="35D8E0AD" w14:textId="77777777" w:rsidR="000676F2" w:rsidRPr="005C46A2" w:rsidRDefault="000676F2" w:rsidP="00495C74">
            <w:pPr>
              <w:spacing w:line="240" w:lineRule="auto"/>
              <w:contextualSpacing/>
              <w:jc w:val="both"/>
              <w:rPr>
                <w:rFonts w:eastAsia="Calibri"/>
                <w:sz w:val="22"/>
                <w:szCs w:val="22"/>
              </w:rPr>
            </w:pPr>
            <w:r w:rsidRPr="005C46A2">
              <w:rPr>
                <w:rFonts w:eastAsia="Calibri"/>
                <w:sz w:val="22"/>
                <w:szCs w:val="22"/>
              </w:rPr>
              <w:t>Please comment:</w:t>
            </w:r>
          </w:p>
          <w:p w14:paraId="5C3027BC" w14:textId="77777777" w:rsidR="000676F2" w:rsidRPr="005C46A2" w:rsidRDefault="000676F2" w:rsidP="00495C74">
            <w:pPr>
              <w:spacing w:line="240" w:lineRule="auto"/>
              <w:contextualSpacing/>
              <w:jc w:val="both"/>
              <w:rPr>
                <w:rFonts w:eastAsia="Calibri"/>
                <w:sz w:val="22"/>
                <w:szCs w:val="22"/>
              </w:rPr>
            </w:pPr>
          </w:p>
        </w:tc>
      </w:tr>
    </w:tbl>
    <w:p w14:paraId="195CA789" w14:textId="77777777" w:rsidR="000676F2" w:rsidRPr="005C46A2" w:rsidRDefault="000676F2" w:rsidP="00495C74">
      <w:pPr>
        <w:pBdr>
          <w:bottom w:val="single" w:sz="12" w:space="1" w:color="auto"/>
        </w:pBdr>
        <w:spacing w:line="259" w:lineRule="auto"/>
        <w:jc w:val="both"/>
        <w:rPr>
          <w:rFonts w:eastAsia="Calibri"/>
          <w:sz w:val="22"/>
          <w:szCs w:val="22"/>
        </w:rPr>
      </w:pPr>
    </w:p>
    <w:p w14:paraId="1293DFE1" w14:textId="77777777" w:rsidR="000676F2" w:rsidRPr="005C46A2" w:rsidRDefault="000676F2" w:rsidP="00495C74">
      <w:pPr>
        <w:spacing w:line="259" w:lineRule="auto"/>
        <w:jc w:val="both"/>
        <w:rPr>
          <w:rFonts w:eastAsia="Calibri"/>
          <w:b/>
          <w:bCs/>
          <w:i/>
          <w:iCs/>
          <w:sz w:val="20"/>
          <w:szCs w:val="20"/>
        </w:rPr>
      </w:pPr>
      <w:r w:rsidRPr="005C46A2">
        <w:rPr>
          <w:rFonts w:eastAsia="Calibri"/>
          <w:b/>
          <w:bCs/>
          <w:i/>
          <w:iCs/>
          <w:sz w:val="20"/>
          <w:szCs w:val="20"/>
        </w:rPr>
        <w:t>PAGE 23</w:t>
      </w:r>
    </w:p>
    <w:p w14:paraId="4E007B8D" w14:textId="77777777" w:rsidR="000676F2" w:rsidRPr="005C46A2" w:rsidRDefault="000676F2" w:rsidP="00495C74">
      <w:pPr>
        <w:spacing w:line="259" w:lineRule="auto"/>
        <w:jc w:val="both"/>
        <w:rPr>
          <w:rFonts w:eastAsia="Calibri"/>
          <w:sz w:val="22"/>
          <w:szCs w:val="22"/>
        </w:rPr>
      </w:pPr>
      <w:r w:rsidRPr="005C46A2">
        <w:rPr>
          <w:rFonts w:eastAsia="Calibri"/>
          <w:i/>
          <w:iCs/>
          <w:sz w:val="22"/>
          <w:szCs w:val="22"/>
        </w:rPr>
        <w:t>Central to approach: Supporting families to name and influence the broader drivers of gambling practices and harm in their communities.</w:t>
      </w:r>
    </w:p>
    <w:p w14:paraId="0390AEA3" w14:textId="77777777" w:rsidR="000676F2" w:rsidRPr="005C46A2" w:rsidRDefault="000676F2" w:rsidP="00495C74">
      <w:pPr>
        <w:spacing w:line="259" w:lineRule="auto"/>
        <w:ind w:left="6480"/>
        <w:jc w:val="both"/>
        <w:rPr>
          <w:rFonts w:eastAsia="Calibri"/>
          <w:sz w:val="20"/>
          <w:szCs w:val="20"/>
        </w:rPr>
      </w:pPr>
      <w:r w:rsidRPr="005C46A2">
        <w:rPr>
          <w:rFonts w:eastAsia="Calibri"/>
          <w:sz w:val="20"/>
          <w:szCs w:val="20"/>
        </w:rPr>
        <w:t>(</w:t>
      </w:r>
      <w:r w:rsidRPr="005C46A2">
        <w:rPr>
          <w:rFonts w:eastAsia="Calibri"/>
          <w:i/>
          <w:iCs/>
          <w:sz w:val="16"/>
          <w:szCs w:val="16"/>
        </w:rPr>
        <w:t>Likert questions compulsory</w:t>
      </w:r>
      <w:r w:rsidRPr="005C46A2">
        <w:rPr>
          <w:rFonts w:eastAsia="Calibri"/>
          <w:sz w:val="20"/>
          <w:szCs w:val="20"/>
        </w:rPr>
        <w:t>)</w:t>
      </w:r>
    </w:p>
    <w:tbl>
      <w:tblPr>
        <w:tblStyle w:val="TableGrid"/>
        <w:tblW w:w="0" w:type="auto"/>
        <w:tblLook w:val="04A0" w:firstRow="1" w:lastRow="0" w:firstColumn="1" w:lastColumn="0" w:noHBand="0" w:noVBand="1"/>
      </w:tblPr>
      <w:tblGrid>
        <w:gridCol w:w="1226"/>
        <w:gridCol w:w="1127"/>
        <w:gridCol w:w="1127"/>
        <w:gridCol w:w="1283"/>
        <w:gridCol w:w="816"/>
        <w:gridCol w:w="1127"/>
        <w:gridCol w:w="1183"/>
        <w:gridCol w:w="1127"/>
      </w:tblGrid>
      <w:tr w:rsidR="000676F2" w:rsidRPr="005C46A2" w14:paraId="213C2A49" w14:textId="77777777" w:rsidTr="000465E8">
        <w:tc>
          <w:tcPr>
            <w:tcW w:w="1343" w:type="dxa"/>
          </w:tcPr>
          <w:p w14:paraId="60885198" w14:textId="77777777" w:rsidR="000676F2" w:rsidRPr="005C46A2" w:rsidRDefault="000676F2" w:rsidP="00495C74">
            <w:pPr>
              <w:spacing w:line="240" w:lineRule="auto"/>
              <w:jc w:val="both"/>
              <w:rPr>
                <w:rFonts w:eastAsia="Calibri"/>
                <w:sz w:val="22"/>
                <w:szCs w:val="22"/>
              </w:rPr>
            </w:pPr>
          </w:p>
        </w:tc>
        <w:tc>
          <w:tcPr>
            <w:tcW w:w="7673" w:type="dxa"/>
            <w:gridSpan w:val="7"/>
          </w:tcPr>
          <w:p w14:paraId="68AF1EC4"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FAOs who are women?</w:t>
            </w:r>
          </w:p>
        </w:tc>
      </w:tr>
      <w:tr w:rsidR="000676F2" w:rsidRPr="005C46A2" w14:paraId="184A0CBA" w14:textId="77777777" w:rsidTr="000676F2">
        <w:tc>
          <w:tcPr>
            <w:tcW w:w="1343" w:type="dxa"/>
            <w:shd w:val="clear" w:color="auto" w:fill="D9D9D9"/>
          </w:tcPr>
          <w:p w14:paraId="1C2EE746"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10" w:type="dxa"/>
            <w:shd w:val="clear" w:color="auto" w:fill="D9D9D9"/>
          </w:tcPr>
          <w:p w14:paraId="4E6B171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7D626D3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10" w:type="dxa"/>
            <w:shd w:val="clear" w:color="auto" w:fill="D9D9D9"/>
          </w:tcPr>
          <w:p w14:paraId="4405450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1935FA3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263" w:type="dxa"/>
            <w:shd w:val="clear" w:color="auto" w:fill="D9D9D9"/>
          </w:tcPr>
          <w:p w14:paraId="46CD775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5368DAA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05" w:type="dxa"/>
            <w:shd w:val="clear" w:color="auto" w:fill="D9D9D9"/>
          </w:tcPr>
          <w:p w14:paraId="7899883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350BABB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10" w:type="dxa"/>
            <w:shd w:val="clear" w:color="auto" w:fill="D9D9D9"/>
          </w:tcPr>
          <w:p w14:paraId="1BC7E14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5E19368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165" w:type="dxa"/>
            <w:shd w:val="clear" w:color="auto" w:fill="D9D9D9"/>
          </w:tcPr>
          <w:p w14:paraId="084ECB6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51DE759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10" w:type="dxa"/>
            <w:shd w:val="clear" w:color="auto" w:fill="D9D9D9"/>
          </w:tcPr>
          <w:p w14:paraId="5E5180F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77CD412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590B0215" w14:textId="77777777" w:rsidTr="000465E8">
        <w:tc>
          <w:tcPr>
            <w:tcW w:w="1343" w:type="dxa"/>
          </w:tcPr>
          <w:p w14:paraId="6BD70A05" w14:textId="77777777" w:rsidR="000676F2" w:rsidRPr="005C46A2" w:rsidRDefault="000676F2" w:rsidP="00495C74">
            <w:pPr>
              <w:spacing w:line="240" w:lineRule="auto"/>
              <w:jc w:val="both"/>
              <w:rPr>
                <w:rFonts w:eastAsia="Calibri"/>
                <w:sz w:val="22"/>
                <w:szCs w:val="22"/>
              </w:rPr>
            </w:pPr>
          </w:p>
        </w:tc>
        <w:tc>
          <w:tcPr>
            <w:tcW w:w="7673" w:type="dxa"/>
            <w:gridSpan w:val="7"/>
          </w:tcPr>
          <w:p w14:paraId="33A8427A"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women FAOs?</w:t>
            </w:r>
          </w:p>
        </w:tc>
      </w:tr>
      <w:tr w:rsidR="000676F2" w:rsidRPr="005C46A2" w14:paraId="4B8B65F3" w14:textId="77777777" w:rsidTr="000676F2">
        <w:tc>
          <w:tcPr>
            <w:tcW w:w="1343" w:type="dxa"/>
            <w:shd w:val="clear" w:color="auto" w:fill="D9D9D9"/>
          </w:tcPr>
          <w:p w14:paraId="165BCF93"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10" w:type="dxa"/>
            <w:shd w:val="clear" w:color="auto" w:fill="D9D9D9"/>
          </w:tcPr>
          <w:p w14:paraId="5B36FC1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6772C9D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10" w:type="dxa"/>
            <w:shd w:val="clear" w:color="auto" w:fill="D9D9D9"/>
          </w:tcPr>
          <w:p w14:paraId="39B606C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172E2F8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263" w:type="dxa"/>
            <w:shd w:val="clear" w:color="auto" w:fill="D9D9D9"/>
          </w:tcPr>
          <w:p w14:paraId="61E1E27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31BB128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05" w:type="dxa"/>
            <w:shd w:val="clear" w:color="auto" w:fill="D9D9D9"/>
          </w:tcPr>
          <w:p w14:paraId="70C2B09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77FC774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10" w:type="dxa"/>
            <w:shd w:val="clear" w:color="auto" w:fill="D9D9D9"/>
          </w:tcPr>
          <w:p w14:paraId="2B77C4A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2CC095A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165" w:type="dxa"/>
            <w:shd w:val="clear" w:color="auto" w:fill="D9D9D9"/>
          </w:tcPr>
          <w:p w14:paraId="733B31F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40F7BC7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10" w:type="dxa"/>
            <w:shd w:val="clear" w:color="auto" w:fill="D9D9D9"/>
          </w:tcPr>
          <w:p w14:paraId="7B054FC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15D29AD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3DD3036E" w14:textId="77777777" w:rsidR="000676F2" w:rsidRPr="005C46A2" w:rsidRDefault="000676F2" w:rsidP="00495C74">
      <w:pPr>
        <w:spacing w:line="259" w:lineRule="auto"/>
        <w:jc w:val="both"/>
        <w:rPr>
          <w:rFonts w:eastAsia="Calibri"/>
          <w:sz w:val="20"/>
          <w:szCs w:val="20"/>
        </w:rPr>
      </w:pPr>
    </w:p>
    <w:tbl>
      <w:tblPr>
        <w:tblStyle w:val="TableGrid"/>
        <w:tblW w:w="0" w:type="auto"/>
        <w:tblLook w:val="04A0" w:firstRow="1" w:lastRow="0" w:firstColumn="1" w:lastColumn="0" w:noHBand="0" w:noVBand="1"/>
      </w:tblPr>
      <w:tblGrid>
        <w:gridCol w:w="1103"/>
        <w:gridCol w:w="1148"/>
        <w:gridCol w:w="1148"/>
        <w:gridCol w:w="1300"/>
        <w:gridCol w:w="816"/>
        <w:gridCol w:w="1148"/>
        <w:gridCol w:w="1205"/>
        <w:gridCol w:w="1148"/>
      </w:tblGrid>
      <w:tr w:rsidR="000676F2" w:rsidRPr="005C46A2" w14:paraId="40754BEA" w14:textId="77777777" w:rsidTr="000465E8">
        <w:tc>
          <w:tcPr>
            <w:tcW w:w="1103" w:type="dxa"/>
          </w:tcPr>
          <w:p w14:paraId="633758DE" w14:textId="77777777" w:rsidR="000676F2" w:rsidRPr="005C46A2" w:rsidRDefault="000676F2" w:rsidP="00495C74">
            <w:pPr>
              <w:spacing w:line="240" w:lineRule="auto"/>
              <w:jc w:val="both"/>
              <w:rPr>
                <w:rFonts w:eastAsia="Calibri"/>
                <w:sz w:val="22"/>
                <w:szCs w:val="22"/>
              </w:rPr>
            </w:pPr>
          </w:p>
        </w:tc>
        <w:tc>
          <w:tcPr>
            <w:tcW w:w="7913" w:type="dxa"/>
            <w:gridSpan w:val="7"/>
          </w:tcPr>
          <w:p w14:paraId="5D59288B"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men FAOs?</w:t>
            </w:r>
          </w:p>
        </w:tc>
      </w:tr>
      <w:tr w:rsidR="000676F2" w:rsidRPr="005C46A2" w14:paraId="4C598F94" w14:textId="77777777" w:rsidTr="000676F2">
        <w:tc>
          <w:tcPr>
            <w:tcW w:w="1103" w:type="dxa"/>
            <w:shd w:val="clear" w:color="auto" w:fill="D9D9D9"/>
          </w:tcPr>
          <w:p w14:paraId="6EEE2DAA"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425AD4E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31A6B5C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48" w:type="dxa"/>
            <w:shd w:val="clear" w:color="auto" w:fill="D9D9D9"/>
          </w:tcPr>
          <w:p w14:paraId="63976F0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438C199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300" w:type="dxa"/>
            <w:shd w:val="clear" w:color="auto" w:fill="D9D9D9"/>
          </w:tcPr>
          <w:p w14:paraId="70BDB35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38958DA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16" w:type="dxa"/>
            <w:shd w:val="clear" w:color="auto" w:fill="D9D9D9"/>
          </w:tcPr>
          <w:p w14:paraId="5C69494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4E2C959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1F746EB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50C7612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205" w:type="dxa"/>
            <w:shd w:val="clear" w:color="auto" w:fill="D9D9D9"/>
          </w:tcPr>
          <w:p w14:paraId="0BE701B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383A911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48" w:type="dxa"/>
            <w:shd w:val="clear" w:color="auto" w:fill="D9D9D9"/>
          </w:tcPr>
          <w:p w14:paraId="39DC181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4B95C95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37F24559" w14:textId="77777777" w:rsidTr="000465E8">
        <w:tc>
          <w:tcPr>
            <w:tcW w:w="1103" w:type="dxa"/>
          </w:tcPr>
          <w:p w14:paraId="22E60878" w14:textId="77777777" w:rsidR="000676F2" w:rsidRPr="005C46A2" w:rsidRDefault="000676F2" w:rsidP="00495C74">
            <w:pPr>
              <w:spacing w:line="240" w:lineRule="auto"/>
              <w:jc w:val="both"/>
              <w:rPr>
                <w:rFonts w:eastAsia="Calibri"/>
                <w:sz w:val="22"/>
                <w:szCs w:val="22"/>
              </w:rPr>
            </w:pPr>
          </w:p>
        </w:tc>
        <w:tc>
          <w:tcPr>
            <w:tcW w:w="7913" w:type="dxa"/>
            <w:gridSpan w:val="7"/>
          </w:tcPr>
          <w:p w14:paraId="6DDFA60D"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men FAOs?</w:t>
            </w:r>
          </w:p>
        </w:tc>
      </w:tr>
      <w:tr w:rsidR="000676F2" w:rsidRPr="005C46A2" w14:paraId="35825BF1" w14:textId="77777777" w:rsidTr="000676F2">
        <w:tc>
          <w:tcPr>
            <w:tcW w:w="1103" w:type="dxa"/>
            <w:shd w:val="clear" w:color="auto" w:fill="D9D9D9"/>
          </w:tcPr>
          <w:p w14:paraId="645B2E4A"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190BA74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6F1BF7F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8" w:type="dxa"/>
            <w:shd w:val="clear" w:color="auto" w:fill="D9D9D9"/>
          </w:tcPr>
          <w:p w14:paraId="1F04EE5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1B3936A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300" w:type="dxa"/>
            <w:shd w:val="clear" w:color="auto" w:fill="D9D9D9"/>
          </w:tcPr>
          <w:p w14:paraId="7CF1BE5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611EFE9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16" w:type="dxa"/>
            <w:shd w:val="clear" w:color="auto" w:fill="D9D9D9"/>
          </w:tcPr>
          <w:p w14:paraId="7D1AE17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0B488BE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792C693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37CE7C8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205" w:type="dxa"/>
            <w:shd w:val="clear" w:color="auto" w:fill="D9D9D9"/>
          </w:tcPr>
          <w:p w14:paraId="078C8E4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363B12F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48" w:type="dxa"/>
            <w:shd w:val="clear" w:color="auto" w:fill="D9D9D9"/>
          </w:tcPr>
          <w:p w14:paraId="135320B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7719D80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650DF1B5" w14:textId="77777777" w:rsidR="000676F2" w:rsidRPr="005C46A2" w:rsidRDefault="000676F2" w:rsidP="00495C74">
      <w:pPr>
        <w:spacing w:line="259" w:lineRule="auto"/>
        <w:jc w:val="both"/>
        <w:rPr>
          <w:rFonts w:eastAsia="Calibri"/>
          <w:sz w:val="20"/>
          <w:szCs w:val="20"/>
        </w:rPr>
      </w:pPr>
    </w:p>
    <w:tbl>
      <w:tblPr>
        <w:tblStyle w:val="TableGrid"/>
        <w:tblW w:w="0" w:type="auto"/>
        <w:tblLook w:val="04A0" w:firstRow="1" w:lastRow="0" w:firstColumn="1" w:lastColumn="0" w:noHBand="0" w:noVBand="1"/>
      </w:tblPr>
      <w:tblGrid>
        <w:gridCol w:w="1103"/>
        <w:gridCol w:w="1148"/>
        <w:gridCol w:w="1148"/>
        <w:gridCol w:w="1300"/>
        <w:gridCol w:w="816"/>
        <w:gridCol w:w="1148"/>
        <w:gridCol w:w="1205"/>
        <w:gridCol w:w="1148"/>
      </w:tblGrid>
      <w:tr w:rsidR="000676F2" w:rsidRPr="005C46A2" w14:paraId="2A970397" w14:textId="77777777" w:rsidTr="000465E8">
        <w:tc>
          <w:tcPr>
            <w:tcW w:w="1103" w:type="dxa"/>
          </w:tcPr>
          <w:p w14:paraId="62FE9FB1" w14:textId="77777777" w:rsidR="000676F2" w:rsidRPr="005C46A2" w:rsidRDefault="000676F2" w:rsidP="00495C74">
            <w:pPr>
              <w:spacing w:line="240" w:lineRule="auto"/>
              <w:jc w:val="both"/>
              <w:rPr>
                <w:rFonts w:eastAsia="Calibri"/>
                <w:sz w:val="22"/>
                <w:szCs w:val="22"/>
              </w:rPr>
            </w:pPr>
          </w:p>
        </w:tc>
        <w:tc>
          <w:tcPr>
            <w:tcW w:w="7913" w:type="dxa"/>
            <w:gridSpan w:val="7"/>
          </w:tcPr>
          <w:p w14:paraId="5D413B91"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FAOs who are gender diverse?</w:t>
            </w:r>
          </w:p>
        </w:tc>
      </w:tr>
      <w:tr w:rsidR="000676F2" w:rsidRPr="005C46A2" w14:paraId="540325B2" w14:textId="77777777" w:rsidTr="000676F2">
        <w:tc>
          <w:tcPr>
            <w:tcW w:w="1103" w:type="dxa"/>
            <w:shd w:val="clear" w:color="auto" w:fill="D9D9D9"/>
          </w:tcPr>
          <w:p w14:paraId="7E71907E"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65C12D6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3EF7BD8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48" w:type="dxa"/>
            <w:shd w:val="clear" w:color="auto" w:fill="D9D9D9"/>
          </w:tcPr>
          <w:p w14:paraId="412EE09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3E6A3CE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300" w:type="dxa"/>
            <w:shd w:val="clear" w:color="auto" w:fill="D9D9D9"/>
          </w:tcPr>
          <w:p w14:paraId="0CAF00B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30BA8EE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16" w:type="dxa"/>
            <w:shd w:val="clear" w:color="auto" w:fill="D9D9D9"/>
          </w:tcPr>
          <w:p w14:paraId="0008C60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6BA2B8E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5C9CBAD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03B84C2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205" w:type="dxa"/>
            <w:shd w:val="clear" w:color="auto" w:fill="D9D9D9"/>
          </w:tcPr>
          <w:p w14:paraId="504D642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4408280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48" w:type="dxa"/>
            <w:shd w:val="clear" w:color="auto" w:fill="D9D9D9"/>
          </w:tcPr>
          <w:p w14:paraId="07F451B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42EE88C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53540490" w14:textId="77777777" w:rsidTr="000465E8">
        <w:tc>
          <w:tcPr>
            <w:tcW w:w="1103" w:type="dxa"/>
          </w:tcPr>
          <w:p w14:paraId="17C9F5DC" w14:textId="77777777" w:rsidR="000676F2" w:rsidRPr="005C46A2" w:rsidRDefault="000676F2" w:rsidP="00495C74">
            <w:pPr>
              <w:spacing w:line="240" w:lineRule="auto"/>
              <w:jc w:val="both"/>
              <w:rPr>
                <w:rFonts w:eastAsia="Calibri"/>
                <w:sz w:val="22"/>
                <w:szCs w:val="22"/>
              </w:rPr>
            </w:pPr>
          </w:p>
        </w:tc>
        <w:tc>
          <w:tcPr>
            <w:tcW w:w="7913" w:type="dxa"/>
            <w:gridSpan w:val="7"/>
          </w:tcPr>
          <w:p w14:paraId="39E9A462"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FAOs who are gender diverse?</w:t>
            </w:r>
          </w:p>
        </w:tc>
      </w:tr>
      <w:tr w:rsidR="000676F2" w:rsidRPr="005C46A2" w14:paraId="70085079" w14:textId="77777777" w:rsidTr="000676F2">
        <w:tc>
          <w:tcPr>
            <w:tcW w:w="1103" w:type="dxa"/>
            <w:shd w:val="clear" w:color="auto" w:fill="D9D9D9"/>
          </w:tcPr>
          <w:p w14:paraId="593FF4A8"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0599C3E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76FD137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8" w:type="dxa"/>
            <w:shd w:val="clear" w:color="auto" w:fill="D9D9D9"/>
          </w:tcPr>
          <w:p w14:paraId="65E1807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17096DC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300" w:type="dxa"/>
            <w:shd w:val="clear" w:color="auto" w:fill="D9D9D9"/>
          </w:tcPr>
          <w:p w14:paraId="5FC464D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0C5E9E1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16" w:type="dxa"/>
            <w:shd w:val="clear" w:color="auto" w:fill="D9D9D9"/>
          </w:tcPr>
          <w:p w14:paraId="24E3EBD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56DA766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15FC760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1149B28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205" w:type="dxa"/>
            <w:shd w:val="clear" w:color="auto" w:fill="D9D9D9"/>
          </w:tcPr>
          <w:p w14:paraId="5351DA4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062FA05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48" w:type="dxa"/>
            <w:shd w:val="clear" w:color="auto" w:fill="D9D9D9"/>
          </w:tcPr>
          <w:p w14:paraId="6C2745E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39B1AB6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0A04208E" w14:textId="77777777" w:rsidR="000676F2" w:rsidRPr="005C46A2" w:rsidRDefault="000676F2" w:rsidP="00495C74">
      <w:pPr>
        <w:spacing w:line="259" w:lineRule="auto"/>
        <w:jc w:val="both"/>
        <w:rPr>
          <w:rFonts w:eastAsia="Calibri"/>
          <w:sz w:val="20"/>
          <w:szCs w:val="20"/>
        </w:rPr>
      </w:pPr>
    </w:p>
    <w:p w14:paraId="5B619EF5" w14:textId="77777777" w:rsidR="000676F2" w:rsidRPr="005C46A2" w:rsidRDefault="000676F2" w:rsidP="00495C74">
      <w:pPr>
        <w:spacing w:line="259" w:lineRule="auto"/>
        <w:jc w:val="both"/>
        <w:rPr>
          <w:rFonts w:eastAsia="Calibri"/>
          <w:sz w:val="20"/>
          <w:szCs w:val="20"/>
        </w:rPr>
      </w:pPr>
      <w:r w:rsidRPr="005C46A2">
        <w:rPr>
          <w:rFonts w:eastAsia="Calibri"/>
          <w:sz w:val="20"/>
          <w:szCs w:val="20"/>
        </w:rPr>
        <w:t>What are your thoughts on this approach when working with FAOs who are women, men, or gender diverse?</w:t>
      </w:r>
    </w:p>
    <w:tbl>
      <w:tblPr>
        <w:tblStyle w:val="TableGrid"/>
        <w:tblW w:w="0" w:type="auto"/>
        <w:tblLook w:val="04A0" w:firstRow="1" w:lastRow="0" w:firstColumn="1" w:lastColumn="0" w:noHBand="0" w:noVBand="1"/>
      </w:tblPr>
      <w:tblGrid>
        <w:gridCol w:w="9016"/>
      </w:tblGrid>
      <w:tr w:rsidR="000676F2" w:rsidRPr="005C46A2" w14:paraId="19EA0D76" w14:textId="77777777" w:rsidTr="000465E8">
        <w:tc>
          <w:tcPr>
            <w:tcW w:w="9016" w:type="dxa"/>
          </w:tcPr>
          <w:p w14:paraId="4B1BFFC2" w14:textId="77777777" w:rsidR="000676F2" w:rsidRPr="005C46A2" w:rsidRDefault="000676F2" w:rsidP="00495C74">
            <w:pPr>
              <w:spacing w:line="240" w:lineRule="auto"/>
              <w:jc w:val="both"/>
              <w:rPr>
                <w:rFonts w:eastAsia="Calibri"/>
                <w:sz w:val="20"/>
                <w:szCs w:val="20"/>
              </w:rPr>
            </w:pPr>
          </w:p>
          <w:p w14:paraId="0C2F9EC1" w14:textId="77777777" w:rsidR="000676F2" w:rsidRPr="005C46A2" w:rsidRDefault="000676F2" w:rsidP="00495C74">
            <w:pPr>
              <w:spacing w:line="240" w:lineRule="auto"/>
              <w:jc w:val="both"/>
              <w:rPr>
                <w:rFonts w:eastAsia="Calibri"/>
                <w:sz w:val="20"/>
                <w:szCs w:val="20"/>
              </w:rPr>
            </w:pPr>
          </w:p>
        </w:tc>
      </w:tr>
    </w:tbl>
    <w:p w14:paraId="431315F3" w14:textId="77777777" w:rsidR="000676F2" w:rsidRPr="005C46A2" w:rsidRDefault="000676F2" w:rsidP="00495C74">
      <w:pPr>
        <w:pBdr>
          <w:bottom w:val="single" w:sz="12" w:space="1" w:color="auto"/>
        </w:pBdr>
        <w:spacing w:line="259" w:lineRule="auto"/>
        <w:jc w:val="both"/>
        <w:rPr>
          <w:rFonts w:eastAsia="Calibri"/>
          <w:sz w:val="20"/>
          <w:szCs w:val="20"/>
        </w:rPr>
      </w:pPr>
    </w:p>
    <w:p w14:paraId="4E3DD9F4" w14:textId="77777777" w:rsidR="000676F2" w:rsidRPr="005C46A2" w:rsidRDefault="000676F2" w:rsidP="00495C74">
      <w:pPr>
        <w:spacing w:line="259" w:lineRule="auto"/>
        <w:jc w:val="both"/>
        <w:rPr>
          <w:rFonts w:eastAsia="Calibri"/>
          <w:b/>
          <w:bCs/>
          <w:i/>
          <w:iCs/>
          <w:sz w:val="20"/>
          <w:szCs w:val="20"/>
        </w:rPr>
      </w:pPr>
      <w:r w:rsidRPr="005C46A2">
        <w:rPr>
          <w:rFonts w:eastAsia="Calibri"/>
          <w:b/>
          <w:bCs/>
          <w:i/>
          <w:iCs/>
          <w:sz w:val="20"/>
          <w:szCs w:val="20"/>
        </w:rPr>
        <w:t>PAGE 24</w:t>
      </w:r>
    </w:p>
    <w:p w14:paraId="35DF34D7" w14:textId="77777777" w:rsidR="000676F2" w:rsidRPr="005C46A2" w:rsidRDefault="000676F2" w:rsidP="00495C74">
      <w:pPr>
        <w:spacing w:line="259" w:lineRule="auto"/>
        <w:jc w:val="both"/>
        <w:rPr>
          <w:rFonts w:eastAsia="Calibri"/>
          <w:sz w:val="22"/>
          <w:szCs w:val="22"/>
        </w:rPr>
      </w:pPr>
      <w:r w:rsidRPr="005C46A2">
        <w:rPr>
          <w:rFonts w:eastAsia="Calibri"/>
          <w:i/>
          <w:iCs/>
          <w:sz w:val="22"/>
          <w:szCs w:val="22"/>
        </w:rPr>
        <w:t>Central to approach: Supporting families to name and influence the broader drivers of gambling practices and harm in their communities.</w:t>
      </w:r>
    </w:p>
    <w:p w14:paraId="4EFAF5B8" w14:textId="77777777" w:rsidR="000676F2" w:rsidRPr="005C46A2" w:rsidRDefault="000676F2" w:rsidP="00495C74">
      <w:pPr>
        <w:spacing w:line="259" w:lineRule="auto"/>
        <w:ind w:left="6480"/>
        <w:jc w:val="both"/>
        <w:rPr>
          <w:rFonts w:eastAsia="Calibri"/>
          <w:sz w:val="20"/>
          <w:szCs w:val="20"/>
        </w:rPr>
      </w:pPr>
      <w:r w:rsidRPr="005C46A2">
        <w:rPr>
          <w:rFonts w:eastAsia="Calibri"/>
          <w:sz w:val="20"/>
          <w:szCs w:val="20"/>
        </w:rPr>
        <w:t>(</w:t>
      </w:r>
      <w:r w:rsidRPr="005C46A2">
        <w:rPr>
          <w:rFonts w:eastAsia="Calibri"/>
          <w:i/>
          <w:iCs/>
          <w:sz w:val="16"/>
          <w:szCs w:val="16"/>
        </w:rPr>
        <w:t>Likert questions compulsory</w:t>
      </w:r>
      <w:r w:rsidRPr="005C46A2">
        <w:rPr>
          <w:rFonts w:eastAsia="Calibri"/>
          <w:sz w:val="20"/>
          <w:szCs w:val="20"/>
        </w:rPr>
        <w:t>)</w:t>
      </w:r>
    </w:p>
    <w:tbl>
      <w:tblPr>
        <w:tblStyle w:val="TableGrid"/>
        <w:tblW w:w="0" w:type="auto"/>
        <w:tblLook w:val="04A0" w:firstRow="1" w:lastRow="0" w:firstColumn="1" w:lastColumn="0" w:noHBand="0" w:noVBand="1"/>
      </w:tblPr>
      <w:tblGrid>
        <w:gridCol w:w="1103"/>
        <w:gridCol w:w="1148"/>
        <w:gridCol w:w="1148"/>
        <w:gridCol w:w="1300"/>
        <w:gridCol w:w="816"/>
        <w:gridCol w:w="1148"/>
        <w:gridCol w:w="1205"/>
        <w:gridCol w:w="1148"/>
      </w:tblGrid>
      <w:tr w:rsidR="000676F2" w:rsidRPr="005C46A2" w14:paraId="75CA28B7" w14:textId="77777777" w:rsidTr="000465E8">
        <w:tc>
          <w:tcPr>
            <w:tcW w:w="1103" w:type="dxa"/>
          </w:tcPr>
          <w:p w14:paraId="0CB176FA" w14:textId="77777777" w:rsidR="000676F2" w:rsidRPr="005C46A2" w:rsidRDefault="000676F2" w:rsidP="00495C74">
            <w:pPr>
              <w:spacing w:line="240" w:lineRule="auto"/>
              <w:jc w:val="both"/>
              <w:rPr>
                <w:rFonts w:eastAsia="Calibri"/>
                <w:sz w:val="22"/>
                <w:szCs w:val="22"/>
              </w:rPr>
            </w:pPr>
          </w:p>
        </w:tc>
        <w:tc>
          <w:tcPr>
            <w:tcW w:w="7913" w:type="dxa"/>
            <w:gridSpan w:val="7"/>
          </w:tcPr>
          <w:p w14:paraId="0F2E1437"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young FAOs? (e.g. children)</w:t>
            </w:r>
          </w:p>
        </w:tc>
      </w:tr>
      <w:tr w:rsidR="000676F2" w:rsidRPr="005C46A2" w14:paraId="2F792E46" w14:textId="77777777" w:rsidTr="000676F2">
        <w:tc>
          <w:tcPr>
            <w:tcW w:w="1103" w:type="dxa"/>
            <w:shd w:val="clear" w:color="auto" w:fill="D9D9D9"/>
          </w:tcPr>
          <w:p w14:paraId="6788F129"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0B98955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77A56C6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48" w:type="dxa"/>
            <w:shd w:val="clear" w:color="auto" w:fill="D9D9D9"/>
          </w:tcPr>
          <w:p w14:paraId="203D017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5F6EF04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300" w:type="dxa"/>
            <w:shd w:val="clear" w:color="auto" w:fill="D9D9D9"/>
          </w:tcPr>
          <w:p w14:paraId="3E05964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77633FF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16" w:type="dxa"/>
            <w:shd w:val="clear" w:color="auto" w:fill="D9D9D9"/>
          </w:tcPr>
          <w:p w14:paraId="3599D19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6909F58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3E1C2E6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5A2E004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205" w:type="dxa"/>
            <w:shd w:val="clear" w:color="auto" w:fill="D9D9D9"/>
          </w:tcPr>
          <w:p w14:paraId="31CCDD1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1B4976A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48" w:type="dxa"/>
            <w:shd w:val="clear" w:color="auto" w:fill="D9D9D9"/>
          </w:tcPr>
          <w:p w14:paraId="6C5A5F6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6209DD3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47A43BB0" w14:textId="77777777" w:rsidTr="000465E8">
        <w:tc>
          <w:tcPr>
            <w:tcW w:w="1103" w:type="dxa"/>
          </w:tcPr>
          <w:p w14:paraId="56F10759" w14:textId="77777777" w:rsidR="000676F2" w:rsidRPr="005C46A2" w:rsidRDefault="000676F2" w:rsidP="00495C74">
            <w:pPr>
              <w:spacing w:line="240" w:lineRule="auto"/>
              <w:jc w:val="both"/>
              <w:rPr>
                <w:rFonts w:eastAsia="Calibri"/>
                <w:sz w:val="22"/>
                <w:szCs w:val="22"/>
              </w:rPr>
            </w:pPr>
          </w:p>
        </w:tc>
        <w:tc>
          <w:tcPr>
            <w:tcW w:w="7913" w:type="dxa"/>
            <w:gridSpan w:val="7"/>
          </w:tcPr>
          <w:p w14:paraId="77B3CBF4"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young FAOs? (e.g. children)</w:t>
            </w:r>
          </w:p>
        </w:tc>
      </w:tr>
      <w:tr w:rsidR="000676F2" w:rsidRPr="005C46A2" w14:paraId="47368538" w14:textId="77777777" w:rsidTr="000676F2">
        <w:tc>
          <w:tcPr>
            <w:tcW w:w="1103" w:type="dxa"/>
            <w:shd w:val="clear" w:color="auto" w:fill="D9D9D9"/>
          </w:tcPr>
          <w:p w14:paraId="0292A615"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4EFA309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6F28180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8" w:type="dxa"/>
            <w:shd w:val="clear" w:color="auto" w:fill="D9D9D9"/>
          </w:tcPr>
          <w:p w14:paraId="702FCF3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752C593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300" w:type="dxa"/>
            <w:shd w:val="clear" w:color="auto" w:fill="D9D9D9"/>
          </w:tcPr>
          <w:p w14:paraId="4168CCF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6C8CA63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16" w:type="dxa"/>
            <w:shd w:val="clear" w:color="auto" w:fill="D9D9D9"/>
          </w:tcPr>
          <w:p w14:paraId="6AD0FDB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6EA34EB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0A10BE7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3F66D2C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205" w:type="dxa"/>
            <w:shd w:val="clear" w:color="auto" w:fill="D9D9D9"/>
          </w:tcPr>
          <w:p w14:paraId="66B14BC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3AB4D43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48" w:type="dxa"/>
            <w:shd w:val="clear" w:color="auto" w:fill="D9D9D9"/>
          </w:tcPr>
          <w:p w14:paraId="463DB09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47ACB20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r w:rsidR="000676F2" w:rsidRPr="005C46A2" w14:paraId="0865EF4E" w14:textId="77777777" w:rsidTr="000465E8">
        <w:tc>
          <w:tcPr>
            <w:tcW w:w="1103" w:type="dxa"/>
          </w:tcPr>
          <w:p w14:paraId="11A1848C" w14:textId="77777777" w:rsidR="000676F2" w:rsidRPr="005C46A2" w:rsidRDefault="000676F2" w:rsidP="00495C74">
            <w:pPr>
              <w:spacing w:line="240" w:lineRule="auto"/>
              <w:jc w:val="both"/>
              <w:rPr>
                <w:rFonts w:eastAsia="Calibri"/>
                <w:sz w:val="22"/>
                <w:szCs w:val="22"/>
              </w:rPr>
            </w:pPr>
          </w:p>
        </w:tc>
        <w:tc>
          <w:tcPr>
            <w:tcW w:w="7913" w:type="dxa"/>
            <w:gridSpan w:val="7"/>
          </w:tcPr>
          <w:p w14:paraId="7C66A21B"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older adult FAOs?</w:t>
            </w:r>
          </w:p>
        </w:tc>
      </w:tr>
      <w:tr w:rsidR="000676F2" w:rsidRPr="005C46A2" w14:paraId="1BFF694C" w14:textId="77777777" w:rsidTr="000676F2">
        <w:tc>
          <w:tcPr>
            <w:tcW w:w="1103" w:type="dxa"/>
            <w:shd w:val="clear" w:color="auto" w:fill="D9D9D9"/>
          </w:tcPr>
          <w:p w14:paraId="499A42CD"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3E01868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5B9354B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48" w:type="dxa"/>
            <w:shd w:val="clear" w:color="auto" w:fill="D9D9D9"/>
          </w:tcPr>
          <w:p w14:paraId="3E24EE1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29CF598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300" w:type="dxa"/>
            <w:shd w:val="clear" w:color="auto" w:fill="D9D9D9"/>
          </w:tcPr>
          <w:p w14:paraId="12AB449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4F737B4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16" w:type="dxa"/>
            <w:shd w:val="clear" w:color="auto" w:fill="D9D9D9"/>
          </w:tcPr>
          <w:p w14:paraId="1C4CF02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4EA65CE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5F46644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2A82D72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205" w:type="dxa"/>
            <w:shd w:val="clear" w:color="auto" w:fill="D9D9D9"/>
          </w:tcPr>
          <w:p w14:paraId="7884022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7B54557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48" w:type="dxa"/>
            <w:shd w:val="clear" w:color="auto" w:fill="D9D9D9"/>
          </w:tcPr>
          <w:p w14:paraId="6D60477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21A397B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26AA8036" w14:textId="77777777" w:rsidTr="000465E8">
        <w:tc>
          <w:tcPr>
            <w:tcW w:w="1103" w:type="dxa"/>
          </w:tcPr>
          <w:p w14:paraId="30775616" w14:textId="77777777" w:rsidR="000676F2" w:rsidRPr="005C46A2" w:rsidRDefault="000676F2" w:rsidP="00495C74">
            <w:pPr>
              <w:spacing w:line="240" w:lineRule="auto"/>
              <w:jc w:val="both"/>
              <w:rPr>
                <w:rFonts w:eastAsia="Calibri"/>
                <w:sz w:val="22"/>
                <w:szCs w:val="22"/>
              </w:rPr>
            </w:pPr>
          </w:p>
        </w:tc>
        <w:tc>
          <w:tcPr>
            <w:tcW w:w="7913" w:type="dxa"/>
            <w:gridSpan w:val="7"/>
          </w:tcPr>
          <w:p w14:paraId="6D2E5CC9"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older adult FAOs?</w:t>
            </w:r>
          </w:p>
        </w:tc>
      </w:tr>
      <w:tr w:rsidR="000676F2" w:rsidRPr="005C46A2" w14:paraId="160107ED" w14:textId="77777777" w:rsidTr="000676F2">
        <w:tc>
          <w:tcPr>
            <w:tcW w:w="1103" w:type="dxa"/>
            <w:shd w:val="clear" w:color="auto" w:fill="D9D9D9"/>
          </w:tcPr>
          <w:p w14:paraId="76054E63"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8" w:type="dxa"/>
            <w:shd w:val="clear" w:color="auto" w:fill="D9D9D9"/>
          </w:tcPr>
          <w:p w14:paraId="449D23B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5B6F6E0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8" w:type="dxa"/>
            <w:shd w:val="clear" w:color="auto" w:fill="D9D9D9"/>
          </w:tcPr>
          <w:p w14:paraId="5CDDFBB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4B0F1D4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300" w:type="dxa"/>
            <w:shd w:val="clear" w:color="auto" w:fill="D9D9D9"/>
          </w:tcPr>
          <w:p w14:paraId="1DE43A8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57A5931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16" w:type="dxa"/>
            <w:shd w:val="clear" w:color="auto" w:fill="D9D9D9"/>
          </w:tcPr>
          <w:p w14:paraId="0609FCC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48343DE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8" w:type="dxa"/>
            <w:shd w:val="clear" w:color="auto" w:fill="D9D9D9"/>
          </w:tcPr>
          <w:p w14:paraId="1738BE2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76E3F78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205" w:type="dxa"/>
            <w:shd w:val="clear" w:color="auto" w:fill="D9D9D9"/>
          </w:tcPr>
          <w:p w14:paraId="229C88B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6A3643E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48" w:type="dxa"/>
            <w:shd w:val="clear" w:color="auto" w:fill="D9D9D9"/>
          </w:tcPr>
          <w:p w14:paraId="3ED6CF5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51DC930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4099D229" w14:textId="77777777" w:rsidR="000676F2" w:rsidRPr="005C46A2" w:rsidRDefault="000676F2" w:rsidP="00495C74">
      <w:pPr>
        <w:spacing w:line="259" w:lineRule="auto"/>
        <w:jc w:val="both"/>
        <w:rPr>
          <w:rFonts w:eastAsia="Calibri"/>
          <w:sz w:val="20"/>
          <w:szCs w:val="20"/>
        </w:rPr>
      </w:pPr>
    </w:p>
    <w:p w14:paraId="6820382C" w14:textId="77777777" w:rsidR="000676F2" w:rsidRPr="005C46A2" w:rsidRDefault="000676F2" w:rsidP="00495C74">
      <w:pPr>
        <w:spacing w:line="259" w:lineRule="auto"/>
        <w:jc w:val="both"/>
        <w:rPr>
          <w:rFonts w:eastAsia="Calibri"/>
          <w:sz w:val="20"/>
          <w:szCs w:val="20"/>
        </w:rPr>
      </w:pPr>
      <w:r w:rsidRPr="005C46A2">
        <w:rPr>
          <w:rFonts w:eastAsia="Calibri"/>
          <w:sz w:val="20"/>
          <w:szCs w:val="20"/>
        </w:rPr>
        <w:t>What are your thoughts on this approach when working with FAOs who are children? Or older adults?</w:t>
      </w:r>
    </w:p>
    <w:tbl>
      <w:tblPr>
        <w:tblStyle w:val="TableGrid"/>
        <w:tblW w:w="0" w:type="auto"/>
        <w:tblLook w:val="04A0" w:firstRow="1" w:lastRow="0" w:firstColumn="1" w:lastColumn="0" w:noHBand="0" w:noVBand="1"/>
      </w:tblPr>
      <w:tblGrid>
        <w:gridCol w:w="9016"/>
      </w:tblGrid>
      <w:tr w:rsidR="000676F2" w:rsidRPr="005C46A2" w14:paraId="01B44A77" w14:textId="77777777" w:rsidTr="000465E8">
        <w:tc>
          <w:tcPr>
            <w:tcW w:w="9016" w:type="dxa"/>
          </w:tcPr>
          <w:p w14:paraId="3717E28D" w14:textId="77777777" w:rsidR="000676F2" w:rsidRPr="005C46A2" w:rsidRDefault="000676F2" w:rsidP="00495C74">
            <w:pPr>
              <w:spacing w:line="240" w:lineRule="auto"/>
              <w:jc w:val="both"/>
              <w:rPr>
                <w:rFonts w:eastAsia="Calibri"/>
                <w:sz w:val="20"/>
                <w:szCs w:val="20"/>
              </w:rPr>
            </w:pPr>
          </w:p>
          <w:p w14:paraId="2A5B0AA6" w14:textId="77777777" w:rsidR="000676F2" w:rsidRPr="005C46A2" w:rsidRDefault="000676F2" w:rsidP="00495C74">
            <w:pPr>
              <w:spacing w:line="240" w:lineRule="auto"/>
              <w:jc w:val="both"/>
              <w:rPr>
                <w:rFonts w:eastAsia="Calibri"/>
                <w:sz w:val="20"/>
                <w:szCs w:val="20"/>
              </w:rPr>
            </w:pPr>
          </w:p>
        </w:tc>
      </w:tr>
    </w:tbl>
    <w:p w14:paraId="7C9967A1" w14:textId="77777777" w:rsidR="000676F2" w:rsidRPr="005C46A2" w:rsidRDefault="000676F2" w:rsidP="00495C74">
      <w:pPr>
        <w:pBdr>
          <w:bottom w:val="single" w:sz="12" w:space="1" w:color="auto"/>
        </w:pBdr>
        <w:spacing w:line="259" w:lineRule="auto"/>
        <w:jc w:val="both"/>
        <w:rPr>
          <w:rFonts w:eastAsia="Calibri"/>
          <w:sz w:val="20"/>
          <w:szCs w:val="20"/>
        </w:rPr>
      </w:pPr>
    </w:p>
    <w:p w14:paraId="242998BC" w14:textId="77777777" w:rsidR="000676F2" w:rsidRPr="005C46A2" w:rsidRDefault="000676F2" w:rsidP="00495C74">
      <w:pPr>
        <w:spacing w:line="259" w:lineRule="auto"/>
        <w:jc w:val="both"/>
        <w:rPr>
          <w:rFonts w:eastAsia="Calibri"/>
          <w:b/>
          <w:bCs/>
          <w:i/>
          <w:iCs/>
          <w:sz w:val="20"/>
          <w:szCs w:val="20"/>
        </w:rPr>
      </w:pPr>
      <w:r w:rsidRPr="005C46A2">
        <w:rPr>
          <w:rFonts w:eastAsia="Calibri"/>
          <w:b/>
          <w:bCs/>
          <w:i/>
          <w:iCs/>
          <w:sz w:val="20"/>
          <w:szCs w:val="20"/>
        </w:rPr>
        <w:t>PAGE 25</w:t>
      </w:r>
    </w:p>
    <w:p w14:paraId="6AD51778" w14:textId="77777777" w:rsidR="000676F2" w:rsidRPr="005C46A2" w:rsidRDefault="000676F2" w:rsidP="00495C74">
      <w:pPr>
        <w:spacing w:line="259" w:lineRule="auto"/>
        <w:jc w:val="both"/>
        <w:rPr>
          <w:rFonts w:eastAsia="Calibri"/>
          <w:sz w:val="22"/>
          <w:szCs w:val="22"/>
        </w:rPr>
      </w:pPr>
      <w:r w:rsidRPr="005C46A2">
        <w:rPr>
          <w:rFonts w:eastAsia="Calibri"/>
          <w:i/>
          <w:iCs/>
          <w:sz w:val="22"/>
          <w:szCs w:val="22"/>
        </w:rPr>
        <w:t>Central to approach: Supporting families to name and influence the broader drivers of gambling practices and harm in their communities.</w:t>
      </w:r>
    </w:p>
    <w:p w14:paraId="0BF2591F" w14:textId="77777777" w:rsidR="000676F2" w:rsidRPr="005C46A2" w:rsidRDefault="000676F2" w:rsidP="00495C74">
      <w:pPr>
        <w:spacing w:line="259" w:lineRule="auto"/>
        <w:ind w:left="6480"/>
        <w:jc w:val="both"/>
        <w:rPr>
          <w:rFonts w:eastAsia="Calibri"/>
          <w:sz w:val="20"/>
          <w:szCs w:val="20"/>
        </w:rPr>
      </w:pPr>
      <w:r w:rsidRPr="005C46A2">
        <w:rPr>
          <w:rFonts w:eastAsia="Calibri"/>
          <w:sz w:val="20"/>
          <w:szCs w:val="20"/>
        </w:rPr>
        <w:t>(</w:t>
      </w:r>
      <w:r w:rsidRPr="005C46A2">
        <w:rPr>
          <w:rFonts w:eastAsia="Calibri"/>
          <w:i/>
          <w:iCs/>
          <w:sz w:val="16"/>
          <w:szCs w:val="16"/>
        </w:rPr>
        <w:t>Likert questions compulsory</w:t>
      </w:r>
      <w:r w:rsidRPr="005C46A2">
        <w:rPr>
          <w:rFonts w:eastAsia="Calibri"/>
          <w:sz w:val="20"/>
          <w:szCs w:val="20"/>
        </w:rPr>
        <w:t>)</w:t>
      </w:r>
    </w:p>
    <w:tbl>
      <w:tblPr>
        <w:tblStyle w:val="TableGrid"/>
        <w:tblW w:w="0" w:type="auto"/>
        <w:tblLook w:val="04A0" w:firstRow="1" w:lastRow="0" w:firstColumn="1" w:lastColumn="0" w:noHBand="0" w:noVBand="1"/>
      </w:tblPr>
      <w:tblGrid>
        <w:gridCol w:w="1104"/>
        <w:gridCol w:w="1142"/>
        <w:gridCol w:w="1142"/>
        <w:gridCol w:w="1294"/>
        <w:gridCol w:w="857"/>
        <w:gridCol w:w="1142"/>
        <w:gridCol w:w="1193"/>
        <w:gridCol w:w="1142"/>
      </w:tblGrid>
      <w:tr w:rsidR="000676F2" w:rsidRPr="005C46A2" w14:paraId="42A6D7CD" w14:textId="77777777" w:rsidTr="000465E8">
        <w:tc>
          <w:tcPr>
            <w:tcW w:w="1104" w:type="dxa"/>
          </w:tcPr>
          <w:p w14:paraId="6B51BDEB" w14:textId="77777777" w:rsidR="000676F2" w:rsidRPr="005C46A2" w:rsidRDefault="000676F2" w:rsidP="00495C74">
            <w:pPr>
              <w:spacing w:line="240" w:lineRule="auto"/>
              <w:jc w:val="both"/>
              <w:rPr>
                <w:rFonts w:eastAsia="Calibri"/>
                <w:sz w:val="22"/>
                <w:szCs w:val="22"/>
              </w:rPr>
            </w:pPr>
          </w:p>
        </w:tc>
        <w:tc>
          <w:tcPr>
            <w:tcW w:w="7912" w:type="dxa"/>
            <w:gridSpan w:val="7"/>
          </w:tcPr>
          <w:p w14:paraId="39EFE166"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Māori FAOs?</w:t>
            </w:r>
          </w:p>
        </w:tc>
      </w:tr>
      <w:tr w:rsidR="000676F2" w:rsidRPr="005C46A2" w14:paraId="44C53C3D" w14:textId="77777777" w:rsidTr="000676F2">
        <w:tc>
          <w:tcPr>
            <w:tcW w:w="1104" w:type="dxa"/>
            <w:shd w:val="clear" w:color="auto" w:fill="D9D9D9"/>
          </w:tcPr>
          <w:p w14:paraId="15B1B3D5"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2" w:type="dxa"/>
            <w:shd w:val="clear" w:color="auto" w:fill="D9D9D9"/>
          </w:tcPr>
          <w:p w14:paraId="5D4CBC7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63E7AD2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42" w:type="dxa"/>
            <w:shd w:val="clear" w:color="auto" w:fill="D9D9D9"/>
          </w:tcPr>
          <w:p w14:paraId="49EB5FC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65C72E1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294" w:type="dxa"/>
            <w:shd w:val="clear" w:color="auto" w:fill="D9D9D9"/>
          </w:tcPr>
          <w:p w14:paraId="2540E4E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459B427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57" w:type="dxa"/>
            <w:shd w:val="clear" w:color="auto" w:fill="D9D9D9"/>
          </w:tcPr>
          <w:p w14:paraId="7052D94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35665C2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2" w:type="dxa"/>
            <w:shd w:val="clear" w:color="auto" w:fill="D9D9D9"/>
          </w:tcPr>
          <w:p w14:paraId="32E9F24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53FF4FE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193" w:type="dxa"/>
            <w:shd w:val="clear" w:color="auto" w:fill="D9D9D9"/>
          </w:tcPr>
          <w:p w14:paraId="04AA064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09C06B3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42" w:type="dxa"/>
            <w:shd w:val="clear" w:color="auto" w:fill="D9D9D9"/>
          </w:tcPr>
          <w:p w14:paraId="35DE4CD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2C36937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7C6BB602" w14:textId="77777777" w:rsidTr="000465E8">
        <w:tc>
          <w:tcPr>
            <w:tcW w:w="1104" w:type="dxa"/>
          </w:tcPr>
          <w:p w14:paraId="5DA4C67A" w14:textId="77777777" w:rsidR="000676F2" w:rsidRPr="005C46A2" w:rsidRDefault="000676F2" w:rsidP="00495C74">
            <w:pPr>
              <w:spacing w:line="240" w:lineRule="auto"/>
              <w:jc w:val="both"/>
              <w:rPr>
                <w:rFonts w:eastAsia="Calibri"/>
                <w:sz w:val="22"/>
                <w:szCs w:val="22"/>
              </w:rPr>
            </w:pPr>
          </w:p>
        </w:tc>
        <w:tc>
          <w:tcPr>
            <w:tcW w:w="7912" w:type="dxa"/>
            <w:gridSpan w:val="7"/>
          </w:tcPr>
          <w:p w14:paraId="155F19C1"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Māori FAOs?</w:t>
            </w:r>
          </w:p>
        </w:tc>
      </w:tr>
      <w:tr w:rsidR="000676F2" w:rsidRPr="005C46A2" w14:paraId="06E5647C" w14:textId="77777777" w:rsidTr="000676F2">
        <w:tc>
          <w:tcPr>
            <w:tcW w:w="1104" w:type="dxa"/>
            <w:shd w:val="clear" w:color="auto" w:fill="D9D9D9"/>
          </w:tcPr>
          <w:p w14:paraId="4B327412"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2" w:type="dxa"/>
            <w:shd w:val="clear" w:color="auto" w:fill="D9D9D9"/>
          </w:tcPr>
          <w:p w14:paraId="699BAE6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147F8E4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2" w:type="dxa"/>
            <w:shd w:val="clear" w:color="auto" w:fill="D9D9D9"/>
          </w:tcPr>
          <w:p w14:paraId="7C81E4E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1E36503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294" w:type="dxa"/>
            <w:shd w:val="clear" w:color="auto" w:fill="D9D9D9"/>
          </w:tcPr>
          <w:p w14:paraId="24B0757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20966EF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57" w:type="dxa"/>
            <w:shd w:val="clear" w:color="auto" w:fill="D9D9D9"/>
          </w:tcPr>
          <w:p w14:paraId="462C617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2FA4A4C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2" w:type="dxa"/>
            <w:shd w:val="clear" w:color="auto" w:fill="D9D9D9"/>
          </w:tcPr>
          <w:p w14:paraId="5A51E16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1241CD7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193" w:type="dxa"/>
            <w:shd w:val="clear" w:color="auto" w:fill="D9D9D9"/>
          </w:tcPr>
          <w:p w14:paraId="01752BC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071D0BF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42" w:type="dxa"/>
            <w:shd w:val="clear" w:color="auto" w:fill="D9D9D9"/>
          </w:tcPr>
          <w:p w14:paraId="0060F60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22CBFE3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294CABFF" w14:textId="77777777" w:rsidR="000676F2" w:rsidRPr="005C46A2" w:rsidRDefault="000676F2" w:rsidP="00495C74">
      <w:pPr>
        <w:spacing w:line="259" w:lineRule="auto"/>
        <w:jc w:val="both"/>
        <w:rPr>
          <w:rFonts w:eastAsia="Calibri"/>
          <w:sz w:val="20"/>
          <w:szCs w:val="20"/>
        </w:rPr>
      </w:pPr>
    </w:p>
    <w:tbl>
      <w:tblPr>
        <w:tblStyle w:val="TableGrid"/>
        <w:tblW w:w="0" w:type="auto"/>
        <w:tblLook w:val="04A0" w:firstRow="1" w:lastRow="0" w:firstColumn="1" w:lastColumn="0" w:noHBand="0" w:noVBand="1"/>
      </w:tblPr>
      <w:tblGrid>
        <w:gridCol w:w="1104"/>
        <w:gridCol w:w="1142"/>
        <w:gridCol w:w="1142"/>
        <w:gridCol w:w="1294"/>
        <w:gridCol w:w="857"/>
        <w:gridCol w:w="1142"/>
        <w:gridCol w:w="1193"/>
        <w:gridCol w:w="1142"/>
      </w:tblGrid>
      <w:tr w:rsidR="000676F2" w:rsidRPr="005C46A2" w14:paraId="3275AC21" w14:textId="77777777" w:rsidTr="000465E8">
        <w:tc>
          <w:tcPr>
            <w:tcW w:w="1104" w:type="dxa"/>
          </w:tcPr>
          <w:p w14:paraId="7D6F27A4" w14:textId="77777777" w:rsidR="000676F2" w:rsidRPr="005C46A2" w:rsidRDefault="000676F2" w:rsidP="00495C74">
            <w:pPr>
              <w:spacing w:line="240" w:lineRule="auto"/>
              <w:jc w:val="both"/>
              <w:rPr>
                <w:rFonts w:eastAsia="Calibri"/>
                <w:sz w:val="22"/>
                <w:szCs w:val="22"/>
              </w:rPr>
            </w:pPr>
          </w:p>
        </w:tc>
        <w:tc>
          <w:tcPr>
            <w:tcW w:w="7912" w:type="dxa"/>
            <w:gridSpan w:val="7"/>
          </w:tcPr>
          <w:p w14:paraId="2C50CA82"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Pacific FAOs?</w:t>
            </w:r>
          </w:p>
        </w:tc>
      </w:tr>
      <w:tr w:rsidR="000676F2" w:rsidRPr="005C46A2" w14:paraId="551FB48E" w14:textId="77777777" w:rsidTr="000676F2">
        <w:tc>
          <w:tcPr>
            <w:tcW w:w="1104" w:type="dxa"/>
            <w:shd w:val="clear" w:color="auto" w:fill="D9D9D9"/>
          </w:tcPr>
          <w:p w14:paraId="67592BBA"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2" w:type="dxa"/>
            <w:shd w:val="clear" w:color="auto" w:fill="D9D9D9"/>
          </w:tcPr>
          <w:p w14:paraId="62EF722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16FC595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42" w:type="dxa"/>
            <w:shd w:val="clear" w:color="auto" w:fill="D9D9D9"/>
          </w:tcPr>
          <w:p w14:paraId="69FBC6B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7B02C36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294" w:type="dxa"/>
            <w:shd w:val="clear" w:color="auto" w:fill="D9D9D9"/>
          </w:tcPr>
          <w:p w14:paraId="340F225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43A5D21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57" w:type="dxa"/>
            <w:shd w:val="clear" w:color="auto" w:fill="D9D9D9"/>
          </w:tcPr>
          <w:p w14:paraId="4B7A0F8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24B19C7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2" w:type="dxa"/>
            <w:shd w:val="clear" w:color="auto" w:fill="D9D9D9"/>
          </w:tcPr>
          <w:p w14:paraId="4CCC111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4BB972D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193" w:type="dxa"/>
            <w:shd w:val="clear" w:color="auto" w:fill="D9D9D9"/>
          </w:tcPr>
          <w:p w14:paraId="247815E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2DEDDAD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Appropriate</w:t>
            </w:r>
          </w:p>
        </w:tc>
        <w:tc>
          <w:tcPr>
            <w:tcW w:w="1142" w:type="dxa"/>
            <w:shd w:val="clear" w:color="auto" w:fill="D9D9D9"/>
          </w:tcPr>
          <w:p w14:paraId="18F08D3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5F65880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7CD2233B" w14:textId="77777777" w:rsidTr="000465E8">
        <w:tc>
          <w:tcPr>
            <w:tcW w:w="1104" w:type="dxa"/>
          </w:tcPr>
          <w:p w14:paraId="3C5E80C8" w14:textId="77777777" w:rsidR="000676F2" w:rsidRPr="005C46A2" w:rsidRDefault="000676F2" w:rsidP="00495C74">
            <w:pPr>
              <w:spacing w:line="240" w:lineRule="auto"/>
              <w:jc w:val="both"/>
              <w:rPr>
                <w:rFonts w:eastAsia="Calibri"/>
                <w:sz w:val="22"/>
                <w:szCs w:val="22"/>
              </w:rPr>
            </w:pPr>
          </w:p>
        </w:tc>
        <w:tc>
          <w:tcPr>
            <w:tcW w:w="7912" w:type="dxa"/>
            <w:gridSpan w:val="7"/>
          </w:tcPr>
          <w:p w14:paraId="107F404A"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Pacific FAOs?</w:t>
            </w:r>
          </w:p>
        </w:tc>
      </w:tr>
      <w:tr w:rsidR="000676F2" w:rsidRPr="005C46A2" w14:paraId="41D968F6" w14:textId="77777777" w:rsidTr="000676F2">
        <w:tc>
          <w:tcPr>
            <w:tcW w:w="1104" w:type="dxa"/>
            <w:shd w:val="clear" w:color="auto" w:fill="D9D9D9"/>
          </w:tcPr>
          <w:p w14:paraId="249E9229"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42" w:type="dxa"/>
            <w:shd w:val="clear" w:color="auto" w:fill="D9D9D9"/>
          </w:tcPr>
          <w:p w14:paraId="7259EEF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7F31127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42" w:type="dxa"/>
            <w:shd w:val="clear" w:color="auto" w:fill="D9D9D9"/>
          </w:tcPr>
          <w:p w14:paraId="189DEA3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7D30415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294" w:type="dxa"/>
            <w:shd w:val="clear" w:color="auto" w:fill="D9D9D9"/>
          </w:tcPr>
          <w:p w14:paraId="3F4760E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305D3DA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57" w:type="dxa"/>
            <w:shd w:val="clear" w:color="auto" w:fill="D9D9D9"/>
          </w:tcPr>
          <w:p w14:paraId="04142C2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14EEBC3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42" w:type="dxa"/>
            <w:shd w:val="clear" w:color="auto" w:fill="D9D9D9"/>
          </w:tcPr>
          <w:p w14:paraId="25B87BD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31733DA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193" w:type="dxa"/>
            <w:shd w:val="clear" w:color="auto" w:fill="D9D9D9"/>
          </w:tcPr>
          <w:p w14:paraId="2D11B82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1BD3047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42" w:type="dxa"/>
            <w:shd w:val="clear" w:color="auto" w:fill="D9D9D9"/>
          </w:tcPr>
          <w:p w14:paraId="095E2D1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7CF443C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4C9C716B" w14:textId="77777777" w:rsidR="000676F2" w:rsidRPr="005C46A2" w:rsidRDefault="000676F2" w:rsidP="00495C74">
      <w:pPr>
        <w:spacing w:line="259" w:lineRule="auto"/>
        <w:jc w:val="both"/>
        <w:rPr>
          <w:rFonts w:eastAsia="Calibri"/>
          <w:sz w:val="22"/>
          <w:szCs w:val="22"/>
        </w:rPr>
      </w:pPr>
    </w:p>
    <w:tbl>
      <w:tblPr>
        <w:tblStyle w:val="TableGrid"/>
        <w:tblW w:w="0" w:type="auto"/>
        <w:tblLook w:val="04A0" w:firstRow="1" w:lastRow="0" w:firstColumn="1" w:lastColumn="0" w:noHBand="0" w:noVBand="1"/>
      </w:tblPr>
      <w:tblGrid>
        <w:gridCol w:w="1037"/>
        <w:gridCol w:w="1127"/>
        <w:gridCol w:w="1153"/>
        <w:gridCol w:w="1302"/>
        <w:gridCol w:w="889"/>
        <w:gridCol w:w="1153"/>
        <w:gridCol w:w="1202"/>
        <w:gridCol w:w="1153"/>
      </w:tblGrid>
      <w:tr w:rsidR="000676F2" w:rsidRPr="005C46A2" w14:paraId="0E727A54" w14:textId="77777777" w:rsidTr="000465E8">
        <w:tc>
          <w:tcPr>
            <w:tcW w:w="1037" w:type="dxa"/>
          </w:tcPr>
          <w:p w14:paraId="28B7FDB9" w14:textId="77777777" w:rsidR="000676F2" w:rsidRPr="005C46A2" w:rsidRDefault="000676F2" w:rsidP="00495C74">
            <w:pPr>
              <w:spacing w:line="240" w:lineRule="auto"/>
              <w:jc w:val="both"/>
              <w:rPr>
                <w:rFonts w:eastAsia="Calibri"/>
                <w:sz w:val="22"/>
                <w:szCs w:val="22"/>
              </w:rPr>
            </w:pPr>
          </w:p>
        </w:tc>
        <w:tc>
          <w:tcPr>
            <w:tcW w:w="7979" w:type="dxa"/>
            <w:gridSpan w:val="7"/>
          </w:tcPr>
          <w:p w14:paraId="358D729B"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Asian FAOs?</w:t>
            </w:r>
          </w:p>
        </w:tc>
      </w:tr>
      <w:tr w:rsidR="000676F2" w:rsidRPr="005C46A2" w14:paraId="37D4F178" w14:textId="77777777" w:rsidTr="000676F2">
        <w:tc>
          <w:tcPr>
            <w:tcW w:w="1037" w:type="dxa"/>
            <w:shd w:val="clear" w:color="auto" w:fill="D9D9D9"/>
          </w:tcPr>
          <w:p w14:paraId="58CBB012"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27" w:type="dxa"/>
            <w:shd w:val="clear" w:color="auto" w:fill="D9D9D9"/>
          </w:tcPr>
          <w:p w14:paraId="192E8E4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2A15680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lastRenderedPageBreak/>
              <w:t>Not at all appropriate</w:t>
            </w:r>
          </w:p>
        </w:tc>
        <w:tc>
          <w:tcPr>
            <w:tcW w:w="1153" w:type="dxa"/>
            <w:shd w:val="clear" w:color="auto" w:fill="D9D9D9"/>
          </w:tcPr>
          <w:p w14:paraId="1243ADE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lastRenderedPageBreak/>
              <w:t>2</w:t>
            </w:r>
          </w:p>
          <w:p w14:paraId="497351F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lastRenderedPageBreak/>
              <w:t>Not appropriate</w:t>
            </w:r>
          </w:p>
        </w:tc>
        <w:tc>
          <w:tcPr>
            <w:tcW w:w="1302" w:type="dxa"/>
            <w:shd w:val="clear" w:color="auto" w:fill="D9D9D9"/>
          </w:tcPr>
          <w:p w14:paraId="681BF21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lastRenderedPageBreak/>
              <w:t>3</w:t>
            </w:r>
          </w:p>
          <w:p w14:paraId="1322CD7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lastRenderedPageBreak/>
              <w:t>Somewhat inappropriate</w:t>
            </w:r>
          </w:p>
        </w:tc>
        <w:tc>
          <w:tcPr>
            <w:tcW w:w="889" w:type="dxa"/>
            <w:shd w:val="clear" w:color="auto" w:fill="D9D9D9"/>
          </w:tcPr>
          <w:p w14:paraId="393062A2"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lastRenderedPageBreak/>
              <w:t>4</w:t>
            </w:r>
          </w:p>
          <w:p w14:paraId="1044C0F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lastRenderedPageBreak/>
              <w:t>Neutral</w:t>
            </w:r>
          </w:p>
        </w:tc>
        <w:tc>
          <w:tcPr>
            <w:tcW w:w="1153" w:type="dxa"/>
            <w:shd w:val="clear" w:color="auto" w:fill="D9D9D9"/>
          </w:tcPr>
          <w:p w14:paraId="38AC5F1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lastRenderedPageBreak/>
              <w:t>5</w:t>
            </w:r>
          </w:p>
          <w:p w14:paraId="47C98DA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lastRenderedPageBreak/>
              <w:t>Somewhat appropriate</w:t>
            </w:r>
          </w:p>
        </w:tc>
        <w:tc>
          <w:tcPr>
            <w:tcW w:w="1202" w:type="dxa"/>
            <w:shd w:val="clear" w:color="auto" w:fill="D9D9D9"/>
          </w:tcPr>
          <w:p w14:paraId="1A4C7A1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lastRenderedPageBreak/>
              <w:t>6</w:t>
            </w:r>
          </w:p>
          <w:p w14:paraId="02F49B3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lastRenderedPageBreak/>
              <w:t>Appropriate</w:t>
            </w:r>
          </w:p>
        </w:tc>
        <w:tc>
          <w:tcPr>
            <w:tcW w:w="1153" w:type="dxa"/>
            <w:shd w:val="clear" w:color="auto" w:fill="D9D9D9"/>
          </w:tcPr>
          <w:p w14:paraId="7CF2BB0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lastRenderedPageBreak/>
              <w:t>7</w:t>
            </w:r>
          </w:p>
          <w:p w14:paraId="06FD208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lastRenderedPageBreak/>
              <w:t>Highly appropriate</w:t>
            </w:r>
          </w:p>
        </w:tc>
      </w:tr>
      <w:tr w:rsidR="000676F2" w:rsidRPr="005C46A2" w14:paraId="777F4345" w14:textId="77777777" w:rsidTr="000465E8">
        <w:tc>
          <w:tcPr>
            <w:tcW w:w="1037" w:type="dxa"/>
          </w:tcPr>
          <w:p w14:paraId="7F40650D" w14:textId="77777777" w:rsidR="000676F2" w:rsidRPr="005C46A2" w:rsidRDefault="000676F2" w:rsidP="00495C74">
            <w:pPr>
              <w:spacing w:line="240" w:lineRule="auto"/>
              <w:jc w:val="both"/>
              <w:rPr>
                <w:rFonts w:eastAsia="Calibri"/>
                <w:sz w:val="22"/>
                <w:szCs w:val="22"/>
              </w:rPr>
            </w:pPr>
          </w:p>
        </w:tc>
        <w:tc>
          <w:tcPr>
            <w:tcW w:w="7979" w:type="dxa"/>
            <w:gridSpan w:val="7"/>
          </w:tcPr>
          <w:p w14:paraId="6471A978"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Asian FAOs?</w:t>
            </w:r>
          </w:p>
        </w:tc>
      </w:tr>
      <w:tr w:rsidR="000676F2" w:rsidRPr="005C46A2" w14:paraId="7DFAD8EB" w14:textId="77777777" w:rsidTr="000676F2">
        <w:tc>
          <w:tcPr>
            <w:tcW w:w="1037" w:type="dxa"/>
            <w:shd w:val="clear" w:color="auto" w:fill="D9D9D9"/>
          </w:tcPr>
          <w:p w14:paraId="6844B6BC"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27" w:type="dxa"/>
            <w:shd w:val="clear" w:color="auto" w:fill="D9D9D9"/>
          </w:tcPr>
          <w:p w14:paraId="2F23302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73FA0FB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53" w:type="dxa"/>
            <w:shd w:val="clear" w:color="auto" w:fill="D9D9D9"/>
          </w:tcPr>
          <w:p w14:paraId="5B38F1D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32A368C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302" w:type="dxa"/>
            <w:shd w:val="clear" w:color="auto" w:fill="D9D9D9"/>
          </w:tcPr>
          <w:p w14:paraId="41F85F2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7068585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89" w:type="dxa"/>
            <w:shd w:val="clear" w:color="auto" w:fill="D9D9D9"/>
          </w:tcPr>
          <w:p w14:paraId="6E11689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2CE5DC7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53" w:type="dxa"/>
            <w:shd w:val="clear" w:color="auto" w:fill="D9D9D9"/>
          </w:tcPr>
          <w:p w14:paraId="0948A8D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438101A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202" w:type="dxa"/>
            <w:shd w:val="clear" w:color="auto" w:fill="D9D9D9"/>
          </w:tcPr>
          <w:p w14:paraId="4728AE6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7EB72CE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 xml:space="preserve">Effective </w:t>
            </w:r>
          </w:p>
        </w:tc>
        <w:tc>
          <w:tcPr>
            <w:tcW w:w="1153" w:type="dxa"/>
            <w:shd w:val="clear" w:color="auto" w:fill="D9D9D9"/>
          </w:tcPr>
          <w:p w14:paraId="5442C6C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20D09BE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1B6098F3" w14:textId="77777777" w:rsidR="000676F2" w:rsidRPr="005C46A2" w:rsidRDefault="000676F2" w:rsidP="00495C74">
      <w:pPr>
        <w:spacing w:line="259" w:lineRule="auto"/>
        <w:jc w:val="both"/>
        <w:rPr>
          <w:rFonts w:eastAsia="Calibri"/>
          <w:sz w:val="22"/>
          <w:szCs w:val="22"/>
        </w:rPr>
      </w:pPr>
    </w:p>
    <w:tbl>
      <w:tblPr>
        <w:tblStyle w:val="TableGrid"/>
        <w:tblW w:w="0" w:type="auto"/>
        <w:tblLayout w:type="fixed"/>
        <w:tblLook w:val="04A0" w:firstRow="1" w:lastRow="0" w:firstColumn="1" w:lastColumn="0" w:noHBand="0" w:noVBand="1"/>
      </w:tblPr>
      <w:tblGrid>
        <w:gridCol w:w="1075"/>
        <w:gridCol w:w="1132"/>
        <w:gridCol w:w="1131"/>
        <w:gridCol w:w="1285"/>
        <w:gridCol w:w="826"/>
        <w:gridCol w:w="1131"/>
        <w:gridCol w:w="1245"/>
        <w:gridCol w:w="1191"/>
      </w:tblGrid>
      <w:tr w:rsidR="000676F2" w:rsidRPr="005C46A2" w14:paraId="0CA44E21" w14:textId="77777777" w:rsidTr="000465E8">
        <w:tc>
          <w:tcPr>
            <w:tcW w:w="1075" w:type="dxa"/>
          </w:tcPr>
          <w:p w14:paraId="63D85334" w14:textId="77777777" w:rsidR="000676F2" w:rsidRPr="005C46A2" w:rsidRDefault="000676F2" w:rsidP="00495C74">
            <w:pPr>
              <w:spacing w:line="240" w:lineRule="auto"/>
              <w:jc w:val="both"/>
              <w:rPr>
                <w:rFonts w:eastAsia="Calibri"/>
                <w:sz w:val="22"/>
                <w:szCs w:val="22"/>
              </w:rPr>
            </w:pPr>
          </w:p>
        </w:tc>
        <w:tc>
          <w:tcPr>
            <w:tcW w:w="7941" w:type="dxa"/>
            <w:gridSpan w:val="7"/>
          </w:tcPr>
          <w:p w14:paraId="7CFCE32E"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appropriate is this intervention approach for working with minority or other indigenous FAOs?</w:t>
            </w:r>
          </w:p>
        </w:tc>
      </w:tr>
      <w:tr w:rsidR="000676F2" w:rsidRPr="005C46A2" w14:paraId="12B6F708" w14:textId="77777777" w:rsidTr="000676F2">
        <w:tc>
          <w:tcPr>
            <w:tcW w:w="1075" w:type="dxa"/>
            <w:shd w:val="clear" w:color="auto" w:fill="D9D9D9"/>
          </w:tcPr>
          <w:p w14:paraId="1656098E"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132" w:type="dxa"/>
            <w:shd w:val="clear" w:color="auto" w:fill="D9D9D9"/>
          </w:tcPr>
          <w:p w14:paraId="7DB93D96"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467C9BC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appropriate</w:t>
            </w:r>
          </w:p>
        </w:tc>
        <w:tc>
          <w:tcPr>
            <w:tcW w:w="1131" w:type="dxa"/>
            <w:shd w:val="clear" w:color="auto" w:fill="D9D9D9"/>
          </w:tcPr>
          <w:p w14:paraId="3570031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2534851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appropriate</w:t>
            </w:r>
          </w:p>
        </w:tc>
        <w:tc>
          <w:tcPr>
            <w:tcW w:w="1285" w:type="dxa"/>
            <w:shd w:val="clear" w:color="auto" w:fill="D9D9D9"/>
          </w:tcPr>
          <w:p w14:paraId="6AE2B27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15E5B41C"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inappropriate</w:t>
            </w:r>
          </w:p>
        </w:tc>
        <w:tc>
          <w:tcPr>
            <w:tcW w:w="826" w:type="dxa"/>
            <w:shd w:val="clear" w:color="auto" w:fill="D9D9D9"/>
          </w:tcPr>
          <w:p w14:paraId="283B5C3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084E16E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31" w:type="dxa"/>
            <w:shd w:val="clear" w:color="auto" w:fill="D9D9D9"/>
          </w:tcPr>
          <w:p w14:paraId="36D1831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1E9F0E2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appropriate</w:t>
            </w:r>
          </w:p>
        </w:tc>
        <w:tc>
          <w:tcPr>
            <w:tcW w:w="1245" w:type="dxa"/>
            <w:shd w:val="clear" w:color="auto" w:fill="D9D9D9"/>
          </w:tcPr>
          <w:p w14:paraId="56EDDCB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 Appropriate</w:t>
            </w:r>
          </w:p>
        </w:tc>
        <w:tc>
          <w:tcPr>
            <w:tcW w:w="1191" w:type="dxa"/>
            <w:shd w:val="clear" w:color="auto" w:fill="D9D9D9"/>
          </w:tcPr>
          <w:p w14:paraId="7E39DC7A"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0CCC3FC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appropriate</w:t>
            </w:r>
          </w:p>
        </w:tc>
      </w:tr>
      <w:tr w:rsidR="000676F2" w:rsidRPr="005C46A2" w14:paraId="05779BA7" w14:textId="77777777" w:rsidTr="000465E8">
        <w:tc>
          <w:tcPr>
            <w:tcW w:w="1075" w:type="dxa"/>
          </w:tcPr>
          <w:p w14:paraId="102FA38F" w14:textId="77777777" w:rsidR="000676F2" w:rsidRPr="005C46A2" w:rsidRDefault="000676F2" w:rsidP="00495C74">
            <w:pPr>
              <w:spacing w:line="240" w:lineRule="auto"/>
              <w:jc w:val="both"/>
              <w:rPr>
                <w:rFonts w:eastAsia="Calibri"/>
                <w:sz w:val="22"/>
                <w:szCs w:val="22"/>
              </w:rPr>
            </w:pPr>
          </w:p>
        </w:tc>
        <w:tc>
          <w:tcPr>
            <w:tcW w:w="7941" w:type="dxa"/>
            <w:gridSpan w:val="7"/>
          </w:tcPr>
          <w:p w14:paraId="0EA25A87" w14:textId="77777777" w:rsidR="000676F2" w:rsidRPr="005C46A2" w:rsidRDefault="000676F2" w:rsidP="00495C74">
            <w:pPr>
              <w:spacing w:line="240" w:lineRule="auto"/>
              <w:jc w:val="both"/>
              <w:rPr>
                <w:rFonts w:eastAsia="Calibri"/>
                <w:sz w:val="22"/>
                <w:szCs w:val="22"/>
              </w:rPr>
            </w:pPr>
            <w:r w:rsidRPr="005C46A2">
              <w:rPr>
                <w:rFonts w:eastAsia="Calibri"/>
                <w:sz w:val="22"/>
                <w:szCs w:val="22"/>
              </w:rPr>
              <w:t>How effective is this intervention approach for working with other minority or other indigenous FAOs?</w:t>
            </w:r>
          </w:p>
        </w:tc>
      </w:tr>
      <w:tr w:rsidR="000676F2" w:rsidRPr="005C46A2" w14:paraId="7AF93DFF" w14:textId="77777777" w:rsidTr="000676F2">
        <w:tc>
          <w:tcPr>
            <w:tcW w:w="1075" w:type="dxa"/>
            <w:shd w:val="clear" w:color="auto" w:fill="D9D9D9"/>
          </w:tcPr>
          <w:p w14:paraId="589B0865" w14:textId="77777777" w:rsidR="000676F2" w:rsidRPr="005C46A2" w:rsidRDefault="000676F2" w:rsidP="00495C74">
            <w:pPr>
              <w:spacing w:line="240" w:lineRule="auto"/>
              <w:jc w:val="both"/>
              <w:rPr>
                <w:rFonts w:eastAsia="Calibri"/>
                <w:b/>
                <w:bCs/>
                <w:sz w:val="20"/>
                <w:szCs w:val="20"/>
              </w:rPr>
            </w:pPr>
            <w:r w:rsidRPr="005C46A2">
              <w:rPr>
                <w:rFonts w:eastAsia="Calibri"/>
                <w:b/>
                <w:bCs/>
                <w:sz w:val="20"/>
                <w:szCs w:val="20"/>
              </w:rPr>
              <w:t>Unsure</w:t>
            </w:r>
          </w:p>
        </w:tc>
        <w:tc>
          <w:tcPr>
            <w:tcW w:w="1132" w:type="dxa"/>
            <w:shd w:val="clear" w:color="auto" w:fill="D9D9D9"/>
          </w:tcPr>
          <w:p w14:paraId="4E9DE36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1A29E905"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at all effective</w:t>
            </w:r>
          </w:p>
        </w:tc>
        <w:tc>
          <w:tcPr>
            <w:tcW w:w="1131" w:type="dxa"/>
            <w:shd w:val="clear" w:color="auto" w:fill="D9D9D9"/>
          </w:tcPr>
          <w:p w14:paraId="54DD2F4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2</w:t>
            </w:r>
          </w:p>
          <w:p w14:paraId="446C3F3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Not effective</w:t>
            </w:r>
          </w:p>
        </w:tc>
        <w:tc>
          <w:tcPr>
            <w:tcW w:w="1285" w:type="dxa"/>
            <w:shd w:val="clear" w:color="auto" w:fill="D9D9D9"/>
          </w:tcPr>
          <w:p w14:paraId="07C1FB33"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3</w:t>
            </w:r>
          </w:p>
          <w:p w14:paraId="37CE7B5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ineffective</w:t>
            </w:r>
          </w:p>
        </w:tc>
        <w:tc>
          <w:tcPr>
            <w:tcW w:w="826" w:type="dxa"/>
            <w:shd w:val="clear" w:color="auto" w:fill="D9D9D9"/>
          </w:tcPr>
          <w:p w14:paraId="075D973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4</w:t>
            </w:r>
          </w:p>
          <w:p w14:paraId="2C7EC2B8"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Neutral</w:t>
            </w:r>
          </w:p>
        </w:tc>
        <w:tc>
          <w:tcPr>
            <w:tcW w:w="1131" w:type="dxa"/>
            <w:shd w:val="clear" w:color="auto" w:fill="D9D9D9"/>
          </w:tcPr>
          <w:p w14:paraId="1600C6FE"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5</w:t>
            </w:r>
          </w:p>
          <w:p w14:paraId="36DEAFF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Somewhat effective</w:t>
            </w:r>
          </w:p>
        </w:tc>
        <w:tc>
          <w:tcPr>
            <w:tcW w:w="1245" w:type="dxa"/>
            <w:shd w:val="clear" w:color="auto" w:fill="D9D9D9"/>
          </w:tcPr>
          <w:p w14:paraId="1810E78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6</w:t>
            </w:r>
          </w:p>
          <w:p w14:paraId="5B8EEF3F"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Effective</w:t>
            </w:r>
          </w:p>
        </w:tc>
        <w:tc>
          <w:tcPr>
            <w:tcW w:w="1191" w:type="dxa"/>
            <w:shd w:val="clear" w:color="auto" w:fill="D9D9D9"/>
          </w:tcPr>
          <w:p w14:paraId="157D2F7D"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7E937B97"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Highly effective</w:t>
            </w:r>
          </w:p>
        </w:tc>
      </w:tr>
    </w:tbl>
    <w:p w14:paraId="46CC6070" w14:textId="77777777" w:rsidR="000676F2" w:rsidRPr="005C46A2" w:rsidRDefault="000676F2" w:rsidP="00495C74">
      <w:pPr>
        <w:spacing w:line="259" w:lineRule="auto"/>
        <w:jc w:val="both"/>
        <w:rPr>
          <w:rFonts w:eastAsia="Calibri"/>
          <w:sz w:val="20"/>
          <w:szCs w:val="20"/>
        </w:rPr>
      </w:pPr>
    </w:p>
    <w:p w14:paraId="299C8BD2" w14:textId="77777777" w:rsidR="000676F2" w:rsidRPr="005C46A2" w:rsidRDefault="000676F2" w:rsidP="00495C74">
      <w:pPr>
        <w:spacing w:line="259" w:lineRule="auto"/>
        <w:jc w:val="both"/>
        <w:rPr>
          <w:rFonts w:eastAsia="Calibri"/>
          <w:sz w:val="20"/>
          <w:szCs w:val="20"/>
        </w:rPr>
      </w:pPr>
      <w:r w:rsidRPr="005C46A2">
        <w:rPr>
          <w:rFonts w:eastAsia="Calibri"/>
          <w:sz w:val="20"/>
          <w:szCs w:val="20"/>
        </w:rPr>
        <w:t>What are your thoughts on this approach when working with minority communities?</w:t>
      </w:r>
    </w:p>
    <w:tbl>
      <w:tblPr>
        <w:tblStyle w:val="TableGrid"/>
        <w:tblW w:w="0" w:type="auto"/>
        <w:tblLook w:val="04A0" w:firstRow="1" w:lastRow="0" w:firstColumn="1" w:lastColumn="0" w:noHBand="0" w:noVBand="1"/>
      </w:tblPr>
      <w:tblGrid>
        <w:gridCol w:w="9016"/>
      </w:tblGrid>
      <w:tr w:rsidR="000676F2" w:rsidRPr="005C46A2" w14:paraId="6E711974" w14:textId="77777777" w:rsidTr="000465E8">
        <w:tc>
          <w:tcPr>
            <w:tcW w:w="9016" w:type="dxa"/>
          </w:tcPr>
          <w:p w14:paraId="75ACB6AD" w14:textId="77777777" w:rsidR="000676F2" w:rsidRPr="005C46A2" w:rsidRDefault="000676F2" w:rsidP="00495C74">
            <w:pPr>
              <w:spacing w:line="240" w:lineRule="auto"/>
              <w:jc w:val="both"/>
              <w:rPr>
                <w:rFonts w:eastAsia="Calibri"/>
                <w:sz w:val="20"/>
                <w:szCs w:val="20"/>
              </w:rPr>
            </w:pPr>
          </w:p>
          <w:p w14:paraId="7DE8FE4F" w14:textId="77777777" w:rsidR="000676F2" w:rsidRPr="005C46A2" w:rsidRDefault="000676F2" w:rsidP="00495C74">
            <w:pPr>
              <w:spacing w:line="240" w:lineRule="auto"/>
              <w:jc w:val="both"/>
              <w:rPr>
                <w:rFonts w:eastAsia="Calibri"/>
                <w:sz w:val="20"/>
                <w:szCs w:val="20"/>
              </w:rPr>
            </w:pPr>
          </w:p>
        </w:tc>
      </w:tr>
    </w:tbl>
    <w:p w14:paraId="03EA619E" w14:textId="77777777" w:rsidR="000676F2" w:rsidRPr="005C46A2" w:rsidRDefault="000676F2" w:rsidP="00495C74">
      <w:pPr>
        <w:pBdr>
          <w:bottom w:val="single" w:sz="12" w:space="1" w:color="auto"/>
        </w:pBdr>
        <w:spacing w:line="259" w:lineRule="auto"/>
        <w:jc w:val="both"/>
        <w:rPr>
          <w:rFonts w:eastAsia="Calibri"/>
          <w:sz w:val="22"/>
          <w:szCs w:val="22"/>
        </w:rPr>
      </w:pPr>
    </w:p>
    <w:p w14:paraId="51AFA238" w14:textId="77777777" w:rsidR="000676F2" w:rsidRPr="005C46A2" w:rsidRDefault="000676F2" w:rsidP="00495C74">
      <w:pPr>
        <w:spacing w:line="259" w:lineRule="auto"/>
        <w:jc w:val="both"/>
        <w:rPr>
          <w:rFonts w:eastAsia="Calibri"/>
          <w:b/>
          <w:bCs/>
          <w:i/>
          <w:iCs/>
          <w:sz w:val="20"/>
          <w:szCs w:val="20"/>
        </w:rPr>
      </w:pPr>
      <w:r w:rsidRPr="005C46A2">
        <w:rPr>
          <w:rFonts w:eastAsia="Calibri"/>
          <w:b/>
          <w:bCs/>
          <w:i/>
          <w:iCs/>
          <w:sz w:val="20"/>
          <w:szCs w:val="20"/>
        </w:rPr>
        <w:t>PAGE 26</w:t>
      </w:r>
    </w:p>
    <w:p w14:paraId="59EF248B" w14:textId="77777777" w:rsidR="000676F2" w:rsidRPr="005C46A2" w:rsidRDefault="000676F2" w:rsidP="00495C74">
      <w:pPr>
        <w:spacing w:line="259" w:lineRule="auto"/>
        <w:jc w:val="both"/>
        <w:rPr>
          <w:rFonts w:eastAsia="Calibri"/>
          <w:sz w:val="22"/>
          <w:szCs w:val="22"/>
        </w:rPr>
      </w:pPr>
      <w:r w:rsidRPr="005C46A2">
        <w:rPr>
          <w:rFonts w:eastAsia="Calibri"/>
          <w:i/>
          <w:iCs/>
          <w:sz w:val="22"/>
          <w:szCs w:val="22"/>
        </w:rPr>
        <w:t>Central to approach: Supporting families to name and influence the broader drivers of gambling practices and harm in their communities.</w:t>
      </w:r>
    </w:p>
    <w:p w14:paraId="4659DF68" w14:textId="77777777" w:rsidR="000676F2" w:rsidRPr="005C46A2" w:rsidRDefault="000676F2" w:rsidP="00495C74">
      <w:pPr>
        <w:spacing w:line="259" w:lineRule="auto"/>
        <w:ind w:left="6480"/>
        <w:jc w:val="both"/>
        <w:rPr>
          <w:rFonts w:eastAsia="Calibri"/>
          <w:sz w:val="20"/>
          <w:szCs w:val="20"/>
        </w:rPr>
      </w:pPr>
      <w:r w:rsidRPr="005C46A2">
        <w:rPr>
          <w:rFonts w:eastAsia="Calibri"/>
          <w:sz w:val="20"/>
          <w:szCs w:val="20"/>
        </w:rPr>
        <w:t>(</w:t>
      </w:r>
      <w:r w:rsidRPr="005C46A2">
        <w:rPr>
          <w:rFonts w:eastAsia="Calibri"/>
          <w:i/>
          <w:iCs/>
          <w:sz w:val="16"/>
          <w:szCs w:val="16"/>
        </w:rPr>
        <w:t>Likert question compulsory</w:t>
      </w:r>
      <w:r w:rsidRPr="005C46A2">
        <w:rPr>
          <w:rFonts w:eastAsia="Calibri"/>
          <w:sz w:val="20"/>
          <w:szCs w:val="20"/>
        </w:rPr>
        <w:t>)</w:t>
      </w:r>
    </w:p>
    <w:tbl>
      <w:tblPr>
        <w:tblStyle w:val="TableGrid"/>
        <w:tblW w:w="0" w:type="auto"/>
        <w:tblLayout w:type="fixed"/>
        <w:tblLook w:val="04A0" w:firstRow="1" w:lastRow="0" w:firstColumn="1" w:lastColumn="0" w:noHBand="0" w:noVBand="1"/>
      </w:tblPr>
      <w:tblGrid>
        <w:gridCol w:w="1075"/>
        <w:gridCol w:w="1980"/>
        <w:gridCol w:w="3870"/>
        <w:gridCol w:w="2091"/>
      </w:tblGrid>
      <w:tr w:rsidR="000676F2" w:rsidRPr="005C46A2" w14:paraId="0A4CC5F5" w14:textId="77777777" w:rsidTr="000465E8">
        <w:tc>
          <w:tcPr>
            <w:tcW w:w="1075" w:type="dxa"/>
            <w:tcBorders>
              <w:bottom w:val="single" w:sz="4" w:space="0" w:color="auto"/>
            </w:tcBorders>
          </w:tcPr>
          <w:p w14:paraId="00DC7CBD" w14:textId="77777777" w:rsidR="000676F2" w:rsidRPr="005C46A2" w:rsidRDefault="000676F2" w:rsidP="00495C74">
            <w:pPr>
              <w:spacing w:line="240" w:lineRule="auto"/>
              <w:jc w:val="both"/>
              <w:rPr>
                <w:rFonts w:eastAsia="Calibri"/>
                <w:sz w:val="22"/>
                <w:szCs w:val="22"/>
              </w:rPr>
            </w:pPr>
          </w:p>
        </w:tc>
        <w:tc>
          <w:tcPr>
            <w:tcW w:w="7941" w:type="dxa"/>
            <w:gridSpan w:val="3"/>
            <w:tcBorders>
              <w:bottom w:val="single" w:sz="4" w:space="0" w:color="auto"/>
            </w:tcBorders>
          </w:tcPr>
          <w:p w14:paraId="25AA1DFA" w14:textId="77777777" w:rsidR="000676F2" w:rsidRPr="005C46A2" w:rsidRDefault="000676F2" w:rsidP="00495C74">
            <w:pPr>
              <w:spacing w:line="240" w:lineRule="auto"/>
              <w:jc w:val="both"/>
              <w:rPr>
                <w:rFonts w:eastAsia="Calibri"/>
                <w:i/>
                <w:iCs/>
                <w:sz w:val="22"/>
                <w:szCs w:val="22"/>
              </w:rPr>
            </w:pPr>
            <w:r w:rsidRPr="005C46A2">
              <w:rPr>
                <w:rFonts w:eastAsia="Calibri"/>
                <w:sz w:val="22"/>
                <w:szCs w:val="22"/>
              </w:rPr>
              <w:t>To what extent should services be oriented/designed to support families to name and influence the broader drivers of gambling practices and harm in their communities? (</w:t>
            </w:r>
            <w:r w:rsidRPr="005C46A2">
              <w:rPr>
                <w:rFonts w:eastAsia="Calibri"/>
                <w:i/>
                <w:iCs/>
                <w:sz w:val="22"/>
                <w:szCs w:val="22"/>
              </w:rPr>
              <w:t>move the slider along the scale)</w:t>
            </w:r>
          </w:p>
        </w:tc>
      </w:tr>
      <w:tr w:rsidR="000676F2" w:rsidRPr="005C46A2" w14:paraId="7B6F5484" w14:textId="77777777" w:rsidTr="000676F2">
        <w:tc>
          <w:tcPr>
            <w:tcW w:w="1075" w:type="dxa"/>
            <w:tcBorders>
              <w:bottom w:val="nil"/>
            </w:tcBorders>
            <w:shd w:val="clear" w:color="auto" w:fill="D9D9D9"/>
          </w:tcPr>
          <w:p w14:paraId="3E530795" w14:textId="77777777" w:rsidR="000676F2" w:rsidRPr="005C46A2" w:rsidRDefault="000676F2" w:rsidP="00495C74">
            <w:pPr>
              <w:spacing w:line="240" w:lineRule="auto"/>
              <w:jc w:val="both"/>
              <w:rPr>
                <w:rFonts w:eastAsia="Calibri"/>
                <w:sz w:val="20"/>
                <w:szCs w:val="20"/>
              </w:rPr>
            </w:pPr>
            <w:r w:rsidRPr="005C46A2">
              <w:rPr>
                <w:rFonts w:eastAsia="Calibri"/>
                <w:b/>
                <w:bCs/>
                <w:sz w:val="20"/>
                <w:szCs w:val="20"/>
              </w:rPr>
              <w:t>Unsure</w:t>
            </w:r>
          </w:p>
        </w:tc>
        <w:tc>
          <w:tcPr>
            <w:tcW w:w="1980" w:type="dxa"/>
            <w:tcBorders>
              <w:bottom w:val="nil"/>
              <w:right w:val="nil"/>
            </w:tcBorders>
            <w:shd w:val="clear" w:color="auto" w:fill="D9D9D9"/>
          </w:tcPr>
          <w:p w14:paraId="1256AA79"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1</w:t>
            </w:r>
          </w:p>
          <w:p w14:paraId="21D69CC1"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 xml:space="preserve">Not at all designed / orientated in this way </w:t>
            </w:r>
          </w:p>
        </w:tc>
        <w:tc>
          <w:tcPr>
            <w:tcW w:w="3870" w:type="dxa"/>
            <w:tcBorders>
              <w:left w:val="nil"/>
              <w:bottom w:val="nil"/>
              <w:right w:val="nil"/>
            </w:tcBorders>
            <w:shd w:val="clear" w:color="auto" w:fill="D9D9D9"/>
          </w:tcPr>
          <w:p w14:paraId="414865D0" w14:textId="77777777" w:rsidR="000676F2" w:rsidRPr="005C46A2" w:rsidRDefault="000676F2" w:rsidP="00495C74">
            <w:pPr>
              <w:spacing w:line="240" w:lineRule="auto"/>
              <w:jc w:val="both"/>
              <w:rPr>
                <w:rFonts w:eastAsia="Calibri"/>
                <w:sz w:val="20"/>
                <w:szCs w:val="20"/>
              </w:rPr>
            </w:pPr>
          </w:p>
        </w:tc>
        <w:tc>
          <w:tcPr>
            <w:tcW w:w="2091" w:type="dxa"/>
            <w:tcBorders>
              <w:left w:val="nil"/>
              <w:bottom w:val="nil"/>
            </w:tcBorders>
            <w:shd w:val="clear" w:color="auto" w:fill="D9D9D9"/>
          </w:tcPr>
          <w:p w14:paraId="1176C444"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7</w:t>
            </w:r>
          </w:p>
          <w:p w14:paraId="1454272B"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Completely designed / orientated in this way</w:t>
            </w:r>
          </w:p>
        </w:tc>
      </w:tr>
      <w:tr w:rsidR="000676F2" w:rsidRPr="005C46A2" w14:paraId="0C69AEA5" w14:textId="77777777" w:rsidTr="000676F2">
        <w:tc>
          <w:tcPr>
            <w:tcW w:w="1075" w:type="dxa"/>
            <w:tcBorders>
              <w:top w:val="nil"/>
            </w:tcBorders>
            <w:shd w:val="clear" w:color="auto" w:fill="D9D9D9"/>
          </w:tcPr>
          <w:p w14:paraId="790A391F" w14:textId="77777777" w:rsidR="000676F2" w:rsidRPr="005C46A2" w:rsidRDefault="000676F2" w:rsidP="00495C74">
            <w:pPr>
              <w:spacing w:line="240" w:lineRule="auto"/>
              <w:jc w:val="both"/>
              <w:rPr>
                <w:rFonts w:eastAsia="Calibri"/>
                <w:b/>
                <w:bCs/>
                <w:sz w:val="20"/>
                <w:szCs w:val="20"/>
              </w:rPr>
            </w:pPr>
          </w:p>
          <w:p w14:paraId="183E4D21" w14:textId="77777777" w:rsidR="000676F2" w:rsidRPr="005C46A2" w:rsidRDefault="000676F2" w:rsidP="00495C74">
            <w:pPr>
              <w:spacing w:line="240" w:lineRule="auto"/>
              <w:jc w:val="both"/>
              <w:rPr>
                <w:rFonts w:eastAsia="Calibri"/>
                <w:b/>
                <w:bCs/>
                <w:sz w:val="20"/>
                <w:szCs w:val="20"/>
              </w:rPr>
            </w:pPr>
          </w:p>
        </w:tc>
        <w:tc>
          <w:tcPr>
            <w:tcW w:w="7941" w:type="dxa"/>
            <w:gridSpan w:val="3"/>
            <w:tcBorders>
              <w:top w:val="nil"/>
            </w:tcBorders>
            <w:shd w:val="clear" w:color="auto" w:fill="D9D9D9"/>
          </w:tcPr>
          <w:p w14:paraId="2921B000" w14:textId="77777777" w:rsidR="000676F2" w:rsidRPr="005C46A2" w:rsidRDefault="000676F2" w:rsidP="00495C74">
            <w:pPr>
              <w:spacing w:line="240" w:lineRule="auto"/>
              <w:jc w:val="both"/>
              <w:rPr>
                <w:rFonts w:eastAsia="Calibri"/>
                <w:sz w:val="20"/>
                <w:szCs w:val="20"/>
              </w:rPr>
            </w:pPr>
            <w:r w:rsidRPr="005C46A2">
              <w:rPr>
                <w:rFonts w:eastAsia="Calibri"/>
                <w:noProof/>
                <w:sz w:val="20"/>
                <w:szCs w:val="20"/>
              </w:rPr>
              <mc:AlternateContent>
                <mc:Choice Requires="wps">
                  <w:drawing>
                    <wp:anchor distT="0" distB="0" distL="114300" distR="114300" simplePos="0" relativeHeight="251665408" behindDoc="0" locked="0" layoutInCell="1" allowOverlap="1" wp14:anchorId="686DFA16" wp14:editId="5E20052B">
                      <wp:simplePos x="0" y="0"/>
                      <wp:positionH relativeFrom="column">
                        <wp:posOffset>207729</wp:posOffset>
                      </wp:positionH>
                      <wp:positionV relativeFrom="paragraph">
                        <wp:posOffset>121120</wp:posOffset>
                      </wp:positionV>
                      <wp:extent cx="4558830" cy="45719"/>
                      <wp:effectExtent l="19050" t="19050" r="32385" b="31115"/>
                      <wp:wrapNone/>
                      <wp:docPr id="9" name="Arrow: Left-Right 9"/>
                      <wp:cNvGraphicFramePr/>
                      <a:graphic xmlns:a="http://schemas.openxmlformats.org/drawingml/2006/main">
                        <a:graphicData uri="http://schemas.microsoft.com/office/word/2010/wordprocessingShape">
                          <wps:wsp>
                            <wps:cNvSpPr/>
                            <wps:spPr>
                              <a:xfrm>
                                <a:off x="0" y="0"/>
                                <a:ext cx="4558830" cy="45719"/>
                              </a:xfrm>
                              <a:prstGeom prst="lef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296F8B" id="Arrow: Left-Right 9" o:spid="_x0000_s1026" type="#_x0000_t69" style="position:absolute;margin-left:16.35pt;margin-top:9.55pt;width:358.95pt;height:3.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" adj="108" fillcolor="windowText" strokeweight="1pt"/>
                  </w:pict>
                </mc:Fallback>
              </mc:AlternateContent>
            </w:r>
            <w:r w:rsidRPr="005C46A2">
              <w:rPr>
                <w:rFonts w:eastAsia="Calibri"/>
                <w:noProof/>
                <w:sz w:val="20"/>
                <w:szCs w:val="20"/>
              </w:rPr>
              <mc:AlternateContent>
                <mc:Choice Requires="wps">
                  <w:drawing>
                    <wp:anchor distT="0" distB="0" distL="114300" distR="114300" simplePos="0" relativeHeight="251666432" behindDoc="0" locked="0" layoutInCell="1" allowOverlap="1" wp14:anchorId="0D732109" wp14:editId="14C704A7">
                      <wp:simplePos x="0" y="0"/>
                      <wp:positionH relativeFrom="column">
                        <wp:posOffset>2355546</wp:posOffset>
                      </wp:positionH>
                      <wp:positionV relativeFrom="paragraph">
                        <wp:posOffset>71755</wp:posOffset>
                      </wp:positionV>
                      <wp:extent cx="127220" cy="135172"/>
                      <wp:effectExtent l="0" t="0" r="25400" b="17780"/>
                      <wp:wrapNone/>
                      <wp:docPr id="10" name="Oval 10"/>
                      <wp:cNvGraphicFramePr/>
                      <a:graphic xmlns:a="http://schemas.openxmlformats.org/drawingml/2006/main">
                        <a:graphicData uri="http://schemas.microsoft.com/office/word/2010/wordprocessingShape">
                          <wps:wsp>
                            <wps:cNvSpPr/>
                            <wps:spPr>
                              <a:xfrm>
                                <a:off x="0" y="0"/>
                                <a:ext cx="127220" cy="13517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D6D71E" id="Oval 10" o:spid="_x0000_s1026" style="position:absolute;margin-left:185.5pt;margin-top:5.65pt;width:10pt;height:10.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" fillcolor="#4472c4" strokecolor="#2f528f" strokeweight="1pt">
                      <v:stroke joinstyle="miter"/>
                    </v:oval>
                  </w:pict>
                </mc:Fallback>
              </mc:AlternateContent>
            </w:r>
          </w:p>
        </w:tc>
      </w:tr>
      <w:tr w:rsidR="000676F2" w:rsidRPr="005C46A2" w14:paraId="3B363548" w14:textId="77777777" w:rsidTr="000465E8">
        <w:tc>
          <w:tcPr>
            <w:tcW w:w="1075" w:type="dxa"/>
            <w:shd w:val="clear" w:color="auto" w:fill="auto"/>
          </w:tcPr>
          <w:p w14:paraId="4D5D9DB9" w14:textId="77777777" w:rsidR="000676F2" w:rsidRPr="005C46A2" w:rsidRDefault="000676F2" w:rsidP="00495C74">
            <w:pPr>
              <w:spacing w:line="240" w:lineRule="auto"/>
              <w:jc w:val="both"/>
              <w:rPr>
                <w:rFonts w:eastAsia="Calibri"/>
                <w:b/>
                <w:bCs/>
                <w:sz w:val="20"/>
                <w:szCs w:val="20"/>
              </w:rPr>
            </w:pPr>
          </w:p>
        </w:tc>
        <w:tc>
          <w:tcPr>
            <w:tcW w:w="7941" w:type="dxa"/>
            <w:gridSpan w:val="3"/>
            <w:shd w:val="clear" w:color="auto" w:fill="auto"/>
          </w:tcPr>
          <w:p w14:paraId="1B789B60" w14:textId="77777777" w:rsidR="000676F2" w:rsidRPr="005C46A2" w:rsidRDefault="000676F2" w:rsidP="00495C74">
            <w:pPr>
              <w:spacing w:line="240" w:lineRule="auto"/>
              <w:jc w:val="both"/>
              <w:rPr>
                <w:rFonts w:eastAsia="Calibri"/>
                <w:sz w:val="20"/>
                <w:szCs w:val="20"/>
              </w:rPr>
            </w:pPr>
            <w:r w:rsidRPr="005C46A2">
              <w:rPr>
                <w:rFonts w:eastAsia="Calibri"/>
                <w:sz w:val="20"/>
                <w:szCs w:val="20"/>
              </w:rPr>
              <w:t>Please comment:</w:t>
            </w:r>
          </w:p>
          <w:p w14:paraId="7CED6B31" w14:textId="77777777" w:rsidR="000676F2" w:rsidRPr="005C46A2" w:rsidRDefault="000676F2" w:rsidP="00495C74">
            <w:pPr>
              <w:spacing w:line="240" w:lineRule="auto"/>
              <w:jc w:val="both"/>
              <w:rPr>
                <w:rFonts w:eastAsia="Calibri"/>
                <w:sz w:val="20"/>
                <w:szCs w:val="20"/>
              </w:rPr>
            </w:pPr>
          </w:p>
        </w:tc>
      </w:tr>
    </w:tbl>
    <w:p w14:paraId="29A6D603" w14:textId="77777777" w:rsidR="000676F2" w:rsidRPr="005C46A2" w:rsidRDefault="000676F2" w:rsidP="00495C74">
      <w:pPr>
        <w:spacing w:line="259" w:lineRule="auto"/>
        <w:jc w:val="both"/>
        <w:rPr>
          <w:rFonts w:eastAsia="Calibri"/>
          <w:sz w:val="22"/>
          <w:szCs w:val="22"/>
        </w:rPr>
      </w:pPr>
    </w:p>
    <w:p w14:paraId="006CF62E"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 xml:space="preserve">From your perspective, what evidence is lacking/needed to inform the design of services to support FAOs to influence the individual who is gambling? </w:t>
      </w:r>
    </w:p>
    <w:tbl>
      <w:tblPr>
        <w:tblStyle w:val="TableGrid"/>
        <w:tblW w:w="0" w:type="auto"/>
        <w:tblInd w:w="-5" w:type="dxa"/>
        <w:tblLook w:val="04A0" w:firstRow="1" w:lastRow="0" w:firstColumn="1" w:lastColumn="0" w:noHBand="0" w:noVBand="1"/>
      </w:tblPr>
      <w:tblGrid>
        <w:gridCol w:w="9021"/>
      </w:tblGrid>
      <w:tr w:rsidR="000676F2" w:rsidRPr="005C46A2" w14:paraId="216FA5A0" w14:textId="77777777" w:rsidTr="000465E8">
        <w:tc>
          <w:tcPr>
            <w:tcW w:w="9021" w:type="dxa"/>
          </w:tcPr>
          <w:p w14:paraId="6F2CE1F4" w14:textId="77777777" w:rsidR="000676F2" w:rsidRPr="005C46A2" w:rsidRDefault="000676F2" w:rsidP="00495C74">
            <w:pPr>
              <w:spacing w:line="240" w:lineRule="auto"/>
              <w:contextualSpacing/>
              <w:jc w:val="both"/>
              <w:rPr>
                <w:rFonts w:eastAsia="Calibri"/>
                <w:sz w:val="22"/>
                <w:szCs w:val="22"/>
              </w:rPr>
            </w:pPr>
            <w:r w:rsidRPr="005C46A2">
              <w:rPr>
                <w:rFonts w:eastAsia="Calibri"/>
                <w:sz w:val="22"/>
                <w:szCs w:val="22"/>
              </w:rPr>
              <w:t>Please comment:</w:t>
            </w:r>
          </w:p>
          <w:p w14:paraId="27E54408" w14:textId="77777777" w:rsidR="000676F2" w:rsidRPr="005C46A2" w:rsidRDefault="000676F2" w:rsidP="00495C74">
            <w:pPr>
              <w:spacing w:line="240" w:lineRule="auto"/>
              <w:contextualSpacing/>
              <w:jc w:val="both"/>
              <w:rPr>
                <w:rFonts w:eastAsia="Calibri"/>
                <w:sz w:val="22"/>
                <w:szCs w:val="22"/>
              </w:rPr>
            </w:pPr>
          </w:p>
        </w:tc>
      </w:tr>
    </w:tbl>
    <w:p w14:paraId="53319FE0" w14:textId="77777777" w:rsidR="000676F2" w:rsidRPr="005C46A2" w:rsidRDefault="000676F2" w:rsidP="00495C74">
      <w:pPr>
        <w:pBdr>
          <w:bottom w:val="single" w:sz="12" w:space="1" w:color="auto"/>
        </w:pBdr>
        <w:spacing w:line="259" w:lineRule="auto"/>
        <w:jc w:val="both"/>
        <w:rPr>
          <w:rFonts w:eastAsia="Calibri"/>
          <w:sz w:val="22"/>
          <w:szCs w:val="22"/>
        </w:rPr>
      </w:pPr>
    </w:p>
    <w:p w14:paraId="31CF296B" w14:textId="77777777" w:rsidR="000676F2" w:rsidRPr="005C46A2" w:rsidRDefault="000676F2" w:rsidP="00495C74">
      <w:pPr>
        <w:spacing w:line="259" w:lineRule="auto"/>
        <w:jc w:val="both"/>
        <w:rPr>
          <w:rFonts w:eastAsia="Calibri"/>
          <w:b/>
          <w:bCs/>
          <w:i/>
          <w:iCs/>
          <w:sz w:val="20"/>
          <w:szCs w:val="20"/>
        </w:rPr>
      </w:pPr>
      <w:r w:rsidRPr="005C46A2">
        <w:rPr>
          <w:rFonts w:eastAsia="Calibri"/>
          <w:b/>
          <w:bCs/>
          <w:i/>
          <w:iCs/>
          <w:sz w:val="20"/>
          <w:szCs w:val="20"/>
        </w:rPr>
        <w:t>Page 27</w:t>
      </w:r>
    </w:p>
    <w:p w14:paraId="7374CDED" w14:textId="6FBEBDC7" w:rsidR="000676F2" w:rsidRPr="005C46A2" w:rsidRDefault="000676F2" w:rsidP="00495C74">
      <w:pPr>
        <w:jc w:val="both"/>
        <w:rPr>
          <w:b/>
          <w:bCs/>
        </w:rPr>
      </w:pPr>
      <w:r w:rsidRPr="005C46A2">
        <w:rPr>
          <w:b/>
          <w:bCs/>
        </w:rPr>
        <w:t>PART FOUR: AGREEMENT/DISAGREEMENT WITH STATEMENTS</w:t>
      </w:r>
    </w:p>
    <w:p w14:paraId="630CF80E" w14:textId="77777777" w:rsidR="000676F2" w:rsidRPr="005C46A2" w:rsidRDefault="000676F2" w:rsidP="00495C74">
      <w:pPr>
        <w:jc w:val="both"/>
      </w:pPr>
      <w:r w:rsidRPr="005C46A2">
        <w:t xml:space="preserve">In the following section we present a series of statements or claims that have been made in or inspired by the FAO support literature. Please indicate your agreement with the following statements in relation to support for family and others affected by gambling. Remember, we are interested in your views on the potential applicability to gambling harm reduction, whether or not you have specific experience in gambling support. </w:t>
      </w:r>
    </w:p>
    <w:p w14:paraId="03950DC7" w14:textId="77777777" w:rsidR="000676F2" w:rsidRPr="005C46A2" w:rsidRDefault="000676F2" w:rsidP="00495C74">
      <w:pPr>
        <w:pBdr>
          <w:bottom w:val="single" w:sz="12" w:space="1" w:color="auto"/>
        </w:pBdr>
        <w:spacing w:line="259" w:lineRule="auto"/>
        <w:jc w:val="both"/>
        <w:rPr>
          <w:rFonts w:ascii="Calibri" w:eastAsia="Calibri" w:hAnsi="Calibri"/>
          <w:sz w:val="22"/>
          <w:szCs w:val="22"/>
        </w:rPr>
      </w:pPr>
    </w:p>
    <w:p w14:paraId="083E32DC" w14:textId="77777777" w:rsidR="000676F2" w:rsidRPr="005C46A2" w:rsidRDefault="000676F2" w:rsidP="00495C74">
      <w:pPr>
        <w:spacing w:after="160" w:line="259" w:lineRule="auto"/>
        <w:jc w:val="both"/>
        <w:rPr>
          <w:rFonts w:eastAsia="Calibri"/>
          <w:b/>
          <w:bCs/>
          <w:i/>
          <w:iCs/>
          <w:sz w:val="22"/>
          <w:szCs w:val="22"/>
        </w:rPr>
      </w:pPr>
      <w:r w:rsidRPr="005C46A2">
        <w:rPr>
          <w:rFonts w:ascii="Calibri" w:eastAsia="Calibri" w:hAnsi="Calibri"/>
        </w:rPr>
        <w:t xml:space="preserve"> </w:t>
      </w:r>
      <w:r w:rsidRPr="005C46A2">
        <w:rPr>
          <w:rFonts w:eastAsia="Calibri"/>
          <w:b/>
          <w:bCs/>
          <w:i/>
          <w:iCs/>
          <w:sz w:val="22"/>
          <w:szCs w:val="22"/>
        </w:rPr>
        <w:t>Page 28 - 32</w:t>
      </w:r>
    </w:p>
    <w:p w14:paraId="5531D1CD" w14:textId="04DA679C" w:rsidR="000676F2" w:rsidRPr="005C46A2" w:rsidRDefault="000676F2" w:rsidP="00A52A05">
      <w:pPr>
        <w:pStyle w:val="ListParagraph"/>
        <w:numPr>
          <w:ilvl w:val="0"/>
          <w:numId w:val="14"/>
        </w:numPr>
        <w:jc w:val="both"/>
        <w:rPr>
          <w:b/>
          <w:bCs/>
        </w:rPr>
      </w:pPr>
      <w:r w:rsidRPr="005C46A2">
        <w:rPr>
          <w:b/>
          <w:bCs/>
        </w:rPr>
        <w:lastRenderedPageBreak/>
        <w:t>Supporting FAOs to influence the person who is gambling</w:t>
      </w:r>
    </w:p>
    <w:p w14:paraId="734A81EE"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FAOs of problem gamblers may unintentionally contribute to the gambling problem (e.g. through enabling behaviours).</w:t>
      </w:r>
    </w:p>
    <w:p w14:paraId="0C678D36"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Equipping the FAO to support the gambler into treatment will improve outcomes for the FAO.</w:t>
      </w:r>
    </w:p>
    <w:p w14:paraId="7BA10CEE"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Including FAOs in the treatment of gamblers improves gambler treatment engagement, adherence, and overall outcome.</w:t>
      </w:r>
    </w:p>
    <w:p w14:paraId="6C7A0F21"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Given the reluctance of many gamblers to seek help, influencing and engaging gamblers in treatment through FAOs is vital for harm reduction.</w:t>
      </w:r>
    </w:p>
    <w:p w14:paraId="21A34AD1"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FAOs can support behaviour change in the person who is gambling, even if the gambler never accesses formal treatment.</w:t>
      </w:r>
    </w:p>
    <w:p w14:paraId="107A0813"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There is a lack of understanding of how men can support the treatment and/or recovery of gamblers.</w:t>
      </w:r>
    </w:p>
    <w:p w14:paraId="349473B4"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Interventions designed to support FAOs to influence the person who is gambling have tended to involve women (e.g. partners and mothers).</w:t>
      </w:r>
    </w:p>
    <w:p w14:paraId="3E27A013"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Effective interventions for FAOs must address the gambling behaviour.</w:t>
      </w:r>
    </w:p>
    <w:p w14:paraId="1134D105" w14:textId="77777777" w:rsidR="000676F2" w:rsidRPr="005C46A2" w:rsidRDefault="000676F2" w:rsidP="00A52A05">
      <w:pPr>
        <w:pStyle w:val="ListParagraph"/>
        <w:numPr>
          <w:ilvl w:val="0"/>
          <w:numId w:val="14"/>
        </w:numPr>
        <w:jc w:val="both"/>
        <w:rPr>
          <w:b/>
          <w:bCs/>
        </w:rPr>
      </w:pPr>
      <w:r w:rsidRPr="005C46A2">
        <w:rPr>
          <w:b/>
          <w:bCs/>
        </w:rPr>
        <w:t>Improving the relationship/s between FAOs and the person who is gambling</w:t>
      </w:r>
    </w:p>
    <w:p w14:paraId="324377AC"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Improving family relationships will improve the outcomes for the FAO.</w:t>
      </w:r>
    </w:p>
    <w:p w14:paraId="6152C691" w14:textId="03A5862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Problem gambling is the outcome of an unbalanced</w:t>
      </w:r>
      <w:r w:rsidR="009019A2">
        <w:rPr>
          <w:rFonts w:eastAsia="Calibri"/>
          <w:iCs/>
          <w:sz w:val="22"/>
          <w:szCs w:val="22"/>
        </w:rPr>
        <w:t xml:space="preserve"> </w:t>
      </w:r>
      <w:r w:rsidRPr="005C46A2">
        <w:rPr>
          <w:rFonts w:eastAsia="Calibri"/>
          <w:iCs/>
          <w:sz w:val="22"/>
          <w:szCs w:val="22"/>
        </w:rPr>
        <w:t>family system.</w:t>
      </w:r>
    </w:p>
    <w:p w14:paraId="3F9894A6"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Rebuilding couple relationships is a crucial part of recovery for gamblers and FAOs and should become the focus of intervention.</w:t>
      </w:r>
    </w:p>
    <w:p w14:paraId="5B8B7454"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Addressing gambling harm in families with children involves creating space for children to have a voice.</w:t>
      </w:r>
    </w:p>
    <w:p w14:paraId="0FFA940F"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Stronger family relationships set the foundation for change in the gambler.</w:t>
      </w:r>
    </w:p>
    <w:p w14:paraId="1B0EB940"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w:t>
      </w:r>
    </w:p>
    <w:p w14:paraId="1EE58FC3"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Gambling and addiction services often overlook the complex interplay of addiction and intimate relationships</w:t>
      </w:r>
    </w:p>
    <w:p w14:paraId="67C8F890"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Couple therapy can create shifts in communication style, self‐esteem, and self‐awareness such that gambling as a way of dealing with stress and distress in the family is no longer needed.</w:t>
      </w:r>
    </w:p>
    <w:p w14:paraId="23F4AC84" w14:textId="50F7570B" w:rsidR="000676F2" w:rsidRPr="005C46A2" w:rsidRDefault="000676F2" w:rsidP="00495C74">
      <w:pPr>
        <w:spacing w:line="259" w:lineRule="auto"/>
        <w:jc w:val="both"/>
        <w:rPr>
          <w:rFonts w:eastAsia="Calibri"/>
          <w:iCs/>
          <w:sz w:val="22"/>
          <w:szCs w:val="22"/>
        </w:rPr>
      </w:pPr>
      <w:r w:rsidRPr="005C46A2">
        <w:rPr>
          <w:rFonts w:eastAsia="Calibri"/>
          <w:iCs/>
          <w:sz w:val="22"/>
          <w:szCs w:val="22"/>
        </w:rPr>
        <w:t xml:space="preserve">Couple therapy is more effective for FAO wellbeing than individual therapy for gamblers </w:t>
      </w:r>
    </w:p>
    <w:p w14:paraId="3BD32B9F" w14:textId="77777777" w:rsidR="000676F2" w:rsidRPr="005C46A2" w:rsidRDefault="000676F2" w:rsidP="00495C74">
      <w:pPr>
        <w:spacing w:line="259" w:lineRule="auto"/>
        <w:jc w:val="both"/>
        <w:rPr>
          <w:rFonts w:eastAsia="Calibri"/>
          <w:iCs/>
          <w:sz w:val="22"/>
          <w:szCs w:val="22"/>
        </w:rPr>
      </w:pPr>
    </w:p>
    <w:p w14:paraId="7C8B159F" w14:textId="77777777" w:rsidR="000676F2" w:rsidRPr="005C46A2" w:rsidRDefault="000676F2" w:rsidP="00A52A05">
      <w:pPr>
        <w:pStyle w:val="ListParagraph"/>
        <w:numPr>
          <w:ilvl w:val="0"/>
          <w:numId w:val="14"/>
        </w:numPr>
        <w:jc w:val="both"/>
        <w:rPr>
          <w:b/>
          <w:bCs/>
        </w:rPr>
      </w:pPr>
      <w:r w:rsidRPr="005C46A2">
        <w:rPr>
          <w:b/>
          <w:bCs/>
        </w:rPr>
        <w:t>Supporting family and affected others to enhance their own wellbeing</w:t>
      </w:r>
    </w:p>
    <w:p w14:paraId="7EC97483" w14:textId="77777777" w:rsidR="000676F2" w:rsidRPr="005C46A2" w:rsidRDefault="000676F2" w:rsidP="00A52A05">
      <w:pPr>
        <w:numPr>
          <w:ilvl w:val="0"/>
          <w:numId w:val="1"/>
        </w:numPr>
        <w:spacing w:after="160" w:line="259" w:lineRule="auto"/>
        <w:contextualSpacing/>
        <w:jc w:val="both"/>
        <w:rPr>
          <w:rFonts w:eastAsia="Calibri"/>
          <w:sz w:val="22"/>
          <w:szCs w:val="22"/>
        </w:rPr>
      </w:pPr>
      <w:r w:rsidRPr="005C46A2">
        <w:rPr>
          <w:rFonts w:eastAsia="Calibri"/>
          <w:sz w:val="22"/>
          <w:szCs w:val="22"/>
        </w:rPr>
        <w:t>Treating FAOs as contributing to the gambling problem can marginalise them and discourage their service use</w:t>
      </w:r>
    </w:p>
    <w:p w14:paraId="1187BA42" w14:textId="77777777" w:rsidR="000676F2" w:rsidRPr="005C46A2" w:rsidRDefault="000676F2" w:rsidP="00A52A05">
      <w:pPr>
        <w:numPr>
          <w:ilvl w:val="0"/>
          <w:numId w:val="1"/>
        </w:numPr>
        <w:spacing w:after="160" w:line="259" w:lineRule="auto"/>
        <w:contextualSpacing/>
        <w:jc w:val="both"/>
        <w:rPr>
          <w:rFonts w:eastAsia="Calibri"/>
          <w:sz w:val="22"/>
          <w:szCs w:val="22"/>
        </w:rPr>
      </w:pPr>
      <w:r w:rsidRPr="005C46A2">
        <w:rPr>
          <w:rFonts w:eastAsia="Calibri"/>
          <w:sz w:val="22"/>
          <w:szCs w:val="22"/>
        </w:rPr>
        <w:t>FAOs should be the focus of help and support in their own right, without necessary reference to the gambler’s needs or issues.</w:t>
      </w:r>
    </w:p>
    <w:p w14:paraId="1F012269" w14:textId="77777777" w:rsidR="000676F2" w:rsidRPr="005C46A2" w:rsidRDefault="000676F2" w:rsidP="00A52A05">
      <w:pPr>
        <w:numPr>
          <w:ilvl w:val="0"/>
          <w:numId w:val="1"/>
        </w:numPr>
        <w:spacing w:after="160" w:line="259" w:lineRule="auto"/>
        <w:contextualSpacing/>
        <w:jc w:val="both"/>
        <w:rPr>
          <w:rFonts w:eastAsia="Calibri"/>
          <w:sz w:val="22"/>
          <w:szCs w:val="22"/>
        </w:rPr>
      </w:pPr>
      <w:r w:rsidRPr="005C46A2">
        <w:rPr>
          <w:rFonts w:eastAsia="Calibri"/>
          <w:sz w:val="22"/>
          <w:szCs w:val="22"/>
        </w:rPr>
        <w:t>FAOs are not responsible for resolving the gambler’s problem, encouraging them to engage and complete treatment, or managing their behaviour</w:t>
      </w:r>
    </w:p>
    <w:p w14:paraId="0991E4F9"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 xml:space="preserve">The most important thing professionals can do is listen non-judgementally to FAOs as they describe the problem in their own terms </w:t>
      </w:r>
    </w:p>
    <w:p w14:paraId="3D09DB3B" w14:textId="77777777" w:rsidR="000676F2" w:rsidRPr="005C46A2" w:rsidRDefault="000676F2" w:rsidP="00A52A05">
      <w:pPr>
        <w:numPr>
          <w:ilvl w:val="0"/>
          <w:numId w:val="1"/>
        </w:numPr>
        <w:spacing w:after="160" w:line="259" w:lineRule="auto"/>
        <w:contextualSpacing/>
        <w:jc w:val="both"/>
        <w:rPr>
          <w:rFonts w:eastAsia="Calibri"/>
          <w:sz w:val="22"/>
          <w:szCs w:val="22"/>
        </w:rPr>
      </w:pPr>
      <w:r w:rsidRPr="005C46A2">
        <w:rPr>
          <w:rFonts w:eastAsia="Calibri"/>
          <w:sz w:val="22"/>
          <w:szCs w:val="22"/>
        </w:rPr>
        <w:t>FAOs can be supported to reduce their distress and cope more effectively, even if the individual with the gambling problem does not seek treatment.</w:t>
      </w:r>
    </w:p>
    <w:p w14:paraId="3E2C37CE" w14:textId="00184304" w:rsidR="000676F2" w:rsidRPr="005C46A2" w:rsidRDefault="000676F2" w:rsidP="00A52A05">
      <w:pPr>
        <w:numPr>
          <w:ilvl w:val="0"/>
          <w:numId w:val="1"/>
        </w:numPr>
        <w:spacing w:after="160" w:line="259" w:lineRule="auto"/>
        <w:contextualSpacing/>
        <w:jc w:val="both"/>
        <w:rPr>
          <w:rFonts w:eastAsia="Calibri"/>
          <w:sz w:val="22"/>
          <w:szCs w:val="22"/>
        </w:rPr>
      </w:pPr>
      <w:r w:rsidRPr="005C46A2">
        <w:rPr>
          <w:rFonts w:eastAsia="Calibri"/>
          <w:sz w:val="22"/>
          <w:szCs w:val="22"/>
        </w:rPr>
        <w:t>Approaches to FAO support must engage with the cultural realities shaping how ‘coping’ is and can be practiced</w:t>
      </w:r>
      <w:r w:rsidR="009019A2">
        <w:rPr>
          <w:rFonts w:eastAsia="Calibri"/>
          <w:sz w:val="22"/>
          <w:szCs w:val="22"/>
        </w:rPr>
        <w:t xml:space="preserve"> </w:t>
      </w:r>
      <w:r w:rsidRPr="005C46A2">
        <w:rPr>
          <w:rFonts w:ascii="Calibri" w:eastAsia="Calibri" w:hAnsi="Calibri"/>
          <w:sz w:val="22"/>
          <w:szCs w:val="22"/>
        </w:rPr>
        <w:t xml:space="preserve">FAOs require a </w:t>
      </w:r>
      <w:r w:rsidRPr="005C46A2">
        <w:rPr>
          <w:rFonts w:eastAsia="Calibri"/>
          <w:sz w:val="22"/>
          <w:szCs w:val="22"/>
        </w:rPr>
        <w:t>supportive collective environment so that they can share their experiences, and gain support from one another</w:t>
      </w:r>
    </w:p>
    <w:p w14:paraId="4165BDB7" w14:textId="77777777" w:rsidR="000676F2" w:rsidRPr="005C46A2" w:rsidRDefault="000676F2" w:rsidP="00A52A05">
      <w:pPr>
        <w:numPr>
          <w:ilvl w:val="0"/>
          <w:numId w:val="1"/>
        </w:numPr>
        <w:spacing w:after="160" w:line="259" w:lineRule="auto"/>
        <w:contextualSpacing/>
        <w:jc w:val="both"/>
        <w:rPr>
          <w:rFonts w:eastAsia="Calibri"/>
          <w:sz w:val="22"/>
          <w:szCs w:val="22"/>
        </w:rPr>
      </w:pPr>
      <w:r w:rsidRPr="005C46A2">
        <w:rPr>
          <w:rFonts w:eastAsia="Calibri"/>
          <w:sz w:val="22"/>
          <w:szCs w:val="22"/>
        </w:rPr>
        <w:t xml:space="preserve">If FAOs can be encouraged to understand and accept the gambling problem, they can then focus on rebuilding their own lives. </w:t>
      </w:r>
    </w:p>
    <w:p w14:paraId="772BF430" w14:textId="77777777" w:rsidR="000676F2" w:rsidRPr="005C46A2" w:rsidRDefault="000676F2" w:rsidP="00A52A05">
      <w:pPr>
        <w:numPr>
          <w:ilvl w:val="0"/>
          <w:numId w:val="1"/>
        </w:numPr>
        <w:spacing w:after="160" w:line="259" w:lineRule="auto"/>
        <w:contextualSpacing/>
        <w:jc w:val="both"/>
        <w:rPr>
          <w:rFonts w:eastAsia="Calibri"/>
          <w:sz w:val="22"/>
          <w:szCs w:val="22"/>
        </w:rPr>
      </w:pPr>
      <w:r w:rsidRPr="005C46A2">
        <w:rPr>
          <w:rFonts w:eastAsia="Calibri"/>
          <w:sz w:val="22"/>
          <w:szCs w:val="22"/>
        </w:rPr>
        <w:t>It is vital for FAOs to acknowledge their lack of control over the gambler/gambling behaviour</w:t>
      </w:r>
    </w:p>
    <w:p w14:paraId="6C43C60D" w14:textId="77777777" w:rsidR="000676F2" w:rsidRPr="005C46A2" w:rsidRDefault="000676F2" w:rsidP="00A52A05">
      <w:pPr>
        <w:numPr>
          <w:ilvl w:val="0"/>
          <w:numId w:val="1"/>
        </w:numPr>
        <w:spacing w:after="160" w:line="259" w:lineRule="auto"/>
        <w:contextualSpacing/>
        <w:jc w:val="both"/>
        <w:rPr>
          <w:rFonts w:eastAsia="Calibri"/>
          <w:sz w:val="22"/>
          <w:szCs w:val="22"/>
        </w:rPr>
      </w:pPr>
      <w:r w:rsidRPr="005C46A2">
        <w:rPr>
          <w:rFonts w:eastAsia="Calibri"/>
          <w:sz w:val="22"/>
          <w:szCs w:val="22"/>
        </w:rPr>
        <w:lastRenderedPageBreak/>
        <w:t>There are many reasons why FAOs may need to end their relationships with people experiencing gambling problems.</w:t>
      </w:r>
    </w:p>
    <w:p w14:paraId="7F11E139" w14:textId="77777777" w:rsidR="000676F2" w:rsidRPr="005C46A2" w:rsidRDefault="000676F2" w:rsidP="00A52A05">
      <w:pPr>
        <w:numPr>
          <w:ilvl w:val="0"/>
          <w:numId w:val="1"/>
        </w:numPr>
        <w:spacing w:after="160" w:line="259" w:lineRule="auto"/>
        <w:contextualSpacing/>
        <w:jc w:val="both"/>
        <w:rPr>
          <w:rFonts w:eastAsia="Calibri"/>
          <w:sz w:val="22"/>
          <w:szCs w:val="22"/>
        </w:rPr>
      </w:pPr>
      <w:r w:rsidRPr="005C46A2">
        <w:rPr>
          <w:rFonts w:eastAsia="Calibri"/>
          <w:sz w:val="22"/>
          <w:szCs w:val="22"/>
        </w:rPr>
        <w:t>Interventions for families should include learning about problem gambling, coping skill development, and support from peers and professionals.</w:t>
      </w:r>
    </w:p>
    <w:p w14:paraId="6BFA3553" w14:textId="77777777" w:rsidR="000676F2" w:rsidRPr="005C46A2" w:rsidRDefault="000676F2" w:rsidP="00A52A05">
      <w:pPr>
        <w:numPr>
          <w:ilvl w:val="0"/>
          <w:numId w:val="1"/>
        </w:numPr>
        <w:spacing w:after="160" w:line="259" w:lineRule="auto"/>
        <w:contextualSpacing/>
        <w:jc w:val="both"/>
        <w:rPr>
          <w:rFonts w:eastAsia="Calibri"/>
          <w:sz w:val="22"/>
          <w:szCs w:val="22"/>
        </w:rPr>
      </w:pPr>
      <w:r w:rsidRPr="005C46A2">
        <w:rPr>
          <w:rFonts w:eastAsia="Calibri"/>
          <w:sz w:val="22"/>
          <w:szCs w:val="22"/>
        </w:rPr>
        <w:t>There are common experiences amongst FAOs which need to be addressed, including high stress, strain in the form of physical and psychological symptoms, coping dilemmas, and difficulties in obtaining good quality social support.</w:t>
      </w:r>
    </w:p>
    <w:p w14:paraId="78DCA776" w14:textId="77777777" w:rsidR="000676F2" w:rsidRPr="005C46A2" w:rsidRDefault="000676F2" w:rsidP="00495C74">
      <w:pPr>
        <w:spacing w:line="259" w:lineRule="auto"/>
        <w:jc w:val="both"/>
        <w:rPr>
          <w:rFonts w:eastAsia="Calibri"/>
          <w:iCs/>
          <w:sz w:val="22"/>
          <w:szCs w:val="22"/>
        </w:rPr>
      </w:pPr>
    </w:p>
    <w:p w14:paraId="441152E0" w14:textId="77777777" w:rsidR="000676F2" w:rsidRPr="005C46A2" w:rsidRDefault="000676F2" w:rsidP="00A52A05">
      <w:pPr>
        <w:pStyle w:val="ListParagraph"/>
        <w:numPr>
          <w:ilvl w:val="0"/>
          <w:numId w:val="14"/>
        </w:numPr>
        <w:jc w:val="both"/>
        <w:rPr>
          <w:b/>
          <w:bCs/>
        </w:rPr>
      </w:pPr>
      <w:r w:rsidRPr="005C46A2">
        <w:rPr>
          <w:b/>
          <w:bCs/>
        </w:rPr>
        <w:t>Engaging FAOs in gambling harm reduction activities</w:t>
      </w:r>
    </w:p>
    <w:p w14:paraId="67A542B3"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Practitioners must integrate knowledge of the social and cultural context of the people, families and whānau they are working with</w:t>
      </w:r>
    </w:p>
    <w:p w14:paraId="49FCB960"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Support for FAOs must address factors in the wider social environment such as a pro-gambling work culture, government acceptance of gambling products, and those responsible for producing and promoting gambling machines and services.</w:t>
      </w:r>
    </w:p>
    <w:p w14:paraId="7F606460" w14:textId="77777777" w:rsidR="000676F2" w:rsidRPr="005C46A2" w:rsidRDefault="000676F2" w:rsidP="00A52A05">
      <w:pPr>
        <w:numPr>
          <w:ilvl w:val="0"/>
          <w:numId w:val="1"/>
        </w:numPr>
        <w:spacing w:after="160" w:line="259" w:lineRule="auto"/>
        <w:contextualSpacing/>
        <w:jc w:val="both"/>
        <w:rPr>
          <w:rFonts w:eastAsia="Calibri"/>
          <w:sz w:val="22"/>
          <w:szCs w:val="22"/>
        </w:rPr>
      </w:pPr>
      <w:r w:rsidRPr="005C46A2">
        <w:rPr>
          <w:rFonts w:eastAsia="Calibri"/>
          <w:sz w:val="22"/>
          <w:szCs w:val="22"/>
        </w:rPr>
        <w:t>Gambling services should orient themselves to address the social and cultural constraints on receiving support (e.g. providing services in conjunction with childcare for women FAOs).</w:t>
      </w:r>
    </w:p>
    <w:p w14:paraId="2FF7A22C" w14:textId="77777777" w:rsidR="000676F2" w:rsidRPr="005C46A2" w:rsidRDefault="000676F2" w:rsidP="00A52A05">
      <w:pPr>
        <w:numPr>
          <w:ilvl w:val="0"/>
          <w:numId w:val="1"/>
        </w:numPr>
        <w:spacing w:after="160" w:line="259" w:lineRule="auto"/>
        <w:contextualSpacing/>
        <w:jc w:val="both"/>
        <w:rPr>
          <w:rFonts w:eastAsia="Calibri"/>
          <w:sz w:val="22"/>
          <w:szCs w:val="22"/>
        </w:rPr>
      </w:pPr>
      <w:r w:rsidRPr="005C46A2">
        <w:rPr>
          <w:rFonts w:eastAsia="Calibri"/>
          <w:sz w:val="22"/>
          <w:szCs w:val="22"/>
        </w:rPr>
        <w:t>FAOs should not be required to identify themselves as ‘dysfunctional’ or ‘not coping’ in order to access support.</w:t>
      </w:r>
    </w:p>
    <w:p w14:paraId="4A155005"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Active engagement of FAOs in gambling harm reduction policy and service design is vital for harm reduction.</w:t>
      </w:r>
    </w:p>
    <w:p w14:paraId="2EABA815"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It is important to teach young people how media, industry, family, and peers influence decisions to gamble and the ability to recognise high-risk situations.</w:t>
      </w:r>
    </w:p>
    <w:p w14:paraId="0A5C066C"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Many gambling harms are largely a product of wider structural and societal forces that shape gambling availability, practices and impacts.</w:t>
      </w:r>
    </w:p>
    <w:p w14:paraId="076F1A14"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Community / consumer activism can play a significant role in reducing gambling harms.</w:t>
      </w:r>
    </w:p>
    <w:p w14:paraId="4C48379F"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Working with families is not about restoring them to ‘full health’ but about helping them to enjoy the richness of life, with or without gambling.</w:t>
      </w:r>
    </w:p>
    <w:p w14:paraId="098ABE1C"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FAO’s decisions should be supported by clinicians, even if those decisions might lead to harm.</w:t>
      </w:r>
    </w:p>
    <w:p w14:paraId="2AABE881"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FAOs know best how to address harms within their families and communities.</w:t>
      </w:r>
    </w:p>
    <w:p w14:paraId="20035669"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Enabling access to community resources or facilities will contribute to reducing the negative impact of gambling on FAOs in the long-term.</w:t>
      </w:r>
    </w:p>
    <w:p w14:paraId="3B16C0CD"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Family focused intervention should create opportunities for families to spend time together outside of the opportunities created by gambling.</w:t>
      </w:r>
    </w:p>
    <w:p w14:paraId="72EF5D53"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Gambling harm reduction interventions for FAOs should be defined by the communities most affected.</w:t>
      </w:r>
    </w:p>
    <w:p w14:paraId="63DC25B9"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 xml:space="preserve">We need to acknowledge gambling harm as both personal and social. </w:t>
      </w:r>
    </w:p>
    <w:p w14:paraId="0FA00BB1"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The voices of service users are still not listened to in service design and delivery</w:t>
      </w:r>
    </w:p>
    <w:p w14:paraId="09ED44D8" w14:textId="77777777" w:rsidR="000676F2" w:rsidRPr="005C46A2" w:rsidRDefault="000676F2" w:rsidP="00495C74">
      <w:pPr>
        <w:spacing w:line="259" w:lineRule="auto"/>
        <w:jc w:val="both"/>
        <w:rPr>
          <w:rFonts w:eastAsia="Calibri"/>
          <w:b/>
          <w:bCs/>
          <w:i/>
          <w:sz w:val="22"/>
          <w:szCs w:val="22"/>
        </w:rPr>
      </w:pPr>
      <w:r w:rsidRPr="005C46A2">
        <w:rPr>
          <w:rFonts w:eastAsia="Calibri"/>
          <w:b/>
          <w:bCs/>
          <w:i/>
          <w:sz w:val="22"/>
          <w:szCs w:val="22"/>
        </w:rPr>
        <w:t>Other statements</w:t>
      </w:r>
    </w:p>
    <w:p w14:paraId="6E76C724"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Much of what is discussed, decided on and done for FAOs in current services is ad-hoc and lacks strategy.</w:t>
      </w:r>
    </w:p>
    <w:p w14:paraId="5DC2A484"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Practice-based evidence must be taken seriously within service transformation, where the lived-experience of service users, family members, and practitioners are recognised.</w:t>
      </w:r>
    </w:p>
    <w:p w14:paraId="0F2E4049"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All gambling harm interventions should involve wider family/whanau.</w:t>
      </w:r>
    </w:p>
    <w:p w14:paraId="7C64EC4F"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Social and cultural context must inform the design and implementation of support for FAOs.</w:t>
      </w:r>
    </w:p>
    <w:p w14:paraId="46CA90F4"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Intervention with FAOs must respond to gender-related issues for gambling and harm.</w:t>
      </w:r>
    </w:p>
    <w:p w14:paraId="6427BD06" w14:textId="77777777" w:rsidR="000676F2" w:rsidRPr="005C46A2" w:rsidRDefault="000676F2" w:rsidP="00A52A05">
      <w:pPr>
        <w:numPr>
          <w:ilvl w:val="0"/>
          <w:numId w:val="1"/>
        </w:numPr>
        <w:spacing w:after="160" w:line="259" w:lineRule="auto"/>
        <w:contextualSpacing/>
        <w:jc w:val="both"/>
        <w:rPr>
          <w:rFonts w:eastAsia="Calibri"/>
          <w:iCs/>
          <w:sz w:val="22"/>
          <w:szCs w:val="22"/>
        </w:rPr>
      </w:pPr>
      <w:r w:rsidRPr="005C46A2">
        <w:rPr>
          <w:rFonts w:eastAsia="Calibri"/>
          <w:iCs/>
          <w:sz w:val="22"/>
          <w:szCs w:val="22"/>
        </w:rPr>
        <w:t>It is possible that men may not be as negatively affected as women by a problem gambler</w:t>
      </w:r>
    </w:p>
    <w:p w14:paraId="638B8DF5" w14:textId="77777777" w:rsidR="000676F2" w:rsidRPr="005C46A2" w:rsidRDefault="000676F2" w:rsidP="00495C74">
      <w:pPr>
        <w:spacing w:line="259" w:lineRule="auto"/>
        <w:ind w:left="360"/>
        <w:jc w:val="both"/>
        <w:rPr>
          <w:rFonts w:eastAsia="Calibri"/>
          <w:iCs/>
          <w:sz w:val="22"/>
          <w:szCs w:val="22"/>
        </w:rPr>
      </w:pPr>
    </w:p>
    <w:p w14:paraId="7BD1D6BA" w14:textId="77777777" w:rsidR="000676F2" w:rsidRPr="005C46A2" w:rsidRDefault="000676F2" w:rsidP="00495C74">
      <w:pPr>
        <w:spacing w:line="259" w:lineRule="auto"/>
        <w:jc w:val="both"/>
        <w:rPr>
          <w:rFonts w:eastAsia="Calibri"/>
          <w:iCs/>
          <w:sz w:val="22"/>
          <w:szCs w:val="22"/>
        </w:rPr>
      </w:pPr>
      <w:r w:rsidRPr="005C46A2">
        <w:rPr>
          <w:rFonts w:eastAsia="Calibri"/>
          <w:iCs/>
          <w:sz w:val="22"/>
          <w:szCs w:val="22"/>
        </w:rPr>
        <w:t>If you would like to add or comment on any of the statements, please do so here:</w:t>
      </w:r>
    </w:p>
    <w:tbl>
      <w:tblPr>
        <w:tblStyle w:val="TableGrid"/>
        <w:tblW w:w="0" w:type="auto"/>
        <w:tblLook w:val="04A0" w:firstRow="1" w:lastRow="0" w:firstColumn="1" w:lastColumn="0" w:noHBand="0" w:noVBand="1"/>
      </w:tblPr>
      <w:tblGrid>
        <w:gridCol w:w="9016"/>
      </w:tblGrid>
      <w:tr w:rsidR="000676F2" w:rsidRPr="005C46A2" w14:paraId="5B4A8F6F" w14:textId="77777777" w:rsidTr="000465E8">
        <w:tc>
          <w:tcPr>
            <w:tcW w:w="9016" w:type="dxa"/>
          </w:tcPr>
          <w:p w14:paraId="3C279EE6" w14:textId="77777777" w:rsidR="000676F2" w:rsidRPr="005C46A2" w:rsidRDefault="000676F2" w:rsidP="00495C74">
            <w:pPr>
              <w:spacing w:line="240" w:lineRule="auto"/>
              <w:jc w:val="both"/>
              <w:rPr>
                <w:rFonts w:eastAsia="Calibri"/>
                <w:iCs/>
                <w:sz w:val="22"/>
                <w:szCs w:val="22"/>
              </w:rPr>
            </w:pPr>
          </w:p>
          <w:p w14:paraId="5707A4CF" w14:textId="77777777" w:rsidR="000676F2" w:rsidRPr="005C46A2" w:rsidRDefault="000676F2" w:rsidP="00495C74">
            <w:pPr>
              <w:spacing w:line="240" w:lineRule="auto"/>
              <w:jc w:val="both"/>
              <w:rPr>
                <w:rFonts w:eastAsia="Calibri"/>
                <w:iCs/>
                <w:sz w:val="22"/>
                <w:szCs w:val="22"/>
              </w:rPr>
            </w:pPr>
          </w:p>
        </w:tc>
      </w:tr>
    </w:tbl>
    <w:p w14:paraId="566D874A" w14:textId="77777777" w:rsidR="000676F2" w:rsidRPr="005C46A2" w:rsidRDefault="000676F2" w:rsidP="00495C74">
      <w:pPr>
        <w:spacing w:line="259" w:lineRule="auto"/>
        <w:jc w:val="both"/>
        <w:rPr>
          <w:rFonts w:eastAsia="Calibri"/>
          <w:iCs/>
          <w:sz w:val="22"/>
          <w:szCs w:val="22"/>
        </w:rPr>
      </w:pPr>
    </w:p>
    <w:p w14:paraId="42EC0649" w14:textId="77777777" w:rsidR="000676F2" w:rsidRPr="005C46A2" w:rsidRDefault="000676F2" w:rsidP="00495C74">
      <w:pPr>
        <w:pBdr>
          <w:bottom w:val="single" w:sz="12" w:space="1" w:color="auto"/>
        </w:pBdr>
        <w:spacing w:line="259" w:lineRule="auto"/>
        <w:jc w:val="both"/>
        <w:rPr>
          <w:rFonts w:eastAsia="Calibri"/>
          <w:iCs/>
          <w:sz w:val="22"/>
          <w:szCs w:val="22"/>
        </w:rPr>
      </w:pPr>
    </w:p>
    <w:p w14:paraId="73BA07A4" w14:textId="77777777" w:rsidR="000676F2" w:rsidRPr="005C46A2" w:rsidRDefault="000676F2" w:rsidP="00495C74">
      <w:pPr>
        <w:spacing w:line="259" w:lineRule="auto"/>
        <w:jc w:val="both"/>
        <w:rPr>
          <w:rFonts w:eastAsia="Calibri"/>
          <w:b/>
          <w:bCs/>
          <w:i/>
          <w:sz w:val="20"/>
          <w:szCs w:val="20"/>
        </w:rPr>
      </w:pPr>
      <w:r w:rsidRPr="005C46A2">
        <w:rPr>
          <w:rFonts w:eastAsia="Calibri"/>
          <w:b/>
          <w:bCs/>
          <w:i/>
          <w:sz w:val="20"/>
          <w:szCs w:val="20"/>
        </w:rPr>
        <w:t>Page 33</w:t>
      </w:r>
    </w:p>
    <w:p w14:paraId="42C418B6" w14:textId="77777777" w:rsidR="000676F2" w:rsidRPr="005C46A2" w:rsidRDefault="000676F2" w:rsidP="00495C74">
      <w:pPr>
        <w:jc w:val="both"/>
        <w:rPr>
          <w:b/>
          <w:bCs/>
        </w:rPr>
      </w:pPr>
      <w:r w:rsidRPr="005C46A2">
        <w:rPr>
          <w:b/>
          <w:bCs/>
        </w:rPr>
        <w:t>PART FIVE: FINAL QUESTIONS</w:t>
      </w:r>
    </w:p>
    <w:p w14:paraId="77F4DAF3" w14:textId="77777777" w:rsidR="000676F2" w:rsidRPr="005C46A2" w:rsidRDefault="000676F2" w:rsidP="00495C74">
      <w:pPr>
        <w:spacing w:line="259" w:lineRule="auto"/>
        <w:jc w:val="both"/>
        <w:rPr>
          <w:rFonts w:eastAsia="Calibri"/>
          <w:sz w:val="22"/>
          <w:szCs w:val="22"/>
        </w:rPr>
      </w:pPr>
      <w:bookmarkStart w:id="228" w:name="_Hlk39562808"/>
      <w:r w:rsidRPr="005C46A2">
        <w:rPr>
          <w:rFonts w:eastAsia="Calibri"/>
          <w:sz w:val="22"/>
          <w:szCs w:val="22"/>
        </w:rPr>
        <w:t xml:space="preserve">The final part of </w:t>
      </w:r>
      <w:r w:rsidRPr="005C46A2">
        <w:rPr>
          <w:rFonts w:eastAsia="Calibri"/>
          <w:i/>
          <w:iCs/>
          <w:sz w:val="22"/>
          <w:szCs w:val="22"/>
        </w:rPr>
        <w:t>round one</w:t>
      </w:r>
      <w:r w:rsidRPr="005C46A2">
        <w:rPr>
          <w:rFonts w:eastAsia="Calibri"/>
          <w:sz w:val="22"/>
          <w:szCs w:val="22"/>
        </w:rPr>
        <w:t xml:space="preserve"> includes a question that draws on experience and creativity. Please feel free to write as much or as little as you feel necessary to answer the question.</w:t>
      </w:r>
    </w:p>
    <w:bookmarkEnd w:id="228"/>
    <w:p w14:paraId="07809E82" w14:textId="77777777" w:rsidR="000676F2" w:rsidRPr="005C46A2" w:rsidRDefault="000676F2" w:rsidP="00495C74">
      <w:pPr>
        <w:spacing w:line="259" w:lineRule="auto"/>
        <w:jc w:val="both"/>
        <w:rPr>
          <w:rFonts w:ascii="Calibri" w:eastAsia="Calibri" w:hAnsi="Calibri"/>
          <w:sz w:val="22"/>
          <w:szCs w:val="22"/>
        </w:rPr>
      </w:pPr>
    </w:p>
    <w:p w14:paraId="6C4D8903" w14:textId="77777777" w:rsidR="000676F2" w:rsidRPr="005C46A2" w:rsidRDefault="000676F2" w:rsidP="00495C74">
      <w:pPr>
        <w:jc w:val="both"/>
        <w:rPr>
          <w:b/>
          <w:bCs/>
        </w:rPr>
      </w:pPr>
      <w:r w:rsidRPr="005C46A2">
        <w:rPr>
          <w:b/>
          <w:bCs/>
        </w:rPr>
        <w:t xml:space="preserve">Blue skies thinking without limitations (financial or otherwise): </w:t>
      </w:r>
      <w:r w:rsidRPr="005C46A2">
        <w:t xml:space="preserve">How would you design a service to reduce gambling harm for family and affected others? </w:t>
      </w:r>
    </w:p>
    <w:tbl>
      <w:tblPr>
        <w:tblStyle w:val="TableGrid"/>
        <w:tblW w:w="0" w:type="auto"/>
        <w:tblLook w:val="04A0" w:firstRow="1" w:lastRow="0" w:firstColumn="1" w:lastColumn="0" w:noHBand="0" w:noVBand="1"/>
      </w:tblPr>
      <w:tblGrid>
        <w:gridCol w:w="9016"/>
      </w:tblGrid>
      <w:tr w:rsidR="000676F2" w:rsidRPr="005C46A2" w14:paraId="0DBEA34E" w14:textId="77777777" w:rsidTr="000465E8">
        <w:tc>
          <w:tcPr>
            <w:tcW w:w="9016" w:type="dxa"/>
          </w:tcPr>
          <w:p w14:paraId="758E233C" w14:textId="77777777" w:rsidR="000676F2" w:rsidRPr="005C46A2" w:rsidRDefault="000676F2" w:rsidP="00495C74">
            <w:pPr>
              <w:spacing w:line="240" w:lineRule="auto"/>
              <w:jc w:val="both"/>
              <w:rPr>
                <w:rFonts w:eastAsia="Calibri"/>
                <w:sz w:val="22"/>
                <w:szCs w:val="22"/>
              </w:rPr>
            </w:pPr>
          </w:p>
          <w:p w14:paraId="68EAAB68" w14:textId="77777777" w:rsidR="000676F2" w:rsidRPr="005C46A2" w:rsidRDefault="000676F2" w:rsidP="00495C74">
            <w:pPr>
              <w:spacing w:line="240" w:lineRule="auto"/>
              <w:jc w:val="both"/>
              <w:rPr>
                <w:rFonts w:eastAsia="Calibri"/>
                <w:sz w:val="22"/>
                <w:szCs w:val="22"/>
              </w:rPr>
            </w:pPr>
          </w:p>
        </w:tc>
      </w:tr>
    </w:tbl>
    <w:p w14:paraId="658B97BD" w14:textId="77777777" w:rsidR="000676F2" w:rsidRPr="005C46A2" w:rsidRDefault="000676F2" w:rsidP="00495C74">
      <w:pPr>
        <w:spacing w:line="259" w:lineRule="auto"/>
        <w:jc w:val="both"/>
        <w:rPr>
          <w:rFonts w:eastAsia="Calibri"/>
          <w:sz w:val="22"/>
          <w:szCs w:val="22"/>
        </w:rPr>
      </w:pPr>
    </w:p>
    <w:p w14:paraId="3749148A" w14:textId="77777777" w:rsidR="000676F2" w:rsidRPr="005C46A2" w:rsidRDefault="000676F2" w:rsidP="00495C74">
      <w:pPr>
        <w:jc w:val="both"/>
        <w:rPr>
          <w:b/>
          <w:bCs/>
        </w:rPr>
      </w:pPr>
      <w:r w:rsidRPr="005C46A2">
        <w:rPr>
          <w:b/>
          <w:bCs/>
        </w:rPr>
        <w:t>Please provide any additional thoughts/comments/ideas/gaps:</w:t>
      </w:r>
    </w:p>
    <w:tbl>
      <w:tblPr>
        <w:tblStyle w:val="TableGrid"/>
        <w:tblW w:w="0" w:type="auto"/>
        <w:tblLook w:val="04A0" w:firstRow="1" w:lastRow="0" w:firstColumn="1" w:lastColumn="0" w:noHBand="0" w:noVBand="1"/>
      </w:tblPr>
      <w:tblGrid>
        <w:gridCol w:w="9016"/>
      </w:tblGrid>
      <w:tr w:rsidR="000676F2" w:rsidRPr="005C46A2" w14:paraId="64D4E461" w14:textId="77777777" w:rsidTr="000465E8">
        <w:tc>
          <w:tcPr>
            <w:tcW w:w="9016" w:type="dxa"/>
          </w:tcPr>
          <w:p w14:paraId="09A5B4AC" w14:textId="77777777" w:rsidR="000676F2" w:rsidRPr="005C46A2" w:rsidRDefault="000676F2" w:rsidP="00495C74">
            <w:pPr>
              <w:spacing w:line="240" w:lineRule="auto"/>
              <w:jc w:val="both"/>
              <w:rPr>
                <w:rFonts w:eastAsia="Calibri"/>
                <w:sz w:val="22"/>
                <w:szCs w:val="22"/>
              </w:rPr>
            </w:pPr>
          </w:p>
          <w:p w14:paraId="3510E95A" w14:textId="77777777" w:rsidR="000676F2" w:rsidRPr="005C46A2" w:rsidRDefault="000676F2" w:rsidP="00495C74">
            <w:pPr>
              <w:spacing w:line="240" w:lineRule="auto"/>
              <w:jc w:val="both"/>
              <w:rPr>
                <w:rFonts w:eastAsia="Calibri"/>
                <w:sz w:val="22"/>
                <w:szCs w:val="22"/>
              </w:rPr>
            </w:pPr>
          </w:p>
        </w:tc>
      </w:tr>
    </w:tbl>
    <w:p w14:paraId="564A5067" w14:textId="77777777" w:rsidR="000676F2" w:rsidRPr="005C46A2" w:rsidRDefault="000676F2" w:rsidP="00495C74">
      <w:pPr>
        <w:spacing w:line="259" w:lineRule="auto"/>
        <w:jc w:val="both"/>
        <w:rPr>
          <w:rFonts w:eastAsia="Calibri"/>
          <w:sz w:val="22"/>
          <w:szCs w:val="22"/>
        </w:rPr>
      </w:pPr>
    </w:p>
    <w:p w14:paraId="7BFB6039" w14:textId="77777777" w:rsidR="000676F2" w:rsidRPr="005C46A2" w:rsidRDefault="000676F2" w:rsidP="00495C74">
      <w:pPr>
        <w:spacing w:line="259" w:lineRule="auto"/>
        <w:jc w:val="both"/>
        <w:rPr>
          <w:rFonts w:eastAsia="Calibri"/>
          <w:sz w:val="22"/>
          <w:szCs w:val="22"/>
        </w:rPr>
      </w:pPr>
    </w:p>
    <w:p w14:paraId="75A75E9E" w14:textId="77777777" w:rsidR="000676F2" w:rsidRPr="005C46A2" w:rsidRDefault="000676F2" w:rsidP="00495C74">
      <w:pPr>
        <w:spacing w:line="259" w:lineRule="auto"/>
        <w:jc w:val="both"/>
        <w:rPr>
          <w:rFonts w:eastAsia="Calibri"/>
          <w:sz w:val="22"/>
          <w:szCs w:val="22"/>
        </w:rPr>
      </w:pPr>
      <w:r w:rsidRPr="005C46A2">
        <w:rPr>
          <w:rFonts w:eastAsia="Calibri"/>
          <w:sz w:val="22"/>
          <w:szCs w:val="22"/>
        </w:rPr>
        <w:t xml:space="preserve">Thank you for taking the time to complete </w:t>
      </w:r>
      <w:r w:rsidRPr="005C46A2">
        <w:rPr>
          <w:rFonts w:eastAsia="Calibri"/>
          <w:i/>
          <w:iCs/>
          <w:sz w:val="22"/>
          <w:szCs w:val="22"/>
        </w:rPr>
        <w:t>round one</w:t>
      </w:r>
      <w:r w:rsidRPr="005C46A2">
        <w:rPr>
          <w:rFonts w:eastAsia="Calibri"/>
          <w:sz w:val="22"/>
          <w:szCs w:val="22"/>
        </w:rPr>
        <w:t xml:space="preserve"> questionnaire</w:t>
      </w:r>
    </w:p>
    <w:p w14:paraId="1D5058EE" w14:textId="1ABE42BC" w:rsidR="001B041E" w:rsidRPr="005C46A2" w:rsidRDefault="001B041E" w:rsidP="00495C74">
      <w:pPr>
        <w:jc w:val="both"/>
      </w:pPr>
    </w:p>
    <w:p w14:paraId="1012E790" w14:textId="404A3ACE" w:rsidR="00215BC8" w:rsidRPr="005C46A2" w:rsidRDefault="00215BC8" w:rsidP="00495C74">
      <w:pPr>
        <w:jc w:val="both"/>
      </w:pPr>
    </w:p>
    <w:p w14:paraId="7ABED337" w14:textId="05B9D1C8" w:rsidR="00215BC8" w:rsidRPr="005C46A2" w:rsidRDefault="00215BC8" w:rsidP="00495C74">
      <w:pPr>
        <w:jc w:val="both"/>
      </w:pPr>
    </w:p>
    <w:p w14:paraId="44B18F3E" w14:textId="6AD11018" w:rsidR="00215BC8" w:rsidRPr="005C46A2" w:rsidRDefault="00215BC8" w:rsidP="00495C74">
      <w:pPr>
        <w:jc w:val="both"/>
      </w:pPr>
    </w:p>
    <w:p w14:paraId="71634900" w14:textId="77777777" w:rsidR="00215BC8" w:rsidRPr="005C46A2" w:rsidRDefault="00215BC8" w:rsidP="00495C74">
      <w:pPr>
        <w:jc w:val="both"/>
      </w:pPr>
    </w:p>
    <w:p w14:paraId="295B0A4E" w14:textId="08F46E94" w:rsidR="00215BC8" w:rsidRPr="005C46A2" w:rsidRDefault="00215BC8" w:rsidP="00495C74">
      <w:pPr>
        <w:spacing w:after="160" w:line="259" w:lineRule="auto"/>
        <w:jc w:val="both"/>
      </w:pPr>
      <w:r w:rsidRPr="005C46A2">
        <w:br w:type="page"/>
      </w:r>
    </w:p>
    <w:p w14:paraId="7A9E9771" w14:textId="2184F765" w:rsidR="00215BC8" w:rsidRPr="005C46A2" w:rsidRDefault="00215BC8" w:rsidP="00495C74">
      <w:pPr>
        <w:pStyle w:val="Heading1"/>
        <w:shd w:val="clear" w:color="auto" w:fill="auto"/>
        <w:jc w:val="both"/>
      </w:pPr>
      <w:bookmarkStart w:id="229" w:name="_Toc58400805"/>
      <w:r w:rsidRPr="005C46A2">
        <w:lastRenderedPageBreak/>
        <w:t xml:space="preserve">APPENDIX </w:t>
      </w:r>
      <w:r w:rsidR="00341FAE">
        <w:t>FOUR</w:t>
      </w:r>
      <w:r w:rsidRPr="005C46A2">
        <w:t>: Round Two Questionnaire</w:t>
      </w:r>
      <w:bookmarkEnd w:id="229"/>
      <w:r w:rsidRPr="005C46A2">
        <w:t xml:space="preserve"> </w:t>
      </w:r>
    </w:p>
    <w:p w14:paraId="5D1E9DF5" w14:textId="58E3D95B" w:rsidR="00215BC8" w:rsidRPr="005C46A2" w:rsidRDefault="00215BC8" w:rsidP="00495C74">
      <w:pPr>
        <w:jc w:val="both"/>
      </w:pPr>
    </w:p>
    <w:p w14:paraId="24035DB1" w14:textId="77777777" w:rsidR="00EA2431" w:rsidRPr="005C46A2" w:rsidRDefault="00EA2431" w:rsidP="00495C74">
      <w:pPr>
        <w:spacing w:after="240" w:line="240" w:lineRule="auto"/>
        <w:jc w:val="both"/>
        <w:rPr>
          <w:rFonts w:ascii="Arial" w:eastAsia="Times New Roman" w:hAnsi="Arial"/>
          <w:b/>
          <w:color w:val="000000"/>
          <w:sz w:val="48"/>
          <w:szCs w:val="48"/>
          <w:lang w:val="en-US"/>
        </w:rPr>
      </w:pPr>
      <w:r w:rsidRPr="005C46A2">
        <w:rPr>
          <w:rFonts w:ascii="Arial" w:eastAsia="Times New Roman" w:hAnsi="Arial"/>
          <w:b/>
          <w:color w:val="000000"/>
          <w:sz w:val="48"/>
          <w:szCs w:val="48"/>
          <w:lang w:val="en-US"/>
        </w:rPr>
        <w:t>ROUND TWO: Enhancing Support Provided for FAOs in New Zealand Gambling Services</w:t>
      </w:r>
    </w:p>
    <w:p w14:paraId="302E0DB8" w14:textId="77777777" w:rsidR="00EA2431" w:rsidRPr="005C46A2" w:rsidRDefault="00EA2431" w:rsidP="00495C74">
      <w:pPr>
        <w:jc w:val="both"/>
        <w:rPr>
          <w:rFonts w:ascii="Arial" w:eastAsia="Times New Roman" w:hAnsi="Arial"/>
          <w:sz w:val="22"/>
          <w:szCs w:val="22"/>
          <w:lang w:val="en-US"/>
        </w:rPr>
      </w:pPr>
    </w:p>
    <w:p w14:paraId="71D10B15" w14:textId="77777777" w:rsidR="00EA2431" w:rsidRPr="005C46A2" w:rsidRDefault="00EA2431" w:rsidP="00495C74">
      <w:pPr>
        <w:pBdr>
          <w:bottom w:val="single" w:sz="8" w:space="0" w:color="CCCCCC"/>
        </w:pBdr>
        <w:spacing w:line="120" w:lineRule="auto"/>
        <w:jc w:val="both"/>
        <w:rPr>
          <w:rFonts w:ascii="Arial" w:eastAsia="Times New Roman" w:hAnsi="Arial"/>
          <w:b/>
          <w:color w:val="CCCCCC"/>
          <w:sz w:val="22"/>
          <w:szCs w:val="22"/>
          <w:lang w:val="en-US"/>
        </w:rPr>
      </w:pPr>
    </w:p>
    <w:p w14:paraId="7BA30A27" w14:textId="77777777" w:rsidR="00EA2431" w:rsidRPr="005C46A2" w:rsidRDefault="00EA2431" w:rsidP="00495C74">
      <w:pPr>
        <w:spacing w:before="120" w:after="120" w:line="240" w:lineRule="auto"/>
        <w:jc w:val="both"/>
        <w:rPr>
          <w:rFonts w:ascii="Arial" w:eastAsia="Times New Roman" w:hAnsi="Arial"/>
          <w:b/>
          <w:sz w:val="22"/>
          <w:szCs w:val="22"/>
          <w:lang w:val="en-US"/>
        </w:rPr>
      </w:pPr>
      <w:r w:rsidRPr="005C46A2">
        <w:rPr>
          <w:rFonts w:ascii="Arial" w:eastAsia="Times New Roman" w:hAnsi="Arial"/>
          <w:b/>
          <w:sz w:val="22"/>
          <w:szCs w:val="22"/>
          <w:lang w:val="en-US"/>
        </w:rPr>
        <w:t>Information and Consent (as per Round One questionnaire)</w:t>
      </w:r>
    </w:p>
    <w:p w14:paraId="38C97F2B" w14:textId="77777777" w:rsidR="00EA2431" w:rsidRPr="005C46A2" w:rsidRDefault="00EA2431" w:rsidP="00495C74">
      <w:pPr>
        <w:jc w:val="both"/>
        <w:rPr>
          <w:rFonts w:ascii="Arial" w:eastAsia="Times New Roman" w:hAnsi="Arial"/>
          <w:sz w:val="22"/>
          <w:szCs w:val="22"/>
          <w:lang w:val="en-US"/>
        </w:rPr>
      </w:pPr>
    </w:p>
    <w:p w14:paraId="48CC8149" w14:textId="77777777" w:rsidR="00EA2431" w:rsidRPr="005C46A2" w:rsidRDefault="00EA2431" w:rsidP="00495C74">
      <w:pPr>
        <w:jc w:val="both"/>
        <w:rPr>
          <w:rFonts w:ascii="Arial" w:eastAsia="Times New Roman" w:hAnsi="Arial"/>
          <w:sz w:val="22"/>
          <w:szCs w:val="22"/>
          <w:lang w:val="en-US"/>
        </w:rPr>
      </w:pPr>
    </w:p>
    <w:p w14:paraId="6888B5AB" w14:textId="20043632" w:rsidR="00EA2431" w:rsidRPr="005C46A2" w:rsidRDefault="00EA2431" w:rsidP="00495C74">
      <w:pPr>
        <w:keepNext/>
        <w:jc w:val="both"/>
        <w:rPr>
          <w:rFonts w:ascii="Arial" w:eastAsia="Times New Roman" w:hAnsi="Arial"/>
          <w:sz w:val="22"/>
          <w:szCs w:val="22"/>
          <w:lang w:val="en-US"/>
        </w:rPr>
      </w:pPr>
      <w:r w:rsidRPr="005C46A2">
        <w:rPr>
          <w:rFonts w:ascii="Arial" w:eastAsia="Times New Roman" w:hAnsi="Arial"/>
          <w:sz w:val="22"/>
          <w:szCs w:val="22"/>
          <w:lang w:val="en-US"/>
        </w:rPr>
        <w:t xml:space="preserve">Q81 </w:t>
      </w:r>
      <w:r w:rsidRPr="005C46A2">
        <w:rPr>
          <w:rFonts w:ascii="Arial" w:eastAsia="Times New Roman" w:hAnsi="Arial"/>
          <w:b/>
          <w:sz w:val="22"/>
          <w:szCs w:val="22"/>
          <w:lang w:val="en-US"/>
        </w:rPr>
        <w:t>INTRODUCTION</w:t>
      </w:r>
      <w:r w:rsidRPr="005C46A2">
        <w:rPr>
          <w:rFonts w:ascii="Arial" w:eastAsia="Times New Roman" w:hAnsi="Arial"/>
          <w:sz w:val="22"/>
          <w:szCs w:val="22"/>
          <w:lang w:val="en-US"/>
        </w:rPr>
        <w:t xml:space="preserve">  This study is </w:t>
      </w:r>
      <w:r w:rsidR="001D76FC" w:rsidRPr="005C46A2">
        <w:rPr>
          <w:rFonts w:ascii="Arial" w:eastAsia="Times New Roman" w:hAnsi="Arial"/>
          <w:sz w:val="22"/>
          <w:szCs w:val="22"/>
          <w:lang w:val="en-US"/>
        </w:rPr>
        <w:t>focused</w:t>
      </w:r>
      <w:r w:rsidRPr="005C46A2">
        <w:rPr>
          <w:rFonts w:ascii="Arial" w:eastAsia="Times New Roman" w:hAnsi="Arial"/>
          <w:sz w:val="22"/>
          <w:szCs w:val="22"/>
          <w:lang w:val="en-US"/>
        </w:rPr>
        <w:t xml:space="preserve"> on exploring evidence-based practice in gambling harm reduction services for family and affected others. We hold that it is very unlikely that any single treatment system can address all issues for all families. We wish to facilitate open and meaningful dialogue around a wide range of responses to gambling issues for families.     Round one comprised an in-depth questionnaire; responses were wide-ranging and detailed, allowing the researchers to develop a comprehensive</w:t>
      </w:r>
      <w:r w:rsidRPr="005C46A2">
        <w:rPr>
          <w:rFonts w:ascii="Arial" w:eastAsia="Times New Roman" w:hAnsi="Arial"/>
          <w:b/>
          <w:sz w:val="22"/>
          <w:szCs w:val="22"/>
          <w:lang w:val="en-US"/>
        </w:rPr>
        <w:t xml:space="preserve"> </w:t>
      </w:r>
      <w:r w:rsidRPr="005C46A2">
        <w:rPr>
          <w:rFonts w:ascii="Arial" w:eastAsia="Times New Roman" w:hAnsi="Arial"/>
          <w:sz w:val="22"/>
          <w:szCs w:val="22"/>
          <w:lang w:val="en-US"/>
        </w:rPr>
        <w:t>summary of findings. Round two will follow on from round one and will focus on the possibilities and constraints associated with service provision.     The goal of this inquiry is to draw on your experience, along with a range of others with knowledge of FAO support practice in gambling, alcohol and other addictions. The panel involves people with experience in practice, policy, service design and research as well as people with lived experience (service users). Through engagement with you all, a set of integrated recommendations for evidence-based practice in gambling harm reduction services may emerge. This process allows for doubt and uncertainty - We seek to explore a broad spectrum of possible treatment approaches for FAOs that may not always align. </w:t>
      </w:r>
      <w:r w:rsidRPr="005C46A2">
        <w:rPr>
          <w:rFonts w:ascii="Arial" w:eastAsia="Times New Roman" w:hAnsi="Arial"/>
          <w:i/>
          <w:sz w:val="22"/>
          <w:szCs w:val="22"/>
          <w:lang w:val="en-US"/>
        </w:rPr>
        <w:t>Round two</w:t>
      </w:r>
      <w:r w:rsidRPr="005C46A2">
        <w:rPr>
          <w:rFonts w:ascii="Arial" w:eastAsia="Times New Roman" w:hAnsi="Arial"/>
          <w:sz w:val="22"/>
          <w:szCs w:val="22"/>
          <w:lang w:val="en-US"/>
        </w:rPr>
        <w:t> seeks to bring together the findings of </w:t>
      </w:r>
      <w:r w:rsidRPr="005C46A2">
        <w:rPr>
          <w:rFonts w:ascii="Arial" w:eastAsia="Times New Roman" w:hAnsi="Arial"/>
          <w:i/>
          <w:sz w:val="22"/>
          <w:szCs w:val="22"/>
          <w:lang w:val="en-US"/>
        </w:rPr>
        <w:t>round one</w:t>
      </w:r>
      <w:r w:rsidRPr="005C46A2">
        <w:rPr>
          <w:rFonts w:ascii="Arial" w:eastAsia="Times New Roman" w:hAnsi="Arial"/>
          <w:sz w:val="22"/>
          <w:szCs w:val="22"/>
          <w:lang w:val="en-US"/>
        </w:rPr>
        <w:t xml:space="preserve"> by examining how we can </w:t>
      </w:r>
      <w:r w:rsidR="001D76FC" w:rsidRPr="005C46A2">
        <w:rPr>
          <w:rFonts w:ascii="Arial" w:eastAsia="Times New Roman" w:hAnsi="Arial"/>
          <w:sz w:val="22"/>
          <w:szCs w:val="22"/>
          <w:lang w:val="en-US"/>
        </w:rPr>
        <w:t>incorporate</w:t>
      </w:r>
      <w:r w:rsidRPr="005C46A2">
        <w:rPr>
          <w:rFonts w:ascii="Arial" w:eastAsia="Times New Roman" w:hAnsi="Arial"/>
          <w:sz w:val="22"/>
          <w:szCs w:val="22"/>
          <w:lang w:val="en-US"/>
        </w:rPr>
        <w:t xml:space="preserve"> different approaches into the design and evolution of services.     We are inviting participants to bring the perspective or perspectives on evidence-based practice that make sense to them, to answer a series of questions related to this main question: What is evidence-based practice in gambling harm reduction services for family and affected others? </w:t>
      </w:r>
    </w:p>
    <w:p w14:paraId="5FAE4D64" w14:textId="77777777" w:rsidR="00EA2431" w:rsidRPr="005C46A2" w:rsidRDefault="00EA2431" w:rsidP="00495C74">
      <w:pPr>
        <w:jc w:val="both"/>
        <w:rPr>
          <w:rFonts w:ascii="Arial" w:eastAsia="Times New Roman" w:hAnsi="Arial"/>
          <w:sz w:val="22"/>
          <w:szCs w:val="22"/>
          <w:lang w:val="en-US"/>
        </w:rPr>
      </w:pPr>
    </w:p>
    <w:p w14:paraId="1F9A604F" w14:textId="77777777" w:rsidR="00EA2431" w:rsidRPr="005C46A2" w:rsidRDefault="00EA2431" w:rsidP="00495C74">
      <w:pPr>
        <w:jc w:val="both"/>
        <w:rPr>
          <w:rFonts w:ascii="Arial" w:eastAsia="Times New Roman" w:hAnsi="Arial"/>
          <w:sz w:val="22"/>
          <w:szCs w:val="22"/>
          <w:lang w:val="en-US"/>
        </w:rPr>
      </w:pPr>
    </w:p>
    <w:p w14:paraId="006D7DBC" w14:textId="77777777" w:rsidR="00EA2431" w:rsidRPr="005C46A2" w:rsidRDefault="00EA2431" w:rsidP="00495C74">
      <w:pPr>
        <w:keepNext/>
        <w:jc w:val="both"/>
        <w:rPr>
          <w:rFonts w:ascii="Arial" w:eastAsia="Times New Roman" w:hAnsi="Arial"/>
          <w:sz w:val="22"/>
          <w:szCs w:val="22"/>
          <w:lang w:val="en-US"/>
        </w:rPr>
      </w:pPr>
      <w:r w:rsidRPr="005C46A2">
        <w:rPr>
          <w:rFonts w:ascii="Arial" w:eastAsia="Times New Roman" w:hAnsi="Arial"/>
          <w:sz w:val="22"/>
          <w:szCs w:val="22"/>
          <w:lang w:val="en-US"/>
        </w:rPr>
        <w:t>Q26 To start, please enter your email:</w:t>
      </w:r>
    </w:p>
    <w:p w14:paraId="037D5045"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797D18AB" w14:textId="77777777" w:rsidR="00EA2431" w:rsidRPr="005C46A2" w:rsidRDefault="00EA2431" w:rsidP="00495C74">
      <w:pPr>
        <w:jc w:val="both"/>
        <w:rPr>
          <w:rFonts w:ascii="Arial" w:eastAsia="Times New Roman" w:hAnsi="Arial"/>
          <w:sz w:val="22"/>
          <w:szCs w:val="22"/>
          <w:lang w:val="en-US"/>
        </w:rPr>
      </w:pPr>
    </w:p>
    <w:p w14:paraId="4F2846E6" w14:textId="77777777" w:rsidR="00EA2431" w:rsidRPr="005C46A2" w:rsidRDefault="00EA2431" w:rsidP="00495C74">
      <w:pPr>
        <w:pBdr>
          <w:top w:val="dashed" w:sz="8" w:space="0" w:color="CCCCCC"/>
        </w:pBdr>
        <w:spacing w:before="120" w:after="120" w:line="120" w:lineRule="auto"/>
        <w:jc w:val="both"/>
        <w:rPr>
          <w:rFonts w:ascii="Arial" w:eastAsia="Times New Roman" w:hAnsi="Arial"/>
          <w:sz w:val="22"/>
          <w:szCs w:val="22"/>
          <w:lang w:val="en-US"/>
        </w:rPr>
      </w:pPr>
    </w:p>
    <w:p w14:paraId="5734B9FF" w14:textId="77777777" w:rsidR="00EA2431" w:rsidRPr="005C46A2" w:rsidRDefault="00EA2431" w:rsidP="00495C74">
      <w:pPr>
        <w:jc w:val="both"/>
        <w:rPr>
          <w:rFonts w:ascii="Arial" w:eastAsia="Times New Roman" w:hAnsi="Arial"/>
          <w:sz w:val="22"/>
          <w:szCs w:val="22"/>
          <w:lang w:val="en-US"/>
        </w:rPr>
      </w:pPr>
    </w:p>
    <w:p w14:paraId="1CD060AD" w14:textId="77777777" w:rsidR="00EA2431" w:rsidRPr="005C46A2" w:rsidRDefault="00EA2431" w:rsidP="00495C74">
      <w:pPr>
        <w:keepNext/>
        <w:jc w:val="both"/>
        <w:rPr>
          <w:rFonts w:ascii="Arial" w:eastAsia="Times New Roman" w:hAnsi="Arial"/>
          <w:sz w:val="22"/>
          <w:szCs w:val="22"/>
          <w:lang w:val="en-US"/>
        </w:rPr>
      </w:pPr>
      <w:r w:rsidRPr="005C46A2">
        <w:rPr>
          <w:rFonts w:ascii="Arial" w:eastAsia="Times New Roman" w:hAnsi="Arial"/>
          <w:sz w:val="22"/>
          <w:szCs w:val="22"/>
          <w:lang w:val="en-US"/>
        </w:rPr>
        <w:t xml:space="preserve">Q233 What are your thoughts on the summary of </w:t>
      </w:r>
      <w:r w:rsidRPr="005C46A2">
        <w:rPr>
          <w:rFonts w:ascii="Arial" w:eastAsia="Times New Roman" w:hAnsi="Arial"/>
          <w:i/>
          <w:sz w:val="22"/>
          <w:szCs w:val="22"/>
          <w:lang w:val="en-US"/>
        </w:rPr>
        <w:t>round one</w:t>
      </w:r>
      <w:r w:rsidRPr="005C46A2">
        <w:rPr>
          <w:rFonts w:ascii="Arial" w:eastAsia="Times New Roman" w:hAnsi="Arial"/>
          <w:sz w:val="22"/>
          <w:szCs w:val="22"/>
          <w:lang w:val="en-US"/>
        </w:rPr>
        <w:t xml:space="preserve"> responses developed by the researchers? </w:t>
      </w:r>
      <w:r w:rsidRPr="005C46A2">
        <w:rPr>
          <w:rFonts w:ascii="Arial" w:eastAsia="Times New Roman" w:hAnsi="Arial"/>
          <w:sz w:val="22"/>
          <w:szCs w:val="22"/>
          <w:lang w:val="en-US"/>
        </w:rPr>
        <w:br/>
      </w:r>
      <w:r w:rsidRPr="005C46A2">
        <w:rPr>
          <w:rFonts w:ascii="Arial" w:eastAsia="Times New Roman" w:hAnsi="Arial"/>
          <w:b/>
          <w:sz w:val="22"/>
          <w:szCs w:val="22"/>
          <w:lang w:val="en-US"/>
        </w:rPr>
        <w:lastRenderedPageBreak/>
        <w:t>If needed, a copy of the round one summary is available here: </w:t>
      </w:r>
      <w:hyperlink r:id="rId100">
        <w:r w:rsidRPr="005C46A2">
          <w:rPr>
            <w:rFonts w:ascii="Arial" w:eastAsia="Times New Roman" w:hAnsi="Arial"/>
            <w:color w:val="007AC0"/>
            <w:sz w:val="22"/>
            <w:szCs w:val="22"/>
            <w:u w:val="single"/>
            <w:lang w:val="en-US"/>
          </w:rPr>
          <w:t>FAO support summary for panel members</w:t>
        </w:r>
      </w:hyperlink>
    </w:p>
    <w:p w14:paraId="01199C0D"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7380B27F" w14:textId="77777777" w:rsidR="00EA2431" w:rsidRPr="005C46A2" w:rsidRDefault="00EA2431" w:rsidP="00495C74">
      <w:pPr>
        <w:jc w:val="both"/>
        <w:rPr>
          <w:rFonts w:ascii="Arial" w:eastAsia="Times New Roman" w:hAnsi="Arial"/>
          <w:sz w:val="22"/>
          <w:szCs w:val="22"/>
          <w:lang w:val="en-US"/>
        </w:rPr>
      </w:pPr>
    </w:p>
    <w:p w14:paraId="7BA8A4BC" w14:textId="77777777" w:rsidR="00EA2431" w:rsidRPr="005C46A2" w:rsidRDefault="00EA2431" w:rsidP="00495C74">
      <w:pPr>
        <w:jc w:val="both"/>
        <w:rPr>
          <w:rFonts w:ascii="Arial" w:eastAsia="Times New Roman" w:hAnsi="Arial"/>
          <w:sz w:val="22"/>
          <w:szCs w:val="22"/>
          <w:lang w:val="en-US"/>
        </w:rPr>
      </w:pPr>
    </w:p>
    <w:p w14:paraId="0FC4B364" w14:textId="77777777" w:rsidR="00EA2431" w:rsidRPr="005C46A2" w:rsidRDefault="00EA2431" w:rsidP="00495C74">
      <w:pPr>
        <w:keepNext/>
        <w:jc w:val="both"/>
        <w:rPr>
          <w:rFonts w:ascii="Arial" w:eastAsia="Times New Roman" w:hAnsi="Arial"/>
          <w:sz w:val="22"/>
          <w:szCs w:val="22"/>
          <w:lang w:val="en-US"/>
        </w:rPr>
      </w:pPr>
      <w:r w:rsidRPr="005C46A2">
        <w:rPr>
          <w:rFonts w:ascii="Arial" w:eastAsia="Times New Roman" w:hAnsi="Arial"/>
          <w:sz w:val="22"/>
          <w:szCs w:val="22"/>
          <w:lang w:val="en-US"/>
        </w:rPr>
        <w:t xml:space="preserve">Q520 </w:t>
      </w:r>
      <w:r w:rsidRPr="005C46A2">
        <w:rPr>
          <w:rFonts w:ascii="Arial" w:eastAsia="Times New Roman" w:hAnsi="Arial"/>
          <w:sz w:val="22"/>
          <w:szCs w:val="22"/>
          <w:lang w:val="en-US"/>
        </w:rPr>
        <w:br/>
      </w:r>
      <w:r w:rsidRPr="005C46A2">
        <w:rPr>
          <w:rFonts w:ascii="Arial" w:eastAsia="Times New Roman" w:hAnsi="Arial"/>
          <w:b/>
          <w:sz w:val="22"/>
          <w:szCs w:val="22"/>
          <w:lang w:val="en-US"/>
        </w:rPr>
        <w:t>APPROACHES IDENTIFIED IN THE LITERATURE</w:t>
      </w:r>
    </w:p>
    <w:p w14:paraId="0822B6CF" w14:textId="77777777" w:rsidR="00EA2431" w:rsidRPr="005C46A2" w:rsidRDefault="00EA2431" w:rsidP="00495C74">
      <w:pPr>
        <w:jc w:val="both"/>
        <w:rPr>
          <w:rFonts w:ascii="Arial" w:eastAsia="Times New Roman" w:hAnsi="Arial"/>
          <w:sz w:val="22"/>
          <w:szCs w:val="22"/>
          <w:lang w:val="en-US"/>
        </w:rPr>
      </w:pPr>
    </w:p>
    <w:p w14:paraId="36CBCE82" w14:textId="77777777" w:rsidR="00EA2431" w:rsidRPr="005C46A2" w:rsidRDefault="00EA2431" w:rsidP="00495C74">
      <w:pPr>
        <w:pBdr>
          <w:top w:val="dashed" w:sz="8" w:space="0" w:color="CCCCCC"/>
        </w:pBdr>
        <w:spacing w:before="120" w:after="120" w:line="120" w:lineRule="auto"/>
        <w:jc w:val="both"/>
        <w:rPr>
          <w:rFonts w:ascii="Arial" w:eastAsia="Times New Roman" w:hAnsi="Arial"/>
          <w:sz w:val="22"/>
          <w:szCs w:val="22"/>
          <w:lang w:val="en-US"/>
        </w:rPr>
      </w:pPr>
    </w:p>
    <w:p w14:paraId="43BE2A9E" w14:textId="77777777" w:rsidR="00EA2431" w:rsidRPr="005C46A2" w:rsidRDefault="00EA2431" w:rsidP="00495C74">
      <w:pPr>
        <w:jc w:val="both"/>
        <w:rPr>
          <w:rFonts w:ascii="Arial" w:eastAsia="Times New Roman" w:hAnsi="Arial"/>
          <w:sz w:val="22"/>
          <w:szCs w:val="22"/>
          <w:lang w:val="en-US"/>
        </w:rPr>
      </w:pPr>
    </w:p>
    <w:p w14:paraId="7175BD9F" w14:textId="77777777" w:rsidR="00EA2431" w:rsidRPr="005C46A2" w:rsidRDefault="00EA2431" w:rsidP="00495C74">
      <w:pPr>
        <w:keepNext/>
        <w:jc w:val="both"/>
        <w:rPr>
          <w:rFonts w:ascii="Arial" w:eastAsia="Times New Roman" w:hAnsi="Arial"/>
          <w:sz w:val="22"/>
          <w:szCs w:val="22"/>
          <w:lang w:val="en-US"/>
        </w:rPr>
      </w:pPr>
      <w:r w:rsidRPr="005C46A2">
        <w:rPr>
          <w:rFonts w:ascii="Arial" w:eastAsia="Times New Roman" w:hAnsi="Arial"/>
          <w:sz w:val="22"/>
          <w:szCs w:val="22"/>
          <w:lang w:val="en-US"/>
        </w:rPr>
        <w:t xml:space="preserve">Q521 The researchers reviewed FAO intervention research in the AOD, gambling, and tobacco fields. From this literature review, the researchers identified four intervention approaches (ways of conceptualising FAOs and their intervention needs). A number of open-ended and closed questions were asked about each approach in the first round.  </w:t>
      </w:r>
      <w:r w:rsidRPr="005C46A2">
        <w:rPr>
          <w:rFonts w:ascii="Arial" w:eastAsia="Times New Roman" w:hAnsi="Arial"/>
          <w:sz w:val="22"/>
          <w:szCs w:val="22"/>
          <w:lang w:val="en-US"/>
        </w:rPr>
        <w:br/>
        <w:t xml:space="preserve"> Analysis of round one responses highlighted an additional approach that was not reflected: The social approach.   </w:t>
      </w:r>
      <w:r w:rsidRPr="005C46A2">
        <w:rPr>
          <w:rFonts w:ascii="Arial" w:eastAsia="Times New Roman" w:hAnsi="Arial"/>
          <w:sz w:val="22"/>
          <w:szCs w:val="22"/>
          <w:lang w:val="en-US"/>
        </w:rPr>
        <w:br/>
        <w:t xml:space="preserve"> The social approach holds that 'gambling harm', 'recovery' and 'wellbeing' are socially and culturally constructed phenomena. The meanings that are given to them, the way they are experienced, and what constitutes quality and effective support/intervention are shaped by particular family, community, cultural, gender and broader societal dynamics in play. This also includes the practices of industries and governments, service organisational contexts, funding models etc. This approach directs services to pay ongoing attention to the ways in which harm/recovery is produced in the families/communities they serve, e.g. community development, advocacy work.  </w:t>
      </w:r>
      <w:r w:rsidRPr="005C46A2">
        <w:rPr>
          <w:rFonts w:ascii="Arial" w:eastAsia="Times New Roman" w:hAnsi="Arial"/>
          <w:sz w:val="22"/>
          <w:szCs w:val="22"/>
          <w:lang w:val="en-US"/>
        </w:rPr>
        <w:br/>
        <w:t xml:space="preserve"> Given the summary of findings from </w:t>
      </w:r>
      <w:r w:rsidRPr="005C46A2">
        <w:rPr>
          <w:rFonts w:ascii="Arial" w:eastAsia="Times New Roman" w:hAnsi="Arial"/>
          <w:i/>
          <w:sz w:val="22"/>
          <w:szCs w:val="22"/>
          <w:lang w:val="en-US"/>
        </w:rPr>
        <w:t>round one</w:t>
      </w:r>
      <w:r w:rsidRPr="005C46A2">
        <w:rPr>
          <w:rFonts w:ascii="Arial" w:eastAsia="Times New Roman" w:hAnsi="Arial"/>
          <w:sz w:val="22"/>
          <w:szCs w:val="22"/>
          <w:lang w:val="en-US"/>
        </w:rPr>
        <w:t>, we would like you to re-rate the extent you think that services should include each approach in their design/orientation; including the social approach.  </w:t>
      </w:r>
    </w:p>
    <w:p w14:paraId="4CF86EE1" w14:textId="77777777" w:rsidR="00EA2431" w:rsidRPr="005C46A2" w:rsidRDefault="00EA2431" w:rsidP="00495C74">
      <w:pPr>
        <w:jc w:val="both"/>
        <w:rPr>
          <w:rFonts w:ascii="Arial" w:eastAsia="Times New Roman" w:hAnsi="Arial"/>
          <w:sz w:val="22"/>
          <w:szCs w:val="22"/>
          <w:lang w:val="en-US"/>
        </w:rPr>
      </w:pPr>
    </w:p>
    <w:p w14:paraId="71C279CA" w14:textId="77777777" w:rsidR="00EA2431" w:rsidRPr="005C46A2" w:rsidRDefault="00EA2431" w:rsidP="00495C74">
      <w:pPr>
        <w:pBdr>
          <w:top w:val="dashed" w:sz="8" w:space="0" w:color="CCCCCC"/>
        </w:pBdr>
        <w:spacing w:before="120" w:after="120" w:line="120" w:lineRule="auto"/>
        <w:jc w:val="both"/>
        <w:rPr>
          <w:rFonts w:ascii="Arial" w:eastAsia="Times New Roman" w:hAnsi="Arial"/>
          <w:sz w:val="22"/>
          <w:szCs w:val="22"/>
          <w:lang w:val="en-US"/>
        </w:rPr>
      </w:pPr>
    </w:p>
    <w:p w14:paraId="4CC7223C" w14:textId="77777777" w:rsidR="00EA2431" w:rsidRPr="005C46A2" w:rsidRDefault="00EA2431" w:rsidP="00495C74">
      <w:pPr>
        <w:jc w:val="both"/>
        <w:rPr>
          <w:rFonts w:ascii="Arial" w:eastAsia="Times New Roman" w:hAnsi="Arial"/>
          <w:sz w:val="22"/>
          <w:szCs w:val="22"/>
          <w:lang w:val="en-US"/>
        </w:rPr>
      </w:pPr>
    </w:p>
    <w:p w14:paraId="0E792859" w14:textId="77777777" w:rsidR="00EA2431" w:rsidRPr="005C46A2" w:rsidRDefault="00EA2431" w:rsidP="00495C74">
      <w:pPr>
        <w:keepNext/>
        <w:jc w:val="both"/>
        <w:rPr>
          <w:rFonts w:ascii="Arial" w:eastAsia="Times New Roman" w:hAnsi="Arial"/>
          <w:sz w:val="22"/>
          <w:szCs w:val="22"/>
          <w:lang w:val="en-US"/>
        </w:rPr>
      </w:pPr>
      <w:r w:rsidRPr="005C46A2">
        <w:rPr>
          <w:rFonts w:ascii="Arial" w:eastAsia="Times New Roman" w:hAnsi="Arial"/>
          <w:sz w:val="22"/>
          <w:szCs w:val="22"/>
          <w:lang w:val="en-US"/>
        </w:rPr>
        <w:t xml:space="preserve">Q576 </w:t>
      </w:r>
      <w:r w:rsidRPr="005C46A2">
        <w:rPr>
          <w:rFonts w:ascii="Arial" w:eastAsia="Times New Roman" w:hAnsi="Arial"/>
          <w:b/>
          <w:i/>
          <w:sz w:val="22"/>
          <w:szCs w:val="22"/>
          <w:lang w:val="en-US"/>
        </w:rPr>
        <w:t>If needed, descriptions of the four approaches identified by the researchers are available here: </w:t>
      </w:r>
      <w:hyperlink r:id="rId101">
        <w:r w:rsidRPr="005C46A2">
          <w:rPr>
            <w:rFonts w:ascii="Arial" w:eastAsia="Times New Roman" w:hAnsi="Arial"/>
            <w:color w:val="007AC0"/>
            <w:sz w:val="22"/>
            <w:szCs w:val="22"/>
            <w:u w:val="single"/>
            <w:lang w:val="en-US"/>
          </w:rPr>
          <w:t>Approaches identified in the literature</w:t>
        </w:r>
      </w:hyperlink>
      <w:r w:rsidRPr="005C46A2">
        <w:rPr>
          <w:rFonts w:ascii="Arial" w:eastAsia="Times New Roman" w:hAnsi="Arial"/>
          <w:b/>
          <w:i/>
          <w:sz w:val="22"/>
          <w:szCs w:val="22"/>
          <w:lang w:val="en-US"/>
        </w:rPr>
        <w:t> </w:t>
      </w:r>
    </w:p>
    <w:p w14:paraId="590D9BEC" w14:textId="77777777" w:rsidR="00EA2431" w:rsidRPr="005C46A2" w:rsidRDefault="00EA2431" w:rsidP="00495C74">
      <w:pPr>
        <w:jc w:val="both"/>
        <w:rPr>
          <w:rFonts w:ascii="Arial" w:eastAsia="Times New Roman" w:hAnsi="Arial"/>
          <w:sz w:val="22"/>
          <w:szCs w:val="22"/>
          <w:lang w:val="en-US"/>
        </w:rPr>
      </w:pPr>
    </w:p>
    <w:p w14:paraId="7A239269" w14:textId="77777777" w:rsidR="00EA2431" w:rsidRPr="005C46A2" w:rsidRDefault="00EA2431" w:rsidP="00495C74">
      <w:pPr>
        <w:pBdr>
          <w:top w:val="dashed" w:sz="8" w:space="0" w:color="CCCCCC"/>
        </w:pBdr>
        <w:spacing w:before="120" w:after="120" w:line="120" w:lineRule="auto"/>
        <w:jc w:val="both"/>
        <w:rPr>
          <w:rFonts w:ascii="Arial" w:eastAsia="Times New Roman" w:hAnsi="Arial"/>
          <w:sz w:val="22"/>
          <w:szCs w:val="22"/>
          <w:lang w:val="en-US"/>
        </w:rPr>
      </w:pPr>
    </w:p>
    <w:p w14:paraId="41B4B2A4" w14:textId="77777777" w:rsidR="00EA2431" w:rsidRPr="005C46A2" w:rsidRDefault="00EA2431" w:rsidP="00495C74">
      <w:pPr>
        <w:jc w:val="both"/>
        <w:rPr>
          <w:rFonts w:ascii="Arial" w:eastAsia="Times New Roman" w:hAnsi="Arial"/>
          <w:sz w:val="22"/>
          <w:szCs w:val="22"/>
          <w:lang w:val="en-US"/>
        </w:rPr>
      </w:pPr>
    </w:p>
    <w:p w14:paraId="4C361804" w14:textId="77777777" w:rsidR="00EA2431" w:rsidRPr="005C46A2" w:rsidRDefault="00EA2431" w:rsidP="00495C74">
      <w:pPr>
        <w:keepNext/>
        <w:jc w:val="both"/>
        <w:rPr>
          <w:rFonts w:ascii="Arial" w:eastAsia="Times New Roman" w:hAnsi="Arial"/>
          <w:sz w:val="22"/>
          <w:szCs w:val="22"/>
          <w:lang w:val="en-US"/>
        </w:rPr>
      </w:pPr>
      <w:r w:rsidRPr="005C46A2">
        <w:rPr>
          <w:rFonts w:ascii="Arial" w:eastAsia="Times New Roman" w:hAnsi="Arial"/>
          <w:sz w:val="22"/>
          <w:szCs w:val="22"/>
          <w:lang w:val="en-US"/>
        </w:rPr>
        <w:t xml:space="preserve">Q561 To what extent should services be oriented/designed to support FAOs to influence the individual who is gambling?   </w:t>
      </w:r>
      <w:r w:rsidRPr="005C46A2">
        <w:rPr>
          <w:rFonts w:ascii="Arial" w:eastAsia="Times New Roman" w:hAnsi="Arial"/>
          <w:i/>
          <w:sz w:val="22"/>
          <w:szCs w:val="22"/>
          <w:lang w:val="en-US"/>
        </w:rPr>
        <w:t>0 = Not at all designed / orientated in this way  - 10 = Completely designed / orientated in this way</w:t>
      </w:r>
    </w:p>
    <w:tbl>
      <w:tblPr>
        <w:tblStyle w:val="QSliderLabelsTable"/>
        <w:tblW w:w="9576" w:type="auto"/>
        <w:tblInd w:w="0" w:type="dxa"/>
        <w:tblLook w:val="07E0" w:firstRow="1" w:lastRow="1" w:firstColumn="1" w:lastColumn="1" w:noHBand="1" w:noVBand="1"/>
      </w:tblPr>
      <w:tblGrid>
        <w:gridCol w:w="4491"/>
        <w:gridCol w:w="4535"/>
      </w:tblGrid>
      <w:tr w:rsidR="00EA2431" w:rsidRPr="005C46A2" w14:paraId="011ACA51" w14:textId="77777777" w:rsidTr="000465E8">
        <w:tc>
          <w:tcPr>
            <w:tcW w:w="4788" w:type="dxa"/>
          </w:tcPr>
          <w:p w14:paraId="52443482" w14:textId="77777777" w:rsidR="00EA2431" w:rsidRPr="005C46A2" w:rsidRDefault="00EA2431" w:rsidP="00495C74">
            <w:pPr>
              <w:keepNext/>
              <w:spacing w:line="240" w:lineRule="auto"/>
              <w:jc w:val="both"/>
              <w:rPr>
                <w:rFonts w:ascii="Arial" w:hAnsi="Arial"/>
                <w:sz w:val="22"/>
                <w:szCs w:val="22"/>
              </w:rPr>
            </w:pPr>
          </w:p>
        </w:tc>
        <w:tc>
          <w:tcPr>
            <w:tcW w:w="4788" w:type="dxa"/>
          </w:tcPr>
          <w:p w14:paraId="1D9F3E03"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Unsure</w:t>
            </w:r>
          </w:p>
        </w:tc>
      </w:tr>
    </w:tbl>
    <w:p w14:paraId="7BD03500" w14:textId="77777777" w:rsidR="00EA2431" w:rsidRPr="005C46A2" w:rsidRDefault="00EA2431" w:rsidP="00495C74">
      <w:pPr>
        <w:jc w:val="both"/>
        <w:rPr>
          <w:rFonts w:ascii="Arial" w:eastAsia="Times New Roman" w:hAnsi="Arial"/>
          <w:sz w:val="22"/>
          <w:szCs w:val="22"/>
          <w:lang w:val="en-US"/>
        </w:rPr>
      </w:pPr>
    </w:p>
    <w:tbl>
      <w:tblPr>
        <w:tblStyle w:val="QSliderLabelsTable"/>
        <w:tblW w:w="9576" w:type="auto"/>
        <w:tblInd w:w="0" w:type="dxa"/>
        <w:tblLook w:val="07E0" w:firstRow="1" w:lastRow="1" w:firstColumn="1" w:lastColumn="1" w:noHBand="1" w:noVBand="1"/>
      </w:tblPr>
      <w:tblGrid>
        <w:gridCol w:w="4464"/>
        <w:gridCol w:w="414"/>
        <w:gridCol w:w="414"/>
        <w:gridCol w:w="414"/>
        <w:gridCol w:w="414"/>
        <w:gridCol w:w="414"/>
        <w:gridCol w:w="414"/>
        <w:gridCol w:w="414"/>
        <w:gridCol w:w="414"/>
        <w:gridCol w:w="414"/>
        <w:gridCol w:w="414"/>
        <w:gridCol w:w="422"/>
      </w:tblGrid>
      <w:tr w:rsidR="00EA2431" w:rsidRPr="005C46A2" w14:paraId="5235F8C9" w14:textId="77777777" w:rsidTr="000465E8">
        <w:tc>
          <w:tcPr>
            <w:tcW w:w="4788" w:type="dxa"/>
          </w:tcPr>
          <w:p w14:paraId="7D8E4E50" w14:textId="77777777" w:rsidR="00EA2431" w:rsidRPr="005C46A2" w:rsidRDefault="00EA2431" w:rsidP="00495C74">
            <w:pPr>
              <w:spacing w:line="240" w:lineRule="auto"/>
              <w:jc w:val="both"/>
              <w:rPr>
                <w:rFonts w:ascii="Arial" w:hAnsi="Arial"/>
                <w:sz w:val="22"/>
                <w:szCs w:val="22"/>
              </w:rPr>
            </w:pPr>
          </w:p>
        </w:tc>
        <w:tc>
          <w:tcPr>
            <w:tcW w:w="435" w:type="dxa"/>
          </w:tcPr>
          <w:p w14:paraId="575F4E78"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0</w:t>
            </w:r>
          </w:p>
        </w:tc>
        <w:tc>
          <w:tcPr>
            <w:tcW w:w="435" w:type="dxa"/>
          </w:tcPr>
          <w:p w14:paraId="7E5231B9"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1</w:t>
            </w:r>
          </w:p>
        </w:tc>
        <w:tc>
          <w:tcPr>
            <w:tcW w:w="435" w:type="dxa"/>
          </w:tcPr>
          <w:p w14:paraId="324A8822"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2</w:t>
            </w:r>
          </w:p>
        </w:tc>
        <w:tc>
          <w:tcPr>
            <w:tcW w:w="435" w:type="dxa"/>
          </w:tcPr>
          <w:p w14:paraId="705558FD"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3</w:t>
            </w:r>
          </w:p>
        </w:tc>
        <w:tc>
          <w:tcPr>
            <w:tcW w:w="435" w:type="dxa"/>
          </w:tcPr>
          <w:p w14:paraId="1543DD8B"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4</w:t>
            </w:r>
          </w:p>
        </w:tc>
        <w:tc>
          <w:tcPr>
            <w:tcW w:w="435" w:type="dxa"/>
          </w:tcPr>
          <w:p w14:paraId="6796EC3E"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5</w:t>
            </w:r>
          </w:p>
        </w:tc>
        <w:tc>
          <w:tcPr>
            <w:tcW w:w="435" w:type="dxa"/>
          </w:tcPr>
          <w:p w14:paraId="23F2030E"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6</w:t>
            </w:r>
          </w:p>
        </w:tc>
        <w:tc>
          <w:tcPr>
            <w:tcW w:w="435" w:type="dxa"/>
          </w:tcPr>
          <w:p w14:paraId="166C0595"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7</w:t>
            </w:r>
          </w:p>
        </w:tc>
        <w:tc>
          <w:tcPr>
            <w:tcW w:w="435" w:type="dxa"/>
          </w:tcPr>
          <w:p w14:paraId="491EE245"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8</w:t>
            </w:r>
          </w:p>
        </w:tc>
        <w:tc>
          <w:tcPr>
            <w:tcW w:w="435" w:type="dxa"/>
          </w:tcPr>
          <w:p w14:paraId="40DB534C"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9</w:t>
            </w:r>
          </w:p>
        </w:tc>
        <w:tc>
          <w:tcPr>
            <w:tcW w:w="435" w:type="dxa"/>
          </w:tcPr>
          <w:p w14:paraId="39176978"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10</w:t>
            </w:r>
          </w:p>
        </w:tc>
      </w:tr>
    </w:tbl>
    <w:p w14:paraId="7B9608D7" w14:textId="77777777" w:rsidR="00EA2431" w:rsidRPr="005C46A2" w:rsidRDefault="00EA2431" w:rsidP="00495C74">
      <w:pPr>
        <w:jc w:val="both"/>
        <w:rPr>
          <w:rFonts w:ascii="Arial" w:eastAsia="Times New Roman" w:hAnsi="Arial"/>
          <w:sz w:val="22"/>
          <w:szCs w:val="22"/>
          <w:lang w:val="en-US"/>
        </w:rPr>
      </w:pPr>
    </w:p>
    <w:tbl>
      <w:tblPr>
        <w:tblStyle w:val="QStandardSliderTable"/>
        <w:tblW w:w="9576" w:type="auto"/>
        <w:tblLook w:val="07E0" w:firstRow="1" w:lastRow="1" w:firstColumn="1" w:lastColumn="1" w:noHBand="1" w:noVBand="1"/>
      </w:tblPr>
      <w:tblGrid>
        <w:gridCol w:w="4391"/>
        <w:gridCol w:w="4635"/>
      </w:tblGrid>
      <w:tr w:rsidR="00EA2431" w:rsidRPr="005C46A2" w14:paraId="51B8CA12" w14:textId="77777777" w:rsidTr="000465E8">
        <w:tc>
          <w:tcPr>
            <w:cnfStyle w:val="001000000000" w:firstRow="0" w:lastRow="0" w:firstColumn="1" w:lastColumn="0" w:oddVBand="0" w:evenVBand="0" w:oddHBand="0" w:evenHBand="0" w:firstRowFirstColumn="0" w:firstRowLastColumn="0" w:lastRowFirstColumn="0" w:lastRowLastColumn="0"/>
            <w:tcW w:w="4788" w:type="dxa"/>
          </w:tcPr>
          <w:p w14:paraId="45DE076E" w14:textId="77777777" w:rsidR="00EA2431" w:rsidRPr="005C46A2" w:rsidRDefault="00EA2431" w:rsidP="00495C74">
            <w:pPr>
              <w:keepNext/>
              <w:spacing w:line="240" w:lineRule="auto"/>
              <w:jc w:val="both"/>
              <w:rPr>
                <w:rFonts w:ascii="Arial" w:hAnsi="Arial"/>
                <w:sz w:val="22"/>
                <w:szCs w:val="22"/>
              </w:rPr>
            </w:pPr>
            <w:r w:rsidRPr="005C46A2">
              <w:rPr>
                <w:rFonts w:ascii="Arial" w:hAnsi="Arial"/>
                <w:sz w:val="22"/>
                <w:szCs w:val="22"/>
              </w:rPr>
              <w:lastRenderedPageBreak/>
              <w:t>Move the slider along the scale ()</w:t>
            </w:r>
          </w:p>
        </w:tc>
        <w:tc>
          <w:tcPr>
            <w:tcW w:w="4788" w:type="dxa"/>
          </w:tcPr>
          <w:p w14:paraId="71CFF361" w14:textId="77777777" w:rsidR="00EA2431" w:rsidRPr="005C46A2" w:rsidRDefault="00EA2431" w:rsidP="00495C74">
            <w:pPr>
              <w:keepNext/>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C46A2">
              <w:rPr>
                <w:rFonts w:ascii="Arial" w:hAnsi="Arial"/>
                <w:noProof/>
                <w:sz w:val="22"/>
                <w:szCs w:val="22"/>
              </w:rPr>
              <w:drawing>
                <wp:inline distT="0" distB="0" distL="0" distR="0" wp14:anchorId="366F53BC" wp14:editId="67EC2E1C">
                  <wp:extent cx="1905000" cy="304800"/>
                  <wp:effectExtent l="0" t="0" r="0" b="0"/>
                  <wp:docPr id="16"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SliderHorizontal.png"/>
                          <pic:cNvPicPr/>
                        </pic:nvPicPr>
                        <pic:blipFill>
                          <a:blip r:embed="rId102"/>
                          <a:stretch>
                            <a:fillRect/>
                          </a:stretch>
                        </pic:blipFill>
                        <pic:spPr>
                          <a:xfrm>
                            <a:off x="0" y="0"/>
                            <a:ext cx="1905000" cy="304800"/>
                          </a:xfrm>
                          <a:prstGeom prst="rect">
                            <a:avLst/>
                          </a:prstGeom>
                        </pic:spPr>
                      </pic:pic>
                    </a:graphicData>
                  </a:graphic>
                </wp:inline>
              </w:drawing>
            </w:r>
          </w:p>
        </w:tc>
      </w:tr>
    </w:tbl>
    <w:p w14:paraId="392CFBDE" w14:textId="77777777" w:rsidR="00EA2431" w:rsidRPr="005C46A2" w:rsidRDefault="00EA2431" w:rsidP="00495C74">
      <w:pPr>
        <w:jc w:val="both"/>
        <w:rPr>
          <w:rFonts w:ascii="Arial" w:eastAsia="Times New Roman" w:hAnsi="Arial"/>
          <w:sz w:val="22"/>
          <w:szCs w:val="22"/>
          <w:lang w:val="en-US"/>
        </w:rPr>
      </w:pPr>
    </w:p>
    <w:p w14:paraId="0DC739A3" w14:textId="77777777" w:rsidR="00EA2431" w:rsidRPr="005C46A2" w:rsidRDefault="00EA2431" w:rsidP="00495C74">
      <w:pPr>
        <w:jc w:val="both"/>
        <w:rPr>
          <w:rFonts w:ascii="Arial" w:eastAsia="Times New Roman" w:hAnsi="Arial"/>
          <w:sz w:val="22"/>
          <w:szCs w:val="22"/>
          <w:lang w:val="en-US"/>
        </w:rPr>
      </w:pPr>
    </w:p>
    <w:p w14:paraId="2EFAC85B" w14:textId="77777777" w:rsidR="00EA2431" w:rsidRPr="005C46A2" w:rsidRDefault="00EA2431" w:rsidP="00495C74">
      <w:pPr>
        <w:pBdr>
          <w:top w:val="dashed" w:sz="8" w:space="0" w:color="CCCCCC"/>
        </w:pBdr>
        <w:spacing w:before="120" w:after="120" w:line="120" w:lineRule="auto"/>
        <w:jc w:val="both"/>
        <w:rPr>
          <w:rFonts w:ascii="Arial" w:eastAsia="Times New Roman" w:hAnsi="Arial"/>
          <w:sz w:val="22"/>
          <w:szCs w:val="22"/>
          <w:lang w:val="en-US"/>
        </w:rPr>
      </w:pPr>
    </w:p>
    <w:p w14:paraId="65E50FFE" w14:textId="77777777" w:rsidR="00EA2431" w:rsidRPr="005C46A2" w:rsidRDefault="00EA2431" w:rsidP="00495C74">
      <w:pPr>
        <w:jc w:val="both"/>
        <w:rPr>
          <w:rFonts w:ascii="Arial" w:eastAsia="Times New Roman" w:hAnsi="Arial"/>
          <w:sz w:val="22"/>
          <w:szCs w:val="22"/>
          <w:lang w:val="en-US"/>
        </w:rPr>
      </w:pPr>
    </w:p>
    <w:p w14:paraId="1FA36150" w14:textId="77777777" w:rsidR="00EA2431" w:rsidRPr="005C46A2" w:rsidRDefault="00EA2431" w:rsidP="00495C74">
      <w:pPr>
        <w:keepNext/>
        <w:jc w:val="both"/>
        <w:rPr>
          <w:rFonts w:ascii="Arial" w:eastAsia="Times New Roman" w:hAnsi="Arial"/>
          <w:sz w:val="22"/>
          <w:szCs w:val="22"/>
          <w:lang w:val="en-US"/>
        </w:rPr>
      </w:pPr>
      <w:r w:rsidRPr="005C46A2">
        <w:rPr>
          <w:rFonts w:ascii="Arial" w:eastAsia="Times New Roman" w:hAnsi="Arial"/>
          <w:sz w:val="22"/>
          <w:szCs w:val="22"/>
          <w:lang w:val="en-US"/>
        </w:rPr>
        <w:t xml:space="preserve">Q58 To what extent should services be oriented/designed to improve the relationship/s between FAOs and the person who is gambling?   </w:t>
      </w:r>
      <w:r w:rsidRPr="005C46A2">
        <w:rPr>
          <w:rFonts w:ascii="Arial" w:eastAsia="Times New Roman" w:hAnsi="Arial"/>
          <w:i/>
          <w:sz w:val="22"/>
          <w:szCs w:val="22"/>
          <w:lang w:val="en-US"/>
        </w:rPr>
        <w:t>0 = Not at all designed / orientated in this way  - 10 = Completely designed / orientated in this way</w:t>
      </w:r>
    </w:p>
    <w:tbl>
      <w:tblPr>
        <w:tblStyle w:val="QSliderLabelsTable"/>
        <w:tblW w:w="9576" w:type="auto"/>
        <w:tblInd w:w="0" w:type="dxa"/>
        <w:tblLook w:val="07E0" w:firstRow="1" w:lastRow="1" w:firstColumn="1" w:lastColumn="1" w:noHBand="1" w:noVBand="1"/>
      </w:tblPr>
      <w:tblGrid>
        <w:gridCol w:w="4491"/>
        <w:gridCol w:w="4535"/>
      </w:tblGrid>
      <w:tr w:rsidR="00EA2431" w:rsidRPr="005C46A2" w14:paraId="68B54085" w14:textId="77777777" w:rsidTr="000465E8">
        <w:tc>
          <w:tcPr>
            <w:tcW w:w="4788" w:type="dxa"/>
          </w:tcPr>
          <w:p w14:paraId="59D8EBF7" w14:textId="77777777" w:rsidR="00EA2431" w:rsidRPr="005C46A2" w:rsidRDefault="00EA2431" w:rsidP="00495C74">
            <w:pPr>
              <w:keepNext/>
              <w:spacing w:line="240" w:lineRule="auto"/>
              <w:jc w:val="both"/>
              <w:rPr>
                <w:rFonts w:ascii="Arial" w:hAnsi="Arial"/>
                <w:sz w:val="22"/>
                <w:szCs w:val="22"/>
              </w:rPr>
            </w:pPr>
          </w:p>
        </w:tc>
        <w:tc>
          <w:tcPr>
            <w:tcW w:w="4788" w:type="dxa"/>
          </w:tcPr>
          <w:p w14:paraId="71E13B85"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Unsure</w:t>
            </w:r>
          </w:p>
        </w:tc>
      </w:tr>
    </w:tbl>
    <w:p w14:paraId="0C791B0A" w14:textId="77777777" w:rsidR="00EA2431" w:rsidRPr="005C46A2" w:rsidRDefault="00EA2431" w:rsidP="00495C74">
      <w:pPr>
        <w:jc w:val="both"/>
        <w:rPr>
          <w:rFonts w:ascii="Arial" w:eastAsia="Times New Roman" w:hAnsi="Arial"/>
          <w:sz w:val="22"/>
          <w:szCs w:val="22"/>
          <w:lang w:val="en-US"/>
        </w:rPr>
      </w:pPr>
    </w:p>
    <w:tbl>
      <w:tblPr>
        <w:tblStyle w:val="QSliderLabelsTable"/>
        <w:tblW w:w="9576" w:type="auto"/>
        <w:tblInd w:w="0" w:type="dxa"/>
        <w:tblLook w:val="07E0" w:firstRow="1" w:lastRow="1" w:firstColumn="1" w:lastColumn="1" w:noHBand="1" w:noVBand="1"/>
      </w:tblPr>
      <w:tblGrid>
        <w:gridCol w:w="4464"/>
        <w:gridCol w:w="414"/>
        <w:gridCol w:w="414"/>
        <w:gridCol w:w="414"/>
        <w:gridCol w:w="414"/>
        <w:gridCol w:w="414"/>
        <w:gridCol w:w="414"/>
        <w:gridCol w:w="414"/>
        <w:gridCol w:w="414"/>
        <w:gridCol w:w="414"/>
        <w:gridCol w:w="414"/>
        <w:gridCol w:w="422"/>
      </w:tblGrid>
      <w:tr w:rsidR="00EA2431" w:rsidRPr="005C46A2" w14:paraId="073FEC1C" w14:textId="77777777" w:rsidTr="000465E8">
        <w:tc>
          <w:tcPr>
            <w:tcW w:w="4788" w:type="dxa"/>
          </w:tcPr>
          <w:p w14:paraId="1D0F179E" w14:textId="77777777" w:rsidR="00EA2431" w:rsidRPr="005C46A2" w:rsidRDefault="00EA2431" w:rsidP="00495C74">
            <w:pPr>
              <w:spacing w:line="240" w:lineRule="auto"/>
              <w:jc w:val="both"/>
              <w:rPr>
                <w:rFonts w:ascii="Arial" w:hAnsi="Arial"/>
                <w:sz w:val="22"/>
                <w:szCs w:val="22"/>
              </w:rPr>
            </w:pPr>
          </w:p>
        </w:tc>
        <w:tc>
          <w:tcPr>
            <w:tcW w:w="435" w:type="dxa"/>
          </w:tcPr>
          <w:p w14:paraId="6709B8BA"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0</w:t>
            </w:r>
          </w:p>
        </w:tc>
        <w:tc>
          <w:tcPr>
            <w:tcW w:w="435" w:type="dxa"/>
          </w:tcPr>
          <w:p w14:paraId="7B00977A"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1</w:t>
            </w:r>
          </w:p>
        </w:tc>
        <w:tc>
          <w:tcPr>
            <w:tcW w:w="435" w:type="dxa"/>
          </w:tcPr>
          <w:p w14:paraId="60C01057"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2</w:t>
            </w:r>
          </w:p>
        </w:tc>
        <w:tc>
          <w:tcPr>
            <w:tcW w:w="435" w:type="dxa"/>
          </w:tcPr>
          <w:p w14:paraId="433FBE89"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3</w:t>
            </w:r>
          </w:p>
        </w:tc>
        <w:tc>
          <w:tcPr>
            <w:tcW w:w="435" w:type="dxa"/>
          </w:tcPr>
          <w:p w14:paraId="7F7D5AF1"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4</w:t>
            </w:r>
          </w:p>
        </w:tc>
        <w:tc>
          <w:tcPr>
            <w:tcW w:w="435" w:type="dxa"/>
          </w:tcPr>
          <w:p w14:paraId="0716D334"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5</w:t>
            </w:r>
          </w:p>
        </w:tc>
        <w:tc>
          <w:tcPr>
            <w:tcW w:w="435" w:type="dxa"/>
          </w:tcPr>
          <w:p w14:paraId="11B12AEA"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6</w:t>
            </w:r>
          </w:p>
        </w:tc>
        <w:tc>
          <w:tcPr>
            <w:tcW w:w="435" w:type="dxa"/>
          </w:tcPr>
          <w:p w14:paraId="54C80F40"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7</w:t>
            </w:r>
          </w:p>
        </w:tc>
        <w:tc>
          <w:tcPr>
            <w:tcW w:w="435" w:type="dxa"/>
          </w:tcPr>
          <w:p w14:paraId="19FDE597"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8</w:t>
            </w:r>
          </w:p>
        </w:tc>
        <w:tc>
          <w:tcPr>
            <w:tcW w:w="435" w:type="dxa"/>
          </w:tcPr>
          <w:p w14:paraId="3C5D9571"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9</w:t>
            </w:r>
          </w:p>
        </w:tc>
        <w:tc>
          <w:tcPr>
            <w:tcW w:w="435" w:type="dxa"/>
          </w:tcPr>
          <w:p w14:paraId="6D3AE3BE"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10</w:t>
            </w:r>
          </w:p>
        </w:tc>
      </w:tr>
    </w:tbl>
    <w:p w14:paraId="3A5199DB" w14:textId="77777777" w:rsidR="00EA2431" w:rsidRPr="005C46A2" w:rsidRDefault="00EA2431" w:rsidP="00495C74">
      <w:pPr>
        <w:jc w:val="both"/>
        <w:rPr>
          <w:rFonts w:ascii="Arial" w:eastAsia="Times New Roman" w:hAnsi="Arial"/>
          <w:sz w:val="22"/>
          <w:szCs w:val="22"/>
          <w:lang w:val="en-US"/>
        </w:rPr>
      </w:pPr>
    </w:p>
    <w:tbl>
      <w:tblPr>
        <w:tblStyle w:val="QStandardSliderTable"/>
        <w:tblW w:w="9576" w:type="auto"/>
        <w:tblLook w:val="07E0" w:firstRow="1" w:lastRow="1" w:firstColumn="1" w:lastColumn="1" w:noHBand="1" w:noVBand="1"/>
      </w:tblPr>
      <w:tblGrid>
        <w:gridCol w:w="4391"/>
        <w:gridCol w:w="4635"/>
      </w:tblGrid>
      <w:tr w:rsidR="00EA2431" w:rsidRPr="005C46A2" w14:paraId="6CE07EC1" w14:textId="77777777" w:rsidTr="000465E8">
        <w:tc>
          <w:tcPr>
            <w:cnfStyle w:val="001000000000" w:firstRow="0" w:lastRow="0" w:firstColumn="1" w:lastColumn="0" w:oddVBand="0" w:evenVBand="0" w:oddHBand="0" w:evenHBand="0" w:firstRowFirstColumn="0" w:firstRowLastColumn="0" w:lastRowFirstColumn="0" w:lastRowLastColumn="0"/>
            <w:tcW w:w="4788" w:type="dxa"/>
          </w:tcPr>
          <w:p w14:paraId="67883C6D" w14:textId="77777777" w:rsidR="00EA2431" w:rsidRPr="005C46A2" w:rsidRDefault="00EA2431" w:rsidP="00495C74">
            <w:pPr>
              <w:keepNext/>
              <w:spacing w:line="240" w:lineRule="auto"/>
              <w:jc w:val="both"/>
              <w:rPr>
                <w:rFonts w:ascii="Arial" w:hAnsi="Arial"/>
                <w:sz w:val="22"/>
                <w:szCs w:val="22"/>
              </w:rPr>
            </w:pPr>
            <w:r w:rsidRPr="005C46A2">
              <w:rPr>
                <w:rFonts w:ascii="Arial" w:hAnsi="Arial"/>
                <w:sz w:val="22"/>
                <w:szCs w:val="22"/>
              </w:rPr>
              <w:t>Move the slider along the scale ()</w:t>
            </w:r>
          </w:p>
        </w:tc>
        <w:tc>
          <w:tcPr>
            <w:tcW w:w="4788" w:type="dxa"/>
          </w:tcPr>
          <w:p w14:paraId="70830194" w14:textId="77777777" w:rsidR="00EA2431" w:rsidRPr="005C46A2" w:rsidRDefault="00EA2431" w:rsidP="00495C74">
            <w:pPr>
              <w:keepNext/>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C46A2">
              <w:rPr>
                <w:rFonts w:ascii="Arial" w:hAnsi="Arial"/>
                <w:noProof/>
                <w:sz w:val="22"/>
                <w:szCs w:val="22"/>
              </w:rPr>
              <w:drawing>
                <wp:inline distT="0" distB="0" distL="0" distR="0" wp14:anchorId="6AB1C7B4" wp14:editId="414734EF">
                  <wp:extent cx="1905000" cy="304800"/>
                  <wp:effectExtent l="0" t="0" r="0" b="0"/>
                  <wp:docPr id="17"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SliderHorizontal.png"/>
                          <pic:cNvPicPr/>
                        </pic:nvPicPr>
                        <pic:blipFill>
                          <a:blip r:embed="rId102"/>
                          <a:stretch>
                            <a:fillRect/>
                          </a:stretch>
                        </pic:blipFill>
                        <pic:spPr>
                          <a:xfrm>
                            <a:off x="0" y="0"/>
                            <a:ext cx="1905000" cy="304800"/>
                          </a:xfrm>
                          <a:prstGeom prst="rect">
                            <a:avLst/>
                          </a:prstGeom>
                        </pic:spPr>
                      </pic:pic>
                    </a:graphicData>
                  </a:graphic>
                </wp:inline>
              </w:drawing>
            </w:r>
          </w:p>
        </w:tc>
      </w:tr>
    </w:tbl>
    <w:p w14:paraId="7B6B92D8" w14:textId="77777777" w:rsidR="00EA2431" w:rsidRPr="005C46A2" w:rsidRDefault="00EA2431" w:rsidP="00495C74">
      <w:pPr>
        <w:jc w:val="both"/>
        <w:rPr>
          <w:rFonts w:ascii="Arial" w:eastAsia="Times New Roman" w:hAnsi="Arial"/>
          <w:sz w:val="22"/>
          <w:szCs w:val="22"/>
          <w:lang w:val="en-US"/>
        </w:rPr>
      </w:pPr>
    </w:p>
    <w:p w14:paraId="68ED557D" w14:textId="77777777" w:rsidR="00EA2431" w:rsidRPr="005C46A2" w:rsidRDefault="00EA2431" w:rsidP="00495C74">
      <w:pPr>
        <w:jc w:val="both"/>
        <w:rPr>
          <w:rFonts w:ascii="Arial" w:eastAsia="Times New Roman" w:hAnsi="Arial"/>
          <w:sz w:val="22"/>
          <w:szCs w:val="22"/>
          <w:lang w:val="en-US"/>
        </w:rPr>
      </w:pPr>
    </w:p>
    <w:p w14:paraId="73F58156" w14:textId="77777777" w:rsidR="00EA2431" w:rsidRPr="005C46A2" w:rsidRDefault="00EA2431" w:rsidP="00495C74">
      <w:pPr>
        <w:pBdr>
          <w:top w:val="dashed" w:sz="8" w:space="0" w:color="CCCCCC"/>
        </w:pBdr>
        <w:spacing w:before="120" w:after="120" w:line="120" w:lineRule="auto"/>
        <w:jc w:val="both"/>
        <w:rPr>
          <w:rFonts w:ascii="Arial" w:eastAsia="Times New Roman" w:hAnsi="Arial"/>
          <w:sz w:val="22"/>
          <w:szCs w:val="22"/>
          <w:lang w:val="en-US"/>
        </w:rPr>
      </w:pPr>
    </w:p>
    <w:p w14:paraId="2C6FB3C8" w14:textId="77777777" w:rsidR="00EA2431" w:rsidRPr="005C46A2" w:rsidRDefault="00EA2431" w:rsidP="00495C74">
      <w:pPr>
        <w:jc w:val="both"/>
        <w:rPr>
          <w:rFonts w:ascii="Arial" w:eastAsia="Times New Roman" w:hAnsi="Arial"/>
          <w:sz w:val="22"/>
          <w:szCs w:val="22"/>
          <w:lang w:val="en-US"/>
        </w:rPr>
      </w:pPr>
    </w:p>
    <w:p w14:paraId="5450DD17" w14:textId="77777777" w:rsidR="00EA2431" w:rsidRPr="005C46A2" w:rsidRDefault="00EA2431" w:rsidP="00495C74">
      <w:pPr>
        <w:keepNext/>
        <w:jc w:val="both"/>
        <w:rPr>
          <w:rFonts w:ascii="Arial" w:eastAsia="Times New Roman" w:hAnsi="Arial"/>
          <w:sz w:val="22"/>
          <w:szCs w:val="22"/>
          <w:lang w:val="en-US"/>
        </w:rPr>
      </w:pPr>
      <w:r w:rsidRPr="005C46A2">
        <w:rPr>
          <w:rFonts w:ascii="Arial" w:eastAsia="Times New Roman" w:hAnsi="Arial"/>
          <w:sz w:val="22"/>
          <w:szCs w:val="22"/>
          <w:lang w:val="en-US"/>
        </w:rPr>
        <w:t xml:space="preserve">Q59 To what extent should services be oriented/designed to support FAOs to enhance their own wellbeing?   </w:t>
      </w:r>
      <w:r w:rsidRPr="005C46A2">
        <w:rPr>
          <w:rFonts w:ascii="Arial" w:eastAsia="Times New Roman" w:hAnsi="Arial"/>
          <w:i/>
          <w:sz w:val="22"/>
          <w:szCs w:val="22"/>
          <w:lang w:val="en-US"/>
        </w:rPr>
        <w:t>0 = Not at all designed / orientated in this way  - 10 = Completely designed / orientated in this way</w:t>
      </w:r>
    </w:p>
    <w:tbl>
      <w:tblPr>
        <w:tblStyle w:val="QSliderLabelsTable"/>
        <w:tblW w:w="9576" w:type="auto"/>
        <w:tblInd w:w="0" w:type="dxa"/>
        <w:tblLook w:val="07E0" w:firstRow="1" w:lastRow="1" w:firstColumn="1" w:lastColumn="1" w:noHBand="1" w:noVBand="1"/>
      </w:tblPr>
      <w:tblGrid>
        <w:gridCol w:w="4491"/>
        <w:gridCol w:w="4535"/>
      </w:tblGrid>
      <w:tr w:rsidR="00EA2431" w:rsidRPr="005C46A2" w14:paraId="7BA8BCCF" w14:textId="77777777" w:rsidTr="000465E8">
        <w:tc>
          <w:tcPr>
            <w:tcW w:w="4788" w:type="dxa"/>
          </w:tcPr>
          <w:p w14:paraId="3D3EA89A" w14:textId="77777777" w:rsidR="00EA2431" w:rsidRPr="005C46A2" w:rsidRDefault="00EA2431" w:rsidP="00495C74">
            <w:pPr>
              <w:keepNext/>
              <w:spacing w:line="240" w:lineRule="auto"/>
              <w:jc w:val="both"/>
              <w:rPr>
                <w:rFonts w:ascii="Arial" w:hAnsi="Arial"/>
                <w:sz w:val="22"/>
                <w:szCs w:val="22"/>
              </w:rPr>
            </w:pPr>
          </w:p>
        </w:tc>
        <w:tc>
          <w:tcPr>
            <w:tcW w:w="4788" w:type="dxa"/>
          </w:tcPr>
          <w:p w14:paraId="27D6EF58"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Unsure</w:t>
            </w:r>
          </w:p>
        </w:tc>
      </w:tr>
    </w:tbl>
    <w:p w14:paraId="13605A19" w14:textId="77777777" w:rsidR="00EA2431" w:rsidRPr="005C46A2" w:rsidRDefault="00EA2431" w:rsidP="00495C74">
      <w:pPr>
        <w:jc w:val="both"/>
        <w:rPr>
          <w:rFonts w:ascii="Arial" w:eastAsia="Times New Roman" w:hAnsi="Arial"/>
          <w:sz w:val="22"/>
          <w:szCs w:val="22"/>
          <w:lang w:val="en-US"/>
        </w:rPr>
      </w:pPr>
    </w:p>
    <w:tbl>
      <w:tblPr>
        <w:tblStyle w:val="QSliderLabelsTable"/>
        <w:tblW w:w="9576" w:type="auto"/>
        <w:tblInd w:w="0" w:type="dxa"/>
        <w:tblLook w:val="07E0" w:firstRow="1" w:lastRow="1" w:firstColumn="1" w:lastColumn="1" w:noHBand="1" w:noVBand="1"/>
      </w:tblPr>
      <w:tblGrid>
        <w:gridCol w:w="4464"/>
        <w:gridCol w:w="414"/>
        <w:gridCol w:w="414"/>
        <w:gridCol w:w="414"/>
        <w:gridCol w:w="414"/>
        <w:gridCol w:w="414"/>
        <w:gridCol w:w="414"/>
        <w:gridCol w:w="414"/>
        <w:gridCol w:w="414"/>
        <w:gridCol w:w="414"/>
        <w:gridCol w:w="414"/>
        <w:gridCol w:w="422"/>
      </w:tblGrid>
      <w:tr w:rsidR="00EA2431" w:rsidRPr="005C46A2" w14:paraId="534A47DA" w14:textId="77777777" w:rsidTr="000465E8">
        <w:tc>
          <w:tcPr>
            <w:tcW w:w="4788" w:type="dxa"/>
          </w:tcPr>
          <w:p w14:paraId="726D1F29" w14:textId="77777777" w:rsidR="00EA2431" w:rsidRPr="005C46A2" w:rsidRDefault="00EA2431" w:rsidP="00495C74">
            <w:pPr>
              <w:spacing w:line="240" w:lineRule="auto"/>
              <w:jc w:val="both"/>
              <w:rPr>
                <w:rFonts w:ascii="Arial" w:hAnsi="Arial"/>
                <w:sz w:val="22"/>
                <w:szCs w:val="22"/>
              </w:rPr>
            </w:pPr>
          </w:p>
        </w:tc>
        <w:tc>
          <w:tcPr>
            <w:tcW w:w="435" w:type="dxa"/>
          </w:tcPr>
          <w:p w14:paraId="5F515CEE"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0</w:t>
            </w:r>
          </w:p>
        </w:tc>
        <w:tc>
          <w:tcPr>
            <w:tcW w:w="435" w:type="dxa"/>
          </w:tcPr>
          <w:p w14:paraId="4F670C2C"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1</w:t>
            </w:r>
          </w:p>
        </w:tc>
        <w:tc>
          <w:tcPr>
            <w:tcW w:w="435" w:type="dxa"/>
          </w:tcPr>
          <w:p w14:paraId="3F4ADB89"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2</w:t>
            </w:r>
          </w:p>
        </w:tc>
        <w:tc>
          <w:tcPr>
            <w:tcW w:w="435" w:type="dxa"/>
          </w:tcPr>
          <w:p w14:paraId="35D4F1A9"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3</w:t>
            </w:r>
          </w:p>
        </w:tc>
        <w:tc>
          <w:tcPr>
            <w:tcW w:w="435" w:type="dxa"/>
          </w:tcPr>
          <w:p w14:paraId="4547A088"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4</w:t>
            </w:r>
          </w:p>
        </w:tc>
        <w:tc>
          <w:tcPr>
            <w:tcW w:w="435" w:type="dxa"/>
          </w:tcPr>
          <w:p w14:paraId="67E66DD3"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5</w:t>
            </w:r>
          </w:p>
        </w:tc>
        <w:tc>
          <w:tcPr>
            <w:tcW w:w="435" w:type="dxa"/>
          </w:tcPr>
          <w:p w14:paraId="0E10317D"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6</w:t>
            </w:r>
          </w:p>
        </w:tc>
        <w:tc>
          <w:tcPr>
            <w:tcW w:w="435" w:type="dxa"/>
          </w:tcPr>
          <w:p w14:paraId="1E47493A"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7</w:t>
            </w:r>
          </w:p>
        </w:tc>
        <w:tc>
          <w:tcPr>
            <w:tcW w:w="435" w:type="dxa"/>
          </w:tcPr>
          <w:p w14:paraId="2FD0EE1E"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8</w:t>
            </w:r>
          </w:p>
        </w:tc>
        <w:tc>
          <w:tcPr>
            <w:tcW w:w="435" w:type="dxa"/>
          </w:tcPr>
          <w:p w14:paraId="7D4BC9A4"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9</w:t>
            </w:r>
          </w:p>
        </w:tc>
        <w:tc>
          <w:tcPr>
            <w:tcW w:w="435" w:type="dxa"/>
          </w:tcPr>
          <w:p w14:paraId="5F838320"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10</w:t>
            </w:r>
          </w:p>
        </w:tc>
      </w:tr>
    </w:tbl>
    <w:p w14:paraId="63B35F3E" w14:textId="77777777" w:rsidR="00EA2431" w:rsidRPr="005C46A2" w:rsidRDefault="00EA2431" w:rsidP="00495C74">
      <w:pPr>
        <w:jc w:val="both"/>
        <w:rPr>
          <w:rFonts w:ascii="Arial" w:eastAsia="Times New Roman" w:hAnsi="Arial"/>
          <w:sz w:val="22"/>
          <w:szCs w:val="22"/>
          <w:lang w:val="en-US"/>
        </w:rPr>
      </w:pPr>
    </w:p>
    <w:tbl>
      <w:tblPr>
        <w:tblStyle w:val="QStandardSliderTable"/>
        <w:tblW w:w="9576" w:type="auto"/>
        <w:tblLook w:val="07E0" w:firstRow="1" w:lastRow="1" w:firstColumn="1" w:lastColumn="1" w:noHBand="1" w:noVBand="1"/>
      </w:tblPr>
      <w:tblGrid>
        <w:gridCol w:w="4391"/>
        <w:gridCol w:w="4635"/>
      </w:tblGrid>
      <w:tr w:rsidR="00EA2431" w:rsidRPr="005C46A2" w14:paraId="60236CF0" w14:textId="77777777" w:rsidTr="000465E8">
        <w:tc>
          <w:tcPr>
            <w:cnfStyle w:val="001000000000" w:firstRow="0" w:lastRow="0" w:firstColumn="1" w:lastColumn="0" w:oddVBand="0" w:evenVBand="0" w:oddHBand="0" w:evenHBand="0" w:firstRowFirstColumn="0" w:firstRowLastColumn="0" w:lastRowFirstColumn="0" w:lastRowLastColumn="0"/>
            <w:tcW w:w="4788" w:type="dxa"/>
          </w:tcPr>
          <w:p w14:paraId="7359C0AF" w14:textId="77777777" w:rsidR="00EA2431" w:rsidRPr="005C46A2" w:rsidRDefault="00EA2431" w:rsidP="00495C74">
            <w:pPr>
              <w:keepNext/>
              <w:spacing w:line="240" w:lineRule="auto"/>
              <w:jc w:val="both"/>
              <w:rPr>
                <w:rFonts w:ascii="Arial" w:hAnsi="Arial"/>
                <w:sz w:val="22"/>
                <w:szCs w:val="22"/>
              </w:rPr>
            </w:pPr>
            <w:r w:rsidRPr="005C46A2">
              <w:rPr>
                <w:rFonts w:ascii="Arial" w:hAnsi="Arial"/>
                <w:sz w:val="22"/>
                <w:szCs w:val="22"/>
              </w:rPr>
              <w:t>Move the slider along the scale ()</w:t>
            </w:r>
          </w:p>
        </w:tc>
        <w:tc>
          <w:tcPr>
            <w:tcW w:w="4788" w:type="dxa"/>
          </w:tcPr>
          <w:p w14:paraId="554200BE" w14:textId="77777777" w:rsidR="00EA2431" w:rsidRPr="005C46A2" w:rsidRDefault="00EA2431" w:rsidP="00495C74">
            <w:pPr>
              <w:keepNext/>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C46A2">
              <w:rPr>
                <w:rFonts w:ascii="Arial" w:hAnsi="Arial"/>
                <w:noProof/>
                <w:sz w:val="22"/>
                <w:szCs w:val="22"/>
              </w:rPr>
              <w:drawing>
                <wp:inline distT="0" distB="0" distL="0" distR="0" wp14:anchorId="63C687EB" wp14:editId="52592D11">
                  <wp:extent cx="1905000" cy="304800"/>
                  <wp:effectExtent l="0" t="0" r="0" b="0"/>
                  <wp:docPr id="18"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SliderHorizontal.png"/>
                          <pic:cNvPicPr/>
                        </pic:nvPicPr>
                        <pic:blipFill>
                          <a:blip r:embed="rId102"/>
                          <a:stretch>
                            <a:fillRect/>
                          </a:stretch>
                        </pic:blipFill>
                        <pic:spPr>
                          <a:xfrm>
                            <a:off x="0" y="0"/>
                            <a:ext cx="1905000" cy="304800"/>
                          </a:xfrm>
                          <a:prstGeom prst="rect">
                            <a:avLst/>
                          </a:prstGeom>
                        </pic:spPr>
                      </pic:pic>
                    </a:graphicData>
                  </a:graphic>
                </wp:inline>
              </w:drawing>
            </w:r>
          </w:p>
        </w:tc>
      </w:tr>
    </w:tbl>
    <w:p w14:paraId="4A170CF4" w14:textId="77777777" w:rsidR="00EA2431" w:rsidRPr="005C46A2" w:rsidRDefault="00EA2431" w:rsidP="00495C74">
      <w:pPr>
        <w:jc w:val="both"/>
        <w:rPr>
          <w:rFonts w:ascii="Arial" w:eastAsia="Times New Roman" w:hAnsi="Arial"/>
          <w:sz w:val="22"/>
          <w:szCs w:val="22"/>
          <w:lang w:val="en-US"/>
        </w:rPr>
      </w:pPr>
    </w:p>
    <w:p w14:paraId="7158B757" w14:textId="77777777" w:rsidR="00EA2431" w:rsidRPr="005C46A2" w:rsidRDefault="00EA2431" w:rsidP="00495C74">
      <w:pPr>
        <w:jc w:val="both"/>
        <w:rPr>
          <w:rFonts w:ascii="Arial" w:eastAsia="Times New Roman" w:hAnsi="Arial"/>
          <w:sz w:val="22"/>
          <w:szCs w:val="22"/>
          <w:lang w:val="en-US"/>
        </w:rPr>
      </w:pPr>
    </w:p>
    <w:p w14:paraId="737E887A" w14:textId="77777777" w:rsidR="00EA2431" w:rsidRPr="005C46A2" w:rsidRDefault="00EA2431" w:rsidP="00495C74">
      <w:pPr>
        <w:pBdr>
          <w:top w:val="dashed" w:sz="8" w:space="0" w:color="CCCCCC"/>
        </w:pBdr>
        <w:spacing w:before="120" w:after="120" w:line="120" w:lineRule="auto"/>
        <w:jc w:val="both"/>
        <w:rPr>
          <w:rFonts w:ascii="Arial" w:eastAsia="Times New Roman" w:hAnsi="Arial"/>
          <w:sz w:val="22"/>
          <w:szCs w:val="22"/>
          <w:lang w:val="en-US"/>
        </w:rPr>
      </w:pPr>
    </w:p>
    <w:p w14:paraId="5846A488" w14:textId="77777777" w:rsidR="00EA2431" w:rsidRPr="005C46A2" w:rsidRDefault="00EA2431" w:rsidP="00495C74">
      <w:pPr>
        <w:jc w:val="both"/>
        <w:rPr>
          <w:rFonts w:ascii="Arial" w:eastAsia="Times New Roman" w:hAnsi="Arial"/>
          <w:sz w:val="22"/>
          <w:szCs w:val="22"/>
          <w:lang w:val="en-US"/>
        </w:rPr>
      </w:pPr>
    </w:p>
    <w:p w14:paraId="2922EB1F" w14:textId="77777777" w:rsidR="00EA2431" w:rsidRPr="005C46A2" w:rsidRDefault="00EA2431" w:rsidP="00495C74">
      <w:pPr>
        <w:keepNext/>
        <w:jc w:val="both"/>
        <w:rPr>
          <w:rFonts w:ascii="Arial" w:eastAsia="Times New Roman" w:hAnsi="Arial"/>
          <w:sz w:val="22"/>
          <w:szCs w:val="22"/>
          <w:lang w:val="en-US"/>
        </w:rPr>
      </w:pPr>
      <w:r w:rsidRPr="005C46A2">
        <w:rPr>
          <w:rFonts w:ascii="Arial" w:eastAsia="Times New Roman" w:hAnsi="Arial"/>
          <w:sz w:val="22"/>
          <w:szCs w:val="22"/>
          <w:lang w:val="en-US"/>
        </w:rPr>
        <w:t xml:space="preserve">Q60 To what extent should services be oriented/designed to engage with FAOs and communities to develop gambling harm reduction techniques?   </w:t>
      </w:r>
      <w:r w:rsidRPr="005C46A2">
        <w:rPr>
          <w:rFonts w:ascii="Arial" w:eastAsia="Times New Roman" w:hAnsi="Arial"/>
          <w:i/>
          <w:sz w:val="22"/>
          <w:szCs w:val="22"/>
          <w:lang w:val="en-US"/>
        </w:rPr>
        <w:t>0 = Not at all designed / orientated in this way  - 10 = Completely designed / orientated in this way</w:t>
      </w:r>
    </w:p>
    <w:tbl>
      <w:tblPr>
        <w:tblStyle w:val="QSliderLabelsTable"/>
        <w:tblW w:w="9576" w:type="auto"/>
        <w:tblInd w:w="0" w:type="dxa"/>
        <w:tblLook w:val="07E0" w:firstRow="1" w:lastRow="1" w:firstColumn="1" w:lastColumn="1" w:noHBand="1" w:noVBand="1"/>
      </w:tblPr>
      <w:tblGrid>
        <w:gridCol w:w="4491"/>
        <w:gridCol w:w="4535"/>
      </w:tblGrid>
      <w:tr w:rsidR="00EA2431" w:rsidRPr="005C46A2" w14:paraId="65960B42" w14:textId="77777777" w:rsidTr="000465E8">
        <w:tc>
          <w:tcPr>
            <w:tcW w:w="4788" w:type="dxa"/>
          </w:tcPr>
          <w:p w14:paraId="3BA2C573" w14:textId="77777777" w:rsidR="00EA2431" w:rsidRPr="005C46A2" w:rsidRDefault="00EA2431" w:rsidP="00495C74">
            <w:pPr>
              <w:keepNext/>
              <w:spacing w:line="240" w:lineRule="auto"/>
              <w:jc w:val="both"/>
              <w:rPr>
                <w:rFonts w:ascii="Arial" w:hAnsi="Arial"/>
                <w:sz w:val="22"/>
                <w:szCs w:val="22"/>
              </w:rPr>
            </w:pPr>
          </w:p>
        </w:tc>
        <w:tc>
          <w:tcPr>
            <w:tcW w:w="4788" w:type="dxa"/>
          </w:tcPr>
          <w:p w14:paraId="6E7DA7AA"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Unsure</w:t>
            </w:r>
          </w:p>
        </w:tc>
      </w:tr>
    </w:tbl>
    <w:p w14:paraId="483ACF66" w14:textId="77777777" w:rsidR="00EA2431" w:rsidRPr="005C46A2" w:rsidRDefault="00EA2431" w:rsidP="00495C74">
      <w:pPr>
        <w:jc w:val="both"/>
        <w:rPr>
          <w:rFonts w:ascii="Arial" w:eastAsia="Times New Roman" w:hAnsi="Arial"/>
          <w:sz w:val="22"/>
          <w:szCs w:val="22"/>
          <w:lang w:val="en-US"/>
        </w:rPr>
      </w:pPr>
    </w:p>
    <w:tbl>
      <w:tblPr>
        <w:tblStyle w:val="QSliderLabelsTable"/>
        <w:tblW w:w="9576" w:type="auto"/>
        <w:tblInd w:w="0" w:type="dxa"/>
        <w:tblLook w:val="07E0" w:firstRow="1" w:lastRow="1" w:firstColumn="1" w:lastColumn="1" w:noHBand="1" w:noVBand="1"/>
      </w:tblPr>
      <w:tblGrid>
        <w:gridCol w:w="4464"/>
        <w:gridCol w:w="414"/>
        <w:gridCol w:w="414"/>
        <w:gridCol w:w="414"/>
        <w:gridCol w:w="414"/>
        <w:gridCol w:w="414"/>
        <w:gridCol w:w="414"/>
        <w:gridCol w:w="414"/>
        <w:gridCol w:w="414"/>
        <w:gridCol w:w="414"/>
        <w:gridCol w:w="414"/>
        <w:gridCol w:w="422"/>
      </w:tblGrid>
      <w:tr w:rsidR="00EA2431" w:rsidRPr="005C46A2" w14:paraId="3022EC9F" w14:textId="77777777" w:rsidTr="000465E8">
        <w:tc>
          <w:tcPr>
            <w:tcW w:w="4788" w:type="dxa"/>
          </w:tcPr>
          <w:p w14:paraId="13334F87" w14:textId="77777777" w:rsidR="00EA2431" w:rsidRPr="005C46A2" w:rsidRDefault="00EA2431" w:rsidP="00495C74">
            <w:pPr>
              <w:spacing w:line="240" w:lineRule="auto"/>
              <w:jc w:val="both"/>
              <w:rPr>
                <w:rFonts w:ascii="Arial" w:hAnsi="Arial"/>
                <w:sz w:val="22"/>
                <w:szCs w:val="22"/>
              </w:rPr>
            </w:pPr>
          </w:p>
        </w:tc>
        <w:tc>
          <w:tcPr>
            <w:tcW w:w="435" w:type="dxa"/>
          </w:tcPr>
          <w:p w14:paraId="327EAEDB"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0</w:t>
            </w:r>
          </w:p>
        </w:tc>
        <w:tc>
          <w:tcPr>
            <w:tcW w:w="435" w:type="dxa"/>
          </w:tcPr>
          <w:p w14:paraId="4106E5F8"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1</w:t>
            </w:r>
          </w:p>
        </w:tc>
        <w:tc>
          <w:tcPr>
            <w:tcW w:w="435" w:type="dxa"/>
          </w:tcPr>
          <w:p w14:paraId="40B12FD7"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2</w:t>
            </w:r>
          </w:p>
        </w:tc>
        <w:tc>
          <w:tcPr>
            <w:tcW w:w="435" w:type="dxa"/>
          </w:tcPr>
          <w:p w14:paraId="68850F4A"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3</w:t>
            </w:r>
          </w:p>
        </w:tc>
        <w:tc>
          <w:tcPr>
            <w:tcW w:w="435" w:type="dxa"/>
          </w:tcPr>
          <w:p w14:paraId="53A86EF6"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4</w:t>
            </w:r>
          </w:p>
        </w:tc>
        <w:tc>
          <w:tcPr>
            <w:tcW w:w="435" w:type="dxa"/>
          </w:tcPr>
          <w:p w14:paraId="7FB5AE7A"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5</w:t>
            </w:r>
          </w:p>
        </w:tc>
        <w:tc>
          <w:tcPr>
            <w:tcW w:w="435" w:type="dxa"/>
          </w:tcPr>
          <w:p w14:paraId="77F379B9"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6</w:t>
            </w:r>
          </w:p>
        </w:tc>
        <w:tc>
          <w:tcPr>
            <w:tcW w:w="435" w:type="dxa"/>
          </w:tcPr>
          <w:p w14:paraId="5291B4B4"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7</w:t>
            </w:r>
          </w:p>
        </w:tc>
        <w:tc>
          <w:tcPr>
            <w:tcW w:w="435" w:type="dxa"/>
          </w:tcPr>
          <w:p w14:paraId="3ACE3907"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8</w:t>
            </w:r>
          </w:p>
        </w:tc>
        <w:tc>
          <w:tcPr>
            <w:tcW w:w="435" w:type="dxa"/>
          </w:tcPr>
          <w:p w14:paraId="146EA101"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9</w:t>
            </w:r>
          </w:p>
        </w:tc>
        <w:tc>
          <w:tcPr>
            <w:tcW w:w="435" w:type="dxa"/>
          </w:tcPr>
          <w:p w14:paraId="73236692"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10</w:t>
            </w:r>
          </w:p>
        </w:tc>
      </w:tr>
    </w:tbl>
    <w:p w14:paraId="46DC53B9" w14:textId="77777777" w:rsidR="00EA2431" w:rsidRPr="005C46A2" w:rsidRDefault="00EA2431" w:rsidP="00495C74">
      <w:pPr>
        <w:jc w:val="both"/>
        <w:rPr>
          <w:rFonts w:ascii="Arial" w:eastAsia="Times New Roman" w:hAnsi="Arial"/>
          <w:sz w:val="22"/>
          <w:szCs w:val="22"/>
          <w:lang w:val="en-US"/>
        </w:rPr>
      </w:pPr>
    </w:p>
    <w:tbl>
      <w:tblPr>
        <w:tblStyle w:val="QStandardSliderTable"/>
        <w:tblW w:w="9576" w:type="auto"/>
        <w:tblLook w:val="07E0" w:firstRow="1" w:lastRow="1" w:firstColumn="1" w:lastColumn="1" w:noHBand="1" w:noVBand="1"/>
      </w:tblPr>
      <w:tblGrid>
        <w:gridCol w:w="4391"/>
        <w:gridCol w:w="4635"/>
      </w:tblGrid>
      <w:tr w:rsidR="00EA2431" w:rsidRPr="005C46A2" w14:paraId="69DE2066" w14:textId="77777777" w:rsidTr="000465E8">
        <w:tc>
          <w:tcPr>
            <w:cnfStyle w:val="001000000000" w:firstRow="0" w:lastRow="0" w:firstColumn="1" w:lastColumn="0" w:oddVBand="0" w:evenVBand="0" w:oddHBand="0" w:evenHBand="0" w:firstRowFirstColumn="0" w:firstRowLastColumn="0" w:lastRowFirstColumn="0" w:lastRowLastColumn="0"/>
            <w:tcW w:w="4788" w:type="dxa"/>
          </w:tcPr>
          <w:p w14:paraId="0D84B062" w14:textId="77777777" w:rsidR="00EA2431" w:rsidRPr="005C46A2" w:rsidRDefault="00EA2431" w:rsidP="00495C74">
            <w:pPr>
              <w:keepNext/>
              <w:spacing w:line="240" w:lineRule="auto"/>
              <w:jc w:val="both"/>
              <w:rPr>
                <w:rFonts w:ascii="Arial" w:hAnsi="Arial"/>
                <w:sz w:val="22"/>
                <w:szCs w:val="22"/>
              </w:rPr>
            </w:pPr>
            <w:r w:rsidRPr="005C46A2">
              <w:rPr>
                <w:rFonts w:ascii="Arial" w:hAnsi="Arial"/>
                <w:sz w:val="22"/>
                <w:szCs w:val="22"/>
              </w:rPr>
              <w:t>Move the slider along the scale ()</w:t>
            </w:r>
          </w:p>
        </w:tc>
        <w:tc>
          <w:tcPr>
            <w:tcW w:w="4788" w:type="dxa"/>
          </w:tcPr>
          <w:p w14:paraId="366F60B7" w14:textId="77777777" w:rsidR="00EA2431" w:rsidRPr="005C46A2" w:rsidRDefault="00EA2431" w:rsidP="00495C74">
            <w:pPr>
              <w:keepNext/>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C46A2">
              <w:rPr>
                <w:rFonts w:ascii="Arial" w:hAnsi="Arial"/>
                <w:noProof/>
                <w:sz w:val="22"/>
                <w:szCs w:val="22"/>
              </w:rPr>
              <w:drawing>
                <wp:inline distT="0" distB="0" distL="0" distR="0" wp14:anchorId="4222D831" wp14:editId="4DCCA2AC">
                  <wp:extent cx="1905000" cy="304800"/>
                  <wp:effectExtent l="0" t="0" r="0" b="0"/>
                  <wp:docPr id="19"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SliderHorizontal.png"/>
                          <pic:cNvPicPr/>
                        </pic:nvPicPr>
                        <pic:blipFill>
                          <a:blip r:embed="rId102"/>
                          <a:stretch>
                            <a:fillRect/>
                          </a:stretch>
                        </pic:blipFill>
                        <pic:spPr>
                          <a:xfrm>
                            <a:off x="0" y="0"/>
                            <a:ext cx="1905000" cy="304800"/>
                          </a:xfrm>
                          <a:prstGeom prst="rect">
                            <a:avLst/>
                          </a:prstGeom>
                        </pic:spPr>
                      </pic:pic>
                    </a:graphicData>
                  </a:graphic>
                </wp:inline>
              </w:drawing>
            </w:r>
          </w:p>
        </w:tc>
      </w:tr>
    </w:tbl>
    <w:p w14:paraId="098DD3AE" w14:textId="77777777" w:rsidR="00EA2431" w:rsidRPr="005C46A2" w:rsidRDefault="00EA2431" w:rsidP="00495C74">
      <w:pPr>
        <w:jc w:val="both"/>
        <w:rPr>
          <w:rFonts w:ascii="Arial" w:eastAsia="Times New Roman" w:hAnsi="Arial"/>
          <w:sz w:val="22"/>
          <w:szCs w:val="22"/>
          <w:lang w:val="en-US"/>
        </w:rPr>
      </w:pPr>
    </w:p>
    <w:p w14:paraId="20FE7FE5" w14:textId="77777777" w:rsidR="00EA2431" w:rsidRPr="005C46A2" w:rsidRDefault="00EA2431" w:rsidP="00495C74">
      <w:pPr>
        <w:jc w:val="both"/>
        <w:rPr>
          <w:rFonts w:ascii="Arial" w:eastAsia="Times New Roman" w:hAnsi="Arial"/>
          <w:sz w:val="22"/>
          <w:szCs w:val="22"/>
          <w:lang w:val="en-US"/>
        </w:rPr>
      </w:pPr>
    </w:p>
    <w:p w14:paraId="5E7D4B2E" w14:textId="77777777" w:rsidR="00EA2431" w:rsidRPr="005C46A2" w:rsidRDefault="00EA2431" w:rsidP="00495C74">
      <w:pPr>
        <w:pBdr>
          <w:top w:val="dashed" w:sz="8" w:space="0" w:color="CCCCCC"/>
        </w:pBdr>
        <w:spacing w:before="120" w:after="120" w:line="120" w:lineRule="auto"/>
        <w:jc w:val="both"/>
        <w:rPr>
          <w:rFonts w:ascii="Arial" w:eastAsia="Times New Roman" w:hAnsi="Arial"/>
          <w:sz w:val="22"/>
          <w:szCs w:val="22"/>
          <w:lang w:val="en-US"/>
        </w:rPr>
      </w:pPr>
    </w:p>
    <w:p w14:paraId="07BA1F7F" w14:textId="77777777" w:rsidR="00EA2431" w:rsidRPr="005C46A2" w:rsidRDefault="00EA2431" w:rsidP="00495C74">
      <w:pPr>
        <w:jc w:val="both"/>
        <w:rPr>
          <w:rFonts w:ascii="Arial" w:eastAsia="Times New Roman" w:hAnsi="Arial"/>
          <w:sz w:val="22"/>
          <w:szCs w:val="22"/>
          <w:lang w:val="en-US"/>
        </w:rPr>
      </w:pPr>
    </w:p>
    <w:p w14:paraId="0A570150" w14:textId="77777777" w:rsidR="00EA2431" w:rsidRPr="005C46A2" w:rsidRDefault="00EA2431" w:rsidP="00495C74">
      <w:pPr>
        <w:keepNext/>
        <w:jc w:val="both"/>
        <w:rPr>
          <w:rFonts w:ascii="Arial" w:eastAsia="Times New Roman" w:hAnsi="Arial"/>
          <w:sz w:val="22"/>
          <w:szCs w:val="22"/>
          <w:lang w:val="en-US"/>
        </w:rPr>
      </w:pPr>
      <w:r w:rsidRPr="005C46A2">
        <w:rPr>
          <w:rFonts w:ascii="Arial" w:eastAsia="Times New Roman" w:hAnsi="Arial"/>
          <w:sz w:val="22"/>
          <w:szCs w:val="22"/>
          <w:lang w:val="en-US"/>
        </w:rPr>
        <w:lastRenderedPageBreak/>
        <w:t xml:space="preserve">Q22 To what extent should services be oriented/designed to engage with the ways in which harm/recovery is produced in the families/communities they serve?   </w:t>
      </w:r>
      <w:r w:rsidRPr="005C46A2">
        <w:rPr>
          <w:rFonts w:ascii="Arial" w:eastAsia="Times New Roman" w:hAnsi="Arial"/>
          <w:i/>
          <w:sz w:val="22"/>
          <w:szCs w:val="22"/>
          <w:lang w:val="en-US"/>
        </w:rPr>
        <w:t>0 = Not at all designed / orientated in this way  - 10 = Completely designed / orientated in this way</w:t>
      </w:r>
    </w:p>
    <w:tbl>
      <w:tblPr>
        <w:tblStyle w:val="QSliderLabelsTable"/>
        <w:tblW w:w="9576" w:type="auto"/>
        <w:tblInd w:w="0" w:type="dxa"/>
        <w:tblLook w:val="07E0" w:firstRow="1" w:lastRow="1" w:firstColumn="1" w:lastColumn="1" w:noHBand="1" w:noVBand="1"/>
      </w:tblPr>
      <w:tblGrid>
        <w:gridCol w:w="4491"/>
        <w:gridCol w:w="4535"/>
      </w:tblGrid>
      <w:tr w:rsidR="00EA2431" w:rsidRPr="005C46A2" w14:paraId="2EED23F8" w14:textId="77777777" w:rsidTr="000465E8">
        <w:tc>
          <w:tcPr>
            <w:tcW w:w="4788" w:type="dxa"/>
          </w:tcPr>
          <w:p w14:paraId="46DA1A0D" w14:textId="77777777" w:rsidR="00EA2431" w:rsidRPr="005C46A2" w:rsidRDefault="00EA2431" w:rsidP="00495C74">
            <w:pPr>
              <w:keepNext/>
              <w:spacing w:line="240" w:lineRule="auto"/>
              <w:jc w:val="both"/>
              <w:rPr>
                <w:rFonts w:ascii="Arial" w:hAnsi="Arial"/>
                <w:sz w:val="22"/>
                <w:szCs w:val="22"/>
              </w:rPr>
            </w:pPr>
          </w:p>
        </w:tc>
        <w:tc>
          <w:tcPr>
            <w:tcW w:w="4788" w:type="dxa"/>
          </w:tcPr>
          <w:p w14:paraId="38264335"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Unsure</w:t>
            </w:r>
          </w:p>
        </w:tc>
      </w:tr>
    </w:tbl>
    <w:p w14:paraId="5A89A128" w14:textId="77777777" w:rsidR="00EA2431" w:rsidRPr="005C46A2" w:rsidRDefault="00EA2431" w:rsidP="00495C74">
      <w:pPr>
        <w:jc w:val="both"/>
        <w:rPr>
          <w:rFonts w:ascii="Arial" w:eastAsia="Times New Roman" w:hAnsi="Arial"/>
          <w:sz w:val="22"/>
          <w:szCs w:val="22"/>
          <w:lang w:val="en-US"/>
        </w:rPr>
      </w:pPr>
    </w:p>
    <w:tbl>
      <w:tblPr>
        <w:tblStyle w:val="QSliderLabelsTable"/>
        <w:tblW w:w="9576" w:type="auto"/>
        <w:tblInd w:w="0" w:type="dxa"/>
        <w:tblLook w:val="07E0" w:firstRow="1" w:lastRow="1" w:firstColumn="1" w:lastColumn="1" w:noHBand="1" w:noVBand="1"/>
      </w:tblPr>
      <w:tblGrid>
        <w:gridCol w:w="4464"/>
        <w:gridCol w:w="414"/>
        <w:gridCol w:w="414"/>
        <w:gridCol w:w="414"/>
        <w:gridCol w:w="414"/>
        <w:gridCol w:w="414"/>
        <w:gridCol w:w="414"/>
        <w:gridCol w:w="414"/>
        <w:gridCol w:w="414"/>
        <w:gridCol w:w="414"/>
        <w:gridCol w:w="414"/>
        <w:gridCol w:w="422"/>
      </w:tblGrid>
      <w:tr w:rsidR="00EA2431" w:rsidRPr="005C46A2" w14:paraId="32186D26" w14:textId="77777777" w:rsidTr="000465E8">
        <w:tc>
          <w:tcPr>
            <w:tcW w:w="4788" w:type="dxa"/>
          </w:tcPr>
          <w:p w14:paraId="6CF860FB" w14:textId="77777777" w:rsidR="00EA2431" w:rsidRPr="005C46A2" w:rsidRDefault="00EA2431" w:rsidP="00495C74">
            <w:pPr>
              <w:spacing w:line="240" w:lineRule="auto"/>
              <w:jc w:val="both"/>
              <w:rPr>
                <w:rFonts w:ascii="Arial" w:hAnsi="Arial"/>
                <w:sz w:val="22"/>
                <w:szCs w:val="22"/>
              </w:rPr>
            </w:pPr>
          </w:p>
        </w:tc>
        <w:tc>
          <w:tcPr>
            <w:tcW w:w="435" w:type="dxa"/>
          </w:tcPr>
          <w:p w14:paraId="0FAD7B24"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0</w:t>
            </w:r>
          </w:p>
        </w:tc>
        <w:tc>
          <w:tcPr>
            <w:tcW w:w="435" w:type="dxa"/>
          </w:tcPr>
          <w:p w14:paraId="0D59D498"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1</w:t>
            </w:r>
          </w:p>
        </w:tc>
        <w:tc>
          <w:tcPr>
            <w:tcW w:w="435" w:type="dxa"/>
          </w:tcPr>
          <w:p w14:paraId="4A3D8DC1"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2</w:t>
            </w:r>
          </w:p>
        </w:tc>
        <w:tc>
          <w:tcPr>
            <w:tcW w:w="435" w:type="dxa"/>
          </w:tcPr>
          <w:p w14:paraId="36740A58"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3</w:t>
            </w:r>
          </w:p>
        </w:tc>
        <w:tc>
          <w:tcPr>
            <w:tcW w:w="435" w:type="dxa"/>
          </w:tcPr>
          <w:p w14:paraId="1CBD94A8"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4</w:t>
            </w:r>
          </w:p>
        </w:tc>
        <w:tc>
          <w:tcPr>
            <w:tcW w:w="435" w:type="dxa"/>
          </w:tcPr>
          <w:p w14:paraId="2FFCBDD6"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5</w:t>
            </w:r>
          </w:p>
        </w:tc>
        <w:tc>
          <w:tcPr>
            <w:tcW w:w="435" w:type="dxa"/>
          </w:tcPr>
          <w:p w14:paraId="0E0B7531"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6</w:t>
            </w:r>
          </w:p>
        </w:tc>
        <w:tc>
          <w:tcPr>
            <w:tcW w:w="435" w:type="dxa"/>
          </w:tcPr>
          <w:p w14:paraId="689B7FFC"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7</w:t>
            </w:r>
          </w:p>
        </w:tc>
        <w:tc>
          <w:tcPr>
            <w:tcW w:w="435" w:type="dxa"/>
          </w:tcPr>
          <w:p w14:paraId="3089E6AD"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8</w:t>
            </w:r>
          </w:p>
        </w:tc>
        <w:tc>
          <w:tcPr>
            <w:tcW w:w="435" w:type="dxa"/>
          </w:tcPr>
          <w:p w14:paraId="3563458D"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9</w:t>
            </w:r>
          </w:p>
        </w:tc>
        <w:tc>
          <w:tcPr>
            <w:tcW w:w="435" w:type="dxa"/>
          </w:tcPr>
          <w:p w14:paraId="3C700FBC" w14:textId="77777777" w:rsidR="00EA2431" w:rsidRPr="005C46A2" w:rsidRDefault="00EA2431" w:rsidP="00495C74">
            <w:pPr>
              <w:spacing w:line="240" w:lineRule="auto"/>
              <w:jc w:val="both"/>
              <w:rPr>
                <w:rFonts w:ascii="Arial" w:hAnsi="Arial"/>
                <w:sz w:val="22"/>
                <w:szCs w:val="22"/>
              </w:rPr>
            </w:pPr>
            <w:r w:rsidRPr="005C46A2">
              <w:rPr>
                <w:rFonts w:ascii="Arial" w:hAnsi="Arial"/>
                <w:sz w:val="22"/>
                <w:szCs w:val="22"/>
              </w:rPr>
              <w:t>10</w:t>
            </w:r>
          </w:p>
        </w:tc>
      </w:tr>
    </w:tbl>
    <w:p w14:paraId="6E201A14" w14:textId="77777777" w:rsidR="00EA2431" w:rsidRPr="005C46A2" w:rsidRDefault="00EA2431" w:rsidP="00495C74">
      <w:pPr>
        <w:jc w:val="both"/>
        <w:rPr>
          <w:rFonts w:ascii="Arial" w:eastAsia="Times New Roman" w:hAnsi="Arial"/>
          <w:sz w:val="22"/>
          <w:szCs w:val="22"/>
          <w:lang w:val="en-US"/>
        </w:rPr>
      </w:pPr>
    </w:p>
    <w:tbl>
      <w:tblPr>
        <w:tblStyle w:val="QStandardSliderTable"/>
        <w:tblW w:w="9576" w:type="auto"/>
        <w:tblLook w:val="07E0" w:firstRow="1" w:lastRow="1" w:firstColumn="1" w:lastColumn="1" w:noHBand="1" w:noVBand="1"/>
      </w:tblPr>
      <w:tblGrid>
        <w:gridCol w:w="4391"/>
        <w:gridCol w:w="4635"/>
      </w:tblGrid>
      <w:tr w:rsidR="00EA2431" w:rsidRPr="005C46A2" w14:paraId="38688E1B" w14:textId="77777777" w:rsidTr="000465E8">
        <w:tc>
          <w:tcPr>
            <w:cnfStyle w:val="001000000000" w:firstRow="0" w:lastRow="0" w:firstColumn="1" w:lastColumn="0" w:oddVBand="0" w:evenVBand="0" w:oddHBand="0" w:evenHBand="0" w:firstRowFirstColumn="0" w:firstRowLastColumn="0" w:lastRowFirstColumn="0" w:lastRowLastColumn="0"/>
            <w:tcW w:w="4788" w:type="dxa"/>
          </w:tcPr>
          <w:p w14:paraId="609551D9" w14:textId="77777777" w:rsidR="00EA2431" w:rsidRPr="005C46A2" w:rsidRDefault="00EA2431" w:rsidP="00495C74">
            <w:pPr>
              <w:keepNext/>
              <w:spacing w:line="240" w:lineRule="auto"/>
              <w:jc w:val="both"/>
              <w:rPr>
                <w:rFonts w:ascii="Arial" w:hAnsi="Arial"/>
                <w:sz w:val="22"/>
                <w:szCs w:val="22"/>
              </w:rPr>
            </w:pPr>
            <w:r w:rsidRPr="005C46A2">
              <w:rPr>
                <w:rFonts w:ascii="Arial" w:hAnsi="Arial"/>
                <w:sz w:val="22"/>
                <w:szCs w:val="22"/>
              </w:rPr>
              <w:t>Move the slider along the scale ()</w:t>
            </w:r>
          </w:p>
        </w:tc>
        <w:tc>
          <w:tcPr>
            <w:tcW w:w="4788" w:type="dxa"/>
          </w:tcPr>
          <w:p w14:paraId="5B71D0EA" w14:textId="77777777" w:rsidR="00EA2431" w:rsidRPr="005C46A2" w:rsidRDefault="00EA2431" w:rsidP="00495C74">
            <w:pPr>
              <w:keepNext/>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5C46A2">
              <w:rPr>
                <w:rFonts w:ascii="Arial" w:hAnsi="Arial"/>
                <w:noProof/>
                <w:sz w:val="22"/>
                <w:szCs w:val="22"/>
              </w:rPr>
              <w:drawing>
                <wp:inline distT="0" distB="0" distL="0" distR="0" wp14:anchorId="3E897647" wp14:editId="3A8B5ACF">
                  <wp:extent cx="1905000" cy="304800"/>
                  <wp:effectExtent l="0" t="0" r="0" b="0"/>
                  <wp:docPr id="20"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SliderHorizontal.png"/>
                          <pic:cNvPicPr/>
                        </pic:nvPicPr>
                        <pic:blipFill>
                          <a:blip r:embed="rId102"/>
                          <a:stretch>
                            <a:fillRect/>
                          </a:stretch>
                        </pic:blipFill>
                        <pic:spPr>
                          <a:xfrm>
                            <a:off x="0" y="0"/>
                            <a:ext cx="1905000" cy="304800"/>
                          </a:xfrm>
                          <a:prstGeom prst="rect">
                            <a:avLst/>
                          </a:prstGeom>
                        </pic:spPr>
                      </pic:pic>
                    </a:graphicData>
                  </a:graphic>
                </wp:inline>
              </w:drawing>
            </w:r>
          </w:p>
        </w:tc>
      </w:tr>
    </w:tbl>
    <w:p w14:paraId="1E206745" w14:textId="77777777" w:rsidR="00EA2431" w:rsidRPr="005C46A2" w:rsidRDefault="00EA2431" w:rsidP="00495C74">
      <w:pPr>
        <w:jc w:val="both"/>
        <w:rPr>
          <w:rFonts w:ascii="Arial" w:eastAsia="Times New Roman" w:hAnsi="Arial"/>
          <w:sz w:val="22"/>
          <w:szCs w:val="22"/>
          <w:lang w:val="en-US"/>
        </w:rPr>
      </w:pPr>
    </w:p>
    <w:p w14:paraId="5C268427" w14:textId="77777777" w:rsidR="00EA2431" w:rsidRPr="005C46A2" w:rsidRDefault="00EA2431" w:rsidP="00495C74">
      <w:pPr>
        <w:jc w:val="both"/>
        <w:rPr>
          <w:rFonts w:ascii="Arial" w:eastAsia="Times New Roman" w:hAnsi="Arial"/>
          <w:sz w:val="22"/>
          <w:szCs w:val="22"/>
          <w:lang w:val="en-US"/>
        </w:rPr>
      </w:pPr>
    </w:p>
    <w:p w14:paraId="60693F35" w14:textId="77777777" w:rsidR="00EA2431" w:rsidRPr="005C46A2" w:rsidRDefault="00EA2431" w:rsidP="00495C74">
      <w:pPr>
        <w:jc w:val="both"/>
        <w:rPr>
          <w:rFonts w:ascii="Arial" w:eastAsia="Times New Roman" w:hAnsi="Arial"/>
          <w:sz w:val="22"/>
          <w:szCs w:val="22"/>
          <w:lang w:val="en-US"/>
        </w:rPr>
      </w:pPr>
    </w:p>
    <w:p w14:paraId="40AAB151" w14:textId="77777777" w:rsidR="00EA2431" w:rsidRPr="005C46A2" w:rsidRDefault="00EA2431" w:rsidP="00495C74">
      <w:pPr>
        <w:keepNext/>
        <w:jc w:val="both"/>
        <w:rPr>
          <w:rFonts w:ascii="Arial" w:eastAsia="Times New Roman" w:hAnsi="Arial"/>
          <w:sz w:val="22"/>
          <w:szCs w:val="22"/>
          <w:lang w:val="en-US"/>
        </w:rPr>
      </w:pPr>
      <w:r w:rsidRPr="005C46A2">
        <w:rPr>
          <w:rFonts w:ascii="Arial" w:eastAsia="Times New Roman" w:hAnsi="Arial"/>
          <w:sz w:val="22"/>
          <w:szCs w:val="22"/>
          <w:lang w:val="en-US"/>
        </w:rPr>
        <w:t xml:space="preserve">Q21 </w:t>
      </w:r>
      <w:r w:rsidRPr="005C46A2">
        <w:rPr>
          <w:rFonts w:ascii="Arial" w:eastAsia="Times New Roman" w:hAnsi="Arial"/>
          <w:sz w:val="22"/>
          <w:szCs w:val="22"/>
          <w:lang w:val="en-US"/>
        </w:rPr>
        <w:br/>
      </w:r>
      <w:r w:rsidRPr="005C46A2">
        <w:rPr>
          <w:rFonts w:ascii="Arial" w:eastAsia="Times New Roman" w:hAnsi="Arial"/>
          <w:b/>
          <w:sz w:val="22"/>
          <w:szCs w:val="22"/>
          <w:lang w:val="en-US"/>
        </w:rPr>
        <w:t>Client-centredness and cultural awareness</w:t>
      </w:r>
      <w:r w:rsidRPr="005C46A2">
        <w:rPr>
          <w:rFonts w:ascii="Arial" w:eastAsia="Times New Roman" w:hAnsi="Arial"/>
          <w:sz w:val="22"/>
          <w:szCs w:val="22"/>
          <w:lang w:val="en-US"/>
        </w:rPr>
        <w:t xml:space="preserve"> The panel converged on the need for FAO support services and practices to be both client/family-centered and culturally aware.  </w:t>
      </w:r>
    </w:p>
    <w:p w14:paraId="6F613AD4" w14:textId="77777777" w:rsidR="00EA2431" w:rsidRPr="005C46A2" w:rsidRDefault="00EA2431" w:rsidP="00495C74">
      <w:pPr>
        <w:jc w:val="both"/>
        <w:rPr>
          <w:rFonts w:ascii="Arial" w:eastAsia="Times New Roman" w:hAnsi="Arial"/>
          <w:sz w:val="22"/>
          <w:szCs w:val="22"/>
          <w:lang w:val="en-US"/>
        </w:rPr>
      </w:pPr>
    </w:p>
    <w:p w14:paraId="001ABF05" w14:textId="77777777" w:rsidR="00EA2431" w:rsidRPr="005C46A2" w:rsidRDefault="00EA2431" w:rsidP="00495C74">
      <w:pPr>
        <w:pBdr>
          <w:top w:val="dashed" w:sz="8" w:space="0" w:color="CCCCCC"/>
        </w:pBdr>
        <w:spacing w:before="120" w:after="120" w:line="120" w:lineRule="auto"/>
        <w:jc w:val="both"/>
        <w:rPr>
          <w:rFonts w:ascii="Arial" w:eastAsia="Times New Roman" w:hAnsi="Arial"/>
          <w:sz w:val="22"/>
          <w:szCs w:val="22"/>
          <w:lang w:val="en-US"/>
        </w:rPr>
      </w:pPr>
    </w:p>
    <w:p w14:paraId="1D1EDACA" w14:textId="77777777" w:rsidR="00EA2431" w:rsidRPr="005C46A2" w:rsidRDefault="00EA2431" w:rsidP="00495C74">
      <w:pPr>
        <w:jc w:val="both"/>
        <w:rPr>
          <w:rFonts w:ascii="Arial" w:eastAsia="Times New Roman" w:hAnsi="Arial"/>
          <w:sz w:val="22"/>
          <w:szCs w:val="22"/>
          <w:lang w:val="en-US"/>
        </w:rPr>
      </w:pPr>
    </w:p>
    <w:p w14:paraId="43BC4529" w14:textId="77777777" w:rsidR="00EA2431" w:rsidRPr="005C46A2" w:rsidRDefault="00EA2431" w:rsidP="00495C74">
      <w:pPr>
        <w:keepNext/>
        <w:jc w:val="both"/>
        <w:rPr>
          <w:rFonts w:ascii="Arial" w:eastAsia="Times New Roman" w:hAnsi="Arial"/>
          <w:sz w:val="22"/>
          <w:szCs w:val="22"/>
          <w:lang w:val="en-US"/>
        </w:rPr>
      </w:pPr>
      <w:r w:rsidRPr="005C46A2">
        <w:rPr>
          <w:rFonts w:ascii="Arial" w:eastAsia="Times New Roman" w:hAnsi="Arial"/>
          <w:sz w:val="22"/>
          <w:szCs w:val="22"/>
          <w:lang w:val="en-US"/>
        </w:rPr>
        <w:t>Q22 What would a high level of client-centredness look like in gambling service design and practice for FAOs?</w:t>
      </w:r>
    </w:p>
    <w:p w14:paraId="28B60C97"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6B0DB666"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081B5414"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1B7541D5"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7C6B558D"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3CBE05DF" w14:textId="77777777" w:rsidR="00EA2431" w:rsidRPr="005C46A2" w:rsidRDefault="00EA2431" w:rsidP="00495C74">
      <w:pPr>
        <w:jc w:val="both"/>
        <w:rPr>
          <w:rFonts w:ascii="Arial" w:eastAsia="Times New Roman" w:hAnsi="Arial"/>
          <w:sz w:val="22"/>
          <w:szCs w:val="22"/>
          <w:lang w:val="en-US"/>
        </w:rPr>
      </w:pPr>
    </w:p>
    <w:p w14:paraId="60F41B65" w14:textId="77777777" w:rsidR="00EA2431" w:rsidRPr="005C46A2" w:rsidRDefault="00EA2431" w:rsidP="00495C74">
      <w:pPr>
        <w:pBdr>
          <w:top w:val="dashed" w:sz="8" w:space="0" w:color="CCCCCC"/>
        </w:pBdr>
        <w:spacing w:before="120" w:after="120" w:line="120" w:lineRule="auto"/>
        <w:jc w:val="both"/>
        <w:rPr>
          <w:rFonts w:ascii="Arial" w:eastAsia="Times New Roman" w:hAnsi="Arial"/>
          <w:sz w:val="22"/>
          <w:szCs w:val="22"/>
          <w:lang w:val="en-US"/>
        </w:rPr>
      </w:pPr>
    </w:p>
    <w:p w14:paraId="0FCBD44D" w14:textId="77777777" w:rsidR="00EA2431" w:rsidRPr="005C46A2" w:rsidRDefault="00EA2431" w:rsidP="00495C74">
      <w:pPr>
        <w:jc w:val="both"/>
        <w:rPr>
          <w:rFonts w:ascii="Arial" w:eastAsia="Times New Roman" w:hAnsi="Arial"/>
          <w:sz w:val="22"/>
          <w:szCs w:val="22"/>
          <w:lang w:val="en-US"/>
        </w:rPr>
      </w:pPr>
    </w:p>
    <w:p w14:paraId="199C42F3" w14:textId="77777777" w:rsidR="00EA2431" w:rsidRPr="005C46A2" w:rsidRDefault="00EA2431" w:rsidP="00495C74">
      <w:pPr>
        <w:keepNext/>
        <w:jc w:val="both"/>
        <w:rPr>
          <w:rFonts w:ascii="Arial" w:eastAsia="Times New Roman" w:hAnsi="Arial"/>
          <w:sz w:val="22"/>
          <w:szCs w:val="22"/>
          <w:lang w:val="en-US"/>
        </w:rPr>
      </w:pPr>
      <w:r w:rsidRPr="005C46A2">
        <w:rPr>
          <w:rFonts w:ascii="Arial" w:eastAsia="Times New Roman" w:hAnsi="Arial"/>
          <w:sz w:val="22"/>
          <w:szCs w:val="22"/>
          <w:lang w:val="en-US"/>
        </w:rPr>
        <w:t>Q23 What would a high level of cultural awareness look like in gambling service design and practice for FAOs?</w:t>
      </w:r>
    </w:p>
    <w:p w14:paraId="1AC127DE"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7F231CFA"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011B9EE8"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1BABD5F8"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2A3C3A9A"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63A0EB11" w14:textId="77777777" w:rsidR="00EA2431" w:rsidRPr="005C46A2" w:rsidRDefault="00EA2431" w:rsidP="00495C74">
      <w:pPr>
        <w:jc w:val="both"/>
        <w:rPr>
          <w:rFonts w:ascii="Arial" w:eastAsia="Times New Roman" w:hAnsi="Arial"/>
          <w:sz w:val="22"/>
          <w:szCs w:val="22"/>
          <w:lang w:val="en-US"/>
        </w:rPr>
      </w:pPr>
    </w:p>
    <w:p w14:paraId="13732E53" w14:textId="77777777" w:rsidR="00EA2431" w:rsidRPr="005C46A2" w:rsidRDefault="00EA2431" w:rsidP="00495C74">
      <w:pPr>
        <w:jc w:val="both"/>
        <w:rPr>
          <w:rFonts w:ascii="Arial" w:eastAsia="Times New Roman" w:hAnsi="Arial"/>
          <w:sz w:val="22"/>
          <w:szCs w:val="22"/>
          <w:lang w:val="en-US"/>
        </w:rPr>
      </w:pPr>
    </w:p>
    <w:p w14:paraId="44C4F281" w14:textId="77777777" w:rsidR="00EA2431" w:rsidRPr="005C46A2" w:rsidRDefault="00EA2431" w:rsidP="00495C74">
      <w:pPr>
        <w:keepNext/>
        <w:jc w:val="both"/>
        <w:rPr>
          <w:rFonts w:ascii="Arial" w:eastAsia="Times New Roman" w:hAnsi="Arial"/>
          <w:sz w:val="22"/>
          <w:szCs w:val="22"/>
          <w:lang w:val="en-US"/>
        </w:rPr>
      </w:pPr>
      <w:r w:rsidRPr="005C46A2">
        <w:rPr>
          <w:rFonts w:ascii="Arial" w:eastAsia="Times New Roman" w:hAnsi="Arial"/>
          <w:sz w:val="22"/>
          <w:szCs w:val="22"/>
          <w:lang w:val="en-US"/>
        </w:rPr>
        <w:lastRenderedPageBreak/>
        <w:t>Q25 What is the role of 'lived experience' in FAO service design and delivery? </w:t>
      </w:r>
    </w:p>
    <w:p w14:paraId="52981C39"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307F9CFC"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2AB64711"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2DD110A6"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48786FFE"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4F6D4C3F" w14:textId="77777777" w:rsidR="00EA2431" w:rsidRPr="005C46A2" w:rsidRDefault="00EA2431" w:rsidP="00495C74">
      <w:pPr>
        <w:jc w:val="both"/>
        <w:rPr>
          <w:rFonts w:ascii="Arial" w:eastAsia="Times New Roman" w:hAnsi="Arial"/>
          <w:sz w:val="22"/>
          <w:szCs w:val="22"/>
          <w:lang w:val="en-US"/>
        </w:rPr>
      </w:pPr>
    </w:p>
    <w:p w14:paraId="1123CEEA" w14:textId="77777777" w:rsidR="00EA2431" w:rsidRPr="005C46A2" w:rsidRDefault="00EA2431" w:rsidP="00495C74">
      <w:pPr>
        <w:jc w:val="both"/>
        <w:rPr>
          <w:rFonts w:ascii="Arial" w:eastAsia="Times New Roman" w:hAnsi="Arial"/>
          <w:sz w:val="22"/>
          <w:szCs w:val="22"/>
          <w:lang w:val="en-US"/>
        </w:rPr>
      </w:pPr>
    </w:p>
    <w:p w14:paraId="25C59FF5" w14:textId="77777777" w:rsidR="00EA2431" w:rsidRPr="005C46A2" w:rsidRDefault="00EA2431" w:rsidP="00495C74">
      <w:pPr>
        <w:keepNext/>
        <w:jc w:val="both"/>
        <w:rPr>
          <w:rFonts w:ascii="Arial" w:eastAsia="Times New Roman" w:hAnsi="Arial"/>
          <w:sz w:val="22"/>
          <w:szCs w:val="22"/>
          <w:lang w:val="en-US"/>
        </w:rPr>
      </w:pPr>
      <w:r w:rsidRPr="005C46A2">
        <w:rPr>
          <w:rFonts w:ascii="Arial" w:eastAsia="Times New Roman" w:hAnsi="Arial"/>
          <w:sz w:val="22"/>
          <w:szCs w:val="22"/>
          <w:lang w:val="en-US"/>
        </w:rPr>
        <w:t xml:space="preserve">Q57 </w:t>
      </w:r>
      <w:r w:rsidRPr="005C46A2">
        <w:rPr>
          <w:rFonts w:ascii="Arial" w:eastAsia="Times New Roman" w:hAnsi="Arial"/>
          <w:sz w:val="22"/>
          <w:szCs w:val="22"/>
          <w:lang w:val="en-US"/>
        </w:rPr>
        <w:br/>
      </w:r>
      <w:r w:rsidRPr="005C46A2">
        <w:rPr>
          <w:rFonts w:ascii="Arial" w:eastAsia="Times New Roman" w:hAnsi="Arial"/>
          <w:b/>
          <w:sz w:val="22"/>
          <w:szCs w:val="22"/>
          <w:lang w:val="en-US"/>
        </w:rPr>
        <w:t>Barriers and Enablers</w:t>
      </w:r>
      <w:r w:rsidRPr="005C46A2">
        <w:rPr>
          <w:rFonts w:ascii="Arial" w:eastAsia="Times New Roman" w:hAnsi="Arial"/>
          <w:sz w:val="22"/>
          <w:szCs w:val="22"/>
          <w:lang w:val="en-US"/>
        </w:rPr>
        <w:t xml:space="preserve"> The panel largely converged on a 'both/and' approach to FAO inclusive and FAO centred services and practices. </w:t>
      </w:r>
    </w:p>
    <w:p w14:paraId="29962F48" w14:textId="77777777" w:rsidR="00EA2431" w:rsidRPr="005C46A2" w:rsidRDefault="00EA2431" w:rsidP="00495C74">
      <w:pPr>
        <w:jc w:val="both"/>
        <w:rPr>
          <w:rFonts w:ascii="Arial" w:eastAsia="Times New Roman" w:hAnsi="Arial"/>
          <w:sz w:val="22"/>
          <w:szCs w:val="22"/>
          <w:lang w:val="en-US"/>
        </w:rPr>
      </w:pPr>
    </w:p>
    <w:p w14:paraId="01A09641" w14:textId="77777777" w:rsidR="00EA2431" w:rsidRPr="005C46A2" w:rsidRDefault="00EA2431" w:rsidP="00495C74">
      <w:pPr>
        <w:pBdr>
          <w:top w:val="dashed" w:sz="8" w:space="0" w:color="CCCCCC"/>
        </w:pBdr>
        <w:spacing w:before="120" w:after="120" w:line="120" w:lineRule="auto"/>
        <w:jc w:val="both"/>
        <w:rPr>
          <w:rFonts w:ascii="Arial" w:eastAsia="Times New Roman" w:hAnsi="Arial"/>
          <w:sz w:val="22"/>
          <w:szCs w:val="22"/>
          <w:lang w:val="en-US"/>
        </w:rPr>
      </w:pPr>
    </w:p>
    <w:p w14:paraId="08B0FED4" w14:textId="77777777" w:rsidR="00EA2431" w:rsidRPr="005C46A2" w:rsidRDefault="00EA2431" w:rsidP="00495C74">
      <w:pPr>
        <w:jc w:val="both"/>
        <w:rPr>
          <w:rFonts w:ascii="Arial" w:eastAsia="Times New Roman" w:hAnsi="Arial"/>
          <w:sz w:val="22"/>
          <w:szCs w:val="22"/>
          <w:lang w:val="en-US"/>
        </w:rPr>
      </w:pPr>
    </w:p>
    <w:p w14:paraId="092CBBE0" w14:textId="77777777" w:rsidR="00EA2431" w:rsidRPr="005C46A2" w:rsidRDefault="00EA2431" w:rsidP="00495C74">
      <w:pPr>
        <w:keepNext/>
        <w:jc w:val="both"/>
        <w:rPr>
          <w:rFonts w:ascii="Arial" w:eastAsia="Times New Roman" w:hAnsi="Arial"/>
          <w:sz w:val="22"/>
          <w:szCs w:val="22"/>
          <w:lang w:val="en-US"/>
        </w:rPr>
      </w:pPr>
      <w:r w:rsidRPr="005C46A2">
        <w:rPr>
          <w:rFonts w:ascii="Arial" w:eastAsia="Times New Roman" w:hAnsi="Arial"/>
          <w:sz w:val="22"/>
          <w:szCs w:val="22"/>
          <w:lang w:val="en-US"/>
        </w:rPr>
        <w:t>Q60 What are the enablers of FAO inclusive and FAO centred design and practices in gambling services? </w:t>
      </w:r>
    </w:p>
    <w:p w14:paraId="1430297A"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16B3E5C8"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0E82EB2F"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4F852AC6"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42C6D512"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60E8DB52" w14:textId="77777777" w:rsidR="00EA2431" w:rsidRPr="005C46A2" w:rsidRDefault="00EA2431" w:rsidP="00495C74">
      <w:pPr>
        <w:jc w:val="both"/>
        <w:rPr>
          <w:rFonts w:ascii="Arial" w:eastAsia="Times New Roman" w:hAnsi="Arial"/>
          <w:sz w:val="22"/>
          <w:szCs w:val="22"/>
          <w:lang w:val="en-US"/>
        </w:rPr>
      </w:pPr>
    </w:p>
    <w:p w14:paraId="6032B313" w14:textId="77777777" w:rsidR="00EA2431" w:rsidRPr="005C46A2" w:rsidRDefault="00EA2431" w:rsidP="00495C74">
      <w:pPr>
        <w:pBdr>
          <w:top w:val="dashed" w:sz="8" w:space="0" w:color="CCCCCC"/>
        </w:pBdr>
        <w:spacing w:before="120" w:after="120" w:line="120" w:lineRule="auto"/>
        <w:jc w:val="both"/>
        <w:rPr>
          <w:rFonts w:ascii="Arial" w:eastAsia="Times New Roman" w:hAnsi="Arial"/>
          <w:sz w:val="22"/>
          <w:szCs w:val="22"/>
          <w:lang w:val="en-US"/>
        </w:rPr>
      </w:pPr>
    </w:p>
    <w:p w14:paraId="140CDB63" w14:textId="77777777" w:rsidR="00EA2431" w:rsidRPr="005C46A2" w:rsidRDefault="00EA2431" w:rsidP="00495C74">
      <w:pPr>
        <w:jc w:val="both"/>
        <w:rPr>
          <w:rFonts w:ascii="Arial" w:eastAsia="Times New Roman" w:hAnsi="Arial"/>
          <w:sz w:val="22"/>
          <w:szCs w:val="22"/>
          <w:lang w:val="en-US"/>
        </w:rPr>
      </w:pPr>
    </w:p>
    <w:p w14:paraId="4C4925A1" w14:textId="77777777" w:rsidR="00EA2431" w:rsidRPr="005C46A2" w:rsidRDefault="00EA2431" w:rsidP="00495C74">
      <w:pPr>
        <w:keepNext/>
        <w:jc w:val="both"/>
        <w:rPr>
          <w:rFonts w:ascii="Arial" w:eastAsia="Times New Roman" w:hAnsi="Arial"/>
          <w:sz w:val="22"/>
          <w:szCs w:val="22"/>
          <w:lang w:val="en-US"/>
        </w:rPr>
      </w:pPr>
      <w:r w:rsidRPr="005C46A2">
        <w:rPr>
          <w:rFonts w:ascii="Arial" w:eastAsia="Times New Roman" w:hAnsi="Arial"/>
          <w:sz w:val="22"/>
          <w:szCs w:val="22"/>
          <w:lang w:val="en-US"/>
        </w:rPr>
        <w:t>Q59 What are the barriers to FAO inclusive and FAO centred design and practices in gambling services?</w:t>
      </w:r>
    </w:p>
    <w:p w14:paraId="2D3561F6"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73FBF75A"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244D217F"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3E0ACAE5"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3F169127"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5FCB5677" w14:textId="77777777" w:rsidR="00EA2431" w:rsidRPr="005C46A2" w:rsidRDefault="00EA2431" w:rsidP="00495C74">
      <w:pPr>
        <w:jc w:val="both"/>
        <w:rPr>
          <w:rFonts w:ascii="Arial" w:eastAsia="Times New Roman" w:hAnsi="Arial"/>
          <w:sz w:val="22"/>
          <w:szCs w:val="22"/>
          <w:lang w:val="en-US"/>
        </w:rPr>
      </w:pPr>
    </w:p>
    <w:p w14:paraId="16C0F025" w14:textId="77777777" w:rsidR="00EA2431" w:rsidRPr="005C46A2" w:rsidRDefault="00EA2431" w:rsidP="00495C74">
      <w:pPr>
        <w:pBdr>
          <w:top w:val="dashed" w:sz="8" w:space="0" w:color="CCCCCC"/>
        </w:pBdr>
        <w:spacing w:before="120" w:after="120" w:line="120" w:lineRule="auto"/>
        <w:jc w:val="both"/>
        <w:rPr>
          <w:rFonts w:ascii="Arial" w:eastAsia="Times New Roman" w:hAnsi="Arial"/>
          <w:sz w:val="22"/>
          <w:szCs w:val="22"/>
          <w:lang w:val="en-US"/>
        </w:rPr>
      </w:pPr>
    </w:p>
    <w:tbl>
      <w:tblPr>
        <w:tblW w:w="0" w:type="auto"/>
        <w:tblInd w:w="10" w:type="dxa"/>
        <w:tblCellMar>
          <w:left w:w="10" w:type="dxa"/>
          <w:right w:w="10" w:type="dxa"/>
        </w:tblCellMar>
        <w:tblLook w:val="0000" w:firstRow="0" w:lastRow="0" w:firstColumn="0" w:lastColumn="0" w:noHBand="0" w:noVBand="0"/>
      </w:tblPr>
      <w:tblGrid>
        <w:gridCol w:w="1320"/>
        <w:gridCol w:w="7696"/>
      </w:tblGrid>
      <w:tr w:rsidR="00EA2431" w:rsidRPr="005C46A2" w14:paraId="4636C544" w14:textId="77777777" w:rsidTr="000465E8">
        <w:trPr>
          <w:trHeight w:val="300"/>
        </w:trPr>
        <w:tc>
          <w:tcPr>
            <w:tcW w:w="1368" w:type="dxa"/>
            <w:tcBorders>
              <w:top w:val="nil"/>
              <w:left w:val="nil"/>
              <w:bottom w:val="nil"/>
              <w:right w:val="nil"/>
            </w:tcBorders>
          </w:tcPr>
          <w:p w14:paraId="02C977EA" w14:textId="77777777" w:rsidR="00EA2431" w:rsidRPr="005C46A2" w:rsidRDefault="00EA2431" w:rsidP="00495C74">
            <w:pPr>
              <w:jc w:val="both"/>
              <w:rPr>
                <w:rFonts w:ascii="Arial" w:eastAsia="Times New Roman" w:hAnsi="Arial"/>
                <w:color w:val="CCCCCC"/>
                <w:sz w:val="22"/>
                <w:szCs w:val="22"/>
                <w:lang w:val="en-US"/>
              </w:rPr>
            </w:pPr>
            <w:r w:rsidRPr="005C46A2">
              <w:rPr>
                <w:rFonts w:ascii="Arial" w:eastAsia="Times New Roman" w:hAnsi="Arial"/>
                <w:color w:val="CCCCCC"/>
                <w:sz w:val="22"/>
                <w:szCs w:val="22"/>
                <w:lang w:val="en-US"/>
              </w:rPr>
              <w:t>Page Break</w:t>
            </w:r>
          </w:p>
        </w:tc>
        <w:tc>
          <w:tcPr>
            <w:tcW w:w="8208" w:type="dxa"/>
            <w:tcBorders>
              <w:top w:val="nil"/>
              <w:left w:val="nil"/>
              <w:bottom w:val="nil"/>
              <w:right w:val="nil"/>
            </w:tcBorders>
          </w:tcPr>
          <w:p w14:paraId="0609EF87" w14:textId="77777777" w:rsidR="00EA2431" w:rsidRPr="005C46A2" w:rsidRDefault="00EA2431" w:rsidP="00495C74">
            <w:pPr>
              <w:pBdr>
                <w:top w:val="single" w:sz="8" w:space="0" w:color="CCCCCC"/>
              </w:pBdr>
              <w:spacing w:before="120" w:after="120" w:line="120" w:lineRule="auto"/>
              <w:jc w:val="both"/>
              <w:rPr>
                <w:rFonts w:ascii="Arial" w:eastAsia="Times New Roman" w:hAnsi="Arial"/>
                <w:color w:val="CCCCCC"/>
                <w:sz w:val="22"/>
                <w:szCs w:val="22"/>
                <w:lang w:val="en-US"/>
              </w:rPr>
            </w:pPr>
          </w:p>
        </w:tc>
      </w:tr>
    </w:tbl>
    <w:p w14:paraId="6C1F7A1E" w14:textId="77777777" w:rsidR="00EA2431" w:rsidRPr="005C46A2" w:rsidRDefault="00EA2431" w:rsidP="00495C74">
      <w:pPr>
        <w:jc w:val="both"/>
        <w:rPr>
          <w:rFonts w:ascii="Arial" w:eastAsia="Times New Roman" w:hAnsi="Arial"/>
          <w:sz w:val="22"/>
          <w:szCs w:val="22"/>
          <w:lang w:val="en-US"/>
        </w:rPr>
      </w:pPr>
    </w:p>
    <w:p w14:paraId="0E9CB096" w14:textId="77777777" w:rsidR="00EA2431" w:rsidRPr="005C46A2" w:rsidRDefault="00EA2431" w:rsidP="00495C74">
      <w:pPr>
        <w:keepNext/>
        <w:jc w:val="both"/>
        <w:rPr>
          <w:rFonts w:ascii="Arial" w:eastAsia="Times New Roman" w:hAnsi="Arial"/>
          <w:sz w:val="22"/>
          <w:szCs w:val="22"/>
          <w:lang w:val="en-US"/>
        </w:rPr>
      </w:pPr>
      <w:r w:rsidRPr="005C46A2">
        <w:rPr>
          <w:rFonts w:ascii="Arial" w:eastAsia="Times New Roman" w:hAnsi="Arial"/>
          <w:sz w:val="22"/>
          <w:szCs w:val="22"/>
          <w:lang w:val="en-US"/>
        </w:rPr>
        <w:t xml:space="preserve">Q23 </w:t>
      </w:r>
      <w:r w:rsidRPr="005C46A2">
        <w:rPr>
          <w:rFonts w:ascii="Arial" w:eastAsia="Times New Roman" w:hAnsi="Arial"/>
          <w:sz w:val="22"/>
          <w:szCs w:val="22"/>
          <w:lang w:val="en-US"/>
        </w:rPr>
        <w:br/>
      </w:r>
      <w:r w:rsidRPr="005C46A2">
        <w:rPr>
          <w:rFonts w:ascii="Arial" w:eastAsia="Times New Roman" w:hAnsi="Arial"/>
          <w:b/>
          <w:sz w:val="22"/>
          <w:szCs w:val="22"/>
          <w:lang w:val="en-US"/>
        </w:rPr>
        <w:t>Knowledge Creation</w:t>
      </w:r>
      <w:r w:rsidRPr="005C46A2">
        <w:rPr>
          <w:rFonts w:ascii="Arial" w:eastAsia="Times New Roman" w:hAnsi="Arial"/>
          <w:sz w:val="22"/>
          <w:szCs w:val="22"/>
          <w:lang w:val="en-US"/>
        </w:rPr>
        <w:t xml:space="preserve"> Analysis of responses highlighted that there are significant gaps in knowledge needed to inform FAO services; in particular, the lack of practice-based knowledge (clinician/practitioner, service user knowledge) in the evidence base. Advanced by panel members was the need to foster a culture of openness, curiosity, and ongoing learning regarding FAO support among all stakeholders involved in FAO service design, delivery, and use.</w:t>
      </w:r>
    </w:p>
    <w:p w14:paraId="2C2F1C52" w14:textId="77777777" w:rsidR="00EA2431" w:rsidRPr="005C46A2" w:rsidRDefault="00EA2431" w:rsidP="00495C74">
      <w:pPr>
        <w:jc w:val="both"/>
        <w:rPr>
          <w:rFonts w:ascii="Arial" w:eastAsia="Times New Roman" w:hAnsi="Arial"/>
          <w:sz w:val="22"/>
          <w:szCs w:val="22"/>
          <w:lang w:val="en-US"/>
        </w:rPr>
      </w:pPr>
    </w:p>
    <w:p w14:paraId="265E479D" w14:textId="77777777" w:rsidR="00EA2431" w:rsidRPr="005C46A2" w:rsidRDefault="00EA2431" w:rsidP="00495C74">
      <w:pPr>
        <w:pBdr>
          <w:top w:val="dashed" w:sz="8" w:space="0" w:color="CCCCCC"/>
        </w:pBdr>
        <w:spacing w:before="120" w:after="120" w:line="120" w:lineRule="auto"/>
        <w:jc w:val="both"/>
        <w:rPr>
          <w:rFonts w:ascii="Arial" w:eastAsia="Times New Roman" w:hAnsi="Arial"/>
          <w:sz w:val="22"/>
          <w:szCs w:val="22"/>
          <w:lang w:val="en-US"/>
        </w:rPr>
      </w:pPr>
    </w:p>
    <w:p w14:paraId="09EE1300" w14:textId="77777777" w:rsidR="00EA2431" w:rsidRPr="005C46A2" w:rsidRDefault="00EA2431" w:rsidP="00495C74">
      <w:pPr>
        <w:jc w:val="both"/>
        <w:rPr>
          <w:rFonts w:ascii="Arial" w:eastAsia="Times New Roman" w:hAnsi="Arial"/>
          <w:sz w:val="22"/>
          <w:szCs w:val="22"/>
          <w:lang w:val="en-US"/>
        </w:rPr>
      </w:pPr>
    </w:p>
    <w:p w14:paraId="0D5BACFD" w14:textId="77777777" w:rsidR="00EA2431" w:rsidRPr="005C46A2" w:rsidRDefault="00EA2431" w:rsidP="00495C74">
      <w:pPr>
        <w:keepNext/>
        <w:jc w:val="both"/>
        <w:rPr>
          <w:rFonts w:ascii="Arial" w:eastAsia="Times New Roman" w:hAnsi="Arial"/>
          <w:sz w:val="22"/>
          <w:szCs w:val="22"/>
          <w:lang w:val="en-US"/>
        </w:rPr>
      </w:pPr>
      <w:r w:rsidRPr="005C46A2">
        <w:rPr>
          <w:rFonts w:ascii="Arial" w:eastAsia="Times New Roman" w:hAnsi="Arial"/>
          <w:sz w:val="22"/>
          <w:szCs w:val="22"/>
          <w:lang w:val="en-US"/>
        </w:rPr>
        <w:t>Q24 How do we ensure practice-based knowledge and service-user knowledge is a part of the evidence base?</w:t>
      </w:r>
    </w:p>
    <w:p w14:paraId="11080C0D"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7CC313A7"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62D5F211"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44B44E84"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5434FDB6"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0FF60E34" w14:textId="77777777" w:rsidR="00EA2431" w:rsidRPr="005C46A2" w:rsidRDefault="00EA2431" w:rsidP="00495C74">
      <w:pPr>
        <w:jc w:val="both"/>
        <w:rPr>
          <w:rFonts w:ascii="Arial" w:eastAsia="Times New Roman" w:hAnsi="Arial"/>
          <w:sz w:val="22"/>
          <w:szCs w:val="22"/>
          <w:lang w:val="en-US"/>
        </w:rPr>
      </w:pPr>
    </w:p>
    <w:p w14:paraId="6D8BA79F" w14:textId="77777777" w:rsidR="00EA2431" w:rsidRPr="005C46A2" w:rsidRDefault="00EA2431" w:rsidP="00495C74">
      <w:pPr>
        <w:pBdr>
          <w:top w:val="dashed" w:sz="8" w:space="0" w:color="CCCCCC"/>
        </w:pBdr>
        <w:spacing w:before="120" w:after="120" w:line="120" w:lineRule="auto"/>
        <w:jc w:val="both"/>
        <w:rPr>
          <w:rFonts w:ascii="Arial" w:eastAsia="Times New Roman" w:hAnsi="Arial"/>
          <w:sz w:val="22"/>
          <w:szCs w:val="22"/>
          <w:lang w:val="en-US"/>
        </w:rPr>
      </w:pPr>
    </w:p>
    <w:p w14:paraId="21AA6A96" w14:textId="77777777" w:rsidR="00EA2431" w:rsidRPr="005C46A2" w:rsidRDefault="00EA2431" w:rsidP="00495C74">
      <w:pPr>
        <w:jc w:val="both"/>
        <w:rPr>
          <w:rFonts w:ascii="Arial" w:eastAsia="Times New Roman" w:hAnsi="Arial"/>
          <w:sz w:val="22"/>
          <w:szCs w:val="22"/>
          <w:lang w:val="en-US"/>
        </w:rPr>
      </w:pPr>
    </w:p>
    <w:p w14:paraId="21C7BEA8" w14:textId="77777777" w:rsidR="00EA2431" w:rsidRPr="005C46A2" w:rsidRDefault="00EA2431" w:rsidP="00495C74">
      <w:pPr>
        <w:keepNext/>
        <w:jc w:val="both"/>
        <w:rPr>
          <w:rFonts w:ascii="Arial" w:eastAsia="Times New Roman" w:hAnsi="Arial"/>
          <w:sz w:val="22"/>
          <w:szCs w:val="22"/>
          <w:lang w:val="en-US"/>
        </w:rPr>
      </w:pPr>
      <w:r w:rsidRPr="005C46A2">
        <w:rPr>
          <w:rFonts w:ascii="Arial" w:eastAsia="Times New Roman" w:hAnsi="Arial"/>
          <w:sz w:val="22"/>
          <w:szCs w:val="22"/>
          <w:lang w:val="en-US"/>
        </w:rPr>
        <w:t>Q58 How can we build and sustain a culture of curiosity and learning into service design and provision for FAOs?</w:t>
      </w:r>
    </w:p>
    <w:p w14:paraId="06E9F56C"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5878E129"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3062D330"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5A4CA47D"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494F3743"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7F07D5BC" w14:textId="77777777" w:rsidR="00EA2431" w:rsidRPr="005C46A2" w:rsidRDefault="00EA2431" w:rsidP="00495C74">
      <w:pPr>
        <w:jc w:val="both"/>
        <w:rPr>
          <w:rFonts w:ascii="Arial" w:eastAsia="Times New Roman" w:hAnsi="Arial"/>
          <w:sz w:val="22"/>
          <w:szCs w:val="22"/>
          <w:lang w:val="en-US"/>
        </w:rPr>
      </w:pPr>
    </w:p>
    <w:p w14:paraId="6A9F89AD" w14:textId="77777777" w:rsidR="00EA2431" w:rsidRPr="005C46A2" w:rsidRDefault="00EA2431" w:rsidP="00495C74">
      <w:pPr>
        <w:pBdr>
          <w:top w:val="dashed" w:sz="8" w:space="0" w:color="CCCCCC"/>
        </w:pBdr>
        <w:spacing w:before="120" w:after="120" w:line="120" w:lineRule="auto"/>
        <w:jc w:val="both"/>
        <w:rPr>
          <w:rFonts w:ascii="Arial" w:eastAsia="Times New Roman" w:hAnsi="Arial"/>
          <w:sz w:val="22"/>
          <w:szCs w:val="22"/>
          <w:lang w:val="en-US"/>
        </w:rPr>
      </w:pPr>
    </w:p>
    <w:p w14:paraId="05719FC5" w14:textId="77777777" w:rsidR="00EA2431" w:rsidRPr="005C46A2" w:rsidRDefault="00EA2431" w:rsidP="00495C74">
      <w:pPr>
        <w:jc w:val="both"/>
        <w:rPr>
          <w:rFonts w:ascii="Arial" w:eastAsia="Times New Roman" w:hAnsi="Arial"/>
          <w:sz w:val="22"/>
          <w:szCs w:val="22"/>
          <w:lang w:val="en-US"/>
        </w:rPr>
      </w:pPr>
    </w:p>
    <w:p w14:paraId="730B0DF2" w14:textId="77777777" w:rsidR="00EA2431" w:rsidRPr="005C46A2" w:rsidRDefault="00EA2431" w:rsidP="00495C74">
      <w:pPr>
        <w:keepNext/>
        <w:jc w:val="both"/>
        <w:rPr>
          <w:rFonts w:ascii="Arial" w:eastAsia="Times New Roman" w:hAnsi="Arial"/>
          <w:sz w:val="22"/>
          <w:szCs w:val="22"/>
          <w:lang w:val="en-US"/>
        </w:rPr>
      </w:pPr>
      <w:r w:rsidRPr="005C46A2">
        <w:rPr>
          <w:rFonts w:ascii="Arial" w:eastAsia="Times New Roman" w:hAnsi="Arial"/>
          <w:sz w:val="22"/>
          <w:szCs w:val="22"/>
          <w:lang w:val="en-US"/>
        </w:rPr>
        <w:t>Q24 How can gaps between researchers/research and practitioners/practice be bridged?</w:t>
      </w:r>
    </w:p>
    <w:p w14:paraId="0A2304C3"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7C7A6C73"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7F9F8025"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2503FBC3"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lastRenderedPageBreak/>
        <w:t>________________________________________________________________</w:t>
      </w:r>
    </w:p>
    <w:p w14:paraId="24DE261B"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7968B179" w14:textId="77777777" w:rsidR="00EA2431" w:rsidRPr="005C46A2" w:rsidRDefault="00EA2431" w:rsidP="00495C74">
      <w:pPr>
        <w:jc w:val="both"/>
        <w:rPr>
          <w:rFonts w:ascii="Arial" w:eastAsia="Times New Roman" w:hAnsi="Arial"/>
          <w:sz w:val="22"/>
          <w:szCs w:val="22"/>
          <w:lang w:val="en-US"/>
        </w:rPr>
      </w:pPr>
    </w:p>
    <w:p w14:paraId="406D5CBA" w14:textId="77777777" w:rsidR="00EA2431" w:rsidRPr="005C46A2" w:rsidRDefault="00EA2431" w:rsidP="00495C74">
      <w:pPr>
        <w:pBdr>
          <w:top w:val="dashed" w:sz="8" w:space="0" w:color="CCCCCC"/>
        </w:pBdr>
        <w:spacing w:before="120" w:after="120" w:line="120" w:lineRule="auto"/>
        <w:jc w:val="both"/>
        <w:rPr>
          <w:rFonts w:ascii="Arial" w:eastAsia="Times New Roman" w:hAnsi="Arial"/>
          <w:sz w:val="22"/>
          <w:szCs w:val="22"/>
          <w:lang w:val="en-US"/>
        </w:rPr>
      </w:pPr>
    </w:p>
    <w:p w14:paraId="3E8B2975" w14:textId="77777777" w:rsidR="00EA2431" w:rsidRPr="005C46A2" w:rsidRDefault="00EA2431" w:rsidP="00495C74">
      <w:pPr>
        <w:jc w:val="both"/>
        <w:rPr>
          <w:rFonts w:ascii="Arial" w:eastAsia="Times New Roman" w:hAnsi="Arial"/>
          <w:sz w:val="22"/>
          <w:szCs w:val="22"/>
          <w:lang w:val="en-US"/>
        </w:rPr>
      </w:pPr>
    </w:p>
    <w:p w14:paraId="7BC237D4" w14:textId="77777777" w:rsidR="00EA2431" w:rsidRPr="005C46A2" w:rsidRDefault="00EA2431" w:rsidP="00495C74">
      <w:pPr>
        <w:keepNext/>
        <w:jc w:val="both"/>
        <w:rPr>
          <w:rFonts w:ascii="Arial" w:eastAsia="Times New Roman" w:hAnsi="Arial"/>
          <w:sz w:val="22"/>
          <w:szCs w:val="22"/>
          <w:lang w:val="en-US"/>
        </w:rPr>
      </w:pPr>
      <w:r w:rsidRPr="005C46A2">
        <w:rPr>
          <w:rFonts w:ascii="Arial" w:eastAsia="Times New Roman" w:hAnsi="Arial"/>
          <w:sz w:val="22"/>
          <w:szCs w:val="22"/>
          <w:lang w:val="en-US"/>
        </w:rPr>
        <w:t xml:space="preserve">Q61 </w:t>
      </w:r>
      <w:r w:rsidRPr="005C46A2">
        <w:rPr>
          <w:rFonts w:ascii="Arial" w:eastAsia="Times New Roman" w:hAnsi="Arial"/>
          <w:sz w:val="22"/>
          <w:szCs w:val="22"/>
          <w:lang w:val="en-US"/>
        </w:rPr>
        <w:br/>
      </w:r>
      <w:r w:rsidRPr="005C46A2">
        <w:rPr>
          <w:rFonts w:ascii="Arial" w:eastAsia="Times New Roman" w:hAnsi="Arial"/>
          <w:b/>
          <w:sz w:val="22"/>
          <w:szCs w:val="22"/>
          <w:lang w:val="en-US"/>
        </w:rPr>
        <w:t>This is the final question:</w:t>
      </w:r>
      <w:r w:rsidRPr="005C46A2">
        <w:rPr>
          <w:rFonts w:ascii="Arial" w:eastAsia="Times New Roman" w:hAnsi="Arial"/>
          <w:sz w:val="22"/>
          <w:szCs w:val="22"/>
          <w:lang w:val="en-US"/>
        </w:rPr>
        <w:t xml:space="preserve">  </w:t>
      </w:r>
      <w:r w:rsidRPr="005C46A2">
        <w:rPr>
          <w:rFonts w:ascii="Arial" w:eastAsia="Times New Roman" w:hAnsi="Arial"/>
          <w:sz w:val="22"/>
          <w:szCs w:val="22"/>
          <w:lang w:val="en-US"/>
        </w:rPr>
        <w:br/>
        <w:t>Do you have any final thoughts on ensuring best practice for service design, development, and delivery for use with FAOs affected by gambling?</w:t>
      </w:r>
    </w:p>
    <w:p w14:paraId="64E4C769"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37C2E9AD"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4B8B6637"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3DDD3A0D" w14:textId="77777777" w:rsidR="00EA2431" w:rsidRPr="005C46A2"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6B08D80A" w14:textId="77777777" w:rsidR="00EA2431" w:rsidRPr="00EA2431" w:rsidRDefault="00EA2431" w:rsidP="00495C74">
      <w:pPr>
        <w:spacing w:before="240" w:line="240" w:lineRule="auto"/>
        <w:ind w:firstLine="400"/>
        <w:jc w:val="both"/>
        <w:rPr>
          <w:rFonts w:ascii="Arial" w:eastAsia="Times New Roman" w:hAnsi="Arial"/>
          <w:sz w:val="22"/>
          <w:szCs w:val="22"/>
          <w:lang w:val="en-US"/>
        </w:rPr>
      </w:pPr>
      <w:r w:rsidRPr="005C46A2">
        <w:rPr>
          <w:rFonts w:ascii="Arial" w:eastAsia="Times New Roman" w:hAnsi="Arial"/>
          <w:sz w:val="22"/>
          <w:szCs w:val="22"/>
          <w:lang w:val="en-US"/>
        </w:rPr>
        <w:t>________________________________________________________________</w:t>
      </w:r>
    </w:p>
    <w:p w14:paraId="4D54F73C" w14:textId="77777777" w:rsidR="00EA2431" w:rsidRPr="00EA2431" w:rsidRDefault="00EA2431" w:rsidP="00495C74">
      <w:pPr>
        <w:jc w:val="both"/>
        <w:rPr>
          <w:rFonts w:ascii="Arial" w:eastAsia="Times New Roman" w:hAnsi="Arial"/>
          <w:sz w:val="22"/>
          <w:szCs w:val="22"/>
          <w:lang w:val="en-US"/>
        </w:rPr>
      </w:pPr>
    </w:p>
    <w:p w14:paraId="6CFDB2A4" w14:textId="77777777" w:rsidR="00EA2431" w:rsidRPr="00EA2431" w:rsidRDefault="00EA2431" w:rsidP="00495C74">
      <w:pPr>
        <w:pBdr>
          <w:bottom w:val="single" w:sz="8" w:space="0" w:color="CCCCCC"/>
        </w:pBdr>
        <w:spacing w:line="120" w:lineRule="auto"/>
        <w:jc w:val="both"/>
        <w:rPr>
          <w:rFonts w:ascii="Arial" w:eastAsia="Times New Roman" w:hAnsi="Arial"/>
          <w:b/>
          <w:color w:val="CCCCCC"/>
          <w:sz w:val="22"/>
          <w:szCs w:val="22"/>
          <w:lang w:val="en-US"/>
        </w:rPr>
      </w:pPr>
    </w:p>
    <w:p w14:paraId="5BBB2B0C" w14:textId="77777777" w:rsidR="00EA2431" w:rsidRPr="00EA2431" w:rsidRDefault="00EA2431" w:rsidP="00495C74">
      <w:pPr>
        <w:jc w:val="both"/>
        <w:rPr>
          <w:rFonts w:ascii="Arial" w:eastAsia="Times New Roman" w:hAnsi="Arial"/>
          <w:sz w:val="22"/>
          <w:szCs w:val="22"/>
          <w:lang w:val="en-US"/>
        </w:rPr>
      </w:pPr>
    </w:p>
    <w:p w14:paraId="38164D8D" w14:textId="77777777" w:rsidR="0066007F" w:rsidRDefault="0066007F" w:rsidP="00495C74">
      <w:pPr>
        <w:jc w:val="both"/>
      </w:pPr>
    </w:p>
    <w:p w14:paraId="31BF3758" w14:textId="394CF84B" w:rsidR="000C52B2" w:rsidRDefault="001B041E" w:rsidP="00495C74">
      <w:pPr>
        <w:spacing w:after="160" w:line="259" w:lineRule="auto"/>
        <w:jc w:val="both"/>
      </w:pPr>
      <w:r>
        <w:br w:type="page"/>
      </w:r>
    </w:p>
    <w:sectPr w:rsidR="000C52B2" w:rsidSect="004860AE">
      <w:footerReference w:type="default" r:id="rId1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3EFCB9" w14:textId="77777777" w:rsidR="00D04B86" w:rsidRDefault="00D04B86" w:rsidP="00D73886">
      <w:pPr>
        <w:spacing w:line="240" w:lineRule="auto"/>
      </w:pPr>
      <w:r>
        <w:separator/>
      </w:r>
    </w:p>
  </w:endnote>
  <w:endnote w:type="continuationSeparator" w:id="0">
    <w:p w14:paraId="3AD8B8A0" w14:textId="77777777" w:rsidR="00D04B86" w:rsidRDefault="00D04B86" w:rsidP="00D738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3A2F1" w14:textId="77777777" w:rsidR="000C6F7B" w:rsidRDefault="000C6F7B">
    <w:pPr>
      <w:pStyle w:val="Footer"/>
      <w:jc w:val="right"/>
    </w:pPr>
  </w:p>
  <w:p w14:paraId="260EB6CB" w14:textId="77777777" w:rsidR="000C6F7B" w:rsidRDefault="000C6F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4F134" w14:textId="77777777" w:rsidR="000C6F7B" w:rsidRDefault="000C6F7B">
    <w:pPr>
      <w:pStyle w:val="Footer"/>
      <w:jc w:val="right"/>
    </w:pPr>
  </w:p>
  <w:p w14:paraId="5AA63A92" w14:textId="77777777" w:rsidR="000C6F7B" w:rsidRDefault="000C6F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6715821"/>
      <w:docPartObj>
        <w:docPartGallery w:val="Page Numbers (Bottom of Page)"/>
        <w:docPartUnique/>
      </w:docPartObj>
    </w:sdtPr>
    <w:sdtEndPr>
      <w:rPr>
        <w:noProof/>
      </w:rPr>
    </w:sdtEndPr>
    <w:sdtContent>
      <w:p w14:paraId="799EBCCE" w14:textId="77777777" w:rsidR="000C6F7B" w:rsidRDefault="000C6F7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BE26D7" w14:textId="77777777" w:rsidR="000C6F7B" w:rsidRDefault="000C6F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4764194"/>
      <w:docPartObj>
        <w:docPartGallery w:val="Page Numbers (Bottom of Page)"/>
        <w:docPartUnique/>
      </w:docPartObj>
    </w:sdtPr>
    <w:sdtEndPr>
      <w:rPr>
        <w:noProof/>
      </w:rPr>
    </w:sdtEndPr>
    <w:sdtContent>
      <w:p w14:paraId="1B7703CC" w14:textId="77777777" w:rsidR="000C6F7B" w:rsidRDefault="000C6F7B">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3FD976A9" w14:textId="77777777" w:rsidR="000C6F7B" w:rsidRDefault="000C6F7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3419768"/>
      <w:docPartObj>
        <w:docPartGallery w:val="Page Numbers (Bottom of Page)"/>
        <w:docPartUnique/>
      </w:docPartObj>
    </w:sdtPr>
    <w:sdtEndPr>
      <w:rPr>
        <w:noProof/>
      </w:rPr>
    </w:sdtEndPr>
    <w:sdtContent>
      <w:p w14:paraId="4B0276CC" w14:textId="2C6C5A18" w:rsidR="000C6F7B" w:rsidRDefault="000C6F7B">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3894442E" w14:textId="77777777" w:rsidR="000C6F7B" w:rsidRDefault="000C6F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8BD3CB" w14:textId="77777777" w:rsidR="00D04B86" w:rsidRDefault="00D04B86" w:rsidP="00D73886">
      <w:pPr>
        <w:spacing w:line="240" w:lineRule="auto"/>
      </w:pPr>
      <w:r>
        <w:separator/>
      </w:r>
    </w:p>
  </w:footnote>
  <w:footnote w:type="continuationSeparator" w:id="0">
    <w:p w14:paraId="52027B2D" w14:textId="77777777" w:rsidR="00D04B86" w:rsidRDefault="00D04B86" w:rsidP="00D73886">
      <w:pPr>
        <w:spacing w:line="240" w:lineRule="auto"/>
      </w:pPr>
      <w:r>
        <w:continuationSeparator/>
      </w:r>
    </w:p>
  </w:footnote>
  <w:footnote w:id="1">
    <w:p w14:paraId="3D95DFDC" w14:textId="38DF7E64" w:rsidR="000C6F7B" w:rsidRPr="00EB1549" w:rsidRDefault="000C6F7B">
      <w:pPr>
        <w:pStyle w:val="FootnoteText"/>
        <w:rPr>
          <w:lang w:val="en-US"/>
        </w:rPr>
      </w:pPr>
      <w:r>
        <w:rPr>
          <w:rStyle w:val="FootnoteReference"/>
        </w:rPr>
        <w:footnoteRef/>
      </w:r>
      <w:r>
        <w:t xml:space="preserve"> </w:t>
      </w:r>
      <w:r w:rsidRPr="00EB1549">
        <w:t>Whānau is often translated as ‘family’, but its meaning is more complex. It includes physical, emotional and spiritual dimensions and is based on whakapapa</w:t>
      </w:r>
      <w:r>
        <w:t xml:space="preserve"> (a genealogical sensibility)</w:t>
      </w:r>
      <w:r w:rsidRPr="00EB1549">
        <w:t xml:space="preserve">. Whānau is based on a </w:t>
      </w:r>
      <w:r>
        <w:t xml:space="preserve">New Zealand </w:t>
      </w:r>
      <w:r w:rsidRPr="00EB1549">
        <w:t xml:space="preserve">Māori </w:t>
      </w:r>
      <w:r>
        <w:t xml:space="preserve">(Indigenous) </w:t>
      </w:r>
      <w:r w:rsidRPr="00EB1549">
        <w:t>and a tribal world view. It is through whānau that values, histories and traditions from the ancestors are adapted for the contemporary world. Whānau can be multi-layered, flexible and dynamic</w:t>
      </w:r>
      <w:r>
        <w:t xml:space="preserve"> and encompass relationships with </w:t>
      </w:r>
      <w:r w:rsidRPr="00EB1549">
        <w:t>whāngai (foster children) and those who have passed on</w:t>
      </w:r>
      <w:r>
        <w:t xml:space="preserve">, as well as </w:t>
      </w:r>
      <w:r w:rsidRPr="00EB1549">
        <w:t xml:space="preserve">marae </w:t>
      </w:r>
      <w:r>
        <w:t xml:space="preserve">(gathering places) </w:t>
      </w:r>
      <w:r w:rsidRPr="00EB1549">
        <w:t>and hapū</w:t>
      </w:r>
      <w:r>
        <w:t xml:space="preserve"> (tribal sections)</w:t>
      </w:r>
      <w:r w:rsidRPr="00EB1549">
        <w:t>.</w:t>
      </w:r>
    </w:p>
  </w:footnote>
  <w:footnote w:id="2">
    <w:p w14:paraId="0B8E7584" w14:textId="77777777" w:rsidR="000C6F7B" w:rsidRDefault="000C6F7B" w:rsidP="00660DBC">
      <w:pPr>
        <w:pStyle w:val="FootnoteText"/>
      </w:pPr>
      <w:r>
        <w:rPr>
          <w:rStyle w:val="FootnoteReference"/>
        </w:rPr>
        <w:footnoteRef/>
      </w:r>
      <w:r>
        <w:t xml:space="preserve"> E</w:t>
      </w:r>
      <w:r w:rsidRPr="00FB7254">
        <w:t>xperimental evidence, e.g. change in validated measures, as the basis for evidence-based practices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C95A9" w14:textId="4DCF7B5D" w:rsidR="000C6F7B" w:rsidRDefault="00D04B86" w:rsidP="00D73886">
    <w:pPr>
      <w:pStyle w:val="Header"/>
    </w:pPr>
    <w:r>
      <w:pict w14:anchorId="242D6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50.25pt">
          <v:imagedata r:id="rId1" o:title="Gambling&amp;Addictions-logo-primary-positive"/>
        </v:shape>
      </w:pict>
    </w:r>
  </w:p>
  <w:p w14:paraId="3A2138DC" w14:textId="77777777" w:rsidR="000C6F7B" w:rsidRDefault="000C6F7B" w:rsidP="00D738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39E3"/>
    <w:multiLevelType w:val="hybridMultilevel"/>
    <w:tmpl w:val="0AC6C4D4"/>
    <w:lvl w:ilvl="0" w:tplc="0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cs="Wingdings" w:hint="default"/>
      </w:rPr>
    </w:lvl>
    <w:lvl w:ilvl="3" w:tplc="14090001" w:tentative="1">
      <w:start w:val="1"/>
      <w:numFmt w:val="bullet"/>
      <w:lvlText w:val=""/>
      <w:lvlJc w:val="left"/>
      <w:pPr>
        <w:ind w:left="2520" w:hanging="360"/>
      </w:pPr>
      <w:rPr>
        <w:rFonts w:ascii="Symbol" w:hAnsi="Symbol" w:cs="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cs="Wingdings" w:hint="default"/>
      </w:rPr>
    </w:lvl>
    <w:lvl w:ilvl="6" w:tplc="14090001" w:tentative="1">
      <w:start w:val="1"/>
      <w:numFmt w:val="bullet"/>
      <w:lvlText w:val=""/>
      <w:lvlJc w:val="left"/>
      <w:pPr>
        <w:ind w:left="4680" w:hanging="360"/>
      </w:pPr>
      <w:rPr>
        <w:rFonts w:ascii="Symbol" w:hAnsi="Symbol" w:cs="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04FE25B1"/>
    <w:multiLevelType w:val="hybridMultilevel"/>
    <w:tmpl w:val="52444D8E"/>
    <w:lvl w:ilvl="0" w:tplc="0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AFF1340"/>
    <w:multiLevelType w:val="hybridMultilevel"/>
    <w:tmpl w:val="4962C57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C763BD5"/>
    <w:multiLevelType w:val="hybridMultilevel"/>
    <w:tmpl w:val="47F4CFDE"/>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15:restartNumberingAfterBreak="0">
    <w:nsid w:val="12B01951"/>
    <w:multiLevelType w:val="hybridMultilevel"/>
    <w:tmpl w:val="DBAE52D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246A1FA7"/>
    <w:multiLevelType w:val="hybridMultilevel"/>
    <w:tmpl w:val="F1807D42"/>
    <w:lvl w:ilvl="0" w:tplc="0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cs="Wingdings" w:hint="default"/>
      </w:rPr>
    </w:lvl>
    <w:lvl w:ilvl="3" w:tplc="14090001" w:tentative="1">
      <w:start w:val="1"/>
      <w:numFmt w:val="bullet"/>
      <w:lvlText w:val=""/>
      <w:lvlJc w:val="left"/>
      <w:pPr>
        <w:ind w:left="2520" w:hanging="360"/>
      </w:pPr>
      <w:rPr>
        <w:rFonts w:ascii="Symbol" w:hAnsi="Symbol" w:cs="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cs="Wingdings" w:hint="default"/>
      </w:rPr>
    </w:lvl>
    <w:lvl w:ilvl="6" w:tplc="14090001" w:tentative="1">
      <w:start w:val="1"/>
      <w:numFmt w:val="bullet"/>
      <w:lvlText w:val=""/>
      <w:lvlJc w:val="left"/>
      <w:pPr>
        <w:ind w:left="4680" w:hanging="360"/>
      </w:pPr>
      <w:rPr>
        <w:rFonts w:ascii="Symbol" w:hAnsi="Symbol" w:cs="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28370BAB"/>
    <w:multiLevelType w:val="hybridMultilevel"/>
    <w:tmpl w:val="8C9CBB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29F019A0"/>
    <w:multiLevelType w:val="hybridMultilevel"/>
    <w:tmpl w:val="84CE35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CDC2CD2"/>
    <w:multiLevelType w:val="hybridMultilevel"/>
    <w:tmpl w:val="83E08EE4"/>
    <w:lvl w:ilvl="0" w:tplc="038C636A">
      <w:start w:val="1"/>
      <w:numFmt w:val="bullet"/>
      <w:lvlText w:val=""/>
      <w:lvlJc w:val="left"/>
      <w:pPr>
        <w:ind w:left="360" w:hanging="360"/>
      </w:pPr>
      <w:rPr>
        <w:rFonts w:ascii="Symbol" w:hAnsi="Symbol" w:cs="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cs="Wingdings" w:hint="default"/>
      </w:rPr>
    </w:lvl>
    <w:lvl w:ilvl="3" w:tplc="14090001" w:tentative="1">
      <w:start w:val="1"/>
      <w:numFmt w:val="bullet"/>
      <w:lvlText w:val=""/>
      <w:lvlJc w:val="left"/>
      <w:pPr>
        <w:ind w:left="2520" w:hanging="360"/>
      </w:pPr>
      <w:rPr>
        <w:rFonts w:ascii="Symbol" w:hAnsi="Symbol" w:cs="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cs="Wingdings" w:hint="default"/>
      </w:rPr>
    </w:lvl>
    <w:lvl w:ilvl="6" w:tplc="14090001" w:tentative="1">
      <w:start w:val="1"/>
      <w:numFmt w:val="bullet"/>
      <w:lvlText w:val=""/>
      <w:lvlJc w:val="left"/>
      <w:pPr>
        <w:ind w:left="4680" w:hanging="360"/>
      </w:pPr>
      <w:rPr>
        <w:rFonts w:ascii="Symbol" w:hAnsi="Symbol" w:cs="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2E0946E8"/>
    <w:multiLevelType w:val="hybridMultilevel"/>
    <w:tmpl w:val="5C1AEB2E"/>
    <w:lvl w:ilvl="0" w:tplc="E3168908">
      <w:start w:val="1"/>
      <w:numFmt w:val="bullet"/>
      <w:suff w:val="space"/>
      <w:lvlText w:val=""/>
      <w:lvlJc w:val="left"/>
      <w:pPr>
        <w:ind w:left="720" w:hanging="360"/>
      </w:pPr>
      <w:rPr>
        <w:rFonts w:ascii="Symbol" w:hAnsi="Symbol" w:cs="Symbol" w:hint="default"/>
        <w:b/>
        <w:bCs w:val="0"/>
        <w:sz w:val="24"/>
        <w:szCs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0322A2C"/>
    <w:multiLevelType w:val="hybridMultilevel"/>
    <w:tmpl w:val="4D4A95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37EE74D8"/>
    <w:multiLevelType w:val="hybridMultilevel"/>
    <w:tmpl w:val="C3BEEF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A3D6F3E"/>
    <w:multiLevelType w:val="hybridMultilevel"/>
    <w:tmpl w:val="E01AE816"/>
    <w:lvl w:ilvl="0" w:tplc="0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cs="Wingdings" w:hint="default"/>
      </w:rPr>
    </w:lvl>
    <w:lvl w:ilvl="3" w:tplc="14090001" w:tentative="1">
      <w:start w:val="1"/>
      <w:numFmt w:val="bullet"/>
      <w:lvlText w:val=""/>
      <w:lvlJc w:val="left"/>
      <w:pPr>
        <w:ind w:left="2520" w:hanging="360"/>
      </w:pPr>
      <w:rPr>
        <w:rFonts w:ascii="Symbol" w:hAnsi="Symbol" w:cs="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cs="Wingdings" w:hint="default"/>
      </w:rPr>
    </w:lvl>
    <w:lvl w:ilvl="6" w:tplc="14090001" w:tentative="1">
      <w:start w:val="1"/>
      <w:numFmt w:val="bullet"/>
      <w:lvlText w:val=""/>
      <w:lvlJc w:val="left"/>
      <w:pPr>
        <w:ind w:left="4680" w:hanging="360"/>
      </w:pPr>
      <w:rPr>
        <w:rFonts w:ascii="Symbol" w:hAnsi="Symbol" w:cs="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40792C11"/>
    <w:multiLevelType w:val="hybridMultilevel"/>
    <w:tmpl w:val="9A9E41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4465093F"/>
    <w:multiLevelType w:val="hybridMultilevel"/>
    <w:tmpl w:val="C5389ED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447E523F"/>
    <w:multiLevelType w:val="hybridMultilevel"/>
    <w:tmpl w:val="1B4EDB0A"/>
    <w:lvl w:ilvl="0" w:tplc="038C636A">
      <w:start w:val="1"/>
      <w:numFmt w:val="bullet"/>
      <w:lvlText w:val=""/>
      <w:lvlJc w:val="left"/>
      <w:pPr>
        <w:ind w:left="360" w:hanging="360"/>
      </w:pPr>
      <w:rPr>
        <w:rFonts w:ascii="Symbol" w:hAnsi="Symbol" w:cs="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cs="Wingdings" w:hint="default"/>
      </w:rPr>
    </w:lvl>
    <w:lvl w:ilvl="3" w:tplc="14090001" w:tentative="1">
      <w:start w:val="1"/>
      <w:numFmt w:val="bullet"/>
      <w:lvlText w:val=""/>
      <w:lvlJc w:val="left"/>
      <w:pPr>
        <w:ind w:left="2520" w:hanging="360"/>
      </w:pPr>
      <w:rPr>
        <w:rFonts w:ascii="Symbol" w:hAnsi="Symbol" w:cs="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cs="Wingdings" w:hint="default"/>
      </w:rPr>
    </w:lvl>
    <w:lvl w:ilvl="6" w:tplc="14090001" w:tentative="1">
      <w:start w:val="1"/>
      <w:numFmt w:val="bullet"/>
      <w:lvlText w:val=""/>
      <w:lvlJc w:val="left"/>
      <w:pPr>
        <w:ind w:left="4680" w:hanging="360"/>
      </w:pPr>
      <w:rPr>
        <w:rFonts w:ascii="Symbol" w:hAnsi="Symbol" w:cs="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cs="Wingdings" w:hint="default"/>
      </w:rPr>
    </w:lvl>
  </w:abstractNum>
  <w:abstractNum w:abstractNumId="16" w15:restartNumberingAfterBreak="0">
    <w:nsid w:val="49C4394F"/>
    <w:multiLevelType w:val="hybridMultilevel"/>
    <w:tmpl w:val="2B8E71BA"/>
    <w:lvl w:ilvl="0" w:tplc="A490C654">
      <w:start w:val="1"/>
      <w:numFmt w:val="upperRoman"/>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A804942"/>
    <w:multiLevelType w:val="hybridMultilevel"/>
    <w:tmpl w:val="3584746E"/>
    <w:lvl w:ilvl="0" w:tplc="02305D0E">
      <w:start w:val="1"/>
      <w:numFmt w:val="upperRoman"/>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4EA266D0"/>
    <w:multiLevelType w:val="hybridMultilevel"/>
    <w:tmpl w:val="0D583FA6"/>
    <w:lvl w:ilvl="0" w:tplc="16003C90">
      <w:start w:val="1"/>
      <w:numFmt w:val="decimal"/>
      <w:pStyle w:val="Body3"/>
      <w:lvlText w:val="%1."/>
      <w:lvlJc w:val="left"/>
      <w:pPr>
        <w:ind w:left="2160" w:hanging="360"/>
      </w:pPr>
    </w:lvl>
    <w:lvl w:ilvl="1" w:tplc="14090019">
      <w:start w:val="1"/>
      <w:numFmt w:val="lowerLetter"/>
      <w:lvlText w:val="%2."/>
      <w:lvlJc w:val="left"/>
      <w:pPr>
        <w:ind w:left="2880" w:hanging="360"/>
      </w:pPr>
    </w:lvl>
    <w:lvl w:ilvl="2" w:tplc="1409001B">
      <w:start w:val="1"/>
      <w:numFmt w:val="lowerRoman"/>
      <w:lvlText w:val="%3."/>
      <w:lvlJc w:val="right"/>
      <w:pPr>
        <w:ind w:left="3600" w:hanging="180"/>
      </w:pPr>
    </w:lvl>
    <w:lvl w:ilvl="3" w:tplc="1409000F">
      <w:start w:val="1"/>
      <w:numFmt w:val="decimal"/>
      <w:lvlText w:val="%4."/>
      <w:lvlJc w:val="left"/>
      <w:pPr>
        <w:ind w:left="4320" w:hanging="360"/>
      </w:pPr>
    </w:lvl>
    <w:lvl w:ilvl="4" w:tplc="14090019">
      <w:start w:val="1"/>
      <w:numFmt w:val="lowerLetter"/>
      <w:lvlText w:val="%5."/>
      <w:lvlJc w:val="left"/>
      <w:pPr>
        <w:ind w:left="5040" w:hanging="360"/>
      </w:pPr>
    </w:lvl>
    <w:lvl w:ilvl="5" w:tplc="1409001B">
      <w:start w:val="1"/>
      <w:numFmt w:val="lowerRoman"/>
      <w:lvlText w:val="%6."/>
      <w:lvlJc w:val="right"/>
      <w:pPr>
        <w:ind w:left="5760" w:hanging="180"/>
      </w:pPr>
    </w:lvl>
    <w:lvl w:ilvl="6" w:tplc="1409000F">
      <w:start w:val="1"/>
      <w:numFmt w:val="decimal"/>
      <w:lvlText w:val="%7."/>
      <w:lvlJc w:val="left"/>
      <w:pPr>
        <w:ind w:left="6480" w:hanging="360"/>
      </w:pPr>
    </w:lvl>
    <w:lvl w:ilvl="7" w:tplc="14090019">
      <w:start w:val="1"/>
      <w:numFmt w:val="lowerLetter"/>
      <w:lvlText w:val="%8."/>
      <w:lvlJc w:val="left"/>
      <w:pPr>
        <w:ind w:left="7200" w:hanging="360"/>
      </w:pPr>
    </w:lvl>
    <w:lvl w:ilvl="8" w:tplc="1409001B">
      <w:start w:val="1"/>
      <w:numFmt w:val="lowerRoman"/>
      <w:lvlText w:val="%9."/>
      <w:lvlJc w:val="right"/>
      <w:pPr>
        <w:ind w:left="7920" w:hanging="180"/>
      </w:pPr>
    </w:lvl>
  </w:abstractNum>
  <w:abstractNum w:abstractNumId="20" w15:restartNumberingAfterBreak="0">
    <w:nsid w:val="545503DD"/>
    <w:multiLevelType w:val="hybridMultilevel"/>
    <w:tmpl w:val="EC26F5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4760A1B"/>
    <w:multiLevelType w:val="hybridMultilevel"/>
    <w:tmpl w:val="3584746E"/>
    <w:lvl w:ilvl="0" w:tplc="02305D0E">
      <w:start w:val="1"/>
      <w:numFmt w:val="upperRoman"/>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57226BA9"/>
    <w:multiLevelType w:val="hybridMultilevel"/>
    <w:tmpl w:val="0E344B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72271E6"/>
    <w:multiLevelType w:val="hybridMultilevel"/>
    <w:tmpl w:val="9BDE3E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FBE5A20"/>
    <w:multiLevelType w:val="hybridMultilevel"/>
    <w:tmpl w:val="8D80F07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60C5439E"/>
    <w:multiLevelType w:val="hybridMultilevel"/>
    <w:tmpl w:val="6840B4E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2437755"/>
    <w:multiLevelType w:val="hybridMultilevel"/>
    <w:tmpl w:val="B754A678"/>
    <w:lvl w:ilvl="0" w:tplc="038C636A">
      <w:start w:val="1"/>
      <w:numFmt w:val="bullet"/>
      <w:lvlText w:val=""/>
      <w:lvlJc w:val="left"/>
      <w:pPr>
        <w:ind w:left="360" w:hanging="360"/>
      </w:pPr>
      <w:rPr>
        <w:rFonts w:ascii="Symbol" w:hAnsi="Symbol" w:cs="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cs="Wingdings" w:hint="default"/>
      </w:rPr>
    </w:lvl>
    <w:lvl w:ilvl="3" w:tplc="14090001" w:tentative="1">
      <w:start w:val="1"/>
      <w:numFmt w:val="bullet"/>
      <w:lvlText w:val=""/>
      <w:lvlJc w:val="left"/>
      <w:pPr>
        <w:ind w:left="2520" w:hanging="360"/>
      </w:pPr>
      <w:rPr>
        <w:rFonts w:ascii="Symbol" w:hAnsi="Symbol" w:cs="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cs="Wingdings" w:hint="default"/>
      </w:rPr>
    </w:lvl>
    <w:lvl w:ilvl="6" w:tplc="14090001" w:tentative="1">
      <w:start w:val="1"/>
      <w:numFmt w:val="bullet"/>
      <w:lvlText w:val=""/>
      <w:lvlJc w:val="left"/>
      <w:pPr>
        <w:ind w:left="4680" w:hanging="360"/>
      </w:pPr>
      <w:rPr>
        <w:rFonts w:ascii="Symbol" w:hAnsi="Symbol" w:cs="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cs="Wingdings" w:hint="default"/>
      </w:rPr>
    </w:lvl>
  </w:abstractNum>
  <w:abstractNum w:abstractNumId="27" w15:restartNumberingAfterBreak="0">
    <w:nsid w:val="64FD0410"/>
    <w:multiLevelType w:val="hybridMultilevel"/>
    <w:tmpl w:val="0A34F15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665877F0"/>
    <w:multiLevelType w:val="hybridMultilevel"/>
    <w:tmpl w:val="03BA526E"/>
    <w:lvl w:ilvl="0" w:tplc="0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cs="Wingdings" w:hint="default"/>
      </w:rPr>
    </w:lvl>
    <w:lvl w:ilvl="3" w:tplc="14090001" w:tentative="1">
      <w:start w:val="1"/>
      <w:numFmt w:val="bullet"/>
      <w:lvlText w:val=""/>
      <w:lvlJc w:val="left"/>
      <w:pPr>
        <w:ind w:left="2520" w:hanging="360"/>
      </w:pPr>
      <w:rPr>
        <w:rFonts w:ascii="Symbol" w:hAnsi="Symbol" w:cs="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cs="Wingdings" w:hint="default"/>
      </w:rPr>
    </w:lvl>
    <w:lvl w:ilvl="6" w:tplc="14090001" w:tentative="1">
      <w:start w:val="1"/>
      <w:numFmt w:val="bullet"/>
      <w:lvlText w:val=""/>
      <w:lvlJc w:val="left"/>
      <w:pPr>
        <w:ind w:left="4680" w:hanging="360"/>
      </w:pPr>
      <w:rPr>
        <w:rFonts w:ascii="Symbol" w:hAnsi="Symbol" w:cs="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cs="Wingdings" w:hint="default"/>
      </w:rPr>
    </w:lvl>
  </w:abstractNum>
  <w:abstractNum w:abstractNumId="29" w15:restartNumberingAfterBreak="0">
    <w:nsid w:val="709258B8"/>
    <w:multiLevelType w:val="hybridMultilevel"/>
    <w:tmpl w:val="0A34F15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720B50D2"/>
    <w:multiLevelType w:val="hybridMultilevel"/>
    <w:tmpl w:val="8864FC6E"/>
    <w:lvl w:ilvl="0" w:tplc="6D249F9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72294DCF"/>
    <w:multiLevelType w:val="hybridMultilevel"/>
    <w:tmpl w:val="954C26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757E33AF"/>
    <w:multiLevelType w:val="hybridMultilevel"/>
    <w:tmpl w:val="942614DA"/>
    <w:lvl w:ilvl="0" w:tplc="748A609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7D376F00"/>
    <w:multiLevelType w:val="hybridMultilevel"/>
    <w:tmpl w:val="E0300BA4"/>
    <w:lvl w:ilvl="0" w:tplc="038C636A">
      <w:start w:val="1"/>
      <w:numFmt w:val="bullet"/>
      <w:lvlText w:val=""/>
      <w:lvlJc w:val="left"/>
      <w:pPr>
        <w:ind w:left="360" w:hanging="360"/>
      </w:pPr>
      <w:rPr>
        <w:rFonts w:ascii="Symbol" w:hAnsi="Symbol" w:cs="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cs="Wingdings" w:hint="default"/>
      </w:rPr>
    </w:lvl>
    <w:lvl w:ilvl="3" w:tplc="14090001" w:tentative="1">
      <w:start w:val="1"/>
      <w:numFmt w:val="bullet"/>
      <w:lvlText w:val=""/>
      <w:lvlJc w:val="left"/>
      <w:pPr>
        <w:ind w:left="2520" w:hanging="360"/>
      </w:pPr>
      <w:rPr>
        <w:rFonts w:ascii="Symbol" w:hAnsi="Symbol" w:cs="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cs="Wingdings" w:hint="default"/>
      </w:rPr>
    </w:lvl>
    <w:lvl w:ilvl="6" w:tplc="14090001" w:tentative="1">
      <w:start w:val="1"/>
      <w:numFmt w:val="bullet"/>
      <w:lvlText w:val=""/>
      <w:lvlJc w:val="left"/>
      <w:pPr>
        <w:ind w:left="4680" w:hanging="360"/>
      </w:pPr>
      <w:rPr>
        <w:rFonts w:ascii="Symbol" w:hAnsi="Symbol" w:cs="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cs="Wingdings" w:hint="default"/>
      </w:rPr>
    </w:lvl>
  </w:abstractNum>
  <w:num w:numId="1">
    <w:abstractNumId w:val="1"/>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2"/>
  </w:num>
  <w:num w:numId="5">
    <w:abstractNumId w:val="5"/>
  </w:num>
  <w:num w:numId="6">
    <w:abstractNumId w:val="28"/>
  </w:num>
  <w:num w:numId="7">
    <w:abstractNumId w:val="0"/>
  </w:num>
  <w:num w:numId="8">
    <w:abstractNumId w:val="15"/>
  </w:num>
  <w:num w:numId="9">
    <w:abstractNumId w:val="26"/>
  </w:num>
  <w:num w:numId="10">
    <w:abstractNumId w:val="8"/>
  </w:num>
  <w:num w:numId="11">
    <w:abstractNumId w:val="33"/>
  </w:num>
  <w:num w:numId="12">
    <w:abstractNumId w:val="21"/>
  </w:num>
  <w:num w:numId="13">
    <w:abstractNumId w:val="18"/>
  </w:num>
  <w:num w:numId="14">
    <w:abstractNumId w:val="16"/>
  </w:num>
  <w:num w:numId="15">
    <w:abstractNumId w:val="17"/>
  </w:num>
  <w:num w:numId="16">
    <w:abstractNumId w:val="27"/>
  </w:num>
  <w:num w:numId="17">
    <w:abstractNumId w:val="29"/>
  </w:num>
  <w:num w:numId="18">
    <w:abstractNumId w:val="13"/>
  </w:num>
  <w:num w:numId="19">
    <w:abstractNumId w:val="24"/>
  </w:num>
  <w:num w:numId="20">
    <w:abstractNumId w:val="6"/>
  </w:num>
  <w:num w:numId="21">
    <w:abstractNumId w:val="30"/>
  </w:num>
  <w:num w:numId="22">
    <w:abstractNumId w:val="25"/>
  </w:num>
  <w:num w:numId="23">
    <w:abstractNumId w:val="4"/>
  </w:num>
  <w:num w:numId="24">
    <w:abstractNumId w:val="32"/>
  </w:num>
  <w:num w:numId="25">
    <w:abstractNumId w:val="3"/>
  </w:num>
  <w:num w:numId="26">
    <w:abstractNumId w:val="31"/>
  </w:num>
  <w:num w:numId="27">
    <w:abstractNumId w:val="23"/>
  </w:num>
  <w:num w:numId="28">
    <w:abstractNumId w:val="2"/>
  </w:num>
  <w:num w:numId="29">
    <w:abstractNumId w:val="14"/>
  </w:num>
  <w:num w:numId="30">
    <w:abstractNumId w:val="20"/>
  </w:num>
  <w:num w:numId="31">
    <w:abstractNumId w:val="22"/>
  </w:num>
  <w:num w:numId="32">
    <w:abstractNumId w:val="7"/>
  </w:num>
  <w:num w:numId="33">
    <w:abstractNumId w:val="11"/>
  </w:num>
  <w:num w:numId="34">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 AUT X8&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25rszwft292ev3esrpvpde0cpxrd9ex0xspp&quot;&gt;Affected others latest&lt;record-ids&gt;&lt;item&gt;1&lt;/item&gt;&lt;item&gt;2&lt;/item&gt;&lt;item&gt;5&lt;/item&gt;&lt;item&gt;9&lt;/item&gt;&lt;item&gt;11&lt;/item&gt;&lt;item&gt;24&lt;/item&gt;&lt;item&gt;25&lt;/item&gt;&lt;item&gt;26&lt;/item&gt;&lt;item&gt;29&lt;/item&gt;&lt;item&gt;30&lt;/item&gt;&lt;item&gt;33&lt;/item&gt;&lt;item&gt;35&lt;/item&gt;&lt;item&gt;37&lt;/item&gt;&lt;item&gt;38&lt;/item&gt;&lt;item&gt;39&lt;/item&gt;&lt;item&gt;40&lt;/item&gt;&lt;item&gt;43&lt;/item&gt;&lt;item&gt;47&lt;/item&gt;&lt;item&gt;49&lt;/item&gt;&lt;item&gt;50&lt;/item&gt;&lt;item&gt;51&lt;/item&gt;&lt;item&gt;52&lt;/item&gt;&lt;item&gt;57&lt;/item&gt;&lt;item&gt;58&lt;/item&gt;&lt;item&gt;60&lt;/item&gt;&lt;item&gt;64&lt;/item&gt;&lt;item&gt;67&lt;/item&gt;&lt;item&gt;73&lt;/item&gt;&lt;item&gt;80&lt;/item&gt;&lt;item&gt;81&lt;/item&gt;&lt;item&gt;86&lt;/item&gt;&lt;item&gt;87&lt;/item&gt;&lt;item&gt;88&lt;/item&gt;&lt;item&gt;92&lt;/item&gt;&lt;item&gt;93&lt;/item&gt;&lt;item&gt;96&lt;/item&gt;&lt;item&gt;97&lt;/item&gt;&lt;item&gt;98&lt;/item&gt;&lt;item&gt;100&lt;/item&gt;&lt;item&gt;101&lt;/item&gt;&lt;item&gt;102&lt;/item&gt;&lt;item&gt;103&lt;/item&gt;&lt;item&gt;107&lt;/item&gt;&lt;item&gt;111&lt;/item&gt;&lt;item&gt;112&lt;/item&gt;&lt;item&gt;118&lt;/item&gt;&lt;item&gt;119&lt;/item&gt;&lt;item&gt;120&lt;/item&gt;&lt;item&gt;124&lt;/item&gt;&lt;item&gt;125&lt;/item&gt;&lt;item&gt;130&lt;/item&gt;&lt;item&gt;136&lt;/item&gt;&lt;item&gt;137&lt;/item&gt;&lt;item&gt;138&lt;/item&gt;&lt;item&gt;139&lt;/item&gt;&lt;item&gt;140&lt;/item&gt;&lt;item&gt;141&lt;/item&gt;&lt;item&gt;142&lt;/item&gt;&lt;item&gt;143&lt;/item&gt;&lt;item&gt;144&lt;/item&gt;&lt;item&gt;145&lt;/item&gt;&lt;item&gt;147&lt;/item&gt;&lt;item&gt;149&lt;/item&gt;&lt;item&gt;150&lt;/item&gt;&lt;item&gt;151&lt;/item&gt;&lt;item&gt;152&lt;/item&gt;&lt;item&gt;153&lt;/item&gt;&lt;item&gt;156&lt;/item&gt;&lt;item&gt;161&lt;/item&gt;&lt;item&gt;163&lt;/item&gt;&lt;item&gt;201&lt;/item&gt;&lt;item&gt;205&lt;/item&gt;&lt;item&gt;206&lt;/item&gt;&lt;item&gt;207&lt;/item&gt;&lt;item&gt;208&lt;/item&gt;&lt;item&gt;209&lt;/item&gt;&lt;item&gt;210&lt;/item&gt;&lt;item&gt;215&lt;/item&gt;&lt;item&gt;216&lt;/item&gt;&lt;item&gt;217&lt;/item&gt;&lt;item&gt;218&lt;/item&gt;&lt;item&gt;223&lt;/item&gt;&lt;item&gt;224&lt;/item&gt;&lt;item&gt;225&lt;/item&gt;&lt;item&gt;227&lt;/item&gt;&lt;item&gt;236&lt;/item&gt;&lt;item&gt;237&lt;/item&gt;&lt;item&gt;238&lt;/item&gt;&lt;item&gt;240&lt;/item&gt;&lt;item&gt;241&lt;/item&gt;&lt;item&gt;242&lt;/item&gt;&lt;item&gt;243&lt;/item&gt;&lt;item&gt;244&lt;/item&gt;&lt;item&gt;248&lt;/item&gt;&lt;item&gt;249&lt;/item&gt;&lt;item&gt;250&lt;/item&gt;&lt;item&gt;253&lt;/item&gt;&lt;item&gt;254&lt;/item&gt;&lt;item&gt;255&lt;/item&gt;&lt;item&gt;256&lt;/item&gt;&lt;item&gt;257&lt;/item&gt;&lt;item&gt;258&lt;/item&gt;&lt;item&gt;260&lt;/item&gt;&lt;item&gt;261&lt;/item&gt;&lt;item&gt;262&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80&lt;/item&gt;&lt;item&gt;281&lt;/item&gt;&lt;item&gt;282&lt;/item&gt;&lt;item&gt;283&lt;/item&gt;&lt;item&gt;287&lt;/item&gt;&lt;item&gt;289&lt;/item&gt;&lt;item&gt;290&lt;/item&gt;&lt;item&gt;291&lt;/item&gt;&lt;item&gt;292&lt;/item&gt;&lt;item&gt;293&lt;/item&gt;&lt;item&gt;294&lt;/item&gt;&lt;item&gt;295&lt;/item&gt;&lt;item&gt;296&lt;/item&gt;&lt;item&gt;297&lt;/item&gt;&lt;item&gt;298&lt;/item&gt;&lt;item&gt;299&lt;/item&gt;&lt;item&gt;300&lt;/item&gt;&lt;item&gt;303&lt;/item&gt;&lt;item&gt;304&lt;/item&gt;&lt;item&gt;305&lt;/item&gt;&lt;item&gt;306&lt;/item&gt;&lt;item&gt;310&lt;/item&gt;&lt;item&gt;311&lt;/item&gt;&lt;item&gt;312&lt;/item&gt;&lt;item&gt;313&lt;/item&gt;&lt;item&gt;314&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6&lt;/item&gt;&lt;item&gt;337&lt;/item&gt;&lt;item&gt;338&lt;/item&gt;&lt;/record-ids&gt;&lt;/item&gt;&lt;/Libraries&gt;"/>
  </w:docVars>
  <w:rsids>
    <w:rsidRoot w:val="00C64299"/>
    <w:rsid w:val="0000018E"/>
    <w:rsid w:val="00000888"/>
    <w:rsid w:val="00000DCB"/>
    <w:rsid w:val="00001104"/>
    <w:rsid w:val="000046F5"/>
    <w:rsid w:val="000048D2"/>
    <w:rsid w:val="00005387"/>
    <w:rsid w:val="0000552A"/>
    <w:rsid w:val="0000580D"/>
    <w:rsid w:val="0000590E"/>
    <w:rsid w:val="00006D7E"/>
    <w:rsid w:val="00007238"/>
    <w:rsid w:val="00007780"/>
    <w:rsid w:val="00010263"/>
    <w:rsid w:val="0001065E"/>
    <w:rsid w:val="000128A7"/>
    <w:rsid w:val="000129B6"/>
    <w:rsid w:val="00012A3A"/>
    <w:rsid w:val="00012DE6"/>
    <w:rsid w:val="000135D8"/>
    <w:rsid w:val="00013713"/>
    <w:rsid w:val="00013830"/>
    <w:rsid w:val="000138A9"/>
    <w:rsid w:val="000147C2"/>
    <w:rsid w:val="0001510F"/>
    <w:rsid w:val="00015575"/>
    <w:rsid w:val="000155B4"/>
    <w:rsid w:val="000162C1"/>
    <w:rsid w:val="00016719"/>
    <w:rsid w:val="000168E8"/>
    <w:rsid w:val="000168F6"/>
    <w:rsid w:val="00016FB2"/>
    <w:rsid w:val="00017161"/>
    <w:rsid w:val="0001725B"/>
    <w:rsid w:val="00020212"/>
    <w:rsid w:val="00020567"/>
    <w:rsid w:val="000207CD"/>
    <w:rsid w:val="00020C38"/>
    <w:rsid w:val="00021AAD"/>
    <w:rsid w:val="00021DB4"/>
    <w:rsid w:val="00021F12"/>
    <w:rsid w:val="00022020"/>
    <w:rsid w:val="0002254E"/>
    <w:rsid w:val="00022643"/>
    <w:rsid w:val="000237DF"/>
    <w:rsid w:val="000246D2"/>
    <w:rsid w:val="0002470A"/>
    <w:rsid w:val="00024A89"/>
    <w:rsid w:val="00024ABD"/>
    <w:rsid w:val="00024D4D"/>
    <w:rsid w:val="0002583C"/>
    <w:rsid w:val="00025A3B"/>
    <w:rsid w:val="00025B69"/>
    <w:rsid w:val="00025C3C"/>
    <w:rsid w:val="0002622E"/>
    <w:rsid w:val="00026A7D"/>
    <w:rsid w:val="00030645"/>
    <w:rsid w:val="00030744"/>
    <w:rsid w:val="00030B87"/>
    <w:rsid w:val="0003122C"/>
    <w:rsid w:val="00031366"/>
    <w:rsid w:val="00032C2A"/>
    <w:rsid w:val="00034FDC"/>
    <w:rsid w:val="00035625"/>
    <w:rsid w:val="00035C00"/>
    <w:rsid w:val="00035CAC"/>
    <w:rsid w:val="00036070"/>
    <w:rsid w:val="000363DE"/>
    <w:rsid w:val="00036F00"/>
    <w:rsid w:val="000372A7"/>
    <w:rsid w:val="00037507"/>
    <w:rsid w:val="00040D2F"/>
    <w:rsid w:val="0004109A"/>
    <w:rsid w:val="0004176E"/>
    <w:rsid w:val="00041813"/>
    <w:rsid w:val="00041DF5"/>
    <w:rsid w:val="0004213C"/>
    <w:rsid w:val="00042DC4"/>
    <w:rsid w:val="0004338B"/>
    <w:rsid w:val="00043AB4"/>
    <w:rsid w:val="00044596"/>
    <w:rsid w:val="000451B9"/>
    <w:rsid w:val="00046134"/>
    <w:rsid w:val="000465E8"/>
    <w:rsid w:val="00047412"/>
    <w:rsid w:val="00047F58"/>
    <w:rsid w:val="00050D9B"/>
    <w:rsid w:val="00051724"/>
    <w:rsid w:val="00051AED"/>
    <w:rsid w:val="000524A1"/>
    <w:rsid w:val="0005274B"/>
    <w:rsid w:val="00052D16"/>
    <w:rsid w:val="00053206"/>
    <w:rsid w:val="000535FD"/>
    <w:rsid w:val="00053CD8"/>
    <w:rsid w:val="00054BD5"/>
    <w:rsid w:val="00054DC0"/>
    <w:rsid w:val="0005524F"/>
    <w:rsid w:val="00055972"/>
    <w:rsid w:val="00057603"/>
    <w:rsid w:val="00057EB0"/>
    <w:rsid w:val="00060AC6"/>
    <w:rsid w:val="0006165A"/>
    <w:rsid w:val="000621E9"/>
    <w:rsid w:val="000628CA"/>
    <w:rsid w:val="00062CE2"/>
    <w:rsid w:val="00062ED7"/>
    <w:rsid w:val="00063160"/>
    <w:rsid w:val="000635B4"/>
    <w:rsid w:val="000637C6"/>
    <w:rsid w:val="00064E1C"/>
    <w:rsid w:val="0006510D"/>
    <w:rsid w:val="00065A27"/>
    <w:rsid w:val="00065B67"/>
    <w:rsid w:val="0006767A"/>
    <w:rsid w:val="00067684"/>
    <w:rsid w:val="000676F2"/>
    <w:rsid w:val="000705AD"/>
    <w:rsid w:val="00070EBC"/>
    <w:rsid w:val="00071E43"/>
    <w:rsid w:val="00071FEF"/>
    <w:rsid w:val="00072AE5"/>
    <w:rsid w:val="000736CC"/>
    <w:rsid w:val="000738EB"/>
    <w:rsid w:val="00073AF1"/>
    <w:rsid w:val="00074164"/>
    <w:rsid w:val="00075263"/>
    <w:rsid w:val="00076405"/>
    <w:rsid w:val="0007796B"/>
    <w:rsid w:val="000779A5"/>
    <w:rsid w:val="00077A07"/>
    <w:rsid w:val="000805CE"/>
    <w:rsid w:val="00080999"/>
    <w:rsid w:val="000811F2"/>
    <w:rsid w:val="00081A62"/>
    <w:rsid w:val="00081F48"/>
    <w:rsid w:val="0008218C"/>
    <w:rsid w:val="00082596"/>
    <w:rsid w:val="000832F5"/>
    <w:rsid w:val="000836BF"/>
    <w:rsid w:val="00083D5E"/>
    <w:rsid w:val="00084049"/>
    <w:rsid w:val="00084C6B"/>
    <w:rsid w:val="00085335"/>
    <w:rsid w:val="00086473"/>
    <w:rsid w:val="000871A2"/>
    <w:rsid w:val="0008769E"/>
    <w:rsid w:val="00087DC9"/>
    <w:rsid w:val="00087F53"/>
    <w:rsid w:val="0009071B"/>
    <w:rsid w:val="00091FC7"/>
    <w:rsid w:val="0009305E"/>
    <w:rsid w:val="0009308B"/>
    <w:rsid w:val="000932A0"/>
    <w:rsid w:val="000937D8"/>
    <w:rsid w:val="00094079"/>
    <w:rsid w:val="000940B9"/>
    <w:rsid w:val="00094B6B"/>
    <w:rsid w:val="00094F99"/>
    <w:rsid w:val="0009579A"/>
    <w:rsid w:val="00095D3B"/>
    <w:rsid w:val="00095E79"/>
    <w:rsid w:val="000963BA"/>
    <w:rsid w:val="00096672"/>
    <w:rsid w:val="00096B24"/>
    <w:rsid w:val="000973DC"/>
    <w:rsid w:val="000975FE"/>
    <w:rsid w:val="000A0CD9"/>
    <w:rsid w:val="000A102A"/>
    <w:rsid w:val="000A14C2"/>
    <w:rsid w:val="000A1CBF"/>
    <w:rsid w:val="000A37DB"/>
    <w:rsid w:val="000A3A51"/>
    <w:rsid w:val="000A428B"/>
    <w:rsid w:val="000A53C0"/>
    <w:rsid w:val="000A5A4E"/>
    <w:rsid w:val="000A6299"/>
    <w:rsid w:val="000A6911"/>
    <w:rsid w:val="000A7532"/>
    <w:rsid w:val="000A7F63"/>
    <w:rsid w:val="000B0184"/>
    <w:rsid w:val="000B0497"/>
    <w:rsid w:val="000B1CA8"/>
    <w:rsid w:val="000B211E"/>
    <w:rsid w:val="000B2170"/>
    <w:rsid w:val="000B2628"/>
    <w:rsid w:val="000B2E4D"/>
    <w:rsid w:val="000B35C5"/>
    <w:rsid w:val="000B6DBB"/>
    <w:rsid w:val="000B72CB"/>
    <w:rsid w:val="000B75A6"/>
    <w:rsid w:val="000C024A"/>
    <w:rsid w:val="000C0D37"/>
    <w:rsid w:val="000C120B"/>
    <w:rsid w:val="000C191B"/>
    <w:rsid w:val="000C31BE"/>
    <w:rsid w:val="000C31FB"/>
    <w:rsid w:val="000C3EFB"/>
    <w:rsid w:val="000C4078"/>
    <w:rsid w:val="000C42FE"/>
    <w:rsid w:val="000C4959"/>
    <w:rsid w:val="000C4E5B"/>
    <w:rsid w:val="000C4E9A"/>
    <w:rsid w:val="000C4FC5"/>
    <w:rsid w:val="000C52B2"/>
    <w:rsid w:val="000C5592"/>
    <w:rsid w:val="000C5DDB"/>
    <w:rsid w:val="000C5F79"/>
    <w:rsid w:val="000C628E"/>
    <w:rsid w:val="000C6F7B"/>
    <w:rsid w:val="000C73E4"/>
    <w:rsid w:val="000C75A8"/>
    <w:rsid w:val="000D058A"/>
    <w:rsid w:val="000D0F54"/>
    <w:rsid w:val="000D1162"/>
    <w:rsid w:val="000D2375"/>
    <w:rsid w:val="000D3651"/>
    <w:rsid w:val="000D43E2"/>
    <w:rsid w:val="000D43F4"/>
    <w:rsid w:val="000D44CE"/>
    <w:rsid w:val="000D660A"/>
    <w:rsid w:val="000D68F4"/>
    <w:rsid w:val="000D7037"/>
    <w:rsid w:val="000D7235"/>
    <w:rsid w:val="000D7842"/>
    <w:rsid w:val="000E0B19"/>
    <w:rsid w:val="000E10DF"/>
    <w:rsid w:val="000E1AC1"/>
    <w:rsid w:val="000E21C5"/>
    <w:rsid w:val="000E24B1"/>
    <w:rsid w:val="000E2967"/>
    <w:rsid w:val="000E2A76"/>
    <w:rsid w:val="000E2CEA"/>
    <w:rsid w:val="000E3BE3"/>
    <w:rsid w:val="000E4F5A"/>
    <w:rsid w:val="000E4F90"/>
    <w:rsid w:val="000E5027"/>
    <w:rsid w:val="000E5621"/>
    <w:rsid w:val="000E5DE1"/>
    <w:rsid w:val="000E5FF9"/>
    <w:rsid w:val="000E6213"/>
    <w:rsid w:val="000E6DA7"/>
    <w:rsid w:val="000E6DD6"/>
    <w:rsid w:val="000F01D4"/>
    <w:rsid w:val="000F0280"/>
    <w:rsid w:val="000F0B54"/>
    <w:rsid w:val="000F1338"/>
    <w:rsid w:val="000F1ABC"/>
    <w:rsid w:val="000F1B2C"/>
    <w:rsid w:val="000F2046"/>
    <w:rsid w:val="000F21CB"/>
    <w:rsid w:val="000F2ACF"/>
    <w:rsid w:val="000F4F5D"/>
    <w:rsid w:val="000F5649"/>
    <w:rsid w:val="000F575C"/>
    <w:rsid w:val="000F597C"/>
    <w:rsid w:val="000F64B0"/>
    <w:rsid w:val="000F7049"/>
    <w:rsid w:val="000F79FC"/>
    <w:rsid w:val="000F7E90"/>
    <w:rsid w:val="000F7EA7"/>
    <w:rsid w:val="00100862"/>
    <w:rsid w:val="0010273B"/>
    <w:rsid w:val="00102EC7"/>
    <w:rsid w:val="001035CE"/>
    <w:rsid w:val="00104761"/>
    <w:rsid w:val="00104D0D"/>
    <w:rsid w:val="00105490"/>
    <w:rsid w:val="00105709"/>
    <w:rsid w:val="00105952"/>
    <w:rsid w:val="00110670"/>
    <w:rsid w:val="00110DCC"/>
    <w:rsid w:val="001112F4"/>
    <w:rsid w:val="00111710"/>
    <w:rsid w:val="001134E8"/>
    <w:rsid w:val="001138F6"/>
    <w:rsid w:val="0011405B"/>
    <w:rsid w:val="00114A3C"/>
    <w:rsid w:val="00114F74"/>
    <w:rsid w:val="00114FD7"/>
    <w:rsid w:val="001155BF"/>
    <w:rsid w:val="0011567C"/>
    <w:rsid w:val="001161FE"/>
    <w:rsid w:val="00120228"/>
    <w:rsid w:val="0012341D"/>
    <w:rsid w:val="0012359D"/>
    <w:rsid w:val="001258AC"/>
    <w:rsid w:val="00125A5B"/>
    <w:rsid w:val="001304C8"/>
    <w:rsid w:val="00132C42"/>
    <w:rsid w:val="00134371"/>
    <w:rsid w:val="00134C13"/>
    <w:rsid w:val="00135093"/>
    <w:rsid w:val="001351B7"/>
    <w:rsid w:val="0013574E"/>
    <w:rsid w:val="00136B47"/>
    <w:rsid w:val="001376BB"/>
    <w:rsid w:val="00137B73"/>
    <w:rsid w:val="00140230"/>
    <w:rsid w:val="001402B1"/>
    <w:rsid w:val="00140695"/>
    <w:rsid w:val="001407E2"/>
    <w:rsid w:val="00140A80"/>
    <w:rsid w:val="00140D2F"/>
    <w:rsid w:val="001427A8"/>
    <w:rsid w:val="001428BD"/>
    <w:rsid w:val="00142E5E"/>
    <w:rsid w:val="00143E34"/>
    <w:rsid w:val="001441F6"/>
    <w:rsid w:val="0014471C"/>
    <w:rsid w:val="001448DC"/>
    <w:rsid w:val="00144B10"/>
    <w:rsid w:val="00144D64"/>
    <w:rsid w:val="00144E2B"/>
    <w:rsid w:val="001455D6"/>
    <w:rsid w:val="00146106"/>
    <w:rsid w:val="0014693C"/>
    <w:rsid w:val="00146D09"/>
    <w:rsid w:val="0014708F"/>
    <w:rsid w:val="00147CA1"/>
    <w:rsid w:val="0015009A"/>
    <w:rsid w:val="00150D13"/>
    <w:rsid w:val="001512D0"/>
    <w:rsid w:val="00151368"/>
    <w:rsid w:val="001513CC"/>
    <w:rsid w:val="00151DC1"/>
    <w:rsid w:val="00153405"/>
    <w:rsid w:val="00153D05"/>
    <w:rsid w:val="001540DE"/>
    <w:rsid w:val="001551EB"/>
    <w:rsid w:val="00155864"/>
    <w:rsid w:val="00155BD8"/>
    <w:rsid w:val="00155C5C"/>
    <w:rsid w:val="001565B1"/>
    <w:rsid w:val="001566FB"/>
    <w:rsid w:val="00156DE0"/>
    <w:rsid w:val="00160553"/>
    <w:rsid w:val="00160593"/>
    <w:rsid w:val="00160CA8"/>
    <w:rsid w:val="001610D6"/>
    <w:rsid w:val="00161C9C"/>
    <w:rsid w:val="00162B13"/>
    <w:rsid w:val="00162DEC"/>
    <w:rsid w:val="00163FC4"/>
    <w:rsid w:val="001640F0"/>
    <w:rsid w:val="001645CF"/>
    <w:rsid w:val="0016495F"/>
    <w:rsid w:val="00164BE2"/>
    <w:rsid w:val="00164CCA"/>
    <w:rsid w:val="00164DFA"/>
    <w:rsid w:val="00165663"/>
    <w:rsid w:val="00166750"/>
    <w:rsid w:val="00167114"/>
    <w:rsid w:val="0016733F"/>
    <w:rsid w:val="0016743C"/>
    <w:rsid w:val="00167582"/>
    <w:rsid w:val="001679E5"/>
    <w:rsid w:val="0017083D"/>
    <w:rsid w:val="00170D9F"/>
    <w:rsid w:val="00171325"/>
    <w:rsid w:val="0017214A"/>
    <w:rsid w:val="001723AD"/>
    <w:rsid w:val="001723EE"/>
    <w:rsid w:val="00173A44"/>
    <w:rsid w:val="00173CF4"/>
    <w:rsid w:val="00174F03"/>
    <w:rsid w:val="00175459"/>
    <w:rsid w:val="00175CDA"/>
    <w:rsid w:val="0017650F"/>
    <w:rsid w:val="00176DFA"/>
    <w:rsid w:val="00177252"/>
    <w:rsid w:val="00177919"/>
    <w:rsid w:val="0017796C"/>
    <w:rsid w:val="001809DF"/>
    <w:rsid w:val="001829B2"/>
    <w:rsid w:val="001834A6"/>
    <w:rsid w:val="0018359B"/>
    <w:rsid w:val="001839C6"/>
    <w:rsid w:val="0018408E"/>
    <w:rsid w:val="00184F8A"/>
    <w:rsid w:val="001850A2"/>
    <w:rsid w:val="0018550E"/>
    <w:rsid w:val="001862A2"/>
    <w:rsid w:val="0018692C"/>
    <w:rsid w:val="00186F82"/>
    <w:rsid w:val="0018701C"/>
    <w:rsid w:val="001872DA"/>
    <w:rsid w:val="0019047B"/>
    <w:rsid w:val="001904B8"/>
    <w:rsid w:val="0019073D"/>
    <w:rsid w:val="00190845"/>
    <w:rsid w:val="00191000"/>
    <w:rsid w:val="00192DC3"/>
    <w:rsid w:val="00192FB0"/>
    <w:rsid w:val="001931AB"/>
    <w:rsid w:val="00193CAA"/>
    <w:rsid w:val="00194363"/>
    <w:rsid w:val="00195768"/>
    <w:rsid w:val="001959FF"/>
    <w:rsid w:val="00195DE5"/>
    <w:rsid w:val="0019644B"/>
    <w:rsid w:val="00196A44"/>
    <w:rsid w:val="00196AE9"/>
    <w:rsid w:val="001971D6"/>
    <w:rsid w:val="001A001A"/>
    <w:rsid w:val="001A0421"/>
    <w:rsid w:val="001A093A"/>
    <w:rsid w:val="001A0A4B"/>
    <w:rsid w:val="001A1D24"/>
    <w:rsid w:val="001A1E56"/>
    <w:rsid w:val="001A1F94"/>
    <w:rsid w:val="001A2175"/>
    <w:rsid w:val="001A307B"/>
    <w:rsid w:val="001A435C"/>
    <w:rsid w:val="001A489F"/>
    <w:rsid w:val="001A4C69"/>
    <w:rsid w:val="001A4CC7"/>
    <w:rsid w:val="001A65A5"/>
    <w:rsid w:val="001A6668"/>
    <w:rsid w:val="001A7D06"/>
    <w:rsid w:val="001B0083"/>
    <w:rsid w:val="001B041E"/>
    <w:rsid w:val="001B11BF"/>
    <w:rsid w:val="001B13B0"/>
    <w:rsid w:val="001B154E"/>
    <w:rsid w:val="001B1AC3"/>
    <w:rsid w:val="001B1C02"/>
    <w:rsid w:val="001B2FF8"/>
    <w:rsid w:val="001B4166"/>
    <w:rsid w:val="001B4271"/>
    <w:rsid w:val="001B436D"/>
    <w:rsid w:val="001B4805"/>
    <w:rsid w:val="001B48DA"/>
    <w:rsid w:val="001B5697"/>
    <w:rsid w:val="001B5A11"/>
    <w:rsid w:val="001B67FB"/>
    <w:rsid w:val="001B6AAE"/>
    <w:rsid w:val="001B6E2F"/>
    <w:rsid w:val="001B7E1A"/>
    <w:rsid w:val="001C0F63"/>
    <w:rsid w:val="001C1FE4"/>
    <w:rsid w:val="001C25F3"/>
    <w:rsid w:val="001C2695"/>
    <w:rsid w:val="001C3484"/>
    <w:rsid w:val="001C3A05"/>
    <w:rsid w:val="001C488E"/>
    <w:rsid w:val="001C49BD"/>
    <w:rsid w:val="001C4C6E"/>
    <w:rsid w:val="001C4EA1"/>
    <w:rsid w:val="001C57DF"/>
    <w:rsid w:val="001C58B3"/>
    <w:rsid w:val="001C59FA"/>
    <w:rsid w:val="001C5E1E"/>
    <w:rsid w:val="001C6EB7"/>
    <w:rsid w:val="001C7761"/>
    <w:rsid w:val="001C781E"/>
    <w:rsid w:val="001C7AA0"/>
    <w:rsid w:val="001C7B9D"/>
    <w:rsid w:val="001D049E"/>
    <w:rsid w:val="001D1214"/>
    <w:rsid w:val="001D199F"/>
    <w:rsid w:val="001D2655"/>
    <w:rsid w:val="001D2A64"/>
    <w:rsid w:val="001D3C9F"/>
    <w:rsid w:val="001D49FD"/>
    <w:rsid w:val="001D4FC6"/>
    <w:rsid w:val="001D555A"/>
    <w:rsid w:val="001D57D0"/>
    <w:rsid w:val="001D6CCB"/>
    <w:rsid w:val="001D76FC"/>
    <w:rsid w:val="001D7F21"/>
    <w:rsid w:val="001E0320"/>
    <w:rsid w:val="001E10A5"/>
    <w:rsid w:val="001E2205"/>
    <w:rsid w:val="001E2B9E"/>
    <w:rsid w:val="001E3996"/>
    <w:rsid w:val="001E3FA9"/>
    <w:rsid w:val="001E4339"/>
    <w:rsid w:val="001E4931"/>
    <w:rsid w:val="001E55DE"/>
    <w:rsid w:val="001E5D73"/>
    <w:rsid w:val="001E7D4B"/>
    <w:rsid w:val="001F069A"/>
    <w:rsid w:val="001F0CCC"/>
    <w:rsid w:val="001F100F"/>
    <w:rsid w:val="001F12DB"/>
    <w:rsid w:val="001F2368"/>
    <w:rsid w:val="001F245F"/>
    <w:rsid w:val="001F31D9"/>
    <w:rsid w:val="001F31FE"/>
    <w:rsid w:val="001F34A3"/>
    <w:rsid w:val="001F3F0F"/>
    <w:rsid w:val="001F46B9"/>
    <w:rsid w:val="001F497C"/>
    <w:rsid w:val="001F59BE"/>
    <w:rsid w:val="00200506"/>
    <w:rsid w:val="00200580"/>
    <w:rsid w:val="00200935"/>
    <w:rsid w:val="00200DEB"/>
    <w:rsid w:val="002016DC"/>
    <w:rsid w:val="00201810"/>
    <w:rsid w:val="0020196B"/>
    <w:rsid w:val="00201ED7"/>
    <w:rsid w:val="002027DA"/>
    <w:rsid w:val="00203A9A"/>
    <w:rsid w:val="00204340"/>
    <w:rsid w:val="00204EAF"/>
    <w:rsid w:val="0020579E"/>
    <w:rsid w:val="00207052"/>
    <w:rsid w:val="00207C47"/>
    <w:rsid w:val="00207DA8"/>
    <w:rsid w:val="002100AF"/>
    <w:rsid w:val="002103E1"/>
    <w:rsid w:val="00212352"/>
    <w:rsid w:val="00212F5D"/>
    <w:rsid w:val="00213306"/>
    <w:rsid w:val="002134DC"/>
    <w:rsid w:val="00213B2C"/>
    <w:rsid w:val="00214592"/>
    <w:rsid w:val="002145FA"/>
    <w:rsid w:val="002158BE"/>
    <w:rsid w:val="00215BC8"/>
    <w:rsid w:val="00215C00"/>
    <w:rsid w:val="00216124"/>
    <w:rsid w:val="0022013F"/>
    <w:rsid w:val="002214C6"/>
    <w:rsid w:val="002218B1"/>
    <w:rsid w:val="00221A16"/>
    <w:rsid w:val="0022267A"/>
    <w:rsid w:val="002228CB"/>
    <w:rsid w:val="00222AC7"/>
    <w:rsid w:val="00224E0B"/>
    <w:rsid w:val="00225B01"/>
    <w:rsid w:val="00225B90"/>
    <w:rsid w:val="00226D4F"/>
    <w:rsid w:val="00226E64"/>
    <w:rsid w:val="00226EC3"/>
    <w:rsid w:val="00226FFC"/>
    <w:rsid w:val="00227624"/>
    <w:rsid w:val="00227C64"/>
    <w:rsid w:val="002305E3"/>
    <w:rsid w:val="002308F8"/>
    <w:rsid w:val="00230CF4"/>
    <w:rsid w:val="0023114C"/>
    <w:rsid w:val="00231318"/>
    <w:rsid w:val="00231585"/>
    <w:rsid w:val="002316FC"/>
    <w:rsid w:val="00232276"/>
    <w:rsid w:val="00233231"/>
    <w:rsid w:val="0023336D"/>
    <w:rsid w:val="00233396"/>
    <w:rsid w:val="002336FB"/>
    <w:rsid w:val="002344B9"/>
    <w:rsid w:val="00234933"/>
    <w:rsid w:val="00234B02"/>
    <w:rsid w:val="00235CA2"/>
    <w:rsid w:val="002362D4"/>
    <w:rsid w:val="00236A5E"/>
    <w:rsid w:val="00236EA5"/>
    <w:rsid w:val="0023772A"/>
    <w:rsid w:val="00237820"/>
    <w:rsid w:val="00237A9F"/>
    <w:rsid w:val="00237F91"/>
    <w:rsid w:val="00240408"/>
    <w:rsid w:val="002404E3"/>
    <w:rsid w:val="00240821"/>
    <w:rsid w:val="00240F4C"/>
    <w:rsid w:val="0024151B"/>
    <w:rsid w:val="00241BBA"/>
    <w:rsid w:val="00243973"/>
    <w:rsid w:val="00243FC3"/>
    <w:rsid w:val="00244142"/>
    <w:rsid w:val="00244F0E"/>
    <w:rsid w:val="00245100"/>
    <w:rsid w:val="00245A35"/>
    <w:rsid w:val="00245CDA"/>
    <w:rsid w:val="00245F42"/>
    <w:rsid w:val="00246203"/>
    <w:rsid w:val="00246AD2"/>
    <w:rsid w:val="00247232"/>
    <w:rsid w:val="002474E0"/>
    <w:rsid w:val="002477AB"/>
    <w:rsid w:val="0025081C"/>
    <w:rsid w:val="002519A4"/>
    <w:rsid w:val="00252201"/>
    <w:rsid w:val="002529E8"/>
    <w:rsid w:val="002530FD"/>
    <w:rsid w:val="0025460B"/>
    <w:rsid w:val="0025579E"/>
    <w:rsid w:val="00256011"/>
    <w:rsid w:val="002560FE"/>
    <w:rsid w:val="0025651D"/>
    <w:rsid w:val="00256A94"/>
    <w:rsid w:val="00257F05"/>
    <w:rsid w:val="002610CE"/>
    <w:rsid w:val="0026126A"/>
    <w:rsid w:val="00262BA3"/>
    <w:rsid w:val="00262EC5"/>
    <w:rsid w:val="00262F24"/>
    <w:rsid w:val="002643ED"/>
    <w:rsid w:val="00264DD2"/>
    <w:rsid w:val="00266079"/>
    <w:rsid w:val="00267C79"/>
    <w:rsid w:val="00270D78"/>
    <w:rsid w:val="00271137"/>
    <w:rsid w:val="00271D9D"/>
    <w:rsid w:val="002726F0"/>
    <w:rsid w:val="002733F6"/>
    <w:rsid w:val="0027404C"/>
    <w:rsid w:val="0027420C"/>
    <w:rsid w:val="00274CDF"/>
    <w:rsid w:val="00274F62"/>
    <w:rsid w:val="00274FA0"/>
    <w:rsid w:val="00275339"/>
    <w:rsid w:val="0027570C"/>
    <w:rsid w:val="002758DF"/>
    <w:rsid w:val="002766E3"/>
    <w:rsid w:val="00276859"/>
    <w:rsid w:val="00277D18"/>
    <w:rsid w:val="00280003"/>
    <w:rsid w:val="0028014F"/>
    <w:rsid w:val="00280440"/>
    <w:rsid w:val="00280C5E"/>
    <w:rsid w:val="0028132F"/>
    <w:rsid w:val="0028158D"/>
    <w:rsid w:val="00281658"/>
    <w:rsid w:val="00281E09"/>
    <w:rsid w:val="00282032"/>
    <w:rsid w:val="00282537"/>
    <w:rsid w:val="002827D6"/>
    <w:rsid w:val="00282973"/>
    <w:rsid w:val="00282A11"/>
    <w:rsid w:val="00282AA6"/>
    <w:rsid w:val="00282D71"/>
    <w:rsid w:val="0028374F"/>
    <w:rsid w:val="002839AA"/>
    <w:rsid w:val="00284353"/>
    <w:rsid w:val="002846F2"/>
    <w:rsid w:val="002866BD"/>
    <w:rsid w:val="00286C5F"/>
    <w:rsid w:val="00287939"/>
    <w:rsid w:val="00287A09"/>
    <w:rsid w:val="002901B0"/>
    <w:rsid w:val="00290FA2"/>
    <w:rsid w:val="00291CD3"/>
    <w:rsid w:val="00291DB4"/>
    <w:rsid w:val="0029220B"/>
    <w:rsid w:val="00292FAB"/>
    <w:rsid w:val="0029318E"/>
    <w:rsid w:val="00293673"/>
    <w:rsid w:val="00293E66"/>
    <w:rsid w:val="002951A5"/>
    <w:rsid w:val="00295D46"/>
    <w:rsid w:val="00296A64"/>
    <w:rsid w:val="002A097D"/>
    <w:rsid w:val="002A0A41"/>
    <w:rsid w:val="002A10E5"/>
    <w:rsid w:val="002A1291"/>
    <w:rsid w:val="002A1B80"/>
    <w:rsid w:val="002A1C47"/>
    <w:rsid w:val="002A1EF2"/>
    <w:rsid w:val="002A25ED"/>
    <w:rsid w:val="002A2857"/>
    <w:rsid w:val="002A2895"/>
    <w:rsid w:val="002A2CF0"/>
    <w:rsid w:val="002A4A4E"/>
    <w:rsid w:val="002A510B"/>
    <w:rsid w:val="002A62CD"/>
    <w:rsid w:val="002A6970"/>
    <w:rsid w:val="002A6B6B"/>
    <w:rsid w:val="002A75A9"/>
    <w:rsid w:val="002B0775"/>
    <w:rsid w:val="002B22DC"/>
    <w:rsid w:val="002B29DC"/>
    <w:rsid w:val="002B4226"/>
    <w:rsid w:val="002B4C97"/>
    <w:rsid w:val="002B4F8F"/>
    <w:rsid w:val="002B54BA"/>
    <w:rsid w:val="002B56C5"/>
    <w:rsid w:val="002B6483"/>
    <w:rsid w:val="002B65F5"/>
    <w:rsid w:val="002B6932"/>
    <w:rsid w:val="002B7092"/>
    <w:rsid w:val="002B73EB"/>
    <w:rsid w:val="002C0EFE"/>
    <w:rsid w:val="002C192B"/>
    <w:rsid w:val="002C2875"/>
    <w:rsid w:val="002C42C3"/>
    <w:rsid w:val="002C4A71"/>
    <w:rsid w:val="002C51DA"/>
    <w:rsid w:val="002C51E2"/>
    <w:rsid w:val="002C5B36"/>
    <w:rsid w:val="002C5C0B"/>
    <w:rsid w:val="002C6015"/>
    <w:rsid w:val="002C65DE"/>
    <w:rsid w:val="002C6B08"/>
    <w:rsid w:val="002C6B5B"/>
    <w:rsid w:val="002C712C"/>
    <w:rsid w:val="002C7ADE"/>
    <w:rsid w:val="002D0BCA"/>
    <w:rsid w:val="002D19D5"/>
    <w:rsid w:val="002D1D24"/>
    <w:rsid w:val="002D1F8E"/>
    <w:rsid w:val="002D21AF"/>
    <w:rsid w:val="002D2997"/>
    <w:rsid w:val="002D3075"/>
    <w:rsid w:val="002D3350"/>
    <w:rsid w:val="002D4EF1"/>
    <w:rsid w:val="002D5504"/>
    <w:rsid w:val="002D5A54"/>
    <w:rsid w:val="002D5C54"/>
    <w:rsid w:val="002D5E33"/>
    <w:rsid w:val="002D5F5A"/>
    <w:rsid w:val="002D6B16"/>
    <w:rsid w:val="002E1422"/>
    <w:rsid w:val="002E18E9"/>
    <w:rsid w:val="002E1F02"/>
    <w:rsid w:val="002E29E9"/>
    <w:rsid w:val="002E2B69"/>
    <w:rsid w:val="002E2E4D"/>
    <w:rsid w:val="002E3011"/>
    <w:rsid w:val="002E3B1E"/>
    <w:rsid w:val="002E4F34"/>
    <w:rsid w:val="002E54A2"/>
    <w:rsid w:val="002E5AEB"/>
    <w:rsid w:val="002E5BB4"/>
    <w:rsid w:val="002E6402"/>
    <w:rsid w:val="002E6541"/>
    <w:rsid w:val="002E7BAE"/>
    <w:rsid w:val="002F094C"/>
    <w:rsid w:val="002F11E9"/>
    <w:rsid w:val="002F1223"/>
    <w:rsid w:val="002F137B"/>
    <w:rsid w:val="002F17BE"/>
    <w:rsid w:val="002F2153"/>
    <w:rsid w:val="002F2623"/>
    <w:rsid w:val="002F2E39"/>
    <w:rsid w:val="002F3128"/>
    <w:rsid w:val="002F45EC"/>
    <w:rsid w:val="002F4608"/>
    <w:rsid w:val="002F4661"/>
    <w:rsid w:val="002F49FF"/>
    <w:rsid w:val="002F5355"/>
    <w:rsid w:val="002F552C"/>
    <w:rsid w:val="002F5604"/>
    <w:rsid w:val="002F61B8"/>
    <w:rsid w:val="002F644B"/>
    <w:rsid w:val="002F6E3F"/>
    <w:rsid w:val="002F73EA"/>
    <w:rsid w:val="002F748F"/>
    <w:rsid w:val="002F7AAD"/>
    <w:rsid w:val="0030122A"/>
    <w:rsid w:val="0030158F"/>
    <w:rsid w:val="003025F8"/>
    <w:rsid w:val="003029EC"/>
    <w:rsid w:val="00302A49"/>
    <w:rsid w:val="0030404B"/>
    <w:rsid w:val="00304778"/>
    <w:rsid w:val="00304D04"/>
    <w:rsid w:val="0030689E"/>
    <w:rsid w:val="0030694D"/>
    <w:rsid w:val="00307583"/>
    <w:rsid w:val="00307887"/>
    <w:rsid w:val="003107E1"/>
    <w:rsid w:val="0031135B"/>
    <w:rsid w:val="00311D6D"/>
    <w:rsid w:val="003123F6"/>
    <w:rsid w:val="00312D13"/>
    <w:rsid w:val="0031394B"/>
    <w:rsid w:val="00313CB9"/>
    <w:rsid w:val="00314067"/>
    <w:rsid w:val="00315264"/>
    <w:rsid w:val="00316B89"/>
    <w:rsid w:val="003174CE"/>
    <w:rsid w:val="00320E7E"/>
    <w:rsid w:val="003219E7"/>
    <w:rsid w:val="0032217A"/>
    <w:rsid w:val="0032250D"/>
    <w:rsid w:val="00323497"/>
    <w:rsid w:val="00323FAD"/>
    <w:rsid w:val="00324891"/>
    <w:rsid w:val="00324C38"/>
    <w:rsid w:val="003252C7"/>
    <w:rsid w:val="00325588"/>
    <w:rsid w:val="00325D41"/>
    <w:rsid w:val="0032790F"/>
    <w:rsid w:val="00327A65"/>
    <w:rsid w:val="00327C22"/>
    <w:rsid w:val="00327F5D"/>
    <w:rsid w:val="003311B4"/>
    <w:rsid w:val="0033140E"/>
    <w:rsid w:val="00331A01"/>
    <w:rsid w:val="00333767"/>
    <w:rsid w:val="00333972"/>
    <w:rsid w:val="00334424"/>
    <w:rsid w:val="00334A34"/>
    <w:rsid w:val="00335313"/>
    <w:rsid w:val="00335A25"/>
    <w:rsid w:val="00336701"/>
    <w:rsid w:val="00336B08"/>
    <w:rsid w:val="0034050D"/>
    <w:rsid w:val="003418A4"/>
    <w:rsid w:val="00341FAE"/>
    <w:rsid w:val="003424D0"/>
    <w:rsid w:val="00342510"/>
    <w:rsid w:val="0034315D"/>
    <w:rsid w:val="003436BD"/>
    <w:rsid w:val="0034398A"/>
    <w:rsid w:val="003440D6"/>
    <w:rsid w:val="003448CD"/>
    <w:rsid w:val="00344C79"/>
    <w:rsid w:val="00344D40"/>
    <w:rsid w:val="00345BC7"/>
    <w:rsid w:val="0034611F"/>
    <w:rsid w:val="00346207"/>
    <w:rsid w:val="00346258"/>
    <w:rsid w:val="0034675A"/>
    <w:rsid w:val="00346A47"/>
    <w:rsid w:val="00346DE0"/>
    <w:rsid w:val="00346E0A"/>
    <w:rsid w:val="00347C42"/>
    <w:rsid w:val="003503F8"/>
    <w:rsid w:val="003504EE"/>
    <w:rsid w:val="00350675"/>
    <w:rsid w:val="0035189C"/>
    <w:rsid w:val="0035394C"/>
    <w:rsid w:val="00353E91"/>
    <w:rsid w:val="003542B9"/>
    <w:rsid w:val="00354A8F"/>
    <w:rsid w:val="00354B1E"/>
    <w:rsid w:val="0035580E"/>
    <w:rsid w:val="00356EC4"/>
    <w:rsid w:val="00357595"/>
    <w:rsid w:val="00357BD3"/>
    <w:rsid w:val="00357E0C"/>
    <w:rsid w:val="003604C3"/>
    <w:rsid w:val="00360BA6"/>
    <w:rsid w:val="003615D3"/>
    <w:rsid w:val="00361D60"/>
    <w:rsid w:val="00362905"/>
    <w:rsid w:val="003632F4"/>
    <w:rsid w:val="003637AD"/>
    <w:rsid w:val="003645A6"/>
    <w:rsid w:val="0036498A"/>
    <w:rsid w:val="00364BB8"/>
    <w:rsid w:val="00365293"/>
    <w:rsid w:val="00365490"/>
    <w:rsid w:val="00366404"/>
    <w:rsid w:val="00366428"/>
    <w:rsid w:val="0036714F"/>
    <w:rsid w:val="0036783A"/>
    <w:rsid w:val="00370241"/>
    <w:rsid w:val="00370449"/>
    <w:rsid w:val="0037051D"/>
    <w:rsid w:val="00370A25"/>
    <w:rsid w:val="0037209A"/>
    <w:rsid w:val="003721C5"/>
    <w:rsid w:val="00372332"/>
    <w:rsid w:val="003724C1"/>
    <w:rsid w:val="00372B2C"/>
    <w:rsid w:val="0037319B"/>
    <w:rsid w:val="003734BF"/>
    <w:rsid w:val="00373BB6"/>
    <w:rsid w:val="00374462"/>
    <w:rsid w:val="00374883"/>
    <w:rsid w:val="0037542D"/>
    <w:rsid w:val="00375633"/>
    <w:rsid w:val="003756A9"/>
    <w:rsid w:val="00376915"/>
    <w:rsid w:val="003771AB"/>
    <w:rsid w:val="0037761C"/>
    <w:rsid w:val="003777BC"/>
    <w:rsid w:val="00377FC2"/>
    <w:rsid w:val="003807F9"/>
    <w:rsid w:val="0038167B"/>
    <w:rsid w:val="003818A8"/>
    <w:rsid w:val="00381A25"/>
    <w:rsid w:val="003822E3"/>
    <w:rsid w:val="003824B4"/>
    <w:rsid w:val="0038256C"/>
    <w:rsid w:val="00382F62"/>
    <w:rsid w:val="0038467A"/>
    <w:rsid w:val="00384777"/>
    <w:rsid w:val="00385404"/>
    <w:rsid w:val="0038623B"/>
    <w:rsid w:val="00386CFC"/>
    <w:rsid w:val="0038736E"/>
    <w:rsid w:val="00387A4A"/>
    <w:rsid w:val="0039162B"/>
    <w:rsid w:val="00391F4C"/>
    <w:rsid w:val="00392749"/>
    <w:rsid w:val="00393499"/>
    <w:rsid w:val="00393655"/>
    <w:rsid w:val="0039407A"/>
    <w:rsid w:val="003940ED"/>
    <w:rsid w:val="00394511"/>
    <w:rsid w:val="00394593"/>
    <w:rsid w:val="0039498C"/>
    <w:rsid w:val="00394E3C"/>
    <w:rsid w:val="00395093"/>
    <w:rsid w:val="00395E82"/>
    <w:rsid w:val="0039641F"/>
    <w:rsid w:val="00396CB0"/>
    <w:rsid w:val="00397654"/>
    <w:rsid w:val="003A047A"/>
    <w:rsid w:val="003A0980"/>
    <w:rsid w:val="003A0DB4"/>
    <w:rsid w:val="003A1EBB"/>
    <w:rsid w:val="003A2CA0"/>
    <w:rsid w:val="003A2DB2"/>
    <w:rsid w:val="003A3E27"/>
    <w:rsid w:val="003A3F29"/>
    <w:rsid w:val="003A42B8"/>
    <w:rsid w:val="003A4D66"/>
    <w:rsid w:val="003A4ED7"/>
    <w:rsid w:val="003A5A20"/>
    <w:rsid w:val="003A5D98"/>
    <w:rsid w:val="003A6193"/>
    <w:rsid w:val="003A6446"/>
    <w:rsid w:val="003A6459"/>
    <w:rsid w:val="003A68E8"/>
    <w:rsid w:val="003A79E1"/>
    <w:rsid w:val="003B0143"/>
    <w:rsid w:val="003B04D4"/>
    <w:rsid w:val="003B04E5"/>
    <w:rsid w:val="003B0BDA"/>
    <w:rsid w:val="003B17D4"/>
    <w:rsid w:val="003B2B6B"/>
    <w:rsid w:val="003B3AA7"/>
    <w:rsid w:val="003B46EC"/>
    <w:rsid w:val="003B4E0F"/>
    <w:rsid w:val="003B538F"/>
    <w:rsid w:val="003B558F"/>
    <w:rsid w:val="003B576C"/>
    <w:rsid w:val="003B6F0F"/>
    <w:rsid w:val="003B734D"/>
    <w:rsid w:val="003C017D"/>
    <w:rsid w:val="003C0E8E"/>
    <w:rsid w:val="003C0EF2"/>
    <w:rsid w:val="003C1037"/>
    <w:rsid w:val="003C21DB"/>
    <w:rsid w:val="003C262A"/>
    <w:rsid w:val="003C3278"/>
    <w:rsid w:val="003C33CB"/>
    <w:rsid w:val="003C36DD"/>
    <w:rsid w:val="003C37E5"/>
    <w:rsid w:val="003C3E38"/>
    <w:rsid w:val="003C500B"/>
    <w:rsid w:val="003C5062"/>
    <w:rsid w:val="003C61B6"/>
    <w:rsid w:val="003C6B2B"/>
    <w:rsid w:val="003C754B"/>
    <w:rsid w:val="003C7EA9"/>
    <w:rsid w:val="003C7FE3"/>
    <w:rsid w:val="003D010F"/>
    <w:rsid w:val="003D1471"/>
    <w:rsid w:val="003D219E"/>
    <w:rsid w:val="003D270E"/>
    <w:rsid w:val="003D2C96"/>
    <w:rsid w:val="003D2D37"/>
    <w:rsid w:val="003D3B06"/>
    <w:rsid w:val="003D4167"/>
    <w:rsid w:val="003D4211"/>
    <w:rsid w:val="003D4E7C"/>
    <w:rsid w:val="003D526A"/>
    <w:rsid w:val="003D597F"/>
    <w:rsid w:val="003D5E20"/>
    <w:rsid w:val="003D61C3"/>
    <w:rsid w:val="003D666B"/>
    <w:rsid w:val="003D67E7"/>
    <w:rsid w:val="003D7125"/>
    <w:rsid w:val="003D71A3"/>
    <w:rsid w:val="003D7AEF"/>
    <w:rsid w:val="003D7E71"/>
    <w:rsid w:val="003E089A"/>
    <w:rsid w:val="003E1037"/>
    <w:rsid w:val="003E1154"/>
    <w:rsid w:val="003E1465"/>
    <w:rsid w:val="003E155F"/>
    <w:rsid w:val="003E195A"/>
    <w:rsid w:val="003E1C91"/>
    <w:rsid w:val="003E1CFC"/>
    <w:rsid w:val="003E1D3D"/>
    <w:rsid w:val="003E2423"/>
    <w:rsid w:val="003E2B31"/>
    <w:rsid w:val="003E3283"/>
    <w:rsid w:val="003E32BE"/>
    <w:rsid w:val="003E3362"/>
    <w:rsid w:val="003E3863"/>
    <w:rsid w:val="003E3880"/>
    <w:rsid w:val="003E3BA6"/>
    <w:rsid w:val="003E42EF"/>
    <w:rsid w:val="003E490B"/>
    <w:rsid w:val="003E4E38"/>
    <w:rsid w:val="003E5DD9"/>
    <w:rsid w:val="003E6584"/>
    <w:rsid w:val="003E6765"/>
    <w:rsid w:val="003E6CF3"/>
    <w:rsid w:val="003E7625"/>
    <w:rsid w:val="003E7BB9"/>
    <w:rsid w:val="003F09F6"/>
    <w:rsid w:val="003F11B5"/>
    <w:rsid w:val="003F1215"/>
    <w:rsid w:val="003F1895"/>
    <w:rsid w:val="003F1971"/>
    <w:rsid w:val="003F1B05"/>
    <w:rsid w:val="003F22BC"/>
    <w:rsid w:val="003F299F"/>
    <w:rsid w:val="003F2D0C"/>
    <w:rsid w:val="003F3120"/>
    <w:rsid w:val="003F381A"/>
    <w:rsid w:val="003F41EE"/>
    <w:rsid w:val="003F497D"/>
    <w:rsid w:val="003F5E87"/>
    <w:rsid w:val="003F630A"/>
    <w:rsid w:val="003F637A"/>
    <w:rsid w:val="003F64D8"/>
    <w:rsid w:val="003F697B"/>
    <w:rsid w:val="003F7D7B"/>
    <w:rsid w:val="00400971"/>
    <w:rsid w:val="00400C57"/>
    <w:rsid w:val="00402803"/>
    <w:rsid w:val="004031D3"/>
    <w:rsid w:val="004037DC"/>
    <w:rsid w:val="00403837"/>
    <w:rsid w:val="00404950"/>
    <w:rsid w:val="0040567A"/>
    <w:rsid w:val="00405C3D"/>
    <w:rsid w:val="00405FB1"/>
    <w:rsid w:val="004060D1"/>
    <w:rsid w:val="004066B2"/>
    <w:rsid w:val="004069B8"/>
    <w:rsid w:val="00406A36"/>
    <w:rsid w:val="00406E84"/>
    <w:rsid w:val="004075C3"/>
    <w:rsid w:val="00407D83"/>
    <w:rsid w:val="0041016A"/>
    <w:rsid w:val="00411C57"/>
    <w:rsid w:val="00411E22"/>
    <w:rsid w:val="00411EA0"/>
    <w:rsid w:val="00411EEB"/>
    <w:rsid w:val="00412155"/>
    <w:rsid w:val="00412303"/>
    <w:rsid w:val="00412845"/>
    <w:rsid w:val="0041299C"/>
    <w:rsid w:val="004131AC"/>
    <w:rsid w:val="00413641"/>
    <w:rsid w:val="004136E3"/>
    <w:rsid w:val="00413D3F"/>
    <w:rsid w:val="0041490E"/>
    <w:rsid w:val="00414C4E"/>
    <w:rsid w:val="00414C99"/>
    <w:rsid w:val="00415949"/>
    <w:rsid w:val="00421248"/>
    <w:rsid w:val="0042181F"/>
    <w:rsid w:val="0042246B"/>
    <w:rsid w:val="00422EF8"/>
    <w:rsid w:val="00422F82"/>
    <w:rsid w:val="00423AA4"/>
    <w:rsid w:val="00423E99"/>
    <w:rsid w:val="0042557C"/>
    <w:rsid w:val="00425ACB"/>
    <w:rsid w:val="00425CC4"/>
    <w:rsid w:val="00425FE2"/>
    <w:rsid w:val="004263E7"/>
    <w:rsid w:val="00426493"/>
    <w:rsid w:val="00426645"/>
    <w:rsid w:val="00426F48"/>
    <w:rsid w:val="00427600"/>
    <w:rsid w:val="0042778D"/>
    <w:rsid w:val="00427B48"/>
    <w:rsid w:val="004305A8"/>
    <w:rsid w:val="0043067E"/>
    <w:rsid w:val="00430F8A"/>
    <w:rsid w:val="004328E0"/>
    <w:rsid w:val="004333A4"/>
    <w:rsid w:val="004353D2"/>
    <w:rsid w:val="0043547B"/>
    <w:rsid w:val="004354B9"/>
    <w:rsid w:val="0043586E"/>
    <w:rsid w:val="00435915"/>
    <w:rsid w:val="00435ABF"/>
    <w:rsid w:val="00437B8A"/>
    <w:rsid w:val="00437CD3"/>
    <w:rsid w:val="0044003D"/>
    <w:rsid w:val="0044186D"/>
    <w:rsid w:val="00441B13"/>
    <w:rsid w:val="00441D81"/>
    <w:rsid w:val="00442409"/>
    <w:rsid w:val="00443455"/>
    <w:rsid w:val="00443763"/>
    <w:rsid w:val="004437EE"/>
    <w:rsid w:val="00443B2C"/>
    <w:rsid w:val="0044492E"/>
    <w:rsid w:val="00445998"/>
    <w:rsid w:val="004459C4"/>
    <w:rsid w:val="0044608D"/>
    <w:rsid w:val="00447199"/>
    <w:rsid w:val="004472E1"/>
    <w:rsid w:val="00447411"/>
    <w:rsid w:val="00450E2B"/>
    <w:rsid w:val="004512A8"/>
    <w:rsid w:val="0045145B"/>
    <w:rsid w:val="004519A3"/>
    <w:rsid w:val="00452AD3"/>
    <w:rsid w:val="0045364F"/>
    <w:rsid w:val="00453D89"/>
    <w:rsid w:val="00454E48"/>
    <w:rsid w:val="004555F4"/>
    <w:rsid w:val="004558D6"/>
    <w:rsid w:val="0045591F"/>
    <w:rsid w:val="00455CDC"/>
    <w:rsid w:val="00455E68"/>
    <w:rsid w:val="00456F66"/>
    <w:rsid w:val="004619E6"/>
    <w:rsid w:val="00461BF8"/>
    <w:rsid w:val="00462599"/>
    <w:rsid w:val="0046341F"/>
    <w:rsid w:val="00463652"/>
    <w:rsid w:val="00463A3F"/>
    <w:rsid w:val="00463A77"/>
    <w:rsid w:val="00463E7F"/>
    <w:rsid w:val="00463F9F"/>
    <w:rsid w:val="00465404"/>
    <w:rsid w:val="0046593D"/>
    <w:rsid w:val="00465D05"/>
    <w:rsid w:val="004661DE"/>
    <w:rsid w:val="00466CAD"/>
    <w:rsid w:val="00467103"/>
    <w:rsid w:val="004673C5"/>
    <w:rsid w:val="00467BF7"/>
    <w:rsid w:val="00470258"/>
    <w:rsid w:val="00471297"/>
    <w:rsid w:val="004713A3"/>
    <w:rsid w:val="004716D9"/>
    <w:rsid w:val="00471D28"/>
    <w:rsid w:val="0047297E"/>
    <w:rsid w:val="00472D0D"/>
    <w:rsid w:val="00473736"/>
    <w:rsid w:val="00473B71"/>
    <w:rsid w:val="0047415B"/>
    <w:rsid w:val="00474F4C"/>
    <w:rsid w:val="00476826"/>
    <w:rsid w:val="00476975"/>
    <w:rsid w:val="0047744D"/>
    <w:rsid w:val="0048008C"/>
    <w:rsid w:val="004811C5"/>
    <w:rsid w:val="00481F4B"/>
    <w:rsid w:val="00482A79"/>
    <w:rsid w:val="00483566"/>
    <w:rsid w:val="004842E2"/>
    <w:rsid w:val="00484879"/>
    <w:rsid w:val="0048534E"/>
    <w:rsid w:val="004855CF"/>
    <w:rsid w:val="004860AE"/>
    <w:rsid w:val="0048658D"/>
    <w:rsid w:val="00486739"/>
    <w:rsid w:val="00486E30"/>
    <w:rsid w:val="0048713B"/>
    <w:rsid w:val="00487372"/>
    <w:rsid w:val="0048796F"/>
    <w:rsid w:val="0049082A"/>
    <w:rsid w:val="0049114A"/>
    <w:rsid w:val="00492733"/>
    <w:rsid w:val="00493062"/>
    <w:rsid w:val="004933A6"/>
    <w:rsid w:val="00493B7D"/>
    <w:rsid w:val="00493C20"/>
    <w:rsid w:val="00493EEF"/>
    <w:rsid w:val="0049430F"/>
    <w:rsid w:val="00494A45"/>
    <w:rsid w:val="00495C74"/>
    <w:rsid w:val="0049624F"/>
    <w:rsid w:val="0049645E"/>
    <w:rsid w:val="004968E6"/>
    <w:rsid w:val="00496C18"/>
    <w:rsid w:val="004978D2"/>
    <w:rsid w:val="004A03D4"/>
    <w:rsid w:val="004A070B"/>
    <w:rsid w:val="004A111F"/>
    <w:rsid w:val="004A19CC"/>
    <w:rsid w:val="004A33B4"/>
    <w:rsid w:val="004A4E7E"/>
    <w:rsid w:val="004A5D76"/>
    <w:rsid w:val="004A6346"/>
    <w:rsid w:val="004A6847"/>
    <w:rsid w:val="004A696E"/>
    <w:rsid w:val="004A6E1C"/>
    <w:rsid w:val="004A79FC"/>
    <w:rsid w:val="004B04DD"/>
    <w:rsid w:val="004B12C0"/>
    <w:rsid w:val="004B2358"/>
    <w:rsid w:val="004B2C02"/>
    <w:rsid w:val="004B31E5"/>
    <w:rsid w:val="004B3FD4"/>
    <w:rsid w:val="004B4A1F"/>
    <w:rsid w:val="004B4ABC"/>
    <w:rsid w:val="004B4D71"/>
    <w:rsid w:val="004B58F5"/>
    <w:rsid w:val="004B5FA4"/>
    <w:rsid w:val="004B61AD"/>
    <w:rsid w:val="004B6AB8"/>
    <w:rsid w:val="004B7114"/>
    <w:rsid w:val="004B719F"/>
    <w:rsid w:val="004B79C5"/>
    <w:rsid w:val="004C0303"/>
    <w:rsid w:val="004C0534"/>
    <w:rsid w:val="004C07FB"/>
    <w:rsid w:val="004C13C2"/>
    <w:rsid w:val="004C19D6"/>
    <w:rsid w:val="004C1A59"/>
    <w:rsid w:val="004C1BA8"/>
    <w:rsid w:val="004C3247"/>
    <w:rsid w:val="004C3F66"/>
    <w:rsid w:val="004C4694"/>
    <w:rsid w:val="004C4893"/>
    <w:rsid w:val="004C59EA"/>
    <w:rsid w:val="004C5D05"/>
    <w:rsid w:val="004C690E"/>
    <w:rsid w:val="004C6BEC"/>
    <w:rsid w:val="004C6FD2"/>
    <w:rsid w:val="004C7110"/>
    <w:rsid w:val="004C73CB"/>
    <w:rsid w:val="004C7AC1"/>
    <w:rsid w:val="004C7D2D"/>
    <w:rsid w:val="004D122D"/>
    <w:rsid w:val="004D1C8F"/>
    <w:rsid w:val="004D2312"/>
    <w:rsid w:val="004D24FB"/>
    <w:rsid w:val="004D2720"/>
    <w:rsid w:val="004D2D33"/>
    <w:rsid w:val="004D3B8A"/>
    <w:rsid w:val="004D43C4"/>
    <w:rsid w:val="004D43DD"/>
    <w:rsid w:val="004D4B90"/>
    <w:rsid w:val="004D55FE"/>
    <w:rsid w:val="004D56BA"/>
    <w:rsid w:val="004D5BCD"/>
    <w:rsid w:val="004D62B1"/>
    <w:rsid w:val="004D6BCC"/>
    <w:rsid w:val="004D70A2"/>
    <w:rsid w:val="004D78EB"/>
    <w:rsid w:val="004D7E00"/>
    <w:rsid w:val="004E0A7E"/>
    <w:rsid w:val="004E167A"/>
    <w:rsid w:val="004E3067"/>
    <w:rsid w:val="004E38D5"/>
    <w:rsid w:val="004E3EAF"/>
    <w:rsid w:val="004E4730"/>
    <w:rsid w:val="004E4BCF"/>
    <w:rsid w:val="004E5970"/>
    <w:rsid w:val="004E5AFA"/>
    <w:rsid w:val="004E5F03"/>
    <w:rsid w:val="004E62D5"/>
    <w:rsid w:val="004E6F2C"/>
    <w:rsid w:val="004E7B8D"/>
    <w:rsid w:val="004F0E0E"/>
    <w:rsid w:val="004F1319"/>
    <w:rsid w:val="004F2A3E"/>
    <w:rsid w:val="004F2AC2"/>
    <w:rsid w:val="004F5CDE"/>
    <w:rsid w:val="004F7F13"/>
    <w:rsid w:val="00500DA7"/>
    <w:rsid w:val="00500E0C"/>
    <w:rsid w:val="00500E19"/>
    <w:rsid w:val="005012B7"/>
    <w:rsid w:val="0050182F"/>
    <w:rsid w:val="005018AC"/>
    <w:rsid w:val="00501E48"/>
    <w:rsid w:val="00502492"/>
    <w:rsid w:val="00502811"/>
    <w:rsid w:val="005029CD"/>
    <w:rsid w:val="00502B16"/>
    <w:rsid w:val="00503889"/>
    <w:rsid w:val="005047D3"/>
    <w:rsid w:val="0050496D"/>
    <w:rsid w:val="00504D60"/>
    <w:rsid w:val="0050654C"/>
    <w:rsid w:val="00507B2D"/>
    <w:rsid w:val="00507C88"/>
    <w:rsid w:val="00510A25"/>
    <w:rsid w:val="00511875"/>
    <w:rsid w:val="00512BBC"/>
    <w:rsid w:val="00513F20"/>
    <w:rsid w:val="00514C94"/>
    <w:rsid w:val="00515192"/>
    <w:rsid w:val="00516AA0"/>
    <w:rsid w:val="00516FDC"/>
    <w:rsid w:val="0051796B"/>
    <w:rsid w:val="00517A5A"/>
    <w:rsid w:val="00517B7C"/>
    <w:rsid w:val="0052095B"/>
    <w:rsid w:val="00521FB7"/>
    <w:rsid w:val="00522399"/>
    <w:rsid w:val="0052284A"/>
    <w:rsid w:val="00523838"/>
    <w:rsid w:val="00523ACC"/>
    <w:rsid w:val="00523B16"/>
    <w:rsid w:val="00525ED4"/>
    <w:rsid w:val="005262C7"/>
    <w:rsid w:val="00526FF4"/>
    <w:rsid w:val="00527100"/>
    <w:rsid w:val="00527741"/>
    <w:rsid w:val="00530198"/>
    <w:rsid w:val="005302AB"/>
    <w:rsid w:val="00531135"/>
    <w:rsid w:val="005311E8"/>
    <w:rsid w:val="00531786"/>
    <w:rsid w:val="00534BC1"/>
    <w:rsid w:val="00534C4C"/>
    <w:rsid w:val="0053614D"/>
    <w:rsid w:val="00536DE3"/>
    <w:rsid w:val="005377A4"/>
    <w:rsid w:val="00537816"/>
    <w:rsid w:val="00537C59"/>
    <w:rsid w:val="00540706"/>
    <w:rsid w:val="0054176C"/>
    <w:rsid w:val="00542E1B"/>
    <w:rsid w:val="005434D7"/>
    <w:rsid w:val="005437C3"/>
    <w:rsid w:val="005438D4"/>
    <w:rsid w:val="005449D2"/>
    <w:rsid w:val="00544CFD"/>
    <w:rsid w:val="00544DC8"/>
    <w:rsid w:val="0054504B"/>
    <w:rsid w:val="00545453"/>
    <w:rsid w:val="005460E6"/>
    <w:rsid w:val="00546478"/>
    <w:rsid w:val="00546692"/>
    <w:rsid w:val="00546A33"/>
    <w:rsid w:val="00547663"/>
    <w:rsid w:val="00550A3F"/>
    <w:rsid w:val="00550CBD"/>
    <w:rsid w:val="005517C3"/>
    <w:rsid w:val="005518D2"/>
    <w:rsid w:val="00551910"/>
    <w:rsid w:val="00551B5F"/>
    <w:rsid w:val="0055263D"/>
    <w:rsid w:val="00553436"/>
    <w:rsid w:val="00554199"/>
    <w:rsid w:val="00555073"/>
    <w:rsid w:val="00555099"/>
    <w:rsid w:val="005553F4"/>
    <w:rsid w:val="00555867"/>
    <w:rsid w:val="00555C7E"/>
    <w:rsid w:val="00556173"/>
    <w:rsid w:val="00557437"/>
    <w:rsid w:val="005574D3"/>
    <w:rsid w:val="00557706"/>
    <w:rsid w:val="00557AA4"/>
    <w:rsid w:val="00557DA0"/>
    <w:rsid w:val="005601BC"/>
    <w:rsid w:val="0056028D"/>
    <w:rsid w:val="00560801"/>
    <w:rsid w:val="005617D2"/>
    <w:rsid w:val="00562A65"/>
    <w:rsid w:val="00562C53"/>
    <w:rsid w:val="00563596"/>
    <w:rsid w:val="00564122"/>
    <w:rsid w:val="005642F9"/>
    <w:rsid w:val="005644DA"/>
    <w:rsid w:val="0056469C"/>
    <w:rsid w:val="00564826"/>
    <w:rsid w:val="0056580F"/>
    <w:rsid w:val="00566378"/>
    <w:rsid w:val="005669C2"/>
    <w:rsid w:val="00566E33"/>
    <w:rsid w:val="0056723D"/>
    <w:rsid w:val="00567C88"/>
    <w:rsid w:val="00570131"/>
    <w:rsid w:val="005703AE"/>
    <w:rsid w:val="00571D95"/>
    <w:rsid w:val="005726BF"/>
    <w:rsid w:val="00572AC5"/>
    <w:rsid w:val="00572ACB"/>
    <w:rsid w:val="00572CEB"/>
    <w:rsid w:val="00573338"/>
    <w:rsid w:val="005734B0"/>
    <w:rsid w:val="005746DE"/>
    <w:rsid w:val="00574AD8"/>
    <w:rsid w:val="00574E13"/>
    <w:rsid w:val="0057529C"/>
    <w:rsid w:val="0057557C"/>
    <w:rsid w:val="00580409"/>
    <w:rsid w:val="00580B45"/>
    <w:rsid w:val="00581403"/>
    <w:rsid w:val="00581630"/>
    <w:rsid w:val="00582B52"/>
    <w:rsid w:val="00583612"/>
    <w:rsid w:val="005847D4"/>
    <w:rsid w:val="00586143"/>
    <w:rsid w:val="005861AA"/>
    <w:rsid w:val="00586757"/>
    <w:rsid w:val="00586BD2"/>
    <w:rsid w:val="0058701E"/>
    <w:rsid w:val="005877DD"/>
    <w:rsid w:val="00590A86"/>
    <w:rsid w:val="00590D9F"/>
    <w:rsid w:val="00591191"/>
    <w:rsid w:val="00591DE6"/>
    <w:rsid w:val="005924AA"/>
    <w:rsid w:val="005927A8"/>
    <w:rsid w:val="00593CC0"/>
    <w:rsid w:val="00593FBE"/>
    <w:rsid w:val="00594FFF"/>
    <w:rsid w:val="00596710"/>
    <w:rsid w:val="00596A61"/>
    <w:rsid w:val="005976C9"/>
    <w:rsid w:val="005A08E7"/>
    <w:rsid w:val="005A10E5"/>
    <w:rsid w:val="005A1C93"/>
    <w:rsid w:val="005A2FF0"/>
    <w:rsid w:val="005A3122"/>
    <w:rsid w:val="005A3D51"/>
    <w:rsid w:val="005A3D54"/>
    <w:rsid w:val="005A42EA"/>
    <w:rsid w:val="005A4A09"/>
    <w:rsid w:val="005A502A"/>
    <w:rsid w:val="005A598D"/>
    <w:rsid w:val="005A5D27"/>
    <w:rsid w:val="005A62FC"/>
    <w:rsid w:val="005A6785"/>
    <w:rsid w:val="005A7B29"/>
    <w:rsid w:val="005A7C95"/>
    <w:rsid w:val="005A7D75"/>
    <w:rsid w:val="005B0B1D"/>
    <w:rsid w:val="005B0CC2"/>
    <w:rsid w:val="005B129B"/>
    <w:rsid w:val="005B1310"/>
    <w:rsid w:val="005B13E1"/>
    <w:rsid w:val="005B1721"/>
    <w:rsid w:val="005B2B95"/>
    <w:rsid w:val="005B308D"/>
    <w:rsid w:val="005B33E1"/>
    <w:rsid w:val="005B39E6"/>
    <w:rsid w:val="005B459E"/>
    <w:rsid w:val="005B4AB9"/>
    <w:rsid w:val="005B4CBE"/>
    <w:rsid w:val="005B513A"/>
    <w:rsid w:val="005B53C0"/>
    <w:rsid w:val="005B553A"/>
    <w:rsid w:val="005B64BE"/>
    <w:rsid w:val="005B76D6"/>
    <w:rsid w:val="005C015A"/>
    <w:rsid w:val="005C029C"/>
    <w:rsid w:val="005C02E7"/>
    <w:rsid w:val="005C19D4"/>
    <w:rsid w:val="005C2DCB"/>
    <w:rsid w:val="005C2F85"/>
    <w:rsid w:val="005C365B"/>
    <w:rsid w:val="005C3A3E"/>
    <w:rsid w:val="005C3B35"/>
    <w:rsid w:val="005C46A2"/>
    <w:rsid w:val="005C5495"/>
    <w:rsid w:val="005C55E9"/>
    <w:rsid w:val="005C58C6"/>
    <w:rsid w:val="005C5BBC"/>
    <w:rsid w:val="005C6507"/>
    <w:rsid w:val="005C7F2C"/>
    <w:rsid w:val="005D1D7B"/>
    <w:rsid w:val="005D1E50"/>
    <w:rsid w:val="005D20FF"/>
    <w:rsid w:val="005D2115"/>
    <w:rsid w:val="005D2B99"/>
    <w:rsid w:val="005D34C0"/>
    <w:rsid w:val="005D3C45"/>
    <w:rsid w:val="005D4194"/>
    <w:rsid w:val="005D4211"/>
    <w:rsid w:val="005D4A60"/>
    <w:rsid w:val="005D5133"/>
    <w:rsid w:val="005D5271"/>
    <w:rsid w:val="005D5D72"/>
    <w:rsid w:val="005D6AE3"/>
    <w:rsid w:val="005D74F3"/>
    <w:rsid w:val="005D7E41"/>
    <w:rsid w:val="005D7F16"/>
    <w:rsid w:val="005D7FFA"/>
    <w:rsid w:val="005E0A43"/>
    <w:rsid w:val="005E1013"/>
    <w:rsid w:val="005E1CB8"/>
    <w:rsid w:val="005E255B"/>
    <w:rsid w:val="005E2672"/>
    <w:rsid w:val="005E31F7"/>
    <w:rsid w:val="005E3296"/>
    <w:rsid w:val="005E395E"/>
    <w:rsid w:val="005E3AE5"/>
    <w:rsid w:val="005E453F"/>
    <w:rsid w:val="005E47CB"/>
    <w:rsid w:val="005E56EC"/>
    <w:rsid w:val="005E6E4D"/>
    <w:rsid w:val="005E7CD4"/>
    <w:rsid w:val="005F0A84"/>
    <w:rsid w:val="005F0B5E"/>
    <w:rsid w:val="005F1329"/>
    <w:rsid w:val="005F149A"/>
    <w:rsid w:val="005F1836"/>
    <w:rsid w:val="005F222D"/>
    <w:rsid w:val="005F2246"/>
    <w:rsid w:val="005F2258"/>
    <w:rsid w:val="005F2F22"/>
    <w:rsid w:val="005F312D"/>
    <w:rsid w:val="005F629E"/>
    <w:rsid w:val="005F6320"/>
    <w:rsid w:val="005F641C"/>
    <w:rsid w:val="005F691B"/>
    <w:rsid w:val="005F73E5"/>
    <w:rsid w:val="005F79C9"/>
    <w:rsid w:val="006009A1"/>
    <w:rsid w:val="00600FF4"/>
    <w:rsid w:val="0060177E"/>
    <w:rsid w:val="00601BB6"/>
    <w:rsid w:val="00601C3A"/>
    <w:rsid w:val="0060283F"/>
    <w:rsid w:val="00602B15"/>
    <w:rsid w:val="00603AA2"/>
    <w:rsid w:val="00603C3F"/>
    <w:rsid w:val="00604A9F"/>
    <w:rsid w:val="00604D69"/>
    <w:rsid w:val="006077F7"/>
    <w:rsid w:val="006102A5"/>
    <w:rsid w:val="00611415"/>
    <w:rsid w:val="00612199"/>
    <w:rsid w:val="006129C2"/>
    <w:rsid w:val="00612C1B"/>
    <w:rsid w:val="006133D2"/>
    <w:rsid w:val="00613AAF"/>
    <w:rsid w:val="00614B07"/>
    <w:rsid w:val="00614D9D"/>
    <w:rsid w:val="006150EF"/>
    <w:rsid w:val="00615658"/>
    <w:rsid w:val="00616328"/>
    <w:rsid w:val="006173AE"/>
    <w:rsid w:val="00617D44"/>
    <w:rsid w:val="00617D65"/>
    <w:rsid w:val="00617DAF"/>
    <w:rsid w:val="006207EB"/>
    <w:rsid w:val="00620C38"/>
    <w:rsid w:val="00620CFE"/>
    <w:rsid w:val="00620E40"/>
    <w:rsid w:val="00621264"/>
    <w:rsid w:val="006217DF"/>
    <w:rsid w:val="00622026"/>
    <w:rsid w:val="00622394"/>
    <w:rsid w:val="00622A98"/>
    <w:rsid w:val="00622E74"/>
    <w:rsid w:val="006243D7"/>
    <w:rsid w:val="0062496F"/>
    <w:rsid w:val="00624BBD"/>
    <w:rsid w:val="00624F43"/>
    <w:rsid w:val="0062562F"/>
    <w:rsid w:val="00625F89"/>
    <w:rsid w:val="0062684C"/>
    <w:rsid w:val="00626949"/>
    <w:rsid w:val="00626A5A"/>
    <w:rsid w:val="0062750B"/>
    <w:rsid w:val="00627697"/>
    <w:rsid w:val="00630171"/>
    <w:rsid w:val="00631102"/>
    <w:rsid w:val="00631B8F"/>
    <w:rsid w:val="00632B51"/>
    <w:rsid w:val="00633008"/>
    <w:rsid w:val="00633034"/>
    <w:rsid w:val="006345A9"/>
    <w:rsid w:val="0063518D"/>
    <w:rsid w:val="00636487"/>
    <w:rsid w:val="00637268"/>
    <w:rsid w:val="006379FB"/>
    <w:rsid w:val="00637AFD"/>
    <w:rsid w:val="00637B72"/>
    <w:rsid w:val="006405D4"/>
    <w:rsid w:val="0064113B"/>
    <w:rsid w:val="00641BAD"/>
    <w:rsid w:val="006421B6"/>
    <w:rsid w:val="0064228F"/>
    <w:rsid w:val="006422AD"/>
    <w:rsid w:val="00642CA9"/>
    <w:rsid w:val="00643644"/>
    <w:rsid w:val="00643B1E"/>
    <w:rsid w:val="00643BEB"/>
    <w:rsid w:val="00644A2D"/>
    <w:rsid w:val="006452FD"/>
    <w:rsid w:val="006463FF"/>
    <w:rsid w:val="0064718F"/>
    <w:rsid w:val="00647713"/>
    <w:rsid w:val="00647750"/>
    <w:rsid w:val="006478EF"/>
    <w:rsid w:val="00647C43"/>
    <w:rsid w:val="00650102"/>
    <w:rsid w:val="00650698"/>
    <w:rsid w:val="0065081A"/>
    <w:rsid w:val="00650A70"/>
    <w:rsid w:val="00650C46"/>
    <w:rsid w:val="006511E1"/>
    <w:rsid w:val="0065121B"/>
    <w:rsid w:val="006515FE"/>
    <w:rsid w:val="00651B37"/>
    <w:rsid w:val="006521BD"/>
    <w:rsid w:val="006525D1"/>
    <w:rsid w:val="0065269A"/>
    <w:rsid w:val="0065290B"/>
    <w:rsid w:val="00652C31"/>
    <w:rsid w:val="00652DEC"/>
    <w:rsid w:val="006530C6"/>
    <w:rsid w:val="00653413"/>
    <w:rsid w:val="00653970"/>
    <w:rsid w:val="00654B3B"/>
    <w:rsid w:val="00655F77"/>
    <w:rsid w:val="00656428"/>
    <w:rsid w:val="0065666C"/>
    <w:rsid w:val="00656835"/>
    <w:rsid w:val="0065734E"/>
    <w:rsid w:val="00657C10"/>
    <w:rsid w:val="00657D30"/>
    <w:rsid w:val="00657FC1"/>
    <w:rsid w:val="0066007F"/>
    <w:rsid w:val="00660460"/>
    <w:rsid w:val="00660DBC"/>
    <w:rsid w:val="00660EEA"/>
    <w:rsid w:val="00660F35"/>
    <w:rsid w:val="0066139E"/>
    <w:rsid w:val="00661A88"/>
    <w:rsid w:val="00661D9E"/>
    <w:rsid w:val="006626BB"/>
    <w:rsid w:val="00662970"/>
    <w:rsid w:val="006633D5"/>
    <w:rsid w:val="006633D9"/>
    <w:rsid w:val="00663E3F"/>
    <w:rsid w:val="0066556B"/>
    <w:rsid w:val="0066595E"/>
    <w:rsid w:val="00665D18"/>
    <w:rsid w:val="00666769"/>
    <w:rsid w:val="00670A95"/>
    <w:rsid w:val="00670F97"/>
    <w:rsid w:val="00671646"/>
    <w:rsid w:val="00671A99"/>
    <w:rsid w:val="006720EC"/>
    <w:rsid w:val="0067281E"/>
    <w:rsid w:val="00672C99"/>
    <w:rsid w:val="0067334B"/>
    <w:rsid w:val="006738DB"/>
    <w:rsid w:val="00673C28"/>
    <w:rsid w:val="0067429E"/>
    <w:rsid w:val="006743E0"/>
    <w:rsid w:val="00676BB2"/>
    <w:rsid w:val="00677F07"/>
    <w:rsid w:val="0068007E"/>
    <w:rsid w:val="006800FE"/>
    <w:rsid w:val="00681BB2"/>
    <w:rsid w:val="00682101"/>
    <w:rsid w:val="00682154"/>
    <w:rsid w:val="0068261B"/>
    <w:rsid w:val="006829DC"/>
    <w:rsid w:val="00682D07"/>
    <w:rsid w:val="00682F6E"/>
    <w:rsid w:val="00683135"/>
    <w:rsid w:val="00684426"/>
    <w:rsid w:val="00684561"/>
    <w:rsid w:val="006847ED"/>
    <w:rsid w:val="00684DA8"/>
    <w:rsid w:val="006851D2"/>
    <w:rsid w:val="00686610"/>
    <w:rsid w:val="006866A7"/>
    <w:rsid w:val="006875C6"/>
    <w:rsid w:val="006877CF"/>
    <w:rsid w:val="00690165"/>
    <w:rsid w:val="0069040D"/>
    <w:rsid w:val="00690687"/>
    <w:rsid w:val="006907D7"/>
    <w:rsid w:val="00690938"/>
    <w:rsid w:val="00690ECD"/>
    <w:rsid w:val="006928ED"/>
    <w:rsid w:val="00692CC9"/>
    <w:rsid w:val="0069366E"/>
    <w:rsid w:val="00694EB8"/>
    <w:rsid w:val="00694EDE"/>
    <w:rsid w:val="00694FF0"/>
    <w:rsid w:val="00695313"/>
    <w:rsid w:val="00695D77"/>
    <w:rsid w:val="00697320"/>
    <w:rsid w:val="006977DA"/>
    <w:rsid w:val="00697C7C"/>
    <w:rsid w:val="00697E6E"/>
    <w:rsid w:val="006A01D1"/>
    <w:rsid w:val="006A0592"/>
    <w:rsid w:val="006A2979"/>
    <w:rsid w:val="006A389B"/>
    <w:rsid w:val="006A398A"/>
    <w:rsid w:val="006A3D1A"/>
    <w:rsid w:val="006A4912"/>
    <w:rsid w:val="006A4BB8"/>
    <w:rsid w:val="006A50A6"/>
    <w:rsid w:val="006A5A13"/>
    <w:rsid w:val="006A5AA6"/>
    <w:rsid w:val="006A5DDA"/>
    <w:rsid w:val="006A64F4"/>
    <w:rsid w:val="006A6A65"/>
    <w:rsid w:val="006A7C64"/>
    <w:rsid w:val="006B0BF5"/>
    <w:rsid w:val="006B1120"/>
    <w:rsid w:val="006B131E"/>
    <w:rsid w:val="006B1561"/>
    <w:rsid w:val="006B2110"/>
    <w:rsid w:val="006B4247"/>
    <w:rsid w:val="006B4693"/>
    <w:rsid w:val="006B499D"/>
    <w:rsid w:val="006B49F6"/>
    <w:rsid w:val="006B4F28"/>
    <w:rsid w:val="006B60F8"/>
    <w:rsid w:val="006B636C"/>
    <w:rsid w:val="006B7357"/>
    <w:rsid w:val="006C05B4"/>
    <w:rsid w:val="006C10B8"/>
    <w:rsid w:val="006C1A9D"/>
    <w:rsid w:val="006C2123"/>
    <w:rsid w:val="006C233F"/>
    <w:rsid w:val="006C2649"/>
    <w:rsid w:val="006C28C9"/>
    <w:rsid w:val="006C299B"/>
    <w:rsid w:val="006C2BE6"/>
    <w:rsid w:val="006C40EB"/>
    <w:rsid w:val="006C42E5"/>
    <w:rsid w:val="006C4BCF"/>
    <w:rsid w:val="006C4E46"/>
    <w:rsid w:val="006C4EDE"/>
    <w:rsid w:val="006C5475"/>
    <w:rsid w:val="006C54B4"/>
    <w:rsid w:val="006C5E1A"/>
    <w:rsid w:val="006C6D22"/>
    <w:rsid w:val="006C7154"/>
    <w:rsid w:val="006C7C09"/>
    <w:rsid w:val="006D05F3"/>
    <w:rsid w:val="006D0B34"/>
    <w:rsid w:val="006D0DBF"/>
    <w:rsid w:val="006D165F"/>
    <w:rsid w:val="006D26EF"/>
    <w:rsid w:val="006D2C5E"/>
    <w:rsid w:val="006D3145"/>
    <w:rsid w:val="006D3E3D"/>
    <w:rsid w:val="006D461F"/>
    <w:rsid w:val="006D59A6"/>
    <w:rsid w:val="006D61BA"/>
    <w:rsid w:val="006D61C5"/>
    <w:rsid w:val="006D666B"/>
    <w:rsid w:val="006D6DAB"/>
    <w:rsid w:val="006D7306"/>
    <w:rsid w:val="006E06F9"/>
    <w:rsid w:val="006E0ADA"/>
    <w:rsid w:val="006E28B7"/>
    <w:rsid w:val="006E2C86"/>
    <w:rsid w:val="006E3841"/>
    <w:rsid w:val="006E6368"/>
    <w:rsid w:val="006E660E"/>
    <w:rsid w:val="006F085C"/>
    <w:rsid w:val="006F0B1D"/>
    <w:rsid w:val="006F126E"/>
    <w:rsid w:val="006F129E"/>
    <w:rsid w:val="006F12CA"/>
    <w:rsid w:val="006F1A56"/>
    <w:rsid w:val="006F1F5B"/>
    <w:rsid w:val="006F21A6"/>
    <w:rsid w:val="006F379C"/>
    <w:rsid w:val="006F39C3"/>
    <w:rsid w:val="006F3C3B"/>
    <w:rsid w:val="006F3EC5"/>
    <w:rsid w:val="006F4304"/>
    <w:rsid w:val="006F59D1"/>
    <w:rsid w:val="006F5E2F"/>
    <w:rsid w:val="006F6AEB"/>
    <w:rsid w:val="006F6E55"/>
    <w:rsid w:val="006F716D"/>
    <w:rsid w:val="006F76E7"/>
    <w:rsid w:val="0070052C"/>
    <w:rsid w:val="007005D0"/>
    <w:rsid w:val="00700B39"/>
    <w:rsid w:val="00701642"/>
    <w:rsid w:val="00702C98"/>
    <w:rsid w:val="00704180"/>
    <w:rsid w:val="00704F58"/>
    <w:rsid w:val="00705C4C"/>
    <w:rsid w:val="00705CC0"/>
    <w:rsid w:val="00705F26"/>
    <w:rsid w:val="0070602D"/>
    <w:rsid w:val="0070627F"/>
    <w:rsid w:val="00706DFA"/>
    <w:rsid w:val="007103FA"/>
    <w:rsid w:val="007105B8"/>
    <w:rsid w:val="00710644"/>
    <w:rsid w:val="0071176E"/>
    <w:rsid w:val="00711923"/>
    <w:rsid w:val="0071193B"/>
    <w:rsid w:val="0071223A"/>
    <w:rsid w:val="007125C4"/>
    <w:rsid w:val="00712AB2"/>
    <w:rsid w:val="00713CC1"/>
    <w:rsid w:val="0071457F"/>
    <w:rsid w:val="00715D9F"/>
    <w:rsid w:val="00716252"/>
    <w:rsid w:val="00716684"/>
    <w:rsid w:val="00716E3E"/>
    <w:rsid w:val="00716E55"/>
    <w:rsid w:val="00721148"/>
    <w:rsid w:val="007219F6"/>
    <w:rsid w:val="00721B3B"/>
    <w:rsid w:val="00722A26"/>
    <w:rsid w:val="007230DF"/>
    <w:rsid w:val="00723D85"/>
    <w:rsid w:val="007244A9"/>
    <w:rsid w:val="0072473E"/>
    <w:rsid w:val="00724750"/>
    <w:rsid w:val="00725674"/>
    <w:rsid w:val="0072582B"/>
    <w:rsid w:val="007259CD"/>
    <w:rsid w:val="0072623F"/>
    <w:rsid w:val="007266DE"/>
    <w:rsid w:val="00730808"/>
    <w:rsid w:val="007311DE"/>
    <w:rsid w:val="00731D00"/>
    <w:rsid w:val="00731D33"/>
    <w:rsid w:val="007325A2"/>
    <w:rsid w:val="00732F29"/>
    <w:rsid w:val="007339EB"/>
    <w:rsid w:val="00733C08"/>
    <w:rsid w:val="007340BB"/>
    <w:rsid w:val="00734B3B"/>
    <w:rsid w:val="0073635C"/>
    <w:rsid w:val="00736532"/>
    <w:rsid w:val="00736DCA"/>
    <w:rsid w:val="007377B9"/>
    <w:rsid w:val="00740220"/>
    <w:rsid w:val="00740589"/>
    <w:rsid w:val="00740870"/>
    <w:rsid w:val="007410A2"/>
    <w:rsid w:val="007410DD"/>
    <w:rsid w:val="007413AF"/>
    <w:rsid w:val="00741DE9"/>
    <w:rsid w:val="00741F26"/>
    <w:rsid w:val="0074229C"/>
    <w:rsid w:val="00742A1C"/>
    <w:rsid w:val="0074370F"/>
    <w:rsid w:val="00743A00"/>
    <w:rsid w:val="007446B8"/>
    <w:rsid w:val="00745073"/>
    <w:rsid w:val="007460EA"/>
    <w:rsid w:val="0074630E"/>
    <w:rsid w:val="0074658E"/>
    <w:rsid w:val="00746971"/>
    <w:rsid w:val="0074729A"/>
    <w:rsid w:val="007473AD"/>
    <w:rsid w:val="007474B0"/>
    <w:rsid w:val="00747B29"/>
    <w:rsid w:val="007503F6"/>
    <w:rsid w:val="007507AF"/>
    <w:rsid w:val="007508F9"/>
    <w:rsid w:val="00751654"/>
    <w:rsid w:val="0075169D"/>
    <w:rsid w:val="007518D1"/>
    <w:rsid w:val="00751B30"/>
    <w:rsid w:val="007528E2"/>
    <w:rsid w:val="00753184"/>
    <w:rsid w:val="007535BF"/>
    <w:rsid w:val="00753768"/>
    <w:rsid w:val="00753AC2"/>
    <w:rsid w:val="007544CE"/>
    <w:rsid w:val="007551C2"/>
    <w:rsid w:val="0075532A"/>
    <w:rsid w:val="00756089"/>
    <w:rsid w:val="0075637F"/>
    <w:rsid w:val="007565E1"/>
    <w:rsid w:val="00756782"/>
    <w:rsid w:val="00756AE9"/>
    <w:rsid w:val="007573CC"/>
    <w:rsid w:val="00757D78"/>
    <w:rsid w:val="00760DE0"/>
    <w:rsid w:val="00761829"/>
    <w:rsid w:val="007630EF"/>
    <w:rsid w:val="00764E8B"/>
    <w:rsid w:val="00765639"/>
    <w:rsid w:val="00765933"/>
    <w:rsid w:val="00765D10"/>
    <w:rsid w:val="00766C56"/>
    <w:rsid w:val="007679E6"/>
    <w:rsid w:val="00767BA2"/>
    <w:rsid w:val="00767DB4"/>
    <w:rsid w:val="007701A9"/>
    <w:rsid w:val="007709D4"/>
    <w:rsid w:val="00770A45"/>
    <w:rsid w:val="0077143C"/>
    <w:rsid w:val="007729F7"/>
    <w:rsid w:val="00773B3D"/>
    <w:rsid w:val="00774157"/>
    <w:rsid w:val="0077585B"/>
    <w:rsid w:val="00776406"/>
    <w:rsid w:val="00776F75"/>
    <w:rsid w:val="007818EC"/>
    <w:rsid w:val="00784D43"/>
    <w:rsid w:val="007852C1"/>
    <w:rsid w:val="00785611"/>
    <w:rsid w:val="00786348"/>
    <w:rsid w:val="00786E85"/>
    <w:rsid w:val="007871B1"/>
    <w:rsid w:val="00790C97"/>
    <w:rsid w:val="00791326"/>
    <w:rsid w:val="007919B1"/>
    <w:rsid w:val="0079270D"/>
    <w:rsid w:val="00793AEC"/>
    <w:rsid w:val="00793AEE"/>
    <w:rsid w:val="00793F6C"/>
    <w:rsid w:val="00794446"/>
    <w:rsid w:val="0079444A"/>
    <w:rsid w:val="00794E4A"/>
    <w:rsid w:val="00795016"/>
    <w:rsid w:val="00795077"/>
    <w:rsid w:val="00796C8C"/>
    <w:rsid w:val="0079738B"/>
    <w:rsid w:val="007979E0"/>
    <w:rsid w:val="00797C25"/>
    <w:rsid w:val="00797ECE"/>
    <w:rsid w:val="007A0A1A"/>
    <w:rsid w:val="007A0D50"/>
    <w:rsid w:val="007A0FAD"/>
    <w:rsid w:val="007A34EF"/>
    <w:rsid w:val="007A34F5"/>
    <w:rsid w:val="007A3BCE"/>
    <w:rsid w:val="007A3D77"/>
    <w:rsid w:val="007A4E5B"/>
    <w:rsid w:val="007A52C4"/>
    <w:rsid w:val="007A58F9"/>
    <w:rsid w:val="007A5E61"/>
    <w:rsid w:val="007A65ED"/>
    <w:rsid w:val="007A6E19"/>
    <w:rsid w:val="007B007E"/>
    <w:rsid w:val="007B0BB7"/>
    <w:rsid w:val="007B0E74"/>
    <w:rsid w:val="007B1938"/>
    <w:rsid w:val="007B195D"/>
    <w:rsid w:val="007B1B73"/>
    <w:rsid w:val="007B2240"/>
    <w:rsid w:val="007B26DD"/>
    <w:rsid w:val="007B3B61"/>
    <w:rsid w:val="007B55EA"/>
    <w:rsid w:val="007B565F"/>
    <w:rsid w:val="007B59BF"/>
    <w:rsid w:val="007B68EF"/>
    <w:rsid w:val="007B6A9B"/>
    <w:rsid w:val="007B6F35"/>
    <w:rsid w:val="007B729F"/>
    <w:rsid w:val="007B7698"/>
    <w:rsid w:val="007B778F"/>
    <w:rsid w:val="007B78EF"/>
    <w:rsid w:val="007B7B09"/>
    <w:rsid w:val="007B7D45"/>
    <w:rsid w:val="007B7DC1"/>
    <w:rsid w:val="007B7E69"/>
    <w:rsid w:val="007C0783"/>
    <w:rsid w:val="007C0D4C"/>
    <w:rsid w:val="007C16CB"/>
    <w:rsid w:val="007C1B67"/>
    <w:rsid w:val="007C1D2E"/>
    <w:rsid w:val="007C1F2F"/>
    <w:rsid w:val="007C2512"/>
    <w:rsid w:val="007C3489"/>
    <w:rsid w:val="007C3673"/>
    <w:rsid w:val="007C3742"/>
    <w:rsid w:val="007C4A13"/>
    <w:rsid w:val="007C4C79"/>
    <w:rsid w:val="007C5173"/>
    <w:rsid w:val="007C523D"/>
    <w:rsid w:val="007C5540"/>
    <w:rsid w:val="007C5D05"/>
    <w:rsid w:val="007C5D86"/>
    <w:rsid w:val="007C62C7"/>
    <w:rsid w:val="007C7246"/>
    <w:rsid w:val="007C7D89"/>
    <w:rsid w:val="007D0201"/>
    <w:rsid w:val="007D0536"/>
    <w:rsid w:val="007D0633"/>
    <w:rsid w:val="007D073C"/>
    <w:rsid w:val="007D1960"/>
    <w:rsid w:val="007D328C"/>
    <w:rsid w:val="007D3E26"/>
    <w:rsid w:val="007D5198"/>
    <w:rsid w:val="007D5216"/>
    <w:rsid w:val="007D5807"/>
    <w:rsid w:val="007D5A44"/>
    <w:rsid w:val="007D60F1"/>
    <w:rsid w:val="007D6AEA"/>
    <w:rsid w:val="007D6AF3"/>
    <w:rsid w:val="007D71C8"/>
    <w:rsid w:val="007D7780"/>
    <w:rsid w:val="007E032C"/>
    <w:rsid w:val="007E0472"/>
    <w:rsid w:val="007E066C"/>
    <w:rsid w:val="007E15CF"/>
    <w:rsid w:val="007E18E0"/>
    <w:rsid w:val="007E1DD9"/>
    <w:rsid w:val="007E3B25"/>
    <w:rsid w:val="007E3DFB"/>
    <w:rsid w:val="007E3E39"/>
    <w:rsid w:val="007E47CC"/>
    <w:rsid w:val="007E569D"/>
    <w:rsid w:val="007E5CA5"/>
    <w:rsid w:val="007E5D9C"/>
    <w:rsid w:val="007E66BF"/>
    <w:rsid w:val="007E70A8"/>
    <w:rsid w:val="007E72A7"/>
    <w:rsid w:val="007E7FD1"/>
    <w:rsid w:val="007F1333"/>
    <w:rsid w:val="007F1CFC"/>
    <w:rsid w:val="007F2B0C"/>
    <w:rsid w:val="007F33FC"/>
    <w:rsid w:val="007F378D"/>
    <w:rsid w:val="007F4325"/>
    <w:rsid w:val="007F46A1"/>
    <w:rsid w:val="007F4D44"/>
    <w:rsid w:val="007F56D5"/>
    <w:rsid w:val="007F5E0C"/>
    <w:rsid w:val="007F67EB"/>
    <w:rsid w:val="007F77D0"/>
    <w:rsid w:val="007F7BF4"/>
    <w:rsid w:val="007F7CC4"/>
    <w:rsid w:val="0080098C"/>
    <w:rsid w:val="008017E5"/>
    <w:rsid w:val="00801C8E"/>
    <w:rsid w:val="00801DF2"/>
    <w:rsid w:val="00801F91"/>
    <w:rsid w:val="00801FB9"/>
    <w:rsid w:val="00802053"/>
    <w:rsid w:val="00803AC8"/>
    <w:rsid w:val="00803BB9"/>
    <w:rsid w:val="008057F9"/>
    <w:rsid w:val="00805E17"/>
    <w:rsid w:val="008065A9"/>
    <w:rsid w:val="00806AB8"/>
    <w:rsid w:val="0080722E"/>
    <w:rsid w:val="00807530"/>
    <w:rsid w:val="008076E3"/>
    <w:rsid w:val="0080771F"/>
    <w:rsid w:val="00807B69"/>
    <w:rsid w:val="00807F51"/>
    <w:rsid w:val="008108A1"/>
    <w:rsid w:val="00810C03"/>
    <w:rsid w:val="008125E1"/>
    <w:rsid w:val="008127C5"/>
    <w:rsid w:val="00813E45"/>
    <w:rsid w:val="00813ECE"/>
    <w:rsid w:val="008140A5"/>
    <w:rsid w:val="008159FD"/>
    <w:rsid w:val="00815DB9"/>
    <w:rsid w:val="00816516"/>
    <w:rsid w:val="008165D4"/>
    <w:rsid w:val="0081692E"/>
    <w:rsid w:val="008169F5"/>
    <w:rsid w:val="00816A15"/>
    <w:rsid w:val="00816C25"/>
    <w:rsid w:val="00816C85"/>
    <w:rsid w:val="00816CEF"/>
    <w:rsid w:val="0081734D"/>
    <w:rsid w:val="00817E6A"/>
    <w:rsid w:val="00820874"/>
    <w:rsid w:val="008210F2"/>
    <w:rsid w:val="00821485"/>
    <w:rsid w:val="008215E7"/>
    <w:rsid w:val="00821772"/>
    <w:rsid w:val="00821838"/>
    <w:rsid w:val="008219D1"/>
    <w:rsid w:val="00822C3D"/>
    <w:rsid w:val="008232D8"/>
    <w:rsid w:val="00823962"/>
    <w:rsid w:val="00823DA2"/>
    <w:rsid w:val="00824DEE"/>
    <w:rsid w:val="00824FCF"/>
    <w:rsid w:val="00825594"/>
    <w:rsid w:val="008257C2"/>
    <w:rsid w:val="0082607D"/>
    <w:rsid w:val="00826D66"/>
    <w:rsid w:val="00826F36"/>
    <w:rsid w:val="00831123"/>
    <w:rsid w:val="0083122E"/>
    <w:rsid w:val="008319E3"/>
    <w:rsid w:val="00831F4A"/>
    <w:rsid w:val="00831FE2"/>
    <w:rsid w:val="00832029"/>
    <w:rsid w:val="008334A6"/>
    <w:rsid w:val="00833892"/>
    <w:rsid w:val="00833F6C"/>
    <w:rsid w:val="0083454F"/>
    <w:rsid w:val="008349C4"/>
    <w:rsid w:val="00834E2D"/>
    <w:rsid w:val="00834F2A"/>
    <w:rsid w:val="00834F85"/>
    <w:rsid w:val="008357E4"/>
    <w:rsid w:val="00835860"/>
    <w:rsid w:val="00835AFF"/>
    <w:rsid w:val="00836DBC"/>
    <w:rsid w:val="00837C97"/>
    <w:rsid w:val="00837FEF"/>
    <w:rsid w:val="0084063C"/>
    <w:rsid w:val="008407FC"/>
    <w:rsid w:val="00840EC0"/>
    <w:rsid w:val="0084160B"/>
    <w:rsid w:val="008416C3"/>
    <w:rsid w:val="00841A9C"/>
    <w:rsid w:val="00841DEE"/>
    <w:rsid w:val="00842391"/>
    <w:rsid w:val="008428ED"/>
    <w:rsid w:val="00843A84"/>
    <w:rsid w:val="00843B1C"/>
    <w:rsid w:val="00844185"/>
    <w:rsid w:val="008447BD"/>
    <w:rsid w:val="00845062"/>
    <w:rsid w:val="008454DB"/>
    <w:rsid w:val="00845868"/>
    <w:rsid w:val="00845F09"/>
    <w:rsid w:val="00847BEE"/>
    <w:rsid w:val="00850225"/>
    <w:rsid w:val="0085114B"/>
    <w:rsid w:val="00851E4D"/>
    <w:rsid w:val="00852A17"/>
    <w:rsid w:val="008536BD"/>
    <w:rsid w:val="00853C64"/>
    <w:rsid w:val="00854AF0"/>
    <w:rsid w:val="00855D1C"/>
    <w:rsid w:val="008567C0"/>
    <w:rsid w:val="0085685E"/>
    <w:rsid w:val="00856F26"/>
    <w:rsid w:val="008576C9"/>
    <w:rsid w:val="00857D15"/>
    <w:rsid w:val="0086008D"/>
    <w:rsid w:val="00860491"/>
    <w:rsid w:val="008605DE"/>
    <w:rsid w:val="008607FA"/>
    <w:rsid w:val="00860C49"/>
    <w:rsid w:val="00860F81"/>
    <w:rsid w:val="008610B9"/>
    <w:rsid w:val="008616E0"/>
    <w:rsid w:val="00861CF0"/>
    <w:rsid w:val="00863013"/>
    <w:rsid w:val="008632A4"/>
    <w:rsid w:val="00863751"/>
    <w:rsid w:val="00864314"/>
    <w:rsid w:val="00865433"/>
    <w:rsid w:val="00865596"/>
    <w:rsid w:val="00865B60"/>
    <w:rsid w:val="00866994"/>
    <w:rsid w:val="00867536"/>
    <w:rsid w:val="00867AD9"/>
    <w:rsid w:val="00867AF6"/>
    <w:rsid w:val="0087000A"/>
    <w:rsid w:val="0087003C"/>
    <w:rsid w:val="00870085"/>
    <w:rsid w:val="008703C5"/>
    <w:rsid w:val="00870645"/>
    <w:rsid w:val="008710F5"/>
    <w:rsid w:val="008713DA"/>
    <w:rsid w:val="00871843"/>
    <w:rsid w:val="00871E08"/>
    <w:rsid w:val="0087306B"/>
    <w:rsid w:val="00873832"/>
    <w:rsid w:val="00873DB7"/>
    <w:rsid w:val="00874326"/>
    <w:rsid w:val="008744CF"/>
    <w:rsid w:val="00874730"/>
    <w:rsid w:val="00876FB0"/>
    <w:rsid w:val="00876FE9"/>
    <w:rsid w:val="00877099"/>
    <w:rsid w:val="0087726B"/>
    <w:rsid w:val="008776F3"/>
    <w:rsid w:val="0088072D"/>
    <w:rsid w:val="008816EC"/>
    <w:rsid w:val="00881BC1"/>
    <w:rsid w:val="0088235F"/>
    <w:rsid w:val="0088255A"/>
    <w:rsid w:val="0088265F"/>
    <w:rsid w:val="00882BD8"/>
    <w:rsid w:val="00882C8E"/>
    <w:rsid w:val="0088389D"/>
    <w:rsid w:val="00884754"/>
    <w:rsid w:val="00884899"/>
    <w:rsid w:val="008848F2"/>
    <w:rsid w:val="00884B05"/>
    <w:rsid w:val="00885172"/>
    <w:rsid w:val="008853DD"/>
    <w:rsid w:val="008879F5"/>
    <w:rsid w:val="00890F47"/>
    <w:rsid w:val="00891AC0"/>
    <w:rsid w:val="00891B3B"/>
    <w:rsid w:val="00892C51"/>
    <w:rsid w:val="00893588"/>
    <w:rsid w:val="00893E90"/>
    <w:rsid w:val="00894CBA"/>
    <w:rsid w:val="00894ED0"/>
    <w:rsid w:val="00895459"/>
    <w:rsid w:val="00895BF2"/>
    <w:rsid w:val="00896CD8"/>
    <w:rsid w:val="00897117"/>
    <w:rsid w:val="00897393"/>
    <w:rsid w:val="008974A8"/>
    <w:rsid w:val="00897D7F"/>
    <w:rsid w:val="008A01A3"/>
    <w:rsid w:val="008A038E"/>
    <w:rsid w:val="008A0638"/>
    <w:rsid w:val="008A16BA"/>
    <w:rsid w:val="008A189A"/>
    <w:rsid w:val="008A1A4E"/>
    <w:rsid w:val="008A2474"/>
    <w:rsid w:val="008A3597"/>
    <w:rsid w:val="008A43AD"/>
    <w:rsid w:val="008A53CD"/>
    <w:rsid w:val="008A5FAF"/>
    <w:rsid w:val="008A6145"/>
    <w:rsid w:val="008A6CDC"/>
    <w:rsid w:val="008A6FD3"/>
    <w:rsid w:val="008A758C"/>
    <w:rsid w:val="008A7B03"/>
    <w:rsid w:val="008B05B9"/>
    <w:rsid w:val="008B07C2"/>
    <w:rsid w:val="008B0F8A"/>
    <w:rsid w:val="008B3D45"/>
    <w:rsid w:val="008B3D59"/>
    <w:rsid w:val="008B3FCD"/>
    <w:rsid w:val="008B4545"/>
    <w:rsid w:val="008B67C2"/>
    <w:rsid w:val="008B70B1"/>
    <w:rsid w:val="008B72E9"/>
    <w:rsid w:val="008B75DB"/>
    <w:rsid w:val="008B7C73"/>
    <w:rsid w:val="008B7E77"/>
    <w:rsid w:val="008B7F50"/>
    <w:rsid w:val="008C15FC"/>
    <w:rsid w:val="008C1C61"/>
    <w:rsid w:val="008C2E6D"/>
    <w:rsid w:val="008C2FDC"/>
    <w:rsid w:val="008C3CFD"/>
    <w:rsid w:val="008C47EC"/>
    <w:rsid w:val="008C47EF"/>
    <w:rsid w:val="008C5846"/>
    <w:rsid w:val="008C5A1C"/>
    <w:rsid w:val="008C5EF0"/>
    <w:rsid w:val="008C6513"/>
    <w:rsid w:val="008C651D"/>
    <w:rsid w:val="008C677F"/>
    <w:rsid w:val="008D0862"/>
    <w:rsid w:val="008D0BA0"/>
    <w:rsid w:val="008D1B63"/>
    <w:rsid w:val="008D1E2D"/>
    <w:rsid w:val="008D1F77"/>
    <w:rsid w:val="008D205E"/>
    <w:rsid w:val="008D21C8"/>
    <w:rsid w:val="008D2288"/>
    <w:rsid w:val="008D2B42"/>
    <w:rsid w:val="008D39AC"/>
    <w:rsid w:val="008D3E31"/>
    <w:rsid w:val="008D4B1F"/>
    <w:rsid w:val="008D4B88"/>
    <w:rsid w:val="008D5852"/>
    <w:rsid w:val="008D5B03"/>
    <w:rsid w:val="008D5C91"/>
    <w:rsid w:val="008D623C"/>
    <w:rsid w:val="008D68E6"/>
    <w:rsid w:val="008D69FC"/>
    <w:rsid w:val="008D75D7"/>
    <w:rsid w:val="008D772F"/>
    <w:rsid w:val="008D7DC3"/>
    <w:rsid w:val="008E0A23"/>
    <w:rsid w:val="008E0EC6"/>
    <w:rsid w:val="008E1A9F"/>
    <w:rsid w:val="008E228C"/>
    <w:rsid w:val="008E2739"/>
    <w:rsid w:val="008E2C4C"/>
    <w:rsid w:val="008E3588"/>
    <w:rsid w:val="008E3F50"/>
    <w:rsid w:val="008E42CB"/>
    <w:rsid w:val="008E4652"/>
    <w:rsid w:val="008E4DD1"/>
    <w:rsid w:val="008E53DE"/>
    <w:rsid w:val="008E5F62"/>
    <w:rsid w:val="008E6062"/>
    <w:rsid w:val="008E6075"/>
    <w:rsid w:val="008E6315"/>
    <w:rsid w:val="008E710A"/>
    <w:rsid w:val="008E7126"/>
    <w:rsid w:val="008E73B1"/>
    <w:rsid w:val="008E78D2"/>
    <w:rsid w:val="008F1158"/>
    <w:rsid w:val="008F145E"/>
    <w:rsid w:val="008F1524"/>
    <w:rsid w:val="008F1793"/>
    <w:rsid w:val="008F1911"/>
    <w:rsid w:val="008F3490"/>
    <w:rsid w:val="008F3BBC"/>
    <w:rsid w:val="008F3C44"/>
    <w:rsid w:val="008F6781"/>
    <w:rsid w:val="008F69DE"/>
    <w:rsid w:val="008F7B3C"/>
    <w:rsid w:val="008F7C9C"/>
    <w:rsid w:val="009007FA"/>
    <w:rsid w:val="00900A0D"/>
    <w:rsid w:val="00900A2B"/>
    <w:rsid w:val="00900C58"/>
    <w:rsid w:val="0090136E"/>
    <w:rsid w:val="009019A2"/>
    <w:rsid w:val="00901AA1"/>
    <w:rsid w:val="00901FF2"/>
    <w:rsid w:val="00902418"/>
    <w:rsid w:val="00902956"/>
    <w:rsid w:val="0090342C"/>
    <w:rsid w:val="00903490"/>
    <w:rsid w:val="009038F1"/>
    <w:rsid w:val="009039BD"/>
    <w:rsid w:val="00903A1B"/>
    <w:rsid w:val="00903D70"/>
    <w:rsid w:val="009056AB"/>
    <w:rsid w:val="00906118"/>
    <w:rsid w:val="00906A08"/>
    <w:rsid w:val="00906A50"/>
    <w:rsid w:val="00906BF6"/>
    <w:rsid w:val="0090701C"/>
    <w:rsid w:val="009078A7"/>
    <w:rsid w:val="0091035B"/>
    <w:rsid w:val="009111CF"/>
    <w:rsid w:val="00911352"/>
    <w:rsid w:val="00911398"/>
    <w:rsid w:val="00912E09"/>
    <w:rsid w:val="00913C2C"/>
    <w:rsid w:val="009140D1"/>
    <w:rsid w:val="009156DF"/>
    <w:rsid w:val="009156FF"/>
    <w:rsid w:val="00915FF3"/>
    <w:rsid w:val="00917171"/>
    <w:rsid w:val="0091752D"/>
    <w:rsid w:val="009209D7"/>
    <w:rsid w:val="00920B8E"/>
    <w:rsid w:val="009217C9"/>
    <w:rsid w:val="00923894"/>
    <w:rsid w:val="00923E7F"/>
    <w:rsid w:val="009255B6"/>
    <w:rsid w:val="0092605D"/>
    <w:rsid w:val="009261AB"/>
    <w:rsid w:val="0092634F"/>
    <w:rsid w:val="00926DA4"/>
    <w:rsid w:val="00927438"/>
    <w:rsid w:val="00927F73"/>
    <w:rsid w:val="0093046D"/>
    <w:rsid w:val="009304B1"/>
    <w:rsid w:val="0093068F"/>
    <w:rsid w:val="00930E17"/>
    <w:rsid w:val="0093170F"/>
    <w:rsid w:val="00931C6B"/>
    <w:rsid w:val="00931CBB"/>
    <w:rsid w:val="00931E99"/>
    <w:rsid w:val="00932275"/>
    <w:rsid w:val="0093252A"/>
    <w:rsid w:val="00932765"/>
    <w:rsid w:val="00932ED9"/>
    <w:rsid w:val="00933080"/>
    <w:rsid w:val="009330AE"/>
    <w:rsid w:val="00933919"/>
    <w:rsid w:val="0093485C"/>
    <w:rsid w:val="00934A64"/>
    <w:rsid w:val="00935EA7"/>
    <w:rsid w:val="009360AC"/>
    <w:rsid w:val="00936317"/>
    <w:rsid w:val="009376CE"/>
    <w:rsid w:val="00937CA0"/>
    <w:rsid w:val="0094195D"/>
    <w:rsid w:val="00941E6C"/>
    <w:rsid w:val="009427D5"/>
    <w:rsid w:val="00942A7B"/>
    <w:rsid w:val="00942A83"/>
    <w:rsid w:val="00942D86"/>
    <w:rsid w:val="00943130"/>
    <w:rsid w:val="0094338E"/>
    <w:rsid w:val="00944031"/>
    <w:rsid w:val="0094426F"/>
    <w:rsid w:val="00944538"/>
    <w:rsid w:val="00945BCA"/>
    <w:rsid w:val="009464DA"/>
    <w:rsid w:val="00947895"/>
    <w:rsid w:val="00947D95"/>
    <w:rsid w:val="0095038C"/>
    <w:rsid w:val="00951992"/>
    <w:rsid w:val="00951D18"/>
    <w:rsid w:val="0095258A"/>
    <w:rsid w:val="009526D8"/>
    <w:rsid w:val="00953469"/>
    <w:rsid w:val="009535BF"/>
    <w:rsid w:val="00954133"/>
    <w:rsid w:val="00954359"/>
    <w:rsid w:val="00954566"/>
    <w:rsid w:val="00954FA5"/>
    <w:rsid w:val="00956129"/>
    <w:rsid w:val="00956B49"/>
    <w:rsid w:val="00956F13"/>
    <w:rsid w:val="009573AB"/>
    <w:rsid w:val="009578A1"/>
    <w:rsid w:val="009601C0"/>
    <w:rsid w:val="00960A92"/>
    <w:rsid w:val="00960DDC"/>
    <w:rsid w:val="00960F2F"/>
    <w:rsid w:val="00961207"/>
    <w:rsid w:val="0096169E"/>
    <w:rsid w:val="00961880"/>
    <w:rsid w:val="00961D76"/>
    <w:rsid w:val="0096266E"/>
    <w:rsid w:val="00964DA0"/>
    <w:rsid w:val="00964E61"/>
    <w:rsid w:val="009655B5"/>
    <w:rsid w:val="00965799"/>
    <w:rsid w:val="00965E38"/>
    <w:rsid w:val="00965EED"/>
    <w:rsid w:val="00966182"/>
    <w:rsid w:val="0096622A"/>
    <w:rsid w:val="00966BE2"/>
    <w:rsid w:val="00966D1C"/>
    <w:rsid w:val="009674D2"/>
    <w:rsid w:val="009703CB"/>
    <w:rsid w:val="00970D1A"/>
    <w:rsid w:val="00970E2A"/>
    <w:rsid w:val="00970FFB"/>
    <w:rsid w:val="00971342"/>
    <w:rsid w:val="00971E7C"/>
    <w:rsid w:val="009728D0"/>
    <w:rsid w:val="009732A0"/>
    <w:rsid w:val="00973326"/>
    <w:rsid w:val="00974036"/>
    <w:rsid w:val="00974C96"/>
    <w:rsid w:val="00975273"/>
    <w:rsid w:val="00975702"/>
    <w:rsid w:val="00975CBD"/>
    <w:rsid w:val="009762C3"/>
    <w:rsid w:val="009771C3"/>
    <w:rsid w:val="00977486"/>
    <w:rsid w:val="00977FAE"/>
    <w:rsid w:val="00980378"/>
    <w:rsid w:val="009805CD"/>
    <w:rsid w:val="009807A4"/>
    <w:rsid w:val="00980832"/>
    <w:rsid w:val="0098089D"/>
    <w:rsid w:val="009809CE"/>
    <w:rsid w:val="00980ED3"/>
    <w:rsid w:val="00980FE8"/>
    <w:rsid w:val="00981204"/>
    <w:rsid w:val="0098152C"/>
    <w:rsid w:val="00981715"/>
    <w:rsid w:val="009818AE"/>
    <w:rsid w:val="00981B59"/>
    <w:rsid w:val="00981C7A"/>
    <w:rsid w:val="00983BD7"/>
    <w:rsid w:val="009840FC"/>
    <w:rsid w:val="00984781"/>
    <w:rsid w:val="009853DC"/>
    <w:rsid w:val="009854A2"/>
    <w:rsid w:val="00985A5B"/>
    <w:rsid w:val="00985ACF"/>
    <w:rsid w:val="009865A1"/>
    <w:rsid w:val="00986A69"/>
    <w:rsid w:val="00986C72"/>
    <w:rsid w:val="00986FA3"/>
    <w:rsid w:val="009871DC"/>
    <w:rsid w:val="009874BD"/>
    <w:rsid w:val="00990B17"/>
    <w:rsid w:val="00990F0A"/>
    <w:rsid w:val="009918B5"/>
    <w:rsid w:val="00991E6D"/>
    <w:rsid w:val="00991F04"/>
    <w:rsid w:val="00992111"/>
    <w:rsid w:val="0099219B"/>
    <w:rsid w:val="00993147"/>
    <w:rsid w:val="009935BD"/>
    <w:rsid w:val="00993B5A"/>
    <w:rsid w:val="00993F9D"/>
    <w:rsid w:val="00993FF4"/>
    <w:rsid w:val="00994B52"/>
    <w:rsid w:val="00994D9D"/>
    <w:rsid w:val="009959EF"/>
    <w:rsid w:val="009963DC"/>
    <w:rsid w:val="00996AA4"/>
    <w:rsid w:val="00996CE8"/>
    <w:rsid w:val="009A0552"/>
    <w:rsid w:val="009A09A6"/>
    <w:rsid w:val="009A0C1D"/>
    <w:rsid w:val="009A0F8A"/>
    <w:rsid w:val="009A219A"/>
    <w:rsid w:val="009A3120"/>
    <w:rsid w:val="009A4571"/>
    <w:rsid w:val="009A4C32"/>
    <w:rsid w:val="009A55C9"/>
    <w:rsid w:val="009A5DBE"/>
    <w:rsid w:val="009A60A0"/>
    <w:rsid w:val="009A6369"/>
    <w:rsid w:val="009A7373"/>
    <w:rsid w:val="009A74D7"/>
    <w:rsid w:val="009A7635"/>
    <w:rsid w:val="009A7E8A"/>
    <w:rsid w:val="009B0B13"/>
    <w:rsid w:val="009B4120"/>
    <w:rsid w:val="009B6399"/>
    <w:rsid w:val="009B6A9B"/>
    <w:rsid w:val="009C00AA"/>
    <w:rsid w:val="009C00FA"/>
    <w:rsid w:val="009C0621"/>
    <w:rsid w:val="009C1127"/>
    <w:rsid w:val="009C13E6"/>
    <w:rsid w:val="009C205F"/>
    <w:rsid w:val="009C2288"/>
    <w:rsid w:val="009C4DF0"/>
    <w:rsid w:val="009C516E"/>
    <w:rsid w:val="009C5555"/>
    <w:rsid w:val="009C5A1D"/>
    <w:rsid w:val="009C5D42"/>
    <w:rsid w:val="009C6247"/>
    <w:rsid w:val="009C67E8"/>
    <w:rsid w:val="009C748E"/>
    <w:rsid w:val="009C766D"/>
    <w:rsid w:val="009C7A12"/>
    <w:rsid w:val="009C7CA2"/>
    <w:rsid w:val="009D1248"/>
    <w:rsid w:val="009D1506"/>
    <w:rsid w:val="009D19B3"/>
    <w:rsid w:val="009D240A"/>
    <w:rsid w:val="009D3535"/>
    <w:rsid w:val="009D3D8C"/>
    <w:rsid w:val="009D46C8"/>
    <w:rsid w:val="009D4A3E"/>
    <w:rsid w:val="009D511D"/>
    <w:rsid w:val="009D6C3C"/>
    <w:rsid w:val="009D71A1"/>
    <w:rsid w:val="009D75AD"/>
    <w:rsid w:val="009D7A1E"/>
    <w:rsid w:val="009D7BEF"/>
    <w:rsid w:val="009E0129"/>
    <w:rsid w:val="009E06C4"/>
    <w:rsid w:val="009E28E1"/>
    <w:rsid w:val="009E2F53"/>
    <w:rsid w:val="009E3491"/>
    <w:rsid w:val="009E3495"/>
    <w:rsid w:val="009E34DC"/>
    <w:rsid w:val="009E3C13"/>
    <w:rsid w:val="009E4058"/>
    <w:rsid w:val="009E40F6"/>
    <w:rsid w:val="009E493E"/>
    <w:rsid w:val="009E4958"/>
    <w:rsid w:val="009E5EAA"/>
    <w:rsid w:val="009E6143"/>
    <w:rsid w:val="009E6865"/>
    <w:rsid w:val="009E717C"/>
    <w:rsid w:val="009E7CC8"/>
    <w:rsid w:val="009F00F7"/>
    <w:rsid w:val="009F0C5A"/>
    <w:rsid w:val="009F1771"/>
    <w:rsid w:val="009F2D6D"/>
    <w:rsid w:val="009F450E"/>
    <w:rsid w:val="009F480A"/>
    <w:rsid w:val="009F575E"/>
    <w:rsid w:val="009F6940"/>
    <w:rsid w:val="009F7D0F"/>
    <w:rsid w:val="00A0127A"/>
    <w:rsid w:val="00A0135D"/>
    <w:rsid w:val="00A01845"/>
    <w:rsid w:val="00A02382"/>
    <w:rsid w:val="00A02B05"/>
    <w:rsid w:val="00A02B78"/>
    <w:rsid w:val="00A0317D"/>
    <w:rsid w:val="00A03A25"/>
    <w:rsid w:val="00A03D09"/>
    <w:rsid w:val="00A05D2E"/>
    <w:rsid w:val="00A05D73"/>
    <w:rsid w:val="00A05DAA"/>
    <w:rsid w:val="00A06C88"/>
    <w:rsid w:val="00A070A0"/>
    <w:rsid w:val="00A07103"/>
    <w:rsid w:val="00A1036D"/>
    <w:rsid w:val="00A1075E"/>
    <w:rsid w:val="00A10A55"/>
    <w:rsid w:val="00A10B33"/>
    <w:rsid w:val="00A1172C"/>
    <w:rsid w:val="00A1188D"/>
    <w:rsid w:val="00A11B66"/>
    <w:rsid w:val="00A122E3"/>
    <w:rsid w:val="00A12566"/>
    <w:rsid w:val="00A13680"/>
    <w:rsid w:val="00A147A5"/>
    <w:rsid w:val="00A14C4A"/>
    <w:rsid w:val="00A15556"/>
    <w:rsid w:val="00A15EED"/>
    <w:rsid w:val="00A160B1"/>
    <w:rsid w:val="00A164EB"/>
    <w:rsid w:val="00A179E2"/>
    <w:rsid w:val="00A17E5E"/>
    <w:rsid w:val="00A20260"/>
    <w:rsid w:val="00A20F49"/>
    <w:rsid w:val="00A21D17"/>
    <w:rsid w:val="00A21F6A"/>
    <w:rsid w:val="00A22335"/>
    <w:rsid w:val="00A22CB8"/>
    <w:rsid w:val="00A22D65"/>
    <w:rsid w:val="00A232E2"/>
    <w:rsid w:val="00A23409"/>
    <w:rsid w:val="00A2362F"/>
    <w:rsid w:val="00A23BD8"/>
    <w:rsid w:val="00A2509B"/>
    <w:rsid w:val="00A251E4"/>
    <w:rsid w:val="00A25F7F"/>
    <w:rsid w:val="00A263E5"/>
    <w:rsid w:val="00A26F60"/>
    <w:rsid w:val="00A27990"/>
    <w:rsid w:val="00A27AA6"/>
    <w:rsid w:val="00A27E50"/>
    <w:rsid w:val="00A27F84"/>
    <w:rsid w:val="00A27FE2"/>
    <w:rsid w:val="00A304DA"/>
    <w:rsid w:val="00A305C0"/>
    <w:rsid w:val="00A30A00"/>
    <w:rsid w:val="00A3115B"/>
    <w:rsid w:val="00A312CD"/>
    <w:rsid w:val="00A313F1"/>
    <w:rsid w:val="00A328E2"/>
    <w:rsid w:val="00A33234"/>
    <w:rsid w:val="00A33BAD"/>
    <w:rsid w:val="00A34034"/>
    <w:rsid w:val="00A34CD1"/>
    <w:rsid w:val="00A35432"/>
    <w:rsid w:val="00A3584C"/>
    <w:rsid w:val="00A3617D"/>
    <w:rsid w:val="00A361D2"/>
    <w:rsid w:val="00A363F9"/>
    <w:rsid w:val="00A36642"/>
    <w:rsid w:val="00A40BFD"/>
    <w:rsid w:val="00A41A5A"/>
    <w:rsid w:val="00A42485"/>
    <w:rsid w:val="00A42629"/>
    <w:rsid w:val="00A448FB"/>
    <w:rsid w:val="00A44B0C"/>
    <w:rsid w:val="00A45F6E"/>
    <w:rsid w:val="00A46037"/>
    <w:rsid w:val="00A465E5"/>
    <w:rsid w:val="00A46D3A"/>
    <w:rsid w:val="00A47729"/>
    <w:rsid w:val="00A47A2C"/>
    <w:rsid w:val="00A47CA5"/>
    <w:rsid w:val="00A5032C"/>
    <w:rsid w:val="00A511EA"/>
    <w:rsid w:val="00A523EB"/>
    <w:rsid w:val="00A52A05"/>
    <w:rsid w:val="00A52C7B"/>
    <w:rsid w:val="00A52F63"/>
    <w:rsid w:val="00A54073"/>
    <w:rsid w:val="00A54228"/>
    <w:rsid w:val="00A543DE"/>
    <w:rsid w:val="00A55751"/>
    <w:rsid w:val="00A55837"/>
    <w:rsid w:val="00A560EF"/>
    <w:rsid w:val="00A56EB4"/>
    <w:rsid w:val="00A61631"/>
    <w:rsid w:val="00A62182"/>
    <w:rsid w:val="00A6271E"/>
    <w:rsid w:val="00A6308B"/>
    <w:rsid w:val="00A637DB"/>
    <w:rsid w:val="00A64738"/>
    <w:rsid w:val="00A64896"/>
    <w:rsid w:val="00A64F3D"/>
    <w:rsid w:val="00A64FCD"/>
    <w:rsid w:val="00A651C3"/>
    <w:rsid w:val="00A65970"/>
    <w:rsid w:val="00A65B6B"/>
    <w:rsid w:val="00A661A0"/>
    <w:rsid w:val="00A6664E"/>
    <w:rsid w:val="00A6723B"/>
    <w:rsid w:val="00A67FFD"/>
    <w:rsid w:val="00A708A9"/>
    <w:rsid w:val="00A713BF"/>
    <w:rsid w:val="00A714D9"/>
    <w:rsid w:val="00A714F9"/>
    <w:rsid w:val="00A71743"/>
    <w:rsid w:val="00A71CDE"/>
    <w:rsid w:val="00A71CF6"/>
    <w:rsid w:val="00A71D77"/>
    <w:rsid w:val="00A71E8E"/>
    <w:rsid w:val="00A72963"/>
    <w:rsid w:val="00A72BF8"/>
    <w:rsid w:val="00A7319E"/>
    <w:rsid w:val="00A735B5"/>
    <w:rsid w:val="00A742DB"/>
    <w:rsid w:val="00A7558D"/>
    <w:rsid w:val="00A7562F"/>
    <w:rsid w:val="00A76D1B"/>
    <w:rsid w:val="00A807A3"/>
    <w:rsid w:val="00A8131F"/>
    <w:rsid w:val="00A818E4"/>
    <w:rsid w:val="00A81E65"/>
    <w:rsid w:val="00A82465"/>
    <w:rsid w:val="00A8310D"/>
    <w:rsid w:val="00A83149"/>
    <w:rsid w:val="00A83BAF"/>
    <w:rsid w:val="00A84676"/>
    <w:rsid w:val="00A84791"/>
    <w:rsid w:val="00A865EF"/>
    <w:rsid w:val="00A86F17"/>
    <w:rsid w:val="00A87F41"/>
    <w:rsid w:val="00A90004"/>
    <w:rsid w:val="00A91570"/>
    <w:rsid w:val="00A91A8F"/>
    <w:rsid w:val="00A91AA0"/>
    <w:rsid w:val="00A920EB"/>
    <w:rsid w:val="00A925E5"/>
    <w:rsid w:val="00A92EC7"/>
    <w:rsid w:val="00A93896"/>
    <w:rsid w:val="00A940FA"/>
    <w:rsid w:val="00A94449"/>
    <w:rsid w:val="00A95C5A"/>
    <w:rsid w:val="00A96231"/>
    <w:rsid w:val="00A967C1"/>
    <w:rsid w:val="00A96A13"/>
    <w:rsid w:val="00AA00DB"/>
    <w:rsid w:val="00AA04CC"/>
    <w:rsid w:val="00AA0F46"/>
    <w:rsid w:val="00AA18A8"/>
    <w:rsid w:val="00AA21AE"/>
    <w:rsid w:val="00AA29FF"/>
    <w:rsid w:val="00AA361B"/>
    <w:rsid w:val="00AA4229"/>
    <w:rsid w:val="00AA4804"/>
    <w:rsid w:val="00AA5709"/>
    <w:rsid w:val="00AA5F24"/>
    <w:rsid w:val="00AA63E0"/>
    <w:rsid w:val="00AA6B2C"/>
    <w:rsid w:val="00AA724A"/>
    <w:rsid w:val="00AA739F"/>
    <w:rsid w:val="00AA76CA"/>
    <w:rsid w:val="00AB04EC"/>
    <w:rsid w:val="00AB051B"/>
    <w:rsid w:val="00AB173B"/>
    <w:rsid w:val="00AB1E3C"/>
    <w:rsid w:val="00AB1F0C"/>
    <w:rsid w:val="00AB4892"/>
    <w:rsid w:val="00AB547A"/>
    <w:rsid w:val="00AB5B7B"/>
    <w:rsid w:val="00AB64A6"/>
    <w:rsid w:val="00AB6F79"/>
    <w:rsid w:val="00AB7291"/>
    <w:rsid w:val="00AB7B06"/>
    <w:rsid w:val="00AC00B2"/>
    <w:rsid w:val="00AC0159"/>
    <w:rsid w:val="00AC0885"/>
    <w:rsid w:val="00AC0B1D"/>
    <w:rsid w:val="00AC0E94"/>
    <w:rsid w:val="00AC1065"/>
    <w:rsid w:val="00AC125A"/>
    <w:rsid w:val="00AC14C5"/>
    <w:rsid w:val="00AC21F8"/>
    <w:rsid w:val="00AC27E4"/>
    <w:rsid w:val="00AC2A89"/>
    <w:rsid w:val="00AC2B31"/>
    <w:rsid w:val="00AC2DD6"/>
    <w:rsid w:val="00AC351B"/>
    <w:rsid w:val="00AC4122"/>
    <w:rsid w:val="00AC4DDC"/>
    <w:rsid w:val="00AC6116"/>
    <w:rsid w:val="00AC6718"/>
    <w:rsid w:val="00AC6D6D"/>
    <w:rsid w:val="00AC6E54"/>
    <w:rsid w:val="00AC6F9A"/>
    <w:rsid w:val="00AC7095"/>
    <w:rsid w:val="00AD0006"/>
    <w:rsid w:val="00AD002E"/>
    <w:rsid w:val="00AD0040"/>
    <w:rsid w:val="00AD0441"/>
    <w:rsid w:val="00AD0AEC"/>
    <w:rsid w:val="00AD1597"/>
    <w:rsid w:val="00AD172C"/>
    <w:rsid w:val="00AD1943"/>
    <w:rsid w:val="00AD1A68"/>
    <w:rsid w:val="00AD2AF4"/>
    <w:rsid w:val="00AD30C7"/>
    <w:rsid w:val="00AD367B"/>
    <w:rsid w:val="00AD3F97"/>
    <w:rsid w:val="00AD4704"/>
    <w:rsid w:val="00AD47F7"/>
    <w:rsid w:val="00AD4A6B"/>
    <w:rsid w:val="00AD5029"/>
    <w:rsid w:val="00AD5832"/>
    <w:rsid w:val="00AD6222"/>
    <w:rsid w:val="00AD70DA"/>
    <w:rsid w:val="00AD75AD"/>
    <w:rsid w:val="00AD778D"/>
    <w:rsid w:val="00AD7D16"/>
    <w:rsid w:val="00AE021A"/>
    <w:rsid w:val="00AE0960"/>
    <w:rsid w:val="00AE09DB"/>
    <w:rsid w:val="00AE0B69"/>
    <w:rsid w:val="00AE19ED"/>
    <w:rsid w:val="00AE1CE2"/>
    <w:rsid w:val="00AE1CF6"/>
    <w:rsid w:val="00AE1DB0"/>
    <w:rsid w:val="00AE3097"/>
    <w:rsid w:val="00AE3D51"/>
    <w:rsid w:val="00AE4A6D"/>
    <w:rsid w:val="00AE55A4"/>
    <w:rsid w:val="00AE5C4E"/>
    <w:rsid w:val="00AE6EBC"/>
    <w:rsid w:val="00AE7668"/>
    <w:rsid w:val="00AE77A5"/>
    <w:rsid w:val="00AF2B3C"/>
    <w:rsid w:val="00AF2E52"/>
    <w:rsid w:val="00AF351D"/>
    <w:rsid w:val="00AF3741"/>
    <w:rsid w:val="00AF3B5A"/>
    <w:rsid w:val="00AF426D"/>
    <w:rsid w:val="00AF4DF6"/>
    <w:rsid w:val="00AF5529"/>
    <w:rsid w:val="00AF562E"/>
    <w:rsid w:val="00AF5CEB"/>
    <w:rsid w:val="00AF6009"/>
    <w:rsid w:val="00AF6641"/>
    <w:rsid w:val="00AF6992"/>
    <w:rsid w:val="00AF7580"/>
    <w:rsid w:val="00AF7D2E"/>
    <w:rsid w:val="00B00149"/>
    <w:rsid w:val="00B005E3"/>
    <w:rsid w:val="00B00BA4"/>
    <w:rsid w:val="00B0242D"/>
    <w:rsid w:val="00B0288A"/>
    <w:rsid w:val="00B029EF"/>
    <w:rsid w:val="00B03069"/>
    <w:rsid w:val="00B034D4"/>
    <w:rsid w:val="00B0429E"/>
    <w:rsid w:val="00B0447E"/>
    <w:rsid w:val="00B05070"/>
    <w:rsid w:val="00B07AF6"/>
    <w:rsid w:val="00B10932"/>
    <w:rsid w:val="00B10A44"/>
    <w:rsid w:val="00B10E82"/>
    <w:rsid w:val="00B11027"/>
    <w:rsid w:val="00B11068"/>
    <w:rsid w:val="00B11247"/>
    <w:rsid w:val="00B11BCC"/>
    <w:rsid w:val="00B120B1"/>
    <w:rsid w:val="00B120C7"/>
    <w:rsid w:val="00B12A29"/>
    <w:rsid w:val="00B12CF7"/>
    <w:rsid w:val="00B13160"/>
    <w:rsid w:val="00B13D4B"/>
    <w:rsid w:val="00B13E8C"/>
    <w:rsid w:val="00B14829"/>
    <w:rsid w:val="00B153D8"/>
    <w:rsid w:val="00B158B7"/>
    <w:rsid w:val="00B15A71"/>
    <w:rsid w:val="00B15FF9"/>
    <w:rsid w:val="00B163C4"/>
    <w:rsid w:val="00B1663F"/>
    <w:rsid w:val="00B17F70"/>
    <w:rsid w:val="00B220AB"/>
    <w:rsid w:val="00B22576"/>
    <w:rsid w:val="00B23A24"/>
    <w:rsid w:val="00B2454C"/>
    <w:rsid w:val="00B249D8"/>
    <w:rsid w:val="00B24ABC"/>
    <w:rsid w:val="00B2504E"/>
    <w:rsid w:val="00B2540D"/>
    <w:rsid w:val="00B256AF"/>
    <w:rsid w:val="00B26024"/>
    <w:rsid w:val="00B26248"/>
    <w:rsid w:val="00B26999"/>
    <w:rsid w:val="00B26E92"/>
    <w:rsid w:val="00B271CE"/>
    <w:rsid w:val="00B27587"/>
    <w:rsid w:val="00B30E13"/>
    <w:rsid w:val="00B3106E"/>
    <w:rsid w:val="00B319B0"/>
    <w:rsid w:val="00B32BB5"/>
    <w:rsid w:val="00B33986"/>
    <w:rsid w:val="00B340BF"/>
    <w:rsid w:val="00B344D4"/>
    <w:rsid w:val="00B3469A"/>
    <w:rsid w:val="00B34962"/>
    <w:rsid w:val="00B34C69"/>
    <w:rsid w:val="00B35145"/>
    <w:rsid w:val="00B35A3D"/>
    <w:rsid w:val="00B35BD5"/>
    <w:rsid w:val="00B35CFF"/>
    <w:rsid w:val="00B36892"/>
    <w:rsid w:val="00B378EC"/>
    <w:rsid w:val="00B37DB3"/>
    <w:rsid w:val="00B40459"/>
    <w:rsid w:val="00B40784"/>
    <w:rsid w:val="00B4095E"/>
    <w:rsid w:val="00B4143A"/>
    <w:rsid w:val="00B41BDC"/>
    <w:rsid w:val="00B41FA9"/>
    <w:rsid w:val="00B42D14"/>
    <w:rsid w:val="00B43DE1"/>
    <w:rsid w:val="00B4418E"/>
    <w:rsid w:val="00B447C7"/>
    <w:rsid w:val="00B460A5"/>
    <w:rsid w:val="00B4772D"/>
    <w:rsid w:val="00B479AD"/>
    <w:rsid w:val="00B47A70"/>
    <w:rsid w:val="00B47DFD"/>
    <w:rsid w:val="00B47F55"/>
    <w:rsid w:val="00B50593"/>
    <w:rsid w:val="00B50633"/>
    <w:rsid w:val="00B5104B"/>
    <w:rsid w:val="00B51325"/>
    <w:rsid w:val="00B51E49"/>
    <w:rsid w:val="00B524A6"/>
    <w:rsid w:val="00B5255B"/>
    <w:rsid w:val="00B52C99"/>
    <w:rsid w:val="00B52F9B"/>
    <w:rsid w:val="00B536C9"/>
    <w:rsid w:val="00B53839"/>
    <w:rsid w:val="00B53D31"/>
    <w:rsid w:val="00B542D9"/>
    <w:rsid w:val="00B56D2B"/>
    <w:rsid w:val="00B5758C"/>
    <w:rsid w:val="00B6021D"/>
    <w:rsid w:val="00B604F9"/>
    <w:rsid w:val="00B6122C"/>
    <w:rsid w:val="00B6214D"/>
    <w:rsid w:val="00B628F6"/>
    <w:rsid w:val="00B62B80"/>
    <w:rsid w:val="00B62BCD"/>
    <w:rsid w:val="00B63972"/>
    <w:rsid w:val="00B64EE4"/>
    <w:rsid w:val="00B65228"/>
    <w:rsid w:val="00B653F7"/>
    <w:rsid w:val="00B6588B"/>
    <w:rsid w:val="00B65D8A"/>
    <w:rsid w:val="00B65E72"/>
    <w:rsid w:val="00B66DCB"/>
    <w:rsid w:val="00B67DA2"/>
    <w:rsid w:val="00B707F8"/>
    <w:rsid w:val="00B70E46"/>
    <w:rsid w:val="00B71061"/>
    <w:rsid w:val="00B73521"/>
    <w:rsid w:val="00B74AA7"/>
    <w:rsid w:val="00B758F9"/>
    <w:rsid w:val="00B75A91"/>
    <w:rsid w:val="00B7661D"/>
    <w:rsid w:val="00B76A85"/>
    <w:rsid w:val="00B76C14"/>
    <w:rsid w:val="00B77348"/>
    <w:rsid w:val="00B774E2"/>
    <w:rsid w:val="00B77984"/>
    <w:rsid w:val="00B801F7"/>
    <w:rsid w:val="00B809F4"/>
    <w:rsid w:val="00B80DD5"/>
    <w:rsid w:val="00B80EF4"/>
    <w:rsid w:val="00B821F6"/>
    <w:rsid w:val="00B82946"/>
    <w:rsid w:val="00B82E87"/>
    <w:rsid w:val="00B83A48"/>
    <w:rsid w:val="00B83EE8"/>
    <w:rsid w:val="00B84211"/>
    <w:rsid w:val="00B84EA0"/>
    <w:rsid w:val="00B8521E"/>
    <w:rsid w:val="00B85464"/>
    <w:rsid w:val="00B85528"/>
    <w:rsid w:val="00B85726"/>
    <w:rsid w:val="00B85E9F"/>
    <w:rsid w:val="00B8633D"/>
    <w:rsid w:val="00B86EFF"/>
    <w:rsid w:val="00B87AF7"/>
    <w:rsid w:val="00B87E0B"/>
    <w:rsid w:val="00B90042"/>
    <w:rsid w:val="00B901AF"/>
    <w:rsid w:val="00B915B1"/>
    <w:rsid w:val="00B9174F"/>
    <w:rsid w:val="00B92F30"/>
    <w:rsid w:val="00B95299"/>
    <w:rsid w:val="00B9684B"/>
    <w:rsid w:val="00BA00A2"/>
    <w:rsid w:val="00BA0A6A"/>
    <w:rsid w:val="00BA157B"/>
    <w:rsid w:val="00BA2253"/>
    <w:rsid w:val="00BA22CA"/>
    <w:rsid w:val="00BA2CB5"/>
    <w:rsid w:val="00BA3045"/>
    <w:rsid w:val="00BA362B"/>
    <w:rsid w:val="00BA46EC"/>
    <w:rsid w:val="00BA498E"/>
    <w:rsid w:val="00BA579B"/>
    <w:rsid w:val="00BA59C5"/>
    <w:rsid w:val="00BA62DE"/>
    <w:rsid w:val="00BA67FC"/>
    <w:rsid w:val="00BA706C"/>
    <w:rsid w:val="00BA760D"/>
    <w:rsid w:val="00BA76C4"/>
    <w:rsid w:val="00BA7965"/>
    <w:rsid w:val="00BB1213"/>
    <w:rsid w:val="00BB12EF"/>
    <w:rsid w:val="00BB18D2"/>
    <w:rsid w:val="00BB19F2"/>
    <w:rsid w:val="00BB1A90"/>
    <w:rsid w:val="00BB1ED1"/>
    <w:rsid w:val="00BB26CA"/>
    <w:rsid w:val="00BB2AB4"/>
    <w:rsid w:val="00BB39DC"/>
    <w:rsid w:val="00BB3C92"/>
    <w:rsid w:val="00BB3EA5"/>
    <w:rsid w:val="00BB405E"/>
    <w:rsid w:val="00BB4406"/>
    <w:rsid w:val="00BB4BAD"/>
    <w:rsid w:val="00BB511A"/>
    <w:rsid w:val="00BB55B6"/>
    <w:rsid w:val="00BB56B5"/>
    <w:rsid w:val="00BB59E4"/>
    <w:rsid w:val="00BB5A43"/>
    <w:rsid w:val="00BB5FC0"/>
    <w:rsid w:val="00BB65B7"/>
    <w:rsid w:val="00BB7B1B"/>
    <w:rsid w:val="00BC060D"/>
    <w:rsid w:val="00BC0617"/>
    <w:rsid w:val="00BC098B"/>
    <w:rsid w:val="00BC0C03"/>
    <w:rsid w:val="00BC133B"/>
    <w:rsid w:val="00BC1899"/>
    <w:rsid w:val="00BC25A5"/>
    <w:rsid w:val="00BC30A5"/>
    <w:rsid w:val="00BC36F9"/>
    <w:rsid w:val="00BC3F5D"/>
    <w:rsid w:val="00BC4A99"/>
    <w:rsid w:val="00BC5739"/>
    <w:rsid w:val="00BC6613"/>
    <w:rsid w:val="00BC672E"/>
    <w:rsid w:val="00BC6BE6"/>
    <w:rsid w:val="00BC6CB9"/>
    <w:rsid w:val="00BC6F85"/>
    <w:rsid w:val="00BC73A8"/>
    <w:rsid w:val="00BC7A06"/>
    <w:rsid w:val="00BD1A01"/>
    <w:rsid w:val="00BD23F2"/>
    <w:rsid w:val="00BD2A99"/>
    <w:rsid w:val="00BD3D36"/>
    <w:rsid w:val="00BD4201"/>
    <w:rsid w:val="00BD4381"/>
    <w:rsid w:val="00BD7BC8"/>
    <w:rsid w:val="00BE00BA"/>
    <w:rsid w:val="00BE02D2"/>
    <w:rsid w:val="00BE0EB1"/>
    <w:rsid w:val="00BE11D5"/>
    <w:rsid w:val="00BE1A62"/>
    <w:rsid w:val="00BE2A2A"/>
    <w:rsid w:val="00BE2EFD"/>
    <w:rsid w:val="00BE2FD6"/>
    <w:rsid w:val="00BE2FF4"/>
    <w:rsid w:val="00BE37DD"/>
    <w:rsid w:val="00BE4D01"/>
    <w:rsid w:val="00BE53C0"/>
    <w:rsid w:val="00BE57EF"/>
    <w:rsid w:val="00BE6B60"/>
    <w:rsid w:val="00BE6C48"/>
    <w:rsid w:val="00BE6D30"/>
    <w:rsid w:val="00BE772B"/>
    <w:rsid w:val="00BE7C20"/>
    <w:rsid w:val="00BF0D41"/>
    <w:rsid w:val="00BF15F1"/>
    <w:rsid w:val="00BF16E8"/>
    <w:rsid w:val="00BF235C"/>
    <w:rsid w:val="00BF2627"/>
    <w:rsid w:val="00BF3A7C"/>
    <w:rsid w:val="00BF3DC4"/>
    <w:rsid w:val="00BF4F92"/>
    <w:rsid w:val="00BF6579"/>
    <w:rsid w:val="00BF74CC"/>
    <w:rsid w:val="00BF76A5"/>
    <w:rsid w:val="00BF7B74"/>
    <w:rsid w:val="00BF7F5C"/>
    <w:rsid w:val="00C00307"/>
    <w:rsid w:val="00C00984"/>
    <w:rsid w:val="00C00F62"/>
    <w:rsid w:val="00C02325"/>
    <w:rsid w:val="00C02575"/>
    <w:rsid w:val="00C029AE"/>
    <w:rsid w:val="00C02D63"/>
    <w:rsid w:val="00C02DEE"/>
    <w:rsid w:val="00C031FD"/>
    <w:rsid w:val="00C03510"/>
    <w:rsid w:val="00C0377D"/>
    <w:rsid w:val="00C039D8"/>
    <w:rsid w:val="00C0510D"/>
    <w:rsid w:val="00C05215"/>
    <w:rsid w:val="00C0625C"/>
    <w:rsid w:val="00C065BA"/>
    <w:rsid w:val="00C071C9"/>
    <w:rsid w:val="00C07C12"/>
    <w:rsid w:val="00C07F5F"/>
    <w:rsid w:val="00C1001B"/>
    <w:rsid w:val="00C1064D"/>
    <w:rsid w:val="00C112FB"/>
    <w:rsid w:val="00C11B1D"/>
    <w:rsid w:val="00C11DAC"/>
    <w:rsid w:val="00C12B34"/>
    <w:rsid w:val="00C12D5E"/>
    <w:rsid w:val="00C137ED"/>
    <w:rsid w:val="00C13E89"/>
    <w:rsid w:val="00C141D8"/>
    <w:rsid w:val="00C14A02"/>
    <w:rsid w:val="00C15398"/>
    <w:rsid w:val="00C160A5"/>
    <w:rsid w:val="00C1649A"/>
    <w:rsid w:val="00C16ACF"/>
    <w:rsid w:val="00C20909"/>
    <w:rsid w:val="00C21830"/>
    <w:rsid w:val="00C22102"/>
    <w:rsid w:val="00C22AE1"/>
    <w:rsid w:val="00C22D2C"/>
    <w:rsid w:val="00C22DA4"/>
    <w:rsid w:val="00C23A18"/>
    <w:rsid w:val="00C23BF4"/>
    <w:rsid w:val="00C247E6"/>
    <w:rsid w:val="00C24969"/>
    <w:rsid w:val="00C24FB3"/>
    <w:rsid w:val="00C257C4"/>
    <w:rsid w:val="00C25877"/>
    <w:rsid w:val="00C2643D"/>
    <w:rsid w:val="00C26549"/>
    <w:rsid w:val="00C271F4"/>
    <w:rsid w:val="00C30C93"/>
    <w:rsid w:val="00C31D7C"/>
    <w:rsid w:val="00C32ACA"/>
    <w:rsid w:val="00C34816"/>
    <w:rsid w:val="00C34D16"/>
    <w:rsid w:val="00C35682"/>
    <w:rsid w:val="00C3582E"/>
    <w:rsid w:val="00C35891"/>
    <w:rsid w:val="00C361E6"/>
    <w:rsid w:val="00C369D5"/>
    <w:rsid w:val="00C36A1C"/>
    <w:rsid w:val="00C3756D"/>
    <w:rsid w:val="00C37B05"/>
    <w:rsid w:val="00C40CA4"/>
    <w:rsid w:val="00C40D85"/>
    <w:rsid w:val="00C41F36"/>
    <w:rsid w:val="00C41FE3"/>
    <w:rsid w:val="00C42585"/>
    <w:rsid w:val="00C43374"/>
    <w:rsid w:val="00C433D6"/>
    <w:rsid w:val="00C437D5"/>
    <w:rsid w:val="00C43953"/>
    <w:rsid w:val="00C44229"/>
    <w:rsid w:val="00C44B3B"/>
    <w:rsid w:val="00C44D10"/>
    <w:rsid w:val="00C4543D"/>
    <w:rsid w:val="00C4600A"/>
    <w:rsid w:val="00C46435"/>
    <w:rsid w:val="00C466F3"/>
    <w:rsid w:val="00C470A5"/>
    <w:rsid w:val="00C473DF"/>
    <w:rsid w:val="00C47B20"/>
    <w:rsid w:val="00C47F6C"/>
    <w:rsid w:val="00C5044E"/>
    <w:rsid w:val="00C51DED"/>
    <w:rsid w:val="00C536E6"/>
    <w:rsid w:val="00C53825"/>
    <w:rsid w:val="00C542C9"/>
    <w:rsid w:val="00C54670"/>
    <w:rsid w:val="00C54755"/>
    <w:rsid w:val="00C55148"/>
    <w:rsid w:val="00C553C4"/>
    <w:rsid w:val="00C55CF3"/>
    <w:rsid w:val="00C56434"/>
    <w:rsid w:val="00C567A4"/>
    <w:rsid w:val="00C56EEF"/>
    <w:rsid w:val="00C57BB4"/>
    <w:rsid w:val="00C60DCC"/>
    <w:rsid w:val="00C61D0E"/>
    <w:rsid w:val="00C6266A"/>
    <w:rsid w:val="00C6266D"/>
    <w:rsid w:val="00C64218"/>
    <w:rsid w:val="00C64299"/>
    <w:rsid w:val="00C64A8B"/>
    <w:rsid w:val="00C65586"/>
    <w:rsid w:val="00C65A6B"/>
    <w:rsid w:val="00C65D2E"/>
    <w:rsid w:val="00C669DA"/>
    <w:rsid w:val="00C66DC6"/>
    <w:rsid w:val="00C66E3C"/>
    <w:rsid w:val="00C67626"/>
    <w:rsid w:val="00C67BEF"/>
    <w:rsid w:val="00C70365"/>
    <w:rsid w:val="00C7098E"/>
    <w:rsid w:val="00C709D2"/>
    <w:rsid w:val="00C70AD9"/>
    <w:rsid w:val="00C70D0D"/>
    <w:rsid w:val="00C715EA"/>
    <w:rsid w:val="00C71698"/>
    <w:rsid w:val="00C718CC"/>
    <w:rsid w:val="00C71C73"/>
    <w:rsid w:val="00C71CB4"/>
    <w:rsid w:val="00C71F2B"/>
    <w:rsid w:val="00C72BA3"/>
    <w:rsid w:val="00C73418"/>
    <w:rsid w:val="00C73430"/>
    <w:rsid w:val="00C738E7"/>
    <w:rsid w:val="00C73DED"/>
    <w:rsid w:val="00C752B1"/>
    <w:rsid w:val="00C753F2"/>
    <w:rsid w:val="00C75EA9"/>
    <w:rsid w:val="00C760DA"/>
    <w:rsid w:val="00C77B40"/>
    <w:rsid w:val="00C80336"/>
    <w:rsid w:val="00C80BFA"/>
    <w:rsid w:val="00C80FE0"/>
    <w:rsid w:val="00C80FEE"/>
    <w:rsid w:val="00C81055"/>
    <w:rsid w:val="00C810F7"/>
    <w:rsid w:val="00C8118C"/>
    <w:rsid w:val="00C81574"/>
    <w:rsid w:val="00C82565"/>
    <w:rsid w:val="00C82FD2"/>
    <w:rsid w:val="00C8314D"/>
    <w:rsid w:val="00C83C81"/>
    <w:rsid w:val="00C8470B"/>
    <w:rsid w:val="00C85EFB"/>
    <w:rsid w:val="00C86AC4"/>
    <w:rsid w:val="00C86E07"/>
    <w:rsid w:val="00C873E9"/>
    <w:rsid w:val="00C8755C"/>
    <w:rsid w:val="00C9050D"/>
    <w:rsid w:val="00C905BE"/>
    <w:rsid w:val="00C907DA"/>
    <w:rsid w:val="00C90C75"/>
    <w:rsid w:val="00C90F5D"/>
    <w:rsid w:val="00C913DC"/>
    <w:rsid w:val="00C91515"/>
    <w:rsid w:val="00C91898"/>
    <w:rsid w:val="00C921C9"/>
    <w:rsid w:val="00C93634"/>
    <w:rsid w:val="00C93645"/>
    <w:rsid w:val="00C93799"/>
    <w:rsid w:val="00C953BB"/>
    <w:rsid w:val="00C9567A"/>
    <w:rsid w:val="00C9617E"/>
    <w:rsid w:val="00C96996"/>
    <w:rsid w:val="00C97B58"/>
    <w:rsid w:val="00C97FB0"/>
    <w:rsid w:val="00CA0A41"/>
    <w:rsid w:val="00CA11C9"/>
    <w:rsid w:val="00CA18D8"/>
    <w:rsid w:val="00CA1955"/>
    <w:rsid w:val="00CA2789"/>
    <w:rsid w:val="00CA2934"/>
    <w:rsid w:val="00CA2F11"/>
    <w:rsid w:val="00CA3B5B"/>
    <w:rsid w:val="00CA4661"/>
    <w:rsid w:val="00CA58F0"/>
    <w:rsid w:val="00CA5A42"/>
    <w:rsid w:val="00CA6085"/>
    <w:rsid w:val="00CA6B34"/>
    <w:rsid w:val="00CB0869"/>
    <w:rsid w:val="00CB0CC0"/>
    <w:rsid w:val="00CB0CE0"/>
    <w:rsid w:val="00CB0FD9"/>
    <w:rsid w:val="00CB1453"/>
    <w:rsid w:val="00CB199A"/>
    <w:rsid w:val="00CB20D3"/>
    <w:rsid w:val="00CB2530"/>
    <w:rsid w:val="00CB2654"/>
    <w:rsid w:val="00CB28FD"/>
    <w:rsid w:val="00CB3526"/>
    <w:rsid w:val="00CB3B37"/>
    <w:rsid w:val="00CB48A5"/>
    <w:rsid w:val="00CB4D02"/>
    <w:rsid w:val="00CB54C8"/>
    <w:rsid w:val="00CB5B28"/>
    <w:rsid w:val="00CB6AC0"/>
    <w:rsid w:val="00CB6B6E"/>
    <w:rsid w:val="00CB6DA9"/>
    <w:rsid w:val="00CB74FD"/>
    <w:rsid w:val="00CB7607"/>
    <w:rsid w:val="00CC0E3E"/>
    <w:rsid w:val="00CC129B"/>
    <w:rsid w:val="00CC1AB3"/>
    <w:rsid w:val="00CC2A24"/>
    <w:rsid w:val="00CC3814"/>
    <w:rsid w:val="00CC49FC"/>
    <w:rsid w:val="00CC4D73"/>
    <w:rsid w:val="00CC5E9D"/>
    <w:rsid w:val="00CC60C7"/>
    <w:rsid w:val="00CC667D"/>
    <w:rsid w:val="00CC6ECB"/>
    <w:rsid w:val="00CC730D"/>
    <w:rsid w:val="00CC7472"/>
    <w:rsid w:val="00CC7D9F"/>
    <w:rsid w:val="00CC7F22"/>
    <w:rsid w:val="00CD05A6"/>
    <w:rsid w:val="00CD0755"/>
    <w:rsid w:val="00CD1298"/>
    <w:rsid w:val="00CD1ED5"/>
    <w:rsid w:val="00CD221E"/>
    <w:rsid w:val="00CD224A"/>
    <w:rsid w:val="00CD22F3"/>
    <w:rsid w:val="00CD273A"/>
    <w:rsid w:val="00CD2D2C"/>
    <w:rsid w:val="00CD31B5"/>
    <w:rsid w:val="00CD3E78"/>
    <w:rsid w:val="00CD42CE"/>
    <w:rsid w:val="00CD45D5"/>
    <w:rsid w:val="00CD60F8"/>
    <w:rsid w:val="00CD62FD"/>
    <w:rsid w:val="00CD658E"/>
    <w:rsid w:val="00CD6602"/>
    <w:rsid w:val="00CD7362"/>
    <w:rsid w:val="00CD7689"/>
    <w:rsid w:val="00CD7727"/>
    <w:rsid w:val="00CD77A9"/>
    <w:rsid w:val="00CD77C7"/>
    <w:rsid w:val="00CE01D9"/>
    <w:rsid w:val="00CE1C42"/>
    <w:rsid w:val="00CE1D73"/>
    <w:rsid w:val="00CE1E36"/>
    <w:rsid w:val="00CE1F9F"/>
    <w:rsid w:val="00CE36FB"/>
    <w:rsid w:val="00CE39B3"/>
    <w:rsid w:val="00CE3F6A"/>
    <w:rsid w:val="00CE4A12"/>
    <w:rsid w:val="00CE4AA3"/>
    <w:rsid w:val="00CE522C"/>
    <w:rsid w:val="00CE54DB"/>
    <w:rsid w:val="00CE5E14"/>
    <w:rsid w:val="00CE607C"/>
    <w:rsid w:val="00CE6944"/>
    <w:rsid w:val="00CE6A75"/>
    <w:rsid w:val="00CE6B51"/>
    <w:rsid w:val="00CE6CFA"/>
    <w:rsid w:val="00CE70A8"/>
    <w:rsid w:val="00CE7584"/>
    <w:rsid w:val="00CE7B3B"/>
    <w:rsid w:val="00CE7F3D"/>
    <w:rsid w:val="00CF1435"/>
    <w:rsid w:val="00CF14B4"/>
    <w:rsid w:val="00CF1575"/>
    <w:rsid w:val="00CF40D7"/>
    <w:rsid w:val="00CF46E8"/>
    <w:rsid w:val="00CF5762"/>
    <w:rsid w:val="00CF599F"/>
    <w:rsid w:val="00CF6324"/>
    <w:rsid w:val="00CF665E"/>
    <w:rsid w:val="00CF743C"/>
    <w:rsid w:val="00CF780F"/>
    <w:rsid w:val="00CF7984"/>
    <w:rsid w:val="00D00BCA"/>
    <w:rsid w:val="00D00ECD"/>
    <w:rsid w:val="00D00FE6"/>
    <w:rsid w:val="00D020B2"/>
    <w:rsid w:val="00D025A6"/>
    <w:rsid w:val="00D0397A"/>
    <w:rsid w:val="00D04B86"/>
    <w:rsid w:val="00D05F60"/>
    <w:rsid w:val="00D06D04"/>
    <w:rsid w:val="00D07A53"/>
    <w:rsid w:val="00D1019D"/>
    <w:rsid w:val="00D10266"/>
    <w:rsid w:val="00D108C0"/>
    <w:rsid w:val="00D10908"/>
    <w:rsid w:val="00D109BC"/>
    <w:rsid w:val="00D10AA8"/>
    <w:rsid w:val="00D10CFF"/>
    <w:rsid w:val="00D10F13"/>
    <w:rsid w:val="00D10F3B"/>
    <w:rsid w:val="00D1109E"/>
    <w:rsid w:val="00D11828"/>
    <w:rsid w:val="00D12935"/>
    <w:rsid w:val="00D12DFD"/>
    <w:rsid w:val="00D12EA4"/>
    <w:rsid w:val="00D13B38"/>
    <w:rsid w:val="00D145E2"/>
    <w:rsid w:val="00D14B2B"/>
    <w:rsid w:val="00D14E10"/>
    <w:rsid w:val="00D14E72"/>
    <w:rsid w:val="00D150C7"/>
    <w:rsid w:val="00D17006"/>
    <w:rsid w:val="00D171E6"/>
    <w:rsid w:val="00D17676"/>
    <w:rsid w:val="00D17C3C"/>
    <w:rsid w:val="00D17D7A"/>
    <w:rsid w:val="00D17E5D"/>
    <w:rsid w:val="00D2036D"/>
    <w:rsid w:val="00D20850"/>
    <w:rsid w:val="00D20C1C"/>
    <w:rsid w:val="00D215BF"/>
    <w:rsid w:val="00D2198A"/>
    <w:rsid w:val="00D21C07"/>
    <w:rsid w:val="00D21FFE"/>
    <w:rsid w:val="00D22494"/>
    <w:rsid w:val="00D227A5"/>
    <w:rsid w:val="00D228A3"/>
    <w:rsid w:val="00D230FA"/>
    <w:rsid w:val="00D240C8"/>
    <w:rsid w:val="00D25132"/>
    <w:rsid w:val="00D252B1"/>
    <w:rsid w:val="00D269A7"/>
    <w:rsid w:val="00D27AD2"/>
    <w:rsid w:val="00D3011C"/>
    <w:rsid w:val="00D301D3"/>
    <w:rsid w:val="00D30A31"/>
    <w:rsid w:val="00D30DC9"/>
    <w:rsid w:val="00D311D1"/>
    <w:rsid w:val="00D3244B"/>
    <w:rsid w:val="00D32F50"/>
    <w:rsid w:val="00D333D5"/>
    <w:rsid w:val="00D33432"/>
    <w:rsid w:val="00D3369A"/>
    <w:rsid w:val="00D33CCF"/>
    <w:rsid w:val="00D34CC3"/>
    <w:rsid w:val="00D35B40"/>
    <w:rsid w:val="00D362DC"/>
    <w:rsid w:val="00D362FE"/>
    <w:rsid w:val="00D36481"/>
    <w:rsid w:val="00D36928"/>
    <w:rsid w:val="00D37119"/>
    <w:rsid w:val="00D3728E"/>
    <w:rsid w:val="00D3752C"/>
    <w:rsid w:val="00D37F08"/>
    <w:rsid w:val="00D40020"/>
    <w:rsid w:val="00D40A42"/>
    <w:rsid w:val="00D41B63"/>
    <w:rsid w:val="00D41E89"/>
    <w:rsid w:val="00D43412"/>
    <w:rsid w:val="00D4402C"/>
    <w:rsid w:val="00D44067"/>
    <w:rsid w:val="00D4792B"/>
    <w:rsid w:val="00D47B38"/>
    <w:rsid w:val="00D50674"/>
    <w:rsid w:val="00D50B98"/>
    <w:rsid w:val="00D50BFB"/>
    <w:rsid w:val="00D50ECC"/>
    <w:rsid w:val="00D511C9"/>
    <w:rsid w:val="00D523CE"/>
    <w:rsid w:val="00D5384E"/>
    <w:rsid w:val="00D53D86"/>
    <w:rsid w:val="00D5431C"/>
    <w:rsid w:val="00D546D4"/>
    <w:rsid w:val="00D54A38"/>
    <w:rsid w:val="00D56525"/>
    <w:rsid w:val="00D56AEE"/>
    <w:rsid w:val="00D57909"/>
    <w:rsid w:val="00D57EBC"/>
    <w:rsid w:val="00D6218B"/>
    <w:rsid w:val="00D62211"/>
    <w:rsid w:val="00D6239E"/>
    <w:rsid w:val="00D62799"/>
    <w:rsid w:val="00D62F0E"/>
    <w:rsid w:val="00D635B1"/>
    <w:rsid w:val="00D63A37"/>
    <w:rsid w:val="00D63FD2"/>
    <w:rsid w:val="00D656C4"/>
    <w:rsid w:val="00D67196"/>
    <w:rsid w:val="00D67232"/>
    <w:rsid w:val="00D6732D"/>
    <w:rsid w:val="00D67728"/>
    <w:rsid w:val="00D7061E"/>
    <w:rsid w:val="00D70EA3"/>
    <w:rsid w:val="00D70FAC"/>
    <w:rsid w:val="00D712BB"/>
    <w:rsid w:val="00D71498"/>
    <w:rsid w:val="00D72541"/>
    <w:rsid w:val="00D725C8"/>
    <w:rsid w:val="00D73679"/>
    <w:rsid w:val="00D737A8"/>
    <w:rsid w:val="00D73886"/>
    <w:rsid w:val="00D74943"/>
    <w:rsid w:val="00D74C00"/>
    <w:rsid w:val="00D7609A"/>
    <w:rsid w:val="00D769DC"/>
    <w:rsid w:val="00D76D2A"/>
    <w:rsid w:val="00D76DBC"/>
    <w:rsid w:val="00D776E5"/>
    <w:rsid w:val="00D777AF"/>
    <w:rsid w:val="00D800B9"/>
    <w:rsid w:val="00D80CAA"/>
    <w:rsid w:val="00D81B5C"/>
    <w:rsid w:val="00D81D86"/>
    <w:rsid w:val="00D8226D"/>
    <w:rsid w:val="00D82C7A"/>
    <w:rsid w:val="00D832E4"/>
    <w:rsid w:val="00D835A4"/>
    <w:rsid w:val="00D83B24"/>
    <w:rsid w:val="00D83DA8"/>
    <w:rsid w:val="00D84A46"/>
    <w:rsid w:val="00D851CA"/>
    <w:rsid w:val="00D851E7"/>
    <w:rsid w:val="00D85A95"/>
    <w:rsid w:val="00D85CB2"/>
    <w:rsid w:val="00D863CE"/>
    <w:rsid w:val="00D8651E"/>
    <w:rsid w:val="00D86697"/>
    <w:rsid w:val="00D866C5"/>
    <w:rsid w:val="00D868DD"/>
    <w:rsid w:val="00D8738E"/>
    <w:rsid w:val="00D87873"/>
    <w:rsid w:val="00D87B2E"/>
    <w:rsid w:val="00D90464"/>
    <w:rsid w:val="00D90671"/>
    <w:rsid w:val="00D90EBC"/>
    <w:rsid w:val="00D91528"/>
    <w:rsid w:val="00D919E3"/>
    <w:rsid w:val="00D920FC"/>
    <w:rsid w:val="00D92400"/>
    <w:rsid w:val="00D92524"/>
    <w:rsid w:val="00D92790"/>
    <w:rsid w:val="00D928F2"/>
    <w:rsid w:val="00D92CCC"/>
    <w:rsid w:val="00D93E4D"/>
    <w:rsid w:val="00D945BB"/>
    <w:rsid w:val="00D94A77"/>
    <w:rsid w:val="00D94DAE"/>
    <w:rsid w:val="00D95CA7"/>
    <w:rsid w:val="00D960D6"/>
    <w:rsid w:val="00D9622C"/>
    <w:rsid w:val="00D96B12"/>
    <w:rsid w:val="00D972A3"/>
    <w:rsid w:val="00D97390"/>
    <w:rsid w:val="00D974A8"/>
    <w:rsid w:val="00D97597"/>
    <w:rsid w:val="00D97D90"/>
    <w:rsid w:val="00D97F9D"/>
    <w:rsid w:val="00DA0385"/>
    <w:rsid w:val="00DA1438"/>
    <w:rsid w:val="00DA14DF"/>
    <w:rsid w:val="00DA17E3"/>
    <w:rsid w:val="00DA1B67"/>
    <w:rsid w:val="00DA2470"/>
    <w:rsid w:val="00DA2CB2"/>
    <w:rsid w:val="00DA2DC0"/>
    <w:rsid w:val="00DA2E26"/>
    <w:rsid w:val="00DA3BDF"/>
    <w:rsid w:val="00DA433A"/>
    <w:rsid w:val="00DA4E72"/>
    <w:rsid w:val="00DA52E9"/>
    <w:rsid w:val="00DA55D5"/>
    <w:rsid w:val="00DA59D7"/>
    <w:rsid w:val="00DA6A58"/>
    <w:rsid w:val="00DA6F4F"/>
    <w:rsid w:val="00DA7B7E"/>
    <w:rsid w:val="00DA7BE8"/>
    <w:rsid w:val="00DB076C"/>
    <w:rsid w:val="00DB080E"/>
    <w:rsid w:val="00DB10BE"/>
    <w:rsid w:val="00DB14DF"/>
    <w:rsid w:val="00DB19B5"/>
    <w:rsid w:val="00DB1A1C"/>
    <w:rsid w:val="00DB1CA9"/>
    <w:rsid w:val="00DB252B"/>
    <w:rsid w:val="00DB32FC"/>
    <w:rsid w:val="00DB3E8C"/>
    <w:rsid w:val="00DB3FCA"/>
    <w:rsid w:val="00DB4B23"/>
    <w:rsid w:val="00DB5062"/>
    <w:rsid w:val="00DB5627"/>
    <w:rsid w:val="00DB59E5"/>
    <w:rsid w:val="00DB7AB8"/>
    <w:rsid w:val="00DB7E37"/>
    <w:rsid w:val="00DC0AAA"/>
    <w:rsid w:val="00DC0ADB"/>
    <w:rsid w:val="00DC0D3F"/>
    <w:rsid w:val="00DC15A9"/>
    <w:rsid w:val="00DC1690"/>
    <w:rsid w:val="00DC1C46"/>
    <w:rsid w:val="00DC2B38"/>
    <w:rsid w:val="00DC319F"/>
    <w:rsid w:val="00DC3C06"/>
    <w:rsid w:val="00DC620D"/>
    <w:rsid w:val="00DC7973"/>
    <w:rsid w:val="00DD03C8"/>
    <w:rsid w:val="00DD0915"/>
    <w:rsid w:val="00DD0F90"/>
    <w:rsid w:val="00DD2327"/>
    <w:rsid w:val="00DD4475"/>
    <w:rsid w:val="00DD554A"/>
    <w:rsid w:val="00DD5A96"/>
    <w:rsid w:val="00DD64A2"/>
    <w:rsid w:val="00DD65E7"/>
    <w:rsid w:val="00DD6725"/>
    <w:rsid w:val="00DD7803"/>
    <w:rsid w:val="00DE1DF8"/>
    <w:rsid w:val="00DE1F3C"/>
    <w:rsid w:val="00DE27C6"/>
    <w:rsid w:val="00DE3A09"/>
    <w:rsid w:val="00DE45E0"/>
    <w:rsid w:val="00DE51C4"/>
    <w:rsid w:val="00DE5574"/>
    <w:rsid w:val="00DE56D8"/>
    <w:rsid w:val="00DE6221"/>
    <w:rsid w:val="00DE6F3D"/>
    <w:rsid w:val="00DE74BB"/>
    <w:rsid w:val="00DE7C0C"/>
    <w:rsid w:val="00DE7E8F"/>
    <w:rsid w:val="00DF02C0"/>
    <w:rsid w:val="00DF0799"/>
    <w:rsid w:val="00DF07BB"/>
    <w:rsid w:val="00DF0EA9"/>
    <w:rsid w:val="00DF1F98"/>
    <w:rsid w:val="00DF211D"/>
    <w:rsid w:val="00DF2C5C"/>
    <w:rsid w:val="00DF2C5E"/>
    <w:rsid w:val="00DF3288"/>
    <w:rsid w:val="00DF33E2"/>
    <w:rsid w:val="00DF38CC"/>
    <w:rsid w:val="00DF441E"/>
    <w:rsid w:val="00DF4AE6"/>
    <w:rsid w:val="00DF4FB0"/>
    <w:rsid w:val="00DF5444"/>
    <w:rsid w:val="00DF67D3"/>
    <w:rsid w:val="00E0059F"/>
    <w:rsid w:val="00E02753"/>
    <w:rsid w:val="00E02AFD"/>
    <w:rsid w:val="00E02DE5"/>
    <w:rsid w:val="00E032F5"/>
    <w:rsid w:val="00E03F21"/>
    <w:rsid w:val="00E0497C"/>
    <w:rsid w:val="00E04C60"/>
    <w:rsid w:val="00E0562C"/>
    <w:rsid w:val="00E061FE"/>
    <w:rsid w:val="00E063BB"/>
    <w:rsid w:val="00E065C6"/>
    <w:rsid w:val="00E0696D"/>
    <w:rsid w:val="00E0729E"/>
    <w:rsid w:val="00E0733F"/>
    <w:rsid w:val="00E10E0F"/>
    <w:rsid w:val="00E1189D"/>
    <w:rsid w:val="00E12F5A"/>
    <w:rsid w:val="00E1305A"/>
    <w:rsid w:val="00E137E0"/>
    <w:rsid w:val="00E13C91"/>
    <w:rsid w:val="00E14E74"/>
    <w:rsid w:val="00E154AE"/>
    <w:rsid w:val="00E15E55"/>
    <w:rsid w:val="00E1614C"/>
    <w:rsid w:val="00E1762A"/>
    <w:rsid w:val="00E2095A"/>
    <w:rsid w:val="00E20B25"/>
    <w:rsid w:val="00E21484"/>
    <w:rsid w:val="00E215C1"/>
    <w:rsid w:val="00E221E9"/>
    <w:rsid w:val="00E22200"/>
    <w:rsid w:val="00E2271F"/>
    <w:rsid w:val="00E22880"/>
    <w:rsid w:val="00E22AA5"/>
    <w:rsid w:val="00E2383E"/>
    <w:rsid w:val="00E2473C"/>
    <w:rsid w:val="00E24EB6"/>
    <w:rsid w:val="00E24F65"/>
    <w:rsid w:val="00E254CC"/>
    <w:rsid w:val="00E25599"/>
    <w:rsid w:val="00E27719"/>
    <w:rsid w:val="00E30147"/>
    <w:rsid w:val="00E31076"/>
    <w:rsid w:val="00E31232"/>
    <w:rsid w:val="00E31D92"/>
    <w:rsid w:val="00E327F9"/>
    <w:rsid w:val="00E32AF2"/>
    <w:rsid w:val="00E330EB"/>
    <w:rsid w:val="00E340C7"/>
    <w:rsid w:val="00E342FB"/>
    <w:rsid w:val="00E349E5"/>
    <w:rsid w:val="00E35496"/>
    <w:rsid w:val="00E402EA"/>
    <w:rsid w:val="00E409C7"/>
    <w:rsid w:val="00E41449"/>
    <w:rsid w:val="00E4204C"/>
    <w:rsid w:val="00E42532"/>
    <w:rsid w:val="00E42B43"/>
    <w:rsid w:val="00E43BD1"/>
    <w:rsid w:val="00E4415E"/>
    <w:rsid w:val="00E44B66"/>
    <w:rsid w:val="00E45AD1"/>
    <w:rsid w:val="00E45D92"/>
    <w:rsid w:val="00E45F29"/>
    <w:rsid w:val="00E45F72"/>
    <w:rsid w:val="00E46556"/>
    <w:rsid w:val="00E469AF"/>
    <w:rsid w:val="00E46FFD"/>
    <w:rsid w:val="00E47222"/>
    <w:rsid w:val="00E475D5"/>
    <w:rsid w:val="00E47B53"/>
    <w:rsid w:val="00E5197A"/>
    <w:rsid w:val="00E51B0F"/>
    <w:rsid w:val="00E52061"/>
    <w:rsid w:val="00E528CA"/>
    <w:rsid w:val="00E52BB8"/>
    <w:rsid w:val="00E52C5A"/>
    <w:rsid w:val="00E52FC1"/>
    <w:rsid w:val="00E5364D"/>
    <w:rsid w:val="00E53AA2"/>
    <w:rsid w:val="00E5459E"/>
    <w:rsid w:val="00E54C5F"/>
    <w:rsid w:val="00E54E52"/>
    <w:rsid w:val="00E5512F"/>
    <w:rsid w:val="00E559BC"/>
    <w:rsid w:val="00E56939"/>
    <w:rsid w:val="00E56B6D"/>
    <w:rsid w:val="00E579D2"/>
    <w:rsid w:val="00E57B2E"/>
    <w:rsid w:val="00E57F6F"/>
    <w:rsid w:val="00E60307"/>
    <w:rsid w:val="00E6052E"/>
    <w:rsid w:val="00E60FD4"/>
    <w:rsid w:val="00E61182"/>
    <w:rsid w:val="00E6268A"/>
    <w:rsid w:val="00E6376B"/>
    <w:rsid w:val="00E640BC"/>
    <w:rsid w:val="00E64CA3"/>
    <w:rsid w:val="00E65172"/>
    <w:rsid w:val="00E653B1"/>
    <w:rsid w:val="00E67AEF"/>
    <w:rsid w:val="00E67DB9"/>
    <w:rsid w:val="00E70DC4"/>
    <w:rsid w:val="00E71C58"/>
    <w:rsid w:val="00E722A0"/>
    <w:rsid w:val="00E745CD"/>
    <w:rsid w:val="00E74F77"/>
    <w:rsid w:val="00E75138"/>
    <w:rsid w:val="00E75281"/>
    <w:rsid w:val="00E75912"/>
    <w:rsid w:val="00E762FC"/>
    <w:rsid w:val="00E76309"/>
    <w:rsid w:val="00E764CF"/>
    <w:rsid w:val="00E8067F"/>
    <w:rsid w:val="00E80A98"/>
    <w:rsid w:val="00E80FFA"/>
    <w:rsid w:val="00E810C0"/>
    <w:rsid w:val="00E817D5"/>
    <w:rsid w:val="00E81F83"/>
    <w:rsid w:val="00E821E4"/>
    <w:rsid w:val="00E82BAD"/>
    <w:rsid w:val="00E83A61"/>
    <w:rsid w:val="00E841F2"/>
    <w:rsid w:val="00E84A91"/>
    <w:rsid w:val="00E85343"/>
    <w:rsid w:val="00E853B8"/>
    <w:rsid w:val="00E86769"/>
    <w:rsid w:val="00E86EDF"/>
    <w:rsid w:val="00E86F91"/>
    <w:rsid w:val="00E872CB"/>
    <w:rsid w:val="00E87731"/>
    <w:rsid w:val="00E8790A"/>
    <w:rsid w:val="00E9011B"/>
    <w:rsid w:val="00E90912"/>
    <w:rsid w:val="00E914F9"/>
    <w:rsid w:val="00E92004"/>
    <w:rsid w:val="00E9227C"/>
    <w:rsid w:val="00E92476"/>
    <w:rsid w:val="00E93294"/>
    <w:rsid w:val="00E93732"/>
    <w:rsid w:val="00E93769"/>
    <w:rsid w:val="00E9409E"/>
    <w:rsid w:val="00E943E1"/>
    <w:rsid w:val="00E94432"/>
    <w:rsid w:val="00E95EEC"/>
    <w:rsid w:val="00E960A3"/>
    <w:rsid w:val="00E97CE7"/>
    <w:rsid w:val="00E97D20"/>
    <w:rsid w:val="00EA00C3"/>
    <w:rsid w:val="00EA0369"/>
    <w:rsid w:val="00EA0426"/>
    <w:rsid w:val="00EA0758"/>
    <w:rsid w:val="00EA102A"/>
    <w:rsid w:val="00EA1495"/>
    <w:rsid w:val="00EA18FD"/>
    <w:rsid w:val="00EA1A75"/>
    <w:rsid w:val="00EA1FAA"/>
    <w:rsid w:val="00EA2044"/>
    <w:rsid w:val="00EA2431"/>
    <w:rsid w:val="00EA367C"/>
    <w:rsid w:val="00EA37F0"/>
    <w:rsid w:val="00EA3800"/>
    <w:rsid w:val="00EA40A9"/>
    <w:rsid w:val="00EA5460"/>
    <w:rsid w:val="00EA5E6D"/>
    <w:rsid w:val="00EA646D"/>
    <w:rsid w:val="00EA6FFC"/>
    <w:rsid w:val="00EA72AE"/>
    <w:rsid w:val="00EA7445"/>
    <w:rsid w:val="00EA7B4D"/>
    <w:rsid w:val="00EB11CC"/>
    <w:rsid w:val="00EB1549"/>
    <w:rsid w:val="00EB1C38"/>
    <w:rsid w:val="00EB1F5B"/>
    <w:rsid w:val="00EB2361"/>
    <w:rsid w:val="00EB23CF"/>
    <w:rsid w:val="00EB2A8D"/>
    <w:rsid w:val="00EB3451"/>
    <w:rsid w:val="00EB367B"/>
    <w:rsid w:val="00EB3D00"/>
    <w:rsid w:val="00EB4350"/>
    <w:rsid w:val="00EB5530"/>
    <w:rsid w:val="00EB5B7F"/>
    <w:rsid w:val="00EB5F6F"/>
    <w:rsid w:val="00EB6B0D"/>
    <w:rsid w:val="00EB75EC"/>
    <w:rsid w:val="00EB7E32"/>
    <w:rsid w:val="00EC0F93"/>
    <w:rsid w:val="00EC10F8"/>
    <w:rsid w:val="00EC3412"/>
    <w:rsid w:val="00EC3D9D"/>
    <w:rsid w:val="00EC563E"/>
    <w:rsid w:val="00EC5B8C"/>
    <w:rsid w:val="00EC5EF2"/>
    <w:rsid w:val="00EC672B"/>
    <w:rsid w:val="00EC6F91"/>
    <w:rsid w:val="00EC77E8"/>
    <w:rsid w:val="00ED1876"/>
    <w:rsid w:val="00ED1A70"/>
    <w:rsid w:val="00ED227A"/>
    <w:rsid w:val="00ED2CBA"/>
    <w:rsid w:val="00ED2E82"/>
    <w:rsid w:val="00ED3300"/>
    <w:rsid w:val="00ED48B4"/>
    <w:rsid w:val="00ED4990"/>
    <w:rsid w:val="00ED507F"/>
    <w:rsid w:val="00ED6983"/>
    <w:rsid w:val="00ED6CFE"/>
    <w:rsid w:val="00ED6F94"/>
    <w:rsid w:val="00ED7018"/>
    <w:rsid w:val="00ED781E"/>
    <w:rsid w:val="00ED7B88"/>
    <w:rsid w:val="00ED7D29"/>
    <w:rsid w:val="00EE00AE"/>
    <w:rsid w:val="00EE088F"/>
    <w:rsid w:val="00EE0B93"/>
    <w:rsid w:val="00EE1554"/>
    <w:rsid w:val="00EE1E8A"/>
    <w:rsid w:val="00EE233C"/>
    <w:rsid w:val="00EE244A"/>
    <w:rsid w:val="00EE35A0"/>
    <w:rsid w:val="00EE37EA"/>
    <w:rsid w:val="00EE3BE1"/>
    <w:rsid w:val="00EE4ABA"/>
    <w:rsid w:val="00EE5773"/>
    <w:rsid w:val="00EE58DC"/>
    <w:rsid w:val="00EE7205"/>
    <w:rsid w:val="00EE7586"/>
    <w:rsid w:val="00EE768C"/>
    <w:rsid w:val="00EF1028"/>
    <w:rsid w:val="00EF10A5"/>
    <w:rsid w:val="00EF1F5B"/>
    <w:rsid w:val="00EF1F67"/>
    <w:rsid w:val="00EF2392"/>
    <w:rsid w:val="00EF398B"/>
    <w:rsid w:val="00EF3B6F"/>
    <w:rsid w:val="00EF3CCA"/>
    <w:rsid w:val="00EF5409"/>
    <w:rsid w:val="00EF5A93"/>
    <w:rsid w:val="00EF5BA3"/>
    <w:rsid w:val="00EF5C10"/>
    <w:rsid w:val="00EF6D19"/>
    <w:rsid w:val="00EF7B46"/>
    <w:rsid w:val="00F024B2"/>
    <w:rsid w:val="00F026C2"/>
    <w:rsid w:val="00F02742"/>
    <w:rsid w:val="00F02EAC"/>
    <w:rsid w:val="00F03320"/>
    <w:rsid w:val="00F04780"/>
    <w:rsid w:val="00F04B0D"/>
    <w:rsid w:val="00F060E2"/>
    <w:rsid w:val="00F06AE1"/>
    <w:rsid w:val="00F07203"/>
    <w:rsid w:val="00F07E09"/>
    <w:rsid w:val="00F10C01"/>
    <w:rsid w:val="00F10C0D"/>
    <w:rsid w:val="00F10DF0"/>
    <w:rsid w:val="00F10E1B"/>
    <w:rsid w:val="00F11076"/>
    <w:rsid w:val="00F111CA"/>
    <w:rsid w:val="00F11BEB"/>
    <w:rsid w:val="00F133A4"/>
    <w:rsid w:val="00F134E9"/>
    <w:rsid w:val="00F13564"/>
    <w:rsid w:val="00F13673"/>
    <w:rsid w:val="00F13801"/>
    <w:rsid w:val="00F13DBE"/>
    <w:rsid w:val="00F15FA1"/>
    <w:rsid w:val="00F16008"/>
    <w:rsid w:val="00F161EB"/>
    <w:rsid w:val="00F1648B"/>
    <w:rsid w:val="00F16B46"/>
    <w:rsid w:val="00F17455"/>
    <w:rsid w:val="00F200E1"/>
    <w:rsid w:val="00F21833"/>
    <w:rsid w:val="00F21AFD"/>
    <w:rsid w:val="00F22ADF"/>
    <w:rsid w:val="00F2352C"/>
    <w:rsid w:val="00F23742"/>
    <w:rsid w:val="00F2396B"/>
    <w:rsid w:val="00F23C7C"/>
    <w:rsid w:val="00F24179"/>
    <w:rsid w:val="00F24862"/>
    <w:rsid w:val="00F2501F"/>
    <w:rsid w:val="00F25603"/>
    <w:rsid w:val="00F25946"/>
    <w:rsid w:val="00F26731"/>
    <w:rsid w:val="00F26952"/>
    <w:rsid w:val="00F26BC6"/>
    <w:rsid w:val="00F26F68"/>
    <w:rsid w:val="00F27FB8"/>
    <w:rsid w:val="00F30695"/>
    <w:rsid w:val="00F30FF1"/>
    <w:rsid w:val="00F31D3C"/>
    <w:rsid w:val="00F323BA"/>
    <w:rsid w:val="00F3304A"/>
    <w:rsid w:val="00F334D8"/>
    <w:rsid w:val="00F335CF"/>
    <w:rsid w:val="00F33676"/>
    <w:rsid w:val="00F344AA"/>
    <w:rsid w:val="00F3559A"/>
    <w:rsid w:val="00F35E24"/>
    <w:rsid w:val="00F36397"/>
    <w:rsid w:val="00F363BD"/>
    <w:rsid w:val="00F36D9E"/>
    <w:rsid w:val="00F36DBE"/>
    <w:rsid w:val="00F36F94"/>
    <w:rsid w:val="00F37367"/>
    <w:rsid w:val="00F37457"/>
    <w:rsid w:val="00F37A43"/>
    <w:rsid w:val="00F40AFE"/>
    <w:rsid w:val="00F40EE2"/>
    <w:rsid w:val="00F41845"/>
    <w:rsid w:val="00F41BC7"/>
    <w:rsid w:val="00F41E35"/>
    <w:rsid w:val="00F43832"/>
    <w:rsid w:val="00F43ADF"/>
    <w:rsid w:val="00F43F2C"/>
    <w:rsid w:val="00F44590"/>
    <w:rsid w:val="00F44C7E"/>
    <w:rsid w:val="00F44EFB"/>
    <w:rsid w:val="00F46353"/>
    <w:rsid w:val="00F46882"/>
    <w:rsid w:val="00F46938"/>
    <w:rsid w:val="00F46DDF"/>
    <w:rsid w:val="00F47619"/>
    <w:rsid w:val="00F50D19"/>
    <w:rsid w:val="00F514E6"/>
    <w:rsid w:val="00F53903"/>
    <w:rsid w:val="00F53BA2"/>
    <w:rsid w:val="00F53C96"/>
    <w:rsid w:val="00F546DF"/>
    <w:rsid w:val="00F54A94"/>
    <w:rsid w:val="00F55068"/>
    <w:rsid w:val="00F55178"/>
    <w:rsid w:val="00F55444"/>
    <w:rsid w:val="00F562E1"/>
    <w:rsid w:val="00F5745C"/>
    <w:rsid w:val="00F5774C"/>
    <w:rsid w:val="00F57753"/>
    <w:rsid w:val="00F60672"/>
    <w:rsid w:val="00F60A9C"/>
    <w:rsid w:val="00F61181"/>
    <w:rsid w:val="00F6154A"/>
    <w:rsid w:val="00F61F3D"/>
    <w:rsid w:val="00F6224C"/>
    <w:rsid w:val="00F622FC"/>
    <w:rsid w:val="00F632DE"/>
    <w:rsid w:val="00F6379B"/>
    <w:rsid w:val="00F645F3"/>
    <w:rsid w:val="00F65260"/>
    <w:rsid w:val="00F654B8"/>
    <w:rsid w:val="00F65573"/>
    <w:rsid w:val="00F6592B"/>
    <w:rsid w:val="00F65A29"/>
    <w:rsid w:val="00F65D4B"/>
    <w:rsid w:val="00F6675A"/>
    <w:rsid w:val="00F66936"/>
    <w:rsid w:val="00F66BF5"/>
    <w:rsid w:val="00F66F59"/>
    <w:rsid w:val="00F66F79"/>
    <w:rsid w:val="00F679D0"/>
    <w:rsid w:val="00F67B84"/>
    <w:rsid w:val="00F711AC"/>
    <w:rsid w:val="00F712F3"/>
    <w:rsid w:val="00F71479"/>
    <w:rsid w:val="00F7169B"/>
    <w:rsid w:val="00F7185E"/>
    <w:rsid w:val="00F71FB0"/>
    <w:rsid w:val="00F72196"/>
    <w:rsid w:val="00F73CE1"/>
    <w:rsid w:val="00F73D74"/>
    <w:rsid w:val="00F74E37"/>
    <w:rsid w:val="00F7594F"/>
    <w:rsid w:val="00F769C2"/>
    <w:rsid w:val="00F76BEC"/>
    <w:rsid w:val="00F76E2B"/>
    <w:rsid w:val="00F7779F"/>
    <w:rsid w:val="00F77A4F"/>
    <w:rsid w:val="00F77EE5"/>
    <w:rsid w:val="00F804DC"/>
    <w:rsid w:val="00F813B6"/>
    <w:rsid w:val="00F820E2"/>
    <w:rsid w:val="00F824D9"/>
    <w:rsid w:val="00F83084"/>
    <w:rsid w:val="00F831EF"/>
    <w:rsid w:val="00F8355A"/>
    <w:rsid w:val="00F83670"/>
    <w:rsid w:val="00F83BD4"/>
    <w:rsid w:val="00F842A5"/>
    <w:rsid w:val="00F84F64"/>
    <w:rsid w:val="00F85117"/>
    <w:rsid w:val="00F85DC1"/>
    <w:rsid w:val="00F85E39"/>
    <w:rsid w:val="00F8635D"/>
    <w:rsid w:val="00F86CA7"/>
    <w:rsid w:val="00F87488"/>
    <w:rsid w:val="00F8756B"/>
    <w:rsid w:val="00F8792B"/>
    <w:rsid w:val="00F87952"/>
    <w:rsid w:val="00F87953"/>
    <w:rsid w:val="00F87FC3"/>
    <w:rsid w:val="00F903C1"/>
    <w:rsid w:val="00F931CD"/>
    <w:rsid w:val="00F937DA"/>
    <w:rsid w:val="00F93E2A"/>
    <w:rsid w:val="00F94809"/>
    <w:rsid w:val="00F948D0"/>
    <w:rsid w:val="00F94EDD"/>
    <w:rsid w:val="00F9512B"/>
    <w:rsid w:val="00F95A3F"/>
    <w:rsid w:val="00F963C6"/>
    <w:rsid w:val="00F964AE"/>
    <w:rsid w:val="00F97394"/>
    <w:rsid w:val="00F97DA6"/>
    <w:rsid w:val="00FA06F6"/>
    <w:rsid w:val="00FA0AEC"/>
    <w:rsid w:val="00FA1119"/>
    <w:rsid w:val="00FA1702"/>
    <w:rsid w:val="00FA2B1B"/>
    <w:rsid w:val="00FA2C72"/>
    <w:rsid w:val="00FA2FF0"/>
    <w:rsid w:val="00FA3322"/>
    <w:rsid w:val="00FA34A8"/>
    <w:rsid w:val="00FA34D7"/>
    <w:rsid w:val="00FA3EB0"/>
    <w:rsid w:val="00FA448B"/>
    <w:rsid w:val="00FA468D"/>
    <w:rsid w:val="00FA4DAB"/>
    <w:rsid w:val="00FA503B"/>
    <w:rsid w:val="00FA5B7F"/>
    <w:rsid w:val="00FA5D00"/>
    <w:rsid w:val="00FA6245"/>
    <w:rsid w:val="00FA658D"/>
    <w:rsid w:val="00FA6E46"/>
    <w:rsid w:val="00FB1755"/>
    <w:rsid w:val="00FB1995"/>
    <w:rsid w:val="00FB2212"/>
    <w:rsid w:val="00FB2235"/>
    <w:rsid w:val="00FB23DE"/>
    <w:rsid w:val="00FB324B"/>
    <w:rsid w:val="00FB32D5"/>
    <w:rsid w:val="00FB341B"/>
    <w:rsid w:val="00FB376F"/>
    <w:rsid w:val="00FB4409"/>
    <w:rsid w:val="00FB49A3"/>
    <w:rsid w:val="00FB5325"/>
    <w:rsid w:val="00FB619C"/>
    <w:rsid w:val="00FB671F"/>
    <w:rsid w:val="00FB793E"/>
    <w:rsid w:val="00FC0452"/>
    <w:rsid w:val="00FC1393"/>
    <w:rsid w:val="00FC264E"/>
    <w:rsid w:val="00FC2B94"/>
    <w:rsid w:val="00FC303D"/>
    <w:rsid w:val="00FC3212"/>
    <w:rsid w:val="00FC4343"/>
    <w:rsid w:val="00FC4366"/>
    <w:rsid w:val="00FC43E9"/>
    <w:rsid w:val="00FC5F5E"/>
    <w:rsid w:val="00FC6760"/>
    <w:rsid w:val="00FC6C35"/>
    <w:rsid w:val="00FC6D39"/>
    <w:rsid w:val="00FC7843"/>
    <w:rsid w:val="00FD1337"/>
    <w:rsid w:val="00FD1422"/>
    <w:rsid w:val="00FD1C2B"/>
    <w:rsid w:val="00FD1D9E"/>
    <w:rsid w:val="00FD292F"/>
    <w:rsid w:val="00FD3193"/>
    <w:rsid w:val="00FD34F6"/>
    <w:rsid w:val="00FD4042"/>
    <w:rsid w:val="00FD4AB1"/>
    <w:rsid w:val="00FD4CEA"/>
    <w:rsid w:val="00FD550F"/>
    <w:rsid w:val="00FD6665"/>
    <w:rsid w:val="00FD6912"/>
    <w:rsid w:val="00FD7167"/>
    <w:rsid w:val="00FD7645"/>
    <w:rsid w:val="00FD787B"/>
    <w:rsid w:val="00FE0960"/>
    <w:rsid w:val="00FE0AE2"/>
    <w:rsid w:val="00FE1A2A"/>
    <w:rsid w:val="00FE1B73"/>
    <w:rsid w:val="00FE36FB"/>
    <w:rsid w:val="00FE3D4C"/>
    <w:rsid w:val="00FE3D95"/>
    <w:rsid w:val="00FE3EAD"/>
    <w:rsid w:val="00FE42DF"/>
    <w:rsid w:val="00FE4C86"/>
    <w:rsid w:val="00FE4D9F"/>
    <w:rsid w:val="00FE514E"/>
    <w:rsid w:val="00FE6370"/>
    <w:rsid w:val="00FE6EBD"/>
    <w:rsid w:val="00FE72B8"/>
    <w:rsid w:val="00FE764C"/>
    <w:rsid w:val="00FE76CB"/>
    <w:rsid w:val="00FF013A"/>
    <w:rsid w:val="00FF03D9"/>
    <w:rsid w:val="00FF062E"/>
    <w:rsid w:val="00FF1464"/>
    <w:rsid w:val="00FF2511"/>
    <w:rsid w:val="00FF2845"/>
    <w:rsid w:val="00FF2D89"/>
    <w:rsid w:val="00FF4657"/>
    <w:rsid w:val="00FF4E97"/>
    <w:rsid w:val="00FF5BC6"/>
    <w:rsid w:val="00FF79C5"/>
    <w:rsid w:val="00FF7F6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D3F1ED"/>
  <w15:chartTrackingRefBased/>
  <w15:docId w15:val="{266A01AE-4C45-4165-BB07-A616F4FA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A5E"/>
    <w:pPr>
      <w:spacing w:after="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C4BCF"/>
    <w:pPr>
      <w:pBdr>
        <w:top w:val="single" w:sz="4" w:space="1" w:color="auto"/>
        <w:left w:val="single" w:sz="4" w:space="4" w:color="auto"/>
        <w:bottom w:val="single" w:sz="4" w:space="1" w:color="auto"/>
        <w:right w:val="single" w:sz="4" w:space="4" w:color="auto"/>
      </w:pBdr>
      <w:shd w:val="clear" w:color="auto" w:fill="D9D9D9" w:themeFill="background1" w:themeFillShade="D9"/>
      <w:outlineLvl w:val="0"/>
    </w:pPr>
    <w:rPr>
      <w:b/>
    </w:rPr>
  </w:style>
  <w:style w:type="paragraph" w:styleId="Heading2">
    <w:name w:val="heading 2"/>
    <w:basedOn w:val="Normal"/>
    <w:next w:val="Normal"/>
    <w:link w:val="Heading2Char"/>
    <w:uiPriority w:val="9"/>
    <w:unhideWhenUsed/>
    <w:qFormat/>
    <w:rsid w:val="007A34F5"/>
    <w:pPr>
      <w:outlineLvl w:val="1"/>
    </w:pPr>
    <w:rPr>
      <w:b/>
    </w:rPr>
  </w:style>
  <w:style w:type="paragraph" w:styleId="Heading3">
    <w:name w:val="heading 3"/>
    <w:basedOn w:val="Normal"/>
    <w:next w:val="Normal"/>
    <w:link w:val="Heading3Char"/>
    <w:uiPriority w:val="9"/>
    <w:unhideWhenUsed/>
    <w:qFormat/>
    <w:rsid w:val="001723AD"/>
    <w:pPr>
      <w:keepNext/>
      <w:keepLines/>
      <w:spacing w:before="40"/>
      <w:outlineLvl w:val="2"/>
    </w:pPr>
    <w:rPr>
      <w:rFonts w:eastAsiaTheme="majorEastAsia"/>
      <w:b/>
      <w:bCs/>
      <w:i/>
      <w:iCs/>
    </w:rPr>
  </w:style>
  <w:style w:type="paragraph" w:styleId="Heading4">
    <w:name w:val="heading 4"/>
    <w:basedOn w:val="Heading3"/>
    <w:next w:val="Normal"/>
    <w:link w:val="Heading4Char"/>
    <w:uiPriority w:val="9"/>
    <w:unhideWhenUsed/>
    <w:qFormat/>
    <w:rsid w:val="00D50B98"/>
    <w:pPr>
      <w:outlineLvl w:val="3"/>
    </w:pPr>
    <w:rPr>
      <w:b w:val="0"/>
      <w:bCs w:val="0"/>
      <w:i w:val="0"/>
      <w:iCs w:val="0"/>
      <w:u w:val="single"/>
    </w:rPr>
  </w:style>
  <w:style w:type="paragraph" w:styleId="Heading5">
    <w:name w:val="heading 5"/>
    <w:basedOn w:val="Normal"/>
    <w:next w:val="Normal"/>
    <w:link w:val="Heading5Char"/>
    <w:uiPriority w:val="9"/>
    <w:unhideWhenUsed/>
    <w:qFormat/>
    <w:rsid w:val="00980FE8"/>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6A9"/>
    <w:pPr>
      <w:ind w:left="720"/>
      <w:contextualSpacing/>
    </w:pPr>
  </w:style>
  <w:style w:type="paragraph" w:styleId="Title">
    <w:name w:val="Title"/>
    <w:basedOn w:val="Normal"/>
    <w:next w:val="Normal"/>
    <w:link w:val="TitleChar"/>
    <w:uiPriority w:val="10"/>
    <w:qFormat/>
    <w:rsid w:val="00D546D4"/>
    <w:rPr>
      <w:sz w:val="32"/>
      <w:szCs w:val="32"/>
      <w:u w:val="single"/>
    </w:rPr>
  </w:style>
  <w:style w:type="character" w:customStyle="1" w:styleId="TitleChar">
    <w:name w:val="Title Char"/>
    <w:basedOn w:val="DefaultParagraphFont"/>
    <w:link w:val="Title"/>
    <w:uiPriority w:val="10"/>
    <w:rsid w:val="00D546D4"/>
    <w:rPr>
      <w:rFonts w:ascii="Times New Roman" w:hAnsi="Times New Roman" w:cs="Times New Roman"/>
      <w:sz w:val="32"/>
      <w:szCs w:val="32"/>
      <w:u w:val="single"/>
    </w:rPr>
  </w:style>
  <w:style w:type="character" w:customStyle="1" w:styleId="Heading1Char">
    <w:name w:val="Heading 1 Char"/>
    <w:basedOn w:val="DefaultParagraphFont"/>
    <w:link w:val="Heading1"/>
    <w:uiPriority w:val="9"/>
    <w:rsid w:val="006C4BCF"/>
    <w:rPr>
      <w:rFonts w:ascii="Times New Roman" w:hAnsi="Times New Roman" w:cs="Times New Roman"/>
      <w:b/>
      <w:sz w:val="24"/>
      <w:szCs w:val="24"/>
      <w:shd w:val="clear" w:color="auto" w:fill="D9D9D9" w:themeFill="background1" w:themeFillShade="D9"/>
    </w:rPr>
  </w:style>
  <w:style w:type="paragraph" w:customStyle="1" w:styleId="EndNoteBibliographyTitle">
    <w:name w:val="EndNote Bibliography Title"/>
    <w:basedOn w:val="Normal"/>
    <w:link w:val="EndNoteBibliographyTitleChar"/>
    <w:rsid w:val="00450E2B"/>
    <w:pPr>
      <w:jc w:val="center"/>
    </w:pPr>
    <w:rPr>
      <w:noProof/>
      <w:lang w:val="en-US"/>
    </w:rPr>
  </w:style>
  <w:style w:type="character" w:customStyle="1" w:styleId="EndNoteBibliographyTitleChar">
    <w:name w:val="EndNote Bibliography Title Char"/>
    <w:basedOn w:val="DefaultParagraphFont"/>
    <w:link w:val="EndNoteBibliographyTitle"/>
    <w:rsid w:val="00450E2B"/>
    <w:rPr>
      <w:rFonts w:ascii="Times New Roman" w:hAnsi="Times New Roman" w:cs="Times New Roman"/>
      <w:noProof/>
      <w:sz w:val="24"/>
      <w:szCs w:val="24"/>
      <w:lang w:val="en-US"/>
    </w:rPr>
  </w:style>
  <w:style w:type="paragraph" w:customStyle="1" w:styleId="EndNoteBibliography">
    <w:name w:val="EndNote Bibliography"/>
    <w:basedOn w:val="Normal"/>
    <w:link w:val="EndNoteBibliographyChar"/>
    <w:rsid w:val="00450E2B"/>
    <w:pPr>
      <w:spacing w:line="240" w:lineRule="auto"/>
    </w:pPr>
    <w:rPr>
      <w:noProof/>
      <w:lang w:val="en-US"/>
    </w:rPr>
  </w:style>
  <w:style w:type="character" w:customStyle="1" w:styleId="EndNoteBibliographyChar">
    <w:name w:val="EndNote Bibliography Char"/>
    <w:basedOn w:val="DefaultParagraphFont"/>
    <w:link w:val="EndNoteBibliography"/>
    <w:rsid w:val="00450E2B"/>
    <w:rPr>
      <w:rFonts w:ascii="Times New Roman" w:hAnsi="Times New Roman" w:cs="Times New Roman"/>
      <w:noProof/>
      <w:sz w:val="24"/>
      <w:szCs w:val="24"/>
      <w:lang w:val="en-US"/>
    </w:rPr>
  </w:style>
  <w:style w:type="character" w:customStyle="1" w:styleId="Heading2Char">
    <w:name w:val="Heading 2 Char"/>
    <w:basedOn w:val="DefaultParagraphFont"/>
    <w:link w:val="Heading2"/>
    <w:uiPriority w:val="9"/>
    <w:rsid w:val="007A34F5"/>
    <w:rPr>
      <w:rFonts w:ascii="Times New Roman" w:hAnsi="Times New Roman" w:cs="Times New Roman"/>
      <w:b/>
      <w:sz w:val="24"/>
      <w:szCs w:val="24"/>
    </w:rPr>
  </w:style>
  <w:style w:type="paragraph" w:styleId="Header">
    <w:name w:val="header"/>
    <w:basedOn w:val="Normal"/>
    <w:link w:val="HeaderChar"/>
    <w:uiPriority w:val="99"/>
    <w:unhideWhenUsed/>
    <w:rsid w:val="00D73886"/>
    <w:pPr>
      <w:tabs>
        <w:tab w:val="center" w:pos="4513"/>
        <w:tab w:val="right" w:pos="9026"/>
      </w:tabs>
      <w:spacing w:line="240" w:lineRule="auto"/>
    </w:pPr>
  </w:style>
  <w:style w:type="character" w:customStyle="1" w:styleId="HeaderChar">
    <w:name w:val="Header Char"/>
    <w:basedOn w:val="DefaultParagraphFont"/>
    <w:link w:val="Header"/>
    <w:uiPriority w:val="99"/>
    <w:rsid w:val="00D73886"/>
    <w:rPr>
      <w:rFonts w:ascii="Times New Roman" w:hAnsi="Times New Roman" w:cs="Times New Roman"/>
      <w:sz w:val="24"/>
      <w:szCs w:val="24"/>
    </w:rPr>
  </w:style>
  <w:style w:type="paragraph" w:styleId="Footer">
    <w:name w:val="footer"/>
    <w:basedOn w:val="Normal"/>
    <w:link w:val="FooterChar"/>
    <w:uiPriority w:val="99"/>
    <w:unhideWhenUsed/>
    <w:rsid w:val="00D73886"/>
    <w:pPr>
      <w:tabs>
        <w:tab w:val="center" w:pos="4513"/>
        <w:tab w:val="right" w:pos="9026"/>
      </w:tabs>
      <w:spacing w:line="240" w:lineRule="auto"/>
    </w:pPr>
  </w:style>
  <w:style w:type="character" w:customStyle="1" w:styleId="FooterChar">
    <w:name w:val="Footer Char"/>
    <w:basedOn w:val="DefaultParagraphFont"/>
    <w:link w:val="Footer"/>
    <w:uiPriority w:val="99"/>
    <w:rsid w:val="00D73886"/>
    <w:rPr>
      <w:rFonts w:ascii="Times New Roman" w:hAnsi="Times New Roman" w:cs="Times New Roman"/>
      <w:sz w:val="24"/>
      <w:szCs w:val="24"/>
    </w:rPr>
  </w:style>
  <w:style w:type="paragraph" w:styleId="TOCHeading">
    <w:name w:val="TOC Heading"/>
    <w:basedOn w:val="Heading1"/>
    <w:next w:val="Normal"/>
    <w:uiPriority w:val="39"/>
    <w:unhideWhenUsed/>
    <w:qFormat/>
    <w:rsid w:val="006C4BCF"/>
    <w:pPr>
      <w:keepNext/>
      <w:keepLines/>
      <w:pBdr>
        <w:top w:val="none" w:sz="0" w:space="0" w:color="auto"/>
        <w:left w:val="none" w:sz="0" w:space="0" w:color="auto"/>
        <w:bottom w:val="none" w:sz="0" w:space="0" w:color="auto"/>
        <w:right w:val="none" w:sz="0" w:space="0" w:color="auto"/>
      </w:pBdr>
      <w:shd w:val="clear" w:color="auto" w:fill="auto"/>
      <w:spacing w:before="240" w:line="259" w:lineRule="auto"/>
      <w:jc w:val="center"/>
      <w:outlineLvl w:val="9"/>
    </w:pPr>
    <w:rPr>
      <w:rFonts w:eastAsiaTheme="majorEastAsia"/>
      <w:sz w:val="32"/>
      <w:szCs w:val="32"/>
      <w:lang w:val="en-US"/>
    </w:rPr>
  </w:style>
  <w:style w:type="paragraph" w:styleId="TOC1">
    <w:name w:val="toc 1"/>
    <w:basedOn w:val="Normal"/>
    <w:next w:val="Normal"/>
    <w:autoRedefine/>
    <w:uiPriority w:val="39"/>
    <w:unhideWhenUsed/>
    <w:rsid w:val="00F27FB8"/>
  </w:style>
  <w:style w:type="paragraph" w:styleId="TOC2">
    <w:name w:val="toc 2"/>
    <w:basedOn w:val="Normal"/>
    <w:next w:val="Normal"/>
    <w:autoRedefine/>
    <w:uiPriority w:val="39"/>
    <w:unhideWhenUsed/>
    <w:rsid w:val="00817E6A"/>
    <w:pPr>
      <w:spacing w:after="100"/>
      <w:ind w:left="240"/>
    </w:pPr>
  </w:style>
  <w:style w:type="character" w:styleId="Hyperlink">
    <w:name w:val="Hyperlink"/>
    <w:basedOn w:val="DefaultParagraphFont"/>
    <w:uiPriority w:val="99"/>
    <w:unhideWhenUsed/>
    <w:rsid w:val="00817E6A"/>
    <w:rPr>
      <w:color w:val="0563C1" w:themeColor="hyperlink"/>
      <w:u w:val="single"/>
    </w:rPr>
  </w:style>
  <w:style w:type="paragraph" w:styleId="EndnoteText">
    <w:name w:val="endnote text"/>
    <w:basedOn w:val="Normal"/>
    <w:link w:val="EndnoteTextChar"/>
    <w:uiPriority w:val="99"/>
    <w:semiHidden/>
    <w:unhideWhenUsed/>
    <w:rsid w:val="00F93E2A"/>
    <w:pPr>
      <w:spacing w:line="240" w:lineRule="auto"/>
    </w:pPr>
    <w:rPr>
      <w:sz w:val="20"/>
      <w:szCs w:val="20"/>
    </w:rPr>
  </w:style>
  <w:style w:type="character" w:customStyle="1" w:styleId="EndnoteTextChar">
    <w:name w:val="Endnote Text Char"/>
    <w:basedOn w:val="DefaultParagraphFont"/>
    <w:link w:val="EndnoteText"/>
    <w:uiPriority w:val="99"/>
    <w:semiHidden/>
    <w:rsid w:val="00F93E2A"/>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F93E2A"/>
    <w:rPr>
      <w:vertAlign w:val="superscript"/>
    </w:rPr>
  </w:style>
  <w:style w:type="paragraph" w:styleId="FootnoteText">
    <w:name w:val="footnote text"/>
    <w:basedOn w:val="Normal"/>
    <w:link w:val="FootnoteTextChar"/>
    <w:uiPriority w:val="99"/>
    <w:unhideWhenUsed/>
    <w:rsid w:val="00F93E2A"/>
    <w:pPr>
      <w:spacing w:line="240" w:lineRule="auto"/>
    </w:pPr>
    <w:rPr>
      <w:sz w:val="20"/>
      <w:szCs w:val="20"/>
    </w:rPr>
  </w:style>
  <w:style w:type="character" w:customStyle="1" w:styleId="FootnoteTextChar">
    <w:name w:val="Footnote Text Char"/>
    <w:basedOn w:val="DefaultParagraphFont"/>
    <w:link w:val="FootnoteText"/>
    <w:uiPriority w:val="99"/>
    <w:rsid w:val="00F93E2A"/>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F93E2A"/>
    <w:rPr>
      <w:vertAlign w:val="superscript"/>
    </w:rPr>
  </w:style>
  <w:style w:type="character" w:customStyle="1" w:styleId="Heading3Char">
    <w:name w:val="Heading 3 Char"/>
    <w:basedOn w:val="DefaultParagraphFont"/>
    <w:link w:val="Heading3"/>
    <w:uiPriority w:val="9"/>
    <w:rsid w:val="001723AD"/>
    <w:rPr>
      <w:rFonts w:ascii="Times New Roman" w:eastAsiaTheme="majorEastAsia" w:hAnsi="Times New Roman" w:cs="Times New Roman"/>
      <w:b/>
      <w:bCs/>
      <w:i/>
      <w:iCs/>
      <w:sz w:val="24"/>
      <w:szCs w:val="24"/>
    </w:rPr>
  </w:style>
  <w:style w:type="table" w:styleId="TableGrid">
    <w:name w:val="Table Grid"/>
    <w:basedOn w:val="TableNormal"/>
    <w:uiPriority w:val="39"/>
    <w:rsid w:val="00A831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84049"/>
    <w:rPr>
      <w:color w:val="808080"/>
      <w:shd w:val="clear" w:color="auto" w:fill="E6E6E6"/>
    </w:rPr>
  </w:style>
  <w:style w:type="paragraph" w:styleId="TOC3">
    <w:name w:val="toc 3"/>
    <w:basedOn w:val="Normal"/>
    <w:next w:val="Normal"/>
    <w:autoRedefine/>
    <w:uiPriority w:val="39"/>
    <w:unhideWhenUsed/>
    <w:rsid w:val="008E53DE"/>
    <w:pPr>
      <w:spacing w:after="100"/>
      <w:ind w:left="480"/>
    </w:pPr>
  </w:style>
  <w:style w:type="character" w:styleId="CommentReference">
    <w:name w:val="annotation reference"/>
    <w:basedOn w:val="DefaultParagraphFont"/>
    <w:uiPriority w:val="99"/>
    <w:semiHidden/>
    <w:unhideWhenUsed/>
    <w:rsid w:val="00684561"/>
    <w:rPr>
      <w:sz w:val="16"/>
      <w:szCs w:val="16"/>
    </w:rPr>
  </w:style>
  <w:style w:type="paragraph" w:styleId="CommentText">
    <w:name w:val="annotation text"/>
    <w:basedOn w:val="Normal"/>
    <w:link w:val="CommentTextChar"/>
    <w:uiPriority w:val="99"/>
    <w:unhideWhenUsed/>
    <w:rsid w:val="00684561"/>
    <w:pPr>
      <w:spacing w:line="240" w:lineRule="auto"/>
    </w:pPr>
    <w:rPr>
      <w:sz w:val="20"/>
      <w:szCs w:val="20"/>
    </w:rPr>
  </w:style>
  <w:style w:type="character" w:customStyle="1" w:styleId="CommentTextChar">
    <w:name w:val="Comment Text Char"/>
    <w:basedOn w:val="DefaultParagraphFont"/>
    <w:link w:val="CommentText"/>
    <w:uiPriority w:val="99"/>
    <w:rsid w:val="0068456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84561"/>
    <w:rPr>
      <w:b/>
      <w:bCs/>
    </w:rPr>
  </w:style>
  <w:style w:type="character" w:customStyle="1" w:styleId="CommentSubjectChar">
    <w:name w:val="Comment Subject Char"/>
    <w:basedOn w:val="CommentTextChar"/>
    <w:link w:val="CommentSubject"/>
    <w:uiPriority w:val="99"/>
    <w:semiHidden/>
    <w:rsid w:val="00684561"/>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6845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561"/>
    <w:rPr>
      <w:rFonts w:ascii="Segoe UI" w:hAnsi="Segoe UI" w:cs="Segoe UI"/>
      <w:sz w:val="18"/>
      <w:szCs w:val="18"/>
    </w:rPr>
  </w:style>
  <w:style w:type="character" w:customStyle="1" w:styleId="Heading5Char">
    <w:name w:val="Heading 5 Char"/>
    <w:basedOn w:val="DefaultParagraphFont"/>
    <w:link w:val="Heading5"/>
    <w:uiPriority w:val="9"/>
    <w:rsid w:val="00980FE8"/>
    <w:rPr>
      <w:rFonts w:asciiTheme="majorHAnsi" w:eastAsiaTheme="majorEastAsia" w:hAnsiTheme="majorHAnsi" w:cstheme="majorBidi"/>
      <w:color w:val="2E74B5" w:themeColor="accent1" w:themeShade="BF"/>
      <w:sz w:val="24"/>
      <w:szCs w:val="24"/>
    </w:rPr>
  </w:style>
  <w:style w:type="character" w:customStyle="1" w:styleId="UnresolvedMention2">
    <w:name w:val="Unresolved Mention2"/>
    <w:basedOn w:val="DefaultParagraphFont"/>
    <w:uiPriority w:val="99"/>
    <w:semiHidden/>
    <w:unhideWhenUsed/>
    <w:rsid w:val="00BA498E"/>
    <w:rPr>
      <w:color w:val="808080"/>
      <w:shd w:val="clear" w:color="auto" w:fill="E6E6E6"/>
    </w:rPr>
  </w:style>
  <w:style w:type="character" w:customStyle="1" w:styleId="UnresolvedMention3">
    <w:name w:val="Unresolved Mention3"/>
    <w:basedOn w:val="DefaultParagraphFont"/>
    <w:uiPriority w:val="99"/>
    <w:semiHidden/>
    <w:unhideWhenUsed/>
    <w:rsid w:val="007B7698"/>
    <w:rPr>
      <w:color w:val="808080"/>
      <w:shd w:val="clear" w:color="auto" w:fill="E6E6E6"/>
    </w:rPr>
  </w:style>
  <w:style w:type="character" w:styleId="UnresolvedMention">
    <w:name w:val="Unresolved Mention"/>
    <w:basedOn w:val="DefaultParagraphFont"/>
    <w:uiPriority w:val="99"/>
    <w:semiHidden/>
    <w:unhideWhenUsed/>
    <w:rsid w:val="008E42CB"/>
    <w:rPr>
      <w:color w:val="808080"/>
      <w:shd w:val="clear" w:color="auto" w:fill="E6E6E6"/>
    </w:rPr>
  </w:style>
  <w:style w:type="paragraph" w:styleId="Caption">
    <w:name w:val="caption"/>
    <w:basedOn w:val="Normal"/>
    <w:next w:val="Normal"/>
    <w:uiPriority w:val="35"/>
    <w:unhideWhenUsed/>
    <w:qFormat/>
    <w:rsid w:val="00E54E52"/>
    <w:pPr>
      <w:spacing w:line="240" w:lineRule="auto"/>
    </w:pPr>
    <w:rPr>
      <w:b/>
      <w:bCs/>
      <w:sz w:val="22"/>
      <w:szCs w:val="22"/>
    </w:rPr>
  </w:style>
  <w:style w:type="paragraph" w:customStyle="1" w:styleId="SectionHeading">
    <w:name w:val="SectionHeading"/>
    <w:basedOn w:val="Normal"/>
    <w:link w:val="SectionHeadingChar"/>
    <w:qFormat/>
    <w:rsid w:val="00D868DD"/>
    <w:pPr>
      <w:spacing w:after="160" w:line="259" w:lineRule="auto"/>
      <w:jc w:val="center"/>
      <w:outlineLvl w:val="0"/>
    </w:pPr>
    <w:rPr>
      <w:rFonts w:cstheme="minorBidi"/>
      <w:b/>
      <w:szCs w:val="22"/>
    </w:rPr>
  </w:style>
  <w:style w:type="paragraph" w:customStyle="1" w:styleId="sectionsubheading2">
    <w:name w:val="sectionsubheading2"/>
    <w:basedOn w:val="Normal"/>
    <w:link w:val="sectionsubheading2Char"/>
    <w:qFormat/>
    <w:rsid w:val="00D868DD"/>
    <w:pPr>
      <w:spacing w:after="160" w:line="259" w:lineRule="auto"/>
      <w:outlineLvl w:val="1"/>
    </w:pPr>
    <w:rPr>
      <w:rFonts w:cstheme="minorBidi"/>
      <w:b/>
      <w:sz w:val="22"/>
      <w:szCs w:val="22"/>
    </w:rPr>
  </w:style>
  <w:style w:type="character" w:customStyle="1" w:styleId="SectionHeadingChar">
    <w:name w:val="SectionHeading Char"/>
    <w:basedOn w:val="DefaultParagraphFont"/>
    <w:link w:val="SectionHeading"/>
    <w:rsid w:val="00D868DD"/>
    <w:rPr>
      <w:rFonts w:ascii="Times New Roman" w:hAnsi="Times New Roman"/>
      <w:b/>
      <w:sz w:val="24"/>
    </w:rPr>
  </w:style>
  <w:style w:type="character" w:customStyle="1" w:styleId="sectionsubheading2Char">
    <w:name w:val="sectionsubheading2 Char"/>
    <w:basedOn w:val="DefaultParagraphFont"/>
    <w:link w:val="sectionsubheading2"/>
    <w:rsid w:val="00D868DD"/>
    <w:rPr>
      <w:rFonts w:ascii="Times New Roman" w:hAnsi="Times New Roman"/>
      <w:b/>
    </w:rPr>
  </w:style>
  <w:style w:type="paragraph" w:styleId="NoSpacing">
    <w:name w:val="No Spacing"/>
    <w:uiPriority w:val="1"/>
    <w:qFormat/>
    <w:rsid w:val="00D868DD"/>
    <w:pPr>
      <w:spacing w:after="0" w:line="240" w:lineRule="auto"/>
    </w:pPr>
    <w:rPr>
      <w:rFonts w:ascii="Times New Roman" w:hAnsi="Times New Roman" w:cs="Times New Roman"/>
      <w:sz w:val="24"/>
      <w:szCs w:val="24"/>
    </w:rPr>
  </w:style>
  <w:style w:type="paragraph" w:styleId="NormalWeb">
    <w:name w:val="Normal (Web)"/>
    <w:basedOn w:val="Normal"/>
    <w:uiPriority w:val="99"/>
    <w:unhideWhenUsed/>
    <w:rsid w:val="00FD6665"/>
  </w:style>
  <w:style w:type="numbering" w:customStyle="1" w:styleId="NoList1">
    <w:name w:val="No List1"/>
    <w:next w:val="NoList"/>
    <w:uiPriority w:val="99"/>
    <w:semiHidden/>
    <w:unhideWhenUsed/>
    <w:rsid w:val="000676F2"/>
  </w:style>
  <w:style w:type="character" w:customStyle="1" w:styleId="Body3Char">
    <w:name w:val="Body3 Char"/>
    <w:basedOn w:val="DefaultParagraphFont"/>
    <w:link w:val="Body3"/>
    <w:locked/>
    <w:rsid w:val="000676F2"/>
    <w:rPr>
      <w:rFonts w:ascii="Calibri" w:hAnsi="Calibri" w:cs="Calibri"/>
    </w:rPr>
  </w:style>
  <w:style w:type="paragraph" w:customStyle="1" w:styleId="Body3">
    <w:name w:val="Body3"/>
    <w:basedOn w:val="Normal"/>
    <w:link w:val="Body3Char"/>
    <w:rsid w:val="000676F2"/>
    <w:pPr>
      <w:numPr>
        <w:numId w:val="2"/>
      </w:numPr>
      <w:spacing w:after="120" w:line="280" w:lineRule="atLeast"/>
      <w:jc w:val="both"/>
    </w:pPr>
    <w:rPr>
      <w:rFonts w:ascii="Calibri" w:hAnsi="Calibri" w:cs="Calibri"/>
      <w:sz w:val="22"/>
      <w:szCs w:val="22"/>
    </w:rPr>
  </w:style>
  <w:style w:type="paragraph" w:styleId="Revision">
    <w:name w:val="Revision"/>
    <w:hidden/>
    <w:uiPriority w:val="99"/>
    <w:semiHidden/>
    <w:rsid w:val="000676F2"/>
    <w:pPr>
      <w:spacing w:after="0" w:line="240" w:lineRule="auto"/>
    </w:pPr>
  </w:style>
  <w:style w:type="numbering" w:customStyle="1" w:styleId="NoList2">
    <w:name w:val="No List2"/>
    <w:next w:val="NoList"/>
    <w:uiPriority w:val="99"/>
    <w:semiHidden/>
    <w:unhideWhenUsed/>
    <w:rsid w:val="0066007F"/>
  </w:style>
  <w:style w:type="table" w:customStyle="1" w:styleId="TableGrid1">
    <w:name w:val="Table Grid1"/>
    <w:basedOn w:val="TableNormal"/>
    <w:next w:val="TableGrid"/>
    <w:uiPriority w:val="39"/>
    <w:rsid w:val="00660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StandardSliderTable">
    <w:name w:val="QStandardSliderTable"/>
    <w:uiPriority w:val="99"/>
    <w:qFormat/>
    <w:rsid w:val="00EA2431"/>
    <w:pPr>
      <w:spacing w:after="0" w:line="240" w:lineRule="auto"/>
      <w:jc w:val="center"/>
    </w:pPr>
    <w:rPr>
      <w:rFonts w:eastAsia="Times New Roman"/>
      <w:sz w:val="20"/>
      <w:szCs w:val="20"/>
      <w:lang w:val="en-US" w:eastAsia="en-NZ"/>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EA2431"/>
    <w:pPr>
      <w:spacing w:after="0" w:line="240" w:lineRule="auto"/>
      <w:jc w:val="center"/>
    </w:pPr>
    <w:rPr>
      <w:rFonts w:eastAsia="Times New Roman"/>
      <w:lang w:val="en-US"/>
    </w:rPr>
    <w:tblPr>
      <w:tblCellMar>
        <w:top w:w="0" w:type="dxa"/>
        <w:left w:w="0" w:type="dxa"/>
        <w:bottom w:w="0" w:type="dxa"/>
        <w:right w:w="0" w:type="dxa"/>
      </w:tblCellMar>
    </w:tblPr>
  </w:style>
  <w:style w:type="numbering" w:customStyle="1" w:styleId="Singlepunch">
    <w:name w:val="Single punch"/>
    <w:rsid w:val="00EA2431"/>
    <w:pPr>
      <w:numPr>
        <w:numId w:val="15"/>
      </w:numPr>
    </w:pPr>
  </w:style>
  <w:style w:type="table" w:customStyle="1" w:styleId="TableGrid2">
    <w:name w:val="Table Grid2"/>
    <w:basedOn w:val="TableNormal"/>
    <w:next w:val="TableGrid"/>
    <w:uiPriority w:val="39"/>
    <w:rsid w:val="00AD0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ponse1">
    <w:name w:val="Response 1"/>
    <w:basedOn w:val="Normal"/>
    <w:qFormat/>
    <w:rsid w:val="008710F5"/>
    <w:pPr>
      <w:spacing w:before="120" w:after="120" w:line="240" w:lineRule="auto"/>
      <w:ind w:left="425" w:right="1701"/>
      <w:jc w:val="both"/>
    </w:pPr>
    <w:rPr>
      <w:rFonts w:asciiTheme="minorHAnsi" w:eastAsia="Times New Roman" w:hAnsiTheme="minorHAnsi" w:cs="Arial Unicode MS"/>
      <w:sz w:val="20"/>
      <w:szCs w:val="20"/>
    </w:rPr>
  </w:style>
  <w:style w:type="paragraph" w:styleId="TableofFigures">
    <w:name w:val="table of figures"/>
    <w:basedOn w:val="Normal"/>
    <w:next w:val="Normal"/>
    <w:uiPriority w:val="99"/>
    <w:unhideWhenUsed/>
    <w:rsid w:val="00D67196"/>
  </w:style>
  <w:style w:type="paragraph" w:customStyle="1" w:styleId="Style1">
    <w:name w:val="Style1"/>
    <w:basedOn w:val="Normal"/>
    <w:link w:val="Style1Char"/>
    <w:autoRedefine/>
    <w:qFormat/>
    <w:rsid w:val="00EA7445"/>
    <w:pPr>
      <w:spacing w:before="120"/>
    </w:pPr>
    <w:rPr>
      <w:rFonts w:ascii="Georgia" w:hAnsi="Georgia"/>
      <w:sz w:val="20"/>
      <w:szCs w:val="20"/>
      <w:lang w:eastAsia="en-GB"/>
    </w:rPr>
  </w:style>
  <w:style w:type="character" w:customStyle="1" w:styleId="Style1Char">
    <w:name w:val="Style1 Char"/>
    <w:basedOn w:val="DefaultParagraphFont"/>
    <w:link w:val="Style1"/>
    <w:rsid w:val="00EA7445"/>
    <w:rPr>
      <w:rFonts w:ascii="Georgia" w:hAnsi="Georgia" w:cs="Times New Roman"/>
      <w:sz w:val="20"/>
      <w:szCs w:val="20"/>
      <w:lang w:eastAsia="en-GB"/>
    </w:rPr>
  </w:style>
  <w:style w:type="character" w:customStyle="1" w:styleId="Heading4Char">
    <w:name w:val="Heading 4 Char"/>
    <w:basedOn w:val="DefaultParagraphFont"/>
    <w:link w:val="Heading4"/>
    <w:uiPriority w:val="9"/>
    <w:rsid w:val="00D50B98"/>
    <w:rPr>
      <w:rFonts w:ascii="Times New Roman" w:eastAsiaTheme="majorEastAsia" w:hAnsi="Times New Roman" w:cs="Times New Roman"/>
      <w:sz w:val="24"/>
      <w:szCs w:val="24"/>
      <w:u w:val="single"/>
    </w:rPr>
  </w:style>
  <w:style w:type="paragraph" w:customStyle="1" w:styleId="Normal0">
    <w:name w:val="[Normal]"/>
    <w:rsid w:val="00966D1C"/>
    <w:pPr>
      <w:widowControl w:val="0"/>
      <w:autoSpaceDE w:val="0"/>
      <w:autoSpaceDN w:val="0"/>
      <w:adjustRightInd w:val="0"/>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966D1C"/>
    <w:rPr>
      <w:color w:val="954F72" w:themeColor="followedHyperlink"/>
      <w:u w:val="single"/>
    </w:rPr>
  </w:style>
  <w:style w:type="character" w:customStyle="1" w:styleId="timestampcontent">
    <w:name w:val="timestampcontent"/>
    <w:basedOn w:val="DefaultParagraphFont"/>
    <w:rsid w:val="00966D1C"/>
  </w:style>
  <w:style w:type="character" w:customStyle="1" w:styleId="6spk">
    <w:name w:val="_6spk"/>
    <w:basedOn w:val="DefaultParagraphFont"/>
    <w:rsid w:val="00966D1C"/>
  </w:style>
  <w:style w:type="character" w:customStyle="1" w:styleId="58cl">
    <w:name w:val="_58cl"/>
    <w:basedOn w:val="DefaultParagraphFont"/>
    <w:rsid w:val="00966D1C"/>
  </w:style>
  <w:style w:type="character" w:customStyle="1" w:styleId="58cm">
    <w:name w:val="_58cm"/>
    <w:basedOn w:val="DefaultParagraphFont"/>
    <w:rsid w:val="00966D1C"/>
  </w:style>
  <w:style w:type="paragraph" w:customStyle="1" w:styleId="font9">
    <w:name w:val="font_9"/>
    <w:basedOn w:val="Normal"/>
    <w:rsid w:val="00966D1C"/>
    <w:pPr>
      <w:spacing w:before="100" w:beforeAutospacing="1" w:after="100" w:afterAutospacing="1" w:line="240" w:lineRule="auto"/>
    </w:pPr>
    <w:rPr>
      <w:rFonts w:eastAsia="Times New Roman"/>
      <w:lang w:eastAsia="en-NZ"/>
    </w:rPr>
  </w:style>
  <w:style w:type="paragraph" w:styleId="BodyText">
    <w:name w:val="Body Text"/>
    <w:basedOn w:val="Normal"/>
    <w:link w:val="BodyTextChar"/>
    <w:rsid w:val="00D07A53"/>
    <w:pPr>
      <w:spacing w:before="180" w:after="180" w:line="240" w:lineRule="auto"/>
      <w:jc w:val="both"/>
    </w:pPr>
    <w:rPr>
      <w:lang w:val="en-US"/>
    </w:rPr>
  </w:style>
  <w:style w:type="character" w:customStyle="1" w:styleId="BodyTextChar">
    <w:name w:val="Body Text Char"/>
    <w:basedOn w:val="DefaultParagraphFont"/>
    <w:link w:val="BodyText"/>
    <w:rsid w:val="00D07A53"/>
    <w:rPr>
      <w:rFonts w:ascii="Times New Roman" w:hAnsi="Times New Roman" w:cs="Times New Roman"/>
      <w:sz w:val="24"/>
      <w:szCs w:val="24"/>
      <w:lang w:val="en-US"/>
    </w:rPr>
  </w:style>
  <w:style w:type="paragraph" w:customStyle="1" w:styleId="Compact">
    <w:name w:val="Compact"/>
    <w:basedOn w:val="BodyText"/>
    <w:rsid w:val="00D07A53"/>
    <w:pPr>
      <w:spacing w:before="36" w:after="36"/>
    </w:pPr>
  </w:style>
  <w:style w:type="paragraph" w:customStyle="1" w:styleId="FirstParagraph">
    <w:name w:val="First Paragraph"/>
    <w:basedOn w:val="BodyText"/>
    <w:next w:val="BodyText"/>
    <w:qFormat/>
    <w:rsid w:val="00D07A53"/>
    <w:pPr>
      <w:jc w:val="left"/>
    </w:pPr>
    <w:rPr>
      <w:rFonts w:asciiTheme="minorHAnsi" w:hAnsiTheme="minorHAnsi" w:cstheme="minorBidi"/>
      <w:sz w:val="22"/>
    </w:rPr>
  </w:style>
  <w:style w:type="character" w:styleId="PlaceholderText">
    <w:name w:val="Placeholder Text"/>
    <w:basedOn w:val="DefaultParagraphFont"/>
    <w:uiPriority w:val="99"/>
    <w:semiHidden/>
    <w:rsid w:val="00D07A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501245">
      <w:bodyDiv w:val="1"/>
      <w:marLeft w:val="0"/>
      <w:marRight w:val="0"/>
      <w:marTop w:val="0"/>
      <w:marBottom w:val="0"/>
      <w:divBdr>
        <w:top w:val="none" w:sz="0" w:space="0" w:color="auto"/>
        <w:left w:val="none" w:sz="0" w:space="0" w:color="auto"/>
        <w:bottom w:val="none" w:sz="0" w:space="0" w:color="auto"/>
        <w:right w:val="none" w:sz="0" w:space="0" w:color="auto"/>
      </w:divBdr>
    </w:div>
    <w:div w:id="184756383">
      <w:bodyDiv w:val="1"/>
      <w:marLeft w:val="0"/>
      <w:marRight w:val="0"/>
      <w:marTop w:val="0"/>
      <w:marBottom w:val="0"/>
      <w:divBdr>
        <w:top w:val="none" w:sz="0" w:space="0" w:color="auto"/>
        <w:left w:val="none" w:sz="0" w:space="0" w:color="auto"/>
        <w:bottom w:val="none" w:sz="0" w:space="0" w:color="auto"/>
        <w:right w:val="none" w:sz="0" w:space="0" w:color="auto"/>
      </w:divBdr>
    </w:div>
    <w:div w:id="257913040">
      <w:bodyDiv w:val="1"/>
      <w:marLeft w:val="0"/>
      <w:marRight w:val="0"/>
      <w:marTop w:val="0"/>
      <w:marBottom w:val="0"/>
      <w:divBdr>
        <w:top w:val="none" w:sz="0" w:space="0" w:color="auto"/>
        <w:left w:val="none" w:sz="0" w:space="0" w:color="auto"/>
        <w:bottom w:val="none" w:sz="0" w:space="0" w:color="auto"/>
        <w:right w:val="none" w:sz="0" w:space="0" w:color="auto"/>
      </w:divBdr>
    </w:div>
    <w:div w:id="281961157">
      <w:bodyDiv w:val="1"/>
      <w:marLeft w:val="0"/>
      <w:marRight w:val="0"/>
      <w:marTop w:val="0"/>
      <w:marBottom w:val="0"/>
      <w:divBdr>
        <w:top w:val="none" w:sz="0" w:space="0" w:color="auto"/>
        <w:left w:val="none" w:sz="0" w:space="0" w:color="auto"/>
        <w:bottom w:val="none" w:sz="0" w:space="0" w:color="auto"/>
        <w:right w:val="none" w:sz="0" w:space="0" w:color="auto"/>
      </w:divBdr>
    </w:div>
    <w:div w:id="335156680">
      <w:bodyDiv w:val="1"/>
      <w:marLeft w:val="0"/>
      <w:marRight w:val="0"/>
      <w:marTop w:val="0"/>
      <w:marBottom w:val="0"/>
      <w:divBdr>
        <w:top w:val="none" w:sz="0" w:space="0" w:color="auto"/>
        <w:left w:val="none" w:sz="0" w:space="0" w:color="auto"/>
        <w:bottom w:val="none" w:sz="0" w:space="0" w:color="auto"/>
        <w:right w:val="none" w:sz="0" w:space="0" w:color="auto"/>
      </w:divBdr>
      <w:divsChild>
        <w:div w:id="729041960">
          <w:marLeft w:val="0"/>
          <w:marRight w:val="0"/>
          <w:marTop w:val="0"/>
          <w:marBottom w:val="0"/>
          <w:divBdr>
            <w:top w:val="none" w:sz="0" w:space="0" w:color="auto"/>
            <w:left w:val="none" w:sz="0" w:space="0" w:color="auto"/>
            <w:bottom w:val="none" w:sz="0" w:space="0" w:color="auto"/>
            <w:right w:val="none" w:sz="0" w:space="0" w:color="auto"/>
          </w:divBdr>
        </w:div>
        <w:div w:id="946931710">
          <w:marLeft w:val="0"/>
          <w:marRight w:val="0"/>
          <w:marTop w:val="0"/>
          <w:marBottom w:val="0"/>
          <w:divBdr>
            <w:top w:val="none" w:sz="0" w:space="0" w:color="auto"/>
            <w:left w:val="none" w:sz="0" w:space="0" w:color="auto"/>
            <w:bottom w:val="none" w:sz="0" w:space="0" w:color="auto"/>
            <w:right w:val="none" w:sz="0" w:space="0" w:color="auto"/>
          </w:divBdr>
        </w:div>
        <w:div w:id="1654289033">
          <w:marLeft w:val="0"/>
          <w:marRight w:val="0"/>
          <w:marTop w:val="0"/>
          <w:marBottom w:val="0"/>
          <w:divBdr>
            <w:top w:val="none" w:sz="0" w:space="0" w:color="auto"/>
            <w:left w:val="none" w:sz="0" w:space="0" w:color="auto"/>
            <w:bottom w:val="none" w:sz="0" w:space="0" w:color="auto"/>
            <w:right w:val="none" w:sz="0" w:space="0" w:color="auto"/>
          </w:divBdr>
        </w:div>
      </w:divsChild>
    </w:div>
    <w:div w:id="452215749">
      <w:bodyDiv w:val="1"/>
      <w:marLeft w:val="0"/>
      <w:marRight w:val="0"/>
      <w:marTop w:val="0"/>
      <w:marBottom w:val="0"/>
      <w:divBdr>
        <w:top w:val="none" w:sz="0" w:space="0" w:color="auto"/>
        <w:left w:val="none" w:sz="0" w:space="0" w:color="auto"/>
        <w:bottom w:val="none" w:sz="0" w:space="0" w:color="auto"/>
        <w:right w:val="none" w:sz="0" w:space="0" w:color="auto"/>
      </w:divBdr>
      <w:divsChild>
        <w:div w:id="233661951">
          <w:marLeft w:val="0"/>
          <w:marRight w:val="0"/>
          <w:marTop w:val="0"/>
          <w:marBottom w:val="360"/>
          <w:divBdr>
            <w:top w:val="none" w:sz="0" w:space="0" w:color="auto"/>
            <w:left w:val="none" w:sz="0" w:space="0" w:color="auto"/>
            <w:bottom w:val="none" w:sz="0" w:space="0" w:color="auto"/>
            <w:right w:val="none" w:sz="0" w:space="0" w:color="auto"/>
          </w:divBdr>
          <w:divsChild>
            <w:div w:id="545068427">
              <w:marLeft w:val="0"/>
              <w:marRight w:val="0"/>
              <w:marTop w:val="0"/>
              <w:marBottom w:val="0"/>
              <w:divBdr>
                <w:top w:val="single" w:sz="6" w:space="0" w:color="D5D5D5"/>
                <w:left w:val="single" w:sz="6" w:space="0" w:color="D5D5D5"/>
                <w:bottom w:val="single" w:sz="6" w:space="0" w:color="D5D5D5"/>
                <w:right w:val="single" w:sz="6" w:space="0" w:color="D5D5D5"/>
              </w:divBdr>
              <w:divsChild>
                <w:div w:id="32474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69739">
      <w:bodyDiv w:val="1"/>
      <w:marLeft w:val="0"/>
      <w:marRight w:val="0"/>
      <w:marTop w:val="0"/>
      <w:marBottom w:val="0"/>
      <w:divBdr>
        <w:top w:val="none" w:sz="0" w:space="0" w:color="auto"/>
        <w:left w:val="none" w:sz="0" w:space="0" w:color="auto"/>
        <w:bottom w:val="none" w:sz="0" w:space="0" w:color="auto"/>
        <w:right w:val="none" w:sz="0" w:space="0" w:color="auto"/>
      </w:divBdr>
    </w:div>
    <w:div w:id="487787086">
      <w:bodyDiv w:val="1"/>
      <w:marLeft w:val="0"/>
      <w:marRight w:val="0"/>
      <w:marTop w:val="0"/>
      <w:marBottom w:val="0"/>
      <w:divBdr>
        <w:top w:val="none" w:sz="0" w:space="0" w:color="auto"/>
        <w:left w:val="none" w:sz="0" w:space="0" w:color="auto"/>
        <w:bottom w:val="none" w:sz="0" w:space="0" w:color="auto"/>
        <w:right w:val="none" w:sz="0" w:space="0" w:color="auto"/>
      </w:divBdr>
    </w:div>
    <w:div w:id="533151036">
      <w:bodyDiv w:val="1"/>
      <w:marLeft w:val="0"/>
      <w:marRight w:val="0"/>
      <w:marTop w:val="0"/>
      <w:marBottom w:val="0"/>
      <w:divBdr>
        <w:top w:val="none" w:sz="0" w:space="0" w:color="auto"/>
        <w:left w:val="none" w:sz="0" w:space="0" w:color="auto"/>
        <w:bottom w:val="none" w:sz="0" w:space="0" w:color="auto"/>
        <w:right w:val="none" w:sz="0" w:space="0" w:color="auto"/>
      </w:divBdr>
    </w:div>
    <w:div w:id="542521500">
      <w:bodyDiv w:val="1"/>
      <w:marLeft w:val="0"/>
      <w:marRight w:val="0"/>
      <w:marTop w:val="0"/>
      <w:marBottom w:val="0"/>
      <w:divBdr>
        <w:top w:val="none" w:sz="0" w:space="0" w:color="auto"/>
        <w:left w:val="none" w:sz="0" w:space="0" w:color="auto"/>
        <w:bottom w:val="none" w:sz="0" w:space="0" w:color="auto"/>
        <w:right w:val="none" w:sz="0" w:space="0" w:color="auto"/>
      </w:divBdr>
      <w:divsChild>
        <w:div w:id="533425084">
          <w:marLeft w:val="0"/>
          <w:marRight w:val="0"/>
          <w:marTop w:val="0"/>
          <w:marBottom w:val="360"/>
          <w:divBdr>
            <w:top w:val="none" w:sz="0" w:space="0" w:color="auto"/>
            <w:left w:val="none" w:sz="0" w:space="0" w:color="auto"/>
            <w:bottom w:val="none" w:sz="0" w:space="0" w:color="auto"/>
            <w:right w:val="none" w:sz="0" w:space="0" w:color="auto"/>
          </w:divBdr>
          <w:divsChild>
            <w:div w:id="8875510">
              <w:marLeft w:val="0"/>
              <w:marRight w:val="0"/>
              <w:marTop w:val="0"/>
              <w:marBottom w:val="0"/>
              <w:divBdr>
                <w:top w:val="single" w:sz="6" w:space="0" w:color="D5D5D5"/>
                <w:left w:val="single" w:sz="6" w:space="0" w:color="D5D5D5"/>
                <w:bottom w:val="single" w:sz="6" w:space="0" w:color="D5D5D5"/>
                <w:right w:val="single" w:sz="6" w:space="0" w:color="D5D5D5"/>
              </w:divBdr>
              <w:divsChild>
                <w:div w:id="123963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59855">
      <w:bodyDiv w:val="1"/>
      <w:marLeft w:val="0"/>
      <w:marRight w:val="0"/>
      <w:marTop w:val="0"/>
      <w:marBottom w:val="0"/>
      <w:divBdr>
        <w:top w:val="none" w:sz="0" w:space="0" w:color="auto"/>
        <w:left w:val="none" w:sz="0" w:space="0" w:color="auto"/>
        <w:bottom w:val="none" w:sz="0" w:space="0" w:color="auto"/>
        <w:right w:val="none" w:sz="0" w:space="0" w:color="auto"/>
      </w:divBdr>
      <w:divsChild>
        <w:div w:id="249697228">
          <w:marLeft w:val="0"/>
          <w:marRight w:val="0"/>
          <w:marTop w:val="0"/>
          <w:marBottom w:val="0"/>
          <w:divBdr>
            <w:top w:val="none" w:sz="0" w:space="0" w:color="auto"/>
            <w:left w:val="none" w:sz="0" w:space="0" w:color="auto"/>
            <w:bottom w:val="none" w:sz="0" w:space="0" w:color="auto"/>
            <w:right w:val="none" w:sz="0" w:space="0" w:color="auto"/>
          </w:divBdr>
        </w:div>
        <w:div w:id="250162842">
          <w:marLeft w:val="0"/>
          <w:marRight w:val="0"/>
          <w:marTop w:val="0"/>
          <w:marBottom w:val="0"/>
          <w:divBdr>
            <w:top w:val="none" w:sz="0" w:space="0" w:color="auto"/>
            <w:left w:val="none" w:sz="0" w:space="0" w:color="auto"/>
            <w:bottom w:val="none" w:sz="0" w:space="0" w:color="auto"/>
            <w:right w:val="none" w:sz="0" w:space="0" w:color="auto"/>
          </w:divBdr>
        </w:div>
        <w:div w:id="363873889">
          <w:marLeft w:val="0"/>
          <w:marRight w:val="0"/>
          <w:marTop w:val="0"/>
          <w:marBottom w:val="0"/>
          <w:divBdr>
            <w:top w:val="none" w:sz="0" w:space="0" w:color="auto"/>
            <w:left w:val="none" w:sz="0" w:space="0" w:color="auto"/>
            <w:bottom w:val="none" w:sz="0" w:space="0" w:color="auto"/>
            <w:right w:val="none" w:sz="0" w:space="0" w:color="auto"/>
          </w:divBdr>
        </w:div>
        <w:div w:id="447548998">
          <w:marLeft w:val="0"/>
          <w:marRight w:val="0"/>
          <w:marTop w:val="0"/>
          <w:marBottom w:val="0"/>
          <w:divBdr>
            <w:top w:val="none" w:sz="0" w:space="0" w:color="auto"/>
            <w:left w:val="none" w:sz="0" w:space="0" w:color="auto"/>
            <w:bottom w:val="none" w:sz="0" w:space="0" w:color="auto"/>
            <w:right w:val="none" w:sz="0" w:space="0" w:color="auto"/>
          </w:divBdr>
        </w:div>
        <w:div w:id="727847487">
          <w:marLeft w:val="0"/>
          <w:marRight w:val="0"/>
          <w:marTop w:val="0"/>
          <w:marBottom w:val="0"/>
          <w:divBdr>
            <w:top w:val="none" w:sz="0" w:space="0" w:color="auto"/>
            <w:left w:val="none" w:sz="0" w:space="0" w:color="auto"/>
            <w:bottom w:val="none" w:sz="0" w:space="0" w:color="auto"/>
            <w:right w:val="none" w:sz="0" w:space="0" w:color="auto"/>
          </w:divBdr>
        </w:div>
        <w:div w:id="1626228850">
          <w:marLeft w:val="0"/>
          <w:marRight w:val="0"/>
          <w:marTop w:val="0"/>
          <w:marBottom w:val="0"/>
          <w:divBdr>
            <w:top w:val="none" w:sz="0" w:space="0" w:color="auto"/>
            <w:left w:val="none" w:sz="0" w:space="0" w:color="auto"/>
            <w:bottom w:val="none" w:sz="0" w:space="0" w:color="auto"/>
            <w:right w:val="none" w:sz="0" w:space="0" w:color="auto"/>
          </w:divBdr>
        </w:div>
        <w:div w:id="1941640186">
          <w:marLeft w:val="0"/>
          <w:marRight w:val="0"/>
          <w:marTop w:val="0"/>
          <w:marBottom w:val="0"/>
          <w:divBdr>
            <w:top w:val="none" w:sz="0" w:space="0" w:color="auto"/>
            <w:left w:val="none" w:sz="0" w:space="0" w:color="auto"/>
            <w:bottom w:val="none" w:sz="0" w:space="0" w:color="auto"/>
            <w:right w:val="none" w:sz="0" w:space="0" w:color="auto"/>
          </w:divBdr>
        </w:div>
      </w:divsChild>
    </w:div>
    <w:div w:id="595023401">
      <w:bodyDiv w:val="1"/>
      <w:marLeft w:val="0"/>
      <w:marRight w:val="0"/>
      <w:marTop w:val="0"/>
      <w:marBottom w:val="0"/>
      <w:divBdr>
        <w:top w:val="none" w:sz="0" w:space="0" w:color="auto"/>
        <w:left w:val="none" w:sz="0" w:space="0" w:color="auto"/>
        <w:bottom w:val="none" w:sz="0" w:space="0" w:color="auto"/>
        <w:right w:val="none" w:sz="0" w:space="0" w:color="auto"/>
      </w:divBdr>
    </w:div>
    <w:div w:id="598487045">
      <w:bodyDiv w:val="1"/>
      <w:marLeft w:val="0"/>
      <w:marRight w:val="0"/>
      <w:marTop w:val="0"/>
      <w:marBottom w:val="0"/>
      <w:divBdr>
        <w:top w:val="none" w:sz="0" w:space="0" w:color="auto"/>
        <w:left w:val="none" w:sz="0" w:space="0" w:color="auto"/>
        <w:bottom w:val="none" w:sz="0" w:space="0" w:color="auto"/>
        <w:right w:val="none" w:sz="0" w:space="0" w:color="auto"/>
      </w:divBdr>
    </w:div>
    <w:div w:id="648830156">
      <w:bodyDiv w:val="1"/>
      <w:marLeft w:val="0"/>
      <w:marRight w:val="0"/>
      <w:marTop w:val="0"/>
      <w:marBottom w:val="0"/>
      <w:divBdr>
        <w:top w:val="none" w:sz="0" w:space="0" w:color="auto"/>
        <w:left w:val="none" w:sz="0" w:space="0" w:color="auto"/>
        <w:bottom w:val="none" w:sz="0" w:space="0" w:color="auto"/>
        <w:right w:val="none" w:sz="0" w:space="0" w:color="auto"/>
      </w:divBdr>
    </w:div>
    <w:div w:id="787505233">
      <w:bodyDiv w:val="1"/>
      <w:marLeft w:val="0"/>
      <w:marRight w:val="0"/>
      <w:marTop w:val="0"/>
      <w:marBottom w:val="0"/>
      <w:divBdr>
        <w:top w:val="none" w:sz="0" w:space="0" w:color="auto"/>
        <w:left w:val="none" w:sz="0" w:space="0" w:color="auto"/>
        <w:bottom w:val="none" w:sz="0" w:space="0" w:color="auto"/>
        <w:right w:val="none" w:sz="0" w:space="0" w:color="auto"/>
      </w:divBdr>
    </w:div>
    <w:div w:id="872883873">
      <w:bodyDiv w:val="1"/>
      <w:marLeft w:val="0"/>
      <w:marRight w:val="0"/>
      <w:marTop w:val="0"/>
      <w:marBottom w:val="0"/>
      <w:divBdr>
        <w:top w:val="none" w:sz="0" w:space="0" w:color="auto"/>
        <w:left w:val="none" w:sz="0" w:space="0" w:color="auto"/>
        <w:bottom w:val="none" w:sz="0" w:space="0" w:color="auto"/>
        <w:right w:val="none" w:sz="0" w:space="0" w:color="auto"/>
      </w:divBdr>
      <w:divsChild>
        <w:div w:id="403184891">
          <w:marLeft w:val="0"/>
          <w:marRight w:val="0"/>
          <w:marTop w:val="0"/>
          <w:marBottom w:val="0"/>
          <w:divBdr>
            <w:top w:val="none" w:sz="0" w:space="0" w:color="auto"/>
            <w:left w:val="none" w:sz="0" w:space="0" w:color="auto"/>
            <w:bottom w:val="none" w:sz="0" w:space="0" w:color="auto"/>
            <w:right w:val="none" w:sz="0" w:space="0" w:color="auto"/>
          </w:divBdr>
        </w:div>
        <w:div w:id="797841092">
          <w:marLeft w:val="0"/>
          <w:marRight w:val="0"/>
          <w:marTop w:val="0"/>
          <w:marBottom w:val="0"/>
          <w:divBdr>
            <w:top w:val="none" w:sz="0" w:space="0" w:color="auto"/>
            <w:left w:val="none" w:sz="0" w:space="0" w:color="auto"/>
            <w:bottom w:val="none" w:sz="0" w:space="0" w:color="auto"/>
            <w:right w:val="none" w:sz="0" w:space="0" w:color="auto"/>
          </w:divBdr>
        </w:div>
        <w:div w:id="1085225145">
          <w:marLeft w:val="0"/>
          <w:marRight w:val="0"/>
          <w:marTop w:val="0"/>
          <w:marBottom w:val="0"/>
          <w:divBdr>
            <w:top w:val="none" w:sz="0" w:space="0" w:color="auto"/>
            <w:left w:val="none" w:sz="0" w:space="0" w:color="auto"/>
            <w:bottom w:val="none" w:sz="0" w:space="0" w:color="auto"/>
            <w:right w:val="none" w:sz="0" w:space="0" w:color="auto"/>
          </w:divBdr>
        </w:div>
        <w:div w:id="1299190111">
          <w:marLeft w:val="0"/>
          <w:marRight w:val="0"/>
          <w:marTop w:val="0"/>
          <w:marBottom w:val="0"/>
          <w:divBdr>
            <w:top w:val="none" w:sz="0" w:space="0" w:color="auto"/>
            <w:left w:val="none" w:sz="0" w:space="0" w:color="auto"/>
            <w:bottom w:val="none" w:sz="0" w:space="0" w:color="auto"/>
            <w:right w:val="none" w:sz="0" w:space="0" w:color="auto"/>
          </w:divBdr>
        </w:div>
        <w:div w:id="1366982363">
          <w:marLeft w:val="0"/>
          <w:marRight w:val="0"/>
          <w:marTop w:val="0"/>
          <w:marBottom w:val="0"/>
          <w:divBdr>
            <w:top w:val="none" w:sz="0" w:space="0" w:color="auto"/>
            <w:left w:val="none" w:sz="0" w:space="0" w:color="auto"/>
            <w:bottom w:val="none" w:sz="0" w:space="0" w:color="auto"/>
            <w:right w:val="none" w:sz="0" w:space="0" w:color="auto"/>
          </w:divBdr>
        </w:div>
        <w:div w:id="1590457204">
          <w:marLeft w:val="0"/>
          <w:marRight w:val="0"/>
          <w:marTop w:val="0"/>
          <w:marBottom w:val="0"/>
          <w:divBdr>
            <w:top w:val="none" w:sz="0" w:space="0" w:color="auto"/>
            <w:left w:val="none" w:sz="0" w:space="0" w:color="auto"/>
            <w:bottom w:val="none" w:sz="0" w:space="0" w:color="auto"/>
            <w:right w:val="none" w:sz="0" w:space="0" w:color="auto"/>
          </w:divBdr>
        </w:div>
        <w:div w:id="1920560787">
          <w:marLeft w:val="0"/>
          <w:marRight w:val="0"/>
          <w:marTop w:val="0"/>
          <w:marBottom w:val="0"/>
          <w:divBdr>
            <w:top w:val="none" w:sz="0" w:space="0" w:color="auto"/>
            <w:left w:val="none" w:sz="0" w:space="0" w:color="auto"/>
            <w:bottom w:val="none" w:sz="0" w:space="0" w:color="auto"/>
            <w:right w:val="none" w:sz="0" w:space="0" w:color="auto"/>
          </w:divBdr>
        </w:div>
      </w:divsChild>
    </w:div>
    <w:div w:id="875626764">
      <w:bodyDiv w:val="1"/>
      <w:marLeft w:val="0"/>
      <w:marRight w:val="0"/>
      <w:marTop w:val="0"/>
      <w:marBottom w:val="0"/>
      <w:divBdr>
        <w:top w:val="none" w:sz="0" w:space="0" w:color="auto"/>
        <w:left w:val="none" w:sz="0" w:space="0" w:color="auto"/>
        <w:bottom w:val="none" w:sz="0" w:space="0" w:color="auto"/>
        <w:right w:val="none" w:sz="0" w:space="0" w:color="auto"/>
      </w:divBdr>
    </w:div>
    <w:div w:id="959264069">
      <w:bodyDiv w:val="1"/>
      <w:marLeft w:val="0"/>
      <w:marRight w:val="0"/>
      <w:marTop w:val="0"/>
      <w:marBottom w:val="0"/>
      <w:divBdr>
        <w:top w:val="none" w:sz="0" w:space="0" w:color="auto"/>
        <w:left w:val="none" w:sz="0" w:space="0" w:color="auto"/>
        <w:bottom w:val="none" w:sz="0" w:space="0" w:color="auto"/>
        <w:right w:val="none" w:sz="0" w:space="0" w:color="auto"/>
      </w:divBdr>
    </w:div>
    <w:div w:id="1034190425">
      <w:bodyDiv w:val="1"/>
      <w:marLeft w:val="0"/>
      <w:marRight w:val="0"/>
      <w:marTop w:val="0"/>
      <w:marBottom w:val="0"/>
      <w:divBdr>
        <w:top w:val="none" w:sz="0" w:space="0" w:color="auto"/>
        <w:left w:val="none" w:sz="0" w:space="0" w:color="auto"/>
        <w:bottom w:val="none" w:sz="0" w:space="0" w:color="auto"/>
        <w:right w:val="none" w:sz="0" w:space="0" w:color="auto"/>
      </w:divBdr>
      <w:divsChild>
        <w:div w:id="129711023">
          <w:marLeft w:val="605"/>
          <w:marRight w:val="0"/>
          <w:marTop w:val="40"/>
          <w:marBottom w:val="80"/>
          <w:divBdr>
            <w:top w:val="none" w:sz="0" w:space="0" w:color="auto"/>
            <w:left w:val="none" w:sz="0" w:space="0" w:color="auto"/>
            <w:bottom w:val="none" w:sz="0" w:space="0" w:color="auto"/>
            <w:right w:val="none" w:sz="0" w:space="0" w:color="auto"/>
          </w:divBdr>
        </w:div>
        <w:div w:id="193467144">
          <w:marLeft w:val="144"/>
          <w:marRight w:val="0"/>
          <w:marTop w:val="240"/>
          <w:marBottom w:val="40"/>
          <w:divBdr>
            <w:top w:val="none" w:sz="0" w:space="0" w:color="auto"/>
            <w:left w:val="none" w:sz="0" w:space="0" w:color="auto"/>
            <w:bottom w:val="none" w:sz="0" w:space="0" w:color="auto"/>
            <w:right w:val="none" w:sz="0" w:space="0" w:color="auto"/>
          </w:divBdr>
        </w:div>
        <w:div w:id="364792448">
          <w:marLeft w:val="605"/>
          <w:marRight w:val="0"/>
          <w:marTop w:val="40"/>
          <w:marBottom w:val="80"/>
          <w:divBdr>
            <w:top w:val="none" w:sz="0" w:space="0" w:color="auto"/>
            <w:left w:val="none" w:sz="0" w:space="0" w:color="auto"/>
            <w:bottom w:val="none" w:sz="0" w:space="0" w:color="auto"/>
            <w:right w:val="none" w:sz="0" w:space="0" w:color="auto"/>
          </w:divBdr>
        </w:div>
        <w:div w:id="386337720">
          <w:marLeft w:val="605"/>
          <w:marRight w:val="0"/>
          <w:marTop w:val="40"/>
          <w:marBottom w:val="80"/>
          <w:divBdr>
            <w:top w:val="none" w:sz="0" w:space="0" w:color="auto"/>
            <w:left w:val="none" w:sz="0" w:space="0" w:color="auto"/>
            <w:bottom w:val="none" w:sz="0" w:space="0" w:color="auto"/>
            <w:right w:val="none" w:sz="0" w:space="0" w:color="auto"/>
          </w:divBdr>
        </w:div>
        <w:div w:id="813912927">
          <w:marLeft w:val="605"/>
          <w:marRight w:val="0"/>
          <w:marTop w:val="40"/>
          <w:marBottom w:val="80"/>
          <w:divBdr>
            <w:top w:val="none" w:sz="0" w:space="0" w:color="auto"/>
            <w:left w:val="none" w:sz="0" w:space="0" w:color="auto"/>
            <w:bottom w:val="none" w:sz="0" w:space="0" w:color="auto"/>
            <w:right w:val="none" w:sz="0" w:space="0" w:color="auto"/>
          </w:divBdr>
        </w:div>
        <w:div w:id="962733304">
          <w:marLeft w:val="605"/>
          <w:marRight w:val="0"/>
          <w:marTop w:val="40"/>
          <w:marBottom w:val="80"/>
          <w:divBdr>
            <w:top w:val="none" w:sz="0" w:space="0" w:color="auto"/>
            <w:left w:val="none" w:sz="0" w:space="0" w:color="auto"/>
            <w:bottom w:val="none" w:sz="0" w:space="0" w:color="auto"/>
            <w:right w:val="none" w:sz="0" w:space="0" w:color="auto"/>
          </w:divBdr>
        </w:div>
        <w:div w:id="993490091">
          <w:marLeft w:val="605"/>
          <w:marRight w:val="0"/>
          <w:marTop w:val="40"/>
          <w:marBottom w:val="80"/>
          <w:divBdr>
            <w:top w:val="none" w:sz="0" w:space="0" w:color="auto"/>
            <w:left w:val="none" w:sz="0" w:space="0" w:color="auto"/>
            <w:bottom w:val="none" w:sz="0" w:space="0" w:color="auto"/>
            <w:right w:val="none" w:sz="0" w:space="0" w:color="auto"/>
          </w:divBdr>
        </w:div>
        <w:div w:id="1317492170">
          <w:marLeft w:val="605"/>
          <w:marRight w:val="0"/>
          <w:marTop w:val="40"/>
          <w:marBottom w:val="80"/>
          <w:divBdr>
            <w:top w:val="none" w:sz="0" w:space="0" w:color="auto"/>
            <w:left w:val="none" w:sz="0" w:space="0" w:color="auto"/>
            <w:bottom w:val="none" w:sz="0" w:space="0" w:color="auto"/>
            <w:right w:val="none" w:sz="0" w:space="0" w:color="auto"/>
          </w:divBdr>
        </w:div>
        <w:div w:id="1361516233">
          <w:marLeft w:val="605"/>
          <w:marRight w:val="0"/>
          <w:marTop w:val="40"/>
          <w:marBottom w:val="80"/>
          <w:divBdr>
            <w:top w:val="none" w:sz="0" w:space="0" w:color="auto"/>
            <w:left w:val="none" w:sz="0" w:space="0" w:color="auto"/>
            <w:bottom w:val="none" w:sz="0" w:space="0" w:color="auto"/>
            <w:right w:val="none" w:sz="0" w:space="0" w:color="auto"/>
          </w:divBdr>
        </w:div>
        <w:div w:id="1967469978">
          <w:marLeft w:val="144"/>
          <w:marRight w:val="0"/>
          <w:marTop w:val="240"/>
          <w:marBottom w:val="40"/>
          <w:divBdr>
            <w:top w:val="none" w:sz="0" w:space="0" w:color="auto"/>
            <w:left w:val="none" w:sz="0" w:space="0" w:color="auto"/>
            <w:bottom w:val="none" w:sz="0" w:space="0" w:color="auto"/>
            <w:right w:val="none" w:sz="0" w:space="0" w:color="auto"/>
          </w:divBdr>
        </w:div>
        <w:div w:id="2139448617">
          <w:marLeft w:val="605"/>
          <w:marRight w:val="0"/>
          <w:marTop w:val="40"/>
          <w:marBottom w:val="80"/>
          <w:divBdr>
            <w:top w:val="none" w:sz="0" w:space="0" w:color="auto"/>
            <w:left w:val="none" w:sz="0" w:space="0" w:color="auto"/>
            <w:bottom w:val="none" w:sz="0" w:space="0" w:color="auto"/>
            <w:right w:val="none" w:sz="0" w:space="0" w:color="auto"/>
          </w:divBdr>
        </w:div>
      </w:divsChild>
    </w:div>
    <w:div w:id="1155805232">
      <w:bodyDiv w:val="1"/>
      <w:marLeft w:val="0"/>
      <w:marRight w:val="0"/>
      <w:marTop w:val="0"/>
      <w:marBottom w:val="0"/>
      <w:divBdr>
        <w:top w:val="none" w:sz="0" w:space="0" w:color="auto"/>
        <w:left w:val="none" w:sz="0" w:space="0" w:color="auto"/>
        <w:bottom w:val="none" w:sz="0" w:space="0" w:color="auto"/>
        <w:right w:val="none" w:sz="0" w:space="0" w:color="auto"/>
      </w:divBdr>
    </w:div>
    <w:div w:id="1281110633">
      <w:bodyDiv w:val="1"/>
      <w:marLeft w:val="0"/>
      <w:marRight w:val="0"/>
      <w:marTop w:val="0"/>
      <w:marBottom w:val="0"/>
      <w:divBdr>
        <w:top w:val="none" w:sz="0" w:space="0" w:color="auto"/>
        <w:left w:val="none" w:sz="0" w:space="0" w:color="auto"/>
        <w:bottom w:val="none" w:sz="0" w:space="0" w:color="auto"/>
        <w:right w:val="none" w:sz="0" w:space="0" w:color="auto"/>
      </w:divBdr>
    </w:div>
    <w:div w:id="1408648041">
      <w:bodyDiv w:val="1"/>
      <w:marLeft w:val="0"/>
      <w:marRight w:val="0"/>
      <w:marTop w:val="0"/>
      <w:marBottom w:val="0"/>
      <w:divBdr>
        <w:top w:val="none" w:sz="0" w:space="0" w:color="auto"/>
        <w:left w:val="none" w:sz="0" w:space="0" w:color="auto"/>
        <w:bottom w:val="none" w:sz="0" w:space="0" w:color="auto"/>
        <w:right w:val="none" w:sz="0" w:space="0" w:color="auto"/>
      </w:divBdr>
    </w:div>
    <w:div w:id="1492989625">
      <w:bodyDiv w:val="1"/>
      <w:marLeft w:val="0"/>
      <w:marRight w:val="0"/>
      <w:marTop w:val="0"/>
      <w:marBottom w:val="0"/>
      <w:divBdr>
        <w:top w:val="none" w:sz="0" w:space="0" w:color="auto"/>
        <w:left w:val="none" w:sz="0" w:space="0" w:color="auto"/>
        <w:bottom w:val="none" w:sz="0" w:space="0" w:color="auto"/>
        <w:right w:val="none" w:sz="0" w:space="0" w:color="auto"/>
      </w:divBdr>
    </w:div>
    <w:div w:id="1529953654">
      <w:bodyDiv w:val="1"/>
      <w:marLeft w:val="0"/>
      <w:marRight w:val="0"/>
      <w:marTop w:val="0"/>
      <w:marBottom w:val="0"/>
      <w:divBdr>
        <w:top w:val="none" w:sz="0" w:space="0" w:color="auto"/>
        <w:left w:val="none" w:sz="0" w:space="0" w:color="auto"/>
        <w:bottom w:val="none" w:sz="0" w:space="0" w:color="auto"/>
        <w:right w:val="none" w:sz="0" w:space="0" w:color="auto"/>
      </w:divBdr>
      <w:divsChild>
        <w:div w:id="100226671">
          <w:marLeft w:val="0"/>
          <w:marRight w:val="0"/>
          <w:marTop w:val="0"/>
          <w:marBottom w:val="0"/>
          <w:divBdr>
            <w:top w:val="none" w:sz="0" w:space="0" w:color="auto"/>
            <w:left w:val="none" w:sz="0" w:space="0" w:color="auto"/>
            <w:bottom w:val="none" w:sz="0" w:space="0" w:color="auto"/>
            <w:right w:val="none" w:sz="0" w:space="0" w:color="auto"/>
          </w:divBdr>
        </w:div>
        <w:div w:id="380977125">
          <w:marLeft w:val="0"/>
          <w:marRight w:val="0"/>
          <w:marTop w:val="0"/>
          <w:marBottom w:val="0"/>
          <w:divBdr>
            <w:top w:val="none" w:sz="0" w:space="0" w:color="auto"/>
            <w:left w:val="none" w:sz="0" w:space="0" w:color="auto"/>
            <w:bottom w:val="none" w:sz="0" w:space="0" w:color="auto"/>
            <w:right w:val="none" w:sz="0" w:space="0" w:color="auto"/>
          </w:divBdr>
        </w:div>
        <w:div w:id="1073745790">
          <w:marLeft w:val="0"/>
          <w:marRight w:val="0"/>
          <w:marTop w:val="0"/>
          <w:marBottom w:val="0"/>
          <w:divBdr>
            <w:top w:val="none" w:sz="0" w:space="0" w:color="auto"/>
            <w:left w:val="none" w:sz="0" w:space="0" w:color="auto"/>
            <w:bottom w:val="none" w:sz="0" w:space="0" w:color="auto"/>
            <w:right w:val="none" w:sz="0" w:space="0" w:color="auto"/>
          </w:divBdr>
        </w:div>
        <w:div w:id="1721048347">
          <w:marLeft w:val="0"/>
          <w:marRight w:val="0"/>
          <w:marTop w:val="0"/>
          <w:marBottom w:val="0"/>
          <w:divBdr>
            <w:top w:val="none" w:sz="0" w:space="0" w:color="auto"/>
            <w:left w:val="none" w:sz="0" w:space="0" w:color="auto"/>
            <w:bottom w:val="none" w:sz="0" w:space="0" w:color="auto"/>
            <w:right w:val="none" w:sz="0" w:space="0" w:color="auto"/>
          </w:divBdr>
        </w:div>
        <w:div w:id="2071952005">
          <w:marLeft w:val="0"/>
          <w:marRight w:val="0"/>
          <w:marTop w:val="0"/>
          <w:marBottom w:val="0"/>
          <w:divBdr>
            <w:top w:val="none" w:sz="0" w:space="0" w:color="auto"/>
            <w:left w:val="none" w:sz="0" w:space="0" w:color="auto"/>
            <w:bottom w:val="none" w:sz="0" w:space="0" w:color="auto"/>
            <w:right w:val="none" w:sz="0" w:space="0" w:color="auto"/>
          </w:divBdr>
        </w:div>
      </w:divsChild>
    </w:div>
    <w:div w:id="1530532740">
      <w:bodyDiv w:val="1"/>
      <w:marLeft w:val="0"/>
      <w:marRight w:val="0"/>
      <w:marTop w:val="0"/>
      <w:marBottom w:val="0"/>
      <w:divBdr>
        <w:top w:val="none" w:sz="0" w:space="0" w:color="auto"/>
        <w:left w:val="none" w:sz="0" w:space="0" w:color="auto"/>
        <w:bottom w:val="none" w:sz="0" w:space="0" w:color="auto"/>
        <w:right w:val="none" w:sz="0" w:space="0" w:color="auto"/>
      </w:divBdr>
      <w:divsChild>
        <w:div w:id="1044790632">
          <w:marLeft w:val="547"/>
          <w:marRight w:val="0"/>
          <w:marTop w:val="154"/>
          <w:marBottom w:val="0"/>
          <w:divBdr>
            <w:top w:val="none" w:sz="0" w:space="0" w:color="auto"/>
            <w:left w:val="none" w:sz="0" w:space="0" w:color="auto"/>
            <w:bottom w:val="none" w:sz="0" w:space="0" w:color="auto"/>
            <w:right w:val="none" w:sz="0" w:space="0" w:color="auto"/>
          </w:divBdr>
        </w:div>
        <w:div w:id="1282150390">
          <w:marLeft w:val="547"/>
          <w:marRight w:val="0"/>
          <w:marTop w:val="154"/>
          <w:marBottom w:val="0"/>
          <w:divBdr>
            <w:top w:val="none" w:sz="0" w:space="0" w:color="auto"/>
            <w:left w:val="none" w:sz="0" w:space="0" w:color="auto"/>
            <w:bottom w:val="none" w:sz="0" w:space="0" w:color="auto"/>
            <w:right w:val="none" w:sz="0" w:space="0" w:color="auto"/>
          </w:divBdr>
        </w:div>
        <w:div w:id="2011370337">
          <w:marLeft w:val="547"/>
          <w:marRight w:val="0"/>
          <w:marTop w:val="154"/>
          <w:marBottom w:val="0"/>
          <w:divBdr>
            <w:top w:val="none" w:sz="0" w:space="0" w:color="auto"/>
            <w:left w:val="none" w:sz="0" w:space="0" w:color="auto"/>
            <w:bottom w:val="none" w:sz="0" w:space="0" w:color="auto"/>
            <w:right w:val="none" w:sz="0" w:space="0" w:color="auto"/>
          </w:divBdr>
        </w:div>
        <w:div w:id="2130929740">
          <w:marLeft w:val="547"/>
          <w:marRight w:val="0"/>
          <w:marTop w:val="154"/>
          <w:marBottom w:val="0"/>
          <w:divBdr>
            <w:top w:val="none" w:sz="0" w:space="0" w:color="auto"/>
            <w:left w:val="none" w:sz="0" w:space="0" w:color="auto"/>
            <w:bottom w:val="none" w:sz="0" w:space="0" w:color="auto"/>
            <w:right w:val="none" w:sz="0" w:space="0" w:color="auto"/>
          </w:divBdr>
        </w:div>
      </w:divsChild>
    </w:div>
    <w:div w:id="1537157349">
      <w:bodyDiv w:val="1"/>
      <w:marLeft w:val="0"/>
      <w:marRight w:val="0"/>
      <w:marTop w:val="0"/>
      <w:marBottom w:val="0"/>
      <w:divBdr>
        <w:top w:val="none" w:sz="0" w:space="0" w:color="auto"/>
        <w:left w:val="none" w:sz="0" w:space="0" w:color="auto"/>
        <w:bottom w:val="none" w:sz="0" w:space="0" w:color="auto"/>
        <w:right w:val="none" w:sz="0" w:space="0" w:color="auto"/>
      </w:divBdr>
      <w:divsChild>
        <w:div w:id="1060127941">
          <w:marLeft w:val="0"/>
          <w:marRight w:val="0"/>
          <w:marTop w:val="83"/>
          <w:marBottom w:val="0"/>
          <w:divBdr>
            <w:top w:val="none" w:sz="0" w:space="0" w:color="auto"/>
            <w:left w:val="none" w:sz="0" w:space="0" w:color="auto"/>
            <w:bottom w:val="none" w:sz="0" w:space="0" w:color="auto"/>
            <w:right w:val="none" w:sz="0" w:space="0" w:color="auto"/>
          </w:divBdr>
        </w:div>
        <w:div w:id="1648629430">
          <w:marLeft w:val="0"/>
          <w:marRight w:val="0"/>
          <w:marTop w:val="83"/>
          <w:marBottom w:val="0"/>
          <w:divBdr>
            <w:top w:val="none" w:sz="0" w:space="0" w:color="auto"/>
            <w:left w:val="none" w:sz="0" w:space="0" w:color="auto"/>
            <w:bottom w:val="none" w:sz="0" w:space="0" w:color="auto"/>
            <w:right w:val="none" w:sz="0" w:space="0" w:color="auto"/>
          </w:divBdr>
        </w:div>
      </w:divsChild>
    </w:div>
    <w:div w:id="1555962935">
      <w:bodyDiv w:val="1"/>
      <w:marLeft w:val="0"/>
      <w:marRight w:val="0"/>
      <w:marTop w:val="0"/>
      <w:marBottom w:val="0"/>
      <w:divBdr>
        <w:top w:val="none" w:sz="0" w:space="0" w:color="auto"/>
        <w:left w:val="none" w:sz="0" w:space="0" w:color="auto"/>
        <w:bottom w:val="none" w:sz="0" w:space="0" w:color="auto"/>
        <w:right w:val="none" w:sz="0" w:space="0" w:color="auto"/>
      </w:divBdr>
      <w:divsChild>
        <w:div w:id="367025564">
          <w:marLeft w:val="547"/>
          <w:marRight w:val="0"/>
          <w:marTop w:val="154"/>
          <w:marBottom w:val="0"/>
          <w:divBdr>
            <w:top w:val="none" w:sz="0" w:space="0" w:color="auto"/>
            <w:left w:val="none" w:sz="0" w:space="0" w:color="auto"/>
            <w:bottom w:val="none" w:sz="0" w:space="0" w:color="auto"/>
            <w:right w:val="none" w:sz="0" w:space="0" w:color="auto"/>
          </w:divBdr>
        </w:div>
      </w:divsChild>
    </w:div>
    <w:div w:id="1566912102">
      <w:bodyDiv w:val="1"/>
      <w:marLeft w:val="0"/>
      <w:marRight w:val="0"/>
      <w:marTop w:val="0"/>
      <w:marBottom w:val="0"/>
      <w:divBdr>
        <w:top w:val="none" w:sz="0" w:space="0" w:color="auto"/>
        <w:left w:val="none" w:sz="0" w:space="0" w:color="auto"/>
        <w:bottom w:val="none" w:sz="0" w:space="0" w:color="auto"/>
        <w:right w:val="none" w:sz="0" w:space="0" w:color="auto"/>
      </w:divBdr>
    </w:div>
    <w:div w:id="1604067376">
      <w:bodyDiv w:val="1"/>
      <w:marLeft w:val="0"/>
      <w:marRight w:val="0"/>
      <w:marTop w:val="0"/>
      <w:marBottom w:val="0"/>
      <w:divBdr>
        <w:top w:val="none" w:sz="0" w:space="0" w:color="auto"/>
        <w:left w:val="none" w:sz="0" w:space="0" w:color="auto"/>
        <w:bottom w:val="none" w:sz="0" w:space="0" w:color="auto"/>
        <w:right w:val="none" w:sz="0" w:space="0" w:color="auto"/>
      </w:divBdr>
    </w:div>
    <w:div w:id="1638334903">
      <w:bodyDiv w:val="1"/>
      <w:marLeft w:val="0"/>
      <w:marRight w:val="0"/>
      <w:marTop w:val="0"/>
      <w:marBottom w:val="0"/>
      <w:divBdr>
        <w:top w:val="none" w:sz="0" w:space="0" w:color="auto"/>
        <w:left w:val="none" w:sz="0" w:space="0" w:color="auto"/>
        <w:bottom w:val="none" w:sz="0" w:space="0" w:color="auto"/>
        <w:right w:val="none" w:sz="0" w:space="0" w:color="auto"/>
      </w:divBdr>
    </w:div>
    <w:div w:id="1678001268">
      <w:bodyDiv w:val="1"/>
      <w:marLeft w:val="0"/>
      <w:marRight w:val="0"/>
      <w:marTop w:val="0"/>
      <w:marBottom w:val="0"/>
      <w:divBdr>
        <w:top w:val="none" w:sz="0" w:space="0" w:color="auto"/>
        <w:left w:val="none" w:sz="0" w:space="0" w:color="auto"/>
        <w:bottom w:val="none" w:sz="0" w:space="0" w:color="auto"/>
        <w:right w:val="none" w:sz="0" w:space="0" w:color="auto"/>
      </w:divBdr>
    </w:div>
    <w:div w:id="1682006347">
      <w:bodyDiv w:val="1"/>
      <w:marLeft w:val="0"/>
      <w:marRight w:val="0"/>
      <w:marTop w:val="0"/>
      <w:marBottom w:val="0"/>
      <w:divBdr>
        <w:top w:val="none" w:sz="0" w:space="0" w:color="auto"/>
        <w:left w:val="none" w:sz="0" w:space="0" w:color="auto"/>
        <w:bottom w:val="none" w:sz="0" w:space="0" w:color="auto"/>
        <w:right w:val="none" w:sz="0" w:space="0" w:color="auto"/>
      </w:divBdr>
    </w:div>
    <w:div w:id="1928345003">
      <w:bodyDiv w:val="1"/>
      <w:marLeft w:val="0"/>
      <w:marRight w:val="0"/>
      <w:marTop w:val="0"/>
      <w:marBottom w:val="0"/>
      <w:divBdr>
        <w:top w:val="none" w:sz="0" w:space="0" w:color="auto"/>
        <w:left w:val="none" w:sz="0" w:space="0" w:color="auto"/>
        <w:bottom w:val="none" w:sz="0" w:space="0" w:color="auto"/>
        <w:right w:val="none" w:sz="0" w:space="0" w:color="auto"/>
      </w:divBdr>
    </w:div>
    <w:div w:id="1928689241">
      <w:bodyDiv w:val="1"/>
      <w:marLeft w:val="0"/>
      <w:marRight w:val="0"/>
      <w:marTop w:val="0"/>
      <w:marBottom w:val="0"/>
      <w:divBdr>
        <w:top w:val="none" w:sz="0" w:space="0" w:color="auto"/>
        <w:left w:val="none" w:sz="0" w:space="0" w:color="auto"/>
        <w:bottom w:val="none" w:sz="0" w:space="0" w:color="auto"/>
        <w:right w:val="none" w:sz="0" w:space="0" w:color="auto"/>
      </w:divBdr>
    </w:div>
    <w:div w:id="2028866832">
      <w:bodyDiv w:val="1"/>
      <w:marLeft w:val="0"/>
      <w:marRight w:val="0"/>
      <w:marTop w:val="0"/>
      <w:marBottom w:val="0"/>
      <w:divBdr>
        <w:top w:val="none" w:sz="0" w:space="0" w:color="auto"/>
        <w:left w:val="none" w:sz="0" w:space="0" w:color="auto"/>
        <w:bottom w:val="none" w:sz="0" w:space="0" w:color="auto"/>
        <w:right w:val="none" w:sz="0" w:space="0" w:color="auto"/>
      </w:divBdr>
    </w:div>
    <w:div w:id="2067676237">
      <w:bodyDiv w:val="1"/>
      <w:marLeft w:val="0"/>
      <w:marRight w:val="0"/>
      <w:marTop w:val="0"/>
      <w:marBottom w:val="0"/>
      <w:divBdr>
        <w:top w:val="none" w:sz="0" w:space="0" w:color="auto"/>
        <w:left w:val="none" w:sz="0" w:space="0" w:color="auto"/>
        <w:bottom w:val="none" w:sz="0" w:space="0" w:color="auto"/>
        <w:right w:val="none" w:sz="0" w:space="0" w:color="auto"/>
      </w:divBdr>
      <w:divsChild>
        <w:div w:id="843252046">
          <w:marLeft w:val="706"/>
          <w:marRight w:val="0"/>
          <w:marTop w:val="144"/>
          <w:marBottom w:val="0"/>
          <w:divBdr>
            <w:top w:val="none" w:sz="0" w:space="0" w:color="auto"/>
            <w:left w:val="none" w:sz="0" w:space="0" w:color="auto"/>
            <w:bottom w:val="none" w:sz="0" w:space="0" w:color="auto"/>
            <w:right w:val="none" w:sz="0" w:space="0" w:color="auto"/>
          </w:divBdr>
        </w:div>
        <w:div w:id="1944871776">
          <w:marLeft w:val="706"/>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diagramColors" Target="diagrams/colors1.xml"/><Relationship Id="rId42" Type="http://schemas.openxmlformats.org/officeDocument/2006/relationships/image" Target="media/image23.png"/><Relationship Id="rId47" Type="http://schemas.openxmlformats.org/officeDocument/2006/relationships/chart" Target="charts/chart5.xml"/><Relationship Id="rId63" Type="http://schemas.openxmlformats.org/officeDocument/2006/relationships/hyperlink" Target="https://www.gamblinghelponline.org.au/helping-others/starting-the-conversation" TargetMode="External"/><Relationship Id="rId68" Type="http://schemas.openxmlformats.org/officeDocument/2006/relationships/hyperlink" Target="https://www.health.govt.nz/our-work/mental-health-and-addictions/gambling/service-user-data/intervention-client-data" TargetMode="External"/><Relationship Id="rId84" Type="http://schemas.openxmlformats.org/officeDocument/2006/relationships/hyperlink" Target="https://oasis.salvationarmy.org.nz/stories-change" TargetMode="External"/><Relationship Id="rId89" Type="http://schemas.openxmlformats.org/officeDocument/2006/relationships/hyperlink" Target="https://aboriginalsafegambling.com.au/community-engagement/" TargetMode="External"/><Relationship Id="rId7" Type="http://schemas.openxmlformats.org/officeDocument/2006/relationships/endnotes" Target="endnotes.xml"/><Relationship Id="rId71" Type="http://schemas.openxmlformats.org/officeDocument/2006/relationships/hyperlink" Target="https://www.health.govt.nz/our-work/populations/maori-health/te-tiriti-o-waitangi" TargetMode="External"/><Relationship Id="rId92"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hyperlink" Target="https://link-springer-com.ezproxy.aut.ac.nz/article/10.1007/s11469-015-9588-4" TargetMode="External"/><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chart" Target="charts/chart3.xml"/><Relationship Id="rId53" Type="http://schemas.openxmlformats.org/officeDocument/2006/relationships/hyperlink" Target="https://www.camh.ca/en/health-info/guides-and-publications/when-a-family-member-is-unwilling-to-seek-help" TargetMode="External"/><Relationship Id="rId58" Type="http://schemas.openxmlformats.org/officeDocument/2006/relationships/hyperlink" Target="https://gamblershelp.com.au/support-someone/having-conversation/" TargetMode="External"/><Relationship Id="rId66" Type="http://schemas.openxmlformats.org/officeDocument/2006/relationships/hyperlink" Target="https://www.pgf.nz/blog/pasifika-counselling-a-mapu-maia-approach" TargetMode="External"/><Relationship Id="rId74" Type="http://schemas.openxmlformats.org/officeDocument/2006/relationships/hyperlink" Target="https://www.pgf.nz/test-someone-elses-gambling.html" TargetMode="External"/><Relationship Id="rId79" Type="http://schemas.openxmlformats.org/officeDocument/2006/relationships/hyperlink" Target="https://www.matuaraki.org.nz/news/helping-families-to-find-a-balance-in-an-unbalanced-world/1036" TargetMode="External"/><Relationship Id="rId87" Type="http://schemas.openxmlformats.org/officeDocument/2006/relationships/hyperlink" Target="https://www.facebook.com/responsiblegambling/posts/2352312375044323" TargetMode="External"/><Relationship Id="rId102" Type="http://schemas.openxmlformats.org/officeDocument/2006/relationships/image" Target="media/image25.png"/><Relationship Id="rId5" Type="http://schemas.openxmlformats.org/officeDocument/2006/relationships/webSettings" Target="webSettings.xml"/><Relationship Id="rId61" Type="http://schemas.openxmlformats.org/officeDocument/2006/relationships/hyperlink" Target="https://www.gamblinghelponline.org.au/" TargetMode="External"/><Relationship Id="rId82" Type="http://schemas.openxmlformats.org/officeDocument/2006/relationships/hyperlink" Target="https://www.sharc.org.au/family-drug-help/family-gambling-help/" TargetMode="External"/><Relationship Id="rId90" Type="http://schemas.openxmlformats.org/officeDocument/2006/relationships/hyperlink" Target="https://aboriginalsafegambling.com.au/about-us/" TargetMode="External"/><Relationship Id="rId95" Type="http://schemas.openxmlformats.org/officeDocument/2006/relationships/diagramData" Target="diagrams/data2.xml"/><Relationship Id="rId19" Type="http://schemas.openxmlformats.org/officeDocument/2006/relationships/diagramLayout" Target="diagrams/layout1.xml"/><Relationship Id="rId14" Type="http://schemas.openxmlformats.org/officeDocument/2006/relationships/hyperlink" Target="https://link-springer-com.ezproxy.aut.ac.nz/article/10.1007/s11469-015-9588-4" TargetMode="External"/><Relationship Id="rId22" Type="http://schemas.microsoft.com/office/2007/relationships/diagramDrawing" Target="diagrams/drawing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emf"/><Relationship Id="rId48" Type="http://schemas.openxmlformats.org/officeDocument/2006/relationships/chart" Target="charts/chart6.xml"/><Relationship Id="rId56" Type="http://schemas.openxmlformats.org/officeDocument/2006/relationships/hyperlink" Target="https://www.gam-anon.org/" TargetMode="External"/><Relationship Id="rId64" Type="http://schemas.openxmlformats.org/officeDocument/2006/relationships/hyperlink" Target="https://www.gamcare.org.uk/get-support/find-local-treatment/gamcare-london/peer-aid/" TargetMode="External"/><Relationship Id="rId69" Type="http://schemas.openxmlformats.org/officeDocument/2006/relationships/hyperlink" Target="https://www.health.govt.nz/our-work/mental-health-and-addictions/gambling/problem-gambling-services" TargetMode="External"/><Relationship Id="rId77" Type="http://schemas.openxmlformats.org/officeDocument/2006/relationships/hyperlink" Target="https://www.eenet.ca/article/call-members-lived-experience-family-advisory-panel" TargetMode="External"/><Relationship Id="rId100" Type="http://schemas.openxmlformats.org/officeDocument/2006/relationships/hyperlink" Target="https://aut.au1.qualtrics.com/CP/File.php?F=F_1Aie1zm9AWwSc97" TargetMode="External"/><Relationship Id="rId105"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facebook.com/NZAFS/posts/1681376495328524" TargetMode="External"/><Relationship Id="rId72" Type="http://schemas.openxmlformats.org/officeDocument/2006/relationships/hyperlink" Target="https://www.facebook.com/PGFNZ/posts/10156885378840482" TargetMode="External"/><Relationship Id="rId80" Type="http://schemas.openxmlformats.org/officeDocument/2006/relationships/hyperlink" Target="https://www.raukura.org.nz/english/services/addictions-services/problem-gambling-services-maori/" TargetMode="External"/><Relationship Id="rId85" Type="http://schemas.openxmlformats.org/officeDocument/2006/relationships/hyperlink" Target="https://oasis.salvationarmy.org.nz/sites/default/files/files/%5Bfile_field%3Atype%5D/womens_support_group_flyer_16_july_2020-merged.pdf" TargetMode="External"/><Relationship Id="rId93" Type="http://schemas.openxmlformats.org/officeDocument/2006/relationships/chart" Target="charts/chart9.xml"/><Relationship Id="rId98" Type="http://schemas.openxmlformats.org/officeDocument/2006/relationships/diagramColors" Target="diagrams/colors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chart" Target="charts/chart4.xml"/><Relationship Id="rId59" Type="http://schemas.openxmlformats.org/officeDocument/2006/relationships/hyperlink" Target="http://ow.ly/yVWR50uuSgt" TargetMode="External"/><Relationship Id="rId67" Type="http://schemas.openxmlformats.org/officeDocument/2006/relationships/hyperlink" Target="https://www.mapumaia.nz/" TargetMode="External"/><Relationship Id="rId103" Type="http://schemas.openxmlformats.org/officeDocument/2006/relationships/footer" Target="footer5.xml"/><Relationship Id="rId20" Type="http://schemas.openxmlformats.org/officeDocument/2006/relationships/diagramQuickStyle" Target="diagrams/quickStyle1.xml"/><Relationship Id="rId41" Type="http://schemas.openxmlformats.org/officeDocument/2006/relationships/image" Target="media/image22.png"/><Relationship Id="rId54" Type="http://schemas.openxmlformats.org/officeDocument/2006/relationships/hyperlink" Target="https://www.acts.co.nz/Art-The-Forgotten-Family-Gambling-Additiction.php" TargetMode="External"/><Relationship Id="rId62" Type="http://schemas.openxmlformats.org/officeDocument/2006/relationships/hyperlink" Target="https://www.gamblinghelponline.org.au/helping-others/impact-on-others" TargetMode="External"/><Relationship Id="rId70" Type="http://schemas.openxmlformats.org/officeDocument/2006/relationships/hyperlink" Target="https://www.health.govt.nz/our-work/preventative-health-wellness/tobacco-control/smokefree-aotearoa-2025" TargetMode="External"/><Relationship Id="rId75" Type="http://schemas.openxmlformats.org/officeDocument/2006/relationships/hyperlink" Target="https://www.pgf.nz/gambling-support-groups.html" TargetMode="External"/><Relationship Id="rId83" Type="http://schemas.openxmlformats.org/officeDocument/2006/relationships/hyperlink" Target="https://oasis.salvationarmy.org.nz/resource/family-and-wh%C4%81nau-counselling-oasis" TargetMode="External"/><Relationship Id="rId88" Type="http://schemas.openxmlformats.org/officeDocument/2006/relationships/hyperlink" Target="https://www.facebook.com/responsiblegambling/posts/2417176411891252" TargetMode="External"/><Relationship Id="rId91" Type="http://schemas.openxmlformats.org/officeDocument/2006/relationships/hyperlink" Target="https://aboriginalsafegambling.com.au/" TargetMode="External"/><Relationship Id="rId96"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nk-springer-com.ezproxy.aut.ac.nz/article/10.1007/s11469-015-9588-4" TargetMode="External"/><Relationship Id="rId23" Type="http://schemas.openxmlformats.org/officeDocument/2006/relationships/chart" Target="charts/chart1.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chart" Target="charts/chart7.xml"/><Relationship Id="rId57" Type="http://schemas.openxmlformats.org/officeDocument/2006/relationships/hyperlink" Target="https://gamblershelp.com.au/get-help/find-support/" TargetMode="External"/><Relationship Id="rId10"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chart" Target="charts/chart2.xml"/><Relationship Id="rId52" Type="http://schemas.openxmlformats.org/officeDocument/2006/relationships/hyperlink" Target="https://www.cnwl.nhs.uk/services/mental-health-services/addictions-and-substance-misuse/national-problem-gambling-clinic" TargetMode="External"/><Relationship Id="rId60" Type="http://schemas.openxmlformats.org/officeDocument/2006/relationships/hyperlink" Target="https://gamblinghelp.nsw.gov.au/support-someone/classroom-resources/" TargetMode="External"/><Relationship Id="rId65" Type="http://schemas.openxmlformats.org/officeDocument/2006/relationships/hyperlink" Target="https://indigenousknowledgenetwork.net/2015/11/14/tihei-mauri-ora/" TargetMode="External"/><Relationship Id="rId73" Type="http://schemas.openxmlformats.org/officeDocument/2006/relationships/hyperlink" Target="https://www.facebook.com/PGFNZ/posts/10157577083600482" TargetMode="External"/><Relationship Id="rId78" Type="http://schemas.openxmlformats.org/officeDocument/2006/relationships/hyperlink" Target="https://www.eenet.ca/article/call-members-lived-experience-family-advisory-panel" TargetMode="External"/><Relationship Id="rId81" Type="http://schemas.openxmlformats.org/officeDocument/2006/relationships/hyperlink" Target="https://www.responsiblegambling.nsw.gov.au/check-in/quiz" TargetMode="External"/><Relationship Id="rId86" Type="http://schemas.openxmlformats.org/officeDocument/2006/relationships/hyperlink" Target="https://www.facebook.com/responsiblegambling" TargetMode="External"/><Relationship Id="rId94" Type="http://schemas.openxmlformats.org/officeDocument/2006/relationships/footer" Target="footer4.xml"/><Relationship Id="rId99" Type="http://schemas.microsoft.com/office/2007/relationships/diagramDrawing" Target="diagrams/drawing2.xml"/><Relationship Id="rId101" Type="http://schemas.openxmlformats.org/officeDocument/2006/relationships/hyperlink" Target="https://aut.au1.qualtrics.com/CP/File.php?F=F_a2WdHa3ybccleyp"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diagramData" Target="diagrams/data1.xml"/><Relationship Id="rId39" Type="http://schemas.microsoft.com/office/2007/relationships/hdphoto" Target="media/hdphoto1.wdp"/><Relationship Id="rId34" Type="http://schemas.openxmlformats.org/officeDocument/2006/relationships/image" Target="media/image16.png"/><Relationship Id="rId50" Type="http://schemas.openxmlformats.org/officeDocument/2006/relationships/footer" Target="footer3.xml"/><Relationship Id="rId55" Type="http://schemas.openxmlformats.org/officeDocument/2006/relationships/hyperlink" Target="http://www.internationalgamblingconference.com/wp-content/uploads/2018/03/Supporting-parents-healthy-children...-Anna-Nelson-Bronwyn-Dunnachie-Mary-Anne-Cooke.pdf" TargetMode="External"/><Relationship Id="rId76" Type="http://schemas.openxmlformats.org/officeDocument/2006/relationships/hyperlink" Target="https://www.theguardian.com/society/2020/sep/25/inquest-into-suicide-of-gambling-addict-to-explore-if-uk-state-failed-him" TargetMode="External"/><Relationship Id="rId97" Type="http://schemas.openxmlformats.org/officeDocument/2006/relationships/diagramQuickStyle" Target="diagrams/quickStyle2.xml"/><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kpalmer\Dropbox\GARC\Support%20for%20affected%20others\Delphi\Results\RoundTwo%20data_FULL%20Quant%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palmer\Dropbox\GARC\Support%20for%20affected%20others\Review%20of%20FAO%20service%20provision\CLIC\CLIC%20tables%20Katie%200707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hare\Share\AKFS1\HY_PUBLIC_HLTH_PSYCH_STUDIES\GARC\Support%20for%20family%20members%20and%20affected%20others\4%20Analysis%20of%20NZ%20gambling%20FAO%20service%20use\CLIC\CLIC%20data%20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hare\Share\AKFS1\HY_PUBLIC_HLTH_PSYCH_STUDIES\GARC\Support%20for%20family%20members%20and%20affected%20others\4%20Analysis%20of%20NZ%20gambling%20FAO%20service%20use\CLIC\CLIC%20data%20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Support%20for%20family%20members%20and%20affected%20others\2%20Delphi%20study\DATA_round%20one\Quant%20data%20-%20Cop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649310530674484"/>
          <c:y val="0"/>
          <c:w val="0.73266660532208094"/>
          <c:h val="0.73577136191309422"/>
        </c:manualLayout>
      </c:layout>
      <c:barChart>
        <c:barDir val="bar"/>
        <c:grouping val="stacked"/>
        <c:varyColors val="0"/>
        <c:ser>
          <c:idx val="0"/>
          <c:order val="0"/>
          <c:tx>
            <c:strRef>
              <c:f>'Traffic lights'!$I$8</c:f>
              <c:strCache>
                <c:ptCount val="1"/>
                <c:pt idx="0">
                  <c:v>Completely</c:v>
                </c:pt>
              </c:strCache>
            </c:strRef>
          </c:tx>
          <c:spPr>
            <a:solidFill>
              <a:schemeClr val="accent6">
                <a:lumMod val="50000"/>
              </a:schemeClr>
            </a:solidFill>
            <a:ln>
              <a:noFill/>
            </a:ln>
            <a:effectLst/>
          </c:spPr>
          <c:invertIfNegative val="0"/>
          <c:cat>
            <c:strRef>
              <c:f>'Traffic lights'!$J$7:$N$7</c:f>
              <c:strCache>
                <c:ptCount val="5"/>
                <c:pt idx="0">
                  <c:v>Influence Gambler</c:v>
                </c:pt>
                <c:pt idx="1">
                  <c:v>Harm Reduction</c:v>
                </c:pt>
                <c:pt idx="2">
                  <c:v>Improve Relationships</c:v>
                </c:pt>
                <c:pt idx="3">
                  <c:v>Social approach</c:v>
                </c:pt>
                <c:pt idx="4">
                  <c:v>Enhance FAO Wellbeing</c:v>
                </c:pt>
              </c:strCache>
            </c:strRef>
          </c:cat>
          <c:val>
            <c:numRef>
              <c:f>'Traffic lights'!$J$8:$N$8</c:f>
              <c:numCache>
                <c:formatCode>0.00</c:formatCode>
                <c:ptCount val="5"/>
                <c:pt idx="0">
                  <c:v>3.5714285714285712</c:v>
                </c:pt>
                <c:pt idx="1">
                  <c:v>10.714285714285714</c:v>
                </c:pt>
                <c:pt idx="2">
                  <c:v>14.285714285714285</c:v>
                </c:pt>
                <c:pt idx="3">
                  <c:v>22.22</c:v>
                </c:pt>
                <c:pt idx="4">
                  <c:v>39.285714285714285</c:v>
                </c:pt>
              </c:numCache>
            </c:numRef>
          </c:val>
          <c:extLst>
            <c:ext xmlns:c16="http://schemas.microsoft.com/office/drawing/2014/chart" uri="{C3380CC4-5D6E-409C-BE32-E72D297353CC}">
              <c16:uniqueId val="{00000000-EE5F-44F6-8525-96840D2E8693}"/>
            </c:ext>
          </c:extLst>
        </c:ser>
        <c:ser>
          <c:idx val="1"/>
          <c:order val="1"/>
          <c:tx>
            <c:strRef>
              <c:f>'Traffic lights'!$I$9</c:f>
              <c:strCache>
                <c:ptCount val="1"/>
                <c:pt idx="0">
                  <c:v>9</c:v>
                </c:pt>
              </c:strCache>
            </c:strRef>
          </c:tx>
          <c:spPr>
            <a:solidFill>
              <a:schemeClr val="accent6">
                <a:lumMod val="75000"/>
              </a:schemeClr>
            </a:solidFill>
            <a:ln>
              <a:noFill/>
            </a:ln>
            <a:effectLst/>
          </c:spPr>
          <c:invertIfNegative val="0"/>
          <c:cat>
            <c:strRef>
              <c:f>'Traffic lights'!$J$7:$N$7</c:f>
              <c:strCache>
                <c:ptCount val="5"/>
                <c:pt idx="0">
                  <c:v>Influence Gambler</c:v>
                </c:pt>
                <c:pt idx="1">
                  <c:v>Harm Reduction</c:v>
                </c:pt>
                <c:pt idx="2">
                  <c:v>Improve Relationships</c:v>
                </c:pt>
                <c:pt idx="3">
                  <c:v>Social approach</c:v>
                </c:pt>
                <c:pt idx="4">
                  <c:v>Enhance FAO Wellbeing</c:v>
                </c:pt>
              </c:strCache>
            </c:strRef>
          </c:cat>
          <c:val>
            <c:numRef>
              <c:f>'Traffic lights'!$J$9:$N$9</c:f>
              <c:numCache>
                <c:formatCode>0.00</c:formatCode>
                <c:ptCount val="5"/>
                <c:pt idx="0">
                  <c:v>10.714285714285714</c:v>
                </c:pt>
                <c:pt idx="1">
                  <c:v>21.428571428571427</c:v>
                </c:pt>
                <c:pt idx="2">
                  <c:v>7.1428571428571423</c:v>
                </c:pt>
                <c:pt idx="3">
                  <c:v>7.41</c:v>
                </c:pt>
                <c:pt idx="4">
                  <c:v>10.714285714285714</c:v>
                </c:pt>
              </c:numCache>
            </c:numRef>
          </c:val>
          <c:extLst>
            <c:ext xmlns:c16="http://schemas.microsoft.com/office/drawing/2014/chart" uri="{C3380CC4-5D6E-409C-BE32-E72D297353CC}">
              <c16:uniqueId val="{00000001-EE5F-44F6-8525-96840D2E8693}"/>
            </c:ext>
          </c:extLst>
        </c:ser>
        <c:ser>
          <c:idx val="2"/>
          <c:order val="2"/>
          <c:tx>
            <c:strRef>
              <c:f>'Traffic lights'!$I$10</c:f>
              <c:strCache>
                <c:ptCount val="1"/>
                <c:pt idx="0">
                  <c:v>8</c:v>
                </c:pt>
              </c:strCache>
            </c:strRef>
          </c:tx>
          <c:spPr>
            <a:solidFill>
              <a:schemeClr val="accent6"/>
            </a:solidFill>
            <a:ln>
              <a:noFill/>
            </a:ln>
            <a:effectLst/>
          </c:spPr>
          <c:invertIfNegative val="0"/>
          <c:cat>
            <c:strRef>
              <c:f>'Traffic lights'!$J$7:$N$7</c:f>
              <c:strCache>
                <c:ptCount val="5"/>
                <c:pt idx="0">
                  <c:v>Influence Gambler</c:v>
                </c:pt>
                <c:pt idx="1">
                  <c:v>Harm Reduction</c:v>
                </c:pt>
                <c:pt idx="2">
                  <c:v>Improve Relationships</c:v>
                </c:pt>
                <c:pt idx="3">
                  <c:v>Social approach</c:v>
                </c:pt>
                <c:pt idx="4">
                  <c:v>Enhance FAO Wellbeing</c:v>
                </c:pt>
              </c:strCache>
            </c:strRef>
          </c:cat>
          <c:val>
            <c:numRef>
              <c:f>'Traffic lights'!$J$10:$N$10</c:f>
              <c:numCache>
                <c:formatCode>0.00</c:formatCode>
                <c:ptCount val="5"/>
                <c:pt idx="0" formatCode="General">
                  <c:v>0</c:v>
                </c:pt>
                <c:pt idx="1">
                  <c:v>14.285714285714285</c:v>
                </c:pt>
                <c:pt idx="2">
                  <c:v>39.285714285714285</c:v>
                </c:pt>
                <c:pt idx="3" formatCode="General">
                  <c:v>25.93</c:v>
                </c:pt>
                <c:pt idx="4">
                  <c:v>32.142857142857146</c:v>
                </c:pt>
              </c:numCache>
            </c:numRef>
          </c:val>
          <c:extLst>
            <c:ext xmlns:c16="http://schemas.microsoft.com/office/drawing/2014/chart" uri="{C3380CC4-5D6E-409C-BE32-E72D297353CC}">
              <c16:uniqueId val="{00000002-EE5F-44F6-8525-96840D2E8693}"/>
            </c:ext>
          </c:extLst>
        </c:ser>
        <c:ser>
          <c:idx val="3"/>
          <c:order val="3"/>
          <c:tx>
            <c:strRef>
              <c:f>'Traffic lights'!$I$11</c:f>
              <c:strCache>
                <c:ptCount val="1"/>
                <c:pt idx="0">
                  <c:v>7</c:v>
                </c:pt>
              </c:strCache>
            </c:strRef>
          </c:tx>
          <c:spPr>
            <a:solidFill>
              <a:schemeClr val="accent6">
                <a:lumMod val="60000"/>
                <a:lumOff val="40000"/>
              </a:schemeClr>
            </a:solidFill>
            <a:ln>
              <a:noFill/>
            </a:ln>
            <a:effectLst/>
          </c:spPr>
          <c:invertIfNegative val="0"/>
          <c:cat>
            <c:strRef>
              <c:f>'Traffic lights'!$J$7:$N$7</c:f>
              <c:strCache>
                <c:ptCount val="5"/>
                <c:pt idx="0">
                  <c:v>Influence Gambler</c:v>
                </c:pt>
                <c:pt idx="1">
                  <c:v>Harm Reduction</c:v>
                </c:pt>
                <c:pt idx="2">
                  <c:v>Improve Relationships</c:v>
                </c:pt>
                <c:pt idx="3">
                  <c:v>Social approach</c:v>
                </c:pt>
                <c:pt idx="4">
                  <c:v>Enhance FAO Wellbeing</c:v>
                </c:pt>
              </c:strCache>
            </c:strRef>
          </c:cat>
          <c:val>
            <c:numRef>
              <c:f>'Traffic lights'!$J$11:$N$11</c:f>
              <c:numCache>
                <c:formatCode>0.00</c:formatCode>
                <c:ptCount val="5"/>
                <c:pt idx="0">
                  <c:v>28.571428571428569</c:v>
                </c:pt>
                <c:pt idx="1">
                  <c:v>17.857142857142858</c:v>
                </c:pt>
                <c:pt idx="2">
                  <c:v>14.285714285714285</c:v>
                </c:pt>
                <c:pt idx="3">
                  <c:v>14.81</c:v>
                </c:pt>
                <c:pt idx="4">
                  <c:v>10.714285714285714</c:v>
                </c:pt>
              </c:numCache>
            </c:numRef>
          </c:val>
          <c:extLst>
            <c:ext xmlns:c16="http://schemas.microsoft.com/office/drawing/2014/chart" uri="{C3380CC4-5D6E-409C-BE32-E72D297353CC}">
              <c16:uniqueId val="{00000003-EE5F-44F6-8525-96840D2E8693}"/>
            </c:ext>
          </c:extLst>
        </c:ser>
        <c:ser>
          <c:idx val="4"/>
          <c:order val="4"/>
          <c:tx>
            <c:strRef>
              <c:f>'Traffic lights'!$I$12</c:f>
              <c:strCache>
                <c:ptCount val="1"/>
                <c:pt idx="0">
                  <c:v>6</c:v>
                </c:pt>
              </c:strCache>
            </c:strRef>
          </c:tx>
          <c:spPr>
            <a:solidFill>
              <a:schemeClr val="accent6">
                <a:lumMod val="40000"/>
                <a:lumOff val="60000"/>
              </a:schemeClr>
            </a:solidFill>
            <a:ln>
              <a:noFill/>
            </a:ln>
            <a:effectLst/>
          </c:spPr>
          <c:invertIfNegative val="0"/>
          <c:cat>
            <c:strRef>
              <c:f>'Traffic lights'!$J$7:$N$7</c:f>
              <c:strCache>
                <c:ptCount val="5"/>
                <c:pt idx="0">
                  <c:v>Influence Gambler</c:v>
                </c:pt>
                <c:pt idx="1">
                  <c:v>Harm Reduction</c:v>
                </c:pt>
                <c:pt idx="2">
                  <c:v>Improve Relationships</c:v>
                </c:pt>
                <c:pt idx="3">
                  <c:v>Social approach</c:v>
                </c:pt>
                <c:pt idx="4">
                  <c:v>Enhance FAO Wellbeing</c:v>
                </c:pt>
              </c:strCache>
            </c:strRef>
          </c:cat>
          <c:val>
            <c:numRef>
              <c:f>'Traffic lights'!$J$12:$N$12</c:f>
              <c:numCache>
                <c:formatCode>General</c:formatCode>
                <c:ptCount val="5"/>
                <c:pt idx="0" formatCode="0.00">
                  <c:v>3.5714285714285712</c:v>
                </c:pt>
                <c:pt idx="1">
                  <c:v>25</c:v>
                </c:pt>
                <c:pt idx="2" formatCode="0.00">
                  <c:v>3.5714285714285712</c:v>
                </c:pt>
                <c:pt idx="3" formatCode="0.00">
                  <c:v>7.41</c:v>
                </c:pt>
                <c:pt idx="4" formatCode="0.00">
                  <c:v>7.1428571428571423</c:v>
                </c:pt>
              </c:numCache>
            </c:numRef>
          </c:val>
          <c:extLst>
            <c:ext xmlns:c16="http://schemas.microsoft.com/office/drawing/2014/chart" uri="{C3380CC4-5D6E-409C-BE32-E72D297353CC}">
              <c16:uniqueId val="{00000004-EE5F-44F6-8525-96840D2E8693}"/>
            </c:ext>
          </c:extLst>
        </c:ser>
        <c:ser>
          <c:idx val="5"/>
          <c:order val="5"/>
          <c:tx>
            <c:strRef>
              <c:f>'Traffic lights'!$I$13</c:f>
              <c:strCache>
                <c:ptCount val="1"/>
                <c:pt idx="0">
                  <c:v>5</c:v>
                </c:pt>
              </c:strCache>
            </c:strRef>
          </c:tx>
          <c:spPr>
            <a:solidFill>
              <a:schemeClr val="bg1">
                <a:lumMod val="75000"/>
              </a:schemeClr>
            </a:solidFill>
            <a:ln>
              <a:noFill/>
            </a:ln>
            <a:effectLst/>
          </c:spPr>
          <c:invertIfNegative val="0"/>
          <c:cat>
            <c:strRef>
              <c:f>'Traffic lights'!$J$7:$N$7</c:f>
              <c:strCache>
                <c:ptCount val="5"/>
                <c:pt idx="0">
                  <c:v>Influence Gambler</c:v>
                </c:pt>
                <c:pt idx="1">
                  <c:v>Harm Reduction</c:v>
                </c:pt>
                <c:pt idx="2">
                  <c:v>Improve Relationships</c:v>
                </c:pt>
                <c:pt idx="3">
                  <c:v>Social approach</c:v>
                </c:pt>
                <c:pt idx="4">
                  <c:v>Enhance FAO Wellbeing</c:v>
                </c:pt>
              </c:strCache>
            </c:strRef>
          </c:cat>
          <c:val>
            <c:numRef>
              <c:f>'Traffic lights'!$J$13:$N$13</c:f>
              <c:numCache>
                <c:formatCode>0.00</c:formatCode>
                <c:ptCount val="5"/>
                <c:pt idx="0">
                  <c:v>14.285714285714285</c:v>
                </c:pt>
                <c:pt idx="1">
                  <c:v>7.1428571428571423</c:v>
                </c:pt>
                <c:pt idx="2">
                  <c:v>7.1428571428571423</c:v>
                </c:pt>
                <c:pt idx="3">
                  <c:v>11.11</c:v>
                </c:pt>
                <c:pt idx="4" formatCode="General">
                  <c:v>0</c:v>
                </c:pt>
              </c:numCache>
            </c:numRef>
          </c:val>
          <c:extLst>
            <c:ext xmlns:c16="http://schemas.microsoft.com/office/drawing/2014/chart" uri="{C3380CC4-5D6E-409C-BE32-E72D297353CC}">
              <c16:uniqueId val="{00000005-EE5F-44F6-8525-96840D2E8693}"/>
            </c:ext>
          </c:extLst>
        </c:ser>
        <c:ser>
          <c:idx val="6"/>
          <c:order val="6"/>
          <c:tx>
            <c:strRef>
              <c:f>'Traffic lights'!$I$14</c:f>
              <c:strCache>
                <c:ptCount val="1"/>
                <c:pt idx="0">
                  <c:v>4</c:v>
                </c:pt>
              </c:strCache>
            </c:strRef>
          </c:tx>
          <c:spPr>
            <a:solidFill>
              <a:schemeClr val="accent2">
                <a:lumMod val="40000"/>
                <a:lumOff val="60000"/>
              </a:schemeClr>
            </a:solidFill>
            <a:ln>
              <a:noFill/>
            </a:ln>
            <a:effectLst/>
          </c:spPr>
          <c:invertIfNegative val="0"/>
          <c:cat>
            <c:strRef>
              <c:f>'Traffic lights'!$J$7:$N$7</c:f>
              <c:strCache>
                <c:ptCount val="5"/>
                <c:pt idx="0">
                  <c:v>Influence Gambler</c:v>
                </c:pt>
                <c:pt idx="1">
                  <c:v>Harm Reduction</c:v>
                </c:pt>
                <c:pt idx="2">
                  <c:v>Improve Relationships</c:v>
                </c:pt>
                <c:pt idx="3">
                  <c:v>Social approach</c:v>
                </c:pt>
                <c:pt idx="4">
                  <c:v>Enhance FAO Wellbeing</c:v>
                </c:pt>
              </c:strCache>
            </c:strRef>
          </c:cat>
          <c:val>
            <c:numRef>
              <c:f>'Traffic lights'!$J$14:$N$14</c:f>
              <c:numCache>
                <c:formatCode>General</c:formatCode>
                <c:ptCount val="5"/>
                <c:pt idx="0" formatCode="0.00">
                  <c:v>7.1428571428571423</c:v>
                </c:pt>
                <c:pt idx="1">
                  <c:v>0</c:v>
                </c:pt>
                <c:pt idx="2" formatCode="0.00">
                  <c:v>3.5714285714285712</c:v>
                </c:pt>
                <c:pt idx="3" formatCode="0.00">
                  <c:v>7.41</c:v>
                </c:pt>
                <c:pt idx="4">
                  <c:v>0</c:v>
                </c:pt>
              </c:numCache>
            </c:numRef>
          </c:val>
          <c:extLst>
            <c:ext xmlns:c16="http://schemas.microsoft.com/office/drawing/2014/chart" uri="{C3380CC4-5D6E-409C-BE32-E72D297353CC}">
              <c16:uniqueId val="{00000006-EE5F-44F6-8525-96840D2E8693}"/>
            </c:ext>
          </c:extLst>
        </c:ser>
        <c:ser>
          <c:idx val="7"/>
          <c:order val="7"/>
          <c:tx>
            <c:strRef>
              <c:f>'Traffic lights'!$I$15</c:f>
              <c:strCache>
                <c:ptCount val="1"/>
                <c:pt idx="0">
                  <c:v>3</c:v>
                </c:pt>
              </c:strCache>
            </c:strRef>
          </c:tx>
          <c:spPr>
            <a:solidFill>
              <a:schemeClr val="accent2">
                <a:lumMod val="60000"/>
                <a:lumOff val="40000"/>
              </a:schemeClr>
            </a:solidFill>
            <a:ln>
              <a:noFill/>
            </a:ln>
            <a:effectLst/>
          </c:spPr>
          <c:invertIfNegative val="0"/>
          <c:cat>
            <c:strRef>
              <c:f>'Traffic lights'!$J$7:$N$7</c:f>
              <c:strCache>
                <c:ptCount val="5"/>
                <c:pt idx="0">
                  <c:v>Influence Gambler</c:v>
                </c:pt>
                <c:pt idx="1">
                  <c:v>Harm Reduction</c:v>
                </c:pt>
                <c:pt idx="2">
                  <c:v>Improve Relationships</c:v>
                </c:pt>
                <c:pt idx="3">
                  <c:v>Social approach</c:v>
                </c:pt>
                <c:pt idx="4">
                  <c:v>Enhance FAO Wellbeing</c:v>
                </c:pt>
              </c:strCache>
            </c:strRef>
          </c:cat>
          <c:val>
            <c:numRef>
              <c:f>'Traffic lights'!$J$15:$N$15</c:f>
              <c:numCache>
                <c:formatCode>General</c:formatCode>
                <c:ptCount val="5"/>
                <c:pt idx="0" formatCode="0.00">
                  <c:v>17.857142857142858</c:v>
                </c:pt>
                <c:pt idx="1">
                  <c:v>0</c:v>
                </c:pt>
                <c:pt idx="2" formatCode="0.00">
                  <c:v>3.5714285714285712</c:v>
                </c:pt>
                <c:pt idx="3">
                  <c:v>0</c:v>
                </c:pt>
                <c:pt idx="4">
                  <c:v>0</c:v>
                </c:pt>
              </c:numCache>
            </c:numRef>
          </c:val>
          <c:extLst>
            <c:ext xmlns:c16="http://schemas.microsoft.com/office/drawing/2014/chart" uri="{C3380CC4-5D6E-409C-BE32-E72D297353CC}">
              <c16:uniqueId val="{00000007-EE5F-44F6-8525-96840D2E8693}"/>
            </c:ext>
          </c:extLst>
        </c:ser>
        <c:ser>
          <c:idx val="8"/>
          <c:order val="8"/>
          <c:tx>
            <c:strRef>
              <c:f>'Traffic lights'!$I$16</c:f>
              <c:strCache>
                <c:ptCount val="1"/>
                <c:pt idx="0">
                  <c:v>2</c:v>
                </c:pt>
              </c:strCache>
            </c:strRef>
          </c:tx>
          <c:spPr>
            <a:solidFill>
              <a:schemeClr val="accent2"/>
            </a:solidFill>
            <a:ln>
              <a:noFill/>
            </a:ln>
            <a:effectLst/>
          </c:spPr>
          <c:invertIfNegative val="0"/>
          <c:cat>
            <c:strRef>
              <c:f>'Traffic lights'!$J$7:$N$7</c:f>
              <c:strCache>
                <c:ptCount val="5"/>
                <c:pt idx="0">
                  <c:v>Influence Gambler</c:v>
                </c:pt>
                <c:pt idx="1">
                  <c:v>Harm Reduction</c:v>
                </c:pt>
                <c:pt idx="2">
                  <c:v>Improve Relationships</c:v>
                </c:pt>
                <c:pt idx="3">
                  <c:v>Social approach</c:v>
                </c:pt>
                <c:pt idx="4">
                  <c:v>Enhance FAO Wellbeing</c:v>
                </c:pt>
              </c:strCache>
            </c:strRef>
          </c:cat>
          <c:val>
            <c:numRef>
              <c:f>'Traffic lights'!$J$16:$N$16</c:f>
              <c:numCache>
                <c:formatCode>0.00</c:formatCode>
                <c:ptCount val="5"/>
                <c:pt idx="0">
                  <c:v>7.1428571428571423</c:v>
                </c:pt>
                <c:pt idx="1">
                  <c:v>3.5714285714285712</c:v>
                </c:pt>
                <c:pt idx="2">
                  <c:v>3.5714285714285712</c:v>
                </c:pt>
                <c:pt idx="3">
                  <c:v>3.7</c:v>
                </c:pt>
                <c:pt idx="4" formatCode="General">
                  <c:v>0</c:v>
                </c:pt>
              </c:numCache>
            </c:numRef>
          </c:val>
          <c:extLst>
            <c:ext xmlns:c16="http://schemas.microsoft.com/office/drawing/2014/chart" uri="{C3380CC4-5D6E-409C-BE32-E72D297353CC}">
              <c16:uniqueId val="{00000008-EE5F-44F6-8525-96840D2E8693}"/>
            </c:ext>
          </c:extLst>
        </c:ser>
        <c:ser>
          <c:idx val="9"/>
          <c:order val="9"/>
          <c:tx>
            <c:strRef>
              <c:f>'Traffic lights'!$I$17</c:f>
              <c:strCache>
                <c:ptCount val="1"/>
                <c:pt idx="0">
                  <c:v>1</c:v>
                </c:pt>
              </c:strCache>
            </c:strRef>
          </c:tx>
          <c:spPr>
            <a:solidFill>
              <a:schemeClr val="accent2">
                <a:lumMod val="75000"/>
              </a:schemeClr>
            </a:solidFill>
            <a:ln>
              <a:noFill/>
            </a:ln>
            <a:effectLst/>
          </c:spPr>
          <c:invertIfNegative val="0"/>
          <c:cat>
            <c:strRef>
              <c:f>'Traffic lights'!$J$7:$N$7</c:f>
              <c:strCache>
                <c:ptCount val="5"/>
                <c:pt idx="0">
                  <c:v>Influence Gambler</c:v>
                </c:pt>
                <c:pt idx="1">
                  <c:v>Harm Reduction</c:v>
                </c:pt>
                <c:pt idx="2">
                  <c:v>Improve Relationships</c:v>
                </c:pt>
                <c:pt idx="3">
                  <c:v>Social approach</c:v>
                </c:pt>
                <c:pt idx="4">
                  <c:v>Enhance FAO Wellbeing</c:v>
                </c:pt>
              </c:strCache>
            </c:strRef>
          </c:cat>
          <c:val>
            <c:numRef>
              <c:f>'Traffic lights'!$J$17:$N$17</c:f>
              <c:numCache>
                <c:formatCode>General</c:formatCode>
                <c:ptCount val="5"/>
                <c:pt idx="0" formatCode="0.00">
                  <c:v>3.5714285714285712</c:v>
                </c:pt>
                <c:pt idx="1">
                  <c:v>0</c:v>
                </c:pt>
                <c:pt idx="2">
                  <c:v>0</c:v>
                </c:pt>
                <c:pt idx="3">
                  <c:v>0</c:v>
                </c:pt>
                <c:pt idx="4">
                  <c:v>0</c:v>
                </c:pt>
              </c:numCache>
            </c:numRef>
          </c:val>
          <c:extLst>
            <c:ext xmlns:c16="http://schemas.microsoft.com/office/drawing/2014/chart" uri="{C3380CC4-5D6E-409C-BE32-E72D297353CC}">
              <c16:uniqueId val="{00000009-EE5F-44F6-8525-96840D2E8693}"/>
            </c:ext>
          </c:extLst>
        </c:ser>
        <c:ser>
          <c:idx val="10"/>
          <c:order val="10"/>
          <c:tx>
            <c:strRef>
              <c:f>'Traffic lights'!$I$18</c:f>
              <c:strCache>
                <c:ptCount val="1"/>
                <c:pt idx="0">
                  <c:v>Not at all</c:v>
                </c:pt>
              </c:strCache>
            </c:strRef>
          </c:tx>
          <c:spPr>
            <a:solidFill>
              <a:schemeClr val="accent2">
                <a:lumMod val="50000"/>
              </a:schemeClr>
            </a:solidFill>
            <a:ln>
              <a:noFill/>
            </a:ln>
            <a:effectLst/>
          </c:spPr>
          <c:invertIfNegative val="0"/>
          <c:cat>
            <c:strRef>
              <c:f>'Traffic lights'!$J$7:$N$7</c:f>
              <c:strCache>
                <c:ptCount val="5"/>
                <c:pt idx="0">
                  <c:v>Influence Gambler</c:v>
                </c:pt>
                <c:pt idx="1">
                  <c:v>Harm Reduction</c:v>
                </c:pt>
                <c:pt idx="2">
                  <c:v>Improve Relationships</c:v>
                </c:pt>
                <c:pt idx="3">
                  <c:v>Social approach</c:v>
                </c:pt>
                <c:pt idx="4">
                  <c:v>Enhance FAO Wellbeing</c:v>
                </c:pt>
              </c:strCache>
            </c:strRef>
          </c:cat>
          <c:val>
            <c:numRef>
              <c:f>'Traffic lights'!$J$18:$N$18</c:f>
              <c:numCache>
                <c:formatCode>General</c:formatCode>
                <c:ptCount val="5"/>
                <c:pt idx="0" formatCode="0.00">
                  <c:v>3.5714285714285712</c:v>
                </c:pt>
                <c:pt idx="1">
                  <c:v>0</c:v>
                </c:pt>
                <c:pt idx="2" formatCode="0.00">
                  <c:v>3.5714285714285712</c:v>
                </c:pt>
                <c:pt idx="3">
                  <c:v>0</c:v>
                </c:pt>
                <c:pt idx="4">
                  <c:v>0</c:v>
                </c:pt>
              </c:numCache>
            </c:numRef>
          </c:val>
          <c:extLst>
            <c:ext xmlns:c16="http://schemas.microsoft.com/office/drawing/2014/chart" uri="{C3380CC4-5D6E-409C-BE32-E72D297353CC}">
              <c16:uniqueId val="{0000000A-EE5F-44F6-8525-96840D2E8693}"/>
            </c:ext>
          </c:extLst>
        </c:ser>
        <c:dLbls>
          <c:showLegendKey val="0"/>
          <c:showVal val="0"/>
          <c:showCatName val="0"/>
          <c:showSerName val="0"/>
          <c:showPercent val="0"/>
          <c:showBubbleSize val="0"/>
        </c:dLbls>
        <c:gapWidth val="150"/>
        <c:overlap val="100"/>
        <c:axId val="586226424"/>
        <c:axId val="586221176"/>
      </c:barChart>
      <c:catAx>
        <c:axId val="586226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221176"/>
        <c:crosses val="autoZero"/>
        <c:auto val="1"/>
        <c:lblAlgn val="ctr"/>
        <c:lblOffset val="100"/>
        <c:noMultiLvlLbl val="0"/>
      </c:catAx>
      <c:valAx>
        <c:axId val="58622117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226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Sheet9!$A$4:$A$11</c:f>
              <c:strCache>
                <c:ptCount val="8"/>
                <c:pt idx="0">
                  <c:v>Māori women</c:v>
                </c:pt>
                <c:pt idx="1">
                  <c:v>Other women</c:v>
                </c:pt>
                <c:pt idx="2">
                  <c:v>Māori men</c:v>
                </c:pt>
                <c:pt idx="3">
                  <c:v>Pacific women</c:v>
                </c:pt>
                <c:pt idx="4">
                  <c:v>Pacific men</c:v>
                </c:pt>
                <c:pt idx="5">
                  <c:v>Other men</c:v>
                </c:pt>
                <c:pt idx="6">
                  <c:v>East Asian women</c:v>
                </c:pt>
                <c:pt idx="7">
                  <c:v>East Asian men</c:v>
                </c:pt>
              </c:strCache>
            </c:strRef>
          </c:cat>
          <c:val>
            <c:numRef>
              <c:f>Sheet9!$B$4:$B$11</c:f>
              <c:numCache>
                <c:formatCode>0</c:formatCode>
                <c:ptCount val="8"/>
                <c:pt idx="0">
                  <c:v>6429.78</c:v>
                </c:pt>
                <c:pt idx="1">
                  <c:v>5000.9399999999996</c:v>
                </c:pt>
                <c:pt idx="2">
                  <c:v>3095.8199999999997</c:v>
                </c:pt>
                <c:pt idx="3">
                  <c:v>2857.68</c:v>
                </c:pt>
                <c:pt idx="4">
                  <c:v>2381.3999999999996</c:v>
                </c:pt>
                <c:pt idx="5">
                  <c:v>2381.3999999999996</c:v>
                </c:pt>
                <c:pt idx="6">
                  <c:v>1190.6999999999998</c:v>
                </c:pt>
                <c:pt idx="7">
                  <c:v>476.28</c:v>
                </c:pt>
              </c:numCache>
            </c:numRef>
          </c:val>
          <c:extLst>
            <c:ext xmlns:c16="http://schemas.microsoft.com/office/drawing/2014/chart" uri="{C3380CC4-5D6E-409C-BE32-E72D297353CC}">
              <c16:uniqueId val="{00000000-53DD-43A1-86C7-2813274E8AFD}"/>
            </c:ext>
          </c:extLst>
        </c:ser>
        <c:dLbls>
          <c:showLegendKey val="0"/>
          <c:showVal val="0"/>
          <c:showCatName val="0"/>
          <c:showSerName val="0"/>
          <c:showPercent val="0"/>
          <c:showBubbleSize val="0"/>
        </c:dLbls>
        <c:gapWidth val="182"/>
        <c:axId val="449925416"/>
        <c:axId val="449923776"/>
      </c:barChart>
      <c:catAx>
        <c:axId val="449925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923776"/>
        <c:crosses val="autoZero"/>
        <c:auto val="1"/>
        <c:lblAlgn val="ctr"/>
        <c:lblOffset val="100"/>
        <c:noMultiLvlLbl val="0"/>
      </c:catAx>
      <c:valAx>
        <c:axId val="4499237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925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Sheet2!$E$3</c:f>
              <c:strCache>
                <c:ptCount val="1"/>
                <c:pt idx="0">
                  <c:v>Family/Affected Others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Sheet2!$D$4:$D$17</c:f>
              <c:strCache>
                <c:ptCount val="14"/>
                <c:pt idx="0">
                  <c:v>Pub EGMs </c:v>
                </c:pt>
                <c:pt idx="1">
                  <c:v>Club EGMs</c:v>
                </c:pt>
                <c:pt idx="2">
                  <c:v>Casino EGMs</c:v>
                </c:pt>
                <c:pt idx="3">
                  <c:v>Lotto</c:v>
                </c:pt>
                <c:pt idx="4">
                  <c:v>Casino Table Games</c:v>
                </c:pt>
                <c:pt idx="5">
                  <c:v>Track Betting</c:v>
                </c:pt>
                <c:pt idx="6">
                  <c:v>Sports Betting</c:v>
                </c:pt>
                <c:pt idx="7">
                  <c:v>Housie (Bingo)</c:v>
                </c:pt>
                <c:pt idx="8">
                  <c:v>Other Gambling in New Zealand</c:v>
                </c:pt>
                <c:pt idx="9">
                  <c:v>Instant Kiwi/Scratch cards</c:v>
                </c:pt>
                <c:pt idx="10">
                  <c:v>Overseas Gambling</c:v>
                </c:pt>
                <c:pt idx="11">
                  <c:v>Cards (Not at a Casino)</c:v>
                </c:pt>
                <c:pt idx="12">
                  <c:v>Electronic Table Games</c:v>
                </c:pt>
                <c:pt idx="13">
                  <c:v>Keno</c:v>
                </c:pt>
              </c:strCache>
            </c:strRef>
          </c:cat>
          <c:val>
            <c:numRef>
              <c:f>Sheet2!$E$4:$E$17</c:f>
              <c:numCache>
                <c:formatCode>General</c:formatCode>
                <c:ptCount val="14"/>
                <c:pt idx="0">
                  <c:v>62.8</c:v>
                </c:pt>
                <c:pt idx="1">
                  <c:v>20.5</c:v>
                </c:pt>
                <c:pt idx="2">
                  <c:v>15.2</c:v>
                </c:pt>
                <c:pt idx="3">
                  <c:v>13.1</c:v>
                </c:pt>
                <c:pt idx="4">
                  <c:v>9.9</c:v>
                </c:pt>
                <c:pt idx="5">
                  <c:v>11.6</c:v>
                </c:pt>
                <c:pt idx="6">
                  <c:v>6.6</c:v>
                </c:pt>
                <c:pt idx="7">
                  <c:v>6.6</c:v>
                </c:pt>
                <c:pt idx="8">
                  <c:v>3.9</c:v>
                </c:pt>
                <c:pt idx="9">
                  <c:v>3.7</c:v>
                </c:pt>
                <c:pt idx="10">
                  <c:v>2.8</c:v>
                </c:pt>
                <c:pt idx="11">
                  <c:v>2.2999999999999998</c:v>
                </c:pt>
                <c:pt idx="12">
                  <c:v>2.4</c:v>
                </c:pt>
                <c:pt idx="13">
                  <c:v>1</c:v>
                </c:pt>
              </c:numCache>
            </c:numRef>
          </c:val>
          <c:extLst>
            <c:ext xmlns:c16="http://schemas.microsoft.com/office/drawing/2014/chart" uri="{C3380CC4-5D6E-409C-BE32-E72D297353CC}">
              <c16:uniqueId val="{00000000-011C-491F-A22D-489B5AC695A3}"/>
            </c:ext>
          </c:extLst>
        </c:ser>
        <c:ser>
          <c:idx val="1"/>
          <c:order val="1"/>
          <c:tx>
            <c:strRef>
              <c:f>Sheet2!$F$3</c:f>
              <c:strCache>
                <c:ptCount val="1"/>
                <c:pt idx="0">
                  <c:v>Gamblers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Sheet2!$D$4:$D$17</c:f>
              <c:strCache>
                <c:ptCount val="14"/>
                <c:pt idx="0">
                  <c:v>Pub EGMs </c:v>
                </c:pt>
                <c:pt idx="1">
                  <c:v>Club EGMs</c:v>
                </c:pt>
                <c:pt idx="2">
                  <c:v>Casino EGMs</c:v>
                </c:pt>
                <c:pt idx="3">
                  <c:v>Lotto</c:v>
                </c:pt>
                <c:pt idx="4">
                  <c:v>Casino Table Games</c:v>
                </c:pt>
                <c:pt idx="5">
                  <c:v>Track Betting</c:v>
                </c:pt>
                <c:pt idx="6">
                  <c:v>Sports Betting</c:v>
                </c:pt>
                <c:pt idx="7">
                  <c:v>Housie (Bingo)</c:v>
                </c:pt>
                <c:pt idx="8">
                  <c:v>Other Gambling in New Zealand</c:v>
                </c:pt>
                <c:pt idx="9">
                  <c:v>Instant Kiwi/Scratch cards</c:v>
                </c:pt>
                <c:pt idx="10">
                  <c:v>Overseas Gambling</c:v>
                </c:pt>
                <c:pt idx="11">
                  <c:v>Cards (Not at a Casino)</c:v>
                </c:pt>
                <c:pt idx="12">
                  <c:v>Electronic Table Games</c:v>
                </c:pt>
                <c:pt idx="13">
                  <c:v>Keno</c:v>
                </c:pt>
              </c:strCache>
            </c:strRef>
          </c:cat>
          <c:val>
            <c:numRef>
              <c:f>Sheet2!$F$4:$F$17</c:f>
              <c:numCache>
                <c:formatCode>General</c:formatCode>
                <c:ptCount val="14"/>
                <c:pt idx="0">
                  <c:v>57.4</c:v>
                </c:pt>
                <c:pt idx="1">
                  <c:v>16.8</c:v>
                </c:pt>
                <c:pt idx="2">
                  <c:v>18.5</c:v>
                </c:pt>
                <c:pt idx="3">
                  <c:v>13.8</c:v>
                </c:pt>
                <c:pt idx="4">
                  <c:v>13.7</c:v>
                </c:pt>
                <c:pt idx="5">
                  <c:v>9.6999999999999993</c:v>
                </c:pt>
                <c:pt idx="6">
                  <c:v>8</c:v>
                </c:pt>
                <c:pt idx="7">
                  <c:v>3.2</c:v>
                </c:pt>
                <c:pt idx="8">
                  <c:v>5.4</c:v>
                </c:pt>
                <c:pt idx="9">
                  <c:v>5.0999999999999996</c:v>
                </c:pt>
                <c:pt idx="10">
                  <c:v>4.5999999999999996</c:v>
                </c:pt>
                <c:pt idx="11">
                  <c:v>4.2</c:v>
                </c:pt>
                <c:pt idx="12">
                  <c:v>3</c:v>
                </c:pt>
                <c:pt idx="13">
                  <c:v>1.2</c:v>
                </c:pt>
              </c:numCache>
            </c:numRef>
          </c:val>
          <c:extLst>
            <c:ext xmlns:c16="http://schemas.microsoft.com/office/drawing/2014/chart" uri="{C3380CC4-5D6E-409C-BE32-E72D297353CC}">
              <c16:uniqueId val="{00000001-011C-491F-A22D-489B5AC695A3}"/>
            </c:ext>
          </c:extLst>
        </c:ser>
        <c:dLbls>
          <c:dLblPos val="outEnd"/>
          <c:showLegendKey val="0"/>
          <c:showVal val="1"/>
          <c:showCatName val="0"/>
          <c:showSerName val="0"/>
          <c:showPercent val="0"/>
          <c:showBubbleSize val="0"/>
        </c:dLbls>
        <c:gapWidth val="100"/>
        <c:axId val="476217392"/>
        <c:axId val="476212144"/>
      </c:barChart>
      <c:catAx>
        <c:axId val="47621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76212144"/>
        <c:crosses val="autoZero"/>
        <c:auto val="1"/>
        <c:lblAlgn val="ctr"/>
        <c:lblOffset val="100"/>
        <c:noMultiLvlLbl val="0"/>
      </c:catAx>
      <c:valAx>
        <c:axId val="476212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7621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'[CLIC data 3.xlsx]Sheet8'!$N$4</c:f>
              <c:strCache>
                <c:ptCount val="1"/>
                <c:pt idx="0">
                  <c:v>Family/Affected Other</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'[CLIC data 3.xlsx]Sheet8'!$M$5:$M$24</c:f>
              <c:strCache>
                <c:ptCount val="20"/>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&gt;20</c:v>
                </c:pt>
              </c:strCache>
            </c:strRef>
          </c:cat>
          <c:val>
            <c:numRef>
              <c:f>'[CLIC data 3.xlsx]Sheet8'!$N$5:$N$24</c:f>
              <c:numCache>
                <c:formatCode>0.0%</c:formatCode>
                <c:ptCount val="20"/>
                <c:pt idx="0">
                  <c:v>0.37</c:v>
                </c:pt>
                <c:pt idx="1">
                  <c:v>0.13300000000000001</c:v>
                </c:pt>
                <c:pt idx="2">
                  <c:v>7.3999999999999996E-2</c:v>
                </c:pt>
                <c:pt idx="3">
                  <c:v>4.5999999999999999E-2</c:v>
                </c:pt>
                <c:pt idx="4">
                  <c:v>4.7E-2</c:v>
                </c:pt>
                <c:pt idx="5">
                  <c:v>4.2000000000000003E-2</c:v>
                </c:pt>
                <c:pt idx="6">
                  <c:v>0.04</c:v>
                </c:pt>
                <c:pt idx="7">
                  <c:v>0.03</c:v>
                </c:pt>
                <c:pt idx="8">
                  <c:v>2.4E-2</c:v>
                </c:pt>
                <c:pt idx="9">
                  <c:v>2.9000000000000001E-2</c:v>
                </c:pt>
                <c:pt idx="10">
                  <c:v>2.1999999999999999E-2</c:v>
                </c:pt>
                <c:pt idx="11">
                  <c:v>1.6E-2</c:v>
                </c:pt>
                <c:pt idx="12">
                  <c:v>1.4E-2</c:v>
                </c:pt>
                <c:pt idx="13">
                  <c:v>1.2999999999999999E-2</c:v>
                </c:pt>
                <c:pt idx="14">
                  <c:v>8.9999999999999993E-3</c:v>
                </c:pt>
                <c:pt idx="15">
                  <c:v>8.0000000000000002E-3</c:v>
                </c:pt>
                <c:pt idx="16">
                  <c:v>6.0000000000000001E-3</c:v>
                </c:pt>
                <c:pt idx="17">
                  <c:v>8.0000000000000002E-3</c:v>
                </c:pt>
                <c:pt idx="18">
                  <c:v>5.0000000000000001E-3</c:v>
                </c:pt>
                <c:pt idx="19">
                  <c:v>6.7000000000000004E-2</c:v>
                </c:pt>
              </c:numCache>
            </c:numRef>
          </c:val>
          <c:extLst>
            <c:ext xmlns:c16="http://schemas.microsoft.com/office/drawing/2014/chart" uri="{C3380CC4-5D6E-409C-BE32-E72D297353CC}">
              <c16:uniqueId val="{00000000-6664-4599-80C1-6000977A8C12}"/>
            </c:ext>
          </c:extLst>
        </c:ser>
        <c:ser>
          <c:idx val="1"/>
          <c:order val="1"/>
          <c:tx>
            <c:strRef>
              <c:f>'[CLIC data 3.xlsx]Sheet8'!$O$4</c:f>
              <c:strCache>
                <c:ptCount val="1"/>
                <c:pt idx="0">
                  <c:v>Gambler</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f>'[CLIC data 3.xlsx]Sheet8'!$M$5:$M$24</c:f>
              <c:strCache>
                <c:ptCount val="20"/>
                <c:pt idx="0">
                  <c:v>2</c:v>
                </c:pt>
                <c:pt idx="1">
                  <c:v>3</c:v>
                </c:pt>
                <c:pt idx="2">
                  <c:v>4</c:v>
                </c:pt>
                <c:pt idx="3">
                  <c:v>5</c:v>
                </c:pt>
                <c:pt idx="4">
                  <c:v>6</c:v>
                </c:pt>
                <c:pt idx="5">
                  <c:v>7</c:v>
                </c:pt>
                <c:pt idx="6">
                  <c:v>8</c:v>
                </c:pt>
                <c:pt idx="7">
                  <c:v>9</c:v>
                </c:pt>
                <c:pt idx="8">
                  <c:v>10</c:v>
                </c:pt>
                <c:pt idx="9">
                  <c:v>11</c:v>
                </c:pt>
                <c:pt idx="10">
                  <c:v>12</c:v>
                </c:pt>
                <c:pt idx="11">
                  <c:v>13</c:v>
                </c:pt>
                <c:pt idx="12">
                  <c:v>14</c:v>
                </c:pt>
                <c:pt idx="13">
                  <c:v>15</c:v>
                </c:pt>
                <c:pt idx="14">
                  <c:v>16</c:v>
                </c:pt>
                <c:pt idx="15">
                  <c:v>17</c:v>
                </c:pt>
                <c:pt idx="16">
                  <c:v>18</c:v>
                </c:pt>
                <c:pt idx="17">
                  <c:v>19</c:v>
                </c:pt>
                <c:pt idx="18">
                  <c:v>20</c:v>
                </c:pt>
                <c:pt idx="19">
                  <c:v>&gt;20</c:v>
                </c:pt>
              </c:strCache>
            </c:strRef>
          </c:cat>
          <c:val>
            <c:numRef>
              <c:f>'[CLIC data 3.xlsx]Sheet8'!$O$5:$O$24</c:f>
              <c:numCache>
                <c:formatCode>0.0%</c:formatCode>
                <c:ptCount val="20"/>
                <c:pt idx="0">
                  <c:v>0.17199999999999999</c:v>
                </c:pt>
                <c:pt idx="1">
                  <c:v>0.108</c:v>
                </c:pt>
                <c:pt idx="2">
                  <c:v>7.5999999999999998E-2</c:v>
                </c:pt>
                <c:pt idx="3">
                  <c:v>6.2E-2</c:v>
                </c:pt>
                <c:pt idx="4">
                  <c:v>6.4000000000000001E-2</c:v>
                </c:pt>
                <c:pt idx="5">
                  <c:v>5.8000000000000003E-2</c:v>
                </c:pt>
                <c:pt idx="6">
                  <c:v>5.2999999999999999E-2</c:v>
                </c:pt>
                <c:pt idx="7">
                  <c:v>4.5999999999999999E-2</c:v>
                </c:pt>
                <c:pt idx="8">
                  <c:v>4.1000000000000002E-2</c:v>
                </c:pt>
                <c:pt idx="9">
                  <c:v>3.5999999999999997E-2</c:v>
                </c:pt>
                <c:pt idx="10">
                  <c:v>2.7E-2</c:v>
                </c:pt>
                <c:pt idx="11">
                  <c:v>2.4E-2</c:v>
                </c:pt>
                <c:pt idx="12">
                  <c:v>2.1999999999999999E-2</c:v>
                </c:pt>
                <c:pt idx="13">
                  <c:v>1.7999999999999999E-2</c:v>
                </c:pt>
                <c:pt idx="14">
                  <c:v>1.6E-2</c:v>
                </c:pt>
                <c:pt idx="15">
                  <c:v>1.2999999999999999E-2</c:v>
                </c:pt>
                <c:pt idx="16">
                  <c:v>1.2E-2</c:v>
                </c:pt>
                <c:pt idx="17">
                  <c:v>1.2999999999999999E-2</c:v>
                </c:pt>
                <c:pt idx="18">
                  <c:v>8.9999999999999993E-3</c:v>
                </c:pt>
                <c:pt idx="19">
                  <c:v>0.13100000000000001</c:v>
                </c:pt>
              </c:numCache>
            </c:numRef>
          </c:val>
          <c:extLst>
            <c:ext xmlns:c16="http://schemas.microsoft.com/office/drawing/2014/chart" uri="{C3380CC4-5D6E-409C-BE32-E72D297353CC}">
              <c16:uniqueId val="{00000001-6664-4599-80C1-6000977A8C12}"/>
            </c:ext>
          </c:extLst>
        </c:ser>
        <c:dLbls>
          <c:showLegendKey val="0"/>
          <c:showVal val="0"/>
          <c:showCatName val="0"/>
          <c:showSerName val="0"/>
          <c:showPercent val="0"/>
          <c:showBubbleSize val="0"/>
        </c:dLbls>
        <c:gapWidth val="100"/>
        <c:overlap val="-24"/>
        <c:axId val="344433064"/>
        <c:axId val="344433392"/>
      </c:barChart>
      <c:catAx>
        <c:axId val="344433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44433392"/>
        <c:crosses val="autoZero"/>
        <c:auto val="1"/>
        <c:lblAlgn val="ctr"/>
        <c:lblOffset val="100"/>
        <c:noMultiLvlLbl val="0"/>
      </c:catAx>
      <c:valAx>
        <c:axId val="34443339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44433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Sheet4!$E$3</c:f>
              <c:strCache>
                <c:ptCount val="1"/>
                <c:pt idx="0">
                  <c:v>Family/Affected Other</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Sheet4!$D$4:$D$7</c:f>
              <c:strCache>
                <c:ptCount val="4"/>
                <c:pt idx="0">
                  <c:v>Brief</c:v>
                </c:pt>
                <c:pt idx="1">
                  <c:v>Full</c:v>
                </c:pt>
                <c:pt idx="2">
                  <c:v>Facilitation</c:v>
                </c:pt>
                <c:pt idx="3">
                  <c:v>Follow-up</c:v>
                </c:pt>
              </c:strCache>
            </c:strRef>
          </c:cat>
          <c:val>
            <c:numRef>
              <c:f>Sheet4!$E$4:$E$7</c:f>
              <c:numCache>
                <c:formatCode>General</c:formatCode>
                <c:ptCount val="4"/>
                <c:pt idx="0">
                  <c:v>34.700000000000003</c:v>
                </c:pt>
                <c:pt idx="1">
                  <c:v>49.1</c:v>
                </c:pt>
                <c:pt idx="2">
                  <c:v>8.1999999999999993</c:v>
                </c:pt>
                <c:pt idx="3">
                  <c:v>8</c:v>
                </c:pt>
              </c:numCache>
            </c:numRef>
          </c:val>
          <c:extLst>
            <c:ext xmlns:c16="http://schemas.microsoft.com/office/drawing/2014/chart" uri="{C3380CC4-5D6E-409C-BE32-E72D297353CC}">
              <c16:uniqueId val="{00000000-2191-42A0-B3B4-ACEFBB17CF4F}"/>
            </c:ext>
          </c:extLst>
        </c:ser>
        <c:ser>
          <c:idx val="1"/>
          <c:order val="1"/>
          <c:tx>
            <c:strRef>
              <c:f>Sheet4!$F$3</c:f>
              <c:strCache>
                <c:ptCount val="1"/>
                <c:pt idx="0">
                  <c:v>Gambler</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Sheet4!$D$4:$D$7</c:f>
              <c:strCache>
                <c:ptCount val="4"/>
                <c:pt idx="0">
                  <c:v>Brief</c:v>
                </c:pt>
                <c:pt idx="1">
                  <c:v>Full</c:v>
                </c:pt>
                <c:pt idx="2">
                  <c:v>Facilitation</c:v>
                </c:pt>
                <c:pt idx="3">
                  <c:v>Follow-up</c:v>
                </c:pt>
              </c:strCache>
            </c:strRef>
          </c:cat>
          <c:val>
            <c:numRef>
              <c:f>Sheet4!$F$4:$F$7</c:f>
              <c:numCache>
                <c:formatCode>General</c:formatCode>
                <c:ptCount val="4"/>
                <c:pt idx="0">
                  <c:v>9.6</c:v>
                </c:pt>
                <c:pt idx="1">
                  <c:v>74.099999999999994</c:v>
                </c:pt>
                <c:pt idx="2">
                  <c:v>6.7</c:v>
                </c:pt>
                <c:pt idx="3">
                  <c:v>9.6</c:v>
                </c:pt>
              </c:numCache>
            </c:numRef>
          </c:val>
          <c:extLst>
            <c:ext xmlns:c16="http://schemas.microsoft.com/office/drawing/2014/chart" uri="{C3380CC4-5D6E-409C-BE32-E72D297353CC}">
              <c16:uniqueId val="{00000001-2191-42A0-B3B4-ACEFBB17CF4F}"/>
            </c:ext>
          </c:extLst>
        </c:ser>
        <c:dLbls>
          <c:dLblPos val="outEnd"/>
          <c:showLegendKey val="0"/>
          <c:showVal val="1"/>
          <c:showCatName val="0"/>
          <c:showSerName val="0"/>
          <c:showPercent val="0"/>
          <c:showBubbleSize val="0"/>
        </c:dLbls>
        <c:gapWidth val="100"/>
        <c:overlap val="-24"/>
        <c:axId val="636879952"/>
        <c:axId val="636872080"/>
      </c:barChart>
      <c:catAx>
        <c:axId val="63687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36872080"/>
        <c:crosses val="autoZero"/>
        <c:auto val="1"/>
        <c:lblAlgn val="ctr"/>
        <c:lblOffset val="100"/>
        <c:noMultiLvlLbl val="0"/>
      </c:catAx>
      <c:valAx>
        <c:axId val="636872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3687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Sheet5!$E$3</c:f>
              <c:strCache>
                <c:ptCount val="1"/>
                <c:pt idx="0">
                  <c:v>Family/Affected Other</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Sheet5!$D$4:$D$7</c:f>
              <c:strCache>
                <c:ptCount val="4"/>
                <c:pt idx="0">
                  <c:v>Individual</c:v>
                </c:pt>
                <c:pt idx="1">
                  <c:v>Group</c:v>
                </c:pt>
                <c:pt idx="2">
                  <c:v>Couple</c:v>
                </c:pt>
                <c:pt idx="3">
                  <c:v>Family</c:v>
                </c:pt>
              </c:strCache>
            </c:strRef>
          </c:cat>
          <c:val>
            <c:numRef>
              <c:f>Sheet5!$E$4:$E$7</c:f>
              <c:numCache>
                <c:formatCode>General</c:formatCode>
                <c:ptCount val="4"/>
                <c:pt idx="0">
                  <c:v>82</c:v>
                </c:pt>
                <c:pt idx="1">
                  <c:v>13</c:v>
                </c:pt>
                <c:pt idx="2">
                  <c:v>2</c:v>
                </c:pt>
                <c:pt idx="3">
                  <c:v>2</c:v>
                </c:pt>
              </c:numCache>
            </c:numRef>
          </c:val>
          <c:extLst>
            <c:ext xmlns:c16="http://schemas.microsoft.com/office/drawing/2014/chart" uri="{C3380CC4-5D6E-409C-BE32-E72D297353CC}">
              <c16:uniqueId val="{00000000-ABAC-4E82-85AC-07115C6C364C}"/>
            </c:ext>
          </c:extLst>
        </c:ser>
        <c:ser>
          <c:idx val="1"/>
          <c:order val="1"/>
          <c:tx>
            <c:strRef>
              <c:f>Sheet5!$F$3</c:f>
              <c:strCache>
                <c:ptCount val="1"/>
                <c:pt idx="0">
                  <c:v>Gambler</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Sheet5!$D$4:$D$7</c:f>
              <c:strCache>
                <c:ptCount val="4"/>
                <c:pt idx="0">
                  <c:v>Individual</c:v>
                </c:pt>
                <c:pt idx="1">
                  <c:v>Group</c:v>
                </c:pt>
                <c:pt idx="2">
                  <c:v>Couple</c:v>
                </c:pt>
                <c:pt idx="3">
                  <c:v>Family</c:v>
                </c:pt>
              </c:strCache>
            </c:strRef>
          </c:cat>
          <c:val>
            <c:numRef>
              <c:f>Sheet5!$F$4:$F$7</c:f>
              <c:numCache>
                <c:formatCode>General</c:formatCode>
                <c:ptCount val="4"/>
                <c:pt idx="0">
                  <c:v>73</c:v>
                </c:pt>
                <c:pt idx="1">
                  <c:v>25</c:v>
                </c:pt>
                <c:pt idx="2">
                  <c:v>1</c:v>
                </c:pt>
                <c:pt idx="3">
                  <c:v>1</c:v>
                </c:pt>
              </c:numCache>
            </c:numRef>
          </c:val>
          <c:extLst>
            <c:ext xmlns:c16="http://schemas.microsoft.com/office/drawing/2014/chart" uri="{C3380CC4-5D6E-409C-BE32-E72D297353CC}">
              <c16:uniqueId val="{00000001-ABAC-4E82-85AC-07115C6C364C}"/>
            </c:ext>
          </c:extLst>
        </c:ser>
        <c:dLbls>
          <c:dLblPos val="outEnd"/>
          <c:showLegendKey val="0"/>
          <c:showVal val="1"/>
          <c:showCatName val="0"/>
          <c:showSerName val="0"/>
          <c:showPercent val="0"/>
          <c:showBubbleSize val="0"/>
        </c:dLbls>
        <c:gapWidth val="100"/>
        <c:overlap val="-24"/>
        <c:axId val="642904480"/>
        <c:axId val="642911040"/>
      </c:barChart>
      <c:catAx>
        <c:axId val="64290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42911040"/>
        <c:crosses val="autoZero"/>
        <c:auto val="1"/>
        <c:lblAlgn val="ctr"/>
        <c:lblOffset val="100"/>
        <c:noMultiLvlLbl val="0"/>
      </c:catAx>
      <c:valAx>
        <c:axId val="64291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64290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'[CLIC data 3.xlsx]Sheet6'!$E$3</c:f>
              <c:strCache>
                <c:ptCount val="1"/>
                <c:pt idx="0">
                  <c:v>Family/Affected Other</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'[CLIC data 3.xlsx]Sheet6'!$D$4:$D$21</c:f>
              <c:strCache>
                <c:ptCount val="18"/>
                <c:pt idx="0">
                  <c:v>Problem Gambling Foundation (PGF)</c:v>
                </c:pt>
                <c:pt idx="1">
                  <c:v>The Salvation Army (TSA)</c:v>
                </c:pt>
                <c:pt idx="2">
                  <c:v>Te Rangihaeata Oranga Trust (TRHOR)</c:v>
                </c:pt>
                <c:pt idx="3">
                  <c:v>Tupu</c:v>
                </c:pt>
                <c:pt idx="4">
                  <c:v>Nga Manga Puriri</c:v>
                </c:pt>
                <c:pt idx="5">
                  <c:v>Tu Te Ihi</c:v>
                </c:pt>
                <c:pt idx="6">
                  <c:v>Gambling Helpline</c:v>
                </c:pt>
                <c:pt idx="7">
                  <c:v>Te Kahui Hauora Trust</c:v>
                </c:pt>
                <c:pt idx="8">
                  <c:v>Te Piringa</c:v>
                </c:pt>
                <c:pt idx="9">
                  <c:v>Pasifika</c:v>
                </c:pt>
                <c:pt idx="10">
                  <c:v>Woodlands Trust</c:v>
                </c:pt>
                <c:pt idx="11">
                  <c:v>Te Kahui</c:v>
                </c:pt>
                <c:pt idx="12">
                  <c:v>Taeaomanino Trust</c:v>
                </c:pt>
                <c:pt idx="13">
                  <c:v>Nga Kete Matauranga Pounamu</c:v>
                </c:pt>
                <c:pt idx="14">
                  <c:v>Tantata Atumotu Trust (TAT)</c:v>
                </c:pt>
                <c:pt idx="15">
                  <c:v>Odyssey</c:v>
                </c:pt>
                <c:pt idx="16">
                  <c:v>Care NZ (1654) Ltd</c:v>
                </c:pt>
                <c:pt idx="17">
                  <c:v>Whakapai Hauora (Best Care)</c:v>
                </c:pt>
              </c:strCache>
            </c:strRef>
          </c:cat>
          <c:val>
            <c:numRef>
              <c:f>'[CLIC data 3.xlsx]Sheet6'!$E$4:$E$21</c:f>
              <c:numCache>
                <c:formatCode>General</c:formatCode>
                <c:ptCount val="18"/>
                <c:pt idx="0">
                  <c:v>32.5</c:v>
                </c:pt>
                <c:pt idx="1">
                  <c:v>26.1</c:v>
                </c:pt>
                <c:pt idx="2">
                  <c:v>9.3000000000000007</c:v>
                </c:pt>
                <c:pt idx="3">
                  <c:v>3.6</c:v>
                </c:pt>
                <c:pt idx="4">
                  <c:v>5.2</c:v>
                </c:pt>
                <c:pt idx="5">
                  <c:v>5.8</c:v>
                </c:pt>
                <c:pt idx="6">
                  <c:v>1.9</c:v>
                </c:pt>
                <c:pt idx="7">
                  <c:v>3.6</c:v>
                </c:pt>
                <c:pt idx="8">
                  <c:v>2.5</c:v>
                </c:pt>
                <c:pt idx="9">
                  <c:v>2.1</c:v>
                </c:pt>
                <c:pt idx="10">
                  <c:v>2</c:v>
                </c:pt>
                <c:pt idx="11">
                  <c:v>0.7</c:v>
                </c:pt>
                <c:pt idx="12">
                  <c:v>2.1</c:v>
                </c:pt>
                <c:pt idx="13">
                  <c:v>1</c:v>
                </c:pt>
                <c:pt idx="14">
                  <c:v>1.3</c:v>
                </c:pt>
                <c:pt idx="15">
                  <c:v>0</c:v>
                </c:pt>
                <c:pt idx="16">
                  <c:v>0</c:v>
                </c:pt>
                <c:pt idx="17">
                  <c:v>0</c:v>
                </c:pt>
              </c:numCache>
            </c:numRef>
          </c:val>
          <c:extLst>
            <c:ext xmlns:c16="http://schemas.microsoft.com/office/drawing/2014/chart" uri="{C3380CC4-5D6E-409C-BE32-E72D297353CC}">
              <c16:uniqueId val="{00000000-5B55-4BF6-8544-757F451177DA}"/>
            </c:ext>
          </c:extLst>
        </c:ser>
        <c:ser>
          <c:idx val="1"/>
          <c:order val="1"/>
          <c:tx>
            <c:strRef>
              <c:f>'[CLIC data 3.xlsx]Sheet6'!$F$3</c:f>
              <c:strCache>
                <c:ptCount val="1"/>
                <c:pt idx="0">
                  <c:v>Gambler</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'[CLIC data 3.xlsx]Sheet6'!$D$4:$D$21</c:f>
              <c:strCache>
                <c:ptCount val="18"/>
                <c:pt idx="0">
                  <c:v>Problem Gambling Foundation (PGF)</c:v>
                </c:pt>
                <c:pt idx="1">
                  <c:v>The Salvation Army (TSA)</c:v>
                </c:pt>
                <c:pt idx="2">
                  <c:v>Te Rangihaeata Oranga Trust (TRHOR)</c:v>
                </c:pt>
                <c:pt idx="3">
                  <c:v>Tupu</c:v>
                </c:pt>
                <c:pt idx="4">
                  <c:v>Nga Manga Puriri</c:v>
                </c:pt>
                <c:pt idx="5">
                  <c:v>Tu Te Ihi</c:v>
                </c:pt>
                <c:pt idx="6">
                  <c:v>Gambling Helpline</c:v>
                </c:pt>
                <c:pt idx="7">
                  <c:v>Te Kahui Hauora Trust</c:v>
                </c:pt>
                <c:pt idx="8">
                  <c:v>Te Piringa</c:v>
                </c:pt>
                <c:pt idx="9">
                  <c:v>Pasifika</c:v>
                </c:pt>
                <c:pt idx="10">
                  <c:v>Woodlands Trust</c:v>
                </c:pt>
                <c:pt idx="11">
                  <c:v>Te Kahui</c:v>
                </c:pt>
                <c:pt idx="12">
                  <c:v>Taeaomanino Trust</c:v>
                </c:pt>
                <c:pt idx="13">
                  <c:v>Nga Kete Matauranga Pounamu</c:v>
                </c:pt>
                <c:pt idx="14">
                  <c:v>Tantata Atumotu Trust (TAT)</c:v>
                </c:pt>
                <c:pt idx="15">
                  <c:v>Odyssey</c:v>
                </c:pt>
                <c:pt idx="16">
                  <c:v>Care NZ (1654) Ltd</c:v>
                </c:pt>
                <c:pt idx="17">
                  <c:v>Whakapai Hauora (Best Care)</c:v>
                </c:pt>
              </c:strCache>
            </c:strRef>
          </c:cat>
          <c:val>
            <c:numRef>
              <c:f>'[CLIC data 3.xlsx]Sheet6'!$F$4:$F$21</c:f>
              <c:numCache>
                <c:formatCode>General</c:formatCode>
                <c:ptCount val="18"/>
                <c:pt idx="0">
                  <c:v>43.2</c:v>
                </c:pt>
                <c:pt idx="1">
                  <c:v>18.399999999999999</c:v>
                </c:pt>
                <c:pt idx="2">
                  <c:v>5.4</c:v>
                </c:pt>
                <c:pt idx="3">
                  <c:v>6.7</c:v>
                </c:pt>
                <c:pt idx="4">
                  <c:v>4.5</c:v>
                </c:pt>
                <c:pt idx="5">
                  <c:v>2</c:v>
                </c:pt>
                <c:pt idx="6">
                  <c:v>5.0999999999999996</c:v>
                </c:pt>
                <c:pt idx="7">
                  <c:v>2.9</c:v>
                </c:pt>
                <c:pt idx="8">
                  <c:v>1.8</c:v>
                </c:pt>
                <c:pt idx="9">
                  <c:v>1.6</c:v>
                </c:pt>
                <c:pt idx="10">
                  <c:v>1.5</c:v>
                </c:pt>
                <c:pt idx="11">
                  <c:v>2</c:v>
                </c:pt>
                <c:pt idx="12">
                  <c:v>0.6</c:v>
                </c:pt>
                <c:pt idx="13">
                  <c:v>1.7</c:v>
                </c:pt>
                <c:pt idx="14">
                  <c:v>0.7</c:v>
                </c:pt>
                <c:pt idx="15">
                  <c:v>1.5</c:v>
                </c:pt>
                <c:pt idx="16">
                  <c:v>0.3</c:v>
                </c:pt>
                <c:pt idx="17">
                  <c:v>0.3</c:v>
                </c:pt>
              </c:numCache>
            </c:numRef>
          </c:val>
          <c:extLst>
            <c:ext xmlns:c16="http://schemas.microsoft.com/office/drawing/2014/chart" uri="{C3380CC4-5D6E-409C-BE32-E72D297353CC}">
              <c16:uniqueId val="{00000001-5B55-4BF6-8544-757F451177DA}"/>
            </c:ext>
          </c:extLst>
        </c:ser>
        <c:dLbls>
          <c:dLblPos val="outEnd"/>
          <c:showLegendKey val="0"/>
          <c:showVal val="1"/>
          <c:showCatName val="0"/>
          <c:showSerName val="0"/>
          <c:showPercent val="0"/>
          <c:showBubbleSize val="0"/>
        </c:dLbls>
        <c:gapWidth val="100"/>
        <c:axId val="854314960"/>
        <c:axId val="854313320"/>
      </c:barChart>
      <c:catAx>
        <c:axId val="854314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54313320"/>
        <c:crosses val="autoZero"/>
        <c:auto val="1"/>
        <c:lblAlgn val="ctr"/>
        <c:lblOffset val="100"/>
        <c:noMultiLvlLbl val="0"/>
      </c:catAx>
      <c:valAx>
        <c:axId val="854313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5431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'4approaches'!$U$4</c:f>
              <c:strCache>
                <c:ptCount val="1"/>
                <c:pt idx="0">
                  <c:v>Completely</c:v>
                </c:pt>
              </c:strCache>
            </c:strRef>
          </c:tx>
          <c:spPr>
            <a:solidFill>
              <a:schemeClr val="accent3">
                <a:lumMod val="50000"/>
              </a:schemeClr>
            </a:solidFill>
            <a:ln>
              <a:noFill/>
            </a:ln>
            <a:effectLst/>
          </c:spPr>
          <c:invertIfNegative val="0"/>
          <c:cat>
            <c:strRef>
              <c:f>'4approaches'!$V$3:$Y$3</c:f>
              <c:strCache>
                <c:ptCount val="4"/>
                <c:pt idx="0">
                  <c:v>Influence Gambler</c:v>
                </c:pt>
                <c:pt idx="1">
                  <c:v>Harm Reduction</c:v>
                </c:pt>
                <c:pt idx="2">
                  <c:v>Improve Relationship</c:v>
                </c:pt>
                <c:pt idx="3">
                  <c:v>Enhance Wellbeing</c:v>
                </c:pt>
              </c:strCache>
            </c:strRef>
          </c:cat>
          <c:val>
            <c:numRef>
              <c:f>'4approaches'!$V$4:$Y$4</c:f>
              <c:numCache>
                <c:formatCode>0.00</c:formatCode>
                <c:ptCount val="4"/>
                <c:pt idx="0">
                  <c:v>3.125</c:v>
                </c:pt>
                <c:pt idx="1">
                  <c:v>10.344827586206897</c:v>
                </c:pt>
                <c:pt idx="2">
                  <c:v>13.333333333333334</c:v>
                </c:pt>
                <c:pt idx="3">
                  <c:v>33.333333333333329</c:v>
                </c:pt>
              </c:numCache>
            </c:numRef>
          </c:val>
          <c:extLst>
            <c:ext xmlns:c16="http://schemas.microsoft.com/office/drawing/2014/chart" uri="{C3380CC4-5D6E-409C-BE32-E72D297353CC}">
              <c16:uniqueId val="{00000000-E183-4E1D-B530-825A8F5A869B}"/>
            </c:ext>
          </c:extLst>
        </c:ser>
        <c:ser>
          <c:idx val="1"/>
          <c:order val="1"/>
          <c:tx>
            <c:strRef>
              <c:f>'4approaches'!$U$5</c:f>
              <c:strCache>
                <c:ptCount val="1"/>
                <c:pt idx="0">
                  <c:v>9</c:v>
                </c:pt>
              </c:strCache>
            </c:strRef>
          </c:tx>
          <c:spPr>
            <a:solidFill>
              <a:schemeClr val="accent3">
                <a:lumMod val="75000"/>
              </a:schemeClr>
            </a:solidFill>
            <a:ln>
              <a:noFill/>
            </a:ln>
            <a:effectLst/>
          </c:spPr>
          <c:invertIfNegative val="0"/>
          <c:cat>
            <c:strRef>
              <c:f>'4approaches'!$V$3:$Y$3</c:f>
              <c:strCache>
                <c:ptCount val="4"/>
                <c:pt idx="0">
                  <c:v>Influence Gambler</c:v>
                </c:pt>
                <c:pt idx="1">
                  <c:v>Harm Reduction</c:v>
                </c:pt>
                <c:pt idx="2">
                  <c:v>Improve Relationship</c:v>
                </c:pt>
                <c:pt idx="3">
                  <c:v>Enhance Wellbeing</c:v>
                </c:pt>
              </c:strCache>
            </c:strRef>
          </c:cat>
          <c:val>
            <c:numRef>
              <c:f>'4approaches'!$V$5:$Y$5</c:f>
              <c:numCache>
                <c:formatCode>0.00</c:formatCode>
                <c:ptCount val="4"/>
                <c:pt idx="0" formatCode="General">
                  <c:v>6.25</c:v>
                </c:pt>
                <c:pt idx="1">
                  <c:v>24.137931034482758</c:v>
                </c:pt>
                <c:pt idx="2">
                  <c:v>13.333333333333334</c:v>
                </c:pt>
                <c:pt idx="3" formatCode="General">
                  <c:v>30</c:v>
                </c:pt>
              </c:numCache>
            </c:numRef>
          </c:val>
          <c:extLst>
            <c:ext xmlns:c16="http://schemas.microsoft.com/office/drawing/2014/chart" uri="{C3380CC4-5D6E-409C-BE32-E72D297353CC}">
              <c16:uniqueId val="{00000001-E183-4E1D-B530-825A8F5A869B}"/>
            </c:ext>
          </c:extLst>
        </c:ser>
        <c:ser>
          <c:idx val="2"/>
          <c:order val="2"/>
          <c:tx>
            <c:strRef>
              <c:f>'4approaches'!$U$6</c:f>
              <c:strCache>
                <c:ptCount val="1"/>
                <c:pt idx="0">
                  <c:v>8</c:v>
                </c:pt>
              </c:strCache>
            </c:strRef>
          </c:tx>
          <c:spPr>
            <a:solidFill>
              <a:schemeClr val="accent3"/>
            </a:solidFill>
            <a:ln>
              <a:noFill/>
            </a:ln>
            <a:effectLst/>
          </c:spPr>
          <c:invertIfNegative val="0"/>
          <c:cat>
            <c:strRef>
              <c:f>'4approaches'!$V$3:$Y$3</c:f>
              <c:strCache>
                <c:ptCount val="4"/>
                <c:pt idx="0">
                  <c:v>Influence Gambler</c:v>
                </c:pt>
                <c:pt idx="1">
                  <c:v>Harm Reduction</c:v>
                </c:pt>
                <c:pt idx="2">
                  <c:v>Improve Relationship</c:v>
                </c:pt>
                <c:pt idx="3">
                  <c:v>Enhance Wellbeing</c:v>
                </c:pt>
              </c:strCache>
            </c:strRef>
          </c:cat>
          <c:val>
            <c:numRef>
              <c:f>'4approaches'!$V$6:$Y$6</c:f>
              <c:numCache>
                <c:formatCode>0.00</c:formatCode>
                <c:ptCount val="4"/>
                <c:pt idx="0" formatCode="General">
                  <c:v>6.25</c:v>
                </c:pt>
                <c:pt idx="1">
                  <c:v>17.241379310344829</c:v>
                </c:pt>
                <c:pt idx="2" formatCode="General">
                  <c:v>20</c:v>
                </c:pt>
                <c:pt idx="3" formatCode="General">
                  <c:v>10</c:v>
                </c:pt>
              </c:numCache>
            </c:numRef>
          </c:val>
          <c:extLst>
            <c:ext xmlns:c16="http://schemas.microsoft.com/office/drawing/2014/chart" uri="{C3380CC4-5D6E-409C-BE32-E72D297353CC}">
              <c16:uniqueId val="{00000002-E183-4E1D-B530-825A8F5A869B}"/>
            </c:ext>
          </c:extLst>
        </c:ser>
        <c:ser>
          <c:idx val="3"/>
          <c:order val="3"/>
          <c:tx>
            <c:strRef>
              <c:f>'4approaches'!$U$7</c:f>
              <c:strCache>
                <c:ptCount val="1"/>
                <c:pt idx="0">
                  <c:v>7</c:v>
                </c:pt>
              </c:strCache>
            </c:strRef>
          </c:tx>
          <c:spPr>
            <a:solidFill>
              <a:schemeClr val="accent3">
                <a:lumMod val="60000"/>
                <a:lumOff val="40000"/>
              </a:schemeClr>
            </a:solidFill>
            <a:ln>
              <a:noFill/>
            </a:ln>
            <a:effectLst/>
          </c:spPr>
          <c:invertIfNegative val="0"/>
          <c:cat>
            <c:strRef>
              <c:f>'4approaches'!$V$3:$Y$3</c:f>
              <c:strCache>
                <c:ptCount val="4"/>
                <c:pt idx="0">
                  <c:v>Influence Gambler</c:v>
                </c:pt>
                <c:pt idx="1">
                  <c:v>Harm Reduction</c:v>
                </c:pt>
                <c:pt idx="2">
                  <c:v>Improve Relationship</c:v>
                </c:pt>
                <c:pt idx="3">
                  <c:v>Enhance Wellbeing</c:v>
                </c:pt>
              </c:strCache>
            </c:strRef>
          </c:cat>
          <c:val>
            <c:numRef>
              <c:f>'4approaches'!$V$7:$Y$7</c:f>
              <c:numCache>
                <c:formatCode>0.00</c:formatCode>
                <c:ptCount val="4"/>
                <c:pt idx="0" formatCode="General">
                  <c:v>12.5</c:v>
                </c:pt>
                <c:pt idx="1">
                  <c:v>10.344827586206897</c:v>
                </c:pt>
                <c:pt idx="2">
                  <c:v>16.666666666666664</c:v>
                </c:pt>
                <c:pt idx="3" formatCode="General">
                  <c:v>10</c:v>
                </c:pt>
              </c:numCache>
            </c:numRef>
          </c:val>
          <c:extLst>
            <c:ext xmlns:c16="http://schemas.microsoft.com/office/drawing/2014/chart" uri="{C3380CC4-5D6E-409C-BE32-E72D297353CC}">
              <c16:uniqueId val="{00000003-E183-4E1D-B530-825A8F5A869B}"/>
            </c:ext>
          </c:extLst>
        </c:ser>
        <c:ser>
          <c:idx val="4"/>
          <c:order val="4"/>
          <c:tx>
            <c:strRef>
              <c:f>'4approaches'!$U$8</c:f>
              <c:strCache>
                <c:ptCount val="1"/>
                <c:pt idx="0">
                  <c:v>6</c:v>
                </c:pt>
              </c:strCache>
            </c:strRef>
          </c:tx>
          <c:spPr>
            <a:solidFill>
              <a:schemeClr val="accent3">
                <a:lumMod val="40000"/>
                <a:lumOff val="60000"/>
              </a:schemeClr>
            </a:solidFill>
            <a:ln>
              <a:noFill/>
            </a:ln>
            <a:effectLst/>
          </c:spPr>
          <c:invertIfNegative val="0"/>
          <c:cat>
            <c:strRef>
              <c:f>'4approaches'!$V$3:$Y$3</c:f>
              <c:strCache>
                <c:ptCount val="4"/>
                <c:pt idx="0">
                  <c:v>Influence Gambler</c:v>
                </c:pt>
                <c:pt idx="1">
                  <c:v>Harm Reduction</c:v>
                </c:pt>
                <c:pt idx="2">
                  <c:v>Improve Relationship</c:v>
                </c:pt>
                <c:pt idx="3">
                  <c:v>Enhance Wellbeing</c:v>
                </c:pt>
              </c:strCache>
            </c:strRef>
          </c:cat>
          <c:val>
            <c:numRef>
              <c:f>'4approaches'!$V$8:$Y$8</c:f>
              <c:numCache>
                <c:formatCode>General</c:formatCode>
                <c:ptCount val="4"/>
                <c:pt idx="0" formatCode="0.00">
                  <c:v>3.125</c:v>
                </c:pt>
                <c:pt idx="1">
                  <c:v>0</c:v>
                </c:pt>
                <c:pt idx="2">
                  <c:v>10</c:v>
                </c:pt>
                <c:pt idx="3" formatCode="0.00">
                  <c:v>3.3333333333333335</c:v>
                </c:pt>
              </c:numCache>
            </c:numRef>
          </c:val>
          <c:extLst>
            <c:ext xmlns:c16="http://schemas.microsoft.com/office/drawing/2014/chart" uri="{C3380CC4-5D6E-409C-BE32-E72D297353CC}">
              <c16:uniqueId val="{00000004-E183-4E1D-B530-825A8F5A869B}"/>
            </c:ext>
          </c:extLst>
        </c:ser>
        <c:ser>
          <c:idx val="5"/>
          <c:order val="5"/>
          <c:tx>
            <c:strRef>
              <c:f>'4approaches'!$U$9</c:f>
              <c:strCache>
                <c:ptCount val="1"/>
                <c:pt idx="0">
                  <c:v>5</c:v>
                </c:pt>
              </c:strCache>
            </c:strRef>
          </c:tx>
          <c:spPr>
            <a:solidFill>
              <a:schemeClr val="bg1">
                <a:lumMod val="75000"/>
              </a:schemeClr>
            </a:solidFill>
            <a:ln>
              <a:noFill/>
            </a:ln>
            <a:effectLst/>
          </c:spPr>
          <c:invertIfNegative val="0"/>
          <c:cat>
            <c:strRef>
              <c:f>'4approaches'!$V$3:$Y$3</c:f>
              <c:strCache>
                <c:ptCount val="4"/>
                <c:pt idx="0">
                  <c:v>Influence Gambler</c:v>
                </c:pt>
                <c:pt idx="1">
                  <c:v>Harm Reduction</c:v>
                </c:pt>
                <c:pt idx="2">
                  <c:v>Improve Relationship</c:v>
                </c:pt>
                <c:pt idx="3">
                  <c:v>Enhance Wellbeing</c:v>
                </c:pt>
              </c:strCache>
            </c:strRef>
          </c:cat>
          <c:val>
            <c:numRef>
              <c:f>'4approaches'!$V$9:$Y$9</c:f>
              <c:numCache>
                <c:formatCode>0.00</c:formatCode>
                <c:ptCount val="4"/>
                <c:pt idx="0" formatCode="General">
                  <c:v>25</c:v>
                </c:pt>
                <c:pt idx="1">
                  <c:v>6.8965517241379306</c:v>
                </c:pt>
                <c:pt idx="2">
                  <c:v>13.333333333333334</c:v>
                </c:pt>
                <c:pt idx="3">
                  <c:v>6.666666666666667</c:v>
                </c:pt>
              </c:numCache>
            </c:numRef>
          </c:val>
          <c:extLst>
            <c:ext xmlns:c16="http://schemas.microsoft.com/office/drawing/2014/chart" uri="{C3380CC4-5D6E-409C-BE32-E72D297353CC}">
              <c16:uniqueId val="{00000005-E183-4E1D-B530-825A8F5A869B}"/>
            </c:ext>
          </c:extLst>
        </c:ser>
        <c:ser>
          <c:idx val="6"/>
          <c:order val="6"/>
          <c:tx>
            <c:strRef>
              <c:f>'4approaches'!$U$10</c:f>
              <c:strCache>
                <c:ptCount val="1"/>
                <c:pt idx="0">
                  <c:v>4</c:v>
                </c:pt>
              </c:strCache>
            </c:strRef>
          </c:tx>
          <c:spPr>
            <a:solidFill>
              <a:schemeClr val="accent6">
                <a:lumMod val="60000"/>
                <a:lumOff val="40000"/>
              </a:schemeClr>
            </a:solidFill>
            <a:ln>
              <a:noFill/>
            </a:ln>
            <a:effectLst/>
          </c:spPr>
          <c:invertIfNegative val="0"/>
          <c:cat>
            <c:strRef>
              <c:f>'4approaches'!$V$3:$Y$3</c:f>
              <c:strCache>
                <c:ptCount val="4"/>
                <c:pt idx="0">
                  <c:v>Influence Gambler</c:v>
                </c:pt>
                <c:pt idx="1">
                  <c:v>Harm Reduction</c:v>
                </c:pt>
                <c:pt idx="2">
                  <c:v>Improve Relationship</c:v>
                </c:pt>
                <c:pt idx="3">
                  <c:v>Enhance Wellbeing</c:v>
                </c:pt>
              </c:strCache>
            </c:strRef>
          </c:cat>
          <c:val>
            <c:numRef>
              <c:f>'4approaches'!$V$10:$Y$10</c:f>
              <c:numCache>
                <c:formatCode>0.00</c:formatCode>
                <c:ptCount val="4"/>
                <c:pt idx="0" formatCode="General">
                  <c:v>12.5</c:v>
                </c:pt>
                <c:pt idx="1">
                  <c:v>6.8965517241379306</c:v>
                </c:pt>
                <c:pt idx="2">
                  <c:v>6.666666666666667</c:v>
                </c:pt>
                <c:pt idx="3">
                  <c:v>6.666666666666667</c:v>
                </c:pt>
              </c:numCache>
            </c:numRef>
          </c:val>
          <c:extLst>
            <c:ext xmlns:c16="http://schemas.microsoft.com/office/drawing/2014/chart" uri="{C3380CC4-5D6E-409C-BE32-E72D297353CC}">
              <c16:uniqueId val="{00000006-E183-4E1D-B530-825A8F5A869B}"/>
            </c:ext>
          </c:extLst>
        </c:ser>
        <c:ser>
          <c:idx val="7"/>
          <c:order val="7"/>
          <c:tx>
            <c:strRef>
              <c:f>'4approaches'!$U$11</c:f>
              <c:strCache>
                <c:ptCount val="1"/>
                <c:pt idx="0">
                  <c:v>3</c:v>
                </c:pt>
              </c:strCache>
            </c:strRef>
          </c:tx>
          <c:spPr>
            <a:solidFill>
              <a:schemeClr val="accent6"/>
            </a:solidFill>
            <a:ln>
              <a:noFill/>
            </a:ln>
            <a:effectLst/>
          </c:spPr>
          <c:invertIfNegative val="0"/>
          <c:cat>
            <c:strRef>
              <c:f>'4approaches'!$V$3:$Y$3</c:f>
              <c:strCache>
                <c:ptCount val="4"/>
                <c:pt idx="0">
                  <c:v>Influence Gambler</c:v>
                </c:pt>
                <c:pt idx="1">
                  <c:v>Harm Reduction</c:v>
                </c:pt>
                <c:pt idx="2">
                  <c:v>Improve Relationship</c:v>
                </c:pt>
                <c:pt idx="3">
                  <c:v>Enhance Wellbeing</c:v>
                </c:pt>
              </c:strCache>
            </c:strRef>
          </c:cat>
          <c:val>
            <c:numRef>
              <c:f>'4approaches'!$V$11:$Y$11</c:f>
              <c:numCache>
                <c:formatCode>General</c:formatCode>
                <c:ptCount val="4"/>
                <c:pt idx="0" formatCode="0.00">
                  <c:v>9.375</c:v>
                </c:pt>
                <c:pt idx="1">
                  <c:v>0</c:v>
                </c:pt>
                <c:pt idx="2" formatCode="0.00">
                  <c:v>3.3333333333333335</c:v>
                </c:pt>
                <c:pt idx="3">
                  <c:v>0</c:v>
                </c:pt>
              </c:numCache>
            </c:numRef>
          </c:val>
          <c:extLst>
            <c:ext xmlns:c16="http://schemas.microsoft.com/office/drawing/2014/chart" uri="{C3380CC4-5D6E-409C-BE32-E72D297353CC}">
              <c16:uniqueId val="{00000007-E183-4E1D-B530-825A8F5A869B}"/>
            </c:ext>
          </c:extLst>
        </c:ser>
        <c:ser>
          <c:idx val="8"/>
          <c:order val="8"/>
          <c:tx>
            <c:strRef>
              <c:f>'4approaches'!$U$12</c:f>
              <c:strCache>
                <c:ptCount val="1"/>
                <c:pt idx="0">
                  <c:v>2</c:v>
                </c:pt>
              </c:strCache>
            </c:strRef>
          </c:tx>
          <c:spPr>
            <a:solidFill>
              <a:schemeClr val="accent6">
                <a:lumMod val="75000"/>
              </a:schemeClr>
            </a:solidFill>
            <a:ln>
              <a:noFill/>
            </a:ln>
            <a:effectLst/>
          </c:spPr>
          <c:invertIfNegative val="0"/>
          <c:cat>
            <c:strRef>
              <c:f>'4approaches'!$V$3:$Y$3</c:f>
              <c:strCache>
                <c:ptCount val="4"/>
                <c:pt idx="0">
                  <c:v>Influence Gambler</c:v>
                </c:pt>
                <c:pt idx="1">
                  <c:v>Harm Reduction</c:v>
                </c:pt>
                <c:pt idx="2">
                  <c:v>Improve Relationship</c:v>
                </c:pt>
                <c:pt idx="3">
                  <c:v>Enhance Wellbeing</c:v>
                </c:pt>
              </c:strCache>
            </c:strRef>
          </c:cat>
          <c:val>
            <c:numRef>
              <c:f>'4approaches'!$V$12:$Y$12</c:f>
              <c:numCache>
                <c:formatCode>0.00</c:formatCode>
                <c:ptCount val="4"/>
                <c:pt idx="0" formatCode="General">
                  <c:v>6.25</c:v>
                </c:pt>
                <c:pt idx="1">
                  <c:v>10.344827586206897</c:v>
                </c:pt>
                <c:pt idx="2" formatCode="General">
                  <c:v>0</c:v>
                </c:pt>
                <c:pt idx="3" formatCode="General">
                  <c:v>0</c:v>
                </c:pt>
              </c:numCache>
            </c:numRef>
          </c:val>
          <c:extLst>
            <c:ext xmlns:c16="http://schemas.microsoft.com/office/drawing/2014/chart" uri="{C3380CC4-5D6E-409C-BE32-E72D297353CC}">
              <c16:uniqueId val="{00000008-E183-4E1D-B530-825A8F5A869B}"/>
            </c:ext>
          </c:extLst>
        </c:ser>
        <c:ser>
          <c:idx val="9"/>
          <c:order val="9"/>
          <c:tx>
            <c:strRef>
              <c:f>'4approaches'!$U$13</c:f>
              <c:strCache>
                <c:ptCount val="1"/>
                <c:pt idx="0">
                  <c:v>1</c:v>
                </c:pt>
              </c:strCache>
            </c:strRef>
          </c:tx>
          <c:spPr>
            <a:solidFill>
              <a:schemeClr val="accent6">
                <a:lumMod val="50000"/>
              </a:schemeClr>
            </a:solidFill>
            <a:ln>
              <a:noFill/>
            </a:ln>
            <a:effectLst/>
          </c:spPr>
          <c:invertIfNegative val="0"/>
          <c:cat>
            <c:strRef>
              <c:f>'4approaches'!$V$3:$Y$3</c:f>
              <c:strCache>
                <c:ptCount val="4"/>
                <c:pt idx="0">
                  <c:v>Influence Gambler</c:v>
                </c:pt>
                <c:pt idx="1">
                  <c:v>Harm Reduction</c:v>
                </c:pt>
                <c:pt idx="2">
                  <c:v>Improve Relationship</c:v>
                </c:pt>
                <c:pt idx="3">
                  <c:v>Enhance Wellbeing</c:v>
                </c:pt>
              </c:strCache>
            </c:strRef>
          </c:cat>
          <c:val>
            <c:numRef>
              <c:f>'4approaches'!$V$13:$Y$13</c:f>
              <c:numCache>
                <c:formatCode>0.00</c:formatCode>
                <c:ptCount val="4"/>
                <c:pt idx="0">
                  <c:v>3.125</c:v>
                </c:pt>
                <c:pt idx="1">
                  <c:v>6.8965517241379306</c:v>
                </c:pt>
                <c:pt idx="2" formatCode="General">
                  <c:v>0</c:v>
                </c:pt>
                <c:pt idx="3" formatCode="General">
                  <c:v>0</c:v>
                </c:pt>
              </c:numCache>
            </c:numRef>
          </c:val>
          <c:extLst>
            <c:ext xmlns:c16="http://schemas.microsoft.com/office/drawing/2014/chart" uri="{C3380CC4-5D6E-409C-BE32-E72D297353CC}">
              <c16:uniqueId val="{00000009-E183-4E1D-B530-825A8F5A869B}"/>
            </c:ext>
          </c:extLst>
        </c:ser>
        <c:ser>
          <c:idx val="10"/>
          <c:order val="10"/>
          <c:tx>
            <c:strRef>
              <c:f>'4approaches'!$U$14</c:f>
              <c:strCache>
                <c:ptCount val="1"/>
                <c:pt idx="0">
                  <c:v>Not at all</c:v>
                </c:pt>
              </c:strCache>
            </c:strRef>
          </c:tx>
          <c:spPr>
            <a:solidFill>
              <a:schemeClr val="accent2">
                <a:lumMod val="50000"/>
              </a:schemeClr>
            </a:solidFill>
            <a:ln>
              <a:noFill/>
            </a:ln>
            <a:effectLst/>
          </c:spPr>
          <c:invertIfNegative val="0"/>
          <c:cat>
            <c:strRef>
              <c:f>'4approaches'!$V$3:$Y$3</c:f>
              <c:strCache>
                <c:ptCount val="4"/>
                <c:pt idx="0">
                  <c:v>Influence Gambler</c:v>
                </c:pt>
                <c:pt idx="1">
                  <c:v>Harm Reduction</c:v>
                </c:pt>
                <c:pt idx="2">
                  <c:v>Improve Relationship</c:v>
                </c:pt>
                <c:pt idx="3">
                  <c:v>Enhance Wellbeing</c:v>
                </c:pt>
              </c:strCache>
            </c:strRef>
          </c:cat>
          <c:val>
            <c:numRef>
              <c:f>'4approaches'!$V$14:$Y$14</c:f>
              <c:numCache>
                <c:formatCode>0.00</c:formatCode>
                <c:ptCount val="4"/>
                <c:pt idx="0" formatCode="General">
                  <c:v>12.5</c:v>
                </c:pt>
                <c:pt idx="1">
                  <c:v>6.8965517241379306</c:v>
                </c:pt>
                <c:pt idx="2">
                  <c:v>3.3333333333333335</c:v>
                </c:pt>
                <c:pt idx="3" formatCode="General">
                  <c:v>0</c:v>
                </c:pt>
              </c:numCache>
            </c:numRef>
          </c:val>
          <c:extLst>
            <c:ext xmlns:c16="http://schemas.microsoft.com/office/drawing/2014/chart" uri="{C3380CC4-5D6E-409C-BE32-E72D297353CC}">
              <c16:uniqueId val="{0000000A-E183-4E1D-B530-825A8F5A869B}"/>
            </c:ext>
          </c:extLst>
        </c:ser>
        <c:dLbls>
          <c:showLegendKey val="0"/>
          <c:showVal val="0"/>
          <c:showCatName val="0"/>
          <c:showSerName val="0"/>
          <c:showPercent val="0"/>
          <c:showBubbleSize val="0"/>
        </c:dLbls>
        <c:gapWidth val="150"/>
        <c:overlap val="100"/>
        <c:axId val="494018608"/>
        <c:axId val="494017296"/>
      </c:barChart>
      <c:catAx>
        <c:axId val="49401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017296"/>
        <c:crosses val="autoZero"/>
        <c:auto val="1"/>
        <c:lblAlgn val="ctr"/>
        <c:lblOffset val="100"/>
        <c:noMultiLvlLbl val="0"/>
      </c:catAx>
      <c:valAx>
        <c:axId val="49401729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01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26159230096237E-2"/>
          <c:y val="7.9860244571999001E-2"/>
          <c:w val="0.84396062992125986"/>
          <c:h val="0.60999039083179241"/>
        </c:manualLayout>
      </c:layout>
      <c:barChart>
        <c:barDir val="col"/>
        <c:grouping val="clustered"/>
        <c:varyColors val="0"/>
        <c:ser>
          <c:idx val="0"/>
          <c:order val="0"/>
          <c:spPr>
            <a:solidFill>
              <a:schemeClr val="accent5">
                <a:lumMod val="75000"/>
              </a:schemeClr>
            </a:solidFill>
            <a:ln>
              <a:noFill/>
            </a:ln>
            <a:effectLst/>
          </c:spPr>
          <c:invertIfNegative val="0"/>
          <c:cat>
            <c:strRef>
              <c:f>'4approaches'!$A$4:$A$10</c:f>
              <c:strCache>
                <c:ptCount val="7"/>
                <c:pt idx="0">
                  <c:v>Not reflective at all of current practice</c:v>
                </c:pt>
                <c:pt idx="1">
                  <c:v>Not reflective</c:v>
                </c:pt>
                <c:pt idx="2">
                  <c:v>Somewhat not reflective</c:v>
                </c:pt>
                <c:pt idx="3">
                  <c:v>Neutral</c:v>
                </c:pt>
                <c:pt idx="4">
                  <c:v>Somewhat reflective</c:v>
                </c:pt>
                <c:pt idx="5">
                  <c:v>Reflective</c:v>
                </c:pt>
                <c:pt idx="6">
                  <c:v>Highly reflective of current practice</c:v>
                </c:pt>
              </c:strCache>
            </c:strRef>
          </c:cat>
          <c:val>
            <c:numRef>
              <c:f>'4approaches'!$D$4:$D$10</c:f>
              <c:numCache>
                <c:formatCode>General</c:formatCode>
                <c:ptCount val="7"/>
                <c:pt idx="0">
                  <c:v>0</c:v>
                </c:pt>
                <c:pt idx="1">
                  <c:v>0</c:v>
                </c:pt>
                <c:pt idx="2" formatCode="0.00">
                  <c:v>11.428571428571429</c:v>
                </c:pt>
                <c:pt idx="3">
                  <c:v>20</c:v>
                </c:pt>
                <c:pt idx="4">
                  <c:v>40</c:v>
                </c:pt>
                <c:pt idx="5" formatCode="0.00">
                  <c:v>17.142857142857142</c:v>
                </c:pt>
                <c:pt idx="6" formatCode="0.00">
                  <c:v>11.428571428571429</c:v>
                </c:pt>
              </c:numCache>
            </c:numRef>
          </c:val>
          <c:extLst>
            <c:ext xmlns:c16="http://schemas.microsoft.com/office/drawing/2014/chart" uri="{C3380CC4-5D6E-409C-BE32-E72D297353CC}">
              <c16:uniqueId val="{00000000-6625-42C6-AF08-E6A7A5E05E05}"/>
            </c:ext>
          </c:extLst>
        </c:ser>
        <c:dLbls>
          <c:showLegendKey val="0"/>
          <c:showVal val="0"/>
          <c:showCatName val="0"/>
          <c:showSerName val="0"/>
          <c:showPercent val="0"/>
          <c:showBubbleSize val="0"/>
        </c:dLbls>
        <c:gapWidth val="219"/>
        <c:overlap val="-27"/>
        <c:axId val="333909312"/>
        <c:axId val="333909968"/>
      </c:barChart>
      <c:catAx>
        <c:axId val="33390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909968"/>
        <c:crosses val="autoZero"/>
        <c:auto val="1"/>
        <c:lblAlgn val="ctr"/>
        <c:lblOffset val="100"/>
        <c:noMultiLvlLbl val="0"/>
      </c:catAx>
      <c:valAx>
        <c:axId val="333909968"/>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909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D4E4F1-269F-47A5-B80D-1808BEF6BF8C}"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NZ"/>
        </a:p>
      </dgm:t>
    </dgm:pt>
    <dgm:pt modelId="{4953D0FB-F086-4501-A8B9-5B3708EB26DA}">
      <dgm:prSet phldrT="[Text]"/>
      <dgm:spPr/>
      <dgm:t>
        <a:bodyPr/>
        <a:lstStyle/>
        <a:p>
          <a:r>
            <a:rPr lang="en-US"/>
            <a:t>Literature review</a:t>
          </a:r>
        </a:p>
      </dgm:t>
    </dgm:pt>
    <dgm:pt modelId="{89533973-288F-42D3-ADB2-10AA183714BA}" type="parTrans" cxnId="{B7FA5965-8DA6-4E65-B63A-4D44F81FD407}">
      <dgm:prSet/>
      <dgm:spPr/>
      <dgm:t>
        <a:bodyPr/>
        <a:lstStyle/>
        <a:p>
          <a:endParaRPr lang="en-US"/>
        </a:p>
      </dgm:t>
    </dgm:pt>
    <dgm:pt modelId="{DDDBA8D2-EB4F-4161-88D3-AB5B9952AF09}" type="sibTrans" cxnId="{B7FA5965-8DA6-4E65-B63A-4D44F81FD407}">
      <dgm:prSet/>
      <dgm:spPr/>
      <dgm:t>
        <a:bodyPr/>
        <a:lstStyle/>
        <a:p>
          <a:endParaRPr lang="en-US"/>
        </a:p>
      </dgm:t>
    </dgm:pt>
    <dgm:pt modelId="{47704389-FA65-4371-A1C1-69A049EB912F}">
      <dgm:prSet phldrT="[Text]"/>
      <dgm:spPr/>
      <dgm:t>
        <a:bodyPr/>
        <a:lstStyle/>
        <a:p>
          <a:r>
            <a:rPr lang="en-US"/>
            <a:t>Round 1 questionnaire design</a:t>
          </a:r>
        </a:p>
      </dgm:t>
    </dgm:pt>
    <dgm:pt modelId="{3A9ED54A-0A38-4781-9B2A-7C652E1FB110}" type="parTrans" cxnId="{A6B771BF-DBEA-4CD1-A69F-4C2E885F95B5}">
      <dgm:prSet/>
      <dgm:spPr/>
      <dgm:t>
        <a:bodyPr/>
        <a:lstStyle/>
        <a:p>
          <a:endParaRPr lang="en-US"/>
        </a:p>
      </dgm:t>
    </dgm:pt>
    <dgm:pt modelId="{D2A85435-692B-4C27-89C1-686ADD599E9C}" type="sibTrans" cxnId="{A6B771BF-DBEA-4CD1-A69F-4C2E885F95B5}">
      <dgm:prSet/>
      <dgm:spPr/>
      <dgm:t>
        <a:bodyPr/>
        <a:lstStyle/>
        <a:p>
          <a:endParaRPr lang="en-US"/>
        </a:p>
      </dgm:t>
    </dgm:pt>
    <dgm:pt modelId="{BBC08572-D379-43BD-BA1A-94C7179A3852}">
      <dgm:prSet phldrT="[Text]"/>
      <dgm:spPr/>
      <dgm:t>
        <a:bodyPr/>
        <a:lstStyle/>
        <a:p>
          <a:r>
            <a:rPr lang="en-US"/>
            <a:t>Round 1: Online survey</a:t>
          </a:r>
        </a:p>
      </dgm:t>
    </dgm:pt>
    <dgm:pt modelId="{FA442BEB-982F-4E40-A67D-D9F13BC94EF5}" type="parTrans" cxnId="{45D192A6-B55E-4CFC-AB6C-7C795B29ACCE}">
      <dgm:prSet/>
      <dgm:spPr/>
      <dgm:t>
        <a:bodyPr/>
        <a:lstStyle/>
        <a:p>
          <a:endParaRPr lang="en-US"/>
        </a:p>
      </dgm:t>
    </dgm:pt>
    <dgm:pt modelId="{B501185C-46DF-4A16-A620-9E5242A00737}" type="sibTrans" cxnId="{45D192A6-B55E-4CFC-AB6C-7C795B29ACCE}">
      <dgm:prSet/>
      <dgm:spPr/>
      <dgm:t>
        <a:bodyPr/>
        <a:lstStyle/>
        <a:p>
          <a:endParaRPr lang="en-US"/>
        </a:p>
      </dgm:t>
    </dgm:pt>
    <dgm:pt modelId="{16263DEF-5345-4EB8-83E5-E3D4A989EB68}">
      <dgm:prSet/>
      <dgm:spPr/>
      <dgm:t>
        <a:bodyPr/>
        <a:lstStyle/>
        <a:p>
          <a:r>
            <a:rPr lang="en-US"/>
            <a:t>Data analysis</a:t>
          </a:r>
        </a:p>
      </dgm:t>
    </dgm:pt>
    <dgm:pt modelId="{98C6C282-A494-4E06-A12F-64647C307C5F}" type="parTrans" cxnId="{9D630D55-02B5-4DC9-9A48-1320D4ED76E3}">
      <dgm:prSet/>
      <dgm:spPr/>
      <dgm:t>
        <a:bodyPr/>
        <a:lstStyle/>
        <a:p>
          <a:endParaRPr lang="en-US"/>
        </a:p>
      </dgm:t>
    </dgm:pt>
    <dgm:pt modelId="{958EA1A3-7348-4DAD-B5CC-DEED4ACBBE1B}" type="sibTrans" cxnId="{9D630D55-02B5-4DC9-9A48-1320D4ED76E3}">
      <dgm:prSet/>
      <dgm:spPr/>
      <dgm:t>
        <a:bodyPr/>
        <a:lstStyle/>
        <a:p>
          <a:endParaRPr lang="en-US"/>
        </a:p>
      </dgm:t>
    </dgm:pt>
    <dgm:pt modelId="{A259BC3D-A523-4712-92CE-83ED14F95298}">
      <dgm:prSet/>
      <dgm:spPr/>
      <dgm:t>
        <a:bodyPr/>
        <a:lstStyle/>
        <a:p>
          <a:r>
            <a:rPr lang="en-US"/>
            <a:t>Results reported to panel</a:t>
          </a:r>
        </a:p>
      </dgm:t>
    </dgm:pt>
    <dgm:pt modelId="{1A02F3FA-60D1-4686-885F-8B11C0B61F5B}" type="parTrans" cxnId="{EB7938A8-2E34-4FD5-808E-0C3BFB8136C3}">
      <dgm:prSet/>
      <dgm:spPr/>
      <dgm:t>
        <a:bodyPr/>
        <a:lstStyle/>
        <a:p>
          <a:endParaRPr lang="en-US"/>
        </a:p>
      </dgm:t>
    </dgm:pt>
    <dgm:pt modelId="{FE97C382-70F8-4307-9CE5-3D091CCD3155}" type="sibTrans" cxnId="{EB7938A8-2E34-4FD5-808E-0C3BFB8136C3}">
      <dgm:prSet/>
      <dgm:spPr/>
      <dgm:t>
        <a:bodyPr/>
        <a:lstStyle/>
        <a:p>
          <a:endParaRPr lang="en-US"/>
        </a:p>
      </dgm:t>
    </dgm:pt>
    <dgm:pt modelId="{00AC3AC6-B7F8-4C7F-BE61-EB79A158E19E}">
      <dgm:prSet/>
      <dgm:spPr/>
      <dgm:t>
        <a:bodyPr/>
        <a:lstStyle/>
        <a:p>
          <a:r>
            <a:rPr lang="en-US"/>
            <a:t>Round 2: Survey</a:t>
          </a:r>
        </a:p>
      </dgm:t>
    </dgm:pt>
    <dgm:pt modelId="{37AFAB0D-57A4-4DC4-8B89-10F111A081D8}" type="parTrans" cxnId="{4D7C4646-0E3D-4F7D-AD84-F7FA97B5DF07}">
      <dgm:prSet/>
      <dgm:spPr/>
      <dgm:t>
        <a:bodyPr/>
        <a:lstStyle/>
        <a:p>
          <a:endParaRPr lang="en-US"/>
        </a:p>
      </dgm:t>
    </dgm:pt>
    <dgm:pt modelId="{056D0ACB-A5AF-40B3-B5D4-4BA44DE76AAE}" type="sibTrans" cxnId="{4D7C4646-0E3D-4F7D-AD84-F7FA97B5DF07}">
      <dgm:prSet/>
      <dgm:spPr/>
      <dgm:t>
        <a:bodyPr/>
        <a:lstStyle/>
        <a:p>
          <a:endParaRPr lang="en-US"/>
        </a:p>
      </dgm:t>
    </dgm:pt>
    <dgm:pt modelId="{D6A08165-0F35-40FF-9766-92797251DCC7}">
      <dgm:prSet/>
      <dgm:spPr/>
      <dgm:t>
        <a:bodyPr/>
        <a:lstStyle/>
        <a:p>
          <a:r>
            <a:rPr lang="en-US"/>
            <a:t>Data analysis</a:t>
          </a:r>
        </a:p>
      </dgm:t>
    </dgm:pt>
    <dgm:pt modelId="{CC69F9AF-0029-443E-923C-81C77904A9E0}" type="parTrans" cxnId="{523EEC2E-9314-458C-8B5F-83F6D89BC6F3}">
      <dgm:prSet/>
      <dgm:spPr/>
      <dgm:t>
        <a:bodyPr/>
        <a:lstStyle/>
        <a:p>
          <a:endParaRPr lang="en-US"/>
        </a:p>
      </dgm:t>
    </dgm:pt>
    <dgm:pt modelId="{0F487720-F2EE-4F6B-A61A-28AE71865E8E}" type="sibTrans" cxnId="{523EEC2E-9314-458C-8B5F-83F6D89BC6F3}">
      <dgm:prSet/>
      <dgm:spPr/>
      <dgm:t>
        <a:bodyPr/>
        <a:lstStyle/>
        <a:p>
          <a:endParaRPr lang="en-US"/>
        </a:p>
      </dgm:t>
    </dgm:pt>
    <dgm:pt modelId="{73D3B0D7-3692-4D12-BA92-C7B112A03208}">
      <dgm:prSet/>
      <dgm:spPr/>
      <dgm:t>
        <a:bodyPr/>
        <a:lstStyle/>
        <a:p>
          <a:r>
            <a:rPr lang="en-US"/>
            <a:t>Final report</a:t>
          </a:r>
        </a:p>
      </dgm:t>
    </dgm:pt>
    <dgm:pt modelId="{ED1A1FC6-B53D-4346-896D-C7F58EEE7EC8}" type="parTrans" cxnId="{98A2B3E5-CB05-4EE1-B6B8-13547190C557}">
      <dgm:prSet/>
      <dgm:spPr/>
      <dgm:t>
        <a:bodyPr/>
        <a:lstStyle/>
        <a:p>
          <a:endParaRPr lang="en-US"/>
        </a:p>
      </dgm:t>
    </dgm:pt>
    <dgm:pt modelId="{A2EC79CD-8489-45DA-A6A7-3F5038321294}" type="sibTrans" cxnId="{98A2B3E5-CB05-4EE1-B6B8-13547190C557}">
      <dgm:prSet/>
      <dgm:spPr/>
      <dgm:t>
        <a:bodyPr/>
        <a:lstStyle/>
        <a:p>
          <a:endParaRPr lang="en-US"/>
        </a:p>
      </dgm:t>
    </dgm:pt>
    <dgm:pt modelId="{A5726C1A-7230-44E4-A1B8-2D3DD1374996}">
      <dgm:prSet phldrT="[Text]"/>
      <dgm:spPr/>
      <dgm:t>
        <a:bodyPr/>
        <a:lstStyle/>
        <a:p>
          <a:r>
            <a:rPr lang="en-US"/>
            <a:t>Panel recruitment</a:t>
          </a:r>
        </a:p>
      </dgm:t>
    </dgm:pt>
    <dgm:pt modelId="{32BA4968-22EB-421F-AA0F-C53D408A6DB4}" type="parTrans" cxnId="{374D434B-AD72-452E-94E7-E19E90679E06}">
      <dgm:prSet/>
      <dgm:spPr/>
      <dgm:t>
        <a:bodyPr/>
        <a:lstStyle/>
        <a:p>
          <a:endParaRPr lang="en-NZ"/>
        </a:p>
      </dgm:t>
    </dgm:pt>
    <dgm:pt modelId="{31A2478B-718F-447F-B2F5-9E846B280894}" type="sibTrans" cxnId="{374D434B-AD72-452E-94E7-E19E90679E06}">
      <dgm:prSet/>
      <dgm:spPr/>
      <dgm:t>
        <a:bodyPr/>
        <a:lstStyle/>
        <a:p>
          <a:endParaRPr lang="en-NZ"/>
        </a:p>
      </dgm:t>
    </dgm:pt>
    <dgm:pt modelId="{4EBFC3D1-BE9D-497B-BC44-1BEE402D0C03}">
      <dgm:prSet/>
      <dgm:spPr/>
      <dgm:t>
        <a:bodyPr/>
        <a:lstStyle/>
        <a:p>
          <a:r>
            <a:rPr lang="en-US"/>
            <a:t>Round 2 questionnaire deisgn</a:t>
          </a:r>
        </a:p>
      </dgm:t>
    </dgm:pt>
    <dgm:pt modelId="{B143E6FA-8EBA-4AA9-BA4D-C678A45C5521}" type="parTrans" cxnId="{99AC7992-7971-4372-B075-28348470F576}">
      <dgm:prSet/>
      <dgm:spPr/>
      <dgm:t>
        <a:bodyPr/>
        <a:lstStyle/>
        <a:p>
          <a:endParaRPr lang="en-NZ"/>
        </a:p>
      </dgm:t>
    </dgm:pt>
    <dgm:pt modelId="{085DA470-4BBC-49BC-9CD8-3ECDF8C6B5FD}" type="sibTrans" cxnId="{99AC7992-7971-4372-B075-28348470F576}">
      <dgm:prSet/>
      <dgm:spPr/>
      <dgm:t>
        <a:bodyPr/>
        <a:lstStyle/>
        <a:p>
          <a:endParaRPr lang="en-NZ"/>
        </a:p>
      </dgm:t>
    </dgm:pt>
    <dgm:pt modelId="{4BF62CE7-F2A9-42E2-A0D6-9414EF2B715D}">
      <dgm:prSet/>
      <dgm:spPr/>
      <dgm:t>
        <a:bodyPr/>
        <a:lstStyle/>
        <a:p>
          <a:r>
            <a:rPr lang="en-US"/>
            <a:t>Results reported to panel</a:t>
          </a:r>
        </a:p>
      </dgm:t>
    </dgm:pt>
    <dgm:pt modelId="{52B6E780-1DB4-4A7C-B9A8-72248714AEDC}" type="parTrans" cxnId="{4777B074-B57A-4B4E-B839-492D61C00F30}">
      <dgm:prSet/>
      <dgm:spPr/>
      <dgm:t>
        <a:bodyPr/>
        <a:lstStyle/>
        <a:p>
          <a:endParaRPr lang="en-NZ"/>
        </a:p>
      </dgm:t>
    </dgm:pt>
    <dgm:pt modelId="{62E4F878-0476-4EBC-8897-D82E2C26B523}" type="sibTrans" cxnId="{4777B074-B57A-4B4E-B839-492D61C00F30}">
      <dgm:prSet/>
      <dgm:spPr/>
      <dgm:t>
        <a:bodyPr/>
        <a:lstStyle/>
        <a:p>
          <a:endParaRPr lang="en-NZ"/>
        </a:p>
      </dgm:t>
    </dgm:pt>
    <dgm:pt modelId="{AA30E0D4-7DF5-4F71-BE15-709EBEE432F6}" type="pres">
      <dgm:prSet presAssocID="{75D4E4F1-269F-47A5-B80D-1808BEF6BF8C}" presName="linearFlow" presStyleCnt="0">
        <dgm:presLayoutVars>
          <dgm:resizeHandles val="exact"/>
        </dgm:presLayoutVars>
      </dgm:prSet>
      <dgm:spPr/>
    </dgm:pt>
    <dgm:pt modelId="{B525BB44-6AD1-409B-809E-7EE87A1E8B42}" type="pres">
      <dgm:prSet presAssocID="{4953D0FB-F086-4501-A8B9-5B3708EB26DA}" presName="node" presStyleLbl="node1" presStyleIdx="0" presStyleCnt="11" custScaleX="221209">
        <dgm:presLayoutVars>
          <dgm:bulletEnabled val="1"/>
        </dgm:presLayoutVars>
      </dgm:prSet>
      <dgm:spPr/>
    </dgm:pt>
    <dgm:pt modelId="{34B781F7-0D5F-4115-9ED3-539B7DCC0D76}" type="pres">
      <dgm:prSet presAssocID="{DDDBA8D2-EB4F-4161-88D3-AB5B9952AF09}" presName="sibTrans" presStyleLbl="sibTrans2D1" presStyleIdx="0" presStyleCnt="10"/>
      <dgm:spPr/>
    </dgm:pt>
    <dgm:pt modelId="{C5383EB0-103F-477A-8B0D-BFA01C2BFB61}" type="pres">
      <dgm:prSet presAssocID="{DDDBA8D2-EB4F-4161-88D3-AB5B9952AF09}" presName="connectorText" presStyleLbl="sibTrans2D1" presStyleIdx="0" presStyleCnt="10"/>
      <dgm:spPr/>
    </dgm:pt>
    <dgm:pt modelId="{47E9C81D-41F0-4FA2-98D0-676FFD242CE9}" type="pres">
      <dgm:prSet presAssocID="{47704389-FA65-4371-A1C1-69A049EB912F}" presName="node" presStyleLbl="node1" presStyleIdx="1" presStyleCnt="11" custScaleX="221209" custLinFactX="-11456" custLinFactNeighborX="-100000" custLinFactNeighborY="37152">
        <dgm:presLayoutVars>
          <dgm:bulletEnabled val="1"/>
        </dgm:presLayoutVars>
      </dgm:prSet>
      <dgm:spPr/>
    </dgm:pt>
    <dgm:pt modelId="{7BDD61A6-78B3-4367-BE28-555A59C02E3E}" type="pres">
      <dgm:prSet presAssocID="{D2A85435-692B-4C27-89C1-686ADD599E9C}" presName="sibTrans" presStyleLbl="sibTrans2D1" presStyleIdx="1" presStyleCnt="10" custAng="2546500" custScaleX="426445" custScaleY="110596" custLinFactX="454494" custLinFactY="-85760" custLinFactNeighborX="500000" custLinFactNeighborY="-100000"/>
      <dgm:spPr/>
    </dgm:pt>
    <dgm:pt modelId="{23D785BC-C54C-4C80-8626-929935DA1A0D}" type="pres">
      <dgm:prSet presAssocID="{D2A85435-692B-4C27-89C1-686ADD599E9C}" presName="connectorText" presStyleLbl="sibTrans2D1" presStyleIdx="1" presStyleCnt="10"/>
      <dgm:spPr/>
    </dgm:pt>
    <dgm:pt modelId="{76A78596-0CA0-4861-A1F1-17460540182F}" type="pres">
      <dgm:prSet presAssocID="{A5726C1A-7230-44E4-A1B8-2D3DD1374996}" presName="node" presStyleLbl="node1" presStyleIdx="2" presStyleCnt="11" custScaleX="221209" custLinFactX="16564" custLinFactY="-104100" custLinFactNeighborX="100000" custLinFactNeighborY="-200000">
        <dgm:presLayoutVars>
          <dgm:bulletEnabled val="1"/>
        </dgm:presLayoutVars>
      </dgm:prSet>
      <dgm:spPr/>
    </dgm:pt>
    <dgm:pt modelId="{5AE1B95D-2179-46F1-ABB5-0CB7894F5A53}" type="pres">
      <dgm:prSet presAssocID="{31A2478B-718F-447F-B2F5-9E846B280894}" presName="sibTrans" presStyleLbl="sibTrans2D1" presStyleIdx="2" presStyleCnt="10" custAng="18143670" custScaleX="43410" custScaleY="309028" custLinFactNeighborX="-94445" custLinFactNeighborY="5270"/>
      <dgm:spPr/>
    </dgm:pt>
    <dgm:pt modelId="{35A27045-D29F-4AB5-A087-8857C4699FE6}" type="pres">
      <dgm:prSet presAssocID="{31A2478B-718F-447F-B2F5-9E846B280894}" presName="connectorText" presStyleLbl="sibTrans2D1" presStyleIdx="2" presStyleCnt="10"/>
      <dgm:spPr/>
    </dgm:pt>
    <dgm:pt modelId="{1EE49C9F-375E-4C50-A053-A2CD10BD4665}" type="pres">
      <dgm:prSet presAssocID="{BBC08572-D379-43BD-BA1A-94C7179A3852}" presName="node" presStyleLbl="node1" presStyleIdx="3" presStyleCnt="11" custScaleX="221209" custLinFactNeighborX="9510" custLinFactNeighborY="-62249">
        <dgm:presLayoutVars>
          <dgm:bulletEnabled val="1"/>
        </dgm:presLayoutVars>
      </dgm:prSet>
      <dgm:spPr/>
    </dgm:pt>
    <dgm:pt modelId="{74341B79-7686-4838-A572-16EC98983BD2}" type="pres">
      <dgm:prSet presAssocID="{B501185C-46DF-4A16-A620-9E5242A00737}" presName="sibTrans" presStyleLbl="sibTrans2D1" presStyleIdx="3" presStyleCnt="10" custAng="415595"/>
      <dgm:spPr/>
    </dgm:pt>
    <dgm:pt modelId="{BF0A0CE4-EA08-459B-8C66-299073B99521}" type="pres">
      <dgm:prSet presAssocID="{B501185C-46DF-4A16-A620-9E5242A00737}" presName="connectorText" presStyleLbl="sibTrans2D1" presStyleIdx="3" presStyleCnt="10"/>
      <dgm:spPr/>
    </dgm:pt>
    <dgm:pt modelId="{A3591549-7306-4EDE-9C32-AE4F6DC6830E}" type="pres">
      <dgm:prSet presAssocID="{16263DEF-5345-4EB8-83E5-E3D4A989EB68}" presName="node" presStyleLbl="node1" presStyleIdx="4" presStyleCnt="11" custScaleX="221209" custLinFactY="-11993" custLinFactNeighborX="13833" custLinFactNeighborY="-100000">
        <dgm:presLayoutVars>
          <dgm:bulletEnabled val="1"/>
        </dgm:presLayoutVars>
      </dgm:prSet>
      <dgm:spPr/>
    </dgm:pt>
    <dgm:pt modelId="{B45E83CD-493E-4ED8-B1C6-412564CB5657}" type="pres">
      <dgm:prSet presAssocID="{958EA1A3-7348-4DAD-B5CC-DEED4ACBBE1B}" presName="sibTrans" presStyleLbl="sibTrans2D1" presStyleIdx="4" presStyleCnt="10" custAng="5204240" custScaleX="53893" custScaleY="186625" custLinFactX="-136555" custLinFactNeighborX="-200000" custLinFactNeighborY="15371"/>
      <dgm:spPr/>
    </dgm:pt>
    <dgm:pt modelId="{6F5DF61E-8ADF-4F64-B804-2C33D4DA158E}" type="pres">
      <dgm:prSet presAssocID="{958EA1A3-7348-4DAD-B5CC-DEED4ACBBE1B}" presName="connectorText" presStyleLbl="sibTrans2D1" presStyleIdx="4" presStyleCnt="10"/>
      <dgm:spPr/>
    </dgm:pt>
    <dgm:pt modelId="{5C41E6D7-E273-4DD6-AE94-D36FC0016DA9}" type="pres">
      <dgm:prSet presAssocID="{A259BC3D-A523-4712-92CE-83ED14F95298}" presName="node" presStyleLbl="node1" presStyleIdx="5" presStyleCnt="11" custScaleX="221209" custLinFactX="36602" custLinFactNeighborX="100000" custLinFactNeighborY="-48416">
        <dgm:presLayoutVars>
          <dgm:bulletEnabled val="1"/>
        </dgm:presLayoutVars>
      </dgm:prSet>
      <dgm:spPr/>
    </dgm:pt>
    <dgm:pt modelId="{D3C582D8-18A4-4E50-BF44-A794E7120D9D}" type="pres">
      <dgm:prSet presAssocID="{FE97C382-70F8-4307-9CE5-3D091CCD3155}" presName="sibTrans" presStyleLbl="sibTrans2D1" presStyleIdx="5" presStyleCnt="10" custAng="17761804" custScaleX="45177" custScaleY="111086" custLinFactX="-41122" custLinFactNeighborX="-100000" custLinFactNeighborY="-7685"/>
      <dgm:spPr/>
    </dgm:pt>
    <dgm:pt modelId="{DB83F28F-FC06-4D3E-8D85-7E86E1B0D71A}" type="pres">
      <dgm:prSet presAssocID="{FE97C382-70F8-4307-9CE5-3D091CCD3155}" presName="connectorText" presStyleLbl="sibTrans2D1" presStyleIdx="5" presStyleCnt="10"/>
      <dgm:spPr/>
    </dgm:pt>
    <dgm:pt modelId="{1500698E-B5A0-4CFB-86BC-09323C047BB7}" type="pres">
      <dgm:prSet presAssocID="{00AC3AC6-B7F8-4C7F-BE61-EB79A158E19E}" presName="node" presStyleLbl="node1" presStyleIdx="6" presStyleCnt="11" custScaleX="221209" custLinFactY="43374" custLinFactNeighborX="865" custLinFactNeighborY="100000">
        <dgm:presLayoutVars>
          <dgm:bulletEnabled val="1"/>
        </dgm:presLayoutVars>
      </dgm:prSet>
      <dgm:spPr/>
    </dgm:pt>
    <dgm:pt modelId="{8163E190-47E8-4CB3-9E47-EB9B547B117D}" type="pres">
      <dgm:prSet presAssocID="{056D0ACB-A5AF-40B3-B5D4-4BA44DE76AAE}" presName="sibTrans" presStyleLbl="sibTrans2D1" presStyleIdx="6" presStyleCnt="10"/>
      <dgm:spPr/>
    </dgm:pt>
    <dgm:pt modelId="{ECB8C972-1A42-4EC9-9D48-1F833F9A1DA7}" type="pres">
      <dgm:prSet presAssocID="{056D0ACB-A5AF-40B3-B5D4-4BA44DE76AAE}" presName="connectorText" presStyleLbl="sibTrans2D1" presStyleIdx="6" presStyleCnt="10"/>
      <dgm:spPr/>
    </dgm:pt>
    <dgm:pt modelId="{12BD614D-A34A-4071-B6C2-26AD53331E7F}" type="pres">
      <dgm:prSet presAssocID="{D6A08165-0F35-40FF-9766-92797251DCC7}" presName="node" presStyleLbl="node1" presStyleIdx="7" presStyleCnt="11" custScaleX="221209" custLinFactY="43374" custLinFactNeighborY="100000">
        <dgm:presLayoutVars>
          <dgm:bulletEnabled val="1"/>
        </dgm:presLayoutVars>
      </dgm:prSet>
      <dgm:spPr/>
    </dgm:pt>
    <dgm:pt modelId="{CC2BA29E-4B48-4441-BDCA-1C82215D22E7}" type="pres">
      <dgm:prSet presAssocID="{0F487720-F2EE-4F6B-A61A-28AE71865E8E}" presName="sibTrans" presStyleLbl="sibTrans2D1" presStyleIdx="7" presStyleCnt="10"/>
      <dgm:spPr/>
    </dgm:pt>
    <dgm:pt modelId="{F7A09885-D78A-409F-BA10-01242D3FF81D}" type="pres">
      <dgm:prSet presAssocID="{0F487720-F2EE-4F6B-A61A-28AE71865E8E}" presName="connectorText" presStyleLbl="sibTrans2D1" presStyleIdx="7" presStyleCnt="10"/>
      <dgm:spPr/>
    </dgm:pt>
    <dgm:pt modelId="{7DE6FC55-A309-4F0E-B210-B96C7EF07A0F}" type="pres">
      <dgm:prSet presAssocID="{4BF62CE7-F2A9-42E2-A0D6-9414EF2B715D}" presName="node" presStyleLbl="node1" presStyleIdx="8" presStyleCnt="11" custScaleX="221209" custLinFactX="56210" custLinFactY="94184" custLinFactNeighborX="100000" custLinFactNeighborY="100000">
        <dgm:presLayoutVars>
          <dgm:bulletEnabled val="1"/>
        </dgm:presLayoutVars>
      </dgm:prSet>
      <dgm:spPr/>
    </dgm:pt>
    <dgm:pt modelId="{ACA2C91D-0BD7-484F-9401-634AA55AC5EE}" type="pres">
      <dgm:prSet presAssocID="{62E4F878-0476-4EBC-8897-D82E2C26B523}" presName="sibTrans" presStyleLbl="sibTrans2D1" presStyleIdx="8" presStyleCnt="10" custAng="5876016" custFlipVert="1" custScaleX="122842" custScaleY="230361" custLinFactX="-100000" custLinFactY="-100000" custLinFactNeighborX="-189730" custLinFactNeighborY="-120074"/>
      <dgm:spPr/>
    </dgm:pt>
    <dgm:pt modelId="{4BD4604A-4DA5-42F8-ABF9-BEC8D6975695}" type="pres">
      <dgm:prSet presAssocID="{62E4F878-0476-4EBC-8897-D82E2C26B523}" presName="connectorText" presStyleLbl="sibTrans2D1" presStyleIdx="8" presStyleCnt="10"/>
      <dgm:spPr/>
    </dgm:pt>
    <dgm:pt modelId="{CCB6B845-FD09-4A2E-A1C1-772BA89CF033}" type="pres">
      <dgm:prSet presAssocID="{73D3B0D7-3692-4D12-BA92-C7B112A03208}" presName="node" presStyleLbl="node1" presStyleIdx="9" presStyleCnt="11" custScaleX="221209" custLinFactY="74064" custLinFactNeighborX="2594" custLinFactNeighborY="100000">
        <dgm:presLayoutVars>
          <dgm:bulletEnabled val="1"/>
        </dgm:presLayoutVars>
      </dgm:prSet>
      <dgm:spPr/>
    </dgm:pt>
    <dgm:pt modelId="{F8B5B0B7-843F-43C5-8C12-765842E53A5F}" type="pres">
      <dgm:prSet presAssocID="{A2EC79CD-8489-45DA-A6A7-3F5038321294}" presName="sibTrans" presStyleLbl="sibTrans2D1" presStyleIdx="9" presStyleCnt="10" custAng="10563267" custScaleX="14884" custScaleY="190653" custLinFactY="-470063" custLinFactNeighborX="94996" custLinFactNeighborY="-500000"/>
      <dgm:spPr/>
    </dgm:pt>
    <dgm:pt modelId="{8EFDE217-F09F-4C30-BAEB-1E460B8322F9}" type="pres">
      <dgm:prSet presAssocID="{A2EC79CD-8489-45DA-A6A7-3F5038321294}" presName="connectorText" presStyleLbl="sibTrans2D1" presStyleIdx="9" presStyleCnt="10"/>
      <dgm:spPr/>
    </dgm:pt>
    <dgm:pt modelId="{3369EAEE-6419-47C3-961A-07F2EE64BB04}" type="pres">
      <dgm:prSet presAssocID="{4EBFC3D1-BE9D-497B-BC44-1BEE402D0C03}" presName="node" presStyleLbl="node1" presStyleIdx="10" presStyleCnt="11" custScaleX="221209" custLinFactX="-27715" custLinFactY="-600000" custLinFactNeighborX="-100000" custLinFactNeighborY="-669900">
        <dgm:presLayoutVars>
          <dgm:bulletEnabled val="1"/>
        </dgm:presLayoutVars>
      </dgm:prSet>
      <dgm:spPr/>
    </dgm:pt>
  </dgm:ptLst>
  <dgm:cxnLst>
    <dgm:cxn modelId="{EE29A708-673C-46E3-8EA2-AA5F84C02AFD}" type="presOf" srcId="{31A2478B-718F-447F-B2F5-9E846B280894}" destId="{35A27045-D29F-4AB5-A087-8857C4699FE6}" srcOrd="1" destOrd="0" presId="urn:microsoft.com/office/officeart/2005/8/layout/process2"/>
    <dgm:cxn modelId="{A0380009-A907-4533-8AF5-324A881E520B}" type="presOf" srcId="{75D4E4F1-269F-47A5-B80D-1808BEF6BF8C}" destId="{AA30E0D4-7DF5-4F71-BE15-709EBEE432F6}" srcOrd="0" destOrd="0" presId="urn:microsoft.com/office/officeart/2005/8/layout/process2"/>
    <dgm:cxn modelId="{1A98DC09-756A-41ED-BC5E-E91F38EF93CE}" type="presOf" srcId="{62E4F878-0476-4EBC-8897-D82E2C26B523}" destId="{4BD4604A-4DA5-42F8-ABF9-BEC8D6975695}" srcOrd="1" destOrd="0" presId="urn:microsoft.com/office/officeart/2005/8/layout/process2"/>
    <dgm:cxn modelId="{0140CB13-C81F-4672-A8E1-7C5C383D6EC0}" type="presOf" srcId="{A259BC3D-A523-4712-92CE-83ED14F95298}" destId="{5C41E6D7-E273-4DD6-AE94-D36FC0016DA9}" srcOrd="0" destOrd="0" presId="urn:microsoft.com/office/officeart/2005/8/layout/process2"/>
    <dgm:cxn modelId="{A6E0A718-CA87-44CE-89AC-B6A459137C68}" type="presOf" srcId="{4953D0FB-F086-4501-A8B9-5B3708EB26DA}" destId="{B525BB44-6AD1-409B-809E-7EE87A1E8B42}" srcOrd="0" destOrd="0" presId="urn:microsoft.com/office/officeart/2005/8/layout/process2"/>
    <dgm:cxn modelId="{59B50426-BE59-4D50-ADB5-96C091F6F549}" type="presOf" srcId="{FE97C382-70F8-4307-9CE5-3D091CCD3155}" destId="{DB83F28F-FC06-4D3E-8D85-7E86E1B0D71A}" srcOrd="1" destOrd="0" presId="urn:microsoft.com/office/officeart/2005/8/layout/process2"/>
    <dgm:cxn modelId="{523EEC2E-9314-458C-8B5F-83F6D89BC6F3}" srcId="{75D4E4F1-269F-47A5-B80D-1808BEF6BF8C}" destId="{D6A08165-0F35-40FF-9766-92797251DCC7}" srcOrd="7" destOrd="0" parTransId="{CC69F9AF-0029-443E-923C-81C77904A9E0}" sibTransId="{0F487720-F2EE-4F6B-A61A-28AE71865E8E}"/>
    <dgm:cxn modelId="{2B61BF39-C9F4-4D21-A47A-0D05B3BC0EDD}" type="presOf" srcId="{16263DEF-5345-4EB8-83E5-E3D4A989EB68}" destId="{A3591549-7306-4EDE-9C32-AE4F6DC6830E}" srcOrd="0" destOrd="0" presId="urn:microsoft.com/office/officeart/2005/8/layout/process2"/>
    <dgm:cxn modelId="{ABCBB161-C69D-48A9-81E9-F3FFB74EC98D}" type="presOf" srcId="{A5726C1A-7230-44E4-A1B8-2D3DD1374996}" destId="{76A78596-0CA0-4861-A1F1-17460540182F}" srcOrd="0" destOrd="0" presId="urn:microsoft.com/office/officeart/2005/8/layout/process2"/>
    <dgm:cxn modelId="{ABC58162-E55A-4CF1-A31A-CA2C996425DF}" type="presOf" srcId="{B501185C-46DF-4A16-A620-9E5242A00737}" destId="{74341B79-7686-4838-A572-16EC98983BD2}" srcOrd="0" destOrd="0" presId="urn:microsoft.com/office/officeart/2005/8/layout/process2"/>
    <dgm:cxn modelId="{4FA8D742-57BA-45E9-96CD-B357C62382BC}" type="presOf" srcId="{056D0ACB-A5AF-40B3-B5D4-4BA44DE76AAE}" destId="{8163E190-47E8-4CB3-9E47-EB9B547B117D}" srcOrd="0" destOrd="0" presId="urn:microsoft.com/office/officeart/2005/8/layout/process2"/>
    <dgm:cxn modelId="{E7440564-737D-4ACC-BAC3-B56AD25F1620}" type="presOf" srcId="{958EA1A3-7348-4DAD-B5CC-DEED4ACBBE1B}" destId="{B45E83CD-493E-4ED8-B1C6-412564CB5657}" srcOrd="0" destOrd="0" presId="urn:microsoft.com/office/officeart/2005/8/layout/process2"/>
    <dgm:cxn modelId="{B7FA5965-8DA6-4E65-B63A-4D44F81FD407}" srcId="{75D4E4F1-269F-47A5-B80D-1808BEF6BF8C}" destId="{4953D0FB-F086-4501-A8B9-5B3708EB26DA}" srcOrd="0" destOrd="0" parTransId="{89533973-288F-42D3-ADB2-10AA183714BA}" sibTransId="{DDDBA8D2-EB4F-4161-88D3-AB5B9952AF09}"/>
    <dgm:cxn modelId="{4D7C4646-0E3D-4F7D-AD84-F7FA97B5DF07}" srcId="{75D4E4F1-269F-47A5-B80D-1808BEF6BF8C}" destId="{00AC3AC6-B7F8-4C7F-BE61-EB79A158E19E}" srcOrd="6" destOrd="0" parTransId="{37AFAB0D-57A4-4DC4-8B89-10F111A081D8}" sibTransId="{056D0ACB-A5AF-40B3-B5D4-4BA44DE76AAE}"/>
    <dgm:cxn modelId="{E721146B-593B-4337-9445-F4067AE4560F}" type="presOf" srcId="{BBC08572-D379-43BD-BA1A-94C7179A3852}" destId="{1EE49C9F-375E-4C50-A053-A2CD10BD4665}" srcOrd="0" destOrd="0" presId="urn:microsoft.com/office/officeart/2005/8/layout/process2"/>
    <dgm:cxn modelId="{374D434B-AD72-452E-94E7-E19E90679E06}" srcId="{75D4E4F1-269F-47A5-B80D-1808BEF6BF8C}" destId="{A5726C1A-7230-44E4-A1B8-2D3DD1374996}" srcOrd="2" destOrd="0" parTransId="{32BA4968-22EB-421F-AA0F-C53D408A6DB4}" sibTransId="{31A2478B-718F-447F-B2F5-9E846B280894}"/>
    <dgm:cxn modelId="{BDCA276C-F731-4820-9FA7-683139EF16EC}" type="presOf" srcId="{0F487720-F2EE-4F6B-A61A-28AE71865E8E}" destId="{F7A09885-D78A-409F-BA10-01242D3FF81D}" srcOrd="1" destOrd="0" presId="urn:microsoft.com/office/officeart/2005/8/layout/process2"/>
    <dgm:cxn modelId="{798B6A4C-5B9E-42C6-B668-5A0727BDA98B}" type="presOf" srcId="{47704389-FA65-4371-A1C1-69A049EB912F}" destId="{47E9C81D-41F0-4FA2-98D0-676FFD242CE9}" srcOrd="0" destOrd="0" presId="urn:microsoft.com/office/officeart/2005/8/layout/process2"/>
    <dgm:cxn modelId="{3D199A52-8B2C-4948-85DE-D2B29E97133A}" type="presOf" srcId="{D2A85435-692B-4C27-89C1-686ADD599E9C}" destId="{7BDD61A6-78B3-4367-BE28-555A59C02E3E}" srcOrd="0" destOrd="0" presId="urn:microsoft.com/office/officeart/2005/8/layout/process2"/>
    <dgm:cxn modelId="{18AA3153-5A32-40E6-A5CE-E746582F4BAB}" type="presOf" srcId="{4EBFC3D1-BE9D-497B-BC44-1BEE402D0C03}" destId="{3369EAEE-6419-47C3-961A-07F2EE64BB04}" srcOrd="0" destOrd="0" presId="urn:microsoft.com/office/officeart/2005/8/layout/process2"/>
    <dgm:cxn modelId="{4777B074-B57A-4B4E-B839-492D61C00F30}" srcId="{75D4E4F1-269F-47A5-B80D-1808BEF6BF8C}" destId="{4BF62CE7-F2A9-42E2-A0D6-9414EF2B715D}" srcOrd="8" destOrd="0" parTransId="{52B6E780-1DB4-4A7C-B9A8-72248714AEDC}" sibTransId="{62E4F878-0476-4EBC-8897-D82E2C26B523}"/>
    <dgm:cxn modelId="{9D630D55-02B5-4DC9-9A48-1320D4ED76E3}" srcId="{75D4E4F1-269F-47A5-B80D-1808BEF6BF8C}" destId="{16263DEF-5345-4EB8-83E5-E3D4A989EB68}" srcOrd="4" destOrd="0" parTransId="{98C6C282-A494-4E06-A12F-64647C307C5F}" sibTransId="{958EA1A3-7348-4DAD-B5CC-DEED4ACBBE1B}"/>
    <dgm:cxn modelId="{AFBD6485-C7C4-4146-B149-773D3807AED5}" type="presOf" srcId="{DDDBA8D2-EB4F-4161-88D3-AB5B9952AF09}" destId="{C5383EB0-103F-477A-8B0D-BFA01C2BFB61}" srcOrd="1" destOrd="0" presId="urn:microsoft.com/office/officeart/2005/8/layout/process2"/>
    <dgm:cxn modelId="{328F548E-3123-4CB3-A7B1-645BECD04DB6}" type="presOf" srcId="{A2EC79CD-8489-45DA-A6A7-3F5038321294}" destId="{8EFDE217-F09F-4C30-BAEB-1E460B8322F9}" srcOrd="1" destOrd="0" presId="urn:microsoft.com/office/officeart/2005/8/layout/process2"/>
    <dgm:cxn modelId="{99AC7992-7971-4372-B075-28348470F576}" srcId="{75D4E4F1-269F-47A5-B80D-1808BEF6BF8C}" destId="{4EBFC3D1-BE9D-497B-BC44-1BEE402D0C03}" srcOrd="10" destOrd="0" parTransId="{B143E6FA-8EBA-4AA9-BA4D-C678A45C5521}" sibTransId="{085DA470-4BBC-49BC-9CD8-3ECDF8C6B5FD}"/>
    <dgm:cxn modelId="{175D6996-1594-4132-B913-8E1E4BD3E448}" type="presOf" srcId="{056D0ACB-A5AF-40B3-B5D4-4BA44DE76AAE}" destId="{ECB8C972-1A42-4EC9-9D48-1F833F9A1DA7}" srcOrd="1" destOrd="0" presId="urn:microsoft.com/office/officeart/2005/8/layout/process2"/>
    <dgm:cxn modelId="{A156DD9F-D224-4EE3-8BBA-FAD8B624E53F}" type="presOf" srcId="{0F487720-F2EE-4F6B-A61A-28AE71865E8E}" destId="{CC2BA29E-4B48-4441-BDCA-1C82215D22E7}" srcOrd="0" destOrd="0" presId="urn:microsoft.com/office/officeart/2005/8/layout/process2"/>
    <dgm:cxn modelId="{07E817A4-7842-4DEB-A771-20EBC42C7ABC}" type="presOf" srcId="{D6A08165-0F35-40FF-9766-92797251DCC7}" destId="{12BD614D-A34A-4071-B6C2-26AD53331E7F}" srcOrd="0" destOrd="0" presId="urn:microsoft.com/office/officeart/2005/8/layout/process2"/>
    <dgm:cxn modelId="{45D192A6-B55E-4CFC-AB6C-7C795B29ACCE}" srcId="{75D4E4F1-269F-47A5-B80D-1808BEF6BF8C}" destId="{BBC08572-D379-43BD-BA1A-94C7179A3852}" srcOrd="3" destOrd="0" parTransId="{FA442BEB-982F-4E40-A67D-D9F13BC94EF5}" sibTransId="{B501185C-46DF-4A16-A620-9E5242A00737}"/>
    <dgm:cxn modelId="{8C7781A7-8499-4AB5-8B40-BC899304389D}" type="presOf" srcId="{73D3B0D7-3692-4D12-BA92-C7B112A03208}" destId="{CCB6B845-FD09-4A2E-A1C1-772BA89CF033}" srcOrd="0" destOrd="0" presId="urn:microsoft.com/office/officeart/2005/8/layout/process2"/>
    <dgm:cxn modelId="{EB7938A8-2E34-4FD5-808E-0C3BFB8136C3}" srcId="{75D4E4F1-269F-47A5-B80D-1808BEF6BF8C}" destId="{A259BC3D-A523-4712-92CE-83ED14F95298}" srcOrd="5" destOrd="0" parTransId="{1A02F3FA-60D1-4686-885F-8B11C0B61F5B}" sibTransId="{FE97C382-70F8-4307-9CE5-3D091CCD3155}"/>
    <dgm:cxn modelId="{39D21AA9-40E8-4F3E-A67B-D120EEBD632A}" type="presOf" srcId="{B501185C-46DF-4A16-A620-9E5242A00737}" destId="{BF0A0CE4-EA08-459B-8C66-299073B99521}" srcOrd="1" destOrd="0" presId="urn:microsoft.com/office/officeart/2005/8/layout/process2"/>
    <dgm:cxn modelId="{38B714AF-15F4-44CE-AD95-DF2EB4D54E51}" type="presOf" srcId="{31A2478B-718F-447F-B2F5-9E846B280894}" destId="{5AE1B95D-2179-46F1-ABB5-0CB7894F5A53}" srcOrd="0" destOrd="0" presId="urn:microsoft.com/office/officeart/2005/8/layout/process2"/>
    <dgm:cxn modelId="{A6B771BF-DBEA-4CD1-A69F-4C2E885F95B5}" srcId="{75D4E4F1-269F-47A5-B80D-1808BEF6BF8C}" destId="{47704389-FA65-4371-A1C1-69A049EB912F}" srcOrd="1" destOrd="0" parTransId="{3A9ED54A-0A38-4781-9B2A-7C652E1FB110}" sibTransId="{D2A85435-692B-4C27-89C1-686ADD599E9C}"/>
    <dgm:cxn modelId="{418666C2-8377-496E-A053-AC2F549E85AE}" type="presOf" srcId="{A2EC79CD-8489-45DA-A6A7-3F5038321294}" destId="{F8B5B0B7-843F-43C5-8C12-765842E53A5F}" srcOrd="0" destOrd="0" presId="urn:microsoft.com/office/officeart/2005/8/layout/process2"/>
    <dgm:cxn modelId="{4C6DEEC3-BF50-4EDE-912F-4BD3119CB573}" type="presOf" srcId="{FE97C382-70F8-4307-9CE5-3D091CCD3155}" destId="{D3C582D8-18A4-4E50-BF44-A794E7120D9D}" srcOrd="0" destOrd="0" presId="urn:microsoft.com/office/officeart/2005/8/layout/process2"/>
    <dgm:cxn modelId="{FED16DD0-3C7D-4939-AFE9-918EF508AF51}" type="presOf" srcId="{D2A85435-692B-4C27-89C1-686ADD599E9C}" destId="{23D785BC-C54C-4C80-8626-929935DA1A0D}" srcOrd="1" destOrd="0" presId="urn:microsoft.com/office/officeart/2005/8/layout/process2"/>
    <dgm:cxn modelId="{DA511AD3-0485-4701-860F-7B6562CBF475}" type="presOf" srcId="{62E4F878-0476-4EBC-8897-D82E2C26B523}" destId="{ACA2C91D-0BD7-484F-9401-634AA55AC5EE}" srcOrd="0" destOrd="0" presId="urn:microsoft.com/office/officeart/2005/8/layout/process2"/>
    <dgm:cxn modelId="{00D981E0-CC92-48B8-97F2-762501B02652}" type="presOf" srcId="{4BF62CE7-F2A9-42E2-A0D6-9414EF2B715D}" destId="{7DE6FC55-A309-4F0E-B210-B96C7EF07A0F}" srcOrd="0" destOrd="0" presId="urn:microsoft.com/office/officeart/2005/8/layout/process2"/>
    <dgm:cxn modelId="{98A2B3E5-CB05-4EE1-B6B8-13547190C557}" srcId="{75D4E4F1-269F-47A5-B80D-1808BEF6BF8C}" destId="{73D3B0D7-3692-4D12-BA92-C7B112A03208}" srcOrd="9" destOrd="0" parTransId="{ED1A1FC6-B53D-4346-896D-C7F58EEE7EC8}" sibTransId="{A2EC79CD-8489-45DA-A6A7-3F5038321294}"/>
    <dgm:cxn modelId="{DD4405F7-2B70-496F-8D8F-72F6C8A1F0DF}" type="presOf" srcId="{958EA1A3-7348-4DAD-B5CC-DEED4ACBBE1B}" destId="{6F5DF61E-8ADF-4F64-B804-2C33D4DA158E}" srcOrd="1" destOrd="0" presId="urn:microsoft.com/office/officeart/2005/8/layout/process2"/>
    <dgm:cxn modelId="{0244D4F7-B5F2-47EC-B9FE-FD83749550B4}" type="presOf" srcId="{00AC3AC6-B7F8-4C7F-BE61-EB79A158E19E}" destId="{1500698E-B5A0-4CFB-86BC-09323C047BB7}" srcOrd="0" destOrd="0" presId="urn:microsoft.com/office/officeart/2005/8/layout/process2"/>
    <dgm:cxn modelId="{79D4C0F9-990B-4907-BF28-73893F5F19C7}" type="presOf" srcId="{DDDBA8D2-EB4F-4161-88D3-AB5B9952AF09}" destId="{34B781F7-0D5F-4115-9ED3-539B7DCC0D76}" srcOrd="0" destOrd="0" presId="urn:microsoft.com/office/officeart/2005/8/layout/process2"/>
    <dgm:cxn modelId="{3C9B74A7-F7F7-4EEE-989E-FB4B3FD01596}" type="presParOf" srcId="{AA30E0D4-7DF5-4F71-BE15-709EBEE432F6}" destId="{B525BB44-6AD1-409B-809E-7EE87A1E8B42}" srcOrd="0" destOrd="0" presId="urn:microsoft.com/office/officeart/2005/8/layout/process2"/>
    <dgm:cxn modelId="{6D9AFB1D-68EC-4677-A82D-A1C2128436D9}" type="presParOf" srcId="{AA30E0D4-7DF5-4F71-BE15-709EBEE432F6}" destId="{34B781F7-0D5F-4115-9ED3-539B7DCC0D76}" srcOrd="1" destOrd="0" presId="urn:microsoft.com/office/officeart/2005/8/layout/process2"/>
    <dgm:cxn modelId="{5FB79813-1C4D-4FA9-BADF-735BA7F68572}" type="presParOf" srcId="{34B781F7-0D5F-4115-9ED3-539B7DCC0D76}" destId="{C5383EB0-103F-477A-8B0D-BFA01C2BFB61}" srcOrd="0" destOrd="0" presId="urn:microsoft.com/office/officeart/2005/8/layout/process2"/>
    <dgm:cxn modelId="{2E30DA8D-04F6-4540-85E7-B782851B4AB6}" type="presParOf" srcId="{AA30E0D4-7DF5-4F71-BE15-709EBEE432F6}" destId="{47E9C81D-41F0-4FA2-98D0-676FFD242CE9}" srcOrd="2" destOrd="0" presId="urn:microsoft.com/office/officeart/2005/8/layout/process2"/>
    <dgm:cxn modelId="{3C85C7F2-2D9E-4844-8758-8B214507B105}" type="presParOf" srcId="{AA30E0D4-7DF5-4F71-BE15-709EBEE432F6}" destId="{7BDD61A6-78B3-4367-BE28-555A59C02E3E}" srcOrd="3" destOrd="0" presId="urn:microsoft.com/office/officeart/2005/8/layout/process2"/>
    <dgm:cxn modelId="{4376A143-1CAB-4D63-B48F-E77A2169DFD0}" type="presParOf" srcId="{7BDD61A6-78B3-4367-BE28-555A59C02E3E}" destId="{23D785BC-C54C-4C80-8626-929935DA1A0D}" srcOrd="0" destOrd="0" presId="urn:microsoft.com/office/officeart/2005/8/layout/process2"/>
    <dgm:cxn modelId="{F71A39E0-0AD1-4901-AA51-94F0CA078B3F}" type="presParOf" srcId="{AA30E0D4-7DF5-4F71-BE15-709EBEE432F6}" destId="{76A78596-0CA0-4861-A1F1-17460540182F}" srcOrd="4" destOrd="0" presId="urn:microsoft.com/office/officeart/2005/8/layout/process2"/>
    <dgm:cxn modelId="{E0C2241D-A24E-469B-95ED-3E6879FD0793}" type="presParOf" srcId="{AA30E0D4-7DF5-4F71-BE15-709EBEE432F6}" destId="{5AE1B95D-2179-46F1-ABB5-0CB7894F5A53}" srcOrd="5" destOrd="0" presId="urn:microsoft.com/office/officeart/2005/8/layout/process2"/>
    <dgm:cxn modelId="{624E1E59-6228-43EC-B62F-440B7EC7561A}" type="presParOf" srcId="{5AE1B95D-2179-46F1-ABB5-0CB7894F5A53}" destId="{35A27045-D29F-4AB5-A087-8857C4699FE6}" srcOrd="0" destOrd="0" presId="urn:microsoft.com/office/officeart/2005/8/layout/process2"/>
    <dgm:cxn modelId="{4D99477E-9722-454F-A499-6E222F7C9780}" type="presParOf" srcId="{AA30E0D4-7DF5-4F71-BE15-709EBEE432F6}" destId="{1EE49C9F-375E-4C50-A053-A2CD10BD4665}" srcOrd="6" destOrd="0" presId="urn:microsoft.com/office/officeart/2005/8/layout/process2"/>
    <dgm:cxn modelId="{053AAA55-F318-4B89-966A-16E8570F76DB}" type="presParOf" srcId="{AA30E0D4-7DF5-4F71-BE15-709EBEE432F6}" destId="{74341B79-7686-4838-A572-16EC98983BD2}" srcOrd="7" destOrd="0" presId="urn:microsoft.com/office/officeart/2005/8/layout/process2"/>
    <dgm:cxn modelId="{0134B9AE-5A52-4C90-AFB2-E1D12A55E53E}" type="presParOf" srcId="{74341B79-7686-4838-A572-16EC98983BD2}" destId="{BF0A0CE4-EA08-459B-8C66-299073B99521}" srcOrd="0" destOrd="0" presId="urn:microsoft.com/office/officeart/2005/8/layout/process2"/>
    <dgm:cxn modelId="{6FD4A0F4-EBEC-43BB-8BBC-D8D1483BC7E8}" type="presParOf" srcId="{AA30E0D4-7DF5-4F71-BE15-709EBEE432F6}" destId="{A3591549-7306-4EDE-9C32-AE4F6DC6830E}" srcOrd="8" destOrd="0" presId="urn:microsoft.com/office/officeart/2005/8/layout/process2"/>
    <dgm:cxn modelId="{4F49397D-F5F9-4C94-9E4B-1C9443C861F4}" type="presParOf" srcId="{AA30E0D4-7DF5-4F71-BE15-709EBEE432F6}" destId="{B45E83CD-493E-4ED8-B1C6-412564CB5657}" srcOrd="9" destOrd="0" presId="urn:microsoft.com/office/officeart/2005/8/layout/process2"/>
    <dgm:cxn modelId="{86F8A9B8-A160-476C-A48A-2BC17B8B0273}" type="presParOf" srcId="{B45E83CD-493E-4ED8-B1C6-412564CB5657}" destId="{6F5DF61E-8ADF-4F64-B804-2C33D4DA158E}" srcOrd="0" destOrd="0" presId="urn:microsoft.com/office/officeart/2005/8/layout/process2"/>
    <dgm:cxn modelId="{3984E1D7-899D-4E5C-881D-E3C2E9DDFB78}" type="presParOf" srcId="{AA30E0D4-7DF5-4F71-BE15-709EBEE432F6}" destId="{5C41E6D7-E273-4DD6-AE94-D36FC0016DA9}" srcOrd="10" destOrd="0" presId="urn:microsoft.com/office/officeart/2005/8/layout/process2"/>
    <dgm:cxn modelId="{09471299-FEA5-4393-9C11-E20E4DA4BDF1}" type="presParOf" srcId="{AA30E0D4-7DF5-4F71-BE15-709EBEE432F6}" destId="{D3C582D8-18A4-4E50-BF44-A794E7120D9D}" srcOrd="11" destOrd="0" presId="urn:microsoft.com/office/officeart/2005/8/layout/process2"/>
    <dgm:cxn modelId="{1943C71C-724D-4E4A-8701-DB4DC702209A}" type="presParOf" srcId="{D3C582D8-18A4-4E50-BF44-A794E7120D9D}" destId="{DB83F28F-FC06-4D3E-8D85-7E86E1B0D71A}" srcOrd="0" destOrd="0" presId="urn:microsoft.com/office/officeart/2005/8/layout/process2"/>
    <dgm:cxn modelId="{75B68F37-A2DF-4B8A-883E-AA6C7FC6D1B5}" type="presParOf" srcId="{AA30E0D4-7DF5-4F71-BE15-709EBEE432F6}" destId="{1500698E-B5A0-4CFB-86BC-09323C047BB7}" srcOrd="12" destOrd="0" presId="urn:microsoft.com/office/officeart/2005/8/layout/process2"/>
    <dgm:cxn modelId="{8711B18D-0827-4E4D-A6AE-3F5E39B540D2}" type="presParOf" srcId="{AA30E0D4-7DF5-4F71-BE15-709EBEE432F6}" destId="{8163E190-47E8-4CB3-9E47-EB9B547B117D}" srcOrd="13" destOrd="0" presId="urn:microsoft.com/office/officeart/2005/8/layout/process2"/>
    <dgm:cxn modelId="{9F65CF4A-F19A-44A7-A81C-8496BC8AF098}" type="presParOf" srcId="{8163E190-47E8-4CB3-9E47-EB9B547B117D}" destId="{ECB8C972-1A42-4EC9-9D48-1F833F9A1DA7}" srcOrd="0" destOrd="0" presId="urn:microsoft.com/office/officeart/2005/8/layout/process2"/>
    <dgm:cxn modelId="{8AB41B22-79FA-46F4-A6EA-A43816D5A31D}" type="presParOf" srcId="{AA30E0D4-7DF5-4F71-BE15-709EBEE432F6}" destId="{12BD614D-A34A-4071-B6C2-26AD53331E7F}" srcOrd="14" destOrd="0" presId="urn:microsoft.com/office/officeart/2005/8/layout/process2"/>
    <dgm:cxn modelId="{48AFFD73-9455-4D50-B42B-5E9633BB07F9}" type="presParOf" srcId="{AA30E0D4-7DF5-4F71-BE15-709EBEE432F6}" destId="{CC2BA29E-4B48-4441-BDCA-1C82215D22E7}" srcOrd="15" destOrd="0" presId="urn:microsoft.com/office/officeart/2005/8/layout/process2"/>
    <dgm:cxn modelId="{1B501DE5-DB9B-4C79-86C9-A00A7FA8AF1C}" type="presParOf" srcId="{CC2BA29E-4B48-4441-BDCA-1C82215D22E7}" destId="{F7A09885-D78A-409F-BA10-01242D3FF81D}" srcOrd="0" destOrd="0" presId="urn:microsoft.com/office/officeart/2005/8/layout/process2"/>
    <dgm:cxn modelId="{EB59B33D-669C-4BFF-AC3A-3E6D71E73144}" type="presParOf" srcId="{AA30E0D4-7DF5-4F71-BE15-709EBEE432F6}" destId="{7DE6FC55-A309-4F0E-B210-B96C7EF07A0F}" srcOrd="16" destOrd="0" presId="urn:microsoft.com/office/officeart/2005/8/layout/process2"/>
    <dgm:cxn modelId="{A2DA9571-8153-48B6-9B70-4BE5A3349103}" type="presParOf" srcId="{AA30E0D4-7DF5-4F71-BE15-709EBEE432F6}" destId="{ACA2C91D-0BD7-484F-9401-634AA55AC5EE}" srcOrd="17" destOrd="0" presId="urn:microsoft.com/office/officeart/2005/8/layout/process2"/>
    <dgm:cxn modelId="{E1B283B7-EF80-4997-9A1B-B3D2038D75ED}" type="presParOf" srcId="{ACA2C91D-0BD7-484F-9401-634AA55AC5EE}" destId="{4BD4604A-4DA5-42F8-ABF9-BEC8D6975695}" srcOrd="0" destOrd="0" presId="urn:microsoft.com/office/officeart/2005/8/layout/process2"/>
    <dgm:cxn modelId="{4668C4FC-7A45-4DCC-ADC1-B4C8D0A1B87E}" type="presParOf" srcId="{AA30E0D4-7DF5-4F71-BE15-709EBEE432F6}" destId="{CCB6B845-FD09-4A2E-A1C1-772BA89CF033}" srcOrd="18" destOrd="0" presId="urn:microsoft.com/office/officeart/2005/8/layout/process2"/>
    <dgm:cxn modelId="{1BE67421-D76F-42F0-8F39-4E07CE40D7E5}" type="presParOf" srcId="{AA30E0D4-7DF5-4F71-BE15-709EBEE432F6}" destId="{F8B5B0B7-843F-43C5-8C12-765842E53A5F}" srcOrd="19" destOrd="0" presId="urn:microsoft.com/office/officeart/2005/8/layout/process2"/>
    <dgm:cxn modelId="{02ACFD86-6F82-460E-8953-DCA937DC6133}" type="presParOf" srcId="{F8B5B0B7-843F-43C5-8C12-765842E53A5F}" destId="{8EFDE217-F09F-4C30-BAEB-1E460B8322F9}" srcOrd="0" destOrd="0" presId="urn:microsoft.com/office/officeart/2005/8/layout/process2"/>
    <dgm:cxn modelId="{E70C8D51-4AFC-41DB-A005-063DD5E3EF75}" type="presParOf" srcId="{AA30E0D4-7DF5-4F71-BE15-709EBEE432F6}" destId="{3369EAEE-6419-47C3-961A-07F2EE64BB04}" srcOrd="20"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D4E4F1-269F-47A5-B80D-1808BEF6BF8C}" type="doc">
      <dgm:prSet loTypeId="urn:microsoft.com/office/officeart/2005/8/layout/process2" loCatId="process" qsTypeId="urn:microsoft.com/office/officeart/2005/8/quickstyle/simple1" qsCatId="simple" csTypeId="urn:microsoft.com/office/officeart/2005/8/colors/accent1_2" csCatId="accent1" phldr="1"/>
      <dgm:spPr/>
    </dgm:pt>
    <dgm:pt modelId="{BBC08572-D379-43BD-BA1A-94C7179A3852}">
      <dgm:prSet phldrT="[Text]"/>
      <dgm:spPr/>
      <dgm:t>
        <a:bodyPr/>
        <a:lstStyle/>
        <a:p>
          <a:r>
            <a:rPr lang="en-US"/>
            <a:t>Round 1: Survey with optional interview</a:t>
          </a:r>
        </a:p>
      </dgm:t>
    </dgm:pt>
    <dgm:pt modelId="{FA442BEB-982F-4E40-A67D-D9F13BC94EF5}" type="parTrans" cxnId="{45D192A6-B55E-4CFC-AB6C-7C795B29ACCE}">
      <dgm:prSet/>
      <dgm:spPr/>
      <dgm:t>
        <a:bodyPr/>
        <a:lstStyle/>
        <a:p>
          <a:endParaRPr lang="en-US"/>
        </a:p>
      </dgm:t>
    </dgm:pt>
    <dgm:pt modelId="{B501185C-46DF-4A16-A620-9E5242A00737}" type="sibTrans" cxnId="{45D192A6-B55E-4CFC-AB6C-7C795B29ACCE}">
      <dgm:prSet/>
      <dgm:spPr/>
      <dgm:t>
        <a:bodyPr/>
        <a:lstStyle/>
        <a:p>
          <a:endParaRPr lang="en-US"/>
        </a:p>
      </dgm:t>
    </dgm:pt>
    <dgm:pt modelId="{16263DEF-5345-4EB8-83E5-E3D4A989EB68}">
      <dgm:prSet/>
      <dgm:spPr/>
      <dgm:t>
        <a:bodyPr/>
        <a:lstStyle/>
        <a:p>
          <a:r>
            <a:rPr lang="en-US"/>
            <a:t>Coding/analysis</a:t>
          </a:r>
        </a:p>
      </dgm:t>
    </dgm:pt>
    <dgm:pt modelId="{98C6C282-A494-4E06-A12F-64647C307C5F}" type="parTrans" cxnId="{9D630D55-02B5-4DC9-9A48-1320D4ED76E3}">
      <dgm:prSet/>
      <dgm:spPr/>
      <dgm:t>
        <a:bodyPr/>
        <a:lstStyle/>
        <a:p>
          <a:endParaRPr lang="en-US"/>
        </a:p>
      </dgm:t>
    </dgm:pt>
    <dgm:pt modelId="{958EA1A3-7348-4DAD-B5CC-DEED4ACBBE1B}" type="sibTrans" cxnId="{9D630D55-02B5-4DC9-9A48-1320D4ED76E3}">
      <dgm:prSet/>
      <dgm:spPr/>
      <dgm:t>
        <a:bodyPr/>
        <a:lstStyle/>
        <a:p>
          <a:endParaRPr lang="en-US"/>
        </a:p>
      </dgm:t>
    </dgm:pt>
    <dgm:pt modelId="{A259BC3D-A523-4712-92CE-83ED14F95298}">
      <dgm:prSet/>
      <dgm:spPr/>
      <dgm:t>
        <a:bodyPr/>
        <a:lstStyle/>
        <a:p>
          <a:r>
            <a:rPr lang="en-US"/>
            <a:t>Results reported to panel</a:t>
          </a:r>
        </a:p>
      </dgm:t>
    </dgm:pt>
    <dgm:pt modelId="{1A02F3FA-60D1-4686-885F-8B11C0B61F5B}" type="parTrans" cxnId="{EB7938A8-2E34-4FD5-808E-0C3BFB8136C3}">
      <dgm:prSet/>
      <dgm:spPr/>
      <dgm:t>
        <a:bodyPr/>
        <a:lstStyle/>
        <a:p>
          <a:endParaRPr lang="en-US"/>
        </a:p>
      </dgm:t>
    </dgm:pt>
    <dgm:pt modelId="{FE97C382-70F8-4307-9CE5-3D091CCD3155}" type="sibTrans" cxnId="{EB7938A8-2E34-4FD5-808E-0C3BFB8136C3}">
      <dgm:prSet/>
      <dgm:spPr/>
      <dgm:t>
        <a:bodyPr/>
        <a:lstStyle/>
        <a:p>
          <a:endParaRPr lang="en-US"/>
        </a:p>
      </dgm:t>
    </dgm:pt>
    <dgm:pt modelId="{00AC3AC6-B7F8-4C7F-BE61-EB79A158E19E}">
      <dgm:prSet/>
      <dgm:spPr/>
      <dgm:t>
        <a:bodyPr/>
        <a:lstStyle/>
        <a:p>
          <a:r>
            <a:rPr lang="en-US"/>
            <a:t>Round 2: Survey with interview by invitation</a:t>
          </a:r>
        </a:p>
      </dgm:t>
    </dgm:pt>
    <dgm:pt modelId="{37AFAB0D-57A4-4DC4-8B89-10F111A081D8}" type="parTrans" cxnId="{4D7C4646-0E3D-4F7D-AD84-F7FA97B5DF07}">
      <dgm:prSet/>
      <dgm:spPr/>
      <dgm:t>
        <a:bodyPr/>
        <a:lstStyle/>
        <a:p>
          <a:endParaRPr lang="en-US"/>
        </a:p>
      </dgm:t>
    </dgm:pt>
    <dgm:pt modelId="{056D0ACB-A5AF-40B3-B5D4-4BA44DE76AAE}" type="sibTrans" cxnId="{4D7C4646-0E3D-4F7D-AD84-F7FA97B5DF07}">
      <dgm:prSet/>
      <dgm:spPr/>
      <dgm:t>
        <a:bodyPr/>
        <a:lstStyle/>
        <a:p>
          <a:endParaRPr lang="en-US"/>
        </a:p>
      </dgm:t>
    </dgm:pt>
    <dgm:pt modelId="{D6A08165-0F35-40FF-9766-92797251DCC7}">
      <dgm:prSet/>
      <dgm:spPr/>
      <dgm:t>
        <a:bodyPr/>
        <a:lstStyle/>
        <a:p>
          <a:r>
            <a:rPr lang="en-US"/>
            <a:t>Coding/analysis</a:t>
          </a:r>
        </a:p>
      </dgm:t>
    </dgm:pt>
    <dgm:pt modelId="{CC69F9AF-0029-443E-923C-81C77904A9E0}" type="parTrans" cxnId="{523EEC2E-9314-458C-8B5F-83F6D89BC6F3}">
      <dgm:prSet/>
      <dgm:spPr/>
      <dgm:t>
        <a:bodyPr/>
        <a:lstStyle/>
        <a:p>
          <a:endParaRPr lang="en-US"/>
        </a:p>
      </dgm:t>
    </dgm:pt>
    <dgm:pt modelId="{0F487720-F2EE-4F6B-A61A-28AE71865E8E}" type="sibTrans" cxnId="{523EEC2E-9314-458C-8B5F-83F6D89BC6F3}">
      <dgm:prSet/>
      <dgm:spPr/>
      <dgm:t>
        <a:bodyPr/>
        <a:lstStyle/>
        <a:p>
          <a:endParaRPr lang="en-US"/>
        </a:p>
      </dgm:t>
    </dgm:pt>
    <dgm:pt modelId="{73D3B0D7-3692-4D12-BA92-C7B112A03208}">
      <dgm:prSet/>
      <dgm:spPr/>
      <dgm:t>
        <a:bodyPr/>
        <a:lstStyle/>
        <a:p>
          <a:r>
            <a:rPr lang="en-US"/>
            <a:t>Results reported to panel</a:t>
          </a:r>
        </a:p>
      </dgm:t>
    </dgm:pt>
    <dgm:pt modelId="{ED1A1FC6-B53D-4346-896D-C7F58EEE7EC8}" type="parTrans" cxnId="{98A2B3E5-CB05-4EE1-B6B8-13547190C557}">
      <dgm:prSet/>
      <dgm:spPr/>
      <dgm:t>
        <a:bodyPr/>
        <a:lstStyle/>
        <a:p>
          <a:endParaRPr lang="en-US"/>
        </a:p>
      </dgm:t>
    </dgm:pt>
    <dgm:pt modelId="{A2EC79CD-8489-45DA-A6A7-3F5038321294}" type="sibTrans" cxnId="{98A2B3E5-CB05-4EE1-B6B8-13547190C557}">
      <dgm:prSet/>
      <dgm:spPr/>
      <dgm:t>
        <a:bodyPr/>
        <a:lstStyle/>
        <a:p>
          <a:endParaRPr lang="en-US"/>
        </a:p>
      </dgm:t>
    </dgm:pt>
    <dgm:pt modelId="{4953D0FB-F086-4501-A8B9-5B3708EB26DA}">
      <dgm:prSet phldrT="[Text]"/>
      <dgm:spPr/>
      <dgm:t>
        <a:bodyPr/>
        <a:lstStyle/>
        <a:p>
          <a:r>
            <a:rPr lang="en-US"/>
            <a:t>Expert panel recruited</a:t>
          </a:r>
        </a:p>
      </dgm:t>
    </dgm:pt>
    <dgm:pt modelId="{DDDBA8D2-EB4F-4161-88D3-AB5B9952AF09}" type="sibTrans" cxnId="{B7FA5965-8DA6-4E65-B63A-4D44F81FD407}">
      <dgm:prSet/>
      <dgm:spPr/>
      <dgm:t>
        <a:bodyPr/>
        <a:lstStyle/>
        <a:p>
          <a:endParaRPr lang="en-US"/>
        </a:p>
      </dgm:t>
    </dgm:pt>
    <dgm:pt modelId="{89533973-288F-42D3-ADB2-10AA183714BA}" type="parTrans" cxnId="{B7FA5965-8DA6-4E65-B63A-4D44F81FD407}">
      <dgm:prSet/>
      <dgm:spPr/>
      <dgm:t>
        <a:bodyPr/>
        <a:lstStyle/>
        <a:p>
          <a:endParaRPr lang="en-US"/>
        </a:p>
      </dgm:t>
    </dgm:pt>
    <dgm:pt modelId="{AA30E0D4-7DF5-4F71-BE15-709EBEE432F6}" type="pres">
      <dgm:prSet presAssocID="{75D4E4F1-269F-47A5-B80D-1808BEF6BF8C}" presName="linearFlow" presStyleCnt="0">
        <dgm:presLayoutVars>
          <dgm:resizeHandles val="exact"/>
        </dgm:presLayoutVars>
      </dgm:prSet>
      <dgm:spPr/>
    </dgm:pt>
    <dgm:pt modelId="{B525BB44-6AD1-409B-809E-7EE87A1E8B42}" type="pres">
      <dgm:prSet presAssocID="{4953D0FB-F086-4501-A8B9-5B3708EB26DA}" presName="node" presStyleLbl="node1" presStyleIdx="0" presStyleCnt="7" custScaleX="221209">
        <dgm:presLayoutVars>
          <dgm:bulletEnabled val="1"/>
        </dgm:presLayoutVars>
      </dgm:prSet>
      <dgm:spPr/>
    </dgm:pt>
    <dgm:pt modelId="{34B781F7-0D5F-4115-9ED3-539B7DCC0D76}" type="pres">
      <dgm:prSet presAssocID="{DDDBA8D2-EB4F-4161-88D3-AB5B9952AF09}" presName="sibTrans" presStyleLbl="sibTrans2D1" presStyleIdx="0" presStyleCnt="6"/>
      <dgm:spPr/>
    </dgm:pt>
    <dgm:pt modelId="{C5383EB0-103F-477A-8B0D-BFA01C2BFB61}" type="pres">
      <dgm:prSet presAssocID="{DDDBA8D2-EB4F-4161-88D3-AB5B9952AF09}" presName="connectorText" presStyleLbl="sibTrans2D1" presStyleIdx="0" presStyleCnt="6"/>
      <dgm:spPr/>
    </dgm:pt>
    <dgm:pt modelId="{1EE49C9F-375E-4C50-A053-A2CD10BD4665}" type="pres">
      <dgm:prSet presAssocID="{BBC08572-D379-43BD-BA1A-94C7179A3852}" presName="node" presStyleLbl="node1" presStyleIdx="1" presStyleCnt="7" custScaleX="221209">
        <dgm:presLayoutVars>
          <dgm:bulletEnabled val="1"/>
        </dgm:presLayoutVars>
      </dgm:prSet>
      <dgm:spPr/>
    </dgm:pt>
    <dgm:pt modelId="{74341B79-7686-4838-A572-16EC98983BD2}" type="pres">
      <dgm:prSet presAssocID="{B501185C-46DF-4A16-A620-9E5242A00737}" presName="sibTrans" presStyleLbl="sibTrans2D1" presStyleIdx="1" presStyleCnt="6"/>
      <dgm:spPr/>
    </dgm:pt>
    <dgm:pt modelId="{BF0A0CE4-EA08-459B-8C66-299073B99521}" type="pres">
      <dgm:prSet presAssocID="{B501185C-46DF-4A16-A620-9E5242A00737}" presName="connectorText" presStyleLbl="sibTrans2D1" presStyleIdx="1" presStyleCnt="6"/>
      <dgm:spPr/>
    </dgm:pt>
    <dgm:pt modelId="{A3591549-7306-4EDE-9C32-AE4F6DC6830E}" type="pres">
      <dgm:prSet presAssocID="{16263DEF-5345-4EB8-83E5-E3D4A989EB68}" presName="node" presStyleLbl="node1" presStyleIdx="2" presStyleCnt="7" custScaleX="221209">
        <dgm:presLayoutVars>
          <dgm:bulletEnabled val="1"/>
        </dgm:presLayoutVars>
      </dgm:prSet>
      <dgm:spPr/>
    </dgm:pt>
    <dgm:pt modelId="{B45E83CD-493E-4ED8-B1C6-412564CB5657}" type="pres">
      <dgm:prSet presAssocID="{958EA1A3-7348-4DAD-B5CC-DEED4ACBBE1B}" presName="sibTrans" presStyleLbl="sibTrans2D1" presStyleIdx="2" presStyleCnt="6"/>
      <dgm:spPr/>
    </dgm:pt>
    <dgm:pt modelId="{6F5DF61E-8ADF-4F64-B804-2C33D4DA158E}" type="pres">
      <dgm:prSet presAssocID="{958EA1A3-7348-4DAD-B5CC-DEED4ACBBE1B}" presName="connectorText" presStyleLbl="sibTrans2D1" presStyleIdx="2" presStyleCnt="6"/>
      <dgm:spPr/>
    </dgm:pt>
    <dgm:pt modelId="{5C41E6D7-E273-4DD6-AE94-D36FC0016DA9}" type="pres">
      <dgm:prSet presAssocID="{A259BC3D-A523-4712-92CE-83ED14F95298}" presName="node" presStyleLbl="node1" presStyleIdx="3" presStyleCnt="7" custScaleX="221209">
        <dgm:presLayoutVars>
          <dgm:bulletEnabled val="1"/>
        </dgm:presLayoutVars>
      </dgm:prSet>
      <dgm:spPr/>
    </dgm:pt>
    <dgm:pt modelId="{D3C582D8-18A4-4E50-BF44-A794E7120D9D}" type="pres">
      <dgm:prSet presAssocID="{FE97C382-70F8-4307-9CE5-3D091CCD3155}" presName="sibTrans" presStyleLbl="sibTrans2D1" presStyleIdx="3" presStyleCnt="6"/>
      <dgm:spPr/>
    </dgm:pt>
    <dgm:pt modelId="{DB83F28F-FC06-4D3E-8D85-7E86E1B0D71A}" type="pres">
      <dgm:prSet presAssocID="{FE97C382-70F8-4307-9CE5-3D091CCD3155}" presName="connectorText" presStyleLbl="sibTrans2D1" presStyleIdx="3" presStyleCnt="6"/>
      <dgm:spPr/>
    </dgm:pt>
    <dgm:pt modelId="{1500698E-B5A0-4CFB-86BC-09323C047BB7}" type="pres">
      <dgm:prSet presAssocID="{00AC3AC6-B7F8-4C7F-BE61-EB79A158E19E}" presName="node" presStyleLbl="node1" presStyleIdx="4" presStyleCnt="7" custScaleX="221209">
        <dgm:presLayoutVars>
          <dgm:bulletEnabled val="1"/>
        </dgm:presLayoutVars>
      </dgm:prSet>
      <dgm:spPr/>
    </dgm:pt>
    <dgm:pt modelId="{8163E190-47E8-4CB3-9E47-EB9B547B117D}" type="pres">
      <dgm:prSet presAssocID="{056D0ACB-A5AF-40B3-B5D4-4BA44DE76AAE}" presName="sibTrans" presStyleLbl="sibTrans2D1" presStyleIdx="4" presStyleCnt="6"/>
      <dgm:spPr/>
    </dgm:pt>
    <dgm:pt modelId="{ECB8C972-1A42-4EC9-9D48-1F833F9A1DA7}" type="pres">
      <dgm:prSet presAssocID="{056D0ACB-A5AF-40B3-B5D4-4BA44DE76AAE}" presName="connectorText" presStyleLbl="sibTrans2D1" presStyleIdx="4" presStyleCnt="6"/>
      <dgm:spPr/>
    </dgm:pt>
    <dgm:pt modelId="{12BD614D-A34A-4071-B6C2-26AD53331E7F}" type="pres">
      <dgm:prSet presAssocID="{D6A08165-0F35-40FF-9766-92797251DCC7}" presName="node" presStyleLbl="node1" presStyleIdx="5" presStyleCnt="7" custScaleX="221209">
        <dgm:presLayoutVars>
          <dgm:bulletEnabled val="1"/>
        </dgm:presLayoutVars>
      </dgm:prSet>
      <dgm:spPr/>
    </dgm:pt>
    <dgm:pt modelId="{CC2BA29E-4B48-4441-BDCA-1C82215D22E7}" type="pres">
      <dgm:prSet presAssocID="{0F487720-F2EE-4F6B-A61A-28AE71865E8E}" presName="sibTrans" presStyleLbl="sibTrans2D1" presStyleIdx="5" presStyleCnt="6"/>
      <dgm:spPr/>
    </dgm:pt>
    <dgm:pt modelId="{F7A09885-D78A-409F-BA10-01242D3FF81D}" type="pres">
      <dgm:prSet presAssocID="{0F487720-F2EE-4F6B-A61A-28AE71865E8E}" presName="connectorText" presStyleLbl="sibTrans2D1" presStyleIdx="5" presStyleCnt="6"/>
      <dgm:spPr/>
    </dgm:pt>
    <dgm:pt modelId="{CCB6B845-FD09-4A2E-A1C1-772BA89CF033}" type="pres">
      <dgm:prSet presAssocID="{73D3B0D7-3692-4D12-BA92-C7B112A03208}" presName="node" presStyleLbl="node1" presStyleIdx="6" presStyleCnt="7" custScaleX="221209">
        <dgm:presLayoutVars>
          <dgm:bulletEnabled val="1"/>
        </dgm:presLayoutVars>
      </dgm:prSet>
      <dgm:spPr/>
    </dgm:pt>
  </dgm:ptLst>
  <dgm:cxnLst>
    <dgm:cxn modelId="{A0380009-A907-4533-8AF5-324A881E520B}" type="presOf" srcId="{75D4E4F1-269F-47A5-B80D-1808BEF6BF8C}" destId="{AA30E0D4-7DF5-4F71-BE15-709EBEE432F6}" srcOrd="0" destOrd="0" presId="urn:microsoft.com/office/officeart/2005/8/layout/process2"/>
    <dgm:cxn modelId="{0140CB13-C81F-4672-A8E1-7C5C383D6EC0}" type="presOf" srcId="{A259BC3D-A523-4712-92CE-83ED14F95298}" destId="{5C41E6D7-E273-4DD6-AE94-D36FC0016DA9}" srcOrd="0" destOrd="0" presId="urn:microsoft.com/office/officeart/2005/8/layout/process2"/>
    <dgm:cxn modelId="{A6E0A718-CA87-44CE-89AC-B6A459137C68}" type="presOf" srcId="{4953D0FB-F086-4501-A8B9-5B3708EB26DA}" destId="{B525BB44-6AD1-409B-809E-7EE87A1E8B42}" srcOrd="0" destOrd="0" presId="urn:microsoft.com/office/officeart/2005/8/layout/process2"/>
    <dgm:cxn modelId="{59B50426-BE59-4D50-ADB5-96C091F6F549}" type="presOf" srcId="{FE97C382-70F8-4307-9CE5-3D091CCD3155}" destId="{DB83F28F-FC06-4D3E-8D85-7E86E1B0D71A}" srcOrd="1" destOrd="0" presId="urn:microsoft.com/office/officeart/2005/8/layout/process2"/>
    <dgm:cxn modelId="{523EEC2E-9314-458C-8B5F-83F6D89BC6F3}" srcId="{75D4E4F1-269F-47A5-B80D-1808BEF6BF8C}" destId="{D6A08165-0F35-40FF-9766-92797251DCC7}" srcOrd="5" destOrd="0" parTransId="{CC69F9AF-0029-443E-923C-81C77904A9E0}" sibTransId="{0F487720-F2EE-4F6B-A61A-28AE71865E8E}"/>
    <dgm:cxn modelId="{2B61BF39-C9F4-4D21-A47A-0D05B3BC0EDD}" type="presOf" srcId="{16263DEF-5345-4EB8-83E5-E3D4A989EB68}" destId="{A3591549-7306-4EDE-9C32-AE4F6DC6830E}" srcOrd="0" destOrd="0" presId="urn:microsoft.com/office/officeart/2005/8/layout/process2"/>
    <dgm:cxn modelId="{ABC58162-E55A-4CF1-A31A-CA2C996425DF}" type="presOf" srcId="{B501185C-46DF-4A16-A620-9E5242A00737}" destId="{74341B79-7686-4838-A572-16EC98983BD2}" srcOrd="0" destOrd="0" presId="urn:microsoft.com/office/officeart/2005/8/layout/process2"/>
    <dgm:cxn modelId="{4FA8D742-57BA-45E9-96CD-B357C62382BC}" type="presOf" srcId="{056D0ACB-A5AF-40B3-B5D4-4BA44DE76AAE}" destId="{8163E190-47E8-4CB3-9E47-EB9B547B117D}" srcOrd="0" destOrd="0" presId="urn:microsoft.com/office/officeart/2005/8/layout/process2"/>
    <dgm:cxn modelId="{E7440564-737D-4ACC-BAC3-B56AD25F1620}" type="presOf" srcId="{958EA1A3-7348-4DAD-B5CC-DEED4ACBBE1B}" destId="{B45E83CD-493E-4ED8-B1C6-412564CB5657}" srcOrd="0" destOrd="0" presId="urn:microsoft.com/office/officeart/2005/8/layout/process2"/>
    <dgm:cxn modelId="{B7FA5965-8DA6-4E65-B63A-4D44F81FD407}" srcId="{75D4E4F1-269F-47A5-B80D-1808BEF6BF8C}" destId="{4953D0FB-F086-4501-A8B9-5B3708EB26DA}" srcOrd="0" destOrd="0" parTransId="{89533973-288F-42D3-ADB2-10AA183714BA}" sibTransId="{DDDBA8D2-EB4F-4161-88D3-AB5B9952AF09}"/>
    <dgm:cxn modelId="{4D7C4646-0E3D-4F7D-AD84-F7FA97B5DF07}" srcId="{75D4E4F1-269F-47A5-B80D-1808BEF6BF8C}" destId="{00AC3AC6-B7F8-4C7F-BE61-EB79A158E19E}" srcOrd="4" destOrd="0" parTransId="{37AFAB0D-57A4-4DC4-8B89-10F111A081D8}" sibTransId="{056D0ACB-A5AF-40B3-B5D4-4BA44DE76AAE}"/>
    <dgm:cxn modelId="{E721146B-593B-4337-9445-F4067AE4560F}" type="presOf" srcId="{BBC08572-D379-43BD-BA1A-94C7179A3852}" destId="{1EE49C9F-375E-4C50-A053-A2CD10BD4665}" srcOrd="0" destOrd="0" presId="urn:microsoft.com/office/officeart/2005/8/layout/process2"/>
    <dgm:cxn modelId="{BDCA276C-F731-4820-9FA7-683139EF16EC}" type="presOf" srcId="{0F487720-F2EE-4F6B-A61A-28AE71865E8E}" destId="{F7A09885-D78A-409F-BA10-01242D3FF81D}" srcOrd="1" destOrd="0" presId="urn:microsoft.com/office/officeart/2005/8/layout/process2"/>
    <dgm:cxn modelId="{9D630D55-02B5-4DC9-9A48-1320D4ED76E3}" srcId="{75D4E4F1-269F-47A5-B80D-1808BEF6BF8C}" destId="{16263DEF-5345-4EB8-83E5-E3D4A989EB68}" srcOrd="2" destOrd="0" parTransId="{98C6C282-A494-4E06-A12F-64647C307C5F}" sibTransId="{958EA1A3-7348-4DAD-B5CC-DEED4ACBBE1B}"/>
    <dgm:cxn modelId="{AFBD6485-C7C4-4146-B149-773D3807AED5}" type="presOf" srcId="{DDDBA8D2-EB4F-4161-88D3-AB5B9952AF09}" destId="{C5383EB0-103F-477A-8B0D-BFA01C2BFB61}" srcOrd="1" destOrd="0" presId="urn:microsoft.com/office/officeart/2005/8/layout/process2"/>
    <dgm:cxn modelId="{175D6996-1594-4132-B913-8E1E4BD3E448}" type="presOf" srcId="{056D0ACB-A5AF-40B3-B5D4-4BA44DE76AAE}" destId="{ECB8C972-1A42-4EC9-9D48-1F833F9A1DA7}" srcOrd="1" destOrd="0" presId="urn:microsoft.com/office/officeart/2005/8/layout/process2"/>
    <dgm:cxn modelId="{A156DD9F-D224-4EE3-8BBA-FAD8B624E53F}" type="presOf" srcId="{0F487720-F2EE-4F6B-A61A-28AE71865E8E}" destId="{CC2BA29E-4B48-4441-BDCA-1C82215D22E7}" srcOrd="0" destOrd="0" presId="urn:microsoft.com/office/officeart/2005/8/layout/process2"/>
    <dgm:cxn modelId="{07E817A4-7842-4DEB-A771-20EBC42C7ABC}" type="presOf" srcId="{D6A08165-0F35-40FF-9766-92797251DCC7}" destId="{12BD614D-A34A-4071-B6C2-26AD53331E7F}" srcOrd="0" destOrd="0" presId="urn:microsoft.com/office/officeart/2005/8/layout/process2"/>
    <dgm:cxn modelId="{45D192A6-B55E-4CFC-AB6C-7C795B29ACCE}" srcId="{75D4E4F1-269F-47A5-B80D-1808BEF6BF8C}" destId="{BBC08572-D379-43BD-BA1A-94C7179A3852}" srcOrd="1" destOrd="0" parTransId="{FA442BEB-982F-4E40-A67D-D9F13BC94EF5}" sibTransId="{B501185C-46DF-4A16-A620-9E5242A00737}"/>
    <dgm:cxn modelId="{8C7781A7-8499-4AB5-8B40-BC899304389D}" type="presOf" srcId="{73D3B0D7-3692-4D12-BA92-C7B112A03208}" destId="{CCB6B845-FD09-4A2E-A1C1-772BA89CF033}" srcOrd="0" destOrd="0" presId="urn:microsoft.com/office/officeart/2005/8/layout/process2"/>
    <dgm:cxn modelId="{EB7938A8-2E34-4FD5-808E-0C3BFB8136C3}" srcId="{75D4E4F1-269F-47A5-B80D-1808BEF6BF8C}" destId="{A259BC3D-A523-4712-92CE-83ED14F95298}" srcOrd="3" destOrd="0" parTransId="{1A02F3FA-60D1-4686-885F-8B11C0B61F5B}" sibTransId="{FE97C382-70F8-4307-9CE5-3D091CCD3155}"/>
    <dgm:cxn modelId="{39D21AA9-40E8-4F3E-A67B-D120EEBD632A}" type="presOf" srcId="{B501185C-46DF-4A16-A620-9E5242A00737}" destId="{BF0A0CE4-EA08-459B-8C66-299073B99521}" srcOrd="1" destOrd="0" presId="urn:microsoft.com/office/officeart/2005/8/layout/process2"/>
    <dgm:cxn modelId="{4C6DEEC3-BF50-4EDE-912F-4BD3119CB573}" type="presOf" srcId="{FE97C382-70F8-4307-9CE5-3D091CCD3155}" destId="{D3C582D8-18A4-4E50-BF44-A794E7120D9D}" srcOrd="0" destOrd="0" presId="urn:microsoft.com/office/officeart/2005/8/layout/process2"/>
    <dgm:cxn modelId="{98A2B3E5-CB05-4EE1-B6B8-13547190C557}" srcId="{75D4E4F1-269F-47A5-B80D-1808BEF6BF8C}" destId="{73D3B0D7-3692-4D12-BA92-C7B112A03208}" srcOrd="6" destOrd="0" parTransId="{ED1A1FC6-B53D-4346-896D-C7F58EEE7EC8}" sibTransId="{A2EC79CD-8489-45DA-A6A7-3F5038321294}"/>
    <dgm:cxn modelId="{DD4405F7-2B70-496F-8D8F-72F6C8A1F0DF}" type="presOf" srcId="{958EA1A3-7348-4DAD-B5CC-DEED4ACBBE1B}" destId="{6F5DF61E-8ADF-4F64-B804-2C33D4DA158E}" srcOrd="1" destOrd="0" presId="urn:microsoft.com/office/officeart/2005/8/layout/process2"/>
    <dgm:cxn modelId="{0244D4F7-B5F2-47EC-B9FE-FD83749550B4}" type="presOf" srcId="{00AC3AC6-B7F8-4C7F-BE61-EB79A158E19E}" destId="{1500698E-B5A0-4CFB-86BC-09323C047BB7}" srcOrd="0" destOrd="0" presId="urn:microsoft.com/office/officeart/2005/8/layout/process2"/>
    <dgm:cxn modelId="{79D4C0F9-990B-4907-BF28-73893F5F19C7}" type="presOf" srcId="{DDDBA8D2-EB4F-4161-88D3-AB5B9952AF09}" destId="{34B781F7-0D5F-4115-9ED3-539B7DCC0D76}" srcOrd="0" destOrd="0" presId="urn:microsoft.com/office/officeart/2005/8/layout/process2"/>
    <dgm:cxn modelId="{3C9B74A7-F7F7-4EEE-989E-FB4B3FD01596}" type="presParOf" srcId="{AA30E0D4-7DF5-4F71-BE15-709EBEE432F6}" destId="{B525BB44-6AD1-409B-809E-7EE87A1E8B42}" srcOrd="0" destOrd="0" presId="urn:microsoft.com/office/officeart/2005/8/layout/process2"/>
    <dgm:cxn modelId="{6D9AFB1D-68EC-4677-A82D-A1C2128436D9}" type="presParOf" srcId="{AA30E0D4-7DF5-4F71-BE15-709EBEE432F6}" destId="{34B781F7-0D5F-4115-9ED3-539B7DCC0D76}" srcOrd="1" destOrd="0" presId="urn:microsoft.com/office/officeart/2005/8/layout/process2"/>
    <dgm:cxn modelId="{5FB79813-1C4D-4FA9-BADF-735BA7F68572}" type="presParOf" srcId="{34B781F7-0D5F-4115-9ED3-539B7DCC0D76}" destId="{C5383EB0-103F-477A-8B0D-BFA01C2BFB61}" srcOrd="0" destOrd="0" presId="urn:microsoft.com/office/officeart/2005/8/layout/process2"/>
    <dgm:cxn modelId="{4D99477E-9722-454F-A499-6E222F7C9780}" type="presParOf" srcId="{AA30E0D4-7DF5-4F71-BE15-709EBEE432F6}" destId="{1EE49C9F-375E-4C50-A053-A2CD10BD4665}" srcOrd="2" destOrd="0" presId="urn:microsoft.com/office/officeart/2005/8/layout/process2"/>
    <dgm:cxn modelId="{053AAA55-F318-4B89-966A-16E8570F76DB}" type="presParOf" srcId="{AA30E0D4-7DF5-4F71-BE15-709EBEE432F6}" destId="{74341B79-7686-4838-A572-16EC98983BD2}" srcOrd="3" destOrd="0" presId="urn:microsoft.com/office/officeart/2005/8/layout/process2"/>
    <dgm:cxn modelId="{0134B9AE-5A52-4C90-AFB2-E1D12A55E53E}" type="presParOf" srcId="{74341B79-7686-4838-A572-16EC98983BD2}" destId="{BF0A0CE4-EA08-459B-8C66-299073B99521}" srcOrd="0" destOrd="0" presId="urn:microsoft.com/office/officeart/2005/8/layout/process2"/>
    <dgm:cxn modelId="{6FD4A0F4-EBEC-43BB-8BBC-D8D1483BC7E8}" type="presParOf" srcId="{AA30E0D4-7DF5-4F71-BE15-709EBEE432F6}" destId="{A3591549-7306-4EDE-9C32-AE4F6DC6830E}" srcOrd="4" destOrd="0" presId="urn:microsoft.com/office/officeart/2005/8/layout/process2"/>
    <dgm:cxn modelId="{4F49397D-F5F9-4C94-9E4B-1C9443C861F4}" type="presParOf" srcId="{AA30E0D4-7DF5-4F71-BE15-709EBEE432F6}" destId="{B45E83CD-493E-4ED8-B1C6-412564CB5657}" srcOrd="5" destOrd="0" presId="urn:microsoft.com/office/officeart/2005/8/layout/process2"/>
    <dgm:cxn modelId="{86F8A9B8-A160-476C-A48A-2BC17B8B0273}" type="presParOf" srcId="{B45E83CD-493E-4ED8-B1C6-412564CB5657}" destId="{6F5DF61E-8ADF-4F64-B804-2C33D4DA158E}" srcOrd="0" destOrd="0" presId="urn:microsoft.com/office/officeart/2005/8/layout/process2"/>
    <dgm:cxn modelId="{3984E1D7-899D-4E5C-881D-E3C2E9DDFB78}" type="presParOf" srcId="{AA30E0D4-7DF5-4F71-BE15-709EBEE432F6}" destId="{5C41E6D7-E273-4DD6-AE94-D36FC0016DA9}" srcOrd="6" destOrd="0" presId="urn:microsoft.com/office/officeart/2005/8/layout/process2"/>
    <dgm:cxn modelId="{09471299-FEA5-4393-9C11-E20E4DA4BDF1}" type="presParOf" srcId="{AA30E0D4-7DF5-4F71-BE15-709EBEE432F6}" destId="{D3C582D8-18A4-4E50-BF44-A794E7120D9D}" srcOrd="7" destOrd="0" presId="urn:microsoft.com/office/officeart/2005/8/layout/process2"/>
    <dgm:cxn modelId="{1943C71C-724D-4E4A-8701-DB4DC702209A}" type="presParOf" srcId="{D3C582D8-18A4-4E50-BF44-A794E7120D9D}" destId="{DB83F28F-FC06-4D3E-8D85-7E86E1B0D71A}" srcOrd="0" destOrd="0" presId="urn:microsoft.com/office/officeart/2005/8/layout/process2"/>
    <dgm:cxn modelId="{75B68F37-A2DF-4B8A-883E-AA6C7FC6D1B5}" type="presParOf" srcId="{AA30E0D4-7DF5-4F71-BE15-709EBEE432F6}" destId="{1500698E-B5A0-4CFB-86BC-09323C047BB7}" srcOrd="8" destOrd="0" presId="urn:microsoft.com/office/officeart/2005/8/layout/process2"/>
    <dgm:cxn modelId="{8711B18D-0827-4E4D-A6AE-3F5E39B540D2}" type="presParOf" srcId="{AA30E0D4-7DF5-4F71-BE15-709EBEE432F6}" destId="{8163E190-47E8-4CB3-9E47-EB9B547B117D}" srcOrd="9" destOrd="0" presId="urn:microsoft.com/office/officeart/2005/8/layout/process2"/>
    <dgm:cxn modelId="{9F65CF4A-F19A-44A7-A81C-8496BC8AF098}" type="presParOf" srcId="{8163E190-47E8-4CB3-9E47-EB9B547B117D}" destId="{ECB8C972-1A42-4EC9-9D48-1F833F9A1DA7}" srcOrd="0" destOrd="0" presId="urn:microsoft.com/office/officeart/2005/8/layout/process2"/>
    <dgm:cxn modelId="{8AB41B22-79FA-46F4-A6EA-A43816D5A31D}" type="presParOf" srcId="{AA30E0D4-7DF5-4F71-BE15-709EBEE432F6}" destId="{12BD614D-A34A-4071-B6C2-26AD53331E7F}" srcOrd="10" destOrd="0" presId="urn:microsoft.com/office/officeart/2005/8/layout/process2"/>
    <dgm:cxn modelId="{48AFFD73-9455-4D50-B42B-5E9633BB07F9}" type="presParOf" srcId="{AA30E0D4-7DF5-4F71-BE15-709EBEE432F6}" destId="{CC2BA29E-4B48-4441-BDCA-1C82215D22E7}" srcOrd="11" destOrd="0" presId="urn:microsoft.com/office/officeart/2005/8/layout/process2"/>
    <dgm:cxn modelId="{1B501DE5-DB9B-4C79-86C9-A00A7FA8AF1C}" type="presParOf" srcId="{CC2BA29E-4B48-4441-BDCA-1C82215D22E7}" destId="{F7A09885-D78A-409F-BA10-01242D3FF81D}" srcOrd="0" destOrd="0" presId="urn:microsoft.com/office/officeart/2005/8/layout/process2"/>
    <dgm:cxn modelId="{4668C4FC-7A45-4DCC-ADC1-B4C8D0A1B87E}" type="presParOf" srcId="{AA30E0D4-7DF5-4F71-BE15-709EBEE432F6}" destId="{CCB6B845-FD09-4A2E-A1C1-772BA89CF033}" srcOrd="12" destOrd="0" presId="urn:microsoft.com/office/officeart/2005/8/layout/process2"/>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5BB44-6AD1-409B-809E-7EE87A1E8B42}">
      <dsp:nvSpPr>
        <dsp:cNvPr id="0" name=""/>
        <dsp:cNvSpPr/>
      </dsp:nvSpPr>
      <dsp:spPr>
        <a:xfrm>
          <a:off x="1605123" y="0"/>
          <a:ext cx="2380927" cy="2690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Literature review</a:t>
          </a:r>
        </a:p>
      </dsp:txBody>
      <dsp:txXfrm>
        <a:off x="1613004" y="7881"/>
        <a:ext cx="2365165" cy="253319"/>
      </dsp:txXfrm>
    </dsp:sp>
    <dsp:sp modelId="{34B781F7-0D5F-4115-9ED3-539B7DCC0D76}">
      <dsp:nvSpPr>
        <dsp:cNvPr id="0" name=""/>
        <dsp:cNvSpPr/>
      </dsp:nvSpPr>
      <dsp:spPr>
        <a:xfrm rot="9569259">
          <a:off x="2003423" y="298406"/>
          <a:ext cx="384699" cy="1210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038597" y="316259"/>
        <a:ext cx="348373" cy="72652"/>
      </dsp:txXfrm>
    </dsp:sp>
    <dsp:sp modelId="{47E9C81D-41F0-4FA2-98D0-676FFD242CE9}">
      <dsp:nvSpPr>
        <dsp:cNvPr id="0" name=""/>
        <dsp:cNvSpPr/>
      </dsp:nvSpPr>
      <dsp:spPr>
        <a:xfrm>
          <a:off x="405494" y="448817"/>
          <a:ext cx="2380927" cy="2690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Round 1 questionnaire design</a:t>
          </a:r>
        </a:p>
      </dsp:txBody>
      <dsp:txXfrm>
        <a:off x="413375" y="456698"/>
        <a:ext cx="2365165" cy="253319"/>
      </dsp:txXfrm>
    </dsp:sp>
    <dsp:sp modelId="{7BDD61A6-78B3-4367-BE28-555A59C02E3E}">
      <dsp:nvSpPr>
        <dsp:cNvPr id="0" name=""/>
        <dsp:cNvSpPr/>
      </dsp:nvSpPr>
      <dsp:spPr>
        <a:xfrm rot="2534229">
          <a:off x="3230640" y="287088"/>
          <a:ext cx="234466" cy="13391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35855" y="300368"/>
        <a:ext cx="194291" cy="80350"/>
      </dsp:txXfrm>
    </dsp:sp>
    <dsp:sp modelId="{76A78596-0CA0-4861-A1F1-17460540182F}">
      <dsp:nvSpPr>
        <dsp:cNvPr id="0" name=""/>
        <dsp:cNvSpPr/>
      </dsp:nvSpPr>
      <dsp:spPr>
        <a:xfrm>
          <a:off x="2859731" y="440056"/>
          <a:ext cx="2380927" cy="2690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Panel recruitment</a:t>
          </a:r>
        </a:p>
      </dsp:txBody>
      <dsp:txXfrm>
        <a:off x="2867612" y="447937"/>
        <a:ext cx="2365165" cy="253319"/>
      </dsp:txXfrm>
    </dsp:sp>
    <dsp:sp modelId="{5AE1B95D-2179-46F1-ABB5-0CB7894F5A53}">
      <dsp:nvSpPr>
        <dsp:cNvPr id="0" name=""/>
        <dsp:cNvSpPr/>
      </dsp:nvSpPr>
      <dsp:spPr>
        <a:xfrm rot="5495273">
          <a:off x="2763114" y="737412"/>
          <a:ext cx="265713" cy="37419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NZ" sz="600" kern="1200"/>
        </a:p>
      </dsp:txBody>
      <dsp:txXfrm rot="10800000">
        <a:off x="2804075" y="772408"/>
        <a:ext cx="185999" cy="224515"/>
      </dsp:txXfrm>
    </dsp:sp>
    <dsp:sp modelId="{1EE49C9F-375E-4C50-A053-A2CD10BD4665}">
      <dsp:nvSpPr>
        <dsp:cNvPr id="0" name=""/>
        <dsp:cNvSpPr/>
      </dsp:nvSpPr>
      <dsp:spPr>
        <a:xfrm>
          <a:off x="1707482" y="1127115"/>
          <a:ext cx="2380927" cy="2690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Round 1: Online survey</a:t>
          </a:r>
        </a:p>
      </dsp:txBody>
      <dsp:txXfrm>
        <a:off x="1715363" y="1134996"/>
        <a:ext cx="2365165" cy="253319"/>
      </dsp:txXfrm>
    </dsp:sp>
    <dsp:sp modelId="{74341B79-7686-4838-A572-16EC98983BD2}">
      <dsp:nvSpPr>
        <dsp:cNvPr id="0" name=""/>
        <dsp:cNvSpPr/>
      </dsp:nvSpPr>
      <dsp:spPr>
        <a:xfrm rot="5400000">
          <a:off x="2878173" y="1392617"/>
          <a:ext cx="86074" cy="1210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2884884" y="1410123"/>
        <a:ext cx="72652" cy="60252"/>
      </dsp:txXfrm>
    </dsp:sp>
    <dsp:sp modelId="{A3591549-7306-4EDE-9C32-AE4F6DC6830E}">
      <dsp:nvSpPr>
        <dsp:cNvPr id="0" name=""/>
        <dsp:cNvSpPr/>
      </dsp:nvSpPr>
      <dsp:spPr>
        <a:xfrm>
          <a:off x="1754011" y="1510125"/>
          <a:ext cx="2380927" cy="2690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Data analysis</a:t>
          </a:r>
        </a:p>
      </dsp:txBody>
      <dsp:txXfrm>
        <a:off x="1761892" y="1518006"/>
        <a:ext cx="2365165" cy="253319"/>
      </dsp:txXfrm>
    </dsp:sp>
    <dsp:sp modelId="{B45E83CD-493E-4ED8-B1C6-412564CB5657}">
      <dsp:nvSpPr>
        <dsp:cNvPr id="0" name=""/>
        <dsp:cNvSpPr/>
      </dsp:nvSpPr>
      <dsp:spPr>
        <a:xfrm rot="6331090">
          <a:off x="2078694" y="1774961"/>
          <a:ext cx="226316" cy="22597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121659" y="1787495"/>
        <a:ext cx="158523" cy="135587"/>
      </dsp:txXfrm>
    </dsp:sp>
    <dsp:sp modelId="{5C41E6D7-E273-4DD6-AE94-D36FC0016DA9}">
      <dsp:nvSpPr>
        <dsp:cNvPr id="0" name=""/>
        <dsp:cNvSpPr/>
      </dsp:nvSpPr>
      <dsp:spPr>
        <a:xfrm>
          <a:off x="3075405" y="1959470"/>
          <a:ext cx="2380927" cy="2690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Results reported to panel</a:t>
          </a:r>
        </a:p>
      </dsp:txBody>
      <dsp:txXfrm>
        <a:off x="3083286" y="1967351"/>
        <a:ext cx="2365165" cy="253319"/>
      </dsp:txXfrm>
    </dsp:sp>
    <dsp:sp modelId="{D3C582D8-18A4-4E50-BF44-A794E7120D9D}">
      <dsp:nvSpPr>
        <dsp:cNvPr id="0" name=""/>
        <dsp:cNvSpPr/>
      </dsp:nvSpPr>
      <dsp:spPr>
        <a:xfrm rot="5400000">
          <a:off x="2291918" y="2374207"/>
          <a:ext cx="343142" cy="1345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312095" y="2380933"/>
        <a:ext cx="302789" cy="80706"/>
      </dsp:txXfrm>
    </dsp:sp>
    <dsp:sp modelId="{1500698E-B5A0-4CFB-86BC-09323C047BB7}">
      <dsp:nvSpPr>
        <dsp:cNvPr id="0" name=""/>
        <dsp:cNvSpPr/>
      </dsp:nvSpPr>
      <dsp:spPr>
        <a:xfrm>
          <a:off x="1614433" y="2672983"/>
          <a:ext cx="2380927" cy="2690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Round 2: Survey</a:t>
          </a:r>
        </a:p>
      </dsp:txBody>
      <dsp:txXfrm>
        <a:off x="1622314" y="2680864"/>
        <a:ext cx="2365165" cy="253319"/>
      </dsp:txXfrm>
    </dsp:sp>
    <dsp:sp modelId="{8163E190-47E8-4CB3-9E47-EB9B547B117D}">
      <dsp:nvSpPr>
        <dsp:cNvPr id="0" name=""/>
        <dsp:cNvSpPr/>
      </dsp:nvSpPr>
      <dsp:spPr>
        <a:xfrm rot="5479283">
          <a:off x="2749776" y="2948791"/>
          <a:ext cx="100932" cy="1210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2764265" y="2958872"/>
        <a:ext cx="72652" cy="70652"/>
      </dsp:txXfrm>
    </dsp:sp>
    <dsp:sp modelId="{12BD614D-A34A-4071-B6C2-26AD53331E7F}">
      <dsp:nvSpPr>
        <dsp:cNvPr id="0" name=""/>
        <dsp:cNvSpPr/>
      </dsp:nvSpPr>
      <dsp:spPr>
        <a:xfrm>
          <a:off x="1605123" y="3076605"/>
          <a:ext cx="2380927" cy="2690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Data analysis</a:t>
          </a:r>
        </a:p>
      </dsp:txBody>
      <dsp:txXfrm>
        <a:off x="1613004" y="3084486"/>
        <a:ext cx="2365165" cy="253319"/>
      </dsp:txXfrm>
    </dsp:sp>
    <dsp:sp modelId="{CC2BA29E-4B48-4441-BDCA-1C82215D22E7}">
      <dsp:nvSpPr>
        <dsp:cNvPr id="0" name=""/>
        <dsp:cNvSpPr/>
      </dsp:nvSpPr>
      <dsp:spPr>
        <a:xfrm rot="967800">
          <a:off x="3334769" y="3382705"/>
          <a:ext cx="526760" cy="12108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35484" y="3401876"/>
        <a:ext cx="490434" cy="72652"/>
      </dsp:txXfrm>
    </dsp:sp>
    <dsp:sp modelId="{7DE6FC55-A309-4F0E-B210-B96C7EF07A0F}">
      <dsp:nvSpPr>
        <dsp:cNvPr id="0" name=""/>
        <dsp:cNvSpPr/>
      </dsp:nvSpPr>
      <dsp:spPr>
        <a:xfrm>
          <a:off x="3210247" y="3540810"/>
          <a:ext cx="2380927" cy="2690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Results reported to panel</a:t>
          </a:r>
        </a:p>
      </dsp:txBody>
      <dsp:txXfrm>
        <a:off x="3218128" y="3548691"/>
        <a:ext cx="2365165" cy="253319"/>
      </dsp:txXfrm>
    </dsp:sp>
    <dsp:sp modelId="{ACA2C91D-0BD7-484F-9401-634AA55AC5EE}">
      <dsp:nvSpPr>
        <dsp:cNvPr id="0" name=""/>
        <dsp:cNvSpPr/>
      </dsp:nvSpPr>
      <dsp:spPr>
        <a:xfrm rot="5698852" flipV="1">
          <a:off x="2521335" y="3450226"/>
          <a:ext cx="381581" cy="2789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NZ" sz="600" kern="1200"/>
        </a:p>
      </dsp:txBody>
      <dsp:txXfrm rot="10800000">
        <a:off x="2566808" y="3464331"/>
        <a:ext cx="297900" cy="167362"/>
      </dsp:txXfrm>
    </dsp:sp>
    <dsp:sp modelId="{CCB6B845-FD09-4A2E-A1C1-772BA89CF033}">
      <dsp:nvSpPr>
        <dsp:cNvPr id="0" name=""/>
        <dsp:cNvSpPr/>
      </dsp:nvSpPr>
      <dsp:spPr>
        <a:xfrm>
          <a:off x="1633043" y="3902457"/>
          <a:ext cx="2380927" cy="2690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Final report</a:t>
          </a:r>
        </a:p>
      </dsp:txBody>
      <dsp:txXfrm>
        <a:off x="1640924" y="3910338"/>
        <a:ext cx="2365165" cy="253319"/>
      </dsp:txXfrm>
    </dsp:sp>
    <dsp:sp modelId="{F8B5B0B7-843F-43C5-8C12-765842E53A5F}">
      <dsp:nvSpPr>
        <dsp:cNvPr id="0" name=""/>
        <dsp:cNvSpPr/>
      </dsp:nvSpPr>
      <dsp:spPr>
        <a:xfrm rot="3022611">
          <a:off x="3483851" y="1770222"/>
          <a:ext cx="231472" cy="23085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3508247" y="1777870"/>
        <a:ext cx="138513" cy="162216"/>
      </dsp:txXfrm>
    </dsp:sp>
    <dsp:sp modelId="{3369EAEE-6419-47C3-961A-07F2EE64BB04}">
      <dsp:nvSpPr>
        <dsp:cNvPr id="0" name=""/>
        <dsp:cNvSpPr/>
      </dsp:nvSpPr>
      <dsp:spPr>
        <a:xfrm>
          <a:off x="230495" y="1948994"/>
          <a:ext cx="2380927" cy="2690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Round 2 questionnaire deisgn</a:t>
          </a:r>
        </a:p>
      </dsp:txBody>
      <dsp:txXfrm>
        <a:off x="238376" y="1956875"/>
        <a:ext cx="2365165" cy="2533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5BB44-6AD1-409B-809E-7EE87A1E8B42}">
      <dsp:nvSpPr>
        <dsp:cNvPr id="0" name=""/>
        <dsp:cNvSpPr/>
      </dsp:nvSpPr>
      <dsp:spPr>
        <a:xfrm>
          <a:off x="1258024" y="434"/>
          <a:ext cx="3151325" cy="3561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Expert panel recruited</a:t>
          </a:r>
        </a:p>
      </dsp:txBody>
      <dsp:txXfrm>
        <a:off x="1268455" y="10865"/>
        <a:ext cx="3130463" cy="335286"/>
      </dsp:txXfrm>
    </dsp:sp>
    <dsp:sp modelId="{34B781F7-0D5F-4115-9ED3-539B7DCC0D76}">
      <dsp:nvSpPr>
        <dsp:cNvPr id="0" name=""/>
        <dsp:cNvSpPr/>
      </dsp:nvSpPr>
      <dsp:spPr>
        <a:xfrm rot="5400000">
          <a:off x="2766909" y="365486"/>
          <a:ext cx="133555" cy="1602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85607" y="378841"/>
        <a:ext cx="96160" cy="93489"/>
      </dsp:txXfrm>
    </dsp:sp>
    <dsp:sp modelId="{1EE49C9F-375E-4C50-A053-A2CD10BD4665}">
      <dsp:nvSpPr>
        <dsp:cNvPr id="0" name=""/>
        <dsp:cNvSpPr/>
      </dsp:nvSpPr>
      <dsp:spPr>
        <a:xfrm>
          <a:off x="1258024" y="534656"/>
          <a:ext cx="3151325" cy="3561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Round 1: Survey with optional interview</a:t>
          </a:r>
        </a:p>
      </dsp:txBody>
      <dsp:txXfrm>
        <a:off x="1268455" y="545087"/>
        <a:ext cx="3130463" cy="335286"/>
      </dsp:txXfrm>
    </dsp:sp>
    <dsp:sp modelId="{74341B79-7686-4838-A572-16EC98983BD2}">
      <dsp:nvSpPr>
        <dsp:cNvPr id="0" name=""/>
        <dsp:cNvSpPr/>
      </dsp:nvSpPr>
      <dsp:spPr>
        <a:xfrm rot="5400000">
          <a:off x="2766909" y="899708"/>
          <a:ext cx="133555" cy="1602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85607" y="913063"/>
        <a:ext cx="96160" cy="93489"/>
      </dsp:txXfrm>
    </dsp:sp>
    <dsp:sp modelId="{A3591549-7306-4EDE-9C32-AE4F6DC6830E}">
      <dsp:nvSpPr>
        <dsp:cNvPr id="0" name=""/>
        <dsp:cNvSpPr/>
      </dsp:nvSpPr>
      <dsp:spPr>
        <a:xfrm>
          <a:off x="1258024" y="1068878"/>
          <a:ext cx="3151325" cy="3561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Coding/analysis</a:t>
          </a:r>
        </a:p>
      </dsp:txBody>
      <dsp:txXfrm>
        <a:off x="1268455" y="1079309"/>
        <a:ext cx="3130463" cy="335286"/>
      </dsp:txXfrm>
    </dsp:sp>
    <dsp:sp modelId="{B45E83CD-493E-4ED8-B1C6-412564CB5657}">
      <dsp:nvSpPr>
        <dsp:cNvPr id="0" name=""/>
        <dsp:cNvSpPr/>
      </dsp:nvSpPr>
      <dsp:spPr>
        <a:xfrm rot="5400000">
          <a:off x="2766909" y="1433930"/>
          <a:ext cx="133555" cy="1602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85607" y="1447285"/>
        <a:ext cx="96160" cy="93489"/>
      </dsp:txXfrm>
    </dsp:sp>
    <dsp:sp modelId="{5C41E6D7-E273-4DD6-AE94-D36FC0016DA9}">
      <dsp:nvSpPr>
        <dsp:cNvPr id="0" name=""/>
        <dsp:cNvSpPr/>
      </dsp:nvSpPr>
      <dsp:spPr>
        <a:xfrm>
          <a:off x="1258024" y="1603100"/>
          <a:ext cx="3151325" cy="3561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Results reported to panel</a:t>
          </a:r>
        </a:p>
      </dsp:txBody>
      <dsp:txXfrm>
        <a:off x="1268455" y="1613531"/>
        <a:ext cx="3130463" cy="335286"/>
      </dsp:txXfrm>
    </dsp:sp>
    <dsp:sp modelId="{D3C582D8-18A4-4E50-BF44-A794E7120D9D}">
      <dsp:nvSpPr>
        <dsp:cNvPr id="0" name=""/>
        <dsp:cNvSpPr/>
      </dsp:nvSpPr>
      <dsp:spPr>
        <a:xfrm rot="5400000">
          <a:off x="2766909" y="1968152"/>
          <a:ext cx="133555" cy="1602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85607" y="1981507"/>
        <a:ext cx="96160" cy="93489"/>
      </dsp:txXfrm>
    </dsp:sp>
    <dsp:sp modelId="{1500698E-B5A0-4CFB-86BC-09323C047BB7}">
      <dsp:nvSpPr>
        <dsp:cNvPr id="0" name=""/>
        <dsp:cNvSpPr/>
      </dsp:nvSpPr>
      <dsp:spPr>
        <a:xfrm>
          <a:off x="1258024" y="2137323"/>
          <a:ext cx="3151325" cy="3561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Round 2: Survey with interview by invitation</a:t>
          </a:r>
        </a:p>
      </dsp:txBody>
      <dsp:txXfrm>
        <a:off x="1268455" y="2147754"/>
        <a:ext cx="3130463" cy="335286"/>
      </dsp:txXfrm>
    </dsp:sp>
    <dsp:sp modelId="{8163E190-47E8-4CB3-9E47-EB9B547B117D}">
      <dsp:nvSpPr>
        <dsp:cNvPr id="0" name=""/>
        <dsp:cNvSpPr/>
      </dsp:nvSpPr>
      <dsp:spPr>
        <a:xfrm rot="5400000">
          <a:off x="2766909" y="2502374"/>
          <a:ext cx="133555" cy="1602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85607" y="2515729"/>
        <a:ext cx="96160" cy="93489"/>
      </dsp:txXfrm>
    </dsp:sp>
    <dsp:sp modelId="{12BD614D-A34A-4071-B6C2-26AD53331E7F}">
      <dsp:nvSpPr>
        <dsp:cNvPr id="0" name=""/>
        <dsp:cNvSpPr/>
      </dsp:nvSpPr>
      <dsp:spPr>
        <a:xfrm>
          <a:off x="1258024" y="2671545"/>
          <a:ext cx="3151325" cy="3561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Coding/analysis</a:t>
          </a:r>
        </a:p>
      </dsp:txBody>
      <dsp:txXfrm>
        <a:off x="1268455" y="2681976"/>
        <a:ext cx="3130463" cy="335286"/>
      </dsp:txXfrm>
    </dsp:sp>
    <dsp:sp modelId="{CC2BA29E-4B48-4441-BDCA-1C82215D22E7}">
      <dsp:nvSpPr>
        <dsp:cNvPr id="0" name=""/>
        <dsp:cNvSpPr/>
      </dsp:nvSpPr>
      <dsp:spPr>
        <a:xfrm rot="5400000">
          <a:off x="2766909" y="3036596"/>
          <a:ext cx="133555" cy="1602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2785607" y="3049951"/>
        <a:ext cx="96160" cy="93489"/>
      </dsp:txXfrm>
    </dsp:sp>
    <dsp:sp modelId="{CCB6B845-FD09-4A2E-A1C1-772BA89CF033}">
      <dsp:nvSpPr>
        <dsp:cNvPr id="0" name=""/>
        <dsp:cNvSpPr/>
      </dsp:nvSpPr>
      <dsp:spPr>
        <a:xfrm>
          <a:off x="1258024" y="3205767"/>
          <a:ext cx="3151325" cy="3561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Results reported to panel</a:t>
          </a:r>
        </a:p>
      </dsp:txBody>
      <dsp:txXfrm>
        <a:off x="1268455" y="3216198"/>
        <a:ext cx="3130463" cy="33528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67F03-2F03-4A89-8AE3-D1C9CE673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116655</Words>
  <Characters>664934</Characters>
  <Application>Microsoft Office Word</Application>
  <DocSecurity>0</DocSecurity>
  <Lines>5541</Lines>
  <Paragraphs>1560</Paragraphs>
  <ScaleCrop>false</ScaleCrop>
  <HeadingPairs>
    <vt:vector size="2" baseType="variant">
      <vt:variant>
        <vt:lpstr>Title</vt:lpstr>
      </vt:variant>
      <vt:variant>
        <vt:i4>1</vt:i4>
      </vt:variant>
    </vt:vector>
  </HeadingPairs>
  <TitlesOfParts>
    <vt:vector size="1" baseType="lpstr">
      <vt:lpstr/>
    </vt:vector>
  </TitlesOfParts>
  <Company>AUT University</Company>
  <LinksUpToDate>false</LinksUpToDate>
  <CharactersWithSpaces>780029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Allan Potter</cp:lastModifiedBy>
  <cp:revision>11</cp:revision>
  <cp:lastPrinted>2021-02-10T03:04:00Z</cp:lastPrinted>
  <dcterms:created xsi:type="dcterms:W3CDTF">2021-02-10T02:30:00Z</dcterms:created>
  <dcterms:modified xsi:type="dcterms:W3CDTF">2022-06-15T20:58:00Z</dcterms:modified>
</cp:coreProperties>
</file>