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A7F99C" w14:textId="5AC257A7" w:rsidR="00C86248" w:rsidRPr="00D54D50" w:rsidRDefault="00E60052" w:rsidP="00D54D50">
      <w:pPr>
        <w:pStyle w:val="Title"/>
      </w:pPr>
      <w:r>
        <w:t xml:space="preserve">Emergency </w:t>
      </w:r>
      <w:r w:rsidR="0007586D">
        <w:t>Department U</w:t>
      </w:r>
      <w:r w:rsidR="00C058BB">
        <w:t>se</w:t>
      </w:r>
    </w:p>
    <w:p w14:paraId="281FC8C3" w14:textId="77777777" w:rsidR="00C86248" w:rsidRDefault="00AF26B2" w:rsidP="00343365">
      <w:pPr>
        <w:pStyle w:val="Subhead"/>
      </w:pPr>
      <w:r>
        <w:t>2014/15</w:t>
      </w:r>
    </w:p>
    <w:p w14:paraId="6665BAAD" w14:textId="77777777" w:rsidR="00142954" w:rsidRPr="00142954" w:rsidRDefault="00142954" w:rsidP="00142954">
      <w:pPr>
        <w:sectPr w:rsidR="00142954" w:rsidRPr="00142954" w:rsidSect="000F2AE2">
          <w:headerReference w:type="default" r:id="rId8"/>
          <w:footerReference w:type="default" r:id="rId9"/>
          <w:pgSz w:w="11907" w:h="16834" w:code="9"/>
          <w:pgMar w:top="3969" w:right="851" w:bottom="851" w:left="2552" w:header="851" w:footer="851" w:gutter="0"/>
          <w:cols w:space="720"/>
        </w:sectPr>
      </w:pPr>
    </w:p>
    <w:p w14:paraId="67B776E1" w14:textId="48A04FCC" w:rsidR="00A80363" w:rsidRPr="00442C1C" w:rsidRDefault="00A80363">
      <w:pPr>
        <w:pStyle w:val="Imprint"/>
      </w:pPr>
      <w:r>
        <w:lastRenderedPageBreak/>
        <w:t xml:space="preserve">Citation: </w:t>
      </w:r>
      <w:r w:rsidR="00442C1C">
        <w:t xml:space="preserve">Ministry of Health. </w:t>
      </w:r>
      <w:r w:rsidR="00C058BB">
        <w:t>2016</w:t>
      </w:r>
      <w:r w:rsidR="00442C1C">
        <w:t xml:space="preserve">. </w:t>
      </w:r>
      <w:r w:rsidR="00C058BB">
        <w:rPr>
          <w:i/>
        </w:rPr>
        <w:t xml:space="preserve">Emergency </w:t>
      </w:r>
      <w:r w:rsidR="00731B42">
        <w:rPr>
          <w:i/>
        </w:rPr>
        <w:t>D</w:t>
      </w:r>
      <w:r w:rsidR="00C058BB">
        <w:rPr>
          <w:i/>
        </w:rPr>
        <w:t xml:space="preserve">epartment </w:t>
      </w:r>
      <w:r w:rsidR="00731B42">
        <w:rPr>
          <w:i/>
        </w:rPr>
        <w:t>Us</w:t>
      </w:r>
      <w:r w:rsidR="00C058BB">
        <w:rPr>
          <w:i/>
        </w:rPr>
        <w:t>e 2014/15</w:t>
      </w:r>
      <w:r w:rsidR="00442C1C">
        <w:t>.</w:t>
      </w:r>
      <w:r w:rsidR="00C058BB">
        <w:br/>
      </w:r>
      <w:r w:rsidR="00442C1C">
        <w:t>Wellington: Ministry of Health.</w:t>
      </w:r>
    </w:p>
    <w:p w14:paraId="0458957F" w14:textId="77777777" w:rsidR="00C86248" w:rsidRDefault="00C86248">
      <w:pPr>
        <w:pStyle w:val="Imprint"/>
      </w:pPr>
      <w:r>
        <w:t xml:space="preserve">Published in </w:t>
      </w:r>
      <w:r w:rsidR="00C058BB">
        <w:t>August 2016</w:t>
      </w:r>
      <w:r w:rsidR="005019AE">
        <w:br/>
      </w:r>
      <w:r>
        <w:t>by the</w:t>
      </w:r>
      <w:r w:rsidR="00442C1C">
        <w:t xml:space="preserve"> </w:t>
      </w:r>
      <w:r>
        <w:t>Ministry of Health</w:t>
      </w:r>
      <w:r>
        <w:br/>
        <w:t>PO Box 5013, Wellington</w:t>
      </w:r>
      <w:r w:rsidR="00A80363">
        <w:t xml:space="preserve"> 614</w:t>
      </w:r>
      <w:r w:rsidR="006041F0">
        <w:t>0</w:t>
      </w:r>
      <w:r>
        <w:t>, New Zealand</w:t>
      </w:r>
    </w:p>
    <w:p w14:paraId="556BD0FF" w14:textId="77777777" w:rsidR="00F07A99" w:rsidRDefault="00F07A99" w:rsidP="00F07A99">
      <w:pPr>
        <w:jc w:val="center"/>
      </w:pPr>
      <w:r>
        <w:t>ISBN 978-0-947515-29-4 (online)</w:t>
      </w:r>
    </w:p>
    <w:p w14:paraId="243DB8C1" w14:textId="77777777" w:rsidR="00F07A99" w:rsidRDefault="00F07A99" w:rsidP="00F07A99">
      <w:pPr>
        <w:jc w:val="center"/>
      </w:pPr>
      <w:r>
        <w:t>HP 6436</w:t>
      </w:r>
    </w:p>
    <w:p w14:paraId="6EE59017" w14:textId="77777777" w:rsidR="00F07A99" w:rsidRDefault="00F07A99" w:rsidP="00F07A99">
      <w:pPr>
        <w:jc w:val="center"/>
      </w:pPr>
      <w:r>
        <w:t>This document is available at health.govt.nz</w:t>
      </w:r>
    </w:p>
    <w:p w14:paraId="77D5A33C" w14:textId="77777777" w:rsidR="00F07A99" w:rsidRDefault="00F07A99" w:rsidP="00F07A99">
      <w:pPr>
        <w:jc w:val="center"/>
      </w:pPr>
    </w:p>
    <w:p w14:paraId="59E42FC1" w14:textId="77777777" w:rsidR="00C86248" w:rsidRDefault="00EE6751" w:rsidP="00F07A99">
      <w:pPr>
        <w:jc w:val="center"/>
      </w:pPr>
      <w:r>
        <w:rPr>
          <w:noProof/>
          <w:lang w:eastAsia="en-NZ"/>
        </w:rPr>
        <w:drawing>
          <wp:inline distT="0" distB="0" distL="0" distR="0" wp14:anchorId="09FBFCBF" wp14:editId="3E49A923">
            <wp:extent cx="1670685" cy="681355"/>
            <wp:effectExtent l="0" t="0" r="5715" b="4445"/>
            <wp:docPr id="1" name="Picture 2" title="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14:paraId="2208DBCD" w14:textId="77777777" w:rsidR="007E74F1" w:rsidRPr="00B32FF8" w:rsidRDefault="00EE6751" w:rsidP="00B32FF8">
      <w:pPr>
        <w:rPr>
          <w:sz w:val="18"/>
          <w:szCs w:val="18"/>
        </w:rPr>
      </w:pPr>
      <w:r w:rsidRPr="00B32FF8">
        <w:rPr>
          <w:noProof/>
          <w:sz w:val="18"/>
          <w:szCs w:val="18"/>
          <w:lang w:eastAsia="en-NZ"/>
        </w:rPr>
        <w:drawing>
          <wp:inline distT="0" distB="0" distL="0" distR="0" wp14:anchorId="7F3056BB" wp14:editId="7C7C360C">
            <wp:extent cx="806450" cy="282575"/>
            <wp:effectExtent l="0" t="0" r="0" b="3175"/>
            <wp:docPr id="2"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6450" cy="282575"/>
                    </a:xfrm>
                    <a:prstGeom prst="rect">
                      <a:avLst/>
                    </a:prstGeom>
                    <a:noFill/>
                    <a:ln>
                      <a:noFill/>
                    </a:ln>
                  </pic:spPr>
                </pic:pic>
              </a:graphicData>
            </a:graphic>
          </wp:inline>
        </w:drawing>
      </w:r>
      <w:r w:rsidR="007E74F1" w:rsidRPr="00B32FF8">
        <w:rPr>
          <w:sz w:val="18"/>
          <w:szCs w:val="18"/>
        </w:rPr>
        <w:t xml:space="preserve"> 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p w14:paraId="48E51566" w14:textId="77777777" w:rsidR="00C86248" w:rsidRPr="00B32FF8" w:rsidRDefault="00C86248" w:rsidP="00B32FF8">
      <w:pPr>
        <w:rPr>
          <w:sz w:val="18"/>
          <w:szCs w:val="18"/>
        </w:rPr>
        <w:sectPr w:rsidR="00C86248" w:rsidRPr="00B32FF8" w:rsidSect="0016468A">
          <w:footerReference w:type="even" r:id="rId12"/>
          <w:footerReference w:type="default" r:id="rId13"/>
          <w:pgSz w:w="11907" w:h="16834" w:code="9"/>
          <w:pgMar w:top="1701" w:right="1134" w:bottom="1134" w:left="1985" w:header="0" w:footer="0" w:gutter="0"/>
          <w:cols w:space="720"/>
          <w:vAlign w:val="bottom"/>
        </w:sectPr>
      </w:pPr>
    </w:p>
    <w:p w14:paraId="1772C04D" w14:textId="77777777" w:rsidR="00C86248" w:rsidRDefault="00C86248">
      <w:pPr>
        <w:pStyle w:val="IntroHead"/>
      </w:pPr>
      <w:bookmarkStart w:id="0" w:name="_Toc405792991"/>
      <w:bookmarkStart w:id="1" w:name="_Toc405793224"/>
      <w:r>
        <w:lastRenderedPageBreak/>
        <w:t>Contents</w:t>
      </w:r>
      <w:bookmarkEnd w:id="0"/>
      <w:bookmarkEnd w:id="1"/>
    </w:p>
    <w:p w14:paraId="28480013" w14:textId="77777777" w:rsidR="0001006A" w:rsidRPr="008D7374" w:rsidRDefault="00C86248">
      <w:pPr>
        <w:pStyle w:val="TOC1"/>
        <w:rPr>
          <w:rFonts w:ascii="Calibri" w:hAnsi="Calibri"/>
          <w:b w:val="0"/>
          <w:noProof/>
          <w:szCs w:val="22"/>
          <w:lang w:eastAsia="en-NZ"/>
        </w:rPr>
      </w:pPr>
      <w:r>
        <w:rPr>
          <w:b w:val="0"/>
        </w:rPr>
        <w:fldChar w:fldCharType="begin"/>
      </w:r>
      <w:r>
        <w:instrText xml:space="preserve"> TOC \o "1-2" </w:instrText>
      </w:r>
      <w:r>
        <w:rPr>
          <w:b w:val="0"/>
        </w:rPr>
        <w:fldChar w:fldCharType="separate"/>
      </w:r>
      <w:r w:rsidR="0001006A">
        <w:rPr>
          <w:noProof/>
        </w:rPr>
        <w:t>Executive summary</w:t>
      </w:r>
      <w:r w:rsidR="0001006A">
        <w:rPr>
          <w:noProof/>
        </w:rPr>
        <w:tab/>
      </w:r>
      <w:r w:rsidR="0001006A">
        <w:rPr>
          <w:noProof/>
        </w:rPr>
        <w:fldChar w:fldCharType="begin"/>
      </w:r>
      <w:r w:rsidR="0001006A">
        <w:rPr>
          <w:noProof/>
        </w:rPr>
        <w:instrText xml:space="preserve"> PAGEREF _Toc453058820 \h </w:instrText>
      </w:r>
      <w:r w:rsidR="0001006A">
        <w:rPr>
          <w:noProof/>
        </w:rPr>
      </w:r>
      <w:r w:rsidR="0001006A">
        <w:rPr>
          <w:noProof/>
        </w:rPr>
        <w:fldChar w:fldCharType="separate"/>
      </w:r>
      <w:r w:rsidR="00CD2E1C">
        <w:rPr>
          <w:noProof/>
        </w:rPr>
        <w:t>vii</w:t>
      </w:r>
      <w:r w:rsidR="0001006A">
        <w:rPr>
          <w:noProof/>
        </w:rPr>
        <w:fldChar w:fldCharType="end"/>
      </w:r>
    </w:p>
    <w:p w14:paraId="6D3791EC" w14:textId="77777777" w:rsidR="0001006A" w:rsidRPr="008D7374" w:rsidRDefault="0001006A">
      <w:pPr>
        <w:pStyle w:val="TOC1"/>
        <w:rPr>
          <w:rFonts w:ascii="Calibri" w:hAnsi="Calibri"/>
          <w:b w:val="0"/>
          <w:noProof/>
          <w:szCs w:val="22"/>
          <w:lang w:eastAsia="en-NZ"/>
        </w:rPr>
      </w:pPr>
      <w:r>
        <w:rPr>
          <w:noProof/>
        </w:rPr>
        <w:t>Introduction</w:t>
      </w:r>
      <w:r>
        <w:rPr>
          <w:noProof/>
        </w:rPr>
        <w:tab/>
      </w:r>
      <w:r>
        <w:rPr>
          <w:noProof/>
        </w:rPr>
        <w:fldChar w:fldCharType="begin"/>
      </w:r>
      <w:r>
        <w:rPr>
          <w:noProof/>
        </w:rPr>
        <w:instrText xml:space="preserve"> PAGEREF _Toc453058821 \h </w:instrText>
      </w:r>
      <w:r>
        <w:rPr>
          <w:noProof/>
        </w:rPr>
      </w:r>
      <w:r>
        <w:rPr>
          <w:noProof/>
        </w:rPr>
        <w:fldChar w:fldCharType="separate"/>
      </w:r>
      <w:r w:rsidR="00CD2E1C">
        <w:rPr>
          <w:noProof/>
        </w:rPr>
        <w:t>1</w:t>
      </w:r>
      <w:r>
        <w:rPr>
          <w:noProof/>
        </w:rPr>
        <w:fldChar w:fldCharType="end"/>
      </w:r>
    </w:p>
    <w:p w14:paraId="07E5ED58" w14:textId="77777777" w:rsidR="0001006A" w:rsidRPr="008D7374" w:rsidRDefault="0001006A">
      <w:pPr>
        <w:pStyle w:val="TOC2"/>
        <w:rPr>
          <w:rFonts w:ascii="Calibri" w:hAnsi="Calibri"/>
          <w:noProof/>
          <w:szCs w:val="22"/>
          <w:lang w:eastAsia="en-NZ"/>
        </w:rPr>
      </w:pPr>
      <w:r>
        <w:rPr>
          <w:noProof/>
        </w:rPr>
        <w:t>Interpretation notes</w:t>
      </w:r>
      <w:r>
        <w:rPr>
          <w:noProof/>
        </w:rPr>
        <w:tab/>
      </w:r>
      <w:r>
        <w:rPr>
          <w:noProof/>
        </w:rPr>
        <w:fldChar w:fldCharType="begin"/>
      </w:r>
      <w:r>
        <w:rPr>
          <w:noProof/>
        </w:rPr>
        <w:instrText xml:space="preserve"> PAGEREF _Toc453058822 \h </w:instrText>
      </w:r>
      <w:r>
        <w:rPr>
          <w:noProof/>
        </w:rPr>
      </w:r>
      <w:r>
        <w:rPr>
          <w:noProof/>
        </w:rPr>
        <w:fldChar w:fldCharType="separate"/>
      </w:r>
      <w:r w:rsidR="00CD2E1C">
        <w:rPr>
          <w:noProof/>
        </w:rPr>
        <w:t>1</w:t>
      </w:r>
      <w:r>
        <w:rPr>
          <w:noProof/>
        </w:rPr>
        <w:fldChar w:fldCharType="end"/>
      </w:r>
    </w:p>
    <w:p w14:paraId="1ACEFDF2" w14:textId="77777777" w:rsidR="0001006A" w:rsidRPr="008D7374" w:rsidRDefault="0001006A">
      <w:pPr>
        <w:pStyle w:val="TOC2"/>
        <w:rPr>
          <w:rFonts w:ascii="Calibri" w:hAnsi="Calibri"/>
          <w:noProof/>
          <w:szCs w:val="22"/>
          <w:lang w:eastAsia="en-NZ"/>
        </w:rPr>
      </w:pPr>
      <w:r>
        <w:rPr>
          <w:noProof/>
        </w:rPr>
        <w:t>Analytical methods</w:t>
      </w:r>
      <w:r>
        <w:rPr>
          <w:noProof/>
        </w:rPr>
        <w:tab/>
      </w:r>
      <w:r>
        <w:rPr>
          <w:noProof/>
        </w:rPr>
        <w:fldChar w:fldCharType="begin"/>
      </w:r>
      <w:r>
        <w:rPr>
          <w:noProof/>
        </w:rPr>
        <w:instrText xml:space="preserve"> PAGEREF _Toc453058823 \h </w:instrText>
      </w:r>
      <w:r>
        <w:rPr>
          <w:noProof/>
        </w:rPr>
      </w:r>
      <w:r>
        <w:rPr>
          <w:noProof/>
        </w:rPr>
        <w:fldChar w:fldCharType="separate"/>
      </w:r>
      <w:r w:rsidR="00CD2E1C">
        <w:rPr>
          <w:noProof/>
        </w:rPr>
        <w:t>2</w:t>
      </w:r>
      <w:r>
        <w:rPr>
          <w:noProof/>
        </w:rPr>
        <w:fldChar w:fldCharType="end"/>
      </w:r>
    </w:p>
    <w:p w14:paraId="11F0F081" w14:textId="77777777" w:rsidR="0001006A" w:rsidRPr="008D7374" w:rsidRDefault="0001006A">
      <w:pPr>
        <w:pStyle w:val="TOC2"/>
        <w:rPr>
          <w:rFonts w:ascii="Calibri" w:hAnsi="Calibri"/>
          <w:noProof/>
          <w:szCs w:val="22"/>
          <w:lang w:eastAsia="en-NZ"/>
        </w:rPr>
      </w:pPr>
      <w:r>
        <w:rPr>
          <w:noProof/>
        </w:rPr>
        <w:t>Additional information</w:t>
      </w:r>
      <w:r>
        <w:rPr>
          <w:noProof/>
        </w:rPr>
        <w:tab/>
      </w:r>
      <w:r>
        <w:rPr>
          <w:noProof/>
        </w:rPr>
        <w:fldChar w:fldCharType="begin"/>
      </w:r>
      <w:r>
        <w:rPr>
          <w:noProof/>
        </w:rPr>
        <w:instrText xml:space="preserve"> PAGEREF _Toc453058824 \h </w:instrText>
      </w:r>
      <w:r>
        <w:rPr>
          <w:noProof/>
        </w:rPr>
      </w:r>
      <w:r>
        <w:rPr>
          <w:noProof/>
        </w:rPr>
        <w:fldChar w:fldCharType="separate"/>
      </w:r>
      <w:r w:rsidR="00CD2E1C">
        <w:rPr>
          <w:noProof/>
        </w:rPr>
        <w:t>3</w:t>
      </w:r>
      <w:r>
        <w:rPr>
          <w:noProof/>
        </w:rPr>
        <w:fldChar w:fldCharType="end"/>
      </w:r>
    </w:p>
    <w:p w14:paraId="63473231" w14:textId="77777777" w:rsidR="0001006A" w:rsidRPr="008D7374" w:rsidRDefault="0001006A">
      <w:pPr>
        <w:pStyle w:val="TOC1"/>
        <w:rPr>
          <w:rFonts w:ascii="Calibri" w:hAnsi="Calibri"/>
          <w:b w:val="0"/>
          <w:noProof/>
          <w:szCs w:val="22"/>
          <w:lang w:eastAsia="en-NZ"/>
        </w:rPr>
      </w:pPr>
      <w:r>
        <w:rPr>
          <w:noProof/>
        </w:rPr>
        <w:t>Patients</w:t>
      </w:r>
      <w:r>
        <w:rPr>
          <w:noProof/>
        </w:rPr>
        <w:tab/>
      </w:r>
      <w:r>
        <w:rPr>
          <w:noProof/>
        </w:rPr>
        <w:fldChar w:fldCharType="begin"/>
      </w:r>
      <w:r>
        <w:rPr>
          <w:noProof/>
        </w:rPr>
        <w:instrText xml:space="preserve"> PAGEREF _Toc453058825 \h </w:instrText>
      </w:r>
      <w:r>
        <w:rPr>
          <w:noProof/>
        </w:rPr>
      </w:r>
      <w:r>
        <w:rPr>
          <w:noProof/>
        </w:rPr>
        <w:fldChar w:fldCharType="separate"/>
      </w:r>
      <w:r w:rsidR="00CD2E1C">
        <w:rPr>
          <w:noProof/>
        </w:rPr>
        <w:t>4</w:t>
      </w:r>
      <w:r>
        <w:rPr>
          <w:noProof/>
        </w:rPr>
        <w:fldChar w:fldCharType="end"/>
      </w:r>
    </w:p>
    <w:p w14:paraId="3D5D7DE2" w14:textId="77777777" w:rsidR="0001006A" w:rsidRPr="008D7374" w:rsidRDefault="0001006A">
      <w:pPr>
        <w:pStyle w:val="TOC2"/>
        <w:rPr>
          <w:rFonts w:ascii="Calibri" w:hAnsi="Calibri"/>
          <w:noProof/>
          <w:szCs w:val="22"/>
          <w:lang w:eastAsia="en-NZ"/>
        </w:rPr>
      </w:pPr>
      <w:r>
        <w:rPr>
          <w:noProof/>
        </w:rPr>
        <w:t>Overview</w:t>
      </w:r>
      <w:r>
        <w:rPr>
          <w:noProof/>
        </w:rPr>
        <w:tab/>
      </w:r>
      <w:r>
        <w:rPr>
          <w:noProof/>
        </w:rPr>
        <w:fldChar w:fldCharType="begin"/>
      </w:r>
      <w:r>
        <w:rPr>
          <w:noProof/>
        </w:rPr>
        <w:instrText xml:space="preserve"> PAGEREF _Toc453058826 \h </w:instrText>
      </w:r>
      <w:r>
        <w:rPr>
          <w:noProof/>
        </w:rPr>
      </w:r>
      <w:r>
        <w:rPr>
          <w:noProof/>
        </w:rPr>
        <w:fldChar w:fldCharType="separate"/>
      </w:r>
      <w:r w:rsidR="00CD2E1C">
        <w:rPr>
          <w:noProof/>
        </w:rPr>
        <w:t>4</w:t>
      </w:r>
      <w:r>
        <w:rPr>
          <w:noProof/>
        </w:rPr>
        <w:fldChar w:fldCharType="end"/>
      </w:r>
    </w:p>
    <w:p w14:paraId="46B31926" w14:textId="77777777" w:rsidR="0001006A" w:rsidRPr="008D7374" w:rsidRDefault="0001006A">
      <w:pPr>
        <w:pStyle w:val="TOC2"/>
        <w:rPr>
          <w:rFonts w:ascii="Calibri" w:hAnsi="Calibri"/>
          <w:noProof/>
          <w:szCs w:val="22"/>
          <w:lang w:eastAsia="en-NZ"/>
        </w:rPr>
      </w:pPr>
      <w:r>
        <w:rPr>
          <w:noProof/>
        </w:rPr>
        <w:t>District health board region</w:t>
      </w:r>
      <w:r>
        <w:rPr>
          <w:noProof/>
        </w:rPr>
        <w:tab/>
      </w:r>
      <w:r>
        <w:rPr>
          <w:noProof/>
        </w:rPr>
        <w:fldChar w:fldCharType="begin"/>
      </w:r>
      <w:r>
        <w:rPr>
          <w:noProof/>
        </w:rPr>
        <w:instrText xml:space="preserve"> PAGEREF _Toc453058827 \h </w:instrText>
      </w:r>
      <w:r>
        <w:rPr>
          <w:noProof/>
        </w:rPr>
      </w:r>
      <w:r>
        <w:rPr>
          <w:noProof/>
        </w:rPr>
        <w:fldChar w:fldCharType="separate"/>
      </w:r>
      <w:r w:rsidR="00CD2E1C">
        <w:rPr>
          <w:noProof/>
        </w:rPr>
        <w:t>5</w:t>
      </w:r>
      <w:r>
        <w:rPr>
          <w:noProof/>
        </w:rPr>
        <w:fldChar w:fldCharType="end"/>
      </w:r>
    </w:p>
    <w:p w14:paraId="5FD89CAC" w14:textId="77777777" w:rsidR="0001006A" w:rsidRPr="008D7374" w:rsidRDefault="0001006A">
      <w:pPr>
        <w:pStyle w:val="TOC2"/>
        <w:rPr>
          <w:rFonts w:ascii="Calibri" w:hAnsi="Calibri"/>
          <w:noProof/>
          <w:szCs w:val="22"/>
          <w:lang w:eastAsia="en-NZ"/>
        </w:rPr>
      </w:pPr>
      <w:r>
        <w:rPr>
          <w:noProof/>
        </w:rPr>
        <w:t>Gender</w:t>
      </w:r>
      <w:r>
        <w:rPr>
          <w:noProof/>
        </w:rPr>
        <w:tab/>
      </w:r>
      <w:r>
        <w:rPr>
          <w:noProof/>
        </w:rPr>
        <w:fldChar w:fldCharType="begin"/>
      </w:r>
      <w:r>
        <w:rPr>
          <w:noProof/>
        </w:rPr>
        <w:instrText xml:space="preserve"> PAGEREF _Toc453058828 \h </w:instrText>
      </w:r>
      <w:r>
        <w:rPr>
          <w:noProof/>
        </w:rPr>
      </w:r>
      <w:r>
        <w:rPr>
          <w:noProof/>
        </w:rPr>
        <w:fldChar w:fldCharType="separate"/>
      </w:r>
      <w:r w:rsidR="00CD2E1C">
        <w:rPr>
          <w:noProof/>
        </w:rPr>
        <w:t>6</w:t>
      </w:r>
      <w:r>
        <w:rPr>
          <w:noProof/>
        </w:rPr>
        <w:fldChar w:fldCharType="end"/>
      </w:r>
    </w:p>
    <w:p w14:paraId="13FF5278" w14:textId="77777777" w:rsidR="0001006A" w:rsidRPr="008D7374" w:rsidRDefault="0001006A">
      <w:pPr>
        <w:pStyle w:val="TOC2"/>
        <w:rPr>
          <w:rFonts w:ascii="Calibri" w:hAnsi="Calibri"/>
          <w:noProof/>
          <w:szCs w:val="22"/>
          <w:lang w:eastAsia="en-NZ"/>
        </w:rPr>
      </w:pPr>
      <w:r>
        <w:rPr>
          <w:noProof/>
        </w:rPr>
        <w:t>Age</w:t>
      </w:r>
      <w:r>
        <w:rPr>
          <w:noProof/>
        </w:rPr>
        <w:tab/>
      </w:r>
      <w:r>
        <w:rPr>
          <w:noProof/>
        </w:rPr>
        <w:fldChar w:fldCharType="begin"/>
      </w:r>
      <w:r>
        <w:rPr>
          <w:noProof/>
        </w:rPr>
        <w:instrText xml:space="preserve"> PAGEREF _Toc453058829 \h </w:instrText>
      </w:r>
      <w:r>
        <w:rPr>
          <w:noProof/>
        </w:rPr>
      </w:r>
      <w:r>
        <w:rPr>
          <w:noProof/>
        </w:rPr>
        <w:fldChar w:fldCharType="separate"/>
      </w:r>
      <w:r w:rsidR="00CD2E1C">
        <w:rPr>
          <w:noProof/>
        </w:rPr>
        <w:t>7</w:t>
      </w:r>
      <w:r>
        <w:rPr>
          <w:noProof/>
        </w:rPr>
        <w:fldChar w:fldCharType="end"/>
      </w:r>
    </w:p>
    <w:p w14:paraId="450B9338" w14:textId="77777777" w:rsidR="0001006A" w:rsidRPr="008D7374" w:rsidRDefault="0001006A">
      <w:pPr>
        <w:pStyle w:val="TOC2"/>
        <w:rPr>
          <w:rFonts w:ascii="Calibri" w:hAnsi="Calibri"/>
          <w:noProof/>
          <w:szCs w:val="22"/>
          <w:lang w:eastAsia="en-NZ"/>
        </w:rPr>
      </w:pPr>
      <w:r>
        <w:rPr>
          <w:noProof/>
        </w:rPr>
        <w:t>Ethnicity</w:t>
      </w:r>
      <w:r>
        <w:rPr>
          <w:noProof/>
        </w:rPr>
        <w:tab/>
      </w:r>
      <w:r>
        <w:rPr>
          <w:noProof/>
        </w:rPr>
        <w:fldChar w:fldCharType="begin"/>
      </w:r>
      <w:r>
        <w:rPr>
          <w:noProof/>
        </w:rPr>
        <w:instrText xml:space="preserve"> PAGEREF _Toc453058830 \h </w:instrText>
      </w:r>
      <w:r>
        <w:rPr>
          <w:noProof/>
        </w:rPr>
      </w:r>
      <w:r>
        <w:rPr>
          <w:noProof/>
        </w:rPr>
        <w:fldChar w:fldCharType="separate"/>
      </w:r>
      <w:r w:rsidR="00CD2E1C">
        <w:rPr>
          <w:noProof/>
        </w:rPr>
        <w:t>11</w:t>
      </w:r>
      <w:r>
        <w:rPr>
          <w:noProof/>
        </w:rPr>
        <w:fldChar w:fldCharType="end"/>
      </w:r>
    </w:p>
    <w:p w14:paraId="681BAC13" w14:textId="77777777" w:rsidR="0001006A" w:rsidRPr="008D7374" w:rsidRDefault="0001006A">
      <w:pPr>
        <w:pStyle w:val="TOC2"/>
        <w:rPr>
          <w:rFonts w:ascii="Calibri" w:hAnsi="Calibri"/>
          <w:noProof/>
          <w:szCs w:val="22"/>
          <w:lang w:eastAsia="en-NZ"/>
        </w:rPr>
      </w:pPr>
      <w:r>
        <w:rPr>
          <w:noProof/>
        </w:rPr>
        <w:t>Deprivation</w:t>
      </w:r>
      <w:r>
        <w:rPr>
          <w:noProof/>
        </w:rPr>
        <w:tab/>
      </w:r>
      <w:r>
        <w:rPr>
          <w:noProof/>
        </w:rPr>
        <w:fldChar w:fldCharType="begin"/>
      </w:r>
      <w:r>
        <w:rPr>
          <w:noProof/>
        </w:rPr>
        <w:instrText xml:space="preserve"> PAGEREF _Toc453058831 \h </w:instrText>
      </w:r>
      <w:r>
        <w:rPr>
          <w:noProof/>
        </w:rPr>
      </w:r>
      <w:r>
        <w:rPr>
          <w:noProof/>
        </w:rPr>
        <w:fldChar w:fldCharType="separate"/>
      </w:r>
      <w:r w:rsidR="00CD2E1C">
        <w:rPr>
          <w:noProof/>
        </w:rPr>
        <w:t>15</w:t>
      </w:r>
      <w:r>
        <w:rPr>
          <w:noProof/>
        </w:rPr>
        <w:fldChar w:fldCharType="end"/>
      </w:r>
    </w:p>
    <w:p w14:paraId="08A541DA" w14:textId="77777777" w:rsidR="0001006A" w:rsidRPr="008D7374" w:rsidRDefault="0001006A">
      <w:pPr>
        <w:pStyle w:val="TOC2"/>
        <w:rPr>
          <w:rFonts w:ascii="Calibri" w:hAnsi="Calibri"/>
          <w:noProof/>
          <w:szCs w:val="22"/>
          <w:lang w:eastAsia="en-NZ"/>
        </w:rPr>
      </w:pPr>
      <w:r>
        <w:rPr>
          <w:noProof/>
        </w:rPr>
        <w:t>Frequency of emergency department use</w:t>
      </w:r>
      <w:r>
        <w:rPr>
          <w:noProof/>
        </w:rPr>
        <w:tab/>
      </w:r>
      <w:r>
        <w:rPr>
          <w:noProof/>
        </w:rPr>
        <w:fldChar w:fldCharType="begin"/>
      </w:r>
      <w:r>
        <w:rPr>
          <w:noProof/>
        </w:rPr>
        <w:instrText xml:space="preserve"> PAGEREF _Toc453058832 \h </w:instrText>
      </w:r>
      <w:r>
        <w:rPr>
          <w:noProof/>
        </w:rPr>
      </w:r>
      <w:r>
        <w:rPr>
          <w:noProof/>
        </w:rPr>
        <w:fldChar w:fldCharType="separate"/>
      </w:r>
      <w:r w:rsidR="00CD2E1C">
        <w:rPr>
          <w:noProof/>
        </w:rPr>
        <w:t>18</w:t>
      </w:r>
      <w:r>
        <w:rPr>
          <w:noProof/>
        </w:rPr>
        <w:fldChar w:fldCharType="end"/>
      </w:r>
    </w:p>
    <w:p w14:paraId="46DBFFB8" w14:textId="77777777" w:rsidR="0001006A" w:rsidRPr="008D7374" w:rsidRDefault="0001006A">
      <w:pPr>
        <w:pStyle w:val="TOC1"/>
        <w:rPr>
          <w:rFonts w:ascii="Calibri" w:hAnsi="Calibri"/>
          <w:b w:val="0"/>
          <w:noProof/>
          <w:szCs w:val="22"/>
          <w:lang w:eastAsia="en-NZ"/>
        </w:rPr>
      </w:pPr>
      <w:r>
        <w:rPr>
          <w:noProof/>
        </w:rPr>
        <w:t>Events</w:t>
      </w:r>
      <w:r>
        <w:rPr>
          <w:noProof/>
        </w:rPr>
        <w:tab/>
      </w:r>
      <w:r>
        <w:rPr>
          <w:noProof/>
        </w:rPr>
        <w:fldChar w:fldCharType="begin"/>
      </w:r>
      <w:r>
        <w:rPr>
          <w:noProof/>
        </w:rPr>
        <w:instrText xml:space="preserve"> PAGEREF _Toc453058833 \h </w:instrText>
      </w:r>
      <w:r>
        <w:rPr>
          <w:noProof/>
        </w:rPr>
      </w:r>
      <w:r>
        <w:rPr>
          <w:noProof/>
        </w:rPr>
        <w:fldChar w:fldCharType="separate"/>
      </w:r>
      <w:r w:rsidR="00CD2E1C">
        <w:rPr>
          <w:noProof/>
        </w:rPr>
        <w:t>22</w:t>
      </w:r>
      <w:r>
        <w:rPr>
          <w:noProof/>
        </w:rPr>
        <w:fldChar w:fldCharType="end"/>
      </w:r>
    </w:p>
    <w:p w14:paraId="00EE002D" w14:textId="77777777" w:rsidR="0001006A" w:rsidRPr="008D7374" w:rsidRDefault="0001006A">
      <w:pPr>
        <w:pStyle w:val="TOC2"/>
        <w:rPr>
          <w:rFonts w:ascii="Calibri" w:hAnsi="Calibri"/>
          <w:noProof/>
          <w:szCs w:val="22"/>
          <w:lang w:eastAsia="en-NZ"/>
        </w:rPr>
      </w:pPr>
      <w:r>
        <w:rPr>
          <w:noProof/>
        </w:rPr>
        <w:t>Overview</w:t>
      </w:r>
      <w:r>
        <w:rPr>
          <w:noProof/>
        </w:rPr>
        <w:tab/>
      </w:r>
      <w:r>
        <w:rPr>
          <w:noProof/>
        </w:rPr>
        <w:fldChar w:fldCharType="begin"/>
      </w:r>
      <w:r>
        <w:rPr>
          <w:noProof/>
        </w:rPr>
        <w:instrText xml:space="preserve"> PAGEREF _Toc453058834 \h </w:instrText>
      </w:r>
      <w:r>
        <w:rPr>
          <w:noProof/>
        </w:rPr>
      </w:r>
      <w:r>
        <w:rPr>
          <w:noProof/>
        </w:rPr>
        <w:fldChar w:fldCharType="separate"/>
      </w:r>
      <w:r w:rsidR="00CD2E1C">
        <w:rPr>
          <w:noProof/>
        </w:rPr>
        <w:t>22</w:t>
      </w:r>
      <w:r>
        <w:rPr>
          <w:noProof/>
        </w:rPr>
        <w:fldChar w:fldCharType="end"/>
      </w:r>
    </w:p>
    <w:p w14:paraId="45897904" w14:textId="77777777" w:rsidR="0001006A" w:rsidRPr="008D7374" w:rsidRDefault="0001006A">
      <w:pPr>
        <w:pStyle w:val="TOC2"/>
        <w:rPr>
          <w:rFonts w:ascii="Calibri" w:hAnsi="Calibri"/>
          <w:noProof/>
          <w:szCs w:val="22"/>
          <w:lang w:eastAsia="en-NZ"/>
        </w:rPr>
      </w:pPr>
      <w:r>
        <w:rPr>
          <w:noProof/>
        </w:rPr>
        <w:t>Location</w:t>
      </w:r>
      <w:r>
        <w:rPr>
          <w:noProof/>
        </w:rPr>
        <w:tab/>
      </w:r>
      <w:r>
        <w:rPr>
          <w:noProof/>
        </w:rPr>
        <w:fldChar w:fldCharType="begin"/>
      </w:r>
      <w:r>
        <w:rPr>
          <w:noProof/>
        </w:rPr>
        <w:instrText xml:space="preserve"> PAGEREF _Toc453058835 \h </w:instrText>
      </w:r>
      <w:r>
        <w:rPr>
          <w:noProof/>
        </w:rPr>
      </w:r>
      <w:r>
        <w:rPr>
          <w:noProof/>
        </w:rPr>
        <w:fldChar w:fldCharType="separate"/>
      </w:r>
      <w:r w:rsidR="00CD2E1C">
        <w:rPr>
          <w:noProof/>
        </w:rPr>
        <w:t>22</w:t>
      </w:r>
      <w:r>
        <w:rPr>
          <w:noProof/>
        </w:rPr>
        <w:fldChar w:fldCharType="end"/>
      </w:r>
    </w:p>
    <w:p w14:paraId="45F470E9" w14:textId="77777777" w:rsidR="0001006A" w:rsidRPr="008D7374" w:rsidRDefault="0001006A">
      <w:pPr>
        <w:pStyle w:val="TOC2"/>
        <w:rPr>
          <w:rFonts w:ascii="Calibri" w:hAnsi="Calibri"/>
          <w:noProof/>
          <w:szCs w:val="22"/>
          <w:lang w:eastAsia="en-NZ"/>
        </w:rPr>
      </w:pPr>
      <w:r>
        <w:rPr>
          <w:noProof/>
        </w:rPr>
        <w:t>Day of the week</w:t>
      </w:r>
      <w:r>
        <w:rPr>
          <w:noProof/>
        </w:rPr>
        <w:tab/>
      </w:r>
      <w:r>
        <w:rPr>
          <w:noProof/>
        </w:rPr>
        <w:fldChar w:fldCharType="begin"/>
      </w:r>
      <w:r>
        <w:rPr>
          <w:noProof/>
        </w:rPr>
        <w:instrText xml:space="preserve"> PAGEREF _Toc453058836 \h </w:instrText>
      </w:r>
      <w:r>
        <w:rPr>
          <w:noProof/>
        </w:rPr>
      </w:r>
      <w:r>
        <w:rPr>
          <w:noProof/>
        </w:rPr>
        <w:fldChar w:fldCharType="separate"/>
      </w:r>
      <w:r w:rsidR="00CD2E1C">
        <w:rPr>
          <w:noProof/>
        </w:rPr>
        <w:t>23</w:t>
      </w:r>
      <w:r>
        <w:rPr>
          <w:noProof/>
        </w:rPr>
        <w:fldChar w:fldCharType="end"/>
      </w:r>
    </w:p>
    <w:p w14:paraId="4D9C7382" w14:textId="77777777" w:rsidR="0001006A" w:rsidRPr="008D7374" w:rsidRDefault="0001006A">
      <w:pPr>
        <w:pStyle w:val="TOC2"/>
        <w:rPr>
          <w:rFonts w:ascii="Calibri" w:hAnsi="Calibri"/>
          <w:noProof/>
          <w:szCs w:val="22"/>
          <w:lang w:eastAsia="en-NZ"/>
        </w:rPr>
      </w:pPr>
      <w:r>
        <w:rPr>
          <w:noProof/>
        </w:rPr>
        <w:t>Seasonality</w:t>
      </w:r>
      <w:r>
        <w:rPr>
          <w:noProof/>
        </w:rPr>
        <w:tab/>
      </w:r>
      <w:r>
        <w:rPr>
          <w:noProof/>
        </w:rPr>
        <w:fldChar w:fldCharType="begin"/>
      </w:r>
      <w:r>
        <w:rPr>
          <w:noProof/>
        </w:rPr>
        <w:instrText xml:space="preserve"> PAGEREF _Toc453058837 \h </w:instrText>
      </w:r>
      <w:r>
        <w:rPr>
          <w:noProof/>
        </w:rPr>
      </w:r>
      <w:r>
        <w:rPr>
          <w:noProof/>
        </w:rPr>
        <w:fldChar w:fldCharType="separate"/>
      </w:r>
      <w:r w:rsidR="00CD2E1C">
        <w:rPr>
          <w:noProof/>
        </w:rPr>
        <w:t>24</w:t>
      </w:r>
      <w:r>
        <w:rPr>
          <w:noProof/>
        </w:rPr>
        <w:fldChar w:fldCharType="end"/>
      </w:r>
    </w:p>
    <w:p w14:paraId="06082C67" w14:textId="77777777" w:rsidR="0001006A" w:rsidRPr="008D7374" w:rsidRDefault="0001006A">
      <w:pPr>
        <w:pStyle w:val="TOC2"/>
        <w:rPr>
          <w:rFonts w:ascii="Calibri" w:hAnsi="Calibri"/>
          <w:noProof/>
          <w:szCs w:val="22"/>
          <w:lang w:eastAsia="en-NZ"/>
        </w:rPr>
      </w:pPr>
      <w:r>
        <w:rPr>
          <w:noProof/>
        </w:rPr>
        <w:t>Urgency at presentation</w:t>
      </w:r>
      <w:r>
        <w:rPr>
          <w:noProof/>
        </w:rPr>
        <w:tab/>
      </w:r>
      <w:r>
        <w:rPr>
          <w:noProof/>
        </w:rPr>
        <w:fldChar w:fldCharType="begin"/>
      </w:r>
      <w:r>
        <w:rPr>
          <w:noProof/>
        </w:rPr>
        <w:instrText xml:space="preserve"> PAGEREF _Toc453058838 \h </w:instrText>
      </w:r>
      <w:r>
        <w:rPr>
          <w:noProof/>
        </w:rPr>
      </w:r>
      <w:r>
        <w:rPr>
          <w:noProof/>
        </w:rPr>
        <w:fldChar w:fldCharType="separate"/>
      </w:r>
      <w:r w:rsidR="00CD2E1C">
        <w:rPr>
          <w:noProof/>
        </w:rPr>
        <w:t>26</w:t>
      </w:r>
      <w:r>
        <w:rPr>
          <w:noProof/>
        </w:rPr>
        <w:fldChar w:fldCharType="end"/>
      </w:r>
    </w:p>
    <w:p w14:paraId="029C2DA9" w14:textId="77777777" w:rsidR="0001006A" w:rsidRPr="008D7374" w:rsidRDefault="0001006A">
      <w:pPr>
        <w:pStyle w:val="TOC2"/>
        <w:rPr>
          <w:rFonts w:ascii="Calibri" w:hAnsi="Calibri"/>
          <w:noProof/>
          <w:szCs w:val="22"/>
          <w:lang w:eastAsia="en-NZ"/>
        </w:rPr>
      </w:pPr>
      <w:r>
        <w:rPr>
          <w:noProof/>
        </w:rPr>
        <w:t>Service provider</w:t>
      </w:r>
      <w:r>
        <w:rPr>
          <w:noProof/>
        </w:rPr>
        <w:tab/>
      </w:r>
      <w:r>
        <w:rPr>
          <w:noProof/>
        </w:rPr>
        <w:fldChar w:fldCharType="begin"/>
      </w:r>
      <w:r>
        <w:rPr>
          <w:noProof/>
        </w:rPr>
        <w:instrText xml:space="preserve"> PAGEREF _Toc453058839 \h </w:instrText>
      </w:r>
      <w:r>
        <w:rPr>
          <w:noProof/>
        </w:rPr>
      </w:r>
      <w:r>
        <w:rPr>
          <w:noProof/>
        </w:rPr>
        <w:fldChar w:fldCharType="separate"/>
      </w:r>
      <w:r w:rsidR="00CD2E1C">
        <w:rPr>
          <w:noProof/>
        </w:rPr>
        <w:t>28</w:t>
      </w:r>
      <w:r>
        <w:rPr>
          <w:noProof/>
        </w:rPr>
        <w:fldChar w:fldCharType="end"/>
      </w:r>
    </w:p>
    <w:p w14:paraId="3C904F63" w14:textId="77777777" w:rsidR="0001006A" w:rsidRPr="008D7374" w:rsidRDefault="0001006A">
      <w:pPr>
        <w:pStyle w:val="TOC2"/>
        <w:rPr>
          <w:rFonts w:ascii="Calibri" w:hAnsi="Calibri"/>
          <w:noProof/>
          <w:szCs w:val="22"/>
          <w:lang w:eastAsia="en-NZ"/>
        </w:rPr>
      </w:pPr>
      <w:r>
        <w:rPr>
          <w:noProof/>
        </w:rPr>
        <w:t>Length of stay</w:t>
      </w:r>
      <w:r>
        <w:rPr>
          <w:noProof/>
        </w:rPr>
        <w:tab/>
      </w:r>
      <w:r>
        <w:rPr>
          <w:noProof/>
        </w:rPr>
        <w:fldChar w:fldCharType="begin"/>
      </w:r>
      <w:r>
        <w:rPr>
          <w:noProof/>
        </w:rPr>
        <w:instrText xml:space="preserve"> PAGEREF _Toc453058840 \h </w:instrText>
      </w:r>
      <w:r>
        <w:rPr>
          <w:noProof/>
        </w:rPr>
      </w:r>
      <w:r>
        <w:rPr>
          <w:noProof/>
        </w:rPr>
        <w:fldChar w:fldCharType="separate"/>
      </w:r>
      <w:r w:rsidR="00CD2E1C">
        <w:rPr>
          <w:noProof/>
        </w:rPr>
        <w:t>29</w:t>
      </w:r>
      <w:r>
        <w:rPr>
          <w:noProof/>
        </w:rPr>
        <w:fldChar w:fldCharType="end"/>
      </w:r>
    </w:p>
    <w:p w14:paraId="07425C24" w14:textId="77777777" w:rsidR="0001006A" w:rsidRPr="008D7374" w:rsidRDefault="0001006A">
      <w:pPr>
        <w:pStyle w:val="TOC2"/>
        <w:rPr>
          <w:rFonts w:ascii="Calibri" w:hAnsi="Calibri"/>
          <w:noProof/>
          <w:szCs w:val="22"/>
          <w:lang w:eastAsia="en-NZ"/>
        </w:rPr>
      </w:pPr>
      <w:r>
        <w:rPr>
          <w:noProof/>
        </w:rPr>
        <w:t>Outcomes</w:t>
      </w:r>
      <w:r>
        <w:rPr>
          <w:noProof/>
        </w:rPr>
        <w:tab/>
      </w:r>
      <w:r>
        <w:rPr>
          <w:noProof/>
        </w:rPr>
        <w:fldChar w:fldCharType="begin"/>
      </w:r>
      <w:r>
        <w:rPr>
          <w:noProof/>
        </w:rPr>
        <w:instrText xml:space="preserve"> PAGEREF _Toc453058841 \h </w:instrText>
      </w:r>
      <w:r>
        <w:rPr>
          <w:noProof/>
        </w:rPr>
      </w:r>
      <w:r>
        <w:rPr>
          <w:noProof/>
        </w:rPr>
        <w:fldChar w:fldCharType="separate"/>
      </w:r>
      <w:r w:rsidR="00CD2E1C">
        <w:rPr>
          <w:noProof/>
        </w:rPr>
        <w:t>31</w:t>
      </w:r>
      <w:r>
        <w:rPr>
          <w:noProof/>
        </w:rPr>
        <w:fldChar w:fldCharType="end"/>
      </w:r>
    </w:p>
    <w:p w14:paraId="17D58D06" w14:textId="77777777" w:rsidR="0001006A" w:rsidRPr="008D7374" w:rsidRDefault="0001006A">
      <w:pPr>
        <w:pStyle w:val="TOC1"/>
        <w:rPr>
          <w:rFonts w:ascii="Calibri" w:hAnsi="Calibri"/>
          <w:b w:val="0"/>
          <w:noProof/>
          <w:szCs w:val="22"/>
          <w:lang w:eastAsia="en-NZ"/>
        </w:rPr>
      </w:pPr>
      <w:r>
        <w:rPr>
          <w:noProof/>
        </w:rPr>
        <w:t>Additional notes</w:t>
      </w:r>
      <w:r>
        <w:rPr>
          <w:noProof/>
        </w:rPr>
        <w:tab/>
      </w:r>
      <w:r>
        <w:rPr>
          <w:noProof/>
        </w:rPr>
        <w:fldChar w:fldCharType="begin"/>
      </w:r>
      <w:r>
        <w:rPr>
          <w:noProof/>
        </w:rPr>
        <w:instrText xml:space="preserve"> PAGEREF _Toc453058842 \h </w:instrText>
      </w:r>
      <w:r>
        <w:rPr>
          <w:noProof/>
        </w:rPr>
      </w:r>
      <w:r>
        <w:rPr>
          <w:noProof/>
        </w:rPr>
        <w:fldChar w:fldCharType="separate"/>
      </w:r>
      <w:r w:rsidR="00CD2E1C">
        <w:rPr>
          <w:noProof/>
        </w:rPr>
        <w:t>34</w:t>
      </w:r>
      <w:r>
        <w:rPr>
          <w:noProof/>
        </w:rPr>
        <w:fldChar w:fldCharType="end"/>
      </w:r>
    </w:p>
    <w:p w14:paraId="768FDEA4" w14:textId="77777777" w:rsidR="0001006A" w:rsidRPr="008D7374" w:rsidRDefault="0001006A">
      <w:pPr>
        <w:pStyle w:val="TOC2"/>
        <w:rPr>
          <w:rFonts w:ascii="Calibri" w:hAnsi="Calibri"/>
          <w:noProof/>
          <w:szCs w:val="22"/>
          <w:lang w:eastAsia="en-NZ"/>
        </w:rPr>
      </w:pPr>
      <w:r>
        <w:rPr>
          <w:noProof/>
        </w:rPr>
        <w:t>Inclusion criteria</w:t>
      </w:r>
      <w:r>
        <w:rPr>
          <w:noProof/>
        </w:rPr>
        <w:tab/>
      </w:r>
      <w:r>
        <w:rPr>
          <w:noProof/>
        </w:rPr>
        <w:fldChar w:fldCharType="begin"/>
      </w:r>
      <w:r>
        <w:rPr>
          <w:noProof/>
        </w:rPr>
        <w:instrText xml:space="preserve"> PAGEREF _Toc453058843 \h </w:instrText>
      </w:r>
      <w:r>
        <w:rPr>
          <w:noProof/>
        </w:rPr>
      </w:r>
      <w:r>
        <w:rPr>
          <w:noProof/>
        </w:rPr>
        <w:fldChar w:fldCharType="separate"/>
      </w:r>
      <w:r w:rsidR="00CD2E1C">
        <w:rPr>
          <w:noProof/>
        </w:rPr>
        <w:t>34</w:t>
      </w:r>
      <w:r>
        <w:rPr>
          <w:noProof/>
        </w:rPr>
        <w:fldChar w:fldCharType="end"/>
      </w:r>
    </w:p>
    <w:p w14:paraId="085D3404" w14:textId="77777777" w:rsidR="0001006A" w:rsidRPr="008D7374" w:rsidRDefault="0001006A">
      <w:pPr>
        <w:pStyle w:val="TOC2"/>
        <w:rPr>
          <w:rFonts w:ascii="Calibri" w:hAnsi="Calibri"/>
          <w:noProof/>
          <w:szCs w:val="22"/>
          <w:lang w:eastAsia="en-NZ"/>
        </w:rPr>
      </w:pPr>
      <w:r>
        <w:rPr>
          <w:noProof/>
        </w:rPr>
        <w:t>Ethnicity</w:t>
      </w:r>
      <w:r>
        <w:rPr>
          <w:noProof/>
        </w:rPr>
        <w:tab/>
      </w:r>
      <w:r>
        <w:rPr>
          <w:noProof/>
        </w:rPr>
        <w:fldChar w:fldCharType="begin"/>
      </w:r>
      <w:r>
        <w:rPr>
          <w:noProof/>
        </w:rPr>
        <w:instrText xml:space="preserve"> PAGEREF _Toc453058844 \h </w:instrText>
      </w:r>
      <w:r>
        <w:rPr>
          <w:noProof/>
        </w:rPr>
      </w:r>
      <w:r>
        <w:rPr>
          <w:noProof/>
        </w:rPr>
        <w:fldChar w:fldCharType="separate"/>
      </w:r>
      <w:r w:rsidR="00CD2E1C">
        <w:rPr>
          <w:noProof/>
        </w:rPr>
        <w:t>34</w:t>
      </w:r>
      <w:r>
        <w:rPr>
          <w:noProof/>
        </w:rPr>
        <w:fldChar w:fldCharType="end"/>
      </w:r>
    </w:p>
    <w:p w14:paraId="7AA1296F" w14:textId="77777777" w:rsidR="0001006A" w:rsidRPr="008D7374" w:rsidRDefault="0001006A">
      <w:pPr>
        <w:pStyle w:val="TOC2"/>
        <w:rPr>
          <w:rFonts w:ascii="Calibri" w:hAnsi="Calibri"/>
          <w:noProof/>
          <w:szCs w:val="22"/>
          <w:lang w:eastAsia="en-NZ"/>
        </w:rPr>
      </w:pPr>
      <w:r>
        <w:rPr>
          <w:noProof/>
        </w:rPr>
        <w:t>Deprivation</w:t>
      </w:r>
      <w:r>
        <w:rPr>
          <w:noProof/>
        </w:rPr>
        <w:tab/>
      </w:r>
      <w:r>
        <w:rPr>
          <w:noProof/>
        </w:rPr>
        <w:fldChar w:fldCharType="begin"/>
      </w:r>
      <w:r>
        <w:rPr>
          <w:noProof/>
        </w:rPr>
        <w:instrText xml:space="preserve"> PAGEREF _Toc453058845 \h </w:instrText>
      </w:r>
      <w:r>
        <w:rPr>
          <w:noProof/>
        </w:rPr>
      </w:r>
      <w:r>
        <w:rPr>
          <w:noProof/>
        </w:rPr>
        <w:fldChar w:fldCharType="separate"/>
      </w:r>
      <w:r w:rsidR="00CD2E1C">
        <w:rPr>
          <w:noProof/>
        </w:rPr>
        <w:t>35</w:t>
      </w:r>
      <w:r>
        <w:rPr>
          <w:noProof/>
        </w:rPr>
        <w:fldChar w:fldCharType="end"/>
      </w:r>
    </w:p>
    <w:p w14:paraId="13BF7912" w14:textId="77777777" w:rsidR="0001006A" w:rsidRPr="008D7374" w:rsidRDefault="0001006A">
      <w:pPr>
        <w:pStyle w:val="TOC2"/>
        <w:rPr>
          <w:rFonts w:ascii="Calibri" w:hAnsi="Calibri"/>
          <w:noProof/>
          <w:szCs w:val="22"/>
          <w:lang w:eastAsia="en-NZ"/>
        </w:rPr>
      </w:pPr>
      <w:r>
        <w:rPr>
          <w:noProof/>
        </w:rPr>
        <w:t>Rates</w:t>
      </w:r>
      <w:r>
        <w:rPr>
          <w:noProof/>
        </w:rPr>
        <w:tab/>
      </w:r>
      <w:r>
        <w:rPr>
          <w:noProof/>
        </w:rPr>
        <w:fldChar w:fldCharType="begin"/>
      </w:r>
      <w:r>
        <w:rPr>
          <w:noProof/>
        </w:rPr>
        <w:instrText xml:space="preserve"> PAGEREF _Toc453058846 \h </w:instrText>
      </w:r>
      <w:r>
        <w:rPr>
          <w:noProof/>
        </w:rPr>
      </w:r>
      <w:r>
        <w:rPr>
          <w:noProof/>
        </w:rPr>
        <w:fldChar w:fldCharType="separate"/>
      </w:r>
      <w:r w:rsidR="00CD2E1C">
        <w:rPr>
          <w:noProof/>
        </w:rPr>
        <w:t>35</w:t>
      </w:r>
      <w:r>
        <w:rPr>
          <w:noProof/>
        </w:rPr>
        <w:fldChar w:fldCharType="end"/>
      </w:r>
    </w:p>
    <w:p w14:paraId="339450D3" w14:textId="77777777" w:rsidR="0001006A" w:rsidRPr="008D7374" w:rsidRDefault="0001006A">
      <w:pPr>
        <w:pStyle w:val="TOC2"/>
        <w:rPr>
          <w:rFonts w:ascii="Calibri" w:hAnsi="Calibri"/>
          <w:noProof/>
          <w:szCs w:val="22"/>
          <w:lang w:eastAsia="en-NZ"/>
        </w:rPr>
      </w:pPr>
      <w:r>
        <w:rPr>
          <w:noProof/>
        </w:rPr>
        <w:t>Maps</w:t>
      </w:r>
      <w:r>
        <w:rPr>
          <w:noProof/>
        </w:rPr>
        <w:tab/>
      </w:r>
      <w:r>
        <w:rPr>
          <w:noProof/>
        </w:rPr>
        <w:fldChar w:fldCharType="begin"/>
      </w:r>
      <w:r>
        <w:rPr>
          <w:noProof/>
        </w:rPr>
        <w:instrText xml:space="preserve"> PAGEREF _Toc453058847 \h </w:instrText>
      </w:r>
      <w:r>
        <w:rPr>
          <w:noProof/>
        </w:rPr>
      </w:r>
      <w:r>
        <w:rPr>
          <w:noProof/>
        </w:rPr>
        <w:fldChar w:fldCharType="separate"/>
      </w:r>
      <w:r w:rsidR="00CD2E1C">
        <w:rPr>
          <w:noProof/>
        </w:rPr>
        <w:t>37</w:t>
      </w:r>
      <w:r>
        <w:rPr>
          <w:noProof/>
        </w:rPr>
        <w:fldChar w:fldCharType="end"/>
      </w:r>
    </w:p>
    <w:p w14:paraId="5BED8BB6" w14:textId="77777777" w:rsidR="0001006A" w:rsidRPr="008D7374" w:rsidRDefault="0001006A">
      <w:pPr>
        <w:pStyle w:val="TOC2"/>
        <w:rPr>
          <w:rFonts w:ascii="Calibri" w:hAnsi="Calibri"/>
          <w:noProof/>
          <w:szCs w:val="22"/>
          <w:lang w:eastAsia="en-NZ"/>
        </w:rPr>
      </w:pPr>
      <w:r>
        <w:rPr>
          <w:noProof/>
        </w:rPr>
        <w:t>Facilities and service providers</w:t>
      </w:r>
      <w:r>
        <w:rPr>
          <w:noProof/>
        </w:rPr>
        <w:tab/>
      </w:r>
      <w:r>
        <w:rPr>
          <w:noProof/>
        </w:rPr>
        <w:fldChar w:fldCharType="begin"/>
      </w:r>
      <w:r>
        <w:rPr>
          <w:noProof/>
        </w:rPr>
        <w:instrText xml:space="preserve"> PAGEREF _Toc453058848 \h </w:instrText>
      </w:r>
      <w:r>
        <w:rPr>
          <w:noProof/>
        </w:rPr>
      </w:r>
      <w:r>
        <w:rPr>
          <w:noProof/>
        </w:rPr>
        <w:fldChar w:fldCharType="separate"/>
      </w:r>
      <w:r w:rsidR="00CD2E1C">
        <w:rPr>
          <w:noProof/>
        </w:rPr>
        <w:t>39</w:t>
      </w:r>
      <w:r>
        <w:rPr>
          <w:noProof/>
        </w:rPr>
        <w:fldChar w:fldCharType="end"/>
      </w:r>
    </w:p>
    <w:p w14:paraId="4315B5E2" w14:textId="77777777" w:rsidR="0001006A" w:rsidRPr="008D7374" w:rsidRDefault="0001006A">
      <w:pPr>
        <w:pStyle w:val="TOC2"/>
        <w:rPr>
          <w:rFonts w:ascii="Calibri" w:hAnsi="Calibri"/>
          <w:noProof/>
          <w:szCs w:val="22"/>
          <w:lang w:eastAsia="en-NZ"/>
        </w:rPr>
      </w:pPr>
      <w:r>
        <w:rPr>
          <w:noProof/>
        </w:rPr>
        <w:t>Outcomes</w:t>
      </w:r>
      <w:r>
        <w:rPr>
          <w:noProof/>
        </w:rPr>
        <w:tab/>
      </w:r>
      <w:r>
        <w:rPr>
          <w:noProof/>
        </w:rPr>
        <w:fldChar w:fldCharType="begin"/>
      </w:r>
      <w:r>
        <w:rPr>
          <w:noProof/>
        </w:rPr>
        <w:instrText xml:space="preserve"> PAGEREF _Toc453058849 \h </w:instrText>
      </w:r>
      <w:r>
        <w:rPr>
          <w:noProof/>
        </w:rPr>
      </w:r>
      <w:r>
        <w:rPr>
          <w:noProof/>
        </w:rPr>
        <w:fldChar w:fldCharType="separate"/>
      </w:r>
      <w:r w:rsidR="00CD2E1C">
        <w:rPr>
          <w:noProof/>
        </w:rPr>
        <w:t>40</w:t>
      </w:r>
      <w:r>
        <w:rPr>
          <w:noProof/>
        </w:rPr>
        <w:fldChar w:fldCharType="end"/>
      </w:r>
    </w:p>
    <w:p w14:paraId="32EF871A" w14:textId="77777777" w:rsidR="0001006A" w:rsidRPr="008D7374" w:rsidRDefault="0001006A">
      <w:pPr>
        <w:pStyle w:val="TOC1"/>
        <w:rPr>
          <w:rFonts w:ascii="Calibri" w:hAnsi="Calibri"/>
          <w:b w:val="0"/>
          <w:noProof/>
          <w:szCs w:val="22"/>
          <w:lang w:eastAsia="en-NZ"/>
        </w:rPr>
      </w:pPr>
      <w:r>
        <w:rPr>
          <w:noProof/>
        </w:rPr>
        <w:t>References</w:t>
      </w:r>
      <w:r>
        <w:rPr>
          <w:noProof/>
        </w:rPr>
        <w:tab/>
      </w:r>
      <w:r>
        <w:rPr>
          <w:noProof/>
        </w:rPr>
        <w:fldChar w:fldCharType="begin"/>
      </w:r>
      <w:r>
        <w:rPr>
          <w:noProof/>
        </w:rPr>
        <w:instrText xml:space="preserve"> PAGEREF _Toc453058850 \h </w:instrText>
      </w:r>
      <w:r>
        <w:rPr>
          <w:noProof/>
        </w:rPr>
      </w:r>
      <w:r>
        <w:rPr>
          <w:noProof/>
        </w:rPr>
        <w:fldChar w:fldCharType="separate"/>
      </w:r>
      <w:r w:rsidR="00CD2E1C">
        <w:rPr>
          <w:noProof/>
        </w:rPr>
        <w:t>41</w:t>
      </w:r>
      <w:r>
        <w:rPr>
          <w:noProof/>
        </w:rPr>
        <w:fldChar w:fldCharType="end"/>
      </w:r>
    </w:p>
    <w:p w14:paraId="2A1ECEC8" w14:textId="386AB928" w:rsidR="00E60052" w:rsidRDefault="00C86248">
      <w:pPr>
        <w:rPr>
          <w:b/>
        </w:rPr>
      </w:pPr>
      <w:r>
        <w:rPr>
          <w:b/>
        </w:rPr>
        <w:fldChar w:fldCharType="end"/>
      </w:r>
    </w:p>
    <w:p w14:paraId="714E068D" w14:textId="77777777" w:rsidR="00E60052" w:rsidRDefault="00E60052">
      <w:pPr>
        <w:spacing w:line="240" w:lineRule="auto"/>
        <w:rPr>
          <w:b/>
        </w:rPr>
      </w:pPr>
      <w:r>
        <w:rPr>
          <w:b/>
        </w:rPr>
        <w:br w:type="page"/>
      </w:r>
    </w:p>
    <w:p w14:paraId="7AEF9C6E" w14:textId="77777777" w:rsidR="00C86248" w:rsidRDefault="00C86248" w:rsidP="0001006A">
      <w:pPr>
        <w:pStyle w:val="TOC1"/>
        <w:keepNext/>
      </w:pPr>
      <w:r>
        <w:lastRenderedPageBreak/>
        <w:t>List of Tables</w:t>
      </w:r>
    </w:p>
    <w:p w14:paraId="555116A1" w14:textId="77777777" w:rsidR="0001006A" w:rsidRPr="008D7374" w:rsidRDefault="00C86248" w:rsidP="0001006A">
      <w:pPr>
        <w:pStyle w:val="TOC3"/>
        <w:spacing w:before="40"/>
        <w:rPr>
          <w:rFonts w:ascii="Calibri" w:hAnsi="Calibri"/>
          <w:noProof/>
          <w:szCs w:val="22"/>
          <w:lang w:eastAsia="en-NZ"/>
        </w:rPr>
      </w:pPr>
      <w:r>
        <w:rPr>
          <w:sz w:val="20"/>
        </w:rPr>
        <w:fldChar w:fldCharType="begin"/>
      </w:r>
      <w:r>
        <w:instrText xml:space="preserve"> TOC \t "Table,3" </w:instrText>
      </w:r>
      <w:r>
        <w:rPr>
          <w:sz w:val="20"/>
        </w:rPr>
        <w:fldChar w:fldCharType="separate"/>
      </w:r>
      <w:r w:rsidR="0001006A">
        <w:rPr>
          <w:noProof/>
        </w:rPr>
        <w:t>Table 1:</w:t>
      </w:r>
      <w:r w:rsidR="0001006A">
        <w:rPr>
          <w:noProof/>
        </w:rPr>
        <w:tab/>
        <w:t>Purchase unit codes used for identifying emergency department events</w:t>
      </w:r>
      <w:r w:rsidR="0001006A">
        <w:rPr>
          <w:noProof/>
        </w:rPr>
        <w:tab/>
      </w:r>
      <w:r w:rsidR="0001006A">
        <w:rPr>
          <w:noProof/>
        </w:rPr>
        <w:fldChar w:fldCharType="begin"/>
      </w:r>
      <w:r w:rsidR="0001006A">
        <w:rPr>
          <w:noProof/>
        </w:rPr>
        <w:instrText xml:space="preserve"> PAGEREF _Toc453058851 \h </w:instrText>
      </w:r>
      <w:r w:rsidR="0001006A">
        <w:rPr>
          <w:noProof/>
        </w:rPr>
      </w:r>
      <w:r w:rsidR="0001006A">
        <w:rPr>
          <w:noProof/>
        </w:rPr>
        <w:fldChar w:fldCharType="separate"/>
      </w:r>
      <w:r w:rsidR="00CD2E1C">
        <w:rPr>
          <w:noProof/>
        </w:rPr>
        <w:t>34</w:t>
      </w:r>
      <w:r w:rsidR="0001006A">
        <w:rPr>
          <w:noProof/>
        </w:rPr>
        <w:fldChar w:fldCharType="end"/>
      </w:r>
    </w:p>
    <w:p w14:paraId="22DE0345" w14:textId="77777777" w:rsidR="0001006A" w:rsidRPr="008D7374" w:rsidRDefault="0001006A" w:rsidP="0001006A">
      <w:pPr>
        <w:pStyle w:val="TOC3"/>
        <w:spacing w:before="40"/>
        <w:rPr>
          <w:rFonts w:ascii="Calibri" w:hAnsi="Calibri"/>
          <w:noProof/>
          <w:szCs w:val="22"/>
          <w:lang w:eastAsia="en-NZ"/>
        </w:rPr>
      </w:pPr>
      <w:r>
        <w:rPr>
          <w:noProof/>
        </w:rPr>
        <w:t>Table 2:</w:t>
      </w:r>
      <w:r>
        <w:rPr>
          <w:noProof/>
        </w:rPr>
        <w:tab/>
        <w:t>WHO world population</w:t>
      </w:r>
      <w:r>
        <w:rPr>
          <w:noProof/>
        </w:rPr>
        <w:tab/>
      </w:r>
      <w:r>
        <w:rPr>
          <w:noProof/>
        </w:rPr>
        <w:fldChar w:fldCharType="begin"/>
      </w:r>
      <w:r>
        <w:rPr>
          <w:noProof/>
        </w:rPr>
        <w:instrText xml:space="preserve"> PAGEREF _Toc453058852 \h </w:instrText>
      </w:r>
      <w:r>
        <w:rPr>
          <w:noProof/>
        </w:rPr>
      </w:r>
      <w:r>
        <w:rPr>
          <w:noProof/>
        </w:rPr>
        <w:fldChar w:fldCharType="separate"/>
      </w:r>
      <w:r w:rsidR="00CD2E1C">
        <w:rPr>
          <w:noProof/>
        </w:rPr>
        <w:t>37</w:t>
      </w:r>
      <w:r>
        <w:rPr>
          <w:noProof/>
        </w:rPr>
        <w:fldChar w:fldCharType="end"/>
      </w:r>
    </w:p>
    <w:p w14:paraId="3A302D4E" w14:textId="77777777" w:rsidR="0001006A" w:rsidRPr="008D7374" w:rsidRDefault="0001006A" w:rsidP="0001006A">
      <w:pPr>
        <w:pStyle w:val="TOC3"/>
        <w:spacing w:before="40"/>
        <w:rPr>
          <w:rFonts w:ascii="Calibri" w:hAnsi="Calibri"/>
          <w:noProof/>
          <w:szCs w:val="22"/>
          <w:lang w:eastAsia="en-NZ"/>
        </w:rPr>
      </w:pPr>
      <w:r>
        <w:rPr>
          <w:noProof/>
        </w:rPr>
        <w:t>Table 3:</w:t>
      </w:r>
      <w:r>
        <w:rPr>
          <w:noProof/>
        </w:rPr>
        <w:tab/>
        <w:t>List of facilities with an emergency department in New Zealand</w:t>
      </w:r>
      <w:r>
        <w:rPr>
          <w:noProof/>
        </w:rPr>
        <w:tab/>
      </w:r>
      <w:r>
        <w:rPr>
          <w:noProof/>
        </w:rPr>
        <w:fldChar w:fldCharType="begin"/>
      </w:r>
      <w:r>
        <w:rPr>
          <w:noProof/>
        </w:rPr>
        <w:instrText xml:space="preserve"> PAGEREF _Toc453058853 \h </w:instrText>
      </w:r>
      <w:r>
        <w:rPr>
          <w:noProof/>
        </w:rPr>
      </w:r>
      <w:r>
        <w:rPr>
          <w:noProof/>
        </w:rPr>
        <w:fldChar w:fldCharType="separate"/>
      </w:r>
      <w:r w:rsidR="00CD2E1C">
        <w:rPr>
          <w:noProof/>
        </w:rPr>
        <w:t>39</w:t>
      </w:r>
      <w:r>
        <w:rPr>
          <w:noProof/>
        </w:rPr>
        <w:fldChar w:fldCharType="end"/>
      </w:r>
    </w:p>
    <w:p w14:paraId="6546EEDD" w14:textId="77777777" w:rsidR="0001006A" w:rsidRPr="008D7374" w:rsidRDefault="0001006A" w:rsidP="0001006A">
      <w:pPr>
        <w:pStyle w:val="TOC3"/>
        <w:spacing w:before="40"/>
        <w:rPr>
          <w:rFonts w:ascii="Calibri" w:hAnsi="Calibri"/>
          <w:noProof/>
          <w:szCs w:val="22"/>
          <w:lang w:eastAsia="en-NZ"/>
        </w:rPr>
      </w:pPr>
      <w:r>
        <w:rPr>
          <w:noProof/>
        </w:rPr>
        <w:t>Table 4:</w:t>
      </w:r>
      <w:r>
        <w:rPr>
          <w:noProof/>
        </w:rPr>
        <w:tab/>
        <w:t>Outcome categories and relevant event end type codes</w:t>
      </w:r>
      <w:r>
        <w:rPr>
          <w:noProof/>
        </w:rPr>
        <w:tab/>
      </w:r>
      <w:r>
        <w:rPr>
          <w:noProof/>
        </w:rPr>
        <w:fldChar w:fldCharType="begin"/>
      </w:r>
      <w:r>
        <w:rPr>
          <w:noProof/>
        </w:rPr>
        <w:instrText xml:space="preserve"> PAGEREF _Toc453058854 \h </w:instrText>
      </w:r>
      <w:r>
        <w:rPr>
          <w:noProof/>
        </w:rPr>
      </w:r>
      <w:r>
        <w:rPr>
          <w:noProof/>
        </w:rPr>
        <w:fldChar w:fldCharType="separate"/>
      </w:r>
      <w:r w:rsidR="00CD2E1C">
        <w:rPr>
          <w:noProof/>
        </w:rPr>
        <w:t>40</w:t>
      </w:r>
      <w:r>
        <w:rPr>
          <w:noProof/>
        </w:rPr>
        <w:fldChar w:fldCharType="end"/>
      </w:r>
    </w:p>
    <w:p w14:paraId="6D4672D8" w14:textId="77777777" w:rsidR="00C86248" w:rsidRDefault="00C86248" w:rsidP="0001006A">
      <w:r>
        <w:fldChar w:fldCharType="end"/>
      </w:r>
    </w:p>
    <w:p w14:paraId="42B0AB26" w14:textId="77777777" w:rsidR="003A5FEA" w:rsidRDefault="003A5FEA" w:rsidP="003A5FEA">
      <w:pPr>
        <w:pStyle w:val="TOC1"/>
      </w:pPr>
      <w:r>
        <w:t>List of Figures</w:t>
      </w:r>
    </w:p>
    <w:p w14:paraId="0EA2B330" w14:textId="77777777" w:rsidR="0001006A" w:rsidRPr="008D7374" w:rsidRDefault="003A5FEA">
      <w:pPr>
        <w:pStyle w:val="TOC3"/>
        <w:rPr>
          <w:rFonts w:ascii="Calibri" w:hAnsi="Calibri"/>
          <w:noProof/>
          <w:szCs w:val="22"/>
          <w:lang w:eastAsia="en-NZ"/>
        </w:rPr>
      </w:pPr>
      <w:r>
        <w:fldChar w:fldCharType="begin"/>
      </w:r>
      <w:r>
        <w:instrText xml:space="preserve"> TOC \t "Figure,3" </w:instrText>
      </w:r>
      <w:r>
        <w:fldChar w:fldCharType="separate"/>
      </w:r>
      <w:r w:rsidR="0001006A">
        <w:rPr>
          <w:noProof/>
        </w:rPr>
        <w:t>Figure 1:</w:t>
      </w:r>
      <w:r w:rsidR="0001006A">
        <w:rPr>
          <w:noProof/>
        </w:rPr>
        <w:tab/>
        <w:t>Rate of people who were patients at an emergency department at least once during the year, 2010/11–2014/15</w:t>
      </w:r>
      <w:r w:rsidR="0001006A">
        <w:rPr>
          <w:noProof/>
        </w:rPr>
        <w:tab/>
      </w:r>
      <w:r w:rsidR="0001006A">
        <w:rPr>
          <w:noProof/>
        </w:rPr>
        <w:fldChar w:fldCharType="begin"/>
      </w:r>
      <w:r w:rsidR="0001006A">
        <w:rPr>
          <w:noProof/>
        </w:rPr>
        <w:instrText xml:space="preserve"> PAGEREF _Toc453058855 \h </w:instrText>
      </w:r>
      <w:r w:rsidR="0001006A">
        <w:rPr>
          <w:noProof/>
        </w:rPr>
      </w:r>
      <w:r w:rsidR="0001006A">
        <w:rPr>
          <w:noProof/>
        </w:rPr>
        <w:fldChar w:fldCharType="separate"/>
      </w:r>
      <w:r w:rsidR="00CD2E1C">
        <w:rPr>
          <w:noProof/>
        </w:rPr>
        <w:t>4</w:t>
      </w:r>
      <w:r w:rsidR="0001006A">
        <w:rPr>
          <w:noProof/>
        </w:rPr>
        <w:fldChar w:fldCharType="end"/>
      </w:r>
    </w:p>
    <w:p w14:paraId="12C0FEE0" w14:textId="77777777" w:rsidR="0001006A" w:rsidRPr="008D7374" w:rsidRDefault="0001006A">
      <w:pPr>
        <w:pStyle w:val="TOC3"/>
        <w:rPr>
          <w:rFonts w:ascii="Calibri" w:hAnsi="Calibri"/>
          <w:noProof/>
          <w:szCs w:val="22"/>
          <w:lang w:eastAsia="en-NZ"/>
        </w:rPr>
      </w:pPr>
      <w:r>
        <w:rPr>
          <w:noProof/>
        </w:rPr>
        <w:t>Figure 2:</w:t>
      </w:r>
      <w:r>
        <w:rPr>
          <w:noProof/>
        </w:rPr>
        <w:tab/>
        <w:t>Distribution of people who were patients at an emergency department at least once during the year, by DHB of residence, 2014/15</w:t>
      </w:r>
      <w:r>
        <w:rPr>
          <w:noProof/>
        </w:rPr>
        <w:tab/>
      </w:r>
      <w:r>
        <w:rPr>
          <w:noProof/>
        </w:rPr>
        <w:fldChar w:fldCharType="begin"/>
      </w:r>
      <w:r>
        <w:rPr>
          <w:noProof/>
        </w:rPr>
        <w:instrText xml:space="preserve"> PAGEREF _Toc453058856 \h </w:instrText>
      </w:r>
      <w:r>
        <w:rPr>
          <w:noProof/>
        </w:rPr>
      </w:r>
      <w:r>
        <w:rPr>
          <w:noProof/>
        </w:rPr>
        <w:fldChar w:fldCharType="separate"/>
      </w:r>
      <w:r w:rsidR="00CD2E1C">
        <w:rPr>
          <w:noProof/>
        </w:rPr>
        <w:t>5</w:t>
      </w:r>
      <w:r>
        <w:rPr>
          <w:noProof/>
        </w:rPr>
        <w:fldChar w:fldCharType="end"/>
      </w:r>
    </w:p>
    <w:p w14:paraId="10FE80F7" w14:textId="77777777" w:rsidR="0001006A" w:rsidRPr="008D7374" w:rsidRDefault="0001006A">
      <w:pPr>
        <w:pStyle w:val="TOC3"/>
        <w:rPr>
          <w:rFonts w:ascii="Calibri" w:hAnsi="Calibri"/>
          <w:noProof/>
          <w:szCs w:val="22"/>
          <w:lang w:eastAsia="en-NZ"/>
        </w:rPr>
      </w:pPr>
      <w:r>
        <w:rPr>
          <w:noProof/>
        </w:rPr>
        <w:t>Figure 3:</w:t>
      </w:r>
      <w:r>
        <w:rPr>
          <w:noProof/>
        </w:rPr>
        <w:tab/>
        <w:t>Rate of people who were patients at an emergency department at least once during the year, by DHB of residence, 2010/11 and 2014/15</w:t>
      </w:r>
      <w:r>
        <w:rPr>
          <w:noProof/>
        </w:rPr>
        <w:tab/>
      </w:r>
      <w:r>
        <w:rPr>
          <w:noProof/>
        </w:rPr>
        <w:fldChar w:fldCharType="begin"/>
      </w:r>
      <w:r>
        <w:rPr>
          <w:noProof/>
        </w:rPr>
        <w:instrText xml:space="preserve"> PAGEREF _Toc453058857 \h </w:instrText>
      </w:r>
      <w:r>
        <w:rPr>
          <w:noProof/>
        </w:rPr>
      </w:r>
      <w:r>
        <w:rPr>
          <w:noProof/>
        </w:rPr>
        <w:fldChar w:fldCharType="separate"/>
      </w:r>
      <w:r w:rsidR="00CD2E1C">
        <w:rPr>
          <w:noProof/>
        </w:rPr>
        <w:t>6</w:t>
      </w:r>
      <w:r>
        <w:rPr>
          <w:noProof/>
        </w:rPr>
        <w:fldChar w:fldCharType="end"/>
      </w:r>
    </w:p>
    <w:p w14:paraId="0EA62FF1" w14:textId="77777777" w:rsidR="0001006A" w:rsidRPr="008D7374" w:rsidRDefault="0001006A">
      <w:pPr>
        <w:pStyle w:val="TOC3"/>
        <w:rPr>
          <w:rFonts w:ascii="Calibri" w:hAnsi="Calibri"/>
          <w:noProof/>
          <w:szCs w:val="22"/>
          <w:lang w:eastAsia="en-NZ"/>
        </w:rPr>
      </w:pPr>
      <w:r>
        <w:rPr>
          <w:noProof/>
        </w:rPr>
        <w:t>Figure 4:</w:t>
      </w:r>
      <w:r>
        <w:rPr>
          <w:noProof/>
        </w:rPr>
        <w:tab/>
        <w:t>Rate of people who were patients at an emergency department at least once during the year, by gender, 2010/11–2014/15</w:t>
      </w:r>
      <w:r>
        <w:rPr>
          <w:noProof/>
        </w:rPr>
        <w:tab/>
      </w:r>
      <w:r>
        <w:rPr>
          <w:noProof/>
        </w:rPr>
        <w:fldChar w:fldCharType="begin"/>
      </w:r>
      <w:r>
        <w:rPr>
          <w:noProof/>
        </w:rPr>
        <w:instrText xml:space="preserve"> PAGEREF _Toc453058858 \h </w:instrText>
      </w:r>
      <w:r>
        <w:rPr>
          <w:noProof/>
        </w:rPr>
      </w:r>
      <w:r>
        <w:rPr>
          <w:noProof/>
        </w:rPr>
        <w:fldChar w:fldCharType="separate"/>
      </w:r>
      <w:r w:rsidR="00CD2E1C">
        <w:rPr>
          <w:noProof/>
        </w:rPr>
        <w:t>7</w:t>
      </w:r>
      <w:r>
        <w:rPr>
          <w:noProof/>
        </w:rPr>
        <w:fldChar w:fldCharType="end"/>
      </w:r>
    </w:p>
    <w:p w14:paraId="1889EA79" w14:textId="77777777" w:rsidR="0001006A" w:rsidRPr="008D7374" w:rsidRDefault="0001006A">
      <w:pPr>
        <w:pStyle w:val="TOC3"/>
        <w:rPr>
          <w:rFonts w:ascii="Calibri" w:hAnsi="Calibri"/>
          <w:noProof/>
          <w:szCs w:val="22"/>
          <w:lang w:eastAsia="en-NZ"/>
        </w:rPr>
      </w:pPr>
      <w:r>
        <w:rPr>
          <w:noProof/>
        </w:rPr>
        <w:t>Figure 5:</w:t>
      </w:r>
      <w:r>
        <w:rPr>
          <w:noProof/>
        </w:rPr>
        <w:tab/>
        <w:t>Distribution of people who were patients at an emergency department at least once during the year, by age group (years), 2014/15</w:t>
      </w:r>
      <w:r>
        <w:rPr>
          <w:noProof/>
        </w:rPr>
        <w:tab/>
      </w:r>
      <w:r>
        <w:rPr>
          <w:noProof/>
        </w:rPr>
        <w:fldChar w:fldCharType="begin"/>
      </w:r>
      <w:r>
        <w:rPr>
          <w:noProof/>
        </w:rPr>
        <w:instrText xml:space="preserve"> PAGEREF _Toc453058859 \h </w:instrText>
      </w:r>
      <w:r>
        <w:rPr>
          <w:noProof/>
        </w:rPr>
      </w:r>
      <w:r>
        <w:rPr>
          <w:noProof/>
        </w:rPr>
        <w:fldChar w:fldCharType="separate"/>
      </w:r>
      <w:r w:rsidR="00CD2E1C">
        <w:rPr>
          <w:noProof/>
        </w:rPr>
        <w:t>7</w:t>
      </w:r>
      <w:r>
        <w:rPr>
          <w:noProof/>
        </w:rPr>
        <w:fldChar w:fldCharType="end"/>
      </w:r>
    </w:p>
    <w:p w14:paraId="7DF4E717" w14:textId="77777777" w:rsidR="0001006A" w:rsidRPr="008D7374" w:rsidRDefault="0001006A">
      <w:pPr>
        <w:pStyle w:val="TOC3"/>
        <w:rPr>
          <w:rFonts w:ascii="Calibri" w:hAnsi="Calibri"/>
          <w:noProof/>
          <w:szCs w:val="22"/>
          <w:lang w:eastAsia="en-NZ"/>
        </w:rPr>
      </w:pPr>
      <w:r>
        <w:rPr>
          <w:noProof/>
        </w:rPr>
        <w:t>Figure 6:</w:t>
      </w:r>
      <w:r>
        <w:rPr>
          <w:noProof/>
        </w:rPr>
        <w:tab/>
        <w:t>Rate of children and adults who were patients at an emergency department at least once during the year, 2010/11–2014/15</w:t>
      </w:r>
      <w:r>
        <w:rPr>
          <w:noProof/>
        </w:rPr>
        <w:tab/>
      </w:r>
      <w:r>
        <w:rPr>
          <w:noProof/>
        </w:rPr>
        <w:fldChar w:fldCharType="begin"/>
      </w:r>
      <w:r>
        <w:rPr>
          <w:noProof/>
        </w:rPr>
        <w:instrText xml:space="preserve"> PAGEREF _Toc453058860 \h </w:instrText>
      </w:r>
      <w:r>
        <w:rPr>
          <w:noProof/>
        </w:rPr>
      </w:r>
      <w:r>
        <w:rPr>
          <w:noProof/>
        </w:rPr>
        <w:fldChar w:fldCharType="separate"/>
      </w:r>
      <w:r w:rsidR="00CD2E1C">
        <w:rPr>
          <w:noProof/>
        </w:rPr>
        <w:t>8</w:t>
      </w:r>
      <w:r>
        <w:rPr>
          <w:noProof/>
        </w:rPr>
        <w:fldChar w:fldCharType="end"/>
      </w:r>
    </w:p>
    <w:p w14:paraId="375253F8" w14:textId="77777777" w:rsidR="0001006A" w:rsidRPr="008D7374" w:rsidRDefault="0001006A">
      <w:pPr>
        <w:pStyle w:val="TOC3"/>
        <w:rPr>
          <w:rFonts w:ascii="Calibri" w:hAnsi="Calibri"/>
          <w:noProof/>
          <w:szCs w:val="22"/>
          <w:lang w:eastAsia="en-NZ"/>
        </w:rPr>
      </w:pPr>
      <w:r>
        <w:rPr>
          <w:noProof/>
        </w:rPr>
        <w:t>Figure 7:</w:t>
      </w:r>
      <w:r>
        <w:rPr>
          <w:noProof/>
        </w:rPr>
        <w:tab/>
        <w:t>Rate of people who were patients at an emergency department at least once during the year, by age group (years), 2010/11 and 2014/15</w:t>
      </w:r>
      <w:r>
        <w:rPr>
          <w:noProof/>
        </w:rPr>
        <w:tab/>
      </w:r>
      <w:r>
        <w:rPr>
          <w:noProof/>
        </w:rPr>
        <w:fldChar w:fldCharType="begin"/>
      </w:r>
      <w:r>
        <w:rPr>
          <w:noProof/>
        </w:rPr>
        <w:instrText xml:space="preserve"> PAGEREF _Toc453058861 \h </w:instrText>
      </w:r>
      <w:r>
        <w:rPr>
          <w:noProof/>
        </w:rPr>
      </w:r>
      <w:r>
        <w:rPr>
          <w:noProof/>
        </w:rPr>
        <w:fldChar w:fldCharType="separate"/>
      </w:r>
      <w:r w:rsidR="00CD2E1C">
        <w:rPr>
          <w:noProof/>
        </w:rPr>
        <w:t>9</w:t>
      </w:r>
      <w:r>
        <w:rPr>
          <w:noProof/>
        </w:rPr>
        <w:fldChar w:fldCharType="end"/>
      </w:r>
    </w:p>
    <w:p w14:paraId="6C6C193F" w14:textId="77777777" w:rsidR="0001006A" w:rsidRPr="008D7374" w:rsidRDefault="0001006A">
      <w:pPr>
        <w:pStyle w:val="TOC3"/>
        <w:rPr>
          <w:rFonts w:ascii="Calibri" w:hAnsi="Calibri"/>
          <w:noProof/>
          <w:szCs w:val="22"/>
          <w:lang w:eastAsia="en-NZ"/>
        </w:rPr>
      </w:pPr>
      <w:r>
        <w:rPr>
          <w:noProof/>
        </w:rPr>
        <w:t>Figure 8:</w:t>
      </w:r>
      <w:r>
        <w:rPr>
          <w:noProof/>
        </w:rPr>
        <w:tab/>
        <w:t>Rate of children who were patients at an emergency department at least once during the year, by DHB of residence, 2010/11 and 2014/15</w:t>
      </w:r>
      <w:r>
        <w:rPr>
          <w:noProof/>
        </w:rPr>
        <w:tab/>
      </w:r>
      <w:r>
        <w:rPr>
          <w:noProof/>
        </w:rPr>
        <w:fldChar w:fldCharType="begin"/>
      </w:r>
      <w:r>
        <w:rPr>
          <w:noProof/>
        </w:rPr>
        <w:instrText xml:space="preserve"> PAGEREF _Toc453058862 \h </w:instrText>
      </w:r>
      <w:r>
        <w:rPr>
          <w:noProof/>
        </w:rPr>
      </w:r>
      <w:r>
        <w:rPr>
          <w:noProof/>
        </w:rPr>
        <w:fldChar w:fldCharType="separate"/>
      </w:r>
      <w:r w:rsidR="00CD2E1C">
        <w:rPr>
          <w:noProof/>
        </w:rPr>
        <w:t>10</w:t>
      </w:r>
      <w:r>
        <w:rPr>
          <w:noProof/>
        </w:rPr>
        <w:fldChar w:fldCharType="end"/>
      </w:r>
    </w:p>
    <w:p w14:paraId="0A118305" w14:textId="77777777" w:rsidR="0001006A" w:rsidRPr="008D7374" w:rsidRDefault="0001006A">
      <w:pPr>
        <w:pStyle w:val="TOC3"/>
        <w:rPr>
          <w:rFonts w:ascii="Calibri" w:hAnsi="Calibri"/>
          <w:noProof/>
          <w:szCs w:val="22"/>
          <w:lang w:eastAsia="en-NZ"/>
        </w:rPr>
      </w:pPr>
      <w:r>
        <w:rPr>
          <w:noProof/>
        </w:rPr>
        <w:t>Figure 9:</w:t>
      </w:r>
      <w:r>
        <w:rPr>
          <w:noProof/>
        </w:rPr>
        <w:tab/>
        <w:t>Rate of adults who were patients at an emergency department at least once during the year, by DHB of residence, 2010/11 and 2014/15</w:t>
      </w:r>
      <w:r>
        <w:rPr>
          <w:noProof/>
        </w:rPr>
        <w:tab/>
      </w:r>
      <w:r>
        <w:rPr>
          <w:noProof/>
        </w:rPr>
        <w:fldChar w:fldCharType="begin"/>
      </w:r>
      <w:r>
        <w:rPr>
          <w:noProof/>
        </w:rPr>
        <w:instrText xml:space="preserve"> PAGEREF _Toc453058863 \h </w:instrText>
      </w:r>
      <w:r>
        <w:rPr>
          <w:noProof/>
        </w:rPr>
      </w:r>
      <w:r>
        <w:rPr>
          <w:noProof/>
        </w:rPr>
        <w:fldChar w:fldCharType="separate"/>
      </w:r>
      <w:r w:rsidR="00CD2E1C">
        <w:rPr>
          <w:noProof/>
        </w:rPr>
        <w:t>10</w:t>
      </w:r>
      <w:r>
        <w:rPr>
          <w:noProof/>
        </w:rPr>
        <w:fldChar w:fldCharType="end"/>
      </w:r>
    </w:p>
    <w:p w14:paraId="5CDC177A" w14:textId="77777777" w:rsidR="0001006A" w:rsidRPr="008D7374" w:rsidRDefault="0001006A">
      <w:pPr>
        <w:pStyle w:val="TOC3"/>
        <w:rPr>
          <w:rFonts w:ascii="Calibri" w:hAnsi="Calibri"/>
          <w:noProof/>
          <w:szCs w:val="22"/>
          <w:lang w:eastAsia="en-NZ"/>
        </w:rPr>
      </w:pPr>
      <w:r>
        <w:rPr>
          <w:noProof/>
        </w:rPr>
        <w:t>Figure 10:</w:t>
      </w:r>
      <w:r>
        <w:rPr>
          <w:noProof/>
        </w:rPr>
        <w:tab/>
        <w:t>Rate of children and adults who were patients at an emergency department at least once during the year, by gender, 2010/11 and 2014/15</w:t>
      </w:r>
      <w:r>
        <w:rPr>
          <w:noProof/>
        </w:rPr>
        <w:tab/>
      </w:r>
      <w:r>
        <w:rPr>
          <w:noProof/>
        </w:rPr>
        <w:fldChar w:fldCharType="begin"/>
      </w:r>
      <w:r>
        <w:rPr>
          <w:noProof/>
        </w:rPr>
        <w:instrText xml:space="preserve"> PAGEREF _Toc453058864 \h </w:instrText>
      </w:r>
      <w:r>
        <w:rPr>
          <w:noProof/>
        </w:rPr>
      </w:r>
      <w:r>
        <w:rPr>
          <w:noProof/>
        </w:rPr>
        <w:fldChar w:fldCharType="separate"/>
      </w:r>
      <w:r w:rsidR="00CD2E1C">
        <w:rPr>
          <w:noProof/>
        </w:rPr>
        <w:t>11</w:t>
      </w:r>
      <w:r>
        <w:rPr>
          <w:noProof/>
        </w:rPr>
        <w:fldChar w:fldCharType="end"/>
      </w:r>
    </w:p>
    <w:p w14:paraId="027D9A29" w14:textId="77777777" w:rsidR="0001006A" w:rsidRPr="008D7374" w:rsidRDefault="0001006A">
      <w:pPr>
        <w:pStyle w:val="TOC3"/>
        <w:rPr>
          <w:rFonts w:ascii="Calibri" w:hAnsi="Calibri"/>
          <w:noProof/>
          <w:szCs w:val="22"/>
          <w:lang w:eastAsia="en-NZ"/>
        </w:rPr>
      </w:pPr>
      <w:r>
        <w:rPr>
          <w:noProof/>
        </w:rPr>
        <w:t>Figure 11:</w:t>
      </w:r>
      <w:r>
        <w:rPr>
          <w:noProof/>
        </w:rPr>
        <w:tab/>
        <w:t>Distribution of people who were patients at an emergency department at least once during the year, by ethnic group, 2014/15</w:t>
      </w:r>
      <w:r>
        <w:rPr>
          <w:noProof/>
        </w:rPr>
        <w:tab/>
      </w:r>
      <w:r>
        <w:rPr>
          <w:noProof/>
        </w:rPr>
        <w:fldChar w:fldCharType="begin"/>
      </w:r>
      <w:r>
        <w:rPr>
          <w:noProof/>
        </w:rPr>
        <w:instrText xml:space="preserve"> PAGEREF _Toc453058865 \h </w:instrText>
      </w:r>
      <w:r>
        <w:rPr>
          <w:noProof/>
        </w:rPr>
      </w:r>
      <w:r>
        <w:rPr>
          <w:noProof/>
        </w:rPr>
        <w:fldChar w:fldCharType="separate"/>
      </w:r>
      <w:r w:rsidR="00CD2E1C">
        <w:rPr>
          <w:noProof/>
        </w:rPr>
        <w:t>12</w:t>
      </w:r>
      <w:r>
        <w:rPr>
          <w:noProof/>
        </w:rPr>
        <w:fldChar w:fldCharType="end"/>
      </w:r>
    </w:p>
    <w:p w14:paraId="278FCD85" w14:textId="77777777" w:rsidR="0001006A" w:rsidRPr="008D7374" w:rsidRDefault="0001006A">
      <w:pPr>
        <w:pStyle w:val="TOC3"/>
        <w:rPr>
          <w:rFonts w:ascii="Calibri" w:hAnsi="Calibri"/>
          <w:noProof/>
          <w:szCs w:val="22"/>
          <w:lang w:eastAsia="en-NZ"/>
        </w:rPr>
      </w:pPr>
      <w:r>
        <w:rPr>
          <w:noProof/>
        </w:rPr>
        <w:t>Figure 12:</w:t>
      </w:r>
      <w:r>
        <w:rPr>
          <w:noProof/>
        </w:rPr>
        <w:tab/>
        <w:t>Rate of people who were patients at an emergency department at least once during the year, by ethnic group, 2010/11–2014/15</w:t>
      </w:r>
      <w:r>
        <w:rPr>
          <w:noProof/>
        </w:rPr>
        <w:tab/>
      </w:r>
      <w:r>
        <w:rPr>
          <w:noProof/>
        </w:rPr>
        <w:fldChar w:fldCharType="begin"/>
      </w:r>
      <w:r>
        <w:rPr>
          <w:noProof/>
        </w:rPr>
        <w:instrText xml:space="preserve"> PAGEREF _Toc453058866 \h </w:instrText>
      </w:r>
      <w:r>
        <w:rPr>
          <w:noProof/>
        </w:rPr>
      </w:r>
      <w:r>
        <w:rPr>
          <w:noProof/>
        </w:rPr>
        <w:fldChar w:fldCharType="separate"/>
      </w:r>
      <w:r w:rsidR="00CD2E1C">
        <w:rPr>
          <w:noProof/>
        </w:rPr>
        <w:t>12</w:t>
      </w:r>
      <w:r>
        <w:rPr>
          <w:noProof/>
        </w:rPr>
        <w:fldChar w:fldCharType="end"/>
      </w:r>
    </w:p>
    <w:p w14:paraId="52CC2AC1" w14:textId="77777777" w:rsidR="0001006A" w:rsidRPr="008D7374" w:rsidRDefault="0001006A">
      <w:pPr>
        <w:pStyle w:val="TOC3"/>
        <w:rPr>
          <w:rFonts w:ascii="Calibri" w:hAnsi="Calibri"/>
          <w:noProof/>
          <w:szCs w:val="22"/>
          <w:lang w:eastAsia="en-NZ"/>
        </w:rPr>
      </w:pPr>
      <w:r>
        <w:rPr>
          <w:noProof/>
        </w:rPr>
        <w:t>Figure 13:</w:t>
      </w:r>
      <w:r>
        <w:rPr>
          <w:noProof/>
        </w:rPr>
        <w:tab/>
        <w:t>Rate of Māori who were patients at an emergency department at least once during the year, by DHB of residence, 2010/11 and 2014/15</w:t>
      </w:r>
      <w:r>
        <w:rPr>
          <w:noProof/>
        </w:rPr>
        <w:tab/>
      </w:r>
      <w:r>
        <w:rPr>
          <w:noProof/>
        </w:rPr>
        <w:fldChar w:fldCharType="begin"/>
      </w:r>
      <w:r>
        <w:rPr>
          <w:noProof/>
        </w:rPr>
        <w:instrText xml:space="preserve"> PAGEREF _Toc453058867 \h </w:instrText>
      </w:r>
      <w:r>
        <w:rPr>
          <w:noProof/>
        </w:rPr>
      </w:r>
      <w:r>
        <w:rPr>
          <w:noProof/>
        </w:rPr>
        <w:fldChar w:fldCharType="separate"/>
      </w:r>
      <w:r w:rsidR="00CD2E1C">
        <w:rPr>
          <w:noProof/>
        </w:rPr>
        <w:t>13</w:t>
      </w:r>
      <w:r>
        <w:rPr>
          <w:noProof/>
        </w:rPr>
        <w:fldChar w:fldCharType="end"/>
      </w:r>
    </w:p>
    <w:p w14:paraId="7D910ADF" w14:textId="77777777" w:rsidR="0001006A" w:rsidRPr="008D7374" w:rsidRDefault="0001006A">
      <w:pPr>
        <w:pStyle w:val="TOC3"/>
        <w:rPr>
          <w:rFonts w:ascii="Calibri" w:hAnsi="Calibri"/>
          <w:noProof/>
          <w:szCs w:val="22"/>
          <w:lang w:eastAsia="en-NZ"/>
        </w:rPr>
      </w:pPr>
      <w:r>
        <w:rPr>
          <w:noProof/>
        </w:rPr>
        <w:t>Figure 14:</w:t>
      </w:r>
      <w:r>
        <w:rPr>
          <w:noProof/>
        </w:rPr>
        <w:tab/>
        <w:t>Rate of non-Māori who were patients at an emergency department at least once during the year, by DHB of residence, 2010/11 and 2014/15</w:t>
      </w:r>
      <w:r>
        <w:rPr>
          <w:noProof/>
        </w:rPr>
        <w:tab/>
      </w:r>
      <w:r>
        <w:rPr>
          <w:noProof/>
        </w:rPr>
        <w:fldChar w:fldCharType="begin"/>
      </w:r>
      <w:r>
        <w:rPr>
          <w:noProof/>
        </w:rPr>
        <w:instrText xml:space="preserve"> PAGEREF _Toc453058868 \h </w:instrText>
      </w:r>
      <w:r>
        <w:rPr>
          <w:noProof/>
        </w:rPr>
      </w:r>
      <w:r>
        <w:rPr>
          <w:noProof/>
        </w:rPr>
        <w:fldChar w:fldCharType="separate"/>
      </w:r>
      <w:r w:rsidR="00CD2E1C">
        <w:rPr>
          <w:noProof/>
        </w:rPr>
        <w:t>14</w:t>
      </w:r>
      <w:r>
        <w:rPr>
          <w:noProof/>
        </w:rPr>
        <w:fldChar w:fldCharType="end"/>
      </w:r>
    </w:p>
    <w:p w14:paraId="405B0845" w14:textId="77777777" w:rsidR="0001006A" w:rsidRPr="008D7374" w:rsidRDefault="0001006A">
      <w:pPr>
        <w:pStyle w:val="TOC3"/>
        <w:rPr>
          <w:rFonts w:ascii="Calibri" w:hAnsi="Calibri"/>
          <w:noProof/>
          <w:szCs w:val="22"/>
          <w:lang w:eastAsia="en-NZ"/>
        </w:rPr>
      </w:pPr>
      <w:r>
        <w:rPr>
          <w:noProof/>
        </w:rPr>
        <w:t>Figure 15:</w:t>
      </w:r>
      <w:r>
        <w:rPr>
          <w:noProof/>
        </w:rPr>
        <w:tab/>
        <w:t>Rate of children and adults who were patients at an emergency department at least once during the year, by ethnic group, 2010/11 and 2014/15</w:t>
      </w:r>
      <w:r>
        <w:rPr>
          <w:noProof/>
        </w:rPr>
        <w:tab/>
      </w:r>
      <w:r>
        <w:rPr>
          <w:noProof/>
        </w:rPr>
        <w:fldChar w:fldCharType="begin"/>
      </w:r>
      <w:r>
        <w:rPr>
          <w:noProof/>
        </w:rPr>
        <w:instrText xml:space="preserve"> PAGEREF _Toc453058869 \h </w:instrText>
      </w:r>
      <w:r>
        <w:rPr>
          <w:noProof/>
        </w:rPr>
      </w:r>
      <w:r>
        <w:rPr>
          <w:noProof/>
        </w:rPr>
        <w:fldChar w:fldCharType="separate"/>
      </w:r>
      <w:r w:rsidR="00CD2E1C">
        <w:rPr>
          <w:noProof/>
        </w:rPr>
        <w:t>14</w:t>
      </w:r>
      <w:r>
        <w:rPr>
          <w:noProof/>
        </w:rPr>
        <w:fldChar w:fldCharType="end"/>
      </w:r>
    </w:p>
    <w:p w14:paraId="7F591142" w14:textId="77777777" w:rsidR="0001006A" w:rsidRPr="008D7374" w:rsidRDefault="0001006A">
      <w:pPr>
        <w:pStyle w:val="TOC3"/>
        <w:rPr>
          <w:rFonts w:ascii="Calibri" w:hAnsi="Calibri"/>
          <w:noProof/>
          <w:szCs w:val="22"/>
          <w:lang w:eastAsia="en-NZ"/>
        </w:rPr>
      </w:pPr>
      <w:r>
        <w:rPr>
          <w:noProof/>
        </w:rPr>
        <w:t>Figure 16:</w:t>
      </w:r>
      <w:r>
        <w:rPr>
          <w:noProof/>
        </w:rPr>
        <w:tab/>
        <w:t>Distribution of people who were patients at an emergency department at least once during the year, by neighbourhood deprivation quintile, 2014/15</w:t>
      </w:r>
      <w:r>
        <w:rPr>
          <w:noProof/>
        </w:rPr>
        <w:tab/>
      </w:r>
      <w:r>
        <w:rPr>
          <w:noProof/>
        </w:rPr>
        <w:fldChar w:fldCharType="begin"/>
      </w:r>
      <w:r>
        <w:rPr>
          <w:noProof/>
        </w:rPr>
        <w:instrText xml:space="preserve"> PAGEREF _Toc453058870 \h </w:instrText>
      </w:r>
      <w:r>
        <w:rPr>
          <w:noProof/>
        </w:rPr>
      </w:r>
      <w:r>
        <w:rPr>
          <w:noProof/>
        </w:rPr>
        <w:fldChar w:fldCharType="separate"/>
      </w:r>
      <w:r w:rsidR="00CD2E1C">
        <w:rPr>
          <w:noProof/>
        </w:rPr>
        <w:t>15</w:t>
      </w:r>
      <w:r>
        <w:rPr>
          <w:noProof/>
        </w:rPr>
        <w:fldChar w:fldCharType="end"/>
      </w:r>
    </w:p>
    <w:p w14:paraId="16F81B26" w14:textId="77777777" w:rsidR="0001006A" w:rsidRPr="008D7374" w:rsidRDefault="0001006A">
      <w:pPr>
        <w:pStyle w:val="TOC3"/>
        <w:rPr>
          <w:rFonts w:ascii="Calibri" w:hAnsi="Calibri"/>
          <w:noProof/>
          <w:szCs w:val="22"/>
          <w:lang w:eastAsia="en-NZ"/>
        </w:rPr>
      </w:pPr>
      <w:r>
        <w:rPr>
          <w:noProof/>
        </w:rPr>
        <w:t>Figure 17:</w:t>
      </w:r>
      <w:r>
        <w:rPr>
          <w:noProof/>
        </w:rPr>
        <w:tab/>
        <w:t>Rate of people who were patients at an emergency department at least once during the year, by neighbourhood deprivation quintile, 2010/11–2014/15</w:t>
      </w:r>
      <w:r>
        <w:rPr>
          <w:noProof/>
        </w:rPr>
        <w:tab/>
      </w:r>
      <w:r>
        <w:rPr>
          <w:noProof/>
        </w:rPr>
        <w:fldChar w:fldCharType="begin"/>
      </w:r>
      <w:r>
        <w:rPr>
          <w:noProof/>
        </w:rPr>
        <w:instrText xml:space="preserve"> PAGEREF _Toc453058871 \h </w:instrText>
      </w:r>
      <w:r>
        <w:rPr>
          <w:noProof/>
        </w:rPr>
      </w:r>
      <w:r>
        <w:rPr>
          <w:noProof/>
        </w:rPr>
        <w:fldChar w:fldCharType="separate"/>
      </w:r>
      <w:r w:rsidR="00CD2E1C">
        <w:rPr>
          <w:noProof/>
        </w:rPr>
        <w:t>16</w:t>
      </w:r>
      <w:r>
        <w:rPr>
          <w:noProof/>
        </w:rPr>
        <w:fldChar w:fldCharType="end"/>
      </w:r>
    </w:p>
    <w:p w14:paraId="4736322F" w14:textId="77777777" w:rsidR="0001006A" w:rsidRPr="008D7374" w:rsidRDefault="0001006A">
      <w:pPr>
        <w:pStyle w:val="TOC3"/>
        <w:rPr>
          <w:rFonts w:ascii="Calibri" w:hAnsi="Calibri"/>
          <w:noProof/>
          <w:szCs w:val="22"/>
          <w:lang w:eastAsia="en-NZ"/>
        </w:rPr>
      </w:pPr>
      <w:r>
        <w:rPr>
          <w:noProof/>
        </w:rPr>
        <w:t>Figure 18:</w:t>
      </w:r>
      <w:r>
        <w:rPr>
          <w:noProof/>
        </w:rPr>
        <w:tab/>
        <w:t>Rate of people residing in the most deprived neighbourhoods (quintile 5) who were patients at an emergency department at least once during the year, by DHB of residence, 2010/11 and 2014/15</w:t>
      </w:r>
      <w:r>
        <w:rPr>
          <w:noProof/>
        </w:rPr>
        <w:tab/>
      </w:r>
      <w:r>
        <w:rPr>
          <w:noProof/>
        </w:rPr>
        <w:fldChar w:fldCharType="begin"/>
      </w:r>
      <w:r>
        <w:rPr>
          <w:noProof/>
        </w:rPr>
        <w:instrText xml:space="preserve"> PAGEREF _Toc453058872 \h </w:instrText>
      </w:r>
      <w:r>
        <w:rPr>
          <w:noProof/>
        </w:rPr>
      </w:r>
      <w:r>
        <w:rPr>
          <w:noProof/>
        </w:rPr>
        <w:fldChar w:fldCharType="separate"/>
      </w:r>
      <w:r w:rsidR="00CD2E1C">
        <w:rPr>
          <w:noProof/>
        </w:rPr>
        <w:t>16</w:t>
      </w:r>
      <w:r>
        <w:rPr>
          <w:noProof/>
        </w:rPr>
        <w:fldChar w:fldCharType="end"/>
      </w:r>
    </w:p>
    <w:p w14:paraId="05300374" w14:textId="77777777" w:rsidR="0001006A" w:rsidRPr="008D7374" w:rsidRDefault="0001006A">
      <w:pPr>
        <w:pStyle w:val="TOC3"/>
        <w:rPr>
          <w:rFonts w:ascii="Calibri" w:hAnsi="Calibri"/>
          <w:noProof/>
          <w:szCs w:val="22"/>
          <w:lang w:eastAsia="en-NZ"/>
        </w:rPr>
      </w:pPr>
      <w:r>
        <w:rPr>
          <w:noProof/>
        </w:rPr>
        <w:lastRenderedPageBreak/>
        <w:t>Figure 19:</w:t>
      </w:r>
      <w:r>
        <w:rPr>
          <w:noProof/>
        </w:rPr>
        <w:tab/>
        <w:t>Rate of children and adults who were patients at an emergency department at least once during the year, by neighbourhood deprivation quintile, 2010/11 and 2014/15</w:t>
      </w:r>
      <w:r>
        <w:rPr>
          <w:noProof/>
        </w:rPr>
        <w:tab/>
      </w:r>
      <w:r>
        <w:rPr>
          <w:noProof/>
        </w:rPr>
        <w:fldChar w:fldCharType="begin"/>
      </w:r>
      <w:r>
        <w:rPr>
          <w:noProof/>
        </w:rPr>
        <w:instrText xml:space="preserve"> PAGEREF _Toc453058873 \h </w:instrText>
      </w:r>
      <w:r>
        <w:rPr>
          <w:noProof/>
        </w:rPr>
      </w:r>
      <w:r>
        <w:rPr>
          <w:noProof/>
        </w:rPr>
        <w:fldChar w:fldCharType="separate"/>
      </w:r>
      <w:r w:rsidR="00CD2E1C">
        <w:rPr>
          <w:noProof/>
        </w:rPr>
        <w:t>17</w:t>
      </w:r>
      <w:r>
        <w:rPr>
          <w:noProof/>
        </w:rPr>
        <w:fldChar w:fldCharType="end"/>
      </w:r>
    </w:p>
    <w:p w14:paraId="1E012C78" w14:textId="77777777" w:rsidR="0001006A" w:rsidRPr="008D7374" w:rsidRDefault="0001006A">
      <w:pPr>
        <w:pStyle w:val="TOC3"/>
        <w:rPr>
          <w:rFonts w:ascii="Calibri" w:hAnsi="Calibri"/>
          <w:noProof/>
          <w:szCs w:val="22"/>
          <w:lang w:eastAsia="en-NZ"/>
        </w:rPr>
      </w:pPr>
      <w:r>
        <w:rPr>
          <w:noProof/>
        </w:rPr>
        <w:t>Figure 20:</w:t>
      </w:r>
      <w:r>
        <w:rPr>
          <w:noProof/>
        </w:rPr>
        <w:tab/>
        <w:t>Rate of people in each ethnic group who were patients at an emergency department at least once during the year, by neighbourhood deprivation quintile, 2010/11 and 2014/15</w:t>
      </w:r>
      <w:r>
        <w:rPr>
          <w:noProof/>
        </w:rPr>
        <w:tab/>
      </w:r>
      <w:r>
        <w:rPr>
          <w:noProof/>
        </w:rPr>
        <w:fldChar w:fldCharType="begin"/>
      </w:r>
      <w:r>
        <w:rPr>
          <w:noProof/>
        </w:rPr>
        <w:instrText xml:space="preserve"> PAGEREF _Toc453058874 \h </w:instrText>
      </w:r>
      <w:r>
        <w:rPr>
          <w:noProof/>
        </w:rPr>
      </w:r>
      <w:r>
        <w:rPr>
          <w:noProof/>
        </w:rPr>
        <w:fldChar w:fldCharType="separate"/>
      </w:r>
      <w:r w:rsidR="00CD2E1C">
        <w:rPr>
          <w:noProof/>
        </w:rPr>
        <w:t>17</w:t>
      </w:r>
      <w:r>
        <w:rPr>
          <w:noProof/>
        </w:rPr>
        <w:fldChar w:fldCharType="end"/>
      </w:r>
    </w:p>
    <w:p w14:paraId="2E13BB55" w14:textId="77777777" w:rsidR="0001006A" w:rsidRPr="008D7374" w:rsidRDefault="0001006A">
      <w:pPr>
        <w:pStyle w:val="TOC3"/>
        <w:rPr>
          <w:rFonts w:ascii="Calibri" w:hAnsi="Calibri"/>
          <w:noProof/>
          <w:szCs w:val="22"/>
          <w:lang w:eastAsia="en-NZ"/>
        </w:rPr>
      </w:pPr>
      <w:r>
        <w:rPr>
          <w:noProof/>
        </w:rPr>
        <w:t>Figure 21:</w:t>
      </w:r>
      <w:r>
        <w:rPr>
          <w:noProof/>
        </w:rPr>
        <w:tab/>
        <w:t>Distribution of people who were patients at an emergency department at least once during the year, by the number of visits, 2014/15</w:t>
      </w:r>
      <w:r>
        <w:rPr>
          <w:noProof/>
        </w:rPr>
        <w:tab/>
      </w:r>
      <w:r>
        <w:rPr>
          <w:noProof/>
        </w:rPr>
        <w:fldChar w:fldCharType="begin"/>
      </w:r>
      <w:r>
        <w:rPr>
          <w:noProof/>
        </w:rPr>
        <w:instrText xml:space="preserve"> PAGEREF _Toc453058875 \h </w:instrText>
      </w:r>
      <w:r>
        <w:rPr>
          <w:noProof/>
        </w:rPr>
      </w:r>
      <w:r>
        <w:rPr>
          <w:noProof/>
        </w:rPr>
        <w:fldChar w:fldCharType="separate"/>
      </w:r>
      <w:r w:rsidR="00CD2E1C">
        <w:rPr>
          <w:noProof/>
        </w:rPr>
        <w:t>18</w:t>
      </w:r>
      <w:r>
        <w:rPr>
          <w:noProof/>
        </w:rPr>
        <w:fldChar w:fldCharType="end"/>
      </w:r>
    </w:p>
    <w:p w14:paraId="46066726" w14:textId="77777777" w:rsidR="0001006A" w:rsidRPr="008D7374" w:rsidRDefault="0001006A">
      <w:pPr>
        <w:pStyle w:val="TOC3"/>
        <w:rPr>
          <w:rFonts w:ascii="Calibri" w:hAnsi="Calibri"/>
          <w:noProof/>
          <w:szCs w:val="22"/>
          <w:lang w:eastAsia="en-NZ"/>
        </w:rPr>
      </w:pPr>
      <w:r>
        <w:rPr>
          <w:noProof/>
        </w:rPr>
        <w:t>Figure 22:</w:t>
      </w:r>
      <w:r>
        <w:rPr>
          <w:noProof/>
        </w:rPr>
        <w:tab/>
        <w:t>Rate of single use and repeat use patients at an emergency department, 2010/11–2014/15</w:t>
      </w:r>
      <w:r>
        <w:rPr>
          <w:noProof/>
        </w:rPr>
        <w:tab/>
      </w:r>
      <w:r>
        <w:rPr>
          <w:noProof/>
        </w:rPr>
        <w:fldChar w:fldCharType="begin"/>
      </w:r>
      <w:r>
        <w:rPr>
          <w:noProof/>
        </w:rPr>
        <w:instrText xml:space="preserve"> PAGEREF _Toc453058876 \h </w:instrText>
      </w:r>
      <w:r>
        <w:rPr>
          <w:noProof/>
        </w:rPr>
      </w:r>
      <w:r>
        <w:rPr>
          <w:noProof/>
        </w:rPr>
        <w:fldChar w:fldCharType="separate"/>
      </w:r>
      <w:r w:rsidR="00CD2E1C">
        <w:rPr>
          <w:noProof/>
        </w:rPr>
        <w:t>19</w:t>
      </w:r>
      <w:r>
        <w:rPr>
          <w:noProof/>
        </w:rPr>
        <w:fldChar w:fldCharType="end"/>
      </w:r>
    </w:p>
    <w:p w14:paraId="7EAFEA47" w14:textId="77777777" w:rsidR="0001006A" w:rsidRPr="008D7374" w:rsidRDefault="0001006A">
      <w:pPr>
        <w:pStyle w:val="TOC3"/>
        <w:rPr>
          <w:rFonts w:ascii="Calibri" w:hAnsi="Calibri"/>
          <w:noProof/>
          <w:szCs w:val="22"/>
          <w:lang w:eastAsia="en-NZ"/>
        </w:rPr>
      </w:pPr>
      <w:r>
        <w:rPr>
          <w:noProof/>
        </w:rPr>
        <w:t>Figure 23:</w:t>
      </w:r>
      <w:r>
        <w:rPr>
          <w:noProof/>
        </w:rPr>
        <w:tab/>
        <w:t>Rate of people who were patients at an emergency department once during the year (single use), by DHB of residence, 2010/11 and 2014/15</w:t>
      </w:r>
      <w:r>
        <w:rPr>
          <w:noProof/>
        </w:rPr>
        <w:tab/>
      </w:r>
      <w:r>
        <w:rPr>
          <w:noProof/>
        </w:rPr>
        <w:fldChar w:fldCharType="begin"/>
      </w:r>
      <w:r>
        <w:rPr>
          <w:noProof/>
        </w:rPr>
        <w:instrText xml:space="preserve"> PAGEREF _Toc453058877 \h </w:instrText>
      </w:r>
      <w:r>
        <w:rPr>
          <w:noProof/>
        </w:rPr>
      </w:r>
      <w:r>
        <w:rPr>
          <w:noProof/>
        </w:rPr>
        <w:fldChar w:fldCharType="separate"/>
      </w:r>
      <w:r w:rsidR="00CD2E1C">
        <w:rPr>
          <w:noProof/>
        </w:rPr>
        <w:t>19</w:t>
      </w:r>
      <w:r>
        <w:rPr>
          <w:noProof/>
        </w:rPr>
        <w:fldChar w:fldCharType="end"/>
      </w:r>
    </w:p>
    <w:p w14:paraId="3DBB9EF4" w14:textId="77777777" w:rsidR="0001006A" w:rsidRPr="008D7374" w:rsidRDefault="0001006A">
      <w:pPr>
        <w:pStyle w:val="TOC3"/>
        <w:rPr>
          <w:rFonts w:ascii="Calibri" w:hAnsi="Calibri"/>
          <w:noProof/>
          <w:szCs w:val="22"/>
          <w:lang w:eastAsia="en-NZ"/>
        </w:rPr>
      </w:pPr>
      <w:r>
        <w:rPr>
          <w:noProof/>
        </w:rPr>
        <w:t>Figure 24:</w:t>
      </w:r>
      <w:r>
        <w:rPr>
          <w:noProof/>
        </w:rPr>
        <w:tab/>
        <w:t>Rate of people who were patients at an emergency department more than once during the year (repeat use), by DHB of residence, 2010/11 and 2014/15</w:t>
      </w:r>
      <w:r>
        <w:rPr>
          <w:noProof/>
        </w:rPr>
        <w:tab/>
      </w:r>
      <w:r>
        <w:rPr>
          <w:noProof/>
        </w:rPr>
        <w:fldChar w:fldCharType="begin"/>
      </w:r>
      <w:r>
        <w:rPr>
          <w:noProof/>
        </w:rPr>
        <w:instrText xml:space="preserve"> PAGEREF _Toc453058878 \h </w:instrText>
      </w:r>
      <w:r>
        <w:rPr>
          <w:noProof/>
        </w:rPr>
      </w:r>
      <w:r>
        <w:rPr>
          <w:noProof/>
        </w:rPr>
        <w:fldChar w:fldCharType="separate"/>
      </w:r>
      <w:r w:rsidR="00CD2E1C">
        <w:rPr>
          <w:noProof/>
        </w:rPr>
        <w:t>20</w:t>
      </w:r>
      <w:r>
        <w:rPr>
          <w:noProof/>
        </w:rPr>
        <w:fldChar w:fldCharType="end"/>
      </w:r>
    </w:p>
    <w:p w14:paraId="61CDC58A" w14:textId="77777777" w:rsidR="0001006A" w:rsidRPr="008D7374" w:rsidRDefault="0001006A">
      <w:pPr>
        <w:pStyle w:val="TOC3"/>
        <w:rPr>
          <w:rFonts w:ascii="Calibri" w:hAnsi="Calibri"/>
          <w:noProof/>
          <w:szCs w:val="22"/>
          <w:lang w:eastAsia="en-NZ"/>
        </w:rPr>
      </w:pPr>
      <w:r>
        <w:rPr>
          <w:noProof/>
        </w:rPr>
        <w:t>Figure 25:</w:t>
      </w:r>
      <w:r>
        <w:rPr>
          <w:noProof/>
        </w:rPr>
        <w:tab/>
        <w:t>Rate of children and adults who had single and repeated use of emergency department services, 2010/11 and 2014/15</w:t>
      </w:r>
      <w:r>
        <w:rPr>
          <w:noProof/>
        </w:rPr>
        <w:tab/>
      </w:r>
      <w:r>
        <w:rPr>
          <w:noProof/>
        </w:rPr>
        <w:fldChar w:fldCharType="begin"/>
      </w:r>
      <w:r>
        <w:rPr>
          <w:noProof/>
        </w:rPr>
        <w:instrText xml:space="preserve"> PAGEREF _Toc453058879 \h </w:instrText>
      </w:r>
      <w:r>
        <w:rPr>
          <w:noProof/>
        </w:rPr>
      </w:r>
      <w:r>
        <w:rPr>
          <w:noProof/>
        </w:rPr>
        <w:fldChar w:fldCharType="separate"/>
      </w:r>
      <w:r w:rsidR="00CD2E1C">
        <w:rPr>
          <w:noProof/>
        </w:rPr>
        <w:t>20</w:t>
      </w:r>
      <w:r>
        <w:rPr>
          <w:noProof/>
        </w:rPr>
        <w:fldChar w:fldCharType="end"/>
      </w:r>
    </w:p>
    <w:p w14:paraId="2E20233D" w14:textId="77777777" w:rsidR="0001006A" w:rsidRPr="008D7374" w:rsidRDefault="0001006A">
      <w:pPr>
        <w:pStyle w:val="TOC3"/>
        <w:rPr>
          <w:rFonts w:ascii="Calibri" w:hAnsi="Calibri"/>
          <w:noProof/>
          <w:szCs w:val="22"/>
          <w:lang w:eastAsia="en-NZ"/>
        </w:rPr>
      </w:pPr>
      <w:r>
        <w:rPr>
          <w:noProof/>
        </w:rPr>
        <w:t>Figure 26:</w:t>
      </w:r>
      <w:r>
        <w:rPr>
          <w:noProof/>
        </w:rPr>
        <w:tab/>
        <w:t>Rate of people who had single and repeated use of emergency department services, by ethnic group, 2010/11 and 2014/15</w:t>
      </w:r>
      <w:r>
        <w:rPr>
          <w:noProof/>
        </w:rPr>
        <w:tab/>
      </w:r>
      <w:r>
        <w:rPr>
          <w:noProof/>
        </w:rPr>
        <w:fldChar w:fldCharType="begin"/>
      </w:r>
      <w:r>
        <w:rPr>
          <w:noProof/>
        </w:rPr>
        <w:instrText xml:space="preserve"> PAGEREF _Toc453058880 \h </w:instrText>
      </w:r>
      <w:r>
        <w:rPr>
          <w:noProof/>
        </w:rPr>
      </w:r>
      <w:r>
        <w:rPr>
          <w:noProof/>
        </w:rPr>
        <w:fldChar w:fldCharType="separate"/>
      </w:r>
      <w:r w:rsidR="00CD2E1C">
        <w:rPr>
          <w:noProof/>
        </w:rPr>
        <w:t>21</w:t>
      </w:r>
      <w:r>
        <w:rPr>
          <w:noProof/>
        </w:rPr>
        <w:fldChar w:fldCharType="end"/>
      </w:r>
    </w:p>
    <w:p w14:paraId="21F4A86A" w14:textId="77777777" w:rsidR="0001006A" w:rsidRPr="008D7374" w:rsidRDefault="0001006A">
      <w:pPr>
        <w:pStyle w:val="TOC3"/>
        <w:rPr>
          <w:rFonts w:ascii="Calibri" w:hAnsi="Calibri"/>
          <w:noProof/>
          <w:szCs w:val="22"/>
          <w:lang w:eastAsia="en-NZ"/>
        </w:rPr>
      </w:pPr>
      <w:r>
        <w:rPr>
          <w:noProof/>
        </w:rPr>
        <w:t>Figure 27:</w:t>
      </w:r>
      <w:r>
        <w:rPr>
          <w:noProof/>
        </w:rPr>
        <w:tab/>
        <w:t>Rate of people who had single and repeated use of emergency department services, by neighbourhood deprivation quintile, 2010/11 and 2014/15</w:t>
      </w:r>
      <w:r>
        <w:rPr>
          <w:noProof/>
        </w:rPr>
        <w:tab/>
      </w:r>
      <w:r>
        <w:rPr>
          <w:noProof/>
        </w:rPr>
        <w:fldChar w:fldCharType="begin"/>
      </w:r>
      <w:r>
        <w:rPr>
          <w:noProof/>
        </w:rPr>
        <w:instrText xml:space="preserve"> PAGEREF _Toc453058881 \h </w:instrText>
      </w:r>
      <w:r>
        <w:rPr>
          <w:noProof/>
        </w:rPr>
      </w:r>
      <w:r>
        <w:rPr>
          <w:noProof/>
        </w:rPr>
        <w:fldChar w:fldCharType="separate"/>
      </w:r>
      <w:r w:rsidR="00CD2E1C">
        <w:rPr>
          <w:noProof/>
        </w:rPr>
        <w:t>21</w:t>
      </w:r>
      <w:r>
        <w:rPr>
          <w:noProof/>
        </w:rPr>
        <w:fldChar w:fldCharType="end"/>
      </w:r>
    </w:p>
    <w:p w14:paraId="41EDA866" w14:textId="77777777" w:rsidR="0001006A" w:rsidRPr="008D7374" w:rsidRDefault="0001006A">
      <w:pPr>
        <w:pStyle w:val="TOC3"/>
        <w:rPr>
          <w:rFonts w:ascii="Calibri" w:hAnsi="Calibri"/>
          <w:noProof/>
          <w:szCs w:val="22"/>
          <w:lang w:eastAsia="en-NZ"/>
        </w:rPr>
      </w:pPr>
      <w:r>
        <w:rPr>
          <w:noProof/>
        </w:rPr>
        <w:t>Figure 28:</w:t>
      </w:r>
      <w:r>
        <w:rPr>
          <w:noProof/>
        </w:rPr>
        <w:tab/>
        <w:t>Number of emergency department events, 2010/11–2014/15</w:t>
      </w:r>
      <w:r>
        <w:rPr>
          <w:noProof/>
        </w:rPr>
        <w:tab/>
      </w:r>
      <w:r>
        <w:rPr>
          <w:noProof/>
        </w:rPr>
        <w:fldChar w:fldCharType="begin"/>
      </w:r>
      <w:r>
        <w:rPr>
          <w:noProof/>
        </w:rPr>
        <w:instrText xml:space="preserve"> PAGEREF _Toc453058882 \h </w:instrText>
      </w:r>
      <w:r>
        <w:rPr>
          <w:noProof/>
        </w:rPr>
      </w:r>
      <w:r>
        <w:rPr>
          <w:noProof/>
        </w:rPr>
        <w:fldChar w:fldCharType="separate"/>
      </w:r>
      <w:r w:rsidR="00CD2E1C">
        <w:rPr>
          <w:noProof/>
        </w:rPr>
        <w:t>22</w:t>
      </w:r>
      <w:r>
        <w:rPr>
          <w:noProof/>
        </w:rPr>
        <w:fldChar w:fldCharType="end"/>
      </w:r>
    </w:p>
    <w:p w14:paraId="55622C3E" w14:textId="77777777" w:rsidR="0001006A" w:rsidRPr="008D7374" w:rsidRDefault="0001006A">
      <w:pPr>
        <w:pStyle w:val="TOC3"/>
        <w:rPr>
          <w:rFonts w:ascii="Calibri" w:hAnsi="Calibri"/>
          <w:noProof/>
          <w:szCs w:val="22"/>
          <w:lang w:eastAsia="en-NZ"/>
        </w:rPr>
      </w:pPr>
      <w:r>
        <w:rPr>
          <w:noProof/>
        </w:rPr>
        <w:t>Figure 29:</w:t>
      </w:r>
      <w:r>
        <w:rPr>
          <w:noProof/>
        </w:rPr>
        <w:tab/>
        <w:t>Distribution of emergency department events, by DHB region of facility, 2014/15</w:t>
      </w:r>
      <w:r>
        <w:rPr>
          <w:noProof/>
        </w:rPr>
        <w:tab/>
      </w:r>
      <w:r>
        <w:rPr>
          <w:noProof/>
        </w:rPr>
        <w:fldChar w:fldCharType="begin"/>
      </w:r>
      <w:r>
        <w:rPr>
          <w:noProof/>
        </w:rPr>
        <w:instrText xml:space="preserve"> PAGEREF _Toc453058883 \h </w:instrText>
      </w:r>
      <w:r>
        <w:rPr>
          <w:noProof/>
        </w:rPr>
      </w:r>
      <w:r>
        <w:rPr>
          <w:noProof/>
        </w:rPr>
        <w:fldChar w:fldCharType="separate"/>
      </w:r>
      <w:r w:rsidR="00CD2E1C">
        <w:rPr>
          <w:noProof/>
        </w:rPr>
        <w:t>23</w:t>
      </w:r>
      <w:r>
        <w:rPr>
          <w:noProof/>
        </w:rPr>
        <w:fldChar w:fldCharType="end"/>
      </w:r>
    </w:p>
    <w:p w14:paraId="32482289" w14:textId="77777777" w:rsidR="0001006A" w:rsidRPr="008D7374" w:rsidRDefault="0001006A">
      <w:pPr>
        <w:pStyle w:val="TOC3"/>
        <w:rPr>
          <w:rFonts w:ascii="Calibri" w:hAnsi="Calibri"/>
          <w:noProof/>
          <w:szCs w:val="22"/>
          <w:lang w:eastAsia="en-NZ"/>
        </w:rPr>
      </w:pPr>
      <w:r>
        <w:rPr>
          <w:noProof/>
        </w:rPr>
        <w:t>Figure 30:</w:t>
      </w:r>
      <w:r>
        <w:rPr>
          <w:noProof/>
        </w:rPr>
        <w:tab/>
        <w:t>Distribution of emergency department events, by day of the week, 2014/15</w:t>
      </w:r>
      <w:r>
        <w:rPr>
          <w:noProof/>
        </w:rPr>
        <w:tab/>
      </w:r>
      <w:r>
        <w:rPr>
          <w:noProof/>
        </w:rPr>
        <w:fldChar w:fldCharType="begin"/>
      </w:r>
      <w:r>
        <w:rPr>
          <w:noProof/>
        </w:rPr>
        <w:instrText xml:space="preserve"> PAGEREF _Toc453058884 \h </w:instrText>
      </w:r>
      <w:r>
        <w:rPr>
          <w:noProof/>
        </w:rPr>
      </w:r>
      <w:r>
        <w:rPr>
          <w:noProof/>
        </w:rPr>
        <w:fldChar w:fldCharType="separate"/>
      </w:r>
      <w:r w:rsidR="00CD2E1C">
        <w:rPr>
          <w:noProof/>
        </w:rPr>
        <w:t>23</w:t>
      </w:r>
      <w:r>
        <w:rPr>
          <w:noProof/>
        </w:rPr>
        <w:fldChar w:fldCharType="end"/>
      </w:r>
    </w:p>
    <w:p w14:paraId="1461BDB6" w14:textId="77777777" w:rsidR="0001006A" w:rsidRPr="008D7374" w:rsidRDefault="0001006A">
      <w:pPr>
        <w:pStyle w:val="TOC3"/>
        <w:rPr>
          <w:rFonts w:ascii="Calibri" w:hAnsi="Calibri"/>
          <w:noProof/>
          <w:szCs w:val="22"/>
          <w:lang w:eastAsia="en-NZ"/>
        </w:rPr>
      </w:pPr>
      <w:r>
        <w:rPr>
          <w:noProof/>
        </w:rPr>
        <w:t>Figure 31:</w:t>
      </w:r>
      <w:r>
        <w:rPr>
          <w:noProof/>
        </w:rPr>
        <w:tab/>
        <w:t>Proportion of emergency department events that occur during weekends by DHB region of facility, 2010/11 and 2014/15</w:t>
      </w:r>
      <w:r>
        <w:rPr>
          <w:noProof/>
        </w:rPr>
        <w:tab/>
      </w:r>
      <w:r>
        <w:rPr>
          <w:noProof/>
        </w:rPr>
        <w:fldChar w:fldCharType="begin"/>
      </w:r>
      <w:r>
        <w:rPr>
          <w:noProof/>
        </w:rPr>
        <w:instrText xml:space="preserve"> PAGEREF _Toc453058885 \h </w:instrText>
      </w:r>
      <w:r>
        <w:rPr>
          <w:noProof/>
        </w:rPr>
      </w:r>
      <w:r>
        <w:rPr>
          <w:noProof/>
        </w:rPr>
        <w:fldChar w:fldCharType="separate"/>
      </w:r>
      <w:r w:rsidR="00CD2E1C">
        <w:rPr>
          <w:noProof/>
        </w:rPr>
        <w:t>24</w:t>
      </w:r>
      <w:r>
        <w:rPr>
          <w:noProof/>
        </w:rPr>
        <w:fldChar w:fldCharType="end"/>
      </w:r>
    </w:p>
    <w:p w14:paraId="04B79DBA" w14:textId="77777777" w:rsidR="0001006A" w:rsidRPr="008D7374" w:rsidRDefault="0001006A">
      <w:pPr>
        <w:pStyle w:val="TOC3"/>
        <w:rPr>
          <w:rFonts w:ascii="Calibri" w:hAnsi="Calibri"/>
          <w:noProof/>
          <w:szCs w:val="22"/>
          <w:lang w:eastAsia="en-NZ"/>
        </w:rPr>
      </w:pPr>
      <w:r>
        <w:rPr>
          <w:noProof/>
        </w:rPr>
        <w:t>Figure 32:</w:t>
      </w:r>
      <w:r>
        <w:rPr>
          <w:noProof/>
        </w:rPr>
        <w:tab/>
        <w:t>Distribution of emergency department events, by month of event, 2014/15</w:t>
      </w:r>
      <w:r>
        <w:rPr>
          <w:noProof/>
        </w:rPr>
        <w:tab/>
      </w:r>
      <w:r>
        <w:rPr>
          <w:noProof/>
        </w:rPr>
        <w:fldChar w:fldCharType="begin"/>
      </w:r>
      <w:r>
        <w:rPr>
          <w:noProof/>
        </w:rPr>
        <w:instrText xml:space="preserve"> PAGEREF _Toc453058886 \h </w:instrText>
      </w:r>
      <w:r>
        <w:rPr>
          <w:noProof/>
        </w:rPr>
      </w:r>
      <w:r>
        <w:rPr>
          <w:noProof/>
        </w:rPr>
        <w:fldChar w:fldCharType="separate"/>
      </w:r>
      <w:r w:rsidR="00CD2E1C">
        <w:rPr>
          <w:noProof/>
        </w:rPr>
        <w:t>25</w:t>
      </w:r>
      <w:r>
        <w:rPr>
          <w:noProof/>
        </w:rPr>
        <w:fldChar w:fldCharType="end"/>
      </w:r>
    </w:p>
    <w:p w14:paraId="132A9B4D" w14:textId="77777777" w:rsidR="0001006A" w:rsidRPr="008D7374" w:rsidRDefault="0001006A">
      <w:pPr>
        <w:pStyle w:val="TOC3"/>
        <w:rPr>
          <w:rFonts w:ascii="Calibri" w:hAnsi="Calibri"/>
          <w:noProof/>
          <w:szCs w:val="22"/>
          <w:lang w:eastAsia="en-NZ"/>
        </w:rPr>
      </w:pPr>
      <w:r>
        <w:rPr>
          <w:noProof/>
        </w:rPr>
        <w:t>Figure 33:</w:t>
      </w:r>
      <w:r>
        <w:rPr>
          <w:noProof/>
        </w:rPr>
        <w:tab/>
        <w:t>Number of emergency department events per day, by month of event, 2010/11 and 2014/15</w:t>
      </w:r>
      <w:r>
        <w:rPr>
          <w:noProof/>
        </w:rPr>
        <w:tab/>
      </w:r>
      <w:r>
        <w:rPr>
          <w:noProof/>
        </w:rPr>
        <w:fldChar w:fldCharType="begin"/>
      </w:r>
      <w:r>
        <w:rPr>
          <w:noProof/>
        </w:rPr>
        <w:instrText xml:space="preserve"> PAGEREF _Toc453058887 \h </w:instrText>
      </w:r>
      <w:r>
        <w:rPr>
          <w:noProof/>
        </w:rPr>
      </w:r>
      <w:r>
        <w:rPr>
          <w:noProof/>
        </w:rPr>
        <w:fldChar w:fldCharType="separate"/>
      </w:r>
      <w:r w:rsidR="00CD2E1C">
        <w:rPr>
          <w:noProof/>
        </w:rPr>
        <w:t>25</w:t>
      </w:r>
      <w:r>
        <w:rPr>
          <w:noProof/>
        </w:rPr>
        <w:fldChar w:fldCharType="end"/>
      </w:r>
    </w:p>
    <w:p w14:paraId="64948B53" w14:textId="77777777" w:rsidR="0001006A" w:rsidRPr="008D7374" w:rsidRDefault="0001006A">
      <w:pPr>
        <w:pStyle w:val="TOC3"/>
        <w:rPr>
          <w:rFonts w:ascii="Calibri" w:hAnsi="Calibri"/>
          <w:noProof/>
          <w:szCs w:val="22"/>
          <w:lang w:eastAsia="en-NZ"/>
        </w:rPr>
      </w:pPr>
      <w:r>
        <w:rPr>
          <w:noProof/>
        </w:rPr>
        <w:t>Figure 34:</w:t>
      </w:r>
      <w:r>
        <w:rPr>
          <w:noProof/>
        </w:rPr>
        <w:tab/>
        <w:t>Distribution of emergency department events, by triage level, 2014/15</w:t>
      </w:r>
      <w:r>
        <w:rPr>
          <w:noProof/>
        </w:rPr>
        <w:tab/>
      </w:r>
      <w:r>
        <w:rPr>
          <w:noProof/>
        </w:rPr>
        <w:fldChar w:fldCharType="begin"/>
      </w:r>
      <w:r>
        <w:rPr>
          <w:noProof/>
        </w:rPr>
        <w:instrText xml:space="preserve"> PAGEREF _Toc453058888 \h </w:instrText>
      </w:r>
      <w:r>
        <w:rPr>
          <w:noProof/>
        </w:rPr>
      </w:r>
      <w:r>
        <w:rPr>
          <w:noProof/>
        </w:rPr>
        <w:fldChar w:fldCharType="separate"/>
      </w:r>
      <w:r w:rsidR="00CD2E1C">
        <w:rPr>
          <w:noProof/>
        </w:rPr>
        <w:t>26</w:t>
      </w:r>
      <w:r>
        <w:rPr>
          <w:noProof/>
        </w:rPr>
        <w:fldChar w:fldCharType="end"/>
      </w:r>
    </w:p>
    <w:p w14:paraId="31B1CB64" w14:textId="77777777" w:rsidR="0001006A" w:rsidRPr="008D7374" w:rsidRDefault="0001006A">
      <w:pPr>
        <w:pStyle w:val="TOC3"/>
        <w:rPr>
          <w:rFonts w:ascii="Calibri" w:hAnsi="Calibri"/>
          <w:noProof/>
          <w:szCs w:val="22"/>
          <w:lang w:eastAsia="en-NZ"/>
        </w:rPr>
      </w:pPr>
      <w:r>
        <w:rPr>
          <w:noProof/>
        </w:rPr>
        <w:t>Figure 35:</w:t>
      </w:r>
      <w:r>
        <w:rPr>
          <w:noProof/>
        </w:rPr>
        <w:tab/>
        <w:t>Distribution of emergency department events, by triage level,</w:t>
      </w:r>
      <w:r>
        <w:rPr>
          <w:noProof/>
        </w:rPr>
        <w:br/>
        <w:t>2010/11–2014/15</w:t>
      </w:r>
      <w:r>
        <w:rPr>
          <w:noProof/>
        </w:rPr>
        <w:tab/>
      </w:r>
      <w:r>
        <w:rPr>
          <w:noProof/>
        </w:rPr>
        <w:fldChar w:fldCharType="begin"/>
      </w:r>
      <w:r>
        <w:rPr>
          <w:noProof/>
        </w:rPr>
        <w:instrText xml:space="preserve"> PAGEREF _Toc453058889 \h </w:instrText>
      </w:r>
      <w:r>
        <w:rPr>
          <w:noProof/>
        </w:rPr>
      </w:r>
      <w:r>
        <w:rPr>
          <w:noProof/>
        </w:rPr>
        <w:fldChar w:fldCharType="separate"/>
      </w:r>
      <w:r w:rsidR="00CD2E1C">
        <w:rPr>
          <w:noProof/>
        </w:rPr>
        <w:t>27</w:t>
      </w:r>
      <w:r>
        <w:rPr>
          <w:noProof/>
        </w:rPr>
        <w:fldChar w:fldCharType="end"/>
      </w:r>
    </w:p>
    <w:p w14:paraId="0CD485CF" w14:textId="77777777" w:rsidR="0001006A" w:rsidRPr="008D7374" w:rsidRDefault="0001006A">
      <w:pPr>
        <w:pStyle w:val="TOC3"/>
        <w:rPr>
          <w:rFonts w:ascii="Calibri" w:hAnsi="Calibri"/>
          <w:noProof/>
          <w:szCs w:val="22"/>
          <w:lang w:eastAsia="en-NZ"/>
        </w:rPr>
      </w:pPr>
      <w:r>
        <w:rPr>
          <w:noProof/>
        </w:rPr>
        <w:t>Figure 36:</w:t>
      </w:r>
      <w:r>
        <w:rPr>
          <w:noProof/>
        </w:rPr>
        <w:tab/>
        <w:t>Proportion of immediately or potentially life-threatening emergency department events, by DHB region of facility, 2010/11 and 2014/15</w:t>
      </w:r>
      <w:r>
        <w:rPr>
          <w:noProof/>
        </w:rPr>
        <w:tab/>
      </w:r>
      <w:r>
        <w:rPr>
          <w:noProof/>
        </w:rPr>
        <w:fldChar w:fldCharType="begin"/>
      </w:r>
      <w:r>
        <w:rPr>
          <w:noProof/>
        </w:rPr>
        <w:instrText xml:space="preserve"> PAGEREF _Toc453058890 \h </w:instrText>
      </w:r>
      <w:r>
        <w:rPr>
          <w:noProof/>
        </w:rPr>
      </w:r>
      <w:r>
        <w:rPr>
          <w:noProof/>
        </w:rPr>
        <w:fldChar w:fldCharType="separate"/>
      </w:r>
      <w:r w:rsidR="00CD2E1C">
        <w:rPr>
          <w:noProof/>
        </w:rPr>
        <w:t>27</w:t>
      </w:r>
      <w:r>
        <w:rPr>
          <w:noProof/>
        </w:rPr>
        <w:fldChar w:fldCharType="end"/>
      </w:r>
    </w:p>
    <w:p w14:paraId="501E1ECE" w14:textId="77777777" w:rsidR="0001006A" w:rsidRPr="008D7374" w:rsidRDefault="0001006A">
      <w:pPr>
        <w:pStyle w:val="TOC3"/>
        <w:rPr>
          <w:rFonts w:ascii="Calibri" w:hAnsi="Calibri"/>
          <w:noProof/>
          <w:szCs w:val="22"/>
          <w:lang w:eastAsia="en-NZ"/>
        </w:rPr>
      </w:pPr>
      <w:r>
        <w:rPr>
          <w:noProof/>
        </w:rPr>
        <w:t>Figure 37:</w:t>
      </w:r>
      <w:r>
        <w:rPr>
          <w:noProof/>
        </w:rPr>
        <w:tab/>
        <w:t>Distribution of emergency department events, by service provider, 2010/11 and 2014/15</w:t>
      </w:r>
      <w:r>
        <w:rPr>
          <w:noProof/>
        </w:rPr>
        <w:tab/>
      </w:r>
      <w:r>
        <w:rPr>
          <w:noProof/>
        </w:rPr>
        <w:fldChar w:fldCharType="begin"/>
      </w:r>
      <w:r>
        <w:rPr>
          <w:noProof/>
        </w:rPr>
        <w:instrText xml:space="preserve"> PAGEREF _Toc453058891 \h </w:instrText>
      </w:r>
      <w:r>
        <w:rPr>
          <w:noProof/>
        </w:rPr>
      </w:r>
      <w:r>
        <w:rPr>
          <w:noProof/>
        </w:rPr>
        <w:fldChar w:fldCharType="separate"/>
      </w:r>
      <w:r w:rsidR="00CD2E1C">
        <w:rPr>
          <w:noProof/>
        </w:rPr>
        <w:t>28</w:t>
      </w:r>
      <w:r>
        <w:rPr>
          <w:noProof/>
        </w:rPr>
        <w:fldChar w:fldCharType="end"/>
      </w:r>
    </w:p>
    <w:p w14:paraId="2E909F0D" w14:textId="77777777" w:rsidR="0001006A" w:rsidRPr="008D7374" w:rsidRDefault="0001006A">
      <w:pPr>
        <w:pStyle w:val="TOC3"/>
        <w:rPr>
          <w:rFonts w:ascii="Calibri" w:hAnsi="Calibri"/>
          <w:noProof/>
          <w:szCs w:val="22"/>
          <w:lang w:eastAsia="en-NZ"/>
        </w:rPr>
      </w:pPr>
      <w:r>
        <w:rPr>
          <w:noProof/>
        </w:rPr>
        <w:t>Figure 38:</w:t>
      </w:r>
      <w:r>
        <w:rPr>
          <w:noProof/>
        </w:rPr>
        <w:tab/>
        <w:t>Distribution of emergency department events, by length of stay, 2014/15</w:t>
      </w:r>
      <w:r>
        <w:rPr>
          <w:noProof/>
        </w:rPr>
        <w:tab/>
      </w:r>
      <w:r>
        <w:rPr>
          <w:noProof/>
        </w:rPr>
        <w:fldChar w:fldCharType="begin"/>
      </w:r>
      <w:r>
        <w:rPr>
          <w:noProof/>
        </w:rPr>
        <w:instrText xml:space="preserve"> PAGEREF _Toc453058892 \h </w:instrText>
      </w:r>
      <w:r>
        <w:rPr>
          <w:noProof/>
        </w:rPr>
      </w:r>
      <w:r>
        <w:rPr>
          <w:noProof/>
        </w:rPr>
        <w:fldChar w:fldCharType="separate"/>
      </w:r>
      <w:r w:rsidR="00CD2E1C">
        <w:rPr>
          <w:noProof/>
        </w:rPr>
        <w:t>29</w:t>
      </w:r>
      <w:r>
        <w:rPr>
          <w:noProof/>
        </w:rPr>
        <w:fldChar w:fldCharType="end"/>
      </w:r>
    </w:p>
    <w:p w14:paraId="7D3283DF" w14:textId="77777777" w:rsidR="0001006A" w:rsidRPr="008D7374" w:rsidRDefault="0001006A">
      <w:pPr>
        <w:pStyle w:val="TOC3"/>
        <w:rPr>
          <w:rFonts w:ascii="Calibri" w:hAnsi="Calibri"/>
          <w:noProof/>
          <w:szCs w:val="22"/>
          <w:lang w:eastAsia="en-NZ"/>
        </w:rPr>
      </w:pPr>
      <w:r>
        <w:rPr>
          <w:noProof/>
        </w:rPr>
        <w:t>Figure 39:</w:t>
      </w:r>
      <w:r>
        <w:rPr>
          <w:noProof/>
        </w:rPr>
        <w:tab/>
        <w:t>Distribution of emergency department events, by length of stay,</w:t>
      </w:r>
      <w:r>
        <w:rPr>
          <w:noProof/>
        </w:rPr>
        <w:br/>
        <w:t>2010/11–2014/15</w:t>
      </w:r>
      <w:r>
        <w:rPr>
          <w:noProof/>
        </w:rPr>
        <w:tab/>
      </w:r>
      <w:r>
        <w:rPr>
          <w:noProof/>
        </w:rPr>
        <w:fldChar w:fldCharType="begin"/>
      </w:r>
      <w:r>
        <w:rPr>
          <w:noProof/>
        </w:rPr>
        <w:instrText xml:space="preserve"> PAGEREF _Toc453058893 \h </w:instrText>
      </w:r>
      <w:r>
        <w:rPr>
          <w:noProof/>
        </w:rPr>
      </w:r>
      <w:r>
        <w:rPr>
          <w:noProof/>
        </w:rPr>
        <w:fldChar w:fldCharType="separate"/>
      </w:r>
      <w:r w:rsidR="00CD2E1C">
        <w:rPr>
          <w:noProof/>
        </w:rPr>
        <w:t>30</w:t>
      </w:r>
      <w:r>
        <w:rPr>
          <w:noProof/>
        </w:rPr>
        <w:fldChar w:fldCharType="end"/>
      </w:r>
    </w:p>
    <w:p w14:paraId="15F9ED29" w14:textId="77777777" w:rsidR="0001006A" w:rsidRPr="008D7374" w:rsidRDefault="0001006A">
      <w:pPr>
        <w:pStyle w:val="TOC3"/>
        <w:rPr>
          <w:rFonts w:ascii="Calibri" w:hAnsi="Calibri"/>
          <w:noProof/>
          <w:szCs w:val="22"/>
          <w:lang w:eastAsia="en-NZ"/>
        </w:rPr>
      </w:pPr>
      <w:r>
        <w:rPr>
          <w:noProof/>
        </w:rPr>
        <w:t>Figure 40:</w:t>
      </w:r>
      <w:r>
        <w:rPr>
          <w:noProof/>
        </w:rPr>
        <w:tab/>
        <w:t>Proportion of emergency department events requiring less than six hours to complete, by service provider, 2010/11 and 2014/15</w:t>
      </w:r>
      <w:r>
        <w:rPr>
          <w:noProof/>
        </w:rPr>
        <w:tab/>
      </w:r>
      <w:r>
        <w:rPr>
          <w:noProof/>
        </w:rPr>
        <w:fldChar w:fldCharType="begin"/>
      </w:r>
      <w:r>
        <w:rPr>
          <w:noProof/>
        </w:rPr>
        <w:instrText xml:space="preserve"> PAGEREF _Toc453058894 \h </w:instrText>
      </w:r>
      <w:r>
        <w:rPr>
          <w:noProof/>
        </w:rPr>
      </w:r>
      <w:r>
        <w:rPr>
          <w:noProof/>
        </w:rPr>
        <w:fldChar w:fldCharType="separate"/>
      </w:r>
      <w:r w:rsidR="00CD2E1C">
        <w:rPr>
          <w:noProof/>
        </w:rPr>
        <w:t>31</w:t>
      </w:r>
      <w:r>
        <w:rPr>
          <w:noProof/>
        </w:rPr>
        <w:fldChar w:fldCharType="end"/>
      </w:r>
    </w:p>
    <w:p w14:paraId="300C0E25" w14:textId="77777777" w:rsidR="0001006A" w:rsidRPr="008D7374" w:rsidRDefault="0001006A">
      <w:pPr>
        <w:pStyle w:val="TOC3"/>
        <w:rPr>
          <w:rFonts w:ascii="Calibri" w:hAnsi="Calibri"/>
          <w:noProof/>
          <w:szCs w:val="22"/>
          <w:lang w:eastAsia="en-NZ"/>
        </w:rPr>
      </w:pPr>
      <w:r>
        <w:rPr>
          <w:noProof/>
        </w:rPr>
        <w:t>Figure 41:</w:t>
      </w:r>
      <w:r>
        <w:rPr>
          <w:noProof/>
        </w:rPr>
        <w:tab/>
        <w:t>Distribution of emergency department events, by outcome, 2014/15</w:t>
      </w:r>
      <w:r>
        <w:rPr>
          <w:noProof/>
        </w:rPr>
        <w:tab/>
      </w:r>
      <w:r>
        <w:rPr>
          <w:noProof/>
        </w:rPr>
        <w:fldChar w:fldCharType="begin"/>
      </w:r>
      <w:r>
        <w:rPr>
          <w:noProof/>
        </w:rPr>
        <w:instrText xml:space="preserve"> PAGEREF _Toc453058895 \h </w:instrText>
      </w:r>
      <w:r>
        <w:rPr>
          <w:noProof/>
        </w:rPr>
      </w:r>
      <w:r>
        <w:rPr>
          <w:noProof/>
        </w:rPr>
        <w:fldChar w:fldCharType="separate"/>
      </w:r>
      <w:r w:rsidR="00CD2E1C">
        <w:rPr>
          <w:noProof/>
        </w:rPr>
        <w:t>32</w:t>
      </w:r>
      <w:r>
        <w:rPr>
          <w:noProof/>
        </w:rPr>
        <w:fldChar w:fldCharType="end"/>
      </w:r>
    </w:p>
    <w:p w14:paraId="59876985" w14:textId="77777777" w:rsidR="0001006A" w:rsidRPr="008D7374" w:rsidRDefault="0001006A">
      <w:pPr>
        <w:pStyle w:val="TOC3"/>
        <w:rPr>
          <w:rFonts w:ascii="Calibri" w:hAnsi="Calibri"/>
          <w:noProof/>
          <w:szCs w:val="22"/>
          <w:lang w:eastAsia="en-NZ"/>
        </w:rPr>
      </w:pPr>
      <w:r>
        <w:rPr>
          <w:noProof/>
        </w:rPr>
        <w:lastRenderedPageBreak/>
        <w:t>Figure 42:</w:t>
      </w:r>
      <w:r>
        <w:rPr>
          <w:noProof/>
        </w:rPr>
        <w:tab/>
        <w:t>Distribution of emergency department events, by outcome, 2010/11–2014/15</w:t>
      </w:r>
      <w:r>
        <w:rPr>
          <w:noProof/>
        </w:rPr>
        <w:tab/>
      </w:r>
      <w:r>
        <w:rPr>
          <w:noProof/>
        </w:rPr>
        <w:fldChar w:fldCharType="begin"/>
      </w:r>
      <w:r>
        <w:rPr>
          <w:noProof/>
        </w:rPr>
        <w:instrText xml:space="preserve"> PAGEREF _Toc453058896 \h </w:instrText>
      </w:r>
      <w:r>
        <w:rPr>
          <w:noProof/>
        </w:rPr>
      </w:r>
      <w:r>
        <w:rPr>
          <w:noProof/>
        </w:rPr>
        <w:fldChar w:fldCharType="separate"/>
      </w:r>
      <w:r w:rsidR="00CD2E1C">
        <w:rPr>
          <w:noProof/>
        </w:rPr>
        <w:t>32</w:t>
      </w:r>
      <w:r>
        <w:rPr>
          <w:noProof/>
        </w:rPr>
        <w:fldChar w:fldCharType="end"/>
      </w:r>
    </w:p>
    <w:p w14:paraId="3AE8097B" w14:textId="77777777" w:rsidR="0001006A" w:rsidRPr="008D7374" w:rsidRDefault="0001006A">
      <w:pPr>
        <w:pStyle w:val="TOC3"/>
        <w:rPr>
          <w:rFonts w:ascii="Calibri" w:hAnsi="Calibri"/>
          <w:noProof/>
          <w:szCs w:val="22"/>
          <w:lang w:eastAsia="en-NZ"/>
        </w:rPr>
      </w:pPr>
      <w:r>
        <w:rPr>
          <w:noProof/>
        </w:rPr>
        <w:t>Figure 43:</w:t>
      </w:r>
      <w:r>
        <w:rPr>
          <w:noProof/>
        </w:rPr>
        <w:tab/>
        <w:t>Distribution of weekday and weekend events, by outcome, 2010/11 and 2014/15</w:t>
      </w:r>
      <w:r>
        <w:rPr>
          <w:noProof/>
        </w:rPr>
        <w:tab/>
      </w:r>
      <w:r>
        <w:rPr>
          <w:noProof/>
        </w:rPr>
        <w:fldChar w:fldCharType="begin"/>
      </w:r>
      <w:r>
        <w:rPr>
          <w:noProof/>
        </w:rPr>
        <w:instrText xml:space="preserve"> PAGEREF _Toc453058897 \h </w:instrText>
      </w:r>
      <w:r>
        <w:rPr>
          <w:noProof/>
        </w:rPr>
      </w:r>
      <w:r>
        <w:rPr>
          <w:noProof/>
        </w:rPr>
        <w:fldChar w:fldCharType="separate"/>
      </w:r>
      <w:r w:rsidR="00CD2E1C">
        <w:rPr>
          <w:noProof/>
        </w:rPr>
        <w:t>33</w:t>
      </w:r>
      <w:r>
        <w:rPr>
          <w:noProof/>
        </w:rPr>
        <w:fldChar w:fldCharType="end"/>
      </w:r>
    </w:p>
    <w:p w14:paraId="64A28A1A" w14:textId="58D676A3" w:rsidR="00657622" w:rsidRDefault="0001006A" w:rsidP="00E60052">
      <w:pPr>
        <w:pStyle w:val="TOC3"/>
      </w:pPr>
      <w:r>
        <w:rPr>
          <w:noProof/>
        </w:rPr>
        <w:t>Figure 44:</w:t>
      </w:r>
      <w:r>
        <w:rPr>
          <w:noProof/>
        </w:rPr>
        <w:tab/>
        <w:t>Distribution of immediately or potentially life-threatening events (triage levels 1–3) and of potentially serious or less urgent events (triage levels 4–5), by outcome, 2010/11 and 2014/15</w:t>
      </w:r>
      <w:r>
        <w:rPr>
          <w:noProof/>
        </w:rPr>
        <w:tab/>
      </w:r>
      <w:r>
        <w:rPr>
          <w:noProof/>
        </w:rPr>
        <w:fldChar w:fldCharType="begin"/>
      </w:r>
      <w:r>
        <w:rPr>
          <w:noProof/>
        </w:rPr>
        <w:instrText xml:space="preserve"> PAGEREF _Toc453058898 \h </w:instrText>
      </w:r>
      <w:r>
        <w:rPr>
          <w:noProof/>
        </w:rPr>
      </w:r>
      <w:r>
        <w:rPr>
          <w:noProof/>
        </w:rPr>
        <w:fldChar w:fldCharType="separate"/>
      </w:r>
      <w:r w:rsidR="00CD2E1C">
        <w:rPr>
          <w:noProof/>
        </w:rPr>
        <w:t>33</w:t>
      </w:r>
      <w:r>
        <w:rPr>
          <w:noProof/>
        </w:rPr>
        <w:fldChar w:fldCharType="end"/>
      </w:r>
      <w:r w:rsidR="003A5FEA">
        <w:fldChar w:fldCharType="end"/>
      </w:r>
    </w:p>
    <w:p w14:paraId="0BCAA958" w14:textId="595E32F3" w:rsidR="00E60052" w:rsidRPr="00E60052" w:rsidRDefault="00E60052" w:rsidP="00E60052">
      <w:pPr>
        <w:spacing w:line="240" w:lineRule="auto"/>
        <w:sectPr w:rsidR="00E60052" w:rsidRPr="00E60052" w:rsidSect="009D5125">
          <w:headerReference w:type="even" r:id="rId14"/>
          <w:headerReference w:type="default" r:id="rId15"/>
          <w:footerReference w:type="even" r:id="rId16"/>
          <w:footerReference w:type="default" r:id="rId17"/>
          <w:pgSz w:w="11907" w:h="16840" w:code="9"/>
          <w:pgMar w:top="851" w:right="1134" w:bottom="1134" w:left="1134" w:header="284" w:footer="567" w:gutter="284"/>
          <w:pgNumType w:fmt="lowerRoman"/>
          <w:cols w:space="720"/>
        </w:sectPr>
      </w:pPr>
      <w:r>
        <w:br w:type="page"/>
      </w:r>
    </w:p>
    <w:p w14:paraId="32E1BBBE" w14:textId="77777777" w:rsidR="0021763B" w:rsidRDefault="0021763B" w:rsidP="0021763B">
      <w:pPr>
        <w:pStyle w:val="Heading1"/>
      </w:pPr>
      <w:bookmarkStart w:id="2" w:name="_Toc453058820"/>
      <w:r>
        <w:lastRenderedPageBreak/>
        <w:t>Executive summary</w:t>
      </w:r>
      <w:bookmarkEnd w:id="2"/>
    </w:p>
    <w:p w14:paraId="18EC25FE" w14:textId="77777777" w:rsidR="00A43095" w:rsidRPr="00A43095" w:rsidRDefault="00A43095" w:rsidP="00C83FAA">
      <w:r>
        <w:t>The purpose of this report is to present descriptive statistics about emergency department (ED) events and the demographic profile of ED patients in New Zealand. A summary of the key findings is provided below.</w:t>
      </w:r>
    </w:p>
    <w:p w14:paraId="367A3D11" w14:textId="77777777" w:rsidR="00C058BB" w:rsidRDefault="00C058BB" w:rsidP="00A43095"/>
    <w:p w14:paraId="0A858D12" w14:textId="289F9C50" w:rsidR="00C058BB" w:rsidRPr="00E02B5E" w:rsidRDefault="00C058BB" w:rsidP="00713D83">
      <w:pPr>
        <w:spacing w:after="80"/>
        <w:rPr>
          <w:b/>
        </w:rPr>
      </w:pPr>
      <w:r w:rsidRPr="00E02B5E">
        <w:rPr>
          <w:b/>
        </w:rPr>
        <w:t xml:space="preserve">Over a million ED events were attended by </w:t>
      </w:r>
      <w:r w:rsidR="002D69D1">
        <w:rPr>
          <w:b/>
        </w:rPr>
        <w:t xml:space="preserve">almost </w:t>
      </w:r>
      <w:r w:rsidRPr="00E02B5E">
        <w:rPr>
          <w:b/>
        </w:rPr>
        <w:t>700,000 patients in 2014/15</w:t>
      </w:r>
    </w:p>
    <w:p w14:paraId="4081A17D" w14:textId="610B120A" w:rsidR="00C058BB" w:rsidRDefault="00C058BB" w:rsidP="00A43095">
      <w:r>
        <w:t>There were 1,062,047 ED events reported in 2014/15</w:t>
      </w:r>
      <w:r w:rsidR="00BC3B00">
        <w:t>:</w:t>
      </w:r>
      <w:r>
        <w:t xml:space="preserve"> an increase of 10% from the 969,849 ED events in 2010/11. The events in 2014/15 were atten</w:t>
      </w:r>
      <w:r w:rsidR="00714982">
        <w:t>ded by 693,681 unique patients:</w:t>
      </w:r>
    </w:p>
    <w:p w14:paraId="481D09DB" w14:textId="00BFFC0D" w:rsidR="00C058BB" w:rsidRPr="009E6DD4" w:rsidRDefault="00C058BB" w:rsidP="00A43095">
      <w:pPr>
        <w:pStyle w:val="Bullet"/>
      </w:pPr>
      <w:r w:rsidRPr="009E6DD4">
        <w:t xml:space="preserve">6 </w:t>
      </w:r>
      <w:r>
        <w:t xml:space="preserve">in 10 patients </w:t>
      </w:r>
      <w:r w:rsidRPr="009E6DD4">
        <w:t>were in the European or Other ethnic group (64.5%)</w:t>
      </w:r>
    </w:p>
    <w:p w14:paraId="1D100169" w14:textId="60354035" w:rsidR="00C058BB" w:rsidRPr="009E6DD4" w:rsidRDefault="00C058BB" w:rsidP="00A43095">
      <w:pPr>
        <w:pStyle w:val="Bullet"/>
      </w:pPr>
      <w:r w:rsidRPr="009E6DD4">
        <w:t>3</w:t>
      </w:r>
      <w:r>
        <w:t xml:space="preserve"> in 10</w:t>
      </w:r>
      <w:r w:rsidRPr="009E6DD4">
        <w:t xml:space="preserve"> </w:t>
      </w:r>
      <w:r>
        <w:t xml:space="preserve">patients </w:t>
      </w:r>
      <w:r w:rsidRPr="009E6DD4">
        <w:t>resided in the most deprived neighbourhoods (31.0%)</w:t>
      </w:r>
    </w:p>
    <w:p w14:paraId="0A12CD60" w14:textId="75ED2803" w:rsidR="00C058BB" w:rsidRPr="009E6DD4" w:rsidRDefault="00C058BB" w:rsidP="00A43095">
      <w:pPr>
        <w:pStyle w:val="Bullet"/>
      </w:pPr>
      <w:r w:rsidRPr="009E6DD4">
        <w:t xml:space="preserve">2 </w:t>
      </w:r>
      <w:r>
        <w:t xml:space="preserve">in 10 patients </w:t>
      </w:r>
      <w:r w:rsidRPr="009E6DD4">
        <w:t>resided in the Waitemata and Counties Manukau DHB regions combined (20.4%)</w:t>
      </w:r>
    </w:p>
    <w:p w14:paraId="0E5D8025" w14:textId="262502F0" w:rsidR="00C058BB" w:rsidRPr="009E6DD4" w:rsidRDefault="00C058BB" w:rsidP="00A43095">
      <w:pPr>
        <w:pStyle w:val="Bullet"/>
      </w:pPr>
      <w:r w:rsidRPr="009E6DD4">
        <w:t xml:space="preserve">1 </w:t>
      </w:r>
      <w:r>
        <w:t>in 10</w:t>
      </w:r>
      <w:r w:rsidRPr="00505083">
        <w:t xml:space="preserve"> </w:t>
      </w:r>
      <w:r>
        <w:t xml:space="preserve">patients </w:t>
      </w:r>
      <w:r w:rsidRPr="009E6DD4">
        <w:t>was a young child under the age of 5 years (11.2%)</w:t>
      </w:r>
    </w:p>
    <w:p w14:paraId="3409BB9F" w14:textId="77777777" w:rsidR="00C058BB" w:rsidRDefault="00C058BB" w:rsidP="00A43095">
      <w:pPr>
        <w:pStyle w:val="Bullet"/>
      </w:pPr>
      <w:r w:rsidRPr="009E6DD4">
        <w:t xml:space="preserve">1 </w:t>
      </w:r>
      <w:r>
        <w:t xml:space="preserve">in 10 patients </w:t>
      </w:r>
      <w:r w:rsidRPr="009E6DD4">
        <w:t>attended ED three or more times during the same year (11.1%).</w:t>
      </w:r>
    </w:p>
    <w:p w14:paraId="746F94BB" w14:textId="77777777" w:rsidR="00C058BB" w:rsidRDefault="00C058BB" w:rsidP="00A43095"/>
    <w:p w14:paraId="77A9BF31" w14:textId="77777777" w:rsidR="00C058BB" w:rsidRPr="00E02B5E" w:rsidRDefault="00C058BB" w:rsidP="00713D83">
      <w:pPr>
        <w:spacing w:after="80"/>
        <w:rPr>
          <w:b/>
        </w:rPr>
      </w:pPr>
      <w:r w:rsidRPr="00E02B5E">
        <w:rPr>
          <w:b/>
        </w:rPr>
        <w:t>For every 100 people in New Zealand, 15 were ED patients at least once during the year</w:t>
      </w:r>
    </w:p>
    <w:p w14:paraId="4618C558" w14:textId="658ACFCE" w:rsidR="00C058BB" w:rsidRDefault="002D69D1" w:rsidP="00A43095">
      <w:r>
        <w:t>About</w:t>
      </w:r>
      <w:r w:rsidR="00C058BB">
        <w:t xml:space="preserve"> </w:t>
      </w:r>
      <w:r w:rsidR="00C058BB" w:rsidRPr="00A919B7">
        <w:t xml:space="preserve">15 in every 100 people </w:t>
      </w:r>
      <w:r w:rsidR="00C058BB">
        <w:t>who reside in New Zealand</w:t>
      </w:r>
      <w:r w:rsidR="00C058BB" w:rsidRPr="00A919B7">
        <w:t xml:space="preserve"> were patients at an </w:t>
      </w:r>
      <w:r w:rsidR="00C058BB">
        <w:t>ED at least once during 2014/15; a slight increase in the age-standardised rate of ED use in 2011 (from 14.4</w:t>
      </w:r>
      <w:r w:rsidR="00A43095">
        <w:t> </w:t>
      </w:r>
      <w:r w:rsidR="00C058BB">
        <w:t>to 14.9 per 100 population).</w:t>
      </w:r>
    </w:p>
    <w:p w14:paraId="3F579543" w14:textId="77777777" w:rsidR="00C058BB" w:rsidRPr="00585657" w:rsidRDefault="00C058BB" w:rsidP="00A43095"/>
    <w:p w14:paraId="1E061272" w14:textId="74EE70CC" w:rsidR="00C058BB" w:rsidRPr="00E02B5E" w:rsidRDefault="00C058BB" w:rsidP="00713D83">
      <w:pPr>
        <w:spacing w:after="80"/>
        <w:rPr>
          <w:b/>
        </w:rPr>
      </w:pPr>
      <w:r w:rsidRPr="00E02B5E">
        <w:rPr>
          <w:b/>
        </w:rPr>
        <w:t>Rates of ED use were highest among the elderly and very young, and lowest among those in their 40s and 50s</w:t>
      </w:r>
    </w:p>
    <w:p w14:paraId="69FE507D" w14:textId="77777777" w:rsidR="00C058BB" w:rsidRDefault="00C058BB" w:rsidP="00A43095">
      <w:r>
        <w:t>One in three</w:t>
      </w:r>
      <w:r w:rsidRPr="00484024">
        <w:t xml:space="preserve"> people aged 85 years and over were patients at an ED at least once during </w:t>
      </w:r>
      <w:r>
        <w:t>year. Other age groups with higher rates of ED use were the 80–84 years (28.9 per 100 population) and under 5 years (25.5 per 100 population) age groups. The lowest</w:t>
      </w:r>
      <w:r w:rsidRPr="00406C58">
        <w:t xml:space="preserve"> </w:t>
      </w:r>
      <w:r w:rsidRPr="00484024">
        <w:t>were among people in their 40s and 50s (</w:t>
      </w:r>
      <w:r>
        <w:t>under 12</w:t>
      </w:r>
      <w:r w:rsidRPr="00484024">
        <w:t xml:space="preserve"> per 100 population)</w:t>
      </w:r>
      <w:r>
        <w:t>.</w:t>
      </w:r>
    </w:p>
    <w:p w14:paraId="5C62CAA3" w14:textId="77777777" w:rsidR="00C058BB" w:rsidRDefault="00C058BB" w:rsidP="00A43095"/>
    <w:p w14:paraId="5504B963" w14:textId="77777777" w:rsidR="00C058BB" w:rsidRPr="00E02B5E" w:rsidRDefault="00C058BB" w:rsidP="00713D83">
      <w:pPr>
        <w:spacing w:after="80"/>
        <w:rPr>
          <w:b/>
        </w:rPr>
      </w:pPr>
      <w:r w:rsidRPr="00E02B5E">
        <w:rPr>
          <w:b/>
        </w:rPr>
        <w:t>One in every four children residing in four DHB regions were patients at an ED at least once during the year</w:t>
      </w:r>
    </w:p>
    <w:p w14:paraId="3148F391" w14:textId="77777777" w:rsidR="00C058BB" w:rsidRPr="0045308B" w:rsidRDefault="00C058BB" w:rsidP="00A43095">
      <w:r w:rsidRPr="0074050B">
        <w:t xml:space="preserve">One in every four children residing in the Lakes, Taranaki, Wairarapa and West Coast DHB regions were patients at an ED at least once during </w:t>
      </w:r>
      <w:r>
        <w:t xml:space="preserve">the year, compared with a national rate of one in six children. </w:t>
      </w:r>
      <w:r w:rsidRPr="009F29D0">
        <w:t xml:space="preserve">Rates of ED use were lower for adults than for children in </w:t>
      </w:r>
      <w:r>
        <w:t>the majority of</w:t>
      </w:r>
      <w:r w:rsidRPr="009F29D0">
        <w:t xml:space="preserve"> DHB regions</w:t>
      </w:r>
      <w:r>
        <w:t>.</w:t>
      </w:r>
    </w:p>
    <w:p w14:paraId="56B4CB08" w14:textId="77777777" w:rsidR="00C058BB" w:rsidRPr="00897F55" w:rsidRDefault="00C058BB" w:rsidP="00A43095"/>
    <w:p w14:paraId="70DDC513" w14:textId="77777777" w:rsidR="00C058BB" w:rsidRPr="00E02B5E" w:rsidRDefault="00C058BB" w:rsidP="00713D83">
      <w:pPr>
        <w:spacing w:after="80"/>
        <w:rPr>
          <w:b/>
        </w:rPr>
      </w:pPr>
      <w:r w:rsidRPr="00E02B5E">
        <w:rPr>
          <w:b/>
        </w:rPr>
        <w:t>Males had a higher rate of ED use than females</w:t>
      </w:r>
    </w:p>
    <w:p w14:paraId="06DE5B93" w14:textId="77777777" w:rsidR="00C058BB" w:rsidRDefault="00C058BB" w:rsidP="00A43095">
      <w:r>
        <w:t>The rate of ED use was consistently higher for males than females over the last five years. However, this gap is closing as the rate for females has increased from 13.7 to 14.5 per 100 population while the rate for males remained stable (average of 15.3 per 100 population) over the same time period.</w:t>
      </w:r>
    </w:p>
    <w:p w14:paraId="069E0613" w14:textId="77777777" w:rsidR="00713D83" w:rsidRDefault="00713D83" w:rsidP="00A43095"/>
    <w:p w14:paraId="0E976C29" w14:textId="77777777" w:rsidR="00C058BB" w:rsidRPr="00E02B5E" w:rsidRDefault="00C058BB" w:rsidP="00713D83">
      <w:pPr>
        <w:spacing w:after="80"/>
        <w:rPr>
          <w:b/>
        </w:rPr>
      </w:pPr>
      <w:r w:rsidRPr="00E02B5E">
        <w:rPr>
          <w:b/>
        </w:rPr>
        <w:t>All ethnic groups showed an increase in the rate of ED use</w:t>
      </w:r>
    </w:p>
    <w:p w14:paraId="621D08AE" w14:textId="149D1879" w:rsidR="00C058BB" w:rsidRDefault="00C058BB" w:rsidP="00A43095">
      <w:r w:rsidRPr="0024091D">
        <w:t>Pacific peoples had the highest age-standardised rate of ED use in 2014/15 (19.3 per 100 population), followed by Māori (18.0 per 100 population</w:t>
      </w:r>
      <w:r>
        <w:t xml:space="preserve">). </w:t>
      </w:r>
      <w:r w:rsidRPr="0024091D">
        <w:t>All ethnic groups showed an increase in the rate of</w:t>
      </w:r>
      <w:r>
        <w:t xml:space="preserve"> ED use from 2010/11 to 2014/15. The largest increase was by 13% in the rate for the Asian ethnic group (from 8.3 to 9.4 per 100 population).</w:t>
      </w:r>
    </w:p>
    <w:p w14:paraId="31AC2785" w14:textId="77777777" w:rsidR="00C058BB" w:rsidRDefault="00C058BB" w:rsidP="00713D83">
      <w:pPr>
        <w:spacing w:after="80"/>
      </w:pPr>
      <w:r w:rsidRPr="00E02B5E">
        <w:rPr>
          <w:b/>
        </w:rPr>
        <w:lastRenderedPageBreak/>
        <w:t>Rates of ED use increased with level of neighbourhood deprivation</w:t>
      </w:r>
    </w:p>
    <w:p w14:paraId="3474F9D3" w14:textId="77777777" w:rsidR="00714982" w:rsidRDefault="00C058BB" w:rsidP="00A43095">
      <w:r w:rsidRPr="002B54A2">
        <w:t xml:space="preserve">The rate of ED use increased </w:t>
      </w:r>
      <w:r>
        <w:t>with each level of neighbourhood deprivation:</w:t>
      </w:r>
    </w:p>
    <w:p w14:paraId="06A0EBB2" w14:textId="7A6A4A7A" w:rsidR="00C058BB" w:rsidRPr="009D2246" w:rsidRDefault="00C058BB" w:rsidP="00A43095">
      <w:pPr>
        <w:pStyle w:val="Bullet"/>
      </w:pPr>
      <w:r w:rsidRPr="009D2246">
        <w:t>1 in 11 people residing in the least deprived neighbourhoods were ED patients at least once during the year (8.7 per 100 population)</w:t>
      </w:r>
    </w:p>
    <w:p w14:paraId="667ECF8C" w14:textId="77777777" w:rsidR="00C058BB" w:rsidRPr="009D2246" w:rsidRDefault="00C058BB" w:rsidP="00A43095">
      <w:pPr>
        <w:pStyle w:val="Bullet"/>
      </w:pPr>
      <w:r w:rsidRPr="009D2246">
        <w:t>1 in 5 people residing in the most deprived neighbourhoods were ED patients at least once during the year (21.7 per 100 population).</w:t>
      </w:r>
    </w:p>
    <w:p w14:paraId="29ED1D6E" w14:textId="77777777" w:rsidR="00C058BB" w:rsidRDefault="00C058BB" w:rsidP="00A43095"/>
    <w:p w14:paraId="088ECA33" w14:textId="77777777" w:rsidR="00C058BB" w:rsidRPr="00E02B5E" w:rsidRDefault="00C058BB" w:rsidP="00713D83">
      <w:pPr>
        <w:spacing w:after="80"/>
        <w:rPr>
          <w:b/>
        </w:rPr>
      </w:pPr>
      <w:r w:rsidRPr="00E02B5E">
        <w:rPr>
          <w:b/>
        </w:rPr>
        <w:t>Rates of single and repeated use of ED had similar trends</w:t>
      </w:r>
    </w:p>
    <w:p w14:paraId="68EFB3B5" w14:textId="77777777" w:rsidR="00714982" w:rsidRDefault="00C058BB" w:rsidP="00A43095">
      <w:r>
        <w:t>Rates of s</w:t>
      </w:r>
      <w:r w:rsidRPr="00FA1225">
        <w:t xml:space="preserve">ingle and repeated use of ED </w:t>
      </w:r>
      <w:r>
        <w:t>had</w:t>
      </w:r>
      <w:r w:rsidRPr="00FA1225">
        <w:t xml:space="preserve"> similar trends across most demographic groups</w:t>
      </w:r>
      <w:r>
        <w:t>. Demographic groups with a higher rate of single ED use tended to have a higher rate of repeated ED use as well.</w:t>
      </w:r>
    </w:p>
    <w:p w14:paraId="4ECE14E6" w14:textId="77777777" w:rsidR="00C058BB" w:rsidRDefault="00C058BB" w:rsidP="00A43095"/>
    <w:p w14:paraId="530495D8" w14:textId="77777777" w:rsidR="00C058BB" w:rsidRPr="00E02B5E" w:rsidRDefault="00C058BB" w:rsidP="00713D83">
      <w:pPr>
        <w:spacing w:after="80"/>
        <w:rPr>
          <w:b/>
        </w:rPr>
      </w:pPr>
      <w:r w:rsidRPr="00E02B5E">
        <w:rPr>
          <w:b/>
        </w:rPr>
        <w:t>Over 100,000 ED events in Middlemore Hospital</w:t>
      </w:r>
    </w:p>
    <w:p w14:paraId="71F55496" w14:textId="32A2F69C" w:rsidR="00714982" w:rsidRDefault="00C058BB" w:rsidP="00A43095">
      <w:r w:rsidRPr="00C43E7A">
        <w:t xml:space="preserve">The vast majority of </w:t>
      </w:r>
      <w:r>
        <w:t>ED treatment is</w:t>
      </w:r>
      <w:r w:rsidRPr="00C43E7A">
        <w:t xml:space="preserve"> provided by DHBs</w:t>
      </w:r>
      <w:r>
        <w:t xml:space="preserve"> in New Zealand, through hospitals located within </w:t>
      </w:r>
      <w:r w:rsidR="004C6B75">
        <w:t xml:space="preserve">each </w:t>
      </w:r>
      <w:r>
        <w:t xml:space="preserve">region. </w:t>
      </w:r>
      <w:r w:rsidRPr="002E3BCA">
        <w:t>Facilities in the five most populated DHB regions combined accounted for 46% of ED events in 2014/15</w:t>
      </w:r>
      <w:r>
        <w:t xml:space="preserve">: </w:t>
      </w:r>
      <w:r w:rsidRPr="002E3BCA">
        <w:t>Waitemata, Auckland, Counties Manukau, Wai</w:t>
      </w:r>
      <w:r>
        <w:t>kato and Canterbury DHB regions</w:t>
      </w:r>
      <w:r w:rsidRPr="002E3BCA">
        <w:t>. Middlemore Hospital</w:t>
      </w:r>
      <w:r>
        <w:t xml:space="preserve"> (Counties Manukau DHB)</w:t>
      </w:r>
      <w:r w:rsidRPr="002E3BCA">
        <w:t xml:space="preserve"> had the most with over 100,000 events.</w:t>
      </w:r>
    </w:p>
    <w:p w14:paraId="6BBAE584" w14:textId="77777777" w:rsidR="00C058BB" w:rsidRPr="00713D83" w:rsidRDefault="00C058BB" w:rsidP="00713D83"/>
    <w:p w14:paraId="7C03EFDC" w14:textId="77777777" w:rsidR="00C058BB" w:rsidRPr="00E02B5E" w:rsidRDefault="00C058BB" w:rsidP="00713D83">
      <w:pPr>
        <w:spacing w:after="80"/>
        <w:rPr>
          <w:b/>
        </w:rPr>
      </w:pPr>
      <w:r w:rsidRPr="00E02B5E">
        <w:rPr>
          <w:b/>
        </w:rPr>
        <w:t>One in three ED events occurred during a weekend</w:t>
      </w:r>
    </w:p>
    <w:p w14:paraId="3E15D551" w14:textId="7CF20EDA" w:rsidR="00C058BB" w:rsidRDefault="00C058BB" w:rsidP="00A43095">
      <w:r w:rsidRPr="00A201F9">
        <w:t>ED events were more common on Sundays and Mondays, and less common on Wednesdays and Thursdays.</w:t>
      </w:r>
      <w:r w:rsidRPr="002355E9">
        <w:t xml:space="preserve"> </w:t>
      </w:r>
      <w:r w:rsidRPr="00A201F9">
        <w:t>One in three ED events occurred during a weekend (from Friday 5</w:t>
      </w:r>
      <w:r w:rsidR="00A43095">
        <w:t> </w:t>
      </w:r>
      <w:r w:rsidRPr="00A201F9">
        <w:t>pm to Monday 8</w:t>
      </w:r>
      <w:r w:rsidR="00A43095">
        <w:t> </w:t>
      </w:r>
      <w:r w:rsidRPr="00A201F9">
        <w:t>am). The proportion of weekend events ranged widely between</w:t>
      </w:r>
      <w:r w:rsidR="005D4409">
        <w:t xml:space="preserve"> individual</w:t>
      </w:r>
      <w:r w:rsidRPr="00A201F9">
        <w:t xml:space="preserve"> facilities,</w:t>
      </w:r>
      <w:r>
        <w:t xml:space="preserve"> ranging</w:t>
      </w:r>
      <w:r w:rsidRPr="00A201F9">
        <w:t xml:space="preserve"> from 28.5% </w:t>
      </w:r>
      <w:r>
        <w:t>to</w:t>
      </w:r>
      <w:r w:rsidRPr="00A201F9">
        <w:t xml:space="preserve"> 59.3% </w:t>
      </w:r>
      <w:r>
        <w:t>of ED events</w:t>
      </w:r>
      <w:r w:rsidR="005D4409">
        <w:t xml:space="preserve"> at the facility</w:t>
      </w:r>
      <w:r>
        <w:t>.</w:t>
      </w:r>
    </w:p>
    <w:p w14:paraId="66A54AC8" w14:textId="77777777" w:rsidR="00C058BB" w:rsidRDefault="00C058BB" w:rsidP="00A43095"/>
    <w:p w14:paraId="6E32C9FF" w14:textId="77777777" w:rsidR="00C058BB" w:rsidRPr="00E02B5E" w:rsidRDefault="00C058BB" w:rsidP="00713D83">
      <w:pPr>
        <w:spacing w:after="80"/>
        <w:rPr>
          <w:b/>
        </w:rPr>
      </w:pPr>
      <w:r w:rsidRPr="00E02B5E">
        <w:rPr>
          <w:b/>
        </w:rPr>
        <w:t>More ED events per day during summer and winter months</w:t>
      </w:r>
    </w:p>
    <w:p w14:paraId="2D7C38B2" w14:textId="51FA4D21" w:rsidR="00C058BB" w:rsidRDefault="00C058BB" w:rsidP="00A43095">
      <w:r>
        <w:t>S</w:t>
      </w:r>
      <w:r w:rsidRPr="00C12A64">
        <w:t xml:space="preserve">ummer and winter months generally had a higher number of </w:t>
      </w:r>
      <w:r w:rsidR="004C6B75">
        <w:t xml:space="preserve">ED </w:t>
      </w:r>
      <w:r w:rsidRPr="00C12A64">
        <w:t xml:space="preserve">events per day, compared with spring and </w:t>
      </w:r>
      <w:r>
        <w:t>autumn</w:t>
      </w:r>
      <w:r w:rsidRPr="00C12A64">
        <w:t xml:space="preserve"> months. </w:t>
      </w:r>
      <w:r>
        <w:t>August 2014 was the month with the highest number of ED events during 2014/15. On average there were over 3000 ED events per day during August 2014.</w:t>
      </w:r>
    </w:p>
    <w:p w14:paraId="1197BE49" w14:textId="77777777" w:rsidR="00C058BB" w:rsidRDefault="00C058BB" w:rsidP="00A43095"/>
    <w:p w14:paraId="056BC426" w14:textId="5AB81AA3" w:rsidR="00C058BB" w:rsidRPr="00E02B5E" w:rsidRDefault="00C058BB" w:rsidP="00713D83">
      <w:pPr>
        <w:spacing w:after="80"/>
        <w:rPr>
          <w:b/>
        </w:rPr>
      </w:pPr>
      <w:r w:rsidRPr="00E02B5E">
        <w:rPr>
          <w:b/>
        </w:rPr>
        <w:t xml:space="preserve">The vast majority of ED events were completed within </w:t>
      </w:r>
      <w:r w:rsidR="00A43095" w:rsidRPr="00E02B5E">
        <w:rPr>
          <w:b/>
        </w:rPr>
        <w:t>six</w:t>
      </w:r>
      <w:r w:rsidRPr="00E02B5E">
        <w:rPr>
          <w:b/>
        </w:rPr>
        <w:t xml:space="preserve"> hours</w:t>
      </w:r>
    </w:p>
    <w:p w14:paraId="1250A02D" w14:textId="0D800D23" w:rsidR="00C058BB" w:rsidRDefault="00C058BB" w:rsidP="00A43095">
      <w:r>
        <w:t xml:space="preserve">Over 92% of all ED events in 2014/15 were completed within </w:t>
      </w:r>
      <w:r w:rsidR="00A43095">
        <w:t>six</w:t>
      </w:r>
      <w:r>
        <w:t xml:space="preserve"> hours of the patient presenting to ED</w:t>
      </w:r>
      <w:r w:rsidR="00BC3B00">
        <w:t>:</w:t>
      </w:r>
      <w:r>
        <w:t xml:space="preserve"> an increase from 87.7% of events in 2010/11.</w:t>
      </w:r>
    </w:p>
    <w:p w14:paraId="3A1DA4EE" w14:textId="4080060B" w:rsidR="001A786C" w:rsidRDefault="001A786C">
      <w:pPr>
        <w:spacing w:line="240" w:lineRule="auto"/>
      </w:pPr>
    </w:p>
    <w:p w14:paraId="1E4D1C59" w14:textId="77777777" w:rsidR="00C058BB" w:rsidRPr="00E02B5E" w:rsidRDefault="00C058BB" w:rsidP="00713D83">
      <w:pPr>
        <w:spacing w:after="80"/>
        <w:rPr>
          <w:b/>
        </w:rPr>
      </w:pPr>
      <w:r w:rsidRPr="00E02B5E">
        <w:rPr>
          <w:b/>
        </w:rPr>
        <w:t>Over half of ED events were determined to be immediately or potentially life-threatening</w:t>
      </w:r>
    </w:p>
    <w:p w14:paraId="0F454CAA" w14:textId="14D2AAAA" w:rsidR="00C058BB" w:rsidRPr="009268DD" w:rsidRDefault="00C058BB" w:rsidP="00A43095">
      <w:r w:rsidRPr="00C12A64">
        <w:t xml:space="preserve">Almost 54% of ED events in 2014 were of patients presenting to ED with a condition that was immediately </w:t>
      </w:r>
      <w:r w:rsidR="000A11A3">
        <w:t>to</w:t>
      </w:r>
      <w:r w:rsidR="000A11A3" w:rsidRPr="00C12A64">
        <w:t xml:space="preserve"> </w:t>
      </w:r>
      <w:r w:rsidRPr="00C12A64">
        <w:t>potentially life-threatening (triage levels 1–3). A further 39.6% were determined to be potentially serious and 6.7% of events were determined to be less urgent</w:t>
      </w:r>
      <w:r>
        <w:t>.</w:t>
      </w:r>
    </w:p>
    <w:p w14:paraId="709AD06D" w14:textId="77777777" w:rsidR="00C058BB" w:rsidRDefault="00C058BB" w:rsidP="00A43095"/>
    <w:p w14:paraId="7E3AC80D" w14:textId="77777777" w:rsidR="00C058BB" w:rsidRPr="00E02B5E" w:rsidRDefault="00C058BB" w:rsidP="00713D83">
      <w:pPr>
        <w:spacing w:after="80"/>
        <w:rPr>
          <w:b/>
        </w:rPr>
      </w:pPr>
      <w:r w:rsidRPr="00E02B5E">
        <w:rPr>
          <w:b/>
        </w:rPr>
        <w:t>One in three ED events ended with the patient being admitted to hospital</w:t>
      </w:r>
    </w:p>
    <w:p w14:paraId="30198EA3" w14:textId="7083E115" w:rsidR="00C058BB" w:rsidRDefault="00C058BB" w:rsidP="00A43095">
      <w:r>
        <w:t>One in three ED events during 2014/15 ended with the patient being admitted to hospital. About 65% of ED events ended as a routine discharge from ED and a very small proportion (&lt;2%) of events ended with the patient discharging themselves from ED. A total of 594 people (&lt;0.1%) died while in ED</w:t>
      </w:r>
      <w:r w:rsidR="004C6B75">
        <w:t xml:space="preserve"> in 2014/15</w:t>
      </w:r>
      <w:r>
        <w:t>.</w:t>
      </w:r>
    </w:p>
    <w:p w14:paraId="667072DD" w14:textId="0A74A2C0" w:rsidR="00C86248" w:rsidRDefault="00E60052" w:rsidP="00E02B5E">
      <w:pPr>
        <w:spacing w:line="240" w:lineRule="auto"/>
        <w:sectPr w:rsidR="00C86248" w:rsidSect="009D5125">
          <w:footerReference w:type="even" r:id="rId18"/>
          <w:pgSz w:w="11907" w:h="16840" w:code="9"/>
          <w:pgMar w:top="851" w:right="1134" w:bottom="1134" w:left="1134" w:header="284" w:footer="567" w:gutter="284"/>
          <w:pgNumType w:fmt="lowerRoman"/>
          <w:cols w:space="720"/>
        </w:sectPr>
      </w:pPr>
      <w:r>
        <w:br w:type="page"/>
      </w:r>
    </w:p>
    <w:p w14:paraId="02F37CE1" w14:textId="77777777" w:rsidR="008C2973" w:rsidRDefault="0086388B" w:rsidP="0086388B">
      <w:pPr>
        <w:pStyle w:val="Heading1"/>
      </w:pPr>
      <w:bookmarkStart w:id="3" w:name="_Toc453058821"/>
      <w:r>
        <w:lastRenderedPageBreak/>
        <w:t>Introduction</w:t>
      </w:r>
      <w:bookmarkEnd w:id="3"/>
    </w:p>
    <w:p w14:paraId="520A6920" w14:textId="5160DC57" w:rsidR="00C058BB" w:rsidRDefault="00C058BB" w:rsidP="00B543E1">
      <w:bookmarkStart w:id="4" w:name="_Toc405886996"/>
      <w:r w:rsidRPr="00A74620">
        <w:t>In New Zealand,</w:t>
      </w:r>
      <w:r>
        <w:t xml:space="preserve"> emergency departments (EDs)</w:t>
      </w:r>
      <w:r w:rsidRPr="00A74620">
        <w:t xml:space="preserve"> provide care and treatment for </w:t>
      </w:r>
      <w:r>
        <w:t>patients</w:t>
      </w:r>
      <w:r w:rsidRPr="00A74620">
        <w:t xml:space="preserve"> with </w:t>
      </w:r>
      <w:r>
        <w:t>real or perceived</w:t>
      </w:r>
      <w:r w:rsidR="004C6B75">
        <w:t>,</w:t>
      </w:r>
      <w:r>
        <w:t xml:space="preserve"> serious injuries or illness. This includes providing resuscitation and stabilisation of critically unwell or injured patients that often require admission to hospital. An ED will conduct </w:t>
      </w:r>
      <w:r w:rsidR="00B32FF8">
        <w:t>sufficient work-</w:t>
      </w:r>
      <w:r>
        <w:t>up of a patient</w:t>
      </w:r>
      <w:r w:rsidR="00B32FF8">
        <w:t xml:space="preserve"> (eg, physical examination, laboratory tests, x-rays)</w:t>
      </w:r>
      <w:r>
        <w:t xml:space="preserve"> to decide whether the patient should be discharged or admitted to the hospital.</w:t>
      </w:r>
    </w:p>
    <w:p w14:paraId="746FE2F7" w14:textId="77777777" w:rsidR="00C058BB" w:rsidRDefault="00C058BB" w:rsidP="00B543E1"/>
    <w:p w14:paraId="0363159F" w14:textId="77777777" w:rsidR="00714982" w:rsidRDefault="00C058BB" w:rsidP="00B543E1">
      <w:r>
        <w:t xml:space="preserve">The vast majority of EDs are </w:t>
      </w:r>
      <w:r w:rsidRPr="00A74620">
        <w:t xml:space="preserve">open 24 hours a day, seven days a week. They are publicly-funded, although some </w:t>
      </w:r>
      <w:r>
        <w:t>facilities</w:t>
      </w:r>
      <w:r w:rsidRPr="00A74620">
        <w:t xml:space="preserve"> may charge for general practitioner (GP)-level care at an ED.</w:t>
      </w:r>
    </w:p>
    <w:p w14:paraId="0B4119DB" w14:textId="77777777" w:rsidR="00C058BB" w:rsidRDefault="00C058BB" w:rsidP="00B543E1"/>
    <w:p w14:paraId="5B8996A9" w14:textId="77777777" w:rsidR="00C058BB" w:rsidRDefault="00C058BB" w:rsidP="00B543E1">
      <w:r>
        <w:t>The purpose of this report is to present descriptive statistics about ED events and the demographic profile of ED patients in New Zealand. This includes</w:t>
      </w:r>
      <w:r w:rsidR="00B543E1">
        <w:t>:</w:t>
      </w:r>
    </w:p>
    <w:p w14:paraId="4865C2C3" w14:textId="77777777" w:rsidR="00C058BB" w:rsidRDefault="00C058BB" w:rsidP="00B543E1">
      <w:pPr>
        <w:pStyle w:val="Bullet"/>
      </w:pPr>
      <w:r>
        <w:t>the distribution, demographic detail and frequency of use of people who were patients at ED at least once during the year</w:t>
      </w:r>
    </w:p>
    <w:p w14:paraId="02ED85DD" w14:textId="70E9F3A7" w:rsidR="00C058BB" w:rsidRDefault="00C058BB" w:rsidP="00B543E1">
      <w:pPr>
        <w:pStyle w:val="Bullet"/>
      </w:pPr>
      <w:r>
        <w:t xml:space="preserve">the location, timing, seasonality, </w:t>
      </w:r>
      <w:r w:rsidR="001D3413">
        <w:t xml:space="preserve">urgency of condition </w:t>
      </w:r>
      <w:r>
        <w:t>at presentation, service provider, length of stay and outcome of reported ED events.</w:t>
      </w:r>
    </w:p>
    <w:p w14:paraId="6D352CA6" w14:textId="77777777" w:rsidR="00C058BB" w:rsidRDefault="00C058BB" w:rsidP="00B543E1"/>
    <w:p w14:paraId="2BFED372" w14:textId="266E41BA" w:rsidR="00C058BB" w:rsidRDefault="00C058BB" w:rsidP="00B543E1">
      <w:r>
        <w:t xml:space="preserve">Reasons for why people present to ED </w:t>
      </w:r>
      <w:r w:rsidR="00BC3B00">
        <w:t xml:space="preserve">are </w:t>
      </w:r>
      <w:r>
        <w:t xml:space="preserve">not part of the National Collection </w:t>
      </w:r>
      <w:r w:rsidR="00BC3B00">
        <w:t>on</w:t>
      </w:r>
      <w:r w:rsidR="00E60052">
        <w:t xml:space="preserve"> </w:t>
      </w:r>
      <w:r>
        <w:t>which this report is based and is therefore not included in this report.</w:t>
      </w:r>
    </w:p>
    <w:p w14:paraId="6A027F9F" w14:textId="77777777" w:rsidR="00B543E1" w:rsidRDefault="00B543E1" w:rsidP="00B543E1"/>
    <w:p w14:paraId="7CE6F457" w14:textId="77777777" w:rsidR="00C058BB" w:rsidRPr="006A522D" w:rsidRDefault="00C058BB" w:rsidP="00B543E1">
      <w:pPr>
        <w:pStyle w:val="Heading2"/>
      </w:pPr>
      <w:bookmarkStart w:id="5" w:name="_Toc452111270"/>
      <w:bookmarkStart w:id="6" w:name="_Toc453058822"/>
      <w:bookmarkStart w:id="7" w:name="_Toc395786532"/>
      <w:bookmarkStart w:id="8" w:name="_Toc311786199"/>
      <w:bookmarkStart w:id="9" w:name="_Toc354993953"/>
      <w:bookmarkStart w:id="10" w:name="_Toc395786533"/>
      <w:bookmarkEnd w:id="4"/>
      <w:r>
        <w:t>Interpretation notes</w:t>
      </w:r>
      <w:bookmarkEnd w:id="5"/>
      <w:bookmarkEnd w:id="6"/>
    </w:p>
    <w:p w14:paraId="1562F0A5" w14:textId="570F4F34" w:rsidR="00E02B4F" w:rsidRDefault="00E02B4F" w:rsidP="00E02B4F">
      <w:r>
        <w:t>This report has been compiled from data supplied by DHBs to the National Non-admitted Patient Collection. It is important to no</w:t>
      </w:r>
      <w:r w:rsidR="005B57B8">
        <w:t>te that:</w:t>
      </w:r>
    </w:p>
    <w:p w14:paraId="0FB69C26" w14:textId="67F292C7" w:rsidR="00E02B4F" w:rsidRDefault="00E02B4F" w:rsidP="00E02B4F">
      <w:pPr>
        <w:pStyle w:val="Bullet"/>
      </w:pPr>
      <w:r>
        <w:t>differences in the data presented may be an artefact of changes in hospital processes or classifications</w:t>
      </w:r>
    </w:p>
    <w:p w14:paraId="28F3E3B0" w14:textId="74C59511" w:rsidR="00D0219E" w:rsidRDefault="00E02B4F" w:rsidP="00E02B4F">
      <w:pPr>
        <w:pStyle w:val="Bullet"/>
      </w:pPr>
      <w:r>
        <w:t>results presented in this report may differ from other reports as different methods and criteria are used to analyse the data.</w:t>
      </w:r>
    </w:p>
    <w:p w14:paraId="5AF4A07D" w14:textId="77777777" w:rsidR="00E02B4F" w:rsidRDefault="00E02B4F" w:rsidP="00E02B4F">
      <w:pPr>
        <w:pStyle w:val="Bullet"/>
        <w:numPr>
          <w:ilvl w:val="0"/>
          <w:numId w:val="0"/>
        </w:numPr>
        <w:ind w:left="284" w:hanging="284"/>
      </w:pPr>
    </w:p>
    <w:p w14:paraId="65C9EF32" w14:textId="77777777" w:rsidR="00C058BB" w:rsidRDefault="00C058BB" w:rsidP="00B543E1">
      <w:pPr>
        <w:pStyle w:val="Heading3"/>
      </w:pPr>
      <w:r w:rsidRPr="006A522D">
        <w:t>Time</w:t>
      </w:r>
      <w:r>
        <w:t xml:space="preserve"> periods and trends</w:t>
      </w:r>
    </w:p>
    <w:p w14:paraId="0EEA477B" w14:textId="77777777" w:rsidR="00C058BB" w:rsidRDefault="00C058BB" w:rsidP="00B543E1">
      <w:r>
        <w:t>This report presents numbers and rates by financial year. This means that the year 2014/15 refers to events from 1 July 2014 to 30 June 2015.</w:t>
      </w:r>
    </w:p>
    <w:p w14:paraId="4CC4E5E4" w14:textId="77777777" w:rsidR="00C058BB" w:rsidRPr="002B1203" w:rsidRDefault="00C058BB" w:rsidP="00B543E1"/>
    <w:p w14:paraId="38B43C1D" w14:textId="77777777" w:rsidR="00714982" w:rsidRDefault="00C058BB" w:rsidP="00B543E1">
      <w:r w:rsidRPr="00B66B5D">
        <w:t xml:space="preserve">Although the focus of this </w:t>
      </w:r>
      <w:r>
        <w:t>report</w:t>
      </w:r>
      <w:r w:rsidRPr="00B66B5D">
        <w:t xml:space="preserve"> is on </w:t>
      </w:r>
      <w:r>
        <w:t>ED</w:t>
      </w:r>
      <w:r w:rsidRPr="00B66B5D">
        <w:t xml:space="preserve"> use in the 2014/15 financial year, </w:t>
      </w:r>
      <w:r>
        <w:t>events from 2010/11 to 2013/14 are often included and presented as a five-year period (2010/11–2014/15) to provide context and to help with interpreting the information.</w:t>
      </w:r>
    </w:p>
    <w:p w14:paraId="7572E7AB" w14:textId="77777777" w:rsidR="00C058BB" w:rsidRPr="006A522D" w:rsidRDefault="00C058BB" w:rsidP="00B543E1"/>
    <w:p w14:paraId="542E81BB" w14:textId="77777777" w:rsidR="00C058BB" w:rsidRDefault="00C058BB" w:rsidP="00B543E1">
      <w:pPr>
        <w:pStyle w:val="Heading3"/>
      </w:pPr>
      <w:r>
        <w:t>Numbers and rates</w:t>
      </w:r>
    </w:p>
    <w:p w14:paraId="1733D175" w14:textId="77777777" w:rsidR="00714982" w:rsidRDefault="00C058BB" w:rsidP="00B543E1">
      <w:r>
        <w:t>The number of events refers to the number of ED events that occurred during the year. Some people have more than one event during the year. The number of patients refers to the number of people who were patients at ED at least once during the year (ie, a person who visited ED three times during 2014/15 is only counted once).</w:t>
      </w:r>
    </w:p>
    <w:p w14:paraId="39F725E9" w14:textId="538165E9" w:rsidR="00F6244A" w:rsidRDefault="00F6244A">
      <w:pPr>
        <w:spacing w:line="240" w:lineRule="auto"/>
      </w:pPr>
      <w:r>
        <w:br w:type="page"/>
      </w:r>
    </w:p>
    <w:p w14:paraId="59761C28" w14:textId="5D78C82B" w:rsidR="00C058BB" w:rsidRDefault="00C058BB" w:rsidP="00B543E1">
      <w:r>
        <w:lastRenderedPageBreak/>
        <w:t xml:space="preserve">Rates of ED use are presented in the chapter on patients, and refers to the number of people in a demographic group who were patients at least once during the year, as a proportion of the population for that demographic group. For example, a rate of ED use of 15.4 per 100 population for males means that for every 100 males in the population, </w:t>
      </w:r>
      <w:r w:rsidR="0008636F">
        <w:t xml:space="preserve">about </w:t>
      </w:r>
      <w:r>
        <w:t>15 were patients at an ED at least once during the year. The number of people of people for each demographic group may include people who are not New Zealand residents.</w:t>
      </w:r>
    </w:p>
    <w:p w14:paraId="2323136F" w14:textId="77777777" w:rsidR="00C058BB" w:rsidRPr="006A522D" w:rsidRDefault="00C058BB" w:rsidP="00B543E1">
      <w:pPr>
        <w:pStyle w:val="Heading3"/>
        <w:spacing w:before="360"/>
      </w:pPr>
      <w:r w:rsidRPr="006A522D">
        <w:t>Figures</w:t>
      </w:r>
    </w:p>
    <w:p w14:paraId="13AD4831" w14:textId="249EDFEE" w:rsidR="00C058BB" w:rsidRPr="00B66B5D" w:rsidRDefault="00C058BB" w:rsidP="00B543E1">
      <w:r w:rsidRPr="00B66B5D">
        <w:t xml:space="preserve">Graphs and maps are included to help you to visualise the quantitative information more easily. They are intended to highlight trends and relationships rather than as a means to look up individual values. The underlying numbers used to create graphs and maps in this </w:t>
      </w:r>
      <w:r>
        <w:t>report</w:t>
      </w:r>
      <w:r w:rsidRPr="00B66B5D">
        <w:t xml:space="preserve"> are provided in the accompanying online tables.</w:t>
      </w:r>
    </w:p>
    <w:p w14:paraId="79B7427C" w14:textId="77777777" w:rsidR="00C058BB" w:rsidRDefault="00C058BB" w:rsidP="00B543E1"/>
    <w:p w14:paraId="067E8237" w14:textId="77777777" w:rsidR="00C058BB" w:rsidRDefault="00C058BB" w:rsidP="00B543E1">
      <w:r>
        <w:t>Geographical information for ED patients (not events) is usually presented as two maps side-by-side:</w:t>
      </w:r>
    </w:p>
    <w:p w14:paraId="3E563280" w14:textId="77777777" w:rsidR="00C058BB" w:rsidRDefault="00C058BB" w:rsidP="00B543E1">
      <w:pPr>
        <w:pStyle w:val="Bullet"/>
      </w:pPr>
      <w:r>
        <w:t>The first map (left) shows the 2014/15 rate of ED use for the stated demographic group, with going from the lowest rates (lightest shade) to the highest rates (darkest shade).</w:t>
      </w:r>
    </w:p>
    <w:p w14:paraId="0BDC2D06" w14:textId="77777777" w:rsidR="00C058BB" w:rsidRDefault="00C058BB" w:rsidP="00B543E1">
      <w:pPr>
        <w:pStyle w:val="Bullet"/>
      </w:pPr>
      <w:r>
        <w:t>The second map (right) shows whether there has been a statistically significant change in the rate of ED use between 2010/11 and 2014/15, with each category denoted by a different shade (ie, a significant increase, a significant decrease, or no significant difference).</w:t>
      </w:r>
    </w:p>
    <w:p w14:paraId="18B7EE76" w14:textId="77777777" w:rsidR="00C058BB" w:rsidRDefault="00C058BB" w:rsidP="00B543E1"/>
    <w:p w14:paraId="6343EFF2" w14:textId="77777777" w:rsidR="00C058BB" w:rsidRDefault="00C058BB" w:rsidP="00B543E1">
      <w:r>
        <w:t>Further details about interpreting maps is provided in the Additional notes chapter.</w:t>
      </w:r>
    </w:p>
    <w:p w14:paraId="4058F0E7" w14:textId="77777777" w:rsidR="00B543E1" w:rsidRDefault="00B543E1" w:rsidP="00B543E1"/>
    <w:p w14:paraId="2F1EAD87" w14:textId="77777777" w:rsidR="00C058BB" w:rsidRDefault="00C058BB" w:rsidP="00B543E1">
      <w:pPr>
        <w:pStyle w:val="Heading2"/>
      </w:pPr>
      <w:bookmarkStart w:id="11" w:name="_Toc405887000"/>
      <w:bookmarkStart w:id="12" w:name="_Toc412122393"/>
      <w:bookmarkStart w:id="13" w:name="_Toc452111271"/>
      <w:bookmarkStart w:id="14" w:name="_Toc453058823"/>
      <w:r w:rsidRPr="006A522D">
        <w:t>Analytical methods</w:t>
      </w:r>
      <w:bookmarkEnd w:id="7"/>
      <w:bookmarkEnd w:id="11"/>
      <w:bookmarkEnd w:id="12"/>
      <w:bookmarkEnd w:id="13"/>
      <w:bookmarkEnd w:id="14"/>
    </w:p>
    <w:p w14:paraId="46F3E531" w14:textId="1CA56D46" w:rsidR="00C058BB" w:rsidRDefault="00D0219E" w:rsidP="00B543E1">
      <w:r>
        <w:t xml:space="preserve">Data quality management has been applied at several points in the collection, extraction and analysis of the data to report the data presented here in a consistent manner. </w:t>
      </w:r>
      <w:r w:rsidR="00C058BB">
        <w:t>All efforts have been made to ensure that duplicate events are not included in the analyses.</w:t>
      </w:r>
      <w:r w:rsidRPr="00D0219E">
        <w:t xml:space="preserve"> </w:t>
      </w:r>
    </w:p>
    <w:p w14:paraId="15AC57C7" w14:textId="77777777" w:rsidR="00C058BB" w:rsidRDefault="00C058BB" w:rsidP="00B543E1"/>
    <w:p w14:paraId="0FB03201" w14:textId="77777777" w:rsidR="00C058BB" w:rsidRPr="006A522D" w:rsidRDefault="00C058BB" w:rsidP="00B543E1">
      <w:pPr>
        <w:pStyle w:val="Heading3"/>
      </w:pPr>
      <w:r>
        <w:t>Getting the data</w:t>
      </w:r>
    </w:p>
    <w:p w14:paraId="757B197E" w14:textId="77777777" w:rsidR="00714982" w:rsidRDefault="00C058BB" w:rsidP="00B543E1">
      <w:r w:rsidRPr="006A522D">
        <w:t xml:space="preserve">Data for this </w:t>
      </w:r>
      <w:r>
        <w:t>report</w:t>
      </w:r>
      <w:r w:rsidRPr="006A522D">
        <w:t xml:space="preserve"> was extracted from </w:t>
      </w:r>
      <w:r>
        <w:t>emergency department</w:t>
      </w:r>
      <w:r w:rsidRPr="006A522D">
        <w:t xml:space="preserve"> events </w:t>
      </w:r>
      <w:r>
        <w:t>reported to</w:t>
      </w:r>
      <w:r w:rsidRPr="006A522D">
        <w:t xml:space="preserve"> the Ministry of Health</w:t>
      </w:r>
      <w:r w:rsidR="00714982">
        <w:t>’</w:t>
      </w:r>
      <w:r w:rsidRPr="006A522D">
        <w:t xml:space="preserve">s </w:t>
      </w:r>
      <w:r>
        <w:t>National Non-Admitted Patient Collection (NNPAC</w:t>
      </w:r>
      <w:r w:rsidRPr="009E0D92">
        <w:t xml:space="preserve">) on </w:t>
      </w:r>
      <w:r>
        <w:t>20 April 2016</w:t>
      </w:r>
      <w:r w:rsidRPr="009E0D92">
        <w:t>.</w:t>
      </w:r>
      <w:r w:rsidRPr="006A522D">
        <w:t xml:space="preserve"> </w:t>
      </w:r>
      <w:bookmarkStart w:id="15" w:name="_Toc400706125"/>
      <w:r>
        <w:t xml:space="preserve">NNPAC </w:t>
      </w:r>
      <w:r w:rsidRPr="00586C39">
        <w:t>information includes event-based purchase units that relate to medical and surgical outpatient events and emergency department events.</w:t>
      </w:r>
      <w:r>
        <w:t xml:space="preserve"> Data recorded on NNPAC is provided monthly by district health boards (DHBs) that are individually responsible for ensuring the completeness and quality of data supplied.</w:t>
      </w:r>
    </w:p>
    <w:p w14:paraId="0E8DDB68" w14:textId="77777777" w:rsidR="00C058BB" w:rsidRDefault="00C058BB" w:rsidP="00B543E1"/>
    <w:p w14:paraId="7326D628" w14:textId="77777777" w:rsidR="00C058BB" w:rsidRDefault="00C058BB" w:rsidP="00B543E1">
      <w:pPr>
        <w:pStyle w:val="Heading3"/>
      </w:pPr>
      <w:r>
        <w:t>Counting patients and events</w:t>
      </w:r>
    </w:p>
    <w:p w14:paraId="33F2B145" w14:textId="77777777" w:rsidR="00C058BB" w:rsidRDefault="00C058BB" w:rsidP="00B543E1">
      <w:r>
        <w:t>In the chapter on events, the key measure presented is the number of events. This includes attended ED events with a service date between 1 July 2010 and 30 June 2015.</w:t>
      </w:r>
    </w:p>
    <w:p w14:paraId="00877DE9" w14:textId="77777777" w:rsidR="00C058BB" w:rsidRDefault="00C058BB" w:rsidP="00B543E1"/>
    <w:p w14:paraId="68F5FEF3" w14:textId="77777777" w:rsidR="00C058BB" w:rsidRDefault="00C058BB" w:rsidP="00B543E1">
      <w:r>
        <w:t xml:space="preserve">In the chapter on patients, a key measure is the number of ED patients. The information presented is based on the first admission event for the person during the year. All demographic information about that patient is based on that first admission (eg, age, DHB of residence, ethnicity, and neighbourhood deprivation). This is to ensure that the rates by demographic groups are not swamped by the same people use emergency services repeatedly during the year. The demographic profile of patients who used emergency services multiple times during the year is presented in the </w:t>
      </w:r>
      <w:r w:rsidR="00714982">
        <w:t>‘</w:t>
      </w:r>
      <w:r>
        <w:t>Frequency of emergency department use</w:t>
      </w:r>
      <w:r w:rsidR="00714982">
        <w:t>’</w:t>
      </w:r>
      <w:r>
        <w:t xml:space="preserve"> section.</w:t>
      </w:r>
    </w:p>
    <w:p w14:paraId="4042B008" w14:textId="77777777" w:rsidR="00B543E1" w:rsidRDefault="00B543E1" w:rsidP="00B543E1"/>
    <w:bookmarkEnd w:id="15"/>
    <w:p w14:paraId="5967FC98" w14:textId="77777777" w:rsidR="00C058BB" w:rsidRPr="009362A2" w:rsidRDefault="00C058BB" w:rsidP="00B543E1">
      <w:pPr>
        <w:pStyle w:val="Heading3"/>
      </w:pPr>
      <w:r w:rsidRPr="009362A2">
        <w:lastRenderedPageBreak/>
        <w:t>Rates</w:t>
      </w:r>
      <w:r>
        <w:t xml:space="preserve"> of ED use</w:t>
      </w:r>
    </w:p>
    <w:p w14:paraId="05523D52" w14:textId="77777777" w:rsidR="00C058BB" w:rsidRDefault="00C058BB" w:rsidP="00B543E1">
      <w:pPr>
        <w:keepNext/>
      </w:pPr>
      <w:r>
        <w:t>Rates presented are primarily age-standardised rates. Age-specific rates are only presented when the rate is calculated for a specific age group (eg, children aged under 15 years).</w:t>
      </w:r>
    </w:p>
    <w:p w14:paraId="3F072E0F" w14:textId="77777777" w:rsidR="00C058BB" w:rsidRDefault="00C058BB" w:rsidP="00B543E1">
      <w:pPr>
        <w:keepNext/>
      </w:pPr>
    </w:p>
    <w:p w14:paraId="117EC2EE" w14:textId="77777777" w:rsidR="00714982" w:rsidRDefault="00C058BB" w:rsidP="00B543E1">
      <w:pPr>
        <w:keepNext/>
      </w:pPr>
      <w:r>
        <w:t>Age-specific rates were calculated by counting the number of patients in a particular age group and dividing by the population count of that particular age group and multiplying by 100.</w:t>
      </w:r>
    </w:p>
    <w:p w14:paraId="4708D0E5" w14:textId="77777777" w:rsidR="00C058BB" w:rsidRDefault="00C058BB" w:rsidP="00B543E1"/>
    <w:p w14:paraId="3842B004" w14:textId="77777777" w:rsidR="00C058BB" w:rsidRDefault="00C058BB" w:rsidP="00B543E1">
      <w:r>
        <w:t xml:space="preserve">Age-standardised rates were calculated using direct standardisation; that is to sum the </w:t>
      </w:r>
      <w:r w:rsidRPr="00A945EF">
        <w:t xml:space="preserve">age-specific rates </w:t>
      </w:r>
      <w:r>
        <w:t>of each five-year age group multiplied by the proportion of each five-year age group of the standard population. The WHO World Population (</w:t>
      </w:r>
      <w:r w:rsidRPr="00C767A2">
        <w:t>Ahmad et al 2001</w:t>
      </w:r>
      <w:r>
        <w:t>) was used as the standard population.</w:t>
      </w:r>
    </w:p>
    <w:p w14:paraId="71676696" w14:textId="77777777" w:rsidR="00C058BB" w:rsidRDefault="00C058BB" w:rsidP="00B543E1"/>
    <w:p w14:paraId="26D7803B" w14:textId="77777777" w:rsidR="00C058BB" w:rsidRDefault="00C058BB" w:rsidP="00B543E1">
      <w:r w:rsidRPr="00D80571">
        <w:t>Population data used to calculate rates was sourced from multiple data sets provided by Statistics New Zealand. The list of data sets used is provided</w:t>
      </w:r>
      <w:r>
        <w:t xml:space="preserve"> in the Additional notes chapter.</w:t>
      </w:r>
    </w:p>
    <w:p w14:paraId="345F151A" w14:textId="77777777" w:rsidR="00C058BB" w:rsidRPr="0055410A" w:rsidRDefault="00C058BB" w:rsidP="00B543E1">
      <w:pPr>
        <w:rPr>
          <w:highlight w:val="yellow"/>
        </w:rPr>
      </w:pPr>
    </w:p>
    <w:p w14:paraId="3EB94CBA" w14:textId="77777777" w:rsidR="00C058BB" w:rsidRPr="009362A2" w:rsidRDefault="00C058BB" w:rsidP="00B543E1">
      <w:pPr>
        <w:pStyle w:val="Heading3"/>
      </w:pPr>
      <w:r w:rsidRPr="009362A2">
        <w:t>Statistical significance</w:t>
      </w:r>
    </w:p>
    <w:p w14:paraId="65C163F2" w14:textId="3329DB38" w:rsidR="00C058BB" w:rsidRDefault="00C058BB" w:rsidP="00B543E1">
      <w:r w:rsidRPr="00217DB2">
        <w:t>Lack of commentary regarding the difference between statistics does not necessarily suggest that the difference was tested and found to be not significant. Differences discussed in this report have not been tested for statistical significance, unless noted otherwise.</w:t>
      </w:r>
      <w:r>
        <w:t xml:space="preserve"> Confidence intervals for two rates that do not overlap are considered to be statistically </w:t>
      </w:r>
      <w:r w:rsidRPr="007E7EE5">
        <w:t xml:space="preserve">significantly </w:t>
      </w:r>
      <w:r w:rsidR="00B05195">
        <w:t>different in this publication. 95% c</w:t>
      </w:r>
      <w:r w:rsidRPr="007E7EE5">
        <w:t xml:space="preserve">onfidence intervals were calculated using the method </w:t>
      </w:r>
      <w:r w:rsidR="002D69D1">
        <w:t>presented in Keyfitz (1966</w:t>
      </w:r>
      <w:r w:rsidR="00B05195">
        <w:t>)</w:t>
      </w:r>
      <w:r w:rsidRPr="007E7EE5">
        <w:t>.</w:t>
      </w:r>
    </w:p>
    <w:p w14:paraId="472415BA" w14:textId="77777777" w:rsidR="00C058BB" w:rsidRDefault="00C058BB" w:rsidP="00B543E1"/>
    <w:p w14:paraId="4E62601A" w14:textId="77777777" w:rsidR="00C058BB" w:rsidRPr="006A522D" w:rsidRDefault="00C058BB" w:rsidP="00B543E1">
      <w:pPr>
        <w:pStyle w:val="Heading2"/>
      </w:pPr>
      <w:bookmarkStart w:id="16" w:name="_Ref399775380"/>
      <w:bookmarkStart w:id="17" w:name="_Toc405887001"/>
      <w:bookmarkStart w:id="18" w:name="_Toc412122394"/>
      <w:bookmarkStart w:id="19" w:name="_Toc452111272"/>
      <w:bookmarkStart w:id="20" w:name="_Toc453058824"/>
      <w:bookmarkEnd w:id="8"/>
      <w:bookmarkEnd w:id="9"/>
      <w:bookmarkEnd w:id="10"/>
      <w:r>
        <w:t>A</w:t>
      </w:r>
      <w:r w:rsidRPr="006A522D">
        <w:t>dditional information</w:t>
      </w:r>
      <w:bookmarkEnd w:id="16"/>
      <w:bookmarkEnd w:id="17"/>
      <w:bookmarkEnd w:id="18"/>
      <w:bookmarkEnd w:id="19"/>
      <w:bookmarkEnd w:id="20"/>
    </w:p>
    <w:p w14:paraId="2F0DB5FD" w14:textId="77777777" w:rsidR="00C058BB" w:rsidRDefault="00C058BB" w:rsidP="00B543E1">
      <w:r>
        <w:t>The accompanying online tables include the following:</w:t>
      </w:r>
    </w:p>
    <w:p w14:paraId="3C0B7E02" w14:textId="77777777" w:rsidR="00C058BB" w:rsidRDefault="00C058BB" w:rsidP="003D5819">
      <w:pPr>
        <w:pStyle w:val="Bullet"/>
      </w:pPr>
      <w:r>
        <w:t>Number and rate of people who were patients at an ED at least once during the year by gender, ethnic group, neighbourhood deprivation quintile and frequency of ED use for selected DHB region and age group.</w:t>
      </w:r>
    </w:p>
    <w:p w14:paraId="1FEDD710" w14:textId="77777777" w:rsidR="00C058BB" w:rsidRDefault="00C058BB" w:rsidP="003D5819">
      <w:pPr>
        <w:pStyle w:val="Bullet"/>
      </w:pPr>
      <w:r>
        <w:t>Number and distribution of ED events by gender, ethnic group and neighbourhood deprivation quintile at first ED event of the year, and frequency of ED use, for selected DHB region and age group.</w:t>
      </w:r>
    </w:p>
    <w:p w14:paraId="02604D78" w14:textId="77777777" w:rsidR="00C058BB" w:rsidRDefault="00C058BB" w:rsidP="003D5819">
      <w:pPr>
        <w:pStyle w:val="Bullet"/>
      </w:pPr>
      <w:r>
        <w:t>Number and distribution of ED events by day of the week, month, length of stay, triage level and outcome of event, for selected service provider or facility of event.</w:t>
      </w:r>
    </w:p>
    <w:p w14:paraId="4388A11A" w14:textId="77777777" w:rsidR="00714982" w:rsidRDefault="00C058BB" w:rsidP="003D5819">
      <w:pPr>
        <w:pStyle w:val="Bullet"/>
      </w:pPr>
      <w:r>
        <w:t>Other summary tables used to produce graphs and tables presented in this publication.</w:t>
      </w:r>
    </w:p>
    <w:p w14:paraId="6B99383D" w14:textId="77777777" w:rsidR="00C058BB" w:rsidRDefault="00C058BB" w:rsidP="003D5819"/>
    <w:p w14:paraId="700F6C2D" w14:textId="77777777" w:rsidR="00C058BB" w:rsidRPr="006A522D" w:rsidRDefault="00C058BB" w:rsidP="003D5819">
      <w:r w:rsidRPr="006A522D">
        <w:t xml:space="preserve">If you require information not included in this </w:t>
      </w:r>
      <w:r>
        <w:t>report</w:t>
      </w:r>
      <w:r w:rsidRPr="006A522D">
        <w:t xml:space="preserve"> or in the accompanying online tables, the Ministry of Health is able to produce customised data extracts tailored to your needs. These may incur a charge (at Official Information Act rates). The contact details are provided below.</w:t>
      </w:r>
    </w:p>
    <w:p w14:paraId="1AB5E978" w14:textId="77777777" w:rsidR="00C058BB" w:rsidRPr="00984D6A" w:rsidRDefault="00C058BB" w:rsidP="00C058BB">
      <w:pPr>
        <w:spacing w:before="120"/>
        <w:ind w:left="567"/>
      </w:pPr>
      <w:r w:rsidRPr="006A522D">
        <w:t>Postal address:</w:t>
      </w:r>
      <w:r>
        <w:tab/>
      </w:r>
      <w:r w:rsidRPr="00984D6A">
        <w:t>Analytical Services</w:t>
      </w:r>
    </w:p>
    <w:p w14:paraId="4FCA6275" w14:textId="77777777" w:rsidR="00C058BB" w:rsidRPr="00984D6A" w:rsidRDefault="00C058BB" w:rsidP="00C058BB">
      <w:pPr>
        <w:ind w:left="2268"/>
      </w:pPr>
      <w:r w:rsidRPr="00984D6A">
        <w:t>Ministry of Health</w:t>
      </w:r>
    </w:p>
    <w:p w14:paraId="222FEF62" w14:textId="77777777" w:rsidR="00C058BB" w:rsidRPr="00984D6A" w:rsidRDefault="00C058BB" w:rsidP="00C058BB">
      <w:pPr>
        <w:ind w:left="2268"/>
      </w:pPr>
      <w:r w:rsidRPr="00984D6A">
        <w:t>PO Box 5013</w:t>
      </w:r>
    </w:p>
    <w:p w14:paraId="23FF4404" w14:textId="77777777" w:rsidR="00C058BB" w:rsidRPr="00984D6A" w:rsidRDefault="00C058BB" w:rsidP="00C058BB">
      <w:pPr>
        <w:ind w:left="2268"/>
      </w:pPr>
      <w:r w:rsidRPr="00984D6A">
        <w:t>Wellington 6145</w:t>
      </w:r>
    </w:p>
    <w:p w14:paraId="12E116E3" w14:textId="77777777" w:rsidR="00C058BB" w:rsidRPr="006A522D" w:rsidRDefault="00C058BB" w:rsidP="00C058BB">
      <w:pPr>
        <w:spacing w:after="120" w:line="240" w:lineRule="auto"/>
        <w:ind w:left="2268"/>
      </w:pPr>
      <w:r w:rsidRPr="006A522D">
        <w:t>New Zealand</w:t>
      </w:r>
    </w:p>
    <w:p w14:paraId="6037B63D" w14:textId="77777777" w:rsidR="00C058BB" w:rsidRPr="006A522D" w:rsidRDefault="00C058BB" w:rsidP="00C058BB">
      <w:pPr>
        <w:spacing w:after="120" w:line="240" w:lineRule="auto"/>
        <w:ind w:left="2268" w:hanging="1701"/>
      </w:pPr>
      <w:r w:rsidRPr="006A522D">
        <w:t>Email:</w:t>
      </w:r>
      <w:r>
        <w:tab/>
      </w:r>
      <w:hyperlink r:id="rId19" w:history="1">
        <w:r w:rsidRPr="000D5E90">
          <w:rPr>
            <w:rStyle w:val="Hyperlink"/>
          </w:rPr>
          <w:t>data-enquiries@moh.govt.nz</w:t>
        </w:r>
      </w:hyperlink>
    </w:p>
    <w:p w14:paraId="54572FB4" w14:textId="77777777" w:rsidR="00C058BB" w:rsidRPr="006A522D" w:rsidRDefault="00C058BB" w:rsidP="00C058BB">
      <w:pPr>
        <w:spacing w:after="120" w:line="240" w:lineRule="auto"/>
        <w:ind w:left="2268" w:hanging="1701"/>
      </w:pPr>
      <w:r w:rsidRPr="006A522D">
        <w:t>Phone:</w:t>
      </w:r>
      <w:r>
        <w:tab/>
      </w:r>
      <w:r w:rsidRPr="006A522D">
        <w:t>(04) 496 2000</w:t>
      </w:r>
    </w:p>
    <w:p w14:paraId="2FCDFBA9" w14:textId="77777777" w:rsidR="00C058BB" w:rsidRPr="00984D6A" w:rsidRDefault="00C058BB" w:rsidP="003D5819"/>
    <w:p w14:paraId="0C3C521F" w14:textId="77777777" w:rsidR="00C058BB" w:rsidRDefault="00C058BB" w:rsidP="00657622">
      <w:pPr>
        <w:pStyle w:val="Heading1"/>
      </w:pPr>
      <w:r>
        <w:br w:type="page"/>
      </w:r>
      <w:bookmarkStart w:id="21" w:name="_Toc452111273"/>
      <w:bookmarkStart w:id="22" w:name="_Toc453058825"/>
      <w:r>
        <w:lastRenderedPageBreak/>
        <w:t>Patients</w:t>
      </w:r>
      <w:bookmarkEnd w:id="21"/>
      <w:bookmarkEnd w:id="22"/>
    </w:p>
    <w:p w14:paraId="01272CEF" w14:textId="4D21402B" w:rsidR="00C058BB" w:rsidRDefault="00C058BB" w:rsidP="003D5819">
      <w:r>
        <w:t>This chapter presents descriptive statistics about the demographic profiles of patients</w:t>
      </w:r>
      <w:r w:rsidR="009D71B8">
        <w:t xml:space="preserve"> who presented to an </w:t>
      </w:r>
      <w:r>
        <w:t xml:space="preserve">ED in New Zealand. Numbers and rates of ED use are presented by DHB region of residence, gender, age, ethnicity and deprivation for people who were patients at an ED at least once during the year. These analyses are also presented for people who used </w:t>
      </w:r>
      <w:r w:rsidR="009D71B8">
        <w:t xml:space="preserve">the ED </w:t>
      </w:r>
      <w:r>
        <w:t xml:space="preserve">once and for people who used </w:t>
      </w:r>
      <w:r w:rsidR="009D71B8">
        <w:t>the ED</w:t>
      </w:r>
      <w:r>
        <w:t xml:space="preserve"> more than once during the same year in the final section (</w:t>
      </w:r>
      <w:r w:rsidR="00714982">
        <w:t>‘</w:t>
      </w:r>
      <w:r>
        <w:t>Frequency of emergency department use</w:t>
      </w:r>
      <w:r w:rsidR="00714982">
        <w:t>’</w:t>
      </w:r>
      <w:r>
        <w:t>).</w:t>
      </w:r>
    </w:p>
    <w:p w14:paraId="56F36CBE" w14:textId="77777777" w:rsidR="00C058BB" w:rsidRPr="00D11B57" w:rsidRDefault="00C058BB" w:rsidP="003D5819"/>
    <w:p w14:paraId="539F9D66" w14:textId="77777777" w:rsidR="00C058BB" w:rsidRDefault="00C058BB" w:rsidP="003D5819">
      <w:pPr>
        <w:pStyle w:val="Heading2"/>
      </w:pPr>
      <w:bookmarkStart w:id="23" w:name="_Toc452111274"/>
      <w:bookmarkStart w:id="24" w:name="_Toc453058826"/>
      <w:r>
        <w:t>Overview</w:t>
      </w:r>
      <w:bookmarkEnd w:id="23"/>
      <w:bookmarkEnd w:id="24"/>
    </w:p>
    <w:p w14:paraId="2D663855" w14:textId="0FA793B5" w:rsidR="00C058BB" w:rsidRPr="00A919B7" w:rsidRDefault="00C058BB" w:rsidP="003D5819">
      <w:r w:rsidRPr="00A919B7">
        <w:t>Almost 700,000 people were patients at an ED at least once during the 12-month period ending 30</w:t>
      </w:r>
      <w:r w:rsidR="003D5819">
        <w:t> </w:t>
      </w:r>
      <w:r w:rsidRPr="00A919B7">
        <w:t xml:space="preserve">June 2015. This equates to approximately 15 in every 100 people in the population </w:t>
      </w:r>
      <w:r w:rsidR="009D71B8">
        <w:t xml:space="preserve">being </w:t>
      </w:r>
      <w:r w:rsidRPr="00A919B7">
        <w:t>patients at an ED at least once during 2014/15 (age-standardised rate of 14.9 patients per 100</w:t>
      </w:r>
      <w:r w:rsidR="003D5819">
        <w:t> </w:t>
      </w:r>
      <w:r w:rsidRPr="00A919B7">
        <w:t>population).</w:t>
      </w:r>
    </w:p>
    <w:p w14:paraId="458BEC65" w14:textId="77777777" w:rsidR="00C058BB" w:rsidRPr="00A919B7" w:rsidRDefault="00C058BB" w:rsidP="003D5819"/>
    <w:p w14:paraId="23F8BE87" w14:textId="77777777" w:rsidR="00714982" w:rsidRDefault="00C058BB" w:rsidP="003D5819">
      <w:r w:rsidRPr="00A919B7">
        <w:t>From 2010/11 to 2014/15, the number of people who were ED patients increased from approximately 640,000 to 690,000 people. The rate of ED use also increased, from 14.4 to 14.9</w:t>
      </w:r>
      <w:r w:rsidR="003D5819">
        <w:t> </w:t>
      </w:r>
      <w:r w:rsidRPr="00A919B7">
        <w:t>patients per 100 population (</w:t>
      </w:r>
      <w:r>
        <w:t xml:space="preserve">Figure </w:t>
      </w:r>
      <w:r>
        <w:rPr>
          <w:noProof/>
        </w:rPr>
        <w:t>1</w:t>
      </w:r>
      <w:r w:rsidRPr="00A919B7">
        <w:t>).</w:t>
      </w:r>
    </w:p>
    <w:p w14:paraId="18B200BC" w14:textId="77777777" w:rsidR="00C058BB" w:rsidRDefault="00C058BB" w:rsidP="003D5819"/>
    <w:p w14:paraId="7FD2EEE8" w14:textId="77777777" w:rsidR="00C058BB" w:rsidRDefault="00C058BB" w:rsidP="003D5819">
      <w:pPr>
        <w:pStyle w:val="Figure"/>
      </w:pPr>
      <w:bookmarkStart w:id="25" w:name="_Ref442798790"/>
      <w:bookmarkStart w:id="26" w:name="_Toc452111224"/>
      <w:bookmarkStart w:id="27" w:name="_Toc453058855"/>
      <w:r>
        <w:t xml:space="preserve">Figure </w:t>
      </w:r>
      <w:r w:rsidR="004B4E7B">
        <w:fldChar w:fldCharType="begin"/>
      </w:r>
      <w:r w:rsidR="004B4E7B">
        <w:instrText xml:space="preserve"> SEQ Figure \* ARABIC </w:instrText>
      </w:r>
      <w:r w:rsidR="004B4E7B">
        <w:fldChar w:fldCharType="separate"/>
      </w:r>
      <w:r w:rsidR="00CD2E1C">
        <w:rPr>
          <w:noProof/>
        </w:rPr>
        <w:t>1</w:t>
      </w:r>
      <w:r w:rsidR="004B4E7B">
        <w:rPr>
          <w:noProof/>
        </w:rPr>
        <w:fldChar w:fldCharType="end"/>
      </w:r>
      <w:bookmarkEnd w:id="25"/>
      <w:r>
        <w:t>: Rate of people who were patients at an emergency department at least once during the year, 2010/11–2014/15</w:t>
      </w:r>
      <w:bookmarkEnd w:id="26"/>
      <w:bookmarkEnd w:id="27"/>
    </w:p>
    <w:p w14:paraId="5A24267A" w14:textId="0611E48D" w:rsidR="00C058BB" w:rsidRPr="00971CE5" w:rsidRDefault="004B4E7B" w:rsidP="00345808">
      <w:r>
        <w:rPr>
          <w:noProof/>
          <w:lang w:eastAsia="en-NZ"/>
        </w:rPr>
        <w:pict w14:anchorId="1B724A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 Rate of people who were patients at an emergency department at least once during the year, 2010/11–2014/15" style="width:339.75pt;height:198pt">
            <v:imagedata r:id="rId20" o:title=""/>
          </v:shape>
        </w:pict>
      </w:r>
    </w:p>
    <w:p w14:paraId="37E4FB40" w14:textId="77777777" w:rsidR="00C058BB" w:rsidRDefault="00C058BB" w:rsidP="00C058BB">
      <w:pPr>
        <w:pStyle w:val="Note"/>
      </w:pPr>
      <w:r>
        <w:t>Note: Rates presented are standardised to the WHO World Population. The number above each marker is the number of people.</w:t>
      </w:r>
    </w:p>
    <w:p w14:paraId="6687936D" w14:textId="02FBC642" w:rsidR="00EC70AB" w:rsidRDefault="00EC70AB">
      <w:pPr>
        <w:spacing w:line="240" w:lineRule="auto"/>
      </w:pPr>
      <w:r>
        <w:br w:type="page"/>
      </w:r>
    </w:p>
    <w:p w14:paraId="7A2F99E1" w14:textId="77777777" w:rsidR="00C058BB" w:rsidRDefault="00C058BB" w:rsidP="003D5819">
      <w:pPr>
        <w:pStyle w:val="Heading2"/>
      </w:pPr>
      <w:bookmarkStart w:id="28" w:name="_Toc452111275"/>
      <w:bookmarkStart w:id="29" w:name="_Toc453058827"/>
      <w:r>
        <w:lastRenderedPageBreak/>
        <w:t>District health board region</w:t>
      </w:r>
      <w:bookmarkEnd w:id="28"/>
      <w:bookmarkEnd w:id="29"/>
    </w:p>
    <w:p w14:paraId="0F2F526A" w14:textId="5C1B5A38" w:rsidR="003D5819" w:rsidRDefault="003D5819" w:rsidP="003D5819">
      <w:pPr>
        <w:pStyle w:val="Box"/>
        <w:keepLines/>
      </w:pPr>
      <w:r w:rsidRPr="00AE4FD0">
        <w:t>The geographic distribution of ED patients presented in this section is based on the DHB region of the patient</w:t>
      </w:r>
      <w:r>
        <w:t>’</w:t>
      </w:r>
      <w:r w:rsidRPr="00AE4FD0">
        <w:t>s usual residence</w:t>
      </w:r>
      <w:r>
        <w:t xml:space="preserve"> (ie, DHB of domicile)</w:t>
      </w:r>
      <w:r w:rsidRPr="00AE4FD0">
        <w:t>. Rates and numbers in this section are intended to reflect the usually resident population of the DHB region</w:t>
      </w:r>
      <w:r w:rsidR="005D4409">
        <w:t>,</w:t>
      </w:r>
      <w:r w:rsidRPr="00AE4FD0">
        <w:t xml:space="preserve"> and not necessarily the facilities run </w:t>
      </w:r>
      <w:r w:rsidR="009D71B8">
        <w:t xml:space="preserve">by </w:t>
      </w:r>
      <w:r w:rsidRPr="00AE4FD0">
        <w:t xml:space="preserve">that DHB. See the </w:t>
      </w:r>
      <w:r>
        <w:t xml:space="preserve">‘Maps’ section in </w:t>
      </w:r>
      <w:r w:rsidRPr="00AE4FD0">
        <w:t>Additional notes for a map showing t</w:t>
      </w:r>
      <w:r>
        <w:t>he location of each DHB region</w:t>
      </w:r>
      <w:r w:rsidRPr="00AE4FD0">
        <w:t>.</w:t>
      </w:r>
    </w:p>
    <w:p w14:paraId="257961C9" w14:textId="77777777" w:rsidR="00C058BB" w:rsidRDefault="00C058BB" w:rsidP="003D5819">
      <w:pPr>
        <w:rPr>
          <w:highlight w:val="yellow"/>
        </w:rPr>
      </w:pPr>
    </w:p>
    <w:p w14:paraId="3CA9151E" w14:textId="77777777" w:rsidR="00714982" w:rsidRDefault="00C058BB" w:rsidP="003D5819">
      <w:r w:rsidRPr="00A919B7">
        <w:t xml:space="preserve">People who attended an ED at least once during 2014/15 most commonly </w:t>
      </w:r>
      <w:r>
        <w:t>resided</w:t>
      </w:r>
      <w:r w:rsidRPr="00A919B7">
        <w:t xml:space="preserve"> in the Waitemata DHB region (10.5%), followed by the Counties Manukau DHB region (9.9%). Patients residing in the following five DHB regions each accounted for less than 2% of patients who attended ED during the year: Tairāwhiti, Whanganui, Wairarapa, West Coast and South Canterbury (</w:t>
      </w:r>
      <w:r>
        <w:t xml:space="preserve">Figure </w:t>
      </w:r>
      <w:r>
        <w:rPr>
          <w:noProof/>
        </w:rPr>
        <w:t>2</w:t>
      </w:r>
      <w:r w:rsidRPr="00A919B7">
        <w:t>).</w:t>
      </w:r>
    </w:p>
    <w:p w14:paraId="3D9BE31C" w14:textId="77777777" w:rsidR="00C058BB" w:rsidRDefault="00C058BB" w:rsidP="003D5819"/>
    <w:p w14:paraId="20648064" w14:textId="77777777" w:rsidR="00C058BB" w:rsidRDefault="00C058BB" w:rsidP="003D5819">
      <w:pPr>
        <w:pStyle w:val="Figure"/>
      </w:pPr>
      <w:bookmarkStart w:id="30" w:name="_Ref443924280"/>
      <w:bookmarkStart w:id="31" w:name="_Toc452111225"/>
      <w:bookmarkStart w:id="32" w:name="_Toc453058856"/>
      <w:r>
        <w:t xml:space="preserve">Figure </w:t>
      </w:r>
      <w:r w:rsidR="004B4E7B">
        <w:fldChar w:fldCharType="begin"/>
      </w:r>
      <w:r w:rsidR="004B4E7B">
        <w:instrText xml:space="preserve"> SEQ Figure \* ARABIC </w:instrText>
      </w:r>
      <w:r w:rsidR="004B4E7B">
        <w:fldChar w:fldCharType="separate"/>
      </w:r>
      <w:r w:rsidR="00CD2E1C">
        <w:rPr>
          <w:noProof/>
        </w:rPr>
        <w:t>2</w:t>
      </w:r>
      <w:r w:rsidR="004B4E7B">
        <w:rPr>
          <w:noProof/>
        </w:rPr>
        <w:fldChar w:fldCharType="end"/>
      </w:r>
      <w:bookmarkEnd w:id="30"/>
      <w:r>
        <w:t>: Distribution of people who were patients at an emergency department at least once during the year, by DHB of residence, 2014/15</w:t>
      </w:r>
      <w:bookmarkEnd w:id="31"/>
      <w:bookmarkEnd w:id="32"/>
    </w:p>
    <w:p w14:paraId="4A9E404A" w14:textId="735292DF" w:rsidR="00C058BB" w:rsidRDefault="004B4E7B" w:rsidP="007E4F5C">
      <w:r>
        <w:rPr>
          <w:noProof/>
          <w:lang w:eastAsia="en-NZ"/>
        </w:rPr>
        <w:pict w14:anchorId="6654E8B1">
          <v:shape id="_x0000_i1026" type="#_x0000_t75" alt="Figure 2: Distribution of people who were patients at an emergency department at least once during the year, by DHB of residence, 2014/15" style="width:339.75pt;height:311.25pt">
            <v:imagedata r:id="rId21" o:title=""/>
          </v:shape>
        </w:pict>
      </w:r>
    </w:p>
    <w:p w14:paraId="3415270F" w14:textId="77777777" w:rsidR="00C058BB" w:rsidRDefault="00C058BB" w:rsidP="003D5819">
      <w:pPr>
        <w:pStyle w:val="Note"/>
      </w:pPr>
      <w:r>
        <w:t xml:space="preserve">Note: The number on each bar is the number of patients. The denominator used to calculate the percentage is the total number of people </w:t>
      </w:r>
      <w:r w:rsidRPr="00A919B7">
        <w:t>who were patients at an ED at least once during the year, excluding those where DHB was unknown (11,294</w:t>
      </w:r>
      <w:r w:rsidR="003D5819">
        <w:t> </w:t>
      </w:r>
      <w:r w:rsidRPr="00A919B7">
        <w:t>patients, 1.6%).</w:t>
      </w:r>
    </w:p>
    <w:p w14:paraId="2A882B90" w14:textId="6EDC360A" w:rsidR="00E60052" w:rsidRDefault="00E60052">
      <w:pPr>
        <w:spacing w:line="240" w:lineRule="auto"/>
      </w:pPr>
      <w:r>
        <w:br w:type="page"/>
      </w:r>
    </w:p>
    <w:p w14:paraId="44FC073B" w14:textId="2060EEFC" w:rsidR="00714982" w:rsidRDefault="00C058BB" w:rsidP="003D5819">
      <w:r w:rsidRPr="00A70D12">
        <w:lastRenderedPageBreak/>
        <w:t xml:space="preserve">Although ED patients residing in </w:t>
      </w:r>
      <w:r w:rsidR="009D71B8">
        <w:t xml:space="preserve">the </w:t>
      </w:r>
      <w:r w:rsidRPr="00A70D12">
        <w:t xml:space="preserve">West Coast DHB region accounted for </w:t>
      </w:r>
      <w:r>
        <w:t xml:space="preserve">only </w:t>
      </w:r>
      <w:r w:rsidRPr="00A70D12">
        <w:t>1% of all ED patients, the age-standardised rate of ED use in the West Coast DHB region was higher than any other region at 24.0 per 100 population. Other regions with higher rates of ED use were Lakes, Taranaki and Wairarapa DHB regions (</w:t>
      </w:r>
      <w:r>
        <w:t xml:space="preserve">Figure </w:t>
      </w:r>
      <w:r>
        <w:rPr>
          <w:noProof/>
        </w:rPr>
        <w:t>3</w:t>
      </w:r>
      <w:r w:rsidRPr="00A70D12">
        <w:t>).</w:t>
      </w:r>
    </w:p>
    <w:p w14:paraId="13AE4D0F" w14:textId="77777777" w:rsidR="00C058BB" w:rsidRDefault="00C058BB" w:rsidP="003D5819"/>
    <w:p w14:paraId="20CEFE22" w14:textId="77777777" w:rsidR="00C058BB" w:rsidRDefault="00C058BB" w:rsidP="003D5819">
      <w:r w:rsidRPr="00A70D12">
        <w:t>Ten DHB regions showed an increase in the rate of ED use from 2010/11 to 2014/15. The regions with rates that increased by more than 10% were Lakes, Bay of Plenty, Hawke</w:t>
      </w:r>
      <w:r w:rsidR="00714982">
        <w:t>’</w:t>
      </w:r>
      <w:r w:rsidRPr="00A70D12">
        <w:t>s Bay, Capital &amp; Coast and Hutt Valley. Conversely, the rate of ED use decreased by more than 10% in the Wairarapa DHB region (</w:t>
      </w:r>
      <w:r>
        <w:t xml:space="preserve">Figure </w:t>
      </w:r>
      <w:r>
        <w:rPr>
          <w:noProof/>
        </w:rPr>
        <w:t>3</w:t>
      </w:r>
      <w:r w:rsidRPr="00A70D12">
        <w:t>).</w:t>
      </w:r>
    </w:p>
    <w:p w14:paraId="3FF83558" w14:textId="77777777" w:rsidR="00C058BB" w:rsidRDefault="00C058BB" w:rsidP="003D5819"/>
    <w:p w14:paraId="30234663" w14:textId="77777777" w:rsidR="00C058BB" w:rsidRDefault="00C058BB" w:rsidP="003D5819">
      <w:pPr>
        <w:pStyle w:val="Figure"/>
      </w:pPr>
      <w:bookmarkStart w:id="33" w:name="_Ref443925266"/>
      <w:bookmarkStart w:id="34" w:name="_Toc452111226"/>
      <w:bookmarkStart w:id="35" w:name="_Toc453058857"/>
      <w:r>
        <w:t xml:space="preserve">Figure </w:t>
      </w:r>
      <w:r w:rsidR="004B4E7B">
        <w:fldChar w:fldCharType="begin"/>
      </w:r>
      <w:r w:rsidR="004B4E7B">
        <w:instrText xml:space="preserve"> SEQ Figure \* ARABIC </w:instrText>
      </w:r>
      <w:r w:rsidR="004B4E7B">
        <w:fldChar w:fldCharType="separate"/>
      </w:r>
      <w:r w:rsidR="00CD2E1C">
        <w:rPr>
          <w:noProof/>
        </w:rPr>
        <w:t>3</w:t>
      </w:r>
      <w:r w:rsidR="004B4E7B">
        <w:rPr>
          <w:noProof/>
        </w:rPr>
        <w:fldChar w:fldCharType="end"/>
      </w:r>
      <w:bookmarkEnd w:id="33"/>
      <w:r>
        <w:t>: Rate of people who were patients at an emergency department at least once during the year, by DHB of residence, 2010/11 and 2014/15</w:t>
      </w:r>
      <w:bookmarkEnd w:id="34"/>
      <w:bookmarkEnd w:id="35"/>
    </w:p>
    <w:p w14:paraId="54502080" w14:textId="77777777" w:rsidR="00C058BB" w:rsidRDefault="00EE6751" w:rsidP="00C058BB">
      <w:pPr>
        <w:spacing w:line="240" w:lineRule="auto"/>
      </w:pPr>
      <w:r>
        <w:rPr>
          <w:noProof/>
          <w:lang w:eastAsia="en-NZ"/>
        </w:rPr>
        <w:drawing>
          <wp:inline distT="0" distB="0" distL="0" distR="0" wp14:anchorId="700EC291" wp14:editId="6CE55581">
            <wp:extent cx="5760000" cy="3837120"/>
            <wp:effectExtent l="0" t="0" r="0" b="0"/>
            <wp:docPr id="5" name="Picture 4" title="Figure 3: Rate of people who were patients at an emergency department at least once during the year, by DHB of residence, 2010/11 an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Rate of people who were patients at an emergency department at least once during the year, by DHB of residence, 2010/11 and 2014/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3837120"/>
                    </a:xfrm>
                    <a:prstGeom prst="rect">
                      <a:avLst/>
                    </a:prstGeom>
                    <a:noFill/>
                    <a:ln>
                      <a:noFill/>
                    </a:ln>
                  </pic:spPr>
                </pic:pic>
              </a:graphicData>
            </a:graphic>
          </wp:inline>
        </w:drawing>
      </w:r>
    </w:p>
    <w:p w14:paraId="20FBB4DB" w14:textId="77777777" w:rsidR="00714982" w:rsidRDefault="00C058BB" w:rsidP="004B6FDA">
      <w:pPr>
        <w:pStyle w:val="Note"/>
        <w:ind w:right="0"/>
      </w:pPr>
      <w:r>
        <w:t>Note: Rates presented are standardised to the WHO World Population.</w:t>
      </w:r>
    </w:p>
    <w:p w14:paraId="7355EDAD" w14:textId="77777777" w:rsidR="003D5819" w:rsidRPr="003D5819" w:rsidRDefault="003D5819" w:rsidP="003D5819"/>
    <w:p w14:paraId="428C07EC" w14:textId="77777777" w:rsidR="00C058BB" w:rsidRPr="008F2D78" w:rsidRDefault="00C058BB" w:rsidP="003D5819">
      <w:pPr>
        <w:pStyle w:val="Heading2"/>
      </w:pPr>
      <w:bookmarkStart w:id="36" w:name="_Toc452111276"/>
      <w:bookmarkStart w:id="37" w:name="_Toc453058828"/>
      <w:r w:rsidRPr="008F2D78">
        <w:t>Gender</w:t>
      </w:r>
      <w:bookmarkEnd w:id="36"/>
      <w:bookmarkEnd w:id="37"/>
    </w:p>
    <w:p w14:paraId="1118CF2A" w14:textId="77777777" w:rsidR="00714982" w:rsidRDefault="00C058BB" w:rsidP="003D5819">
      <w:r w:rsidRPr="00EE0163">
        <w:t>Overall, there were more male patients with at least one visit to an ED in 2014/15 than female patients (349,828 male patients and 343,813 female patients).</w:t>
      </w:r>
    </w:p>
    <w:p w14:paraId="7FD03D58" w14:textId="77777777" w:rsidR="00C058BB" w:rsidRPr="00EE0163" w:rsidRDefault="00C058BB" w:rsidP="003D5819"/>
    <w:p w14:paraId="72CE56EC" w14:textId="77777777" w:rsidR="00C058BB" w:rsidRPr="00EE0163" w:rsidRDefault="00C058BB" w:rsidP="003D5819">
      <w:r w:rsidRPr="00EE0163">
        <w:t>The age-standardised rate of ED use in 2014/15 was 15.4 per 100 population for males and 14.5</w:t>
      </w:r>
      <w:r w:rsidR="003D5819">
        <w:t> </w:t>
      </w:r>
      <w:r w:rsidRPr="00EE0163">
        <w:t xml:space="preserve">per 100 population for females. While the rate of ED use for males was consistently higher than females from 2010/11 to 2014/15, this gap has reduced over time. There was an increase in the female rate from 13.7 to 14.5 per 100 population, while the rate for males remained stable (ranging from 15.2 and 15.4 per 100 population) (Figure </w:t>
      </w:r>
      <w:r>
        <w:rPr>
          <w:noProof/>
        </w:rPr>
        <w:t>4</w:t>
      </w:r>
      <w:r w:rsidRPr="00EE0163">
        <w:t>).</w:t>
      </w:r>
    </w:p>
    <w:p w14:paraId="70E9829C" w14:textId="77777777" w:rsidR="00C058BB" w:rsidRPr="00EE0163" w:rsidRDefault="00C058BB" w:rsidP="003D5819"/>
    <w:p w14:paraId="494483A5" w14:textId="153F6F59" w:rsidR="00C058BB" w:rsidRPr="00EE0163" w:rsidRDefault="00C058BB" w:rsidP="003D5819">
      <w:r w:rsidRPr="00EE0163">
        <w:t xml:space="preserve">The rate of ED use for males was slightly higher than the rate for females across all DHB regions from 2010/11 to 2014/15. </w:t>
      </w:r>
    </w:p>
    <w:p w14:paraId="647B3D36" w14:textId="77777777" w:rsidR="00C058BB" w:rsidRPr="008F2D78" w:rsidRDefault="00C058BB" w:rsidP="003D5819">
      <w:pPr>
        <w:rPr>
          <w:highlight w:val="yellow"/>
        </w:rPr>
      </w:pPr>
    </w:p>
    <w:p w14:paraId="66E82C83" w14:textId="77777777" w:rsidR="00C058BB" w:rsidRDefault="00C058BB" w:rsidP="003D5819">
      <w:pPr>
        <w:pStyle w:val="Figure"/>
      </w:pPr>
      <w:bookmarkStart w:id="38" w:name="_Ref442798779"/>
      <w:bookmarkStart w:id="39" w:name="_Toc452111227"/>
      <w:bookmarkStart w:id="40" w:name="_Toc453058858"/>
      <w:r w:rsidRPr="00EE0163">
        <w:lastRenderedPageBreak/>
        <w:t xml:space="preserve">Figure </w:t>
      </w:r>
      <w:r w:rsidR="004B4E7B">
        <w:fldChar w:fldCharType="begin"/>
      </w:r>
      <w:r w:rsidR="004B4E7B">
        <w:instrText xml:space="preserve"> SEQ Figure \* ARABIC </w:instrText>
      </w:r>
      <w:r w:rsidR="004B4E7B">
        <w:fldChar w:fldCharType="separate"/>
      </w:r>
      <w:r w:rsidR="00CD2E1C">
        <w:rPr>
          <w:noProof/>
        </w:rPr>
        <w:t>4</w:t>
      </w:r>
      <w:r w:rsidR="004B4E7B">
        <w:rPr>
          <w:noProof/>
        </w:rPr>
        <w:fldChar w:fldCharType="end"/>
      </w:r>
      <w:bookmarkEnd w:id="38"/>
      <w:r w:rsidRPr="00EE0163">
        <w:t>: Rate of people who were patients at an emergency department at least once during the year</w:t>
      </w:r>
      <w:r>
        <w:t>,</w:t>
      </w:r>
      <w:r w:rsidRPr="00EE0163">
        <w:t xml:space="preserve"> by gender, 2010/11–2014/15</w:t>
      </w:r>
      <w:bookmarkEnd w:id="39"/>
      <w:bookmarkEnd w:id="40"/>
    </w:p>
    <w:p w14:paraId="74008D01" w14:textId="430A1DA3" w:rsidR="00EC350E" w:rsidRPr="00EC350E" w:rsidRDefault="004B4E7B" w:rsidP="00EC350E">
      <w:r>
        <w:rPr>
          <w:noProof/>
          <w:lang w:eastAsia="en-NZ"/>
        </w:rPr>
        <w:pict w14:anchorId="01E5AD84">
          <v:shape id="_x0000_i1027" type="#_x0000_t75" alt="Figure 4: Rate of people who were patients at an emergency department at least once during the year, by gender, 2010/11–2014/15" style="width:339.75pt;height:198pt">
            <v:imagedata r:id="rId23" o:title=""/>
          </v:shape>
        </w:pict>
      </w:r>
    </w:p>
    <w:p w14:paraId="542E6363" w14:textId="77777777" w:rsidR="00714982" w:rsidRDefault="00C058BB" w:rsidP="00433ACE">
      <w:pPr>
        <w:pStyle w:val="Note"/>
      </w:pPr>
      <w:r w:rsidRPr="00EE0163">
        <w:t>Note: Rates presented are standardised to the WHO World Population.</w:t>
      </w:r>
    </w:p>
    <w:p w14:paraId="12A7A8E8" w14:textId="77777777" w:rsidR="00433ACE" w:rsidRPr="00433ACE" w:rsidRDefault="00433ACE" w:rsidP="00433ACE"/>
    <w:p w14:paraId="45077AE3" w14:textId="77777777" w:rsidR="00C058BB" w:rsidRPr="001051F8" w:rsidRDefault="00C058BB" w:rsidP="00433ACE">
      <w:pPr>
        <w:pStyle w:val="Heading2"/>
      </w:pPr>
      <w:bookmarkStart w:id="41" w:name="_Toc452111277"/>
      <w:bookmarkStart w:id="42" w:name="_Toc453058829"/>
      <w:r w:rsidRPr="001051F8">
        <w:t>Age</w:t>
      </w:r>
      <w:bookmarkEnd w:id="41"/>
      <w:bookmarkEnd w:id="42"/>
    </w:p>
    <w:p w14:paraId="4B022F8E" w14:textId="78C60602" w:rsidR="00C058BB" w:rsidRPr="001051F8" w:rsidRDefault="00C058BB" w:rsidP="00433ACE">
      <w:r>
        <w:t xml:space="preserve">One in five patients at ED in 2014/15 were children (&lt;15 years). </w:t>
      </w:r>
      <w:r w:rsidR="005D4409">
        <w:t>The under 5 years age group had the largest number people attending ED at least once during the year</w:t>
      </w:r>
      <w:r w:rsidR="009D71B8">
        <w:t xml:space="preserve">, </w:t>
      </w:r>
      <w:r w:rsidRPr="001051F8">
        <w:t xml:space="preserve">accounting for 11.2% of all ED patients. Among the </w:t>
      </w:r>
      <w:r>
        <w:t xml:space="preserve">adults, </w:t>
      </w:r>
      <w:r w:rsidRPr="001051F8">
        <w:t xml:space="preserve">the 20–24 years age group (8.2%) </w:t>
      </w:r>
      <w:r>
        <w:t>was</w:t>
      </w:r>
      <w:r w:rsidRPr="001051F8">
        <w:t xml:space="preserve"> most common and the </w:t>
      </w:r>
      <w:r>
        <w:t xml:space="preserve">80–84 years age group (3.5%) was </w:t>
      </w:r>
      <w:r w:rsidRPr="001051F8">
        <w:t>least common (Figure</w:t>
      </w:r>
      <w:r w:rsidR="00433ACE">
        <w:t> </w:t>
      </w:r>
      <w:r>
        <w:rPr>
          <w:noProof/>
        </w:rPr>
        <w:t>5</w:t>
      </w:r>
      <w:r w:rsidRPr="001051F8">
        <w:t>).</w:t>
      </w:r>
    </w:p>
    <w:p w14:paraId="2DE7334D" w14:textId="77777777" w:rsidR="00C058BB" w:rsidRDefault="00C058BB" w:rsidP="00433ACE"/>
    <w:p w14:paraId="19A7ED36" w14:textId="77777777" w:rsidR="00C058BB" w:rsidRPr="001051F8" w:rsidRDefault="00C058BB" w:rsidP="00433ACE">
      <w:pPr>
        <w:pStyle w:val="Figure"/>
      </w:pPr>
      <w:bookmarkStart w:id="43" w:name="_Ref442867417"/>
      <w:bookmarkStart w:id="44" w:name="_Toc452111228"/>
      <w:bookmarkStart w:id="45" w:name="_Toc453058859"/>
      <w:r w:rsidRPr="001051F8">
        <w:t xml:space="preserve">Figure </w:t>
      </w:r>
      <w:r w:rsidR="004B4E7B">
        <w:fldChar w:fldCharType="begin"/>
      </w:r>
      <w:r w:rsidR="004B4E7B">
        <w:instrText xml:space="preserve"> S</w:instrText>
      </w:r>
      <w:r w:rsidR="004B4E7B">
        <w:instrText xml:space="preserve">EQ Figure \* ARABIC </w:instrText>
      </w:r>
      <w:r w:rsidR="004B4E7B">
        <w:fldChar w:fldCharType="separate"/>
      </w:r>
      <w:r w:rsidR="00CD2E1C">
        <w:rPr>
          <w:noProof/>
        </w:rPr>
        <w:t>5</w:t>
      </w:r>
      <w:r w:rsidR="004B4E7B">
        <w:rPr>
          <w:noProof/>
        </w:rPr>
        <w:fldChar w:fldCharType="end"/>
      </w:r>
      <w:bookmarkEnd w:id="43"/>
      <w:r w:rsidRPr="001051F8">
        <w:t>: Distribution of people who were patients at an emergency department at least once during the year</w:t>
      </w:r>
      <w:r>
        <w:t>,</w:t>
      </w:r>
      <w:r w:rsidRPr="001051F8">
        <w:t xml:space="preserve"> by age group (years), 2014/15</w:t>
      </w:r>
      <w:bookmarkEnd w:id="44"/>
      <w:bookmarkEnd w:id="45"/>
    </w:p>
    <w:p w14:paraId="5A43FB18" w14:textId="0F913C33" w:rsidR="00C058BB" w:rsidRPr="001051F8" w:rsidRDefault="004B4E7B" w:rsidP="004B6FDA">
      <w:r>
        <w:rPr>
          <w:noProof/>
          <w:lang w:eastAsia="en-NZ"/>
        </w:rPr>
        <w:pict w14:anchorId="7160B91E">
          <v:shape id="_x0000_i1028" type="#_x0000_t75" alt="Figure 5: Distribution of people who were patients at an emergency department at least once during the year, by age group (years), 2014/15" style="width:339.75pt;height:311.25pt">
            <v:imagedata r:id="rId24" o:title=""/>
          </v:shape>
        </w:pict>
      </w:r>
    </w:p>
    <w:p w14:paraId="7D04B6AF" w14:textId="77777777" w:rsidR="00714982" w:rsidRDefault="00C058BB" w:rsidP="00433ACE">
      <w:pPr>
        <w:pStyle w:val="Note"/>
      </w:pPr>
      <w:r w:rsidRPr="001051F8">
        <w:t>Note: The number on each bar is the number of patients.</w:t>
      </w:r>
    </w:p>
    <w:p w14:paraId="37FF9E52" w14:textId="77777777" w:rsidR="00C058BB" w:rsidRPr="00A50AB6" w:rsidRDefault="00C058BB" w:rsidP="0084066D">
      <w:pPr>
        <w:keepNext/>
      </w:pPr>
      <w:r w:rsidRPr="00A50AB6">
        <w:lastRenderedPageBreak/>
        <w:t xml:space="preserve">Almost one in every six children and one in every seven adults in the population were patients at an ED at least once during 2014/15 (16.9 per 100 population for children and 14.6 per 100 population for adults). Since 2010/11, the rate of ED use has increased by 6% for children and by 3% for adults (Figure </w:t>
      </w:r>
      <w:r>
        <w:rPr>
          <w:noProof/>
        </w:rPr>
        <w:t>6</w:t>
      </w:r>
      <w:r w:rsidRPr="00A50AB6">
        <w:t>).</w:t>
      </w:r>
    </w:p>
    <w:p w14:paraId="64697492" w14:textId="77777777" w:rsidR="00C058BB" w:rsidRPr="008F2D78" w:rsidRDefault="00C058BB" w:rsidP="00665E8C">
      <w:pPr>
        <w:keepNext/>
        <w:rPr>
          <w:highlight w:val="yellow"/>
        </w:rPr>
      </w:pPr>
    </w:p>
    <w:p w14:paraId="3CA9FB80" w14:textId="77777777" w:rsidR="00C058BB" w:rsidRPr="00A50AB6" w:rsidRDefault="00C058BB" w:rsidP="00433ACE">
      <w:pPr>
        <w:pStyle w:val="Figure"/>
      </w:pPr>
      <w:bookmarkStart w:id="46" w:name="_Ref444011325"/>
      <w:bookmarkStart w:id="47" w:name="_Toc452111229"/>
      <w:bookmarkStart w:id="48" w:name="_Toc453058860"/>
      <w:r w:rsidRPr="00A50AB6">
        <w:t xml:space="preserve">Figure </w:t>
      </w:r>
      <w:r w:rsidR="004B4E7B">
        <w:fldChar w:fldCharType="begin"/>
      </w:r>
      <w:r w:rsidR="004B4E7B">
        <w:instrText xml:space="preserve"> SEQ Figure \* ARABIC </w:instrText>
      </w:r>
      <w:r w:rsidR="004B4E7B">
        <w:fldChar w:fldCharType="separate"/>
      </w:r>
      <w:r w:rsidR="00CD2E1C">
        <w:rPr>
          <w:noProof/>
        </w:rPr>
        <w:t>6</w:t>
      </w:r>
      <w:r w:rsidR="004B4E7B">
        <w:rPr>
          <w:noProof/>
        </w:rPr>
        <w:fldChar w:fldCharType="end"/>
      </w:r>
      <w:bookmarkEnd w:id="46"/>
      <w:r w:rsidRPr="00A50AB6">
        <w:t>: Rate of children and adults who were patients at an emergency department at least once during the year, 2010/11–2014/15</w:t>
      </w:r>
      <w:bookmarkEnd w:id="47"/>
      <w:bookmarkEnd w:id="48"/>
    </w:p>
    <w:p w14:paraId="60223E02" w14:textId="5DC5B074" w:rsidR="00C058BB" w:rsidRPr="00A50AB6" w:rsidRDefault="004B4E7B" w:rsidP="00665E8C">
      <w:r>
        <w:rPr>
          <w:noProof/>
          <w:lang w:eastAsia="en-NZ"/>
        </w:rPr>
        <w:pict w14:anchorId="13C255DA">
          <v:shape id="_x0000_i1029" type="#_x0000_t75" alt="Figure 6: Rate of children and adults who were patients at an emergency department at least once during the year, 2010/11–2014/15" style="width:339.75pt;height:198pt">
            <v:imagedata r:id="rId25" o:title=""/>
          </v:shape>
        </w:pict>
      </w:r>
    </w:p>
    <w:p w14:paraId="1CB1AAC5" w14:textId="77777777" w:rsidR="00C058BB" w:rsidRPr="00A50AB6" w:rsidRDefault="00C058BB" w:rsidP="00433ACE">
      <w:pPr>
        <w:pStyle w:val="Note"/>
      </w:pPr>
      <w:r w:rsidRPr="00A50AB6">
        <w:t>Note: Rates presented are specific to the age group and not standardised.</w:t>
      </w:r>
    </w:p>
    <w:p w14:paraId="66F10B73" w14:textId="77777777" w:rsidR="00C058BB" w:rsidRDefault="00C058BB" w:rsidP="00433ACE">
      <w:pPr>
        <w:rPr>
          <w:highlight w:val="yellow"/>
        </w:rPr>
      </w:pPr>
    </w:p>
    <w:p w14:paraId="48512A58" w14:textId="65D53710" w:rsidR="00714982" w:rsidRDefault="00C058BB" w:rsidP="00433ACE">
      <w:r>
        <w:t xml:space="preserve">Rates of ED use varied more broadly when comparing between five-year age groups, with notably higher rates among the elderly and the very young. </w:t>
      </w:r>
      <w:r w:rsidRPr="00484024">
        <w:t>Over a third of people aged 85</w:t>
      </w:r>
      <w:r w:rsidR="000A1DDD">
        <w:t> </w:t>
      </w:r>
      <w:r w:rsidRPr="00484024">
        <w:t>years and over were patients at an ED at least once during 2014/15</w:t>
      </w:r>
      <w:r w:rsidR="009A40F4">
        <w:t>:</w:t>
      </w:r>
      <w:r w:rsidRPr="00484024">
        <w:t xml:space="preserve"> an age-specific rate of 37.2 per 100 population. People aged 80–84 years and children aged under 5 years also had higher rates of ED, at 28.9 and 25.5 per 100 population, respectively. The lowest rates were among people in their 40s and 50s (between 11.4 and 11.9 per 100 population) (</w:t>
      </w:r>
      <w:r w:rsidRPr="00E72079">
        <w:t xml:space="preserve">Figure </w:t>
      </w:r>
      <w:r>
        <w:rPr>
          <w:noProof/>
        </w:rPr>
        <w:t>7</w:t>
      </w:r>
      <w:r w:rsidRPr="00484024">
        <w:t>).</w:t>
      </w:r>
    </w:p>
    <w:p w14:paraId="6CD25D90" w14:textId="77777777" w:rsidR="00C058BB" w:rsidRDefault="00C058BB" w:rsidP="00433ACE"/>
    <w:p w14:paraId="5D5C5738" w14:textId="54DAA836" w:rsidR="00C058BB" w:rsidRPr="008F2D78" w:rsidRDefault="00C058BB" w:rsidP="00433ACE">
      <w:pPr>
        <w:rPr>
          <w:highlight w:val="yellow"/>
        </w:rPr>
      </w:pPr>
      <w:r>
        <w:t xml:space="preserve">Compared with 2010/11, most of the age groups (presented in </w:t>
      </w:r>
      <w:r w:rsidRPr="00E72079">
        <w:t xml:space="preserve">Figure </w:t>
      </w:r>
      <w:r>
        <w:rPr>
          <w:noProof/>
        </w:rPr>
        <w:t>7</w:t>
      </w:r>
      <w:r>
        <w:t xml:space="preserve">) had an increase in the rate of ED use. The largest increases were among children aged under 5 years (from 23.4 to 25.5 per 100 population) and adults aged 50–54 years (from 10.8 to 11.6 per 100 population). Rates of ED use showed a decreasing trend among teens aged 15–19 years (from </w:t>
      </w:r>
      <w:r w:rsidR="002A6EC9">
        <w:t>16.1 to 15.4</w:t>
      </w:r>
      <w:r>
        <w:t xml:space="preserve"> per 100 population) and elderly aged 75–79 years (from 22.9 to 21.6 per 100 population).</w:t>
      </w:r>
    </w:p>
    <w:p w14:paraId="4CFF69AB" w14:textId="77777777" w:rsidR="006F4D5D" w:rsidRDefault="006F4D5D" w:rsidP="006F4D5D">
      <w:pPr>
        <w:rPr>
          <w:highlight w:val="yellow"/>
        </w:rPr>
      </w:pPr>
    </w:p>
    <w:p w14:paraId="7EC88E91" w14:textId="77777777" w:rsidR="00C058BB" w:rsidRPr="00E72079" w:rsidRDefault="00C058BB" w:rsidP="00433ACE">
      <w:pPr>
        <w:pStyle w:val="Figure"/>
      </w:pPr>
      <w:bookmarkStart w:id="49" w:name="_Ref447803918"/>
      <w:bookmarkStart w:id="50" w:name="_Toc452111230"/>
      <w:bookmarkStart w:id="51" w:name="_Toc453058861"/>
      <w:r w:rsidRPr="00E72079">
        <w:lastRenderedPageBreak/>
        <w:t xml:space="preserve">Figure </w:t>
      </w:r>
      <w:r w:rsidR="004B4E7B">
        <w:fldChar w:fldCharType="begin"/>
      </w:r>
      <w:r w:rsidR="004B4E7B">
        <w:instrText xml:space="preserve"> SEQ Figure \* ARABIC </w:instrText>
      </w:r>
      <w:r w:rsidR="004B4E7B">
        <w:fldChar w:fldCharType="separate"/>
      </w:r>
      <w:r w:rsidR="00CD2E1C">
        <w:rPr>
          <w:noProof/>
        </w:rPr>
        <w:t>7</w:t>
      </w:r>
      <w:r w:rsidR="004B4E7B">
        <w:rPr>
          <w:noProof/>
        </w:rPr>
        <w:fldChar w:fldCharType="end"/>
      </w:r>
      <w:bookmarkEnd w:id="49"/>
      <w:r w:rsidRPr="00E72079">
        <w:t>: Rate of people who were patients at an emergency department at least once during the year</w:t>
      </w:r>
      <w:r>
        <w:t>,</w:t>
      </w:r>
      <w:r w:rsidRPr="00E72079">
        <w:t xml:space="preserve"> by age group (years), 2010/11 and 2014/15</w:t>
      </w:r>
      <w:bookmarkEnd w:id="50"/>
      <w:bookmarkEnd w:id="51"/>
    </w:p>
    <w:p w14:paraId="6F124809" w14:textId="0D8BD771" w:rsidR="00C058BB" w:rsidRPr="00E72079" w:rsidRDefault="004B4E7B" w:rsidP="000A6051">
      <w:r>
        <w:rPr>
          <w:noProof/>
          <w:lang w:eastAsia="en-NZ"/>
        </w:rPr>
        <w:pict w14:anchorId="283594CC">
          <v:shape id="_x0000_i1030" type="#_x0000_t75" alt="Figure 7: Rate of people who were patients at an emergency department at least once during the year, by age group (years), 2010/11 and 2014/15" style="width:339.75pt;height:311.25pt">
            <v:imagedata r:id="rId26" o:title=""/>
          </v:shape>
        </w:pict>
      </w:r>
    </w:p>
    <w:p w14:paraId="2B6268BF" w14:textId="77777777" w:rsidR="00C058BB" w:rsidRDefault="00C058BB" w:rsidP="00433ACE">
      <w:pPr>
        <w:pStyle w:val="Note"/>
      </w:pPr>
      <w:r w:rsidRPr="00E72079">
        <w:t>Note: Rates presented are specific to the age group and not standardised.</w:t>
      </w:r>
    </w:p>
    <w:p w14:paraId="668F26C6" w14:textId="77777777" w:rsidR="006F4D5D" w:rsidRDefault="006F4D5D" w:rsidP="006F4D5D"/>
    <w:p w14:paraId="029AAD72" w14:textId="1EC64733" w:rsidR="00333955" w:rsidRDefault="00333955" w:rsidP="00333955">
      <w:r w:rsidRPr="0074050B">
        <w:t>One in every four children residing in the Lakes, Taranaki, Wairarapa and West Coast DHB regions were patients at an ED at least once during 2014/15 (age-specific rate of approximately 25 per 100 population). From 2010/11 to 2014/15, nine DHB regions showed a</w:t>
      </w:r>
      <w:r w:rsidR="002A6EC9">
        <w:t xml:space="preserve"> significant </w:t>
      </w:r>
      <w:r w:rsidRPr="0074050B">
        <w:t xml:space="preserve">increase in the rate of ED use among children. The largest increases were by 22.2% and by 21.2%, respectively, among children in the Capital &amp; Coast (from 10.6 to 12.9 per 100 population) and Auckland (from 14.8 to 17.9 per 100 population) DHB regions. Rates of ED use </w:t>
      </w:r>
      <w:r w:rsidR="00E064D0">
        <w:t xml:space="preserve">among children </w:t>
      </w:r>
      <w:r w:rsidRPr="0074050B">
        <w:t>decreased by 10–13% in in the following DHB regions: Whanganui, Wairarapa and Canterbury (</w:t>
      </w:r>
      <w:r w:rsidRPr="00703585">
        <w:t xml:space="preserve">Figure </w:t>
      </w:r>
      <w:r>
        <w:rPr>
          <w:noProof/>
        </w:rPr>
        <w:t>8</w:t>
      </w:r>
      <w:r w:rsidRPr="0074050B">
        <w:t>).</w:t>
      </w:r>
    </w:p>
    <w:p w14:paraId="02FC9D2C" w14:textId="77777777" w:rsidR="00333955" w:rsidRPr="008F2D78" w:rsidRDefault="00333955" w:rsidP="00333955">
      <w:pPr>
        <w:rPr>
          <w:highlight w:val="yellow"/>
        </w:rPr>
      </w:pPr>
    </w:p>
    <w:p w14:paraId="4B7D04C7" w14:textId="7E7AA0B5" w:rsidR="00333955" w:rsidRDefault="00333955" w:rsidP="00333955">
      <w:r w:rsidRPr="009F29D0">
        <w:t>Rates of ED use were lower for adults than for children in 17 of the 20 DHB regions in 2014/15 (all but MidCentral, Whanganui and Canterbury DHB regions). Nine DHB regions showed a</w:t>
      </w:r>
      <w:r w:rsidR="002A6EC9">
        <w:t xml:space="preserve"> significant</w:t>
      </w:r>
      <w:r w:rsidRPr="009F29D0">
        <w:t xml:space="preserve"> increase </w:t>
      </w:r>
      <w:r w:rsidRPr="00C52480">
        <w:t xml:space="preserve">in the rate of ED use among adults from 2010/11 to 2014/15. The largest increase was by 15.6%, among adults in the Bay of Plenty DHB region (from 16.1 to 18.6 per 100 population). In contrast, rates of ED use decreased by 11.0% and 13.4%, respectively, among adults in the Wairarapa and Nelson Marlborough DHB regions (Figure </w:t>
      </w:r>
      <w:r w:rsidRPr="00C52480">
        <w:rPr>
          <w:noProof/>
        </w:rPr>
        <w:t>9</w:t>
      </w:r>
      <w:r w:rsidRPr="00C52480">
        <w:t>).</w:t>
      </w:r>
    </w:p>
    <w:p w14:paraId="07A9D3B8" w14:textId="77777777" w:rsidR="00333955" w:rsidRPr="006F4D5D" w:rsidRDefault="00333955" w:rsidP="006F4D5D"/>
    <w:p w14:paraId="2F6DF6E4" w14:textId="77777777" w:rsidR="00C058BB" w:rsidRPr="00703585" w:rsidRDefault="00C058BB" w:rsidP="00433ACE">
      <w:pPr>
        <w:pStyle w:val="Figure"/>
      </w:pPr>
      <w:bookmarkStart w:id="52" w:name="_Ref444089003"/>
      <w:bookmarkStart w:id="53" w:name="_Toc452111231"/>
      <w:bookmarkStart w:id="54" w:name="_Toc453058862"/>
      <w:r w:rsidRPr="00703585">
        <w:lastRenderedPageBreak/>
        <w:t xml:space="preserve">Figure </w:t>
      </w:r>
      <w:r w:rsidR="004B4E7B">
        <w:fldChar w:fldCharType="begin"/>
      </w:r>
      <w:r w:rsidR="004B4E7B">
        <w:instrText xml:space="preserve"> SEQ Figure \* ARABIC </w:instrText>
      </w:r>
      <w:r w:rsidR="004B4E7B">
        <w:fldChar w:fldCharType="separate"/>
      </w:r>
      <w:r w:rsidR="00CD2E1C">
        <w:rPr>
          <w:noProof/>
        </w:rPr>
        <w:t>8</w:t>
      </w:r>
      <w:r w:rsidR="004B4E7B">
        <w:rPr>
          <w:noProof/>
        </w:rPr>
        <w:fldChar w:fldCharType="end"/>
      </w:r>
      <w:bookmarkEnd w:id="52"/>
      <w:r w:rsidRPr="00703585">
        <w:t>: Rate of children who were patients at an emergency department at least once during the year</w:t>
      </w:r>
      <w:r>
        <w:t>,</w:t>
      </w:r>
      <w:r w:rsidRPr="00703585">
        <w:t xml:space="preserve"> by DHB of residence, 2010/11 and 2014/15</w:t>
      </w:r>
      <w:bookmarkEnd w:id="53"/>
      <w:bookmarkEnd w:id="54"/>
    </w:p>
    <w:p w14:paraId="28A54B11" w14:textId="77777777" w:rsidR="00C058BB" w:rsidRPr="00703585" w:rsidRDefault="00EE6751" w:rsidP="00C058BB">
      <w:r>
        <w:rPr>
          <w:noProof/>
          <w:lang w:eastAsia="en-NZ"/>
        </w:rPr>
        <w:drawing>
          <wp:inline distT="0" distB="0" distL="0" distR="0" wp14:anchorId="53ABE3D6" wp14:editId="03F400C7">
            <wp:extent cx="5760000" cy="3831386"/>
            <wp:effectExtent l="0" t="0" r="0" b="0"/>
            <wp:docPr id="10" name="Picture 5" descr="Figure 8: Rate of children who were patients at an emergency department at least once during the year, by DHB of residence, 2010/11 an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8: Rate of children who were patients at an emergency department at least once during the year, by DHB of residence, 2010/11 and 2014/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3831386"/>
                    </a:xfrm>
                    <a:prstGeom prst="rect">
                      <a:avLst/>
                    </a:prstGeom>
                    <a:noFill/>
                    <a:ln>
                      <a:noFill/>
                    </a:ln>
                  </pic:spPr>
                </pic:pic>
              </a:graphicData>
            </a:graphic>
          </wp:inline>
        </w:drawing>
      </w:r>
    </w:p>
    <w:p w14:paraId="683D9487" w14:textId="77777777" w:rsidR="00C058BB" w:rsidRPr="00703585" w:rsidRDefault="00C058BB" w:rsidP="0055335A">
      <w:pPr>
        <w:pStyle w:val="Note"/>
        <w:ind w:right="482"/>
      </w:pPr>
      <w:r w:rsidRPr="00703585">
        <w:t>Note: Rates presented are specific to children aged under 15 years and are not standardised.</w:t>
      </w:r>
    </w:p>
    <w:p w14:paraId="1D77F894" w14:textId="77777777" w:rsidR="00C058BB" w:rsidRPr="00703585" w:rsidRDefault="00C058BB" w:rsidP="00433ACE"/>
    <w:p w14:paraId="1E881112" w14:textId="77777777" w:rsidR="00C058BB" w:rsidRPr="00703585" w:rsidRDefault="00C058BB" w:rsidP="00433ACE">
      <w:pPr>
        <w:pStyle w:val="Figure"/>
      </w:pPr>
      <w:bookmarkStart w:id="55" w:name="_Ref444089330"/>
      <w:bookmarkStart w:id="56" w:name="_Toc452111232"/>
      <w:bookmarkStart w:id="57" w:name="_Toc453058863"/>
      <w:r w:rsidRPr="00703585">
        <w:t xml:space="preserve">Figure </w:t>
      </w:r>
      <w:r w:rsidR="004B4E7B">
        <w:fldChar w:fldCharType="begin"/>
      </w:r>
      <w:r w:rsidR="004B4E7B">
        <w:instrText xml:space="preserve"> SEQ Figure \* ARABIC </w:instrText>
      </w:r>
      <w:r w:rsidR="004B4E7B">
        <w:fldChar w:fldCharType="separate"/>
      </w:r>
      <w:r w:rsidR="00CD2E1C">
        <w:rPr>
          <w:noProof/>
        </w:rPr>
        <w:t>9</w:t>
      </w:r>
      <w:r w:rsidR="004B4E7B">
        <w:rPr>
          <w:noProof/>
        </w:rPr>
        <w:fldChar w:fldCharType="end"/>
      </w:r>
      <w:bookmarkEnd w:id="55"/>
      <w:r w:rsidRPr="00703585">
        <w:t>: Rate of adults who were patients at an emergency department at least once during the year</w:t>
      </w:r>
      <w:r>
        <w:t>,</w:t>
      </w:r>
      <w:r w:rsidRPr="00703585">
        <w:t xml:space="preserve"> by DHB of residence, 2010/11 and 2014/15</w:t>
      </w:r>
      <w:bookmarkEnd w:id="56"/>
      <w:bookmarkEnd w:id="57"/>
    </w:p>
    <w:p w14:paraId="6503A811" w14:textId="77777777" w:rsidR="00C058BB" w:rsidRPr="00703585" w:rsidRDefault="00EE6751" w:rsidP="00C058BB">
      <w:r>
        <w:rPr>
          <w:noProof/>
          <w:lang w:eastAsia="en-NZ"/>
        </w:rPr>
        <w:drawing>
          <wp:inline distT="0" distB="0" distL="0" distR="0" wp14:anchorId="1D2D256C" wp14:editId="3E6C0EDD">
            <wp:extent cx="5760000" cy="3831386"/>
            <wp:effectExtent l="0" t="0" r="0" b="0"/>
            <wp:docPr id="11" name="Picture 6" descr="Figure 9: Rate of adults who were patients at an emergency department at least once during the year, by DHB of residence, 2010/11 an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9: Rate of adults who were patients at an emergency department at least once during the year, by DHB of residence, 2010/11 and 2014/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3831386"/>
                    </a:xfrm>
                    <a:prstGeom prst="rect">
                      <a:avLst/>
                    </a:prstGeom>
                    <a:noFill/>
                    <a:ln>
                      <a:noFill/>
                    </a:ln>
                  </pic:spPr>
                </pic:pic>
              </a:graphicData>
            </a:graphic>
          </wp:inline>
        </w:drawing>
      </w:r>
    </w:p>
    <w:p w14:paraId="58538DC9" w14:textId="77777777" w:rsidR="00C058BB" w:rsidRPr="00703585" w:rsidRDefault="00C058BB" w:rsidP="0055335A">
      <w:pPr>
        <w:pStyle w:val="Note"/>
        <w:ind w:right="482"/>
      </w:pPr>
      <w:r w:rsidRPr="00703585">
        <w:t>Note: Rates presented are specific to adults aged 15 years and over and are not standardised.</w:t>
      </w:r>
    </w:p>
    <w:p w14:paraId="1CCF77A9" w14:textId="77777777" w:rsidR="006F4D5D" w:rsidRDefault="006F4D5D" w:rsidP="00433ACE"/>
    <w:p w14:paraId="152A43A9" w14:textId="77777777" w:rsidR="00C058BB" w:rsidRPr="0074050B" w:rsidRDefault="00C058BB" w:rsidP="00433ACE">
      <w:r>
        <w:lastRenderedPageBreak/>
        <w:t>An</w:t>
      </w:r>
      <w:r w:rsidRPr="0074050B">
        <w:t xml:space="preserve"> increase in the rate of ED use for children was seen in</w:t>
      </w:r>
      <w:r>
        <w:t xml:space="preserve"> both male and female children: </w:t>
      </w:r>
      <w:r w:rsidRPr="0074050B">
        <w:t xml:space="preserve">the rate increased by 6.8% for female children (from 14.5 to 15.5 per 100 population) and by 4.6% for male children (from 17.4 to 18.2 per 100 population). </w:t>
      </w:r>
      <w:r>
        <w:t>The overall increase in the rate of ED use among adults (</w:t>
      </w:r>
      <w:r w:rsidRPr="00A50AB6">
        <w:t xml:space="preserve">Figure </w:t>
      </w:r>
      <w:r>
        <w:rPr>
          <w:noProof/>
        </w:rPr>
        <w:t>6</w:t>
      </w:r>
      <w:r>
        <w:t xml:space="preserve">) was </w:t>
      </w:r>
      <w:r w:rsidRPr="0074050B">
        <w:t>primarily driven by a 5.1% increase in the rate for female adults (from 13.8 to 14.5 per 100 population), while the male adult rate remained stable at about 14.8 per 100 population (</w:t>
      </w:r>
      <w:r w:rsidRPr="00FE40FF">
        <w:t xml:space="preserve">Figure </w:t>
      </w:r>
      <w:r>
        <w:rPr>
          <w:noProof/>
        </w:rPr>
        <w:t>10</w:t>
      </w:r>
      <w:r w:rsidRPr="0074050B">
        <w:t>).</w:t>
      </w:r>
    </w:p>
    <w:p w14:paraId="117257A8" w14:textId="77777777" w:rsidR="00C058BB" w:rsidRPr="008F2D78" w:rsidRDefault="00C058BB" w:rsidP="00433ACE">
      <w:pPr>
        <w:rPr>
          <w:highlight w:val="yellow"/>
        </w:rPr>
      </w:pPr>
    </w:p>
    <w:p w14:paraId="6A99706A" w14:textId="77777777" w:rsidR="00C058BB" w:rsidRPr="00EC505E" w:rsidRDefault="00C058BB" w:rsidP="00433ACE">
      <w:r w:rsidRPr="00EC505E">
        <w:t>The rate of ED use among children was consistently higher than the rate for adults from 2010/11 to 2014/15. This disparity is larger among males, as the rate for male children was 1.2 times the rate for male adults, while the rate for female children was 1.1 times the rate for female adults (</w:t>
      </w:r>
      <w:r w:rsidRPr="00FE40FF">
        <w:t xml:space="preserve">Figure </w:t>
      </w:r>
      <w:r>
        <w:rPr>
          <w:noProof/>
        </w:rPr>
        <w:t>10</w:t>
      </w:r>
      <w:r w:rsidRPr="00EC505E">
        <w:t>).</w:t>
      </w:r>
    </w:p>
    <w:p w14:paraId="1B7A8F0B" w14:textId="77777777" w:rsidR="00C058BB" w:rsidRPr="00EC505E" w:rsidRDefault="00C058BB" w:rsidP="00433ACE"/>
    <w:p w14:paraId="47CE4820" w14:textId="77777777" w:rsidR="00C058BB" w:rsidRDefault="00C058BB" w:rsidP="00433ACE">
      <w:pPr>
        <w:pStyle w:val="Figure"/>
      </w:pPr>
      <w:bookmarkStart w:id="58" w:name="_Ref444005611"/>
      <w:bookmarkStart w:id="59" w:name="_Toc452111233"/>
      <w:bookmarkStart w:id="60" w:name="_Toc453058864"/>
      <w:r w:rsidRPr="00FE40FF">
        <w:t xml:space="preserve">Figure </w:t>
      </w:r>
      <w:r w:rsidR="004B4E7B">
        <w:fldChar w:fldCharType="begin"/>
      </w:r>
      <w:r w:rsidR="004B4E7B">
        <w:instrText xml:space="preserve"> SEQ Fi</w:instrText>
      </w:r>
      <w:r w:rsidR="004B4E7B">
        <w:instrText xml:space="preserve">gure \* ARABIC </w:instrText>
      </w:r>
      <w:r w:rsidR="004B4E7B">
        <w:fldChar w:fldCharType="separate"/>
      </w:r>
      <w:r w:rsidR="00CD2E1C">
        <w:rPr>
          <w:noProof/>
        </w:rPr>
        <w:t>10</w:t>
      </w:r>
      <w:r w:rsidR="004B4E7B">
        <w:rPr>
          <w:noProof/>
        </w:rPr>
        <w:fldChar w:fldCharType="end"/>
      </w:r>
      <w:bookmarkEnd w:id="58"/>
      <w:r w:rsidRPr="00FE40FF">
        <w:t>: Rate of children and adults who were patients at an emergency department at least once during the year</w:t>
      </w:r>
      <w:r>
        <w:t>,</w:t>
      </w:r>
      <w:r w:rsidRPr="00FE40FF">
        <w:t xml:space="preserve"> by gender, 2010/11 and 2014/15</w:t>
      </w:r>
      <w:bookmarkEnd w:id="59"/>
      <w:bookmarkEnd w:id="60"/>
    </w:p>
    <w:p w14:paraId="4ED5F79B" w14:textId="5C716D81" w:rsidR="00AD1AC7" w:rsidRPr="00AD1AC7" w:rsidRDefault="00AD1AC7" w:rsidP="00AD1AC7">
      <w:r w:rsidRPr="00AD1AC7">
        <w:rPr>
          <w:noProof/>
          <w:lang w:eastAsia="en-NZ"/>
        </w:rPr>
        <w:drawing>
          <wp:inline distT="0" distB="0" distL="0" distR="0" wp14:anchorId="4BC2FFD5" wp14:editId="1DF9B533">
            <wp:extent cx="5580000" cy="1986746"/>
            <wp:effectExtent l="0" t="0" r="1905" b="0"/>
            <wp:docPr id="9" name="Picture 9" title="Figure 10: Rate of children and adults who were patients at an emergency department at least once during the year, by gender, 2010/11 an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0000" cy="1986746"/>
                    </a:xfrm>
                    <a:prstGeom prst="rect">
                      <a:avLst/>
                    </a:prstGeom>
                    <a:noFill/>
                    <a:ln>
                      <a:noFill/>
                    </a:ln>
                  </pic:spPr>
                </pic:pic>
              </a:graphicData>
            </a:graphic>
          </wp:inline>
        </w:drawing>
      </w:r>
    </w:p>
    <w:p w14:paraId="63B4A13B" w14:textId="77777777" w:rsidR="00C058BB" w:rsidRDefault="00C058BB" w:rsidP="00433ACE">
      <w:pPr>
        <w:pStyle w:val="Note"/>
        <w:ind w:right="0"/>
      </w:pPr>
      <w:r w:rsidRPr="00FE40FF">
        <w:t>Note: Rates presented are specific to the age group and not standardised.</w:t>
      </w:r>
    </w:p>
    <w:p w14:paraId="239A3432" w14:textId="77777777" w:rsidR="00433ACE" w:rsidRPr="00433ACE" w:rsidRDefault="00433ACE" w:rsidP="00433ACE"/>
    <w:p w14:paraId="6DD11AE2" w14:textId="77777777" w:rsidR="00C058BB" w:rsidRPr="00AE4FD0" w:rsidRDefault="00C058BB" w:rsidP="00433ACE">
      <w:pPr>
        <w:pStyle w:val="Heading2"/>
      </w:pPr>
      <w:bookmarkStart w:id="61" w:name="_Toc452111278"/>
      <w:bookmarkStart w:id="62" w:name="_Toc453058830"/>
      <w:r w:rsidRPr="00AE4FD0">
        <w:t>Ethnicity</w:t>
      </w:r>
      <w:bookmarkEnd w:id="61"/>
      <w:bookmarkEnd w:id="62"/>
    </w:p>
    <w:p w14:paraId="0A013D33" w14:textId="41681802" w:rsidR="00433ACE" w:rsidRPr="008F2D78" w:rsidRDefault="00433ACE" w:rsidP="00433ACE">
      <w:pPr>
        <w:pStyle w:val="Box"/>
        <w:rPr>
          <w:highlight w:val="yellow"/>
        </w:rPr>
      </w:pPr>
      <w:r w:rsidRPr="006A5D92">
        <w:t xml:space="preserve">The ethnicity of each patient is self-reported; a person may identify with more than one ethnic group. Therefore, numbers and rates are presented by </w:t>
      </w:r>
      <w:r w:rsidRPr="006A5D92">
        <w:rPr>
          <w:i/>
        </w:rPr>
        <w:t>prioritised ethnicity</w:t>
      </w:r>
      <w:r w:rsidRPr="006A5D92">
        <w:t>, whereby each person represented in the data is allocated to a single ethnic group. These groups are (in order of prioritisation): Māori, Pacific, Asian</w:t>
      </w:r>
      <w:r w:rsidR="002D69D1">
        <w:t>,</w:t>
      </w:r>
      <w:r w:rsidRPr="006A5D92">
        <w:t xml:space="preserve"> and European or Other. See the </w:t>
      </w:r>
      <w:r>
        <w:t>‘</w:t>
      </w:r>
      <w:r w:rsidRPr="006A5D92">
        <w:t>Ethnicity</w:t>
      </w:r>
      <w:r>
        <w:t>’</w:t>
      </w:r>
      <w:r w:rsidRPr="006A5D92">
        <w:t xml:space="preserve"> section in Additio</w:t>
      </w:r>
      <w:r>
        <w:t>nal notes for more information.</w:t>
      </w:r>
    </w:p>
    <w:p w14:paraId="6C9592FC" w14:textId="77777777" w:rsidR="00C058BB" w:rsidRPr="008F2D78" w:rsidRDefault="00C058BB" w:rsidP="00433ACE">
      <w:pPr>
        <w:rPr>
          <w:highlight w:val="yellow"/>
        </w:rPr>
      </w:pPr>
    </w:p>
    <w:p w14:paraId="4134B5FF" w14:textId="45F6F8D9" w:rsidR="00714982" w:rsidRDefault="00C058BB" w:rsidP="00433ACE">
      <w:r w:rsidRPr="006A5D92">
        <w:t>One in every five people who were patients at an ED at least once in 2014/15 were Māori (</w:t>
      </w:r>
      <w:r w:rsidR="00AD1AC7">
        <w:t>128,312</w:t>
      </w:r>
      <w:r w:rsidRPr="006A5D92">
        <w:t xml:space="preserve"> patients, 19.1%). A further 8.5% were Pacific, with Samoan and Tongan patients in the majority. Almost 8% were in the Asian ethnic group, where two in every three Asian patients were Indian or Chinese. The majority of patients at ED were of European </w:t>
      </w:r>
      <w:r w:rsidR="002A6EC9">
        <w:t>ethnicity</w:t>
      </w:r>
      <w:r w:rsidRPr="006A5D92">
        <w:t xml:space="preserve"> (Figure</w:t>
      </w:r>
      <w:r w:rsidR="00433ACE">
        <w:t> </w:t>
      </w:r>
      <w:r>
        <w:rPr>
          <w:noProof/>
        </w:rPr>
        <w:t>11</w:t>
      </w:r>
      <w:r w:rsidRPr="006A5D92">
        <w:t>).</w:t>
      </w:r>
    </w:p>
    <w:p w14:paraId="1E36D992" w14:textId="77777777" w:rsidR="00C058BB" w:rsidRPr="008F2D78" w:rsidRDefault="00C058BB" w:rsidP="00433ACE">
      <w:pPr>
        <w:rPr>
          <w:highlight w:val="yellow"/>
        </w:rPr>
      </w:pPr>
    </w:p>
    <w:p w14:paraId="39457907" w14:textId="77777777" w:rsidR="00C058BB" w:rsidRPr="006A5D92" w:rsidRDefault="00C058BB" w:rsidP="00433ACE">
      <w:pPr>
        <w:pStyle w:val="Figure"/>
      </w:pPr>
      <w:bookmarkStart w:id="63" w:name="_Ref443646252"/>
      <w:bookmarkStart w:id="64" w:name="_Toc452111234"/>
      <w:bookmarkStart w:id="65" w:name="_Toc453058865"/>
      <w:r w:rsidRPr="006A5D92">
        <w:lastRenderedPageBreak/>
        <w:t xml:space="preserve">Figure </w:t>
      </w:r>
      <w:r w:rsidR="004B4E7B">
        <w:fldChar w:fldCharType="begin"/>
      </w:r>
      <w:r w:rsidR="004B4E7B">
        <w:instrText xml:space="preserve"> SEQ Figure \* ARABIC </w:instrText>
      </w:r>
      <w:r w:rsidR="004B4E7B">
        <w:fldChar w:fldCharType="separate"/>
      </w:r>
      <w:r w:rsidR="00CD2E1C">
        <w:rPr>
          <w:noProof/>
        </w:rPr>
        <w:t>11</w:t>
      </w:r>
      <w:r w:rsidR="004B4E7B">
        <w:rPr>
          <w:noProof/>
        </w:rPr>
        <w:fldChar w:fldCharType="end"/>
      </w:r>
      <w:bookmarkEnd w:id="63"/>
      <w:r w:rsidRPr="006A5D92">
        <w:t>: Distribution of people who were patients at an emergency department at least once during the year,</w:t>
      </w:r>
      <w:r>
        <w:t xml:space="preserve"> by ethnic group,</w:t>
      </w:r>
      <w:r w:rsidRPr="006A5D92">
        <w:t xml:space="preserve"> 2014/15</w:t>
      </w:r>
      <w:bookmarkEnd w:id="64"/>
      <w:bookmarkEnd w:id="65"/>
    </w:p>
    <w:p w14:paraId="3940C3DB" w14:textId="0887E333" w:rsidR="00C058BB" w:rsidRPr="006A5D92" w:rsidRDefault="004B4E7B" w:rsidP="004E7B4E">
      <w:r>
        <w:rPr>
          <w:noProof/>
          <w:lang w:eastAsia="en-NZ"/>
        </w:rPr>
        <w:pict w14:anchorId="70F0E311">
          <v:shape id="_x0000_i1031" type="#_x0000_t75" alt="Figure 11: Distribution of people who were patients at an emergency department at least once during the year, by ethnic group, 2014/15" style="width:339.75pt;height:198pt">
            <v:imagedata r:id="rId30" o:title=""/>
          </v:shape>
        </w:pict>
      </w:r>
    </w:p>
    <w:p w14:paraId="04A678E3" w14:textId="77777777" w:rsidR="00C058BB" w:rsidRPr="006A5D92" w:rsidRDefault="00C058BB" w:rsidP="00354789">
      <w:pPr>
        <w:pStyle w:val="Note"/>
        <w:ind w:right="2268"/>
      </w:pPr>
      <w:r w:rsidRPr="006A5D92">
        <w:t xml:space="preserve">Note: The number on each bar is the number of people. The denominator used to calculate the percentage </w:t>
      </w:r>
      <w:r>
        <w:t>excludes</w:t>
      </w:r>
      <w:r w:rsidRPr="006A5D92">
        <w:t xml:space="preserve"> those with unknown ethnicity (20,82</w:t>
      </w:r>
      <w:r>
        <w:t>0</w:t>
      </w:r>
      <w:r w:rsidRPr="006A5D92">
        <w:t xml:space="preserve"> patients, 3</w:t>
      </w:r>
      <w:r>
        <w:t>.0</w:t>
      </w:r>
      <w:r w:rsidRPr="006A5D92">
        <w:t>%).</w:t>
      </w:r>
    </w:p>
    <w:p w14:paraId="01784528" w14:textId="77777777" w:rsidR="00C058BB" w:rsidRDefault="00C058BB" w:rsidP="00433ACE">
      <w:pPr>
        <w:rPr>
          <w:highlight w:val="yellow"/>
        </w:rPr>
      </w:pPr>
    </w:p>
    <w:p w14:paraId="7E01B4D8" w14:textId="2EB57B9E" w:rsidR="00714982" w:rsidRDefault="00C058BB" w:rsidP="00433ACE">
      <w:r w:rsidRPr="0024091D">
        <w:t>Pacific peoples had the highest age-standardised rate of ED use in 2014/15 (19.3 per 100 population), followed by the Māori (18.0 per 100 population), European or Other (14.5 per 100 population) and Asian (9.4 per 100 population) ethnic groups. All ethnic groups showed an increase in the rate of ED use from 2010/11 to 2014/15, the largest being among the Asian ethnic group. The rate of ED use for the Asian ethnic group increased by 13%, rising from 8.3 to 9.4 per 100 population (</w:t>
      </w:r>
      <w:r w:rsidRPr="006A5D92">
        <w:t xml:space="preserve">Figure </w:t>
      </w:r>
      <w:r>
        <w:rPr>
          <w:noProof/>
        </w:rPr>
        <w:t>12</w:t>
      </w:r>
      <w:r w:rsidRPr="0024091D">
        <w:t>).</w:t>
      </w:r>
    </w:p>
    <w:p w14:paraId="2283ADD8" w14:textId="77777777" w:rsidR="00C058BB" w:rsidRPr="0024091D" w:rsidRDefault="00C058BB" w:rsidP="00433ACE"/>
    <w:p w14:paraId="30B101B9" w14:textId="0E9FB138" w:rsidR="00C058BB" w:rsidRPr="0024091D" w:rsidRDefault="00C058BB" w:rsidP="00433ACE">
      <w:r w:rsidRPr="0024091D">
        <w:t xml:space="preserve">Higher rates of ED use among Pacific and Māori were sustained from 2010/11 to 2014/15 as Pacific and Māori rates were </w:t>
      </w:r>
      <w:r w:rsidR="002A6EC9">
        <w:t>about</w:t>
      </w:r>
      <w:r w:rsidRPr="0024091D">
        <w:t xml:space="preserve"> </w:t>
      </w:r>
      <w:r w:rsidR="00135593">
        <w:t xml:space="preserve">two </w:t>
      </w:r>
      <w:r w:rsidRPr="0024091D">
        <w:t>times the rate for the Asian ethnic group, and 1.3</w:t>
      </w:r>
      <w:r w:rsidR="00135593">
        <w:t xml:space="preserve"> </w:t>
      </w:r>
      <w:r w:rsidRPr="0024091D">
        <w:t>times the rate for the European or Other ethnic group (</w:t>
      </w:r>
      <w:r w:rsidRPr="006A5D92">
        <w:t xml:space="preserve">Figure </w:t>
      </w:r>
      <w:r>
        <w:rPr>
          <w:noProof/>
        </w:rPr>
        <w:t>12</w:t>
      </w:r>
      <w:r w:rsidRPr="0024091D">
        <w:t>).</w:t>
      </w:r>
    </w:p>
    <w:p w14:paraId="119BF046" w14:textId="77777777" w:rsidR="00C058BB" w:rsidRPr="008F2D78" w:rsidRDefault="00C058BB" w:rsidP="00433ACE">
      <w:pPr>
        <w:rPr>
          <w:highlight w:val="yellow"/>
        </w:rPr>
      </w:pPr>
    </w:p>
    <w:p w14:paraId="265D6DA5" w14:textId="77777777" w:rsidR="00C058BB" w:rsidRPr="006A5D92" w:rsidRDefault="00C058BB" w:rsidP="00433ACE">
      <w:pPr>
        <w:pStyle w:val="Figure"/>
      </w:pPr>
      <w:bookmarkStart w:id="66" w:name="_Ref444011056"/>
      <w:bookmarkStart w:id="67" w:name="_Toc452111235"/>
      <w:bookmarkStart w:id="68" w:name="_Toc453058866"/>
      <w:r w:rsidRPr="006A5D92">
        <w:t xml:space="preserve">Figure </w:t>
      </w:r>
      <w:r w:rsidR="004B4E7B">
        <w:fldChar w:fldCharType="begin"/>
      </w:r>
      <w:r w:rsidR="004B4E7B">
        <w:instrText xml:space="preserve"> SEQ Figure \* ARABIC </w:instrText>
      </w:r>
      <w:r w:rsidR="004B4E7B">
        <w:fldChar w:fldCharType="separate"/>
      </w:r>
      <w:r w:rsidR="00CD2E1C">
        <w:rPr>
          <w:noProof/>
        </w:rPr>
        <w:t>12</w:t>
      </w:r>
      <w:r w:rsidR="004B4E7B">
        <w:rPr>
          <w:noProof/>
        </w:rPr>
        <w:fldChar w:fldCharType="end"/>
      </w:r>
      <w:bookmarkEnd w:id="66"/>
      <w:r w:rsidRPr="006A5D92">
        <w:t>: Rate of people who were patients at an emergency department at least once during the year</w:t>
      </w:r>
      <w:r>
        <w:t>,</w:t>
      </w:r>
      <w:r w:rsidRPr="006A5D92">
        <w:t xml:space="preserve"> by ethnic group, 2010/11–2014/15</w:t>
      </w:r>
      <w:bookmarkEnd w:id="67"/>
      <w:bookmarkEnd w:id="68"/>
    </w:p>
    <w:p w14:paraId="69441FF7" w14:textId="548FD3D9" w:rsidR="00C058BB" w:rsidRPr="006A5D92" w:rsidRDefault="004B4E7B" w:rsidP="00C058BB">
      <w:r>
        <w:rPr>
          <w:noProof/>
          <w:lang w:eastAsia="en-NZ"/>
        </w:rPr>
        <w:pict w14:anchorId="7036A81B">
          <v:shape id="_x0000_i1032" type="#_x0000_t75" alt="Figure 12: Rate of people who were patients at an emergency department at least once during the year, by ethnic group, 2010/11–2014/15" style="width:339.75pt;height:198pt">
            <v:imagedata r:id="rId31" o:title=""/>
          </v:shape>
        </w:pict>
      </w:r>
    </w:p>
    <w:p w14:paraId="758B3C71" w14:textId="77777777" w:rsidR="00714982" w:rsidRDefault="00C058BB" w:rsidP="00433ACE">
      <w:pPr>
        <w:pStyle w:val="Note"/>
      </w:pPr>
      <w:r w:rsidRPr="006A5D92">
        <w:t>Note: Rates presented are standardised to the WHO World Population.</w:t>
      </w:r>
    </w:p>
    <w:p w14:paraId="633C2F94" w14:textId="162D1293" w:rsidR="00333955" w:rsidRDefault="00333955">
      <w:pPr>
        <w:spacing w:line="240" w:lineRule="auto"/>
      </w:pPr>
      <w:r>
        <w:br w:type="page"/>
      </w:r>
    </w:p>
    <w:p w14:paraId="799AA299" w14:textId="2D4A4544" w:rsidR="00714982" w:rsidRDefault="00C058BB" w:rsidP="006F4D5D">
      <w:r w:rsidRPr="006F4D5D">
        <w:lastRenderedPageBreak/>
        <w:t>In 2014/15, rates of ED use among Māori were generally higher in the North Island, particularly</w:t>
      </w:r>
      <w:r w:rsidRPr="00EA7637">
        <w:t xml:space="preserve"> in the midland region. One in every four Māori people residing in the Lakes and Taranaki DHB regions were patients at an ED at least once during the year (age-standardised rate</w:t>
      </w:r>
      <w:r>
        <w:t>s</w:t>
      </w:r>
      <w:r w:rsidRPr="00EA7637">
        <w:t xml:space="preserve"> of 26.2 and 25.1 per 100 population, respectively). Rates of ED use for Māori were lowest in the Capital &amp; Coast and Canterbury DHB regions at approximately 12 per 100 population (</w:t>
      </w:r>
      <w:r w:rsidRPr="00703585">
        <w:t xml:space="preserve">Figure </w:t>
      </w:r>
      <w:r>
        <w:rPr>
          <w:noProof/>
        </w:rPr>
        <w:t>13</w:t>
      </w:r>
      <w:r w:rsidRPr="00EA7637">
        <w:t>).</w:t>
      </w:r>
    </w:p>
    <w:p w14:paraId="3C5CC8FC" w14:textId="77777777" w:rsidR="00C058BB" w:rsidRPr="008F2D78" w:rsidRDefault="00C058BB" w:rsidP="00433ACE">
      <w:pPr>
        <w:rPr>
          <w:highlight w:val="yellow"/>
        </w:rPr>
      </w:pPr>
    </w:p>
    <w:p w14:paraId="4E9739B2" w14:textId="031240AE" w:rsidR="00C058BB" w:rsidRPr="00EA7637" w:rsidRDefault="00C058BB" w:rsidP="00433ACE">
      <w:r w:rsidRPr="00EA7637">
        <w:t>Since 2010/11, rates of ED use among Māori have increased</w:t>
      </w:r>
      <w:r w:rsidR="002A6EC9">
        <w:t xml:space="preserve"> significantly</w:t>
      </w:r>
      <w:r w:rsidRPr="00EA7637">
        <w:t xml:space="preserve"> in nine DHB regions. The largest increase was by 26.3% in the South Canterbury DHB region (from 12.9 to 16.2 per 100 population). Māori in Waitemata DHB region showed a </w:t>
      </w:r>
      <w:r w:rsidR="002A6EC9">
        <w:t xml:space="preserve">significant </w:t>
      </w:r>
      <w:r w:rsidRPr="00EA7637">
        <w:t>decrease in rates of ED use, falling from 14.6 to 13.9 per 100 population. All other DHB regions had fluctuating rates of ED use from 2010/11 to 2014/15 (</w:t>
      </w:r>
      <w:r w:rsidRPr="00703585">
        <w:t xml:space="preserve">Figure </w:t>
      </w:r>
      <w:r>
        <w:rPr>
          <w:noProof/>
        </w:rPr>
        <w:t>13</w:t>
      </w:r>
      <w:r w:rsidRPr="00EA7637">
        <w:t>).</w:t>
      </w:r>
    </w:p>
    <w:p w14:paraId="1A8D4CD0" w14:textId="77777777" w:rsidR="00C058BB" w:rsidRPr="008F2D78" w:rsidRDefault="00C058BB" w:rsidP="00433ACE">
      <w:pPr>
        <w:rPr>
          <w:highlight w:val="yellow"/>
        </w:rPr>
      </w:pPr>
    </w:p>
    <w:p w14:paraId="39C897A9" w14:textId="77777777" w:rsidR="00C058BB" w:rsidRPr="00703585" w:rsidRDefault="00C058BB" w:rsidP="00433ACE">
      <w:pPr>
        <w:pStyle w:val="Figure"/>
      </w:pPr>
      <w:bookmarkStart w:id="69" w:name="_Ref444094447"/>
      <w:bookmarkStart w:id="70" w:name="_Toc452111236"/>
      <w:bookmarkStart w:id="71" w:name="_Toc453058867"/>
      <w:r w:rsidRPr="00703585">
        <w:t xml:space="preserve">Figure </w:t>
      </w:r>
      <w:r w:rsidR="004B4E7B">
        <w:fldChar w:fldCharType="begin"/>
      </w:r>
      <w:r w:rsidR="004B4E7B">
        <w:instrText xml:space="preserve"> SEQ Figure \* ARABIC </w:instrText>
      </w:r>
      <w:r w:rsidR="004B4E7B">
        <w:fldChar w:fldCharType="separate"/>
      </w:r>
      <w:r w:rsidR="00CD2E1C">
        <w:rPr>
          <w:noProof/>
        </w:rPr>
        <w:t>13</w:t>
      </w:r>
      <w:r w:rsidR="004B4E7B">
        <w:rPr>
          <w:noProof/>
        </w:rPr>
        <w:fldChar w:fldCharType="end"/>
      </w:r>
      <w:bookmarkEnd w:id="69"/>
      <w:r w:rsidRPr="00703585">
        <w:t>: Rate of Māori who were patients at an emergency department at least once during the year</w:t>
      </w:r>
      <w:r>
        <w:t>,</w:t>
      </w:r>
      <w:r w:rsidRPr="00703585">
        <w:t xml:space="preserve"> by DHB of residence, 2010/11 and 2014/15</w:t>
      </w:r>
      <w:bookmarkEnd w:id="70"/>
      <w:bookmarkEnd w:id="71"/>
    </w:p>
    <w:p w14:paraId="5F6F0EE7" w14:textId="77777777" w:rsidR="00C058BB" w:rsidRPr="00703585" w:rsidRDefault="00EE6751" w:rsidP="00C058BB">
      <w:r>
        <w:rPr>
          <w:noProof/>
          <w:lang w:eastAsia="en-NZ"/>
        </w:rPr>
        <w:drawing>
          <wp:inline distT="0" distB="0" distL="0" distR="0" wp14:anchorId="729E3011" wp14:editId="221AACA0">
            <wp:extent cx="5760000" cy="3837120"/>
            <wp:effectExtent l="0" t="0" r="0" b="0"/>
            <wp:docPr id="16" name="Picture 8" descr="Figure 13: Rate of Māori who were patients at an emergency department at least once during the year, by DHB of residence, 2010/11 an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13: Rate of Māori who were patients at an emergency department at least once during the year, by DHB of residence, 2010/11 and 2014/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3837120"/>
                    </a:xfrm>
                    <a:prstGeom prst="rect">
                      <a:avLst/>
                    </a:prstGeom>
                    <a:noFill/>
                    <a:ln>
                      <a:noFill/>
                    </a:ln>
                  </pic:spPr>
                </pic:pic>
              </a:graphicData>
            </a:graphic>
          </wp:inline>
        </w:drawing>
      </w:r>
    </w:p>
    <w:p w14:paraId="429B8BF5" w14:textId="77777777" w:rsidR="00714982" w:rsidRDefault="00C058BB" w:rsidP="00433ACE">
      <w:pPr>
        <w:pStyle w:val="Note"/>
        <w:ind w:right="0"/>
      </w:pPr>
      <w:r w:rsidRPr="00703585">
        <w:t>Note: Rates presented are standardised to the WHO World Population.</w:t>
      </w:r>
    </w:p>
    <w:p w14:paraId="64552040" w14:textId="77777777" w:rsidR="00C058BB" w:rsidRDefault="00C058BB" w:rsidP="00433ACE">
      <w:pPr>
        <w:rPr>
          <w:highlight w:val="yellow"/>
        </w:rPr>
      </w:pPr>
    </w:p>
    <w:p w14:paraId="30C326D2" w14:textId="3DDF9A58" w:rsidR="00714982" w:rsidRDefault="00C058BB" w:rsidP="00433ACE">
      <w:r w:rsidRPr="00EA7637">
        <w:t>Rates of ED use among non-Māori</w:t>
      </w:r>
      <w:r w:rsidRPr="00433ACE">
        <w:rPr>
          <w:rStyle w:val="FootnoteReference"/>
        </w:rPr>
        <w:footnoteReference w:id="1"/>
      </w:r>
      <w:r w:rsidRPr="00EA7637">
        <w:t xml:space="preserve"> were lower than rates among Māori in all DHB regions in 2014/15. Rates among non-Māori were also less variable, ranging from 5.4 per 100 population in Canterbury DHB region to 11.2 per 100 population in the West Coast DHB region. Rates of </w:t>
      </w:r>
      <w:r w:rsidR="00E064D0">
        <w:t>non-M</w:t>
      </w:r>
      <w:r w:rsidR="00E064D0">
        <w:rPr>
          <w:rFonts w:ascii="Calibri" w:hAnsi="Calibri"/>
        </w:rPr>
        <w:t>ā</w:t>
      </w:r>
      <w:r w:rsidR="00E064D0">
        <w:t xml:space="preserve">ori </w:t>
      </w:r>
      <w:r w:rsidRPr="00EA7637">
        <w:t xml:space="preserve">ED use for 2014/15 </w:t>
      </w:r>
      <w:r w:rsidR="00802B9C">
        <w:t>were</w:t>
      </w:r>
      <w:r w:rsidR="00802B9C" w:rsidRPr="00EA7637">
        <w:t xml:space="preserve"> </w:t>
      </w:r>
      <w:r w:rsidR="002A6EC9">
        <w:t xml:space="preserve">significantly </w:t>
      </w:r>
      <w:r w:rsidRPr="00EA7637">
        <w:t xml:space="preserve">higher than for 2010/11 in nine DHB regions. The largest increases were by approximately 14% in Lakes, Bay of Plenty and Capital &amp; Coast DHB regions. Conversely, rates of ED use </w:t>
      </w:r>
      <w:r w:rsidR="00802B9C">
        <w:t>were</w:t>
      </w:r>
      <w:r w:rsidR="00802B9C" w:rsidRPr="00EA7637">
        <w:t xml:space="preserve"> </w:t>
      </w:r>
      <w:r w:rsidR="002A6EC9">
        <w:t xml:space="preserve">significantly </w:t>
      </w:r>
      <w:r w:rsidRPr="00EA7637">
        <w:t>lower in 2014/15 compared with 2010/11 in five DHB regions, particularly in the Wairarapa DHB region where rates of ED use among non-Māori fell by 15% (</w:t>
      </w:r>
      <w:r w:rsidRPr="00703585">
        <w:t xml:space="preserve">Figure </w:t>
      </w:r>
      <w:r>
        <w:rPr>
          <w:noProof/>
        </w:rPr>
        <w:t>14</w:t>
      </w:r>
      <w:r w:rsidRPr="00EA7637">
        <w:t>).</w:t>
      </w:r>
    </w:p>
    <w:p w14:paraId="49B50B86" w14:textId="77777777" w:rsidR="00C058BB" w:rsidRPr="008F2D78" w:rsidRDefault="00C058BB" w:rsidP="00433ACE">
      <w:pPr>
        <w:rPr>
          <w:highlight w:val="yellow"/>
        </w:rPr>
      </w:pPr>
    </w:p>
    <w:p w14:paraId="4187E73A" w14:textId="77777777" w:rsidR="00C058BB" w:rsidRPr="00703585" w:rsidRDefault="00C058BB" w:rsidP="00433ACE">
      <w:pPr>
        <w:pStyle w:val="Figure"/>
      </w:pPr>
      <w:bookmarkStart w:id="72" w:name="_Ref444095882"/>
      <w:bookmarkStart w:id="73" w:name="_Toc452111237"/>
      <w:bookmarkStart w:id="74" w:name="_Toc453058868"/>
      <w:r w:rsidRPr="00703585">
        <w:lastRenderedPageBreak/>
        <w:t xml:space="preserve">Figure </w:t>
      </w:r>
      <w:r w:rsidR="004B4E7B">
        <w:fldChar w:fldCharType="begin"/>
      </w:r>
      <w:r w:rsidR="004B4E7B">
        <w:instrText xml:space="preserve"> SEQ Figure \* ARABIC </w:instrText>
      </w:r>
      <w:r w:rsidR="004B4E7B">
        <w:fldChar w:fldCharType="separate"/>
      </w:r>
      <w:r w:rsidR="00CD2E1C">
        <w:rPr>
          <w:noProof/>
        </w:rPr>
        <w:t>14</w:t>
      </w:r>
      <w:r w:rsidR="004B4E7B">
        <w:rPr>
          <w:noProof/>
        </w:rPr>
        <w:fldChar w:fldCharType="end"/>
      </w:r>
      <w:bookmarkEnd w:id="72"/>
      <w:r w:rsidRPr="00703585">
        <w:t>: Rate of non-Māori who were patients at an emergency department at least once during the year</w:t>
      </w:r>
      <w:r>
        <w:t>,</w:t>
      </w:r>
      <w:r w:rsidRPr="00703585">
        <w:t xml:space="preserve"> by DHB of residence, 2010/11 and 2014/15</w:t>
      </w:r>
      <w:bookmarkEnd w:id="73"/>
      <w:bookmarkEnd w:id="74"/>
    </w:p>
    <w:p w14:paraId="15BE63DB" w14:textId="77777777" w:rsidR="00C058BB" w:rsidRPr="00703585" w:rsidRDefault="00EE6751" w:rsidP="00C058BB">
      <w:pPr>
        <w:spacing w:line="240" w:lineRule="auto"/>
      </w:pPr>
      <w:r>
        <w:rPr>
          <w:noProof/>
          <w:lang w:eastAsia="en-NZ"/>
        </w:rPr>
        <w:drawing>
          <wp:inline distT="0" distB="0" distL="0" distR="0" wp14:anchorId="57327B4A" wp14:editId="09AA0247">
            <wp:extent cx="5760000" cy="3837120"/>
            <wp:effectExtent l="0" t="0" r="0" b="0"/>
            <wp:docPr id="17" name="Picture 1" descr="Figure 14: Rate of non-Māori who were patients at an emergency department at least once during the year, by DHB of residence, 2010/11 an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4: Rate of non-Māori who were patients at an emergency department at least once during the year, by DHB of residence, 2010/11 and 2014/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3837120"/>
                    </a:xfrm>
                    <a:prstGeom prst="rect">
                      <a:avLst/>
                    </a:prstGeom>
                    <a:noFill/>
                    <a:ln>
                      <a:noFill/>
                    </a:ln>
                  </pic:spPr>
                </pic:pic>
              </a:graphicData>
            </a:graphic>
          </wp:inline>
        </w:drawing>
      </w:r>
    </w:p>
    <w:p w14:paraId="44097C7C" w14:textId="77777777" w:rsidR="00714982" w:rsidRDefault="00C058BB" w:rsidP="00433ACE">
      <w:pPr>
        <w:pStyle w:val="Note"/>
        <w:ind w:right="0"/>
      </w:pPr>
      <w:r w:rsidRPr="00703585">
        <w:t>Note: Rates presented are standardised to the WHO World Population.</w:t>
      </w:r>
    </w:p>
    <w:p w14:paraId="3AF9762B" w14:textId="77777777" w:rsidR="00C058BB" w:rsidRPr="00703585" w:rsidRDefault="00C058BB" w:rsidP="00433ACE"/>
    <w:p w14:paraId="0F37104A" w14:textId="4282015C" w:rsidR="00C058BB" w:rsidRPr="008F2D78" w:rsidRDefault="00C058BB" w:rsidP="00433ACE">
      <w:pPr>
        <w:rPr>
          <w:highlight w:val="yellow"/>
        </w:rPr>
      </w:pPr>
      <w:r w:rsidRPr="00D2288F">
        <w:t xml:space="preserve">In 2014/15, children of Pacific ethnicity had the highest age-specific rate of ED use (21.9 per 100 population), followed by children of Māori (17.2 per 100 population), European or Other (16.1 per 100 population) and Asian (14.6 per 100 population) ethnicities. Rates among Māori and Pacific adults were the same at 18.1 per 100 population, while the rate for adults of Asian </w:t>
      </w:r>
      <w:r w:rsidR="00E064D0">
        <w:t xml:space="preserve">and of </w:t>
      </w:r>
      <w:r w:rsidRPr="00D2288F">
        <w:t>European or Other ethnicities were lower (</w:t>
      </w:r>
      <w:r w:rsidRPr="00BE248D">
        <w:t xml:space="preserve">Figure </w:t>
      </w:r>
      <w:r>
        <w:rPr>
          <w:noProof/>
        </w:rPr>
        <w:t>15</w:t>
      </w:r>
      <w:r w:rsidRPr="00D2288F">
        <w:t>).</w:t>
      </w:r>
    </w:p>
    <w:p w14:paraId="4E7890FE" w14:textId="77777777" w:rsidR="00C058BB" w:rsidRPr="008F2D78" w:rsidRDefault="00C058BB" w:rsidP="00433ACE">
      <w:pPr>
        <w:rPr>
          <w:highlight w:val="yellow"/>
        </w:rPr>
      </w:pPr>
    </w:p>
    <w:p w14:paraId="025F3D43" w14:textId="5C7E2C8C" w:rsidR="00C058BB" w:rsidRPr="00BE248D" w:rsidRDefault="00C058BB" w:rsidP="00433ACE">
      <w:r w:rsidRPr="00BE248D">
        <w:t xml:space="preserve">Between 2010/11 and 2014/15, rates of ED use were consistently higher for children than for adults in all ethnic groups, except the Māori ethnic group (Figure </w:t>
      </w:r>
      <w:r>
        <w:rPr>
          <w:noProof/>
        </w:rPr>
        <w:t>15</w:t>
      </w:r>
      <w:r w:rsidRPr="00BE248D">
        <w:t xml:space="preserve">). This disparity was </w:t>
      </w:r>
      <w:r w:rsidR="00E24C0D">
        <w:t xml:space="preserve">most </w:t>
      </w:r>
      <w:r w:rsidRPr="00BE248D">
        <w:t>notable among the Asian ethnic group, where the rates of ED use for children was 1.8–1.9 times the rate for adults each year.</w:t>
      </w:r>
    </w:p>
    <w:p w14:paraId="1ABDF6C7" w14:textId="77777777" w:rsidR="00C058BB" w:rsidRPr="00BE248D" w:rsidRDefault="00C058BB" w:rsidP="00433ACE">
      <w:bookmarkStart w:id="75" w:name="_Ref443493423"/>
    </w:p>
    <w:p w14:paraId="04B0F60F" w14:textId="77777777" w:rsidR="00C058BB" w:rsidRDefault="00C058BB" w:rsidP="00433ACE">
      <w:pPr>
        <w:pStyle w:val="Figure"/>
      </w:pPr>
      <w:bookmarkStart w:id="76" w:name="_Ref444075229"/>
      <w:bookmarkStart w:id="77" w:name="_Toc452111238"/>
      <w:bookmarkStart w:id="78" w:name="_Toc453058869"/>
      <w:r w:rsidRPr="00BE248D">
        <w:t xml:space="preserve">Figure </w:t>
      </w:r>
      <w:r w:rsidR="004B4E7B">
        <w:fldChar w:fldCharType="begin"/>
      </w:r>
      <w:r w:rsidR="004B4E7B">
        <w:instrText xml:space="preserve"> SEQ Figure \* ARABIC </w:instrText>
      </w:r>
      <w:r w:rsidR="004B4E7B">
        <w:fldChar w:fldCharType="separate"/>
      </w:r>
      <w:r w:rsidR="00CD2E1C">
        <w:rPr>
          <w:noProof/>
        </w:rPr>
        <w:t>15</w:t>
      </w:r>
      <w:r w:rsidR="004B4E7B">
        <w:rPr>
          <w:noProof/>
        </w:rPr>
        <w:fldChar w:fldCharType="end"/>
      </w:r>
      <w:bookmarkEnd w:id="75"/>
      <w:bookmarkEnd w:id="76"/>
      <w:r w:rsidRPr="00BE248D">
        <w:t>: Rate of children and adults who were patients at an emergency department at least</w:t>
      </w:r>
      <w:r w:rsidRPr="00D2288F">
        <w:t xml:space="preserve"> once during the year</w:t>
      </w:r>
      <w:r>
        <w:t>,</w:t>
      </w:r>
      <w:r w:rsidRPr="00D2288F">
        <w:t xml:space="preserve"> by ethnic group, 2010/11 and 2014/15</w:t>
      </w:r>
      <w:bookmarkEnd w:id="77"/>
      <w:bookmarkEnd w:id="78"/>
    </w:p>
    <w:p w14:paraId="0DB3FBC9" w14:textId="1A639229" w:rsidR="0074555D" w:rsidRPr="0074555D" w:rsidRDefault="0036008D" w:rsidP="0074555D">
      <w:r w:rsidRPr="0036008D">
        <w:rPr>
          <w:noProof/>
          <w:lang w:eastAsia="en-NZ"/>
        </w:rPr>
        <w:drawing>
          <wp:inline distT="0" distB="0" distL="0" distR="0" wp14:anchorId="2707A1ED" wp14:editId="0ADF547D">
            <wp:extent cx="5580000" cy="2023932"/>
            <wp:effectExtent l="0" t="0" r="1905" b="0"/>
            <wp:docPr id="21" name="Picture 21" descr="Figure 15: Rate of children and adults who were patients at an emergency department at least once during the year, by ethnic group, 2010/11 an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4">
                      <a:extLst>
                        <a:ext uri="{28A0092B-C50C-407E-A947-70E740481C1C}">
                          <a14:useLocalDpi xmlns:a14="http://schemas.microsoft.com/office/drawing/2010/main" val="0"/>
                        </a:ext>
                      </a:extLst>
                    </a:blip>
                    <a:srcRect l="840" r="-1" b="4889"/>
                    <a:stretch/>
                  </pic:blipFill>
                  <pic:spPr bwMode="auto">
                    <a:xfrm>
                      <a:off x="0" y="0"/>
                      <a:ext cx="5580000" cy="2023932"/>
                    </a:xfrm>
                    <a:prstGeom prst="rect">
                      <a:avLst/>
                    </a:prstGeom>
                    <a:noFill/>
                    <a:ln>
                      <a:noFill/>
                    </a:ln>
                    <a:extLst>
                      <a:ext uri="{53640926-AAD7-44D8-BBD7-CCE9431645EC}">
                        <a14:shadowObscured xmlns:a14="http://schemas.microsoft.com/office/drawing/2010/main"/>
                      </a:ext>
                    </a:extLst>
                  </pic:spPr>
                </pic:pic>
              </a:graphicData>
            </a:graphic>
          </wp:inline>
        </w:drawing>
      </w:r>
    </w:p>
    <w:p w14:paraId="3953F9D1" w14:textId="77777777" w:rsidR="00C058BB" w:rsidRPr="00D2288F" w:rsidRDefault="00C058BB" w:rsidP="00433ACE">
      <w:pPr>
        <w:pStyle w:val="Note"/>
        <w:ind w:right="0"/>
      </w:pPr>
      <w:r w:rsidRPr="00D2288F">
        <w:t>Note: Rates presented are specific to the age group and not standardised.</w:t>
      </w:r>
    </w:p>
    <w:p w14:paraId="65A389FC" w14:textId="77777777" w:rsidR="00C058BB" w:rsidRPr="00BE248D" w:rsidRDefault="00C058BB" w:rsidP="00A13E42">
      <w:pPr>
        <w:pStyle w:val="Heading2"/>
        <w:spacing w:before="360"/>
      </w:pPr>
      <w:bookmarkStart w:id="79" w:name="_Toc452111279"/>
      <w:bookmarkStart w:id="80" w:name="_Toc453058831"/>
      <w:r w:rsidRPr="00BE248D">
        <w:lastRenderedPageBreak/>
        <w:t>Deprivation</w:t>
      </w:r>
      <w:bookmarkEnd w:id="79"/>
      <w:bookmarkEnd w:id="80"/>
    </w:p>
    <w:p w14:paraId="4DF17831" w14:textId="77777777" w:rsidR="00433ACE" w:rsidRDefault="00433ACE" w:rsidP="00433ACE">
      <w:pPr>
        <w:pStyle w:val="Box"/>
      </w:pPr>
      <w:r w:rsidRPr="00BE248D">
        <w:t>Deprivation is calculated using a range of variables at each Census, such as income, home ownership, support, employment, qualifications, living space, communication and transport.</w:t>
      </w:r>
    </w:p>
    <w:p w14:paraId="5E65DBDA" w14:textId="75D5479C" w:rsidR="003D220A" w:rsidRPr="00BE248D" w:rsidRDefault="003D220A" w:rsidP="00433ACE">
      <w:pPr>
        <w:pStyle w:val="Box"/>
      </w:pPr>
      <w:r w:rsidRPr="003D220A">
        <w:t>In this report, deprivation quintiles are based on the characteristics of the neighbourhood in which the patient resides. They range from 1 (least deprived) to 5 (most deprived), and are based on the NZDep2013 index of socioeconomic deprivation. Approximately equal numbers of the total New Zealand population reside in areas associated with each of the five deprivation quintiles. See the ‘Deprivation’ section in Additional notes for more information.</w:t>
      </w:r>
    </w:p>
    <w:p w14:paraId="6C19AA89" w14:textId="77777777" w:rsidR="00C058BB" w:rsidRPr="008F2D78" w:rsidRDefault="00C058BB" w:rsidP="00433ACE">
      <w:pPr>
        <w:rPr>
          <w:highlight w:val="yellow"/>
        </w:rPr>
      </w:pPr>
    </w:p>
    <w:p w14:paraId="2FB046FA" w14:textId="593FE048" w:rsidR="00714982" w:rsidRDefault="00C058BB" w:rsidP="00433ACE">
      <w:r>
        <w:t>ED patients were unevenly distributed across the five deprivation quintiles</w:t>
      </w:r>
      <w:r w:rsidRPr="008D6EB4">
        <w:t xml:space="preserve"> </w:t>
      </w:r>
      <w:r>
        <w:t xml:space="preserve">in 2014/15, even though the </w:t>
      </w:r>
      <w:r w:rsidRPr="00BE248D">
        <w:t>overall New Zealand population is equally distributed across the all deprivation quintiles</w:t>
      </w:r>
      <w:r>
        <w:t>. T</w:t>
      </w:r>
      <w:r w:rsidRPr="00BE248D">
        <w:t xml:space="preserve">here were considerably more </w:t>
      </w:r>
      <w:r w:rsidR="00E24C0D">
        <w:t xml:space="preserve">ED </w:t>
      </w:r>
      <w:r w:rsidRPr="00BE248D">
        <w:t>patients who resided in the most deprived neighbourhoods than the least deprived neighbourhoods (</w:t>
      </w:r>
      <w:r w:rsidRPr="005A37EA">
        <w:t xml:space="preserve">Figure </w:t>
      </w:r>
      <w:r>
        <w:rPr>
          <w:noProof/>
        </w:rPr>
        <w:t>16</w:t>
      </w:r>
      <w:r w:rsidRPr="00BE248D">
        <w:t>). The proportion of ED patients in the most deprived neighbourhoods (31% in quintile 5) was more than double the proportion of those in the least deprived neighbourhoods (12% in quintile 1).</w:t>
      </w:r>
    </w:p>
    <w:p w14:paraId="189FAC61" w14:textId="77777777" w:rsidR="00C058BB" w:rsidRPr="008F2D78" w:rsidRDefault="00C058BB" w:rsidP="00C058BB">
      <w:pPr>
        <w:spacing w:line="240" w:lineRule="auto"/>
        <w:rPr>
          <w:highlight w:val="yellow"/>
        </w:rPr>
      </w:pPr>
    </w:p>
    <w:p w14:paraId="40A4CA9F" w14:textId="77777777" w:rsidR="00C058BB" w:rsidRPr="005A37EA" w:rsidRDefault="00C058BB" w:rsidP="00433ACE">
      <w:pPr>
        <w:pStyle w:val="Figure"/>
      </w:pPr>
      <w:bookmarkStart w:id="81" w:name="_Ref443644484"/>
      <w:bookmarkStart w:id="82" w:name="_Toc452111239"/>
      <w:bookmarkStart w:id="83" w:name="_Toc453058870"/>
      <w:r w:rsidRPr="005A37EA">
        <w:t xml:space="preserve">Figure </w:t>
      </w:r>
      <w:r w:rsidR="004B4E7B">
        <w:fldChar w:fldCharType="begin"/>
      </w:r>
      <w:r w:rsidR="004B4E7B">
        <w:instrText xml:space="preserve"> SEQ Figure \* ARABIC </w:instrText>
      </w:r>
      <w:r w:rsidR="004B4E7B">
        <w:fldChar w:fldCharType="separate"/>
      </w:r>
      <w:r w:rsidR="00CD2E1C">
        <w:rPr>
          <w:noProof/>
        </w:rPr>
        <w:t>16</w:t>
      </w:r>
      <w:r w:rsidR="004B4E7B">
        <w:rPr>
          <w:noProof/>
        </w:rPr>
        <w:fldChar w:fldCharType="end"/>
      </w:r>
      <w:bookmarkEnd w:id="81"/>
      <w:r w:rsidRPr="005A37EA">
        <w:t>: Distribution of people who were patients at an emergency department at least once during the year</w:t>
      </w:r>
      <w:r>
        <w:t>,</w:t>
      </w:r>
      <w:r w:rsidRPr="005A37EA">
        <w:t xml:space="preserve"> by neighbourhood deprivation quintile, 2014/15</w:t>
      </w:r>
      <w:bookmarkEnd w:id="82"/>
      <w:bookmarkEnd w:id="83"/>
    </w:p>
    <w:p w14:paraId="0CFE173F" w14:textId="130C5671" w:rsidR="00C058BB" w:rsidRPr="006F002F" w:rsidRDefault="004B4E7B" w:rsidP="00023DD1">
      <w:r>
        <w:rPr>
          <w:noProof/>
          <w:lang w:eastAsia="en-NZ"/>
        </w:rPr>
        <w:pict w14:anchorId="0B975C91">
          <v:shape id="_x0000_i1033" type="#_x0000_t75" alt="Figure 16: Distribution of people who were patients at an emergency department at least once during the year, by neighbourhood deprivation quintile, 2014/15" style="width:339.75pt;height:198pt">
            <v:imagedata r:id="rId35" o:title=""/>
          </v:shape>
        </w:pict>
      </w:r>
    </w:p>
    <w:p w14:paraId="0ACE8B6E" w14:textId="77777777" w:rsidR="00C058BB" w:rsidRPr="005A37EA" w:rsidRDefault="00C058BB" w:rsidP="00433ACE">
      <w:pPr>
        <w:pStyle w:val="Note"/>
      </w:pPr>
      <w:r w:rsidRPr="005A37EA">
        <w:t>Note: The number on each bar is the number of people. The denominator used to calculate percentages excludes those with unknown neighbourhood deprivation (42,189 patients, 6.1%).</w:t>
      </w:r>
    </w:p>
    <w:p w14:paraId="30C7AFA3" w14:textId="77777777" w:rsidR="00C058BB" w:rsidRDefault="00C058BB" w:rsidP="00433ACE">
      <w:pPr>
        <w:rPr>
          <w:highlight w:val="yellow"/>
        </w:rPr>
      </w:pPr>
    </w:p>
    <w:p w14:paraId="77A9CE49" w14:textId="26CCD3A5" w:rsidR="00714982" w:rsidRDefault="00C058BB" w:rsidP="00433ACE">
      <w:r w:rsidRPr="002B54A2">
        <w:t xml:space="preserve">The age-standardised rate of ED use in 2014/15 increased </w:t>
      </w:r>
      <w:r>
        <w:t>with each level</w:t>
      </w:r>
      <w:r w:rsidRPr="002B54A2">
        <w:t xml:space="preserve"> of neighbourhood deprivation. The lowest rate of ED use was among people residing in the least deprived neighbourhoods (8.7 per 100 population) and the highest rate was among people residing in the most deprived neighbourhoods (21.7 per 100 population). This trend was sustained over the five-year period ending 2014/15 (Figure </w:t>
      </w:r>
      <w:r>
        <w:rPr>
          <w:noProof/>
        </w:rPr>
        <w:t>17</w:t>
      </w:r>
      <w:r w:rsidRPr="002B54A2">
        <w:t>).</w:t>
      </w:r>
    </w:p>
    <w:p w14:paraId="01ACC09E" w14:textId="77777777" w:rsidR="0036008D" w:rsidRDefault="0036008D" w:rsidP="00433ACE"/>
    <w:p w14:paraId="1F1D4B17" w14:textId="77777777" w:rsidR="00C058BB" w:rsidRPr="002B54A2" w:rsidRDefault="00C058BB" w:rsidP="00433ACE">
      <w:pPr>
        <w:pStyle w:val="Figure"/>
      </w:pPr>
      <w:bookmarkStart w:id="84" w:name="_Ref443656877"/>
      <w:bookmarkStart w:id="85" w:name="_Ref443656866"/>
      <w:bookmarkStart w:id="86" w:name="_Toc452111240"/>
      <w:bookmarkStart w:id="87" w:name="_Toc453058871"/>
      <w:r w:rsidRPr="002B54A2">
        <w:lastRenderedPageBreak/>
        <w:t xml:space="preserve">Figure </w:t>
      </w:r>
      <w:r w:rsidR="004B4E7B">
        <w:fldChar w:fldCharType="begin"/>
      </w:r>
      <w:r w:rsidR="004B4E7B">
        <w:instrText xml:space="preserve"> SEQ Figure \* ARABIC </w:instrText>
      </w:r>
      <w:r w:rsidR="004B4E7B">
        <w:fldChar w:fldCharType="separate"/>
      </w:r>
      <w:r w:rsidR="00CD2E1C">
        <w:rPr>
          <w:noProof/>
        </w:rPr>
        <w:t>17</w:t>
      </w:r>
      <w:r w:rsidR="004B4E7B">
        <w:rPr>
          <w:noProof/>
        </w:rPr>
        <w:fldChar w:fldCharType="end"/>
      </w:r>
      <w:bookmarkEnd w:id="84"/>
      <w:r w:rsidRPr="002B54A2">
        <w:t>: Rate of people who were patients at an emergency department at least once during the year</w:t>
      </w:r>
      <w:r>
        <w:t>,</w:t>
      </w:r>
      <w:r w:rsidRPr="002B54A2">
        <w:t xml:space="preserve"> by neighbourhood deprivation quintile, 2010/11–2014/15</w:t>
      </w:r>
      <w:bookmarkEnd w:id="85"/>
      <w:bookmarkEnd w:id="86"/>
      <w:bookmarkEnd w:id="87"/>
    </w:p>
    <w:p w14:paraId="41D663DB" w14:textId="578890BA" w:rsidR="00C058BB" w:rsidRPr="002B54A2" w:rsidRDefault="004B4E7B" w:rsidP="00B22FBA">
      <w:r>
        <w:rPr>
          <w:noProof/>
          <w:lang w:eastAsia="en-NZ"/>
        </w:rPr>
        <w:pict w14:anchorId="170D1962">
          <v:shape id="_x0000_i1034" type="#_x0000_t75" alt="Figure 17: Rate of people who were patients at an emergency department at least once during the year, by neighbourhood deprivation quintile, 2010/11–2014/15" style="width:339.75pt;height:198pt">
            <v:imagedata r:id="rId36" o:title=""/>
          </v:shape>
        </w:pict>
      </w:r>
    </w:p>
    <w:p w14:paraId="58C1B2BB" w14:textId="77777777" w:rsidR="00C058BB" w:rsidRDefault="00C058BB" w:rsidP="00433ACE">
      <w:pPr>
        <w:pStyle w:val="Note"/>
      </w:pPr>
      <w:r w:rsidRPr="002B54A2">
        <w:t>Note: Rates presented are standardised to the WHO World Population.</w:t>
      </w:r>
    </w:p>
    <w:p w14:paraId="5DDEAEA4" w14:textId="77777777" w:rsidR="00E60052" w:rsidRPr="00E60052" w:rsidRDefault="00E60052" w:rsidP="00E60052"/>
    <w:p w14:paraId="75CAE3CF" w14:textId="30DE9083" w:rsidR="00E60052" w:rsidRDefault="00E60052" w:rsidP="00E60052">
      <w:pPr>
        <w:keepLines/>
      </w:pPr>
      <w:r w:rsidRPr="005925D0">
        <w:t xml:space="preserve">In 2014/15, rates of ED use among people in the most deprived neighbourhoods (quintile 5) varied considerably across New Zealand, ranging from 10.6 per 100 population in </w:t>
      </w:r>
      <w:r w:rsidR="00E24C0D">
        <w:t xml:space="preserve">the </w:t>
      </w:r>
      <w:r w:rsidRPr="005925D0">
        <w:t xml:space="preserve">Capital &amp; Coast DHB region to 35.5 per 100 population in </w:t>
      </w:r>
      <w:r w:rsidR="00E24C0D">
        <w:t xml:space="preserve">the </w:t>
      </w:r>
      <w:r w:rsidRPr="005925D0">
        <w:t>Lakes DHB regi</w:t>
      </w:r>
      <w:r>
        <w:t xml:space="preserve">on. </w:t>
      </w:r>
      <w:r w:rsidRPr="005925D0">
        <w:t xml:space="preserve">Eight DHB regions had a significantly higher rate of ED use among people in the most deprived neighbourhoods in 2014/15 than in 2010/11. These DHB regions were primarily in the middle area of the North Island. Three DHB regions showed a </w:t>
      </w:r>
      <w:r w:rsidR="002A6EC9">
        <w:t xml:space="preserve">significant </w:t>
      </w:r>
      <w:r w:rsidRPr="005925D0">
        <w:t>decrease in the rate of ED use among people in the most deprived neighbourhoods: Whanganui, Wairarapa and Canterbury (</w:t>
      </w:r>
      <w:r w:rsidRPr="00717523">
        <w:t xml:space="preserve">Figure </w:t>
      </w:r>
      <w:r>
        <w:rPr>
          <w:noProof/>
        </w:rPr>
        <w:t>18</w:t>
      </w:r>
      <w:r w:rsidRPr="005925D0">
        <w:t>).</w:t>
      </w:r>
    </w:p>
    <w:p w14:paraId="19F29889" w14:textId="77777777" w:rsidR="00C058BB" w:rsidRPr="008F2D78" w:rsidRDefault="00C058BB" w:rsidP="00433ACE">
      <w:pPr>
        <w:rPr>
          <w:highlight w:val="yellow"/>
        </w:rPr>
      </w:pPr>
    </w:p>
    <w:p w14:paraId="0AD28921" w14:textId="77777777" w:rsidR="00C058BB" w:rsidRPr="00717523" w:rsidRDefault="00C058BB" w:rsidP="00433ACE">
      <w:pPr>
        <w:pStyle w:val="Figure"/>
      </w:pPr>
      <w:bookmarkStart w:id="88" w:name="_Ref445224014"/>
      <w:bookmarkStart w:id="89" w:name="_Toc452111241"/>
      <w:bookmarkStart w:id="90" w:name="_Toc453058872"/>
      <w:r w:rsidRPr="00717523">
        <w:t xml:space="preserve">Figure </w:t>
      </w:r>
      <w:r w:rsidR="004B4E7B">
        <w:fldChar w:fldCharType="begin"/>
      </w:r>
      <w:r w:rsidR="004B4E7B">
        <w:instrText xml:space="preserve"> SEQ Figure \* ARABIC </w:instrText>
      </w:r>
      <w:r w:rsidR="004B4E7B">
        <w:fldChar w:fldCharType="separate"/>
      </w:r>
      <w:r w:rsidR="00CD2E1C">
        <w:rPr>
          <w:noProof/>
        </w:rPr>
        <w:t>18</w:t>
      </w:r>
      <w:r w:rsidR="004B4E7B">
        <w:rPr>
          <w:noProof/>
        </w:rPr>
        <w:fldChar w:fldCharType="end"/>
      </w:r>
      <w:bookmarkEnd w:id="88"/>
      <w:r w:rsidRPr="00717523">
        <w:t>: Rate of people residing in the most deprived neighbourhoods (quintile 5) who were patients at an emergency department at least once during the year</w:t>
      </w:r>
      <w:r>
        <w:t>,</w:t>
      </w:r>
      <w:r w:rsidRPr="00717523">
        <w:t xml:space="preserve"> by DHB of residence, 2010/11 and 2014/15</w:t>
      </w:r>
      <w:bookmarkEnd w:id="89"/>
      <w:bookmarkEnd w:id="90"/>
    </w:p>
    <w:p w14:paraId="49E363CC" w14:textId="77777777" w:rsidR="00C058BB" w:rsidRPr="00717523" w:rsidRDefault="00EE6751" w:rsidP="00C058BB">
      <w:r>
        <w:rPr>
          <w:noProof/>
          <w:lang w:eastAsia="en-NZ"/>
        </w:rPr>
        <w:drawing>
          <wp:inline distT="0" distB="0" distL="0" distR="0" wp14:anchorId="3C2DCA41" wp14:editId="0C1DB665">
            <wp:extent cx="5760000" cy="3834462"/>
            <wp:effectExtent l="0" t="0" r="0" b="0"/>
            <wp:docPr id="22" name="Picture 12" descr="Figure 18: Rate of people residing in the most deprived neighbourhoods (quintile 5) who were patients at an emergency department at least once during the year, by DHB of residence, 2010/11 an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8: Rate of people residing in the most deprived neighbourhoods (quintile 5) who were patients at an emergency department at least once during the year, by DHB of residence, 2010/11 and 2014/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00" cy="3834462"/>
                    </a:xfrm>
                    <a:prstGeom prst="rect">
                      <a:avLst/>
                    </a:prstGeom>
                    <a:noFill/>
                    <a:ln>
                      <a:noFill/>
                    </a:ln>
                  </pic:spPr>
                </pic:pic>
              </a:graphicData>
            </a:graphic>
          </wp:inline>
        </w:drawing>
      </w:r>
    </w:p>
    <w:p w14:paraId="3378546A" w14:textId="77777777" w:rsidR="00714982" w:rsidRDefault="00C058BB" w:rsidP="00433ACE">
      <w:pPr>
        <w:pStyle w:val="Note"/>
        <w:ind w:right="0"/>
      </w:pPr>
      <w:r w:rsidRPr="00717523">
        <w:t>Note: Rates presented are standardised to the WHO World Population.</w:t>
      </w:r>
    </w:p>
    <w:p w14:paraId="215865E1" w14:textId="655AC535" w:rsidR="00C058BB" w:rsidRPr="00931A37" w:rsidRDefault="00C058BB" w:rsidP="00433ACE">
      <w:r w:rsidRPr="00931A37">
        <w:lastRenderedPageBreak/>
        <w:t>At every level of neighbourhood deprivation, the age-specific rate of ED use among children was approximately 1.1 times the rate of ED use among adults. As with overall rates of ED</w:t>
      </w:r>
      <w:r w:rsidR="00E24C0D">
        <w:t xml:space="preserve"> use</w:t>
      </w:r>
      <w:r w:rsidRPr="00931A37">
        <w:t>, rates for both children and adults increased with each level of neighbourhood deprivation, the lowest being for people in least deprived neighbourhoods and the highest being for people in the most deprived neighbourhoods (</w:t>
      </w:r>
      <w:r w:rsidRPr="00717523">
        <w:t xml:space="preserve">Figure </w:t>
      </w:r>
      <w:r>
        <w:rPr>
          <w:noProof/>
        </w:rPr>
        <w:t>19</w:t>
      </w:r>
      <w:r w:rsidRPr="00931A37">
        <w:t>).</w:t>
      </w:r>
    </w:p>
    <w:p w14:paraId="57493B02" w14:textId="77777777" w:rsidR="00C058BB" w:rsidRPr="002A6EC9" w:rsidRDefault="00C058BB" w:rsidP="00433ACE">
      <w:pPr>
        <w:rPr>
          <w:sz w:val="18"/>
          <w:highlight w:val="yellow"/>
        </w:rPr>
      </w:pPr>
    </w:p>
    <w:p w14:paraId="2F69A680" w14:textId="77777777" w:rsidR="00C058BB" w:rsidRDefault="00C058BB" w:rsidP="00433ACE">
      <w:pPr>
        <w:pStyle w:val="Figure"/>
      </w:pPr>
      <w:bookmarkStart w:id="91" w:name="_Ref445212243"/>
      <w:bookmarkStart w:id="92" w:name="_Toc452111242"/>
      <w:bookmarkStart w:id="93" w:name="_Toc453058873"/>
      <w:r w:rsidRPr="00717523">
        <w:t xml:space="preserve">Figure </w:t>
      </w:r>
      <w:r w:rsidR="004B4E7B">
        <w:fldChar w:fldCharType="begin"/>
      </w:r>
      <w:r w:rsidR="004B4E7B">
        <w:instrText xml:space="preserve"> SEQ Figure \* ARABIC </w:instrText>
      </w:r>
      <w:r w:rsidR="004B4E7B">
        <w:fldChar w:fldCharType="separate"/>
      </w:r>
      <w:r w:rsidR="00CD2E1C">
        <w:rPr>
          <w:noProof/>
        </w:rPr>
        <w:t>19</w:t>
      </w:r>
      <w:r w:rsidR="004B4E7B">
        <w:rPr>
          <w:noProof/>
        </w:rPr>
        <w:fldChar w:fldCharType="end"/>
      </w:r>
      <w:bookmarkEnd w:id="91"/>
      <w:r w:rsidRPr="00717523">
        <w:t>: Rate of children and adults who were patients at an emergency department at least once during the year</w:t>
      </w:r>
      <w:r>
        <w:t>,</w:t>
      </w:r>
      <w:r w:rsidRPr="00717523">
        <w:t xml:space="preserve"> by neighbourhood deprivation quintile, 2010/11 and 2014/15</w:t>
      </w:r>
      <w:bookmarkEnd w:id="92"/>
      <w:bookmarkEnd w:id="93"/>
    </w:p>
    <w:p w14:paraId="6F0D23D4" w14:textId="316ECC47" w:rsidR="0057263B" w:rsidRDefault="0057263B" w:rsidP="00433ACE">
      <w:pPr>
        <w:pStyle w:val="Note"/>
        <w:ind w:right="0"/>
      </w:pPr>
      <w:r w:rsidRPr="0057263B">
        <w:rPr>
          <w:noProof/>
          <w:lang w:eastAsia="en-NZ"/>
        </w:rPr>
        <w:drawing>
          <wp:inline distT="0" distB="0" distL="0" distR="0" wp14:anchorId="4C4CB1CF" wp14:editId="475EE716">
            <wp:extent cx="5580000" cy="1921285"/>
            <wp:effectExtent l="0" t="0" r="1905" b="3175"/>
            <wp:docPr id="12" name="Picture 12" descr="Figure 19: Rate of children and adults who were patients at an emergency department at least once during the year, by neighbourhood deprivation quintile, 2010/11 an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0000" cy="1921285"/>
                    </a:xfrm>
                    <a:prstGeom prst="rect">
                      <a:avLst/>
                    </a:prstGeom>
                    <a:noFill/>
                    <a:ln>
                      <a:noFill/>
                    </a:ln>
                  </pic:spPr>
                </pic:pic>
              </a:graphicData>
            </a:graphic>
          </wp:inline>
        </w:drawing>
      </w:r>
    </w:p>
    <w:p w14:paraId="3D52F979" w14:textId="77777777" w:rsidR="00C058BB" w:rsidRPr="00717523" w:rsidRDefault="00C058BB" w:rsidP="00433ACE">
      <w:pPr>
        <w:pStyle w:val="Note"/>
        <w:ind w:right="0"/>
      </w:pPr>
      <w:r w:rsidRPr="00717523">
        <w:t>Note: Rates presented are specific to the age group and not standardised.</w:t>
      </w:r>
    </w:p>
    <w:p w14:paraId="33397166" w14:textId="77777777" w:rsidR="00C058BB" w:rsidRPr="008F2D78" w:rsidRDefault="00C058BB" w:rsidP="00433ACE">
      <w:pPr>
        <w:rPr>
          <w:highlight w:val="yellow"/>
        </w:rPr>
      </w:pPr>
    </w:p>
    <w:p w14:paraId="3DC012BF" w14:textId="3F5E8767" w:rsidR="00C058BB" w:rsidRDefault="00C058BB" w:rsidP="00FD6615">
      <w:pPr>
        <w:keepLines/>
      </w:pPr>
      <w:r w:rsidRPr="005F37D9">
        <w:t>Age-standardised rates of ED increased gradually with each level of neighbourhood deprivation in all ethnic groups, except the Asian ethnic group (</w:t>
      </w:r>
      <w:r w:rsidRPr="00931A37">
        <w:t xml:space="preserve">Figure </w:t>
      </w:r>
      <w:r>
        <w:rPr>
          <w:noProof/>
        </w:rPr>
        <w:t>20</w:t>
      </w:r>
      <w:r w:rsidRPr="005F37D9">
        <w:t xml:space="preserve">). Rates of ED use for the Asian ethnic group were generally low across deprivation quintiles 1–4 (under 4.5 per 100 population), and noticeably higher </w:t>
      </w:r>
      <w:r w:rsidR="002A6EC9">
        <w:t>for</w:t>
      </w:r>
      <w:r w:rsidRPr="005F37D9">
        <w:t xml:space="preserve"> quintile 5, the most deprived neighbourhoods (6.6 </w:t>
      </w:r>
      <w:r>
        <w:t>per 100 population in 2014/15).</w:t>
      </w:r>
    </w:p>
    <w:p w14:paraId="25947EAF" w14:textId="77777777" w:rsidR="002A6EC9" w:rsidRPr="002A6EC9" w:rsidRDefault="002A6EC9" w:rsidP="00FD6615">
      <w:pPr>
        <w:keepLines/>
        <w:rPr>
          <w:sz w:val="18"/>
        </w:rPr>
      </w:pPr>
    </w:p>
    <w:p w14:paraId="58F25135" w14:textId="77777777" w:rsidR="00C058BB" w:rsidRDefault="00C058BB" w:rsidP="00433ACE">
      <w:pPr>
        <w:pStyle w:val="Figure"/>
      </w:pPr>
      <w:bookmarkStart w:id="94" w:name="_Ref445225126"/>
      <w:bookmarkStart w:id="95" w:name="_Toc452111243"/>
      <w:bookmarkStart w:id="96" w:name="_Toc453058874"/>
      <w:r w:rsidRPr="00931A37">
        <w:t xml:space="preserve">Figure </w:t>
      </w:r>
      <w:r w:rsidR="004B4E7B">
        <w:fldChar w:fldCharType="begin"/>
      </w:r>
      <w:r w:rsidR="004B4E7B">
        <w:instrText xml:space="preserve"> SEQ Figure \* ARABIC </w:instrText>
      </w:r>
      <w:r w:rsidR="004B4E7B">
        <w:fldChar w:fldCharType="separate"/>
      </w:r>
      <w:r w:rsidR="00CD2E1C">
        <w:rPr>
          <w:noProof/>
        </w:rPr>
        <w:t>20</w:t>
      </w:r>
      <w:r w:rsidR="004B4E7B">
        <w:rPr>
          <w:noProof/>
        </w:rPr>
        <w:fldChar w:fldCharType="end"/>
      </w:r>
      <w:bookmarkEnd w:id="94"/>
      <w:r w:rsidRPr="00931A37">
        <w:t>: Rate of people in each ethnic group who were patients at an emergency department at least once during the year</w:t>
      </w:r>
      <w:r>
        <w:t>,</w:t>
      </w:r>
      <w:r w:rsidRPr="00931A37">
        <w:t xml:space="preserve"> by neighbourhood deprivation quintile, 2010/11 and 2014/15</w:t>
      </w:r>
      <w:bookmarkEnd w:id="95"/>
      <w:bookmarkEnd w:id="96"/>
    </w:p>
    <w:p w14:paraId="22AC37E7" w14:textId="106ACCFE" w:rsidR="0057263B" w:rsidRPr="0057263B" w:rsidRDefault="0057263B" w:rsidP="002A6EC9">
      <w:r w:rsidRPr="002A6EC9">
        <w:rPr>
          <w:noProof/>
          <w:lang w:eastAsia="en-NZ"/>
        </w:rPr>
        <w:drawing>
          <wp:inline distT="0" distB="0" distL="0" distR="0" wp14:anchorId="0ADEEE65" wp14:editId="6B1033E9">
            <wp:extent cx="5580000" cy="3778803"/>
            <wp:effectExtent l="0" t="0" r="1905" b="0"/>
            <wp:docPr id="13" name="Picture 13" descr="Figure 20: Rate of people in each ethnic group who were patients at an emergency department at least once during the year, by neighbourhood deprivation quintile, 2010/11 an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9">
                      <a:extLst>
                        <a:ext uri="{28A0092B-C50C-407E-A947-70E740481C1C}">
                          <a14:useLocalDpi xmlns:a14="http://schemas.microsoft.com/office/drawing/2010/main" val="0"/>
                        </a:ext>
                      </a:extLst>
                    </a:blip>
                    <a:srcRect l="988" b="2399"/>
                    <a:stretch/>
                  </pic:blipFill>
                  <pic:spPr bwMode="auto">
                    <a:xfrm>
                      <a:off x="0" y="0"/>
                      <a:ext cx="5580000" cy="3778803"/>
                    </a:xfrm>
                    <a:prstGeom prst="rect">
                      <a:avLst/>
                    </a:prstGeom>
                    <a:noFill/>
                    <a:ln>
                      <a:noFill/>
                    </a:ln>
                    <a:extLst>
                      <a:ext uri="{53640926-AAD7-44D8-BBD7-CCE9431645EC}">
                        <a14:shadowObscured xmlns:a14="http://schemas.microsoft.com/office/drawing/2010/main"/>
                      </a:ext>
                    </a:extLst>
                  </pic:spPr>
                </pic:pic>
              </a:graphicData>
            </a:graphic>
          </wp:inline>
        </w:drawing>
      </w:r>
    </w:p>
    <w:p w14:paraId="6BFEFA8E" w14:textId="77777777" w:rsidR="00C058BB" w:rsidRPr="00931A37" w:rsidRDefault="00C058BB" w:rsidP="00433ACE">
      <w:pPr>
        <w:pStyle w:val="Note"/>
        <w:ind w:right="0"/>
      </w:pPr>
      <w:r w:rsidRPr="00931A37">
        <w:t xml:space="preserve">Note: Rates presented </w:t>
      </w:r>
      <w:r>
        <w:t xml:space="preserve">are </w:t>
      </w:r>
      <w:r w:rsidRPr="00931A37">
        <w:t>standardised to the WHO World Standard Population.</w:t>
      </w:r>
    </w:p>
    <w:p w14:paraId="1B5D9E09" w14:textId="77777777" w:rsidR="00C058BB" w:rsidRPr="00D75880" w:rsidRDefault="00C058BB" w:rsidP="00433ACE">
      <w:pPr>
        <w:pStyle w:val="Heading2"/>
      </w:pPr>
      <w:bookmarkStart w:id="97" w:name="_Toc452111280"/>
      <w:bookmarkStart w:id="98" w:name="_Toc453058832"/>
      <w:r w:rsidRPr="00D75880">
        <w:lastRenderedPageBreak/>
        <w:t>Frequency of emergency department use</w:t>
      </w:r>
      <w:bookmarkEnd w:id="97"/>
      <w:bookmarkEnd w:id="98"/>
    </w:p>
    <w:p w14:paraId="71846FAC" w14:textId="77777777" w:rsidR="00433ACE" w:rsidRDefault="00433ACE" w:rsidP="00310418">
      <w:pPr>
        <w:pStyle w:val="Box"/>
        <w:keepNext/>
      </w:pPr>
      <w:r w:rsidRPr="00D75880">
        <w:rPr>
          <w:b/>
        </w:rPr>
        <w:t>Single use patients</w:t>
      </w:r>
      <w:r w:rsidRPr="00D75880">
        <w:t xml:space="preserve"> are people who were patients at an ED once during the year.</w:t>
      </w:r>
    </w:p>
    <w:p w14:paraId="00BD005D" w14:textId="77777777" w:rsidR="00433ACE" w:rsidRPr="008F2D78" w:rsidRDefault="00433ACE" w:rsidP="00310418">
      <w:pPr>
        <w:pStyle w:val="Box"/>
        <w:keepNext/>
        <w:rPr>
          <w:highlight w:val="yellow"/>
        </w:rPr>
      </w:pPr>
      <w:r w:rsidRPr="00D75880">
        <w:rPr>
          <w:b/>
        </w:rPr>
        <w:t>Repeat use patients</w:t>
      </w:r>
      <w:r w:rsidRPr="00D75880">
        <w:t xml:space="preserve"> are people who were patients at an ED two or more times during the year.</w:t>
      </w:r>
    </w:p>
    <w:p w14:paraId="6DC3B265" w14:textId="77777777" w:rsidR="00C058BB" w:rsidRPr="008F2D78" w:rsidRDefault="00C058BB" w:rsidP="00310418">
      <w:pPr>
        <w:keepNext/>
        <w:rPr>
          <w:highlight w:val="yellow"/>
        </w:rPr>
      </w:pPr>
    </w:p>
    <w:p w14:paraId="079FB8E5" w14:textId="01EC6C83" w:rsidR="00C058BB" w:rsidRPr="00D75880" w:rsidRDefault="00C058BB" w:rsidP="00310418">
      <w:pPr>
        <w:keepNext/>
      </w:pPr>
      <w:r w:rsidRPr="00D75880">
        <w:t xml:space="preserve">Over 200,000 people were patients at an ED two or more times during 2014/15, including 1579 people (0.2%) who used an ED more than 10 times over the 12-month period. The vast majority of </w:t>
      </w:r>
      <w:r w:rsidR="00E064D0">
        <w:t>ED patients only presented</w:t>
      </w:r>
      <w:r w:rsidRPr="00D75880">
        <w:t xml:space="preserve"> once during the year (Figure</w:t>
      </w:r>
      <w:r w:rsidR="00433ACE">
        <w:t> </w:t>
      </w:r>
      <w:r>
        <w:rPr>
          <w:noProof/>
        </w:rPr>
        <w:t>21</w:t>
      </w:r>
      <w:r w:rsidRPr="00D75880">
        <w:t>).</w:t>
      </w:r>
    </w:p>
    <w:p w14:paraId="1584CCEF" w14:textId="77777777" w:rsidR="00C058BB" w:rsidRPr="00D75880" w:rsidRDefault="00C058BB" w:rsidP="00310418">
      <w:pPr>
        <w:keepNext/>
      </w:pPr>
    </w:p>
    <w:p w14:paraId="22B6B8F4" w14:textId="77777777" w:rsidR="00C058BB" w:rsidRPr="00D75880" w:rsidRDefault="00C058BB" w:rsidP="00433ACE">
      <w:pPr>
        <w:pStyle w:val="Figure"/>
      </w:pPr>
      <w:bookmarkStart w:id="99" w:name="_Ref445307832"/>
      <w:bookmarkStart w:id="100" w:name="_Toc452111244"/>
      <w:bookmarkStart w:id="101" w:name="_Toc453058875"/>
      <w:r w:rsidRPr="00D75880">
        <w:t xml:space="preserve">Figure </w:t>
      </w:r>
      <w:r w:rsidR="004B4E7B">
        <w:fldChar w:fldCharType="begin"/>
      </w:r>
      <w:r w:rsidR="004B4E7B">
        <w:instrText xml:space="preserve"> SEQ Figure \* ARABIC </w:instrText>
      </w:r>
      <w:r w:rsidR="004B4E7B">
        <w:fldChar w:fldCharType="separate"/>
      </w:r>
      <w:r w:rsidR="00CD2E1C">
        <w:rPr>
          <w:noProof/>
        </w:rPr>
        <w:t>21</w:t>
      </w:r>
      <w:r w:rsidR="004B4E7B">
        <w:rPr>
          <w:noProof/>
        </w:rPr>
        <w:fldChar w:fldCharType="end"/>
      </w:r>
      <w:bookmarkEnd w:id="99"/>
      <w:r w:rsidRPr="00D75880">
        <w:t>: Distribution of people who were patients at an emergency department at least once during the year, by the number of visits, 2014/15</w:t>
      </w:r>
      <w:bookmarkEnd w:id="100"/>
      <w:bookmarkEnd w:id="101"/>
    </w:p>
    <w:p w14:paraId="56E23118" w14:textId="4E7A8768" w:rsidR="00C058BB" w:rsidRPr="00D75880" w:rsidRDefault="004B4E7B" w:rsidP="00AD429D">
      <w:r>
        <w:rPr>
          <w:noProof/>
          <w:lang w:eastAsia="en-NZ"/>
        </w:rPr>
        <w:pict w14:anchorId="631C9C30">
          <v:shape id="_x0000_i1035" type="#_x0000_t75" alt="Figure 21: Distribution of people who were patients at an emergency department at least once during the year, by the number of visits, 2014/15" style="width:339.75pt;height:198pt">
            <v:imagedata r:id="rId40" o:title=""/>
          </v:shape>
        </w:pict>
      </w:r>
    </w:p>
    <w:p w14:paraId="3E82585C" w14:textId="77777777" w:rsidR="00714982" w:rsidRDefault="00C058BB" w:rsidP="00433ACE">
      <w:pPr>
        <w:pStyle w:val="Note"/>
      </w:pPr>
      <w:r w:rsidRPr="00D75880">
        <w:t>Note: The number on each bar is the number of people.</w:t>
      </w:r>
    </w:p>
    <w:p w14:paraId="298497D1" w14:textId="77777777" w:rsidR="00C058BB" w:rsidRPr="008F2D78" w:rsidRDefault="00C058BB" w:rsidP="00433ACE">
      <w:pPr>
        <w:rPr>
          <w:highlight w:val="yellow"/>
        </w:rPr>
      </w:pPr>
    </w:p>
    <w:p w14:paraId="5EC0F0F6" w14:textId="77777777" w:rsidR="00C058BB" w:rsidRDefault="00C058BB" w:rsidP="00433ACE">
      <w:r w:rsidRPr="00DA5FFE">
        <w:t xml:space="preserve">One in every 10 people in New Zealand were patients at an ED once during 2014/15 (age-standardised rate of 10.7 per 100 population), while one in every 25 people in New Zealand were patients at an ED two or more times during the year (4.2 per 100 population). </w:t>
      </w:r>
      <w:r>
        <w:t>F</w:t>
      </w:r>
      <w:r w:rsidRPr="00DA5FFE">
        <w:t>rom 2010/11 to 2014/15</w:t>
      </w:r>
      <w:r>
        <w:t xml:space="preserve"> t</w:t>
      </w:r>
      <w:r w:rsidRPr="00DA5FFE">
        <w:t xml:space="preserve">he rate of ED use increased </w:t>
      </w:r>
      <w:r>
        <w:t>by 2.7%</w:t>
      </w:r>
      <w:r w:rsidRPr="00DA5FFE">
        <w:t xml:space="preserve"> among single use</w:t>
      </w:r>
      <w:r>
        <w:t xml:space="preserve"> patients,</w:t>
      </w:r>
      <w:r w:rsidRPr="00DA5FFE">
        <w:t xml:space="preserve"> and</w:t>
      </w:r>
      <w:r>
        <w:t xml:space="preserve"> by 5.2% among</w:t>
      </w:r>
      <w:r w:rsidRPr="00DA5FFE">
        <w:t xml:space="preserve"> repeat use patients (</w:t>
      </w:r>
      <w:r w:rsidRPr="00D75880">
        <w:t xml:space="preserve">Figure </w:t>
      </w:r>
      <w:r>
        <w:rPr>
          <w:noProof/>
        </w:rPr>
        <w:t>22</w:t>
      </w:r>
      <w:r w:rsidRPr="00DA5FFE">
        <w:t>).</w:t>
      </w:r>
    </w:p>
    <w:p w14:paraId="0108526D" w14:textId="77777777" w:rsidR="00C058BB" w:rsidRDefault="00C058BB" w:rsidP="00433ACE"/>
    <w:p w14:paraId="374EE056" w14:textId="77777777" w:rsidR="00C058BB" w:rsidRPr="00D75880" w:rsidRDefault="00C058BB" w:rsidP="00433ACE">
      <w:pPr>
        <w:pStyle w:val="Figure"/>
      </w:pPr>
      <w:bookmarkStart w:id="102" w:name="_Ref445308462"/>
      <w:bookmarkStart w:id="103" w:name="_Toc452111245"/>
      <w:bookmarkStart w:id="104" w:name="_Toc453058876"/>
      <w:r w:rsidRPr="00D75880">
        <w:lastRenderedPageBreak/>
        <w:t xml:space="preserve">Figure </w:t>
      </w:r>
      <w:r w:rsidR="004B4E7B">
        <w:fldChar w:fldCharType="begin"/>
      </w:r>
      <w:r w:rsidR="004B4E7B">
        <w:instrText xml:space="preserve"> SEQ Figure \* ARABIC </w:instrText>
      </w:r>
      <w:r w:rsidR="004B4E7B">
        <w:fldChar w:fldCharType="separate"/>
      </w:r>
      <w:r w:rsidR="00CD2E1C">
        <w:rPr>
          <w:noProof/>
        </w:rPr>
        <w:t>22</w:t>
      </w:r>
      <w:r w:rsidR="004B4E7B">
        <w:rPr>
          <w:noProof/>
        </w:rPr>
        <w:fldChar w:fldCharType="end"/>
      </w:r>
      <w:bookmarkEnd w:id="102"/>
      <w:r w:rsidRPr="00D75880">
        <w:t>: Rate of single use and repeat use patients at an emergency department, 2010/11–2014/15</w:t>
      </w:r>
      <w:bookmarkEnd w:id="103"/>
      <w:bookmarkEnd w:id="104"/>
    </w:p>
    <w:p w14:paraId="68011AAF" w14:textId="1BB50AAC" w:rsidR="00C058BB" w:rsidRPr="00D75880" w:rsidRDefault="004B4E7B" w:rsidP="005724F6">
      <w:r>
        <w:rPr>
          <w:noProof/>
          <w:lang w:eastAsia="en-NZ"/>
        </w:rPr>
        <w:pict w14:anchorId="22C6924A">
          <v:shape id="_x0000_i1036" type="#_x0000_t75" alt="Figure 22: Rate of single use and repeat use patients at an emergency department, 2010/11–2014/15" style="width:339.75pt;height:198pt">
            <v:imagedata r:id="rId41" o:title=""/>
          </v:shape>
        </w:pict>
      </w:r>
    </w:p>
    <w:p w14:paraId="6B1A6B1A" w14:textId="45B219CB" w:rsidR="00E60052" w:rsidRDefault="00C058BB" w:rsidP="006F4D5D">
      <w:pPr>
        <w:pStyle w:val="Note"/>
      </w:pPr>
      <w:r w:rsidRPr="00D75880">
        <w:t>Note: Rates presented</w:t>
      </w:r>
      <w:r>
        <w:t xml:space="preserve"> are</w:t>
      </w:r>
      <w:r w:rsidRPr="00D75880">
        <w:t xml:space="preserve"> standardised to the</w:t>
      </w:r>
      <w:r w:rsidR="006F4D5D">
        <w:t xml:space="preserve"> WHO World Standard Population.</w:t>
      </w:r>
    </w:p>
    <w:p w14:paraId="604EA2B0" w14:textId="77777777" w:rsidR="00E60052" w:rsidRDefault="00E60052" w:rsidP="00E60052"/>
    <w:p w14:paraId="6F8BC698" w14:textId="7B750881" w:rsidR="00E60052" w:rsidRPr="00564933" w:rsidRDefault="002A6EC9" w:rsidP="00E60052">
      <w:r>
        <w:t>In 2014/15, rates of single and repeated use of ED by DHB region showed a similar pattern</w:t>
      </w:r>
      <w:r w:rsidR="00134D6A">
        <w:t xml:space="preserve"> </w:t>
      </w:r>
      <w:r w:rsidR="00134D6A" w:rsidRPr="00564933">
        <w:t>(</w:t>
      </w:r>
      <w:r w:rsidR="00134D6A" w:rsidRPr="00717523">
        <w:t xml:space="preserve">Figure </w:t>
      </w:r>
      <w:r w:rsidR="00134D6A">
        <w:rPr>
          <w:noProof/>
        </w:rPr>
        <w:t>23</w:t>
      </w:r>
      <w:r w:rsidR="00134D6A" w:rsidRPr="00564933">
        <w:t xml:space="preserve"> and </w:t>
      </w:r>
      <w:r w:rsidR="00134D6A" w:rsidRPr="00717523">
        <w:t xml:space="preserve">Figure </w:t>
      </w:r>
      <w:r w:rsidR="00134D6A">
        <w:rPr>
          <w:noProof/>
        </w:rPr>
        <w:t>24</w:t>
      </w:r>
      <w:r w:rsidR="00134D6A" w:rsidRPr="00564933">
        <w:t>).</w:t>
      </w:r>
      <w:r>
        <w:t xml:space="preserve"> </w:t>
      </w:r>
      <w:r w:rsidR="00E60052" w:rsidRPr="00564933">
        <w:t xml:space="preserve">The less populated DHB regions had higher rates of </w:t>
      </w:r>
      <w:r w:rsidR="00134D6A">
        <w:t xml:space="preserve">both </w:t>
      </w:r>
      <w:r w:rsidR="00E60052" w:rsidRPr="00564933">
        <w:t xml:space="preserve">single use </w:t>
      </w:r>
      <w:r w:rsidR="00134D6A">
        <w:t>an</w:t>
      </w:r>
      <w:r w:rsidR="00E60052" w:rsidRPr="00564933">
        <w:t>d repeated use of ED: Lakes, Tairāwhiti, Hawke</w:t>
      </w:r>
      <w:r w:rsidR="00E60052">
        <w:t>’</w:t>
      </w:r>
      <w:r w:rsidR="00E60052" w:rsidRPr="00564933">
        <w:t>s Bay, Wairarapa and West Coast. Conversely, the more populated DHB regions had lower rates of both single use and repeated use of ED: Waitemata, Auckland, Counties Manukau,</w:t>
      </w:r>
      <w:r w:rsidR="00134D6A">
        <w:t xml:space="preserve"> Capital &amp; Coast and Canterbury.</w:t>
      </w:r>
    </w:p>
    <w:p w14:paraId="25C27313" w14:textId="77777777" w:rsidR="00C058BB" w:rsidRPr="008F2D78" w:rsidRDefault="00C058BB" w:rsidP="00433ACE">
      <w:pPr>
        <w:rPr>
          <w:highlight w:val="yellow"/>
        </w:rPr>
      </w:pPr>
    </w:p>
    <w:p w14:paraId="2FC577CB" w14:textId="77777777" w:rsidR="00C058BB" w:rsidRPr="00717523" w:rsidRDefault="00C058BB" w:rsidP="00433ACE">
      <w:pPr>
        <w:pStyle w:val="Figure"/>
      </w:pPr>
      <w:bookmarkStart w:id="105" w:name="_Ref445814991"/>
      <w:bookmarkStart w:id="106" w:name="_Toc452111246"/>
      <w:bookmarkStart w:id="107" w:name="_Toc453058877"/>
      <w:r w:rsidRPr="00717523">
        <w:t xml:space="preserve">Figure </w:t>
      </w:r>
      <w:r w:rsidR="004B4E7B">
        <w:fldChar w:fldCharType="begin"/>
      </w:r>
      <w:r w:rsidR="004B4E7B">
        <w:instrText xml:space="preserve"> SEQ Figure \* ARABIC </w:instrText>
      </w:r>
      <w:r w:rsidR="004B4E7B">
        <w:fldChar w:fldCharType="separate"/>
      </w:r>
      <w:r w:rsidR="00CD2E1C">
        <w:rPr>
          <w:noProof/>
        </w:rPr>
        <w:t>23</w:t>
      </w:r>
      <w:r w:rsidR="004B4E7B">
        <w:rPr>
          <w:noProof/>
        </w:rPr>
        <w:fldChar w:fldCharType="end"/>
      </w:r>
      <w:bookmarkEnd w:id="105"/>
      <w:r w:rsidRPr="00717523">
        <w:t xml:space="preserve">: Rate of </w:t>
      </w:r>
      <w:r>
        <w:t xml:space="preserve">people who were patients at an </w:t>
      </w:r>
      <w:r w:rsidRPr="00717523">
        <w:t>emergency department</w:t>
      </w:r>
      <w:r>
        <w:t xml:space="preserve"> once during the year (single use), </w:t>
      </w:r>
      <w:r w:rsidRPr="00717523">
        <w:t>by DHB of residence, 2010/11 and 2014/15</w:t>
      </w:r>
      <w:bookmarkEnd w:id="106"/>
      <w:bookmarkEnd w:id="107"/>
    </w:p>
    <w:p w14:paraId="4591830F" w14:textId="298054D0" w:rsidR="00C058BB" w:rsidRPr="00717523" w:rsidRDefault="00134D6A" w:rsidP="00C058BB">
      <w:r>
        <w:rPr>
          <w:noProof/>
          <w:lang w:eastAsia="en-NZ"/>
        </w:rPr>
        <w:drawing>
          <wp:inline distT="0" distB="0" distL="0" distR="0" wp14:anchorId="3B4284E8" wp14:editId="0A2A99A2">
            <wp:extent cx="5760000" cy="3832201"/>
            <wp:effectExtent l="0" t="0" r="0" b="0"/>
            <wp:docPr id="4" name="Picture 4" descr="Figure 23: Rate of people who were patients at an emergency department once during the year (single use), by DHB of residence, 2010/11 an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HB_byYearChange_8SingleRate.jpg"/>
                    <pic:cNvPicPr/>
                  </pic:nvPicPr>
                  <pic:blipFill>
                    <a:blip r:embed="rId42">
                      <a:extLst>
                        <a:ext uri="{28A0092B-C50C-407E-A947-70E740481C1C}">
                          <a14:useLocalDpi xmlns:a14="http://schemas.microsoft.com/office/drawing/2010/main" val="0"/>
                        </a:ext>
                      </a:extLst>
                    </a:blip>
                    <a:stretch>
                      <a:fillRect/>
                    </a:stretch>
                  </pic:blipFill>
                  <pic:spPr>
                    <a:xfrm>
                      <a:off x="0" y="0"/>
                      <a:ext cx="5760000" cy="3832201"/>
                    </a:xfrm>
                    <a:prstGeom prst="rect">
                      <a:avLst/>
                    </a:prstGeom>
                  </pic:spPr>
                </pic:pic>
              </a:graphicData>
            </a:graphic>
          </wp:inline>
        </w:drawing>
      </w:r>
    </w:p>
    <w:p w14:paraId="7A5DA7E5" w14:textId="77777777" w:rsidR="00714982" w:rsidRDefault="00C058BB" w:rsidP="00433ACE">
      <w:pPr>
        <w:pStyle w:val="Note"/>
        <w:ind w:right="0"/>
      </w:pPr>
      <w:r w:rsidRPr="00717523">
        <w:t>Note: Rates presented are standardised to the WHO World Population.</w:t>
      </w:r>
    </w:p>
    <w:p w14:paraId="75FEE709" w14:textId="77777777" w:rsidR="00C058BB" w:rsidRPr="00717523" w:rsidRDefault="00C058BB" w:rsidP="00433ACE"/>
    <w:p w14:paraId="4EF2455F" w14:textId="77777777" w:rsidR="00C058BB" w:rsidRPr="00717523" w:rsidRDefault="00C058BB" w:rsidP="00433ACE">
      <w:pPr>
        <w:pStyle w:val="Figure"/>
      </w:pPr>
      <w:bookmarkStart w:id="108" w:name="_Ref445814998"/>
      <w:bookmarkStart w:id="109" w:name="_Toc452111247"/>
      <w:bookmarkStart w:id="110" w:name="_Toc453058878"/>
      <w:r w:rsidRPr="00717523">
        <w:lastRenderedPageBreak/>
        <w:t xml:space="preserve">Figure </w:t>
      </w:r>
      <w:r w:rsidR="004B4E7B">
        <w:fldChar w:fldCharType="begin"/>
      </w:r>
      <w:r w:rsidR="004B4E7B">
        <w:instrText xml:space="preserve"> SEQ Figure \* ARABIC </w:instrText>
      </w:r>
      <w:r w:rsidR="004B4E7B">
        <w:fldChar w:fldCharType="separate"/>
      </w:r>
      <w:r w:rsidR="00CD2E1C">
        <w:rPr>
          <w:noProof/>
        </w:rPr>
        <w:t>24</w:t>
      </w:r>
      <w:r w:rsidR="004B4E7B">
        <w:rPr>
          <w:noProof/>
        </w:rPr>
        <w:fldChar w:fldCharType="end"/>
      </w:r>
      <w:bookmarkEnd w:id="108"/>
      <w:r w:rsidRPr="00717523">
        <w:t xml:space="preserve">: Rate of </w:t>
      </w:r>
      <w:r>
        <w:t xml:space="preserve">people who were patients at an </w:t>
      </w:r>
      <w:r w:rsidRPr="00717523">
        <w:t>emergency department</w:t>
      </w:r>
      <w:r>
        <w:t xml:space="preserve"> more than once during the year (repeat use), </w:t>
      </w:r>
      <w:r w:rsidRPr="00717523">
        <w:t>by DHB of residence, 2010/11 and 2014/15</w:t>
      </w:r>
      <w:bookmarkEnd w:id="109"/>
      <w:bookmarkEnd w:id="110"/>
    </w:p>
    <w:p w14:paraId="3F5C2627" w14:textId="77777777" w:rsidR="00C058BB" w:rsidRPr="008F2D78" w:rsidRDefault="00EE6751" w:rsidP="00C058BB">
      <w:pPr>
        <w:rPr>
          <w:highlight w:val="yellow"/>
        </w:rPr>
      </w:pPr>
      <w:r>
        <w:rPr>
          <w:noProof/>
          <w:lang w:eastAsia="en-NZ"/>
        </w:rPr>
        <w:drawing>
          <wp:inline distT="0" distB="0" distL="0" distR="0" wp14:anchorId="79048ABC" wp14:editId="1E61A5B6">
            <wp:extent cx="5760000" cy="3837377"/>
            <wp:effectExtent l="0" t="0" r="0" b="0"/>
            <wp:docPr id="32" name="Picture 18" descr="Figure 24: Rate of people who were patients at an emergency department more than once during the year (repeat use), by DHB of residence, 2010/11 an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24: Rate of people who were patients at an emergency department more than once during the year (repeat use), by DHB of residence, 2010/11 and 2014/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00" cy="3837377"/>
                    </a:xfrm>
                    <a:prstGeom prst="rect">
                      <a:avLst/>
                    </a:prstGeom>
                    <a:noFill/>
                    <a:ln>
                      <a:noFill/>
                    </a:ln>
                  </pic:spPr>
                </pic:pic>
              </a:graphicData>
            </a:graphic>
          </wp:inline>
        </w:drawing>
      </w:r>
    </w:p>
    <w:p w14:paraId="4D307B70" w14:textId="77777777" w:rsidR="00714982" w:rsidRDefault="00C058BB" w:rsidP="00433ACE">
      <w:pPr>
        <w:pStyle w:val="Note"/>
        <w:ind w:right="0"/>
      </w:pPr>
      <w:r w:rsidRPr="00717523">
        <w:t>Note: Rates presented are standardised to the WHO World Population.</w:t>
      </w:r>
    </w:p>
    <w:p w14:paraId="57FC4649" w14:textId="77777777" w:rsidR="00C058BB" w:rsidRPr="008F2D78" w:rsidRDefault="00C058BB" w:rsidP="00433ACE">
      <w:pPr>
        <w:rPr>
          <w:highlight w:val="yellow"/>
        </w:rPr>
      </w:pPr>
    </w:p>
    <w:p w14:paraId="04214D1E" w14:textId="1865991C" w:rsidR="00714982" w:rsidRDefault="00C058BB" w:rsidP="00433ACE">
      <w:r w:rsidRPr="0020458D">
        <w:t>The rate of children who were patients at an ED once during 2014/15 was 12.3 per 100</w:t>
      </w:r>
      <w:r w:rsidR="006F4D5D">
        <w:t xml:space="preserve"> </w:t>
      </w:r>
      <w:r w:rsidRPr="0020458D">
        <w:t>population. This was higher than the corresponding rate among adults (10.3 per 100</w:t>
      </w:r>
      <w:r w:rsidR="006F4D5D">
        <w:t xml:space="preserve"> </w:t>
      </w:r>
      <w:r w:rsidRPr="0020458D">
        <w:t>population). Rates of repeated use of ED were similar among children and adults, at</w:t>
      </w:r>
      <w:r w:rsidR="006F4D5D">
        <w:t xml:space="preserve"> </w:t>
      </w:r>
      <w:r w:rsidRPr="0020458D">
        <w:t xml:space="preserve">4.1–4.6 </w:t>
      </w:r>
      <w:r w:rsidRPr="006F4D5D">
        <w:t>per</w:t>
      </w:r>
      <w:r w:rsidR="006F4D5D">
        <w:t> </w:t>
      </w:r>
      <w:r w:rsidRPr="006F4D5D">
        <w:t>100</w:t>
      </w:r>
      <w:r w:rsidRPr="0020458D">
        <w:t xml:space="preserve"> population annually (</w:t>
      </w:r>
      <w:r w:rsidRPr="00564933">
        <w:t xml:space="preserve">Figure </w:t>
      </w:r>
      <w:r>
        <w:rPr>
          <w:noProof/>
        </w:rPr>
        <w:t>25</w:t>
      </w:r>
      <w:r w:rsidRPr="0020458D">
        <w:t>).</w:t>
      </w:r>
    </w:p>
    <w:p w14:paraId="0C982F46" w14:textId="77777777" w:rsidR="00C058BB" w:rsidRPr="0020458D" w:rsidRDefault="00C058BB" w:rsidP="00433ACE"/>
    <w:p w14:paraId="455A4CD2" w14:textId="77777777" w:rsidR="00C058BB" w:rsidRDefault="00C058BB" w:rsidP="00433ACE">
      <w:pPr>
        <w:pStyle w:val="Figure"/>
      </w:pPr>
      <w:bookmarkStart w:id="111" w:name="_Ref445309132"/>
      <w:bookmarkStart w:id="112" w:name="_Toc452111248"/>
      <w:bookmarkStart w:id="113" w:name="_Toc453058879"/>
      <w:r w:rsidRPr="00564933">
        <w:t xml:space="preserve">Figure </w:t>
      </w:r>
      <w:r w:rsidR="004B4E7B">
        <w:fldChar w:fldCharType="begin"/>
      </w:r>
      <w:r w:rsidR="004B4E7B">
        <w:instrText xml:space="preserve"> SEQ Figure \* ARABIC </w:instrText>
      </w:r>
      <w:r w:rsidR="004B4E7B">
        <w:fldChar w:fldCharType="separate"/>
      </w:r>
      <w:r w:rsidR="00CD2E1C">
        <w:rPr>
          <w:noProof/>
        </w:rPr>
        <w:t>25</w:t>
      </w:r>
      <w:r w:rsidR="004B4E7B">
        <w:rPr>
          <w:noProof/>
        </w:rPr>
        <w:fldChar w:fldCharType="end"/>
      </w:r>
      <w:bookmarkEnd w:id="111"/>
      <w:r w:rsidRPr="00564933">
        <w:t>: Rate of children and adult</w:t>
      </w:r>
      <w:r>
        <w:t>s</w:t>
      </w:r>
      <w:r w:rsidRPr="00564933">
        <w:t xml:space="preserve"> </w:t>
      </w:r>
      <w:r>
        <w:t>who had single and repeated use of</w:t>
      </w:r>
      <w:r w:rsidRPr="00564933">
        <w:t xml:space="preserve"> emergency department </w:t>
      </w:r>
      <w:r>
        <w:t>services</w:t>
      </w:r>
      <w:r w:rsidRPr="00564933">
        <w:t>, 2010/11 and 2014/15</w:t>
      </w:r>
      <w:bookmarkEnd w:id="112"/>
      <w:bookmarkEnd w:id="113"/>
    </w:p>
    <w:p w14:paraId="7267A409" w14:textId="784A570E" w:rsidR="00A46BB6" w:rsidRPr="00A46BB6" w:rsidRDefault="00A46BB6" w:rsidP="00A46BB6">
      <w:r w:rsidRPr="00A46BB6">
        <w:rPr>
          <w:noProof/>
          <w:lang w:eastAsia="en-NZ"/>
        </w:rPr>
        <w:drawing>
          <wp:inline distT="0" distB="0" distL="0" distR="0" wp14:anchorId="1C24EB97" wp14:editId="237D91A1">
            <wp:extent cx="5760000" cy="1957463"/>
            <wp:effectExtent l="0" t="0" r="0" b="5080"/>
            <wp:docPr id="15" name="Picture 15" descr="Figure 25: Rate of children and adults who had single and repeated use of emergency department services, 2010/11 an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00" cy="1957463"/>
                    </a:xfrm>
                    <a:prstGeom prst="rect">
                      <a:avLst/>
                    </a:prstGeom>
                    <a:noFill/>
                    <a:ln>
                      <a:noFill/>
                    </a:ln>
                  </pic:spPr>
                </pic:pic>
              </a:graphicData>
            </a:graphic>
          </wp:inline>
        </w:drawing>
      </w:r>
    </w:p>
    <w:p w14:paraId="561C3403" w14:textId="77777777" w:rsidR="00C058BB" w:rsidRPr="00564933" w:rsidRDefault="00C058BB" w:rsidP="00433ACE">
      <w:pPr>
        <w:pStyle w:val="Note"/>
        <w:ind w:right="0"/>
      </w:pPr>
      <w:r w:rsidRPr="00564933">
        <w:t>Note: Rates presented are specific to the age group and not standardised.</w:t>
      </w:r>
    </w:p>
    <w:p w14:paraId="13044CA8" w14:textId="43C42250" w:rsidR="00E60052" w:rsidRDefault="00E60052">
      <w:pPr>
        <w:spacing w:line="240" w:lineRule="auto"/>
        <w:rPr>
          <w:highlight w:val="yellow"/>
        </w:rPr>
      </w:pPr>
      <w:r>
        <w:rPr>
          <w:highlight w:val="yellow"/>
        </w:rPr>
        <w:br w:type="page"/>
      </w:r>
    </w:p>
    <w:p w14:paraId="26FD7C49" w14:textId="61BB2E06" w:rsidR="00C058BB" w:rsidRDefault="00C058BB" w:rsidP="008306A9">
      <w:pPr>
        <w:keepNext/>
      </w:pPr>
      <w:r>
        <w:lastRenderedPageBreak/>
        <w:t xml:space="preserve">Rates of ED use by ethnic group showed similar patterns among both single use and repeated use patients, with higher rates among Māori and Pacific people and </w:t>
      </w:r>
      <w:r w:rsidR="00134D6A">
        <w:t>the lowest rate</w:t>
      </w:r>
      <w:r>
        <w:t xml:space="preserve"> among Asian</w:t>
      </w:r>
      <w:r w:rsidR="00E24C0D">
        <w:t xml:space="preserve"> people</w:t>
      </w:r>
      <w:r>
        <w:t xml:space="preserve"> </w:t>
      </w:r>
      <w:r w:rsidRPr="0020458D">
        <w:t xml:space="preserve">(Figure </w:t>
      </w:r>
      <w:r>
        <w:rPr>
          <w:noProof/>
        </w:rPr>
        <w:t>26</w:t>
      </w:r>
      <w:r w:rsidRPr="0020458D">
        <w:t>)</w:t>
      </w:r>
      <w:r>
        <w:t>. Ethnic disparities in the rate of ED use w</w:t>
      </w:r>
      <w:r w:rsidR="00E24C0D">
        <w:t>ere</w:t>
      </w:r>
      <w:r>
        <w:t xml:space="preserve"> more evident among repeat use patients. </w:t>
      </w:r>
      <w:r w:rsidR="00134D6A">
        <w:t>On average</w:t>
      </w:r>
      <w:r>
        <w:t>:</w:t>
      </w:r>
    </w:p>
    <w:p w14:paraId="6595B949" w14:textId="77777777" w:rsidR="00C058BB" w:rsidRDefault="00C058BB" w:rsidP="008306A9">
      <w:pPr>
        <w:pStyle w:val="Bullet"/>
        <w:keepNext/>
      </w:pPr>
      <w:r>
        <w:t>1 in every 8 Māori and Pacific people were patients at an ED once during the year, compared with 1 in every 15 Asian people.</w:t>
      </w:r>
    </w:p>
    <w:p w14:paraId="3BF20B46" w14:textId="77777777" w:rsidR="00C058BB" w:rsidRDefault="00C058BB" w:rsidP="00433ACE">
      <w:pPr>
        <w:pStyle w:val="Bullet"/>
      </w:pPr>
      <w:r>
        <w:t>1 in every 18 Māori and Pacific people were patients at an ED more than once during the year, compared with 1 in every 47 Asian people.</w:t>
      </w:r>
    </w:p>
    <w:p w14:paraId="4FA74988" w14:textId="77777777" w:rsidR="00C058BB" w:rsidRDefault="00C058BB" w:rsidP="00433ACE"/>
    <w:p w14:paraId="5FBCBCB9" w14:textId="77777777" w:rsidR="00C058BB" w:rsidRDefault="00C058BB" w:rsidP="00433ACE">
      <w:pPr>
        <w:pStyle w:val="Figure"/>
      </w:pPr>
      <w:bookmarkStart w:id="114" w:name="_Ref445821320"/>
      <w:bookmarkStart w:id="115" w:name="_Toc452111249"/>
      <w:bookmarkStart w:id="116" w:name="_Toc453058880"/>
      <w:r w:rsidRPr="0020458D">
        <w:t xml:space="preserve">Figure </w:t>
      </w:r>
      <w:r w:rsidR="004B4E7B">
        <w:fldChar w:fldCharType="begin"/>
      </w:r>
      <w:r w:rsidR="004B4E7B">
        <w:instrText xml:space="preserve"> SEQ Figure \* ARABIC </w:instrText>
      </w:r>
      <w:r w:rsidR="004B4E7B">
        <w:fldChar w:fldCharType="separate"/>
      </w:r>
      <w:r w:rsidR="00CD2E1C">
        <w:rPr>
          <w:noProof/>
        </w:rPr>
        <w:t>26</w:t>
      </w:r>
      <w:r w:rsidR="004B4E7B">
        <w:rPr>
          <w:noProof/>
        </w:rPr>
        <w:fldChar w:fldCharType="end"/>
      </w:r>
      <w:bookmarkEnd w:id="114"/>
      <w:r w:rsidRPr="0020458D">
        <w:t xml:space="preserve">: Rate of </w:t>
      </w:r>
      <w:r>
        <w:t>people</w:t>
      </w:r>
      <w:r w:rsidRPr="00564933">
        <w:t xml:space="preserve"> </w:t>
      </w:r>
      <w:r>
        <w:t>who had single and repeated use of</w:t>
      </w:r>
      <w:r w:rsidRPr="00564933">
        <w:t xml:space="preserve"> emergency department </w:t>
      </w:r>
      <w:r>
        <w:t>services</w:t>
      </w:r>
      <w:r w:rsidRPr="0020458D">
        <w:t>, by ethnic group, 2010/11 and 2014/15</w:t>
      </w:r>
      <w:bookmarkEnd w:id="115"/>
      <w:bookmarkEnd w:id="116"/>
    </w:p>
    <w:p w14:paraId="56FA9B56" w14:textId="412977C7" w:rsidR="00A46BB6" w:rsidRPr="00A46BB6" w:rsidRDefault="00A46BB6" w:rsidP="00A46BB6">
      <w:r w:rsidRPr="00A46BB6">
        <w:rPr>
          <w:noProof/>
          <w:lang w:eastAsia="en-NZ"/>
        </w:rPr>
        <w:drawing>
          <wp:inline distT="0" distB="0" distL="0" distR="0" wp14:anchorId="09BEBCE2" wp14:editId="467C8C1C">
            <wp:extent cx="5760000" cy="1957463"/>
            <wp:effectExtent l="0" t="0" r="0" b="5080"/>
            <wp:docPr id="18" name="Picture 18" descr="Figure 26: Rate of people who had single and repeated use of emergency department services, by ethnic group, 2010/11 an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00" cy="1957463"/>
                    </a:xfrm>
                    <a:prstGeom prst="rect">
                      <a:avLst/>
                    </a:prstGeom>
                    <a:noFill/>
                    <a:ln>
                      <a:noFill/>
                    </a:ln>
                  </pic:spPr>
                </pic:pic>
              </a:graphicData>
            </a:graphic>
          </wp:inline>
        </w:drawing>
      </w:r>
    </w:p>
    <w:p w14:paraId="129F10CB" w14:textId="77777777" w:rsidR="00714982" w:rsidRDefault="00C058BB" w:rsidP="00433ACE">
      <w:pPr>
        <w:pStyle w:val="Note"/>
        <w:ind w:right="0"/>
      </w:pPr>
      <w:r w:rsidRPr="0020458D">
        <w:t>Note: Rates presented are standardised to the WHO World Population.</w:t>
      </w:r>
    </w:p>
    <w:p w14:paraId="7B53EAB9" w14:textId="77777777" w:rsidR="00C058BB" w:rsidRDefault="00C058BB" w:rsidP="00433ACE"/>
    <w:p w14:paraId="5D60B723" w14:textId="77777777" w:rsidR="00C058BB" w:rsidRDefault="00C058BB" w:rsidP="00433ACE">
      <w:r>
        <w:t xml:space="preserve">Rates of ED use by neighbourhood deprivation quintile showed similar patterns among both single use and repeated use patients. The highest rates were for people residing in the most deprived neighbourhoods and the lowest rates were for those residing in the least deprived neighbourhoods </w:t>
      </w:r>
      <w:r w:rsidRPr="0051197C">
        <w:t>(</w:t>
      </w:r>
      <w:r w:rsidRPr="0020458D">
        <w:t xml:space="preserve">Figure </w:t>
      </w:r>
      <w:r>
        <w:rPr>
          <w:noProof/>
        </w:rPr>
        <w:t>27</w:t>
      </w:r>
      <w:r w:rsidRPr="0051197C">
        <w:t>).</w:t>
      </w:r>
      <w:r>
        <w:t xml:space="preserve"> Disparities between neighbourhood deprivation in the rate of ED use was more evident among repeat use patients. On average:</w:t>
      </w:r>
    </w:p>
    <w:p w14:paraId="625EA456" w14:textId="77777777" w:rsidR="00C058BB" w:rsidRDefault="00C058BB" w:rsidP="00433ACE">
      <w:pPr>
        <w:pStyle w:val="Bullet"/>
      </w:pPr>
      <w:r>
        <w:t>1 in every 7 people residing in the most deprived neighbourhoods (quintile 5) were patients at an ED once during the year, compared with 1 in every 15 people residing in the least deprived neighbourhoods.</w:t>
      </w:r>
    </w:p>
    <w:p w14:paraId="63D36349" w14:textId="77777777" w:rsidR="00C058BB" w:rsidRDefault="00C058BB" w:rsidP="00433ACE">
      <w:pPr>
        <w:pStyle w:val="Bullet"/>
      </w:pPr>
      <w:r>
        <w:t>1 in every 15 people residing in the most deprived neighbourhoods (quintile 5) were patients at an ED more than once during the year, compared with 1 in every 50 people residing in the least deprived neighbourhoods.</w:t>
      </w:r>
    </w:p>
    <w:p w14:paraId="3F94E4E0" w14:textId="77777777" w:rsidR="00C058BB" w:rsidRDefault="00C058BB" w:rsidP="00433ACE"/>
    <w:p w14:paraId="4E1D3ACB" w14:textId="77777777" w:rsidR="00C058BB" w:rsidRDefault="00C058BB" w:rsidP="00433ACE">
      <w:pPr>
        <w:pStyle w:val="Figure"/>
      </w:pPr>
      <w:bookmarkStart w:id="117" w:name="_Ref445823749"/>
      <w:bookmarkStart w:id="118" w:name="_Toc452111250"/>
      <w:bookmarkStart w:id="119" w:name="_Toc453058881"/>
      <w:r w:rsidRPr="0020458D">
        <w:t xml:space="preserve">Figure </w:t>
      </w:r>
      <w:r w:rsidR="004B4E7B">
        <w:fldChar w:fldCharType="begin"/>
      </w:r>
      <w:r w:rsidR="004B4E7B">
        <w:instrText xml:space="preserve"> SEQ Figure \* ARABIC </w:instrText>
      </w:r>
      <w:r w:rsidR="004B4E7B">
        <w:fldChar w:fldCharType="separate"/>
      </w:r>
      <w:r w:rsidR="00CD2E1C">
        <w:rPr>
          <w:noProof/>
        </w:rPr>
        <w:t>27</w:t>
      </w:r>
      <w:r w:rsidR="004B4E7B">
        <w:rPr>
          <w:noProof/>
        </w:rPr>
        <w:fldChar w:fldCharType="end"/>
      </w:r>
      <w:bookmarkEnd w:id="117"/>
      <w:r w:rsidRPr="0020458D">
        <w:t xml:space="preserve">: Rate of </w:t>
      </w:r>
      <w:r>
        <w:t>people</w:t>
      </w:r>
      <w:r w:rsidRPr="00564933">
        <w:t xml:space="preserve"> </w:t>
      </w:r>
      <w:r>
        <w:t>who had single and repeated use of</w:t>
      </w:r>
      <w:r w:rsidRPr="00564933">
        <w:t xml:space="preserve"> emergency department </w:t>
      </w:r>
      <w:r>
        <w:t>services</w:t>
      </w:r>
      <w:r w:rsidRPr="0020458D">
        <w:t>, by neighbourhood deprivation quintile, 2010/11 and 2014/15</w:t>
      </w:r>
      <w:bookmarkEnd w:id="118"/>
      <w:bookmarkEnd w:id="119"/>
    </w:p>
    <w:p w14:paraId="6EE4E2C9" w14:textId="549E6A6E" w:rsidR="00A46BB6" w:rsidRPr="00A46BB6" w:rsidRDefault="00A46BB6" w:rsidP="00A46BB6">
      <w:r w:rsidRPr="00A46BB6">
        <w:rPr>
          <w:noProof/>
          <w:lang w:eastAsia="en-NZ"/>
        </w:rPr>
        <w:drawing>
          <wp:inline distT="0" distB="0" distL="0" distR="0" wp14:anchorId="658F7698" wp14:editId="62B8037D">
            <wp:extent cx="5760000" cy="1957463"/>
            <wp:effectExtent l="0" t="0" r="0" b="5080"/>
            <wp:docPr id="20" name="Picture 20" descr="Figure 27: Rate of people who had single and repeated use of emergency department services, by neighbourhood deprivation quintile, 2010/11 an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00" cy="1957463"/>
                    </a:xfrm>
                    <a:prstGeom prst="rect">
                      <a:avLst/>
                    </a:prstGeom>
                    <a:noFill/>
                    <a:ln>
                      <a:noFill/>
                    </a:ln>
                  </pic:spPr>
                </pic:pic>
              </a:graphicData>
            </a:graphic>
          </wp:inline>
        </w:drawing>
      </w:r>
    </w:p>
    <w:p w14:paraId="4DF268D4" w14:textId="77777777" w:rsidR="00714982" w:rsidRDefault="00C058BB" w:rsidP="00433ACE">
      <w:pPr>
        <w:pStyle w:val="Note"/>
        <w:ind w:right="0"/>
      </w:pPr>
      <w:r w:rsidRPr="0020458D">
        <w:t>Note: Rates presented are standardised to the WHO World Population.</w:t>
      </w:r>
    </w:p>
    <w:p w14:paraId="67AC7371" w14:textId="77777777" w:rsidR="00C058BB" w:rsidRPr="00D56BD0" w:rsidRDefault="00C058BB" w:rsidP="00D56BD0">
      <w:pPr>
        <w:pStyle w:val="Heading1"/>
        <w:rPr>
          <w:highlight w:val="yellow"/>
        </w:rPr>
      </w:pPr>
      <w:r w:rsidRPr="006F4D5D">
        <w:rPr>
          <w:highlight w:val="yellow"/>
        </w:rPr>
        <w:br w:type="page"/>
      </w:r>
      <w:bookmarkStart w:id="120" w:name="_Ref445825582"/>
      <w:bookmarkStart w:id="121" w:name="_Toc452111281"/>
      <w:bookmarkStart w:id="122" w:name="_Toc453058833"/>
      <w:bookmarkStart w:id="123" w:name="_Ref442189740"/>
      <w:r w:rsidRPr="005F27C4">
        <w:lastRenderedPageBreak/>
        <w:t>Events</w:t>
      </w:r>
      <w:bookmarkEnd w:id="120"/>
      <w:bookmarkEnd w:id="121"/>
      <w:bookmarkEnd w:id="122"/>
    </w:p>
    <w:p w14:paraId="5DD59B81" w14:textId="77777777" w:rsidR="00C058BB" w:rsidRPr="005F27C4" w:rsidRDefault="00C058BB" w:rsidP="00433ACE">
      <w:r w:rsidRPr="005F27C4">
        <w:t xml:space="preserve">This chapter presents descriptive statistics about ED events in New Zealand. Numbers and proportions are presented by location, timing, seasonality, </w:t>
      </w:r>
      <w:r>
        <w:t>urgency</w:t>
      </w:r>
      <w:r w:rsidRPr="005F27C4">
        <w:t xml:space="preserve"> at presentation, service provider, length of stay and outcome of reported ED events.</w:t>
      </w:r>
    </w:p>
    <w:p w14:paraId="66BB7B74" w14:textId="77777777" w:rsidR="00C058BB" w:rsidRPr="008F2D78" w:rsidRDefault="00C058BB" w:rsidP="00433ACE">
      <w:pPr>
        <w:rPr>
          <w:highlight w:val="yellow"/>
        </w:rPr>
      </w:pPr>
    </w:p>
    <w:p w14:paraId="417BF7F1" w14:textId="77777777" w:rsidR="00C058BB" w:rsidRPr="008E4299" w:rsidRDefault="00C058BB" w:rsidP="00433ACE">
      <w:pPr>
        <w:pStyle w:val="Heading2"/>
      </w:pPr>
      <w:bookmarkStart w:id="124" w:name="_Toc452111282"/>
      <w:bookmarkStart w:id="125" w:name="_Toc453058834"/>
      <w:r w:rsidRPr="008E4299">
        <w:t>Overview</w:t>
      </w:r>
      <w:bookmarkEnd w:id="124"/>
      <w:bookmarkEnd w:id="125"/>
    </w:p>
    <w:p w14:paraId="4BE3BA7B" w14:textId="77777777" w:rsidR="00C058BB" w:rsidRPr="0077055A" w:rsidRDefault="00C058BB" w:rsidP="00433ACE">
      <w:r w:rsidRPr="0077055A">
        <w:t>Over a million ED events were reported in New Zealand during 2014/15. These events were attended by 693,681 unique pati</w:t>
      </w:r>
      <w:r>
        <w:t>ents, resulting in an average of 1.5 ED events per patient.</w:t>
      </w:r>
    </w:p>
    <w:p w14:paraId="7A75EA08" w14:textId="77777777" w:rsidR="00C058BB" w:rsidRPr="0077055A" w:rsidRDefault="00C058BB" w:rsidP="00433ACE"/>
    <w:p w14:paraId="18A01D95" w14:textId="77777777" w:rsidR="00714982" w:rsidRDefault="00C058BB" w:rsidP="00433ACE">
      <w:r w:rsidRPr="0077055A">
        <w:t>The number of ED events has steadily increased over the five years. The number of events in 2014/15 (1,062,047) was 3.6% higher than 2013/14 (1,025,585) and 9.5% higher than 2010/11 (969,849) (</w:t>
      </w:r>
      <w:r w:rsidRPr="008E4299">
        <w:t xml:space="preserve">Figure </w:t>
      </w:r>
      <w:r>
        <w:rPr>
          <w:noProof/>
        </w:rPr>
        <w:t>28</w:t>
      </w:r>
      <w:r w:rsidRPr="0077055A">
        <w:t>).</w:t>
      </w:r>
    </w:p>
    <w:p w14:paraId="519BAD87" w14:textId="77777777" w:rsidR="00C058BB" w:rsidRPr="0077055A" w:rsidRDefault="00C058BB" w:rsidP="00433ACE"/>
    <w:p w14:paraId="5C5CEA0F" w14:textId="77777777" w:rsidR="00C058BB" w:rsidRPr="008E4299" w:rsidRDefault="00C058BB" w:rsidP="00433ACE">
      <w:pPr>
        <w:pStyle w:val="Figure"/>
      </w:pPr>
      <w:bookmarkStart w:id="126" w:name="_Ref440531373"/>
      <w:bookmarkStart w:id="127" w:name="_Toc452111251"/>
      <w:bookmarkStart w:id="128" w:name="_Toc453058882"/>
      <w:r w:rsidRPr="008E4299">
        <w:t xml:space="preserve">Figure </w:t>
      </w:r>
      <w:r w:rsidR="004B4E7B">
        <w:fldChar w:fldCharType="begin"/>
      </w:r>
      <w:r w:rsidR="004B4E7B">
        <w:instrText xml:space="preserve"> SEQ Figure \* ARABIC </w:instrText>
      </w:r>
      <w:r w:rsidR="004B4E7B">
        <w:fldChar w:fldCharType="separate"/>
      </w:r>
      <w:r w:rsidR="00CD2E1C">
        <w:rPr>
          <w:noProof/>
        </w:rPr>
        <w:t>28</w:t>
      </w:r>
      <w:r w:rsidR="004B4E7B">
        <w:rPr>
          <w:noProof/>
        </w:rPr>
        <w:fldChar w:fldCharType="end"/>
      </w:r>
      <w:bookmarkEnd w:id="126"/>
      <w:r w:rsidRPr="008E4299">
        <w:t>: Number of emergency department events, 2010/11–2014/15</w:t>
      </w:r>
      <w:bookmarkEnd w:id="127"/>
      <w:bookmarkEnd w:id="128"/>
    </w:p>
    <w:p w14:paraId="738C2F5E" w14:textId="1C821AEA" w:rsidR="00C058BB" w:rsidRPr="008E4299" w:rsidRDefault="004B4E7B" w:rsidP="00441A92">
      <w:r>
        <w:rPr>
          <w:noProof/>
          <w:lang w:eastAsia="en-NZ"/>
        </w:rPr>
        <w:pict w14:anchorId="48EFE779">
          <v:shape id="_x0000_i1037" type="#_x0000_t75" alt="Figure 28: Number of emergency department events, 2010/11–2014/15" style="width:339.75pt;height:198pt">
            <v:imagedata r:id="rId47" o:title=""/>
          </v:shape>
        </w:pict>
      </w:r>
    </w:p>
    <w:p w14:paraId="640214E5" w14:textId="77777777" w:rsidR="00C058BB" w:rsidRDefault="00C058BB" w:rsidP="00433ACE">
      <w:pPr>
        <w:pStyle w:val="Note"/>
      </w:pPr>
      <w:r w:rsidRPr="008E4299">
        <w:t>Note: The number on each bar is the number of ED events.</w:t>
      </w:r>
    </w:p>
    <w:p w14:paraId="3EE876D3" w14:textId="77777777" w:rsidR="00433ACE" w:rsidRPr="00433ACE" w:rsidRDefault="00433ACE" w:rsidP="00433ACE"/>
    <w:p w14:paraId="77234A20" w14:textId="77777777" w:rsidR="00C058BB" w:rsidRPr="0077055A" w:rsidRDefault="00C058BB" w:rsidP="00433ACE">
      <w:pPr>
        <w:pStyle w:val="Heading2"/>
      </w:pPr>
      <w:bookmarkStart w:id="129" w:name="_Toc452111283"/>
      <w:bookmarkStart w:id="130" w:name="_Toc453058835"/>
      <w:r w:rsidRPr="0077055A">
        <w:t>Location</w:t>
      </w:r>
      <w:bookmarkEnd w:id="129"/>
      <w:bookmarkEnd w:id="130"/>
    </w:p>
    <w:p w14:paraId="1FDFA6C9" w14:textId="64E194F6" w:rsidR="00714982" w:rsidRDefault="001D3413" w:rsidP="00433ACE">
      <w:r>
        <w:t>ED f</w:t>
      </w:r>
      <w:r w:rsidR="00C058BB" w:rsidRPr="002E3BCA">
        <w:t>acilities in the more populated areas of New Zealand had considerably more events in 2014/15 than facilities in the less populated areas (</w:t>
      </w:r>
      <w:r w:rsidR="00C058BB" w:rsidRPr="00D43BC2">
        <w:t xml:space="preserve">Figure </w:t>
      </w:r>
      <w:r w:rsidR="00C058BB">
        <w:rPr>
          <w:noProof/>
        </w:rPr>
        <w:t>29</w:t>
      </w:r>
      <w:r w:rsidR="00C058BB" w:rsidRPr="002E3BCA">
        <w:t>).</w:t>
      </w:r>
    </w:p>
    <w:p w14:paraId="620E3BEB" w14:textId="77777777" w:rsidR="00C058BB" w:rsidRPr="002E3BCA" w:rsidRDefault="00C058BB" w:rsidP="00433ACE"/>
    <w:p w14:paraId="3160EA42" w14:textId="3D1C9A14" w:rsidR="006F4D5D" w:rsidRDefault="001D3413" w:rsidP="006F4D5D">
      <w:r>
        <w:t>ED f</w:t>
      </w:r>
      <w:r w:rsidR="00C058BB" w:rsidRPr="002E3BCA">
        <w:t xml:space="preserve">acilities in the five most populated DHB regions combined (Waitemata, Auckland, Counties Manukau, Waikato and Canterbury DHB regions) accounted for 46% of ED events in 2014/15. Middlemore Hospital (Counties Manukau DHB region) had the most </w:t>
      </w:r>
      <w:r w:rsidR="00D127F2">
        <w:t xml:space="preserve">ED events in 2014/15 </w:t>
      </w:r>
      <w:r w:rsidR="00C058BB" w:rsidRPr="002E3BCA">
        <w:t>with over 100,000 events.</w:t>
      </w:r>
    </w:p>
    <w:p w14:paraId="3981D02B" w14:textId="77777777" w:rsidR="006F4D5D" w:rsidRDefault="006F4D5D" w:rsidP="006F4D5D"/>
    <w:p w14:paraId="3D9EC04B" w14:textId="0C05F013" w:rsidR="00714982" w:rsidRDefault="001D3413" w:rsidP="006F4D5D">
      <w:r>
        <w:t>ED f</w:t>
      </w:r>
      <w:r w:rsidR="00C058BB" w:rsidRPr="002E3BCA">
        <w:t>acilities in the five least populated DHB regions combined (Tairāwhiti, Whanganui, Wairarapa, West Coast and South Canterbury DHB regions) accounted for less than 8% of ED events in 2014/15.</w:t>
      </w:r>
    </w:p>
    <w:p w14:paraId="5BD2F656" w14:textId="77777777" w:rsidR="00C058BB" w:rsidRPr="00D43BC2" w:rsidRDefault="00C058BB" w:rsidP="00433ACE">
      <w:pPr>
        <w:pStyle w:val="Figure"/>
      </w:pPr>
      <w:bookmarkStart w:id="131" w:name="_Ref441227621"/>
      <w:bookmarkStart w:id="132" w:name="_Toc452111252"/>
      <w:bookmarkStart w:id="133" w:name="_Toc453058883"/>
      <w:r w:rsidRPr="00D43BC2">
        <w:lastRenderedPageBreak/>
        <w:t xml:space="preserve">Figure </w:t>
      </w:r>
      <w:r w:rsidR="004B4E7B">
        <w:fldChar w:fldCharType="begin"/>
      </w:r>
      <w:r w:rsidR="004B4E7B">
        <w:instrText xml:space="preserve"> SEQ Figure \* ARABIC </w:instrText>
      </w:r>
      <w:r w:rsidR="004B4E7B">
        <w:fldChar w:fldCharType="separate"/>
      </w:r>
      <w:r w:rsidR="00CD2E1C">
        <w:rPr>
          <w:noProof/>
        </w:rPr>
        <w:t>29</w:t>
      </w:r>
      <w:r w:rsidR="004B4E7B">
        <w:rPr>
          <w:noProof/>
        </w:rPr>
        <w:fldChar w:fldCharType="end"/>
      </w:r>
      <w:bookmarkEnd w:id="131"/>
      <w:r w:rsidRPr="00D43BC2">
        <w:t>: Distribution of emergency department events</w:t>
      </w:r>
      <w:r>
        <w:t>,</w:t>
      </w:r>
      <w:r w:rsidRPr="00D43BC2">
        <w:t xml:space="preserve"> by DHB region of facility, 2014/15</w:t>
      </w:r>
      <w:bookmarkEnd w:id="132"/>
      <w:bookmarkEnd w:id="133"/>
    </w:p>
    <w:p w14:paraId="47411D2E" w14:textId="73C5F6F0" w:rsidR="00433ACE" w:rsidRDefault="004B4E7B" w:rsidP="00F02503">
      <w:r>
        <w:rPr>
          <w:noProof/>
          <w:lang w:eastAsia="en-NZ"/>
        </w:rPr>
        <w:pict w14:anchorId="4F1EEA68">
          <v:shape id="_x0000_i1038" type="#_x0000_t75" alt="Figure 29: Distribution of emergency department events, by DHB region of facility, 2014/15" style="width:339.75pt;height:311.25pt">
            <v:imagedata r:id="rId48" o:title=""/>
          </v:shape>
        </w:pict>
      </w:r>
    </w:p>
    <w:p w14:paraId="280942AE" w14:textId="77777777" w:rsidR="00714982" w:rsidRDefault="00C058BB" w:rsidP="00433ACE">
      <w:pPr>
        <w:pStyle w:val="Note"/>
      </w:pPr>
      <w:r w:rsidRPr="00D43BC2">
        <w:t xml:space="preserve">Note: </w:t>
      </w:r>
      <w:r>
        <w:t>The number on each bar is the number of events. The</w:t>
      </w:r>
      <w:r w:rsidRPr="00D43BC2">
        <w:t xml:space="preserve"> region of facility is derived from location of facility. Numbers presented may include patients who ordinarily reside in a different DHB region.</w:t>
      </w:r>
    </w:p>
    <w:p w14:paraId="064FE64E" w14:textId="77777777" w:rsidR="00C058BB" w:rsidRPr="008F2D78" w:rsidRDefault="00C058BB" w:rsidP="00433ACE">
      <w:pPr>
        <w:rPr>
          <w:highlight w:val="yellow"/>
        </w:rPr>
      </w:pPr>
    </w:p>
    <w:p w14:paraId="4242F0B0" w14:textId="77777777" w:rsidR="00C058BB" w:rsidRPr="00A201F9" w:rsidRDefault="00C058BB" w:rsidP="00433ACE">
      <w:pPr>
        <w:pStyle w:val="Heading2"/>
      </w:pPr>
      <w:bookmarkStart w:id="134" w:name="_Toc452111284"/>
      <w:bookmarkStart w:id="135" w:name="_Toc453058836"/>
      <w:r w:rsidRPr="00A201F9">
        <w:t>Day of the week</w:t>
      </w:r>
      <w:bookmarkEnd w:id="134"/>
      <w:bookmarkEnd w:id="135"/>
    </w:p>
    <w:p w14:paraId="1D186C2D" w14:textId="37690178" w:rsidR="00714982" w:rsidRDefault="00C058BB" w:rsidP="00433ACE">
      <w:r w:rsidRPr="00A201F9">
        <w:t>In 2014/15, ED events were more common on Sundays and Mondays, and less common on Wednesdays and Thursdays. Over 320,000 ED events occurred on Sundays and Mondays combined</w:t>
      </w:r>
      <w:r w:rsidR="00142E41">
        <w:t>,</w:t>
      </w:r>
      <w:r w:rsidRPr="00A201F9">
        <w:t xml:space="preserve"> accounting for over 30% of all events. In comparison, there were 31,000 fewer ED events on Wednesdays and Thursdays combined during the year (Figure </w:t>
      </w:r>
      <w:r>
        <w:rPr>
          <w:noProof/>
        </w:rPr>
        <w:t>30</w:t>
      </w:r>
      <w:r w:rsidRPr="00A201F9">
        <w:t>).</w:t>
      </w:r>
    </w:p>
    <w:p w14:paraId="4422119F" w14:textId="77777777" w:rsidR="00C058BB" w:rsidRPr="00A201F9" w:rsidRDefault="00C058BB" w:rsidP="00433ACE">
      <w:pPr>
        <w:pStyle w:val="Figure"/>
      </w:pPr>
      <w:bookmarkStart w:id="136" w:name="_Ref441582517"/>
      <w:bookmarkStart w:id="137" w:name="_Toc452111253"/>
      <w:bookmarkStart w:id="138" w:name="_Toc453058884"/>
      <w:r w:rsidRPr="00A201F9">
        <w:t xml:space="preserve">Figure </w:t>
      </w:r>
      <w:r w:rsidR="004B4E7B">
        <w:fldChar w:fldCharType="begin"/>
      </w:r>
      <w:r w:rsidR="004B4E7B">
        <w:instrText xml:space="preserve"> SEQ Figure \* ARABIC </w:instrText>
      </w:r>
      <w:r w:rsidR="004B4E7B">
        <w:fldChar w:fldCharType="separate"/>
      </w:r>
      <w:r w:rsidR="00CD2E1C">
        <w:rPr>
          <w:noProof/>
        </w:rPr>
        <w:t>30</w:t>
      </w:r>
      <w:r w:rsidR="004B4E7B">
        <w:rPr>
          <w:noProof/>
        </w:rPr>
        <w:fldChar w:fldCharType="end"/>
      </w:r>
      <w:bookmarkEnd w:id="136"/>
      <w:r w:rsidRPr="00A201F9">
        <w:t>: Distribution of emergency department events</w:t>
      </w:r>
      <w:r>
        <w:t>,</w:t>
      </w:r>
      <w:r w:rsidRPr="00A201F9">
        <w:t xml:space="preserve"> by day of the week, 2014/15</w:t>
      </w:r>
      <w:bookmarkEnd w:id="137"/>
      <w:bookmarkEnd w:id="138"/>
    </w:p>
    <w:p w14:paraId="6A0AE144" w14:textId="6F64E85E" w:rsidR="00C058BB" w:rsidRPr="00A201F9" w:rsidRDefault="004B4E7B" w:rsidP="009C0656">
      <w:r>
        <w:rPr>
          <w:noProof/>
          <w:lang w:eastAsia="en-NZ"/>
        </w:rPr>
        <w:pict w14:anchorId="23171957">
          <v:shape id="_x0000_i1039" type="#_x0000_t75" alt="Figure 30: Distribution of emergency department events, by day of the week, 2014/15" style="width:339.75pt;height:198pt">
            <v:imagedata r:id="rId49" o:title=""/>
          </v:shape>
        </w:pict>
      </w:r>
    </w:p>
    <w:p w14:paraId="3E70EC1C" w14:textId="77777777" w:rsidR="00C058BB" w:rsidRPr="00A201F9" w:rsidRDefault="00C058BB" w:rsidP="00433ACE">
      <w:pPr>
        <w:pStyle w:val="Note"/>
      </w:pPr>
      <w:r w:rsidRPr="00A201F9">
        <w:t>Note: The number on each bar is the number of ED events.</w:t>
      </w:r>
    </w:p>
    <w:p w14:paraId="6202D621" w14:textId="77777777" w:rsidR="006F4D5D" w:rsidRPr="00A201F9" w:rsidRDefault="006F4D5D" w:rsidP="006F4D5D"/>
    <w:p w14:paraId="21DDA208" w14:textId="0145C6E6" w:rsidR="006F4D5D" w:rsidRDefault="006F4D5D" w:rsidP="006F4D5D">
      <w:r w:rsidRPr="00A201F9">
        <w:lastRenderedPageBreak/>
        <w:t>One in three ED events during 2014/15 occurred during a weekend (from Friday 5</w:t>
      </w:r>
      <w:r>
        <w:t> </w:t>
      </w:r>
      <w:r w:rsidRPr="00A201F9">
        <w:t>pm to Monday 8</w:t>
      </w:r>
      <w:r>
        <w:t> </w:t>
      </w:r>
      <w:r w:rsidRPr="00A201F9">
        <w:t xml:space="preserve">am). The proportion of weekend ED events ranged widely between facilities, going from a low of 28.5% at the Bay of Islands Hospital (Northland DHB region) to a high of 59.3% at Reefton Health Services (West Coast DHB region). The range was much smaller when comparing </w:t>
      </w:r>
      <w:r w:rsidR="00206573">
        <w:t xml:space="preserve">weekend ED events by </w:t>
      </w:r>
      <w:r w:rsidRPr="00A201F9">
        <w:t xml:space="preserve">DHB regions of facility, which ranged from 33.2% for </w:t>
      </w:r>
      <w:r w:rsidR="00206573">
        <w:t>ED</w:t>
      </w:r>
      <w:r w:rsidRPr="00A201F9">
        <w:t xml:space="preserve">s in the Whanganui DHB region to 37.9% for </w:t>
      </w:r>
      <w:r w:rsidR="00206573">
        <w:t>EDs</w:t>
      </w:r>
      <w:r w:rsidRPr="00A201F9">
        <w:t xml:space="preserve"> in the Canterbury DHB region (Figure </w:t>
      </w:r>
      <w:r>
        <w:rPr>
          <w:noProof/>
        </w:rPr>
        <w:t>31</w:t>
      </w:r>
      <w:r w:rsidRPr="00A201F9">
        <w:t>).</w:t>
      </w:r>
    </w:p>
    <w:p w14:paraId="4E9DD1EA" w14:textId="77777777" w:rsidR="006F4D5D" w:rsidRPr="008F2D78" w:rsidRDefault="006F4D5D" w:rsidP="006F4D5D">
      <w:pPr>
        <w:rPr>
          <w:highlight w:val="yellow"/>
        </w:rPr>
      </w:pPr>
    </w:p>
    <w:p w14:paraId="178AE304" w14:textId="6CEC0698" w:rsidR="006F4D5D" w:rsidRDefault="006F4D5D" w:rsidP="006F4D5D">
      <w:r w:rsidRPr="00C12A64">
        <w:t>The proportion of weekend ED events has remained fairly steady over the previous five years, ranging from 35.7% to 36.4% of all events each year.</w:t>
      </w:r>
      <w:r>
        <w:t xml:space="preserve"> </w:t>
      </w:r>
      <w:r w:rsidRPr="00C12A64">
        <w:t>Despite the variability at a facility</w:t>
      </w:r>
      <w:r>
        <w:t xml:space="preserve"> </w:t>
      </w:r>
      <w:r w:rsidRPr="00C12A64">
        <w:t>level, the proportion of weekend ED events between DHB regions (based on location of facility) were fairly steady between 2010/11 and 2014/15, ranging from 33% to 38% (</w:t>
      </w:r>
      <w:r w:rsidRPr="00A201F9">
        <w:t xml:space="preserve">Figure </w:t>
      </w:r>
      <w:r>
        <w:rPr>
          <w:noProof/>
        </w:rPr>
        <w:t>31</w:t>
      </w:r>
      <w:r w:rsidRPr="00C12A64">
        <w:t>).</w:t>
      </w:r>
    </w:p>
    <w:p w14:paraId="4633BE3C" w14:textId="77777777" w:rsidR="006F4D5D" w:rsidRPr="00C12A64" w:rsidRDefault="006F4D5D" w:rsidP="006F4D5D"/>
    <w:p w14:paraId="6DA1B2A7" w14:textId="77777777" w:rsidR="00C058BB" w:rsidRPr="00A201F9" w:rsidRDefault="00C058BB" w:rsidP="00433ACE">
      <w:pPr>
        <w:pStyle w:val="Figure"/>
      </w:pPr>
      <w:bookmarkStart w:id="139" w:name="_Ref441592495"/>
      <w:bookmarkStart w:id="140" w:name="_Ref441592491"/>
      <w:bookmarkStart w:id="141" w:name="_Toc452111254"/>
      <w:bookmarkStart w:id="142" w:name="_Toc453058885"/>
      <w:r w:rsidRPr="00A201F9">
        <w:t xml:space="preserve">Figure </w:t>
      </w:r>
      <w:r w:rsidR="004B4E7B">
        <w:fldChar w:fldCharType="begin"/>
      </w:r>
      <w:r w:rsidR="004B4E7B">
        <w:instrText xml:space="preserve"> SEQ Figure \* ARABIC </w:instrText>
      </w:r>
      <w:r w:rsidR="004B4E7B">
        <w:fldChar w:fldCharType="separate"/>
      </w:r>
      <w:r w:rsidR="00CD2E1C">
        <w:rPr>
          <w:noProof/>
        </w:rPr>
        <w:t>31</w:t>
      </w:r>
      <w:r w:rsidR="004B4E7B">
        <w:rPr>
          <w:noProof/>
        </w:rPr>
        <w:fldChar w:fldCharType="end"/>
      </w:r>
      <w:bookmarkEnd w:id="139"/>
      <w:r w:rsidRPr="00A201F9">
        <w:t>: Proportion of emergency department events that occur during weekends by DHB region of facility, 2010/11 and 2014/15</w:t>
      </w:r>
      <w:bookmarkEnd w:id="140"/>
      <w:bookmarkEnd w:id="141"/>
      <w:bookmarkEnd w:id="142"/>
    </w:p>
    <w:p w14:paraId="6F4F9C43" w14:textId="5CC19C5C" w:rsidR="00C058BB" w:rsidRPr="00C12A64" w:rsidRDefault="004B4E7B" w:rsidP="00686E27">
      <w:r>
        <w:rPr>
          <w:noProof/>
          <w:lang w:eastAsia="en-NZ"/>
        </w:rPr>
        <w:pict w14:anchorId="38F75B96">
          <v:shape id="_x0000_i1040" type="#_x0000_t75" alt="Figure 31: Proportion of emergency department events that occur during weekends by DHB region of facility, 2010/11 and 2014/15" style="width:339.75pt;height:311.25pt">
            <v:imagedata r:id="rId50" o:title=""/>
          </v:shape>
        </w:pict>
      </w:r>
    </w:p>
    <w:p w14:paraId="6CB84F1B" w14:textId="7A934373" w:rsidR="003E0F64" w:rsidRDefault="00C058BB" w:rsidP="006F4D5D">
      <w:pPr>
        <w:pStyle w:val="Note"/>
      </w:pPr>
      <w:r w:rsidRPr="00C12A64">
        <w:t>Note: DHB region of facility is derived from location of facility. Numbers presented may include patients who ordinarily reside in a different DHB region.</w:t>
      </w:r>
    </w:p>
    <w:p w14:paraId="567CE584" w14:textId="77777777" w:rsidR="006F4D5D" w:rsidRPr="006F4D5D" w:rsidRDefault="006F4D5D" w:rsidP="006F4D5D"/>
    <w:p w14:paraId="75BFA010" w14:textId="77777777" w:rsidR="00C058BB" w:rsidRPr="00C12A64" w:rsidRDefault="00C058BB" w:rsidP="00433ACE">
      <w:pPr>
        <w:pStyle w:val="Heading2"/>
      </w:pPr>
      <w:bookmarkStart w:id="143" w:name="_Toc452111285"/>
      <w:bookmarkStart w:id="144" w:name="_Toc453058837"/>
      <w:r w:rsidRPr="00C12A64">
        <w:t>Seasonality</w:t>
      </w:r>
      <w:bookmarkEnd w:id="143"/>
      <w:bookmarkEnd w:id="144"/>
    </w:p>
    <w:p w14:paraId="2423A767" w14:textId="67F3B49E" w:rsidR="006F4D5D" w:rsidRDefault="006F4D5D" w:rsidP="006F4D5D">
      <w:pPr>
        <w:keepNext/>
      </w:pPr>
      <w:r w:rsidRPr="00C12A64">
        <w:t xml:space="preserve">In 2014/15, the month in which the most ED events occurred was August 2014 with about 94,000 events, followed by January 2015 with over 91,000 events. February and April 2015 had the lowest number of events with fewer than 84,000 events each (Figure </w:t>
      </w:r>
      <w:r>
        <w:rPr>
          <w:noProof/>
        </w:rPr>
        <w:t>32</w:t>
      </w:r>
      <w:r w:rsidRPr="00C12A64">
        <w:t>). Most facilities had</w:t>
      </w:r>
      <w:r>
        <w:t xml:space="preserve"> </w:t>
      </w:r>
      <w:r w:rsidRPr="00C12A64">
        <w:t>higher numbers</w:t>
      </w:r>
      <w:r w:rsidR="00206573">
        <w:t xml:space="preserve"> of ED events</w:t>
      </w:r>
      <w:r w:rsidRPr="00C12A64">
        <w:t xml:space="preserve"> during winter (July and August 2014) and summer (December 2014 and January 2015)</w:t>
      </w:r>
      <w:r w:rsidR="001D3413">
        <w:t xml:space="preserve"> months</w:t>
      </w:r>
      <w:r w:rsidRPr="00C12A64">
        <w:t>.</w:t>
      </w:r>
    </w:p>
    <w:p w14:paraId="0410A835" w14:textId="77777777" w:rsidR="00C058BB" w:rsidRPr="006F4D5D" w:rsidRDefault="00C058BB" w:rsidP="006F4D5D">
      <w:pPr>
        <w:rPr>
          <w:highlight w:val="yellow"/>
        </w:rPr>
      </w:pPr>
    </w:p>
    <w:p w14:paraId="0E119E92" w14:textId="77777777" w:rsidR="00C058BB" w:rsidRPr="00C12A64" w:rsidRDefault="00C058BB" w:rsidP="00433ACE">
      <w:pPr>
        <w:pStyle w:val="Figure"/>
      </w:pPr>
      <w:bookmarkStart w:id="145" w:name="_Ref440464907"/>
      <w:bookmarkStart w:id="146" w:name="_Toc452111255"/>
      <w:bookmarkStart w:id="147" w:name="_Toc453058886"/>
      <w:r w:rsidRPr="00C12A64">
        <w:lastRenderedPageBreak/>
        <w:t xml:space="preserve">Figure </w:t>
      </w:r>
      <w:r w:rsidR="004B4E7B">
        <w:fldChar w:fldCharType="begin"/>
      </w:r>
      <w:r w:rsidR="004B4E7B">
        <w:instrText xml:space="preserve"> SEQ Figure \* ARABIC </w:instrText>
      </w:r>
      <w:r w:rsidR="004B4E7B">
        <w:fldChar w:fldCharType="separate"/>
      </w:r>
      <w:r w:rsidR="00CD2E1C">
        <w:rPr>
          <w:noProof/>
        </w:rPr>
        <w:t>32</w:t>
      </w:r>
      <w:r w:rsidR="004B4E7B">
        <w:rPr>
          <w:noProof/>
        </w:rPr>
        <w:fldChar w:fldCharType="end"/>
      </w:r>
      <w:bookmarkEnd w:id="145"/>
      <w:r w:rsidRPr="00C12A64">
        <w:t>: Distribution of emergency department events</w:t>
      </w:r>
      <w:r>
        <w:t>,</w:t>
      </w:r>
      <w:r w:rsidRPr="00C12A64">
        <w:t xml:space="preserve"> by month</w:t>
      </w:r>
      <w:r>
        <w:t xml:space="preserve"> of event</w:t>
      </w:r>
      <w:r w:rsidRPr="00C12A64">
        <w:t>, 2014/15</w:t>
      </w:r>
      <w:bookmarkEnd w:id="146"/>
      <w:bookmarkEnd w:id="147"/>
    </w:p>
    <w:p w14:paraId="54FD0C0C" w14:textId="0103C371" w:rsidR="00C058BB" w:rsidRPr="00433ACE" w:rsidRDefault="004B4E7B" w:rsidP="00CB4EE1">
      <w:r>
        <w:rPr>
          <w:noProof/>
          <w:lang w:eastAsia="en-NZ"/>
        </w:rPr>
        <w:pict w14:anchorId="114F1F43">
          <v:shape id="_x0000_i1041" type="#_x0000_t75" alt="Figure 32: Distribution of emergency department events, by month of event, 2014/15" style="width:339.75pt;height:225.75pt">
            <v:imagedata r:id="rId51" o:title=""/>
          </v:shape>
        </w:pict>
      </w:r>
    </w:p>
    <w:p w14:paraId="0AC40D5E" w14:textId="77777777" w:rsidR="00C058BB" w:rsidRPr="00C12A64" w:rsidRDefault="00C058BB" w:rsidP="00433ACE">
      <w:pPr>
        <w:pStyle w:val="Note"/>
      </w:pPr>
      <w:r w:rsidRPr="00C12A64">
        <w:rPr>
          <w:noProof/>
          <w:lang w:eastAsia="en-NZ"/>
        </w:rPr>
        <w:t>Note: The number on each bar is the number of events.</w:t>
      </w:r>
    </w:p>
    <w:p w14:paraId="1E417CEF" w14:textId="77777777" w:rsidR="00C058BB" w:rsidRPr="008F2D78" w:rsidRDefault="00C058BB" w:rsidP="00433ACE">
      <w:pPr>
        <w:rPr>
          <w:highlight w:val="yellow"/>
        </w:rPr>
      </w:pPr>
    </w:p>
    <w:p w14:paraId="51628FA0" w14:textId="4FB8D703" w:rsidR="00C058BB" w:rsidRPr="00C12A64" w:rsidRDefault="00C058BB" w:rsidP="00433ACE">
      <w:r w:rsidRPr="00C12A64">
        <w:t>On average, there were over 3000 ED events per day during August 2014</w:t>
      </w:r>
      <w:r w:rsidR="00142E41">
        <w:t>,</w:t>
      </w:r>
      <w:r w:rsidRPr="00C12A64">
        <w:t xml:space="preserve"> the month with the most ED events during 2014/15. The month with the lowest number of events per day was April 2015 with almost 2800 events per day (Figure </w:t>
      </w:r>
      <w:r>
        <w:rPr>
          <w:noProof/>
        </w:rPr>
        <w:t>33</w:t>
      </w:r>
      <w:r w:rsidRPr="00C12A64">
        <w:t>).</w:t>
      </w:r>
    </w:p>
    <w:p w14:paraId="4D2CCCCF" w14:textId="77777777" w:rsidR="00C058BB" w:rsidRPr="00C12A64" w:rsidRDefault="00C058BB" w:rsidP="00433ACE"/>
    <w:p w14:paraId="4AB9F951" w14:textId="3B30E2DB" w:rsidR="00C058BB" w:rsidRPr="00C12A64" w:rsidRDefault="00C058BB" w:rsidP="00433ACE">
      <w:r w:rsidRPr="00C12A64">
        <w:t xml:space="preserve">From 2010/11 to 2014/15, summer and winter months generally had a higher number of events per day, compared with spring and </w:t>
      </w:r>
      <w:r>
        <w:t>autumn</w:t>
      </w:r>
      <w:r w:rsidRPr="00C12A64">
        <w:t xml:space="preserve"> months. The highest number of events per day was during August for both 2010/11 and 2014/15 (Figure </w:t>
      </w:r>
      <w:r>
        <w:rPr>
          <w:noProof/>
        </w:rPr>
        <w:t>33</w:t>
      </w:r>
      <w:r w:rsidRPr="00C12A64">
        <w:t>).</w:t>
      </w:r>
    </w:p>
    <w:p w14:paraId="5B9E6347" w14:textId="77777777" w:rsidR="00C058BB" w:rsidRPr="008F2D78" w:rsidRDefault="00C058BB" w:rsidP="00433ACE">
      <w:pPr>
        <w:rPr>
          <w:highlight w:val="yellow"/>
        </w:rPr>
      </w:pPr>
    </w:p>
    <w:p w14:paraId="6653863D" w14:textId="77777777" w:rsidR="00C058BB" w:rsidRPr="00995933" w:rsidRDefault="00C058BB" w:rsidP="00433ACE">
      <w:pPr>
        <w:pStyle w:val="Figure"/>
      </w:pPr>
      <w:bookmarkStart w:id="148" w:name="_Ref447892617"/>
      <w:bookmarkStart w:id="149" w:name="_Toc452111256"/>
      <w:bookmarkStart w:id="150" w:name="_Toc453058887"/>
      <w:r w:rsidRPr="00995933">
        <w:t xml:space="preserve">Figure </w:t>
      </w:r>
      <w:r w:rsidR="004B4E7B">
        <w:fldChar w:fldCharType="begin"/>
      </w:r>
      <w:r w:rsidR="004B4E7B">
        <w:instrText xml:space="preserve"> SEQ Figure \* ARABIC </w:instrText>
      </w:r>
      <w:r w:rsidR="004B4E7B">
        <w:fldChar w:fldCharType="separate"/>
      </w:r>
      <w:r w:rsidR="00CD2E1C">
        <w:rPr>
          <w:noProof/>
        </w:rPr>
        <w:t>33</w:t>
      </w:r>
      <w:r w:rsidR="004B4E7B">
        <w:rPr>
          <w:noProof/>
        </w:rPr>
        <w:fldChar w:fldCharType="end"/>
      </w:r>
      <w:bookmarkEnd w:id="148"/>
      <w:r w:rsidRPr="00995933">
        <w:rPr>
          <w:noProof/>
        </w:rPr>
        <w:t>: Number of emergency department events per day, by month of event, 2010/11 and 2014/15</w:t>
      </w:r>
      <w:bookmarkEnd w:id="149"/>
      <w:bookmarkEnd w:id="150"/>
    </w:p>
    <w:p w14:paraId="2D51BE22" w14:textId="7306E5E3" w:rsidR="00C058BB" w:rsidRPr="00995933" w:rsidRDefault="004B4E7B" w:rsidP="002F20CA">
      <w:r>
        <w:rPr>
          <w:noProof/>
          <w:lang w:eastAsia="en-NZ"/>
        </w:rPr>
        <w:pict w14:anchorId="278623FF">
          <v:shape id="_x0000_i1042" type="#_x0000_t75" alt="Figure 33: Number of emergency department events per day, by month of event, 2010/11 and 2014/15" style="width:339.75pt;height:198pt">
            <v:imagedata r:id="rId52" o:title=""/>
          </v:shape>
        </w:pict>
      </w:r>
    </w:p>
    <w:p w14:paraId="33F7EE60" w14:textId="77777777" w:rsidR="00C058BB" w:rsidRPr="00C12A64" w:rsidRDefault="00C058BB" w:rsidP="00433ACE">
      <w:pPr>
        <w:pStyle w:val="Note"/>
      </w:pPr>
      <w:r w:rsidRPr="00C12A64">
        <w:rPr>
          <w:noProof/>
          <w:lang w:eastAsia="en-NZ"/>
        </w:rPr>
        <w:t>Note: Events per day was calculated by dividing the total number of events during the month by the number of days in the month.</w:t>
      </w:r>
    </w:p>
    <w:p w14:paraId="4980B26A" w14:textId="77777777" w:rsidR="00C058BB" w:rsidRPr="008F2D78" w:rsidRDefault="00C058BB" w:rsidP="006F4D5D">
      <w:pPr>
        <w:spacing w:after="480"/>
        <w:rPr>
          <w:highlight w:val="yellow"/>
        </w:rPr>
      </w:pPr>
    </w:p>
    <w:p w14:paraId="694968AB" w14:textId="77777777" w:rsidR="00C058BB" w:rsidRPr="00C12A64" w:rsidRDefault="00C058BB" w:rsidP="008852D7">
      <w:pPr>
        <w:pStyle w:val="Heading2"/>
      </w:pPr>
      <w:bookmarkStart w:id="151" w:name="_Toc452111286"/>
      <w:bookmarkStart w:id="152" w:name="_Toc453058838"/>
      <w:r w:rsidRPr="00C12A64">
        <w:lastRenderedPageBreak/>
        <w:t>Urgency at presentation</w:t>
      </w:r>
      <w:bookmarkEnd w:id="151"/>
      <w:bookmarkEnd w:id="152"/>
    </w:p>
    <w:p w14:paraId="404151FF" w14:textId="77777777" w:rsidR="008852D7" w:rsidRPr="006F4D5D" w:rsidRDefault="008852D7" w:rsidP="006F4D5D">
      <w:pPr>
        <w:pStyle w:val="Box"/>
      </w:pPr>
      <w:r w:rsidRPr="006F4D5D">
        <w:t>All patients who present at ED are assessed by a triage nurse (or doctor). The triage nurse assesses the clinical urgency of the patient and assigns the patient a triage acuity level, which is a proxy measure of how long an individual patient can safely wait for a medical screening examination and treatment. The definition of each triage level is provided below.</w:t>
      </w:r>
    </w:p>
    <w:p w14:paraId="012BD6DB" w14:textId="77777777" w:rsidR="003E0F64" w:rsidRPr="006F4D5D" w:rsidRDefault="008852D7" w:rsidP="006F4D5D">
      <w:pPr>
        <w:pStyle w:val="Box"/>
      </w:pPr>
      <w:r w:rsidRPr="006F4D5D">
        <w:rPr>
          <w:b/>
        </w:rPr>
        <w:t>Triage level 1</w:t>
      </w:r>
      <w:r w:rsidRPr="006F4D5D">
        <w:t>: immediately life-threatening.</w:t>
      </w:r>
    </w:p>
    <w:p w14:paraId="2A2A79A0" w14:textId="09DE42D0" w:rsidR="008852D7" w:rsidRPr="006F4D5D" w:rsidRDefault="008852D7" w:rsidP="006F4D5D">
      <w:pPr>
        <w:pStyle w:val="Box"/>
      </w:pPr>
      <w:r w:rsidRPr="006F4D5D">
        <w:rPr>
          <w:b/>
        </w:rPr>
        <w:t>Triage level 2</w:t>
      </w:r>
      <w:r w:rsidRPr="006F4D5D">
        <w:t>: imminently life-threatening, or important time-critical.</w:t>
      </w:r>
    </w:p>
    <w:p w14:paraId="3A88C0CC" w14:textId="77777777" w:rsidR="008852D7" w:rsidRPr="006F4D5D" w:rsidRDefault="008852D7" w:rsidP="006F4D5D">
      <w:pPr>
        <w:pStyle w:val="Box"/>
      </w:pPr>
      <w:r w:rsidRPr="006F4D5D">
        <w:rPr>
          <w:b/>
        </w:rPr>
        <w:t>Triage level 3</w:t>
      </w:r>
      <w:r w:rsidRPr="006F4D5D">
        <w:t>: potentially life-threatening, potential adverse outcomes from delay of more than 30 minutes, or severe discomfort or distress.</w:t>
      </w:r>
    </w:p>
    <w:p w14:paraId="2B592B80" w14:textId="77777777" w:rsidR="008852D7" w:rsidRPr="006F4D5D" w:rsidRDefault="008852D7" w:rsidP="006F4D5D">
      <w:pPr>
        <w:pStyle w:val="Box"/>
      </w:pPr>
      <w:r w:rsidRPr="006F4D5D">
        <w:rPr>
          <w:b/>
        </w:rPr>
        <w:t>Triage level 4</w:t>
      </w:r>
      <w:r w:rsidRPr="006F4D5D">
        <w:t>: potentially serious, or potential adverse outcomes from delay of more than 60 minutes, or significant complexity or severity, or discomfort or distress.</w:t>
      </w:r>
    </w:p>
    <w:p w14:paraId="16E69BBA" w14:textId="77777777" w:rsidR="008852D7" w:rsidRPr="006F4D5D" w:rsidRDefault="008852D7" w:rsidP="006F4D5D">
      <w:pPr>
        <w:pStyle w:val="Box"/>
      </w:pPr>
      <w:r w:rsidRPr="006F4D5D">
        <w:rPr>
          <w:b/>
        </w:rPr>
        <w:t>Triage level 5</w:t>
      </w:r>
      <w:r w:rsidRPr="006F4D5D">
        <w:t>: less urgent, or dealing with administrative issues only.</w:t>
      </w:r>
    </w:p>
    <w:p w14:paraId="27F0FA53" w14:textId="77777777" w:rsidR="00C058BB" w:rsidRPr="008F2D78" w:rsidRDefault="00C058BB" w:rsidP="006E675B">
      <w:pPr>
        <w:keepNext/>
        <w:rPr>
          <w:highlight w:val="yellow"/>
        </w:rPr>
      </w:pPr>
    </w:p>
    <w:p w14:paraId="62C00E21" w14:textId="70A407F9" w:rsidR="00C058BB" w:rsidRDefault="00C058BB" w:rsidP="006E675B">
      <w:pPr>
        <w:keepNext/>
      </w:pPr>
      <w:r w:rsidRPr="00C12A64">
        <w:t>Almost 54% of ED events in 2014</w:t>
      </w:r>
      <w:r w:rsidR="00206573">
        <w:t>/15</w:t>
      </w:r>
      <w:r w:rsidRPr="00C12A64">
        <w:t xml:space="preserve"> were </w:t>
      </w:r>
      <w:r w:rsidR="00206573">
        <w:t xml:space="preserve">for </w:t>
      </w:r>
      <w:r w:rsidRPr="00C12A64">
        <w:t xml:space="preserve">patients presenting to ED with a condition that was immediately </w:t>
      </w:r>
      <w:r w:rsidR="00206573">
        <w:t>to</w:t>
      </w:r>
      <w:r w:rsidR="00206573" w:rsidRPr="00C12A64">
        <w:t xml:space="preserve"> </w:t>
      </w:r>
      <w:r w:rsidRPr="00C12A64">
        <w:t xml:space="preserve">potentially life-threatening (triage levels 1–3). A further 39.6% were determined to be potentially serious and 6.7% of </w:t>
      </w:r>
      <w:r w:rsidR="001D3413">
        <w:t xml:space="preserve">ED </w:t>
      </w:r>
      <w:r w:rsidRPr="00C12A64">
        <w:t xml:space="preserve">events were determined to be less urgent (Figure </w:t>
      </w:r>
      <w:r>
        <w:rPr>
          <w:noProof/>
        </w:rPr>
        <w:t>34</w:t>
      </w:r>
      <w:r w:rsidRPr="00C12A64">
        <w:t>).</w:t>
      </w:r>
    </w:p>
    <w:p w14:paraId="2B0BB9F8" w14:textId="77777777" w:rsidR="006F4D5D" w:rsidRPr="00C12A64" w:rsidRDefault="006F4D5D" w:rsidP="006E675B">
      <w:pPr>
        <w:keepNext/>
      </w:pPr>
    </w:p>
    <w:p w14:paraId="0EF2B7CE" w14:textId="77777777" w:rsidR="00C058BB" w:rsidRPr="00C12A64" w:rsidRDefault="00C058BB" w:rsidP="008852D7">
      <w:pPr>
        <w:pStyle w:val="Figure"/>
      </w:pPr>
      <w:bookmarkStart w:id="153" w:name="_Ref447883762"/>
      <w:bookmarkStart w:id="154" w:name="_Toc452111257"/>
      <w:bookmarkStart w:id="155" w:name="_Toc453058888"/>
      <w:r w:rsidRPr="00C12A64">
        <w:t xml:space="preserve">Figure </w:t>
      </w:r>
      <w:r w:rsidR="004B4E7B">
        <w:fldChar w:fldCharType="begin"/>
      </w:r>
      <w:r w:rsidR="004B4E7B">
        <w:instrText xml:space="preserve"> SEQ Figure \* ARABIC </w:instrText>
      </w:r>
      <w:r w:rsidR="004B4E7B">
        <w:fldChar w:fldCharType="separate"/>
      </w:r>
      <w:r w:rsidR="00CD2E1C">
        <w:rPr>
          <w:noProof/>
        </w:rPr>
        <w:t>34</w:t>
      </w:r>
      <w:r w:rsidR="004B4E7B">
        <w:rPr>
          <w:noProof/>
        </w:rPr>
        <w:fldChar w:fldCharType="end"/>
      </w:r>
      <w:bookmarkEnd w:id="153"/>
      <w:r w:rsidRPr="00C12A64">
        <w:t>: Distribution of emergency department events</w:t>
      </w:r>
      <w:r>
        <w:t>,</w:t>
      </w:r>
      <w:r w:rsidRPr="00C12A64">
        <w:t xml:space="preserve"> by triage level, 2014/15</w:t>
      </w:r>
      <w:bookmarkEnd w:id="154"/>
      <w:bookmarkEnd w:id="155"/>
    </w:p>
    <w:p w14:paraId="10820D9D" w14:textId="17226516" w:rsidR="00C058BB" w:rsidRPr="00C12A64" w:rsidRDefault="004B4E7B" w:rsidP="008E6623">
      <w:r>
        <w:rPr>
          <w:noProof/>
          <w:lang w:eastAsia="en-NZ"/>
        </w:rPr>
        <w:pict w14:anchorId="343BB06B">
          <v:shape id="_x0000_i1043" type="#_x0000_t75" alt="Figure 34: Distribution of emergency department events, by triage level, 2014/15" style="width:339.75pt;height:198pt">
            <v:imagedata r:id="rId53" o:title=""/>
          </v:shape>
        </w:pict>
      </w:r>
    </w:p>
    <w:p w14:paraId="68510737" w14:textId="77777777" w:rsidR="00C058BB" w:rsidRDefault="00C058BB" w:rsidP="008E6623">
      <w:pPr>
        <w:pStyle w:val="Note"/>
        <w:ind w:right="2268"/>
      </w:pPr>
      <w:r w:rsidRPr="00F02428">
        <w:t>Note: The number on each bar is the number of events. The denominator used to calcu</w:t>
      </w:r>
      <w:r>
        <w:t>late the percentage excludes</w:t>
      </w:r>
      <w:r w:rsidRPr="00F02428">
        <w:t xml:space="preserve"> those with unknown triage level (1118 events, 0.1%).</w:t>
      </w:r>
    </w:p>
    <w:p w14:paraId="546F333D" w14:textId="77777777" w:rsidR="006F4D5D" w:rsidRDefault="006F4D5D" w:rsidP="006F4D5D"/>
    <w:p w14:paraId="58F7E145" w14:textId="620D28FE" w:rsidR="006F4D5D" w:rsidRDefault="006F4D5D" w:rsidP="006F4D5D">
      <w:pPr>
        <w:keepNext/>
      </w:pPr>
      <w:r w:rsidRPr="000870AA">
        <w:t>From 2010/11 to 2014/15, the proportion of less urgent (level 5)</w:t>
      </w:r>
      <w:r w:rsidR="001A0834">
        <w:t xml:space="preserve"> ED</w:t>
      </w:r>
      <w:r w:rsidRPr="000870AA">
        <w:t xml:space="preserve"> events fell from 9.9% to 6.7%. Conversely, the proportion of life-threatening (levels 1–3) events increased over the same time period (Figure </w:t>
      </w:r>
      <w:r>
        <w:rPr>
          <w:noProof/>
        </w:rPr>
        <w:t>35</w:t>
      </w:r>
      <w:r w:rsidRPr="000870AA">
        <w:t>).</w:t>
      </w:r>
    </w:p>
    <w:p w14:paraId="3889FEC4" w14:textId="77777777" w:rsidR="006F4D5D" w:rsidRDefault="006F4D5D" w:rsidP="006F4D5D">
      <w:pPr>
        <w:keepNext/>
        <w:rPr>
          <w:highlight w:val="yellow"/>
        </w:rPr>
      </w:pPr>
    </w:p>
    <w:p w14:paraId="5A8C8DA7" w14:textId="6ECAA669" w:rsidR="006F4D5D" w:rsidRDefault="006F4D5D" w:rsidP="006F4D5D">
      <w:r w:rsidRPr="00CE25E5">
        <w:t xml:space="preserve">The proportion of immediately </w:t>
      </w:r>
      <w:r w:rsidR="00206573">
        <w:t>to</w:t>
      </w:r>
      <w:r w:rsidR="00206573" w:rsidRPr="00CE25E5">
        <w:t xml:space="preserve"> </w:t>
      </w:r>
      <w:r w:rsidRPr="00CE25E5">
        <w:t>potentially life-threatening events</w:t>
      </w:r>
      <w:r>
        <w:t xml:space="preserve"> </w:t>
      </w:r>
      <w:r w:rsidRPr="00CE25E5">
        <w:t>(triage levels 1–3) in 2014/15 ranged broadly across the different regions, from 35% at facilities in the Tairāwhiti and South Canterbury DHB regions to 66% at facilities in the MidCentral DHB region (</w:t>
      </w:r>
      <w:r w:rsidRPr="00E6339C">
        <w:t xml:space="preserve">Figure </w:t>
      </w:r>
      <w:r>
        <w:rPr>
          <w:noProof/>
        </w:rPr>
        <w:t>36</w:t>
      </w:r>
      <w:r w:rsidRPr="00CE25E5">
        <w:t>).</w:t>
      </w:r>
    </w:p>
    <w:p w14:paraId="5D2315C2" w14:textId="37109EC1" w:rsidR="001059A9" w:rsidRDefault="001059A9">
      <w:pPr>
        <w:spacing w:line="240" w:lineRule="auto"/>
        <w:rPr>
          <w:highlight w:val="yellow"/>
        </w:rPr>
      </w:pPr>
      <w:r>
        <w:rPr>
          <w:highlight w:val="yellow"/>
        </w:rPr>
        <w:br w:type="page"/>
      </w:r>
    </w:p>
    <w:p w14:paraId="2606A85E" w14:textId="5A697DD5" w:rsidR="006F4D5D" w:rsidRDefault="006F4D5D" w:rsidP="006F4D5D">
      <w:r w:rsidRPr="00CE25E5">
        <w:lastRenderedPageBreak/>
        <w:t xml:space="preserve">Most DHB regions had a higher proportion of immediately </w:t>
      </w:r>
      <w:r w:rsidR="00206573">
        <w:t>to</w:t>
      </w:r>
      <w:r w:rsidRPr="00CE25E5">
        <w:t xml:space="preserve"> potentially life-threatening events</w:t>
      </w:r>
      <w:r>
        <w:t xml:space="preserve"> </w:t>
      </w:r>
      <w:r w:rsidRPr="00CE25E5">
        <w:t xml:space="preserve">in 2014/15 than in 2010/11, notably for facilities in the Taranaki DHB region which increased from 42.1% to 53.3% </w:t>
      </w:r>
      <w:r>
        <w:t xml:space="preserve">of ED events. Facilities in </w:t>
      </w:r>
      <w:r w:rsidR="00206573">
        <w:t xml:space="preserve">the </w:t>
      </w:r>
      <w:r>
        <w:t xml:space="preserve">Auckland, Bay of Plenty, Canterbury and South Canterbury DHB regions had a slightly lower proportion </w:t>
      </w:r>
      <w:r w:rsidRPr="00CE25E5">
        <w:t xml:space="preserve">of immediately </w:t>
      </w:r>
      <w:r w:rsidR="00206573">
        <w:t>to</w:t>
      </w:r>
      <w:r w:rsidR="00206573" w:rsidRPr="00CE25E5">
        <w:t xml:space="preserve"> </w:t>
      </w:r>
      <w:r w:rsidRPr="00CE25E5">
        <w:t>potentially life-threatening events</w:t>
      </w:r>
      <w:r>
        <w:t xml:space="preserve"> in 2014/15 than in 2010/11 </w:t>
      </w:r>
      <w:r w:rsidRPr="00CE25E5">
        <w:t>(</w:t>
      </w:r>
      <w:r w:rsidRPr="00E6339C">
        <w:t xml:space="preserve">Figure </w:t>
      </w:r>
      <w:r>
        <w:rPr>
          <w:noProof/>
        </w:rPr>
        <w:t>36</w:t>
      </w:r>
      <w:r w:rsidRPr="00CE25E5">
        <w:t>).</w:t>
      </w:r>
    </w:p>
    <w:p w14:paraId="2834E7F6" w14:textId="77777777" w:rsidR="006F4D5D" w:rsidRPr="001059A9" w:rsidRDefault="006F4D5D" w:rsidP="006F4D5D">
      <w:pPr>
        <w:rPr>
          <w:sz w:val="18"/>
        </w:rPr>
      </w:pPr>
    </w:p>
    <w:p w14:paraId="093F3EFA" w14:textId="77777777" w:rsidR="00C058BB" w:rsidRPr="000870AA" w:rsidRDefault="00C058BB" w:rsidP="008852D7">
      <w:pPr>
        <w:pStyle w:val="Figure"/>
      </w:pPr>
      <w:bookmarkStart w:id="156" w:name="_Ref442088156"/>
      <w:bookmarkStart w:id="157" w:name="_Toc452111258"/>
      <w:bookmarkStart w:id="158" w:name="_Toc453058889"/>
      <w:r w:rsidRPr="000870AA">
        <w:t xml:space="preserve">Figure </w:t>
      </w:r>
      <w:r w:rsidR="004B4E7B">
        <w:fldChar w:fldCharType="begin"/>
      </w:r>
      <w:r w:rsidR="004B4E7B">
        <w:instrText xml:space="preserve"> SEQ Figure \* ARABIC </w:instrText>
      </w:r>
      <w:r w:rsidR="004B4E7B">
        <w:fldChar w:fldCharType="separate"/>
      </w:r>
      <w:r w:rsidR="00CD2E1C">
        <w:rPr>
          <w:noProof/>
        </w:rPr>
        <w:t>35</w:t>
      </w:r>
      <w:r w:rsidR="004B4E7B">
        <w:rPr>
          <w:noProof/>
        </w:rPr>
        <w:fldChar w:fldCharType="end"/>
      </w:r>
      <w:bookmarkEnd w:id="156"/>
      <w:r w:rsidRPr="000870AA">
        <w:t>: Distribution of emergency department events</w:t>
      </w:r>
      <w:r>
        <w:t>,</w:t>
      </w:r>
      <w:r w:rsidRPr="000870AA">
        <w:t xml:space="preserve"> by triage level, 2010/11–2014/15</w:t>
      </w:r>
      <w:bookmarkEnd w:id="157"/>
      <w:bookmarkEnd w:id="158"/>
    </w:p>
    <w:p w14:paraId="5A5FBA7C" w14:textId="7902385A" w:rsidR="00C058BB" w:rsidRPr="0054577F" w:rsidRDefault="004B4E7B" w:rsidP="00A538EC">
      <w:r>
        <w:rPr>
          <w:noProof/>
          <w:lang w:eastAsia="en-NZ"/>
        </w:rPr>
        <w:pict w14:anchorId="06AE60A3">
          <v:shape id="_x0000_i1044" type="#_x0000_t75" alt="Figure 35: Distribution of emergency department events, by triage level, 2010/11–2014/15" style="width:339.75pt;height:198pt">
            <v:imagedata r:id="rId54" o:title=""/>
          </v:shape>
        </w:pict>
      </w:r>
    </w:p>
    <w:p w14:paraId="258213B2" w14:textId="62BA522D" w:rsidR="00C058BB" w:rsidRDefault="00C058BB" w:rsidP="001059A9">
      <w:pPr>
        <w:pStyle w:val="Note"/>
        <w:ind w:right="2267"/>
      </w:pPr>
      <w:r w:rsidRPr="0054577F">
        <w:t xml:space="preserve">Note: Level 1 represents immediately life-threatening events, </w:t>
      </w:r>
      <w:r w:rsidR="008852D7">
        <w:t>L</w:t>
      </w:r>
      <w:r w:rsidRPr="0054577F">
        <w:t xml:space="preserve">evel 2 represents imminently life-threatening events, </w:t>
      </w:r>
      <w:r w:rsidR="008852D7">
        <w:t>L</w:t>
      </w:r>
      <w:r w:rsidRPr="0054577F">
        <w:t xml:space="preserve">evel 3 represents potentially life-threatening events, </w:t>
      </w:r>
      <w:r w:rsidR="008852D7">
        <w:t>L</w:t>
      </w:r>
      <w:r w:rsidRPr="0054577F">
        <w:t xml:space="preserve">evel 4 represents potentially serious events and </w:t>
      </w:r>
      <w:r w:rsidR="008852D7">
        <w:t>L</w:t>
      </w:r>
      <w:r w:rsidRPr="0054577F">
        <w:t>evel 5 represents less urgent events.</w:t>
      </w:r>
    </w:p>
    <w:p w14:paraId="09574A18" w14:textId="77777777" w:rsidR="006F4D5D" w:rsidRPr="006F4D5D" w:rsidRDefault="006F4D5D" w:rsidP="006F4D5D"/>
    <w:p w14:paraId="6BCB5F12" w14:textId="77777777" w:rsidR="00C058BB" w:rsidRPr="00E6339C" w:rsidRDefault="00C058BB" w:rsidP="008852D7">
      <w:pPr>
        <w:pStyle w:val="Figure"/>
      </w:pPr>
      <w:bookmarkStart w:id="159" w:name="_Ref442092134"/>
      <w:bookmarkStart w:id="160" w:name="_Toc452111259"/>
      <w:bookmarkStart w:id="161" w:name="_Toc453058890"/>
      <w:r w:rsidRPr="00E6339C">
        <w:t xml:space="preserve">Figure </w:t>
      </w:r>
      <w:r w:rsidR="004B4E7B">
        <w:fldChar w:fldCharType="begin"/>
      </w:r>
      <w:r w:rsidR="004B4E7B">
        <w:instrText xml:space="preserve"> SEQ Figure \* ARABIC </w:instrText>
      </w:r>
      <w:r w:rsidR="004B4E7B">
        <w:fldChar w:fldCharType="separate"/>
      </w:r>
      <w:r w:rsidR="00CD2E1C">
        <w:rPr>
          <w:noProof/>
        </w:rPr>
        <w:t>36</w:t>
      </w:r>
      <w:r w:rsidR="004B4E7B">
        <w:rPr>
          <w:noProof/>
        </w:rPr>
        <w:fldChar w:fldCharType="end"/>
      </w:r>
      <w:bookmarkEnd w:id="159"/>
      <w:r w:rsidRPr="00E6339C">
        <w:t>: Proportion of immediately or potentially life-threatening emergency department events</w:t>
      </w:r>
      <w:r>
        <w:t>,</w:t>
      </w:r>
      <w:r w:rsidRPr="00E6339C">
        <w:t xml:space="preserve"> by DHB region of facility, 2010/11 and 2014/15</w:t>
      </w:r>
      <w:bookmarkEnd w:id="160"/>
      <w:bookmarkEnd w:id="161"/>
    </w:p>
    <w:p w14:paraId="740B28ED" w14:textId="123F62DB" w:rsidR="00C058BB" w:rsidRPr="00E6339C" w:rsidRDefault="004B4E7B" w:rsidP="006E123D">
      <w:pPr>
        <w:keepNext/>
      </w:pPr>
      <w:r>
        <w:rPr>
          <w:noProof/>
          <w:lang w:eastAsia="en-NZ"/>
        </w:rPr>
        <w:pict w14:anchorId="72DFD178">
          <v:shape id="_x0000_i1045" type="#_x0000_t75" alt="Figure 36: Proportion of immediately or potentially life-threatening emergency department events, by DHB region of facility, 2010/11 and 2014/15" style="width:339.75pt;height:311.25pt">
            <v:imagedata r:id="rId55" o:title=""/>
          </v:shape>
        </w:pict>
      </w:r>
    </w:p>
    <w:p w14:paraId="6B2E01CF" w14:textId="77777777" w:rsidR="00714982" w:rsidRDefault="00C058BB" w:rsidP="008852D7">
      <w:pPr>
        <w:pStyle w:val="Note"/>
      </w:pPr>
      <w:r w:rsidRPr="00E6339C">
        <w:t xml:space="preserve">Note: Immediately or potentially life-threatening events are </w:t>
      </w:r>
      <w:r>
        <w:t>those assigned as triage levels</w:t>
      </w:r>
      <w:r w:rsidR="008852D7">
        <w:t xml:space="preserve"> </w:t>
      </w:r>
      <w:r w:rsidRPr="00E6339C">
        <w:t>1–3. The DHB region of facility is derived from location of facility. Numbers presented may include patients who ordinarily reside in a different DHB region.</w:t>
      </w:r>
    </w:p>
    <w:p w14:paraId="5F0849D3" w14:textId="77777777" w:rsidR="00C058BB" w:rsidRPr="00DE26C7" w:rsidRDefault="00C058BB" w:rsidP="00FC0884">
      <w:pPr>
        <w:pStyle w:val="Heading2"/>
        <w:spacing w:before="360"/>
      </w:pPr>
      <w:bookmarkStart w:id="162" w:name="_Toc452111287"/>
      <w:bookmarkStart w:id="163" w:name="_Toc453058839"/>
      <w:r w:rsidRPr="00DE26C7">
        <w:lastRenderedPageBreak/>
        <w:t>Service provider</w:t>
      </w:r>
      <w:bookmarkEnd w:id="162"/>
      <w:bookmarkEnd w:id="163"/>
    </w:p>
    <w:p w14:paraId="5C050595" w14:textId="7E0169E2" w:rsidR="008852D7" w:rsidRPr="008F2D78" w:rsidRDefault="00206573" w:rsidP="008852D7">
      <w:pPr>
        <w:pStyle w:val="Box"/>
        <w:rPr>
          <w:highlight w:val="yellow"/>
        </w:rPr>
      </w:pPr>
      <w:r>
        <w:t>Most ED</w:t>
      </w:r>
      <w:r w:rsidR="00201DC3">
        <w:t>s</w:t>
      </w:r>
      <w:r>
        <w:t xml:space="preserve"> </w:t>
      </w:r>
      <w:r w:rsidR="008852D7" w:rsidRPr="00C43E7A">
        <w:t xml:space="preserve">in New Zealand are </w:t>
      </w:r>
      <w:r w:rsidR="00201DC3">
        <w:t xml:space="preserve">located within </w:t>
      </w:r>
      <w:r w:rsidR="008852D7" w:rsidRPr="00C43E7A">
        <w:t>public hospitals (ie, owned and run by a DHB)</w:t>
      </w:r>
      <w:r w:rsidR="001A0834">
        <w:t xml:space="preserve">. Several EDs </w:t>
      </w:r>
      <w:r w:rsidR="008852D7" w:rsidRPr="00C43E7A">
        <w:t>located in the Southern DHB region</w:t>
      </w:r>
      <w:r w:rsidR="001A0834">
        <w:t xml:space="preserve"> are located within a private facility</w:t>
      </w:r>
      <w:r w:rsidR="008852D7" w:rsidRPr="00C43E7A">
        <w:t>: Clutha Health First, Dunstan Hospital, Gore Hospital</w:t>
      </w:r>
      <w:r w:rsidR="007E5B04">
        <w:t xml:space="preserve"> and Oamaru Hospital. Gore Hospital and Oamaru Hospital </w:t>
      </w:r>
      <w:r w:rsidR="001A0834">
        <w:t>ED data for</w:t>
      </w:r>
      <w:r w:rsidR="008852D7" w:rsidRPr="00C43E7A">
        <w:t xml:space="preserve"> 2014/15</w:t>
      </w:r>
      <w:r w:rsidR="007E5B04">
        <w:t xml:space="preserve"> was</w:t>
      </w:r>
      <w:r w:rsidR="001A0834">
        <w:t xml:space="preserve"> not available for reporting</w:t>
      </w:r>
      <w:r w:rsidR="008852D7" w:rsidRPr="00C43E7A">
        <w:t>.</w:t>
      </w:r>
    </w:p>
    <w:p w14:paraId="47B40E7A" w14:textId="77777777" w:rsidR="00C058BB" w:rsidRPr="008F2D78" w:rsidRDefault="00C058BB" w:rsidP="008852D7">
      <w:pPr>
        <w:rPr>
          <w:highlight w:val="yellow"/>
        </w:rPr>
      </w:pPr>
    </w:p>
    <w:p w14:paraId="619C46FE" w14:textId="097CB0E2" w:rsidR="00C058BB" w:rsidRPr="00C43E7A" w:rsidRDefault="001D3413" w:rsidP="008852D7">
      <w:r>
        <w:t>In New Zealand, t</w:t>
      </w:r>
      <w:r w:rsidR="00C058BB" w:rsidRPr="00C43E7A">
        <w:t xml:space="preserve">he vast majority of </w:t>
      </w:r>
      <w:r w:rsidR="00201DC3">
        <w:t>ED</w:t>
      </w:r>
      <w:r w:rsidR="00C058BB" w:rsidRPr="00C43E7A">
        <w:t xml:space="preserve"> services are provided by DHBs. In 2014/15, Counties Manukau DHB and Waikato DHB </w:t>
      </w:r>
      <w:r w:rsidR="00201DC3">
        <w:t xml:space="preserve">had the most ED events, </w:t>
      </w:r>
      <w:r w:rsidR="00C058BB" w:rsidRPr="00C43E7A">
        <w:t xml:space="preserve">with over 100,000 ED events each. Non-DHB agencies provided </w:t>
      </w:r>
      <w:r w:rsidR="001A0834">
        <w:t>ED</w:t>
      </w:r>
      <w:r w:rsidR="00C058BB" w:rsidRPr="00C43E7A">
        <w:t xml:space="preserve"> services for just over 1000 ED eve</w:t>
      </w:r>
      <w:r w:rsidR="001A0834">
        <w:t xml:space="preserve">nts </w:t>
      </w:r>
      <w:r w:rsidR="00201DC3">
        <w:t>in 2014/15</w:t>
      </w:r>
      <w:r w:rsidR="00C058BB" w:rsidRPr="00C43E7A">
        <w:t xml:space="preserve"> (447 by Clutha Health First and 671 by Dunstan Charitable Trust) (Figure </w:t>
      </w:r>
      <w:r w:rsidR="00C058BB">
        <w:rPr>
          <w:noProof/>
        </w:rPr>
        <w:t>37</w:t>
      </w:r>
      <w:r w:rsidR="00C058BB" w:rsidRPr="00C43E7A">
        <w:t>).</w:t>
      </w:r>
    </w:p>
    <w:p w14:paraId="435C74F6" w14:textId="77777777" w:rsidR="00C058BB" w:rsidRPr="00C43E7A" w:rsidRDefault="00C058BB" w:rsidP="008852D7"/>
    <w:p w14:paraId="4CFFD06B" w14:textId="5CD66DEB" w:rsidR="00C058BB" w:rsidRPr="00C43E7A" w:rsidRDefault="00C058BB" w:rsidP="008852D7">
      <w:r w:rsidRPr="00C43E7A">
        <w:t>The distribution of ED events by service provider was fairly similar from 2010/11 to 2014/15:</w:t>
      </w:r>
    </w:p>
    <w:p w14:paraId="0CEB648D" w14:textId="0F9A7D62" w:rsidR="00C058BB" w:rsidRPr="00C43E7A" w:rsidRDefault="001D3413" w:rsidP="008852D7">
      <w:pPr>
        <w:pStyle w:val="Bullet"/>
      </w:pPr>
      <w:r>
        <w:t xml:space="preserve">the </w:t>
      </w:r>
      <w:r w:rsidR="00C058BB" w:rsidRPr="00C43E7A">
        <w:t xml:space="preserve">DHBs </w:t>
      </w:r>
      <w:r w:rsidR="00201DC3">
        <w:t xml:space="preserve">with the highest number of ED events </w:t>
      </w:r>
      <w:r w:rsidR="00C058BB" w:rsidRPr="00C43E7A">
        <w:t>were Waitemata DHB, Auckland DHB, Counties Manukau DHB and Waikato DHB</w:t>
      </w:r>
      <w:r w:rsidR="00714982">
        <w:t xml:space="preserve"> </w:t>
      </w:r>
      <w:r w:rsidR="00C058BB" w:rsidRPr="00C43E7A">
        <w:t>(9%–10% of all events each)</w:t>
      </w:r>
    </w:p>
    <w:p w14:paraId="3D7D3A3B" w14:textId="34C8E3AE" w:rsidR="00C058BB" w:rsidRPr="00C43E7A" w:rsidRDefault="001D3413" w:rsidP="008852D7">
      <w:pPr>
        <w:pStyle w:val="Bullet"/>
      </w:pPr>
      <w:r>
        <w:t xml:space="preserve">the </w:t>
      </w:r>
      <w:r w:rsidR="00C058BB" w:rsidRPr="00C43E7A">
        <w:t xml:space="preserve">DHBs </w:t>
      </w:r>
      <w:r w:rsidR="00201DC3">
        <w:t xml:space="preserve">with the lowest number of ED events </w:t>
      </w:r>
      <w:r w:rsidR="00C058BB" w:rsidRPr="00C43E7A">
        <w:t>were Tairāwhiti DHB, Whanganui DHB, West Coast DHB and South Canterbury DHB (1%–2% of all events each)</w:t>
      </w:r>
    </w:p>
    <w:p w14:paraId="082FCE71" w14:textId="19D36434" w:rsidR="00C058BB" w:rsidRPr="00C43E7A" w:rsidRDefault="00C058BB" w:rsidP="008852D7">
      <w:pPr>
        <w:pStyle w:val="Bullet"/>
      </w:pPr>
      <w:r w:rsidRPr="00C43E7A">
        <w:t xml:space="preserve">Non-DHB agencies </w:t>
      </w:r>
      <w:r w:rsidR="00201DC3">
        <w:t xml:space="preserve">accounted for </w:t>
      </w:r>
      <w:r w:rsidRPr="00C43E7A">
        <w:t xml:space="preserve">less than 1% of </w:t>
      </w:r>
      <w:r w:rsidR="001D3413">
        <w:t>all</w:t>
      </w:r>
      <w:r w:rsidR="00201DC3">
        <w:t xml:space="preserve"> ED </w:t>
      </w:r>
      <w:r w:rsidRPr="00C43E7A">
        <w:t>events each year.</w:t>
      </w:r>
    </w:p>
    <w:p w14:paraId="2D0F72D5" w14:textId="77777777" w:rsidR="00C058BB" w:rsidRPr="00C43E7A" w:rsidRDefault="00C058BB" w:rsidP="008852D7"/>
    <w:p w14:paraId="44B52E8B" w14:textId="77777777" w:rsidR="00C058BB" w:rsidRPr="00C43E7A" w:rsidRDefault="00C058BB" w:rsidP="008852D7">
      <w:pPr>
        <w:pStyle w:val="Figure"/>
      </w:pPr>
      <w:bookmarkStart w:id="164" w:name="_Ref447884917"/>
      <w:bookmarkStart w:id="165" w:name="_Toc452111260"/>
      <w:bookmarkStart w:id="166" w:name="_Toc453058891"/>
      <w:r w:rsidRPr="00C43E7A">
        <w:t xml:space="preserve">Figure </w:t>
      </w:r>
      <w:r w:rsidR="004B4E7B">
        <w:fldChar w:fldCharType="begin"/>
      </w:r>
      <w:r w:rsidR="004B4E7B">
        <w:instrText xml:space="preserve"> SEQ Figure \* ARABIC </w:instrText>
      </w:r>
      <w:r w:rsidR="004B4E7B">
        <w:fldChar w:fldCharType="separate"/>
      </w:r>
      <w:r w:rsidR="00CD2E1C">
        <w:rPr>
          <w:noProof/>
        </w:rPr>
        <w:t>37</w:t>
      </w:r>
      <w:r w:rsidR="004B4E7B">
        <w:rPr>
          <w:noProof/>
        </w:rPr>
        <w:fldChar w:fldCharType="end"/>
      </w:r>
      <w:bookmarkEnd w:id="164"/>
      <w:r w:rsidRPr="00C43E7A">
        <w:t>: Distribution of emergency department events</w:t>
      </w:r>
      <w:r>
        <w:t>,</w:t>
      </w:r>
      <w:r w:rsidRPr="00C43E7A">
        <w:t xml:space="preserve"> by service provider, 2010/11 and 2014/15</w:t>
      </w:r>
      <w:bookmarkEnd w:id="165"/>
      <w:bookmarkEnd w:id="166"/>
    </w:p>
    <w:p w14:paraId="75C76A2D" w14:textId="1A5D5CBB" w:rsidR="008852D7" w:rsidRDefault="004B4E7B" w:rsidP="005845FD">
      <w:pPr>
        <w:rPr>
          <w:lang w:eastAsia="en-NZ"/>
        </w:rPr>
      </w:pPr>
      <w:r>
        <w:rPr>
          <w:noProof/>
          <w:lang w:eastAsia="en-NZ"/>
        </w:rPr>
        <w:pict w14:anchorId="6620FB80">
          <v:shape id="_x0000_i1046" type="#_x0000_t75" alt="Figure 37: Distribution of emergency department events, by service provider, 2010/11 and 2014/15" style="width:353.25pt;height:339.75pt">
            <v:imagedata r:id="rId56" o:title=""/>
          </v:shape>
        </w:pict>
      </w:r>
    </w:p>
    <w:p w14:paraId="7E413ED3" w14:textId="20EF79B7" w:rsidR="001C258F" w:rsidRDefault="001C258F" w:rsidP="006F4D5D">
      <w:pPr>
        <w:pStyle w:val="Note"/>
        <w:ind w:right="2267"/>
        <w:rPr>
          <w:noProof/>
          <w:lang w:eastAsia="en-NZ"/>
        </w:rPr>
      </w:pPr>
      <w:r w:rsidRPr="00C43E7A">
        <w:rPr>
          <w:noProof/>
          <w:lang w:eastAsia="en-NZ"/>
        </w:rPr>
        <w:t xml:space="preserve">Note: The numbers </w:t>
      </w:r>
      <w:r>
        <w:rPr>
          <w:noProof/>
          <w:lang w:eastAsia="en-NZ"/>
        </w:rPr>
        <w:t>next to</w:t>
      </w:r>
      <w:r w:rsidRPr="00C43E7A">
        <w:rPr>
          <w:noProof/>
          <w:lang w:eastAsia="en-NZ"/>
        </w:rPr>
        <w:t xml:space="preserve"> each bar </w:t>
      </w:r>
      <w:r>
        <w:rPr>
          <w:noProof/>
          <w:lang w:eastAsia="en-NZ"/>
        </w:rPr>
        <w:t xml:space="preserve">are </w:t>
      </w:r>
      <w:r w:rsidRPr="00C43E7A">
        <w:rPr>
          <w:noProof/>
          <w:lang w:eastAsia="en-NZ"/>
        </w:rPr>
        <w:t>the number of ED events</w:t>
      </w:r>
      <w:r>
        <w:rPr>
          <w:noProof/>
          <w:lang w:eastAsia="en-NZ"/>
        </w:rPr>
        <w:t>: 2010/11 |</w:t>
      </w:r>
      <w:r w:rsidRPr="00C43E7A">
        <w:rPr>
          <w:noProof/>
          <w:lang w:eastAsia="en-NZ"/>
        </w:rPr>
        <w:t xml:space="preserve"> 2014/15</w:t>
      </w:r>
      <w:r>
        <w:rPr>
          <w:noProof/>
          <w:lang w:eastAsia="en-NZ"/>
        </w:rPr>
        <w:t>.</w:t>
      </w:r>
    </w:p>
    <w:p w14:paraId="281415DF" w14:textId="77777777" w:rsidR="001C258F" w:rsidRPr="008852D7" w:rsidRDefault="001C258F" w:rsidP="001C258F">
      <w:pPr>
        <w:rPr>
          <w:lang w:eastAsia="en-NZ"/>
        </w:rPr>
      </w:pPr>
    </w:p>
    <w:p w14:paraId="2597D12C" w14:textId="77777777" w:rsidR="00C058BB" w:rsidRPr="00EE74CB" w:rsidRDefault="00C058BB" w:rsidP="008852D7">
      <w:pPr>
        <w:pStyle w:val="Heading2"/>
      </w:pPr>
      <w:bookmarkStart w:id="167" w:name="_Toc452111288"/>
      <w:bookmarkStart w:id="168" w:name="_Toc453058840"/>
      <w:r w:rsidRPr="00400D95">
        <w:lastRenderedPageBreak/>
        <w:t>Length of stay</w:t>
      </w:r>
      <w:bookmarkEnd w:id="167"/>
      <w:bookmarkEnd w:id="168"/>
    </w:p>
    <w:p w14:paraId="4C405190" w14:textId="77777777" w:rsidR="008852D7" w:rsidRPr="00B02C05" w:rsidRDefault="008852D7" w:rsidP="00034234">
      <w:pPr>
        <w:pStyle w:val="Box"/>
        <w:keepNext/>
      </w:pPr>
      <w:r w:rsidRPr="00B02C05">
        <w:t>ED length of stay is an important measure of the quality of acute (emergency and urgent) care in our public hospitals, because:</w:t>
      </w:r>
    </w:p>
    <w:p w14:paraId="5A85CD37" w14:textId="77777777" w:rsidR="008852D7" w:rsidRPr="00B02C05" w:rsidRDefault="008852D7" w:rsidP="00034234">
      <w:pPr>
        <w:pStyle w:val="BoxBullet"/>
        <w:keepNext/>
      </w:pPr>
      <w:r w:rsidRPr="00B02C05">
        <w:t>EDs are designed to provide urgent (acute) health care; the timeliness of treatment delivery (and any time spent waiting) is by definition important for patients</w:t>
      </w:r>
    </w:p>
    <w:p w14:paraId="5A1E90E5" w14:textId="77777777" w:rsidR="008852D7" w:rsidRPr="00B02C05" w:rsidRDefault="008852D7" w:rsidP="00034234">
      <w:pPr>
        <w:pStyle w:val="BoxBullet"/>
        <w:keepNext/>
      </w:pPr>
      <w:r w:rsidRPr="00B02C05">
        <w:t>long stays in emergency departments are linked to overcrowding of the ED</w:t>
      </w:r>
    </w:p>
    <w:p w14:paraId="61A979D4" w14:textId="5DB7D822" w:rsidR="008852D7" w:rsidRPr="00B02C05" w:rsidRDefault="008852D7" w:rsidP="008852D7">
      <w:pPr>
        <w:pStyle w:val="BoxBullet"/>
      </w:pPr>
      <w:r w:rsidRPr="00B02C05">
        <w:t>the medical and nursing literature has linked long stays and overcrowding in EDs to negative clinical outcomes for patients such as increased mortality and longer inpatient lengths of stay</w:t>
      </w:r>
    </w:p>
    <w:p w14:paraId="3DB3B5A6" w14:textId="70EB87DC" w:rsidR="008852D7" w:rsidRPr="00B02C05" w:rsidRDefault="008852D7" w:rsidP="008852D7">
      <w:pPr>
        <w:pStyle w:val="BoxBullet"/>
      </w:pPr>
      <w:r w:rsidRPr="00B02C05">
        <w:t>over-crowding can lead to compromised standards of privacy and dignity for patients, for instance, through the use of corridor trolleys to house patients.</w:t>
      </w:r>
    </w:p>
    <w:p w14:paraId="60482257" w14:textId="77777777" w:rsidR="00413A69" w:rsidRDefault="00413A69" w:rsidP="008852D7">
      <w:pPr>
        <w:pStyle w:val="Box"/>
      </w:pPr>
      <w:r w:rsidRPr="00413A69">
        <w:t>Length of stay is presented as the number of hours from when the patient presents to the ED (either the triage nurse or clerical staff) to when the patient is admitted, discharged or transferred from the ED. A patient’s length of stay may include a period of observation in the ED observation unit/ED short stay unit if the patient does not need to be admitted, but requires a short period of observation before being discharged.</w:t>
      </w:r>
    </w:p>
    <w:p w14:paraId="324C6FE8" w14:textId="4315F914" w:rsidR="008852D7" w:rsidRPr="00D67804" w:rsidRDefault="008852D7" w:rsidP="008852D7">
      <w:pPr>
        <w:pStyle w:val="Box"/>
      </w:pPr>
      <w:r>
        <w:t xml:space="preserve">The </w:t>
      </w:r>
      <w:r w:rsidR="00413A69">
        <w:t>ED length of stay information presented in this report will differ from the ‘Shorter stays in EDs’ health target results as the data sources</w:t>
      </w:r>
      <w:r w:rsidR="00723ED1">
        <w:t>, m</w:t>
      </w:r>
      <w:r w:rsidR="00413A69">
        <w:t>ix of facilities</w:t>
      </w:r>
      <w:r w:rsidR="00723ED1">
        <w:t xml:space="preserve"> and frequency of reporting </w:t>
      </w:r>
      <w:r w:rsidR="00413A69">
        <w:t>are different.</w:t>
      </w:r>
    </w:p>
    <w:p w14:paraId="396DDF83" w14:textId="77777777" w:rsidR="00C058BB" w:rsidRDefault="00C058BB" w:rsidP="008852D7">
      <w:pPr>
        <w:rPr>
          <w:highlight w:val="yellow"/>
        </w:rPr>
      </w:pPr>
    </w:p>
    <w:p w14:paraId="47248253" w14:textId="538CF1C0" w:rsidR="00714982" w:rsidRDefault="00C058BB" w:rsidP="008852D7">
      <w:r w:rsidRPr="00D67804">
        <w:t xml:space="preserve">Over 92% of all ED events in 2014/15 were completed within </w:t>
      </w:r>
      <w:r w:rsidR="00034234">
        <w:t>six</w:t>
      </w:r>
      <w:r w:rsidRPr="00D67804">
        <w:t xml:space="preserve"> hours of the patient presenting to ED: 51.3% were completed under </w:t>
      </w:r>
      <w:r w:rsidR="00034234">
        <w:t>three</w:t>
      </w:r>
      <w:r w:rsidRPr="00D67804">
        <w:t xml:space="preserve"> hours an</w:t>
      </w:r>
      <w:r>
        <w:t xml:space="preserve">d 41.1% were completed within </w:t>
      </w:r>
      <w:r w:rsidR="00034234">
        <w:t>three</w:t>
      </w:r>
      <w:r>
        <w:t xml:space="preserve"> and </w:t>
      </w:r>
      <w:r w:rsidR="00034234">
        <w:t>less than six</w:t>
      </w:r>
      <w:r w:rsidRPr="00D67804">
        <w:t xml:space="preserve"> hours (Figure </w:t>
      </w:r>
      <w:r>
        <w:rPr>
          <w:noProof/>
        </w:rPr>
        <w:t>38</w:t>
      </w:r>
      <w:r w:rsidRPr="00D67804">
        <w:t>).</w:t>
      </w:r>
    </w:p>
    <w:p w14:paraId="49818D88" w14:textId="77777777" w:rsidR="006F4D5D" w:rsidRDefault="006F4D5D" w:rsidP="008852D7"/>
    <w:p w14:paraId="0332898F" w14:textId="77777777" w:rsidR="00C058BB" w:rsidRPr="00D67804" w:rsidRDefault="00C058BB" w:rsidP="008852D7">
      <w:pPr>
        <w:pStyle w:val="Figure"/>
      </w:pPr>
      <w:bookmarkStart w:id="169" w:name="_Ref441759813"/>
      <w:bookmarkStart w:id="170" w:name="_Toc452111261"/>
      <w:bookmarkStart w:id="171" w:name="_Toc453058892"/>
      <w:r w:rsidRPr="00D67804">
        <w:t xml:space="preserve">Figure </w:t>
      </w:r>
      <w:r w:rsidR="004B4E7B">
        <w:fldChar w:fldCharType="begin"/>
      </w:r>
      <w:r w:rsidR="004B4E7B">
        <w:instrText xml:space="preserve"> SEQ Figure \* ARABIC </w:instrText>
      </w:r>
      <w:r w:rsidR="004B4E7B">
        <w:fldChar w:fldCharType="separate"/>
      </w:r>
      <w:r w:rsidR="00CD2E1C">
        <w:rPr>
          <w:noProof/>
        </w:rPr>
        <w:t>38</w:t>
      </w:r>
      <w:r w:rsidR="004B4E7B">
        <w:rPr>
          <w:noProof/>
        </w:rPr>
        <w:fldChar w:fldCharType="end"/>
      </w:r>
      <w:bookmarkEnd w:id="169"/>
      <w:r w:rsidRPr="00D67804">
        <w:t>: Distribution of emergency department events</w:t>
      </w:r>
      <w:r>
        <w:t>,</w:t>
      </w:r>
      <w:r w:rsidRPr="00D67804">
        <w:t xml:space="preserve"> by length of stay</w:t>
      </w:r>
      <w:r>
        <w:t>,</w:t>
      </w:r>
      <w:r w:rsidRPr="00D67804">
        <w:t xml:space="preserve"> 2014/15</w:t>
      </w:r>
      <w:bookmarkEnd w:id="170"/>
      <w:bookmarkEnd w:id="171"/>
    </w:p>
    <w:p w14:paraId="44D3EE4B" w14:textId="2E202DE4" w:rsidR="00C058BB" w:rsidRPr="00D67804" w:rsidRDefault="004B4E7B" w:rsidP="00034234">
      <w:r>
        <w:rPr>
          <w:noProof/>
          <w:lang w:eastAsia="en-NZ"/>
        </w:rPr>
        <w:pict w14:anchorId="46A81647">
          <v:shape id="_x0000_i1047" type="#_x0000_t75" alt="Figure 38: Distribution of emergency department events, by length of stay, 2014/15" style="width:339.75pt;height:198pt">
            <v:imagedata r:id="rId57" o:title=""/>
          </v:shape>
        </w:pict>
      </w:r>
    </w:p>
    <w:p w14:paraId="116987B2" w14:textId="159B430C" w:rsidR="00C058BB" w:rsidRPr="00D67804" w:rsidRDefault="00C058BB" w:rsidP="00E80127">
      <w:pPr>
        <w:pStyle w:val="Note"/>
        <w:ind w:right="2268"/>
      </w:pPr>
      <w:r w:rsidRPr="00D67804">
        <w:t xml:space="preserve">Note: </w:t>
      </w:r>
      <w:r w:rsidRPr="00D67804">
        <w:rPr>
          <w:noProof/>
          <w:lang w:eastAsia="en-NZ"/>
        </w:rPr>
        <w:t>The number on each bar is the number of ED events.</w:t>
      </w:r>
      <w:r w:rsidRPr="00D67804">
        <w:t xml:space="preserve"> </w:t>
      </w:r>
      <w:r w:rsidRPr="00F02428">
        <w:t>The denominator used to calcu</w:t>
      </w:r>
      <w:r>
        <w:t>late the percentage excludes</w:t>
      </w:r>
      <w:r w:rsidRPr="00F02428">
        <w:t xml:space="preserve"> those </w:t>
      </w:r>
      <w:r w:rsidR="00413A69">
        <w:t xml:space="preserve">with an </w:t>
      </w:r>
      <w:r>
        <w:t>unknown l</w:t>
      </w:r>
      <w:r w:rsidRPr="00D67804">
        <w:t xml:space="preserve">ength of stay </w:t>
      </w:r>
      <w:r>
        <w:t>(1118 events, 0.1%)</w:t>
      </w:r>
      <w:r w:rsidR="008852D7">
        <w:t>.</w:t>
      </w:r>
    </w:p>
    <w:p w14:paraId="553EF8E6" w14:textId="2FC46D8F" w:rsidR="00631A00" w:rsidRDefault="00631A00">
      <w:pPr>
        <w:spacing w:line="240" w:lineRule="auto"/>
      </w:pPr>
      <w:r>
        <w:br w:type="page"/>
      </w:r>
    </w:p>
    <w:p w14:paraId="6BDF809E" w14:textId="77777777" w:rsidR="00DC21AF" w:rsidRPr="00D67804" w:rsidRDefault="00DC21AF" w:rsidP="00DC21AF">
      <w:r w:rsidRPr="00D67804">
        <w:lastRenderedPageBreak/>
        <w:t xml:space="preserve">The proportion of ED events by length of stay showed small fluctuations over the five-year period, 2010/11–2014/15 (Figure </w:t>
      </w:r>
      <w:r>
        <w:rPr>
          <w:noProof/>
        </w:rPr>
        <w:t>39</w:t>
      </w:r>
      <w:r w:rsidRPr="00D67804">
        <w:t>). Some notable trends were:</w:t>
      </w:r>
    </w:p>
    <w:p w14:paraId="78563145" w14:textId="540C249D" w:rsidR="00DC21AF" w:rsidRPr="00D67804" w:rsidRDefault="00DC21AF" w:rsidP="00DC21AF">
      <w:pPr>
        <w:pStyle w:val="Bullet"/>
      </w:pPr>
      <w:r w:rsidRPr="00D67804">
        <w:t xml:space="preserve">the proportion of ED events </w:t>
      </w:r>
      <w:r w:rsidR="00CE7C19">
        <w:t xml:space="preserve">that took between three to six hours </w:t>
      </w:r>
      <w:r w:rsidRPr="00D67804">
        <w:t xml:space="preserve">to complete </w:t>
      </w:r>
      <w:r w:rsidR="007A22E0">
        <w:t>increased</w:t>
      </w:r>
      <w:r w:rsidRPr="00D67804">
        <w:t xml:space="preserve"> from 35.8% in 2010/11 to 41.1% in 2014/15</w:t>
      </w:r>
    </w:p>
    <w:p w14:paraId="1DAD1848" w14:textId="407736EC" w:rsidR="00DC21AF" w:rsidRPr="00D67804" w:rsidRDefault="00DC21AF" w:rsidP="00DC21AF">
      <w:pPr>
        <w:pStyle w:val="Bullet"/>
      </w:pPr>
      <w:r w:rsidRPr="00D67804">
        <w:t xml:space="preserve">a lower proportion of ED events requiring </w:t>
      </w:r>
      <w:r>
        <w:t>six</w:t>
      </w:r>
      <w:r w:rsidRPr="00D67804">
        <w:t xml:space="preserve"> or more hours to complete</w:t>
      </w:r>
      <w:r w:rsidR="00380FB9">
        <w:t>, falling</w:t>
      </w:r>
      <w:r w:rsidRPr="00D67804">
        <w:t xml:space="preserve"> from</w:t>
      </w:r>
      <w:r w:rsidR="00380FB9">
        <w:t xml:space="preserve"> 12.3% in 2010/11</w:t>
      </w:r>
      <w:r w:rsidRPr="00D67804">
        <w:t xml:space="preserve"> to </w:t>
      </w:r>
      <w:r w:rsidR="00380FB9">
        <w:t>7.6% in 2014/15</w:t>
      </w:r>
      <w:r w:rsidRPr="00D67804">
        <w:t>.</w:t>
      </w:r>
    </w:p>
    <w:p w14:paraId="14895182" w14:textId="77777777" w:rsidR="00DC21AF" w:rsidRDefault="00DC21AF" w:rsidP="00DC21AF"/>
    <w:p w14:paraId="50C8CD35" w14:textId="5C408B9A" w:rsidR="00C058BB" w:rsidRPr="00D67804" w:rsidRDefault="00C058BB" w:rsidP="008852D7">
      <w:pPr>
        <w:pStyle w:val="Figure"/>
      </w:pPr>
      <w:bookmarkStart w:id="172" w:name="_Ref441762193"/>
      <w:bookmarkStart w:id="173" w:name="_Toc452111262"/>
      <w:bookmarkStart w:id="174" w:name="_Toc453058893"/>
      <w:r w:rsidRPr="00D67804">
        <w:t xml:space="preserve">Figure </w:t>
      </w:r>
      <w:r w:rsidR="004B4E7B">
        <w:fldChar w:fldCharType="begin"/>
      </w:r>
      <w:r w:rsidR="004B4E7B">
        <w:instrText xml:space="preserve"> SEQ Figure \* ARABIC </w:instrText>
      </w:r>
      <w:r w:rsidR="004B4E7B">
        <w:fldChar w:fldCharType="separate"/>
      </w:r>
      <w:r w:rsidR="00CD2E1C">
        <w:rPr>
          <w:noProof/>
        </w:rPr>
        <w:t>39</w:t>
      </w:r>
      <w:r w:rsidR="004B4E7B">
        <w:rPr>
          <w:noProof/>
        </w:rPr>
        <w:fldChar w:fldCharType="end"/>
      </w:r>
      <w:bookmarkEnd w:id="172"/>
      <w:r w:rsidRPr="00D67804">
        <w:t>: Distribution of emergency department events</w:t>
      </w:r>
      <w:r>
        <w:t>,</w:t>
      </w:r>
      <w:r w:rsidRPr="00D67804">
        <w:t xml:space="preserve"> by length of stay,</w:t>
      </w:r>
      <w:r w:rsidR="00631A00">
        <w:t xml:space="preserve"> </w:t>
      </w:r>
      <w:r w:rsidR="00631A00">
        <w:br/>
      </w:r>
      <w:r w:rsidRPr="00D67804">
        <w:t>2010/11–2014/15</w:t>
      </w:r>
      <w:bookmarkEnd w:id="173"/>
      <w:bookmarkEnd w:id="174"/>
    </w:p>
    <w:p w14:paraId="42755A1F" w14:textId="604B66AA" w:rsidR="00C058BB" w:rsidRPr="00D67804" w:rsidRDefault="004B4E7B" w:rsidP="00B87534">
      <w:r>
        <w:rPr>
          <w:noProof/>
          <w:lang w:eastAsia="en-NZ"/>
        </w:rPr>
        <w:pict w14:anchorId="62F807AD">
          <v:shape id="_x0000_i1048" type="#_x0000_t75" alt="Figure 39: Distribution of emergency department events, by length of stay, &#10;2010/11–2014/15&#10;" style="width:339.75pt;height:198pt">
            <v:imagedata r:id="rId58" o:title=""/>
          </v:shape>
        </w:pict>
      </w:r>
    </w:p>
    <w:p w14:paraId="2B0F385F" w14:textId="2BC2E3FF" w:rsidR="00C058BB" w:rsidRPr="00D67804" w:rsidRDefault="00C058BB" w:rsidP="008852D7">
      <w:pPr>
        <w:pStyle w:val="Note"/>
      </w:pPr>
      <w:r>
        <w:t xml:space="preserve">Note: The </w:t>
      </w:r>
      <w:r w:rsidR="00714982">
        <w:t>‘</w:t>
      </w:r>
      <w:r>
        <w:t>9+ hours</w:t>
      </w:r>
      <w:r w:rsidR="00714982">
        <w:t>’</w:t>
      </w:r>
      <w:r>
        <w:t xml:space="preserve"> category includes events in the </w:t>
      </w:r>
      <w:r w:rsidR="00714982">
        <w:t>‘</w:t>
      </w:r>
      <w:r>
        <w:t>9–</w:t>
      </w:r>
      <w:r w:rsidR="008967ED">
        <w:t>&lt;12</w:t>
      </w:r>
      <w:r>
        <w:t xml:space="preserve"> hours</w:t>
      </w:r>
      <w:r w:rsidR="00714982">
        <w:t>’</w:t>
      </w:r>
      <w:r>
        <w:t xml:space="preserve"> and </w:t>
      </w:r>
      <w:r w:rsidR="00714982">
        <w:t>‘</w:t>
      </w:r>
      <w:r>
        <w:t>12+ hours</w:t>
      </w:r>
      <w:r w:rsidR="00714982">
        <w:t>’</w:t>
      </w:r>
      <w:r>
        <w:t xml:space="preserve"> categories.</w:t>
      </w:r>
    </w:p>
    <w:p w14:paraId="01F25794" w14:textId="77777777" w:rsidR="00C058BB" w:rsidRDefault="00C058BB" w:rsidP="008852D7">
      <w:pPr>
        <w:rPr>
          <w:highlight w:val="yellow"/>
        </w:rPr>
      </w:pPr>
    </w:p>
    <w:p w14:paraId="57590B5E" w14:textId="0067D245" w:rsidR="006F4D5D" w:rsidRPr="00BB5152" w:rsidRDefault="006F4D5D" w:rsidP="006F4D5D">
      <w:r w:rsidRPr="00BB5152">
        <w:t xml:space="preserve">Length of stay varied by service provider in 2014/15, particularly when comparing the proportion of events requiring less than six hours to complete. </w:t>
      </w:r>
      <w:r>
        <w:t xml:space="preserve">The majority of service providers had a higher proportion of ED events requiring less than six hours to complete in 2014/15 than in </w:t>
      </w:r>
      <w:r w:rsidRPr="00BB5152">
        <w:t xml:space="preserve">2010/11 (Figure </w:t>
      </w:r>
      <w:r>
        <w:rPr>
          <w:noProof/>
        </w:rPr>
        <w:t>40</w:t>
      </w:r>
      <w:r w:rsidRPr="00BB5152">
        <w:t>).</w:t>
      </w:r>
    </w:p>
    <w:p w14:paraId="0E15FD14" w14:textId="77777777" w:rsidR="006F4D5D" w:rsidRPr="00D67804" w:rsidRDefault="006F4D5D" w:rsidP="006F4D5D"/>
    <w:p w14:paraId="49166BAF" w14:textId="77777777" w:rsidR="00C058BB" w:rsidRPr="00BB5152" w:rsidRDefault="00C058BB" w:rsidP="008852D7">
      <w:pPr>
        <w:pStyle w:val="Figure"/>
      </w:pPr>
      <w:bookmarkStart w:id="175" w:name="_Ref441763652"/>
      <w:bookmarkStart w:id="176" w:name="_Toc452111263"/>
      <w:bookmarkStart w:id="177" w:name="_Toc453058894"/>
      <w:r w:rsidRPr="00BB5152">
        <w:lastRenderedPageBreak/>
        <w:t xml:space="preserve">Figure </w:t>
      </w:r>
      <w:r w:rsidR="004B4E7B">
        <w:fldChar w:fldCharType="begin"/>
      </w:r>
      <w:r w:rsidR="004B4E7B">
        <w:instrText xml:space="preserve"> SEQ Figure \* ARABIC </w:instrText>
      </w:r>
      <w:r w:rsidR="004B4E7B">
        <w:fldChar w:fldCharType="separate"/>
      </w:r>
      <w:r w:rsidR="00CD2E1C">
        <w:rPr>
          <w:noProof/>
        </w:rPr>
        <w:t>40</w:t>
      </w:r>
      <w:r w:rsidR="004B4E7B">
        <w:rPr>
          <w:noProof/>
        </w:rPr>
        <w:fldChar w:fldCharType="end"/>
      </w:r>
      <w:bookmarkEnd w:id="175"/>
      <w:r w:rsidRPr="00BB5152">
        <w:t>: Proportion of emergency department events requiring less than six hours to complete</w:t>
      </w:r>
      <w:r>
        <w:t>,</w:t>
      </w:r>
      <w:r w:rsidRPr="00BB5152">
        <w:t xml:space="preserve"> by service provider, 2010/11 and 2014/15</w:t>
      </w:r>
      <w:bookmarkEnd w:id="176"/>
      <w:bookmarkEnd w:id="177"/>
    </w:p>
    <w:p w14:paraId="7C2DE4C6" w14:textId="38ED8CDA" w:rsidR="00C058BB" w:rsidRPr="009C1744" w:rsidRDefault="004B4E7B" w:rsidP="00225E10">
      <w:r>
        <w:rPr>
          <w:noProof/>
          <w:lang w:eastAsia="en-NZ"/>
        </w:rPr>
        <w:pict w14:anchorId="2D3DDA54">
          <v:shape id="_x0000_i1049" type="#_x0000_t75" alt="Figure 40: Proportion of emergency department events requiring less than six hours to complete, by service provider, 2010/11 and 2014/15" style="width:367.5pt;height:339.75pt">
            <v:imagedata r:id="rId59" o:title=""/>
          </v:shape>
        </w:pict>
      </w:r>
    </w:p>
    <w:p w14:paraId="07AE8CB9" w14:textId="791DBFC2" w:rsidR="00C058BB" w:rsidRDefault="00C058BB" w:rsidP="006F4D5D">
      <w:pPr>
        <w:pStyle w:val="Note"/>
        <w:ind w:right="2267"/>
      </w:pPr>
      <w:r w:rsidRPr="009C1744">
        <w:t>Note: Length of stay was unknown for events where non-DHB agencies were the service providers.</w:t>
      </w:r>
      <w:r w:rsidRPr="003C710E">
        <w:t xml:space="preserve"> The criteria used to </w:t>
      </w:r>
      <w:r>
        <w:t xml:space="preserve">identify events requiring less than </w:t>
      </w:r>
      <w:r w:rsidR="00DC0C7C">
        <w:t>six</w:t>
      </w:r>
      <w:r>
        <w:t xml:space="preserve"> hours to complete </w:t>
      </w:r>
      <w:r w:rsidRPr="003C710E">
        <w:t xml:space="preserve">in this </w:t>
      </w:r>
      <w:r>
        <w:t>figure</w:t>
      </w:r>
      <w:r w:rsidRPr="003C710E">
        <w:t xml:space="preserve"> </w:t>
      </w:r>
      <w:r w:rsidR="00413A69">
        <w:t>is different from the</w:t>
      </w:r>
      <w:r w:rsidRPr="003C710E">
        <w:t xml:space="preserve"> </w:t>
      </w:r>
      <w:r w:rsidR="00DA7C5E">
        <w:t>criteria</w:t>
      </w:r>
      <w:r w:rsidRPr="003C710E">
        <w:t xml:space="preserve"> used for the </w:t>
      </w:r>
      <w:r w:rsidR="00413A69">
        <w:t xml:space="preserve">‘Shorter </w:t>
      </w:r>
      <w:r w:rsidRPr="003C710E">
        <w:t>stays in ED</w:t>
      </w:r>
      <w:r w:rsidR="00413A69">
        <w:t>s’ health target</w:t>
      </w:r>
      <w:r w:rsidRPr="003C710E">
        <w:t>.</w:t>
      </w:r>
    </w:p>
    <w:p w14:paraId="4E59545F" w14:textId="77777777" w:rsidR="008852D7" w:rsidRPr="008852D7" w:rsidRDefault="008852D7" w:rsidP="008852D7"/>
    <w:p w14:paraId="54069F12" w14:textId="77777777" w:rsidR="00C058BB" w:rsidRPr="000861DC" w:rsidRDefault="00C058BB" w:rsidP="008852D7">
      <w:pPr>
        <w:pStyle w:val="Heading2"/>
      </w:pPr>
      <w:bookmarkStart w:id="178" w:name="_Toc452111289"/>
      <w:bookmarkStart w:id="179" w:name="_Toc453058841"/>
      <w:r w:rsidRPr="000861DC">
        <w:t>Outcomes</w:t>
      </w:r>
      <w:bookmarkEnd w:id="178"/>
      <w:bookmarkEnd w:id="179"/>
    </w:p>
    <w:p w14:paraId="1D115839" w14:textId="77777777" w:rsidR="008852D7" w:rsidRPr="008F2D78" w:rsidRDefault="008852D7" w:rsidP="008852D7">
      <w:pPr>
        <w:pStyle w:val="Box"/>
        <w:rPr>
          <w:highlight w:val="yellow"/>
        </w:rPr>
      </w:pPr>
      <w:r w:rsidRPr="00553C2D">
        <w:t xml:space="preserve">In this report, the outcome of an event is derived from the event end type code. The codes have been grouped into the following categories: routine discharge, admitted to hospital, self-discharged and died. </w:t>
      </w:r>
      <w:r>
        <w:t xml:space="preserve">Admission to hospital includes both admission to a different department or specialist unit within the same facility or a different facility. </w:t>
      </w:r>
      <w:r w:rsidRPr="00553C2D">
        <w:t xml:space="preserve">See the </w:t>
      </w:r>
      <w:r>
        <w:t xml:space="preserve">‘Outcomes’ </w:t>
      </w:r>
      <w:r w:rsidRPr="00553C2D">
        <w:t>section in Additional notes for more information.</w:t>
      </w:r>
    </w:p>
    <w:p w14:paraId="3D723EA6" w14:textId="77777777" w:rsidR="00C058BB" w:rsidRPr="008F2D78" w:rsidRDefault="00C058BB" w:rsidP="008852D7">
      <w:pPr>
        <w:rPr>
          <w:highlight w:val="yellow"/>
        </w:rPr>
      </w:pPr>
    </w:p>
    <w:p w14:paraId="62DA4C21" w14:textId="7EB92031" w:rsidR="00C058BB" w:rsidRPr="00EC5F69" w:rsidRDefault="00C058BB" w:rsidP="008852D7">
      <w:r w:rsidRPr="00EC5F69">
        <w:t>The majority of ED events in 2014/15 ended as a routine discharge from ED (64.8%). One in three ED events ended with the patient being admitted to hospital. A very small proportion of events ended with the patient discharging themselves from ED (1.7%)</w:t>
      </w:r>
      <w:r w:rsidR="007A22E0">
        <w:t>. A total of 594 people (&lt;0.1%) died while in ED in 2014/15</w:t>
      </w:r>
      <w:r w:rsidRPr="00EC5F69">
        <w:t xml:space="preserve"> (</w:t>
      </w:r>
      <w:r w:rsidRPr="00553C2D">
        <w:t xml:space="preserve">Figure </w:t>
      </w:r>
      <w:r>
        <w:rPr>
          <w:noProof/>
        </w:rPr>
        <w:t>41</w:t>
      </w:r>
      <w:r w:rsidRPr="00EC5F69">
        <w:t>).</w:t>
      </w:r>
    </w:p>
    <w:p w14:paraId="6BA7886B" w14:textId="77777777" w:rsidR="00C058BB" w:rsidRPr="008F2D78" w:rsidRDefault="00C058BB" w:rsidP="008852D7">
      <w:pPr>
        <w:rPr>
          <w:highlight w:val="yellow"/>
        </w:rPr>
      </w:pPr>
    </w:p>
    <w:p w14:paraId="1529696F" w14:textId="77777777" w:rsidR="00C058BB" w:rsidRPr="00553C2D" w:rsidRDefault="00C058BB" w:rsidP="008852D7">
      <w:pPr>
        <w:pStyle w:val="Figure"/>
      </w:pPr>
      <w:bookmarkStart w:id="180" w:name="_Ref442188754"/>
      <w:bookmarkStart w:id="181" w:name="_Toc452111264"/>
      <w:bookmarkStart w:id="182" w:name="_Toc453058895"/>
      <w:r w:rsidRPr="00553C2D">
        <w:lastRenderedPageBreak/>
        <w:t xml:space="preserve">Figure </w:t>
      </w:r>
      <w:r w:rsidR="004B4E7B">
        <w:fldChar w:fldCharType="begin"/>
      </w:r>
      <w:r w:rsidR="004B4E7B">
        <w:instrText xml:space="preserve"> SEQ Figure \* ARABIC </w:instrText>
      </w:r>
      <w:r w:rsidR="004B4E7B">
        <w:fldChar w:fldCharType="separate"/>
      </w:r>
      <w:r w:rsidR="00CD2E1C">
        <w:rPr>
          <w:noProof/>
        </w:rPr>
        <w:t>41</w:t>
      </w:r>
      <w:r w:rsidR="004B4E7B">
        <w:rPr>
          <w:noProof/>
        </w:rPr>
        <w:fldChar w:fldCharType="end"/>
      </w:r>
      <w:bookmarkEnd w:id="180"/>
      <w:r w:rsidRPr="00553C2D">
        <w:t>: Distribution of emergency department events</w:t>
      </w:r>
      <w:r>
        <w:t>,</w:t>
      </w:r>
      <w:r w:rsidRPr="00553C2D">
        <w:t xml:space="preserve"> by outcome, 2014/15</w:t>
      </w:r>
      <w:bookmarkEnd w:id="181"/>
      <w:bookmarkEnd w:id="182"/>
    </w:p>
    <w:p w14:paraId="70BE84D6" w14:textId="1B73C987" w:rsidR="00C058BB" w:rsidRPr="00553C2D" w:rsidRDefault="004B4E7B" w:rsidP="00B12542">
      <w:r>
        <w:rPr>
          <w:noProof/>
          <w:lang w:eastAsia="en-NZ"/>
        </w:rPr>
        <w:pict w14:anchorId="66DBDB2A">
          <v:shape id="_x0000_i1050" type="#_x0000_t75" alt="Figure 41: Distribution of emergency department events, by outcome, 2014/15" style="width:339.75pt;height:198pt">
            <v:imagedata r:id="rId60" o:title=""/>
          </v:shape>
        </w:pict>
      </w:r>
    </w:p>
    <w:p w14:paraId="57FB0AD0" w14:textId="77777777" w:rsidR="00C058BB" w:rsidRPr="00491E7F" w:rsidRDefault="00C058BB" w:rsidP="00E61335">
      <w:pPr>
        <w:pStyle w:val="Note"/>
        <w:ind w:right="2267"/>
        <w:rPr>
          <w:spacing w:val="-2"/>
        </w:rPr>
      </w:pPr>
      <w:r w:rsidRPr="00491E7F">
        <w:rPr>
          <w:spacing w:val="-2"/>
        </w:rPr>
        <w:t xml:space="preserve">Note: </w:t>
      </w:r>
      <w:r w:rsidRPr="00491E7F">
        <w:rPr>
          <w:noProof/>
          <w:spacing w:val="-2"/>
          <w:lang w:eastAsia="en-NZ"/>
        </w:rPr>
        <w:t>The number on each bar is the number of ED events.</w:t>
      </w:r>
      <w:r w:rsidRPr="00491E7F">
        <w:rPr>
          <w:spacing w:val="-2"/>
        </w:rPr>
        <w:t xml:space="preserve"> The denominator used to calculate the percentage excludes those unknown outcome of event (1118 events, 0.1%).</w:t>
      </w:r>
    </w:p>
    <w:p w14:paraId="54DABE2E" w14:textId="77777777" w:rsidR="00C058BB" w:rsidRPr="00553C2D" w:rsidRDefault="00C058BB" w:rsidP="008852D7"/>
    <w:p w14:paraId="66BEC4C6" w14:textId="77777777" w:rsidR="00714982" w:rsidRDefault="00C058BB" w:rsidP="008852D7">
      <w:r w:rsidRPr="004531B8">
        <w:t xml:space="preserve">From 2010/11 to 2014/15, the distribution of ED events by outcome </w:t>
      </w:r>
      <w:r>
        <w:t>showed little variation</w:t>
      </w:r>
      <w:r w:rsidRPr="004531B8">
        <w:t xml:space="preserve"> from year to year, except</w:t>
      </w:r>
      <w:r w:rsidR="008852D7">
        <w:t>:</w:t>
      </w:r>
    </w:p>
    <w:p w14:paraId="3F8FC682" w14:textId="77777777" w:rsidR="00C058BB" w:rsidRPr="004531B8" w:rsidRDefault="00C058BB" w:rsidP="008852D7">
      <w:pPr>
        <w:pStyle w:val="Bullet"/>
      </w:pPr>
      <w:r w:rsidRPr="004531B8">
        <w:t>a slight increase in the proportion of eve</w:t>
      </w:r>
      <w:r>
        <w:t>nts ending in routine discharge, going from 63.2% to 64.8% of ED events</w:t>
      </w:r>
    </w:p>
    <w:p w14:paraId="09BF3642" w14:textId="77777777" w:rsidR="00C058BB" w:rsidRPr="004531B8" w:rsidRDefault="00C058BB" w:rsidP="008852D7">
      <w:pPr>
        <w:pStyle w:val="Bullet"/>
      </w:pPr>
      <w:r w:rsidRPr="004531B8">
        <w:t>a slight decrease in events ending with the patient being admitted to hospital</w:t>
      </w:r>
      <w:r>
        <w:t>, falling from 35.1% to 33.4% of ED events</w:t>
      </w:r>
      <w:r w:rsidRPr="004531B8">
        <w:t xml:space="preserve"> (Figure </w:t>
      </w:r>
      <w:r>
        <w:rPr>
          <w:noProof/>
        </w:rPr>
        <w:t>42</w:t>
      </w:r>
      <w:r w:rsidRPr="004531B8">
        <w:t>).</w:t>
      </w:r>
    </w:p>
    <w:p w14:paraId="07912AF7" w14:textId="77777777" w:rsidR="00C058BB" w:rsidRPr="004531B8" w:rsidRDefault="00C058BB" w:rsidP="008852D7"/>
    <w:p w14:paraId="672A06EB" w14:textId="77777777" w:rsidR="00C058BB" w:rsidRPr="004531B8" w:rsidRDefault="00C058BB" w:rsidP="008852D7">
      <w:pPr>
        <w:pStyle w:val="Figure"/>
      </w:pPr>
      <w:bookmarkStart w:id="183" w:name="_Ref442189170"/>
      <w:bookmarkStart w:id="184" w:name="_Toc452111265"/>
      <w:bookmarkStart w:id="185" w:name="_Toc453058896"/>
      <w:r w:rsidRPr="004531B8">
        <w:t xml:space="preserve">Figure </w:t>
      </w:r>
      <w:r w:rsidR="004B4E7B">
        <w:fldChar w:fldCharType="begin"/>
      </w:r>
      <w:r w:rsidR="004B4E7B">
        <w:instrText xml:space="preserve"> SEQ Figure \* ARABIC </w:instrText>
      </w:r>
      <w:r w:rsidR="004B4E7B">
        <w:fldChar w:fldCharType="separate"/>
      </w:r>
      <w:r w:rsidR="00CD2E1C">
        <w:rPr>
          <w:noProof/>
        </w:rPr>
        <w:t>42</w:t>
      </w:r>
      <w:r w:rsidR="004B4E7B">
        <w:rPr>
          <w:noProof/>
        </w:rPr>
        <w:fldChar w:fldCharType="end"/>
      </w:r>
      <w:bookmarkEnd w:id="183"/>
      <w:r w:rsidRPr="004531B8">
        <w:t>: Distribution of emergency department events</w:t>
      </w:r>
      <w:r>
        <w:t>,</w:t>
      </w:r>
      <w:r w:rsidRPr="004531B8">
        <w:t xml:space="preserve"> by outcome, 2010/11–2014/15</w:t>
      </w:r>
      <w:bookmarkEnd w:id="184"/>
      <w:bookmarkEnd w:id="185"/>
    </w:p>
    <w:p w14:paraId="52584042" w14:textId="16CDC05A" w:rsidR="00C058BB" w:rsidRPr="004531B8" w:rsidRDefault="004B4E7B" w:rsidP="00491E7F">
      <w:r>
        <w:rPr>
          <w:noProof/>
          <w:lang w:eastAsia="en-NZ"/>
        </w:rPr>
        <w:pict w14:anchorId="1E5AA738">
          <v:shape id="_x0000_i1051" type="#_x0000_t75" alt="Figure 42: Distribution of emergency department events, by outcome, 2010/11–2014/15" style="width:353.25pt;height:198pt">
            <v:imagedata r:id="rId61" o:title=""/>
          </v:shape>
        </w:pict>
      </w:r>
    </w:p>
    <w:p w14:paraId="1EA60A7B" w14:textId="77777777" w:rsidR="00C058BB" w:rsidRPr="004531B8" w:rsidRDefault="00C058BB" w:rsidP="008852D7">
      <w:pPr>
        <w:pStyle w:val="Note"/>
        <w:rPr>
          <w:noProof/>
          <w:lang w:eastAsia="en-NZ"/>
        </w:rPr>
      </w:pPr>
      <w:r w:rsidRPr="004531B8">
        <w:t>Note: The proportion of patients who died in ED is not presented due to very low proportions each year (&lt;0.1%).</w:t>
      </w:r>
    </w:p>
    <w:p w14:paraId="62ECD6BD" w14:textId="63DB9C6C" w:rsidR="00631A00" w:rsidRDefault="00631A00">
      <w:pPr>
        <w:spacing w:line="240" w:lineRule="auto"/>
        <w:rPr>
          <w:highlight w:val="yellow"/>
        </w:rPr>
      </w:pPr>
      <w:r>
        <w:rPr>
          <w:highlight w:val="yellow"/>
        </w:rPr>
        <w:br w:type="page"/>
      </w:r>
    </w:p>
    <w:p w14:paraId="32F70A7F" w14:textId="77777777" w:rsidR="00C058BB" w:rsidRPr="004531B8" w:rsidRDefault="00C058BB" w:rsidP="008852D7">
      <w:r w:rsidRPr="004531B8">
        <w:lastRenderedPageBreak/>
        <w:t xml:space="preserve">In 2014/15, events </w:t>
      </w:r>
      <w:r>
        <w:t>ending</w:t>
      </w:r>
      <w:r w:rsidRPr="004531B8">
        <w:t xml:space="preserve"> in routine discharge and self-discharge </w:t>
      </w:r>
      <w:r>
        <w:t>were</w:t>
      </w:r>
      <w:r w:rsidRPr="004531B8">
        <w:t xml:space="preserve"> more common among patients who presented to ED during the weekend than during a weekday (Figure </w:t>
      </w:r>
      <w:r>
        <w:rPr>
          <w:noProof/>
        </w:rPr>
        <w:t>43</w:t>
      </w:r>
      <w:r w:rsidRPr="004531B8">
        <w:t>). Conversely, there was a larger proportion of events where the patient was admitted to hospital during a weekday than the weekend. There was little difference in the proportion of events during a weekday or weekend that ended with the patient dying.</w:t>
      </w:r>
      <w:r>
        <w:t xml:space="preserve"> The distribution of events by outcome was fairly stable from 2010/11 to 2014/15 for events that </w:t>
      </w:r>
      <w:r w:rsidR="00DA7C5E">
        <w:t xml:space="preserve">occurred </w:t>
      </w:r>
      <w:r>
        <w:t>during weekdays and weekends (</w:t>
      </w:r>
      <w:r w:rsidRPr="004531B8">
        <w:t xml:space="preserve">Figure </w:t>
      </w:r>
      <w:r>
        <w:rPr>
          <w:noProof/>
        </w:rPr>
        <w:t>43</w:t>
      </w:r>
      <w:r>
        <w:t>).</w:t>
      </w:r>
    </w:p>
    <w:p w14:paraId="4A5A6AF3" w14:textId="77777777" w:rsidR="00C058BB" w:rsidRPr="004531B8" w:rsidRDefault="00C058BB" w:rsidP="00A64536"/>
    <w:p w14:paraId="09C5CAB1" w14:textId="77777777" w:rsidR="00C058BB" w:rsidRDefault="00C058BB" w:rsidP="008852D7">
      <w:pPr>
        <w:pStyle w:val="Figure"/>
      </w:pPr>
      <w:bookmarkStart w:id="186" w:name="_Ref442276422"/>
      <w:bookmarkStart w:id="187" w:name="_Toc452111266"/>
      <w:bookmarkStart w:id="188" w:name="_Toc453058897"/>
      <w:r w:rsidRPr="004531B8">
        <w:t xml:space="preserve">Figure </w:t>
      </w:r>
      <w:r w:rsidR="004B4E7B">
        <w:fldChar w:fldCharType="begin"/>
      </w:r>
      <w:r w:rsidR="004B4E7B">
        <w:instrText xml:space="preserve"> SEQ Figure \* ARABIC </w:instrText>
      </w:r>
      <w:r w:rsidR="004B4E7B">
        <w:fldChar w:fldCharType="separate"/>
      </w:r>
      <w:r w:rsidR="00CD2E1C">
        <w:rPr>
          <w:noProof/>
        </w:rPr>
        <w:t>43</w:t>
      </w:r>
      <w:r w:rsidR="004B4E7B">
        <w:rPr>
          <w:noProof/>
        </w:rPr>
        <w:fldChar w:fldCharType="end"/>
      </w:r>
      <w:bookmarkEnd w:id="186"/>
      <w:r w:rsidRPr="004531B8">
        <w:t xml:space="preserve">: </w:t>
      </w:r>
      <w:r>
        <w:t>Distribution</w:t>
      </w:r>
      <w:r w:rsidRPr="004531B8">
        <w:t xml:space="preserve"> of weekday and weekend events</w:t>
      </w:r>
      <w:r>
        <w:t>,</w:t>
      </w:r>
      <w:r w:rsidRPr="004531B8">
        <w:t xml:space="preserve"> by outcome, </w:t>
      </w:r>
      <w:r>
        <w:t xml:space="preserve">2010/11 and </w:t>
      </w:r>
      <w:r w:rsidRPr="004531B8">
        <w:t>2014/15</w:t>
      </w:r>
      <w:bookmarkEnd w:id="187"/>
      <w:bookmarkEnd w:id="188"/>
    </w:p>
    <w:p w14:paraId="672CC4E3" w14:textId="42D71F7D" w:rsidR="00E61335" w:rsidRPr="00E61335" w:rsidRDefault="002D69D1" w:rsidP="00E61335">
      <w:r w:rsidRPr="002D69D1">
        <w:rPr>
          <w:noProof/>
          <w:lang w:eastAsia="en-NZ"/>
        </w:rPr>
        <w:drawing>
          <wp:inline distT="0" distB="0" distL="0" distR="0" wp14:anchorId="0A4B56E0" wp14:editId="4E483500">
            <wp:extent cx="5760000" cy="1976749"/>
            <wp:effectExtent l="0" t="0" r="0" b="5080"/>
            <wp:docPr id="14" name="Picture 14" descr="Figure 43: Distribution of weekday and weekend events, by outcome, 2010/11 an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00" cy="1976749"/>
                    </a:xfrm>
                    <a:prstGeom prst="rect">
                      <a:avLst/>
                    </a:prstGeom>
                    <a:noFill/>
                    <a:ln>
                      <a:noFill/>
                    </a:ln>
                  </pic:spPr>
                </pic:pic>
              </a:graphicData>
            </a:graphic>
          </wp:inline>
        </w:drawing>
      </w:r>
    </w:p>
    <w:p w14:paraId="649470B2" w14:textId="77777777" w:rsidR="00C058BB" w:rsidRDefault="00C058BB" w:rsidP="008852D7">
      <w:pPr>
        <w:pStyle w:val="Note"/>
        <w:ind w:right="0"/>
      </w:pPr>
      <w:r w:rsidRPr="004531B8">
        <w:t xml:space="preserve">Note: </w:t>
      </w:r>
      <w:r>
        <w:t>The proportion of patients who died in ED is not presented due to very low proportions each year (&lt;0.1%).</w:t>
      </w:r>
    </w:p>
    <w:p w14:paraId="2DB45813" w14:textId="77777777" w:rsidR="00C058BB" w:rsidRDefault="00C058BB" w:rsidP="008852D7"/>
    <w:p w14:paraId="7AA38A98" w14:textId="03FC3EC9" w:rsidR="00714982" w:rsidRDefault="00C058BB" w:rsidP="008852D7">
      <w:r>
        <w:t xml:space="preserve">Of the events in 2014/15 where the patient presented to ED </w:t>
      </w:r>
      <w:r w:rsidR="000A11A3">
        <w:t>with</w:t>
      </w:r>
      <w:r>
        <w:t xml:space="preserve"> an immediately </w:t>
      </w:r>
      <w:r w:rsidR="001D3413">
        <w:t xml:space="preserve">to </w:t>
      </w:r>
      <w:r>
        <w:t>potentially life-threatening condition (triage levels 1–3):</w:t>
      </w:r>
    </w:p>
    <w:p w14:paraId="6F08E42C" w14:textId="77777777" w:rsidR="00C058BB" w:rsidRDefault="00C058BB" w:rsidP="008852D7">
      <w:pPr>
        <w:pStyle w:val="Bullet"/>
      </w:pPr>
      <w:r>
        <w:t>52.1% ended in routine discharge</w:t>
      </w:r>
    </w:p>
    <w:p w14:paraId="43266F09" w14:textId="77777777" w:rsidR="00C058BB" w:rsidRDefault="00C058BB" w:rsidP="008852D7">
      <w:pPr>
        <w:pStyle w:val="Bullet"/>
      </w:pPr>
      <w:r>
        <w:t>46.6% ended with admission to hospital</w:t>
      </w:r>
    </w:p>
    <w:p w14:paraId="347E7A45" w14:textId="77777777" w:rsidR="00714982" w:rsidRDefault="00C058BB" w:rsidP="008852D7">
      <w:pPr>
        <w:pStyle w:val="Bullet"/>
      </w:pPr>
      <w:r>
        <w:t>1.2% ended with the patient discharging themselves</w:t>
      </w:r>
    </w:p>
    <w:p w14:paraId="73258646" w14:textId="7F014FE0" w:rsidR="00C058BB" w:rsidRDefault="00C058BB" w:rsidP="008852D7">
      <w:pPr>
        <w:pStyle w:val="Bullet"/>
      </w:pPr>
      <w:r>
        <w:t>0.1% (583 events) ended with the patient dying while</w:t>
      </w:r>
      <w:r w:rsidR="000A11A3">
        <w:t xml:space="preserve"> in the</w:t>
      </w:r>
      <w:r>
        <w:t xml:space="preserve"> ED (Figure </w:t>
      </w:r>
      <w:r>
        <w:rPr>
          <w:noProof/>
        </w:rPr>
        <w:t>44</w:t>
      </w:r>
      <w:r>
        <w:t>).</w:t>
      </w:r>
    </w:p>
    <w:p w14:paraId="019D2A23" w14:textId="77777777" w:rsidR="00C058BB" w:rsidRDefault="00C058BB" w:rsidP="008852D7"/>
    <w:p w14:paraId="05663A30" w14:textId="744D463A" w:rsidR="00C058BB" w:rsidRDefault="00C058BB" w:rsidP="008852D7">
      <w:r>
        <w:t>In comparison, a much higher proportion of potentially serious or less urgent events (triage levels 4–5) in 2014/15 end</w:t>
      </w:r>
      <w:r w:rsidR="00380FB9">
        <w:t>ed</w:t>
      </w:r>
      <w:r>
        <w:t xml:space="preserve"> in routine discharge (79.6%) and self-discharge (2.2%), and a smaller proportion end</w:t>
      </w:r>
      <w:r w:rsidR="00380FB9">
        <w:t>ed</w:t>
      </w:r>
      <w:r>
        <w:t xml:space="preserve"> in admission to hospital (2.2%)</w:t>
      </w:r>
      <w:r w:rsidR="00380FB9">
        <w:t>. Very few events ended</w:t>
      </w:r>
      <w:r>
        <w:t xml:space="preserve"> in death (11 deaths).</w:t>
      </w:r>
    </w:p>
    <w:p w14:paraId="3DD30321" w14:textId="77777777" w:rsidR="00C058BB" w:rsidRDefault="00C058BB" w:rsidP="008852D7"/>
    <w:p w14:paraId="632BD718" w14:textId="77777777" w:rsidR="00C058BB" w:rsidRDefault="00C058BB" w:rsidP="008852D7">
      <w:pPr>
        <w:pStyle w:val="Figure"/>
      </w:pPr>
      <w:bookmarkStart w:id="189" w:name="_Ref450574870"/>
      <w:bookmarkStart w:id="190" w:name="_Toc452111267"/>
      <w:bookmarkStart w:id="191" w:name="_Toc453058898"/>
      <w:r>
        <w:t xml:space="preserve">Figure </w:t>
      </w:r>
      <w:r w:rsidR="004B4E7B">
        <w:fldChar w:fldCharType="begin"/>
      </w:r>
      <w:r w:rsidR="004B4E7B">
        <w:instrText xml:space="preserve"> SE</w:instrText>
      </w:r>
      <w:r w:rsidR="004B4E7B">
        <w:instrText xml:space="preserve">Q Figure \* ARABIC </w:instrText>
      </w:r>
      <w:r w:rsidR="004B4E7B">
        <w:fldChar w:fldCharType="separate"/>
      </w:r>
      <w:r w:rsidR="00CD2E1C">
        <w:rPr>
          <w:noProof/>
        </w:rPr>
        <w:t>44</w:t>
      </w:r>
      <w:r w:rsidR="004B4E7B">
        <w:rPr>
          <w:noProof/>
        </w:rPr>
        <w:fldChar w:fldCharType="end"/>
      </w:r>
      <w:bookmarkEnd w:id="189"/>
      <w:r>
        <w:t>: Distribution of immediately or potentially life-threatening events (triage levels 1–3) and of potentially serious or less urgent events (triage levels 4–5), by outcome, 2010/11 and 2014/15</w:t>
      </w:r>
      <w:bookmarkEnd w:id="190"/>
      <w:bookmarkEnd w:id="191"/>
    </w:p>
    <w:p w14:paraId="37DD1AC6" w14:textId="28C62B7F" w:rsidR="00E61335" w:rsidRPr="00E61335" w:rsidRDefault="002D69D1" w:rsidP="00E61335">
      <w:r w:rsidRPr="002D69D1">
        <w:rPr>
          <w:noProof/>
          <w:lang w:eastAsia="en-NZ"/>
        </w:rPr>
        <w:drawing>
          <wp:inline distT="0" distB="0" distL="0" distR="0" wp14:anchorId="0F855F2C" wp14:editId="4F1E1723">
            <wp:extent cx="5760000" cy="1976749"/>
            <wp:effectExtent l="0" t="0" r="0" b="5080"/>
            <wp:docPr id="19" name="Picture 19" descr="Figure 44: Distribution of immediately or potentially life-threatening events (triage levels 1–3) and of potentially serious or less urgent events (triage levels 4–5), by outcome, 2010/11 an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00" cy="1976749"/>
                    </a:xfrm>
                    <a:prstGeom prst="rect">
                      <a:avLst/>
                    </a:prstGeom>
                    <a:noFill/>
                    <a:ln>
                      <a:noFill/>
                    </a:ln>
                  </pic:spPr>
                </pic:pic>
              </a:graphicData>
            </a:graphic>
          </wp:inline>
        </w:drawing>
      </w:r>
    </w:p>
    <w:p w14:paraId="2F35EC22" w14:textId="77777777" w:rsidR="00C058BB" w:rsidRDefault="00C058BB" w:rsidP="008852D7">
      <w:pPr>
        <w:pStyle w:val="Note"/>
        <w:ind w:right="0"/>
      </w:pPr>
      <w:r w:rsidRPr="004531B8">
        <w:t xml:space="preserve">Note: </w:t>
      </w:r>
      <w:r>
        <w:t>The proportion of patients who died in ED is not presented due to very low proportions each year (&lt;0.1%).</w:t>
      </w:r>
    </w:p>
    <w:p w14:paraId="42B09B89" w14:textId="77777777" w:rsidR="008852D7" w:rsidRPr="008852D7" w:rsidRDefault="008852D7" w:rsidP="008852D7"/>
    <w:p w14:paraId="0C4B9FAE" w14:textId="77777777" w:rsidR="00C058BB" w:rsidRDefault="00C058BB" w:rsidP="00657622">
      <w:pPr>
        <w:pStyle w:val="Heading1"/>
      </w:pPr>
      <w:r w:rsidRPr="0055471A">
        <w:br w:type="page"/>
      </w:r>
      <w:bookmarkStart w:id="192" w:name="_Toc452111290"/>
      <w:bookmarkStart w:id="193" w:name="_Toc453058842"/>
      <w:r>
        <w:lastRenderedPageBreak/>
        <w:t>Additional notes</w:t>
      </w:r>
      <w:bookmarkEnd w:id="123"/>
      <w:bookmarkEnd w:id="192"/>
      <w:bookmarkEnd w:id="193"/>
    </w:p>
    <w:p w14:paraId="4C397F92" w14:textId="77777777" w:rsidR="00C058BB" w:rsidRDefault="00C058BB" w:rsidP="008852D7">
      <w:pPr>
        <w:pStyle w:val="Heading2"/>
      </w:pPr>
      <w:bookmarkStart w:id="194" w:name="_Toc452111291"/>
      <w:bookmarkStart w:id="195" w:name="_Toc453058843"/>
      <w:r>
        <w:t>Inclusion criteria</w:t>
      </w:r>
      <w:bookmarkEnd w:id="194"/>
      <w:bookmarkEnd w:id="195"/>
    </w:p>
    <w:p w14:paraId="54DFE811" w14:textId="77777777" w:rsidR="00C058BB" w:rsidRDefault="00C058BB" w:rsidP="008852D7">
      <w:r>
        <w:t>A core data set of ED events was extracted from NNPAC. These events</w:t>
      </w:r>
      <w:r w:rsidR="008852D7">
        <w:t>:</w:t>
      </w:r>
    </w:p>
    <w:p w14:paraId="2CD6C0D3" w14:textId="77777777" w:rsidR="00C058BB" w:rsidRDefault="00C058BB" w:rsidP="008852D7">
      <w:pPr>
        <w:pStyle w:val="Bullet"/>
      </w:pPr>
      <w:r>
        <w:t>had a service date between 1 July 2010 and 30 June 2015</w:t>
      </w:r>
    </w:p>
    <w:p w14:paraId="45B020AA" w14:textId="77777777" w:rsidR="00C058BB" w:rsidRDefault="00C058BB" w:rsidP="008852D7">
      <w:pPr>
        <w:pStyle w:val="Bullet"/>
      </w:pPr>
      <w:r>
        <w:t xml:space="preserve">had one of the codes specified in Table </w:t>
      </w:r>
      <w:r>
        <w:rPr>
          <w:noProof/>
        </w:rPr>
        <w:t>1</w:t>
      </w:r>
      <w:r>
        <w:t xml:space="preserve"> as the purchase unit code</w:t>
      </w:r>
    </w:p>
    <w:p w14:paraId="10E1F493" w14:textId="77777777" w:rsidR="00C058BB" w:rsidRDefault="00C058BB" w:rsidP="008852D7">
      <w:pPr>
        <w:pStyle w:val="Bullet"/>
      </w:pPr>
      <w:r>
        <w:t>were completed (ie, excludes events where the patient did not wait to complete)</w:t>
      </w:r>
    </w:p>
    <w:p w14:paraId="47706493" w14:textId="77777777" w:rsidR="00C058BB" w:rsidRDefault="00C058BB" w:rsidP="008852D7">
      <w:pPr>
        <w:pStyle w:val="Bullet"/>
      </w:pPr>
      <w:r>
        <w:t>do not include follow-up appointments.</w:t>
      </w:r>
    </w:p>
    <w:p w14:paraId="3DCF2595" w14:textId="77777777" w:rsidR="00C058BB" w:rsidRDefault="00C058BB" w:rsidP="008852D7"/>
    <w:p w14:paraId="4EE19839" w14:textId="77777777" w:rsidR="00714982" w:rsidRDefault="00C058BB" w:rsidP="008852D7">
      <w:r>
        <w:t>From this core data set of events, the first event during the financial year for the patient was identified and all demographic detail presented in this report is based on details recorded for that first event.</w:t>
      </w:r>
    </w:p>
    <w:p w14:paraId="3F99AD68" w14:textId="77777777" w:rsidR="00C058BB" w:rsidRDefault="00C058BB" w:rsidP="008852D7"/>
    <w:p w14:paraId="059E3B70" w14:textId="77777777" w:rsidR="00C058BB" w:rsidRPr="00E600FC" w:rsidRDefault="00C058BB" w:rsidP="008852D7">
      <w:pPr>
        <w:pStyle w:val="Table"/>
      </w:pPr>
      <w:bookmarkStart w:id="196" w:name="_Ref445898726"/>
      <w:bookmarkStart w:id="197" w:name="_Toc452111220"/>
      <w:bookmarkStart w:id="198" w:name="_Toc453058851"/>
      <w:r>
        <w:t xml:space="preserve">Table </w:t>
      </w:r>
      <w:r w:rsidR="004B4E7B">
        <w:fldChar w:fldCharType="begin"/>
      </w:r>
      <w:r w:rsidR="004B4E7B">
        <w:instrText xml:space="preserve"> SEQ Table \* ARABIC </w:instrText>
      </w:r>
      <w:r w:rsidR="004B4E7B">
        <w:fldChar w:fldCharType="separate"/>
      </w:r>
      <w:r w:rsidR="00CD2E1C">
        <w:rPr>
          <w:noProof/>
        </w:rPr>
        <w:t>1</w:t>
      </w:r>
      <w:r w:rsidR="004B4E7B">
        <w:rPr>
          <w:noProof/>
        </w:rPr>
        <w:fldChar w:fldCharType="end"/>
      </w:r>
      <w:bookmarkEnd w:id="196"/>
      <w:r>
        <w:t>: Purchase unit codes used for identifying emergency department events</w:t>
      </w:r>
      <w:bookmarkEnd w:id="197"/>
      <w:bookmarkEnd w:id="198"/>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293"/>
        <w:gridCol w:w="4508"/>
      </w:tblGrid>
      <w:tr w:rsidR="00C058BB" w:rsidRPr="008852D7" w14:paraId="2596BB05" w14:textId="77777777" w:rsidTr="008852D7">
        <w:trPr>
          <w:cantSplit/>
        </w:trPr>
        <w:tc>
          <w:tcPr>
            <w:tcW w:w="2293" w:type="dxa"/>
            <w:tcBorders>
              <w:top w:val="single" w:sz="4" w:space="0" w:color="auto"/>
              <w:bottom w:val="single" w:sz="4" w:space="0" w:color="auto"/>
            </w:tcBorders>
            <w:shd w:val="clear" w:color="auto" w:fill="auto"/>
          </w:tcPr>
          <w:p w14:paraId="225AE432" w14:textId="77777777" w:rsidR="00C058BB" w:rsidRPr="008852D7" w:rsidRDefault="00C058BB" w:rsidP="008852D7">
            <w:pPr>
              <w:pStyle w:val="TableText"/>
              <w:rPr>
                <w:b/>
              </w:rPr>
            </w:pPr>
            <w:r w:rsidRPr="008852D7">
              <w:rPr>
                <w:b/>
              </w:rPr>
              <w:t>Purchase unit code</w:t>
            </w:r>
          </w:p>
        </w:tc>
        <w:tc>
          <w:tcPr>
            <w:tcW w:w="4508" w:type="dxa"/>
            <w:tcBorders>
              <w:top w:val="single" w:sz="4" w:space="0" w:color="auto"/>
              <w:bottom w:val="single" w:sz="4" w:space="0" w:color="auto"/>
            </w:tcBorders>
            <w:shd w:val="clear" w:color="auto" w:fill="auto"/>
          </w:tcPr>
          <w:p w14:paraId="13F127F6" w14:textId="77777777" w:rsidR="00C058BB" w:rsidRPr="008852D7" w:rsidRDefault="00C058BB" w:rsidP="008852D7">
            <w:pPr>
              <w:pStyle w:val="TableText"/>
              <w:rPr>
                <w:b/>
              </w:rPr>
            </w:pPr>
            <w:r w:rsidRPr="008852D7">
              <w:rPr>
                <w:b/>
              </w:rPr>
              <w:t>Description</w:t>
            </w:r>
          </w:p>
        </w:tc>
      </w:tr>
      <w:tr w:rsidR="00C058BB" w:rsidRPr="00F12A18" w14:paraId="23A03497" w14:textId="77777777" w:rsidTr="008D7374">
        <w:trPr>
          <w:cantSplit/>
        </w:trPr>
        <w:tc>
          <w:tcPr>
            <w:tcW w:w="2293" w:type="dxa"/>
            <w:tcBorders>
              <w:top w:val="single" w:sz="4" w:space="0" w:color="auto"/>
              <w:bottom w:val="single" w:sz="4" w:space="0" w:color="A6A6A6"/>
            </w:tcBorders>
            <w:shd w:val="clear" w:color="auto" w:fill="auto"/>
          </w:tcPr>
          <w:p w14:paraId="22918091" w14:textId="77777777" w:rsidR="00C058BB" w:rsidRPr="00F12A18" w:rsidRDefault="00C058BB" w:rsidP="008852D7">
            <w:pPr>
              <w:pStyle w:val="TableText"/>
            </w:pPr>
            <w:r w:rsidRPr="00F12A18">
              <w:t>ED02001</w:t>
            </w:r>
          </w:p>
        </w:tc>
        <w:tc>
          <w:tcPr>
            <w:tcW w:w="4508" w:type="dxa"/>
            <w:tcBorders>
              <w:top w:val="single" w:sz="4" w:space="0" w:color="auto"/>
              <w:bottom w:val="single" w:sz="4" w:space="0" w:color="A6A6A6"/>
            </w:tcBorders>
            <w:shd w:val="clear" w:color="auto" w:fill="auto"/>
          </w:tcPr>
          <w:p w14:paraId="42FDF4AC" w14:textId="400458B2" w:rsidR="00C058BB" w:rsidRPr="00F12A18" w:rsidRDefault="00C058BB" w:rsidP="008852D7">
            <w:pPr>
              <w:pStyle w:val="TableText"/>
            </w:pPr>
            <w:r w:rsidRPr="00F12A18">
              <w:t xml:space="preserve">Emergency </w:t>
            </w:r>
            <w:r w:rsidR="008852D7">
              <w:t>Department</w:t>
            </w:r>
            <w:r w:rsidR="00714982">
              <w:t xml:space="preserve"> – </w:t>
            </w:r>
            <w:r w:rsidRPr="00F12A18">
              <w:t>Level 2</w:t>
            </w:r>
          </w:p>
        </w:tc>
      </w:tr>
      <w:tr w:rsidR="00C058BB" w:rsidRPr="00F12A18" w14:paraId="3D7E9EA4" w14:textId="77777777" w:rsidTr="008D7374">
        <w:trPr>
          <w:cantSplit/>
        </w:trPr>
        <w:tc>
          <w:tcPr>
            <w:tcW w:w="2293" w:type="dxa"/>
            <w:tcBorders>
              <w:top w:val="single" w:sz="4" w:space="0" w:color="A6A6A6"/>
              <w:bottom w:val="single" w:sz="4" w:space="0" w:color="A6A6A6"/>
            </w:tcBorders>
            <w:shd w:val="clear" w:color="auto" w:fill="auto"/>
          </w:tcPr>
          <w:p w14:paraId="540E50FB" w14:textId="77777777" w:rsidR="00C058BB" w:rsidRPr="00F12A18" w:rsidRDefault="00C058BB" w:rsidP="008852D7">
            <w:pPr>
              <w:pStyle w:val="TableText"/>
            </w:pPr>
            <w:r w:rsidRPr="00F12A18">
              <w:t>ED02001A</w:t>
            </w:r>
          </w:p>
        </w:tc>
        <w:tc>
          <w:tcPr>
            <w:tcW w:w="4508" w:type="dxa"/>
            <w:tcBorders>
              <w:top w:val="single" w:sz="4" w:space="0" w:color="A6A6A6"/>
              <w:bottom w:val="single" w:sz="4" w:space="0" w:color="A6A6A6"/>
            </w:tcBorders>
            <w:shd w:val="clear" w:color="auto" w:fill="auto"/>
          </w:tcPr>
          <w:p w14:paraId="44459C01" w14:textId="01CB7B49" w:rsidR="00C058BB" w:rsidRPr="00F12A18" w:rsidRDefault="00C058BB" w:rsidP="008852D7">
            <w:pPr>
              <w:pStyle w:val="TableText"/>
            </w:pPr>
            <w:r w:rsidRPr="00F12A18">
              <w:t xml:space="preserve">Emergency </w:t>
            </w:r>
            <w:r w:rsidR="008852D7">
              <w:t>Department</w:t>
            </w:r>
            <w:r w:rsidR="00714982">
              <w:t xml:space="preserve"> – </w:t>
            </w:r>
            <w:r w:rsidRPr="00F12A18">
              <w:t>Level 2 Admitted</w:t>
            </w:r>
          </w:p>
        </w:tc>
      </w:tr>
      <w:tr w:rsidR="00C058BB" w:rsidRPr="00F12A18" w14:paraId="0A1683EB" w14:textId="77777777" w:rsidTr="008D7374">
        <w:trPr>
          <w:cantSplit/>
        </w:trPr>
        <w:tc>
          <w:tcPr>
            <w:tcW w:w="2293" w:type="dxa"/>
            <w:tcBorders>
              <w:top w:val="single" w:sz="4" w:space="0" w:color="A6A6A6"/>
              <w:bottom w:val="single" w:sz="4" w:space="0" w:color="A6A6A6"/>
            </w:tcBorders>
            <w:shd w:val="clear" w:color="auto" w:fill="auto"/>
          </w:tcPr>
          <w:p w14:paraId="3D98CFF9" w14:textId="77777777" w:rsidR="00C058BB" w:rsidRPr="00F12A18" w:rsidRDefault="00C058BB" w:rsidP="008852D7">
            <w:pPr>
              <w:pStyle w:val="TableText"/>
            </w:pPr>
            <w:r w:rsidRPr="00F12A18">
              <w:t>ED03001</w:t>
            </w:r>
          </w:p>
        </w:tc>
        <w:tc>
          <w:tcPr>
            <w:tcW w:w="4508" w:type="dxa"/>
            <w:tcBorders>
              <w:top w:val="single" w:sz="4" w:space="0" w:color="A6A6A6"/>
              <w:bottom w:val="single" w:sz="4" w:space="0" w:color="A6A6A6"/>
            </w:tcBorders>
            <w:shd w:val="clear" w:color="auto" w:fill="auto"/>
          </w:tcPr>
          <w:p w14:paraId="2A6F477E" w14:textId="76455218" w:rsidR="00C058BB" w:rsidRPr="00F12A18" w:rsidRDefault="00C058BB" w:rsidP="008852D7">
            <w:pPr>
              <w:pStyle w:val="TableText"/>
            </w:pPr>
            <w:r w:rsidRPr="00F12A18">
              <w:t xml:space="preserve">Emergency </w:t>
            </w:r>
            <w:r w:rsidR="008852D7">
              <w:t>Department</w:t>
            </w:r>
            <w:r w:rsidR="00714982">
              <w:t xml:space="preserve"> – </w:t>
            </w:r>
            <w:r w:rsidRPr="00F12A18">
              <w:t>Level 3</w:t>
            </w:r>
          </w:p>
        </w:tc>
      </w:tr>
      <w:tr w:rsidR="00C058BB" w:rsidRPr="00F12A18" w14:paraId="7A743D5D" w14:textId="77777777" w:rsidTr="008D7374">
        <w:trPr>
          <w:cantSplit/>
        </w:trPr>
        <w:tc>
          <w:tcPr>
            <w:tcW w:w="2293" w:type="dxa"/>
            <w:tcBorders>
              <w:top w:val="single" w:sz="4" w:space="0" w:color="A6A6A6"/>
              <w:bottom w:val="single" w:sz="4" w:space="0" w:color="A6A6A6"/>
            </w:tcBorders>
            <w:shd w:val="clear" w:color="auto" w:fill="auto"/>
          </w:tcPr>
          <w:p w14:paraId="1CCF8B5D" w14:textId="77777777" w:rsidR="00C058BB" w:rsidRPr="00F12A18" w:rsidRDefault="00C058BB" w:rsidP="008852D7">
            <w:pPr>
              <w:pStyle w:val="TableText"/>
            </w:pPr>
            <w:r w:rsidRPr="00F12A18">
              <w:t>ED03001A</w:t>
            </w:r>
          </w:p>
        </w:tc>
        <w:tc>
          <w:tcPr>
            <w:tcW w:w="4508" w:type="dxa"/>
            <w:tcBorders>
              <w:top w:val="single" w:sz="4" w:space="0" w:color="A6A6A6"/>
              <w:bottom w:val="single" w:sz="4" w:space="0" w:color="A6A6A6"/>
            </w:tcBorders>
            <w:shd w:val="clear" w:color="auto" w:fill="auto"/>
          </w:tcPr>
          <w:p w14:paraId="61224314" w14:textId="5C6B53DD" w:rsidR="00C058BB" w:rsidRPr="00F12A18" w:rsidRDefault="00C058BB" w:rsidP="008852D7">
            <w:pPr>
              <w:pStyle w:val="TableText"/>
            </w:pPr>
            <w:r w:rsidRPr="00F12A18">
              <w:t xml:space="preserve">Emergency </w:t>
            </w:r>
            <w:r w:rsidR="008852D7">
              <w:t>Department</w:t>
            </w:r>
            <w:r w:rsidR="00714982">
              <w:t xml:space="preserve"> – </w:t>
            </w:r>
            <w:r w:rsidRPr="00F12A18">
              <w:t>Level 3 Admitted</w:t>
            </w:r>
          </w:p>
        </w:tc>
      </w:tr>
      <w:tr w:rsidR="00C058BB" w:rsidRPr="00F12A18" w14:paraId="320E97E4" w14:textId="77777777" w:rsidTr="008D7374">
        <w:trPr>
          <w:cantSplit/>
        </w:trPr>
        <w:tc>
          <w:tcPr>
            <w:tcW w:w="2293" w:type="dxa"/>
            <w:tcBorders>
              <w:top w:val="single" w:sz="4" w:space="0" w:color="A6A6A6"/>
              <w:bottom w:val="single" w:sz="4" w:space="0" w:color="A6A6A6"/>
            </w:tcBorders>
            <w:shd w:val="clear" w:color="auto" w:fill="auto"/>
          </w:tcPr>
          <w:p w14:paraId="58631697" w14:textId="77777777" w:rsidR="00C058BB" w:rsidRPr="00F12A18" w:rsidRDefault="00C058BB" w:rsidP="008852D7">
            <w:pPr>
              <w:pStyle w:val="TableText"/>
            </w:pPr>
            <w:r w:rsidRPr="00F12A18">
              <w:t>ED04001</w:t>
            </w:r>
          </w:p>
        </w:tc>
        <w:tc>
          <w:tcPr>
            <w:tcW w:w="4508" w:type="dxa"/>
            <w:tcBorders>
              <w:top w:val="single" w:sz="4" w:space="0" w:color="A6A6A6"/>
              <w:bottom w:val="single" w:sz="4" w:space="0" w:color="A6A6A6"/>
            </w:tcBorders>
            <w:shd w:val="clear" w:color="auto" w:fill="auto"/>
          </w:tcPr>
          <w:p w14:paraId="6C6677CB" w14:textId="1C7D1A7B" w:rsidR="00C058BB" w:rsidRPr="00F12A18" w:rsidRDefault="00C058BB" w:rsidP="008852D7">
            <w:pPr>
              <w:pStyle w:val="TableText"/>
            </w:pPr>
            <w:r w:rsidRPr="00F12A18">
              <w:t xml:space="preserve">Emergency </w:t>
            </w:r>
            <w:r w:rsidR="008852D7">
              <w:t>Department</w:t>
            </w:r>
            <w:r w:rsidR="00714982">
              <w:t xml:space="preserve"> – </w:t>
            </w:r>
            <w:r w:rsidRPr="00F12A18">
              <w:t>Level 4</w:t>
            </w:r>
          </w:p>
        </w:tc>
      </w:tr>
      <w:tr w:rsidR="00C058BB" w:rsidRPr="00F12A18" w14:paraId="06CF3186" w14:textId="77777777" w:rsidTr="008D7374">
        <w:trPr>
          <w:cantSplit/>
        </w:trPr>
        <w:tc>
          <w:tcPr>
            <w:tcW w:w="2293" w:type="dxa"/>
            <w:tcBorders>
              <w:top w:val="single" w:sz="4" w:space="0" w:color="A6A6A6"/>
              <w:bottom w:val="single" w:sz="4" w:space="0" w:color="A6A6A6"/>
            </w:tcBorders>
            <w:shd w:val="clear" w:color="auto" w:fill="auto"/>
          </w:tcPr>
          <w:p w14:paraId="74E5C417" w14:textId="77777777" w:rsidR="00C058BB" w:rsidRPr="00F12A18" w:rsidRDefault="00C058BB" w:rsidP="008852D7">
            <w:pPr>
              <w:pStyle w:val="TableText"/>
            </w:pPr>
            <w:r w:rsidRPr="00F12A18">
              <w:t>ED04001A</w:t>
            </w:r>
          </w:p>
        </w:tc>
        <w:tc>
          <w:tcPr>
            <w:tcW w:w="4508" w:type="dxa"/>
            <w:tcBorders>
              <w:top w:val="single" w:sz="4" w:space="0" w:color="A6A6A6"/>
              <w:bottom w:val="single" w:sz="4" w:space="0" w:color="A6A6A6"/>
            </w:tcBorders>
            <w:shd w:val="clear" w:color="auto" w:fill="auto"/>
          </w:tcPr>
          <w:p w14:paraId="2DA0A463" w14:textId="066DA852" w:rsidR="00C058BB" w:rsidRPr="00F12A18" w:rsidRDefault="00C058BB" w:rsidP="008852D7">
            <w:pPr>
              <w:pStyle w:val="TableText"/>
            </w:pPr>
            <w:r w:rsidRPr="00F12A18">
              <w:t xml:space="preserve">Emergency </w:t>
            </w:r>
            <w:r w:rsidR="008852D7">
              <w:t>Department</w:t>
            </w:r>
            <w:r w:rsidR="00714982">
              <w:t xml:space="preserve"> – </w:t>
            </w:r>
            <w:r w:rsidRPr="00F12A18">
              <w:t>Level 4 Admitted</w:t>
            </w:r>
          </w:p>
        </w:tc>
      </w:tr>
      <w:tr w:rsidR="00C058BB" w:rsidRPr="00F12A18" w14:paraId="4B400D26" w14:textId="77777777" w:rsidTr="008D7374">
        <w:trPr>
          <w:cantSplit/>
        </w:trPr>
        <w:tc>
          <w:tcPr>
            <w:tcW w:w="2293" w:type="dxa"/>
            <w:tcBorders>
              <w:top w:val="single" w:sz="4" w:space="0" w:color="A6A6A6"/>
              <w:bottom w:val="single" w:sz="4" w:space="0" w:color="A6A6A6"/>
            </w:tcBorders>
            <w:shd w:val="clear" w:color="auto" w:fill="auto"/>
          </w:tcPr>
          <w:p w14:paraId="55ABA710" w14:textId="77777777" w:rsidR="00C058BB" w:rsidRPr="00F12A18" w:rsidRDefault="00C058BB" w:rsidP="008852D7">
            <w:pPr>
              <w:pStyle w:val="TableText"/>
            </w:pPr>
            <w:r w:rsidRPr="00F12A18">
              <w:t>ED05001</w:t>
            </w:r>
          </w:p>
        </w:tc>
        <w:tc>
          <w:tcPr>
            <w:tcW w:w="4508" w:type="dxa"/>
            <w:tcBorders>
              <w:top w:val="single" w:sz="4" w:space="0" w:color="A6A6A6"/>
              <w:bottom w:val="single" w:sz="4" w:space="0" w:color="A6A6A6"/>
            </w:tcBorders>
            <w:shd w:val="clear" w:color="auto" w:fill="auto"/>
          </w:tcPr>
          <w:p w14:paraId="3534F24C" w14:textId="37DEF7C7" w:rsidR="00C058BB" w:rsidRPr="00F12A18" w:rsidRDefault="00C058BB" w:rsidP="008852D7">
            <w:pPr>
              <w:pStyle w:val="TableText"/>
            </w:pPr>
            <w:r w:rsidRPr="00F12A18">
              <w:t xml:space="preserve">Emergency </w:t>
            </w:r>
            <w:r w:rsidR="008852D7">
              <w:t>Department</w:t>
            </w:r>
            <w:r w:rsidR="00714982">
              <w:t xml:space="preserve"> – </w:t>
            </w:r>
            <w:r w:rsidRPr="00F12A18">
              <w:t>Level 5</w:t>
            </w:r>
          </w:p>
        </w:tc>
      </w:tr>
      <w:tr w:rsidR="00C058BB" w:rsidRPr="00F12A18" w14:paraId="4F66E1D3" w14:textId="77777777" w:rsidTr="008D7374">
        <w:trPr>
          <w:cantSplit/>
        </w:trPr>
        <w:tc>
          <w:tcPr>
            <w:tcW w:w="2293" w:type="dxa"/>
            <w:tcBorders>
              <w:top w:val="single" w:sz="4" w:space="0" w:color="A6A6A6"/>
              <w:bottom w:val="single" w:sz="4" w:space="0" w:color="A6A6A6"/>
            </w:tcBorders>
            <w:shd w:val="clear" w:color="auto" w:fill="auto"/>
          </w:tcPr>
          <w:p w14:paraId="734545D7" w14:textId="77777777" w:rsidR="00C058BB" w:rsidRPr="00F12A18" w:rsidRDefault="00C058BB" w:rsidP="008852D7">
            <w:pPr>
              <w:pStyle w:val="TableText"/>
            </w:pPr>
            <w:r w:rsidRPr="00F12A18">
              <w:t>ED05001A</w:t>
            </w:r>
          </w:p>
        </w:tc>
        <w:tc>
          <w:tcPr>
            <w:tcW w:w="4508" w:type="dxa"/>
            <w:tcBorders>
              <w:top w:val="single" w:sz="4" w:space="0" w:color="A6A6A6"/>
              <w:bottom w:val="single" w:sz="4" w:space="0" w:color="A6A6A6"/>
            </w:tcBorders>
            <w:shd w:val="clear" w:color="auto" w:fill="auto"/>
          </w:tcPr>
          <w:p w14:paraId="43953D8B" w14:textId="7FD46AA6" w:rsidR="00C058BB" w:rsidRPr="00F12A18" w:rsidRDefault="00C058BB" w:rsidP="008852D7">
            <w:pPr>
              <w:pStyle w:val="TableText"/>
            </w:pPr>
            <w:r w:rsidRPr="00F12A18">
              <w:t xml:space="preserve">Emergency </w:t>
            </w:r>
            <w:r w:rsidR="008852D7">
              <w:t>Department</w:t>
            </w:r>
            <w:r w:rsidR="00714982">
              <w:t xml:space="preserve"> – </w:t>
            </w:r>
            <w:r w:rsidRPr="00F12A18">
              <w:t>Level 5 Admitted</w:t>
            </w:r>
          </w:p>
        </w:tc>
      </w:tr>
      <w:tr w:rsidR="00C058BB" w:rsidRPr="00F12A18" w14:paraId="0D087CAC" w14:textId="77777777" w:rsidTr="008D7374">
        <w:trPr>
          <w:cantSplit/>
        </w:trPr>
        <w:tc>
          <w:tcPr>
            <w:tcW w:w="2293" w:type="dxa"/>
            <w:tcBorders>
              <w:top w:val="single" w:sz="4" w:space="0" w:color="A6A6A6"/>
              <w:bottom w:val="single" w:sz="4" w:space="0" w:color="A6A6A6"/>
            </w:tcBorders>
            <w:shd w:val="clear" w:color="auto" w:fill="auto"/>
          </w:tcPr>
          <w:p w14:paraId="38F23DCF" w14:textId="77777777" w:rsidR="00C058BB" w:rsidRPr="00F12A18" w:rsidRDefault="00C058BB" w:rsidP="008852D7">
            <w:pPr>
              <w:pStyle w:val="TableText"/>
            </w:pPr>
            <w:r w:rsidRPr="00F12A18">
              <w:t>ED06001</w:t>
            </w:r>
          </w:p>
        </w:tc>
        <w:tc>
          <w:tcPr>
            <w:tcW w:w="4508" w:type="dxa"/>
            <w:tcBorders>
              <w:top w:val="single" w:sz="4" w:space="0" w:color="A6A6A6"/>
              <w:bottom w:val="single" w:sz="4" w:space="0" w:color="A6A6A6"/>
            </w:tcBorders>
            <w:shd w:val="clear" w:color="auto" w:fill="auto"/>
          </w:tcPr>
          <w:p w14:paraId="403A0617" w14:textId="130C6EF3" w:rsidR="00C058BB" w:rsidRPr="00F12A18" w:rsidRDefault="00C058BB" w:rsidP="008852D7">
            <w:pPr>
              <w:pStyle w:val="TableText"/>
            </w:pPr>
            <w:r w:rsidRPr="00F12A18">
              <w:t xml:space="preserve">Emergency </w:t>
            </w:r>
            <w:r w:rsidR="008852D7">
              <w:t>Department</w:t>
            </w:r>
            <w:r w:rsidR="00714982">
              <w:t xml:space="preserve"> – </w:t>
            </w:r>
            <w:r w:rsidRPr="00F12A18">
              <w:t>Level 6</w:t>
            </w:r>
          </w:p>
        </w:tc>
      </w:tr>
      <w:tr w:rsidR="00C058BB" w:rsidRPr="00F12A18" w14:paraId="32DB0545" w14:textId="77777777" w:rsidTr="008D7374">
        <w:trPr>
          <w:cantSplit/>
        </w:trPr>
        <w:tc>
          <w:tcPr>
            <w:tcW w:w="2293" w:type="dxa"/>
            <w:tcBorders>
              <w:top w:val="single" w:sz="4" w:space="0" w:color="A6A6A6"/>
            </w:tcBorders>
            <w:shd w:val="clear" w:color="auto" w:fill="auto"/>
          </w:tcPr>
          <w:p w14:paraId="19A37D92" w14:textId="77777777" w:rsidR="00C058BB" w:rsidRPr="00F12A18" w:rsidRDefault="00C058BB" w:rsidP="008852D7">
            <w:pPr>
              <w:pStyle w:val="TableText"/>
            </w:pPr>
            <w:r w:rsidRPr="00F12A18">
              <w:t>ED06001A</w:t>
            </w:r>
          </w:p>
        </w:tc>
        <w:tc>
          <w:tcPr>
            <w:tcW w:w="4508" w:type="dxa"/>
            <w:tcBorders>
              <w:top w:val="single" w:sz="4" w:space="0" w:color="A6A6A6"/>
            </w:tcBorders>
            <w:shd w:val="clear" w:color="auto" w:fill="auto"/>
          </w:tcPr>
          <w:p w14:paraId="30150E86" w14:textId="5F091181" w:rsidR="00C058BB" w:rsidRPr="00F12A18" w:rsidRDefault="00C058BB" w:rsidP="008852D7">
            <w:pPr>
              <w:pStyle w:val="TableText"/>
            </w:pPr>
            <w:r w:rsidRPr="00F12A18">
              <w:t xml:space="preserve">Emergency </w:t>
            </w:r>
            <w:r w:rsidR="008852D7">
              <w:t>Department</w:t>
            </w:r>
            <w:r w:rsidR="00714982">
              <w:t xml:space="preserve"> – </w:t>
            </w:r>
            <w:r w:rsidRPr="00F12A18">
              <w:t>Level 6 Admitted</w:t>
            </w:r>
          </w:p>
        </w:tc>
      </w:tr>
    </w:tbl>
    <w:p w14:paraId="1765F2B3" w14:textId="77777777" w:rsidR="00C058BB" w:rsidRPr="00F12A18" w:rsidRDefault="00C058BB" w:rsidP="008852D7"/>
    <w:p w14:paraId="3D1C6D35" w14:textId="77777777" w:rsidR="00C058BB" w:rsidRDefault="00C058BB" w:rsidP="008852D7">
      <w:pPr>
        <w:pStyle w:val="Heading2"/>
      </w:pPr>
      <w:bookmarkStart w:id="199" w:name="_Toc452111292"/>
      <w:bookmarkStart w:id="200" w:name="_Toc453058844"/>
      <w:r>
        <w:t>Ethnicity</w:t>
      </w:r>
      <w:bookmarkEnd w:id="199"/>
      <w:bookmarkEnd w:id="200"/>
    </w:p>
    <w:p w14:paraId="06965C3B" w14:textId="77777777" w:rsidR="00714982" w:rsidRDefault="00C058BB" w:rsidP="008852D7">
      <w:r w:rsidRPr="005B6D93">
        <w:t>Ethnicity is the ethnic group or groups that people may identify with or feel they belong to. Ethnicity is self-perceived; a person may identify with more than one ethnic group</w:t>
      </w:r>
      <w:r>
        <w:t xml:space="preserve">. </w:t>
      </w:r>
      <w:r w:rsidRPr="00E33B40">
        <w:t xml:space="preserve">The standard question for </w:t>
      </w:r>
      <w:r>
        <w:t xml:space="preserve">collecting ethnicity data in </w:t>
      </w:r>
      <w:r w:rsidRPr="00E33B40">
        <w:t>the health and disability sector mirrors the Statistics New Zealand 2001 Census ethnicity question</w:t>
      </w:r>
      <w:r>
        <w:t xml:space="preserve"> (Ministry of Health 2004).</w:t>
      </w:r>
    </w:p>
    <w:p w14:paraId="515CEBF8" w14:textId="77777777" w:rsidR="00C058BB" w:rsidRDefault="00C058BB" w:rsidP="008852D7"/>
    <w:p w14:paraId="74D56D32" w14:textId="77777777" w:rsidR="00C058BB" w:rsidRDefault="00C058BB" w:rsidP="008852D7">
      <w:r>
        <w:t xml:space="preserve">This report uses </w:t>
      </w:r>
      <w:r>
        <w:rPr>
          <w:i/>
        </w:rPr>
        <w:t>prioritised ethnicity</w:t>
      </w:r>
      <w:r>
        <w:t xml:space="preserve">, whereby each person represented in the data is allocated to a single ethnic group using the priority system Māori &gt; Pacific &gt; Asian &gt; Other ethnicities &gt; European. The aim of prioritisation is to ensure that where it is necessary to assign people to a single ethnic group, ethnic groups that are small or important in terms of policy are not swamped by the European ethnic group. This is also a more robust method of dealing with the low rate of multiple ethnicities in health sector data. </w:t>
      </w:r>
      <w:r>
        <w:rPr>
          <w:rFonts w:cs="Calibri"/>
        </w:rPr>
        <w:t>Further information on ethnicity data protocols for the health and disability sector is available from the Ministry of Health ethnicity protocols (Ministry of Health 2004)</w:t>
      </w:r>
      <w:r>
        <w:t>.</w:t>
      </w:r>
    </w:p>
    <w:p w14:paraId="3ACB0AC7" w14:textId="77777777" w:rsidR="00C058BB" w:rsidRDefault="00C058BB" w:rsidP="008852D7"/>
    <w:p w14:paraId="1A6958A0" w14:textId="77777777" w:rsidR="00C058BB" w:rsidRDefault="00C058BB" w:rsidP="008852D7">
      <w:r>
        <w:lastRenderedPageBreak/>
        <w:t xml:space="preserve">Individuals recorded as being of Other ethnicities are primarily Middle Eastern, Latin American or African. The number of individuals in the Other ethnic group is small, and therefore the </w:t>
      </w:r>
      <w:r w:rsidR="00714982">
        <w:t>‘</w:t>
      </w:r>
      <w:r>
        <w:t>Other</w:t>
      </w:r>
      <w:r w:rsidR="00714982">
        <w:t>’</w:t>
      </w:r>
      <w:r>
        <w:t xml:space="preserve"> group is often included with the European group for analysis.</w:t>
      </w:r>
    </w:p>
    <w:p w14:paraId="5679ADEB" w14:textId="77777777" w:rsidR="00C058BB" w:rsidRDefault="00C058BB" w:rsidP="008852D7"/>
    <w:p w14:paraId="1511E844" w14:textId="77777777" w:rsidR="00C058BB" w:rsidRPr="008852D7" w:rsidRDefault="00C058BB" w:rsidP="008852D7">
      <w:pPr>
        <w:pStyle w:val="Heading2"/>
      </w:pPr>
      <w:bookmarkStart w:id="201" w:name="_Ref409775946"/>
      <w:bookmarkStart w:id="202" w:name="_Toc452111293"/>
      <w:bookmarkStart w:id="203" w:name="_Toc453058845"/>
      <w:r>
        <w:t>Deprivation</w:t>
      </w:r>
      <w:bookmarkEnd w:id="201"/>
      <w:bookmarkEnd w:id="202"/>
      <w:bookmarkEnd w:id="203"/>
    </w:p>
    <w:p w14:paraId="6B082EA6" w14:textId="77777777" w:rsidR="00C058BB" w:rsidRDefault="00C058BB" w:rsidP="008852D7">
      <w:r>
        <w:t xml:space="preserve">The </w:t>
      </w:r>
      <w:r>
        <w:rPr>
          <w:rFonts w:cs="Calibri"/>
        </w:rPr>
        <w:t>New Zealand Deprivation Index</w:t>
      </w:r>
      <w:r>
        <w:t xml:space="preserve"> (NZDep) is a measure of socioeconomic status calculated for small geographic areas. The calculation uses nine variables from each Census of Population and Dwellings such as income, home ownership, support, employment, qualifications, living space, communication and transport. It then provides a summary deprivation score between 1</w:t>
      </w:r>
      <w:r w:rsidR="008852D7">
        <w:t> </w:t>
      </w:r>
      <w:r>
        <w:t>and 10 for each meshblock (small geographical unit containing a median of 90 people).</w:t>
      </w:r>
      <w:r w:rsidRPr="00AB7787">
        <w:t xml:space="preserve"> </w:t>
      </w:r>
      <w:r>
        <w:t>At a national level, approximately equal numbers of the population reside in neighbourhoods associated with each of the 10 deprivation score areas (</w:t>
      </w:r>
      <w:r w:rsidRPr="00CC0DD2">
        <w:t>Salmond</w:t>
      </w:r>
      <w:r>
        <w:t xml:space="preserve"> et al 2002).</w:t>
      </w:r>
    </w:p>
    <w:p w14:paraId="33F28E1E" w14:textId="77777777" w:rsidR="00C058BB" w:rsidRDefault="00C058BB" w:rsidP="008852D7"/>
    <w:p w14:paraId="7B42D974" w14:textId="77777777" w:rsidR="00C058BB" w:rsidRDefault="00C058BB" w:rsidP="008852D7">
      <w:r>
        <w:t xml:space="preserve">The Ministry of Health maps the meshblocks to domicile codes, which are built up to the relevant geographic scale using weighted average census usually resident population counts. Further information about socioeconomic deprivation in New Zealand is available on the </w:t>
      </w:r>
      <w:hyperlink r:id="rId64" w:anchor="atlas" w:history="1">
        <w:r w:rsidRPr="00AB7787">
          <w:rPr>
            <w:rStyle w:val="Hyperlink"/>
          </w:rPr>
          <w:t>University of Otago website</w:t>
        </w:r>
      </w:hyperlink>
      <w:r>
        <w:t>.</w:t>
      </w:r>
    </w:p>
    <w:p w14:paraId="4E9D3F0F" w14:textId="77777777" w:rsidR="00C058BB" w:rsidRDefault="00C058BB" w:rsidP="008852D7"/>
    <w:p w14:paraId="01890F79" w14:textId="77777777" w:rsidR="00C058BB" w:rsidRDefault="00C058BB" w:rsidP="008852D7">
      <w:r>
        <w:t>In this report, deprivation quintiles are based on the characteristics of the neighbourhood in which the patient resides. They range from 1 (least deprived) to 5 (most deprived), and are based on the NZDep2013 index of socioeconomic deprivation. A neighbourhood deprivation quintile is reported as unknown if the domicile recorded was based on a 2001 or 2006 domicile code and could not be mapped to a 2013 domicile code.</w:t>
      </w:r>
    </w:p>
    <w:p w14:paraId="02235374" w14:textId="77777777" w:rsidR="00C058BB" w:rsidRDefault="00C058BB" w:rsidP="008852D7"/>
    <w:p w14:paraId="204528FD" w14:textId="77777777" w:rsidR="00C058BB" w:rsidRDefault="00C058BB" w:rsidP="008852D7">
      <w:pPr>
        <w:pStyle w:val="Heading2"/>
      </w:pPr>
      <w:bookmarkStart w:id="204" w:name="_Toc452111294"/>
      <w:bookmarkStart w:id="205" w:name="_Toc453058846"/>
      <w:r>
        <w:t>Rates</w:t>
      </w:r>
      <w:bookmarkEnd w:id="204"/>
      <w:bookmarkEnd w:id="205"/>
    </w:p>
    <w:p w14:paraId="18423875" w14:textId="124C2930" w:rsidR="00C058BB" w:rsidRDefault="00C058BB" w:rsidP="008852D7">
      <w:r>
        <w:t xml:space="preserve">Rates of ED use are calculated to show the number of people in a demographic group who were patients at least once during the year, as a proportion of the population for that demographic group. For example, a rate of ED use of 15.4 per 100 population for males means that for every 100 males in the population, </w:t>
      </w:r>
      <w:r w:rsidR="00B05195">
        <w:t xml:space="preserve">about </w:t>
      </w:r>
      <w:r>
        <w:t>15 were patients at an ED at least once during the year.</w:t>
      </w:r>
    </w:p>
    <w:p w14:paraId="3F7C90B8" w14:textId="77777777" w:rsidR="00C058BB" w:rsidRPr="00FC5835" w:rsidRDefault="00C058BB" w:rsidP="008852D7"/>
    <w:p w14:paraId="28C8CB7C" w14:textId="77777777" w:rsidR="00C058BB" w:rsidRDefault="00C058BB" w:rsidP="008852D7">
      <w:pPr>
        <w:pStyle w:val="Heading3"/>
      </w:pPr>
      <w:r>
        <w:t>Different types of rates</w:t>
      </w:r>
    </w:p>
    <w:p w14:paraId="3A330DBE" w14:textId="77777777" w:rsidR="00C058BB" w:rsidRDefault="00C058BB" w:rsidP="008852D7">
      <w:r>
        <w:t xml:space="preserve">Two types of rates are presented in this report: age-specific rates and age-standardised rates. Rates presented in this report are primarily age-standardised rates. </w:t>
      </w:r>
      <w:r w:rsidRPr="001C49F5">
        <w:t>Age-standardised rates account for differences in population structure, and can be used to compare groups with different age structures (eg, males and females, or Māori and non-Māori) and data from different years.</w:t>
      </w:r>
    </w:p>
    <w:p w14:paraId="53A3069E" w14:textId="77777777" w:rsidR="00C058BB" w:rsidRDefault="00C058BB" w:rsidP="008852D7"/>
    <w:p w14:paraId="3041B803" w14:textId="77777777" w:rsidR="00C058BB" w:rsidRDefault="00C058BB" w:rsidP="008852D7">
      <w:r>
        <w:t xml:space="preserve">Age-specific rates are only presented when the rate is calculated for a specific age group, such as children aged under 15 years or adults in the 40–44 years age group. </w:t>
      </w:r>
      <w:r w:rsidRPr="001C49F5">
        <w:t xml:space="preserve">Age-specific rate is the rate at which a particular event (eg, </w:t>
      </w:r>
      <w:r>
        <w:t>attendance at an emergency department</w:t>
      </w:r>
      <w:r w:rsidRPr="001C49F5">
        <w:t>) occurs in each age group of a population as some unit of the population-at-risk.</w:t>
      </w:r>
    </w:p>
    <w:p w14:paraId="643D120C" w14:textId="77777777" w:rsidR="00C058BB" w:rsidRDefault="00C058BB" w:rsidP="008852D7"/>
    <w:p w14:paraId="15EA30BA" w14:textId="77777777" w:rsidR="00C058BB" w:rsidRDefault="00C058BB" w:rsidP="008852D7">
      <w:r>
        <w:t xml:space="preserve">Details about calculating age-specific and age-standardised rates can be found in </w:t>
      </w:r>
      <w:r>
        <w:rPr>
          <w:i/>
        </w:rPr>
        <w:t>Standardising Rates of Disease</w:t>
      </w:r>
      <w:r>
        <w:t xml:space="preserve"> (Borman 1998).</w:t>
      </w:r>
    </w:p>
    <w:p w14:paraId="545C054B" w14:textId="77777777" w:rsidR="00C058BB" w:rsidRPr="001F2DE3" w:rsidRDefault="00C058BB" w:rsidP="008852D7"/>
    <w:p w14:paraId="6943F126" w14:textId="77777777" w:rsidR="00C058BB" w:rsidRPr="00CC6359" w:rsidRDefault="00C058BB" w:rsidP="008852D7">
      <w:pPr>
        <w:pStyle w:val="Heading3"/>
      </w:pPr>
      <w:r>
        <w:lastRenderedPageBreak/>
        <w:t>Population data used</w:t>
      </w:r>
    </w:p>
    <w:p w14:paraId="6E873603" w14:textId="77777777" w:rsidR="00714982" w:rsidRDefault="00C058BB" w:rsidP="008852D7">
      <w:pPr>
        <w:keepNext/>
      </w:pPr>
      <w:r>
        <w:t>The following data sets were used as the denominators to calculate rates in this report:</w:t>
      </w:r>
    </w:p>
    <w:p w14:paraId="543010EB" w14:textId="77777777" w:rsidR="00C058BB" w:rsidRDefault="00C058BB" w:rsidP="008852D7">
      <w:pPr>
        <w:pStyle w:val="Bullet"/>
        <w:keepNext/>
      </w:pPr>
      <w:r>
        <w:t>estimated resident population by age and sex as at 30 June, 2011–2015</w:t>
      </w:r>
    </w:p>
    <w:p w14:paraId="5305DCB7" w14:textId="77777777" w:rsidR="00C058BB" w:rsidRDefault="00C058BB" w:rsidP="008852D7">
      <w:pPr>
        <w:pStyle w:val="Bullet"/>
      </w:pPr>
      <w:r>
        <w:t>estimated resident population by prioritised ethnicity, age, sex and DHB as at 30 Jun</w:t>
      </w:r>
      <w:r w:rsidR="008852D7">
        <w:t>e</w:t>
      </w:r>
      <w:r>
        <w:t>,</w:t>
      </w:r>
      <w:r w:rsidR="008852D7">
        <w:br/>
      </w:r>
      <w:r>
        <w:t>2011–2013</w:t>
      </w:r>
    </w:p>
    <w:p w14:paraId="22F12E0D" w14:textId="77777777" w:rsidR="00C058BB" w:rsidRDefault="00C058BB" w:rsidP="008852D7">
      <w:pPr>
        <w:pStyle w:val="Bullet"/>
      </w:pPr>
      <w:r>
        <w:t>population projections derived from the estimated resident population as at 30 June, by prioritised ethnicity, age, sex and DHB, 2014–2015</w:t>
      </w:r>
    </w:p>
    <w:p w14:paraId="19806CD6" w14:textId="77777777" w:rsidR="00C058BB" w:rsidRDefault="00C058BB" w:rsidP="008852D7">
      <w:pPr>
        <w:pStyle w:val="Bullet"/>
      </w:pPr>
      <w:r>
        <w:t>estimated resident population by deprivation quintile, age, sex and DHB as at 30 June 2013.</w:t>
      </w:r>
    </w:p>
    <w:p w14:paraId="6EDC057C" w14:textId="77777777" w:rsidR="00C058BB" w:rsidRDefault="00C058BB" w:rsidP="008852D7"/>
    <w:p w14:paraId="09CB6BA6" w14:textId="77777777" w:rsidR="00C058BB" w:rsidRDefault="00C058BB" w:rsidP="008852D7">
      <w:r>
        <w:t>All data sets were supplied as customised extracts from Statistics New Zealand. Further information about the methods used to prepare estimates and projections, as well as their limitations, is available on the Statistics New Zealand website (</w:t>
      </w:r>
      <w:hyperlink r:id="rId65" w:history="1">
        <w:r w:rsidRPr="00890819">
          <w:rPr>
            <w:rStyle w:val="Hyperlink"/>
          </w:rPr>
          <w:t>www.stats.govt.nz</w:t>
        </w:r>
      </w:hyperlink>
      <w:r>
        <w:t>).</w:t>
      </w:r>
    </w:p>
    <w:p w14:paraId="5BED6DAF" w14:textId="77777777" w:rsidR="00C058BB" w:rsidRDefault="00C058BB" w:rsidP="008852D7"/>
    <w:p w14:paraId="3E95BD1F" w14:textId="79F168A9" w:rsidR="00C058BB" w:rsidRDefault="00C058BB" w:rsidP="008852D7">
      <w:r w:rsidRPr="00A87CD1">
        <w:t xml:space="preserve">The standard population used in this </w:t>
      </w:r>
      <w:r>
        <w:t>report</w:t>
      </w:r>
      <w:r w:rsidRPr="00A87CD1">
        <w:t xml:space="preserve"> is t</w:t>
      </w:r>
      <w:r>
        <w:t>he WHO W</w:t>
      </w:r>
      <w:r w:rsidRPr="00A87CD1">
        <w:t xml:space="preserve">orld </w:t>
      </w:r>
      <w:r>
        <w:t>P</w:t>
      </w:r>
      <w:r w:rsidRPr="00A87CD1">
        <w:t>opulation</w:t>
      </w:r>
      <w:r>
        <w:t xml:space="preserve"> (</w:t>
      </w:r>
      <w:r w:rsidRPr="00C767A2">
        <w:t>Table 2) (Ahmad et</w:t>
      </w:r>
      <w:r w:rsidR="008852D7">
        <w:t> </w:t>
      </w:r>
      <w:r w:rsidRPr="00C767A2">
        <w:t>al 2001).</w:t>
      </w:r>
    </w:p>
    <w:p w14:paraId="11853358" w14:textId="77777777" w:rsidR="00C058BB" w:rsidRDefault="00C058BB" w:rsidP="008852D7"/>
    <w:p w14:paraId="3E0F6BB8" w14:textId="77777777" w:rsidR="00C058BB" w:rsidRDefault="00C058BB" w:rsidP="008852D7">
      <w:pPr>
        <w:pStyle w:val="Heading3"/>
      </w:pPr>
      <w:r>
        <w:t>Choosing the right denominator</w:t>
      </w:r>
    </w:p>
    <w:p w14:paraId="70A446E2" w14:textId="77777777" w:rsidR="00C058BB" w:rsidRDefault="00C058BB" w:rsidP="008852D7">
      <w:r>
        <w:t>When choosing a denominator for calculating rates, we used:</w:t>
      </w:r>
    </w:p>
    <w:p w14:paraId="69405285" w14:textId="77777777" w:rsidR="00C058BB" w:rsidRDefault="00C058BB" w:rsidP="008852D7">
      <w:pPr>
        <w:pStyle w:val="Bullet"/>
      </w:pPr>
      <w:r>
        <w:t>the estimated resident population count wherever possible as it is considered the best available population</w:t>
      </w:r>
    </w:p>
    <w:p w14:paraId="63AAB36C" w14:textId="77777777" w:rsidR="00C058BB" w:rsidRDefault="00C058BB" w:rsidP="008852D7">
      <w:pPr>
        <w:pStyle w:val="Bullet"/>
      </w:pPr>
      <w:r>
        <w:t>the population count as at the end of the financial year (eg, rate for 2014/15 is calculated using the population count as at 30 Jun</w:t>
      </w:r>
      <w:r w:rsidR="008852D7">
        <w:t>e</w:t>
      </w:r>
      <w:r>
        <w:t xml:space="preserve"> 2015).</w:t>
      </w:r>
    </w:p>
    <w:p w14:paraId="26B220C9" w14:textId="77777777" w:rsidR="00C058BB" w:rsidRDefault="00C058BB" w:rsidP="008852D7"/>
    <w:p w14:paraId="1AA07DBD" w14:textId="77777777" w:rsidR="00714982" w:rsidRDefault="00C058BB" w:rsidP="008852D7">
      <w:r>
        <w:t>Population counts by neighbourhood deprivation quintile were derived by</w:t>
      </w:r>
      <w:r w:rsidR="008852D7">
        <w:t>:</w:t>
      </w:r>
    </w:p>
    <w:p w14:paraId="1A04706A" w14:textId="77777777" w:rsidR="00C058BB" w:rsidRDefault="00C058BB" w:rsidP="008852D7">
      <w:pPr>
        <w:pStyle w:val="Bullet"/>
      </w:pPr>
      <w:r>
        <w:t>generating the proportion of people in each deprivation quintile for the demographic group, based on the estimated resident population as at 30 June 2013 (as the data required is only available on census years)</w:t>
      </w:r>
    </w:p>
    <w:p w14:paraId="37594130" w14:textId="77777777" w:rsidR="00C058BB" w:rsidRDefault="00C058BB" w:rsidP="008852D7">
      <w:pPr>
        <w:pStyle w:val="Bullet"/>
      </w:pPr>
      <w:r>
        <w:t>applying the best available population count for the selected demographic group to the proportion generated.</w:t>
      </w:r>
    </w:p>
    <w:p w14:paraId="7626AE7E" w14:textId="77777777" w:rsidR="00C058BB" w:rsidRDefault="00C058BB" w:rsidP="008852D7"/>
    <w:p w14:paraId="450112BB" w14:textId="77777777" w:rsidR="00C058BB" w:rsidRDefault="00C058BB" w:rsidP="008852D7">
      <w:pPr>
        <w:pStyle w:val="Table"/>
      </w:pPr>
      <w:bookmarkStart w:id="206" w:name="_Toc452111221"/>
      <w:bookmarkStart w:id="207" w:name="_Toc453058852"/>
      <w:r>
        <w:lastRenderedPageBreak/>
        <w:t xml:space="preserve">Table </w:t>
      </w:r>
      <w:r w:rsidR="004B4E7B">
        <w:fldChar w:fldCharType="begin"/>
      </w:r>
      <w:r w:rsidR="004B4E7B">
        <w:instrText xml:space="preserve"> SEQ Table \* ARABIC </w:instrText>
      </w:r>
      <w:r w:rsidR="004B4E7B">
        <w:fldChar w:fldCharType="separate"/>
      </w:r>
      <w:r w:rsidR="00CD2E1C">
        <w:rPr>
          <w:noProof/>
        </w:rPr>
        <w:t>2</w:t>
      </w:r>
      <w:r w:rsidR="004B4E7B">
        <w:rPr>
          <w:noProof/>
        </w:rPr>
        <w:fldChar w:fldCharType="end"/>
      </w:r>
      <w:r>
        <w:t>: WHO World Population</w:t>
      </w:r>
      <w:bookmarkEnd w:id="206"/>
      <w:bookmarkEnd w:id="207"/>
    </w:p>
    <w:tbl>
      <w:tblPr>
        <w:tblW w:w="0" w:type="auto"/>
        <w:tblInd w:w="57" w:type="dxa"/>
        <w:tblLayout w:type="fixed"/>
        <w:tblCellMar>
          <w:left w:w="57" w:type="dxa"/>
          <w:right w:w="57" w:type="dxa"/>
        </w:tblCellMar>
        <w:tblLook w:val="0000" w:firstRow="0" w:lastRow="0" w:firstColumn="0" w:lastColumn="0" w:noHBand="0" w:noVBand="0"/>
      </w:tblPr>
      <w:tblGrid>
        <w:gridCol w:w="1928"/>
        <w:gridCol w:w="1417"/>
      </w:tblGrid>
      <w:tr w:rsidR="00C058BB" w:rsidRPr="008852D7" w14:paraId="0C647F2F" w14:textId="77777777" w:rsidTr="008852D7">
        <w:trPr>
          <w:cantSplit/>
        </w:trPr>
        <w:tc>
          <w:tcPr>
            <w:tcW w:w="1928" w:type="dxa"/>
            <w:tcBorders>
              <w:top w:val="single" w:sz="4" w:space="0" w:color="auto"/>
              <w:bottom w:val="single" w:sz="4" w:space="0" w:color="auto"/>
            </w:tcBorders>
            <w:shd w:val="clear" w:color="auto" w:fill="auto"/>
          </w:tcPr>
          <w:p w14:paraId="55386C9E" w14:textId="77777777" w:rsidR="00C058BB" w:rsidRPr="008852D7" w:rsidRDefault="00C058BB" w:rsidP="00657622">
            <w:pPr>
              <w:pStyle w:val="TableText"/>
              <w:keepNext/>
              <w:rPr>
                <w:b/>
              </w:rPr>
            </w:pPr>
            <w:r w:rsidRPr="008852D7">
              <w:rPr>
                <w:b/>
              </w:rPr>
              <w:t>Age group (years)</w:t>
            </w:r>
          </w:p>
        </w:tc>
        <w:tc>
          <w:tcPr>
            <w:tcW w:w="1417" w:type="dxa"/>
            <w:tcBorders>
              <w:top w:val="single" w:sz="4" w:space="0" w:color="auto"/>
              <w:bottom w:val="single" w:sz="4" w:space="0" w:color="auto"/>
            </w:tcBorders>
            <w:shd w:val="clear" w:color="auto" w:fill="auto"/>
          </w:tcPr>
          <w:p w14:paraId="70ABDDAF" w14:textId="77777777" w:rsidR="00C058BB" w:rsidRPr="008852D7" w:rsidRDefault="00C058BB" w:rsidP="00657622">
            <w:pPr>
              <w:pStyle w:val="TableText"/>
              <w:keepNext/>
              <w:jc w:val="center"/>
              <w:rPr>
                <w:b/>
              </w:rPr>
            </w:pPr>
            <w:r w:rsidRPr="008852D7">
              <w:rPr>
                <w:b/>
              </w:rPr>
              <w:t>Population</w:t>
            </w:r>
          </w:p>
        </w:tc>
      </w:tr>
      <w:tr w:rsidR="00C058BB" w:rsidRPr="003D4229" w14:paraId="084BA1A6" w14:textId="77777777" w:rsidTr="008D7374">
        <w:trPr>
          <w:cantSplit/>
        </w:trPr>
        <w:tc>
          <w:tcPr>
            <w:tcW w:w="1928" w:type="dxa"/>
            <w:tcBorders>
              <w:top w:val="single" w:sz="4" w:space="0" w:color="auto"/>
              <w:bottom w:val="single" w:sz="4" w:space="0" w:color="A6A6A6"/>
            </w:tcBorders>
            <w:shd w:val="clear" w:color="auto" w:fill="auto"/>
          </w:tcPr>
          <w:p w14:paraId="066FE440" w14:textId="77777777" w:rsidR="00C058BB" w:rsidRPr="003D4229" w:rsidRDefault="00C058BB" w:rsidP="00657622">
            <w:pPr>
              <w:pStyle w:val="TableText"/>
              <w:keepNext/>
            </w:pPr>
            <w:r w:rsidRPr="003D4229">
              <w:t>0–4</w:t>
            </w:r>
          </w:p>
        </w:tc>
        <w:tc>
          <w:tcPr>
            <w:tcW w:w="1417" w:type="dxa"/>
            <w:tcBorders>
              <w:top w:val="single" w:sz="4" w:space="0" w:color="auto"/>
              <w:bottom w:val="single" w:sz="4" w:space="0" w:color="A6A6A6"/>
            </w:tcBorders>
            <w:shd w:val="clear" w:color="auto" w:fill="auto"/>
          </w:tcPr>
          <w:p w14:paraId="0D942B3E" w14:textId="77777777" w:rsidR="00C058BB" w:rsidRPr="003D4229" w:rsidRDefault="00C058BB" w:rsidP="00657622">
            <w:pPr>
              <w:pStyle w:val="TableText"/>
              <w:keepNext/>
              <w:tabs>
                <w:tab w:val="decimal" w:pos="850"/>
              </w:tabs>
            </w:pPr>
            <w:r w:rsidRPr="003D4229">
              <w:t>8</w:t>
            </w:r>
            <w:r>
              <w:t>,</w:t>
            </w:r>
            <w:r w:rsidRPr="003D4229">
              <w:t>860</w:t>
            </w:r>
          </w:p>
        </w:tc>
      </w:tr>
      <w:tr w:rsidR="00C058BB" w:rsidRPr="003D4229" w14:paraId="45CAB92C" w14:textId="77777777" w:rsidTr="008D7374">
        <w:trPr>
          <w:cantSplit/>
        </w:trPr>
        <w:tc>
          <w:tcPr>
            <w:tcW w:w="1928" w:type="dxa"/>
            <w:tcBorders>
              <w:top w:val="single" w:sz="4" w:space="0" w:color="A6A6A6"/>
              <w:bottom w:val="single" w:sz="4" w:space="0" w:color="A6A6A6"/>
            </w:tcBorders>
            <w:shd w:val="clear" w:color="auto" w:fill="auto"/>
          </w:tcPr>
          <w:p w14:paraId="588512A7" w14:textId="77777777" w:rsidR="00C058BB" w:rsidRPr="003D4229" w:rsidRDefault="00C058BB" w:rsidP="00657622">
            <w:pPr>
              <w:pStyle w:val="TableText"/>
              <w:keepNext/>
            </w:pPr>
            <w:r w:rsidRPr="003D4229">
              <w:t>5–9</w:t>
            </w:r>
          </w:p>
        </w:tc>
        <w:tc>
          <w:tcPr>
            <w:tcW w:w="1417" w:type="dxa"/>
            <w:tcBorders>
              <w:top w:val="single" w:sz="4" w:space="0" w:color="A6A6A6"/>
              <w:bottom w:val="single" w:sz="4" w:space="0" w:color="A6A6A6"/>
            </w:tcBorders>
            <w:shd w:val="clear" w:color="auto" w:fill="auto"/>
          </w:tcPr>
          <w:p w14:paraId="04297719" w14:textId="77777777" w:rsidR="00C058BB" w:rsidRPr="003D4229" w:rsidRDefault="00C058BB" w:rsidP="00657622">
            <w:pPr>
              <w:pStyle w:val="TableText"/>
              <w:keepNext/>
              <w:tabs>
                <w:tab w:val="decimal" w:pos="850"/>
              </w:tabs>
            </w:pPr>
            <w:r w:rsidRPr="003D4229">
              <w:t>8</w:t>
            </w:r>
            <w:r>
              <w:t>,</w:t>
            </w:r>
            <w:r w:rsidRPr="003D4229">
              <w:t>690</w:t>
            </w:r>
          </w:p>
        </w:tc>
      </w:tr>
      <w:tr w:rsidR="00C058BB" w:rsidRPr="003D4229" w14:paraId="4ACBE6D2" w14:textId="77777777" w:rsidTr="008D7374">
        <w:trPr>
          <w:cantSplit/>
        </w:trPr>
        <w:tc>
          <w:tcPr>
            <w:tcW w:w="1928" w:type="dxa"/>
            <w:tcBorders>
              <w:top w:val="single" w:sz="4" w:space="0" w:color="A6A6A6"/>
              <w:bottom w:val="single" w:sz="4" w:space="0" w:color="A6A6A6"/>
            </w:tcBorders>
            <w:shd w:val="clear" w:color="auto" w:fill="auto"/>
          </w:tcPr>
          <w:p w14:paraId="0D2EA494" w14:textId="77777777" w:rsidR="00C058BB" w:rsidRPr="003D4229" w:rsidRDefault="00C058BB" w:rsidP="00657622">
            <w:pPr>
              <w:pStyle w:val="TableText"/>
              <w:keepNext/>
            </w:pPr>
            <w:r w:rsidRPr="003D4229">
              <w:t>10–14</w:t>
            </w:r>
          </w:p>
        </w:tc>
        <w:tc>
          <w:tcPr>
            <w:tcW w:w="1417" w:type="dxa"/>
            <w:tcBorders>
              <w:top w:val="single" w:sz="4" w:space="0" w:color="A6A6A6"/>
              <w:bottom w:val="single" w:sz="4" w:space="0" w:color="A6A6A6"/>
            </w:tcBorders>
            <w:shd w:val="clear" w:color="auto" w:fill="auto"/>
          </w:tcPr>
          <w:p w14:paraId="516C8234" w14:textId="77777777" w:rsidR="00C058BB" w:rsidRPr="003D4229" w:rsidRDefault="00C058BB" w:rsidP="00657622">
            <w:pPr>
              <w:pStyle w:val="TableText"/>
              <w:keepNext/>
              <w:tabs>
                <w:tab w:val="decimal" w:pos="850"/>
              </w:tabs>
            </w:pPr>
            <w:r w:rsidRPr="003D4229">
              <w:t>8</w:t>
            </w:r>
            <w:r>
              <w:t>,</w:t>
            </w:r>
            <w:r w:rsidRPr="003D4229">
              <w:t>600</w:t>
            </w:r>
          </w:p>
        </w:tc>
      </w:tr>
      <w:tr w:rsidR="00C058BB" w:rsidRPr="003D4229" w14:paraId="4E7D8327" w14:textId="77777777" w:rsidTr="008D7374">
        <w:trPr>
          <w:cantSplit/>
        </w:trPr>
        <w:tc>
          <w:tcPr>
            <w:tcW w:w="1928" w:type="dxa"/>
            <w:tcBorders>
              <w:top w:val="single" w:sz="4" w:space="0" w:color="A6A6A6"/>
              <w:bottom w:val="single" w:sz="4" w:space="0" w:color="A6A6A6"/>
            </w:tcBorders>
            <w:shd w:val="clear" w:color="auto" w:fill="auto"/>
          </w:tcPr>
          <w:p w14:paraId="0B62EFA4" w14:textId="77777777" w:rsidR="00C058BB" w:rsidRPr="003D4229" w:rsidRDefault="00C058BB" w:rsidP="00657622">
            <w:pPr>
              <w:pStyle w:val="TableText"/>
              <w:keepNext/>
            </w:pPr>
            <w:r w:rsidRPr="003D4229">
              <w:t>15–19</w:t>
            </w:r>
          </w:p>
        </w:tc>
        <w:tc>
          <w:tcPr>
            <w:tcW w:w="1417" w:type="dxa"/>
            <w:tcBorders>
              <w:top w:val="single" w:sz="4" w:space="0" w:color="A6A6A6"/>
              <w:bottom w:val="single" w:sz="4" w:space="0" w:color="A6A6A6"/>
            </w:tcBorders>
            <w:shd w:val="clear" w:color="auto" w:fill="auto"/>
          </w:tcPr>
          <w:p w14:paraId="6D9028E3" w14:textId="77777777" w:rsidR="00C058BB" w:rsidRPr="003D4229" w:rsidRDefault="00C058BB" w:rsidP="00657622">
            <w:pPr>
              <w:pStyle w:val="TableText"/>
              <w:keepNext/>
              <w:tabs>
                <w:tab w:val="decimal" w:pos="850"/>
              </w:tabs>
            </w:pPr>
            <w:r w:rsidRPr="003D4229">
              <w:t>8</w:t>
            </w:r>
            <w:r>
              <w:t>,</w:t>
            </w:r>
            <w:r w:rsidRPr="003D4229">
              <w:t>470</w:t>
            </w:r>
          </w:p>
        </w:tc>
      </w:tr>
      <w:tr w:rsidR="00C058BB" w:rsidRPr="003D4229" w14:paraId="469BC930" w14:textId="77777777" w:rsidTr="008D7374">
        <w:trPr>
          <w:cantSplit/>
        </w:trPr>
        <w:tc>
          <w:tcPr>
            <w:tcW w:w="1928" w:type="dxa"/>
            <w:tcBorders>
              <w:top w:val="single" w:sz="4" w:space="0" w:color="A6A6A6"/>
              <w:bottom w:val="single" w:sz="4" w:space="0" w:color="A6A6A6"/>
            </w:tcBorders>
            <w:shd w:val="clear" w:color="auto" w:fill="auto"/>
          </w:tcPr>
          <w:p w14:paraId="401D3E38" w14:textId="77777777" w:rsidR="00C058BB" w:rsidRPr="003D4229" w:rsidRDefault="00C058BB" w:rsidP="00657622">
            <w:pPr>
              <w:pStyle w:val="TableText"/>
              <w:keepNext/>
            </w:pPr>
            <w:r w:rsidRPr="003D4229">
              <w:t>20–24</w:t>
            </w:r>
          </w:p>
        </w:tc>
        <w:tc>
          <w:tcPr>
            <w:tcW w:w="1417" w:type="dxa"/>
            <w:tcBorders>
              <w:top w:val="single" w:sz="4" w:space="0" w:color="A6A6A6"/>
              <w:bottom w:val="single" w:sz="4" w:space="0" w:color="A6A6A6"/>
            </w:tcBorders>
            <w:shd w:val="clear" w:color="auto" w:fill="auto"/>
          </w:tcPr>
          <w:p w14:paraId="3CE8B606" w14:textId="77777777" w:rsidR="00C058BB" w:rsidRPr="003D4229" w:rsidRDefault="00C058BB" w:rsidP="00657622">
            <w:pPr>
              <w:pStyle w:val="TableText"/>
              <w:keepNext/>
              <w:tabs>
                <w:tab w:val="decimal" w:pos="850"/>
              </w:tabs>
            </w:pPr>
            <w:r w:rsidRPr="003D4229">
              <w:t>8</w:t>
            </w:r>
            <w:r>
              <w:t>,</w:t>
            </w:r>
            <w:r w:rsidRPr="003D4229">
              <w:t>220</w:t>
            </w:r>
          </w:p>
        </w:tc>
      </w:tr>
      <w:tr w:rsidR="00C058BB" w:rsidRPr="003D4229" w14:paraId="21EC6155" w14:textId="77777777" w:rsidTr="008D7374">
        <w:trPr>
          <w:cantSplit/>
        </w:trPr>
        <w:tc>
          <w:tcPr>
            <w:tcW w:w="1928" w:type="dxa"/>
            <w:tcBorders>
              <w:top w:val="single" w:sz="4" w:space="0" w:color="A6A6A6"/>
              <w:bottom w:val="single" w:sz="4" w:space="0" w:color="A6A6A6"/>
            </w:tcBorders>
            <w:shd w:val="clear" w:color="auto" w:fill="auto"/>
          </w:tcPr>
          <w:p w14:paraId="61821B70" w14:textId="77777777" w:rsidR="00C058BB" w:rsidRPr="003D4229" w:rsidRDefault="00C058BB" w:rsidP="00657622">
            <w:pPr>
              <w:pStyle w:val="TableText"/>
              <w:keepNext/>
            </w:pPr>
            <w:r w:rsidRPr="003D4229">
              <w:t>25–29</w:t>
            </w:r>
          </w:p>
        </w:tc>
        <w:tc>
          <w:tcPr>
            <w:tcW w:w="1417" w:type="dxa"/>
            <w:tcBorders>
              <w:top w:val="single" w:sz="4" w:space="0" w:color="A6A6A6"/>
              <w:bottom w:val="single" w:sz="4" w:space="0" w:color="A6A6A6"/>
            </w:tcBorders>
            <w:shd w:val="clear" w:color="auto" w:fill="auto"/>
          </w:tcPr>
          <w:p w14:paraId="57639232" w14:textId="77777777" w:rsidR="00C058BB" w:rsidRPr="003D4229" w:rsidRDefault="00C058BB" w:rsidP="00657622">
            <w:pPr>
              <w:pStyle w:val="TableText"/>
              <w:keepNext/>
              <w:tabs>
                <w:tab w:val="decimal" w:pos="850"/>
              </w:tabs>
            </w:pPr>
            <w:r w:rsidRPr="003D4229">
              <w:t>7</w:t>
            </w:r>
            <w:r>
              <w:t>,</w:t>
            </w:r>
            <w:r w:rsidRPr="003D4229">
              <w:t>930</w:t>
            </w:r>
          </w:p>
        </w:tc>
      </w:tr>
      <w:tr w:rsidR="00C058BB" w:rsidRPr="003D4229" w14:paraId="61801BCB" w14:textId="77777777" w:rsidTr="008D7374">
        <w:trPr>
          <w:cantSplit/>
        </w:trPr>
        <w:tc>
          <w:tcPr>
            <w:tcW w:w="1928" w:type="dxa"/>
            <w:tcBorders>
              <w:top w:val="single" w:sz="4" w:space="0" w:color="A6A6A6"/>
              <w:bottom w:val="single" w:sz="4" w:space="0" w:color="A6A6A6"/>
            </w:tcBorders>
            <w:shd w:val="clear" w:color="auto" w:fill="auto"/>
          </w:tcPr>
          <w:p w14:paraId="045EB334" w14:textId="77777777" w:rsidR="00C058BB" w:rsidRPr="003D4229" w:rsidRDefault="00C058BB" w:rsidP="00657622">
            <w:pPr>
              <w:pStyle w:val="TableText"/>
              <w:keepNext/>
            </w:pPr>
            <w:r w:rsidRPr="003D4229">
              <w:t>30–34</w:t>
            </w:r>
          </w:p>
        </w:tc>
        <w:tc>
          <w:tcPr>
            <w:tcW w:w="1417" w:type="dxa"/>
            <w:tcBorders>
              <w:top w:val="single" w:sz="4" w:space="0" w:color="A6A6A6"/>
              <w:bottom w:val="single" w:sz="4" w:space="0" w:color="A6A6A6"/>
            </w:tcBorders>
            <w:shd w:val="clear" w:color="auto" w:fill="auto"/>
          </w:tcPr>
          <w:p w14:paraId="400D83A5" w14:textId="77777777" w:rsidR="00C058BB" w:rsidRPr="003D4229" w:rsidRDefault="00C058BB" w:rsidP="00657622">
            <w:pPr>
              <w:pStyle w:val="TableText"/>
              <w:keepNext/>
              <w:tabs>
                <w:tab w:val="decimal" w:pos="850"/>
              </w:tabs>
            </w:pPr>
            <w:r w:rsidRPr="003D4229">
              <w:t>7</w:t>
            </w:r>
            <w:r>
              <w:t>,</w:t>
            </w:r>
            <w:r w:rsidRPr="003D4229">
              <w:t>610</w:t>
            </w:r>
          </w:p>
        </w:tc>
      </w:tr>
      <w:tr w:rsidR="00C058BB" w:rsidRPr="003D4229" w14:paraId="6E53A8F3" w14:textId="77777777" w:rsidTr="008D7374">
        <w:trPr>
          <w:cantSplit/>
        </w:trPr>
        <w:tc>
          <w:tcPr>
            <w:tcW w:w="1928" w:type="dxa"/>
            <w:tcBorders>
              <w:top w:val="single" w:sz="4" w:space="0" w:color="A6A6A6"/>
              <w:bottom w:val="single" w:sz="4" w:space="0" w:color="A6A6A6"/>
            </w:tcBorders>
            <w:shd w:val="clear" w:color="auto" w:fill="auto"/>
          </w:tcPr>
          <w:p w14:paraId="0AB72632" w14:textId="77777777" w:rsidR="00C058BB" w:rsidRPr="003D4229" w:rsidRDefault="00C058BB" w:rsidP="00657622">
            <w:pPr>
              <w:pStyle w:val="TableText"/>
              <w:keepNext/>
            </w:pPr>
            <w:r w:rsidRPr="003D4229">
              <w:t>35–39</w:t>
            </w:r>
          </w:p>
        </w:tc>
        <w:tc>
          <w:tcPr>
            <w:tcW w:w="1417" w:type="dxa"/>
            <w:tcBorders>
              <w:top w:val="single" w:sz="4" w:space="0" w:color="A6A6A6"/>
              <w:bottom w:val="single" w:sz="4" w:space="0" w:color="A6A6A6"/>
            </w:tcBorders>
            <w:shd w:val="clear" w:color="auto" w:fill="auto"/>
          </w:tcPr>
          <w:p w14:paraId="2F4111C6" w14:textId="77777777" w:rsidR="00C058BB" w:rsidRPr="003D4229" w:rsidRDefault="00C058BB" w:rsidP="00657622">
            <w:pPr>
              <w:pStyle w:val="TableText"/>
              <w:keepNext/>
              <w:tabs>
                <w:tab w:val="decimal" w:pos="850"/>
              </w:tabs>
            </w:pPr>
            <w:r w:rsidRPr="003D4229">
              <w:t>7</w:t>
            </w:r>
            <w:r>
              <w:t>,</w:t>
            </w:r>
            <w:r w:rsidRPr="003D4229">
              <w:t>150</w:t>
            </w:r>
          </w:p>
        </w:tc>
      </w:tr>
      <w:tr w:rsidR="00C058BB" w:rsidRPr="003D4229" w14:paraId="45CE76C2" w14:textId="77777777" w:rsidTr="008D7374">
        <w:trPr>
          <w:cantSplit/>
        </w:trPr>
        <w:tc>
          <w:tcPr>
            <w:tcW w:w="1928" w:type="dxa"/>
            <w:tcBorders>
              <w:top w:val="single" w:sz="4" w:space="0" w:color="A6A6A6"/>
              <w:bottom w:val="single" w:sz="4" w:space="0" w:color="A6A6A6"/>
            </w:tcBorders>
            <w:shd w:val="clear" w:color="auto" w:fill="auto"/>
          </w:tcPr>
          <w:p w14:paraId="1A85722F" w14:textId="77777777" w:rsidR="00C058BB" w:rsidRPr="003D4229" w:rsidRDefault="00C058BB" w:rsidP="00657622">
            <w:pPr>
              <w:pStyle w:val="TableText"/>
              <w:keepNext/>
            </w:pPr>
            <w:r w:rsidRPr="003D4229">
              <w:t>40–44</w:t>
            </w:r>
          </w:p>
        </w:tc>
        <w:tc>
          <w:tcPr>
            <w:tcW w:w="1417" w:type="dxa"/>
            <w:tcBorders>
              <w:top w:val="single" w:sz="4" w:space="0" w:color="A6A6A6"/>
              <w:bottom w:val="single" w:sz="4" w:space="0" w:color="A6A6A6"/>
            </w:tcBorders>
            <w:shd w:val="clear" w:color="auto" w:fill="auto"/>
          </w:tcPr>
          <w:p w14:paraId="0C7A2AF3" w14:textId="77777777" w:rsidR="00C058BB" w:rsidRPr="003D4229" w:rsidRDefault="00C058BB" w:rsidP="00657622">
            <w:pPr>
              <w:pStyle w:val="TableText"/>
              <w:keepNext/>
              <w:tabs>
                <w:tab w:val="decimal" w:pos="850"/>
              </w:tabs>
            </w:pPr>
            <w:r w:rsidRPr="003D4229">
              <w:t>6</w:t>
            </w:r>
            <w:r>
              <w:t>,</w:t>
            </w:r>
            <w:r w:rsidRPr="003D4229">
              <w:t>590</w:t>
            </w:r>
          </w:p>
        </w:tc>
      </w:tr>
      <w:tr w:rsidR="00C058BB" w:rsidRPr="003D4229" w14:paraId="5A9B109E" w14:textId="77777777" w:rsidTr="008D7374">
        <w:trPr>
          <w:cantSplit/>
        </w:trPr>
        <w:tc>
          <w:tcPr>
            <w:tcW w:w="1928" w:type="dxa"/>
            <w:tcBorders>
              <w:top w:val="single" w:sz="4" w:space="0" w:color="A6A6A6"/>
              <w:bottom w:val="single" w:sz="4" w:space="0" w:color="A6A6A6"/>
            </w:tcBorders>
            <w:shd w:val="clear" w:color="auto" w:fill="auto"/>
          </w:tcPr>
          <w:p w14:paraId="1CAEB916" w14:textId="77777777" w:rsidR="00C058BB" w:rsidRPr="003D4229" w:rsidRDefault="00C058BB" w:rsidP="00657622">
            <w:pPr>
              <w:pStyle w:val="TableText"/>
              <w:keepNext/>
            </w:pPr>
            <w:r w:rsidRPr="003D4229">
              <w:t>45–49</w:t>
            </w:r>
          </w:p>
        </w:tc>
        <w:tc>
          <w:tcPr>
            <w:tcW w:w="1417" w:type="dxa"/>
            <w:tcBorders>
              <w:top w:val="single" w:sz="4" w:space="0" w:color="A6A6A6"/>
              <w:bottom w:val="single" w:sz="4" w:space="0" w:color="A6A6A6"/>
            </w:tcBorders>
            <w:shd w:val="clear" w:color="auto" w:fill="auto"/>
          </w:tcPr>
          <w:p w14:paraId="75FF34D7" w14:textId="77777777" w:rsidR="00C058BB" w:rsidRPr="003D4229" w:rsidRDefault="00C058BB" w:rsidP="00657622">
            <w:pPr>
              <w:pStyle w:val="TableText"/>
              <w:keepNext/>
              <w:tabs>
                <w:tab w:val="decimal" w:pos="850"/>
              </w:tabs>
            </w:pPr>
            <w:r w:rsidRPr="003D4229">
              <w:t>6</w:t>
            </w:r>
            <w:r>
              <w:t>,</w:t>
            </w:r>
            <w:r w:rsidRPr="003D4229">
              <w:t>040</w:t>
            </w:r>
          </w:p>
        </w:tc>
      </w:tr>
      <w:tr w:rsidR="00C058BB" w:rsidRPr="003D4229" w14:paraId="3E350B67" w14:textId="77777777" w:rsidTr="008D7374">
        <w:trPr>
          <w:cantSplit/>
        </w:trPr>
        <w:tc>
          <w:tcPr>
            <w:tcW w:w="1928" w:type="dxa"/>
            <w:tcBorders>
              <w:top w:val="single" w:sz="4" w:space="0" w:color="A6A6A6"/>
              <w:bottom w:val="single" w:sz="4" w:space="0" w:color="A6A6A6"/>
            </w:tcBorders>
            <w:shd w:val="clear" w:color="auto" w:fill="auto"/>
          </w:tcPr>
          <w:p w14:paraId="09D968A0" w14:textId="77777777" w:rsidR="00C058BB" w:rsidRPr="003D4229" w:rsidRDefault="00C058BB" w:rsidP="00657622">
            <w:pPr>
              <w:pStyle w:val="TableText"/>
              <w:keepNext/>
            </w:pPr>
            <w:r w:rsidRPr="003D4229">
              <w:t>50–54</w:t>
            </w:r>
          </w:p>
        </w:tc>
        <w:tc>
          <w:tcPr>
            <w:tcW w:w="1417" w:type="dxa"/>
            <w:tcBorders>
              <w:top w:val="single" w:sz="4" w:space="0" w:color="A6A6A6"/>
              <w:bottom w:val="single" w:sz="4" w:space="0" w:color="A6A6A6"/>
            </w:tcBorders>
            <w:shd w:val="clear" w:color="auto" w:fill="auto"/>
          </w:tcPr>
          <w:p w14:paraId="748F72D3" w14:textId="77777777" w:rsidR="00C058BB" w:rsidRPr="003D4229" w:rsidRDefault="00C058BB" w:rsidP="00657622">
            <w:pPr>
              <w:pStyle w:val="TableText"/>
              <w:keepNext/>
              <w:tabs>
                <w:tab w:val="decimal" w:pos="850"/>
              </w:tabs>
            </w:pPr>
            <w:r w:rsidRPr="003D4229">
              <w:t>5</w:t>
            </w:r>
            <w:r>
              <w:t>,</w:t>
            </w:r>
            <w:r w:rsidRPr="003D4229">
              <w:t>370</w:t>
            </w:r>
          </w:p>
        </w:tc>
      </w:tr>
      <w:tr w:rsidR="00C058BB" w:rsidRPr="003D4229" w14:paraId="6B0B90A9" w14:textId="77777777" w:rsidTr="008D7374">
        <w:trPr>
          <w:cantSplit/>
        </w:trPr>
        <w:tc>
          <w:tcPr>
            <w:tcW w:w="1928" w:type="dxa"/>
            <w:tcBorders>
              <w:top w:val="single" w:sz="4" w:space="0" w:color="A6A6A6"/>
              <w:bottom w:val="single" w:sz="4" w:space="0" w:color="A6A6A6"/>
            </w:tcBorders>
            <w:shd w:val="clear" w:color="auto" w:fill="auto"/>
          </w:tcPr>
          <w:p w14:paraId="140346E9" w14:textId="77777777" w:rsidR="00C058BB" w:rsidRPr="003D4229" w:rsidRDefault="00C058BB" w:rsidP="00657622">
            <w:pPr>
              <w:pStyle w:val="TableText"/>
              <w:keepNext/>
            </w:pPr>
            <w:r w:rsidRPr="003D4229">
              <w:t>55–59</w:t>
            </w:r>
          </w:p>
        </w:tc>
        <w:tc>
          <w:tcPr>
            <w:tcW w:w="1417" w:type="dxa"/>
            <w:tcBorders>
              <w:top w:val="single" w:sz="4" w:space="0" w:color="A6A6A6"/>
              <w:bottom w:val="single" w:sz="4" w:space="0" w:color="A6A6A6"/>
            </w:tcBorders>
            <w:shd w:val="clear" w:color="auto" w:fill="auto"/>
          </w:tcPr>
          <w:p w14:paraId="5CC41FFA" w14:textId="77777777" w:rsidR="00C058BB" w:rsidRPr="003D4229" w:rsidRDefault="00C058BB" w:rsidP="00657622">
            <w:pPr>
              <w:pStyle w:val="TableText"/>
              <w:keepNext/>
              <w:tabs>
                <w:tab w:val="decimal" w:pos="850"/>
              </w:tabs>
            </w:pPr>
            <w:r w:rsidRPr="003D4229">
              <w:t>4</w:t>
            </w:r>
            <w:r>
              <w:t>,</w:t>
            </w:r>
            <w:r w:rsidRPr="003D4229">
              <w:t>550</w:t>
            </w:r>
          </w:p>
        </w:tc>
      </w:tr>
      <w:tr w:rsidR="00C058BB" w:rsidRPr="003D4229" w14:paraId="15275D89" w14:textId="77777777" w:rsidTr="008D7374">
        <w:trPr>
          <w:cantSplit/>
        </w:trPr>
        <w:tc>
          <w:tcPr>
            <w:tcW w:w="1928" w:type="dxa"/>
            <w:tcBorders>
              <w:top w:val="single" w:sz="4" w:space="0" w:color="A6A6A6"/>
              <w:bottom w:val="single" w:sz="4" w:space="0" w:color="A6A6A6"/>
            </w:tcBorders>
            <w:shd w:val="clear" w:color="auto" w:fill="auto"/>
          </w:tcPr>
          <w:p w14:paraId="35B9913E" w14:textId="77777777" w:rsidR="00C058BB" w:rsidRPr="003D4229" w:rsidRDefault="00C058BB" w:rsidP="00657622">
            <w:pPr>
              <w:pStyle w:val="TableText"/>
              <w:keepNext/>
            </w:pPr>
            <w:r w:rsidRPr="003D4229">
              <w:t>60–64</w:t>
            </w:r>
          </w:p>
        </w:tc>
        <w:tc>
          <w:tcPr>
            <w:tcW w:w="1417" w:type="dxa"/>
            <w:tcBorders>
              <w:top w:val="single" w:sz="4" w:space="0" w:color="A6A6A6"/>
              <w:bottom w:val="single" w:sz="4" w:space="0" w:color="A6A6A6"/>
            </w:tcBorders>
            <w:shd w:val="clear" w:color="auto" w:fill="auto"/>
          </w:tcPr>
          <w:p w14:paraId="2B05B617" w14:textId="77777777" w:rsidR="00C058BB" w:rsidRPr="003D4229" w:rsidRDefault="00C058BB" w:rsidP="00657622">
            <w:pPr>
              <w:pStyle w:val="TableText"/>
              <w:keepNext/>
              <w:tabs>
                <w:tab w:val="decimal" w:pos="850"/>
              </w:tabs>
            </w:pPr>
            <w:r w:rsidRPr="003D4229">
              <w:t>3</w:t>
            </w:r>
            <w:r>
              <w:t>,</w:t>
            </w:r>
            <w:r w:rsidRPr="003D4229">
              <w:t>720</w:t>
            </w:r>
          </w:p>
        </w:tc>
      </w:tr>
      <w:tr w:rsidR="00C058BB" w:rsidRPr="003D4229" w14:paraId="3CBE6C4F" w14:textId="77777777" w:rsidTr="008D7374">
        <w:trPr>
          <w:cantSplit/>
        </w:trPr>
        <w:tc>
          <w:tcPr>
            <w:tcW w:w="1928" w:type="dxa"/>
            <w:tcBorders>
              <w:top w:val="single" w:sz="4" w:space="0" w:color="A6A6A6"/>
              <w:bottom w:val="single" w:sz="4" w:space="0" w:color="A6A6A6"/>
            </w:tcBorders>
            <w:shd w:val="clear" w:color="auto" w:fill="auto"/>
          </w:tcPr>
          <w:p w14:paraId="223C07B2" w14:textId="77777777" w:rsidR="00C058BB" w:rsidRPr="003D4229" w:rsidRDefault="00C058BB" w:rsidP="008852D7">
            <w:pPr>
              <w:pStyle w:val="TableText"/>
            </w:pPr>
            <w:r w:rsidRPr="003D4229">
              <w:t>65–69</w:t>
            </w:r>
          </w:p>
        </w:tc>
        <w:tc>
          <w:tcPr>
            <w:tcW w:w="1417" w:type="dxa"/>
            <w:tcBorders>
              <w:top w:val="single" w:sz="4" w:space="0" w:color="A6A6A6"/>
              <w:bottom w:val="single" w:sz="4" w:space="0" w:color="A6A6A6"/>
            </w:tcBorders>
            <w:shd w:val="clear" w:color="auto" w:fill="auto"/>
          </w:tcPr>
          <w:p w14:paraId="73FFF09B" w14:textId="77777777" w:rsidR="00C058BB" w:rsidRPr="003D4229" w:rsidRDefault="00C058BB" w:rsidP="008852D7">
            <w:pPr>
              <w:pStyle w:val="TableText"/>
              <w:tabs>
                <w:tab w:val="decimal" w:pos="850"/>
              </w:tabs>
            </w:pPr>
            <w:r w:rsidRPr="003D4229">
              <w:t>2</w:t>
            </w:r>
            <w:r>
              <w:t>,</w:t>
            </w:r>
            <w:r w:rsidRPr="003D4229">
              <w:t>960</w:t>
            </w:r>
          </w:p>
        </w:tc>
      </w:tr>
      <w:tr w:rsidR="00C058BB" w:rsidRPr="003D4229" w14:paraId="74829710" w14:textId="77777777" w:rsidTr="008D7374">
        <w:trPr>
          <w:cantSplit/>
        </w:trPr>
        <w:tc>
          <w:tcPr>
            <w:tcW w:w="1928" w:type="dxa"/>
            <w:tcBorders>
              <w:top w:val="single" w:sz="4" w:space="0" w:color="A6A6A6"/>
              <w:bottom w:val="single" w:sz="4" w:space="0" w:color="A6A6A6"/>
            </w:tcBorders>
            <w:shd w:val="clear" w:color="auto" w:fill="auto"/>
          </w:tcPr>
          <w:p w14:paraId="704DF23B" w14:textId="77777777" w:rsidR="00C058BB" w:rsidRPr="003D4229" w:rsidRDefault="00C058BB" w:rsidP="008852D7">
            <w:pPr>
              <w:pStyle w:val="TableText"/>
            </w:pPr>
            <w:r w:rsidRPr="003D4229">
              <w:t>70–74</w:t>
            </w:r>
          </w:p>
        </w:tc>
        <w:tc>
          <w:tcPr>
            <w:tcW w:w="1417" w:type="dxa"/>
            <w:tcBorders>
              <w:top w:val="single" w:sz="4" w:space="0" w:color="A6A6A6"/>
              <w:bottom w:val="single" w:sz="4" w:space="0" w:color="A6A6A6"/>
            </w:tcBorders>
            <w:shd w:val="clear" w:color="auto" w:fill="auto"/>
          </w:tcPr>
          <w:p w14:paraId="7952B1F9" w14:textId="77777777" w:rsidR="00C058BB" w:rsidRPr="003D4229" w:rsidRDefault="00C058BB" w:rsidP="008852D7">
            <w:pPr>
              <w:pStyle w:val="TableText"/>
              <w:tabs>
                <w:tab w:val="decimal" w:pos="850"/>
              </w:tabs>
            </w:pPr>
            <w:r w:rsidRPr="003D4229">
              <w:t>2</w:t>
            </w:r>
            <w:r>
              <w:t>,</w:t>
            </w:r>
            <w:r w:rsidRPr="003D4229">
              <w:t>210</w:t>
            </w:r>
          </w:p>
        </w:tc>
      </w:tr>
      <w:tr w:rsidR="00C058BB" w:rsidRPr="003D4229" w14:paraId="523F0FD1" w14:textId="77777777" w:rsidTr="008D7374">
        <w:trPr>
          <w:cantSplit/>
        </w:trPr>
        <w:tc>
          <w:tcPr>
            <w:tcW w:w="1928" w:type="dxa"/>
            <w:tcBorders>
              <w:top w:val="single" w:sz="4" w:space="0" w:color="A6A6A6"/>
              <w:bottom w:val="single" w:sz="4" w:space="0" w:color="A6A6A6"/>
            </w:tcBorders>
            <w:shd w:val="clear" w:color="auto" w:fill="auto"/>
          </w:tcPr>
          <w:p w14:paraId="50EA3985" w14:textId="77777777" w:rsidR="00C058BB" w:rsidRPr="003D4229" w:rsidRDefault="00C058BB" w:rsidP="008852D7">
            <w:pPr>
              <w:pStyle w:val="TableText"/>
            </w:pPr>
            <w:r w:rsidRPr="003D4229">
              <w:t>75–79</w:t>
            </w:r>
          </w:p>
        </w:tc>
        <w:tc>
          <w:tcPr>
            <w:tcW w:w="1417" w:type="dxa"/>
            <w:tcBorders>
              <w:top w:val="single" w:sz="4" w:space="0" w:color="A6A6A6"/>
              <w:bottom w:val="single" w:sz="4" w:space="0" w:color="A6A6A6"/>
            </w:tcBorders>
            <w:shd w:val="clear" w:color="auto" w:fill="auto"/>
          </w:tcPr>
          <w:p w14:paraId="44AD9522" w14:textId="77777777" w:rsidR="00C058BB" w:rsidRPr="003D4229" w:rsidRDefault="00C058BB" w:rsidP="008852D7">
            <w:pPr>
              <w:pStyle w:val="TableText"/>
              <w:tabs>
                <w:tab w:val="decimal" w:pos="850"/>
              </w:tabs>
            </w:pPr>
            <w:r w:rsidRPr="003D4229">
              <w:t>1</w:t>
            </w:r>
            <w:r>
              <w:t>,</w:t>
            </w:r>
            <w:r w:rsidRPr="003D4229">
              <w:t>520</w:t>
            </w:r>
          </w:p>
        </w:tc>
      </w:tr>
      <w:tr w:rsidR="00C058BB" w:rsidRPr="003D4229" w14:paraId="415FCA6F" w14:textId="77777777" w:rsidTr="008D7374">
        <w:trPr>
          <w:cantSplit/>
        </w:trPr>
        <w:tc>
          <w:tcPr>
            <w:tcW w:w="1928" w:type="dxa"/>
            <w:tcBorders>
              <w:top w:val="single" w:sz="4" w:space="0" w:color="A6A6A6"/>
              <w:bottom w:val="single" w:sz="4" w:space="0" w:color="A6A6A6"/>
            </w:tcBorders>
            <w:shd w:val="clear" w:color="auto" w:fill="auto"/>
          </w:tcPr>
          <w:p w14:paraId="584EB64B" w14:textId="77777777" w:rsidR="00C058BB" w:rsidRPr="003D4229" w:rsidRDefault="00C058BB" w:rsidP="008852D7">
            <w:pPr>
              <w:pStyle w:val="TableText"/>
            </w:pPr>
            <w:r w:rsidRPr="003D4229">
              <w:t>80–84</w:t>
            </w:r>
          </w:p>
        </w:tc>
        <w:tc>
          <w:tcPr>
            <w:tcW w:w="1417" w:type="dxa"/>
            <w:tcBorders>
              <w:top w:val="single" w:sz="4" w:space="0" w:color="A6A6A6"/>
              <w:bottom w:val="single" w:sz="4" w:space="0" w:color="A6A6A6"/>
            </w:tcBorders>
            <w:shd w:val="clear" w:color="auto" w:fill="auto"/>
          </w:tcPr>
          <w:p w14:paraId="5EB42E44" w14:textId="77777777" w:rsidR="00C058BB" w:rsidRPr="003D4229" w:rsidRDefault="00C058BB" w:rsidP="008852D7">
            <w:pPr>
              <w:pStyle w:val="TableText"/>
              <w:tabs>
                <w:tab w:val="decimal" w:pos="850"/>
              </w:tabs>
            </w:pPr>
            <w:r w:rsidRPr="003D4229">
              <w:t>910</w:t>
            </w:r>
          </w:p>
        </w:tc>
      </w:tr>
      <w:tr w:rsidR="00C058BB" w:rsidRPr="003D4229" w14:paraId="5562F114" w14:textId="77777777" w:rsidTr="008D7374">
        <w:trPr>
          <w:cantSplit/>
        </w:trPr>
        <w:tc>
          <w:tcPr>
            <w:tcW w:w="1928" w:type="dxa"/>
            <w:tcBorders>
              <w:top w:val="single" w:sz="4" w:space="0" w:color="A6A6A6"/>
              <w:bottom w:val="single" w:sz="4" w:space="0" w:color="auto"/>
            </w:tcBorders>
            <w:shd w:val="clear" w:color="auto" w:fill="auto"/>
          </w:tcPr>
          <w:p w14:paraId="12E5D51A" w14:textId="77777777" w:rsidR="00C058BB" w:rsidRPr="003D4229" w:rsidRDefault="00C058BB" w:rsidP="008852D7">
            <w:pPr>
              <w:pStyle w:val="TableText"/>
            </w:pPr>
            <w:r w:rsidRPr="003D4229">
              <w:t>85+</w:t>
            </w:r>
          </w:p>
        </w:tc>
        <w:tc>
          <w:tcPr>
            <w:tcW w:w="1417" w:type="dxa"/>
            <w:tcBorders>
              <w:top w:val="single" w:sz="4" w:space="0" w:color="A6A6A6"/>
              <w:bottom w:val="single" w:sz="4" w:space="0" w:color="auto"/>
            </w:tcBorders>
            <w:shd w:val="clear" w:color="auto" w:fill="auto"/>
          </w:tcPr>
          <w:p w14:paraId="162CF295" w14:textId="77777777" w:rsidR="00C058BB" w:rsidRPr="003D4229" w:rsidRDefault="00C058BB" w:rsidP="008852D7">
            <w:pPr>
              <w:pStyle w:val="TableText"/>
              <w:tabs>
                <w:tab w:val="decimal" w:pos="850"/>
              </w:tabs>
            </w:pPr>
            <w:r w:rsidRPr="003D4229">
              <w:t>635</w:t>
            </w:r>
          </w:p>
        </w:tc>
      </w:tr>
      <w:tr w:rsidR="00C058BB" w:rsidRPr="008852D7" w14:paraId="1D87DA36" w14:textId="77777777" w:rsidTr="00433ACE">
        <w:trPr>
          <w:cantSplit/>
        </w:trPr>
        <w:tc>
          <w:tcPr>
            <w:tcW w:w="1928" w:type="dxa"/>
            <w:tcBorders>
              <w:top w:val="single" w:sz="4" w:space="0" w:color="auto"/>
              <w:bottom w:val="single" w:sz="4" w:space="0" w:color="auto"/>
            </w:tcBorders>
            <w:shd w:val="clear" w:color="auto" w:fill="auto"/>
          </w:tcPr>
          <w:p w14:paraId="4FC779E3" w14:textId="77777777" w:rsidR="00C058BB" w:rsidRPr="008852D7" w:rsidRDefault="00C058BB" w:rsidP="008852D7">
            <w:pPr>
              <w:pStyle w:val="TableText"/>
              <w:rPr>
                <w:b/>
              </w:rPr>
            </w:pPr>
            <w:r w:rsidRPr="008852D7">
              <w:rPr>
                <w:b/>
              </w:rPr>
              <w:t>Total</w:t>
            </w:r>
          </w:p>
        </w:tc>
        <w:tc>
          <w:tcPr>
            <w:tcW w:w="1417" w:type="dxa"/>
            <w:tcBorders>
              <w:top w:val="single" w:sz="4" w:space="0" w:color="auto"/>
              <w:bottom w:val="single" w:sz="4" w:space="0" w:color="auto"/>
            </w:tcBorders>
            <w:shd w:val="clear" w:color="auto" w:fill="auto"/>
          </w:tcPr>
          <w:p w14:paraId="329BC957" w14:textId="77777777" w:rsidR="00C058BB" w:rsidRPr="008852D7" w:rsidRDefault="00C058BB" w:rsidP="008852D7">
            <w:pPr>
              <w:pStyle w:val="TableText"/>
              <w:tabs>
                <w:tab w:val="decimal" w:pos="850"/>
              </w:tabs>
              <w:rPr>
                <w:b/>
              </w:rPr>
            </w:pPr>
            <w:r w:rsidRPr="008852D7">
              <w:rPr>
                <w:b/>
              </w:rPr>
              <w:t>100,035</w:t>
            </w:r>
          </w:p>
        </w:tc>
      </w:tr>
    </w:tbl>
    <w:p w14:paraId="7FCB07A7" w14:textId="77777777" w:rsidR="00C058BB" w:rsidRDefault="00C058BB" w:rsidP="008852D7">
      <w:pPr>
        <w:pStyle w:val="Note"/>
        <w:ind w:right="6039"/>
      </w:pPr>
      <w:r w:rsidRPr="00A87CD1">
        <w:t xml:space="preserve">Source: </w:t>
      </w:r>
      <w:r w:rsidRPr="00C767A2">
        <w:t>Ahmad et al 2001</w:t>
      </w:r>
      <w:r>
        <w:t>.</w:t>
      </w:r>
    </w:p>
    <w:p w14:paraId="2AF1A128" w14:textId="77777777" w:rsidR="008852D7" w:rsidRPr="008852D7" w:rsidRDefault="008852D7" w:rsidP="008852D7"/>
    <w:p w14:paraId="12C04F61" w14:textId="77777777" w:rsidR="00C058BB" w:rsidRDefault="00C058BB" w:rsidP="008852D7">
      <w:pPr>
        <w:pStyle w:val="Heading2"/>
      </w:pPr>
      <w:bookmarkStart w:id="208" w:name="_Toc452111295"/>
      <w:bookmarkStart w:id="209" w:name="_Toc453058847"/>
      <w:r>
        <w:t>Maps</w:t>
      </w:r>
      <w:bookmarkEnd w:id="208"/>
      <w:bookmarkEnd w:id="209"/>
    </w:p>
    <w:p w14:paraId="76B1F987" w14:textId="39EB005D" w:rsidR="00C058BB" w:rsidRDefault="00C058BB" w:rsidP="0051449D">
      <w:r>
        <w:t>Geographical information for ED patients (not events) is usually presented as two maps side</w:t>
      </w:r>
      <w:r w:rsidR="0051449D">
        <w:t xml:space="preserve"> </w:t>
      </w:r>
      <w:r>
        <w:t>by</w:t>
      </w:r>
      <w:r w:rsidR="0051449D">
        <w:t xml:space="preserve"> </w:t>
      </w:r>
      <w:r>
        <w:t>side:</w:t>
      </w:r>
    </w:p>
    <w:p w14:paraId="24BEA036" w14:textId="74720904" w:rsidR="00C058BB" w:rsidRDefault="00F97A72" w:rsidP="0051449D">
      <w:pPr>
        <w:pStyle w:val="Bullet"/>
      </w:pPr>
      <w:r>
        <w:rPr>
          <w:noProof/>
          <w:lang w:eastAsia="en-NZ"/>
        </w:rPr>
        <w:drawing>
          <wp:anchor distT="0" distB="0" distL="114300" distR="114300" simplePos="0" relativeHeight="251658240" behindDoc="0" locked="0" layoutInCell="1" allowOverlap="1" wp14:anchorId="256E0063" wp14:editId="50327343">
            <wp:simplePos x="0" y="0"/>
            <wp:positionH relativeFrom="column">
              <wp:posOffset>3651885</wp:posOffset>
            </wp:positionH>
            <wp:positionV relativeFrom="paragraph">
              <wp:posOffset>64770</wp:posOffset>
            </wp:positionV>
            <wp:extent cx="2702384" cy="1800000"/>
            <wp:effectExtent l="0" t="0" r="3175" b="0"/>
            <wp:wrapSquare wrapText="bothSides"/>
            <wp:docPr id="23" name="Picture 4" title="Example of maps presented 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Rate of people who were patients at an emergency department at least once during the year, by DHB of residence, 2010/11 and 2014/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02384"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58BB">
        <w:t>The first map (left) shows the 2014/15 rate of ED use for the stated demographic group. The darkest colour represents the highest rate and the lightest colour the lowest rate.</w:t>
      </w:r>
      <w:r w:rsidRPr="00F97A72">
        <w:rPr>
          <w:noProof/>
          <w:lang w:eastAsia="en-NZ"/>
        </w:rPr>
        <w:t xml:space="preserve"> </w:t>
      </w:r>
    </w:p>
    <w:p w14:paraId="40150E4F" w14:textId="77777777" w:rsidR="00C058BB" w:rsidRDefault="00C058BB" w:rsidP="0051449D">
      <w:pPr>
        <w:pStyle w:val="Bullet"/>
      </w:pPr>
      <w:r>
        <w:t>The second map (right) shows whether there has been a statistically significant change in the rate of ED use between 2010/11 and 2014/15. Regions shaded red have had a significant increase in the rate of ED use, regions shaded green have had a significant decrease in the rate of ED use, and the rate was not significantly different between 2010/11 and 2014/15 for regions shaded in grey.</w:t>
      </w:r>
    </w:p>
    <w:p w14:paraId="06075DDB" w14:textId="77777777" w:rsidR="00F97A72" w:rsidRDefault="00F97A72" w:rsidP="0051449D"/>
    <w:p w14:paraId="6C004354" w14:textId="11D4EEDC" w:rsidR="00C058BB" w:rsidRDefault="00C058BB" w:rsidP="0051449D">
      <w:r>
        <w:t xml:space="preserve">See </w:t>
      </w:r>
      <w:r w:rsidR="00DA7C5E">
        <w:t>the</w:t>
      </w:r>
      <w:r w:rsidR="0073439A">
        <w:t xml:space="preserve"> diagram below </w:t>
      </w:r>
      <w:r>
        <w:t>for location of DHBs in New Zealand and help with reading maps in this report.</w:t>
      </w:r>
      <w:r w:rsidR="0073439A">
        <w:t xml:space="preserve"> </w:t>
      </w:r>
    </w:p>
    <w:p w14:paraId="2E38FE79" w14:textId="77777777" w:rsidR="0073439A" w:rsidRDefault="0073439A" w:rsidP="0051449D"/>
    <w:p w14:paraId="5B87295E" w14:textId="6359CD48" w:rsidR="0073439A" w:rsidRDefault="0073439A" w:rsidP="0051449D">
      <w:r w:rsidRPr="0073439A">
        <w:rPr>
          <w:noProof/>
          <w:lang w:eastAsia="en-NZ"/>
        </w:rPr>
        <w:lastRenderedPageBreak/>
        <w:drawing>
          <wp:inline distT="0" distB="0" distL="0" distR="0" wp14:anchorId="620842A0" wp14:editId="4D7D86F9">
            <wp:extent cx="5400000" cy="8117940"/>
            <wp:effectExtent l="0" t="0" r="0" b="0"/>
            <wp:docPr id="8" name="Picture 8" descr="Description of key components in a map and the location of DHBs in New Zealand." title="Map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00000" cy="8117940"/>
                    </a:xfrm>
                    <a:prstGeom prst="rect">
                      <a:avLst/>
                    </a:prstGeom>
                    <a:noFill/>
                    <a:ln>
                      <a:noFill/>
                    </a:ln>
                  </pic:spPr>
                </pic:pic>
              </a:graphicData>
            </a:graphic>
          </wp:inline>
        </w:drawing>
      </w:r>
    </w:p>
    <w:p w14:paraId="5EE3686B" w14:textId="77777777" w:rsidR="00C058BB" w:rsidRDefault="00C058BB" w:rsidP="0051449D"/>
    <w:p w14:paraId="5529AC82" w14:textId="77777777" w:rsidR="00C058BB" w:rsidRDefault="00C058BB" w:rsidP="0051449D">
      <w:pPr>
        <w:pStyle w:val="Heading2"/>
      </w:pPr>
      <w:bookmarkStart w:id="210" w:name="_Toc452111296"/>
      <w:bookmarkStart w:id="211" w:name="_Toc453058848"/>
      <w:r>
        <w:lastRenderedPageBreak/>
        <w:t>Facilities and service providers</w:t>
      </w:r>
      <w:bookmarkEnd w:id="210"/>
      <w:bookmarkEnd w:id="211"/>
    </w:p>
    <w:p w14:paraId="3ACBD6B0" w14:textId="77777777" w:rsidR="00714982" w:rsidRDefault="00C058BB" w:rsidP="00657622">
      <w:pPr>
        <w:keepNext/>
      </w:pPr>
      <w:r>
        <w:t xml:space="preserve">All facilities providing emergency services in New Zealand are public hospitals (ie, owned and run by a DHB), except a few facilities located in the Southern DHB region (Table </w:t>
      </w:r>
      <w:r>
        <w:rPr>
          <w:noProof/>
        </w:rPr>
        <w:t>3</w:t>
      </w:r>
      <w:r>
        <w:t>).</w:t>
      </w:r>
    </w:p>
    <w:p w14:paraId="38F7E126" w14:textId="77777777" w:rsidR="00C058BB" w:rsidRDefault="00C058BB" w:rsidP="00657622">
      <w:pPr>
        <w:keepNext/>
      </w:pPr>
    </w:p>
    <w:p w14:paraId="18854606" w14:textId="77777777" w:rsidR="00C058BB" w:rsidRDefault="00C058BB" w:rsidP="0051449D">
      <w:pPr>
        <w:pStyle w:val="Table"/>
      </w:pPr>
      <w:bookmarkStart w:id="212" w:name="_Ref450578535"/>
      <w:bookmarkStart w:id="213" w:name="_Toc452111222"/>
      <w:bookmarkStart w:id="214" w:name="_Toc453058853"/>
      <w:r>
        <w:t xml:space="preserve">Table </w:t>
      </w:r>
      <w:r w:rsidR="004B4E7B">
        <w:fldChar w:fldCharType="begin"/>
      </w:r>
      <w:r w:rsidR="004B4E7B">
        <w:instrText xml:space="preserve"> SEQ Table \* ARABIC </w:instrText>
      </w:r>
      <w:r w:rsidR="004B4E7B">
        <w:fldChar w:fldCharType="separate"/>
      </w:r>
      <w:r w:rsidR="00CD2E1C">
        <w:rPr>
          <w:noProof/>
        </w:rPr>
        <w:t>3</w:t>
      </w:r>
      <w:r w:rsidR="004B4E7B">
        <w:rPr>
          <w:noProof/>
        </w:rPr>
        <w:fldChar w:fldCharType="end"/>
      </w:r>
      <w:bookmarkEnd w:id="212"/>
      <w:r>
        <w:t>: List of facilities with an emergency department in New Zealand</w:t>
      </w:r>
      <w:bookmarkEnd w:id="213"/>
      <w:bookmarkEnd w:id="214"/>
    </w:p>
    <w:tbl>
      <w:tblPr>
        <w:tblW w:w="9356" w:type="dxa"/>
        <w:tblInd w:w="57" w:type="dxa"/>
        <w:tblLayout w:type="fixed"/>
        <w:tblCellMar>
          <w:left w:w="57" w:type="dxa"/>
          <w:right w:w="57" w:type="dxa"/>
        </w:tblCellMar>
        <w:tblLook w:val="04A0" w:firstRow="1" w:lastRow="0" w:firstColumn="1" w:lastColumn="0" w:noHBand="0" w:noVBand="1"/>
      </w:tblPr>
      <w:tblGrid>
        <w:gridCol w:w="2860"/>
        <w:gridCol w:w="2243"/>
        <w:gridCol w:w="2552"/>
        <w:gridCol w:w="1701"/>
      </w:tblGrid>
      <w:tr w:rsidR="00A10B1D" w:rsidRPr="008D7374" w14:paraId="51443C08" w14:textId="77777777" w:rsidTr="004B4E7B">
        <w:trPr>
          <w:cantSplit/>
          <w:tblHeader/>
        </w:trPr>
        <w:tc>
          <w:tcPr>
            <w:tcW w:w="2860" w:type="dxa"/>
            <w:tcBorders>
              <w:top w:val="single" w:sz="4" w:space="0" w:color="auto"/>
              <w:bottom w:val="single" w:sz="4" w:space="0" w:color="auto"/>
            </w:tcBorders>
            <w:shd w:val="clear" w:color="auto" w:fill="auto"/>
          </w:tcPr>
          <w:p w14:paraId="4BDC1824" w14:textId="77777777" w:rsidR="00C058BB" w:rsidRPr="008D7374" w:rsidRDefault="00C058BB" w:rsidP="008D7374">
            <w:pPr>
              <w:pStyle w:val="TableText"/>
              <w:rPr>
                <w:b/>
              </w:rPr>
            </w:pPr>
            <w:bookmarkStart w:id="215" w:name="_Ref442189727"/>
            <w:r w:rsidRPr="008D7374">
              <w:rPr>
                <w:b/>
              </w:rPr>
              <w:t>Facility</w:t>
            </w:r>
          </w:p>
        </w:tc>
        <w:tc>
          <w:tcPr>
            <w:tcW w:w="2243" w:type="dxa"/>
            <w:tcBorders>
              <w:top w:val="single" w:sz="4" w:space="0" w:color="auto"/>
              <w:bottom w:val="single" w:sz="4" w:space="0" w:color="auto"/>
            </w:tcBorders>
            <w:shd w:val="clear" w:color="auto" w:fill="auto"/>
          </w:tcPr>
          <w:p w14:paraId="5596ED40" w14:textId="77777777" w:rsidR="00C058BB" w:rsidRPr="008D7374" w:rsidRDefault="00C058BB" w:rsidP="008D7374">
            <w:pPr>
              <w:pStyle w:val="TableText"/>
              <w:rPr>
                <w:b/>
              </w:rPr>
            </w:pPr>
            <w:r w:rsidRPr="008D7374">
              <w:rPr>
                <w:b/>
              </w:rPr>
              <w:t>DHB region</w:t>
            </w:r>
          </w:p>
        </w:tc>
        <w:tc>
          <w:tcPr>
            <w:tcW w:w="2552" w:type="dxa"/>
            <w:tcBorders>
              <w:top w:val="single" w:sz="4" w:space="0" w:color="auto"/>
              <w:bottom w:val="single" w:sz="4" w:space="0" w:color="auto"/>
            </w:tcBorders>
            <w:shd w:val="clear" w:color="auto" w:fill="auto"/>
          </w:tcPr>
          <w:p w14:paraId="1A1897BB" w14:textId="77777777" w:rsidR="00C058BB" w:rsidRPr="008D7374" w:rsidRDefault="00C058BB" w:rsidP="008D7374">
            <w:pPr>
              <w:pStyle w:val="TableText"/>
              <w:rPr>
                <w:b/>
              </w:rPr>
            </w:pPr>
            <w:r w:rsidRPr="008D7374">
              <w:rPr>
                <w:b/>
              </w:rPr>
              <w:t>Service provider</w:t>
            </w:r>
          </w:p>
        </w:tc>
        <w:tc>
          <w:tcPr>
            <w:tcW w:w="1701" w:type="dxa"/>
            <w:tcBorders>
              <w:top w:val="single" w:sz="4" w:space="0" w:color="auto"/>
              <w:bottom w:val="single" w:sz="4" w:space="0" w:color="auto"/>
            </w:tcBorders>
            <w:shd w:val="clear" w:color="auto" w:fill="auto"/>
          </w:tcPr>
          <w:p w14:paraId="3C818E7E" w14:textId="77777777" w:rsidR="00C058BB" w:rsidRPr="008D7374" w:rsidRDefault="00C058BB" w:rsidP="008D7374">
            <w:pPr>
              <w:pStyle w:val="TableText"/>
              <w:rPr>
                <w:b/>
              </w:rPr>
            </w:pPr>
            <w:r w:rsidRPr="008D7374">
              <w:rPr>
                <w:b/>
              </w:rPr>
              <w:t>Events in 2014/15</w:t>
            </w:r>
          </w:p>
        </w:tc>
      </w:tr>
      <w:tr w:rsidR="00A10B1D" w:rsidRPr="00FA1A54" w14:paraId="28358A4D" w14:textId="77777777" w:rsidTr="004B4E7B">
        <w:trPr>
          <w:cantSplit/>
        </w:trPr>
        <w:tc>
          <w:tcPr>
            <w:tcW w:w="2860" w:type="dxa"/>
            <w:tcBorders>
              <w:top w:val="single" w:sz="4" w:space="0" w:color="auto"/>
              <w:bottom w:val="single" w:sz="4" w:space="0" w:color="A6A6A6"/>
            </w:tcBorders>
            <w:shd w:val="clear" w:color="auto" w:fill="auto"/>
          </w:tcPr>
          <w:p w14:paraId="41BFEAF4" w14:textId="77777777" w:rsidR="00C058BB" w:rsidRPr="00FA1A54" w:rsidRDefault="00C058BB" w:rsidP="008D7374">
            <w:pPr>
              <w:pStyle w:val="TableText"/>
            </w:pPr>
            <w:r w:rsidRPr="008D7374">
              <w:rPr>
                <w:color w:val="000000"/>
              </w:rPr>
              <w:t>Ashburton Hospital</w:t>
            </w:r>
          </w:p>
        </w:tc>
        <w:tc>
          <w:tcPr>
            <w:tcW w:w="2243" w:type="dxa"/>
            <w:tcBorders>
              <w:top w:val="single" w:sz="4" w:space="0" w:color="auto"/>
              <w:bottom w:val="single" w:sz="4" w:space="0" w:color="A6A6A6"/>
            </w:tcBorders>
            <w:shd w:val="clear" w:color="auto" w:fill="auto"/>
          </w:tcPr>
          <w:p w14:paraId="7AA569A1" w14:textId="77777777" w:rsidR="00C058BB" w:rsidRPr="00FA1A54" w:rsidRDefault="00C058BB" w:rsidP="008D7374">
            <w:pPr>
              <w:pStyle w:val="TableText"/>
            </w:pPr>
            <w:r w:rsidRPr="008D7374">
              <w:rPr>
                <w:color w:val="000000"/>
              </w:rPr>
              <w:t>Canterbury</w:t>
            </w:r>
          </w:p>
        </w:tc>
        <w:tc>
          <w:tcPr>
            <w:tcW w:w="2552" w:type="dxa"/>
            <w:tcBorders>
              <w:top w:val="single" w:sz="4" w:space="0" w:color="auto"/>
              <w:bottom w:val="single" w:sz="4" w:space="0" w:color="A6A6A6"/>
            </w:tcBorders>
            <w:shd w:val="clear" w:color="auto" w:fill="auto"/>
          </w:tcPr>
          <w:p w14:paraId="36D24145" w14:textId="77777777" w:rsidR="00C058BB" w:rsidRPr="00FA1A54" w:rsidRDefault="00C058BB" w:rsidP="008D7374">
            <w:pPr>
              <w:pStyle w:val="TableText"/>
            </w:pPr>
            <w:r w:rsidRPr="008D7374">
              <w:rPr>
                <w:color w:val="000000"/>
              </w:rPr>
              <w:t>Canterbury DHB</w:t>
            </w:r>
          </w:p>
        </w:tc>
        <w:tc>
          <w:tcPr>
            <w:tcW w:w="1701" w:type="dxa"/>
            <w:tcBorders>
              <w:top w:val="single" w:sz="4" w:space="0" w:color="auto"/>
              <w:bottom w:val="single" w:sz="4" w:space="0" w:color="A6A6A6"/>
            </w:tcBorders>
            <w:shd w:val="clear" w:color="auto" w:fill="auto"/>
          </w:tcPr>
          <w:p w14:paraId="3B1ED09A" w14:textId="77777777" w:rsidR="00C058BB" w:rsidRPr="00FA1A54" w:rsidRDefault="00C058BB" w:rsidP="008D7374">
            <w:pPr>
              <w:pStyle w:val="TableText"/>
              <w:tabs>
                <w:tab w:val="decimal" w:pos="1164"/>
              </w:tabs>
            </w:pPr>
            <w:r w:rsidRPr="008D7374">
              <w:rPr>
                <w:color w:val="000000"/>
              </w:rPr>
              <w:t>5,224</w:t>
            </w:r>
          </w:p>
        </w:tc>
      </w:tr>
      <w:tr w:rsidR="00A10B1D" w:rsidRPr="00FA1A54" w14:paraId="2194A977" w14:textId="77777777" w:rsidTr="004B4E7B">
        <w:trPr>
          <w:cantSplit/>
        </w:trPr>
        <w:tc>
          <w:tcPr>
            <w:tcW w:w="2860" w:type="dxa"/>
            <w:tcBorders>
              <w:top w:val="single" w:sz="4" w:space="0" w:color="A6A6A6"/>
              <w:bottom w:val="single" w:sz="4" w:space="0" w:color="A6A6A6"/>
            </w:tcBorders>
            <w:shd w:val="clear" w:color="auto" w:fill="auto"/>
          </w:tcPr>
          <w:p w14:paraId="29076418" w14:textId="77777777" w:rsidR="00C058BB" w:rsidRPr="00FA1A54" w:rsidRDefault="00C058BB" w:rsidP="008D7374">
            <w:pPr>
              <w:pStyle w:val="TableText"/>
            </w:pPr>
            <w:r w:rsidRPr="008D7374">
              <w:rPr>
                <w:color w:val="000000"/>
              </w:rPr>
              <w:t>Auckland City Hospital</w:t>
            </w:r>
          </w:p>
        </w:tc>
        <w:tc>
          <w:tcPr>
            <w:tcW w:w="2243" w:type="dxa"/>
            <w:tcBorders>
              <w:top w:val="single" w:sz="4" w:space="0" w:color="A6A6A6"/>
              <w:bottom w:val="single" w:sz="4" w:space="0" w:color="A6A6A6"/>
            </w:tcBorders>
            <w:shd w:val="clear" w:color="auto" w:fill="auto"/>
          </w:tcPr>
          <w:p w14:paraId="1B97C86F" w14:textId="77777777" w:rsidR="00C058BB" w:rsidRPr="00FA1A54" w:rsidRDefault="00C058BB" w:rsidP="008D7374">
            <w:pPr>
              <w:pStyle w:val="TableText"/>
            </w:pPr>
            <w:r w:rsidRPr="008D7374">
              <w:rPr>
                <w:color w:val="000000"/>
              </w:rPr>
              <w:t>Auckland</w:t>
            </w:r>
          </w:p>
        </w:tc>
        <w:tc>
          <w:tcPr>
            <w:tcW w:w="2552" w:type="dxa"/>
            <w:tcBorders>
              <w:top w:val="single" w:sz="4" w:space="0" w:color="A6A6A6"/>
              <w:bottom w:val="single" w:sz="4" w:space="0" w:color="A6A6A6"/>
            </w:tcBorders>
            <w:shd w:val="clear" w:color="auto" w:fill="auto"/>
          </w:tcPr>
          <w:p w14:paraId="28F10A64" w14:textId="77777777" w:rsidR="00C058BB" w:rsidRPr="00FA1A54" w:rsidRDefault="00C058BB" w:rsidP="008D7374">
            <w:pPr>
              <w:pStyle w:val="TableText"/>
            </w:pPr>
            <w:r w:rsidRPr="008D7374">
              <w:rPr>
                <w:color w:val="000000"/>
              </w:rPr>
              <w:t>Auckland DHB</w:t>
            </w:r>
          </w:p>
        </w:tc>
        <w:tc>
          <w:tcPr>
            <w:tcW w:w="1701" w:type="dxa"/>
            <w:tcBorders>
              <w:top w:val="single" w:sz="4" w:space="0" w:color="A6A6A6"/>
              <w:bottom w:val="single" w:sz="4" w:space="0" w:color="A6A6A6"/>
            </w:tcBorders>
            <w:shd w:val="clear" w:color="auto" w:fill="auto"/>
          </w:tcPr>
          <w:p w14:paraId="42285D6B" w14:textId="77777777" w:rsidR="00C058BB" w:rsidRPr="00FA1A54" w:rsidRDefault="00C058BB" w:rsidP="008D7374">
            <w:pPr>
              <w:pStyle w:val="TableText"/>
              <w:tabs>
                <w:tab w:val="decimal" w:pos="1164"/>
              </w:tabs>
            </w:pPr>
            <w:r w:rsidRPr="008D7374">
              <w:rPr>
                <w:color w:val="000000"/>
              </w:rPr>
              <w:t>60,065</w:t>
            </w:r>
          </w:p>
        </w:tc>
      </w:tr>
      <w:tr w:rsidR="00A10B1D" w:rsidRPr="00FA1A54" w14:paraId="11D0BD4F" w14:textId="77777777" w:rsidTr="004B4E7B">
        <w:trPr>
          <w:cantSplit/>
        </w:trPr>
        <w:tc>
          <w:tcPr>
            <w:tcW w:w="2860" w:type="dxa"/>
            <w:tcBorders>
              <w:top w:val="single" w:sz="4" w:space="0" w:color="A6A6A6"/>
              <w:bottom w:val="single" w:sz="4" w:space="0" w:color="A6A6A6"/>
            </w:tcBorders>
            <w:shd w:val="clear" w:color="auto" w:fill="auto"/>
          </w:tcPr>
          <w:p w14:paraId="5F35FAAB" w14:textId="77777777" w:rsidR="00C058BB" w:rsidRPr="00FA1A54" w:rsidRDefault="00C058BB" w:rsidP="008D7374">
            <w:pPr>
              <w:pStyle w:val="TableText"/>
            </w:pPr>
            <w:r w:rsidRPr="008D7374">
              <w:rPr>
                <w:color w:val="000000"/>
              </w:rPr>
              <w:t>Bay of Islands Hospital</w:t>
            </w:r>
          </w:p>
        </w:tc>
        <w:tc>
          <w:tcPr>
            <w:tcW w:w="2243" w:type="dxa"/>
            <w:tcBorders>
              <w:top w:val="single" w:sz="4" w:space="0" w:color="A6A6A6"/>
              <w:bottom w:val="single" w:sz="4" w:space="0" w:color="A6A6A6"/>
            </w:tcBorders>
            <w:shd w:val="clear" w:color="auto" w:fill="auto"/>
          </w:tcPr>
          <w:p w14:paraId="34DE540E" w14:textId="77777777" w:rsidR="00C058BB" w:rsidRPr="00FA1A54" w:rsidRDefault="00C058BB" w:rsidP="008D7374">
            <w:pPr>
              <w:pStyle w:val="TableText"/>
            </w:pPr>
            <w:r w:rsidRPr="008D7374">
              <w:rPr>
                <w:color w:val="000000"/>
              </w:rPr>
              <w:t>Northland</w:t>
            </w:r>
          </w:p>
        </w:tc>
        <w:tc>
          <w:tcPr>
            <w:tcW w:w="2552" w:type="dxa"/>
            <w:tcBorders>
              <w:top w:val="single" w:sz="4" w:space="0" w:color="A6A6A6"/>
              <w:bottom w:val="single" w:sz="4" w:space="0" w:color="A6A6A6"/>
            </w:tcBorders>
            <w:shd w:val="clear" w:color="auto" w:fill="auto"/>
          </w:tcPr>
          <w:p w14:paraId="504B6012" w14:textId="77777777" w:rsidR="00C058BB" w:rsidRPr="00FA1A54" w:rsidRDefault="00C058BB" w:rsidP="008D7374">
            <w:pPr>
              <w:pStyle w:val="TableText"/>
            </w:pPr>
            <w:r w:rsidRPr="008D7374">
              <w:rPr>
                <w:color w:val="000000"/>
              </w:rPr>
              <w:t>Northland DHB</w:t>
            </w:r>
          </w:p>
        </w:tc>
        <w:tc>
          <w:tcPr>
            <w:tcW w:w="1701" w:type="dxa"/>
            <w:tcBorders>
              <w:top w:val="single" w:sz="4" w:space="0" w:color="A6A6A6"/>
              <w:bottom w:val="single" w:sz="4" w:space="0" w:color="A6A6A6"/>
            </w:tcBorders>
            <w:shd w:val="clear" w:color="auto" w:fill="auto"/>
          </w:tcPr>
          <w:p w14:paraId="76B17B36" w14:textId="77777777" w:rsidR="00C058BB" w:rsidRPr="00FA1A54" w:rsidRDefault="00C058BB" w:rsidP="008D7374">
            <w:pPr>
              <w:pStyle w:val="TableText"/>
              <w:tabs>
                <w:tab w:val="decimal" w:pos="1164"/>
              </w:tabs>
            </w:pPr>
            <w:r w:rsidRPr="008D7374">
              <w:rPr>
                <w:color w:val="000000"/>
              </w:rPr>
              <w:t>4526</w:t>
            </w:r>
          </w:p>
        </w:tc>
      </w:tr>
      <w:tr w:rsidR="00A10B1D" w:rsidRPr="00FA1A54" w14:paraId="37A70C4D" w14:textId="77777777" w:rsidTr="004B4E7B">
        <w:trPr>
          <w:cantSplit/>
        </w:trPr>
        <w:tc>
          <w:tcPr>
            <w:tcW w:w="2860" w:type="dxa"/>
            <w:tcBorders>
              <w:top w:val="single" w:sz="4" w:space="0" w:color="A6A6A6"/>
              <w:bottom w:val="single" w:sz="4" w:space="0" w:color="A6A6A6"/>
            </w:tcBorders>
            <w:shd w:val="clear" w:color="auto" w:fill="auto"/>
          </w:tcPr>
          <w:p w14:paraId="0FFB2863" w14:textId="77777777" w:rsidR="00C058BB" w:rsidRPr="00FA1A54" w:rsidRDefault="00C058BB" w:rsidP="008D7374">
            <w:pPr>
              <w:pStyle w:val="TableText"/>
            </w:pPr>
            <w:r w:rsidRPr="008D7374">
              <w:rPr>
                <w:color w:val="000000"/>
              </w:rPr>
              <w:t>Buller Health</w:t>
            </w:r>
          </w:p>
        </w:tc>
        <w:tc>
          <w:tcPr>
            <w:tcW w:w="2243" w:type="dxa"/>
            <w:tcBorders>
              <w:top w:val="single" w:sz="4" w:space="0" w:color="A6A6A6"/>
              <w:bottom w:val="single" w:sz="4" w:space="0" w:color="A6A6A6"/>
            </w:tcBorders>
            <w:shd w:val="clear" w:color="auto" w:fill="auto"/>
          </w:tcPr>
          <w:p w14:paraId="314929A5" w14:textId="77777777" w:rsidR="00C058BB" w:rsidRPr="00FA1A54" w:rsidRDefault="00C058BB" w:rsidP="008D7374">
            <w:pPr>
              <w:pStyle w:val="TableText"/>
            </w:pPr>
            <w:r w:rsidRPr="008D7374">
              <w:rPr>
                <w:color w:val="000000"/>
              </w:rPr>
              <w:t>West Coast</w:t>
            </w:r>
          </w:p>
        </w:tc>
        <w:tc>
          <w:tcPr>
            <w:tcW w:w="2552" w:type="dxa"/>
            <w:tcBorders>
              <w:top w:val="single" w:sz="4" w:space="0" w:color="A6A6A6"/>
              <w:bottom w:val="single" w:sz="4" w:space="0" w:color="A6A6A6"/>
            </w:tcBorders>
            <w:shd w:val="clear" w:color="auto" w:fill="auto"/>
          </w:tcPr>
          <w:p w14:paraId="5ECF63F3" w14:textId="77777777" w:rsidR="00C058BB" w:rsidRPr="00FA1A54" w:rsidRDefault="00C058BB" w:rsidP="008D7374">
            <w:pPr>
              <w:pStyle w:val="TableText"/>
            </w:pPr>
            <w:r w:rsidRPr="008D7374">
              <w:rPr>
                <w:color w:val="000000"/>
              </w:rPr>
              <w:t>West Coast DHB</w:t>
            </w:r>
          </w:p>
        </w:tc>
        <w:tc>
          <w:tcPr>
            <w:tcW w:w="1701" w:type="dxa"/>
            <w:tcBorders>
              <w:top w:val="single" w:sz="4" w:space="0" w:color="A6A6A6"/>
              <w:bottom w:val="single" w:sz="4" w:space="0" w:color="A6A6A6"/>
            </w:tcBorders>
            <w:shd w:val="clear" w:color="auto" w:fill="auto"/>
          </w:tcPr>
          <w:p w14:paraId="553A4648" w14:textId="77777777" w:rsidR="00C058BB" w:rsidRPr="00FA1A54" w:rsidRDefault="00C058BB" w:rsidP="008D7374">
            <w:pPr>
              <w:pStyle w:val="TableText"/>
              <w:tabs>
                <w:tab w:val="decimal" w:pos="1164"/>
              </w:tabs>
            </w:pPr>
            <w:r w:rsidRPr="008D7374">
              <w:rPr>
                <w:color w:val="000000"/>
              </w:rPr>
              <w:t>2,558</w:t>
            </w:r>
          </w:p>
        </w:tc>
      </w:tr>
      <w:tr w:rsidR="00A10B1D" w:rsidRPr="00FA1A54" w14:paraId="10350531" w14:textId="77777777" w:rsidTr="004B4E7B">
        <w:trPr>
          <w:cantSplit/>
        </w:trPr>
        <w:tc>
          <w:tcPr>
            <w:tcW w:w="2860" w:type="dxa"/>
            <w:tcBorders>
              <w:top w:val="single" w:sz="4" w:space="0" w:color="A6A6A6"/>
              <w:bottom w:val="single" w:sz="4" w:space="0" w:color="A6A6A6"/>
            </w:tcBorders>
            <w:shd w:val="clear" w:color="auto" w:fill="auto"/>
          </w:tcPr>
          <w:p w14:paraId="1E8FBF24" w14:textId="77777777" w:rsidR="00C058BB" w:rsidRPr="00FA1A54" w:rsidRDefault="00C058BB" w:rsidP="008D7374">
            <w:pPr>
              <w:pStyle w:val="TableText"/>
            </w:pPr>
            <w:r w:rsidRPr="008D7374">
              <w:rPr>
                <w:color w:val="000000"/>
              </w:rPr>
              <w:t>Christchurch Hospital</w:t>
            </w:r>
          </w:p>
        </w:tc>
        <w:tc>
          <w:tcPr>
            <w:tcW w:w="2243" w:type="dxa"/>
            <w:tcBorders>
              <w:top w:val="single" w:sz="4" w:space="0" w:color="A6A6A6"/>
              <w:bottom w:val="single" w:sz="4" w:space="0" w:color="A6A6A6"/>
            </w:tcBorders>
            <w:shd w:val="clear" w:color="auto" w:fill="auto"/>
          </w:tcPr>
          <w:p w14:paraId="0BA48167" w14:textId="77777777" w:rsidR="00C058BB" w:rsidRPr="00FA1A54" w:rsidRDefault="00C058BB" w:rsidP="008D7374">
            <w:pPr>
              <w:pStyle w:val="TableText"/>
            </w:pPr>
            <w:r w:rsidRPr="008D7374">
              <w:rPr>
                <w:color w:val="000000"/>
              </w:rPr>
              <w:t>Canterbury</w:t>
            </w:r>
          </w:p>
        </w:tc>
        <w:tc>
          <w:tcPr>
            <w:tcW w:w="2552" w:type="dxa"/>
            <w:tcBorders>
              <w:top w:val="single" w:sz="4" w:space="0" w:color="A6A6A6"/>
              <w:bottom w:val="single" w:sz="4" w:space="0" w:color="A6A6A6"/>
            </w:tcBorders>
            <w:shd w:val="clear" w:color="auto" w:fill="auto"/>
          </w:tcPr>
          <w:p w14:paraId="4104FE2C" w14:textId="77777777" w:rsidR="00C058BB" w:rsidRPr="00FA1A54" w:rsidRDefault="00C058BB" w:rsidP="008D7374">
            <w:pPr>
              <w:pStyle w:val="TableText"/>
            </w:pPr>
            <w:r w:rsidRPr="008D7374">
              <w:rPr>
                <w:color w:val="000000"/>
              </w:rPr>
              <w:t>Canterbury DHB</w:t>
            </w:r>
          </w:p>
        </w:tc>
        <w:tc>
          <w:tcPr>
            <w:tcW w:w="1701" w:type="dxa"/>
            <w:tcBorders>
              <w:top w:val="single" w:sz="4" w:space="0" w:color="A6A6A6"/>
              <w:bottom w:val="single" w:sz="4" w:space="0" w:color="A6A6A6"/>
            </w:tcBorders>
            <w:shd w:val="clear" w:color="auto" w:fill="auto"/>
          </w:tcPr>
          <w:p w14:paraId="7797A8D6" w14:textId="77777777" w:rsidR="00C058BB" w:rsidRPr="00FA1A54" w:rsidRDefault="00C058BB" w:rsidP="008D7374">
            <w:pPr>
              <w:pStyle w:val="TableText"/>
              <w:tabs>
                <w:tab w:val="decimal" w:pos="1164"/>
              </w:tabs>
            </w:pPr>
            <w:r w:rsidRPr="008D7374">
              <w:rPr>
                <w:color w:val="000000"/>
              </w:rPr>
              <w:t>88,459</w:t>
            </w:r>
          </w:p>
        </w:tc>
      </w:tr>
      <w:tr w:rsidR="00A10B1D" w:rsidRPr="00FA1A54" w14:paraId="28A9FBB3" w14:textId="77777777" w:rsidTr="004B4E7B">
        <w:trPr>
          <w:cantSplit/>
        </w:trPr>
        <w:tc>
          <w:tcPr>
            <w:tcW w:w="2860" w:type="dxa"/>
            <w:tcBorders>
              <w:top w:val="single" w:sz="4" w:space="0" w:color="A6A6A6"/>
              <w:bottom w:val="single" w:sz="4" w:space="0" w:color="A6A6A6"/>
            </w:tcBorders>
            <w:shd w:val="clear" w:color="auto" w:fill="auto"/>
          </w:tcPr>
          <w:p w14:paraId="5D14EE8F" w14:textId="77777777" w:rsidR="00C058BB" w:rsidRPr="00FA1A54" w:rsidRDefault="00C058BB" w:rsidP="008D7374">
            <w:pPr>
              <w:pStyle w:val="TableText"/>
            </w:pPr>
            <w:r w:rsidRPr="008D7374">
              <w:rPr>
                <w:color w:val="000000"/>
              </w:rPr>
              <w:t xml:space="preserve">Clutha Health First </w:t>
            </w:r>
            <w:r w:rsidRPr="008D7374">
              <w:rPr>
                <w:color w:val="000000"/>
                <w:vertAlign w:val="superscript"/>
              </w:rPr>
              <w:t>1</w:t>
            </w:r>
          </w:p>
        </w:tc>
        <w:tc>
          <w:tcPr>
            <w:tcW w:w="2243" w:type="dxa"/>
            <w:tcBorders>
              <w:top w:val="single" w:sz="4" w:space="0" w:color="A6A6A6"/>
              <w:bottom w:val="single" w:sz="4" w:space="0" w:color="A6A6A6"/>
            </w:tcBorders>
            <w:shd w:val="clear" w:color="auto" w:fill="auto"/>
          </w:tcPr>
          <w:p w14:paraId="0710C1EA" w14:textId="77777777" w:rsidR="00C058BB" w:rsidRPr="00FA1A54" w:rsidRDefault="00C058BB" w:rsidP="008D7374">
            <w:pPr>
              <w:pStyle w:val="TableText"/>
            </w:pPr>
            <w:r w:rsidRPr="008D7374">
              <w:rPr>
                <w:color w:val="000000"/>
              </w:rPr>
              <w:t>Southern</w:t>
            </w:r>
          </w:p>
        </w:tc>
        <w:tc>
          <w:tcPr>
            <w:tcW w:w="2552" w:type="dxa"/>
            <w:tcBorders>
              <w:top w:val="single" w:sz="4" w:space="0" w:color="A6A6A6"/>
              <w:bottom w:val="single" w:sz="4" w:space="0" w:color="A6A6A6"/>
            </w:tcBorders>
            <w:shd w:val="clear" w:color="auto" w:fill="auto"/>
          </w:tcPr>
          <w:p w14:paraId="28EBD8F2" w14:textId="77777777" w:rsidR="00C058BB" w:rsidRPr="00FA1A54" w:rsidRDefault="00C058BB" w:rsidP="008D7374">
            <w:pPr>
              <w:pStyle w:val="TableText"/>
            </w:pPr>
            <w:r w:rsidRPr="008D7374">
              <w:rPr>
                <w:color w:val="000000"/>
              </w:rPr>
              <w:t>Clutha Health First</w:t>
            </w:r>
          </w:p>
        </w:tc>
        <w:tc>
          <w:tcPr>
            <w:tcW w:w="1701" w:type="dxa"/>
            <w:tcBorders>
              <w:top w:val="single" w:sz="4" w:space="0" w:color="A6A6A6"/>
              <w:bottom w:val="single" w:sz="4" w:space="0" w:color="A6A6A6"/>
            </w:tcBorders>
            <w:shd w:val="clear" w:color="auto" w:fill="auto"/>
          </w:tcPr>
          <w:p w14:paraId="7AEE7275" w14:textId="77777777" w:rsidR="00C058BB" w:rsidRPr="00FA1A54" w:rsidRDefault="00C058BB" w:rsidP="008D7374">
            <w:pPr>
              <w:pStyle w:val="TableText"/>
              <w:tabs>
                <w:tab w:val="decimal" w:pos="1164"/>
              </w:tabs>
            </w:pPr>
            <w:r w:rsidRPr="008D7374">
              <w:rPr>
                <w:color w:val="000000"/>
              </w:rPr>
              <w:t>447</w:t>
            </w:r>
          </w:p>
        </w:tc>
      </w:tr>
      <w:tr w:rsidR="00A10B1D" w:rsidRPr="00FA1A54" w14:paraId="3384C6B7" w14:textId="77777777" w:rsidTr="004B4E7B">
        <w:trPr>
          <w:cantSplit/>
        </w:trPr>
        <w:tc>
          <w:tcPr>
            <w:tcW w:w="2860" w:type="dxa"/>
            <w:tcBorders>
              <w:top w:val="single" w:sz="4" w:space="0" w:color="A6A6A6"/>
              <w:bottom w:val="single" w:sz="4" w:space="0" w:color="A6A6A6"/>
            </w:tcBorders>
            <w:shd w:val="clear" w:color="auto" w:fill="auto"/>
          </w:tcPr>
          <w:p w14:paraId="1C29CBFC" w14:textId="77777777" w:rsidR="00C058BB" w:rsidRPr="00FA1A54" w:rsidRDefault="00C058BB" w:rsidP="008D7374">
            <w:pPr>
              <w:pStyle w:val="TableText"/>
            </w:pPr>
            <w:r w:rsidRPr="008D7374">
              <w:rPr>
                <w:color w:val="000000"/>
              </w:rPr>
              <w:t>Dunedin Hospital</w:t>
            </w:r>
          </w:p>
        </w:tc>
        <w:tc>
          <w:tcPr>
            <w:tcW w:w="2243" w:type="dxa"/>
            <w:tcBorders>
              <w:top w:val="single" w:sz="4" w:space="0" w:color="A6A6A6"/>
              <w:bottom w:val="single" w:sz="4" w:space="0" w:color="A6A6A6"/>
            </w:tcBorders>
            <w:shd w:val="clear" w:color="auto" w:fill="auto"/>
          </w:tcPr>
          <w:p w14:paraId="0A8340BE" w14:textId="77777777" w:rsidR="00C058BB" w:rsidRPr="00FA1A54" w:rsidRDefault="00C058BB" w:rsidP="008D7374">
            <w:pPr>
              <w:pStyle w:val="TableText"/>
            </w:pPr>
            <w:r w:rsidRPr="008D7374">
              <w:rPr>
                <w:color w:val="000000"/>
              </w:rPr>
              <w:t>Southern</w:t>
            </w:r>
          </w:p>
        </w:tc>
        <w:tc>
          <w:tcPr>
            <w:tcW w:w="2552" w:type="dxa"/>
            <w:tcBorders>
              <w:top w:val="single" w:sz="4" w:space="0" w:color="A6A6A6"/>
              <w:bottom w:val="single" w:sz="4" w:space="0" w:color="A6A6A6"/>
            </w:tcBorders>
            <w:shd w:val="clear" w:color="auto" w:fill="auto"/>
          </w:tcPr>
          <w:p w14:paraId="6857635B" w14:textId="77777777" w:rsidR="00C058BB" w:rsidRPr="00FA1A54" w:rsidRDefault="00C058BB" w:rsidP="008D7374">
            <w:pPr>
              <w:pStyle w:val="TableText"/>
            </w:pPr>
            <w:r w:rsidRPr="008D7374">
              <w:rPr>
                <w:color w:val="000000"/>
              </w:rPr>
              <w:t>Southern DHB</w:t>
            </w:r>
          </w:p>
        </w:tc>
        <w:tc>
          <w:tcPr>
            <w:tcW w:w="1701" w:type="dxa"/>
            <w:tcBorders>
              <w:top w:val="single" w:sz="4" w:space="0" w:color="A6A6A6"/>
              <w:bottom w:val="single" w:sz="4" w:space="0" w:color="A6A6A6"/>
            </w:tcBorders>
            <w:shd w:val="clear" w:color="auto" w:fill="auto"/>
          </w:tcPr>
          <w:p w14:paraId="7B8B8BF2" w14:textId="77777777" w:rsidR="00C058BB" w:rsidRPr="00FA1A54" w:rsidRDefault="00C058BB" w:rsidP="008D7374">
            <w:pPr>
              <w:pStyle w:val="TableText"/>
              <w:tabs>
                <w:tab w:val="decimal" w:pos="1164"/>
              </w:tabs>
            </w:pPr>
            <w:r w:rsidRPr="008D7374">
              <w:rPr>
                <w:color w:val="000000"/>
              </w:rPr>
              <w:t>39,411</w:t>
            </w:r>
          </w:p>
        </w:tc>
      </w:tr>
      <w:tr w:rsidR="00A10B1D" w:rsidRPr="00FA1A54" w14:paraId="64C002A8" w14:textId="77777777" w:rsidTr="004B4E7B">
        <w:trPr>
          <w:cantSplit/>
        </w:trPr>
        <w:tc>
          <w:tcPr>
            <w:tcW w:w="2860" w:type="dxa"/>
            <w:tcBorders>
              <w:top w:val="single" w:sz="4" w:space="0" w:color="A6A6A6"/>
              <w:bottom w:val="single" w:sz="4" w:space="0" w:color="A6A6A6"/>
            </w:tcBorders>
            <w:shd w:val="clear" w:color="auto" w:fill="auto"/>
          </w:tcPr>
          <w:p w14:paraId="07C82171" w14:textId="77777777" w:rsidR="00C058BB" w:rsidRPr="00FA1A54" w:rsidRDefault="00C058BB" w:rsidP="008D7374">
            <w:pPr>
              <w:pStyle w:val="TableText"/>
            </w:pPr>
            <w:r w:rsidRPr="008D7374">
              <w:rPr>
                <w:color w:val="000000"/>
              </w:rPr>
              <w:t xml:space="preserve">Dunstan Hospital </w:t>
            </w:r>
            <w:r w:rsidRPr="008D7374">
              <w:rPr>
                <w:color w:val="000000"/>
                <w:vertAlign w:val="superscript"/>
              </w:rPr>
              <w:t>1</w:t>
            </w:r>
          </w:p>
        </w:tc>
        <w:tc>
          <w:tcPr>
            <w:tcW w:w="2243" w:type="dxa"/>
            <w:tcBorders>
              <w:top w:val="single" w:sz="4" w:space="0" w:color="A6A6A6"/>
              <w:bottom w:val="single" w:sz="4" w:space="0" w:color="A6A6A6"/>
            </w:tcBorders>
            <w:shd w:val="clear" w:color="auto" w:fill="auto"/>
          </w:tcPr>
          <w:p w14:paraId="23B7A00E" w14:textId="77777777" w:rsidR="00C058BB" w:rsidRPr="00FA1A54" w:rsidRDefault="00C058BB" w:rsidP="008D7374">
            <w:pPr>
              <w:pStyle w:val="TableText"/>
            </w:pPr>
            <w:r w:rsidRPr="008D7374">
              <w:rPr>
                <w:color w:val="000000"/>
              </w:rPr>
              <w:t>Southern</w:t>
            </w:r>
          </w:p>
        </w:tc>
        <w:tc>
          <w:tcPr>
            <w:tcW w:w="2552" w:type="dxa"/>
            <w:tcBorders>
              <w:top w:val="single" w:sz="4" w:space="0" w:color="A6A6A6"/>
              <w:bottom w:val="single" w:sz="4" w:space="0" w:color="A6A6A6"/>
            </w:tcBorders>
            <w:shd w:val="clear" w:color="auto" w:fill="auto"/>
          </w:tcPr>
          <w:p w14:paraId="5683EECF" w14:textId="77777777" w:rsidR="00C058BB" w:rsidRPr="00FA1A54" w:rsidRDefault="00C058BB" w:rsidP="008D7374">
            <w:pPr>
              <w:pStyle w:val="TableText"/>
            </w:pPr>
            <w:r w:rsidRPr="008D7374">
              <w:rPr>
                <w:color w:val="000000"/>
              </w:rPr>
              <w:t>Dunstan Charitable Trust</w:t>
            </w:r>
          </w:p>
        </w:tc>
        <w:tc>
          <w:tcPr>
            <w:tcW w:w="1701" w:type="dxa"/>
            <w:tcBorders>
              <w:top w:val="single" w:sz="4" w:space="0" w:color="A6A6A6"/>
              <w:bottom w:val="single" w:sz="4" w:space="0" w:color="A6A6A6"/>
            </w:tcBorders>
            <w:shd w:val="clear" w:color="auto" w:fill="auto"/>
          </w:tcPr>
          <w:p w14:paraId="1E6D5E1B" w14:textId="77777777" w:rsidR="00C058BB" w:rsidRPr="00FA1A54" w:rsidRDefault="00C058BB" w:rsidP="008D7374">
            <w:pPr>
              <w:pStyle w:val="TableText"/>
              <w:tabs>
                <w:tab w:val="decimal" w:pos="1164"/>
              </w:tabs>
            </w:pPr>
            <w:r w:rsidRPr="008D7374">
              <w:rPr>
                <w:color w:val="000000"/>
              </w:rPr>
              <w:t>671</w:t>
            </w:r>
          </w:p>
        </w:tc>
      </w:tr>
      <w:tr w:rsidR="00A10B1D" w:rsidRPr="00FA1A54" w14:paraId="4C9948E9" w14:textId="77777777" w:rsidTr="004B4E7B">
        <w:trPr>
          <w:cantSplit/>
        </w:trPr>
        <w:tc>
          <w:tcPr>
            <w:tcW w:w="2860" w:type="dxa"/>
            <w:tcBorders>
              <w:top w:val="single" w:sz="4" w:space="0" w:color="A6A6A6"/>
              <w:bottom w:val="single" w:sz="4" w:space="0" w:color="A6A6A6"/>
            </w:tcBorders>
            <w:shd w:val="clear" w:color="auto" w:fill="auto"/>
          </w:tcPr>
          <w:p w14:paraId="3532C07F" w14:textId="77777777" w:rsidR="00C058BB" w:rsidRPr="00FA1A54" w:rsidRDefault="00C058BB" w:rsidP="008D7374">
            <w:pPr>
              <w:pStyle w:val="TableText"/>
            </w:pPr>
            <w:r w:rsidRPr="008D7374">
              <w:rPr>
                <w:color w:val="000000"/>
              </w:rPr>
              <w:t>Gisborne Hospital</w:t>
            </w:r>
          </w:p>
        </w:tc>
        <w:tc>
          <w:tcPr>
            <w:tcW w:w="2243" w:type="dxa"/>
            <w:tcBorders>
              <w:top w:val="single" w:sz="4" w:space="0" w:color="A6A6A6"/>
              <w:bottom w:val="single" w:sz="4" w:space="0" w:color="A6A6A6"/>
            </w:tcBorders>
            <w:shd w:val="clear" w:color="auto" w:fill="auto"/>
          </w:tcPr>
          <w:p w14:paraId="770F9D54" w14:textId="77777777" w:rsidR="00C058BB" w:rsidRPr="00FA1A54" w:rsidRDefault="00C058BB" w:rsidP="008D7374">
            <w:pPr>
              <w:pStyle w:val="TableText"/>
            </w:pPr>
            <w:r w:rsidRPr="008D7374">
              <w:rPr>
                <w:color w:val="000000"/>
              </w:rPr>
              <w:t>Tairāwhiti</w:t>
            </w:r>
          </w:p>
        </w:tc>
        <w:tc>
          <w:tcPr>
            <w:tcW w:w="2552" w:type="dxa"/>
            <w:tcBorders>
              <w:top w:val="single" w:sz="4" w:space="0" w:color="A6A6A6"/>
              <w:bottom w:val="single" w:sz="4" w:space="0" w:color="A6A6A6"/>
            </w:tcBorders>
            <w:shd w:val="clear" w:color="auto" w:fill="auto"/>
          </w:tcPr>
          <w:p w14:paraId="2D138D83" w14:textId="77777777" w:rsidR="00C058BB" w:rsidRPr="00FA1A54" w:rsidRDefault="00C058BB" w:rsidP="008D7374">
            <w:pPr>
              <w:pStyle w:val="TableText"/>
            </w:pPr>
            <w:r w:rsidRPr="008D7374">
              <w:rPr>
                <w:color w:val="000000"/>
              </w:rPr>
              <w:t>Tairāwhiti DHB</w:t>
            </w:r>
          </w:p>
        </w:tc>
        <w:tc>
          <w:tcPr>
            <w:tcW w:w="1701" w:type="dxa"/>
            <w:tcBorders>
              <w:top w:val="single" w:sz="4" w:space="0" w:color="A6A6A6"/>
              <w:bottom w:val="single" w:sz="4" w:space="0" w:color="A6A6A6"/>
            </w:tcBorders>
            <w:shd w:val="clear" w:color="auto" w:fill="auto"/>
          </w:tcPr>
          <w:p w14:paraId="6228A6F1" w14:textId="77777777" w:rsidR="00C058BB" w:rsidRPr="00FA1A54" w:rsidRDefault="00C058BB" w:rsidP="008D7374">
            <w:pPr>
              <w:pStyle w:val="TableText"/>
              <w:tabs>
                <w:tab w:val="decimal" w:pos="1164"/>
              </w:tabs>
            </w:pPr>
            <w:r w:rsidRPr="008D7374">
              <w:rPr>
                <w:color w:val="000000"/>
              </w:rPr>
              <w:t>16,258</w:t>
            </w:r>
          </w:p>
        </w:tc>
      </w:tr>
      <w:tr w:rsidR="00A10B1D" w:rsidRPr="00FA1A54" w14:paraId="2EF4EB30" w14:textId="77777777" w:rsidTr="004B4E7B">
        <w:trPr>
          <w:cantSplit/>
        </w:trPr>
        <w:tc>
          <w:tcPr>
            <w:tcW w:w="2860" w:type="dxa"/>
            <w:tcBorders>
              <w:top w:val="single" w:sz="4" w:space="0" w:color="A6A6A6"/>
              <w:bottom w:val="single" w:sz="4" w:space="0" w:color="A6A6A6"/>
            </w:tcBorders>
            <w:shd w:val="clear" w:color="auto" w:fill="auto"/>
          </w:tcPr>
          <w:p w14:paraId="2F8EF8EC" w14:textId="77777777" w:rsidR="00C058BB" w:rsidRPr="008D7374" w:rsidRDefault="00C058BB" w:rsidP="008D7374">
            <w:pPr>
              <w:pStyle w:val="TableText"/>
              <w:rPr>
                <w:vertAlign w:val="superscript"/>
              </w:rPr>
            </w:pPr>
            <w:r w:rsidRPr="008D7374">
              <w:rPr>
                <w:color w:val="000000"/>
              </w:rPr>
              <w:t xml:space="preserve">Gore Hospital </w:t>
            </w:r>
            <w:r w:rsidRPr="008D7374">
              <w:rPr>
                <w:color w:val="000000"/>
                <w:vertAlign w:val="superscript"/>
              </w:rPr>
              <w:t>1 2</w:t>
            </w:r>
          </w:p>
        </w:tc>
        <w:tc>
          <w:tcPr>
            <w:tcW w:w="2243" w:type="dxa"/>
            <w:tcBorders>
              <w:top w:val="single" w:sz="4" w:space="0" w:color="A6A6A6"/>
              <w:bottom w:val="single" w:sz="4" w:space="0" w:color="A6A6A6"/>
            </w:tcBorders>
            <w:shd w:val="clear" w:color="auto" w:fill="auto"/>
          </w:tcPr>
          <w:p w14:paraId="1AF04D41" w14:textId="77777777" w:rsidR="00C058BB" w:rsidRPr="00FA1A54" w:rsidRDefault="00C058BB" w:rsidP="008D7374">
            <w:pPr>
              <w:pStyle w:val="TableText"/>
            </w:pPr>
            <w:r w:rsidRPr="008D7374">
              <w:rPr>
                <w:color w:val="000000"/>
              </w:rPr>
              <w:t>Southern</w:t>
            </w:r>
          </w:p>
        </w:tc>
        <w:tc>
          <w:tcPr>
            <w:tcW w:w="2552" w:type="dxa"/>
            <w:tcBorders>
              <w:top w:val="single" w:sz="4" w:space="0" w:color="A6A6A6"/>
              <w:bottom w:val="single" w:sz="4" w:space="0" w:color="A6A6A6"/>
            </w:tcBorders>
            <w:shd w:val="clear" w:color="auto" w:fill="auto"/>
          </w:tcPr>
          <w:p w14:paraId="0FD07016" w14:textId="77777777" w:rsidR="00C058BB" w:rsidRPr="00FA1A54" w:rsidRDefault="00C058BB" w:rsidP="008D7374">
            <w:pPr>
              <w:pStyle w:val="TableText"/>
            </w:pPr>
            <w:r w:rsidRPr="008D7374">
              <w:rPr>
                <w:color w:val="000000"/>
              </w:rPr>
              <w:t>Gore Health Limited</w:t>
            </w:r>
          </w:p>
        </w:tc>
        <w:tc>
          <w:tcPr>
            <w:tcW w:w="1701" w:type="dxa"/>
            <w:tcBorders>
              <w:top w:val="single" w:sz="4" w:space="0" w:color="A6A6A6"/>
              <w:bottom w:val="single" w:sz="4" w:space="0" w:color="A6A6A6"/>
            </w:tcBorders>
            <w:shd w:val="clear" w:color="auto" w:fill="auto"/>
          </w:tcPr>
          <w:p w14:paraId="4A68BBAE" w14:textId="77777777" w:rsidR="00C058BB" w:rsidRPr="00FA1A54" w:rsidRDefault="0051449D" w:rsidP="008D7374">
            <w:pPr>
              <w:pStyle w:val="TableText"/>
              <w:tabs>
                <w:tab w:val="decimal" w:pos="1164"/>
              </w:tabs>
            </w:pPr>
            <w:r w:rsidRPr="008D7374">
              <w:rPr>
                <w:color w:val="000000"/>
              </w:rPr>
              <w:t>–</w:t>
            </w:r>
          </w:p>
        </w:tc>
      </w:tr>
      <w:tr w:rsidR="00A10B1D" w:rsidRPr="00FA1A54" w14:paraId="2631C3E2" w14:textId="77777777" w:rsidTr="004B4E7B">
        <w:trPr>
          <w:cantSplit/>
        </w:trPr>
        <w:tc>
          <w:tcPr>
            <w:tcW w:w="2860" w:type="dxa"/>
            <w:tcBorders>
              <w:top w:val="single" w:sz="4" w:space="0" w:color="A6A6A6"/>
              <w:bottom w:val="single" w:sz="4" w:space="0" w:color="A6A6A6"/>
            </w:tcBorders>
            <w:shd w:val="clear" w:color="auto" w:fill="auto"/>
          </w:tcPr>
          <w:p w14:paraId="04EF5646" w14:textId="77777777" w:rsidR="00C058BB" w:rsidRPr="00FA1A54" w:rsidRDefault="00C058BB" w:rsidP="008D7374">
            <w:pPr>
              <w:pStyle w:val="TableText"/>
            </w:pPr>
            <w:r w:rsidRPr="008D7374">
              <w:rPr>
                <w:color w:val="000000"/>
              </w:rPr>
              <w:t>Greymouth Base Hospital</w:t>
            </w:r>
          </w:p>
        </w:tc>
        <w:tc>
          <w:tcPr>
            <w:tcW w:w="2243" w:type="dxa"/>
            <w:tcBorders>
              <w:top w:val="single" w:sz="4" w:space="0" w:color="A6A6A6"/>
              <w:bottom w:val="single" w:sz="4" w:space="0" w:color="A6A6A6"/>
            </w:tcBorders>
            <w:shd w:val="clear" w:color="auto" w:fill="auto"/>
          </w:tcPr>
          <w:p w14:paraId="6CCD79FE" w14:textId="77777777" w:rsidR="00C058BB" w:rsidRPr="00FA1A54" w:rsidRDefault="00C058BB" w:rsidP="008D7374">
            <w:pPr>
              <w:pStyle w:val="TableText"/>
            </w:pPr>
            <w:r w:rsidRPr="008D7374">
              <w:rPr>
                <w:color w:val="000000"/>
              </w:rPr>
              <w:t>West Coast</w:t>
            </w:r>
          </w:p>
        </w:tc>
        <w:tc>
          <w:tcPr>
            <w:tcW w:w="2552" w:type="dxa"/>
            <w:tcBorders>
              <w:top w:val="single" w:sz="4" w:space="0" w:color="A6A6A6"/>
              <w:bottom w:val="single" w:sz="4" w:space="0" w:color="A6A6A6"/>
            </w:tcBorders>
            <w:shd w:val="clear" w:color="auto" w:fill="auto"/>
          </w:tcPr>
          <w:p w14:paraId="21CDF8D1" w14:textId="77777777" w:rsidR="00C058BB" w:rsidRPr="00FA1A54" w:rsidRDefault="00C058BB" w:rsidP="008D7374">
            <w:pPr>
              <w:pStyle w:val="TableText"/>
            </w:pPr>
            <w:r w:rsidRPr="008D7374">
              <w:rPr>
                <w:color w:val="000000"/>
              </w:rPr>
              <w:t>West Coast DHB</w:t>
            </w:r>
          </w:p>
        </w:tc>
        <w:tc>
          <w:tcPr>
            <w:tcW w:w="1701" w:type="dxa"/>
            <w:tcBorders>
              <w:top w:val="single" w:sz="4" w:space="0" w:color="A6A6A6"/>
              <w:bottom w:val="single" w:sz="4" w:space="0" w:color="A6A6A6"/>
            </w:tcBorders>
            <w:shd w:val="clear" w:color="auto" w:fill="auto"/>
          </w:tcPr>
          <w:p w14:paraId="75CF20FF" w14:textId="77777777" w:rsidR="00C058BB" w:rsidRPr="00FA1A54" w:rsidRDefault="00C058BB" w:rsidP="008D7374">
            <w:pPr>
              <w:pStyle w:val="TableText"/>
              <w:tabs>
                <w:tab w:val="decimal" w:pos="1164"/>
              </w:tabs>
            </w:pPr>
            <w:r w:rsidRPr="008D7374">
              <w:rPr>
                <w:color w:val="000000"/>
              </w:rPr>
              <w:t>9,146</w:t>
            </w:r>
          </w:p>
        </w:tc>
      </w:tr>
      <w:tr w:rsidR="00A10B1D" w:rsidRPr="00FA1A54" w14:paraId="70994D74" w14:textId="77777777" w:rsidTr="004B4E7B">
        <w:trPr>
          <w:cantSplit/>
        </w:trPr>
        <w:tc>
          <w:tcPr>
            <w:tcW w:w="2860" w:type="dxa"/>
            <w:tcBorders>
              <w:top w:val="single" w:sz="4" w:space="0" w:color="A6A6A6"/>
              <w:bottom w:val="single" w:sz="4" w:space="0" w:color="A6A6A6"/>
            </w:tcBorders>
            <w:shd w:val="clear" w:color="auto" w:fill="auto"/>
          </w:tcPr>
          <w:p w14:paraId="5E3488A5" w14:textId="77777777" w:rsidR="00C058BB" w:rsidRPr="00FA1A54" w:rsidRDefault="00C058BB" w:rsidP="008D7374">
            <w:pPr>
              <w:pStyle w:val="TableText"/>
            </w:pPr>
            <w:r w:rsidRPr="008D7374">
              <w:rPr>
                <w:color w:val="000000"/>
              </w:rPr>
              <w:t>Hawera Hospital</w:t>
            </w:r>
          </w:p>
        </w:tc>
        <w:tc>
          <w:tcPr>
            <w:tcW w:w="2243" w:type="dxa"/>
            <w:tcBorders>
              <w:top w:val="single" w:sz="4" w:space="0" w:color="A6A6A6"/>
              <w:bottom w:val="single" w:sz="4" w:space="0" w:color="A6A6A6"/>
            </w:tcBorders>
            <w:shd w:val="clear" w:color="auto" w:fill="auto"/>
          </w:tcPr>
          <w:p w14:paraId="206B1017" w14:textId="15047F95" w:rsidR="00C058BB" w:rsidRPr="00FA1A54" w:rsidRDefault="004B4E7B" w:rsidP="008D7374">
            <w:pPr>
              <w:pStyle w:val="TableText"/>
            </w:pPr>
            <w:r w:rsidRPr="008D7374">
              <w:rPr>
                <w:color w:val="000000"/>
              </w:rPr>
              <w:t>Taranaki</w:t>
            </w:r>
          </w:p>
        </w:tc>
        <w:tc>
          <w:tcPr>
            <w:tcW w:w="2552" w:type="dxa"/>
            <w:tcBorders>
              <w:top w:val="single" w:sz="4" w:space="0" w:color="A6A6A6"/>
              <w:bottom w:val="single" w:sz="4" w:space="0" w:color="A6A6A6"/>
            </w:tcBorders>
            <w:shd w:val="clear" w:color="auto" w:fill="auto"/>
          </w:tcPr>
          <w:p w14:paraId="4654F648" w14:textId="1C52D071" w:rsidR="00C058BB" w:rsidRPr="00FA1A54" w:rsidRDefault="004B4E7B" w:rsidP="008D7374">
            <w:pPr>
              <w:pStyle w:val="TableText"/>
            </w:pPr>
            <w:r>
              <w:t>Taranaki DHB</w:t>
            </w:r>
          </w:p>
        </w:tc>
        <w:tc>
          <w:tcPr>
            <w:tcW w:w="1701" w:type="dxa"/>
            <w:tcBorders>
              <w:top w:val="single" w:sz="4" w:space="0" w:color="A6A6A6"/>
              <w:bottom w:val="single" w:sz="4" w:space="0" w:color="A6A6A6"/>
            </w:tcBorders>
            <w:shd w:val="clear" w:color="auto" w:fill="auto"/>
          </w:tcPr>
          <w:p w14:paraId="4478FD46" w14:textId="77777777" w:rsidR="00C058BB" w:rsidRPr="00FA1A54" w:rsidRDefault="00C058BB" w:rsidP="008D7374">
            <w:pPr>
              <w:pStyle w:val="TableText"/>
              <w:tabs>
                <w:tab w:val="decimal" w:pos="1164"/>
              </w:tabs>
            </w:pPr>
            <w:r w:rsidRPr="008D7374">
              <w:rPr>
                <w:color w:val="000000"/>
              </w:rPr>
              <w:t>15,357</w:t>
            </w:r>
          </w:p>
        </w:tc>
      </w:tr>
      <w:tr w:rsidR="00A10B1D" w:rsidRPr="00FA1A54" w14:paraId="27418091" w14:textId="77777777" w:rsidTr="004B4E7B">
        <w:trPr>
          <w:cantSplit/>
        </w:trPr>
        <w:tc>
          <w:tcPr>
            <w:tcW w:w="2860" w:type="dxa"/>
            <w:tcBorders>
              <w:top w:val="single" w:sz="4" w:space="0" w:color="A6A6A6"/>
              <w:bottom w:val="single" w:sz="4" w:space="0" w:color="A6A6A6"/>
            </w:tcBorders>
            <w:shd w:val="clear" w:color="auto" w:fill="auto"/>
          </w:tcPr>
          <w:p w14:paraId="443D51FA" w14:textId="2D43D94B" w:rsidR="00C058BB" w:rsidRPr="00FA1A54" w:rsidRDefault="00C058BB" w:rsidP="008D7374">
            <w:pPr>
              <w:pStyle w:val="TableText"/>
            </w:pPr>
            <w:r w:rsidRPr="008D7374">
              <w:rPr>
                <w:color w:val="000000"/>
              </w:rPr>
              <w:t>Hawke</w:t>
            </w:r>
            <w:r w:rsidR="004B4E7B">
              <w:rPr>
                <w:color w:val="000000"/>
              </w:rPr>
              <w:t>’</w:t>
            </w:r>
            <w:bookmarkStart w:id="216" w:name="_GoBack"/>
            <w:bookmarkEnd w:id="216"/>
            <w:r w:rsidRPr="008D7374">
              <w:rPr>
                <w:color w:val="000000"/>
              </w:rPr>
              <w:t>s Bay Hospital</w:t>
            </w:r>
          </w:p>
        </w:tc>
        <w:tc>
          <w:tcPr>
            <w:tcW w:w="2243" w:type="dxa"/>
            <w:tcBorders>
              <w:top w:val="single" w:sz="4" w:space="0" w:color="A6A6A6"/>
              <w:bottom w:val="single" w:sz="4" w:space="0" w:color="A6A6A6"/>
            </w:tcBorders>
            <w:shd w:val="clear" w:color="auto" w:fill="auto"/>
          </w:tcPr>
          <w:p w14:paraId="7F7EC0F4" w14:textId="293F1D28" w:rsidR="00C058BB" w:rsidRPr="00FA1A54" w:rsidRDefault="004B4E7B" w:rsidP="008D7374">
            <w:pPr>
              <w:pStyle w:val="TableText"/>
            </w:pPr>
            <w:r>
              <w:t>Hawke’s Bay</w:t>
            </w:r>
          </w:p>
        </w:tc>
        <w:tc>
          <w:tcPr>
            <w:tcW w:w="2552" w:type="dxa"/>
            <w:tcBorders>
              <w:top w:val="single" w:sz="4" w:space="0" w:color="A6A6A6"/>
              <w:bottom w:val="single" w:sz="4" w:space="0" w:color="A6A6A6"/>
            </w:tcBorders>
            <w:shd w:val="clear" w:color="auto" w:fill="auto"/>
          </w:tcPr>
          <w:p w14:paraId="3CBD4860" w14:textId="72254EF4" w:rsidR="00C058BB" w:rsidRPr="00FA1A54" w:rsidRDefault="004B4E7B" w:rsidP="008D7374">
            <w:pPr>
              <w:pStyle w:val="TableText"/>
            </w:pPr>
            <w:r w:rsidRPr="008D7374">
              <w:rPr>
                <w:color w:val="000000"/>
              </w:rPr>
              <w:t>Hawke’s Bay DHB</w:t>
            </w:r>
          </w:p>
        </w:tc>
        <w:tc>
          <w:tcPr>
            <w:tcW w:w="1701" w:type="dxa"/>
            <w:tcBorders>
              <w:top w:val="single" w:sz="4" w:space="0" w:color="A6A6A6"/>
              <w:bottom w:val="single" w:sz="4" w:space="0" w:color="A6A6A6"/>
            </w:tcBorders>
            <w:shd w:val="clear" w:color="auto" w:fill="auto"/>
          </w:tcPr>
          <w:p w14:paraId="448E6EE8" w14:textId="77777777" w:rsidR="00C058BB" w:rsidRPr="00FA1A54" w:rsidRDefault="00C058BB" w:rsidP="008D7374">
            <w:pPr>
              <w:pStyle w:val="TableText"/>
              <w:tabs>
                <w:tab w:val="decimal" w:pos="1164"/>
              </w:tabs>
            </w:pPr>
            <w:r w:rsidRPr="008D7374">
              <w:rPr>
                <w:color w:val="000000"/>
              </w:rPr>
              <w:t>41,334</w:t>
            </w:r>
          </w:p>
        </w:tc>
      </w:tr>
      <w:tr w:rsidR="00A10B1D" w:rsidRPr="00FA1A54" w14:paraId="19A8A321" w14:textId="77777777" w:rsidTr="004B4E7B">
        <w:trPr>
          <w:cantSplit/>
        </w:trPr>
        <w:tc>
          <w:tcPr>
            <w:tcW w:w="2860" w:type="dxa"/>
            <w:tcBorders>
              <w:top w:val="single" w:sz="4" w:space="0" w:color="A6A6A6"/>
              <w:bottom w:val="single" w:sz="4" w:space="0" w:color="A6A6A6"/>
            </w:tcBorders>
            <w:shd w:val="clear" w:color="auto" w:fill="auto"/>
          </w:tcPr>
          <w:p w14:paraId="16EDFCB1" w14:textId="77777777" w:rsidR="00C058BB" w:rsidRPr="00FA1A54" w:rsidRDefault="00C058BB" w:rsidP="008D7374">
            <w:pPr>
              <w:pStyle w:val="TableText"/>
            </w:pPr>
            <w:r w:rsidRPr="008D7374">
              <w:rPr>
                <w:color w:val="000000"/>
              </w:rPr>
              <w:t>Hutt Hospital</w:t>
            </w:r>
          </w:p>
        </w:tc>
        <w:tc>
          <w:tcPr>
            <w:tcW w:w="2243" w:type="dxa"/>
            <w:tcBorders>
              <w:top w:val="single" w:sz="4" w:space="0" w:color="A6A6A6"/>
              <w:bottom w:val="single" w:sz="4" w:space="0" w:color="A6A6A6"/>
            </w:tcBorders>
            <w:shd w:val="clear" w:color="auto" w:fill="auto"/>
          </w:tcPr>
          <w:p w14:paraId="4303C6C0" w14:textId="77777777" w:rsidR="00C058BB" w:rsidRPr="00FA1A54" w:rsidRDefault="00C058BB" w:rsidP="008D7374">
            <w:pPr>
              <w:pStyle w:val="TableText"/>
            </w:pPr>
            <w:r w:rsidRPr="008D7374">
              <w:rPr>
                <w:color w:val="000000"/>
              </w:rPr>
              <w:t>Hutt Valley</w:t>
            </w:r>
          </w:p>
        </w:tc>
        <w:tc>
          <w:tcPr>
            <w:tcW w:w="2552" w:type="dxa"/>
            <w:tcBorders>
              <w:top w:val="single" w:sz="4" w:space="0" w:color="A6A6A6"/>
              <w:bottom w:val="single" w:sz="4" w:space="0" w:color="A6A6A6"/>
            </w:tcBorders>
            <w:shd w:val="clear" w:color="auto" w:fill="auto"/>
          </w:tcPr>
          <w:p w14:paraId="02EC934A" w14:textId="77777777" w:rsidR="00C058BB" w:rsidRPr="00FA1A54" w:rsidRDefault="00C058BB" w:rsidP="008D7374">
            <w:pPr>
              <w:pStyle w:val="TableText"/>
            </w:pPr>
            <w:r w:rsidRPr="008D7374">
              <w:rPr>
                <w:color w:val="000000"/>
              </w:rPr>
              <w:t>Hutt Valley DHB</w:t>
            </w:r>
          </w:p>
        </w:tc>
        <w:tc>
          <w:tcPr>
            <w:tcW w:w="1701" w:type="dxa"/>
            <w:tcBorders>
              <w:top w:val="single" w:sz="4" w:space="0" w:color="A6A6A6"/>
              <w:bottom w:val="single" w:sz="4" w:space="0" w:color="A6A6A6"/>
            </w:tcBorders>
            <w:shd w:val="clear" w:color="auto" w:fill="auto"/>
          </w:tcPr>
          <w:p w14:paraId="48DB21B3" w14:textId="77777777" w:rsidR="00C058BB" w:rsidRPr="00FA1A54" w:rsidRDefault="00C058BB" w:rsidP="008D7374">
            <w:pPr>
              <w:pStyle w:val="TableText"/>
              <w:tabs>
                <w:tab w:val="decimal" w:pos="1164"/>
              </w:tabs>
            </w:pPr>
            <w:r w:rsidRPr="008D7374">
              <w:rPr>
                <w:color w:val="000000"/>
              </w:rPr>
              <w:t>44,170</w:t>
            </w:r>
          </w:p>
        </w:tc>
      </w:tr>
      <w:tr w:rsidR="00A10B1D" w:rsidRPr="00FA1A54" w14:paraId="299FD403" w14:textId="77777777" w:rsidTr="004B4E7B">
        <w:trPr>
          <w:cantSplit/>
        </w:trPr>
        <w:tc>
          <w:tcPr>
            <w:tcW w:w="2860" w:type="dxa"/>
            <w:tcBorders>
              <w:top w:val="single" w:sz="4" w:space="0" w:color="A6A6A6"/>
              <w:bottom w:val="single" w:sz="4" w:space="0" w:color="A6A6A6"/>
            </w:tcBorders>
            <w:shd w:val="clear" w:color="auto" w:fill="auto"/>
          </w:tcPr>
          <w:p w14:paraId="7586DDF6" w14:textId="77777777" w:rsidR="00C058BB" w:rsidRPr="00FA1A54" w:rsidRDefault="00C058BB" w:rsidP="008D7374">
            <w:pPr>
              <w:pStyle w:val="TableText"/>
            </w:pPr>
            <w:r w:rsidRPr="008D7374">
              <w:rPr>
                <w:color w:val="000000"/>
              </w:rPr>
              <w:t>Kaitaia Hospital</w:t>
            </w:r>
          </w:p>
        </w:tc>
        <w:tc>
          <w:tcPr>
            <w:tcW w:w="2243" w:type="dxa"/>
            <w:tcBorders>
              <w:top w:val="single" w:sz="4" w:space="0" w:color="A6A6A6"/>
              <w:bottom w:val="single" w:sz="4" w:space="0" w:color="A6A6A6"/>
            </w:tcBorders>
            <w:shd w:val="clear" w:color="auto" w:fill="auto"/>
          </w:tcPr>
          <w:p w14:paraId="51FE1051" w14:textId="77777777" w:rsidR="00C058BB" w:rsidRPr="00FA1A54" w:rsidRDefault="00C058BB" w:rsidP="008D7374">
            <w:pPr>
              <w:pStyle w:val="TableText"/>
            </w:pPr>
            <w:r w:rsidRPr="008D7374">
              <w:rPr>
                <w:color w:val="000000"/>
              </w:rPr>
              <w:t>Northland</w:t>
            </w:r>
          </w:p>
        </w:tc>
        <w:tc>
          <w:tcPr>
            <w:tcW w:w="2552" w:type="dxa"/>
            <w:tcBorders>
              <w:top w:val="single" w:sz="4" w:space="0" w:color="A6A6A6"/>
              <w:bottom w:val="single" w:sz="4" w:space="0" w:color="A6A6A6"/>
            </w:tcBorders>
            <w:shd w:val="clear" w:color="auto" w:fill="auto"/>
          </w:tcPr>
          <w:p w14:paraId="1AC4C746" w14:textId="77777777" w:rsidR="00C058BB" w:rsidRPr="00FA1A54" w:rsidRDefault="00C058BB" w:rsidP="008D7374">
            <w:pPr>
              <w:pStyle w:val="TableText"/>
            </w:pPr>
            <w:r w:rsidRPr="008D7374">
              <w:rPr>
                <w:color w:val="000000"/>
              </w:rPr>
              <w:t>Northland DHB</w:t>
            </w:r>
          </w:p>
        </w:tc>
        <w:tc>
          <w:tcPr>
            <w:tcW w:w="1701" w:type="dxa"/>
            <w:tcBorders>
              <w:top w:val="single" w:sz="4" w:space="0" w:color="A6A6A6"/>
              <w:bottom w:val="single" w:sz="4" w:space="0" w:color="A6A6A6"/>
            </w:tcBorders>
            <w:shd w:val="clear" w:color="auto" w:fill="auto"/>
          </w:tcPr>
          <w:p w14:paraId="0A1D85BA" w14:textId="77777777" w:rsidR="00C058BB" w:rsidRPr="00FA1A54" w:rsidRDefault="00C058BB" w:rsidP="008D7374">
            <w:pPr>
              <w:pStyle w:val="TableText"/>
              <w:tabs>
                <w:tab w:val="decimal" w:pos="1164"/>
              </w:tabs>
            </w:pPr>
            <w:r w:rsidRPr="008D7374">
              <w:rPr>
                <w:color w:val="000000"/>
              </w:rPr>
              <w:t>5,932</w:t>
            </w:r>
          </w:p>
        </w:tc>
      </w:tr>
      <w:tr w:rsidR="00A10B1D" w:rsidRPr="00FA1A54" w14:paraId="46CD6007" w14:textId="77777777" w:rsidTr="004B4E7B">
        <w:trPr>
          <w:cantSplit/>
        </w:trPr>
        <w:tc>
          <w:tcPr>
            <w:tcW w:w="2860" w:type="dxa"/>
            <w:tcBorders>
              <w:top w:val="single" w:sz="4" w:space="0" w:color="A6A6A6"/>
              <w:bottom w:val="single" w:sz="4" w:space="0" w:color="A6A6A6"/>
            </w:tcBorders>
            <w:shd w:val="clear" w:color="auto" w:fill="auto"/>
          </w:tcPr>
          <w:p w14:paraId="73954DB4" w14:textId="77777777" w:rsidR="00C058BB" w:rsidRPr="00FA1A54" w:rsidRDefault="00C058BB" w:rsidP="008D7374">
            <w:pPr>
              <w:pStyle w:val="TableText"/>
            </w:pPr>
            <w:r w:rsidRPr="008D7374">
              <w:rPr>
                <w:color w:val="000000"/>
              </w:rPr>
              <w:t>Lakes District Hospital</w:t>
            </w:r>
          </w:p>
        </w:tc>
        <w:tc>
          <w:tcPr>
            <w:tcW w:w="2243" w:type="dxa"/>
            <w:tcBorders>
              <w:top w:val="single" w:sz="4" w:space="0" w:color="A6A6A6"/>
              <w:bottom w:val="single" w:sz="4" w:space="0" w:color="A6A6A6"/>
            </w:tcBorders>
            <w:shd w:val="clear" w:color="auto" w:fill="auto"/>
          </w:tcPr>
          <w:p w14:paraId="41D2F1B2" w14:textId="77777777" w:rsidR="00C058BB" w:rsidRPr="00FA1A54" w:rsidRDefault="00C058BB" w:rsidP="008D7374">
            <w:pPr>
              <w:pStyle w:val="TableText"/>
            </w:pPr>
            <w:r w:rsidRPr="008D7374">
              <w:rPr>
                <w:color w:val="000000"/>
              </w:rPr>
              <w:t>Southern</w:t>
            </w:r>
          </w:p>
        </w:tc>
        <w:tc>
          <w:tcPr>
            <w:tcW w:w="2552" w:type="dxa"/>
            <w:tcBorders>
              <w:top w:val="single" w:sz="4" w:space="0" w:color="A6A6A6"/>
              <w:bottom w:val="single" w:sz="4" w:space="0" w:color="A6A6A6"/>
            </w:tcBorders>
            <w:shd w:val="clear" w:color="auto" w:fill="auto"/>
          </w:tcPr>
          <w:p w14:paraId="548F0484" w14:textId="77777777" w:rsidR="00C058BB" w:rsidRPr="00FA1A54" w:rsidRDefault="00C058BB" w:rsidP="008D7374">
            <w:pPr>
              <w:pStyle w:val="TableText"/>
            </w:pPr>
            <w:r w:rsidRPr="008D7374">
              <w:rPr>
                <w:color w:val="000000"/>
              </w:rPr>
              <w:t>Southern DHB</w:t>
            </w:r>
          </w:p>
        </w:tc>
        <w:tc>
          <w:tcPr>
            <w:tcW w:w="1701" w:type="dxa"/>
            <w:tcBorders>
              <w:top w:val="single" w:sz="4" w:space="0" w:color="A6A6A6"/>
              <w:bottom w:val="single" w:sz="4" w:space="0" w:color="A6A6A6"/>
            </w:tcBorders>
            <w:shd w:val="clear" w:color="auto" w:fill="auto"/>
          </w:tcPr>
          <w:p w14:paraId="0DAD2767" w14:textId="77777777" w:rsidR="00C058BB" w:rsidRPr="00FA1A54" w:rsidRDefault="00C058BB" w:rsidP="008D7374">
            <w:pPr>
              <w:pStyle w:val="TableText"/>
              <w:tabs>
                <w:tab w:val="decimal" w:pos="1164"/>
              </w:tabs>
            </w:pPr>
            <w:r w:rsidRPr="008D7374">
              <w:rPr>
                <w:color w:val="000000"/>
              </w:rPr>
              <w:t>6,591</w:t>
            </w:r>
          </w:p>
        </w:tc>
      </w:tr>
      <w:tr w:rsidR="00A10B1D" w:rsidRPr="00FA1A54" w14:paraId="35F27D5E" w14:textId="77777777" w:rsidTr="004B4E7B">
        <w:trPr>
          <w:cantSplit/>
        </w:trPr>
        <w:tc>
          <w:tcPr>
            <w:tcW w:w="2860" w:type="dxa"/>
            <w:tcBorders>
              <w:top w:val="single" w:sz="4" w:space="0" w:color="A6A6A6"/>
              <w:bottom w:val="single" w:sz="4" w:space="0" w:color="A6A6A6"/>
            </w:tcBorders>
            <w:shd w:val="clear" w:color="auto" w:fill="auto"/>
          </w:tcPr>
          <w:p w14:paraId="4FE9BC91" w14:textId="77777777" w:rsidR="00C058BB" w:rsidRPr="00FA1A54" w:rsidRDefault="00C058BB" w:rsidP="008D7374">
            <w:pPr>
              <w:pStyle w:val="TableText"/>
            </w:pPr>
            <w:r w:rsidRPr="008D7374">
              <w:rPr>
                <w:color w:val="000000"/>
              </w:rPr>
              <w:t>Middlemore Hospital</w:t>
            </w:r>
          </w:p>
        </w:tc>
        <w:tc>
          <w:tcPr>
            <w:tcW w:w="2243" w:type="dxa"/>
            <w:tcBorders>
              <w:top w:val="single" w:sz="4" w:space="0" w:color="A6A6A6"/>
              <w:bottom w:val="single" w:sz="4" w:space="0" w:color="A6A6A6"/>
            </w:tcBorders>
            <w:shd w:val="clear" w:color="auto" w:fill="auto"/>
          </w:tcPr>
          <w:p w14:paraId="54F3E037" w14:textId="77777777" w:rsidR="00C058BB" w:rsidRPr="00FA1A54" w:rsidRDefault="00C058BB" w:rsidP="008D7374">
            <w:pPr>
              <w:pStyle w:val="TableText"/>
            </w:pPr>
            <w:r w:rsidRPr="008D7374">
              <w:rPr>
                <w:color w:val="000000"/>
              </w:rPr>
              <w:t>Counties Manukau</w:t>
            </w:r>
          </w:p>
        </w:tc>
        <w:tc>
          <w:tcPr>
            <w:tcW w:w="2552" w:type="dxa"/>
            <w:tcBorders>
              <w:top w:val="single" w:sz="4" w:space="0" w:color="A6A6A6"/>
              <w:bottom w:val="single" w:sz="4" w:space="0" w:color="A6A6A6"/>
            </w:tcBorders>
            <w:shd w:val="clear" w:color="auto" w:fill="auto"/>
          </w:tcPr>
          <w:p w14:paraId="2AED7A25" w14:textId="77777777" w:rsidR="00C058BB" w:rsidRPr="00FA1A54" w:rsidRDefault="00C058BB" w:rsidP="008D7374">
            <w:pPr>
              <w:pStyle w:val="TableText"/>
            </w:pPr>
            <w:r w:rsidRPr="008D7374">
              <w:rPr>
                <w:color w:val="000000"/>
              </w:rPr>
              <w:t>Counties Manukau DHB</w:t>
            </w:r>
          </w:p>
        </w:tc>
        <w:tc>
          <w:tcPr>
            <w:tcW w:w="1701" w:type="dxa"/>
            <w:tcBorders>
              <w:top w:val="single" w:sz="4" w:space="0" w:color="A6A6A6"/>
              <w:bottom w:val="single" w:sz="4" w:space="0" w:color="A6A6A6"/>
            </w:tcBorders>
            <w:shd w:val="clear" w:color="auto" w:fill="auto"/>
          </w:tcPr>
          <w:p w14:paraId="7373A0F3" w14:textId="77777777" w:rsidR="00C058BB" w:rsidRPr="00FA1A54" w:rsidRDefault="00C058BB" w:rsidP="008D7374">
            <w:pPr>
              <w:pStyle w:val="TableText"/>
              <w:tabs>
                <w:tab w:val="decimal" w:pos="1164"/>
              </w:tabs>
            </w:pPr>
            <w:r w:rsidRPr="008D7374">
              <w:rPr>
                <w:color w:val="000000"/>
              </w:rPr>
              <w:t>103,399</w:t>
            </w:r>
          </w:p>
        </w:tc>
      </w:tr>
      <w:tr w:rsidR="00A10B1D" w:rsidRPr="00FA1A54" w14:paraId="494AC040" w14:textId="77777777" w:rsidTr="004B4E7B">
        <w:trPr>
          <w:cantSplit/>
        </w:trPr>
        <w:tc>
          <w:tcPr>
            <w:tcW w:w="2860" w:type="dxa"/>
            <w:tcBorders>
              <w:top w:val="single" w:sz="4" w:space="0" w:color="A6A6A6"/>
              <w:bottom w:val="single" w:sz="4" w:space="0" w:color="A6A6A6"/>
            </w:tcBorders>
            <w:shd w:val="clear" w:color="auto" w:fill="auto"/>
          </w:tcPr>
          <w:p w14:paraId="32C058FD" w14:textId="77777777" w:rsidR="00C058BB" w:rsidRPr="00FA1A54" w:rsidRDefault="00C058BB" w:rsidP="008D7374">
            <w:pPr>
              <w:pStyle w:val="TableText"/>
            </w:pPr>
            <w:r w:rsidRPr="008D7374">
              <w:rPr>
                <w:color w:val="000000"/>
              </w:rPr>
              <w:t>Nelson hospital</w:t>
            </w:r>
          </w:p>
        </w:tc>
        <w:tc>
          <w:tcPr>
            <w:tcW w:w="2243" w:type="dxa"/>
            <w:tcBorders>
              <w:top w:val="single" w:sz="4" w:space="0" w:color="A6A6A6"/>
              <w:bottom w:val="single" w:sz="4" w:space="0" w:color="A6A6A6"/>
            </w:tcBorders>
            <w:shd w:val="clear" w:color="auto" w:fill="auto"/>
          </w:tcPr>
          <w:p w14:paraId="1822B396" w14:textId="77777777" w:rsidR="00C058BB" w:rsidRPr="00FA1A54" w:rsidRDefault="00C058BB" w:rsidP="008D7374">
            <w:pPr>
              <w:pStyle w:val="TableText"/>
            </w:pPr>
            <w:r w:rsidRPr="008D7374">
              <w:rPr>
                <w:color w:val="000000"/>
              </w:rPr>
              <w:t>Nelson Marlborough</w:t>
            </w:r>
          </w:p>
        </w:tc>
        <w:tc>
          <w:tcPr>
            <w:tcW w:w="2552" w:type="dxa"/>
            <w:tcBorders>
              <w:top w:val="single" w:sz="4" w:space="0" w:color="A6A6A6"/>
              <w:bottom w:val="single" w:sz="4" w:space="0" w:color="A6A6A6"/>
            </w:tcBorders>
            <w:shd w:val="clear" w:color="auto" w:fill="auto"/>
          </w:tcPr>
          <w:p w14:paraId="06503486" w14:textId="77777777" w:rsidR="00C058BB" w:rsidRPr="00FA1A54" w:rsidRDefault="00C058BB" w:rsidP="008D7374">
            <w:pPr>
              <w:pStyle w:val="TableText"/>
            </w:pPr>
            <w:r w:rsidRPr="008D7374">
              <w:rPr>
                <w:color w:val="000000"/>
              </w:rPr>
              <w:t>Nelson Marlborough DHB</w:t>
            </w:r>
          </w:p>
        </w:tc>
        <w:tc>
          <w:tcPr>
            <w:tcW w:w="1701" w:type="dxa"/>
            <w:tcBorders>
              <w:top w:val="single" w:sz="4" w:space="0" w:color="A6A6A6"/>
              <w:bottom w:val="single" w:sz="4" w:space="0" w:color="A6A6A6"/>
            </w:tcBorders>
            <w:shd w:val="clear" w:color="auto" w:fill="auto"/>
          </w:tcPr>
          <w:p w14:paraId="4DFBA08B" w14:textId="77777777" w:rsidR="00C058BB" w:rsidRPr="00FA1A54" w:rsidRDefault="00C058BB" w:rsidP="008D7374">
            <w:pPr>
              <w:pStyle w:val="TableText"/>
              <w:tabs>
                <w:tab w:val="decimal" w:pos="1164"/>
              </w:tabs>
            </w:pPr>
            <w:r w:rsidRPr="008D7374">
              <w:rPr>
                <w:color w:val="000000"/>
              </w:rPr>
              <w:t>16,331</w:t>
            </w:r>
          </w:p>
        </w:tc>
      </w:tr>
      <w:tr w:rsidR="00A10B1D" w:rsidRPr="00FA1A54" w14:paraId="107F0037" w14:textId="77777777" w:rsidTr="004B4E7B">
        <w:trPr>
          <w:cantSplit/>
        </w:trPr>
        <w:tc>
          <w:tcPr>
            <w:tcW w:w="2860" w:type="dxa"/>
            <w:tcBorders>
              <w:top w:val="single" w:sz="4" w:space="0" w:color="A6A6A6"/>
              <w:bottom w:val="single" w:sz="4" w:space="0" w:color="A6A6A6"/>
            </w:tcBorders>
            <w:shd w:val="clear" w:color="auto" w:fill="auto"/>
          </w:tcPr>
          <w:p w14:paraId="53BE233A" w14:textId="77777777" w:rsidR="00C058BB" w:rsidRPr="00FA1A54" w:rsidRDefault="00C058BB" w:rsidP="008D7374">
            <w:pPr>
              <w:pStyle w:val="TableText"/>
            </w:pPr>
            <w:r w:rsidRPr="008D7374">
              <w:rPr>
                <w:color w:val="000000"/>
              </w:rPr>
              <w:t>North Shore Hospital</w:t>
            </w:r>
          </w:p>
        </w:tc>
        <w:tc>
          <w:tcPr>
            <w:tcW w:w="2243" w:type="dxa"/>
            <w:tcBorders>
              <w:top w:val="single" w:sz="4" w:space="0" w:color="A6A6A6"/>
              <w:bottom w:val="single" w:sz="4" w:space="0" w:color="A6A6A6"/>
            </w:tcBorders>
            <w:shd w:val="clear" w:color="auto" w:fill="auto"/>
          </w:tcPr>
          <w:p w14:paraId="405A48F4" w14:textId="77777777" w:rsidR="00C058BB" w:rsidRPr="00FA1A54" w:rsidRDefault="00C058BB" w:rsidP="008D7374">
            <w:pPr>
              <w:pStyle w:val="TableText"/>
            </w:pPr>
            <w:r w:rsidRPr="008D7374">
              <w:rPr>
                <w:color w:val="000000"/>
              </w:rPr>
              <w:t>Waitemata</w:t>
            </w:r>
          </w:p>
        </w:tc>
        <w:tc>
          <w:tcPr>
            <w:tcW w:w="2552" w:type="dxa"/>
            <w:tcBorders>
              <w:top w:val="single" w:sz="4" w:space="0" w:color="A6A6A6"/>
              <w:bottom w:val="single" w:sz="4" w:space="0" w:color="A6A6A6"/>
            </w:tcBorders>
            <w:shd w:val="clear" w:color="auto" w:fill="auto"/>
          </w:tcPr>
          <w:p w14:paraId="62AD8D28" w14:textId="77777777" w:rsidR="00C058BB" w:rsidRPr="00FA1A54" w:rsidRDefault="00C058BB" w:rsidP="008D7374">
            <w:pPr>
              <w:pStyle w:val="TableText"/>
            </w:pPr>
            <w:r w:rsidRPr="008D7374">
              <w:rPr>
                <w:color w:val="000000"/>
              </w:rPr>
              <w:t>Waitemata DHB</w:t>
            </w:r>
          </w:p>
        </w:tc>
        <w:tc>
          <w:tcPr>
            <w:tcW w:w="1701" w:type="dxa"/>
            <w:tcBorders>
              <w:top w:val="single" w:sz="4" w:space="0" w:color="A6A6A6"/>
              <w:bottom w:val="single" w:sz="4" w:space="0" w:color="A6A6A6"/>
            </w:tcBorders>
            <w:shd w:val="clear" w:color="auto" w:fill="auto"/>
          </w:tcPr>
          <w:p w14:paraId="370D338A" w14:textId="77777777" w:rsidR="00C058BB" w:rsidRPr="00FA1A54" w:rsidRDefault="00C058BB" w:rsidP="008D7374">
            <w:pPr>
              <w:pStyle w:val="TableText"/>
              <w:tabs>
                <w:tab w:val="decimal" w:pos="1164"/>
              </w:tabs>
            </w:pPr>
            <w:r w:rsidRPr="008D7374">
              <w:rPr>
                <w:color w:val="000000"/>
              </w:rPr>
              <w:t>48,284</w:t>
            </w:r>
          </w:p>
        </w:tc>
      </w:tr>
      <w:tr w:rsidR="00A10B1D" w:rsidRPr="00FA1A54" w14:paraId="218830F5" w14:textId="77777777" w:rsidTr="004B4E7B">
        <w:trPr>
          <w:cantSplit/>
        </w:trPr>
        <w:tc>
          <w:tcPr>
            <w:tcW w:w="2860" w:type="dxa"/>
            <w:tcBorders>
              <w:top w:val="single" w:sz="4" w:space="0" w:color="A6A6A6"/>
              <w:bottom w:val="single" w:sz="4" w:space="0" w:color="A6A6A6"/>
            </w:tcBorders>
            <w:shd w:val="clear" w:color="auto" w:fill="auto"/>
          </w:tcPr>
          <w:p w14:paraId="7337F19A" w14:textId="77777777" w:rsidR="00C058BB" w:rsidRPr="00FA1A54" w:rsidRDefault="00C058BB" w:rsidP="008D7374">
            <w:pPr>
              <w:pStyle w:val="TableText"/>
            </w:pPr>
            <w:r w:rsidRPr="008D7374">
              <w:rPr>
                <w:color w:val="000000"/>
              </w:rPr>
              <w:t xml:space="preserve">Oamaru Hospital </w:t>
            </w:r>
            <w:r w:rsidRPr="008D7374">
              <w:rPr>
                <w:color w:val="000000"/>
                <w:vertAlign w:val="superscript"/>
              </w:rPr>
              <w:t>1 3</w:t>
            </w:r>
          </w:p>
        </w:tc>
        <w:tc>
          <w:tcPr>
            <w:tcW w:w="2243" w:type="dxa"/>
            <w:tcBorders>
              <w:top w:val="single" w:sz="4" w:space="0" w:color="A6A6A6"/>
              <w:bottom w:val="single" w:sz="4" w:space="0" w:color="A6A6A6"/>
            </w:tcBorders>
            <w:shd w:val="clear" w:color="auto" w:fill="auto"/>
          </w:tcPr>
          <w:p w14:paraId="443CA6EB" w14:textId="77777777" w:rsidR="00C058BB" w:rsidRPr="00FA1A54" w:rsidRDefault="00C058BB" w:rsidP="008D7374">
            <w:pPr>
              <w:pStyle w:val="TableText"/>
            </w:pPr>
            <w:r w:rsidRPr="008D7374">
              <w:rPr>
                <w:color w:val="000000"/>
              </w:rPr>
              <w:t>Southern</w:t>
            </w:r>
          </w:p>
        </w:tc>
        <w:tc>
          <w:tcPr>
            <w:tcW w:w="2552" w:type="dxa"/>
            <w:tcBorders>
              <w:top w:val="single" w:sz="4" w:space="0" w:color="A6A6A6"/>
              <w:bottom w:val="single" w:sz="4" w:space="0" w:color="A6A6A6"/>
            </w:tcBorders>
            <w:shd w:val="clear" w:color="auto" w:fill="auto"/>
          </w:tcPr>
          <w:p w14:paraId="65DC5684" w14:textId="77777777" w:rsidR="00C058BB" w:rsidRPr="00FA1A54" w:rsidRDefault="00C058BB" w:rsidP="008D7374">
            <w:pPr>
              <w:pStyle w:val="TableText"/>
            </w:pPr>
            <w:r w:rsidRPr="008D7374">
              <w:rPr>
                <w:color w:val="000000"/>
              </w:rPr>
              <w:t>Oamaru Charitable Trust</w:t>
            </w:r>
          </w:p>
        </w:tc>
        <w:tc>
          <w:tcPr>
            <w:tcW w:w="1701" w:type="dxa"/>
            <w:tcBorders>
              <w:top w:val="single" w:sz="4" w:space="0" w:color="A6A6A6"/>
              <w:bottom w:val="single" w:sz="4" w:space="0" w:color="A6A6A6"/>
            </w:tcBorders>
            <w:shd w:val="clear" w:color="auto" w:fill="auto"/>
          </w:tcPr>
          <w:p w14:paraId="50EFFB4A" w14:textId="77777777" w:rsidR="00C058BB" w:rsidRPr="00FA1A54" w:rsidRDefault="0051449D" w:rsidP="008D7374">
            <w:pPr>
              <w:pStyle w:val="TableText"/>
              <w:tabs>
                <w:tab w:val="decimal" w:pos="1164"/>
              </w:tabs>
            </w:pPr>
            <w:r w:rsidRPr="008D7374">
              <w:rPr>
                <w:color w:val="000000"/>
              </w:rPr>
              <w:t>–</w:t>
            </w:r>
          </w:p>
        </w:tc>
      </w:tr>
      <w:tr w:rsidR="00A10B1D" w:rsidRPr="00FA1A54" w14:paraId="760459E5" w14:textId="77777777" w:rsidTr="004B4E7B">
        <w:trPr>
          <w:cantSplit/>
        </w:trPr>
        <w:tc>
          <w:tcPr>
            <w:tcW w:w="2860" w:type="dxa"/>
            <w:tcBorders>
              <w:top w:val="single" w:sz="4" w:space="0" w:color="A6A6A6"/>
              <w:bottom w:val="single" w:sz="4" w:space="0" w:color="A6A6A6"/>
            </w:tcBorders>
            <w:shd w:val="clear" w:color="auto" w:fill="auto"/>
          </w:tcPr>
          <w:p w14:paraId="00CAF023" w14:textId="77777777" w:rsidR="00C058BB" w:rsidRPr="00FA1A54" w:rsidRDefault="00C058BB" w:rsidP="008D7374">
            <w:pPr>
              <w:pStyle w:val="TableText"/>
            </w:pPr>
            <w:r w:rsidRPr="008D7374">
              <w:rPr>
                <w:color w:val="000000"/>
              </w:rPr>
              <w:t>Opotiki Community Care Centre</w:t>
            </w:r>
          </w:p>
        </w:tc>
        <w:tc>
          <w:tcPr>
            <w:tcW w:w="2243" w:type="dxa"/>
            <w:tcBorders>
              <w:top w:val="single" w:sz="4" w:space="0" w:color="A6A6A6"/>
              <w:bottom w:val="single" w:sz="4" w:space="0" w:color="A6A6A6"/>
            </w:tcBorders>
            <w:shd w:val="clear" w:color="auto" w:fill="auto"/>
          </w:tcPr>
          <w:p w14:paraId="046B2CFC" w14:textId="77777777" w:rsidR="00C058BB" w:rsidRPr="00FA1A54" w:rsidRDefault="00C058BB" w:rsidP="008D7374">
            <w:pPr>
              <w:pStyle w:val="TableText"/>
            </w:pPr>
            <w:r w:rsidRPr="008D7374">
              <w:rPr>
                <w:color w:val="000000"/>
              </w:rPr>
              <w:t>Bay of Plenty</w:t>
            </w:r>
          </w:p>
        </w:tc>
        <w:tc>
          <w:tcPr>
            <w:tcW w:w="2552" w:type="dxa"/>
            <w:tcBorders>
              <w:top w:val="single" w:sz="4" w:space="0" w:color="A6A6A6"/>
              <w:bottom w:val="single" w:sz="4" w:space="0" w:color="A6A6A6"/>
            </w:tcBorders>
            <w:shd w:val="clear" w:color="auto" w:fill="auto"/>
          </w:tcPr>
          <w:p w14:paraId="1EA970DA" w14:textId="77777777" w:rsidR="00C058BB" w:rsidRPr="00FA1A54" w:rsidRDefault="00C058BB" w:rsidP="008D7374">
            <w:pPr>
              <w:pStyle w:val="TableText"/>
            </w:pPr>
            <w:r w:rsidRPr="008D7374">
              <w:rPr>
                <w:color w:val="000000"/>
              </w:rPr>
              <w:t>Bay of Plenty DHB</w:t>
            </w:r>
          </w:p>
        </w:tc>
        <w:tc>
          <w:tcPr>
            <w:tcW w:w="1701" w:type="dxa"/>
            <w:tcBorders>
              <w:top w:val="single" w:sz="4" w:space="0" w:color="A6A6A6"/>
              <w:bottom w:val="single" w:sz="4" w:space="0" w:color="A6A6A6"/>
            </w:tcBorders>
            <w:shd w:val="clear" w:color="auto" w:fill="auto"/>
          </w:tcPr>
          <w:p w14:paraId="655B2E19" w14:textId="77777777" w:rsidR="00C058BB" w:rsidRPr="00FA1A54" w:rsidRDefault="00C058BB" w:rsidP="008D7374">
            <w:pPr>
              <w:pStyle w:val="TableText"/>
              <w:tabs>
                <w:tab w:val="decimal" w:pos="1164"/>
              </w:tabs>
            </w:pPr>
            <w:r w:rsidRPr="008D7374">
              <w:rPr>
                <w:color w:val="000000"/>
              </w:rPr>
              <w:t>1,688</w:t>
            </w:r>
          </w:p>
        </w:tc>
      </w:tr>
      <w:tr w:rsidR="00A10B1D" w:rsidRPr="00FA1A54" w14:paraId="4B83D401" w14:textId="77777777" w:rsidTr="004B4E7B">
        <w:trPr>
          <w:cantSplit/>
        </w:trPr>
        <w:tc>
          <w:tcPr>
            <w:tcW w:w="2860" w:type="dxa"/>
            <w:tcBorders>
              <w:top w:val="single" w:sz="4" w:space="0" w:color="A6A6A6"/>
              <w:bottom w:val="single" w:sz="4" w:space="0" w:color="A6A6A6"/>
            </w:tcBorders>
            <w:shd w:val="clear" w:color="auto" w:fill="auto"/>
          </w:tcPr>
          <w:p w14:paraId="1FF9A26D" w14:textId="77777777" w:rsidR="00C058BB" w:rsidRPr="00FA1A54" w:rsidRDefault="00C058BB" w:rsidP="008D7374">
            <w:pPr>
              <w:pStyle w:val="TableText"/>
            </w:pPr>
            <w:r w:rsidRPr="008D7374">
              <w:rPr>
                <w:color w:val="000000"/>
              </w:rPr>
              <w:t>Palmerston North Hospital</w:t>
            </w:r>
          </w:p>
        </w:tc>
        <w:tc>
          <w:tcPr>
            <w:tcW w:w="2243" w:type="dxa"/>
            <w:tcBorders>
              <w:top w:val="single" w:sz="4" w:space="0" w:color="A6A6A6"/>
              <w:bottom w:val="single" w:sz="4" w:space="0" w:color="A6A6A6"/>
            </w:tcBorders>
            <w:shd w:val="clear" w:color="auto" w:fill="auto"/>
          </w:tcPr>
          <w:p w14:paraId="46D8E95E" w14:textId="77777777" w:rsidR="00C058BB" w:rsidRPr="00FA1A54" w:rsidRDefault="00C058BB" w:rsidP="008D7374">
            <w:pPr>
              <w:pStyle w:val="TableText"/>
            </w:pPr>
            <w:r w:rsidRPr="008D7374">
              <w:rPr>
                <w:color w:val="000000"/>
              </w:rPr>
              <w:t>MidCentral</w:t>
            </w:r>
          </w:p>
        </w:tc>
        <w:tc>
          <w:tcPr>
            <w:tcW w:w="2552" w:type="dxa"/>
            <w:tcBorders>
              <w:top w:val="single" w:sz="4" w:space="0" w:color="A6A6A6"/>
              <w:bottom w:val="single" w:sz="4" w:space="0" w:color="A6A6A6"/>
            </w:tcBorders>
            <w:shd w:val="clear" w:color="auto" w:fill="auto"/>
          </w:tcPr>
          <w:p w14:paraId="0A7D96B7" w14:textId="77777777" w:rsidR="00C058BB" w:rsidRPr="00FA1A54" w:rsidRDefault="00C058BB" w:rsidP="008D7374">
            <w:pPr>
              <w:pStyle w:val="TableText"/>
            </w:pPr>
            <w:r w:rsidRPr="008D7374">
              <w:rPr>
                <w:color w:val="000000"/>
              </w:rPr>
              <w:t>MidCentral DHB</w:t>
            </w:r>
          </w:p>
        </w:tc>
        <w:tc>
          <w:tcPr>
            <w:tcW w:w="1701" w:type="dxa"/>
            <w:tcBorders>
              <w:top w:val="single" w:sz="4" w:space="0" w:color="A6A6A6"/>
              <w:bottom w:val="single" w:sz="4" w:space="0" w:color="A6A6A6"/>
            </w:tcBorders>
            <w:shd w:val="clear" w:color="auto" w:fill="auto"/>
          </w:tcPr>
          <w:p w14:paraId="0F0B9C9C" w14:textId="77777777" w:rsidR="00C058BB" w:rsidRPr="00FA1A54" w:rsidRDefault="00C058BB" w:rsidP="008D7374">
            <w:pPr>
              <w:pStyle w:val="TableText"/>
              <w:tabs>
                <w:tab w:val="decimal" w:pos="1164"/>
              </w:tabs>
            </w:pPr>
            <w:r w:rsidRPr="008D7374">
              <w:rPr>
                <w:color w:val="000000"/>
              </w:rPr>
              <w:t>40,014</w:t>
            </w:r>
          </w:p>
        </w:tc>
      </w:tr>
      <w:tr w:rsidR="00A10B1D" w:rsidRPr="00FA1A54" w14:paraId="39200264" w14:textId="77777777" w:rsidTr="004B4E7B">
        <w:trPr>
          <w:cantSplit/>
        </w:trPr>
        <w:tc>
          <w:tcPr>
            <w:tcW w:w="2860" w:type="dxa"/>
            <w:tcBorders>
              <w:top w:val="single" w:sz="4" w:space="0" w:color="A6A6A6"/>
              <w:bottom w:val="single" w:sz="4" w:space="0" w:color="A6A6A6"/>
            </w:tcBorders>
            <w:shd w:val="clear" w:color="auto" w:fill="auto"/>
          </w:tcPr>
          <w:p w14:paraId="1B690135" w14:textId="77777777" w:rsidR="00C058BB" w:rsidRPr="00FA1A54" w:rsidRDefault="00C058BB" w:rsidP="008D7374">
            <w:pPr>
              <w:pStyle w:val="TableText"/>
            </w:pPr>
            <w:r w:rsidRPr="008D7374">
              <w:rPr>
                <w:color w:val="000000"/>
              </w:rPr>
              <w:t>Reefton Health Services</w:t>
            </w:r>
          </w:p>
        </w:tc>
        <w:tc>
          <w:tcPr>
            <w:tcW w:w="2243" w:type="dxa"/>
            <w:tcBorders>
              <w:top w:val="single" w:sz="4" w:space="0" w:color="A6A6A6"/>
              <w:bottom w:val="single" w:sz="4" w:space="0" w:color="A6A6A6"/>
            </w:tcBorders>
            <w:shd w:val="clear" w:color="auto" w:fill="auto"/>
          </w:tcPr>
          <w:p w14:paraId="266015BD" w14:textId="77777777" w:rsidR="00C058BB" w:rsidRPr="00FA1A54" w:rsidRDefault="00C058BB" w:rsidP="008D7374">
            <w:pPr>
              <w:pStyle w:val="TableText"/>
            </w:pPr>
            <w:r w:rsidRPr="008D7374">
              <w:rPr>
                <w:color w:val="000000"/>
              </w:rPr>
              <w:t>West Coast</w:t>
            </w:r>
          </w:p>
        </w:tc>
        <w:tc>
          <w:tcPr>
            <w:tcW w:w="2552" w:type="dxa"/>
            <w:tcBorders>
              <w:top w:val="single" w:sz="4" w:space="0" w:color="A6A6A6"/>
              <w:bottom w:val="single" w:sz="4" w:space="0" w:color="A6A6A6"/>
            </w:tcBorders>
            <w:shd w:val="clear" w:color="auto" w:fill="auto"/>
          </w:tcPr>
          <w:p w14:paraId="4F2EB213" w14:textId="77777777" w:rsidR="00C058BB" w:rsidRPr="00FA1A54" w:rsidRDefault="00C058BB" w:rsidP="008D7374">
            <w:pPr>
              <w:pStyle w:val="TableText"/>
            </w:pPr>
            <w:r w:rsidRPr="008D7374">
              <w:rPr>
                <w:color w:val="000000"/>
              </w:rPr>
              <w:t>West Coast DHB</w:t>
            </w:r>
          </w:p>
        </w:tc>
        <w:tc>
          <w:tcPr>
            <w:tcW w:w="1701" w:type="dxa"/>
            <w:tcBorders>
              <w:top w:val="single" w:sz="4" w:space="0" w:color="A6A6A6"/>
              <w:bottom w:val="single" w:sz="4" w:space="0" w:color="A6A6A6"/>
            </w:tcBorders>
            <w:shd w:val="clear" w:color="auto" w:fill="auto"/>
          </w:tcPr>
          <w:p w14:paraId="4D726881" w14:textId="77777777" w:rsidR="00C058BB" w:rsidRPr="00FA1A54" w:rsidRDefault="00C058BB" w:rsidP="008D7374">
            <w:pPr>
              <w:pStyle w:val="TableText"/>
              <w:tabs>
                <w:tab w:val="decimal" w:pos="1164"/>
              </w:tabs>
            </w:pPr>
            <w:r w:rsidRPr="008D7374">
              <w:rPr>
                <w:color w:val="000000"/>
              </w:rPr>
              <w:t>226</w:t>
            </w:r>
          </w:p>
        </w:tc>
      </w:tr>
      <w:tr w:rsidR="00A10B1D" w:rsidRPr="00FA1A54" w14:paraId="39C84F0D" w14:textId="77777777" w:rsidTr="004B4E7B">
        <w:trPr>
          <w:cantSplit/>
        </w:trPr>
        <w:tc>
          <w:tcPr>
            <w:tcW w:w="2860" w:type="dxa"/>
            <w:tcBorders>
              <w:top w:val="single" w:sz="4" w:space="0" w:color="A6A6A6"/>
              <w:bottom w:val="single" w:sz="4" w:space="0" w:color="A6A6A6"/>
            </w:tcBorders>
            <w:shd w:val="clear" w:color="auto" w:fill="auto"/>
          </w:tcPr>
          <w:p w14:paraId="1C0894E4" w14:textId="77777777" w:rsidR="00C058BB" w:rsidRPr="00FA1A54" w:rsidRDefault="00C058BB" w:rsidP="008D7374">
            <w:pPr>
              <w:pStyle w:val="TableText"/>
            </w:pPr>
            <w:r w:rsidRPr="008D7374">
              <w:rPr>
                <w:color w:val="000000"/>
              </w:rPr>
              <w:t>Rotorua Hospital</w:t>
            </w:r>
          </w:p>
        </w:tc>
        <w:tc>
          <w:tcPr>
            <w:tcW w:w="2243" w:type="dxa"/>
            <w:tcBorders>
              <w:top w:val="single" w:sz="4" w:space="0" w:color="A6A6A6"/>
              <w:bottom w:val="single" w:sz="4" w:space="0" w:color="A6A6A6"/>
            </w:tcBorders>
            <w:shd w:val="clear" w:color="auto" w:fill="auto"/>
          </w:tcPr>
          <w:p w14:paraId="1044AB26" w14:textId="77777777" w:rsidR="00C058BB" w:rsidRPr="00FA1A54" w:rsidRDefault="00C058BB" w:rsidP="008D7374">
            <w:pPr>
              <w:pStyle w:val="TableText"/>
            </w:pPr>
            <w:r w:rsidRPr="008D7374">
              <w:rPr>
                <w:color w:val="000000"/>
              </w:rPr>
              <w:t>Lakes</w:t>
            </w:r>
          </w:p>
        </w:tc>
        <w:tc>
          <w:tcPr>
            <w:tcW w:w="2552" w:type="dxa"/>
            <w:tcBorders>
              <w:top w:val="single" w:sz="4" w:space="0" w:color="A6A6A6"/>
              <w:bottom w:val="single" w:sz="4" w:space="0" w:color="A6A6A6"/>
            </w:tcBorders>
            <w:shd w:val="clear" w:color="auto" w:fill="auto"/>
          </w:tcPr>
          <w:p w14:paraId="35668CC0" w14:textId="77777777" w:rsidR="00C058BB" w:rsidRPr="00FA1A54" w:rsidRDefault="00C058BB" w:rsidP="008D7374">
            <w:pPr>
              <w:pStyle w:val="TableText"/>
            </w:pPr>
            <w:r w:rsidRPr="008D7374">
              <w:rPr>
                <w:color w:val="000000"/>
              </w:rPr>
              <w:t>Lakes DHB</w:t>
            </w:r>
          </w:p>
        </w:tc>
        <w:tc>
          <w:tcPr>
            <w:tcW w:w="1701" w:type="dxa"/>
            <w:tcBorders>
              <w:top w:val="single" w:sz="4" w:space="0" w:color="A6A6A6"/>
              <w:bottom w:val="single" w:sz="4" w:space="0" w:color="A6A6A6"/>
            </w:tcBorders>
            <w:shd w:val="clear" w:color="auto" w:fill="auto"/>
          </w:tcPr>
          <w:p w14:paraId="3A326137" w14:textId="77777777" w:rsidR="00C058BB" w:rsidRPr="00FA1A54" w:rsidRDefault="00C058BB" w:rsidP="008D7374">
            <w:pPr>
              <w:pStyle w:val="TableText"/>
              <w:tabs>
                <w:tab w:val="decimal" w:pos="1164"/>
              </w:tabs>
            </w:pPr>
            <w:r w:rsidRPr="008D7374">
              <w:rPr>
                <w:color w:val="000000"/>
              </w:rPr>
              <w:t>34,078</w:t>
            </w:r>
          </w:p>
        </w:tc>
      </w:tr>
      <w:tr w:rsidR="00A10B1D" w:rsidRPr="00FA1A54" w14:paraId="2C1693A0" w14:textId="77777777" w:rsidTr="004B4E7B">
        <w:trPr>
          <w:cantSplit/>
        </w:trPr>
        <w:tc>
          <w:tcPr>
            <w:tcW w:w="2860" w:type="dxa"/>
            <w:tcBorders>
              <w:top w:val="single" w:sz="4" w:space="0" w:color="A6A6A6"/>
              <w:bottom w:val="single" w:sz="4" w:space="0" w:color="A6A6A6"/>
            </w:tcBorders>
            <w:shd w:val="clear" w:color="auto" w:fill="auto"/>
          </w:tcPr>
          <w:p w14:paraId="548D77EB" w14:textId="77777777" w:rsidR="00C058BB" w:rsidRPr="00FA1A54" w:rsidRDefault="00C058BB" w:rsidP="008D7374">
            <w:pPr>
              <w:pStyle w:val="TableText"/>
            </w:pPr>
            <w:r w:rsidRPr="008D7374">
              <w:rPr>
                <w:color w:val="000000"/>
              </w:rPr>
              <w:t>Southland Hospital</w:t>
            </w:r>
          </w:p>
        </w:tc>
        <w:tc>
          <w:tcPr>
            <w:tcW w:w="2243" w:type="dxa"/>
            <w:tcBorders>
              <w:top w:val="single" w:sz="4" w:space="0" w:color="A6A6A6"/>
              <w:bottom w:val="single" w:sz="4" w:space="0" w:color="A6A6A6"/>
            </w:tcBorders>
            <w:shd w:val="clear" w:color="auto" w:fill="auto"/>
          </w:tcPr>
          <w:p w14:paraId="523E562D" w14:textId="77777777" w:rsidR="00C058BB" w:rsidRPr="00FA1A54" w:rsidRDefault="00C058BB" w:rsidP="008D7374">
            <w:pPr>
              <w:pStyle w:val="TableText"/>
            </w:pPr>
            <w:r w:rsidRPr="008D7374">
              <w:rPr>
                <w:color w:val="000000"/>
              </w:rPr>
              <w:t>Southern</w:t>
            </w:r>
          </w:p>
        </w:tc>
        <w:tc>
          <w:tcPr>
            <w:tcW w:w="2552" w:type="dxa"/>
            <w:tcBorders>
              <w:top w:val="single" w:sz="4" w:space="0" w:color="A6A6A6"/>
              <w:bottom w:val="single" w:sz="4" w:space="0" w:color="A6A6A6"/>
            </w:tcBorders>
            <w:shd w:val="clear" w:color="auto" w:fill="auto"/>
          </w:tcPr>
          <w:p w14:paraId="3C7CD417" w14:textId="77777777" w:rsidR="00C058BB" w:rsidRPr="00FA1A54" w:rsidRDefault="00C058BB" w:rsidP="008D7374">
            <w:pPr>
              <w:pStyle w:val="TableText"/>
            </w:pPr>
            <w:r w:rsidRPr="008D7374">
              <w:rPr>
                <w:color w:val="000000"/>
              </w:rPr>
              <w:t>Southern DHB</w:t>
            </w:r>
          </w:p>
        </w:tc>
        <w:tc>
          <w:tcPr>
            <w:tcW w:w="1701" w:type="dxa"/>
            <w:tcBorders>
              <w:top w:val="single" w:sz="4" w:space="0" w:color="A6A6A6"/>
              <w:bottom w:val="single" w:sz="4" w:space="0" w:color="A6A6A6"/>
            </w:tcBorders>
            <w:shd w:val="clear" w:color="auto" w:fill="auto"/>
          </w:tcPr>
          <w:p w14:paraId="1BE144BC" w14:textId="77777777" w:rsidR="00C058BB" w:rsidRPr="00FA1A54" w:rsidRDefault="00C058BB" w:rsidP="008D7374">
            <w:pPr>
              <w:pStyle w:val="TableText"/>
              <w:tabs>
                <w:tab w:val="decimal" w:pos="1164"/>
              </w:tabs>
            </w:pPr>
            <w:r w:rsidRPr="008D7374">
              <w:rPr>
                <w:color w:val="000000"/>
              </w:rPr>
              <w:t>29,058</w:t>
            </w:r>
          </w:p>
        </w:tc>
      </w:tr>
      <w:tr w:rsidR="00A10B1D" w:rsidRPr="00FA1A54" w14:paraId="56D60F63" w14:textId="77777777" w:rsidTr="004B4E7B">
        <w:trPr>
          <w:cantSplit/>
        </w:trPr>
        <w:tc>
          <w:tcPr>
            <w:tcW w:w="2860" w:type="dxa"/>
            <w:tcBorders>
              <w:top w:val="single" w:sz="4" w:space="0" w:color="A6A6A6"/>
              <w:bottom w:val="single" w:sz="4" w:space="0" w:color="A6A6A6"/>
            </w:tcBorders>
            <w:shd w:val="clear" w:color="auto" w:fill="auto"/>
          </w:tcPr>
          <w:p w14:paraId="792A24DB" w14:textId="77777777" w:rsidR="00C058BB" w:rsidRPr="00FA1A54" w:rsidRDefault="00C058BB" w:rsidP="008D7374">
            <w:pPr>
              <w:pStyle w:val="TableText"/>
            </w:pPr>
            <w:r w:rsidRPr="008D7374">
              <w:rPr>
                <w:color w:val="000000"/>
              </w:rPr>
              <w:t>Starship Hospital</w:t>
            </w:r>
          </w:p>
        </w:tc>
        <w:tc>
          <w:tcPr>
            <w:tcW w:w="2243" w:type="dxa"/>
            <w:tcBorders>
              <w:top w:val="single" w:sz="4" w:space="0" w:color="A6A6A6"/>
              <w:bottom w:val="single" w:sz="4" w:space="0" w:color="A6A6A6"/>
            </w:tcBorders>
            <w:shd w:val="clear" w:color="auto" w:fill="auto"/>
          </w:tcPr>
          <w:p w14:paraId="60D4ED8D" w14:textId="77777777" w:rsidR="00C058BB" w:rsidRPr="00FA1A54" w:rsidRDefault="00C058BB" w:rsidP="008D7374">
            <w:pPr>
              <w:pStyle w:val="TableText"/>
            </w:pPr>
            <w:r w:rsidRPr="008D7374">
              <w:rPr>
                <w:color w:val="000000"/>
              </w:rPr>
              <w:t>Auckland</w:t>
            </w:r>
          </w:p>
        </w:tc>
        <w:tc>
          <w:tcPr>
            <w:tcW w:w="2552" w:type="dxa"/>
            <w:tcBorders>
              <w:top w:val="single" w:sz="4" w:space="0" w:color="A6A6A6"/>
              <w:bottom w:val="single" w:sz="4" w:space="0" w:color="A6A6A6"/>
            </w:tcBorders>
            <w:shd w:val="clear" w:color="auto" w:fill="auto"/>
          </w:tcPr>
          <w:p w14:paraId="63AA2E23" w14:textId="77777777" w:rsidR="00C058BB" w:rsidRPr="00FA1A54" w:rsidRDefault="00C058BB" w:rsidP="008D7374">
            <w:pPr>
              <w:pStyle w:val="TableText"/>
            </w:pPr>
            <w:r w:rsidRPr="008D7374">
              <w:rPr>
                <w:color w:val="000000"/>
              </w:rPr>
              <w:t>Auckland DHB</w:t>
            </w:r>
          </w:p>
        </w:tc>
        <w:tc>
          <w:tcPr>
            <w:tcW w:w="1701" w:type="dxa"/>
            <w:tcBorders>
              <w:top w:val="single" w:sz="4" w:space="0" w:color="A6A6A6"/>
              <w:bottom w:val="single" w:sz="4" w:space="0" w:color="A6A6A6"/>
            </w:tcBorders>
            <w:shd w:val="clear" w:color="auto" w:fill="auto"/>
          </w:tcPr>
          <w:p w14:paraId="12B8CE7B" w14:textId="77777777" w:rsidR="00C058BB" w:rsidRPr="00FA1A54" w:rsidRDefault="00C058BB" w:rsidP="008D7374">
            <w:pPr>
              <w:pStyle w:val="TableText"/>
              <w:tabs>
                <w:tab w:val="decimal" w:pos="1164"/>
              </w:tabs>
            </w:pPr>
            <w:r w:rsidRPr="008D7374">
              <w:rPr>
                <w:color w:val="000000"/>
              </w:rPr>
              <w:t>32,775</w:t>
            </w:r>
          </w:p>
        </w:tc>
      </w:tr>
      <w:tr w:rsidR="004B4E7B" w:rsidRPr="00FA1A54" w14:paraId="12AD1DB9" w14:textId="77777777" w:rsidTr="004B4E7B">
        <w:trPr>
          <w:cantSplit/>
        </w:trPr>
        <w:tc>
          <w:tcPr>
            <w:tcW w:w="2860" w:type="dxa"/>
            <w:tcBorders>
              <w:top w:val="single" w:sz="4" w:space="0" w:color="A6A6A6"/>
              <w:bottom w:val="single" w:sz="4" w:space="0" w:color="A6A6A6"/>
            </w:tcBorders>
            <w:shd w:val="clear" w:color="auto" w:fill="auto"/>
          </w:tcPr>
          <w:p w14:paraId="6D192679" w14:textId="77777777" w:rsidR="004B4E7B" w:rsidRPr="00FA1A54" w:rsidRDefault="004B4E7B" w:rsidP="004B4E7B">
            <w:pPr>
              <w:pStyle w:val="TableText"/>
            </w:pPr>
            <w:r w:rsidRPr="008D7374">
              <w:rPr>
                <w:color w:val="000000"/>
              </w:rPr>
              <w:t>Taranaki Base Hospital</w:t>
            </w:r>
          </w:p>
        </w:tc>
        <w:tc>
          <w:tcPr>
            <w:tcW w:w="2243" w:type="dxa"/>
            <w:tcBorders>
              <w:top w:val="single" w:sz="4" w:space="0" w:color="A6A6A6"/>
              <w:bottom w:val="single" w:sz="4" w:space="0" w:color="A6A6A6"/>
            </w:tcBorders>
            <w:shd w:val="clear" w:color="auto" w:fill="auto"/>
          </w:tcPr>
          <w:p w14:paraId="78E5E42B" w14:textId="76A1ABA0" w:rsidR="004B4E7B" w:rsidRPr="00FA1A54" w:rsidRDefault="004B4E7B" w:rsidP="004B4E7B">
            <w:pPr>
              <w:pStyle w:val="TableText"/>
            </w:pPr>
            <w:r w:rsidRPr="008D7374">
              <w:rPr>
                <w:color w:val="000000"/>
              </w:rPr>
              <w:t>Taranaki</w:t>
            </w:r>
          </w:p>
        </w:tc>
        <w:tc>
          <w:tcPr>
            <w:tcW w:w="2552" w:type="dxa"/>
            <w:tcBorders>
              <w:top w:val="single" w:sz="4" w:space="0" w:color="A6A6A6"/>
              <w:bottom w:val="single" w:sz="4" w:space="0" w:color="A6A6A6"/>
            </w:tcBorders>
            <w:shd w:val="clear" w:color="auto" w:fill="auto"/>
          </w:tcPr>
          <w:p w14:paraId="266F3B56" w14:textId="0A6236CD" w:rsidR="004B4E7B" w:rsidRPr="00FA1A54" w:rsidRDefault="004B4E7B" w:rsidP="004B4E7B">
            <w:pPr>
              <w:pStyle w:val="TableText"/>
            </w:pPr>
            <w:r>
              <w:t>Taranaki DHB</w:t>
            </w:r>
          </w:p>
        </w:tc>
        <w:tc>
          <w:tcPr>
            <w:tcW w:w="1701" w:type="dxa"/>
            <w:tcBorders>
              <w:top w:val="single" w:sz="4" w:space="0" w:color="A6A6A6"/>
              <w:bottom w:val="single" w:sz="4" w:space="0" w:color="A6A6A6"/>
            </w:tcBorders>
            <w:shd w:val="clear" w:color="auto" w:fill="auto"/>
          </w:tcPr>
          <w:p w14:paraId="14441382" w14:textId="77777777" w:rsidR="004B4E7B" w:rsidRPr="00FA1A54" w:rsidRDefault="004B4E7B" w:rsidP="004B4E7B">
            <w:pPr>
              <w:pStyle w:val="TableText"/>
              <w:tabs>
                <w:tab w:val="decimal" w:pos="1164"/>
              </w:tabs>
            </w:pPr>
            <w:r w:rsidRPr="008D7374">
              <w:rPr>
                <w:color w:val="000000"/>
              </w:rPr>
              <w:t>30,066</w:t>
            </w:r>
          </w:p>
        </w:tc>
      </w:tr>
      <w:tr w:rsidR="00A10B1D" w:rsidRPr="00FA1A54" w14:paraId="7A9F33A2" w14:textId="77777777" w:rsidTr="004B4E7B">
        <w:trPr>
          <w:cantSplit/>
        </w:trPr>
        <w:tc>
          <w:tcPr>
            <w:tcW w:w="2860" w:type="dxa"/>
            <w:tcBorders>
              <w:top w:val="single" w:sz="4" w:space="0" w:color="A6A6A6"/>
              <w:bottom w:val="single" w:sz="4" w:space="0" w:color="A6A6A6"/>
            </w:tcBorders>
            <w:shd w:val="clear" w:color="auto" w:fill="auto"/>
          </w:tcPr>
          <w:p w14:paraId="1659FE3A" w14:textId="77777777" w:rsidR="00C058BB" w:rsidRPr="00FA1A54" w:rsidRDefault="00C058BB" w:rsidP="008D7374">
            <w:pPr>
              <w:pStyle w:val="TableText"/>
            </w:pPr>
            <w:r w:rsidRPr="008D7374">
              <w:rPr>
                <w:color w:val="000000"/>
              </w:rPr>
              <w:t>Taumarunui Community Hospital</w:t>
            </w:r>
          </w:p>
        </w:tc>
        <w:tc>
          <w:tcPr>
            <w:tcW w:w="2243" w:type="dxa"/>
            <w:tcBorders>
              <w:top w:val="single" w:sz="4" w:space="0" w:color="A6A6A6"/>
              <w:bottom w:val="single" w:sz="4" w:space="0" w:color="A6A6A6"/>
            </w:tcBorders>
            <w:shd w:val="clear" w:color="auto" w:fill="auto"/>
          </w:tcPr>
          <w:p w14:paraId="157ABD81" w14:textId="77777777" w:rsidR="00C058BB" w:rsidRPr="00FA1A54" w:rsidRDefault="00C058BB" w:rsidP="008D7374">
            <w:pPr>
              <w:pStyle w:val="TableText"/>
            </w:pPr>
            <w:r w:rsidRPr="008D7374">
              <w:rPr>
                <w:color w:val="000000"/>
              </w:rPr>
              <w:t>Waikato</w:t>
            </w:r>
          </w:p>
        </w:tc>
        <w:tc>
          <w:tcPr>
            <w:tcW w:w="2552" w:type="dxa"/>
            <w:tcBorders>
              <w:top w:val="single" w:sz="4" w:space="0" w:color="A6A6A6"/>
              <w:bottom w:val="single" w:sz="4" w:space="0" w:color="A6A6A6"/>
            </w:tcBorders>
            <w:shd w:val="clear" w:color="auto" w:fill="auto"/>
          </w:tcPr>
          <w:p w14:paraId="20C4CDD0" w14:textId="77777777" w:rsidR="00C058BB" w:rsidRPr="00FA1A54" w:rsidRDefault="00C058BB" w:rsidP="008D7374">
            <w:pPr>
              <w:pStyle w:val="TableText"/>
            </w:pPr>
            <w:r w:rsidRPr="008D7374">
              <w:rPr>
                <w:color w:val="000000"/>
              </w:rPr>
              <w:t>Waikato DHB</w:t>
            </w:r>
          </w:p>
        </w:tc>
        <w:tc>
          <w:tcPr>
            <w:tcW w:w="1701" w:type="dxa"/>
            <w:tcBorders>
              <w:top w:val="single" w:sz="4" w:space="0" w:color="A6A6A6"/>
              <w:bottom w:val="single" w:sz="4" w:space="0" w:color="A6A6A6"/>
            </w:tcBorders>
            <w:shd w:val="clear" w:color="auto" w:fill="auto"/>
          </w:tcPr>
          <w:p w14:paraId="39187722" w14:textId="77777777" w:rsidR="00C058BB" w:rsidRPr="00FA1A54" w:rsidRDefault="00C058BB" w:rsidP="008D7374">
            <w:pPr>
              <w:pStyle w:val="TableText"/>
              <w:tabs>
                <w:tab w:val="decimal" w:pos="1164"/>
              </w:tabs>
            </w:pPr>
            <w:r w:rsidRPr="008D7374">
              <w:rPr>
                <w:color w:val="000000"/>
              </w:rPr>
              <w:t>5,709</w:t>
            </w:r>
          </w:p>
        </w:tc>
      </w:tr>
      <w:tr w:rsidR="00A10B1D" w:rsidRPr="00FA1A54" w14:paraId="42914152" w14:textId="77777777" w:rsidTr="004B4E7B">
        <w:trPr>
          <w:cantSplit/>
        </w:trPr>
        <w:tc>
          <w:tcPr>
            <w:tcW w:w="2860" w:type="dxa"/>
            <w:tcBorders>
              <w:top w:val="single" w:sz="4" w:space="0" w:color="A6A6A6"/>
              <w:bottom w:val="single" w:sz="4" w:space="0" w:color="A6A6A6"/>
            </w:tcBorders>
            <w:shd w:val="clear" w:color="auto" w:fill="auto"/>
          </w:tcPr>
          <w:p w14:paraId="488CB75A" w14:textId="77777777" w:rsidR="00C058BB" w:rsidRPr="00FA1A54" w:rsidRDefault="00C058BB" w:rsidP="008D7374">
            <w:pPr>
              <w:pStyle w:val="TableText"/>
            </w:pPr>
            <w:r w:rsidRPr="008D7374">
              <w:rPr>
                <w:color w:val="000000"/>
              </w:rPr>
              <w:t>Taupo Hospital</w:t>
            </w:r>
          </w:p>
        </w:tc>
        <w:tc>
          <w:tcPr>
            <w:tcW w:w="2243" w:type="dxa"/>
            <w:tcBorders>
              <w:top w:val="single" w:sz="4" w:space="0" w:color="A6A6A6"/>
              <w:bottom w:val="single" w:sz="4" w:space="0" w:color="A6A6A6"/>
            </w:tcBorders>
            <w:shd w:val="clear" w:color="auto" w:fill="auto"/>
          </w:tcPr>
          <w:p w14:paraId="5962C7F1" w14:textId="77777777" w:rsidR="00C058BB" w:rsidRPr="00FA1A54" w:rsidRDefault="00C058BB" w:rsidP="008D7374">
            <w:pPr>
              <w:pStyle w:val="TableText"/>
            </w:pPr>
            <w:r w:rsidRPr="008D7374">
              <w:rPr>
                <w:color w:val="000000"/>
              </w:rPr>
              <w:t>Lakes</w:t>
            </w:r>
          </w:p>
        </w:tc>
        <w:tc>
          <w:tcPr>
            <w:tcW w:w="2552" w:type="dxa"/>
            <w:tcBorders>
              <w:top w:val="single" w:sz="4" w:space="0" w:color="A6A6A6"/>
              <w:bottom w:val="single" w:sz="4" w:space="0" w:color="A6A6A6"/>
            </w:tcBorders>
            <w:shd w:val="clear" w:color="auto" w:fill="auto"/>
          </w:tcPr>
          <w:p w14:paraId="3D9D56FF" w14:textId="77777777" w:rsidR="00C058BB" w:rsidRPr="00FA1A54" w:rsidRDefault="00C058BB" w:rsidP="008D7374">
            <w:pPr>
              <w:pStyle w:val="TableText"/>
            </w:pPr>
            <w:r w:rsidRPr="008D7374">
              <w:rPr>
                <w:color w:val="000000"/>
              </w:rPr>
              <w:t>Lakes DHB</w:t>
            </w:r>
          </w:p>
        </w:tc>
        <w:tc>
          <w:tcPr>
            <w:tcW w:w="1701" w:type="dxa"/>
            <w:tcBorders>
              <w:top w:val="single" w:sz="4" w:space="0" w:color="A6A6A6"/>
              <w:bottom w:val="single" w:sz="4" w:space="0" w:color="A6A6A6"/>
            </w:tcBorders>
            <w:shd w:val="clear" w:color="auto" w:fill="auto"/>
          </w:tcPr>
          <w:p w14:paraId="581F446F" w14:textId="77777777" w:rsidR="00C058BB" w:rsidRPr="00FA1A54" w:rsidRDefault="00C058BB" w:rsidP="008D7374">
            <w:pPr>
              <w:pStyle w:val="TableText"/>
              <w:tabs>
                <w:tab w:val="decimal" w:pos="1164"/>
              </w:tabs>
            </w:pPr>
            <w:r w:rsidRPr="008D7374">
              <w:rPr>
                <w:color w:val="000000"/>
              </w:rPr>
              <w:t>11,839</w:t>
            </w:r>
          </w:p>
        </w:tc>
      </w:tr>
      <w:tr w:rsidR="00A10B1D" w:rsidRPr="00FA1A54" w14:paraId="472A3D76" w14:textId="77777777" w:rsidTr="004B4E7B">
        <w:trPr>
          <w:cantSplit/>
        </w:trPr>
        <w:tc>
          <w:tcPr>
            <w:tcW w:w="2860" w:type="dxa"/>
            <w:tcBorders>
              <w:top w:val="single" w:sz="4" w:space="0" w:color="A6A6A6"/>
              <w:bottom w:val="single" w:sz="4" w:space="0" w:color="A6A6A6"/>
            </w:tcBorders>
            <w:shd w:val="clear" w:color="auto" w:fill="auto"/>
          </w:tcPr>
          <w:p w14:paraId="5983CF50" w14:textId="77777777" w:rsidR="00C058BB" w:rsidRPr="00FA1A54" w:rsidRDefault="00C058BB" w:rsidP="008D7374">
            <w:pPr>
              <w:pStyle w:val="TableText"/>
            </w:pPr>
            <w:r w:rsidRPr="008D7374">
              <w:rPr>
                <w:color w:val="000000"/>
              </w:rPr>
              <w:t>Tauranga Hospital</w:t>
            </w:r>
          </w:p>
        </w:tc>
        <w:tc>
          <w:tcPr>
            <w:tcW w:w="2243" w:type="dxa"/>
            <w:tcBorders>
              <w:top w:val="single" w:sz="4" w:space="0" w:color="A6A6A6"/>
              <w:bottom w:val="single" w:sz="4" w:space="0" w:color="A6A6A6"/>
            </w:tcBorders>
            <w:shd w:val="clear" w:color="auto" w:fill="auto"/>
          </w:tcPr>
          <w:p w14:paraId="30B518D0" w14:textId="77777777" w:rsidR="00C058BB" w:rsidRPr="00FA1A54" w:rsidRDefault="00C058BB" w:rsidP="008D7374">
            <w:pPr>
              <w:pStyle w:val="TableText"/>
            </w:pPr>
            <w:r w:rsidRPr="008D7374">
              <w:rPr>
                <w:color w:val="000000"/>
              </w:rPr>
              <w:t>Bay of Plenty</w:t>
            </w:r>
          </w:p>
        </w:tc>
        <w:tc>
          <w:tcPr>
            <w:tcW w:w="2552" w:type="dxa"/>
            <w:tcBorders>
              <w:top w:val="single" w:sz="4" w:space="0" w:color="A6A6A6"/>
              <w:bottom w:val="single" w:sz="4" w:space="0" w:color="A6A6A6"/>
            </w:tcBorders>
            <w:shd w:val="clear" w:color="auto" w:fill="auto"/>
          </w:tcPr>
          <w:p w14:paraId="2E85BADB" w14:textId="77777777" w:rsidR="00C058BB" w:rsidRPr="00FA1A54" w:rsidRDefault="00C058BB" w:rsidP="008D7374">
            <w:pPr>
              <w:pStyle w:val="TableText"/>
            </w:pPr>
            <w:r w:rsidRPr="008D7374">
              <w:rPr>
                <w:color w:val="000000"/>
              </w:rPr>
              <w:t>Bay of Plenty DHB</w:t>
            </w:r>
          </w:p>
        </w:tc>
        <w:tc>
          <w:tcPr>
            <w:tcW w:w="1701" w:type="dxa"/>
            <w:tcBorders>
              <w:top w:val="single" w:sz="4" w:space="0" w:color="A6A6A6"/>
              <w:bottom w:val="single" w:sz="4" w:space="0" w:color="A6A6A6"/>
            </w:tcBorders>
            <w:shd w:val="clear" w:color="auto" w:fill="auto"/>
          </w:tcPr>
          <w:p w14:paraId="5B5E2E7C" w14:textId="77777777" w:rsidR="00C058BB" w:rsidRPr="00FA1A54" w:rsidRDefault="00C058BB" w:rsidP="008D7374">
            <w:pPr>
              <w:pStyle w:val="TableText"/>
              <w:tabs>
                <w:tab w:val="decimal" w:pos="1164"/>
              </w:tabs>
            </w:pPr>
            <w:r w:rsidRPr="008D7374">
              <w:rPr>
                <w:color w:val="000000"/>
              </w:rPr>
              <w:t>44,890</w:t>
            </w:r>
          </w:p>
        </w:tc>
      </w:tr>
      <w:tr w:rsidR="00A10B1D" w:rsidRPr="00FA1A54" w14:paraId="2AC6888C" w14:textId="77777777" w:rsidTr="004B4E7B">
        <w:trPr>
          <w:cantSplit/>
        </w:trPr>
        <w:tc>
          <w:tcPr>
            <w:tcW w:w="2860" w:type="dxa"/>
            <w:tcBorders>
              <w:top w:val="single" w:sz="4" w:space="0" w:color="A6A6A6"/>
              <w:bottom w:val="single" w:sz="4" w:space="0" w:color="A6A6A6"/>
            </w:tcBorders>
            <w:shd w:val="clear" w:color="auto" w:fill="auto"/>
          </w:tcPr>
          <w:p w14:paraId="3A84BFB8" w14:textId="77777777" w:rsidR="00C058BB" w:rsidRPr="00FA1A54" w:rsidRDefault="00C058BB" w:rsidP="008D7374">
            <w:pPr>
              <w:pStyle w:val="TableText"/>
            </w:pPr>
            <w:r w:rsidRPr="008D7374">
              <w:rPr>
                <w:color w:val="000000"/>
              </w:rPr>
              <w:t>Te Kuiti Community Hospital</w:t>
            </w:r>
          </w:p>
        </w:tc>
        <w:tc>
          <w:tcPr>
            <w:tcW w:w="2243" w:type="dxa"/>
            <w:tcBorders>
              <w:top w:val="single" w:sz="4" w:space="0" w:color="A6A6A6"/>
              <w:bottom w:val="single" w:sz="4" w:space="0" w:color="A6A6A6"/>
            </w:tcBorders>
            <w:shd w:val="clear" w:color="auto" w:fill="auto"/>
          </w:tcPr>
          <w:p w14:paraId="11BBC63F" w14:textId="77777777" w:rsidR="00C058BB" w:rsidRPr="00FA1A54" w:rsidRDefault="00C058BB" w:rsidP="008D7374">
            <w:pPr>
              <w:pStyle w:val="TableText"/>
            </w:pPr>
            <w:r w:rsidRPr="008D7374">
              <w:rPr>
                <w:color w:val="000000"/>
              </w:rPr>
              <w:t>Waikato</w:t>
            </w:r>
          </w:p>
        </w:tc>
        <w:tc>
          <w:tcPr>
            <w:tcW w:w="2552" w:type="dxa"/>
            <w:tcBorders>
              <w:top w:val="single" w:sz="4" w:space="0" w:color="A6A6A6"/>
              <w:bottom w:val="single" w:sz="4" w:space="0" w:color="A6A6A6"/>
            </w:tcBorders>
            <w:shd w:val="clear" w:color="auto" w:fill="auto"/>
          </w:tcPr>
          <w:p w14:paraId="6BB10E8A" w14:textId="77777777" w:rsidR="00C058BB" w:rsidRPr="00FA1A54" w:rsidRDefault="00C058BB" w:rsidP="008D7374">
            <w:pPr>
              <w:pStyle w:val="TableText"/>
            </w:pPr>
            <w:r w:rsidRPr="008D7374">
              <w:rPr>
                <w:color w:val="000000"/>
              </w:rPr>
              <w:t>Waikato DHB</w:t>
            </w:r>
          </w:p>
        </w:tc>
        <w:tc>
          <w:tcPr>
            <w:tcW w:w="1701" w:type="dxa"/>
            <w:tcBorders>
              <w:top w:val="single" w:sz="4" w:space="0" w:color="A6A6A6"/>
              <w:bottom w:val="single" w:sz="4" w:space="0" w:color="A6A6A6"/>
            </w:tcBorders>
            <w:shd w:val="clear" w:color="auto" w:fill="auto"/>
          </w:tcPr>
          <w:p w14:paraId="0287B20F" w14:textId="77777777" w:rsidR="00C058BB" w:rsidRPr="00FA1A54" w:rsidRDefault="00C058BB" w:rsidP="008D7374">
            <w:pPr>
              <w:pStyle w:val="TableText"/>
              <w:tabs>
                <w:tab w:val="decimal" w:pos="1164"/>
              </w:tabs>
            </w:pPr>
            <w:r w:rsidRPr="008D7374">
              <w:rPr>
                <w:color w:val="000000"/>
              </w:rPr>
              <w:t>2,463</w:t>
            </w:r>
          </w:p>
        </w:tc>
      </w:tr>
      <w:tr w:rsidR="00A10B1D" w:rsidRPr="00FA1A54" w14:paraId="306C601D" w14:textId="77777777" w:rsidTr="004B4E7B">
        <w:trPr>
          <w:cantSplit/>
        </w:trPr>
        <w:tc>
          <w:tcPr>
            <w:tcW w:w="2860" w:type="dxa"/>
            <w:tcBorders>
              <w:top w:val="single" w:sz="4" w:space="0" w:color="A6A6A6"/>
              <w:bottom w:val="single" w:sz="4" w:space="0" w:color="A6A6A6"/>
            </w:tcBorders>
            <w:shd w:val="clear" w:color="auto" w:fill="auto"/>
          </w:tcPr>
          <w:p w14:paraId="1D7124F3" w14:textId="77777777" w:rsidR="00C058BB" w:rsidRPr="00FA1A54" w:rsidRDefault="00C058BB" w:rsidP="008D7374">
            <w:pPr>
              <w:pStyle w:val="TableText"/>
            </w:pPr>
            <w:r w:rsidRPr="008D7374">
              <w:rPr>
                <w:color w:val="000000"/>
              </w:rPr>
              <w:t>Thames Hospital</w:t>
            </w:r>
          </w:p>
        </w:tc>
        <w:tc>
          <w:tcPr>
            <w:tcW w:w="2243" w:type="dxa"/>
            <w:tcBorders>
              <w:top w:val="single" w:sz="4" w:space="0" w:color="A6A6A6"/>
              <w:bottom w:val="single" w:sz="4" w:space="0" w:color="A6A6A6"/>
            </w:tcBorders>
            <w:shd w:val="clear" w:color="auto" w:fill="auto"/>
          </w:tcPr>
          <w:p w14:paraId="18A350B4" w14:textId="77777777" w:rsidR="00C058BB" w:rsidRPr="00FA1A54" w:rsidRDefault="00C058BB" w:rsidP="008D7374">
            <w:pPr>
              <w:pStyle w:val="TableText"/>
            </w:pPr>
            <w:r w:rsidRPr="008D7374">
              <w:rPr>
                <w:color w:val="000000"/>
              </w:rPr>
              <w:t>Waikato</w:t>
            </w:r>
          </w:p>
        </w:tc>
        <w:tc>
          <w:tcPr>
            <w:tcW w:w="2552" w:type="dxa"/>
            <w:tcBorders>
              <w:top w:val="single" w:sz="4" w:space="0" w:color="A6A6A6"/>
              <w:bottom w:val="single" w:sz="4" w:space="0" w:color="A6A6A6"/>
            </w:tcBorders>
            <w:shd w:val="clear" w:color="auto" w:fill="auto"/>
          </w:tcPr>
          <w:p w14:paraId="4C5BB560" w14:textId="77777777" w:rsidR="00C058BB" w:rsidRPr="00FA1A54" w:rsidRDefault="00C058BB" w:rsidP="008D7374">
            <w:pPr>
              <w:pStyle w:val="TableText"/>
            </w:pPr>
            <w:r w:rsidRPr="008D7374">
              <w:rPr>
                <w:color w:val="000000"/>
              </w:rPr>
              <w:t>Waikato DHB</w:t>
            </w:r>
          </w:p>
        </w:tc>
        <w:tc>
          <w:tcPr>
            <w:tcW w:w="1701" w:type="dxa"/>
            <w:tcBorders>
              <w:top w:val="single" w:sz="4" w:space="0" w:color="A6A6A6"/>
              <w:bottom w:val="single" w:sz="4" w:space="0" w:color="A6A6A6"/>
            </w:tcBorders>
            <w:shd w:val="clear" w:color="auto" w:fill="auto"/>
          </w:tcPr>
          <w:p w14:paraId="7549EF40" w14:textId="77777777" w:rsidR="00C058BB" w:rsidRPr="00FA1A54" w:rsidRDefault="00C058BB" w:rsidP="008D7374">
            <w:pPr>
              <w:pStyle w:val="TableText"/>
              <w:tabs>
                <w:tab w:val="decimal" w:pos="1164"/>
              </w:tabs>
            </w:pPr>
            <w:r w:rsidRPr="008D7374">
              <w:rPr>
                <w:color w:val="000000"/>
              </w:rPr>
              <w:t>15,103</w:t>
            </w:r>
          </w:p>
        </w:tc>
      </w:tr>
      <w:tr w:rsidR="00A10B1D" w:rsidRPr="00FA1A54" w14:paraId="1E4078AE" w14:textId="77777777" w:rsidTr="004B4E7B">
        <w:trPr>
          <w:cantSplit/>
        </w:trPr>
        <w:tc>
          <w:tcPr>
            <w:tcW w:w="2860" w:type="dxa"/>
            <w:tcBorders>
              <w:top w:val="single" w:sz="4" w:space="0" w:color="A6A6A6"/>
              <w:bottom w:val="single" w:sz="4" w:space="0" w:color="A6A6A6"/>
            </w:tcBorders>
            <w:shd w:val="clear" w:color="auto" w:fill="auto"/>
          </w:tcPr>
          <w:p w14:paraId="48B007BC" w14:textId="77777777" w:rsidR="00C058BB" w:rsidRPr="00FA1A54" w:rsidRDefault="00C058BB" w:rsidP="008D7374">
            <w:pPr>
              <w:pStyle w:val="TableText"/>
            </w:pPr>
            <w:r w:rsidRPr="008D7374">
              <w:rPr>
                <w:color w:val="000000"/>
              </w:rPr>
              <w:t>Timaru Hospital</w:t>
            </w:r>
          </w:p>
        </w:tc>
        <w:tc>
          <w:tcPr>
            <w:tcW w:w="2243" w:type="dxa"/>
            <w:tcBorders>
              <w:top w:val="single" w:sz="4" w:space="0" w:color="A6A6A6"/>
              <w:bottom w:val="single" w:sz="4" w:space="0" w:color="A6A6A6"/>
            </w:tcBorders>
            <w:shd w:val="clear" w:color="auto" w:fill="auto"/>
          </w:tcPr>
          <w:p w14:paraId="242590EA" w14:textId="77777777" w:rsidR="00C058BB" w:rsidRPr="00FA1A54" w:rsidRDefault="00C058BB" w:rsidP="008D7374">
            <w:pPr>
              <w:pStyle w:val="TableText"/>
            </w:pPr>
            <w:r w:rsidRPr="008D7374">
              <w:rPr>
                <w:color w:val="000000"/>
              </w:rPr>
              <w:t>South Canterbury</w:t>
            </w:r>
          </w:p>
        </w:tc>
        <w:tc>
          <w:tcPr>
            <w:tcW w:w="2552" w:type="dxa"/>
            <w:tcBorders>
              <w:top w:val="single" w:sz="4" w:space="0" w:color="A6A6A6"/>
              <w:bottom w:val="single" w:sz="4" w:space="0" w:color="A6A6A6"/>
            </w:tcBorders>
            <w:shd w:val="clear" w:color="auto" w:fill="auto"/>
          </w:tcPr>
          <w:p w14:paraId="50351DC6" w14:textId="77777777" w:rsidR="00C058BB" w:rsidRPr="00FA1A54" w:rsidRDefault="00C058BB" w:rsidP="008D7374">
            <w:pPr>
              <w:pStyle w:val="TableText"/>
            </w:pPr>
            <w:r w:rsidRPr="008D7374">
              <w:rPr>
                <w:color w:val="000000"/>
              </w:rPr>
              <w:t>South Canterbury DHB</w:t>
            </w:r>
          </w:p>
        </w:tc>
        <w:tc>
          <w:tcPr>
            <w:tcW w:w="1701" w:type="dxa"/>
            <w:tcBorders>
              <w:top w:val="single" w:sz="4" w:space="0" w:color="A6A6A6"/>
              <w:bottom w:val="single" w:sz="4" w:space="0" w:color="A6A6A6"/>
            </w:tcBorders>
            <w:shd w:val="clear" w:color="auto" w:fill="auto"/>
          </w:tcPr>
          <w:p w14:paraId="20C41AAF" w14:textId="77777777" w:rsidR="00C058BB" w:rsidRPr="00FA1A54" w:rsidRDefault="00C058BB" w:rsidP="008D7374">
            <w:pPr>
              <w:pStyle w:val="TableText"/>
              <w:tabs>
                <w:tab w:val="decimal" w:pos="1164"/>
              </w:tabs>
            </w:pPr>
            <w:r w:rsidRPr="008D7374">
              <w:rPr>
                <w:color w:val="000000"/>
              </w:rPr>
              <w:t>17,488</w:t>
            </w:r>
          </w:p>
        </w:tc>
      </w:tr>
      <w:tr w:rsidR="00A10B1D" w:rsidRPr="00FA1A54" w14:paraId="4534E20B" w14:textId="77777777" w:rsidTr="004B4E7B">
        <w:trPr>
          <w:cantSplit/>
        </w:trPr>
        <w:tc>
          <w:tcPr>
            <w:tcW w:w="2860" w:type="dxa"/>
            <w:tcBorders>
              <w:top w:val="single" w:sz="4" w:space="0" w:color="A6A6A6"/>
              <w:bottom w:val="single" w:sz="4" w:space="0" w:color="A6A6A6"/>
            </w:tcBorders>
            <w:shd w:val="clear" w:color="auto" w:fill="auto"/>
          </w:tcPr>
          <w:p w14:paraId="2A625B2B" w14:textId="77777777" w:rsidR="00C058BB" w:rsidRPr="00FA1A54" w:rsidRDefault="00C058BB" w:rsidP="008D7374">
            <w:pPr>
              <w:pStyle w:val="TableText"/>
            </w:pPr>
            <w:r w:rsidRPr="008D7374">
              <w:rPr>
                <w:color w:val="000000"/>
              </w:rPr>
              <w:t>Tokoroa Hospital</w:t>
            </w:r>
          </w:p>
        </w:tc>
        <w:tc>
          <w:tcPr>
            <w:tcW w:w="2243" w:type="dxa"/>
            <w:tcBorders>
              <w:top w:val="single" w:sz="4" w:space="0" w:color="A6A6A6"/>
              <w:bottom w:val="single" w:sz="4" w:space="0" w:color="A6A6A6"/>
            </w:tcBorders>
            <w:shd w:val="clear" w:color="auto" w:fill="auto"/>
          </w:tcPr>
          <w:p w14:paraId="1A503DB1" w14:textId="77777777" w:rsidR="00C058BB" w:rsidRPr="00FA1A54" w:rsidRDefault="00C058BB" w:rsidP="008D7374">
            <w:pPr>
              <w:pStyle w:val="TableText"/>
            </w:pPr>
            <w:r w:rsidRPr="008D7374">
              <w:rPr>
                <w:color w:val="000000"/>
              </w:rPr>
              <w:t>Waikato</w:t>
            </w:r>
          </w:p>
        </w:tc>
        <w:tc>
          <w:tcPr>
            <w:tcW w:w="2552" w:type="dxa"/>
            <w:tcBorders>
              <w:top w:val="single" w:sz="4" w:space="0" w:color="A6A6A6"/>
              <w:bottom w:val="single" w:sz="4" w:space="0" w:color="A6A6A6"/>
            </w:tcBorders>
            <w:shd w:val="clear" w:color="auto" w:fill="auto"/>
          </w:tcPr>
          <w:p w14:paraId="135B6434" w14:textId="77777777" w:rsidR="00C058BB" w:rsidRPr="00FA1A54" w:rsidRDefault="00C058BB" w:rsidP="008D7374">
            <w:pPr>
              <w:pStyle w:val="TableText"/>
            </w:pPr>
            <w:r w:rsidRPr="008D7374">
              <w:rPr>
                <w:color w:val="000000"/>
              </w:rPr>
              <w:t>Waikato DHB</w:t>
            </w:r>
          </w:p>
        </w:tc>
        <w:tc>
          <w:tcPr>
            <w:tcW w:w="1701" w:type="dxa"/>
            <w:tcBorders>
              <w:top w:val="single" w:sz="4" w:space="0" w:color="A6A6A6"/>
              <w:bottom w:val="single" w:sz="4" w:space="0" w:color="A6A6A6"/>
            </w:tcBorders>
            <w:shd w:val="clear" w:color="auto" w:fill="auto"/>
          </w:tcPr>
          <w:p w14:paraId="341FDB82" w14:textId="77777777" w:rsidR="00C058BB" w:rsidRPr="00FA1A54" w:rsidRDefault="00C058BB" w:rsidP="008D7374">
            <w:pPr>
              <w:pStyle w:val="TableText"/>
              <w:tabs>
                <w:tab w:val="decimal" w:pos="1164"/>
              </w:tabs>
            </w:pPr>
            <w:r w:rsidRPr="008D7374">
              <w:rPr>
                <w:color w:val="000000"/>
              </w:rPr>
              <w:t>10,002</w:t>
            </w:r>
          </w:p>
        </w:tc>
      </w:tr>
      <w:tr w:rsidR="00A10B1D" w:rsidRPr="00FA1A54" w14:paraId="78948644" w14:textId="77777777" w:rsidTr="004B4E7B">
        <w:trPr>
          <w:cantSplit/>
        </w:trPr>
        <w:tc>
          <w:tcPr>
            <w:tcW w:w="2860" w:type="dxa"/>
            <w:tcBorders>
              <w:top w:val="single" w:sz="4" w:space="0" w:color="A6A6A6"/>
              <w:bottom w:val="single" w:sz="4" w:space="0" w:color="A6A6A6"/>
            </w:tcBorders>
            <w:shd w:val="clear" w:color="auto" w:fill="auto"/>
          </w:tcPr>
          <w:p w14:paraId="18D09558" w14:textId="77777777" w:rsidR="00C058BB" w:rsidRPr="00FA1A54" w:rsidRDefault="00C058BB" w:rsidP="008D7374">
            <w:pPr>
              <w:pStyle w:val="TableText"/>
            </w:pPr>
            <w:r w:rsidRPr="008D7374">
              <w:rPr>
                <w:color w:val="000000"/>
              </w:rPr>
              <w:t>Waikato Hospital</w:t>
            </w:r>
          </w:p>
        </w:tc>
        <w:tc>
          <w:tcPr>
            <w:tcW w:w="2243" w:type="dxa"/>
            <w:tcBorders>
              <w:top w:val="single" w:sz="4" w:space="0" w:color="A6A6A6"/>
              <w:bottom w:val="single" w:sz="4" w:space="0" w:color="A6A6A6"/>
            </w:tcBorders>
            <w:shd w:val="clear" w:color="auto" w:fill="auto"/>
          </w:tcPr>
          <w:p w14:paraId="14FE002D" w14:textId="77777777" w:rsidR="00C058BB" w:rsidRPr="00FA1A54" w:rsidRDefault="00C058BB" w:rsidP="008D7374">
            <w:pPr>
              <w:pStyle w:val="TableText"/>
            </w:pPr>
            <w:r w:rsidRPr="008D7374">
              <w:rPr>
                <w:color w:val="000000"/>
              </w:rPr>
              <w:t>Waikato</w:t>
            </w:r>
          </w:p>
        </w:tc>
        <w:tc>
          <w:tcPr>
            <w:tcW w:w="2552" w:type="dxa"/>
            <w:tcBorders>
              <w:top w:val="single" w:sz="4" w:space="0" w:color="A6A6A6"/>
              <w:bottom w:val="single" w:sz="4" w:space="0" w:color="A6A6A6"/>
            </w:tcBorders>
            <w:shd w:val="clear" w:color="auto" w:fill="auto"/>
          </w:tcPr>
          <w:p w14:paraId="6F598274" w14:textId="77777777" w:rsidR="00C058BB" w:rsidRPr="00FA1A54" w:rsidRDefault="00C058BB" w:rsidP="008D7374">
            <w:pPr>
              <w:pStyle w:val="TableText"/>
            </w:pPr>
            <w:r w:rsidRPr="008D7374">
              <w:rPr>
                <w:color w:val="000000"/>
              </w:rPr>
              <w:t>Waikato DHB</w:t>
            </w:r>
          </w:p>
        </w:tc>
        <w:tc>
          <w:tcPr>
            <w:tcW w:w="1701" w:type="dxa"/>
            <w:tcBorders>
              <w:top w:val="single" w:sz="4" w:space="0" w:color="A6A6A6"/>
              <w:bottom w:val="single" w:sz="4" w:space="0" w:color="A6A6A6"/>
            </w:tcBorders>
            <w:shd w:val="clear" w:color="auto" w:fill="auto"/>
          </w:tcPr>
          <w:p w14:paraId="57EEA09D" w14:textId="77777777" w:rsidR="00C058BB" w:rsidRPr="00FA1A54" w:rsidRDefault="00C058BB" w:rsidP="008D7374">
            <w:pPr>
              <w:pStyle w:val="TableText"/>
              <w:tabs>
                <w:tab w:val="decimal" w:pos="1164"/>
              </w:tabs>
            </w:pPr>
            <w:r w:rsidRPr="008D7374">
              <w:rPr>
                <w:color w:val="000000"/>
              </w:rPr>
              <w:t>72,070</w:t>
            </w:r>
          </w:p>
        </w:tc>
      </w:tr>
      <w:tr w:rsidR="00A10B1D" w:rsidRPr="00FA1A54" w14:paraId="575D9FF0" w14:textId="77777777" w:rsidTr="004B4E7B">
        <w:trPr>
          <w:cantSplit/>
        </w:trPr>
        <w:tc>
          <w:tcPr>
            <w:tcW w:w="2860" w:type="dxa"/>
            <w:tcBorders>
              <w:top w:val="single" w:sz="4" w:space="0" w:color="A6A6A6"/>
              <w:bottom w:val="single" w:sz="4" w:space="0" w:color="A6A6A6"/>
            </w:tcBorders>
            <w:shd w:val="clear" w:color="auto" w:fill="auto"/>
          </w:tcPr>
          <w:p w14:paraId="74EFD9BC" w14:textId="77777777" w:rsidR="00C058BB" w:rsidRPr="00FA1A54" w:rsidRDefault="00C058BB" w:rsidP="008D7374">
            <w:pPr>
              <w:pStyle w:val="TableText"/>
            </w:pPr>
            <w:r w:rsidRPr="008D7374">
              <w:rPr>
                <w:color w:val="000000"/>
              </w:rPr>
              <w:t>Wairarapa Hospital</w:t>
            </w:r>
          </w:p>
        </w:tc>
        <w:tc>
          <w:tcPr>
            <w:tcW w:w="2243" w:type="dxa"/>
            <w:tcBorders>
              <w:top w:val="single" w:sz="4" w:space="0" w:color="A6A6A6"/>
              <w:bottom w:val="single" w:sz="4" w:space="0" w:color="A6A6A6"/>
            </w:tcBorders>
            <w:shd w:val="clear" w:color="auto" w:fill="auto"/>
          </w:tcPr>
          <w:p w14:paraId="3080E507" w14:textId="77777777" w:rsidR="00C058BB" w:rsidRPr="00FA1A54" w:rsidRDefault="00C058BB" w:rsidP="008D7374">
            <w:pPr>
              <w:pStyle w:val="TableText"/>
            </w:pPr>
            <w:r w:rsidRPr="008D7374">
              <w:rPr>
                <w:color w:val="000000"/>
              </w:rPr>
              <w:t>Wairarapa</w:t>
            </w:r>
          </w:p>
        </w:tc>
        <w:tc>
          <w:tcPr>
            <w:tcW w:w="2552" w:type="dxa"/>
            <w:tcBorders>
              <w:top w:val="single" w:sz="4" w:space="0" w:color="A6A6A6"/>
              <w:bottom w:val="single" w:sz="4" w:space="0" w:color="A6A6A6"/>
            </w:tcBorders>
            <w:shd w:val="clear" w:color="auto" w:fill="auto"/>
          </w:tcPr>
          <w:p w14:paraId="5BDF0E64" w14:textId="77777777" w:rsidR="00C058BB" w:rsidRPr="00FA1A54" w:rsidRDefault="00C058BB" w:rsidP="008D7374">
            <w:pPr>
              <w:pStyle w:val="TableText"/>
            </w:pPr>
            <w:r w:rsidRPr="008D7374">
              <w:rPr>
                <w:color w:val="000000"/>
              </w:rPr>
              <w:t>Wairarapa DHB</w:t>
            </w:r>
          </w:p>
        </w:tc>
        <w:tc>
          <w:tcPr>
            <w:tcW w:w="1701" w:type="dxa"/>
            <w:tcBorders>
              <w:top w:val="single" w:sz="4" w:space="0" w:color="A6A6A6"/>
              <w:bottom w:val="single" w:sz="4" w:space="0" w:color="A6A6A6"/>
            </w:tcBorders>
            <w:shd w:val="clear" w:color="auto" w:fill="auto"/>
          </w:tcPr>
          <w:p w14:paraId="1737EBCC" w14:textId="77777777" w:rsidR="00C058BB" w:rsidRPr="00FA1A54" w:rsidRDefault="00C058BB" w:rsidP="008D7374">
            <w:pPr>
              <w:pStyle w:val="TableText"/>
              <w:tabs>
                <w:tab w:val="decimal" w:pos="1164"/>
              </w:tabs>
            </w:pPr>
            <w:r w:rsidRPr="008D7374">
              <w:rPr>
                <w:color w:val="000000"/>
              </w:rPr>
              <w:t>15,613</w:t>
            </w:r>
          </w:p>
        </w:tc>
      </w:tr>
      <w:tr w:rsidR="00A10B1D" w:rsidRPr="00FA1A54" w14:paraId="6F1B47AC" w14:textId="77777777" w:rsidTr="004B4E7B">
        <w:trPr>
          <w:cantSplit/>
        </w:trPr>
        <w:tc>
          <w:tcPr>
            <w:tcW w:w="2860" w:type="dxa"/>
            <w:tcBorders>
              <w:top w:val="single" w:sz="4" w:space="0" w:color="A6A6A6"/>
              <w:bottom w:val="single" w:sz="4" w:space="0" w:color="A6A6A6"/>
            </w:tcBorders>
            <w:shd w:val="clear" w:color="auto" w:fill="auto"/>
          </w:tcPr>
          <w:p w14:paraId="3DCDA82F" w14:textId="77777777" w:rsidR="00C058BB" w:rsidRPr="00FA1A54" w:rsidRDefault="00C058BB" w:rsidP="008D7374">
            <w:pPr>
              <w:pStyle w:val="TableText"/>
            </w:pPr>
            <w:r w:rsidRPr="008D7374">
              <w:rPr>
                <w:color w:val="000000"/>
              </w:rPr>
              <w:t>Wairau Hospital</w:t>
            </w:r>
          </w:p>
        </w:tc>
        <w:tc>
          <w:tcPr>
            <w:tcW w:w="2243" w:type="dxa"/>
            <w:tcBorders>
              <w:top w:val="single" w:sz="4" w:space="0" w:color="A6A6A6"/>
              <w:bottom w:val="single" w:sz="4" w:space="0" w:color="A6A6A6"/>
            </w:tcBorders>
            <w:shd w:val="clear" w:color="auto" w:fill="auto"/>
          </w:tcPr>
          <w:p w14:paraId="15B9DF6E" w14:textId="77777777" w:rsidR="00C058BB" w:rsidRPr="00FA1A54" w:rsidRDefault="00C058BB" w:rsidP="008D7374">
            <w:pPr>
              <w:pStyle w:val="TableText"/>
            </w:pPr>
            <w:r w:rsidRPr="008D7374">
              <w:rPr>
                <w:color w:val="000000"/>
              </w:rPr>
              <w:t>Nelson Marlborough</w:t>
            </w:r>
          </w:p>
        </w:tc>
        <w:tc>
          <w:tcPr>
            <w:tcW w:w="2552" w:type="dxa"/>
            <w:tcBorders>
              <w:top w:val="single" w:sz="4" w:space="0" w:color="A6A6A6"/>
              <w:bottom w:val="single" w:sz="4" w:space="0" w:color="A6A6A6"/>
            </w:tcBorders>
            <w:shd w:val="clear" w:color="auto" w:fill="auto"/>
          </w:tcPr>
          <w:p w14:paraId="16BD35F6" w14:textId="77777777" w:rsidR="00C058BB" w:rsidRPr="00FA1A54" w:rsidRDefault="00C058BB" w:rsidP="008D7374">
            <w:pPr>
              <w:pStyle w:val="TableText"/>
            </w:pPr>
            <w:r w:rsidRPr="008D7374">
              <w:rPr>
                <w:color w:val="000000"/>
              </w:rPr>
              <w:t>Nelson Marlborough DHB</w:t>
            </w:r>
          </w:p>
        </w:tc>
        <w:tc>
          <w:tcPr>
            <w:tcW w:w="1701" w:type="dxa"/>
            <w:tcBorders>
              <w:top w:val="single" w:sz="4" w:space="0" w:color="A6A6A6"/>
              <w:bottom w:val="single" w:sz="4" w:space="0" w:color="A6A6A6"/>
            </w:tcBorders>
            <w:shd w:val="clear" w:color="auto" w:fill="auto"/>
          </w:tcPr>
          <w:p w14:paraId="73CBDE47" w14:textId="77777777" w:rsidR="00C058BB" w:rsidRPr="00FA1A54" w:rsidRDefault="00C058BB" w:rsidP="008D7374">
            <w:pPr>
              <w:pStyle w:val="TableText"/>
              <w:tabs>
                <w:tab w:val="decimal" w:pos="1164"/>
              </w:tabs>
            </w:pPr>
            <w:r w:rsidRPr="008D7374">
              <w:rPr>
                <w:color w:val="000000"/>
              </w:rPr>
              <w:t>19,961</w:t>
            </w:r>
          </w:p>
        </w:tc>
      </w:tr>
      <w:tr w:rsidR="004B4E7B" w:rsidRPr="00FA1A54" w14:paraId="0D32F02F" w14:textId="77777777" w:rsidTr="004B4E7B">
        <w:trPr>
          <w:cantSplit/>
        </w:trPr>
        <w:tc>
          <w:tcPr>
            <w:tcW w:w="2860" w:type="dxa"/>
            <w:tcBorders>
              <w:top w:val="single" w:sz="4" w:space="0" w:color="A6A6A6"/>
              <w:bottom w:val="single" w:sz="4" w:space="0" w:color="A6A6A6"/>
            </w:tcBorders>
            <w:shd w:val="clear" w:color="auto" w:fill="auto"/>
          </w:tcPr>
          <w:p w14:paraId="04997152" w14:textId="77777777" w:rsidR="004B4E7B" w:rsidRPr="00FA1A54" w:rsidRDefault="004B4E7B" w:rsidP="004B4E7B">
            <w:pPr>
              <w:pStyle w:val="TableText"/>
            </w:pPr>
            <w:r w:rsidRPr="008D7374">
              <w:rPr>
                <w:color w:val="000000"/>
              </w:rPr>
              <w:lastRenderedPageBreak/>
              <w:t>Wairoa Hospital &amp; Health Centre</w:t>
            </w:r>
          </w:p>
        </w:tc>
        <w:tc>
          <w:tcPr>
            <w:tcW w:w="2243" w:type="dxa"/>
            <w:tcBorders>
              <w:top w:val="single" w:sz="4" w:space="0" w:color="A6A6A6"/>
              <w:bottom w:val="single" w:sz="4" w:space="0" w:color="A6A6A6"/>
            </w:tcBorders>
            <w:shd w:val="clear" w:color="auto" w:fill="auto"/>
          </w:tcPr>
          <w:p w14:paraId="0D9D168E" w14:textId="584BA006" w:rsidR="004B4E7B" w:rsidRPr="00FA1A54" w:rsidRDefault="004B4E7B" w:rsidP="004B4E7B">
            <w:pPr>
              <w:pStyle w:val="TableText"/>
            </w:pPr>
            <w:r>
              <w:t>Hawke’s Bay</w:t>
            </w:r>
          </w:p>
        </w:tc>
        <w:tc>
          <w:tcPr>
            <w:tcW w:w="2552" w:type="dxa"/>
            <w:tcBorders>
              <w:top w:val="single" w:sz="4" w:space="0" w:color="A6A6A6"/>
              <w:bottom w:val="single" w:sz="4" w:space="0" w:color="A6A6A6"/>
            </w:tcBorders>
            <w:shd w:val="clear" w:color="auto" w:fill="auto"/>
          </w:tcPr>
          <w:p w14:paraId="5E770F2A" w14:textId="04D5D16B" w:rsidR="004B4E7B" w:rsidRPr="00FA1A54" w:rsidRDefault="004B4E7B" w:rsidP="004B4E7B">
            <w:pPr>
              <w:pStyle w:val="TableText"/>
            </w:pPr>
            <w:r w:rsidRPr="008D7374">
              <w:rPr>
                <w:color w:val="000000"/>
              </w:rPr>
              <w:t>Hawke’s Bay DHB</w:t>
            </w:r>
          </w:p>
        </w:tc>
        <w:tc>
          <w:tcPr>
            <w:tcW w:w="1701" w:type="dxa"/>
            <w:tcBorders>
              <w:top w:val="single" w:sz="4" w:space="0" w:color="A6A6A6"/>
              <w:bottom w:val="single" w:sz="4" w:space="0" w:color="A6A6A6"/>
            </w:tcBorders>
            <w:shd w:val="clear" w:color="auto" w:fill="auto"/>
          </w:tcPr>
          <w:p w14:paraId="188DA656" w14:textId="77777777" w:rsidR="004B4E7B" w:rsidRPr="00FA1A54" w:rsidRDefault="004B4E7B" w:rsidP="004B4E7B">
            <w:pPr>
              <w:pStyle w:val="TableText"/>
              <w:tabs>
                <w:tab w:val="decimal" w:pos="1164"/>
              </w:tabs>
            </w:pPr>
            <w:r w:rsidRPr="008D7374">
              <w:rPr>
                <w:color w:val="000000"/>
              </w:rPr>
              <w:t>3,313</w:t>
            </w:r>
          </w:p>
        </w:tc>
      </w:tr>
      <w:tr w:rsidR="00A10B1D" w:rsidRPr="00FA1A54" w14:paraId="442E83C3" w14:textId="77777777" w:rsidTr="004B4E7B">
        <w:trPr>
          <w:cantSplit/>
        </w:trPr>
        <w:tc>
          <w:tcPr>
            <w:tcW w:w="2860" w:type="dxa"/>
            <w:tcBorders>
              <w:top w:val="single" w:sz="4" w:space="0" w:color="A6A6A6"/>
              <w:bottom w:val="single" w:sz="4" w:space="0" w:color="A6A6A6"/>
            </w:tcBorders>
            <w:shd w:val="clear" w:color="auto" w:fill="auto"/>
          </w:tcPr>
          <w:p w14:paraId="763504BA" w14:textId="77777777" w:rsidR="00C058BB" w:rsidRPr="00FA1A54" w:rsidRDefault="00C058BB" w:rsidP="008D7374">
            <w:pPr>
              <w:pStyle w:val="TableText"/>
            </w:pPr>
            <w:r w:rsidRPr="008D7374">
              <w:rPr>
                <w:color w:val="000000"/>
              </w:rPr>
              <w:t>Waitakere Hospital</w:t>
            </w:r>
          </w:p>
        </w:tc>
        <w:tc>
          <w:tcPr>
            <w:tcW w:w="2243" w:type="dxa"/>
            <w:tcBorders>
              <w:top w:val="single" w:sz="4" w:space="0" w:color="A6A6A6"/>
              <w:bottom w:val="single" w:sz="4" w:space="0" w:color="A6A6A6"/>
            </w:tcBorders>
            <w:shd w:val="clear" w:color="auto" w:fill="auto"/>
          </w:tcPr>
          <w:p w14:paraId="6B03429D" w14:textId="77777777" w:rsidR="00C058BB" w:rsidRPr="00FA1A54" w:rsidRDefault="00C058BB" w:rsidP="008D7374">
            <w:pPr>
              <w:pStyle w:val="TableText"/>
            </w:pPr>
            <w:r w:rsidRPr="008D7374">
              <w:rPr>
                <w:color w:val="000000"/>
              </w:rPr>
              <w:t>Waitemata</w:t>
            </w:r>
          </w:p>
        </w:tc>
        <w:tc>
          <w:tcPr>
            <w:tcW w:w="2552" w:type="dxa"/>
            <w:tcBorders>
              <w:top w:val="single" w:sz="4" w:space="0" w:color="A6A6A6"/>
              <w:bottom w:val="single" w:sz="4" w:space="0" w:color="A6A6A6"/>
            </w:tcBorders>
            <w:shd w:val="clear" w:color="auto" w:fill="auto"/>
          </w:tcPr>
          <w:p w14:paraId="771F625D" w14:textId="77777777" w:rsidR="00C058BB" w:rsidRPr="00FA1A54" w:rsidRDefault="00C058BB" w:rsidP="008D7374">
            <w:pPr>
              <w:pStyle w:val="TableText"/>
            </w:pPr>
            <w:r w:rsidRPr="008D7374">
              <w:rPr>
                <w:color w:val="000000"/>
              </w:rPr>
              <w:t>Waitemata DHB</w:t>
            </w:r>
          </w:p>
        </w:tc>
        <w:tc>
          <w:tcPr>
            <w:tcW w:w="1701" w:type="dxa"/>
            <w:tcBorders>
              <w:top w:val="single" w:sz="4" w:space="0" w:color="A6A6A6"/>
              <w:bottom w:val="single" w:sz="4" w:space="0" w:color="A6A6A6"/>
            </w:tcBorders>
            <w:shd w:val="clear" w:color="auto" w:fill="auto"/>
          </w:tcPr>
          <w:p w14:paraId="0A0D8831" w14:textId="77777777" w:rsidR="00C058BB" w:rsidRPr="00FA1A54" w:rsidRDefault="00C058BB" w:rsidP="008D7374">
            <w:pPr>
              <w:pStyle w:val="TableText"/>
              <w:tabs>
                <w:tab w:val="decimal" w:pos="1164"/>
              </w:tabs>
            </w:pPr>
            <w:r w:rsidRPr="008D7374">
              <w:rPr>
                <w:color w:val="000000"/>
              </w:rPr>
              <w:t>43,775</w:t>
            </w:r>
          </w:p>
        </w:tc>
      </w:tr>
      <w:tr w:rsidR="00A10B1D" w:rsidRPr="00FA1A54" w14:paraId="32285127" w14:textId="77777777" w:rsidTr="004B4E7B">
        <w:trPr>
          <w:cantSplit/>
        </w:trPr>
        <w:tc>
          <w:tcPr>
            <w:tcW w:w="2860" w:type="dxa"/>
            <w:tcBorders>
              <w:top w:val="single" w:sz="4" w:space="0" w:color="A6A6A6"/>
              <w:bottom w:val="single" w:sz="4" w:space="0" w:color="A6A6A6"/>
            </w:tcBorders>
            <w:shd w:val="clear" w:color="auto" w:fill="auto"/>
          </w:tcPr>
          <w:p w14:paraId="4781A003" w14:textId="77777777" w:rsidR="00C058BB" w:rsidRPr="00FA1A54" w:rsidRDefault="00C058BB" w:rsidP="008D7374">
            <w:pPr>
              <w:pStyle w:val="TableText"/>
            </w:pPr>
            <w:r w:rsidRPr="008D7374">
              <w:rPr>
                <w:color w:val="000000"/>
              </w:rPr>
              <w:t>Wellington Hospital</w:t>
            </w:r>
          </w:p>
        </w:tc>
        <w:tc>
          <w:tcPr>
            <w:tcW w:w="2243" w:type="dxa"/>
            <w:tcBorders>
              <w:top w:val="single" w:sz="4" w:space="0" w:color="A6A6A6"/>
              <w:bottom w:val="single" w:sz="4" w:space="0" w:color="A6A6A6"/>
            </w:tcBorders>
            <w:shd w:val="clear" w:color="auto" w:fill="auto"/>
          </w:tcPr>
          <w:p w14:paraId="52E47A91" w14:textId="77777777" w:rsidR="00C058BB" w:rsidRPr="00FA1A54" w:rsidRDefault="00C058BB" w:rsidP="008D7374">
            <w:pPr>
              <w:pStyle w:val="TableText"/>
            </w:pPr>
            <w:r w:rsidRPr="008D7374">
              <w:rPr>
                <w:color w:val="000000"/>
              </w:rPr>
              <w:t>Capital &amp; Coast</w:t>
            </w:r>
          </w:p>
        </w:tc>
        <w:tc>
          <w:tcPr>
            <w:tcW w:w="2552" w:type="dxa"/>
            <w:tcBorders>
              <w:top w:val="single" w:sz="4" w:space="0" w:color="A6A6A6"/>
              <w:bottom w:val="single" w:sz="4" w:space="0" w:color="A6A6A6"/>
            </w:tcBorders>
            <w:shd w:val="clear" w:color="auto" w:fill="auto"/>
          </w:tcPr>
          <w:p w14:paraId="223EE099" w14:textId="77777777" w:rsidR="00C058BB" w:rsidRPr="00FA1A54" w:rsidRDefault="00C058BB" w:rsidP="008D7374">
            <w:pPr>
              <w:pStyle w:val="TableText"/>
            </w:pPr>
            <w:r w:rsidRPr="008D7374">
              <w:rPr>
                <w:color w:val="000000"/>
              </w:rPr>
              <w:t>Capital &amp; Coast DHB</w:t>
            </w:r>
          </w:p>
        </w:tc>
        <w:tc>
          <w:tcPr>
            <w:tcW w:w="1701" w:type="dxa"/>
            <w:tcBorders>
              <w:top w:val="single" w:sz="4" w:space="0" w:color="A6A6A6"/>
              <w:bottom w:val="single" w:sz="4" w:space="0" w:color="A6A6A6"/>
            </w:tcBorders>
            <w:shd w:val="clear" w:color="auto" w:fill="auto"/>
          </w:tcPr>
          <w:p w14:paraId="613B11D7" w14:textId="77777777" w:rsidR="00C058BB" w:rsidRPr="00FA1A54" w:rsidRDefault="00C058BB" w:rsidP="008D7374">
            <w:pPr>
              <w:pStyle w:val="TableText"/>
              <w:tabs>
                <w:tab w:val="decimal" w:pos="1164"/>
              </w:tabs>
            </w:pPr>
            <w:r w:rsidRPr="008D7374">
              <w:rPr>
                <w:color w:val="000000"/>
              </w:rPr>
              <w:t>52,850</w:t>
            </w:r>
          </w:p>
        </w:tc>
      </w:tr>
      <w:tr w:rsidR="00A10B1D" w:rsidRPr="00FA1A54" w14:paraId="4E65754F" w14:textId="77777777" w:rsidTr="004B4E7B">
        <w:trPr>
          <w:cantSplit/>
        </w:trPr>
        <w:tc>
          <w:tcPr>
            <w:tcW w:w="2860" w:type="dxa"/>
            <w:tcBorders>
              <w:top w:val="single" w:sz="4" w:space="0" w:color="A6A6A6"/>
              <w:bottom w:val="single" w:sz="4" w:space="0" w:color="A6A6A6"/>
            </w:tcBorders>
            <w:shd w:val="clear" w:color="auto" w:fill="auto"/>
          </w:tcPr>
          <w:p w14:paraId="4FBE1C29" w14:textId="77777777" w:rsidR="00C058BB" w:rsidRPr="00FA1A54" w:rsidRDefault="00C058BB" w:rsidP="008D7374">
            <w:pPr>
              <w:pStyle w:val="TableText"/>
            </w:pPr>
            <w:r w:rsidRPr="008D7374">
              <w:rPr>
                <w:color w:val="000000"/>
              </w:rPr>
              <w:t>Whakatane Hospital</w:t>
            </w:r>
          </w:p>
        </w:tc>
        <w:tc>
          <w:tcPr>
            <w:tcW w:w="2243" w:type="dxa"/>
            <w:tcBorders>
              <w:top w:val="single" w:sz="4" w:space="0" w:color="A6A6A6"/>
              <w:bottom w:val="single" w:sz="4" w:space="0" w:color="A6A6A6"/>
            </w:tcBorders>
            <w:shd w:val="clear" w:color="auto" w:fill="auto"/>
          </w:tcPr>
          <w:p w14:paraId="4B4B2650" w14:textId="77777777" w:rsidR="00C058BB" w:rsidRPr="00FA1A54" w:rsidRDefault="00C058BB" w:rsidP="008D7374">
            <w:pPr>
              <w:pStyle w:val="TableText"/>
            </w:pPr>
            <w:r w:rsidRPr="008D7374">
              <w:rPr>
                <w:color w:val="000000"/>
              </w:rPr>
              <w:t>Bay of Plenty</w:t>
            </w:r>
          </w:p>
        </w:tc>
        <w:tc>
          <w:tcPr>
            <w:tcW w:w="2552" w:type="dxa"/>
            <w:tcBorders>
              <w:top w:val="single" w:sz="4" w:space="0" w:color="A6A6A6"/>
              <w:bottom w:val="single" w:sz="4" w:space="0" w:color="A6A6A6"/>
            </w:tcBorders>
            <w:shd w:val="clear" w:color="auto" w:fill="auto"/>
          </w:tcPr>
          <w:p w14:paraId="1D09A79A" w14:textId="77777777" w:rsidR="00C058BB" w:rsidRPr="00FA1A54" w:rsidRDefault="00C058BB" w:rsidP="008D7374">
            <w:pPr>
              <w:pStyle w:val="TableText"/>
            </w:pPr>
            <w:r w:rsidRPr="008D7374">
              <w:rPr>
                <w:color w:val="000000"/>
              </w:rPr>
              <w:t>Bay of Plenty DHB</w:t>
            </w:r>
          </w:p>
        </w:tc>
        <w:tc>
          <w:tcPr>
            <w:tcW w:w="1701" w:type="dxa"/>
            <w:tcBorders>
              <w:top w:val="single" w:sz="4" w:space="0" w:color="A6A6A6"/>
              <w:bottom w:val="single" w:sz="4" w:space="0" w:color="A6A6A6"/>
            </w:tcBorders>
            <w:shd w:val="clear" w:color="auto" w:fill="auto"/>
          </w:tcPr>
          <w:p w14:paraId="166F7EF0" w14:textId="77777777" w:rsidR="00C058BB" w:rsidRPr="00FA1A54" w:rsidRDefault="00C058BB" w:rsidP="008D7374">
            <w:pPr>
              <w:pStyle w:val="TableText"/>
              <w:tabs>
                <w:tab w:val="decimal" w:pos="1164"/>
              </w:tabs>
            </w:pPr>
            <w:r w:rsidRPr="008D7374">
              <w:rPr>
                <w:color w:val="000000"/>
              </w:rPr>
              <w:t>18,650</w:t>
            </w:r>
          </w:p>
        </w:tc>
      </w:tr>
      <w:tr w:rsidR="00A10B1D" w:rsidRPr="00FA1A54" w14:paraId="36524E96" w14:textId="77777777" w:rsidTr="004B4E7B">
        <w:trPr>
          <w:cantSplit/>
        </w:trPr>
        <w:tc>
          <w:tcPr>
            <w:tcW w:w="2860" w:type="dxa"/>
            <w:tcBorders>
              <w:top w:val="single" w:sz="4" w:space="0" w:color="A6A6A6"/>
              <w:bottom w:val="single" w:sz="4" w:space="0" w:color="A6A6A6"/>
            </w:tcBorders>
            <w:shd w:val="clear" w:color="auto" w:fill="auto"/>
          </w:tcPr>
          <w:p w14:paraId="2552336A" w14:textId="77777777" w:rsidR="00C058BB" w:rsidRPr="00FA1A54" w:rsidRDefault="00C058BB" w:rsidP="008D7374">
            <w:pPr>
              <w:pStyle w:val="TableText"/>
            </w:pPr>
            <w:r w:rsidRPr="008D7374">
              <w:rPr>
                <w:color w:val="000000"/>
              </w:rPr>
              <w:t>Whanganui Hospital</w:t>
            </w:r>
          </w:p>
        </w:tc>
        <w:tc>
          <w:tcPr>
            <w:tcW w:w="2243" w:type="dxa"/>
            <w:tcBorders>
              <w:top w:val="single" w:sz="4" w:space="0" w:color="A6A6A6"/>
              <w:bottom w:val="single" w:sz="4" w:space="0" w:color="A6A6A6"/>
            </w:tcBorders>
            <w:shd w:val="clear" w:color="auto" w:fill="auto"/>
          </w:tcPr>
          <w:p w14:paraId="5D8B2992" w14:textId="77777777" w:rsidR="00C058BB" w:rsidRPr="00FA1A54" w:rsidRDefault="00C058BB" w:rsidP="008D7374">
            <w:pPr>
              <w:pStyle w:val="TableText"/>
            </w:pPr>
            <w:r w:rsidRPr="008D7374">
              <w:rPr>
                <w:color w:val="000000"/>
              </w:rPr>
              <w:t>Whanganui</w:t>
            </w:r>
          </w:p>
        </w:tc>
        <w:tc>
          <w:tcPr>
            <w:tcW w:w="2552" w:type="dxa"/>
            <w:tcBorders>
              <w:top w:val="single" w:sz="4" w:space="0" w:color="A6A6A6"/>
              <w:bottom w:val="single" w:sz="4" w:space="0" w:color="A6A6A6"/>
            </w:tcBorders>
            <w:shd w:val="clear" w:color="auto" w:fill="auto"/>
          </w:tcPr>
          <w:p w14:paraId="3EC6AB7E" w14:textId="77777777" w:rsidR="00C058BB" w:rsidRPr="00FA1A54" w:rsidRDefault="00C058BB" w:rsidP="008D7374">
            <w:pPr>
              <w:pStyle w:val="TableText"/>
            </w:pPr>
            <w:r w:rsidRPr="008D7374">
              <w:rPr>
                <w:color w:val="000000"/>
              </w:rPr>
              <w:t>Whanganui DHB</w:t>
            </w:r>
          </w:p>
        </w:tc>
        <w:tc>
          <w:tcPr>
            <w:tcW w:w="1701" w:type="dxa"/>
            <w:tcBorders>
              <w:top w:val="single" w:sz="4" w:space="0" w:color="A6A6A6"/>
              <w:bottom w:val="single" w:sz="4" w:space="0" w:color="A6A6A6"/>
            </w:tcBorders>
            <w:shd w:val="clear" w:color="auto" w:fill="auto"/>
          </w:tcPr>
          <w:p w14:paraId="66ADD85D" w14:textId="77777777" w:rsidR="00C058BB" w:rsidRPr="00FA1A54" w:rsidRDefault="00C058BB" w:rsidP="008D7374">
            <w:pPr>
              <w:pStyle w:val="TableText"/>
              <w:tabs>
                <w:tab w:val="decimal" w:pos="1164"/>
              </w:tabs>
            </w:pPr>
            <w:r w:rsidRPr="008D7374">
              <w:rPr>
                <w:color w:val="000000"/>
              </w:rPr>
              <w:t>18,673</w:t>
            </w:r>
          </w:p>
        </w:tc>
      </w:tr>
      <w:tr w:rsidR="00A10B1D" w:rsidRPr="00FA1A54" w14:paraId="378F6CF2" w14:textId="77777777" w:rsidTr="004B4E7B">
        <w:trPr>
          <w:cantSplit/>
        </w:trPr>
        <w:tc>
          <w:tcPr>
            <w:tcW w:w="2860" w:type="dxa"/>
            <w:tcBorders>
              <w:top w:val="single" w:sz="4" w:space="0" w:color="A6A6A6"/>
              <w:bottom w:val="single" w:sz="4" w:space="0" w:color="auto"/>
            </w:tcBorders>
            <w:shd w:val="clear" w:color="auto" w:fill="auto"/>
          </w:tcPr>
          <w:p w14:paraId="0E9DB26D" w14:textId="77777777" w:rsidR="00C058BB" w:rsidRPr="00FA1A54" w:rsidRDefault="00C058BB" w:rsidP="008D7374">
            <w:pPr>
              <w:pStyle w:val="TableText"/>
            </w:pPr>
            <w:r w:rsidRPr="008D7374">
              <w:rPr>
                <w:color w:val="000000"/>
              </w:rPr>
              <w:t>Whangarei Hospital</w:t>
            </w:r>
          </w:p>
        </w:tc>
        <w:tc>
          <w:tcPr>
            <w:tcW w:w="2243" w:type="dxa"/>
            <w:tcBorders>
              <w:top w:val="single" w:sz="4" w:space="0" w:color="A6A6A6"/>
              <w:bottom w:val="single" w:sz="4" w:space="0" w:color="auto"/>
            </w:tcBorders>
            <w:shd w:val="clear" w:color="auto" w:fill="auto"/>
          </w:tcPr>
          <w:p w14:paraId="52D2C295" w14:textId="77777777" w:rsidR="00C058BB" w:rsidRPr="00FA1A54" w:rsidRDefault="00C058BB" w:rsidP="008D7374">
            <w:pPr>
              <w:pStyle w:val="TableText"/>
            </w:pPr>
            <w:r w:rsidRPr="008D7374">
              <w:rPr>
                <w:color w:val="000000"/>
              </w:rPr>
              <w:t>Northland</w:t>
            </w:r>
          </w:p>
        </w:tc>
        <w:tc>
          <w:tcPr>
            <w:tcW w:w="2552" w:type="dxa"/>
            <w:tcBorders>
              <w:top w:val="single" w:sz="4" w:space="0" w:color="A6A6A6"/>
              <w:bottom w:val="single" w:sz="4" w:space="0" w:color="auto"/>
            </w:tcBorders>
            <w:shd w:val="clear" w:color="auto" w:fill="auto"/>
          </w:tcPr>
          <w:p w14:paraId="7A7FB6CD" w14:textId="77777777" w:rsidR="00C058BB" w:rsidRPr="00FA1A54" w:rsidRDefault="00C058BB" w:rsidP="008D7374">
            <w:pPr>
              <w:pStyle w:val="TableText"/>
            </w:pPr>
            <w:r w:rsidRPr="008D7374">
              <w:rPr>
                <w:color w:val="000000"/>
              </w:rPr>
              <w:t>Northland DHB</w:t>
            </w:r>
          </w:p>
        </w:tc>
        <w:tc>
          <w:tcPr>
            <w:tcW w:w="1701" w:type="dxa"/>
            <w:tcBorders>
              <w:top w:val="single" w:sz="4" w:space="0" w:color="A6A6A6"/>
              <w:bottom w:val="single" w:sz="4" w:space="0" w:color="auto"/>
            </w:tcBorders>
            <w:shd w:val="clear" w:color="auto" w:fill="auto"/>
          </w:tcPr>
          <w:p w14:paraId="1094CD2A" w14:textId="77777777" w:rsidR="00C058BB" w:rsidRPr="00FA1A54" w:rsidRDefault="00C058BB" w:rsidP="008D7374">
            <w:pPr>
              <w:pStyle w:val="TableText"/>
              <w:tabs>
                <w:tab w:val="decimal" w:pos="1164"/>
              </w:tabs>
            </w:pPr>
            <w:r w:rsidRPr="008D7374">
              <w:rPr>
                <w:color w:val="000000"/>
              </w:rPr>
              <w:t>33,580</w:t>
            </w:r>
          </w:p>
        </w:tc>
      </w:tr>
    </w:tbl>
    <w:p w14:paraId="14534B98" w14:textId="77777777" w:rsidR="0051449D" w:rsidRDefault="00C058BB" w:rsidP="0051449D">
      <w:pPr>
        <w:pStyle w:val="Note"/>
        <w:ind w:left="284" w:right="0" w:hanging="284"/>
      </w:pPr>
      <w:r>
        <w:t>1</w:t>
      </w:r>
      <w:r>
        <w:tab/>
        <w:t xml:space="preserve">The service </w:t>
      </w:r>
      <w:r w:rsidRPr="0051449D">
        <w:t>provider for these hospitals are non-DHB agencies</w:t>
      </w:r>
      <w:r w:rsidR="0051449D" w:rsidRPr="0051449D">
        <w:t>.</w:t>
      </w:r>
    </w:p>
    <w:p w14:paraId="5A87CB3A" w14:textId="4F2580B6" w:rsidR="0051449D" w:rsidRDefault="00C058BB" w:rsidP="0051449D">
      <w:pPr>
        <w:pStyle w:val="Note"/>
        <w:ind w:left="284" w:right="0" w:hanging="284"/>
      </w:pPr>
      <w:r w:rsidRPr="0051449D">
        <w:t>2</w:t>
      </w:r>
      <w:r w:rsidRPr="0051449D">
        <w:tab/>
        <w:t>Southern DHB was the service provider 2010/11 and Gore Health Limited was the service provider for</w:t>
      </w:r>
      <w:r w:rsidR="00657622">
        <w:br/>
      </w:r>
      <w:r w:rsidRPr="0051449D">
        <w:t xml:space="preserve">2010/11–2013/14. </w:t>
      </w:r>
      <w:r w:rsidR="007E5B04">
        <w:t>Data for 2014/15 was not available for reporting</w:t>
      </w:r>
      <w:r w:rsidRPr="0051449D">
        <w:t>.</w:t>
      </w:r>
    </w:p>
    <w:p w14:paraId="268C5513" w14:textId="77777777" w:rsidR="00C058BB" w:rsidRDefault="00C058BB" w:rsidP="0051449D">
      <w:pPr>
        <w:pStyle w:val="Note"/>
        <w:ind w:left="284" w:right="0" w:hanging="284"/>
      </w:pPr>
      <w:r w:rsidRPr="0051449D">
        <w:t>3</w:t>
      </w:r>
      <w:r w:rsidRPr="0051449D">
        <w:tab/>
        <w:t>Data for 2011/12</w:t>
      </w:r>
      <w:r>
        <w:t>–2014/15 was not available for reporting.</w:t>
      </w:r>
    </w:p>
    <w:p w14:paraId="70A88E0B" w14:textId="77777777" w:rsidR="0051449D" w:rsidRPr="0051449D" w:rsidRDefault="0051449D" w:rsidP="0051449D"/>
    <w:p w14:paraId="0D5E3B87" w14:textId="77777777" w:rsidR="00C058BB" w:rsidRDefault="00C058BB" w:rsidP="0051449D">
      <w:pPr>
        <w:pStyle w:val="Heading2"/>
      </w:pPr>
      <w:bookmarkStart w:id="217" w:name="_Toc452111297"/>
      <w:bookmarkStart w:id="218" w:name="_Toc453058849"/>
      <w:r>
        <w:t>Outcomes</w:t>
      </w:r>
      <w:bookmarkEnd w:id="215"/>
      <w:bookmarkEnd w:id="217"/>
      <w:bookmarkEnd w:id="218"/>
    </w:p>
    <w:p w14:paraId="731E6383" w14:textId="77777777" w:rsidR="00C058BB" w:rsidRDefault="00C058BB" w:rsidP="0051449D">
      <w:r>
        <w:t xml:space="preserve">The outcome categories presented in this report are derived using the event end type codes in the Collection. See Table </w:t>
      </w:r>
      <w:r>
        <w:rPr>
          <w:noProof/>
        </w:rPr>
        <w:t>4</w:t>
      </w:r>
      <w:r>
        <w:t xml:space="preserve"> for list of codes associated with each outcome category.</w:t>
      </w:r>
    </w:p>
    <w:p w14:paraId="6FDC7EA4" w14:textId="77777777" w:rsidR="00C058BB" w:rsidRDefault="00C058BB" w:rsidP="0051449D"/>
    <w:p w14:paraId="78F342B3" w14:textId="77777777" w:rsidR="00C058BB" w:rsidRDefault="00C058BB" w:rsidP="0051449D">
      <w:pPr>
        <w:pStyle w:val="Table"/>
      </w:pPr>
      <w:bookmarkStart w:id="219" w:name="_Ref445899339"/>
      <w:bookmarkStart w:id="220" w:name="_Toc452111223"/>
      <w:bookmarkStart w:id="221" w:name="_Toc453058854"/>
      <w:r>
        <w:t xml:space="preserve">Table </w:t>
      </w:r>
      <w:r w:rsidR="004B4E7B">
        <w:fldChar w:fldCharType="begin"/>
      </w:r>
      <w:r w:rsidR="004B4E7B">
        <w:instrText xml:space="preserve"> SEQ Table \* ARABIC </w:instrText>
      </w:r>
      <w:r w:rsidR="004B4E7B">
        <w:fldChar w:fldCharType="separate"/>
      </w:r>
      <w:r w:rsidR="00CD2E1C">
        <w:rPr>
          <w:noProof/>
        </w:rPr>
        <w:t>4</w:t>
      </w:r>
      <w:r w:rsidR="004B4E7B">
        <w:rPr>
          <w:noProof/>
        </w:rPr>
        <w:fldChar w:fldCharType="end"/>
      </w:r>
      <w:bookmarkEnd w:id="219"/>
      <w:r>
        <w:t>: Outcome categories and relevant event end type codes</w:t>
      </w:r>
      <w:bookmarkEnd w:id="220"/>
      <w:bookmarkEnd w:id="221"/>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843"/>
        <w:gridCol w:w="1559"/>
        <w:gridCol w:w="5954"/>
      </w:tblGrid>
      <w:tr w:rsidR="00A10B1D" w:rsidRPr="008D7374" w14:paraId="1D2FAF6D" w14:textId="77777777" w:rsidTr="008D7374">
        <w:trPr>
          <w:cantSplit/>
        </w:trPr>
        <w:tc>
          <w:tcPr>
            <w:tcW w:w="1843" w:type="dxa"/>
            <w:tcBorders>
              <w:top w:val="single" w:sz="4" w:space="0" w:color="auto"/>
              <w:bottom w:val="single" w:sz="4" w:space="0" w:color="auto"/>
            </w:tcBorders>
            <w:shd w:val="clear" w:color="auto" w:fill="auto"/>
          </w:tcPr>
          <w:p w14:paraId="2752C73D" w14:textId="77777777" w:rsidR="00C058BB" w:rsidRPr="008D7374" w:rsidRDefault="00C058BB" w:rsidP="008D7374">
            <w:pPr>
              <w:pStyle w:val="TableText"/>
              <w:rPr>
                <w:b/>
              </w:rPr>
            </w:pPr>
            <w:r w:rsidRPr="008D7374">
              <w:rPr>
                <w:b/>
              </w:rPr>
              <w:t>Outcome</w:t>
            </w:r>
          </w:p>
        </w:tc>
        <w:tc>
          <w:tcPr>
            <w:tcW w:w="1559" w:type="dxa"/>
            <w:tcBorders>
              <w:top w:val="single" w:sz="4" w:space="0" w:color="auto"/>
              <w:bottom w:val="single" w:sz="4" w:space="0" w:color="auto"/>
            </w:tcBorders>
            <w:shd w:val="clear" w:color="auto" w:fill="auto"/>
          </w:tcPr>
          <w:p w14:paraId="2DB22C87" w14:textId="77777777" w:rsidR="00C058BB" w:rsidRPr="008D7374" w:rsidRDefault="00C058BB" w:rsidP="008D7374">
            <w:pPr>
              <w:pStyle w:val="TableText"/>
              <w:jc w:val="center"/>
              <w:rPr>
                <w:b/>
              </w:rPr>
            </w:pPr>
            <w:r w:rsidRPr="008D7374">
              <w:rPr>
                <w:b/>
              </w:rPr>
              <w:t>Code</w:t>
            </w:r>
          </w:p>
        </w:tc>
        <w:tc>
          <w:tcPr>
            <w:tcW w:w="5954" w:type="dxa"/>
            <w:tcBorders>
              <w:top w:val="single" w:sz="4" w:space="0" w:color="auto"/>
              <w:bottom w:val="single" w:sz="4" w:space="0" w:color="auto"/>
            </w:tcBorders>
            <w:shd w:val="clear" w:color="auto" w:fill="auto"/>
          </w:tcPr>
          <w:p w14:paraId="276307D1" w14:textId="77777777" w:rsidR="00C058BB" w:rsidRPr="008D7374" w:rsidRDefault="00C058BB" w:rsidP="008D7374">
            <w:pPr>
              <w:pStyle w:val="TableText"/>
              <w:rPr>
                <w:b/>
              </w:rPr>
            </w:pPr>
            <w:r w:rsidRPr="008D7374">
              <w:rPr>
                <w:b/>
              </w:rPr>
              <w:t>Description</w:t>
            </w:r>
          </w:p>
        </w:tc>
      </w:tr>
      <w:tr w:rsidR="00A10B1D" w:rsidRPr="00C74F35" w14:paraId="37BEEEB4" w14:textId="77777777" w:rsidTr="008D7374">
        <w:trPr>
          <w:cantSplit/>
        </w:trPr>
        <w:tc>
          <w:tcPr>
            <w:tcW w:w="1843" w:type="dxa"/>
            <w:tcBorders>
              <w:top w:val="single" w:sz="4" w:space="0" w:color="auto"/>
              <w:bottom w:val="single" w:sz="4" w:space="0" w:color="A6A6A6"/>
            </w:tcBorders>
            <w:shd w:val="clear" w:color="auto" w:fill="auto"/>
          </w:tcPr>
          <w:p w14:paraId="49699B8C" w14:textId="77777777" w:rsidR="00C058BB" w:rsidRPr="00C74F35" w:rsidRDefault="00C058BB" w:rsidP="008D7374">
            <w:pPr>
              <w:pStyle w:val="TableText"/>
            </w:pPr>
            <w:r w:rsidRPr="00C74F35">
              <w:t>Routine discharge</w:t>
            </w:r>
          </w:p>
        </w:tc>
        <w:tc>
          <w:tcPr>
            <w:tcW w:w="1559" w:type="dxa"/>
            <w:tcBorders>
              <w:top w:val="single" w:sz="4" w:space="0" w:color="auto"/>
              <w:bottom w:val="single" w:sz="4" w:space="0" w:color="A6A6A6"/>
            </w:tcBorders>
            <w:shd w:val="clear" w:color="auto" w:fill="auto"/>
          </w:tcPr>
          <w:p w14:paraId="7381377A" w14:textId="77777777" w:rsidR="00C058BB" w:rsidRPr="00C74F35" w:rsidRDefault="00C058BB" w:rsidP="008D7374">
            <w:pPr>
              <w:pStyle w:val="TableText"/>
              <w:jc w:val="center"/>
            </w:pPr>
            <w:r w:rsidRPr="00C74F35">
              <w:t>ER</w:t>
            </w:r>
          </w:p>
        </w:tc>
        <w:tc>
          <w:tcPr>
            <w:tcW w:w="5954" w:type="dxa"/>
            <w:tcBorders>
              <w:top w:val="single" w:sz="4" w:space="0" w:color="auto"/>
              <w:bottom w:val="single" w:sz="4" w:space="0" w:color="A6A6A6"/>
            </w:tcBorders>
            <w:shd w:val="clear" w:color="auto" w:fill="auto"/>
          </w:tcPr>
          <w:p w14:paraId="3F3A398F" w14:textId="77777777" w:rsidR="00C058BB" w:rsidRPr="00C74F35" w:rsidRDefault="00C058BB" w:rsidP="008D7374">
            <w:pPr>
              <w:pStyle w:val="TableText"/>
            </w:pPr>
            <w:r w:rsidRPr="00C74F35">
              <w:t>Routine discharge from an emergency department acute facility</w:t>
            </w:r>
          </w:p>
        </w:tc>
      </w:tr>
      <w:tr w:rsidR="00A10B1D" w:rsidRPr="00C74F35" w14:paraId="0B17CC3F" w14:textId="77777777" w:rsidTr="008D7374">
        <w:trPr>
          <w:cantSplit/>
        </w:trPr>
        <w:tc>
          <w:tcPr>
            <w:tcW w:w="1843" w:type="dxa"/>
            <w:vMerge w:val="restart"/>
            <w:tcBorders>
              <w:top w:val="single" w:sz="4" w:space="0" w:color="A6A6A6"/>
              <w:bottom w:val="nil"/>
            </w:tcBorders>
            <w:shd w:val="clear" w:color="auto" w:fill="auto"/>
          </w:tcPr>
          <w:p w14:paraId="32D83B5E" w14:textId="77777777" w:rsidR="00C058BB" w:rsidRPr="00C74F35" w:rsidRDefault="00C058BB" w:rsidP="008D7374">
            <w:pPr>
              <w:pStyle w:val="TableText"/>
            </w:pPr>
            <w:r>
              <w:t>Admitted to hospital</w:t>
            </w:r>
          </w:p>
        </w:tc>
        <w:tc>
          <w:tcPr>
            <w:tcW w:w="1559" w:type="dxa"/>
            <w:tcBorders>
              <w:top w:val="single" w:sz="4" w:space="0" w:color="A6A6A6"/>
              <w:bottom w:val="nil"/>
            </w:tcBorders>
            <w:shd w:val="clear" w:color="auto" w:fill="auto"/>
          </w:tcPr>
          <w:p w14:paraId="2C6A6608" w14:textId="77777777" w:rsidR="00C058BB" w:rsidRPr="00C74F35" w:rsidRDefault="00C058BB" w:rsidP="008D7374">
            <w:pPr>
              <w:pStyle w:val="TableText"/>
              <w:jc w:val="center"/>
            </w:pPr>
            <w:r w:rsidRPr="00C74F35">
              <w:t>DW</w:t>
            </w:r>
          </w:p>
        </w:tc>
        <w:tc>
          <w:tcPr>
            <w:tcW w:w="5954" w:type="dxa"/>
            <w:tcBorders>
              <w:top w:val="single" w:sz="4" w:space="0" w:color="A6A6A6"/>
              <w:bottom w:val="nil"/>
            </w:tcBorders>
            <w:shd w:val="clear" w:color="auto" w:fill="auto"/>
          </w:tcPr>
          <w:p w14:paraId="08D9156E" w14:textId="77777777" w:rsidR="00C058BB" w:rsidRPr="00C74F35" w:rsidRDefault="00C058BB" w:rsidP="008D7374">
            <w:pPr>
              <w:pStyle w:val="TableText"/>
            </w:pPr>
            <w:r w:rsidRPr="00C74F35">
              <w:t>Discharge to other service within same facility</w:t>
            </w:r>
          </w:p>
        </w:tc>
      </w:tr>
      <w:tr w:rsidR="00A10B1D" w:rsidRPr="00C74F35" w14:paraId="16736D79" w14:textId="77777777" w:rsidTr="008D7374">
        <w:trPr>
          <w:cantSplit/>
        </w:trPr>
        <w:tc>
          <w:tcPr>
            <w:tcW w:w="1843" w:type="dxa"/>
            <w:vMerge/>
            <w:tcBorders>
              <w:top w:val="nil"/>
              <w:bottom w:val="nil"/>
            </w:tcBorders>
            <w:shd w:val="clear" w:color="auto" w:fill="auto"/>
          </w:tcPr>
          <w:p w14:paraId="2B03319A" w14:textId="77777777" w:rsidR="00C058BB" w:rsidRPr="00C74F35" w:rsidRDefault="00C058BB" w:rsidP="008D7374">
            <w:pPr>
              <w:pStyle w:val="TableText"/>
            </w:pPr>
          </w:p>
        </w:tc>
        <w:tc>
          <w:tcPr>
            <w:tcW w:w="1559" w:type="dxa"/>
            <w:tcBorders>
              <w:top w:val="nil"/>
              <w:bottom w:val="nil"/>
            </w:tcBorders>
            <w:shd w:val="clear" w:color="auto" w:fill="auto"/>
          </w:tcPr>
          <w:p w14:paraId="3492BAEF" w14:textId="77777777" w:rsidR="00C058BB" w:rsidRPr="00C74F35" w:rsidRDefault="00C058BB" w:rsidP="008D7374">
            <w:pPr>
              <w:pStyle w:val="TableText"/>
              <w:jc w:val="center"/>
            </w:pPr>
            <w:r w:rsidRPr="00C74F35">
              <w:t>EA</w:t>
            </w:r>
          </w:p>
        </w:tc>
        <w:tc>
          <w:tcPr>
            <w:tcW w:w="5954" w:type="dxa"/>
            <w:tcBorders>
              <w:top w:val="nil"/>
              <w:bottom w:val="nil"/>
            </w:tcBorders>
            <w:shd w:val="clear" w:color="auto" w:fill="auto"/>
          </w:tcPr>
          <w:p w14:paraId="7C1A426E" w14:textId="77777777" w:rsidR="00C058BB" w:rsidRPr="00C74F35" w:rsidRDefault="00C058BB" w:rsidP="008D7374">
            <w:pPr>
              <w:pStyle w:val="TableText"/>
            </w:pPr>
            <w:r w:rsidRPr="00C74F35">
              <w:t>Discharge from ED acute to specialist facility (neonates and burns only)</w:t>
            </w:r>
          </w:p>
        </w:tc>
      </w:tr>
      <w:tr w:rsidR="00A10B1D" w:rsidRPr="00C74F35" w14:paraId="35CD6663" w14:textId="77777777" w:rsidTr="008D7374">
        <w:trPr>
          <w:cantSplit/>
        </w:trPr>
        <w:tc>
          <w:tcPr>
            <w:tcW w:w="1843" w:type="dxa"/>
            <w:vMerge/>
            <w:tcBorders>
              <w:top w:val="nil"/>
              <w:bottom w:val="single" w:sz="4" w:space="0" w:color="A6A6A6"/>
            </w:tcBorders>
            <w:shd w:val="clear" w:color="auto" w:fill="auto"/>
          </w:tcPr>
          <w:p w14:paraId="653B8A01" w14:textId="77777777" w:rsidR="00C058BB" w:rsidRPr="00C74F35" w:rsidRDefault="00C058BB" w:rsidP="008D7374">
            <w:pPr>
              <w:pStyle w:val="TableText"/>
            </w:pPr>
          </w:p>
        </w:tc>
        <w:tc>
          <w:tcPr>
            <w:tcW w:w="1559" w:type="dxa"/>
            <w:tcBorders>
              <w:top w:val="nil"/>
              <w:bottom w:val="single" w:sz="4" w:space="0" w:color="A6A6A6"/>
            </w:tcBorders>
            <w:shd w:val="clear" w:color="auto" w:fill="auto"/>
          </w:tcPr>
          <w:p w14:paraId="382A3A68" w14:textId="77777777" w:rsidR="00C058BB" w:rsidRPr="00C74F35" w:rsidRDefault="00C058BB" w:rsidP="008D7374">
            <w:pPr>
              <w:pStyle w:val="TableText"/>
              <w:jc w:val="center"/>
            </w:pPr>
            <w:r w:rsidRPr="00C74F35">
              <w:t>ET</w:t>
            </w:r>
          </w:p>
        </w:tc>
        <w:tc>
          <w:tcPr>
            <w:tcW w:w="5954" w:type="dxa"/>
            <w:tcBorders>
              <w:top w:val="nil"/>
              <w:bottom w:val="single" w:sz="4" w:space="0" w:color="A6A6A6"/>
            </w:tcBorders>
            <w:shd w:val="clear" w:color="auto" w:fill="auto"/>
          </w:tcPr>
          <w:p w14:paraId="470F6CCA" w14:textId="77777777" w:rsidR="00C058BB" w:rsidRPr="00C74F35" w:rsidRDefault="00C058BB" w:rsidP="008D7374">
            <w:pPr>
              <w:pStyle w:val="TableText"/>
            </w:pPr>
            <w:r w:rsidRPr="00C74F35">
              <w:t>Discharge from ED acute facility to another healthcare facility</w:t>
            </w:r>
          </w:p>
        </w:tc>
      </w:tr>
      <w:tr w:rsidR="00A10B1D" w:rsidRPr="00C74F35" w14:paraId="63ED1136" w14:textId="77777777" w:rsidTr="008D7374">
        <w:trPr>
          <w:cantSplit/>
        </w:trPr>
        <w:tc>
          <w:tcPr>
            <w:tcW w:w="1843" w:type="dxa"/>
            <w:vMerge w:val="restart"/>
            <w:tcBorders>
              <w:top w:val="single" w:sz="4" w:space="0" w:color="A6A6A6"/>
            </w:tcBorders>
            <w:shd w:val="clear" w:color="auto" w:fill="auto"/>
          </w:tcPr>
          <w:p w14:paraId="23DDB81D" w14:textId="77777777" w:rsidR="00C058BB" w:rsidRPr="00C74F35" w:rsidRDefault="00C058BB" w:rsidP="008D7374">
            <w:pPr>
              <w:pStyle w:val="TableText"/>
            </w:pPr>
            <w:r w:rsidRPr="00C74F35">
              <w:t>Self-discharged</w:t>
            </w:r>
          </w:p>
        </w:tc>
        <w:tc>
          <w:tcPr>
            <w:tcW w:w="1559" w:type="dxa"/>
            <w:tcBorders>
              <w:top w:val="single" w:sz="4" w:space="0" w:color="A6A6A6"/>
            </w:tcBorders>
            <w:shd w:val="clear" w:color="auto" w:fill="auto"/>
          </w:tcPr>
          <w:p w14:paraId="0BECE357" w14:textId="77777777" w:rsidR="00C058BB" w:rsidRPr="00C74F35" w:rsidRDefault="00C058BB" w:rsidP="008D7374">
            <w:pPr>
              <w:pStyle w:val="TableText"/>
              <w:jc w:val="center"/>
            </w:pPr>
            <w:r w:rsidRPr="00C74F35">
              <w:t>EI</w:t>
            </w:r>
          </w:p>
        </w:tc>
        <w:tc>
          <w:tcPr>
            <w:tcW w:w="5954" w:type="dxa"/>
            <w:tcBorders>
              <w:top w:val="single" w:sz="4" w:space="0" w:color="A6A6A6"/>
            </w:tcBorders>
            <w:shd w:val="clear" w:color="auto" w:fill="auto"/>
          </w:tcPr>
          <w:p w14:paraId="19DA39EE" w14:textId="77777777" w:rsidR="00C058BB" w:rsidRPr="00C74F35" w:rsidRDefault="00C058BB" w:rsidP="008D7374">
            <w:pPr>
              <w:pStyle w:val="TableText"/>
            </w:pPr>
            <w:r w:rsidRPr="00C74F35">
              <w:t>Self-discharge from an ED acute facility with indemnity signed</w:t>
            </w:r>
          </w:p>
        </w:tc>
      </w:tr>
      <w:tr w:rsidR="00A10B1D" w:rsidRPr="00C74F35" w14:paraId="550BFB26" w14:textId="77777777" w:rsidTr="008D7374">
        <w:trPr>
          <w:cantSplit/>
        </w:trPr>
        <w:tc>
          <w:tcPr>
            <w:tcW w:w="1843" w:type="dxa"/>
            <w:vMerge/>
            <w:tcBorders>
              <w:bottom w:val="single" w:sz="4" w:space="0" w:color="A6A6A6"/>
            </w:tcBorders>
            <w:shd w:val="clear" w:color="auto" w:fill="auto"/>
          </w:tcPr>
          <w:p w14:paraId="18BA35D6" w14:textId="77777777" w:rsidR="00C058BB" w:rsidRPr="00C74F35" w:rsidRDefault="00C058BB" w:rsidP="008D7374">
            <w:pPr>
              <w:pStyle w:val="TableText"/>
            </w:pPr>
          </w:p>
        </w:tc>
        <w:tc>
          <w:tcPr>
            <w:tcW w:w="1559" w:type="dxa"/>
            <w:tcBorders>
              <w:bottom w:val="single" w:sz="4" w:space="0" w:color="A6A6A6"/>
            </w:tcBorders>
            <w:shd w:val="clear" w:color="auto" w:fill="auto"/>
          </w:tcPr>
          <w:p w14:paraId="3AB017D4" w14:textId="77777777" w:rsidR="00C058BB" w:rsidRPr="00C74F35" w:rsidRDefault="00C058BB" w:rsidP="008D7374">
            <w:pPr>
              <w:pStyle w:val="TableText"/>
              <w:jc w:val="center"/>
            </w:pPr>
            <w:r w:rsidRPr="00C74F35">
              <w:t>ES</w:t>
            </w:r>
          </w:p>
        </w:tc>
        <w:tc>
          <w:tcPr>
            <w:tcW w:w="5954" w:type="dxa"/>
            <w:tcBorders>
              <w:bottom w:val="single" w:sz="4" w:space="0" w:color="A6A6A6"/>
            </w:tcBorders>
            <w:shd w:val="clear" w:color="auto" w:fill="auto"/>
          </w:tcPr>
          <w:p w14:paraId="108EE5A1" w14:textId="77777777" w:rsidR="00C058BB" w:rsidRPr="00C74F35" w:rsidRDefault="00C058BB" w:rsidP="008D7374">
            <w:pPr>
              <w:pStyle w:val="TableText"/>
            </w:pPr>
            <w:r w:rsidRPr="00C74F35">
              <w:t>Self-discharge from an ED facility without indemnity</w:t>
            </w:r>
          </w:p>
        </w:tc>
      </w:tr>
      <w:tr w:rsidR="00A10B1D" w:rsidRPr="00C74F35" w14:paraId="43358803" w14:textId="77777777" w:rsidTr="008D7374">
        <w:trPr>
          <w:cantSplit/>
        </w:trPr>
        <w:tc>
          <w:tcPr>
            <w:tcW w:w="1843" w:type="dxa"/>
            <w:tcBorders>
              <w:top w:val="single" w:sz="4" w:space="0" w:color="A6A6A6"/>
              <w:bottom w:val="single" w:sz="4" w:space="0" w:color="auto"/>
            </w:tcBorders>
            <w:shd w:val="clear" w:color="auto" w:fill="auto"/>
          </w:tcPr>
          <w:p w14:paraId="47AEBA58" w14:textId="77777777" w:rsidR="00C058BB" w:rsidRPr="00C74F35" w:rsidRDefault="00C058BB" w:rsidP="008D7374">
            <w:pPr>
              <w:pStyle w:val="TableText"/>
            </w:pPr>
            <w:r w:rsidRPr="00C74F35">
              <w:t>Died</w:t>
            </w:r>
          </w:p>
        </w:tc>
        <w:tc>
          <w:tcPr>
            <w:tcW w:w="1559" w:type="dxa"/>
            <w:tcBorders>
              <w:top w:val="single" w:sz="4" w:space="0" w:color="A6A6A6"/>
              <w:bottom w:val="single" w:sz="4" w:space="0" w:color="auto"/>
            </w:tcBorders>
            <w:shd w:val="clear" w:color="auto" w:fill="auto"/>
          </w:tcPr>
          <w:p w14:paraId="152F9E22" w14:textId="77777777" w:rsidR="00C058BB" w:rsidRPr="00C74F35" w:rsidRDefault="00C058BB" w:rsidP="008D7374">
            <w:pPr>
              <w:pStyle w:val="TableText"/>
              <w:jc w:val="center"/>
            </w:pPr>
            <w:r w:rsidRPr="00C74F35">
              <w:t>ED</w:t>
            </w:r>
          </w:p>
        </w:tc>
        <w:tc>
          <w:tcPr>
            <w:tcW w:w="5954" w:type="dxa"/>
            <w:tcBorders>
              <w:top w:val="single" w:sz="4" w:space="0" w:color="A6A6A6"/>
              <w:bottom w:val="single" w:sz="4" w:space="0" w:color="auto"/>
            </w:tcBorders>
            <w:shd w:val="clear" w:color="auto" w:fill="auto"/>
          </w:tcPr>
          <w:p w14:paraId="5ED241DC" w14:textId="77777777" w:rsidR="00C058BB" w:rsidRPr="00C74F35" w:rsidRDefault="00C058BB" w:rsidP="008D7374">
            <w:pPr>
              <w:pStyle w:val="TableText"/>
            </w:pPr>
            <w:r w:rsidRPr="00C74F35">
              <w:t>Died while still in emergency department acute facility</w:t>
            </w:r>
          </w:p>
        </w:tc>
      </w:tr>
    </w:tbl>
    <w:p w14:paraId="77AFB4ED" w14:textId="77777777" w:rsidR="00C058BB" w:rsidRDefault="00C058BB" w:rsidP="0051449D"/>
    <w:p w14:paraId="2ABCE022" w14:textId="77777777" w:rsidR="00C058BB" w:rsidRDefault="00C058BB" w:rsidP="00657622">
      <w:pPr>
        <w:pStyle w:val="Heading1"/>
      </w:pPr>
      <w:r>
        <w:br w:type="page"/>
      </w:r>
      <w:bookmarkStart w:id="222" w:name="_Toc452111298"/>
      <w:bookmarkStart w:id="223" w:name="_Toc453058850"/>
      <w:r>
        <w:lastRenderedPageBreak/>
        <w:t>References</w:t>
      </w:r>
      <w:bookmarkEnd w:id="222"/>
      <w:bookmarkEnd w:id="223"/>
    </w:p>
    <w:p w14:paraId="2AEF51E4" w14:textId="77777777" w:rsidR="00C058BB" w:rsidRDefault="00C058BB" w:rsidP="0051449D">
      <w:pPr>
        <w:pStyle w:val="References"/>
      </w:pPr>
      <w:r w:rsidRPr="00162780">
        <w:t xml:space="preserve">Ahmad O, Boschi-Pinto C, Lopez AD, et al. 2001. </w:t>
      </w:r>
      <w:r w:rsidRPr="00162780">
        <w:rPr>
          <w:i/>
        </w:rPr>
        <w:t>Age Standardization of Rates: A new WHO standard</w:t>
      </w:r>
      <w:r w:rsidRPr="00162780">
        <w:t xml:space="preserve">. GPE Discussion Paper Series No. 31. Geneva: World Health Organization. URL: </w:t>
      </w:r>
      <w:hyperlink r:id="rId68" w:history="1">
        <w:r w:rsidRPr="00162780">
          <w:rPr>
            <w:rStyle w:val="Hyperlink"/>
          </w:rPr>
          <w:t>www.who.int/healthinfo/paper31.pdf</w:t>
        </w:r>
      </w:hyperlink>
      <w:r w:rsidRPr="00162780">
        <w:t xml:space="preserve"> </w:t>
      </w:r>
      <w:r>
        <w:t>(accessed 7 April 2016</w:t>
      </w:r>
      <w:r w:rsidRPr="00162780">
        <w:t>).</w:t>
      </w:r>
    </w:p>
    <w:p w14:paraId="3A2573FE" w14:textId="46280897" w:rsidR="00C058BB" w:rsidRDefault="00C058BB" w:rsidP="0051449D">
      <w:pPr>
        <w:pStyle w:val="References"/>
      </w:pPr>
      <w:r>
        <w:t xml:space="preserve">Borman B. 1998. </w:t>
      </w:r>
      <w:r>
        <w:rPr>
          <w:i/>
        </w:rPr>
        <w:t>Standardising rates of disease</w:t>
      </w:r>
      <w:r>
        <w:t>. Wellington: Ministry of Health.</w:t>
      </w:r>
    </w:p>
    <w:p w14:paraId="49DF9AC9" w14:textId="77777777" w:rsidR="00C058BB" w:rsidRDefault="00C058BB" w:rsidP="0051449D">
      <w:pPr>
        <w:pStyle w:val="References"/>
      </w:pPr>
      <w:r w:rsidRPr="00162780">
        <w:t xml:space="preserve">Keyfitz N. 1966. Sampling variance of standardized mortality rates. </w:t>
      </w:r>
      <w:r w:rsidRPr="00162780">
        <w:rPr>
          <w:i/>
        </w:rPr>
        <w:t>Human Biology</w:t>
      </w:r>
      <w:r w:rsidRPr="00162780">
        <w:t xml:space="preserve"> 38: 309–17.</w:t>
      </w:r>
    </w:p>
    <w:p w14:paraId="2241DDC0" w14:textId="77777777" w:rsidR="00C058BB" w:rsidRDefault="00C058BB" w:rsidP="0051449D">
      <w:pPr>
        <w:pStyle w:val="References"/>
      </w:pPr>
      <w:r w:rsidRPr="00937777">
        <w:t xml:space="preserve">Salmond C, Crampton P. 2002. </w:t>
      </w:r>
      <w:r w:rsidRPr="00937777">
        <w:rPr>
          <w:i/>
        </w:rPr>
        <w:t>NZDep2001 Index of Deprivation User</w:t>
      </w:r>
      <w:r w:rsidR="00714982">
        <w:rPr>
          <w:i/>
        </w:rPr>
        <w:t>’</w:t>
      </w:r>
      <w:r w:rsidRPr="00937777">
        <w:rPr>
          <w:i/>
        </w:rPr>
        <w:t>s Manual</w:t>
      </w:r>
      <w:r w:rsidRPr="00937777">
        <w:t>. Wellington: Wellington School of Medicine and Health Sciences.</w:t>
      </w:r>
    </w:p>
    <w:p w14:paraId="53E4C23A" w14:textId="77777777" w:rsidR="00C058BB" w:rsidRPr="00C058BB" w:rsidRDefault="00C058BB" w:rsidP="00C058BB"/>
    <w:sectPr w:rsidR="00C058BB" w:rsidRPr="00C058BB" w:rsidSect="009D5125">
      <w:headerReference w:type="default" r:id="rId69"/>
      <w:footerReference w:type="default" r:id="rId70"/>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879C37" w14:textId="77777777" w:rsidR="00731B42" w:rsidRDefault="00731B42">
      <w:pPr>
        <w:spacing w:line="240" w:lineRule="auto"/>
      </w:pPr>
      <w:r>
        <w:separator/>
      </w:r>
    </w:p>
    <w:p w14:paraId="3A80AB65" w14:textId="77777777" w:rsidR="00731B42" w:rsidRDefault="00731B42"/>
  </w:endnote>
  <w:endnote w:type="continuationSeparator" w:id="0">
    <w:p w14:paraId="1B837E67" w14:textId="77777777" w:rsidR="00731B42" w:rsidRDefault="00731B42">
      <w:pPr>
        <w:spacing w:line="240" w:lineRule="auto"/>
      </w:pPr>
      <w:r>
        <w:continuationSeparator/>
      </w:r>
    </w:p>
    <w:p w14:paraId="1E94FCAD" w14:textId="77777777" w:rsidR="00731B42" w:rsidRDefault="00731B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61ED2" w14:textId="77777777" w:rsidR="00731B42" w:rsidRPr="00581136" w:rsidRDefault="00731B42" w:rsidP="00F9366A">
    <w:pPr>
      <w:pStyle w:val="Footer"/>
      <w:pBdr>
        <w:bottom w:val="single" w:sz="4" w:space="1" w:color="auto"/>
      </w:pBdr>
      <w:tabs>
        <w:tab w:val="right" w:pos="8504"/>
      </w:tabs>
      <w:ind w:left="-1559"/>
      <w:rPr>
        <w:b/>
      </w:rPr>
    </w:pPr>
    <w:r w:rsidRPr="00581136">
      <w:rPr>
        <w:b/>
      </w:rPr>
      <w:t>Released 201</w:t>
    </w:r>
    <w:r>
      <w:rPr>
        <w:b/>
      </w:rPr>
      <w:t>6</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6C080" w14:textId="77777777" w:rsidR="00731B42" w:rsidRDefault="00731B42"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1E6D4" w14:textId="77777777" w:rsidR="00731B42" w:rsidRDefault="00731B4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B10A0" w14:textId="7220CF87" w:rsidR="00731B42" w:rsidRPr="00275D08" w:rsidRDefault="00731B42"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4B4E7B">
      <w:rPr>
        <w:rStyle w:val="PageNumber"/>
        <w:noProof/>
      </w:rPr>
      <w:t>vi</w:t>
    </w:r>
    <w:r w:rsidRPr="00FC46E7">
      <w:rPr>
        <w:rStyle w:val="PageNumber"/>
      </w:rPr>
      <w:fldChar w:fldCharType="end"/>
    </w:r>
    <w:r>
      <w:tab/>
      <w:t>Emergency Department Use 2014/15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4C3F0" w14:textId="1837957C" w:rsidR="00731B42" w:rsidRDefault="00731B42" w:rsidP="00533B90">
    <w:pPr>
      <w:pStyle w:val="RectoFooter"/>
    </w:pPr>
    <w:r>
      <w:tab/>
      <w:t>Emergency Department Use 2014/15</w:t>
    </w:r>
    <w:r>
      <w:tab/>
    </w:r>
    <w:r>
      <w:rPr>
        <w:rStyle w:val="PageNumber"/>
      </w:rPr>
      <w:fldChar w:fldCharType="begin"/>
    </w:r>
    <w:r>
      <w:rPr>
        <w:rStyle w:val="PageNumber"/>
      </w:rPr>
      <w:instrText xml:space="preserve"> PAGE </w:instrText>
    </w:r>
    <w:r>
      <w:rPr>
        <w:rStyle w:val="PageNumber"/>
      </w:rPr>
      <w:fldChar w:fldCharType="separate"/>
    </w:r>
    <w:r w:rsidR="004B4E7B">
      <w:rPr>
        <w:rStyle w:val="PageNumber"/>
        <w:noProof/>
      </w:rPr>
      <w:t>vii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71720" w14:textId="75A4BF51" w:rsidR="00731B42" w:rsidRPr="00275D08" w:rsidRDefault="00731B42"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4B4E7B">
      <w:rPr>
        <w:rStyle w:val="PageNumber"/>
        <w:noProof/>
      </w:rPr>
      <w:t>6</w:t>
    </w:r>
    <w:r w:rsidRPr="00FC46E7">
      <w:rPr>
        <w:rStyle w:val="PageNumber"/>
      </w:rPr>
      <w:fldChar w:fldCharType="end"/>
    </w:r>
    <w:r>
      <w:tab/>
      <w:t>Emergency Department Use 2014/15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D5B46" w14:textId="09E68687" w:rsidR="00731B42" w:rsidRDefault="00731B42" w:rsidP="009E3C8C">
    <w:pPr>
      <w:pStyle w:val="RectoFooter"/>
    </w:pPr>
    <w:r>
      <w:tab/>
      <w:t>Emergency Department Use 2014/15</w:t>
    </w:r>
    <w:r>
      <w:tab/>
    </w:r>
    <w:r>
      <w:rPr>
        <w:rStyle w:val="PageNumber"/>
      </w:rPr>
      <w:fldChar w:fldCharType="begin"/>
    </w:r>
    <w:r>
      <w:rPr>
        <w:rStyle w:val="PageNumber"/>
      </w:rPr>
      <w:instrText xml:space="preserve"> PAGE </w:instrText>
    </w:r>
    <w:r>
      <w:rPr>
        <w:rStyle w:val="PageNumber"/>
      </w:rPr>
      <w:fldChar w:fldCharType="separate"/>
    </w:r>
    <w:r w:rsidR="004B4E7B">
      <w:rPr>
        <w:rStyle w:val="PageNumber"/>
        <w:noProof/>
      </w:rPr>
      <w:t>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4CD892" w14:textId="77777777" w:rsidR="00731B42" w:rsidRPr="00A26E6B" w:rsidRDefault="00731B42" w:rsidP="00A26E6B"/>
  </w:footnote>
  <w:footnote w:type="continuationSeparator" w:id="0">
    <w:p w14:paraId="6AD6D7AD" w14:textId="77777777" w:rsidR="00731B42" w:rsidRDefault="00731B42">
      <w:pPr>
        <w:spacing w:line="240" w:lineRule="auto"/>
      </w:pPr>
      <w:r>
        <w:continuationSeparator/>
      </w:r>
    </w:p>
    <w:p w14:paraId="4F1CF624" w14:textId="77777777" w:rsidR="00731B42" w:rsidRDefault="00731B42"/>
  </w:footnote>
  <w:footnote w:id="1">
    <w:p w14:paraId="7298761E" w14:textId="77777777" w:rsidR="00731B42" w:rsidRDefault="00731B42" w:rsidP="00433ACE">
      <w:pPr>
        <w:pStyle w:val="FootnoteText"/>
      </w:pPr>
      <w:r w:rsidRPr="00A95D4D">
        <w:rPr>
          <w:rStyle w:val="FootnoteReference"/>
          <w:vertAlign w:val="baseline"/>
        </w:rPr>
        <w:footnoteRef/>
      </w:r>
      <w:r>
        <w:tab/>
        <w:t>Pacific, Asian, and European or Other ethnic groups combined.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C7B11" w14:textId="77777777" w:rsidR="00731B42" w:rsidRDefault="00731B42" w:rsidP="009216CC">
    <w:pPr>
      <w:pStyle w:val="Header"/>
      <w:ind w:left="-1559"/>
    </w:pPr>
    <w:r>
      <w:rPr>
        <w:noProof/>
        <w:lang w:eastAsia="en-NZ"/>
      </w:rPr>
      <w:drawing>
        <wp:inline distT="0" distB="0" distL="0" distR="0" wp14:anchorId="0F7678B2" wp14:editId="35454A8C">
          <wp:extent cx="6467475" cy="532130"/>
          <wp:effectExtent l="0" t="0" r="9525" b="1270"/>
          <wp:docPr id="59" name="Picture 10" title="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7475" cy="53213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E09E9" w14:textId="77777777" w:rsidR="00731B42" w:rsidRDefault="00731B42"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FD0F8" w14:textId="77777777" w:rsidR="00731B42" w:rsidRDefault="00731B42"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8BAAC" w14:textId="77777777" w:rsidR="00731B42" w:rsidRDefault="00731B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045F598E"/>
    <w:multiLevelType w:val="hybridMultilevel"/>
    <w:tmpl w:val="CE32DD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nsid w:val="1FFD740A"/>
    <w:multiLevelType w:val="hybridMultilevel"/>
    <w:tmpl w:val="041C253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39EF4CF0"/>
    <w:multiLevelType w:val="hybridMultilevel"/>
    <w:tmpl w:val="B2003D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EF33D8D"/>
    <w:multiLevelType w:val="hybridMultilevel"/>
    <w:tmpl w:val="FA02D53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8D555EF"/>
    <w:multiLevelType w:val="hybridMultilevel"/>
    <w:tmpl w:val="CF5A52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4ED75CC1"/>
    <w:multiLevelType w:val="hybridMultilevel"/>
    <w:tmpl w:val="5AB07D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54614954"/>
    <w:multiLevelType w:val="hybridMultilevel"/>
    <w:tmpl w:val="E4701C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5DCB791D"/>
    <w:multiLevelType w:val="hybridMultilevel"/>
    <w:tmpl w:val="1BB8CE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nsid w:val="66343057"/>
    <w:multiLevelType w:val="hybridMultilevel"/>
    <w:tmpl w:val="584A7BF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66D8295E"/>
    <w:multiLevelType w:val="hybridMultilevel"/>
    <w:tmpl w:val="7F3A56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4">
    <w:nsid w:val="6A395D2E"/>
    <w:multiLevelType w:val="hybridMultilevel"/>
    <w:tmpl w:val="E8C442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731F2CAC"/>
    <w:multiLevelType w:val="hybridMultilevel"/>
    <w:tmpl w:val="FA960A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6"/>
  </w:num>
  <w:num w:numId="2">
    <w:abstractNumId w:val="13"/>
  </w:num>
  <w:num w:numId="3">
    <w:abstractNumId w:val="4"/>
  </w:num>
  <w:num w:numId="4">
    <w:abstractNumId w:val="6"/>
  </w:num>
  <w:num w:numId="5">
    <w:abstractNumId w:val="0"/>
  </w:num>
  <w:num w:numId="6">
    <w:abstractNumId w:val="8"/>
  </w:num>
  <w:num w:numId="7">
    <w:abstractNumId w:val="10"/>
  </w:num>
  <w:num w:numId="8">
    <w:abstractNumId w:val="2"/>
  </w:num>
  <w:num w:numId="9">
    <w:abstractNumId w:val="1"/>
  </w:num>
  <w:num w:numId="10">
    <w:abstractNumId w:val="5"/>
  </w:num>
  <w:num w:numId="11">
    <w:abstractNumId w:val="11"/>
  </w:num>
  <w:num w:numId="12">
    <w:abstractNumId w:val="12"/>
  </w:num>
  <w:num w:numId="13">
    <w:abstractNumId w:val="3"/>
  </w:num>
  <w:num w:numId="14">
    <w:abstractNumId w:val="15"/>
  </w:num>
  <w:num w:numId="15">
    <w:abstractNumId w:val="7"/>
  </w:num>
  <w:num w:numId="16">
    <w:abstractNumId w:val="9"/>
  </w:num>
  <w:num w:numId="17">
    <w:abstractNumId w:val="14"/>
  </w:num>
  <w:num w:numId="18">
    <w:abstractNumId w:val="16"/>
  </w:num>
  <w:num w:numId="19">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1006A"/>
    <w:rsid w:val="0001441A"/>
    <w:rsid w:val="00023DD1"/>
    <w:rsid w:val="00030B26"/>
    <w:rsid w:val="00030D0C"/>
    <w:rsid w:val="00034234"/>
    <w:rsid w:val="00057204"/>
    <w:rsid w:val="0006228D"/>
    <w:rsid w:val="00070236"/>
    <w:rsid w:val="00070A8B"/>
    <w:rsid w:val="00072BD6"/>
    <w:rsid w:val="0007586D"/>
    <w:rsid w:val="00075B78"/>
    <w:rsid w:val="00082CD6"/>
    <w:rsid w:val="00085AFE"/>
    <w:rsid w:val="0008636F"/>
    <w:rsid w:val="000A11A3"/>
    <w:rsid w:val="000A1DDD"/>
    <w:rsid w:val="000A6051"/>
    <w:rsid w:val="000B0730"/>
    <w:rsid w:val="000B5C50"/>
    <w:rsid w:val="000C04C0"/>
    <w:rsid w:val="000F2AE2"/>
    <w:rsid w:val="00102063"/>
    <w:rsid w:val="0010541C"/>
    <w:rsid w:val="001059A9"/>
    <w:rsid w:val="00106F93"/>
    <w:rsid w:val="00107017"/>
    <w:rsid w:val="00111D50"/>
    <w:rsid w:val="00113B8E"/>
    <w:rsid w:val="001342C7"/>
    <w:rsid w:val="00134D6A"/>
    <w:rsid w:val="00135593"/>
    <w:rsid w:val="0013585C"/>
    <w:rsid w:val="00142954"/>
    <w:rsid w:val="00142E41"/>
    <w:rsid w:val="001460E0"/>
    <w:rsid w:val="00147F71"/>
    <w:rsid w:val="00150A6E"/>
    <w:rsid w:val="0016468A"/>
    <w:rsid w:val="00192491"/>
    <w:rsid w:val="001A0834"/>
    <w:rsid w:val="001A32FF"/>
    <w:rsid w:val="001A5CF5"/>
    <w:rsid w:val="001A786C"/>
    <w:rsid w:val="001B38EB"/>
    <w:rsid w:val="001B39D2"/>
    <w:rsid w:val="001B4BF8"/>
    <w:rsid w:val="001C258F"/>
    <w:rsid w:val="001C4326"/>
    <w:rsid w:val="001D3413"/>
    <w:rsid w:val="001D3541"/>
    <w:rsid w:val="00201A01"/>
    <w:rsid w:val="00201DC3"/>
    <w:rsid w:val="00206573"/>
    <w:rsid w:val="002104D3"/>
    <w:rsid w:val="00213A33"/>
    <w:rsid w:val="0021763B"/>
    <w:rsid w:val="00225E10"/>
    <w:rsid w:val="00246DB1"/>
    <w:rsid w:val="002476B5"/>
    <w:rsid w:val="00253ECF"/>
    <w:rsid w:val="002546A1"/>
    <w:rsid w:val="00267887"/>
    <w:rsid w:val="00275D08"/>
    <w:rsid w:val="002858E3"/>
    <w:rsid w:val="0029190A"/>
    <w:rsid w:val="00292C5A"/>
    <w:rsid w:val="00294FFD"/>
    <w:rsid w:val="00295241"/>
    <w:rsid w:val="002A6EC9"/>
    <w:rsid w:val="002B047D"/>
    <w:rsid w:val="002B732B"/>
    <w:rsid w:val="002C2219"/>
    <w:rsid w:val="002D0DF2"/>
    <w:rsid w:val="002D23BD"/>
    <w:rsid w:val="002D69D1"/>
    <w:rsid w:val="002E0B47"/>
    <w:rsid w:val="002F20CA"/>
    <w:rsid w:val="002F7213"/>
    <w:rsid w:val="002F7479"/>
    <w:rsid w:val="002F7A13"/>
    <w:rsid w:val="0030382F"/>
    <w:rsid w:val="0030408D"/>
    <w:rsid w:val="003060E4"/>
    <w:rsid w:val="00310418"/>
    <w:rsid w:val="00311704"/>
    <w:rsid w:val="003160E7"/>
    <w:rsid w:val="0031739E"/>
    <w:rsid w:val="003325AB"/>
    <w:rsid w:val="00333955"/>
    <w:rsid w:val="0033412B"/>
    <w:rsid w:val="00343365"/>
    <w:rsid w:val="00345808"/>
    <w:rsid w:val="00353501"/>
    <w:rsid w:val="00354789"/>
    <w:rsid w:val="0036008D"/>
    <w:rsid w:val="003606F8"/>
    <w:rsid w:val="003648EF"/>
    <w:rsid w:val="003673E6"/>
    <w:rsid w:val="00377264"/>
    <w:rsid w:val="00380FB9"/>
    <w:rsid w:val="003A26A5"/>
    <w:rsid w:val="003A3761"/>
    <w:rsid w:val="003A5FEA"/>
    <w:rsid w:val="003B1D10"/>
    <w:rsid w:val="003C3D94"/>
    <w:rsid w:val="003C76D4"/>
    <w:rsid w:val="003D220A"/>
    <w:rsid w:val="003D2CC5"/>
    <w:rsid w:val="003D5819"/>
    <w:rsid w:val="003E0F64"/>
    <w:rsid w:val="003E20D6"/>
    <w:rsid w:val="003E5C59"/>
    <w:rsid w:val="003E7C46"/>
    <w:rsid w:val="003F52A7"/>
    <w:rsid w:val="00400978"/>
    <w:rsid w:val="0040240C"/>
    <w:rsid w:val="00413021"/>
    <w:rsid w:val="00413A69"/>
    <w:rsid w:val="00415D33"/>
    <w:rsid w:val="00433ACE"/>
    <w:rsid w:val="00440BE0"/>
    <w:rsid w:val="00441A92"/>
    <w:rsid w:val="00442C1C"/>
    <w:rsid w:val="0044584B"/>
    <w:rsid w:val="004465C6"/>
    <w:rsid w:val="00447CB7"/>
    <w:rsid w:val="00460826"/>
    <w:rsid w:val="00460EA7"/>
    <w:rsid w:val="0046195B"/>
    <w:rsid w:val="0046596D"/>
    <w:rsid w:val="00487C04"/>
    <w:rsid w:val="004907E1"/>
    <w:rsid w:val="00491E7F"/>
    <w:rsid w:val="004A035B"/>
    <w:rsid w:val="004A38D7"/>
    <w:rsid w:val="004A778C"/>
    <w:rsid w:val="004B4E7B"/>
    <w:rsid w:val="004B6FDA"/>
    <w:rsid w:val="004C2E6A"/>
    <w:rsid w:val="004C64B8"/>
    <w:rsid w:val="004C6B75"/>
    <w:rsid w:val="004D2A2D"/>
    <w:rsid w:val="004D40D7"/>
    <w:rsid w:val="004D6689"/>
    <w:rsid w:val="004E0EDD"/>
    <w:rsid w:val="004E1D1D"/>
    <w:rsid w:val="004E7AC8"/>
    <w:rsid w:val="004E7B4E"/>
    <w:rsid w:val="004F0C94"/>
    <w:rsid w:val="005019AE"/>
    <w:rsid w:val="00503749"/>
    <w:rsid w:val="00504CF4"/>
    <w:rsid w:val="0050635B"/>
    <w:rsid w:val="00507368"/>
    <w:rsid w:val="0051449D"/>
    <w:rsid w:val="0053199F"/>
    <w:rsid w:val="00533B90"/>
    <w:rsid w:val="005410F8"/>
    <w:rsid w:val="005448EC"/>
    <w:rsid w:val="00545963"/>
    <w:rsid w:val="00550256"/>
    <w:rsid w:val="0055335A"/>
    <w:rsid w:val="00553958"/>
    <w:rsid w:val="0055763D"/>
    <w:rsid w:val="005621F2"/>
    <w:rsid w:val="00567B58"/>
    <w:rsid w:val="005724F6"/>
    <w:rsid w:val="0057263B"/>
    <w:rsid w:val="005763E0"/>
    <w:rsid w:val="00581136"/>
    <w:rsid w:val="005845FD"/>
    <w:rsid w:val="005A27CA"/>
    <w:rsid w:val="005A43BD"/>
    <w:rsid w:val="005B05CB"/>
    <w:rsid w:val="005B57B8"/>
    <w:rsid w:val="005D4409"/>
    <w:rsid w:val="005E226E"/>
    <w:rsid w:val="005E398C"/>
    <w:rsid w:val="006015D7"/>
    <w:rsid w:val="00601B21"/>
    <w:rsid w:val="006041F0"/>
    <w:rsid w:val="0062573F"/>
    <w:rsid w:val="00626CF8"/>
    <w:rsid w:val="00631A00"/>
    <w:rsid w:val="00636D7D"/>
    <w:rsid w:val="00637408"/>
    <w:rsid w:val="00642868"/>
    <w:rsid w:val="00647AFE"/>
    <w:rsid w:val="006512BC"/>
    <w:rsid w:val="00653A5A"/>
    <w:rsid w:val="006575F4"/>
    <w:rsid w:val="00657622"/>
    <w:rsid w:val="006579E6"/>
    <w:rsid w:val="00663EDC"/>
    <w:rsid w:val="0066402D"/>
    <w:rsid w:val="00665E8C"/>
    <w:rsid w:val="00671078"/>
    <w:rsid w:val="006758CA"/>
    <w:rsid w:val="0068007E"/>
    <w:rsid w:val="00680A04"/>
    <w:rsid w:val="00681C42"/>
    <w:rsid w:val="0068438B"/>
    <w:rsid w:val="00686D80"/>
    <w:rsid w:val="00686E27"/>
    <w:rsid w:val="0069413A"/>
    <w:rsid w:val="00694895"/>
    <w:rsid w:val="00697E2E"/>
    <w:rsid w:val="006A25A2"/>
    <w:rsid w:val="006A441E"/>
    <w:rsid w:val="006B0E73"/>
    <w:rsid w:val="006B4A4D"/>
    <w:rsid w:val="006B5695"/>
    <w:rsid w:val="006C78EB"/>
    <w:rsid w:val="006D1660"/>
    <w:rsid w:val="006E123D"/>
    <w:rsid w:val="006E675B"/>
    <w:rsid w:val="006F1B67"/>
    <w:rsid w:val="006F4D5D"/>
    <w:rsid w:val="0070091D"/>
    <w:rsid w:val="00702854"/>
    <w:rsid w:val="00713D83"/>
    <w:rsid w:val="00714982"/>
    <w:rsid w:val="007171BB"/>
    <w:rsid w:val="0071741C"/>
    <w:rsid w:val="00723ED1"/>
    <w:rsid w:val="00731B42"/>
    <w:rsid w:val="0073439A"/>
    <w:rsid w:val="00742B90"/>
    <w:rsid w:val="0074434D"/>
    <w:rsid w:val="0074555D"/>
    <w:rsid w:val="00752EDE"/>
    <w:rsid w:val="007539B1"/>
    <w:rsid w:val="00770136"/>
    <w:rsid w:val="00771B1E"/>
    <w:rsid w:val="00773C95"/>
    <w:rsid w:val="0078171E"/>
    <w:rsid w:val="00795B34"/>
    <w:rsid w:val="007A22E0"/>
    <w:rsid w:val="007B1770"/>
    <w:rsid w:val="007B4D3E"/>
    <w:rsid w:val="007B7C70"/>
    <w:rsid w:val="007C036D"/>
    <w:rsid w:val="007C22AA"/>
    <w:rsid w:val="007D2151"/>
    <w:rsid w:val="007D42CC"/>
    <w:rsid w:val="007D5DE4"/>
    <w:rsid w:val="007E0777"/>
    <w:rsid w:val="007E1341"/>
    <w:rsid w:val="007E1B41"/>
    <w:rsid w:val="007E1E39"/>
    <w:rsid w:val="007E30B9"/>
    <w:rsid w:val="007E4F5C"/>
    <w:rsid w:val="007E5B04"/>
    <w:rsid w:val="007E74F1"/>
    <w:rsid w:val="007F0F0C"/>
    <w:rsid w:val="007F1288"/>
    <w:rsid w:val="007F6BC9"/>
    <w:rsid w:val="007F73AF"/>
    <w:rsid w:val="00800A8A"/>
    <w:rsid w:val="0080155C"/>
    <w:rsid w:val="00802B9C"/>
    <w:rsid w:val="008052E1"/>
    <w:rsid w:val="00810030"/>
    <w:rsid w:val="00822F2C"/>
    <w:rsid w:val="008305E8"/>
    <w:rsid w:val="008306A9"/>
    <w:rsid w:val="0084066D"/>
    <w:rsid w:val="00844A73"/>
    <w:rsid w:val="00854763"/>
    <w:rsid w:val="00860826"/>
    <w:rsid w:val="00860E21"/>
    <w:rsid w:val="00863117"/>
    <w:rsid w:val="0086388B"/>
    <w:rsid w:val="008642E5"/>
    <w:rsid w:val="00872D93"/>
    <w:rsid w:val="00877E97"/>
    <w:rsid w:val="00880470"/>
    <w:rsid w:val="00880D94"/>
    <w:rsid w:val="008852D7"/>
    <w:rsid w:val="008924DE"/>
    <w:rsid w:val="0089277B"/>
    <w:rsid w:val="008967ED"/>
    <w:rsid w:val="008A3755"/>
    <w:rsid w:val="008B264F"/>
    <w:rsid w:val="008B6F83"/>
    <w:rsid w:val="008B7FD8"/>
    <w:rsid w:val="008C2973"/>
    <w:rsid w:val="008C64C4"/>
    <w:rsid w:val="008D7374"/>
    <w:rsid w:val="008D74D5"/>
    <w:rsid w:val="008E6623"/>
    <w:rsid w:val="008E7B66"/>
    <w:rsid w:val="008F29BE"/>
    <w:rsid w:val="008F4AE5"/>
    <w:rsid w:val="008F51EB"/>
    <w:rsid w:val="00900197"/>
    <w:rsid w:val="00902F55"/>
    <w:rsid w:val="0090582B"/>
    <w:rsid w:val="009060C0"/>
    <w:rsid w:val="00911707"/>
    <w:rsid w:val="009133F5"/>
    <w:rsid w:val="00920A27"/>
    <w:rsid w:val="00921216"/>
    <w:rsid w:val="009216CC"/>
    <w:rsid w:val="00932D69"/>
    <w:rsid w:val="00935E2B"/>
    <w:rsid w:val="00944647"/>
    <w:rsid w:val="00960F19"/>
    <w:rsid w:val="00977B8A"/>
    <w:rsid w:val="00982971"/>
    <w:rsid w:val="009845AD"/>
    <w:rsid w:val="009931B7"/>
    <w:rsid w:val="00995BA0"/>
    <w:rsid w:val="009A34B8"/>
    <w:rsid w:val="009A40F4"/>
    <w:rsid w:val="009A418B"/>
    <w:rsid w:val="009A4473"/>
    <w:rsid w:val="009C0656"/>
    <w:rsid w:val="009C151C"/>
    <w:rsid w:val="009D5125"/>
    <w:rsid w:val="009D5DE7"/>
    <w:rsid w:val="009D60B8"/>
    <w:rsid w:val="009D71B8"/>
    <w:rsid w:val="009D7D4B"/>
    <w:rsid w:val="009E36ED"/>
    <w:rsid w:val="009E3C8C"/>
    <w:rsid w:val="009E6B77"/>
    <w:rsid w:val="009F460A"/>
    <w:rsid w:val="00A043FB"/>
    <w:rsid w:val="00A05189"/>
    <w:rsid w:val="00A0729C"/>
    <w:rsid w:val="00A07779"/>
    <w:rsid w:val="00A10B1D"/>
    <w:rsid w:val="00A13E42"/>
    <w:rsid w:val="00A14834"/>
    <w:rsid w:val="00A20B2E"/>
    <w:rsid w:val="00A25069"/>
    <w:rsid w:val="00A26E6B"/>
    <w:rsid w:val="00A3068F"/>
    <w:rsid w:val="00A30F24"/>
    <w:rsid w:val="00A3145B"/>
    <w:rsid w:val="00A339D0"/>
    <w:rsid w:val="00A41002"/>
    <w:rsid w:val="00A4201A"/>
    <w:rsid w:val="00A43095"/>
    <w:rsid w:val="00A46BB6"/>
    <w:rsid w:val="00A538EC"/>
    <w:rsid w:val="00A553CE"/>
    <w:rsid w:val="00A5677A"/>
    <w:rsid w:val="00A64536"/>
    <w:rsid w:val="00A6490D"/>
    <w:rsid w:val="00A75EBD"/>
    <w:rsid w:val="00A80363"/>
    <w:rsid w:val="00A90CFA"/>
    <w:rsid w:val="00A9169D"/>
    <w:rsid w:val="00A95D4D"/>
    <w:rsid w:val="00AA1115"/>
    <w:rsid w:val="00AA240C"/>
    <w:rsid w:val="00AB441B"/>
    <w:rsid w:val="00AC101C"/>
    <w:rsid w:val="00AD1AC7"/>
    <w:rsid w:val="00AD429D"/>
    <w:rsid w:val="00AD46CB"/>
    <w:rsid w:val="00AD4CF1"/>
    <w:rsid w:val="00AD5988"/>
    <w:rsid w:val="00AF26B2"/>
    <w:rsid w:val="00AF7800"/>
    <w:rsid w:val="00B05195"/>
    <w:rsid w:val="00B072E0"/>
    <w:rsid w:val="00B12542"/>
    <w:rsid w:val="00B22FBA"/>
    <w:rsid w:val="00B253F6"/>
    <w:rsid w:val="00B305DB"/>
    <w:rsid w:val="00B32FF8"/>
    <w:rsid w:val="00B332F8"/>
    <w:rsid w:val="00B3492B"/>
    <w:rsid w:val="00B40F3E"/>
    <w:rsid w:val="00B44394"/>
    <w:rsid w:val="00B4646F"/>
    <w:rsid w:val="00B46661"/>
    <w:rsid w:val="00B534C0"/>
    <w:rsid w:val="00B543E1"/>
    <w:rsid w:val="00B55C7D"/>
    <w:rsid w:val="00B62EC5"/>
    <w:rsid w:val="00B63038"/>
    <w:rsid w:val="00B640DA"/>
    <w:rsid w:val="00B64BD8"/>
    <w:rsid w:val="00B701D1"/>
    <w:rsid w:val="00B73AF2"/>
    <w:rsid w:val="00B7551A"/>
    <w:rsid w:val="00B768FB"/>
    <w:rsid w:val="00B87534"/>
    <w:rsid w:val="00BA7D12"/>
    <w:rsid w:val="00BB7782"/>
    <w:rsid w:val="00BC3B00"/>
    <w:rsid w:val="00BC59F1"/>
    <w:rsid w:val="00BD4FAA"/>
    <w:rsid w:val="00BF0B9A"/>
    <w:rsid w:val="00BF3DE1"/>
    <w:rsid w:val="00BF4843"/>
    <w:rsid w:val="00BF5205"/>
    <w:rsid w:val="00C058BB"/>
    <w:rsid w:val="00C12508"/>
    <w:rsid w:val="00C24C26"/>
    <w:rsid w:val="00C45AA2"/>
    <w:rsid w:val="00C46FA6"/>
    <w:rsid w:val="00C66296"/>
    <w:rsid w:val="00C77282"/>
    <w:rsid w:val="00C83FAA"/>
    <w:rsid w:val="00C84DE5"/>
    <w:rsid w:val="00C86248"/>
    <w:rsid w:val="00CA4C33"/>
    <w:rsid w:val="00CA6F4A"/>
    <w:rsid w:val="00CB4EE1"/>
    <w:rsid w:val="00CD2119"/>
    <w:rsid w:val="00CD237A"/>
    <w:rsid w:val="00CD294B"/>
    <w:rsid w:val="00CD2E1C"/>
    <w:rsid w:val="00CD36AC"/>
    <w:rsid w:val="00CE7C19"/>
    <w:rsid w:val="00CF0B7C"/>
    <w:rsid w:val="00CF1747"/>
    <w:rsid w:val="00D0219E"/>
    <w:rsid w:val="00D074E1"/>
    <w:rsid w:val="00D127F2"/>
    <w:rsid w:val="00D23323"/>
    <w:rsid w:val="00D2392A"/>
    <w:rsid w:val="00D25FFE"/>
    <w:rsid w:val="00D421F4"/>
    <w:rsid w:val="00D4476F"/>
    <w:rsid w:val="00D54D50"/>
    <w:rsid w:val="00D56BD0"/>
    <w:rsid w:val="00D66797"/>
    <w:rsid w:val="00D7087C"/>
    <w:rsid w:val="00D70C3C"/>
    <w:rsid w:val="00D72BE5"/>
    <w:rsid w:val="00D82F26"/>
    <w:rsid w:val="00D84024"/>
    <w:rsid w:val="00D863D0"/>
    <w:rsid w:val="00D87C87"/>
    <w:rsid w:val="00DA7C5E"/>
    <w:rsid w:val="00DB39CF"/>
    <w:rsid w:val="00DC0C7C"/>
    <w:rsid w:val="00DC21AF"/>
    <w:rsid w:val="00DD0BCD"/>
    <w:rsid w:val="00DD447A"/>
    <w:rsid w:val="00DE3B20"/>
    <w:rsid w:val="00DE6C94"/>
    <w:rsid w:val="00DE6FD7"/>
    <w:rsid w:val="00DF3222"/>
    <w:rsid w:val="00E02460"/>
    <w:rsid w:val="00E02B4F"/>
    <w:rsid w:val="00E02B5E"/>
    <w:rsid w:val="00E05488"/>
    <w:rsid w:val="00E064D0"/>
    <w:rsid w:val="00E07AB2"/>
    <w:rsid w:val="00E13847"/>
    <w:rsid w:val="00E2272D"/>
    <w:rsid w:val="00E23271"/>
    <w:rsid w:val="00E24C0D"/>
    <w:rsid w:val="00E24F80"/>
    <w:rsid w:val="00E259F3"/>
    <w:rsid w:val="00E33238"/>
    <w:rsid w:val="00E4486C"/>
    <w:rsid w:val="00E460B6"/>
    <w:rsid w:val="00E46BF0"/>
    <w:rsid w:val="00E511D5"/>
    <w:rsid w:val="00E60052"/>
    <w:rsid w:val="00E60249"/>
    <w:rsid w:val="00E61335"/>
    <w:rsid w:val="00E65269"/>
    <w:rsid w:val="00E76D66"/>
    <w:rsid w:val="00E80127"/>
    <w:rsid w:val="00E853B5"/>
    <w:rsid w:val="00E90E26"/>
    <w:rsid w:val="00EA796A"/>
    <w:rsid w:val="00EB1856"/>
    <w:rsid w:val="00EC350E"/>
    <w:rsid w:val="00EC50CE"/>
    <w:rsid w:val="00EC5B34"/>
    <w:rsid w:val="00EC70AB"/>
    <w:rsid w:val="00EE4ADE"/>
    <w:rsid w:val="00EE5CB7"/>
    <w:rsid w:val="00EE6751"/>
    <w:rsid w:val="00F024FE"/>
    <w:rsid w:val="00F02503"/>
    <w:rsid w:val="00F05AD4"/>
    <w:rsid w:val="00F07A99"/>
    <w:rsid w:val="00F158C0"/>
    <w:rsid w:val="00F25970"/>
    <w:rsid w:val="00F31378"/>
    <w:rsid w:val="00F32803"/>
    <w:rsid w:val="00F33BC7"/>
    <w:rsid w:val="00F5180D"/>
    <w:rsid w:val="00F51A93"/>
    <w:rsid w:val="00F6244A"/>
    <w:rsid w:val="00F67496"/>
    <w:rsid w:val="00F72498"/>
    <w:rsid w:val="00F755A4"/>
    <w:rsid w:val="00F801BA"/>
    <w:rsid w:val="00F9366A"/>
    <w:rsid w:val="00F946C9"/>
    <w:rsid w:val="00F97A72"/>
    <w:rsid w:val="00FA0CB4"/>
    <w:rsid w:val="00FA1190"/>
    <w:rsid w:val="00FA74EE"/>
    <w:rsid w:val="00FB6133"/>
    <w:rsid w:val="00FC0884"/>
    <w:rsid w:val="00FC3711"/>
    <w:rsid w:val="00FC46E7"/>
    <w:rsid w:val="00FC5D25"/>
    <w:rsid w:val="00FD0D7E"/>
    <w:rsid w:val="00FD6615"/>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4:docId w14:val="00A56C0F"/>
  <w15:docId w15:val="{071A7AC4-59F1-4CE2-BB3B-27899C8E4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qFormat/>
    <w:rsid w:val="00E02B5E"/>
    <w:pPr>
      <w:keepNext/>
      <w:spacing w:after="6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paragraph" w:styleId="Heading6">
    <w:name w:val="heading 6"/>
    <w:basedOn w:val="Normal"/>
    <w:next w:val="Normal"/>
    <w:link w:val="Heading6Char"/>
    <w:qFormat/>
    <w:rsid w:val="00C058BB"/>
    <w:pPr>
      <w:pBdr>
        <w:bottom w:val="dotted" w:sz="6" w:space="1" w:color="4F81BD"/>
      </w:pBdr>
      <w:spacing w:before="300" w:after="200" w:line="360" w:lineRule="auto"/>
      <w:outlineLvl w:val="5"/>
    </w:pPr>
    <w:rPr>
      <w:caps/>
      <w:color w:val="365F91"/>
      <w:spacing w:val="10"/>
    </w:rPr>
  </w:style>
  <w:style w:type="paragraph" w:styleId="Heading7">
    <w:name w:val="heading 7"/>
    <w:basedOn w:val="Normal"/>
    <w:next w:val="Normal"/>
    <w:link w:val="Heading7Char"/>
    <w:qFormat/>
    <w:rsid w:val="00C058BB"/>
    <w:pPr>
      <w:spacing w:before="300" w:after="200" w:line="360" w:lineRule="auto"/>
      <w:outlineLvl w:val="6"/>
    </w:pPr>
    <w:rPr>
      <w:caps/>
      <w:color w:val="365F91"/>
      <w:spacing w:val="10"/>
    </w:rPr>
  </w:style>
  <w:style w:type="paragraph" w:styleId="Heading8">
    <w:name w:val="heading 8"/>
    <w:basedOn w:val="Normal"/>
    <w:next w:val="Normal"/>
    <w:link w:val="Heading8Char"/>
    <w:qFormat/>
    <w:rsid w:val="00C058BB"/>
    <w:pPr>
      <w:spacing w:before="300" w:after="200" w:line="360" w:lineRule="auto"/>
      <w:outlineLvl w:val="7"/>
    </w:pPr>
    <w:rPr>
      <w:caps/>
      <w:spacing w:val="10"/>
      <w:sz w:val="18"/>
      <w:szCs w:val="18"/>
    </w:rPr>
  </w:style>
  <w:style w:type="paragraph" w:styleId="Heading9">
    <w:name w:val="heading 9"/>
    <w:basedOn w:val="Normal"/>
    <w:next w:val="Normal"/>
    <w:link w:val="Heading9Char"/>
    <w:qFormat/>
    <w:rsid w:val="00C058BB"/>
    <w:pPr>
      <w:spacing w:before="300" w:after="200" w:line="360" w:lineRule="auto"/>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1006A"/>
    <w:pPr>
      <w:tabs>
        <w:tab w:val="left" w:pos="284"/>
        <w:tab w:val="right" w:pos="9356"/>
      </w:tabs>
      <w:spacing w:before="3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paragraph" w:styleId="Header">
    <w:name w:val="header"/>
    <w:basedOn w:val="Normal"/>
    <w:link w:val="HeaderChar"/>
    <w:qFormat/>
    <w:rsid w:val="00D25FFE"/>
  </w:style>
  <w:style w:type="paragraph" w:styleId="Title">
    <w:name w:val="Title"/>
    <w:basedOn w:val="Normal"/>
    <w:next w:val="Normal"/>
    <w:qFormat/>
    <w:rsid w:val="00CD237A"/>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link w:val="TableTextChar"/>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rsid w:val="003D5819"/>
    <w:pPr>
      <w:pBdr>
        <w:top w:val="single" w:sz="4" w:space="12" w:color="FFFFFF"/>
        <w:left w:val="single" w:sz="4" w:space="12" w:color="FFFFFF"/>
        <w:bottom w:val="single" w:sz="4" w:space="12" w:color="FFFFFF"/>
        <w:right w:val="single" w:sz="4" w:space="12" w:color="FFFFFF"/>
      </w:pBdr>
      <w:shd w:val="clear" w:color="auto" w:fill="DAEEF3"/>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C83FAA"/>
    <w:pPr>
      <w:spacing w:before="80"/>
      <w:ind w:right="2552"/>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C83FAA"/>
    <w:rPr>
      <w:rFonts w:ascii="Arial" w:hAnsi="Arial"/>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rsid w:val="0086388B"/>
    <w:rPr>
      <w:rFonts w:ascii="Georgia" w:hAnsi="Georgia"/>
      <w:b/>
      <w:sz w:val="60"/>
      <w:lang w:eastAsia="en-GB"/>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Heading2Char">
    <w:name w:val="Heading 2 Char"/>
    <w:link w:val="Heading2"/>
    <w:rsid w:val="0086388B"/>
    <w:rPr>
      <w:rFonts w:ascii="Georgia" w:hAnsi="Georgia"/>
      <w:b/>
      <w:sz w:val="40"/>
      <w:lang w:eastAsia="en-GB"/>
    </w:rPr>
  </w:style>
  <w:style w:type="character" w:customStyle="1" w:styleId="Heading3Char">
    <w:name w:val="Heading 3 Char"/>
    <w:link w:val="Heading3"/>
    <w:rsid w:val="0086388B"/>
    <w:rPr>
      <w:rFonts w:ascii="Georgia" w:hAnsi="Georgia"/>
      <w:b/>
      <w:sz w:val="28"/>
      <w:lang w:eastAsia="en-GB"/>
    </w:rPr>
  </w:style>
  <w:style w:type="character" w:customStyle="1" w:styleId="Heading6Char">
    <w:name w:val="Heading 6 Char"/>
    <w:link w:val="Heading6"/>
    <w:rsid w:val="00C058BB"/>
    <w:rPr>
      <w:rFonts w:ascii="Georgia" w:hAnsi="Georgia"/>
      <w:caps/>
      <w:color w:val="365F91"/>
      <w:spacing w:val="10"/>
      <w:sz w:val="22"/>
      <w:lang w:eastAsia="en-GB"/>
    </w:rPr>
  </w:style>
  <w:style w:type="character" w:customStyle="1" w:styleId="Heading7Char">
    <w:name w:val="Heading 7 Char"/>
    <w:link w:val="Heading7"/>
    <w:rsid w:val="00C058BB"/>
    <w:rPr>
      <w:rFonts w:ascii="Georgia" w:hAnsi="Georgia"/>
      <w:caps/>
      <w:color w:val="365F91"/>
      <w:spacing w:val="10"/>
      <w:sz w:val="22"/>
      <w:lang w:eastAsia="en-GB"/>
    </w:rPr>
  </w:style>
  <w:style w:type="character" w:customStyle="1" w:styleId="Heading8Char">
    <w:name w:val="Heading 8 Char"/>
    <w:link w:val="Heading8"/>
    <w:rsid w:val="00C058BB"/>
    <w:rPr>
      <w:rFonts w:ascii="Georgia" w:hAnsi="Georgia"/>
      <w:caps/>
      <w:spacing w:val="10"/>
      <w:sz w:val="18"/>
      <w:szCs w:val="18"/>
      <w:lang w:eastAsia="en-GB"/>
    </w:rPr>
  </w:style>
  <w:style w:type="character" w:customStyle="1" w:styleId="Heading9Char">
    <w:name w:val="Heading 9 Char"/>
    <w:link w:val="Heading9"/>
    <w:rsid w:val="00C058BB"/>
    <w:rPr>
      <w:rFonts w:ascii="Georgia" w:hAnsi="Georgia"/>
      <w:i/>
      <w:caps/>
      <w:spacing w:val="10"/>
      <w:sz w:val="18"/>
      <w:szCs w:val="18"/>
      <w:lang w:eastAsia="en-GB"/>
    </w:rPr>
  </w:style>
  <w:style w:type="paragraph" w:customStyle="1" w:styleId="Year">
    <w:name w:val="Year"/>
    <w:basedOn w:val="Subhead"/>
    <w:next w:val="Subhead"/>
    <w:qFormat/>
    <w:rsid w:val="00C058BB"/>
    <w:pPr>
      <w:pBdr>
        <w:bottom w:val="single" w:sz="48" w:space="6" w:color="auto"/>
      </w:pBdr>
    </w:pPr>
    <w:rPr>
      <w:sz w:val="56"/>
    </w:rPr>
  </w:style>
  <w:style w:type="character" w:customStyle="1" w:styleId="TableTextChar">
    <w:name w:val="TableText Char"/>
    <w:link w:val="TableText"/>
    <w:rsid w:val="00C058BB"/>
    <w:rPr>
      <w:rFonts w:ascii="Arial" w:hAnsi="Arial"/>
      <w:sz w:val="18"/>
      <w:lang w:eastAsia="en-GB"/>
    </w:rPr>
  </w:style>
  <w:style w:type="character" w:styleId="CommentReference">
    <w:name w:val="annotation reference"/>
    <w:basedOn w:val="DefaultParagraphFont"/>
    <w:uiPriority w:val="99"/>
    <w:semiHidden/>
    <w:unhideWhenUsed/>
    <w:rsid w:val="00BC3B00"/>
    <w:rPr>
      <w:sz w:val="16"/>
      <w:szCs w:val="16"/>
    </w:rPr>
  </w:style>
  <w:style w:type="paragraph" w:styleId="CommentText">
    <w:name w:val="annotation text"/>
    <w:basedOn w:val="Normal"/>
    <w:link w:val="CommentTextChar"/>
    <w:uiPriority w:val="99"/>
    <w:semiHidden/>
    <w:unhideWhenUsed/>
    <w:rsid w:val="00BC3B00"/>
    <w:pPr>
      <w:spacing w:line="240" w:lineRule="auto"/>
    </w:pPr>
    <w:rPr>
      <w:sz w:val="20"/>
    </w:rPr>
  </w:style>
  <w:style w:type="character" w:customStyle="1" w:styleId="CommentTextChar">
    <w:name w:val="Comment Text Char"/>
    <w:basedOn w:val="DefaultParagraphFont"/>
    <w:link w:val="CommentText"/>
    <w:uiPriority w:val="99"/>
    <w:semiHidden/>
    <w:rsid w:val="00BC3B00"/>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BC3B00"/>
    <w:rPr>
      <w:b/>
      <w:bCs/>
    </w:rPr>
  </w:style>
  <w:style w:type="character" w:customStyle="1" w:styleId="CommentSubjectChar">
    <w:name w:val="Comment Subject Char"/>
    <w:basedOn w:val="CommentTextChar"/>
    <w:link w:val="CommentSubject"/>
    <w:uiPriority w:val="99"/>
    <w:semiHidden/>
    <w:rsid w:val="00BC3B00"/>
    <w:rPr>
      <w:rFonts w:ascii="Georgia" w:hAnsi="Georgia"/>
      <w:b/>
      <w:bCs/>
      <w:lang w:eastAsia="en-GB"/>
    </w:rPr>
  </w:style>
  <w:style w:type="paragraph" w:styleId="BalloonText">
    <w:name w:val="Balloon Text"/>
    <w:basedOn w:val="Normal"/>
    <w:link w:val="BalloonTextChar"/>
    <w:semiHidden/>
    <w:unhideWhenUsed/>
    <w:rsid w:val="00BC3B0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BC3B00"/>
    <w:rPr>
      <w:rFonts w:ascii="Segoe UI" w:hAnsi="Segoe UI" w:cs="Segoe UI"/>
      <w:sz w:val="18"/>
      <w:szCs w:val="18"/>
      <w:lang w:eastAsia="en-GB"/>
    </w:rPr>
  </w:style>
  <w:style w:type="paragraph" w:styleId="ListParagraph">
    <w:name w:val="List Paragraph"/>
    <w:basedOn w:val="Normal"/>
    <w:uiPriority w:val="34"/>
    <w:qFormat/>
    <w:rsid w:val="00D021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10.emf"/><Relationship Id="rId39" Type="http://schemas.openxmlformats.org/officeDocument/2006/relationships/image" Target="media/image23.emf"/><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6.jpg"/><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image" Target="media/image47.emf"/><Relationship Id="rId68" Type="http://schemas.openxmlformats.org/officeDocument/2006/relationships/hyperlink" Target="http://www.who.int/healthinfo/paper31.pdf"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emf"/><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image" Target="media/image12.jpeg"/><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61" Type="http://schemas.openxmlformats.org/officeDocument/2006/relationships/image" Target="media/image45.emf"/><Relationship Id="rId10" Type="http://schemas.openxmlformats.org/officeDocument/2006/relationships/image" Target="media/image2.png"/><Relationship Id="rId19" Type="http://schemas.openxmlformats.org/officeDocument/2006/relationships/hyperlink" Target="mailto:data-enquiries@moh.govt.nz?subject=Report%20on%20Maternity,%202012" TargetMode="Externa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hyperlink" Target="http://www.stats.govt.n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jpeg"/><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hyperlink" Target="http://www.otago.ac.nz/wellington/departments/publichealth/research/hirp/otago020194.html" TargetMode="External"/><Relationship Id="rId69" Type="http://schemas.openxmlformats.org/officeDocument/2006/relationships/header" Target="header4.xml"/><Relationship Id="rId8" Type="http://schemas.openxmlformats.org/officeDocument/2006/relationships/header" Target="header1.xml"/><Relationship Id="rId51" Type="http://schemas.openxmlformats.org/officeDocument/2006/relationships/image" Target="media/image35.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emf"/><Relationship Id="rId33" Type="http://schemas.openxmlformats.org/officeDocument/2006/relationships/image" Target="media/image17.jpeg"/><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49.emf"/><Relationship Id="rId20" Type="http://schemas.openxmlformats.org/officeDocument/2006/relationships/image" Target="media/image4.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6564E-A4BA-4435-8234-152E691E6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Body.dot</Template>
  <TotalTime>61</TotalTime>
  <Pages>49</Pages>
  <Words>11637</Words>
  <Characters>63781</Characters>
  <Application>Microsoft Office Word</Application>
  <DocSecurity>0</DocSecurity>
  <Lines>531</Lines>
  <Paragraphs>150</Paragraphs>
  <ScaleCrop>false</ScaleCrop>
  <HeadingPairs>
    <vt:vector size="2" baseType="variant">
      <vt:variant>
        <vt:lpstr>Title</vt:lpstr>
      </vt:variant>
      <vt:variant>
        <vt:i4>1</vt:i4>
      </vt:variant>
    </vt:vector>
  </HeadingPairs>
  <TitlesOfParts>
    <vt:vector size="1" baseType="lpstr">
      <vt:lpstr>Emergency Department Use 2014/15</vt:lpstr>
    </vt:vector>
  </TitlesOfParts>
  <Company>Microsoft</Company>
  <LinksUpToDate>false</LinksUpToDate>
  <CharactersWithSpaces>75268</CharactersWithSpaces>
  <SharedDoc>false</SharedDoc>
  <HLinks>
    <vt:vector size="30" baseType="variant">
      <vt:variant>
        <vt:i4>917508</vt:i4>
      </vt:variant>
      <vt:variant>
        <vt:i4>543</vt:i4>
      </vt:variant>
      <vt:variant>
        <vt:i4>0</vt:i4>
      </vt:variant>
      <vt:variant>
        <vt:i4>5</vt:i4>
      </vt:variant>
      <vt:variant>
        <vt:lpwstr>http://www.who.int/healthinfo/paper31.pdf</vt:lpwstr>
      </vt:variant>
      <vt:variant>
        <vt:lpwstr/>
      </vt:variant>
      <vt:variant>
        <vt:i4>983051</vt:i4>
      </vt:variant>
      <vt:variant>
        <vt:i4>531</vt:i4>
      </vt:variant>
      <vt:variant>
        <vt:i4>0</vt:i4>
      </vt:variant>
      <vt:variant>
        <vt:i4>5</vt:i4>
      </vt:variant>
      <vt:variant>
        <vt:lpwstr>http://www.stats.govt.nz/</vt:lpwstr>
      </vt:variant>
      <vt:variant>
        <vt:lpwstr/>
      </vt:variant>
      <vt:variant>
        <vt:i4>786527</vt:i4>
      </vt:variant>
      <vt:variant>
        <vt:i4>528</vt:i4>
      </vt:variant>
      <vt:variant>
        <vt:i4>0</vt:i4>
      </vt:variant>
      <vt:variant>
        <vt:i4>5</vt:i4>
      </vt:variant>
      <vt:variant>
        <vt:lpwstr>http://www.otago.ac.nz/wellington/departments/publichealth/research/hirp/otago020194.html</vt:lpwstr>
      </vt:variant>
      <vt:variant>
        <vt:lpwstr>atlas</vt:lpwstr>
      </vt:variant>
      <vt:variant>
        <vt:i4>6357037</vt:i4>
      </vt:variant>
      <vt:variant>
        <vt:i4>474</vt:i4>
      </vt:variant>
      <vt:variant>
        <vt:i4>0</vt:i4>
      </vt:variant>
      <vt:variant>
        <vt:i4>5</vt:i4>
      </vt:variant>
      <vt:variant>
        <vt:lpwstr>http://www.health.govt.nz/new-zealand-health-system/health-targets/about-health-targets/health-targets-shorter-stays-emergency-departments</vt:lpwstr>
      </vt:variant>
      <vt:variant>
        <vt:lpwstr/>
      </vt:variant>
      <vt:variant>
        <vt:i4>7077898</vt:i4>
      </vt:variant>
      <vt:variant>
        <vt:i4>246</vt:i4>
      </vt:variant>
      <vt:variant>
        <vt:i4>0</vt:i4>
      </vt:variant>
      <vt:variant>
        <vt:i4>5</vt:i4>
      </vt:variant>
      <vt:variant>
        <vt:lpwstr>mailto:data-enquiries@moh.govt.nz?subject=Report%20on%20Maternity,%202012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Department Use 2014/15</dc:title>
  <dc:subject/>
  <dc:creator>Ministry of Health</dc:creator>
  <cp:keywords/>
  <dc:description/>
  <cp:lastModifiedBy>Esther Lim</cp:lastModifiedBy>
  <cp:revision>8</cp:revision>
  <cp:lastPrinted>2016-08-11T03:48:00Z</cp:lastPrinted>
  <dcterms:created xsi:type="dcterms:W3CDTF">2016-08-08T21:04:00Z</dcterms:created>
  <dcterms:modified xsi:type="dcterms:W3CDTF">2016-08-23T04:36:00Z</dcterms:modified>
</cp:coreProperties>
</file>