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94715641" w:displacedByCustomXml="next"/>
    <w:sdt>
      <w:sdtPr>
        <w:id w:val="-34509744"/>
        <w:docPartObj>
          <w:docPartGallery w:val="Cover Pages"/>
        </w:docPartObj>
      </w:sdtPr>
      <w:sdtEndPr/>
      <w:sdtContent>
        <w:bookmarkEnd w:id="0" w:displacedByCustomXml="prev"/>
        <w:p w14:paraId="3A07E4E2" w14:textId="1489B6C9" w:rsidR="00370232" w:rsidRPr="00654C3D" w:rsidRDefault="00132E36" w:rsidP="00851636">
          <w:r>
            <w:rPr>
              <w:noProof/>
            </w:rPr>
            <w:drawing>
              <wp:anchor distT="0" distB="0" distL="114300" distR="114300" simplePos="0" relativeHeight="251641344" behindDoc="0" locked="0" layoutInCell="1" allowOverlap="1" wp14:anchorId="10331AD1" wp14:editId="0236022F">
                <wp:simplePos x="0" y="0"/>
                <wp:positionH relativeFrom="margin">
                  <wp:align>center</wp:align>
                </wp:positionH>
                <wp:positionV relativeFrom="paragraph">
                  <wp:posOffset>97790</wp:posOffset>
                </wp:positionV>
                <wp:extent cx="6839585" cy="4558665"/>
                <wp:effectExtent l="0" t="0" r="0" b="0"/>
                <wp:wrapSquare wrapText="bothSides"/>
                <wp:docPr id="6" name="Picture 6" descr="A close-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toy&#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4558665"/>
                        </a:xfrm>
                        <a:prstGeom prst="rect">
                          <a:avLst/>
                        </a:prstGeom>
                      </pic:spPr>
                    </pic:pic>
                  </a:graphicData>
                </a:graphic>
                <wp14:sizeRelH relativeFrom="margin">
                  <wp14:pctWidth>0</wp14:pctWidth>
                </wp14:sizeRelH>
                <wp14:sizeRelV relativeFrom="margin">
                  <wp14:pctHeight>0</wp14:pctHeight>
                </wp14:sizeRelV>
              </wp:anchor>
            </w:drawing>
          </w:r>
          <w:r w:rsidR="0002451A">
            <w:rPr>
              <w:noProof/>
            </w:rPr>
            <mc:AlternateContent>
              <mc:Choice Requires="wpg">
                <w:drawing>
                  <wp:anchor distT="0" distB="0" distL="114300" distR="114300" simplePos="0" relativeHeight="251638272" behindDoc="0" locked="1" layoutInCell="1" allowOverlap="1" wp14:anchorId="7D861A85" wp14:editId="4AF49606">
                    <wp:simplePos x="0" y="0"/>
                    <wp:positionH relativeFrom="page">
                      <wp:posOffset>361950</wp:posOffset>
                    </wp:positionH>
                    <wp:positionV relativeFrom="page">
                      <wp:posOffset>5557520</wp:posOffset>
                    </wp:positionV>
                    <wp:extent cx="6839585" cy="4318635"/>
                    <wp:effectExtent l="0" t="0" r="0" b="571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39585" cy="4318635"/>
                              <a:chOff x="0" y="4796253"/>
                              <a:chExt cx="6840000" cy="4318947"/>
                            </a:xfrm>
                          </wpg:grpSpPr>
                          <wpg:grpSp>
                            <wpg:cNvPr id="1" name="Group 1"/>
                            <wpg:cNvGrpSpPr/>
                            <wpg:grpSpPr>
                              <a:xfrm>
                                <a:off x="0" y="4796253"/>
                                <a:ext cx="6840000" cy="4318947"/>
                                <a:chOff x="-415" y="4796593"/>
                                <a:chExt cx="6840000" cy="4319254"/>
                              </a:xfrm>
                            </wpg:grpSpPr>
                            <wps:wsp>
                              <wps:cNvPr id="5" name="Text Box 2"/>
                              <wps:cNvSpPr txBox="1">
                                <a:spLocks noChangeArrowheads="1"/>
                              </wps:cNvSpPr>
                              <wps:spPr bwMode="auto">
                                <a:xfrm>
                                  <a:off x="0" y="4796593"/>
                                  <a:ext cx="6839585" cy="3059430"/>
                                </a:xfrm>
                                <a:prstGeom prst="rect">
                                  <a:avLst/>
                                </a:prstGeom>
                                <a:solidFill>
                                  <a:schemeClr val="tx2"/>
                                </a:solidFill>
                                <a:ln w="9525">
                                  <a:noFill/>
                                  <a:miter lim="800000"/>
                                  <a:headEnd/>
                                  <a:tailEnd/>
                                </a:ln>
                              </wps:spPr>
                              <wps:txbx>
                                <w:txbxContent>
                                  <w:p w14:paraId="36657164" w14:textId="6CFB1E98" w:rsidR="00132E36" w:rsidRDefault="00BE70A4" w:rsidP="00132E36">
                                    <w:pPr>
                                      <w:pStyle w:val="ACReport-MainTitle"/>
                                    </w:pPr>
                                    <w:r w:rsidRPr="00BE70A4">
                                      <w:rPr>
                                        <w:sz w:val="80"/>
                                        <w:szCs w:val="80"/>
                                      </w:rPr>
                                      <w:t>Draft Strategy to Prevent and Minimise Gambling Harm (2022/23 to 2024/25</w:t>
                                    </w:r>
                                    <w:r>
                                      <w:t>)</w:t>
                                    </w:r>
                                  </w:p>
                                  <w:p w14:paraId="6CBBD8E6" w14:textId="070AC6B7" w:rsidR="00132E36" w:rsidRDefault="00132E36" w:rsidP="00132E36">
                                    <w:pPr>
                                      <w:pStyle w:val="ACReportDate"/>
                                      <w:rPr>
                                        <w:sz w:val="32"/>
                                      </w:rPr>
                                    </w:pPr>
                                    <w:r w:rsidRPr="008C26E7">
                                      <w:rPr>
                                        <w:sz w:val="32"/>
                                      </w:rPr>
                                      <w:t xml:space="preserve">Submissions Analysis </w:t>
                                    </w:r>
                                  </w:p>
                                  <w:p w14:paraId="7D7CEC02" w14:textId="5F104533" w:rsidR="00132E36" w:rsidRPr="003F7AF2" w:rsidRDefault="00F25DC9" w:rsidP="00132E36">
                                    <w:pPr>
                                      <w:pStyle w:val="ACReportDate"/>
                                    </w:pPr>
                                    <w:r>
                                      <w:t>5 November</w:t>
                                    </w:r>
                                    <w:r w:rsidR="00D53203">
                                      <w:t xml:space="preserve"> </w:t>
                                    </w:r>
                                    <w:r w:rsidR="00132E36">
                                      <w:t>2021</w:t>
                                    </w:r>
                                  </w:p>
                                  <w:p w14:paraId="09BC7664" w14:textId="37F468CE" w:rsidR="004C4E01" w:rsidRPr="003F7AF2" w:rsidRDefault="004C4E01" w:rsidP="00EE4E34">
                                    <w:pPr>
                                      <w:pStyle w:val="ACReportDate"/>
                                    </w:pPr>
                                  </w:p>
                                </w:txbxContent>
                              </wps:txbx>
                              <wps:bodyPr rot="0" vert="horz" wrap="square" lIns="91440" tIns="45720" rIns="91440" bIns="45720" anchor="t" anchorCtr="0">
                                <a:noAutofit/>
                              </wps:bodyPr>
                            </wps:wsp>
                            <wps:wsp>
                              <wps:cNvPr id="7" name="Text Box 2"/>
                              <wps:cNvSpPr txBox="1">
                                <a:spLocks noChangeArrowheads="1"/>
                              </wps:cNvSpPr>
                              <wps:spPr bwMode="auto">
                                <a:xfrm>
                                  <a:off x="-415" y="7855847"/>
                                  <a:ext cx="6840000" cy="1260000"/>
                                </a:xfrm>
                                <a:prstGeom prst="rect">
                                  <a:avLst/>
                                </a:prstGeom>
                                <a:solidFill>
                                  <a:schemeClr val="bg2"/>
                                </a:solidFill>
                                <a:ln w="9525">
                                  <a:noFill/>
                                  <a:miter lim="800000"/>
                                  <a:headEnd/>
                                  <a:tailEnd/>
                                </a:ln>
                              </wps:spPr>
                              <wps:txbx>
                                <w:txbxContent>
                                  <w:p w14:paraId="630B80D7" w14:textId="77777777" w:rsidR="004C4E01" w:rsidRDefault="004C4E01" w:rsidP="0002451A">
                                    <w:pPr>
                                      <w:jc w:val="center"/>
                                    </w:pPr>
                                  </w:p>
                                </w:txbxContent>
                              </wps:txbx>
                              <wps:bodyPr rot="0" vert="horz" wrap="square" lIns="91440" tIns="45720" rIns="91440" bIns="45720" anchor="t" anchorCtr="0">
                                <a:noAutofit/>
                              </wps:bodyPr>
                            </wps:wsp>
                          </wpg:grpSp>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76624" y="8028633"/>
                                <a:ext cx="4070985" cy="925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861A85" id="Group 8" o:spid="_x0000_s1026" alt="&quot;&quot;" style="position:absolute;margin-left:28.5pt;margin-top:437.6pt;width:538.55pt;height:340.05pt;z-index:251638272;mso-position-horizontal-relative:page;mso-position-vertical-relative:page;mso-width-relative:margin;mso-height-relative:margin" coordorigin=",47962" coordsize="68400,43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">
                    <v:group id="Group 1" o:spid="_x0000_s1027" style="position:absolute;top:47962;width:68400;height:43190" coordorigin="-4,47965" coordsize="68400,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47965;width:68395;height:30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" fillcolor="#36424a [3215]" stroked="f">
                        <v:textbox>
                          <w:txbxContent>
                            <w:p w14:paraId="36657164" w14:textId="6CFB1E98" w:rsidR="00132E36" w:rsidRDefault="00BE70A4" w:rsidP="00132E36">
                              <w:pPr>
                                <w:pStyle w:val="ACReport-MainTitle"/>
                              </w:pPr>
                              <w:r w:rsidRPr="00BE70A4">
                                <w:rPr>
                                  <w:sz w:val="80"/>
                                  <w:szCs w:val="80"/>
                                </w:rPr>
                                <w:t>Draft Strategy to Prevent and Minimise Gambling Harm (2022/23 to 2024/25</w:t>
                              </w:r>
                              <w:r>
                                <w:t>)</w:t>
                              </w:r>
                            </w:p>
                            <w:p w14:paraId="6CBBD8E6" w14:textId="070AC6B7" w:rsidR="00132E36" w:rsidRDefault="00132E36" w:rsidP="00132E36">
                              <w:pPr>
                                <w:pStyle w:val="ACReportDate"/>
                                <w:rPr>
                                  <w:sz w:val="32"/>
                                </w:rPr>
                              </w:pPr>
                              <w:r w:rsidRPr="008C26E7">
                                <w:rPr>
                                  <w:sz w:val="32"/>
                                </w:rPr>
                                <w:t xml:space="preserve">Submissions Analysis </w:t>
                              </w:r>
                            </w:p>
                            <w:p w14:paraId="7D7CEC02" w14:textId="5F104533" w:rsidR="00132E36" w:rsidRPr="003F7AF2" w:rsidRDefault="00F25DC9" w:rsidP="00132E36">
                              <w:pPr>
                                <w:pStyle w:val="ACReportDate"/>
                              </w:pPr>
                              <w:r>
                                <w:t>5 November</w:t>
                              </w:r>
                              <w:r w:rsidR="00D53203">
                                <w:t xml:space="preserve"> </w:t>
                              </w:r>
                              <w:r w:rsidR="00132E36">
                                <w:t>2021</w:t>
                              </w:r>
                            </w:p>
                            <w:p w14:paraId="09BC7664" w14:textId="37F468CE" w:rsidR="004C4E01" w:rsidRPr="003F7AF2" w:rsidRDefault="004C4E01" w:rsidP="00EE4E34">
                              <w:pPr>
                                <w:pStyle w:val="ACReportDate"/>
                              </w:pPr>
                            </w:p>
                          </w:txbxContent>
                        </v:textbox>
                      </v:shape>
                      <v:shape id="Text Box 2" o:spid="_x0000_s1029" type="#_x0000_t202" style="position:absolute;left:-4;top:78558;width:68399;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" fillcolor="#77b800 [3214]" stroked="f">
                        <v:textbox>
                          <w:txbxContent>
                            <w:p w14:paraId="630B80D7" w14:textId="77777777" w:rsidR="004C4E01" w:rsidRDefault="004C4E01" w:rsidP="0002451A">
                              <w:pPr>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3766;top:80286;width:40710;height:9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">
                      <v:imagedata r:id="rId13" o:title=""/>
                    </v:shape>
                    <w10:wrap anchorx="page" anchory="page"/>
                    <w10:anchorlock/>
                  </v:group>
                </w:pict>
              </mc:Fallback>
            </mc:AlternateContent>
          </w:r>
        </w:p>
        <w:p w14:paraId="5BE48C04" w14:textId="43158B0F" w:rsidR="00370232" w:rsidRPr="00654C3D" w:rsidRDefault="00370232" w:rsidP="00654C3D">
          <w:pPr>
            <w:pStyle w:val="BodyText"/>
          </w:pPr>
        </w:p>
        <w:p w14:paraId="69DC4E17" w14:textId="77777777" w:rsidR="00370232" w:rsidRPr="00654C3D" w:rsidRDefault="00370232" w:rsidP="00654C3D">
          <w:pPr>
            <w:pStyle w:val="BodyText"/>
          </w:pPr>
        </w:p>
        <w:p w14:paraId="43ACC3FD" w14:textId="4ACC9924" w:rsidR="00370232" w:rsidRPr="00654C3D" w:rsidRDefault="00370232" w:rsidP="00654C3D">
          <w:pPr>
            <w:pStyle w:val="BodyText"/>
          </w:pPr>
        </w:p>
        <w:p w14:paraId="55E78F82" w14:textId="77777777" w:rsidR="00370232" w:rsidRPr="00654C3D" w:rsidRDefault="00370232" w:rsidP="00654C3D"/>
        <w:p w14:paraId="2F795CD2" w14:textId="77777777" w:rsidR="00370232" w:rsidRPr="00654C3D" w:rsidRDefault="00370232" w:rsidP="00654C3D"/>
        <w:p w14:paraId="5DEAC206" w14:textId="77777777" w:rsidR="00CB4C2A" w:rsidRDefault="004D7373" w:rsidP="00CB4C2A"/>
      </w:sdtContent>
    </w:sdt>
    <w:p w14:paraId="122242F0" w14:textId="7F3E4FD6" w:rsidR="00CB4C2A" w:rsidRDefault="00CB4C2A">
      <w:pPr>
        <w:rPr>
          <w:rFonts w:asciiTheme="majorHAnsi" w:hAnsiTheme="majorHAnsi"/>
          <w:b/>
          <w:color w:val="36424A" w:themeColor="text2"/>
          <w:sz w:val="28"/>
        </w:rPr>
      </w:pPr>
      <w:r>
        <w:rPr>
          <w:rFonts w:asciiTheme="majorHAnsi" w:hAnsiTheme="majorHAnsi"/>
          <w:b/>
          <w:color w:val="36424A" w:themeColor="text2"/>
          <w:sz w:val="28"/>
        </w:rPr>
        <w:br w:type="page"/>
      </w:r>
    </w:p>
    <w:p w14:paraId="04C48DD5" w14:textId="6D5E5890" w:rsidR="00825F45" w:rsidRDefault="00825F45" w:rsidP="00825F45">
      <w:bookmarkStart w:id="1" w:name="_Hlk494457981"/>
    </w:p>
    <w:p w14:paraId="57787091" w14:textId="77777777" w:rsidR="006F1AF8" w:rsidRDefault="006F1AF8" w:rsidP="00825F45"/>
    <w:p w14:paraId="0381CCC5" w14:textId="77777777" w:rsidR="00172C6A" w:rsidRDefault="00172C6A" w:rsidP="00825F45"/>
    <w:p w14:paraId="2599515F" w14:textId="77777777" w:rsidR="00172C6A" w:rsidRDefault="00172C6A" w:rsidP="00825F45"/>
    <w:p w14:paraId="05D37F02" w14:textId="77777777" w:rsidR="00172C6A" w:rsidRDefault="00172C6A" w:rsidP="00825F45"/>
    <w:p w14:paraId="1DBC2CDF" w14:textId="77777777" w:rsidR="00172C6A" w:rsidRDefault="00172C6A" w:rsidP="00825F45"/>
    <w:p w14:paraId="571222E1" w14:textId="77777777" w:rsidR="00172C6A" w:rsidRDefault="00172C6A" w:rsidP="00825F45"/>
    <w:p w14:paraId="6DD0F098" w14:textId="77777777" w:rsidR="00172C6A" w:rsidRDefault="00172C6A" w:rsidP="00825F45"/>
    <w:p w14:paraId="03AAF5C7" w14:textId="77777777" w:rsidR="00172C6A" w:rsidRDefault="00172C6A" w:rsidP="00825F45"/>
    <w:p w14:paraId="50A37ED3" w14:textId="77777777" w:rsidR="00172C6A" w:rsidRDefault="00172C6A" w:rsidP="00825F45"/>
    <w:p w14:paraId="2B4552F3" w14:textId="77777777" w:rsidR="00172C6A" w:rsidRDefault="00172C6A" w:rsidP="00825F45"/>
    <w:p w14:paraId="1D8BF624" w14:textId="77777777" w:rsidR="00172C6A" w:rsidRDefault="00172C6A" w:rsidP="00825F45"/>
    <w:p w14:paraId="1D6E8FF5" w14:textId="77777777" w:rsidR="00172C6A" w:rsidRDefault="00172C6A" w:rsidP="00825F45"/>
    <w:p w14:paraId="35956B6B" w14:textId="77777777" w:rsidR="00172C6A" w:rsidRDefault="00172C6A" w:rsidP="00825F45"/>
    <w:p w14:paraId="4046B14D" w14:textId="77777777" w:rsidR="002A34D7" w:rsidRDefault="002A34D7" w:rsidP="00825F45"/>
    <w:p w14:paraId="730CB11C" w14:textId="77777777" w:rsidR="002A34D7" w:rsidRDefault="002A34D7" w:rsidP="00825F45"/>
    <w:p w14:paraId="4578C382" w14:textId="77777777" w:rsidR="00096C49" w:rsidRDefault="00096C49" w:rsidP="00825F45"/>
    <w:p w14:paraId="4F3501FF" w14:textId="77777777" w:rsidR="00096C49" w:rsidRDefault="00096C49" w:rsidP="00825F45"/>
    <w:p w14:paraId="24B6D85A" w14:textId="77777777" w:rsidR="00096C49" w:rsidRDefault="00096C49" w:rsidP="00825F45"/>
    <w:p w14:paraId="4CEEBDAD" w14:textId="77777777" w:rsidR="00096C49" w:rsidRDefault="00096C49" w:rsidP="00825F45"/>
    <w:p w14:paraId="3D9E97E6" w14:textId="77777777" w:rsidR="002A34D7" w:rsidRDefault="002A34D7" w:rsidP="00825F45"/>
    <w:p w14:paraId="21E489C5" w14:textId="77777777" w:rsidR="002A34D7" w:rsidRDefault="002A34D7" w:rsidP="00825F45"/>
    <w:p w14:paraId="57861199" w14:textId="0FE00ECB" w:rsidR="002A34D7" w:rsidRDefault="002A34D7" w:rsidP="00825F45"/>
    <w:tbl>
      <w:tblPr>
        <w:tblW w:w="1876" w:type="pct"/>
        <w:tblInd w:w="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03"/>
      </w:tblGrid>
      <w:tr w:rsidR="00096C49" w:rsidRPr="00172C6A" w14:paraId="11B46FC6" w14:textId="77777777" w:rsidTr="00096C49">
        <w:trPr>
          <w:trHeight w:val="317"/>
        </w:trPr>
        <w:tc>
          <w:tcPr>
            <w:tcW w:w="3400" w:type="dxa"/>
            <w:vMerge w:val="restart"/>
            <w:tcBorders>
              <w:top w:val="nil"/>
              <w:left w:val="nil"/>
              <w:bottom w:val="nil"/>
              <w:right w:val="nil"/>
            </w:tcBorders>
          </w:tcPr>
          <w:p w14:paraId="7E228EBC" w14:textId="21A44D63" w:rsidR="00096C49" w:rsidRDefault="00096C49" w:rsidP="00791AF5">
            <w:pPr>
              <w:pStyle w:val="Table-para"/>
              <w:ind w:left="320"/>
              <w:jc w:val="right"/>
            </w:pPr>
            <w:r>
              <w:rPr>
                <w:i/>
                <w:noProof/>
              </w:rPr>
              <w:drawing>
                <wp:anchor distT="0" distB="0" distL="114300" distR="114300" simplePos="0" relativeHeight="251678208" behindDoc="0" locked="0" layoutInCell="1" allowOverlap="1" wp14:anchorId="4C555DC1" wp14:editId="242C30FC">
                  <wp:simplePos x="0" y="0"/>
                  <wp:positionH relativeFrom="column">
                    <wp:posOffset>1720850</wp:posOffset>
                  </wp:positionH>
                  <wp:positionV relativeFrom="paragraph">
                    <wp:posOffset>887730</wp:posOffset>
                  </wp:positionV>
                  <wp:extent cx="540000" cy="1065600"/>
                  <wp:effectExtent l="0" t="0" r="0" b="127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Pr="008F7EF2">
              <w:rPr>
                <w:i/>
              </w:rPr>
              <w:t>Allen + Clarke</w:t>
            </w:r>
            <w:r>
              <w:t xml:space="preserve"> has been independently certified as compliant with ISO9001:2015 Quality Management Systems</w:t>
            </w:r>
          </w:p>
          <w:p w14:paraId="0ECAB5FD" w14:textId="77777777" w:rsidR="00096C49" w:rsidRPr="00791AF5" w:rsidRDefault="00096C49" w:rsidP="00791AF5">
            <w:pPr>
              <w:pStyle w:val="Table-para"/>
              <w:ind w:left="320"/>
              <w:jc w:val="right"/>
              <w:rPr>
                <w:noProof/>
              </w:rPr>
            </w:pPr>
            <w:r>
              <w:rPr>
                <w:noProof/>
              </w:rPr>
              <w:t xml:space="preserve"> </w:t>
            </w:r>
          </w:p>
        </w:tc>
      </w:tr>
      <w:tr w:rsidR="00096C49" w:rsidRPr="00172C6A" w14:paraId="6E326020" w14:textId="77777777" w:rsidTr="00096C49">
        <w:trPr>
          <w:trHeight w:val="317"/>
        </w:trPr>
        <w:tc>
          <w:tcPr>
            <w:tcW w:w="3400" w:type="dxa"/>
            <w:vMerge/>
            <w:tcBorders>
              <w:top w:val="nil"/>
              <w:left w:val="nil"/>
              <w:bottom w:val="nil"/>
              <w:right w:val="nil"/>
            </w:tcBorders>
          </w:tcPr>
          <w:p w14:paraId="05321A94" w14:textId="77777777" w:rsidR="00096C49" w:rsidRPr="00172C6A" w:rsidRDefault="00096C49" w:rsidP="002A34D7">
            <w:pPr>
              <w:pStyle w:val="Table-para"/>
              <w:rPr>
                <w:sz w:val="18"/>
              </w:rPr>
            </w:pPr>
          </w:p>
        </w:tc>
      </w:tr>
      <w:tr w:rsidR="00096C49" w:rsidRPr="00172C6A" w14:paraId="7E45BDB6" w14:textId="77777777" w:rsidTr="00096C49">
        <w:trPr>
          <w:trHeight w:val="317"/>
        </w:trPr>
        <w:tc>
          <w:tcPr>
            <w:tcW w:w="3400" w:type="dxa"/>
            <w:vMerge/>
            <w:tcBorders>
              <w:top w:val="nil"/>
              <w:left w:val="nil"/>
              <w:bottom w:val="nil"/>
              <w:right w:val="nil"/>
            </w:tcBorders>
          </w:tcPr>
          <w:p w14:paraId="0996EE6F" w14:textId="77777777" w:rsidR="00096C49" w:rsidRPr="00172C6A" w:rsidRDefault="00096C49" w:rsidP="002A34D7">
            <w:pPr>
              <w:pStyle w:val="Table-para"/>
              <w:rPr>
                <w:sz w:val="18"/>
              </w:rPr>
            </w:pPr>
          </w:p>
        </w:tc>
      </w:tr>
      <w:tr w:rsidR="00096C49" w:rsidRPr="00172C6A" w14:paraId="62DDD678" w14:textId="77777777" w:rsidTr="00096C49">
        <w:trPr>
          <w:trHeight w:val="317"/>
        </w:trPr>
        <w:tc>
          <w:tcPr>
            <w:tcW w:w="3400" w:type="dxa"/>
            <w:vMerge/>
            <w:tcBorders>
              <w:top w:val="nil"/>
              <w:left w:val="nil"/>
              <w:bottom w:val="nil"/>
              <w:right w:val="nil"/>
            </w:tcBorders>
          </w:tcPr>
          <w:p w14:paraId="7EB43839" w14:textId="77777777" w:rsidR="00096C49" w:rsidRPr="00172C6A" w:rsidRDefault="00096C49" w:rsidP="002A34D7">
            <w:pPr>
              <w:pStyle w:val="Table-para"/>
              <w:rPr>
                <w:sz w:val="18"/>
              </w:rPr>
            </w:pPr>
          </w:p>
        </w:tc>
      </w:tr>
      <w:tr w:rsidR="00096C49" w:rsidRPr="00172C6A" w14:paraId="7E66F6DE" w14:textId="77777777" w:rsidTr="00096C49">
        <w:trPr>
          <w:trHeight w:val="317"/>
        </w:trPr>
        <w:tc>
          <w:tcPr>
            <w:tcW w:w="3400" w:type="dxa"/>
            <w:vMerge/>
            <w:tcBorders>
              <w:top w:val="nil"/>
              <w:left w:val="nil"/>
              <w:bottom w:val="nil"/>
              <w:right w:val="nil"/>
            </w:tcBorders>
          </w:tcPr>
          <w:p w14:paraId="5A9E1A62" w14:textId="77777777" w:rsidR="00096C49" w:rsidRPr="00172C6A" w:rsidRDefault="00096C49" w:rsidP="002A34D7">
            <w:pPr>
              <w:pStyle w:val="Table-para"/>
              <w:rPr>
                <w:sz w:val="18"/>
              </w:rPr>
            </w:pPr>
          </w:p>
        </w:tc>
      </w:tr>
      <w:tr w:rsidR="00096C49" w:rsidRPr="00172C6A" w14:paraId="5A252555" w14:textId="77777777" w:rsidTr="00096C49">
        <w:trPr>
          <w:trHeight w:val="317"/>
        </w:trPr>
        <w:tc>
          <w:tcPr>
            <w:tcW w:w="3400" w:type="dxa"/>
            <w:vMerge/>
            <w:tcBorders>
              <w:top w:val="nil"/>
              <w:left w:val="nil"/>
              <w:bottom w:val="nil"/>
              <w:right w:val="nil"/>
            </w:tcBorders>
          </w:tcPr>
          <w:p w14:paraId="03973050" w14:textId="77777777" w:rsidR="00096C49" w:rsidRPr="00172C6A" w:rsidRDefault="00096C49" w:rsidP="002A34D7">
            <w:pPr>
              <w:pStyle w:val="Table-para"/>
              <w:rPr>
                <w:sz w:val="18"/>
              </w:rPr>
            </w:pPr>
          </w:p>
        </w:tc>
      </w:tr>
      <w:tr w:rsidR="00096C49" w:rsidRPr="00172C6A" w14:paraId="17313CFB" w14:textId="77777777" w:rsidTr="00096C49">
        <w:trPr>
          <w:trHeight w:val="317"/>
        </w:trPr>
        <w:tc>
          <w:tcPr>
            <w:tcW w:w="3400" w:type="dxa"/>
            <w:vMerge/>
            <w:tcBorders>
              <w:top w:val="nil"/>
              <w:left w:val="nil"/>
              <w:bottom w:val="nil"/>
              <w:right w:val="nil"/>
            </w:tcBorders>
          </w:tcPr>
          <w:p w14:paraId="3724BB46" w14:textId="77777777" w:rsidR="00096C49" w:rsidRPr="00172C6A" w:rsidRDefault="00096C49" w:rsidP="002A34D7">
            <w:pPr>
              <w:pStyle w:val="Table-para"/>
              <w:rPr>
                <w:sz w:val="18"/>
              </w:rPr>
            </w:pPr>
          </w:p>
        </w:tc>
      </w:tr>
      <w:tr w:rsidR="00096C49" w:rsidRPr="00172C6A" w14:paraId="100C1E47" w14:textId="77777777" w:rsidTr="00096C49">
        <w:trPr>
          <w:trHeight w:val="317"/>
        </w:trPr>
        <w:tc>
          <w:tcPr>
            <w:tcW w:w="3400" w:type="dxa"/>
            <w:vMerge/>
            <w:tcBorders>
              <w:top w:val="nil"/>
              <w:left w:val="nil"/>
              <w:bottom w:val="nil"/>
              <w:right w:val="nil"/>
            </w:tcBorders>
          </w:tcPr>
          <w:p w14:paraId="56F1A9CE" w14:textId="77777777" w:rsidR="00096C49" w:rsidRPr="00172C6A" w:rsidRDefault="00096C49" w:rsidP="002A34D7">
            <w:pPr>
              <w:pStyle w:val="Table-para"/>
              <w:rPr>
                <w:sz w:val="18"/>
              </w:rPr>
            </w:pPr>
          </w:p>
        </w:tc>
      </w:tr>
      <w:tr w:rsidR="00096C49" w:rsidRPr="00172C6A" w14:paraId="134FDEE4" w14:textId="77777777" w:rsidTr="00096C49">
        <w:trPr>
          <w:trHeight w:val="317"/>
        </w:trPr>
        <w:tc>
          <w:tcPr>
            <w:tcW w:w="3400" w:type="dxa"/>
            <w:vMerge/>
            <w:tcBorders>
              <w:top w:val="nil"/>
              <w:left w:val="nil"/>
              <w:bottom w:val="nil"/>
              <w:right w:val="nil"/>
            </w:tcBorders>
          </w:tcPr>
          <w:p w14:paraId="4992799A" w14:textId="77777777" w:rsidR="00096C49" w:rsidRPr="00172C6A" w:rsidRDefault="00096C49" w:rsidP="002A34D7">
            <w:pPr>
              <w:pStyle w:val="Table-para"/>
              <w:rPr>
                <w:sz w:val="18"/>
              </w:rPr>
            </w:pPr>
          </w:p>
        </w:tc>
      </w:tr>
    </w:tbl>
    <w:bookmarkEnd w:id="1"/>
    <w:p w14:paraId="34A57F60" w14:textId="62E936F7" w:rsidR="00607625" w:rsidRDefault="00EC7994" w:rsidP="00EF1FE6">
      <w:pPr>
        <w:pStyle w:val="BodyText"/>
        <w:spacing w:before="0"/>
        <w:rPr>
          <w:rFonts w:asciiTheme="majorHAnsi" w:hAnsiTheme="majorHAnsi"/>
          <w:b/>
          <w:color w:val="36424A" w:themeColor="text2"/>
          <w:sz w:val="28"/>
        </w:rPr>
      </w:pPr>
      <w:r w:rsidRPr="006A3C41">
        <w:rPr>
          <w:rFonts w:asciiTheme="majorHAnsi" w:hAnsiTheme="majorHAnsi"/>
          <w:b/>
          <w:color w:val="36424A" w:themeColor="text2"/>
          <w:sz w:val="28"/>
        </w:rPr>
        <w:lastRenderedPageBreak/>
        <w:t>CONTENTS</w:t>
      </w:r>
    </w:p>
    <w:p w14:paraId="4C14670E" w14:textId="77777777" w:rsidR="00364C3D" w:rsidRPr="00364C3D" w:rsidRDefault="00364C3D" w:rsidP="00364C3D">
      <w:pPr>
        <w:pStyle w:val="BodyText"/>
      </w:pPr>
    </w:p>
    <w:p w14:paraId="0138C983" w14:textId="21FC3284" w:rsidR="008D1927" w:rsidRDefault="003743F7">
      <w:pPr>
        <w:pStyle w:val="TOC1"/>
        <w:rPr>
          <w:rFonts w:asciiTheme="minorHAnsi" w:eastAsiaTheme="minorEastAsia" w:hAnsiTheme="minorHAnsi"/>
          <w:b w:val="0"/>
          <w:caps w:val="0"/>
          <w:lang w:eastAsia="en-NZ"/>
        </w:rPr>
      </w:pPr>
      <w:r w:rsidRPr="00654C3D">
        <w:fldChar w:fldCharType="begin"/>
      </w:r>
      <w:r w:rsidRPr="00654C3D">
        <w:instrText xml:space="preserve"> TOC \o "1-3" \h \z \u </w:instrText>
      </w:r>
      <w:r w:rsidRPr="00654C3D">
        <w:fldChar w:fldCharType="separate"/>
      </w:r>
      <w:hyperlink w:anchor="_Toc88637521" w:history="1">
        <w:r w:rsidR="008D1927" w:rsidRPr="009C5B5D">
          <w:rPr>
            <w:rStyle w:val="Hyperlink"/>
          </w:rPr>
          <w:t>Glossary</w:t>
        </w:r>
        <w:r w:rsidR="008D1927">
          <w:rPr>
            <w:webHidden/>
          </w:rPr>
          <w:tab/>
        </w:r>
        <w:r w:rsidR="008D1927">
          <w:rPr>
            <w:webHidden/>
          </w:rPr>
          <w:fldChar w:fldCharType="begin"/>
        </w:r>
        <w:r w:rsidR="008D1927">
          <w:rPr>
            <w:webHidden/>
          </w:rPr>
          <w:instrText xml:space="preserve"> PAGEREF _Toc88637521 \h </w:instrText>
        </w:r>
        <w:r w:rsidR="008D1927">
          <w:rPr>
            <w:webHidden/>
          </w:rPr>
        </w:r>
        <w:r w:rsidR="008D1927">
          <w:rPr>
            <w:webHidden/>
          </w:rPr>
          <w:fldChar w:fldCharType="separate"/>
        </w:r>
        <w:r w:rsidR="00071098">
          <w:rPr>
            <w:webHidden/>
          </w:rPr>
          <w:t>7</w:t>
        </w:r>
        <w:r w:rsidR="008D1927">
          <w:rPr>
            <w:webHidden/>
          </w:rPr>
          <w:fldChar w:fldCharType="end"/>
        </w:r>
      </w:hyperlink>
    </w:p>
    <w:p w14:paraId="7A974F6C" w14:textId="7C3848CE" w:rsidR="008D1927" w:rsidRDefault="004D7373">
      <w:pPr>
        <w:pStyle w:val="TOC2"/>
        <w:rPr>
          <w:rFonts w:asciiTheme="minorHAnsi" w:eastAsiaTheme="minorEastAsia" w:hAnsiTheme="minorHAnsi"/>
          <w:lang w:eastAsia="en-NZ"/>
        </w:rPr>
      </w:pPr>
      <w:hyperlink w:anchor="_Toc88637522" w:history="1">
        <w:r w:rsidR="008D1927" w:rsidRPr="009C5B5D">
          <w:rPr>
            <w:rStyle w:val="Hyperlink"/>
          </w:rPr>
          <w:t>Sixty-four submissions were received</w:t>
        </w:r>
        <w:r w:rsidR="008D1927">
          <w:rPr>
            <w:webHidden/>
          </w:rPr>
          <w:tab/>
        </w:r>
        <w:r w:rsidR="008D1927">
          <w:rPr>
            <w:webHidden/>
          </w:rPr>
          <w:fldChar w:fldCharType="begin"/>
        </w:r>
        <w:r w:rsidR="008D1927">
          <w:rPr>
            <w:webHidden/>
          </w:rPr>
          <w:instrText xml:space="preserve"> PAGEREF _Toc88637522 \h </w:instrText>
        </w:r>
        <w:r w:rsidR="008D1927">
          <w:rPr>
            <w:webHidden/>
          </w:rPr>
        </w:r>
        <w:r w:rsidR="008D1927">
          <w:rPr>
            <w:webHidden/>
          </w:rPr>
          <w:fldChar w:fldCharType="separate"/>
        </w:r>
        <w:r w:rsidR="00071098">
          <w:rPr>
            <w:webHidden/>
          </w:rPr>
          <w:t>8</w:t>
        </w:r>
        <w:r w:rsidR="008D1927">
          <w:rPr>
            <w:webHidden/>
          </w:rPr>
          <w:fldChar w:fldCharType="end"/>
        </w:r>
      </w:hyperlink>
    </w:p>
    <w:p w14:paraId="19CEE237" w14:textId="475A5FDF" w:rsidR="008D1927" w:rsidRDefault="004D7373">
      <w:pPr>
        <w:pStyle w:val="TOC2"/>
        <w:rPr>
          <w:rFonts w:asciiTheme="minorHAnsi" w:eastAsiaTheme="minorEastAsia" w:hAnsiTheme="minorHAnsi"/>
          <w:lang w:eastAsia="en-NZ"/>
        </w:rPr>
      </w:pPr>
      <w:hyperlink w:anchor="_Toc88637523" w:history="1">
        <w:r w:rsidR="008D1927" w:rsidRPr="009C5B5D">
          <w:rPr>
            <w:rStyle w:val="Hyperlink"/>
          </w:rPr>
          <w:t>Key themes at consultation hui</w:t>
        </w:r>
        <w:r w:rsidR="008D1927">
          <w:rPr>
            <w:webHidden/>
          </w:rPr>
          <w:tab/>
        </w:r>
        <w:r w:rsidR="008D1927">
          <w:rPr>
            <w:webHidden/>
          </w:rPr>
          <w:fldChar w:fldCharType="begin"/>
        </w:r>
        <w:r w:rsidR="008D1927">
          <w:rPr>
            <w:webHidden/>
          </w:rPr>
          <w:instrText xml:space="preserve"> PAGEREF _Toc88637523 \h </w:instrText>
        </w:r>
        <w:r w:rsidR="008D1927">
          <w:rPr>
            <w:webHidden/>
          </w:rPr>
        </w:r>
        <w:r w:rsidR="008D1927">
          <w:rPr>
            <w:webHidden/>
          </w:rPr>
          <w:fldChar w:fldCharType="separate"/>
        </w:r>
        <w:r w:rsidR="00071098">
          <w:rPr>
            <w:webHidden/>
          </w:rPr>
          <w:t>8</w:t>
        </w:r>
        <w:r w:rsidR="008D1927">
          <w:rPr>
            <w:webHidden/>
          </w:rPr>
          <w:fldChar w:fldCharType="end"/>
        </w:r>
      </w:hyperlink>
    </w:p>
    <w:p w14:paraId="30C9204A" w14:textId="75770708" w:rsidR="008D1927" w:rsidRDefault="004D7373">
      <w:pPr>
        <w:pStyle w:val="TOC2"/>
        <w:rPr>
          <w:rFonts w:asciiTheme="minorHAnsi" w:eastAsiaTheme="minorEastAsia" w:hAnsiTheme="minorHAnsi"/>
          <w:lang w:eastAsia="en-NZ"/>
        </w:rPr>
      </w:pPr>
      <w:hyperlink w:anchor="_Toc88637524" w:history="1">
        <w:r w:rsidR="008D1927" w:rsidRPr="009C5B5D">
          <w:rPr>
            <w:rStyle w:val="Hyperlink"/>
          </w:rPr>
          <w:t>Lived experience stories</w:t>
        </w:r>
        <w:r w:rsidR="008D1927">
          <w:rPr>
            <w:webHidden/>
          </w:rPr>
          <w:tab/>
        </w:r>
        <w:r w:rsidR="008D1927">
          <w:rPr>
            <w:webHidden/>
          </w:rPr>
          <w:fldChar w:fldCharType="begin"/>
        </w:r>
        <w:r w:rsidR="008D1927">
          <w:rPr>
            <w:webHidden/>
          </w:rPr>
          <w:instrText xml:space="preserve"> PAGEREF _Toc88637524 \h </w:instrText>
        </w:r>
        <w:r w:rsidR="008D1927">
          <w:rPr>
            <w:webHidden/>
          </w:rPr>
        </w:r>
        <w:r w:rsidR="008D1927">
          <w:rPr>
            <w:webHidden/>
          </w:rPr>
          <w:fldChar w:fldCharType="separate"/>
        </w:r>
        <w:r w:rsidR="00071098">
          <w:rPr>
            <w:webHidden/>
          </w:rPr>
          <w:t>10</w:t>
        </w:r>
        <w:r w:rsidR="008D1927">
          <w:rPr>
            <w:webHidden/>
          </w:rPr>
          <w:fldChar w:fldCharType="end"/>
        </w:r>
      </w:hyperlink>
    </w:p>
    <w:p w14:paraId="2EE87539" w14:textId="5DB8D1EF" w:rsidR="008D1927" w:rsidRDefault="004D7373">
      <w:pPr>
        <w:pStyle w:val="TOC2"/>
        <w:rPr>
          <w:rFonts w:asciiTheme="minorHAnsi" w:eastAsiaTheme="minorEastAsia" w:hAnsiTheme="minorHAnsi"/>
          <w:lang w:eastAsia="en-NZ"/>
        </w:rPr>
      </w:pPr>
      <w:hyperlink w:anchor="_Toc88637525" w:history="1">
        <w:r w:rsidR="008D1927" w:rsidRPr="009C5B5D">
          <w:rPr>
            <w:rStyle w:val="Hyperlink"/>
          </w:rPr>
          <w:t>Key themes from written submissions</w:t>
        </w:r>
        <w:r w:rsidR="008D1927">
          <w:rPr>
            <w:webHidden/>
          </w:rPr>
          <w:tab/>
        </w:r>
        <w:r w:rsidR="008D1927">
          <w:rPr>
            <w:webHidden/>
          </w:rPr>
          <w:fldChar w:fldCharType="begin"/>
        </w:r>
        <w:r w:rsidR="008D1927">
          <w:rPr>
            <w:webHidden/>
          </w:rPr>
          <w:instrText xml:space="preserve"> PAGEREF _Toc88637525 \h </w:instrText>
        </w:r>
        <w:r w:rsidR="008D1927">
          <w:rPr>
            <w:webHidden/>
          </w:rPr>
        </w:r>
        <w:r w:rsidR="008D1927">
          <w:rPr>
            <w:webHidden/>
          </w:rPr>
          <w:fldChar w:fldCharType="separate"/>
        </w:r>
        <w:r w:rsidR="00071098">
          <w:rPr>
            <w:webHidden/>
          </w:rPr>
          <w:t>11</w:t>
        </w:r>
        <w:r w:rsidR="008D1927">
          <w:rPr>
            <w:webHidden/>
          </w:rPr>
          <w:fldChar w:fldCharType="end"/>
        </w:r>
      </w:hyperlink>
    </w:p>
    <w:p w14:paraId="26E5EA58" w14:textId="3141AF57" w:rsidR="008D1927" w:rsidRDefault="004D7373">
      <w:pPr>
        <w:pStyle w:val="TOC1"/>
        <w:rPr>
          <w:rFonts w:asciiTheme="minorHAnsi" w:eastAsiaTheme="minorEastAsia" w:hAnsiTheme="minorHAnsi"/>
          <w:b w:val="0"/>
          <w:caps w:val="0"/>
          <w:lang w:eastAsia="en-NZ"/>
        </w:rPr>
      </w:pPr>
      <w:hyperlink w:anchor="_Toc88637526" w:history="1">
        <w:r w:rsidR="008D1927" w:rsidRPr="009C5B5D">
          <w:rPr>
            <w:rStyle w:val="Hyperlink"/>
          </w:rPr>
          <w:t>1.</w:t>
        </w:r>
        <w:r w:rsidR="008D1927">
          <w:rPr>
            <w:rFonts w:asciiTheme="minorHAnsi" w:eastAsiaTheme="minorEastAsia" w:hAnsiTheme="minorHAnsi"/>
            <w:b w:val="0"/>
            <w:caps w:val="0"/>
            <w:lang w:eastAsia="en-NZ"/>
          </w:rPr>
          <w:tab/>
        </w:r>
        <w:r w:rsidR="008D1927" w:rsidRPr="009C5B5D">
          <w:rPr>
            <w:rStyle w:val="Hyperlink"/>
          </w:rPr>
          <w:t>Introduction</w:t>
        </w:r>
        <w:r w:rsidR="008D1927">
          <w:rPr>
            <w:webHidden/>
          </w:rPr>
          <w:tab/>
        </w:r>
        <w:r w:rsidR="008D1927">
          <w:rPr>
            <w:webHidden/>
          </w:rPr>
          <w:fldChar w:fldCharType="begin"/>
        </w:r>
        <w:r w:rsidR="008D1927">
          <w:rPr>
            <w:webHidden/>
          </w:rPr>
          <w:instrText xml:space="preserve"> PAGEREF _Toc88637526 \h </w:instrText>
        </w:r>
        <w:r w:rsidR="008D1927">
          <w:rPr>
            <w:webHidden/>
          </w:rPr>
        </w:r>
        <w:r w:rsidR="008D1927">
          <w:rPr>
            <w:webHidden/>
          </w:rPr>
          <w:fldChar w:fldCharType="separate"/>
        </w:r>
        <w:r w:rsidR="00071098">
          <w:rPr>
            <w:webHidden/>
          </w:rPr>
          <w:t>18</w:t>
        </w:r>
        <w:r w:rsidR="008D1927">
          <w:rPr>
            <w:webHidden/>
          </w:rPr>
          <w:fldChar w:fldCharType="end"/>
        </w:r>
      </w:hyperlink>
    </w:p>
    <w:p w14:paraId="5D5BF541" w14:textId="028A784E" w:rsidR="008D1927" w:rsidRDefault="004D7373">
      <w:pPr>
        <w:pStyle w:val="TOC2"/>
        <w:rPr>
          <w:rFonts w:asciiTheme="minorHAnsi" w:eastAsiaTheme="minorEastAsia" w:hAnsiTheme="minorHAnsi"/>
          <w:lang w:eastAsia="en-NZ"/>
        </w:rPr>
      </w:pPr>
      <w:hyperlink w:anchor="_Toc88637527" w:history="1">
        <w:r w:rsidR="008D1927" w:rsidRPr="009C5B5D">
          <w:rPr>
            <w:rStyle w:val="Hyperlink"/>
          </w:rPr>
          <w:t>1.1.</w:t>
        </w:r>
        <w:r w:rsidR="008D1927">
          <w:rPr>
            <w:rFonts w:asciiTheme="minorHAnsi" w:eastAsiaTheme="minorEastAsia" w:hAnsiTheme="minorHAnsi"/>
            <w:lang w:eastAsia="en-NZ"/>
          </w:rPr>
          <w:tab/>
        </w:r>
        <w:r w:rsidR="008D1927" w:rsidRPr="009C5B5D">
          <w:rPr>
            <w:rStyle w:val="Hyperlink"/>
          </w:rPr>
          <w:t>Background</w:t>
        </w:r>
        <w:r w:rsidR="008D1927">
          <w:rPr>
            <w:webHidden/>
          </w:rPr>
          <w:tab/>
        </w:r>
        <w:r w:rsidR="008D1927">
          <w:rPr>
            <w:webHidden/>
          </w:rPr>
          <w:fldChar w:fldCharType="begin"/>
        </w:r>
        <w:r w:rsidR="008D1927">
          <w:rPr>
            <w:webHidden/>
          </w:rPr>
          <w:instrText xml:space="preserve"> PAGEREF _Toc88637527 \h </w:instrText>
        </w:r>
        <w:r w:rsidR="008D1927">
          <w:rPr>
            <w:webHidden/>
          </w:rPr>
        </w:r>
        <w:r w:rsidR="008D1927">
          <w:rPr>
            <w:webHidden/>
          </w:rPr>
          <w:fldChar w:fldCharType="separate"/>
        </w:r>
        <w:r w:rsidR="00071098">
          <w:rPr>
            <w:webHidden/>
          </w:rPr>
          <w:t>18</w:t>
        </w:r>
        <w:r w:rsidR="008D1927">
          <w:rPr>
            <w:webHidden/>
          </w:rPr>
          <w:fldChar w:fldCharType="end"/>
        </w:r>
      </w:hyperlink>
    </w:p>
    <w:p w14:paraId="2BDC9CCD" w14:textId="50528B88" w:rsidR="008D1927" w:rsidRDefault="004D7373">
      <w:pPr>
        <w:pStyle w:val="TOC2"/>
        <w:rPr>
          <w:rFonts w:asciiTheme="minorHAnsi" w:eastAsiaTheme="minorEastAsia" w:hAnsiTheme="minorHAnsi"/>
          <w:lang w:eastAsia="en-NZ"/>
        </w:rPr>
      </w:pPr>
      <w:hyperlink w:anchor="_Toc88637528" w:history="1">
        <w:r w:rsidR="008D1927" w:rsidRPr="009C5B5D">
          <w:rPr>
            <w:rStyle w:val="Hyperlink"/>
          </w:rPr>
          <w:t>1.2.</w:t>
        </w:r>
        <w:r w:rsidR="008D1927">
          <w:rPr>
            <w:rFonts w:asciiTheme="minorHAnsi" w:eastAsiaTheme="minorEastAsia" w:hAnsiTheme="minorHAnsi"/>
            <w:lang w:eastAsia="en-NZ"/>
          </w:rPr>
          <w:tab/>
        </w:r>
        <w:r w:rsidR="008D1927" w:rsidRPr="009C5B5D">
          <w:rPr>
            <w:rStyle w:val="Hyperlink"/>
          </w:rPr>
          <w:t>Consultation document</w:t>
        </w:r>
        <w:r w:rsidR="008D1927">
          <w:rPr>
            <w:webHidden/>
          </w:rPr>
          <w:tab/>
        </w:r>
        <w:r w:rsidR="008D1927">
          <w:rPr>
            <w:webHidden/>
          </w:rPr>
          <w:fldChar w:fldCharType="begin"/>
        </w:r>
        <w:r w:rsidR="008D1927">
          <w:rPr>
            <w:webHidden/>
          </w:rPr>
          <w:instrText xml:space="preserve"> PAGEREF _Toc88637528 \h </w:instrText>
        </w:r>
        <w:r w:rsidR="008D1927">
          <w:rPr>
            <w:webHidden/>
          </w:rPr>
        </w:r>
        <w:r w:rsidR="008D1927">
          <w:rPr>
            <w:webHidden/>
          </w:rPr>
          <w:fldChar w:fldCharType="separate"/>
        </w:r>
        <w:r w:rsidR="00071098">
          <w:rPr>
            <w:webHidden/>
          </w:rPr>
          <w:t>18</w:t>
        </w:r>
        <w:r w:rsidR="008D1927">
          <w:rPr>
            <w:webHidden/>
          </w:rPr>
          <w:fldChar w:fldCharType="end"/>
        </w:r>
      </w:hyperlink>
    </w:p>
    <w:p w14:paraId="49782450" w14:textId="1EB44DE4" w:rsidR="008D1927" w:rsidRDefault="004D7373">
      <w:pPr>
        <w:pStyle w:val="TOC2"/>
        <w:rPr>
          <w:rFonts w:asciiTheme="minorHAnsi" w:eastAsiaTheme="minorEastAsia" w:hAnsiTheme="minorHAnsi"/>
          <w:lang w:eastAsia="en-NZ"/>
        </w:rPr>
      </w:pPr>
      <w:hyperlink w:anchor="_Toc88637529" w:history="1">
        <w:r w:rsidR="008D1927" w:rsidRPr="009C5B5D">
          <w:rPr>
            <w:rStyle w:val="Hyperlink"/>
          </w:rPr>
          <w:t>1.3.</w:t>
        </w:r>
        <w:r w:rsidR="008D1927">
          <w:rPr>
            <w:rFonts w:asciiTheme="minorHAnsi" w:eastAsiaTheme="minorEastAsia" w:hAnsiTheme="minorHAnsi"/>
            <w:lang w:eastAsia="en-NZ"/>
          </w:rPr>
          <w:tab/>
        </w:r>
        <w:r w:rsidR="008D1927" w:rsidRPr="009C5B5D">
          <w:rPr>
            <w:rStyle w:val="Hyperlink"/>
          </w:rPr>
          <w:t>Purpose of this report</w:t>
        </w:r>
        <w:r w:rsidR="008D1927">
          <w:rPr>
            <w:webHidden/>
          </w:rPr>
          <w:tab/>
        </w:r>
        <w:r w:rsidR="008D1927">
          <w:rPr>
            <w:webHidden/>
          </w:rPr>
          <w:fldChar w:fldCharType="begin"/>
        </w:r>
        <w:r w:rsidR="008D1927">
          <w:rPr>
            <w:webHidden/>
          </w:rPr>
          <w:instrText xml:space="preserve"> PAGEREF _Toc88637529 \h </w:instrText>
        </w:r>
        <w:r w:rsidR="008D1927">
          <w:rPr>
            <w:webHidden/>
          </w:rPr>
        </w:r>
        <w:r w:rsidR="008D1927">
          <w:rPr>
            <w:webHidden/>
          </w:rPr>
          <w:fldChar w:fldCharType="separate"/>
        </w:r>
        <w:r w:rsidR="00071098">
          <w:rPr>
            <w:webHidden/>
          </w:rPr>
          <w:t>19</w:t>
        </w:r>
        <w:r w:rsidR="008D1927">
          <w:rPr>
            <w:webHidden/>
          </w:rPr>
          <w:fldChar w:fldCharType="end"/>
        </w:r>
      </w:hyperlink>
    </w:p>
    <w:p w14:paraId="2115E19D" w14:textId="207BC376" w:rsidR="008D1927" w:rsidRDefault="004D7373">
      <w:pPr>
        <w:pStyle w:val="TOC2"/>
        <w:rPr>
          <w:rFonts w:asciiTheme="minorHAnsi" w:eastAsiaTheme="minorEastAsia" w:hAnsiTheme="minorHAnsi"/>
          <w:lang w:eastAsia="en-NZ"/>
        </w:rPr>
      </w:pPr>
      <w:hyperlink w:anchor="_Toc88637530" w:history="1">
        <w:r w:rsidR="008D1927" w:rsidRPr="009C5B5D">
          <w:rPr>
            <w:rStyle w:val="Hyperlink"/>
          </w:rPr>
          <w:t>1.4.</w:t>
        </w:r>
        <w:r w:rsidR="008D1927">
          <w:rPr>
            <w:rFonts w:asciiTheme="minorHAnsi" w:eastAsiaTheme="minorEastAsia" w:hAnsiTheme="minorHAnsi"/>
            <w:lang w:eastAsia="en-NZ"/>
          </w:rPr>
          <w:tab/>
        </w:r>
        <w:r w:rsidR="008D1927" w:rsidRPr="009C5B5D">
          <w:rPr>
            <w:rStyle w:val="Hyperlink"/>
          </w:rPr>
          <w:t>Consultation process</w:t>
        </w:r>
        <w:r w:rsidR="008D1927">
          <w:rPr>
            <w:webHidden/>
          </w:rPr>
          <w:tab/>
        </w:r>
        <w:r w:rsidR="008D1927">
          <w:rPr>
            <w:webHidden/>
          </w:rPr>
          <w:fldChar w:fldCharType="begin"/>
        </w:r>
        <w:r w:rsidR="008D1927">
          <w:rPr>
            <w:webHidden/>
          </w:rPr>
          <w:instrText xml:space="preserve"> PAGEREF _Toc88637530 \h </w:instrText>
        </w:r>
        <w:r w:rsidR="008D1927">
          <w:rPr>
            <w:webHidden/>
          </w:rPr>
        </w:r>
        <w:r w:rsidR="008D1927">
          <w:rPr>
            <w:webHidden/>
          </w:rPr>
          <w:fldChar w:fldCharType="separate"/>
        </w:r>
        <w:r w:rsidR="00071098">
          <w:rPr>
            <w:webHidden/>
          </w:rPr>
          <w:t>19</w:t>
        </w:r>
        <w:r w:rsidR="008D1927">
          <w:rPr>
            <w:webHidden/>
          </w:rPr>
          <w:fldChar w:fldCharType="end"/>
        </w:r>
      </w:hyperlink>
    </w:p>
    <w:p w14:paraId="5F7D01A0" w14:textId="55E3CA5B" w:rsidR="008D1927" w:rsidRDefault="004D7373">
      <w:pPr>
        <w:pStyle w:val="TOC2"/>
        <w:rPr>
          <w:rFonts w:asciiTheme="minorHAnsi" w:eastAsiaTheme="minorEastAsia" w:hAnsiTheme="minorHAnsi"/>
          <w:lang w:eastAsia="en-NZ"/>
        </w:rPr>
      </w:pPr>
      <w:hyperlink w:anchor="_Toc88637531" w:history="1">
        <w:r w:rsidR="008D1927" w:rsidRPr="009C5B5D">
          <w:rPr>
            <w:rStyle w:val="Hyperlink"/>
          </w:rPr>
          <w:t>1.5.</w:t>
        </w:r>
        <w:r w:rsidR="008D1927">
          <w:rPr>
            <w:rFonts w:asciiTheme="minorHAnsi" w:eastAsiaTheme="minorEastAsia" w:hAnsiTheme="minorHAnsi"/>
            <w:lang w:eastAsia="en-NZ"/>
          </w:rPr>
          <w:tab/>
        </w:r>
        <w:r w:rsidR="008D1927" w:rsidRPr="009C5B5D">
          <w:rPr>
            <w:rStyle w:val="Hyperlink"/>
          </w:rPr>
          <w:t>Methodology</w:t>
        </w:r>
        <w:r w:rsidR="008D1927">
          <w:rPr>
            <w:webHidden/>
          </w:rPr>
          <w:tab/>
        </w:r>
        <w:r w:rsidR="008D1927">
          <w:rPr>
            <w:webHidden/>
          </w:rPr>
          <w:fldChar w:fldCharType="begin"/>
        </w:r>
        <w:r w:rsidR="008D1927">
          <w:rPr>
            <w:webHidden/>
          </w:rPr>
          <w:instrText xml:space="preserve"> PAGEREF _Toc88637531 \h </w:instrText>
        </w:r>
        <w:r w:rsidR="008D1927">
          <w:rPr>
            <w:webHidden/>
          </w:rPr>
        </w:r>
        <w:r w:rsidR="008D1927">
          <w:rPr>
            <w:webHidden/>
          </w:rPr>
          <w:fldChar w:fldCharType="separate"/>
        </w:r>
        <w:r w:rsidR="00071098">
          <w:rPr>
            <w:webHidden/>
          </w:rPr>
          <w:t>20</w:t>
        </w:r>
        <w:r w:rsidR="008D1927">
          <w:rPr>
            <w:webHidden/>
          </w:rPr>
          <w:fldChar w:fldCharType="end"/>
        </w:r>
      </w:hyperlink>
    </w:p>
    <w:p w14:paraId="59B43CCD" w14:textId="32F2DD95" w:rsidR="008D1927" w:rsidRDefault="004D7373">
      <w:pPr>
        <w:pStyle w:val="TOC2"/>
        <w:rPr>
          <w:rFonts w:asciiTheme="minorHAnsi" w:eastAsiaTheme="minorEastAsia" w:hAnsiTheme="minorHAnsi"/>
          <w:lang w:eastAsia="en-NZ"/>
        </w:rPr>
      </w:pPr>
      <w:hyperlink w:anchor="_Toc88637532" w:history="1">
        <w:r w:rsidR="008D1927" w:rsidRPr="009C5B5D">
          <w:rPr>
            <w:rStyle w:val="Hyperlink"/>
          </w:rPr>
          <w:t>1.6.</w:t>
        </w:r>
        <w:r w:rsidR="008D1927">
          <w:rPr>
            <w:rFonts w:asciiTheme="minorHAnsi" w:eastAsiaTheme="minorEastAsia" w:hAnsiTheme="minorHAnsi"/>
            <w:lang w:eastAsia="en-NZ"/>
          </w:rPr>
          <w:tab/>
        </w:r>
        <w:r w:rsidR="008D1927" w:rsidRPr="009C5B5D">
          <w:rPr>
            <w:rStyle w:val="Hyperlink"/>
          </w:rPr>
          <w:t>Summary of submitters</w:t>
        </w:r>
        <w:r w:rsidR="008D1927">
          <w:rPr>
            <w:webHidden/>
          </w:rPr>
          <w:tab/>
        </w:r>
        <w:r w:rsidR="008D1927">
          <w:rPr>
            <w:webHidden/>
          </w:rPr>
          <w:fldChar w:fldCharType="begin"/>
        </w:r>
        <w:r w:rsidR="008D1927">
          <w:rPr>
            <w:webHidden/>
          </w:rPr>
          <w:instrText xml:space="preserve"> PAGEREF _Toc88637532 \h </w:instrText>
        </w:r>
        <w:r w:rsidR="008D1927">
          <w:rPr>
            <w:webHidden/>
          </w:rPr>
        </w:r>
        <w:r w:rsidR="008D1927">
          <w:rPr>
            <w:webHidden/>
          </w:rPr>
          <w:fldChar w:fldCharType="separate"/>
        </w:r>
        <w:r w:rsidR="00071098">
          <w:rPr>
            <w:webHidden/>
          </w:rPr>
          <w:t>20</w:t>
        </w:r>
        <w:r w:rsidR="008D1927">
          <w:rPr>
            <w:webHidden/>
          </w:rPr>
          <w:fldChar w:fldCharType="end"/>
        </w:r>
      </w:hyperlink>
    </w:p>
    <w:p w14:paraId="728D70F7" w14:textId="5FFE7F95" w:rsidR="008D1927" w:rsidRDefault="004D7373">
      <w:pPr>
        <w:pStyle w:val="TOC3"/>
        <w:tabs>
          <w:tab w:val="left" w:pos="2268"/>
        </w:tabs>
        <w:rPr>
          <w:rFonts w:asciiTheme="minorHAnsi" w:eastAsiaTheme="minorEastAsia" w:hAnsiTheme="minorHAnsi"/>
          <w:sz w:val="22"/>
          <w:lang w:eastAsia="en-NZ"/>
        </w:rPr>
      </w:pPr>
      <w:hyperlink w:anchor="_Toc88637533" w:history="1">
        <w:r w:rsidR="008D1927" w:rsidRPr="009C5B5D">
          <w:rPr>
            <w:rStyle w:val="Hyperlink"/>
          </w:rPr>
          <w:t>1.6.1.</w:t>
        </w:r>
        <w:r w:rsidR="008D1927">
          <w:rPr>
            <w:rFonts w:asciiTheme="minorHAnsi" w:eastAsiaTheme="minorEastAsia" w:hAnsiTheme="minorHAnsi"/>
            <w:sz w:val="22"/>
            <w:lang w:eastAsia="en-NZ"/>
          </w:rPr>
          <w:tab/>
        </w:r>
        <w:r w:rsidR="008D1927" w:rsidRPr="009C5B5D">
          <w:rPr>
            <w:rStyle w:val="Hyperlink"/>
          </w:rPr>
          <w:t>Number and type of submitters</w:t>
        </w:r>
        <w:r w:rsidR="008D1927">
          <w:rPr>
            <w:webHidden/>
          </w:rPr>
          <w:tab/>
        </w:r>
        <w:r w:rsidR="008D1927">
          <w:rPr>
            <w:webHidden/>
          </w:rPr>
          <w:fldChar w:fldCharType="begin"/>
        </w:r>
        <w:r w:rsidR="008D1927">
          <w:rPr>
            <w:webHidden/>
          </w:rPr>
          <w:instrText xml:space="preserve"> PAGEREF _Toc88637533 \h </w:instrText>
        </w:r>
        <w:r w:rsidR="008D1927">
          <w:rPr>
            <w:webHidden/>
          </w:rPr>
        </w:r>
        <w:r w:rsidR="008D1927">
          <w:rPr>
            <w:webHidden/>
          </w:rPr>
          <w:fldChar w:fldCharType="separate"/>
        </w:r>
        <w:r w:rsidR="00071098">
          <w:rPr>
            <w:webHidden/>
          </w:rPr>
          <w:t>20</w:t>
        </w:r>
        <w:r w:rsidR="008D1927">
          <w:rPr>
            <w:webHidden/>
          </w:rPr>
          <w:fldChar w:fldCharType="end"/>
        </w:r>
      </w:hyperlink>
    </w:p>
    <w:p w14:paraId="3733B488" w14:textId="37F63552" w:rsidR="008D1927" w:rsidRDefault="004D7373">
      <w:pPr>
        <w:pStyle w:val="TOC2"/>
        <w:rPr>
          <w:rFonts w:asciiTheme="minorHAnsi" w:eastAsiaTheme="minorEastAsia" w:hAnsiTheme="minorHAnsi"/>
          <w:lang w:eastAsia="en-NZ"/>
        </w:rPr>
      </w:pPr>
      <w:hyperlink w:anchor="_Toc88637534" w:history="1">
        <w:r w:rsidR="008D1927" w:rsidRPr="009C5B5D">
          <w:rPr>
            <w:rStyle w:val="Hyperlink"/>
          </w:rPr>
          <w:t>1.7.</w:t>
        </w:r>
        <w:r w:rsidR="008D1927">
          <w:rPr>
            <w:rFonts w:asciiTheme="minorHAnsi" w:eastAsiaTheme="minorEastAsia" w:hAnsiTheme="minorHAnsi"/>
            <w:lang w:eastAsia="en-NZ"/>
          </w:rPr>
          <w:tab/>
        </w:r>
        <w:r w:rsidR="008D1927" w:rsidRPr="009C5B5D">
          <w:rPr>
            <w:rStyle w:val="Hyperlink"/>
          </w:rPr>
          <w:t>General comments on submissions received</w:t>
        </w:r>
        <w:r w:rsidR="008D1927">
          <w:rPr>
            <w:webHidden/>
          </w:rPr>
          <w:tab/>
        </w:r>
        <w:r w:rsidR="008D1927">
          <w:rPr>
            <w:webHidden/>
          </w:rPr>
          <w:fldChar w:fldCharType="begin"/>
        </w:r>
        <w:r w:rsidR="008D1927">
          <w:rPr>
            <w:webHidden/>
          </w:rPr>
          <w:instrText xml:space="preserve"> PAGEREF _Toc88637534 \h </w:instrText>
        </w:r>
        <w:r w:rsidR="008D1927">
          <w:rPr>
            <w:webHidden/>
          </w:rPr>
        </w:r>
        <w:r w:rsidR="008D1927">
          <w:rPr>
            <w:webHidden/>
          </w:rPr>
          <w:fldChar w:fldCharType="separate"/>
        </w:r>
        <w:r w:rsidR="00071098">
          <w:rPr>
            <w:webHidden/>
          </w:rPr>
          <w:t>22</w:t>
        </w:r>
        <w:r w:rsidR="008D1927">
          <w:rPr>
            <w:webHidden/>
          </w:rPr>
          <w:fldChar w:fldCharType="end"/>
        </w:r>
      </w:hyperlink>
    </w:p>
    <w:p w14:paraId="55A1A889" w14:textId="6D8D75CE" w:rsidR="008D1927" w:rsidRDefault="004D7373">
      <w:pPr>
        <w:pStyle w:val="TOC2"/>
        <w:rPr>
          <w:rFonts w:asciiTheme="minorHAnsi" w:eastAsiaTheme="minorEastAsia" w:hAnsiTheme="minorHAnsi"/>
          <w:lang w:eastAsia="en-NZ"/>
        </w:rPr>
      </w:pPr>
      <w:hyperlink w:anchor="_Toc88637535" w:history="1">
        <w:r w:rsidR="008D1927" w:rsidRPr="009C5B5D">
          <w:rPr>
            <w:rStyle w:val="Hyperlink"/>
          </w:rPr>
          <w:t>1.8.</w:t>
        </w:r>
        <w:r w:rsidR="008D1927">
          <w:rPr>
            <w:rFonts w:asciiTheme="minorHAnsi" w:eastAsiaTheme="minorEastAsia" w:hAnsiTheme="minorHAnsi"/>
            <w:lang w:eastAsia="en-NZ"/>
          </w:rPr>
          <w:tab/>
        </w:r>
        <w:r w:rsidR="008D1927" w:rsidRPr="009C5B5D">
          <w:rPr>
            <w:rStyle w:val="Hyperlink"/>
          </w:rPr>
          <w:t>How to navigate this report</w:t>
        </w:r>
        <w:r w:rsidR="008D1927">
          <w:rPr>
            <w:webHidden/>
          </w:rPr>
          <w:tab/>
        </w:r>
        <w:r w:rsidR="008D1927">
          <w:rPr>
            <w:webHidden/>
          </w:rPr>
          <w:fldChar w:fldCharType="begin"/>
        </w:r>
        <w:r w:rsidR="008D1927">
          <w:rPr>
            <w:webHidden/>
          </w:rPr>
          <w:instrText xml:space="preserve"> PAGEREF _Toc88637535 \h </w:instrText>
        </w:r>
        <w:r w:rsidR="008D1927">
          <w:rPr>
            <w:webHidden/>
          </w:rPr>
        </w:r>
        <w:r w:rsidR="008D1927">
          <w:rPr>
            <w:webHidden/>
          </w:rPr>
          <w:fldChar w:fldCharType="separate"/>
        </w:r>
        <w:r w:rsidR="00071098">
          <w:rPr>
            <w:webHidden/>
          </w:rPr>
          <w:t>23</w:t>
        </w:r>
        <w:r w:rsidR="008D1927">
          <w:rPr>
            <w:webHidden/>
          </w:rPr>
          <w:fldChar w:fldCharType="end"/>
        </w:r>
      </w:hyperlink>
    </w:p>
    <w:p w14:paraId="35CB7586" w14:textId="3B78F228" w:rsidR="008D1927" w:rsidRDefault="004D7373">
      <w:pPr>
        <w:pStyle w:val="TOC1"/>
        <w:rPr>
          <w:rFonts w:asciiTheme="minorHAnsi" w:eastAsiaTheme="minorEastAsia" w:hAnsiTheme="minorHAnsi"/>
          <w:b w:val="0"/>
          <w:caps w:val="0"/>
          <w:lang w:eastAsia="en-NZ"/>
        </w:rPr>
      </w:pPr>
      <w:hyperlink w:anchor="_Toc88637536" w:history="1">
        <w:r w:rsidR="008D1927" w:rsidRPr="009C5B5D">
          <w:rPr>
            <w:rStyle w:val="Hyperlink"/>
          </w:rPr>
          <w:t>2.</w:t>
        </w:r>
        <w:r w:rsidR="008D1927">
          <w:rPr>
            <w:rFonts w:asciiTheme="minorHAnsi" w:eastAsiaTheme="minorEastAsia" w:hAnsiTheme="minorHAnsi"/>
            <w:b w:val="0"/>
            <w:caps w:val="0"/>
            <w:lang w:eastAsia="en-NZ"/>
          </w:rPr>
          <w:tab/>
        </w:r>
        <w:r w:rsidR="008D1927" w:rsidRPr="009C5B5D">
          <w:rPr>
            <w:rStyle w:val="Hyperlink"/>
          </w:rPr>
          <w:t>The draft strategic plan</w:t>
        </w:r>
        <w:r w:rsidR="008D1927">
          <w:rPr>
            <w:webHidden/>
          </w:rPr>
          <w:tab/>
        </w:r>
        <w:r w:rsidR="008D1927">
          <w:rPr>
            <w:webHidden/>
          </w:rPr>
          <w:fldChar w:fldCharType="begin"/>
        </w:r>
        <w:r w:rsidR="008D1927">
          <w:rPr>
            <w:webHidden/>
          </w:rPr>
          <w:instrText xml:space="preserve"> PAGEREF _Toc88637536 \h </w:instrText>
        </w:r>
        <w:r w:rsidR="008D1927">
          <w:rPr>
            <w:webHidden/>
          </w:rPr>
        </w:r>
        <w:r w:rsidR="008D1927">
          <w:rPr>
            <w:webHidden/>
          </w:rPr>
          <w:fldChar w:fldCharType="separate"/>
        </w:r>
        <w:r w:rsidR="00071098">
          <w:rPr>
            <w:webHidden/>
          </w:rPr>
          <w:t>24</w:t>
        </w:r>
        <w:r w:rsidR="008D1927">
          <w:rPr>
            <w:webHidden/>
          </w:rPr>
          <w:fldChar w:fldCharType="end"/>
        </w:r>
      </w:hyperlink>
    </w:p>
    <w:p w14:paraId="596862C8" w14:textId="46927478" w:rsidR="008D1927" w:rsidRDefault="004D7373">
      <w:pPr>
        <w:pStyle w:val="TOC2"/>
        <w:rPr>
          <w:rFonts w:asciiTheme="minorHAnsi" w:eastAsiaTheme="minorEastAsia" w:hAnsiTheme="minorHAnsi"/>
          <w:lang w:eastAsia="en-NZ"/>
        </w:rPr>
      </w:pPr>
      <w:hyperlink w:anchor="_Toc88637537" w:history="1">
        <w:r w:rsidR="008D1927" w:rsidRPr="009C5B5D">
          <w:rPr>
            <w:rStyle w:val="Hyperlink"/>
          </w:rPr>
          <w:t>2.1.</w:t>
        </w:r>
        <w:r w:rsidR="008D1927">
          <w:rPr>
            <w:rFonts w:asciiTheme="minorHAnsi" w:eastAsiaTheme="minorEastAsia" w:hAnsiTheme="minorHAnsi"/>
            <w:lang w:eastAsia="en-NZ"/>
          </w:rPr>
          <w:tab/>
        </w:r>
        <w:r w:rsidR="008D1927" w:rsidRPr="009C5B5D">
          <w:rPr>
            <w:rStyle w:val="Hyperlink"/>
          </w:rPr>
          <w:t>The degree of support for the draft strategic plan</w:t>
        </w:r>
        <w:r w:rsidR="008D1927">
          <w:rPr>
            <w:webHidden/>
          </w:rPr>
          <w:tab/>
        </w:r>
        <w:r w:rsidR="008D1927">
          <w:rPr>
            <w:webHidden/>
          </w:rPr>
          <w:fldChar w:fldCharType="begin"/>
        </w:r>
        <w:r w:rsidR="008D1927">
          <w:rPr>
            <w:webHidden/>
          </w:rPr>
          <w:instrText xml:space="preserve"> PAGEREF _Toc88637537 \h </w:instrText>
        </w:r>
        <w:r w:rsidR="008D1927">
          <w:rPr>
            <w:webHidden/>
          </w:rPr>
        </w:r>
        <w:r w:rsidR="008D1927">
          <w:rPr>
            <w:webHidden/>
          </w:rPr>
          <w:fldChar w:fldCharType="separate"/>
        </w:r>
        <w:r w:rsidR="00071098">
          <w:rPr>
            <w:webHidden/>
          </w:rPr>
          <w:t>25</w:t>
        </w:r>
        <w:r w:rsidR="008D1927">
          <w:rPr>
            <w:webHidden/>
          </w:rPr>
          <w:fldChar w:fldCharType="end"/>
        </w:r>
      </w:hyperlink>
    </w:p>
    <w:p w14:paraId="14A268FA" w14:textId="1EAC7C32" w:rsidR="008D1927" w:rsidRDefault="004D7373">
      <w:pPr>
        <w:pStyle w:val="TOC3"/>
        <w:tabs>
          <w:tab w:val="left" w:pos="2268"/>
        </w:tabs>
        <w:rPr>
          <w:rFonts w:asciiTheme="minorHAnsi" w:eastAsiaTheme="minorEastAsia" w:hAnsiTheme="minorHAnsi"/>
          <w:sz w:val="22"/>
          <w:lang w:eastAsia="en-NZ"/>
        </w:rPr>
      </w:pPr>
      <w:hyperlink w:anchor="_Toc88637538" w:history="1">
        <w:r w:rsidR="008D1927" w:rsidRPr="009C5B5D">
          <w:rPr>
            <w:rStyle w:val="Hyperlink"/>
          </w:rPr>
          <w:t>2.1.1.</w:t>
        </w:r>
        <w:r w:rsidR="008D1927">
          <w:rPr>
            <w:rFonts w:asciiTheme="minorHAnsi" w:eastAsiaTheme="minorEastAsia" w:hAnsiTheme="minorHAnsi"/>
            <w:sz w:val="22"/>
            <w:lang w:eastAsia="en-NZ"/>
          </w:rPr>
          <w:tab/>
        </w:r>
        <w:r w:rsidR="008D1927" w:rsidRPr="009C5B5D">
          <w:rPr>
            <w:rStyle w:val="Hyperlink"/>
          </w:rPr>
          <w:t>Over half of the submitters who commented on the proposed strategic goal, objectives and action areas supported them to some degree</w:t>
        </w:r>
        <w:r w:rsidR="008D1927">
          <w:rPr>
            <w:webHidden/>
          </w:rPr>
          <w:tab/>
        </w:r>
        <w:r w:rsidR="008D1927">
          <w:rPr>
            <w:webHidden/>
          </w:rPr>
          <w:fldChar w:fldCharType="begin"/>
        </w:r>
        <w:r w:rsidR="008D1927">
          <w:rPr>
            <w:webHidden/>
          </w:rPr>
          <w:instrText xml:space="preserve"> PAGEREF _Toc88637538 \h </w:instrText>
        </w:r>
        <w:r w:rsidR="008D1927">
          <w:rPr>
            <w:webHidden/>
          </w:rPr>
        </w:r>
        <w:r w:rsidR="008D1927">
          <w:rPr>
            <w:webHidden/>
          </w:rPr>
          <w:fldChar w:fldCharType="separate"/>
        </w:r>
        <w:r w:rsidR="00071098">
          <w:rPr>
            <w:webHidden/>
          </w:rPr>
          <w:t>26</w:t>
        </w:r>
        <w:r w:rsidR="008D1927">
          <w:rPr>
            <w:webHidden/>
          </w:rPr>
          <w:fldChar w:fldCharType="end"/>
        </w:r>
      </w:hyperlink>
    </w:p>
    <w:p w14:paraId="35A1FBE3" w14:textId="63C5B6B6" w:rsidR="008D1927" w:rsidRDefault="004D7373">
      <w:pPr>
        <w:pStyle w:val="TOC3"/>
        <w:tabs>
          <w:tab w:val="left" w:pos="2268"/>
        </w:tabs>
        <w:rPr>
          <w:rFonts w:asciiTheme="minorHAnsi" w:eastAsiaTheme="minorEastAsia" w:hAnsiTheme="minorHAnsi"/>
          <w:sz w:val="22"/>
          <w:lang w:eastAsia="en-NZ"/>
        </w:rPr>
      </w:pPr>
      <w:hyperlink w:anchor="_Toc88637539" w:history="1">
        <w:r w:rsidR="008D1927" w:rsidRPr="009C5B5D">
          <w:rPr>
            <w:rStyle w:val="Hyperlink"/>
          </w:rPr>
          <w:t>2.1.2.</w:t>
        </w:r>
        <w:r w:rsidR="008D1927">
          <w:rPr>
            <w:rFonts w:asciiTheme="minorHAnsi" w:eastAsiaTheme="minorEastAsia" w:hAnsiTheme="minorHAnsi"/>
            <w:sz w:val="22"/>
            <w:lang w:eastAsia="en-NZ"/>
          </w:rPr>
          <w:tab/>
        </w:r>
        <w:r w:rsidR="008D1927" w:rsidRPr="009C5B5D">
          <w:rPr>
            <w:rStyle w:val="Hyperlink"/>
          </w:rPr>
          <w:t>Submitters from across sectors had concerns about the proposed strategic direction</w:t>
        </w:r>
        <w:r w:rsidR="008D1927">
          <w:rPr>
            <w:webHidden/>
          </w:rPr>
          <w:tab/>
        </w:r>
        <w:r w:rsidR="008D1927">
          <w:rPr>
            <w:webHidden/>
          </w:rPr>
          <w:fldChar w:fldCharType="begin"/>
        </w:r>
        <w:r w:rsidR="008D1927">
          <w:rPr>
            <w:webHidden/>
          </w:rPr>
          <w:instrText xml:space="preserve"> PAGEREF _Toc88637539 \h </w:instrText>
        </w:r>
        <w:r w:rsidR="008D1927">
          <w:rPr>
            <w:webHidden/>
          </w:rPr>
        </w:r>
        <w:r w:rsidR="008D1927">
          <w:rPr>
            <w:webHidden/>
          </w:rPr>
          <w:fldChar w:fldCharType="separate"/>
        </w:r>
        <w:r w:rsidR="00071098">
          <w:rPr>
            <w:webHidden/>
          </w:rPr>
          <w:t>27</w:t>
        </w:r>
        <w:r w:rsidR="008D1927">
          <w:rPr>
            <w:webHidden/>
          </w:rPr>
          <w:fldChar w:fldCharType="end"/>
        </w:r>
      </w:hyperlink>
    </w:p>
    <w:p w14:paraId="22490EBB" w14:textId="077C94B6" w:rsidR="008D1927" w:rsidRDefault="004D7373">
      <w:pPr>
        <w:pStyle w:val="TOC3"/>
        <w:tabs>
          <w:tab w:val="left" w:pos="2268"/>
        </w:tabs>
        <w:rPr>
          <w:rFonts w:asciiTheme="minorHAnsi" w:eastAsiaTheme="minorEastAsia" w:hAnsiTheme="minorHAnsi"/>
          <w:sz w:val="22"/>
          <w:lang w:eastAsia="en-NZ"/>
        </w:rPr>
      </w:pPr>
      <w:hyperlink w:anchor="_Toc88637540" w:history="1">
        <w:r w:rsidR="008D1927" w:rsidRPr="009C5B5D">
          <w:rPr>
            <w:rStyle w:val="Hyperlink"/>
          </w:rPr>
          <w:t>2.1.3.</w:t>
        </w:r>
        <w:r w:rsidR="008D1927">
          <w:rPr>
            <w:rFonts w:asciiTheme="minorHAnsi" w:eastAsiaTheme="minorEastAsia" w:hAnsiTheme="minorHAnsi"/>
            <w:sz w:val="22"/>
            <w:lang w:eastAsia="en-NZ"/>
          </w:rPr>
          <w:tab/>
        </w:r>
        <w:r w:rsidR="008D1927" w:rsidRPr="009C5B5D">
          <w:rPr>
            <w:rStyle w:val="Hyperlink"/>
          </w:rPr>
          <w:t>Submitters from across difference sectors expressed interest in a bolder approach</w:t>
        </w:r>
        <w:r w:rsidR="008D1927">
          <w:rPr>
            <w:webHidden/>
          </w:rPr>
          <w:tab/>
        </w:r>
        <w:r w:rsidR="008D1927">
          <w:rPr>
            <w:webHidden/>
          </w:rPr>
          <w:fldChar w:fldCharType="begin"/>
        </w:r>
        <w:r w:rsidR="008D1927">
          <w:rPr>
            <w:webHidden/>
          </w:rPr>
          <w:instrText xml:space="preserve"> PAGEREF _Toc88637540 \h </w:instrText>
        </w:r>
        <w:r w:rsidR="008D1927">
          <w:rPr>
            <w:webHidden/>
          </w:rPr>
        </w:r>
        <w:r w:rsidR="008D1927">
          <w:rPr>
            <w:webHidden/>
          </w:rPr>
          <w:fldChar w:fldCharType="separate"/>
        </w:r>
        <w:r w:rsidR="00071098">
          <w:rPr>
            <w:webHidden/>
          </w:rPr>
          <w:t>31</w:t>
        </w:r>
        <w:r w:rsidR="008D1927">
          <w:rPr>
            <w:webHidden/>
          </w:rPr>
          <w:fldChar w:fldCharType="end"/>
        </w:r>
      </w:hyperlink>
    </w:p>
    <w:p w14:paraId="67C6D88C" w14:textId="2D4606CE" w:rsidR="008D1927" w:rsidRDefault="004D7373">
      <w:pPr>
        <w:pStyle w:val="TOC3"/>
        <w:tabs>
          <w:tab w:val="left" w:pos="2268"/>
        </w:tabs>
        <w:rPr>
          <w:rFonts w:asciiTheme="minorHAnsi" w:eastAsiaTheme="minorEastAsia" w:hAnsiTheme="minorHAnsi"/>
          <w:sz w:val="22"/>
          <w:lang w:eastAsia="en-NZ"/>
        </w:rPr>
      </w:pPr>
      <w:hyperlink w:anchor="_Toc88637541" w:history="1">
        <w:r w:rsidR="008D1927" w:rsidRPr="009C5B5D">
          <w:rPr>
            <w:rStyle w:val="Hyperlink"/>
          </w:rPr>
          <w:t>2.1.4.</w:t>
        </w:r>
        <w:r w:rsidR="008D1927">
          <w:rPr>
            <w:rFonts w:asciiTheme="minorHAnsi" w:eastAsiaTheme="minorEastAsia" w:hAnsiTheme="minorHAnsi"/>
            <w:sz w:val="22"/>
            <w:lang w:eastAsia="en-NZ"/>
          </w:rPr>
          <w:tab/>
        </w:r>
        <w:r w:rsidR="008D1927" w:rsidRPr="009C5B5D">
          <w:rPr>
            <w:rStyle w:val="Hyperlink"/>
          </w:rPr>
          <w:t>Submitters suggested rewording the draft strategic goal</w:t>
        </w:r>
        <w:r w:rsidR="008D1927">
          <w:rPr>
            <w:webHidden/>
          </w:rPr>
          <w:tab/>
        </w:r>
        <w:r w:rsidR="008D1927">
          <w:rPr>
            <w:webHidden/>
          </w:rPr>
          <w:fldChar w:fldCharType="begin"/>
        </w:r>
        <w:r w:rsidR="008D1927">
          <w:rPr>
            <w:webHidden/>
          </w:rPr>
          <w:instrText xml:space="preserve"> PAGEREF _Toc88637541 \h </w:instrText>
        </w:r>
        <w:r w:rsidR="008D1927">
          <w:rPr>
            <w:webHidden/>
          </w:rPr>
        </w:r>
        <w:r w:rsidR="008D1927">
          <w:rPr>
            <w:webHidden/>
          </w:rPr>
          <w:fldChar w:fldCharType="separate"/>
        </w:r>
        <w:r w:rsidR="00071098">
          <w:rPr>
            <w:webHidden/>
          </w:rPr>
          <w:t>33</w:t>
        </w:r>
        <w:r w:rsidR="008D1927">
          <w:rPr>
            <w:webHidden/>
          </w:rPr>
          <w:fldChar w:fldCharType="end"/>
        </w:r>
      </w:hyperlink>
    </w:p>
    <w:p w14:paraId="526E710A" w14:textId="3028C7DD" w:rsidR="008D1927" w:rsidRDefault="004D7373">
      <w:pPr>
        <w:pStyle w:val="TOC3"/>
        <w:tabs>
          <w:tab w:val="left" w:pos="2268"/>
        </w:tabs>
        <w:rPr>
          <w:rFonts w:asciiTheme="minorHAnsi" w:eastAsiaTheme="minorEastAsia" w:hAnsiTheme="minorHAnsi"/>
          <w:sz w:val="22"/>
          <w:lang w:eastAsia="en-NZ"/>
        </w:rPr>
      </w:pPr>
      <w:hyperlink w:anchor="_Toc88637542" w:history="1">
        <w:r w:rsidR="008D1927" w:rsidRPr="009C5B5D">
          <w:rPr>
            <w:rStyle w:val="Hyperlink"/>
          </w:rPr>
          <w:t>2.1.5.</w:t>
        </w:r>
        <w:r w:rsidR="008D1927">
          <w:rPr>
            <w:rFonts w:asciiTheme="minorHAnsi" w:eastAsiaTheme="minorEastAsia" w:hAnsiTheme="minorHAnsi"/>
            <w:sz w:val="22"/>
            <w:lang w:eastAsia="en-NZ"/>
          </w:rPr>
          <w:tab/>
        </w:r>
        <w:r w:rsidR="008D1927" w:rsidRPr="009C5B5D">
          <w:rPr>
            <w:rStyle w:val="Hyperlink"/>
          </w:rPr>
          <w:t>Submitters from across sectors wanted the draft strategic goal to include more specific targets</w:t>
        </w:r>
        <w:r w:rsidR="008D1927">
          <w:rPr>
            <w:webHidden/>
          </w:rPr>
          <w:tab/>
        </w:r>
        <w:r w:rsidR="008D1927">
          <w:rPr>
            <w:webHidden/>
          </w:rPr>
          <w:fldChar w:fldCharType="begin"/>
        </w:r>
        <w:r w:rsidR="008D1927">
          <w:rPr>
            <w:webHidden/>
          </w:rPr>
          <w:instrText xml:space="preserve"> PAGEREF _Toc88637542 \h </w:instrText>
        </w:r>
        <w:r w:rsidR="008D1927">
          <w:rPr>
            <w:webHidden/>
          </w:rPr>
        </w:r>
        <w:r w:rsidR="008D1927">
          <w:rPr>
            <w:webHidden/>
          </w:rPr>
          <w:fldChar w:fldCharType="separate"/>
        </w:r>
        <w:r w:rsidR="00071098">
          <w:rPr>
            <w:webHidden/>
          </w:rPr>
          <w:t>33</w:t>
        </w:r>
        <w:r w:rsidR="008D1927">
          <w:rPr>
            <w:webHidden/>
          </w:rPr>
          <w:fldChar w:fldCharType="end"/>
        </w:r>
      </w:hyperlink>
    </w:p>
    <w:p w14:paraId="71F361F9" w14:textId="323BEC05" w:rsidR="008D1927" w:rsidRDefault="004D7373">
      <w:pPr>
        <w:pStyle w:val="TOC3"/>
        <w:tabs>
          <w:tab w:val="left" w:pos="2268"/>
        </w:tabs>
        <w:rPr>
          <w:rFonts w:asciiTheme="minorHAnsi" w:eastAsiaTheme="minorEastAsia" w:hAnsiTheme="minorHAnsi"/>
          <w:sz w:val="22"/>
          <w:lang w:eastAsia="en-NZ"/>
        </w:rPr>
      </w:pPr>
      <w:hyperlink w:anchor="_Toc88637543" w:history="1">
        <w:r w:rsidR="008D1927" w:rsidRPr="009C5B5D">
          <w:rPr>
            <w:rStyle w:val="Hyperlink"/>
          </w:rPr>
          <w:t>2.1.6.</w:t>
        </w:r>
        <w:r w:rsidR="008D1927">
          <w:rPr>
            <w:rFonts w:asciiTheme="minorHAnsi" w:eastAsiaTheme="minorEastAsia" w:hAnsiTheme="minorHAnsi"/>
            <w:sz w:val="22"/>
            <w:lang w:eastAsia="en-NZ"/>
          </w:rPr>
          <w:tab/>
        </w:r>
        <w:r w:rsidR="008D1927" w:rsidRPr="009C5B5D">
          <w:rPr>
            <w:rStyle w:val="Hyperlink"/>
          </w:rPr>
          <w:t>Submitters from across sectors agreed with the equity focus, but wanted to see more detail and tailored services</w:t>
        </w:r>
        <w:r w:rsidR="008D1927">
          <w:rPr>
            <w:webHidden/>
          </w:rPr>
          <w:tab/>
        </w:r>
        <w:r w:rsidR="008D1927">
          <w:rPr>
            <w:webHidden/>
          </w:rPr>
          <w:fldChar w:fldCharType="begin"/>
        </w:r>
        <w:r w:rsidR="008D1927">
          <w:rPr>
            <w:webHidden/>
          </w:rPr>
          <w:instrText xml:space="preserve"> PAGEREF _Toc88637543 \h </w:instrText>
        </w:r>
        <w:r w:rsidR="008D1927">
          <w:rPr>
            <w:webHidden/>
          </w:rPr>
        </w:r>
        <w:r w:rsidR="008D1927">
          <w:rPr>
            <w:webHidden/>
          </w:rPr>
          <w:fldChar w:fldCharType="separate"/>
        </w:r>
        <w:r w:rsidR="00071098">
          <w:rPr>
            <w:webHidden/>
          </w:rPr>
          <w:t>34</w:t>
        </w:r>
        <w:r w:rsidR="008D1927">
          <w:rPr>
            <w:webHidden/>
          </w:rPr>
          <w:fldChar w:fldCharType="end"/>
        </w:r>
      </w:hyperlink>
    </w:p>
    <w:p w14:paraId="21028964" w14:textId="36BB9834" w:rsidR="008D1927" w:rsidRDefault="004D7373">
      <w:pPr>
        <w:pStyle w:val="TOC3"/>
        <w:tabs>
          <w:tab w:val="left" w:pos="2268"/>
        </w:tabs>
        <w:rPr>
          <w:rFonts w:asciiTheme="minorHAnsi" w:eastAsiaTheme="minorEastAsia" w:hAnsiTheme="minorHAnsi"/>
          <w:sz w:val="22"/>
          <w:lang w:eastAsia="en-NZ"/>
        </w:rPr>
      </w:pPr>
      <w:hyperlink w:anchor="_Toc88637544" w:history="1">
        <w:r w:rsidR="008D1927" w:rsidRPr="009C5B5D">
          <w:rPr>
            <w:rStyle w:val="Hyperlink"/>
          </w:rPr>
          <w:t>2.1.7.</w:t>
        </w:r>
        <w:r w:rsidR="008D1927">
          <w:rPr>
            <w:rFonts w:asciiTheme="minorHAnsi" w:eastAsiaTheme="minorEastAsia" w:hAnsiTheme="minorHAnsi"/>
            <w:sz w:val="22"/>
            <w:lang w:eastAsia="en-NZ"/>
          </w:rPr>
          <w:tab/>
        </w:r>
        <w:r w:rsidR="008D1927" w:rsidRPr="009C5B5D">
          <w:rPr>
            <w:rStyle w:val="Hyperlink"/>
          </w:rPr>
          <w:t>Submitters expressed support for the Needs Assessment findings, but had mixed views on whether the draft strategy sufficiently incorporates the Needs Assessment findings</w:t>
        </w:r>
        <w:r w:rsidR="008D1927">
          <w:rPr>
            <w:webHidden/>
          </w:rPr>
          <w:tab/>
        </w:r>
        <w:r w:rsidR="008D1927">
          <w:rPr>
            <w:webHidden/>
          </w:rPr>
          <w:fldChar w:fldCharType="begin"/>
        </w:r>
        <w:r w:rsidR="008D1927">
          <w:rPr>
            <w:webHidden/>
          </w:rPr>
          <w:instrText xml:space="preserve"> PAGEREF _Toc88637544 \h </w:instrText>
        </w:r>
        <w:r w:rsidR="008D1927">
          <w:rPr>
            <w:webHidden/>
          </w:rPr>
        </w:r>
        <w:r w:rsidR="008D1927">
          <w:rPr>
            <w:webHidden/>
          </w:rPr>
          <w:fldChar w:fldCharType="separate"/>
        </w:r>
        <w:r w:rsidR="00071098">
          <w:rPr>
            <w:webHidden/>
          </w:rPr>
          <w:t>35</w:t>
        </w:r>
        <w:r w:rsidR="008D1927">
          <w:rPr>
            <w:webHidden/>
          </w:rPr>
          <w:fldChar w:fldCharType="end"/>
        </w:r>
      </w:hyperlink>
    </w:p>
    <w:p w14:paraId="795D8596" w14:textId="611E53A4" w:rsidR="008D1927" w:rsidRDefault="004D7373">
      <w:pPr>
        <w:pStyle w:val="TOC3"/>
        <w:tabs>
          <w:tab w:val="left" w:pos="2268"/>
        </w:tabs>
        <w:rPr>
          <w:rFonts w:asciiTheme="minorHAnsi" w:eastAsiaTheme="minorEastAsia" w:hAnsiTheme="minorHAnsi"/>
          <w:sz w:val="22"/>
          <w:lang w:eastAsia="en-NZ"/>
        </w:rPr>
      </w:pPr>
      <w:hyperlink w:anchor="_Toc88637545" w:history="1">
        <w:r w:rsidR="008D1927" w:rsidRPr="009C5B5D">
          <w:rPr>
            <w:rStyle w:val="Hyperlink"/>
          </w:rPr>
          <w:t>2.1.8.</w:t>
        </w:r>
        <w:r w:rsidR="008D1927">
          <w:rPr>
            <w:rFonts w:asciiTheme="minorHAnsi" w:eastAsiaTheme="minorEastAsia" w:hAnsiTheme="minorHAnsi"/>
            <w:sz w:val="22"/>
            <w:lang w:eastAsia="en-NZ"/>
          </w:rPr>
          <w:tab/>
        </w:r>
        <w:r w:rsidR="008D1927" w:rsidRPr="009C5B5D">
          <w:rPr>
            <w:rStyle w:val="Hyperlink"/>
          </w:rPr>
          <w:t>There was constructive critique of all four objectives and the associated priority action areas</w:t>
        </w:r>
        <w:r w:rsidR="008D1927">
          <w:rPr>
            <w:webHidden/>
          </w:rPr>
          <w:tab/>
        </w:r>
        <w:r w:rsidR="008D1927">
          <w:rPr>
            <w:webHidden/>
          </w:rPr>
          <w:fldChar w:fldCharType="begin"/>
        </w:r>
        <w:r w:rsidR="008D1927">
          <w:rPr>
            <w:webHidden/>
          </w:rPr>
          <w:instrText xml:space="preserve"> PAGEREF _Toc88637545 \h </w:instrText>
        </w:r>
        <w:r w:rsidR="008D1927">
          <w:rPr>
            <w:webHidden/>
          </w:rPr>
        </w:r>
        <w:r w:rsidR="008D1927">
          <w:rPr>
            <w:webHidden/>
          </w:rPr>
          <w:fldChar w:fldCharType="separate"/>
        </w:r>
        <w:r w:rsidR="00071098">
          <w:rPr>
            <w:webHidden/>
          </w:rPr>
          <w:t>36</w:t>
        </w:r>
        <w:r w:rsidR="008D1927">
          <w:rPr>
            <w:webHidden/>
          </w:rPr>
          <w:fldChar w:fldCharType="end"/>
        </w:r>
      </w:hyperlink>
    </w:p>
    <w:p w14:paraId="13DAB78B" w14:textId="18BFCA1D" w:rsidR="008D1927" w:rsidRDefault="004D7373">
      <w:pPr>
        <w:pStyle w:val="TOC3"/>
        <w:tabs>
          <w:tab w:val="left" w:pos="2268"/>
        </w:tabs>
        <w:rPr>
          <w:rFonts w:asciiTheme="minorHAnsi" w:eastAsiaTheme="minorEastAsia" w:hAnsiTheme="minorHAnsi"/>
          <w:sz w:val="22"/>
          <w:lang w:eastAsia="en-NZ"/>
        </w:rPr>
      </w:pPr>
      <w:hyperlink w:anchor="_Toc88637546" w:history="1">
        <w:r w:rsidR="008D1927" w:rsidRPr="009C5B5D">
          <w:rPr>
            <w:rStyle w:val="Hyperlink"/>
          </w:rPr>
          <w:t>2.1.9.</w:t>
        </w:r>
        <w:r w:rsidR="008D1927">
          <w:rPr>
            <w:rFonts w:asciiTheme="minorHAnsi" w:eastAsiaTheme="minorEastAsia" w:hAnsiTheme="minorHAnsi"/>
            <w:sz w:val="22"/>
            <w:lang w:eastAsia="en-NZ"/>
          </w:rPr>
          <w:tab/>
        </w:r>
        <w:r w:rsidR="008D1927" w:rsidRPr="009C5B5D">
          <w:rPr>
            <w:rStyle w:val="Hyperlink"/>
          </w:rPr>
          <w:t>Two submitters were unclear about the question or unsure about their answer</w:t>
        </w:r>
        <w:r w:rsidR="008D1927">
          <w:rPr>
            <w:webHidden/>
          </w:rPr>
          <w:tab/>
        </w:r>
        <w:r w:rsidR="008D1927">
          <w:rPr>
            <w:webHidden/>
          </w:rPr>
          <w:fldChar w:fldCharType="begin"/>
        </w:r>
        <w:r w:rsidR="008D1927">
          <w:rPr>
            <w:webHidden/>
          </w:rPr>
          <w:instrText xml:space="preserve"> PAGEREF _Toc88637546 \h </w:instrText>
        </w:r>
        <w:r w:rsidR="008D1927">
          <w:rPr>
            <w:webHidden/>
          </w:rPr>
        </w:r>
        <w:r w:rsidR="008D1927">
          <w:rPr>
            <w:webHidden/>
          </w:rPr>
          <w:fldChar w:fldCharType="separate"/>
        </w:r>
        <w:r w:rsidR="00071098">
          <w:rPr>
            <w:webHidden/>
          </w:rPr>
          <w:t>47</w:t>
        </w:r>
        <w:r w:rsidR="008D1927">
          <w:rPr>
            <w:webHidden/>
          </w:rPr>
          <w:fldChar w:fldCharType="end"/>
        </w:r>
      </w:hyperlink>
    </w:p>
    <w:p w14:paraId="48C00046" w14:textId="34D539BA" w:rsidR="008D1927" w:rsidRDefault="004D7373">
      <w:pPr>
        <w:pStyle w:val="TOC3"/>
        <w:tabs>
          <w:tab w:val="left" w:pos="2268"/>
        </w:tabs>
        <w:rPr>
          <w:rFonts w:asciiTheme="minorHAnsi" w:eastAsiaTheme="minorEastAsia" w:hAnsiTheme="minorHAnsi"/>
          <w:sz w:val="22"/>
          <w:lang w:eastAsia="en-NZ"/>
        </w:rPr>
      </w:pPr>
      <w:hyperlink w:anchor="_Toc88637547" w:history="1">
        <w:r w:rsidR="008D1927" w:rsidRPr="009C5B5D">
          <w:rPr>
            <w:rStyle w:val="Hyperlink"/>
          </w:rPr>
          <w:t>2.1.10.</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_Toc88637547 \h </w:instrText>
        </w:r>
        <w:r w:rsidR="008D1927">
          <w:rPr>
            <w:webHidden/>
          </w:rPr>
        </w:r>
        <w:r w:rsidR="008D1927">
          <w:rPr>
            <w:webHidden/>
          </w:rPr>
          <w:fldChar w:fldCharType="separate"/>
        </w:r>
        <w:r w:rsidR="00071098">
          <w:rPr>
            <w:webHidden/>
          </w:rPr>
          <w:t>48</w:t>
        </w:r>
        <w:r w:rsidR="008D1927">
          <w:rPr>
            <w:webHidden/>
          </w:rPr>
          <w:fldChar w:fldCharType="end"/>
        </w:r>
      </w:hyperlink>
    </w:p>
    <w:p w14:paraId="08D760CA" w14:textId="729A3B47" w:rsidR="008D1927" w:rsidRDefault="004D7373">
      <w:pPr>
        <w:pStyle w:val="TOC2"/>
        <w:rPr>
          <w:rFonts w:asciiTheme="minorHAnsi" w:eastAsiaTheme="minorEastAsia" w:hAnsiTheme="minorHAnsi"/>
          <w:lang w:eastAsia="en-NZ"/>
        </w:rPr>
      </w:pPr>
      <w:hyperlink w:anchor="_Toc88637548" w:history="1">
        <w:r w:rsidR="008D1927" w:rsidRPr="009C5B5D">
          <w:rPr>
            <w:rStyle w:val="Hyperlink"/>
          </w:rPr>
          <w:t>2.2.</w:t>
        </w:r>
        <w:r w:rsidR="008D1927">
          <w:rPr>
            <w:rFonts w:asciiTheme="minorHAnsi" w:eastAsiaTheme="minorEastAsia" w:hAnsiTheme="minorHAnsi"/>
            <w:lang w:eastAsia="en-NZ"/>
          </w:rPr>
          <w:tab/>
        </w:r>
        <w:r w:rsidR="008D1927" w:rsidRPr="009C5B5D">
          <w:rPr>
            <w:rStyle w:val="Hyperlink"/>
          </w:rPr>
          <w:t>The degree of agreement that the draft strategic plan adequately reflected changes in the gambling environment</w:t>
        </w:r>
        <w:r w:rsidR="008D1927">
          <w:rPr>
            <w:webHidden/>
          </w:rPr>
          <w:tab/>
        </w:r>
        <w:r w:rsidR="008D1927">
          <w:rPr>
            <w:webHidden/>
          </w:rPr>
          <w:fldChar w:fldCharType="begin"/>
        </w:r>
        <w:r w:rsidR="008D1927">
          <w:rPr>
            <w:webHidden/>
          </w:rPr>
          <w:instrText xml:space="preserve"> PAGEREF _Toc88637548 \h </w:instrText>
        </w:r>
        <w:r w:rsidR="008D1927">
          <w:rPr>
            <w:webHidden/>
          </w:rPr>
        </w:r>
        <w:r w:rsidR="008D1927">
          <w:rPr>
            <w:webHidden/>
          </w:rPr>
          <w:fldChar w:fldCharType="separate"/>
        </w:r>
        <w:r w:rsidR="00071098">
          <w:rPr>
            <w:webHidden/>
          </w:rPr>
          <w:t>48</w:t>
        </w:r>
        <w:r w:rsidR="008D1927">
          <w:rPr>
            <w:webHidden/>
          </w:rPr>
          <w:fldChar w:fldCharType="end"/>
        </w:r>
      </w:hyperlink>
    </w:p>
    <w:p w14:paraId="49A8D350" w14:textId="520D191C" w:rsidR="008D1927" w:rsidRDefault="004D7373">
      <w:pPr>
        <w:pStyle w:val="TOC3"/>
        <w:tabs>
          <w:tab w:val="left" w:pos="2268"/>
        </w:tabs>
        <w:rPr>
          <w:rFonts w:asciiTheme="minorHAnsi" w:eastAsiaTheme="minorEastAsia" w:hAnsiTheme="minorHAnsi"/>
          <w:sz w:val="22"/>
          <w:lang w:eastAsia="en-NZ"/>
        </w:rPr>
      </w:pPr>
      <w:hyperlink w:anchor="_Toc88637549" w:history="1">
        <w:r w:rsidR="008D1927" w:rsidRPr="009C5B5D">
          <w:rPr>
            <w:rStyle w:val="Hyperlink"/>
          </w:rPr>
          <w:t>2.2.1.</w:t>
        </w:r>
        <w:r w:rsidR="008D1927">
          <w:rPr>
            <w:rFonts w:asciiTheme="minorHAnsi" w:eastAsiaTheme="minorEastAsia" w:hAnsiTheme="minorHAnsi"/>
            <w:sz w:val="22"/>
            <w:lang w:eastAsia="en-NZ"/>
          </w:rPr>
          <w:tab/>
        </w:r>
        <w:r w:rsidR="008D1927" w:rsidRPr="009C5B5D">
          <w:rPr>
            <w:rStyle w:val="Hyperlink"/>
          </w:rPr>
          <w:t>Two submitters qualified their agreement that the draft strategic plan adequately reflected changes in the gambling environment</w:t>
        </w:r>
        <w:r w:rsidR="008D1927">
          <w:rPr>
            <w:webHidden/>
          </w:rPr>
          <w:tab/>
        </w:r>
        <w:r w:rsidR="008D1927">
          <w:rPr>
            <w:webHidden/>
          </w:rPr>
          <w:fldChar w:fldCharType="begin"/>
        </w:r>
        <w:r w:rsidR="008D1927">
          <w:rPr>
            <w:webHidden/>
          </w:rPr>
          <w:instrText xml:space="preserve"> PAGEREF _Toc88637549 \h </w:instrText>
        </w:r>
        <w:r w:rsidR="008D1927">
          <w:rPr>
            <w:webHidden/>
          </w:rPr>
        </w:r>
        <w:r w:rsidR="008D1927">
          <w:rPr>
            <w:webHidden/>
          </w:rPr>
          <w:fldChar w:fldCharType="separate"/>
        </w:r>
        <w:r w:rsidR="00071098">
          <w:rPr>
            <w:webHidden/>
          </w:rPr>
          <w:t>48</w:t>
        </w:r>
        <w:r w:rsidR="008D1927">
          <w:rPr>
            <w:webHidden/>
          </w:rPr>
          <w:fldChar w:fldCharType="end"/>
        </w:r>
      </w:hyperlink>
    </w:p>
    <w:p w14:paraId="6CBF8B29" w14:textId="355CF1EE" w:rsidR="008D1927" w:rsidRDefault="004D7373">
      <w:pPr>
        <w:pStyle w:val="TOC3"/>
        <w:tabs>
          <w:tab w:val="left" w:pos="2268"/>
        </w:tabs>
        <w:rPr>
          <w:rFonts w:asciiTheme="minorHAnsi" w:eastAsiaTheme="minorEastAsia" w:hAnsiTheme="minorHAnsi"/>
          <w:sz w:val="22"/>
          <w:lang w:eastAsia="en-NZ"/>
        </w:rPr>
      </w:pPr>
      <w:hyperlink w:anchor="_Toc88637550" w:history="1">
        <w:r w:rsidR="008D1927" w:rsidRPr="009C5B5D">
          <w:rPr>
            <w:rStyle w:val="Hyperlink"/>
          </w:rPr>
          <w:t>2.2.2.</w:t>
        </w:r>
        <w:r w:rsidR="008D1927">
          <w:rPr>
            <w:rFonts w:asciiTheme="minorHAnsi" w:eastAsiaTheme="minorEastAsia" w:hAnsiTheme="minorHAnsi"/>
            <w:sz w:val="22"/>
            <w:lang w:eastAsia="en-NZ"/>
          </w:rPr>
          <w:tab/>
        </w:r>
        <w:r w:rsidR="008D1927" w:rsidRPr="009C5B5D">
          <w:rPr>
            <w:rStyle w:val="Hyperlink"/>
          </w:rPr>
          <w:t>Submitters from across sectors wanted to see increased prioritisation of online gambling</w:t>
        </w:r>
        <w:r w:rsidR="008D1927">
          <w:rPr>
            <w:webHidden/>
          </w:rPr>
          <w:tab/>
        </w:r>
        <w:r w:rsidR="008D1927">
          <w:rPr>
            <w:webHidden/>
          </w:rPr>
          <w:fldChar w:fldCharType="begin"/>
        </w:r>
        <w:r w:rsidR="008D1927">
          <w:rPr>
            <w:webHidden/>
          </w:rPr>
          <w:instrText xml:space="preserve"> PAGEREF _Toc88637550 \h </w:instrText>
        </w:r>
        <w:r w:rsidR="008D1927">
          <w:rPr>
            <w:webHidden/>
          </w:rPr>
        </w:r>
        <w:r w:rsidR="008D1927">
          <w:rPr>
            <w:webHidden/>
          </w:rPr>
          <w:fldChar w:fldCharType="separate"/>
        </w:r>
        <w:r w:rsidR="00071098">
          <w:rPr>
            <w:webHidden/>
          </w:rPr>
          <w:t>49</w:t>
        </w:r>
        <w:r w:rsidR="008D1927">
          <w:rPr>
            <w:webHidden/>
          </w:rPr>
          <w:fldChar w:fldCharType="end"/>
        </w:r>
      </w:hyperlink>
    </w:p>
    <w:p w14:paraId="0B4AA1B4" w14:textId="7EDB0F4F" w:rsidR="008D1927" w:rsidRDefault="004D7373">
      <w:pPr>
        <w:pStyle w:val="TOC3"/>
        <w:tabs>
          <w:tab w:val="left" w:pos="2268"/>
        </w:tabs>
        <w:rPr>
          <w:rFonts w:asciiTheme="minorHAnsi" w:eastAsiaTheme="minorEastAsia" w:hAnsiTheme="minorHAnsi"/>
          <w:sz w:val="22"/>
          <w:lang w:eastAsia="en-NZ"/>
        </w:rPr>
      </w:pPr>
      <w:hyperlink w:anchor="_Toc88637551" w:history="1">
        <w:r w:rsidR="008D1927" w:rsidRPr="009C5B5D">
          <w:rPr>
            <w:rStyle w:val="Hyperlink"/>
          </w:rPr>
          <w:t>2.2.3.</w:t>
        </w:r>
        <w:r w:rsidR="008D1927">
          <w:rPr>
            <w:rFonts w:asciiTheme="minorHAnsi" w:eastAsiaTheme="minorEastAsia" w:hAnsiTheme="minorHAnsi"/>
            <w:sz w:val="22"/>
            <w:lang w:eastAsia="en-NZ"/>
          </w:rPr>
          <w:tab/>
        </w:r>
        <w:r w:rsidR="008D1927" w:rsidRPr="009C5B5D">
          <w:rPr>
            <w:rStyle w:val="Hyperlink"/>
          </w:rPr>
          <w:t>Submitters from across sectors wanted to see more emphasis on the harm from offshore gambling in particular</w:t>
        </w:r>
        <w:r w:rsidR="008D1927">
          <w:rPr>
            <w:webHidden/>
          </w:rPr>
          <w:tab/>
        </w:r>
        <w:r w:rsidR="008D1927">
          <w:rPr>
            <w:webHidden/>
          </w:rPr>
          <w:fldChar w:fldCharType="begin"/>
        </w:r>
        <w:r w:rsidR="008D1927">
          <w:rPr>
            <w:webHidden/>
          </w:rPr>
          <w:instrText xml:space="preserve"> PAGEREF _Toc88637551 \h </w:instrText>
        </w:r>
        <w:r w:rsidR="008D1927">
          <w:rPr>
            <w:webHidden/>
          </w:rPr>
        </w:r>
        <w:r w:rsidR="008D1927">
          <w:rPr>
            <w:webHidden/>
          </w:rPr>
          <w:fldChar w:fldCharType="separate"/>
        </w:r>
        <w:r w:rsidR="00071098">
          <w:rPr>
            <w:webHidden/>
          </w:rPr>
          <w:t>51</w:t>
        </w:r>
        <w:r w:rsidR="008D1927">
          <w:rPr>
            <w:webHidden/>
          </w:rPr>
          <w:fldChar w:fldCharType="end"/>
        </w:r>
      </w:hyperlink>
    </w:p>
    <w:p w14:paraId="492A28F8" w14:textId="28A90DA1" w:rsidR="008D1927" w:rsidRDefault="004D7373">
      <w:pPr>
        <w:pStyle w:val="TOC3"/>
        <w:tabs>
          <w:tab w:val="left" w:pos="2268"/>
        </w:tabs>
        <w:rPr>
          <w:rFonts w:asciiTheme="minorHAnsi" w:eastAsiaTheme="minorEastAsia" w:hAnsiTheme="minorHAnsi"/>
          <w:sz w:val="22"/>
          <w:lang w:eastAsia="en-NZ"/>
        </w:rPr>
      </w:pPr>
      <w:hyperlink w:anchor="_Toc88637552" w:history="1">
        <w:r w:rsidR="008D1927" w:rsidRPr="009C5B5D">
          <w:rPr>
            <w:rStyle w:val="Hyperlink"/>
          </w:rPr>
          <w:t>2.2.4.</w:t>
        </w:r>
        <w:r w:rsidR="008D1927">
          <w:rPr>
            <w:rFonts w:asciiTheme="minorHAnsi" w:eastAsiaTheme="minorEastAsia" w:hAnsiTheme="minorHAnsi"/>
            <w:sz w:val="22"/>
            <w:lang w:eastAsia="en-NZ"/>
          </w:rPr>
          <w:tab/>
        </w:r>
        <w:r w:rsidR="008D1927" w:rsidRPr="009C5B5D">
          <w:rPr>
            <w:rStyle w:val="Hyperlink"/>
          </w:rPr>
          <w:t>Submitters wanted to see increased funding for and adoption of technology</w:t>
        </w:r>
        <w:r w:rsidR="008D1927">
          <w:rPr>
            <w:webHidden/>
          </w:rPr>
          <w:tab/>
        </w:r>
        <w:r w:rsidR="008D1927">
          <w:rPr>
            <w:webHidden/>
          </w:rPr>
          <w:fldChar w:fldCharType="begin"/>
        </w:r>
        <w:r w:rsidR="008D1927">
          <w:rPr>
            <w:webHidden/>
          </w:rPr>
          <w:instrText xml:space="preserve"> PAGEREF _Toc88637552 \h </w:instrText>
        </w:r>
        <w:r w:rsidR="008D1927">
          <w:rPr>
            <w:webHidden/>
          </w:rPr>
        </w:r>
        <w:r w:rsidR="008D1927">
          <w:rPr>
            <w:webHidden/>
          </w:rPr>
          <w:fldChar w:fldCharType="separate"/>
        </w:r>
        <w:r w:rsidR="00071098">
          <w:rPr>
            <w:webHidden/>
          </w:rPr>
          <w:t>51</w:t>
        </w:r>
        <w:r w:rsidR="008D1927">
          <w:rPr>
            <w:webHidden/>
          </w:rPr>
          <w:fldChar w:fldCharType="end"/>
        </w:r>
      </w:hyperlink>
    </w:p>
    <w:p w14:paraId="71727CDF" w14:textId="5FC5340B" w:rsidR="008D1927" w:rsidRDefault="004D7373">
      <w:pPr>
        <w:pStyle w:val="TOC3"/>
        <w:tabs>
          <w:tab w:val="left" w:pos="2268"/>
        </w:tabs>
        <w:rPr>
          <w:rFonts w:asciiTheme="minorHAnsi" w:eastAsiaTheme="minorEastAsia" w:hAnsiTheme="minorHAnsi"/>
          <w:sz w:val="22"/>
          <w:lang w:eastAsia="en-NZ"/>
        </w:rPr>
      </w:pPr>
      <w:hyperlink w:anchor="_Toc88637553" w:history="1">
        <w:r w:rsidR="008D1927" w:rsidRPr="009C5B5D">
          <w:rPr>
            <w:rStyle w:val="Hyperlink"/>
          </w:rPr>
          <w:t>2.2.5.</w:t>
        </w:r>
        <w:r w:rsidR="008D1927">
          <w:rPr>
            <w:rFonts w:asciiTheme="minorHAnsi" w:eastAsiaTheme="minorEastAsia" w:hAnsiTheme="minorHAnsi"/>
            <w:sz w:val="22"/>
            <w:lang w:eastAsia="en-NZ"/>
          </w:rPr>
          <w:tab/>
        </w:r>
        <w:r w:rsidR="008D1927" w:rsidRPr="009C5B5D">
          <w:rPr>
            <w:rStyle w:val="Hyperlink"/>
          </w:rPr>
          <w:t>Submitters made comments about service providers and funding models</w:t>
        </w:r>
        <w:r w:rsidR="008D1927">
          <w:rPr>
            <w:webHidden/>
          </w:rPr>
          <w:tab/>
        </w:r>
        <w:r w:rsidR="008D1927">
          <w:rPr>
            <w:webHidden/>
          </w:rPr>
          <w:fldChar w:fldCharType="begin"/>
        </w:r>
        <w:r w:rsidR="008D1927">
          <w:rPr>
            <w:webHidden/>
          </w:rPr>
          <w:instrText xml:space="preserve"> PAGEREF _Toc88637553 \h </w:instrText>
        </w:r>
        <w:r w:rsidR="008D1927">
          <w:rPr>
            <w:webHidden/>
          </w:rPr>
        </w:r>
        <w:r w:rsidR="008D1927">
          <w:rPr>
            <w:webHidden/>
          </w:rPr>
          <w:fldChar w:fldCharType="separate"/>
        </w:r>
        <w:r w:rsidR="00071098">
          <w:rPr>
            <w:webHidden/>
          </w:rPr>
          <w:t>53</w:t>
        </w:r>
        <w:r w:rsidR="008D1927">
          <w:rPr>
            <w:webHidden/>
          </w:rPr>
          <w:fldChar w:fldCharType="end"/>
        </w:r>
      </w:hyperlink>
    </w:p>
    <w:p w14:paraId="502D5B7D" w14:textId="2EFFF253" w:rsidR="008D1927" w:rsidRDefault="004D7373">
      <w:pPr>
        <w:pStyle w:val="TOC3"/>
        <w:tabs>
          <w:tab w:val="left" w:pos="2268"/>
        </w:tabs>
        <w:rPr>
          <w:rFonts w:asciiTheme="minorHAnsi" w:eastAsiaTheme="minorEastAsia" w:hAnsiTheme="minorHAnsi"/>
          <w:sz w:val="22"/>
          <w:lang w:eastAsia="en-NZ"/>
        </w:rPr>
      </w:pPr>
      <w:hyperlink w:anchor="_Toc88637554" w:history="1">
        <w:r w:rsidR="008D1927" w:rsidRPr="009C5B5D">
          <w:rPr>
            <w:rStyle w:val="Hyperlink"/>
          </w:rPr>
          <w:t>2.2.6.</w:t>
        </w:r>
        <w:r w:rsidR="008D1927">
          <w:rPr>
            <w:rFonts w:asciiTheme="minorHAnsi" w:eastAsiaTheme="minorEastAsia" w:hAnsiTheme="minorHAnsi"/>
            <w:sz w:val="22"/>
            <w:lang w:eastAsia="en-NZ"/>
          </w:rPr>
          <w:tab/>
        </w:r>
        <w:r w:rsidR="008D1927" w:rsidRPr="009C5B5D">
          <w:rPr>
            <w:rStyle w:val="Hyperlink"/>
          </w:rPr>
          <w:t>Some submitters wanted to see increased support or training</w:t>
        </w:r>
        <w:r w:rsidR="008D1927">
          <w:rPr>
            <w:webHidden/>
          </w:rPr>
          <w:tab/>
        </w:r>
        <w:r w:rsidR="008D1927">
          <w:rPr>
            <w:webHidden/>
          </w:rPr>
          <w:fldChar w:fldCharType="begin"/>
        </w:r>
        <w:r w:rsidR="008D1927">
          <w:rPr>
            <w:webHidden/>
          </w:rPr>
          <w:instrText xml:space="preserve"> PAGEREF _Toc88637554 \h </w:instrText>
        </w:r>
        <w:r w:rsidR="008D1927">
          <w:rPr>
            <w:webHidden/>
          </w:rPr>
        </w:r>
        <w:r w:rsidR="008D1927">
          <w:rPr>
            <w:webHidden/>
          </w:rPr>
          <w:fldChar w:fldCharType="separate"/>
        </w:r>
        <w:r w:rsidR="00071098">
          <w:rPr>
            <w:webHidden/>
          </w:rPr>
          <w:t>54</w:t>
        </w:r>
        <w:r w:rsidR="008D1927">
          <w:rPr>
            <w:webHidden/>
          </w:rPr>
          <w:fldChar w:fldCharType="end"/>
        </w:r>
      </w:hyperlink>
    </w:p>
    <w:p w14:paraId="771BBA93" w14:textId="1D0B7DA4" w:rsidR="008D1927" w:rsidRDefault="004D7373">
      <w:pPr>
        <w:pStyle w:val="TOC3"/>
        <w:tabs>
          <w:tab w:val="left" w:pos="2268"/>
        </w:tabs>
        <w:rPr>
          <w:rFonts w:asciiTheme="minorHAnsi" w:eastAsiaTheme="minorEastAsia" w:hAnsiTheme="minorHAnsi"/>
          <w:sz w:val="22"/>
          <w:lang w:eastAsia="en-NZ"/>
        </w:rPr>
      </w:pPr>
      <w:hyperlink w:anchor="_Toc88637555" w:history="1">
        <w:r w:rsidR="008D1927" w:rsidRPr="009C5B5D">
          <w:rPr>
            <w:rStyle w:val="Hyperlink"/>
          </w:rPr>
          <w:t>2.2.7.</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_Toc88637555 \h </w:instrText>
        </w:r>
        <w:r w:rsidR="008D1927">
          <w:rPr>
            <w:webHidden/>
          </w:rPr>
        </w:r>
        <w:r w:rsidR="008D1927">
          <w:rPr>
            <w:webHidden/>
          </w:rPr>
          <w:fldChar w:fldCharType="separate"/>
        </w:r>
        <w:r w:rsidR="00071098">
          <w:rPr>
            <w:webHidden/>
          </w:rPr>
          <w:t>54</w:t>
        </w:r>
        <w:r w:rsidR="008D1927">
          <w:rPr>
            <w:webHidden/>
          </w:rPr>
          <w:fldChar w:fldCharType="end"/>
        </w:r>
      </w:hyperlink>
    </w:p>
    <w:p w14:paraId="7DD19661" w14:textId="0D748F1F" w:rsidR="008D1927" w:rsidRDefault="004D7373">
      <w:pPr>
        <w:pStyle w:val="TOC2"/>
        <w:rPr>
          <w:rFonts w:asciiTheme="minorHAnsi" w:eastAsiaTheme="minorEastAsia" w:hAnsiTheme="minorHAnsi"/>
          <w:lang w:eastAsia="en-NZ"/>
        </w:rPr>
      </w:pPr>
      <w:hyperlink w:anchor="_Toc88637556" w:history="1">
        <w:r w:rsidR="008D1927" w:rsidRPr="009C5B5D">
          <w:rPr>
            <w:rStyle w:val="Hyperlink"/>
          </w:rPr>
          <w:t>2.3.</w:t>
        </w:r>
        <w:r w:rsidR="008D1927">
          <w:rPr>
            <w:rFonts w:asciiTheme="minorHAnsi" w:eastAsiaTheme="minorEastAsia" w:hAnsiTheme="minorHAnsi"/>
            <w:lang w:eastAsia="en-NZ"/>
          </w:rPr>
          <w:tab/>
        </w:r>
        <w:r w:rsidR="008D1927" w:rsidRPr="009C5B5D">
          <w:rPr>
            <w:rStyle w:val="Hyperlink"/>
          </w:rPr>
          <w:t>Priority populations</w:t>
        </w:r>
        <w:r w:rsidR="008D1927">
          <w:rPr>
            <w:webHidden/>
          </w:rPr>
          <w:tab/>
        </w:r>
        <w:r w:rsidR="008D1927">
          <w:rPr>
            <w:webHidden/>
          </w:rPr>
          <w:fldChar w:fldCharType="begin"/>
        </w:r>
        <w:r w:rsidR="008D1927">
          <w:rPr>
            <w:webHidden/>
          </w:rPr>
          <w:instrText xml:space="preserve"> PAGEREF _Toc88637556 \h </w:instrText>
        </w:r>
        <w:r w:rsidR="008D1927">
          <w:rPr>
            <w:webHidden/>
          </w:rPr>
        </w:r>
        <w:r w:rsidR="008D1927">
          <w:rPr>
            <w:webHidden/>
          </w:rPr>
          <w:fldChar w:fldCharType="separate"/>
        </w:r>
        <w:r w:rsidR="00071098">
          <w:rPr>
            <w:webHidden/>
          </w:rPr>
          <w:t>55</w:t>
        </w:r>
        <w:r w:rsidR="008D1927">
          <w:rPr>
            <w:webHidden/>
          </w:rPr>
          <w:fldChar w:fldCharType="end"/>
        </w:r>
      </w:hyperlink>
    </w:p>
    <w:p w14:paraId="6C83068A" w14:textId="5474CE1F" w:rsidR="008D1927" w:rsidRDefault="004D7373">
      <w:pPr>
        <w:pStyle w:val="TOC3"/>
        <w:tabs>
          <w:tab w:val="left" w:pos="2268"/>
        </w:tabs>
        <w:rPr>
          <w:rFonts w:asciiTheme="minorHAnsi" w:eastAsiaTheme="minorEastAsia" w:hAnsiTheme="minorHAnsi"/>
          <w:sz w:val="22"/>
          <w:lang w:eastAsia="en-NZ"/>
        </w:rPr>
      </w:pPr>
      <w:hyperlink w:anchor="_Toc88637557" w:history="1">
        <w:r w:rsidR="008D1927" w:rsidRPr="009C5B5D">
          <w:rPr>
            <w:rStyle w:val="Hyperlink"/>
          </w:rPr>
          <w:t>2.3.1.</w:t>
        </w:r>
        <w:r w:rsidR="008D1927">
          <w:rPr>
            <w:rFonts w:asciiTheme="minorHAnsi" w:eastAsiaTheme="minorEastAsia" w:hAnsiTheme="minorHAnsi"/>
            <w:sz w:val="22"/>
            <w:lang w:eastAsia="en-NZ"/>
          </w:rPr>
          <w:tab/>
        </w:r>
        <w:r w:rsidR="008D1927" w:rsidRPr="009C5B5D">
          <w:rPr>
            <w:rStyle w:val="Hyperlink"/>
          </w:rPr>
          <w:t>Submitters from across sectors made general comments about the focus on priority populations</w:t>
        </w:r>
        <w:r w:rsidR="008D1927">
          <w:rPr>
            <w:webHidden/>
          </w:rPr>
          <w:tab/>
        </w:r>
        <w:r w:rsidR="008D1927">
          <w:rPr>
            <w:webHidden/>
          </w:rPr>
          <w:fldChar w:fldCharType="begin"/>
        </w:r>
        <w:r w:rsidR="008D1927">
          <w:rPr>
            <w:webHidden/>
          </w:rPr>
          <w:instrText xml:space="preserve"> PAGEREF _Toc88637557 \h </w:instrText>
        </w:r>
        <w:r w:rsidR="008D1927">
          <w:rPr>
            <w:webHidden/>
          </w:rPr>
        </w:r>
        <w:r w:rsidR="008D1927">
          <w:rPr>
            <w:webHidden/>
          </w:rPr>
          <w:fldChar w:fldCharType="separate"/>
        </w:r>
        <w:r w:rsidR="00071098">
          <w:rPr>
            <w:webHidden/>
          </w:rPr>
          <w:t>55</w:t>
        </w:r>
        <w:r w:rsidR="008D1927">
          <w:rPr>
            <w:webHidden/>
          </w:rPr>
          <w:fldChar w:fldCharType="end"/>
        </w:r>
      </w:hyperlink>
    </w:p>
    <w:p w14:paraId="799ECD59" w14:textId="4933BF8C" w:rsidR="008D1927" w:rsidRDefault="004D7373">
      <w:pPr>
        <w:pStyle w:val="TOC3"/>
        <w:tabs>
          <w:tab w:val="left" w:pos="2268"/>
        </w:tabs>
        <w:rPr>
          <w:rFonts w:asciiTheme="minorHAnsi" w:eastAsiaTheme="minorEastAsia" w:hAnsiTheme="minorHAnsi"/>
          <w:sz w:val="22"/>
          <w:lang w:eastAsia="en-NZ"/>
        </w:rPr>
      </w:pPr>
      <w:hyperlink w:anchor="_Toc88637558" w:history="1">
        <w:r w:rsidR="008D1927" w:rsidRPr="009C5B5D">
          <w:rPr>
            <w:rStyle w:val="Hyperlink"/>
          </w:rPr>
          <w:t>2.3.2.</w:t>
        </w:r>
        <w:r w:rsidR="008D1927">
          <w:rPr>
            <w:rFonts w:asciiTheme="minorHAnsi" w:eastAsiaTheme="minorEastAsia" w:hAnsiTheme="minorHAnsi"/>
            <w:sz w:val="22"/>
            <w:lang w:eastAsia="en-NZ"/>
          </w:rPr>
          <w:tab/>
        </w:r>
        <w:r w:rsidR="008D1927" w:rsidRPr="009C5B5D">
          <w:rPr>
            <w:rStyle w:val="Hyperlink"/>
          </w:rPr>
          <w:t>Asian populations</w:t>
        </w:r>
        <w:r w:rsidR="008D1927">
          <w:rPr>
            <w:webHidden/>
          </w:rPr>
          <w:tab/>
        </w:r>
        <w:r w:rsidR="008D1927">
          <w:rPr>
            <w:webHidden/>
          </w:rPr>
          <w:fldChar w:fldCharType="begin"/>
        </w:r>
        <w:r w:rsidR="008D1927">
          <w:rPr>
            <w:webHidden/>
          </w:rPr>
          <w:instrText xml:space="preserve"> PAGEREF _Toc88637558 \h </w:instrText>
        </w:r>
        <w:r w:rsidR="008D1927">
          <w:rPr>
            <w:webHidden/>
          </w:rPr>
        </w:r>
        <w:r w:rsidR="008D1927">
          <w:rPr>
            <w:webHidden/>
          </w:rPr>
          <w:fldChar w:fldCharType="separate"/>
        </w:r>
        <w:r w:rsidR="00071098">
          <w:rPr>
            <w:webHidden/>
          </w:rPr>
          <w:t>57</w:t>
        </w:r>
        <w:r w:rsidR="008D1927">
          <w:rPr>
            <w:webHidden/>
          </w:rPr>
          <w:fldChar w:fldCharType="end"/>
        </w:r>
      </w:hyperlink>
    </w:p>
    <w:p w14:paraId="5C38BADA" w14:textId="2820BBA3" w:rsidR="008D1927" w:rsidRDefault="004D7373">
      <w:pPr>
        <w:pStyle w:val="TOC3"/>
        <w:tabs>
          <w:tab w:val="left" w:pos="2268"/>
        </w:tabs>
        <w:rPr>
          <w:rFonts w:asciiTheme="minorHAnsi" w:eastAsiaTheme="minorEastAsia" w:hAnsiTheme="minorHAnsi"/>
          <w:sz w:val="22"/>
          <w:lang w:eastAsia="en-NZ"/>
        </w:rPr>
      </w:pPr>
      <w:hyperlink w:anchor="_Toc88637559" w:history="1">
        <w:r w:rsidR="008D1927" w:rsidRPr="009C5B5D">
          <w:rPr>
            <w:rStyle w:val="Hyperlink"/>
          </w:rPr>
          <w:t>2.3.3.</w:t>
        </w:r>
        <w:r w:rsidR="008D1927">
          <w:rPr>
            <w:rFonts w:asciiTheme="minorHAnsi" w:eastAsiaTheme="minorEastAsia" w:hAnsiTheme="minorHAnsi"/>
            <w:sz w:val="22"/>
            <w:lang w:eastAsia="en-NZ"/>
          </w:rPr>
          <w:tab/>
        </w:r>
        <w:r w:rsidR="008D1927" w:rsidRPr="009C5B5D">
          <w:rPr>
            <w:rStyle w:val="Hyperlink"/>
          </w:rPr>
          <w:t>Māori populations</w:t>
        </w:r>
        <w:r w:rsidR="008D1927">
          <w:rPr>
            <w:webHidden/>
          </w:rPr>
          <w:tab/>
        </w:r>
        <w:r w:rsidR="008D1927">
          <w:rPr>
            <w:webHidden/>
          </w:rPr>
          <w:fldChar w:fldCharType="begin"/>
        </w:r>
        <w:r w:rsidR="008D1927">
          <w:rPr>
            <w:webHidden/>
          </w:rPr>
          <w:instrText xml:space="preserve"> PAGEREF _Toc88637559 \h </w:instrText>
        </w:r>
        <w:r w:rsidR="008D1927">
          <w:rPr>
            <w:webHidden/>
          </w:rPr>
        </w:r>
        <w:r w:rsidR="008D1927">
          <w:rPr>
            <w:webHidden/>
          </w:rPr>
          <w:fldChar w:fldCharType="separate"/>
        </w:r>
        <w:r w:rsidR="00071098">
          <w:rPr>
            <w:webHidden/>
          </w:rPr>
          <w:t>58</w:t>
        </w:r>
        <w:r w:rsidR="008D1927">
          <w:rPr>
            <w:webHidden/>
          </w:rPr>
          <w:fldChar w:fldCharType="end"/>
        </w:r>
      </w:hyperlink>
    </w:p>
    <w:p w14:paraId="07653037" w14:textId="2C3F7E4D" w:rsidR="008D1927" w:rsidRDefault="004D7373">
      <w:pPr>
        <w:pStyle w:val="TOC3"/>
        <w:tabs>
          <w:tab w:val="left" w:pos="2268"/>
        </w:tabs>
        <w:rPr>
          <w:rFonts w:asciiTheme="minorHAnsi" w:eastAsiaTheme="minorEastAsia" w:hAnsiTheme="minorHAnsi"/>
          <w:sz w:val="22"/>
          <w:lang w:eastAsia="en-NZ"/>
        </w:rPr>
      </w:pPr>
      <w:hyperlink w:anchor="_Toc88637560" w:history="1">
        <w:r w:rsidR="008D1927" w:rsidRPr="009C5B5D">
          <w:rPr>
            <w:rStyle w:val="Hyperlink"/>
          </w:rPr>
          <w:t>2.3.4.</w:t>
        </w:r>
        <w:r w:rsidR="008D1927">
          <w:rPr>
            <w:rFonts w:asciiTheme="minorHAnsi" w:eastAsiaTheme="minorEastAsia" w:hAnsiTheme="minorHAnsi"/>
            <w:sz w:val="22"/>
            <w:lang w:eastAsia="en-NZ"/>
          </w:rPr>
          <w:tab/>
        </w:r>
        <w:r w:rsidR="008D1927" w:rsidRPr="009C5B5D">
          <w:rPr>
            <w:rStyle w:val="Hyperlink"/>
          </w:rPr>
          <w:t>Pacific populations</w:t>
        </w:r>
        <w:r w:rsidR="008D1927">
          <w:rPr>
            <w:webHidden/>
          </w:rPr>
          <w:tab/>
        </w:r>
        <w:r w:rsidR="008D1927">
          <w:rPr>
            <w:webHidden/>
          </w:rPr>
          <w:fldChar w:fldCharType="begin"/>
        </w:r>
        <w:r w:rsidR="008D1927">
          <w:rPr>
            <w:webHidden/>
          </w:rPr>
          <w:instrText xml:space="preserve"> PAGEREF _Toc88637560 \h </w:instrText>
        </w:r>
        <w:r w:rsidR="008D1927">
          <w:rPr>
            <w:webHidden/>
          </w:rPr>
        </w:r>
        <w:r w:rsidR="008D1927">
          <w:rPr>
            <w:webHidden/>
          </w:rPr>
          <w:fldChar w:fldCharType="separate"/>
        </w:r>
        <w:r w:rsidR="00071098">
          <w:rPr>
            <w:webHidden/>
          </w:rPr>
          <w:t>60</w:t>
        </w:r>
        <w:r w:rsidR="008D1927">
          <w:rPr>
            <w:webHidden/>
          </w:rPr>
          <w:fldChar w:fldCharType="end"/>
        </w:r>
      </w:hyperlink>
    </w:p>
    <w:p w14:paraId="4FF75A7D" w14:textId="2E8085EE" w:rsidR="008D1927" w:rsidRDefault="004D7373">
      <w:pPr>
        <w:pStyle w:val="TOC3"/>
        <w:tabs>
          <w:tab w:val="left" w:pos="2268"/>
        </w:tabs>
        <w:rPr>
          <w:rFonts w:asciiTheme="minorHAnsi" w:eastAsiaTheme="minorEastAsia" w:hAnsiTheme="minorHAnsi"/>
          <w:sz w:val="22"/>
          <w:lang w:eastAsia="en-NZ"/>
        </w:rPr>
      </w:pPr>
      <w:hyperlink w:anchor="_Toc88637561" w:history="1">
        <w:r w:rsidR="008D1927" w:rsidRPr="009C5B5D">
          <w:rPr>
            <w:rStyle w:val="Hyperlink"/>
          </w:rPr>
          <w:t>2.3.5.</w:t>
        </w:r>
        <w:r w:rsidR="008D1927">
          <w:rPr>
            <w:rFonts w:asciiTheme="minorHAnsi" w:eastAsiaTheme="minorEastAsia" w:hAnsiTheme="minorHAnsi"/>
            <w:sz w:val="22"/>
            <w:lang w:eastAsia="en-NZ"/>
          </w:rPr>
          <w:tab/>
        </w:r>
        <w:r w:rsidR="008D1927" w:rsidRPr="009C5B5D">
          <w:rPr>
            <w:rStyle w:val="Hyperlink"/>
          </w:rPr>
          <w:t>Rangatahi/young people</w:t>
        </w:r>
        <w:r w:rsidR="008D1927">
          <w:rPr>
            <w:webHidden/>
          </w:rPr>
          <w:tab/>
        </w:r>
        <w:r w:rsidR="008D1927">
          <w:rPr>
            <w:webHidden/>
          </w:rPr>
          <w:fldChar w:fldCharType="begin"/>
        </w:r>
        <w:r w:rsidR="008D1927">
          <w:rPr>
            <w:webHidden/>
          </w:rPr>
          <w:instrText xml:space="preserve"> PAGEREF _Toc88637561 \h </w:instrText>
        </w:r>
        <w:r w:rsidR="008D1927">
          <w:rPr>
            <w:webHidden/>
          </w:rPr>
        </w:r>
        <w:r w:rsidR="008D1927">
          <w:rPr>
            <w:webHidden/>
          </w:rPr>
          <w:fldChar w:fldCharType="separate"/>
        </w:r>
        <w:r w:rsidR="00071098">
          <w:rPr>
            <w:webHidden/>
          </w:rPr>
          <w:t>60</w:t>
        </w:r>
        <w:r w:rsidR="008D1927">
          <w:rPr>
            <w:webHidden/>
          </w:rPr>
          <w:fldChar w:fldCharType="end"/>
        </w:r>
      </w:hyperlink>
    </w:p>
    <w:p w14:paraId="5F574334" w14:textId="4D5314B3" w:rsidR="008D1927" w:rsidRDefault="004D7373">
      <w:pPr>
        <w:pStyle w:val="TOC3"/>
        <w:tabs>
          <w:tab w:val="left" w:pos="2268"/>
        </w:tabs>
        <w:rPr>
          <w:rFonts w:asciiTheme="minorHAnsi" w:eastAsiaTheme="minorEastAsia" w:hAnsiTheme="minorHAnsi"/>
          <w:sz w:val="22"/>
          <w:lang w:eastAsia="en-NZ"/>
        </w:rPr>
      </w:pPr>
      <w:hyperlink w:anchor="_Toc88637562" w:history="1">
        <w:r w:rsidR="008D1927" w:rsidRPr="009C5B5D">
          <w:rPr>
            <w:rStyle w:val="Hyperlink"/>
          </w:rPr>
          <w:t>2.3.6.</w:t>
        </w:r>
        <w:r w:rsidR="008D1927">
          <w:rPr>
            <w:rFonts w:asciiTheme="minorHAnsi" w:eastAsiaTheme="minorEastAsia" w:hAnsiTheme="minorHAnsi"/>
            <w:sz w:val="22"/>
            <w:lang w:eastAsia="en-NZ"/>
          </w:rPr>
          <w:tab/>
        </w:r>
        <w:r w:rsidR="008D1927" w:rsidRPr="009C5B5D">
          <w:rPr>
            <w:rStyle w:val="Hyperlink"/>
          </w:rPr>
          <w:t>Submitters considered that other priority populations should be included</w:t>
        </w:r>
        <w:r w:rsidR="008D1927">
          <w:rPr>
            <w:webHidden/>
          </w:rPr>
          <w:tab/>
        </w:r>
        <w:r w:rsidR="008D1927">
          <w:rPr>
            <w:webHidden/>
          </w:rPr>
          <w:fldChar w:fldCharType="begin"/>
        </w:r>
        <w:r w:rsidR="008D1927">
          <w:rPr>
            <w:webHidden/>
          </w:rPr>
          <w:instrText xml:space="preserve"> PAGEREF _Toc88637562 \h </w:instrText>
        </w:r>
        <w:r w:rsidR="008D1927">
          <w:rPr>
            <w:webHidden/>
          </w:rPr>
        </w:r>
        <w:r w:rsidR="008D1927">
          <w:rPr>
            <w:webHidden/>
          </w:rPr>
          <w:fldChar w:fldCharType="separate"/>
        </w:r>
        <w:r w:rsidR="00071098">
          <w:rPr>
            <w:webHidden/>
          </w:rPr>
          <w:t>62</w:t>
        </w:r>
        <w:r w:rsidR="008D1927">
          <w:rPr>
            <w:webHidden/>
          </w:rPr>
          <w:fldChar w:fldCharType="end"/>
        </w:r>
      </w:hyperlink>
    </w:p>
    <w:p w14:paraId="31B9FAE8" w14:textId="53F04863" w:rsidR="008D1927" w:rsidRDefault="004D7373">
      <w:pPr>
        <w:pStyle w:val="TOC3"/>
        <w:tabs>
          <w:tab w:val="left" w:pos="2268"/>
        </w:tabs>
        <w:rPr>
          <w:rFonts w:asciiTheme="minorHAnsi" w:eastAsiaTheme="minorEastAsia" w:hAnsiTheme="minorHAnsi"/>
          <w:sz w:val="22"/>
          <w:lang w:eastAsia="en-NZ"/>
        </w:rPr>
      </w:pPr>
      <w:hyperlink w:anchor="_Toc88637563" w:history="1">
        <w:r w:rsidR="008D1927" w:rsidRPr="009C5B5D">
          <w:rPr>
            <w:rStyle w:val="Hyperlink"/>
          </w:rPr>
          <w:t>2.3.7.</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_Toc88637563 \h </w:instrText>
        </w:r>
        <w:r w:rsidR="008D1927">
          <w:rPr>
            <w:webHidden/>
          </w:rPr>
        </w:r>
        <w:r w:rsidR="008D1927">
          <w:rPr>
            <w:webHidden/>
          </w:rPr>
          <w:fldChar w:fldCharType="separate"/>
        </w:r>
        <w:r w:rsidR="00071098">
          <w:rPr>
            <w:webHidden/>
          </w:rPr>
          <w:t>63</w:t>
        </w:r>
        <w:r w:rsidR="008D1927">
          <w:rPr>
            <w:webHidden/>
          </w:rPr>
          <w:fldChar w:fldCharType="end"/>
        </w:r>
      </w:hyperlink>
    </w:p>
    <w:p w14:paraId="46DB6807" w14:textId="19155CB2" w:rsidR="008D1927" w:rsidRDefault="004D7373">
      <w:pPr>
        <w:pStyle w:val="TOC2"/>
        <w:rPr>
          <w:rFonts w:asciiTheme="minorHAnsi" w:eastAsiaTheme="minorEastAsia" w:hAnsiTheme="minorHAnsi"/>
          <w:lang w:eastAsia="en-NZ"/>
        </w:rPr>
      </w:pPr>
      <w:hyperlink w:anchor="_Toc88637564" w:history="1">
        <w:r w:rsidR="008D1927" w:rsidRPr="009C5B5D">
          <w:rPr>
            <w:rStyle w:val="Hyperlink"/>
          </w:rPr>
          <w:t>2.4.</w:t>
        </w:r>
        <w:r w:rsidR="008D1927">
          <w:rPr>
            <w:rFonts w:asciiTheme="minorHAnsi" w:eastAsiaTheme="minorEastAsia" w:hAnsiTheme="minorHAnsi"/>
            <w:lang w:eastAsia="en-NZ"/>
          </w:rPr>
          <w:tab/>
        </w:r>
        <w:r w:rsidR="008D1927" w:rsidRPr="009C5B5D">
          <w:rPr>
            <w:rStyle w:val="Hyperlink"/>
          </w:rPr>
          <w:t>What needs to change</w:t>
        </w:r>
        <w:r w:rsidR="008D1927">
          <w:rPr>
            <w:webHidden/>
          </w:rPr>
          <w:tab/>
        </w:r>
        <w:r w:rsidR="008D1927">
          <w:rPr>
            <w:webHidden/>
          </w:rPr>
          <w:fldChar w:fldCharType="begin"/>
        </w:r>
        <w:r w:rsidR="008D1927">
          <w:rPr>
            <w:webHidden/>
          </w:rPr>
          <w:instrText xml:space="preserve"> PAGEREF _Toc88637564 \h </w:instrText>
        </w:r>
        <w:r w:rsidR="008D1927">
          <w:rPr>
            <w:webHidden/>
          </w:rPr>
        </w:r>
        <w:r w:rsidR="008D1927">
          <w:rPr>
            <w:webHidden/>
          </w:rPr>
          <w:fldChar w:fldCharType="separate"/>
        </w:r>
        <w:r w:rsidR="00071098">
          <w:rPr>
            <w:webHidden/>
          </w:rPr>
          <w:t>64</w:t>
        </w:r>
        <w:r w:rsidR="008D1927">
          <w:rPr>
            <w:webHidden/>
          </w:rPr>
          <w:fldChar w:fldCharType="end"/>
        </w:r>
      </w:hyperlink>
    </w:p>
    <w:p w14:paraId="6A32B4E6" w14:textId="6BE6CC06" w:rsidR="008D1927" w:rsidRDefault="004D7373">
      <w:pPr>
        <w:pStyle w:val="TOC3"/>
        <w:tabs>
          <w:tab w:val="left" w:pos="2268"/>
        </w:tabs>
        <w:rPr>
          <w:rFonts w:asciiTheme="minorHAnsi" w:eastAsiaTheme="minorEastAsia" w:hAnsiTheme="minorHAnsi"/>
          <w:sz w:val="22"/>
          <w:lang w:eastAsia="en-NZ"/>
        </w:rPr>
      </w:pPr>
      <w:hyperlink w:anchor="_Toc88637565" w:history="1">
        <w:r w:rsidR="008D1927" w:rsidRPr="009C5B5D">
          <w:rPr>
            <w:rStyle w:val="Hyperlink"/>
          </w:rPr>
          <w:t>2.4.1.</w:t>
        </w:r>
        <w:r w:rsidR="008D1927">
          <w:rPr>
            <w:rFonts w:asciiTheme="minorHAnsi" w:eastAsiaTheme="minorEastAsia" w:hAnsiTheme="minorHAnsi"/>
            <w:sz w:val="22"/>
            <w:lang w:eastAsia="en-NZ"/>
          </w:rPr>
          <w:tab/>
        </w:r>
        <w:r w:rsidR="008D1927" w:rsidRPr="009C5B5D">
          <w:rPr>
            <w:rStyle w:val="Hyperlink"/>
          </w:rPr>
          <w:t>Submitters from all sectors wanted to see silos in the addiction space removed</w:t>
        </w:r>
        <w:r w:rsidR="008D1927">
          <w:rPr>
            <w:webHidden/>
          </w:rPr>
          <w:tab/>
        </w:r>
        <w:r w:rsidR="008D1927">
          <w:rPr>
            <w:webHidden/>
          </w:rPr>
          <w:fldChar w:fldCharType="begin"/>
        </w:r>
        <w:r w:rsidR="008D1927">
          <w:rPr>
            <w:webHidden/>
          </w:rPr>
          <w:instrText xml:space="preserve"> PAGEREF _Toc88637565 \h </w:instrText>
        </w:r>
        <w:r w:rsidR="008D1927">
          <w:rPr>
            <w:webHidden/>
          </w:rPr>
        </w:r>
        <w:r w:rsidR="008D1927">
          <w:rPr>
            <w:webHidden/>
          </w:rPr>
          <w:fldChar w:fldCharType="separate"/>
        </w:r>
        <w:r w:rsidR="00071098">
          <w:rPr>
            <w:webHidden/>
          </w:rPr>
          <w:t>65</w:t>
        </w:r>
        <w:r w:rsidR="008D1927">
          <w:rPr>
            <w:webHidden/>
          </w:rPr>
          <w:fldChar w:fldCharType="end"/>
        </w:r>
      </w:hyperlink>
    </w:p>
    <w:p w14:paraId="3652CC06" w14:textId="4CAEA2EC" w:rsidR="008D1927" w:rsidRDefault="004D7373">
      <w:pPr>
        <w:pStyle w:val="TOC3"/>
        <w:tabs>
          <w:tab w:val="left" w:pos="2268"/>
        </w:tabs>
        <w:rPr>
          <w:rFonts w:asciiTheme="minorHAnsi" w:eastAsiaTheme="minorEastAsia" w:hAnsiTheme="minorHAnsi"/>
          <w:sz w:val="22"/>
          <w:lang w:eastAsia="en-NZ"/>
        </w:rPr>
      </w:pPr>
      <w:hyperlink w:anchor="_Toc88637566" w:history="1">
        <w:r w:rsidR="008D1927" w:rsidRPr="009C5B5D">
          <w:rPr>
            <w:rStyle w:val="Hyperlink"/>
          </w:rPr>
          <w:t>2.4.2.</w:t>
        </w:r>
        <w:r w:rsidR="008D1927">
          <w:rPr>
            <w:rFonts w:asciiTheme="minorHAnsi" w:eastAsiaTheme="minorEastAsia" w:hAnsiTheme="minorHAnsi"/>
            <w:sz w:val="22"/>
            <w:lang w:eastAsia="en-NZ"/>
          </w:rPr>
          <w:tab/>
        </w:r>
        <w:r w:rsidR="008D1927" w:rsidRPr="009C5B5D">
          <w:rPr>
            <w:rStyle w:val="Hyperlink"/>
          </w:rPr>
          <w:t>Service providers wanted to see better access to and sharing of information</w:t>
        </w:r>
        <w:r w:rsidR="008D1927">
          <w:rPr>
            <w:webHidden/>
          </w:rPr>
          <w:tab/>
        </w:r>
        <w:r w:rsidR="008D1927">
          <w:rPr>
            <w:webHidden/>
          </w:rPr>
          <w:fldChar w:fldCharType="begin"/>
        </w:r>
        <w:r w:rsidR="008D1927">
          <w:rPr>
            <w:webHidden/>
          </w:rPr>
          <w:instrText xml:space="preserve"> PAGEREF _Toc88637566 \h </w:instrText>
        </w:r>
        <w:r w:rsidR="008D1927">
          <w:rPr>
            <w:webHidden/>
          </w:rPr>
        </w:r>
        <w:r w:rsidR="008D1927">
          <w:rPr>
            <w:webHidden/>
          </w:rPr>
          <w:fldChar w:fldCharType="separate"/>
        </w:r>
        <w:r w:rsidR="00071098">
          <w:rPr>
            <w:webHidden/>
          </w:rPr>
          <w:t>67</w:t>
        </w:r>
        <w:r w:rsidR="008D1927">
          <w:rPr>
            <w:webHidden/>
          </w:rPr>
          <w:fldChar w:fldCharType="end"/>
        </w:r>
      </w:hyperlink>
    </w:p>
    <w:p w14:paraId="2169CE4F" w14:textId="24C4635C" w:rsidR="008D1927" w:rsidRDefault="004D7373">
      <w:pPr>
        <w:pStyle w:val="TOC3"/>
        <w:tabs>
          <w:tab w:val="left" w:pos="2268"/>
        </w:tabs>
        <w:rPr>
          <w:rFonts w:asciiTheme="minorHAnsi" w:eastAsiaTheme="minorEastAsia" w:hAnsiTheme="minorHAnsi"/>
          <w:sz w:val="22"/>
          <w:lang w:eastAsia="en-NZ"/>
        </w:rPr>
      </w:pPr>
      <w:hyperlink w:anchor="_Toc88637567" w:history="1">
        <w:r w:rsidR="008D1927" w:rsidRPr="009C5B5D">
          <w:rPr>
            <w:rStyle w:val="Hyperlink"/>
          </w:rPr>
          <w:t>2.4.3.</w:t>
        </w:r>
        <w:r w:rsidR="008D1927">
          <w:rPr>
            <w:rFonts w:asciiTheme="minorHAnsi" w:eastAsiaTheme="minorEastAsia" w:hAnsiTheme="minorHAnsi"/>
            <w:sz w:val="22"/>
            <w:lang w:eastAsia="en-NZ"/>
          </w:rPr>
          <w:tab/>
        </w:r>
        <w:r w:rsidR="008D1927" w:rsidRPr="009C5B5D">
          <w:rPr>
            <w:rStyle w:val="Hyperlink"/>
          </w:rPr>
          <w:t>Submitters wanted to see more research</w:t>
        </w:r>
        <w:r w:rsidR="008D1927">
          <w:rPr>
            <w:webHidden/>
          </w:rPr>
          <w:tab/>
        </w:r>
        <w:r w:rsidR="008D1927">
          <w:rPr>
            <w:webHidden/>
          </w:rPr>
          <w:fldChar w:fldCharType="begin"/>
        </w:r>
        <w:r w:rsidR="008D1927">
          <w:rPr>
            <w:webHidden/>
          </w:rPr>
          <w:instrText xml:space="preserve"> PAGEREF _Toc88637567 \h </w:instrText>
        </w:r>
        <w:r w:rsidR="008D1927">
          <w:rPr>
            <w:webHidden/>
          </w:rPr>
        </w:r>
        <w:r w:rsidR="008D1927">
          <w:rPr>
            <w:webHidden/>
          </w:rPr>
          <w:fldChar w:fldCharType="separate"/>
        </w:r>
        <w:r w:rsidR="00071098">
          <w:rPr>
            <w:webHidden/>
          </w:rPr>
          <w:t>67</w:t>
        </w:r>
        <w:r w:rsidR="008D1927">
          <w:rPr>
            <w:webHidden/>
          </w:rPr>
          <w:fldChar w:fldCharType="end"/>
        </w:r>
      </w:hyperlink>
    </w:p>
    <w:p w14:paraId="731C7527" w14:textId="1EB4FFBB" w:rsidR="008D1927" w:rsidRDefault="004D7373">
      <w:pPr>
        <w:pStyle w:val="TOC3"/>
        <w:tabs>
          <w:tab w:val="left" w:pos="2268"/>
        </w:tabs>
        <w:rPr>
          <w:rFonts w:asciiTheme="minorHAnsi" w:eastAsiaTheme="minorEastAsia" w:hAnsiTheme="minorHAnsi"/>
          <w:sz w:val="22"/>
          <w:lang w:eastAsia="en-NZ"/>
        </w:rPr>
      </w:pPr>
      <w:hyperlink w:anchor="_Toc88637568" w:history="1">
        <w:r w:rsidR="008D1927" w:rsidRPr="009C5B5D">
          <w:rPr>
            <w:rStyle w:val="Hyperlink"/>
          </w:rPr>
          <w:t>2.4.4.</w:t>
        </w:r>
        <w:r w:rsidR="008D1927">
          <w:rPr>
            <w:rFonts w:asciiTheme="minorHAnsi" w:eastAsiaTheme="minorEastAsia" w:hAnsiTheme="minorHAnsi"/>
            <w:sz w:val="22"/>
            <w:lang w:eastAsia="en-NZ"/>
          </w:rPr>
          <w:tab/>
        </w:r>
        <w:r w:rsidR="008D1927" w:rsidRPr="009C5B5D">
          <w:rPr>
            <w:rStyle w:val="Hyperlink"/>
          </w:rPr>
          <w:t>Health and social services submitters and gambling industry submitters wanted to see more of a focus on de-stigmatisation</w:t>
        </w:r>
        <w:r w:rsidR="008D1927">
          <w:rPr>
            <w:webHidden/>
          </w:rPr>
          <w:tab/>
        </w:r>
        <w:r w:rsidR="008D1927">
          <w:rPr>
            <w:webHidden/>
          </w:rPr>
          <w:fldChar w:fldCharType="begin"/>
        </w:r>
        <w:r w:rsidR="008D1927">
          <w:rPr>
            <w:webHidden/>
          </w:rPr>
          <w:instrText xml:space="preserve"> PAGEREF _Toc88637568 \h </w:instrText>
        </w:r>
        <w:r w:rsidR="008D1927">
          <w:rPr>
            <w:webHidden/>
          </w:rPr>
        </w:r>
        <w:r w:rsidR="008D1927">
          <w:rPr>
            <w:webHidden/>
          </w:rPr>
          <w:fldChar w:fldCharType="separate"/>
        </w:r>
        <w:r w:rsidR="00071098">
          <w:rPr>
            <w:webHidden/>
          </w:rPr>
          <w:t>67</w:t>
        </w:r>
        <w:r w:rsidR="008D1927">
          <w:rPr>
            <w:webHidden/>
          </w:rPr>
          <w:fldChar w:fldCharType="end"/>
        </w:r>
      </w:hyperlink>
    </w:p>
    <w:p w14:paraId="25C74BCF" w14:textId="05CAAB22" w:rsidR="008D1927" w:rsidRDefault="004D7373">
      <w:pPr>
        <w:pStyle w:val="TOC3"/>
        <w:tabs>
          <w:tab w:val="left" w:pos="2268"/>
        </w:tabs>
        <w:rPr>
          <w:rFonts w:asciiTheme="minorHAnsi" w:eastAsiaTheme="minorEastAsia" w:hAnsiTheme="minorHAnsi"/>
          <w:sz w:val="22"/>
          <w:lang w:eastAsia="en-NZ"/>
        </w:rPr>
      </w:pPr>
      <w:hyperlink w:anchor="_Toc88637569" w:history="1">
        <w:r w:rsidR="008D1927" w:rsidRPr="009C5B5D">
          <w:rPr>
            <w:rStyle w:val="Hyperlink"/>
          </w:rPr>
          <w:t>2.4.5.</w:t>
        </w:r>
        <w:r w:rsidR="008D1927">
          <w:rPr>
            <w:rFonts w:asciiTheme="minorHAnsi" w:eastAsiaTheme="minorEastAsia" w:hAnsiTheme="minorHAnsi"/>
            <w:sz w:val="22"/>
            <w:lang w:eastAsia="en-NZ"/>
          </w:rPr>
          <w:tab/>
        </w:r>
        <w:r w:rsidR="008D1927" w:rsidRPr="009C5B5D">
          <w:rPr>
            <w:rStyle w:val="Hyperlink"/>
          </w:rPr>
          <w:t>Service providers highlighted opportunities for co-design</w:t>
        </w:r>
        <w:r w:rsidR="008D1927">
          <w:rPr>
            <w:webHidden/>
          </w:rPr>
          <w:tab/>
        </w:r>
        <w:r w:rsidR="008D1927">
          <w:rPr>
            <w:webHidden/>
          </w:rPr>
          <w:fldChar w:fldCharType="begin"/>
        </w:r>
        <w:r w:rsidR="008D1927">
          <w:rPr>
            <w:webHidden/>
          </w:rPr>
          <w:instrText xml:space="preserve"> PAGEREF _Toc88637569 \h </w:instrText>
        </w:r>
        <w:r w:rsidR="008D1927">
          <w:rPr>
            <w:webHidden/>
          </w:rPr>
        </w:r>
        <w:r w:rsidR="008D1927">
          <w:rPr>
            <w:webHidden/>
          </w:rPr>
          <w:fldChar w:fldCharType="separate"/>
        </w:r>
        <w:r w:rsidR="00071098">
          <w:rPr>
            <w:webHidden/>
          </w:rPr>
          <w:t>68</w:t>
        </w:r>
        <w:r w:rsidR="008D1927">
          <w:rPr>
            <w:webHidden/>
          </w:rPr>
          <w:fldChar w:fldCharType="end"/>
        </w:r>
      </w:hyperlink>
    </w:p>
    <w:p w14:paraId="69B41ABD" w14:textId="57582AD9" w:rsidR="008D1927" w:rsidRDefault="004D7373">
      <w:pPr>
        <w:pStyle w:val="TOC3"/>
        <w:tabs>
          <w:tab w:val="left" w:pos="2268"/>
        </w:tabs>
        <w:rPr>
          <w:rFonts w:asciiTheme="minorHAnsi" w:eastAsiaTheme="minorEastAsia" w:hAnsiTheme="minorHAnsi"/>
          <w:sz w:val="22"/>
          <w:lang w:eastAsia="en-NZ"/>
        </w:rPr>
      </w:pPr>
      <w:hyperlink w:anchor="_Toc88637570" w:history="1">
        <w:r w:rsidR="008D1927" w:rsidRPr="009C5B5D">
          <w:rPr>
            <w:rStyle w:val="Hyperlink"/>
          </w:rPr>
          <w:t>2.4.6.</w:t>
        </w:r>
        <w:r w:rsidR="008D1927">
          <w:rPr>
            <w:rFonts w:asciiTheme="minorHAnsi" w:eastAsiaTheme="minorEastAsia" w:hAnsiTheme="minorHAnsi"/>
            <w:sz w:val="22"/>
            <w:lang w:eastAsia="en-NZ"/>
          </w:rPr>
          <w:tab/>
        </w:r>
        <w:r w:rsidR="008D1927" w:rsidRPr="009C5B5D">
          <w:rPr>
            <w:rStyle w:val="Hyperlink"/>
          </w:rPr>
          <w:t>Submitters supported the development of a peer support workforce</w:t>
        </w:r>
        <w:r w:rsidR="008D1927">
          <w:rPr>
            <w:webHidden/>
          </w:rPr>
          <w:tab/>
        </w:r>
        <w:r w:rsidR="008D1927">
          <w:rPr>
            <w:webHidden/>
          </w:rPr>
          <w:fldChar w:fldCharType="begin"/>
        </w:r>
        <w:r w:rsidR="008D1927">
          <w:rPr>
            <w:webHidden/>
          </w:rPr>
          <w:instrText xml:space="preserve"> PAGEREF _Toc88637570 \h </w:instrText>
        </w:r>
        <w:r w:rsidR="008D1927">
          <w:rPr>
            <w:webHidden/>
          </w:rPr>
        </w:r>
        <w:r w:rsidR="008D1927">
          <w:rPr>
            <w:webHidden/>
          </w:rPr>
          <w:fldChar w:fldCharType="separate"/>
        </w:r>
        <w:r w:rsidR="00071098">
          <w:rPr>
            <w:webHidden/>
          </w:rPr>
          <w:t>68</w:t>
        </w:r>
        <w:r w:rsidR="008D1927">
          <w:rPr>
            <w:webHidden/>
          </w:rPr>
          <w:fldChar w:fldCharType="end"/>
        </w:r>
      </w:hyperlink>
    </w:p>
    <w:p w14:paraId="3D72BCFF" w14:textId="3AA7F770" w:rsidR="008D1927" w:rsidRDefault="004D7373">
      <w:pPr>
        <w:pStyle w:val="TOC3"/>
        <w:tabs>
          <w:tab w:val="left" w:pos="2268"/>
        </w:tabs>
        <w:rPr>
          <w:rFonts w:asciiTheme="minorHAnsi" w:eastAsiaTheme="minorEastAsia" w:hAnsiTheme="minorHAnsi"/>
          <w:sz w:val="22"/>
          <w:lang w:eastAsia="en-NZ"/>
        </w:rPr>
      </w:pPr>
      <w:hyperlink w:anchor="_Toc88637571" w:history="1">
        <w:r w:rsidR="008D1927" w:rsidRPr="009C5B5D">
          <w:rPr>
            <w:rStyle w:val="Hyperlink"/>
          </w:rPr>
          <w:t>2.4.7.</w:t>
        </w:r>
        <w:r w:rsidR="008D1927">
          <w:rPr>
            <w:rFonts w:asciiTheme="minorHAnsi" w:eastAsiaTheme="minorEastAsia" w:hAnsiTheme="minorHAnsi"/>
            <w:sz w:val="22"/>
            <w:lang w:eastAsia="en-NZ"/>
          </w:rPr>
          <w:tab/>
        </w:r>
        <w:r w:rsidR="008D1927" w:rsidRPr="009C5B5D">
          <w:rPr>
            <w:rStyle w:val="Hyperlink"/>
          </w:rPr>
          <w:t>Submitters wanted stronger commitment to developing a skilled workforce</w:t>
        </w:r>
        <w:r w:rsidR="008D1927">
          <w:rPr>
            <w:webHidden/>
          </w:rPr>
          <w:tab/>
        </w:r>
        <w:r w:rsidR="008D1927">
          <w:rPr>
            <w:webHidden/>
          </w:rPr>
          <w:fldChar w:fldCharType="begin"/>
        </w:r>
        <w:r w:rsidR="008D1927">
          <w:rPr>
            <w:webHidden/>
          </w:rPr>
          <w:instrText xml:space="preserve"> PAGEREF _Toc88637571 \h </w:instrText>
        </w:r>
        <w:r w:rsidR="008D1927">
          <w:rPr>
            <w:webHidden/>
          </w:rPr>
        </w:r>
        <w:r w:rsidR="008D1927">
          <w:rPr>
            <w:webHidden/>
          </w:rPr>
          <w:fldChar w:fldCharType="separate"/>
        </w:r>
        <w:r w:rsidR="00071098">
          <w:rPr>
            <w:webHidden/>
          </w:rPr>
          <w:t>69</w:t>
        </w:r>
        <w:r w:rsidR="008D1927">
          <w:rPr>
            <w:webHidden/>
          </w:rPr>
          <w:fldChar w:fldCharType="end"/>
        </w:r>
      </w:hyperlink>
    </w:p>
    <w:p w14:paraId="75C95189" w14:textId="3218E222" w:rsidR="008D1927" w:rsidRDefault="004D7373">
      <w:pPr>
        <w:pStyle w:val="TOC3"/>
        <w:tabs>
          <w:tab w:val="left" w:pos="2268"/>
        </w:tabs>
        <w:rPr>
          <w:rFonts w:asciiTheme="minorHAnsi" w:eastAsiaTheme="minorEastAsia" w:hAnsiTheme="minorHAnsi"/>
          <w:sz w:val="22"/>
          <w:lang w:eastAsia="en-NZ"/>
        </w:rPr>
      </w:pPr>
      <w:hyperlink w:anchor="_Toc88637572" w:history="1">
        <w:r w:rsidR="008D1927" w:rsidRPr="009C5B5D">
          <w:rPr>
            <w:rStyle w:val="Hyperlink"/>
          </w:rPr>
          <w:t>2.4.8.</w:t>
        </w:r>
        <w:r w:rsidR="008D1927">
          <w:rPr>
            <w:rFonts w:asciiTheme="minorHAnsi" w:eastAsiaTheme="minorEastAsia" w:hAnsiTheme="minorHAnsi"/>
            <w:sz w:val="22"/>
            <w:lang w:eastAsia="en-NZ"/>
          </w:rPr>
          <w:tab/>
        </w:r>
        <w:r w:rsidR="008D1927" w:rsidRPr="009C5B5D">
          <w:rPr>
            <w:rStyle w:val="Hyperlink"/>
          </w:rPr>
          <w:t>Submitters wanted to see more express commitment to supporting priority populations</w:t>
        </w:r>
        <w:r w:rsidR="008D1927">
          <w:rPr>
            <w:webHidden/>
          </w:rPr>
          <w:tab/>
        </w:r>
        <w:r w:rsidR="008D1927">
          <w:rPr>
            <w:webHidden/>
          </w:rPr>
          <w:fldChar w:fldCharType="begin"/>
        </w:r>
        <w:r w:rsidR="008D1927">
          <w:rPr>
            <w:webHidden/>
          </w:rPr>
          <w:instrText xml:space="preserve"> PAGEREF _Toc88637572 \h </w:instrText>
        </w:r>
        <w:r w:rsidR="008D1927">
          <w:rPr>
            <w:webHidden/>
          </w:rPr>
        </w:r>
        <w:r w:rsidR="008D1927">
          <w:rPr>
            <w:webHidden/>
          </w:rPr>
          <w:fldChar w:fldCharType="separate"/>
        </w:r>
        <w:r w:rsidR="00071098">
          <w:rPr>
            <w:webHidden/>
          </w:rPr>
          <w:t>71</w:t>
        </w:r>
        <w:r w:rsidR="008D1927">
          <w:rPr>
            <w:webHidden/>
          </w:rPr>
          <w:fldChar w:fldCharType="end"/>
        </w:r>
      </w:hyperlink>
    </w:p>
    <w:p w14:paraId="4749D8E0" w14:textId="68E373C5" w:rsidR="008D1927" w:rsidRDefault="004D7373">
      <w:pPr>
        <w:pStyle w:val="TOC3"/>
        <w:tabs>
          <w:tab w:val="left" w:pos="2268"/>
        </w:tabs>
        <w:rPr>
          <w:rFonts w:asciiTheme="minorHAnsi" w:eastAsiaTheme="minorEastAsia" w:hAnsiTheme="minorHAnsi"/>
          <w:sz w:val="22"/>
          <w:lang w:eastAsia="en-NZ"/>
        </w:rPr>
      </w:pPr>
      <w:hyperlink w:anchor="_Toc88637573" w:history="1">
        <w:r w:rsidR="008D1927" w:rsidRPr="009C5B5D">
          <w:rPr>
            <w:rStyle w:val="Hyperlink"/>
          </w:rPr>
          <w:t>2.4.9.</w:t>
        </w:r>
        <w:r w:rsidR="008D1927">
          <w:rPr>
            <w:rFonts w:asciiTheme="minorHAnsi" w:eastAsiaTheme="minorEastAsia" w:hAnsiTheme="minorHAnsi"/>
            <w:sz w:val="22"/>
            <w:lang w:eastAsia="en-NZ"/>
          </w:rPr>
          <w:tab/>
        </w:r>
        <w:r w:rsidR="008D1927" w:rsidRPr="009C5B5D">
          <w:rPr>
            <w:rStyle w:val="Hyperlink"/>
          </w:rPr>
          <w:t>NCGM submitters wanted to see the introduction of targets for service providers</w:t>
        </w:r>
        <w:r w:rsidR="008D1927">
          <w:rPr>
            <w:webHidden/>
          </w:rPr>
          <w:tab/>
        </w:r>
        <w:r w:rsidR="008D1927">
          <w:rPr>
            <w:webHidden/>
          </w:rPr>
          <w:fldChar w:fldCharType="begin"/>
        </w:r>
        <w:r w:rsidR="008D1927">
          <w:rPr>
            <w:webHidden/>
          </w:rPr>
          <w:instrText xml:space="preserve"> PAGEREF _Toc88637573 \h </w:instrText>
        </w:r>
        <w:r w:rsidR="008D1927">
          <w:rPr>
            <w:webHidden/>
          </w:rPr>
        </w:r>
        <w:r w:rsidR="008D1927">
          <w:rPr>
            <w:webHidden/>
          </w:rPr>
          <w:fldChar w:fldCharType="separate"/>
        </w:r>
        <w:r w:rsidR="00071098">
          <w:rPr>
            <w:webHidden/>
          </w:rPr>
          <w:t>71</w:t>
        </w:r>
        <w:r w:rsidR="008D1927">
          <w:rPr>
            <w:webHidden/>
          </w:rPr>
          <w:fldChar w:fldCharType="end"/>
        </w:r>
      </w:hyperlink>
    </w:p>
    <w:p w14:paraId="7711D69F" w14:textId="59A697F7" w:rsidR="008D1927" w:rsidRDefault="004D7373">
      <w:pPr>
        <w:pStyle w:val="TOC3"/>
        <w:tabs>
          <w:tab w:val="left" w:pos="2268"/>
        </w:tabs>
        <w:rPr>
          <w:rFonts w:asciiTheme="minorHAnsi" w:eastAsiaTheme="minorEastAsia" w:hAnsiTheme="minorHAnsi"/>
          <w:sz w:val="22"/>
          <w:lang w:eastAsia="en-NZ"/>
        </w:rPr>
      </w:pPr>
      <w:hyperlink w:anchor="_Toc88637574" w:history="1">
        <w:r w:rsidR="008D1927" w:rsidRPr="009C5B5D">
          <w:rPr>
            <w:rStyle w:val="Hyperlink"/>
          </w:rPr>
          <w:t>2.4.10.</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_Toc88637574 \h </w:instrText>
        </w:r>
        <w:r w:rsidR="008D1927">
          <w:rPr>
            <w:webHidden/>
          </w:rPr>
        </w:r>
        <w:r w:rsidR="008D1927">
          <w:rPr>
            <w:webHidden/>
          </w:rPr>
          <w:fldChar w:fldCharType="separate"/>
        </w:r>
        <w:r w:rsidR="00071098">
          <w:rPr>
            <w:webHidden/>
          </w:rPr>
          <w:t>71</w:t>
        </w:r>
        <w:r w:rsidR="008D1927">
          <w:rPr>
            <w:webHidden/>
          </w:rPr>
          <w:fldChar w:fldCharType="end"/>
        </w:r>
      </w:hyperlink>
    </w:p>
    <w:p w14:paraId="02639C62" w14:textId="7035699A" w:rsidR="008D1927" w:rsidRDefault="004D7373">
      <w:pPr>
        <w:pStyle w:val="TOC1"/>
        <w:rPr>
          <w:rFonts w:asciiTheme="minorHAnsi" w:eastAsiaTheme="minorEastAsia" w:hAnsiTheme="minorHAnsi"/>
          <w:b w:val="0"/>
          <w:caps w:val="0"/>
          <w:lang w:eastAsia="en-NZ"/>
        </w:rPr>
      </w:pPr>
      <w:hyperlink w:anchor="_Toc88637575" w:history="1">
        <w:r w:rsidR="008D1927" w:rsidRPr="009C5B5D">
          <w:rPr>
            <w:rStyle w:val="Hyperlink"/>
          </w:rPr>
          <w:t>3.</w:t>
        </w:r>
        <w:r w:rsidR="008D1927">
          <w:rPr>
            <w:rFonts w:asciiTheme="minorHAnsi" w:eastAsiaTheme="minorEastAsia" w:hAnsiTheme="minorHAnsi"/>
            <w:b w:val="0"/>
            <w:caps w:val="0"/>
            <w:lang w:eastAsia="en-NZ"/>
          </w:rPr>
          <w:tab/>
        </w:r>
        <w:r w:rsidR="008D1927" w:rsidRPr="009C5B5D">
          <w:rPr>
            <w:rStyle w:val="Hyperlink"/>
          </w:rPr>
          <w:t>The draft service plan</w:t>
        </w:r>
        <w:r w:rsidR="008D1927">
          <w:rPr>
            <w:webHidden/>
          </w:rPr>
          <w:tab/>
        </w:r>
        <w:r w:rsidR="008D1927">
          <w:rPr>
            <w:webHidden/>
          </w:rPr>
          <w:fldChar w:fldCharType="begin"/>
        </w:r>
        <w:r w:rsidR="008D1927">
          <w:rPr>
            <w:webHidden/>
          </w:rPr>
          <w:instrText xml:space="preserve"> PAGEREF _Toc88637575 \h </w:instrText>
        </w:r>
        <w:r w:rsidR="008D1927">
          <w:rPr>
            <w:webHidden/>
          </w:rPr>
        </w:r>
        <w:r w:rsidR="008D1927">
          <w:rPr>
            <w:webHidden/>
          </w:rPr>
          <w:fldChar w:fldCharType="separate"/>
        </w:r>
        <w:r w:rsidR="00071098">
          <w:rPr>
            <w:webHidden/>
          </w:rPr>
          <w:t>73</w:t>
        </w:r>
        <w:r w:rsidR="008D1927">
          <w:rPr>
            <w:webHidden/>
          </w:rPr>
          <w:fldChar w:fldCharType="end"/>
        </w:r>
      </w:hyperlink>
    </w:p>
    <w:p w14:paraId="42731093" w14:textId="2EA91A70" w:rsidR="008D1927" w:rsidRDefault="004D7373">
      <w:pPr>
        <w:pStyle w:val="TOC2"/>
        <w:rPr>
          <w:rFonts w:asciiTheme="minorHAnsi" w:eastAsiaTheme="minorEastAsia" w:hAnsiTheme="minorHAnsi"/>
          <w:lang w:eastAsia="en-NZ"/>
        </w:rPr>
      </w:pPr>
      <w:hyperlink w:anchor="_Toc88637576" w:history="1">
        <w:r w:rsidR="008D1927" w:rsidRPr="009C5B5D">
          <w:rPr>
            <w:rStyle w:val="Hyperlink"/>
          </w:rPr>
          <w:t>3.1.</w:t>
        </w:r>
        <w:r w:rsidR="008D1927">
          <w:rPr>
            <w:rFonts w:asciiTheme="minorHAnsi" w:eastAsiaTheme="minorEastAsia" w:hAnsiTheme="minorHAnsi"/>
            <w:lang w:eastAsia="en-NZ"/>
          </w:rPr>
          <w:tab/>
        </w:r>
        <w:r w:rsidR="008D1927" w:rsidRPr="009C5B5D">
          <w:rPr>
            <w:rStyle w:val="Hyperlink"/>
          </w:rPr>
          <w:t>The degree of support for the draft service plan</w:t>
        </w:r>
        <w:r w:rsidR="008D1927">
          <w:rPr>
            <w:webHidden/>
          </w:rPr>
          <w:tab/>
        </w:r>
        <w:r w:rsidR="008D1927">
          <w:rPr>
            <w:webHidden/>
          </w:rPr>
          <w:fldChar w:fldCharType="begin"/>
        </w:r>
        <w:r w:rsidR="008D1927">
          <w:rPr>
            <w:webHidden/>
          </w:rPr>
          <w:instrText xml:space="preserve"> PAGEREF _Toc88637576 \h </w:instrText>
        </w:r>
        <w:r w:rsidR="008D1927">
          <w:rPr>
            <w:webHidden/>
          </w:rPr>
        </w:r>
        <w:r w:rsidR="008D1927">
          <w:rPr>
            <w:webHidden/>
          </w:rPr>
          <w:fldChar w:fldCharType="separate"/>
        </w:r>
        <w:r w:rsidR="00071098">
          <w:rPr>
            <w:webHidden/>
          </w:rPr>
          <w:t>74</w:t>
        </w:r>
        <w:r w:rsidR="008D1927">
          <w:rPr>
            <w:webHidden/>
          </w:rPr>
          <w:fldChar w:fldCharType="end"/>
        </w:r>
      </w:hyperlink>
    </w:p>
    <w:p w14:paraId="534FC15A" w14:textId="37F75E1C" w:rsidR="008D1927" w:rsidRDefault="004D7373">
      <w:pPr>
        <w:pStyle w:val="TOC3"/>
        <w:tabs>
          <w:tab w:val="left" w:pos="2268"/>
        </w:tabs>
        <w:rPr>
          <w:rFonts w:asciiTheme="minorHAnsi" w:eastAsiaTheme="minorEastAsia" w:hAnsiTheme="minorHAnsi"/>
          <w:sz w:val="22"/>
          <w:lang w:eastAsia="en-NZ"/>
        </w:rPr>
      </w:pPr>
      <w:hyperlink w:anchor="_Toc88637577" w:history="1">
        <w:r w:rsidR="008D1927" w:rsidRPr="009C5B5D">
          <w:rPr>
            <w:rStyle w:val="Hyperlink"/>
          </w:rPr>
          <w:t>3.1.1.</w:t>
        </w:r>
        <w:r w:rsidR="008D1927">
          <w:rPr>
            <w:rFonts w:asciiTheme="minorHAnsi" w:eastAsiaTheme="minorEastAsia" w:hAnsiTheme="minorHAnsi"/>
            <w:sz w:val="22"/>
            <w:lang w:eastAsia="en-NZ"/>
          </w:rPr>
          <w:tab/>
        </w:r>
        <w:r w:rsidR="008D1927" w:rsidRPr="009C5B5D">
          <w:rPr>
            <w:rStyle w:val="Hyperlink"/>
          </w:rPr>
          <w:t>Almost half of the submitters who commented on the draft service plan supported it to some degree</w:t>
        </w:r>
        <w:r w:rsidR="008D1927">
          <w:rPr>
            <w:webHidden/>
          </w:rPr>
          <w:tab/>
        </w:r>
        <w:r w:rsidR="008D1927">
          <w:rPr>
            <w:webHidden/>
          </w:rPr>
          <w:fldChar w:fldCharType="begin"/>
        </w:r>
        <w:r w:rsidR="008D1927">
          <w:rPr>
            <w:webHidden/>
          </w:rPr>
          <w:instrText xml:space="preserve"> PAGEREF _Toc88637577 \h </w:instrText>
        </w:r>
        <w:r w:rsidR="008D1927">
          <w:rPr>
            <w:webHidden/>
          </w:rPr>
        </w:r>
        <w:r w:rsidR="008D1927">
          <w:rPr>
            <w:webHidden/>
          </w:rPr>
          <w:fldChar w:fldCharType="separate"/>
        </w:r>
        <w:r w:rsidR="00071098">
          <w:rPr>
            <w:webHidden/>
          </w:rPr>
          <w:t>75</w:t>
        </w:r>
        <w:r w:rsidR="008D1927">
          <w:rPr>
            <w:webHidden/>
          </w:rPr>
          <w:fldChar w:fldCharType="end"/>
        </w:r>
      </w:hyperlink>
    </w:p>
    <w:p w14:paraId="35B98465" w14:textId="29E22311" w:rsidR="008D1927" w:rsidRDefault="004D7373">
      <w:pPr>
        <w:pStyle w:val="TOC3"/>
        <w:tabs>
          <w:tab w:val="left" w:pos="2268"/>
        </w:tabs>
        <w:rPr>
          <w:rFonts w:asciiTheme="minorHAnsi" w:eastAsiaTheme="minorEastAsia" w:hAnsiTheme="minorHAnsi"/>
          <w:sz w:val="22"/>
          <w:lang w:eastAsia="en-NZ"/>
        </w:rPr>
      </w:pPr>
      <w:hyperlink w:anchor="_Toc88637578" w:history="1">
        <w:r w:rsidR="008D1927" w:rsidRPr="009C5B5D">
          <w:rPr>
            <w:rStyle w:val="Hyperlink"/>
          </w:rPr>
          <w:t>3.1.2.</w:t>
        </w:r>
        <w:r w:rsidR="008D1927">
          <w:rPr>
            <w:rFonts w:asciiTheme="minorHAnsi" w:eastAsiaTheme="minorEastAsia" w:hAnsiTheme="minorHAnsi"/>
            <w:sz w:val="22"/>
            <w:lang w:eastAsia="en-NZ"/>
          </w:rPr>
          <w:tab/>
        </w:r>
        <w:r w:rsidR="008D1927" w:rsidRPr="009C5B5D">
          <w:rPr>
            <w:rStyle w:val="Hyperlink"/>
          </w:rPr>
          <w:t>Submitters from across sectors wanted to see more culturally appropriate services</w:t>
        </w:r>
        <w:r w:rsidR="008D1927">
          <w:rPr>
            <w:webHidden/>
          </w:rPr>
          <w:tab/>
        </w:r>
        <w:r w:rsidR="008D1927">
          <w:rPr>
            <w:webHidden/>
          </w:rPr>
          <w:fldChar w:fldCharType="begin"/>
        </w:r>
        <w:r w:rsidR="008D1927">
          <w:rPr>
            <w:webHidden/>
          </w:rPr>
          <w:instrText xml:space="preserve"> PAGEREF _Toc88637578 \h </w:instrText>
        </w:r>
        <w:r w:rsidR="008D1927">
          <w:rPr>
            <w:webHidden/>
          </w:rPr>
        </w:r>
        <w:r w:rsidR="008D1927">
          <w:rPr>
            <w:webHidden/>
          </w:rPr>
          <w:fldChar w:fldCharType="separate"/>
        </w:r>
        <w:r w:rsidR="00071098">
          <w:rPr>
            <w:webHidden/>
          </w:rPr>
          <w:t>75</w:t>
        </w:r>
        <w:r w:rsidR="008D1927">
          <w:rPr>
            <w:webHidden/>
          </w:rPr>
          <w:fldChar w:fldCharType="end"/>
        </w:r>
      </w:hyperlink>
    </w:p>
    <w:p w14:paraId="2918E358" w14:textId="2B565DD3" w:rsidR="008D1927" w:rsidRDefault="004D7373">
      <w:pPr>
        <w:pStyle w:val="TOC3"/>
        <w:tabs>
          <w:tab w:val="left" w:pos="2268"/>
        </w:tabs>
        <w:rPr>
          <w:rFonts w:asciiTheme="minorHAnsi" w:eastAsiaTheme="minorEastAsia" w:hAnsiTheme="minorHAnsi"/>
          <w:sz w:val="22"/>
          <w:lang w:eastAsia="en-NZ"/>
        </w:rPr>
      </w:pPr>
      <w:hyperlink w:anchor="_Toc88637579" w:history="1">
        <w:r w:rsidR="008D1927" w:rsidRPr="009C5B5D">
          <w:rPr>
            <w:rStyle w:val="Hyperlink"/>
          </w:rPr>
          <w:t>3.1.3.</w:t>
        </w:r>
        <w:r w:rsidR="008D1927">
          <w:rPr>
            <w:rFonts w:asciiTheme="minorHAnsi" w:eastAsiaTheme="minorEastAsia" w:hAnsiTheme="minorHAnsi"/>
            <w:sz w:val="22"/>
            <w:lang w:eastAsia="en-NZ"/>
          </w:rPr>
          <w:tab/>
        </w:r>
        <w:r w:rsidR="008D1927" w:rsidRPr="009C5B5D">
          <w:rPr>
            <w:rStyle w:val="Hyperlink"/>
          </w:rPr>
          <w:t>Service providers and NCGM submitters agreed that better and more accessible face-to-face support services were needed</w:t>
        </w:r>
        <w:r w:rsidR="008D1927">
          <w:rPr>
            <w:webHidden/>
          </w:rPr>
          <w:tab/>
        </w:r>
        <w:r w:rsidR="008D1927">
          <w:rPr>
            <w:webHidden/>
          </w:rPr>
          <w:fldChar w:fldCharType="begin"/>
        </w:r>
        <w:r w:rsidR="008D1927">
          <w:rPr>
            <w:webHidden/>
          </w:rPr>
          <w:instrText xml:space="preserve"> PAGEREF _Toc88637579 \h </w:instrText>
        </w:r>
        <w:r w:rsidR="008D1927">
          <w:rPr>
            <w:webHidden/>
          </w:rPr>
        </w:r>
        <w:r w:rsidR="008D1927">
          <w:rPr>
            <w:webHidden/>
          </w:rPr>
          <w:fldChar w:fldCharType="separate"/>
        </w:r>
        <w:r w:rsidR="00071098">
          <w:rPr>
            <w:webHidden/>
          </w:rPr>
          <w:t>77</w:t>
        </w:r>
        <w:r w:rsidR="008D1927">
          <w:rPr>
            <w:webHidden/>
          </w:rPr>
          <w:fldChar w:fldCharType="end"/>
        </w:r>
      </w:hyperlink>
    </w:p>
    <w:p w14:paraId="3AD679D7" w14:textId="40D16D79" w:rsidR="008D1927" w:rsidRDefault="004D7373">
      <w:pPr>
        <w:pStyle w:val="TOC3"/>
        <w:tabs>
          <w:tab w:val="left" w:pos="2268"/>
        </w:tabs>
        <w:rPr>
          <w:rFonts w:asciiTheme="minorHAnsi" w:eastAsiaTheme="minorEastAsia" w:hAnsiTheme="minorHAnsi"/>
          <w:sz w:val="22"/>
          <w:lang w:eastAsia="en-NZ"/>
        </w:rPr>
      </w:pPr>
      <w:hyperlink w:anchor="_Toc88637580" w:history="1">
        <w:r w:rsidR="008D1927" w:rsidRPr="009C5B5D">
          <w:rPr>
            <w:rStyle w:val="Hyperlink"/>
          </w:rPr>
          <w:t>3.1.4.</w:t>
        </w:r>
        <w:r w:rsidR="008D1927">
          <w:rPr>
            <w:rFonts w:asciiTheme="minorHAnsi" w:eastAsiaTheme="minorEastAsia" w:hAnsiTheme="minorHAnsi"/>
            <w:sz w:val="22"/>
            <w:lang w:eastAsia="en-NZ"/>
          </w:rPr>
          <w:tab/>
        </w:r>
        <w:r w:rsidR="008D1927" w:rsidRPr="009C5B5D">
          <w:rPr>
            <w:rStyle w:val="Hyperlink"/>
          </w:rPr>
          <w:t>Submitters agreed that the National Gambling Helpline/Homecare Medical was not performing well</w:t>
        </w:r>
        <w:r w:rsidR="008D1927">
          <w:rPr>
            <w:webHidden/>
          </w:rPr>
          <w:tab/>
        </w:r>
        <w:r w:rsidR="008D1927">
          <w:rPr>
            <w:webHidden/>
          </w:rPr>
          <w:fldChar w:fldCharType="begin"/>
        </w:r>
        <w:r w:rsidR="008D1927">
          <w:rPr>
            <w:webHidden/>
          </w:rPr>
          <w:instrText xml:space="preserve"> PAGEREF _Toc88637580 \h </w:instrText>
        </w:r>
        <w:r w:rsidR="008D1927">
          <w:rPr>
            <w:webHidden/>
          </w:rPr>
        </w:r>
        <w:r w:rsidR="008D1927">
          <w:rPr>
            <w:webHidden/>
          </w:rPr>
          <w:fldChar w:fldCharType="separate"/>
        </w:r>
        <w:r w:rsidR="00071098">
          <w:rPr>
            <w:webHidden/>
          </w:rPr>
          <w:t>79</w:t>
        </w:r>
        <w:r w:rsidR="008D1927">
          <w:rPr>
            <w:webHidden/>
          </w:rPr>
          <w:fldChar w:fldCharType="end"/>
        </w:r>
      </w:hyperlink>
    </w:p>
    <w:p w14:paraId="510D02E6" w14:textId="60D027B9" w:rsidR="008D1927" w:rsidRDefault="004D7373">
      <w:pPr>
        <w:pStyle w:val="TOC3"/>
        <w:tabs>
          <w:tab w:val="left" w:pos="2268"/>
        </w:tabs>
        <w:rPr>
          <w:rFonts w:asciiTheme="minorHAnsi" w:eastAsiaTheme="minorEastAsia" w:hAnsiTheme="minorHAnsi"/>
          <w:sz w:val="22"/>
          <w:lang w:eastAsia="en-NZ"/>
        </w:rPr>
      </w:pPr>
      <w:hyperlink w:anchor="_Toc88637581" w:history="1">
        <w:r w:rsidR="008D1927" w:rsidRPr="009C5B5D">
          <w:rPr>
            <w:rStyle w:val="Hyperlink"/>
          </w:rPr>
          <w:t>3.1.5.</w:t>
        </w:r>
        <w:r w:rsidR="008D1927">
          <w:rPr>
            <w:rFonts w:asciiTheme="minorHAnsi" w:eastAsiaTheme="minorEastAsia" w:hAnsiTheme="minorHAnsi"/>
            <w:sz w:val="22"/>
            <w:lang w:eastAsia="en-NZ"/>
          </w:rPr>
          <w:tab/>
        </w:r>
        <w:r w:rsidR="008D1927" w:rsidRPr="009C5B5D">
          <w:rPr>
            <w:rStyle w:val="Hyperlink"/>
          </w:rPr>
          <w:t>NCGM submitters wanted services to provide longer term support</w:t>
        </w:r>
        <w:r w:rsidR="008D1927">
          <w:rPr>
            <w:webHidden/>
          </w:rPr>
          <w:tab/>
        </w:r>
        <w:r w:rsidR="008D1927">
          <w:rPr>
            <w:webHidden/>
          </w:rPr>
          <w:fldChar w:fldCharType="begin"/>
        </w:r>
        <w:r w:rsidR="008D1927">
          <w:rPr>
            <w:webHidden/>
          </w:rPr>
          <w:instrText xml:space="preserve"> PAGEREF _Toc88637581 \h </w:instrText>
        </w:r>
        <w:r w:rsidR="008D1927">
          <w:rPr>
            <w:webHidden/>
          </w:rPr>
        </w:r>
        <w:r w:rsidR="008D1927">
          <w:rPr>
            <w:webHidden/>
          </w:rPr>
          <w:fldChar w:fldCharType="separate"/>
        </w:r>
        <w:r w:rsidR="00071098">
          <w:rPr>
            <w:webHidden/>
          </w:rPr>
          <w:t>80</w:t>
        </w:r>
        <w:r w:rsidR="008D1927">
          <w:rPr>
            <w:webHidden/>
          </w:rPr>
          <w:fldChar w:fldCharType="end"/>
        </w:r>
      </w:hyperlink>
    </w:p>
    <w:p w14:paraId="7B350A91" w14:textId="4AD72180" w:rsidR="008D1927" w:rsidRDefault="004D7373">
      <w:pPr>
        <w:pStyle w:val="TOC3"/>
        <w:tabs>
          <w:tab w:val="left" w:pos="2268"/>
        </w:tabs>
        <w:rPr>
          <w:rFonts w:asciiTheme="minorHAnsi" w:eastAsiaTheme="minorEastAsia" w:hAnsiTheme="minorHAnsi"/>
          <w:sz w:val="22"/>
          <w:lang w:eastAsia="en-NZ"/>
        </w:rPr>
      </w:pPr>
      <w:hyperlink w:anchor="_Toc88637582" w:history="1">
        <w:r w:rsidR="008D1927" w:rsidRPr="009C5B5D">
          <w:rPr>
            <w:rStyle w:val="Hyperlink"/>
          </w:rPr>
          <w:t>3.1.6.</w:t>
        </w:r>
        <w:r w:rsidR="008D1927">
          <w:rPr>
            <w:rFonts w:asciiTheme="minorHAnsi" w:eastAsiaTheme="minorEastAsia" w:hAnsiTheme="minorHAnsi"/>
            <w:sz w:val="22"/>
            <w:lang w:eastAsia="en-NZ"/>
          </w:rPr>
          <w:tab/>
        </w:r>
        <w:r w:rsidR="008D1927" w:rsidRPr="009C5B5D">
          <w:rPr>
            <w:rStyle w:val="Hyperlink"/>
          </w:rPr>
          <w:t>Service providers and health and social services submitters wanted to see more funding for services</w:t>
        </w:r>
        <w:r w:rsidR="008D1927">
          <w:rPr>
            <w:webHidden/>
          </w:rPr>
          <w:tab/>
        </w:r>
        <w:r w:rsidR="008D1927">
          <w:rPr>
            <w:webHidden/>
          </w:rPr>
          <w:fldChar w:fldCharType="begin"/>
        </w:r>
        <w:r w:rsidR="008D1927">
          <w:rPr>
            <w:webHidden/>
          </w:rPr>
          <w:instrText xml:space="preserve"> PAGEREF _Toc88637582 \h </w:instrText>
        </w:r>
        <w:r w:rsidR="008D1927">
          <w:rPr>
            <w:webHidden/>
          </w:rPr>
        </w:r>
        <w:r w:rsidR="008D1927">
          <w:rPr>
            <w:webHidden/>
          </w:rPr>
          <w:fldChar w:fldCharType="separate"/>
        </w:r>
        <w:r w:rsidR="00071098">
          <w:rPr>
            <w:webHidden/>
          </w:rPr>
          <w:t>80</w:t>
        </w:r>
        <w:r w:rsidR="008D1927">
          <w:rPr>
            <w:webHidden/>
          </w:rPr>
          <w:fldChar w:fldCharType="end"/>
        </w:r>
      </w:hyperlink>
    </w:p>
    <w:p w14:paraId="3CE354C9" w14:textId="6DF5F7F8" w:rsidR="008D1927" w:rsidRDefault="004D7373">
      <w:pPr>
        <w:pStyle w:val="TOC3"/>
        <w:tabs>
          <w:tab w:val="left" w:pos="2268"/>
        </w:tabs>
        <w:rPr>
          <w:rFonts w:asciiTheme="minorHAnsi" w:eastAsiaTheme="minorEastAsia" w:hAnsiTheme="minorHAnsi"/>
          <w:sz w:val="22"/>
          <w:lang w:eastAsia="en-NZ"/>
        </w:rPr>
      </w:pPr>
      <w:hyperlink w:anchor="_Toc88637583" w:history="1">
        <w:r w:rsidR="008D1927" w:rsidRPr="009C5B5D">
          <w:rPr>
            <w:rStyle w:val="Hyperlink"/>
          </w:rPr>
          <w:t>3.1.7.</w:t>
        </w:r>
        <w:r w:rsidR="008D1927">
          <w:rPr>
            <w:rFonts w:asciiTheme="minorHAnsi" w:eastAsiaTheme="minorEastAsia" w:hAnsiTheme="minorHAnsi"/>
            <w:sz w:val="22"/>
            <w:lang w:eastAsia="en-NZ"/>
          </w:rPr>
          <w:tab/>
        </w:r>
        <w:r w:rsidR="008D1927" w:rsidRPr="009C5B5D">
          <w:rPr>
            <w:rStyle w:val="Hyperlink"/>
          </w:rPr>
          <w:t>Submitters from across most sectors suggested alternative approaches for the service plan</w:t>
        </w:r>
        <w:r w:rsidR="008D1927">
          <w:rPr>
            <w:webHidden/>
          </w:rPr>
          <w:tab/>
        </w:r>
        <w:r w:rsidR="008D1927">
          <w:rPr>
            <w:webHidden/>
          </w:rPr>
          <w:fldChar w:fldCharType="begin"/>
        </w:r>
        <w:r w:rsidR="008D1927">
          <w:rPr>
            <w:webHidden/>
          </w:rPr>
          <w:instrText xml:space="preserve"> PAGEREF _Toc88637583 \h </w:instrText>
        </w:r>
        <w:r w:rsidR="008D1927">
          <w:rPr>
            <w:webHidden/>
          </w:rPr>
        </w:r>
        <w:r w:rsidR="008D1927">
          <w:rPr>
            <w:webHidden/>
          </w:rPr>
          <w:fldChar w:fldCharType="separate"/>
        </w:r>
        <w:r w:rsidR="00071098">
          <w:rPr>
            <w:webHidden/>
          </w:rPr>
          <w:t>81</w:t>
        </w:r>
        <w:r w:rsidR="008D1927">
          <w:rPr>
            <w:webHidden/>
          </w:rPr>
          <w:fldChar w:fldCharType="end"/>
        </w:r>
      </w:hyperlink>
    </w:p>
    <w:p w14:paraId="78388373" w14:textId="25BC7E49" w:rsidR="008D1927" w:rsidRDefault="004D7373">
      <w:pPr>
        <w:pStyle w:val="TOC3"/>
        <w:tabs>
          <w:tab w:val="left" w:pos="2268"/>
        </w:tabs>
        <w:rPr>
          <w:rFonts w:asciiTheme="minorHAnsi" w:eastAsiaTheme="minorEastAsia" w:hAnsiTheme="minorHAnsi"/>
          <w:sz w:val="22"/>
          <w:lang w:eastAsia="en-NZ"/>
        </w:rPr>
      </w:pPr>
      <w:hyperlink w:anchor="_Toc88637584" w:history="1">
        <w:r w:rsidR="008D1927" w:rsidRPr="009C5B5D">
          <w:rPr>
            <w:rStyle w:val="Hyperlink"/>
          </w:rPr>
          <w:t>3.1.8.</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_Toc88637584 \h </w:instrText>
        </w:r>
        <w:r w:rsidR="008D1927">
          <w:rPr>
            <w:webHidden/>
          </w:rPr>
        </w:r>
        <w:r w:rsidR="008D1927">
          <w:rPr>
            <w:webHidden/>
          </w:rPr>
          <w:fldChar w:fldCharType="separate"/>
        </w:r>
        <w:r w:rsidR="00071098">
          <w:rPr>
            <w:webHidden/>
          </w:rPr>
          <w:t>82</w:t>
        </w:r>
        <w:r w:rsidR="008D1927">
          <w:rPr>
            <w:webHidden/>
          </w:rPr>
          <w:fldChar w:fldCharType="end"/>
        </w:r>
      </w:hyperlink>
    </w:p>
    <w:p w14:paraId="2B17CA37" w14:textId="445BA6A4" w:rsidR="008D1927" w:rsidRDefault="004D7373">
      <w:pPr>
        <w:pStyle w:val="TOC2"/>
        <w:rPr>
          <w:rFonts w:asciiTheme="minorHAnsi" w:eastAsiaTheme="minorEastAsia" w:hAnsiTheme="minorHAnsi"/>
          <w:lang w:eastAsia="en-NZ"/>
        </w:rPr>
      </w:pPr>
      <w:hyperlink w:anchor="_Toc88637585" w:history="1">
        <w:r w:rsidR="008D1927" w:rsidRPr="009C5B5D">
          <w:rPr>
            <w:rStyle w:val="Hyperlink"/>
          </w:rPr>
          <w:t>3.2.</w:t>
        </w:r>
        <w:r w:rsidR="008D1927">
          <w:rPr>
            <w:rFonts w:asciiTheme="minorHAnsi" w:eastAsiaTheme="minorEastAsia" w:hAnsiTheme="minorHAnsi"/>
            <w:lang w:eastAsia="en-NZ"/>
          </w:rPr>
          <w:tab/>
        </w:r>
        <w:r w:rsidR="008D1927" w:rsidRPr="009C5B5D">
          <w:rPr>
            <w:rStyle w:val="Hyperlink"/>
          </w:rPr>
          <w:t>The degree of support for the proposed funding mix</w:t>
        </w:r>
        <w:r w:rsidR="008D1927">
          <w:rPr>
            <w:webHidden/>
          </w:rPr>
          <w:tab/>
        </w:r>
        <w:r w:rsidR="008D1927">
          <w:rPr>
            <w:webHidden/>
          </w:rPr>
          <w:fldChar w:fldCharType="begin"/>
        </w:r>
        <w:r w:rsidR="008D1927">
          <w:rPr>
            <w:webHidden/>
          </w:rPr>
          <w:instrText xml:space="preserve"> PAGEREF _Toc88637585 \h </w:instrText>
        </w:r>
        <w:r w:rsidR="008D1927">
          <w:rPr>
            <w:webHidden/>
          </w:rPr>
        </w:r>
        <w:r w:rsidR="008D1927">
          <w:rPr>
            <w:webHidden/>
          </w:rPr>
          <w:fldChar w:fldCharType="separate"/>
        </w:r>
        <w:r w:rsidR="00071098">
          <w:rPr>
            <w:webHidden/>
          </w:rPr>
          <w:t>83</w:t>
        </w:r>
        <w:r w:rsidR="008D1927">
          <w:rPr>
            <w:webHidden/>
          </w:rPr>
          <w:fldChar w:fldCharType="end"/>
        </w:r>
      </w:hyperlink>
    </w:p>
    <w:p w14:paraId="4AB56823" w14:textId="34A63235" w:rsidR="008D1927" w:rsidRDefault="004D7373">
      <w:pPr>
        <w:pStyle w:val="TOC3"/>
        <w:tabs>
          <w:tab w:val="left" w:pos="2268"/>
        </w:tabs>
        <w:rPr>
          <w:rFonts w:asciiTheme="minorHAnsi" w:eastAsiaTheme="minorEastAsia" w:hAnsiTheme="minorHAnsi"/>
          <w:sz w:val="22"/>
          <w:lang w:eastAsia="en-NZ"/>
        </w:rPr>
      </w:pPr>
      <w:hyperlink w:anchor="_Toc88637586" w:history="1">
        <w:r w:rsidR="008D1927" w:rsidRPr="009C5B5D">
          <w:rPr>
            <w:rStyle w:val="Hyperlink"/>
          </w:rPr>
          <w:t>3.2.1.</w:t>
        </w:r>
        <w:r w:rsidR="008D1927">
          <w:rPr>
            <w:rFonts w:asciiTheme="minorHAnsi" w:eastAsiaTheme="minorEastAsia" w:hAnsiTheme="minorHAnsi"/>
            <w:sz w:val="22"/>
            <w:lang w:eastAsia="en-NZ"/>
          </w:rPr>
          <w:tab/>
        </w:r>
        <w:r w:rsidR="008D1927" w:rsidRPr="009C5B5D">
          <w:rPr>
            <w:rStyle w:val="Hyperlink"/>
          </w:rPr>
          <w:t>Two-thirds of the submitters who commented on the proposed funding mix supported it to some degree</w:t>
        </w:r>
        <w:r w:rsidR="008D1927">
          <w:rPr>
            <w:webHidden/>
          </w:rPr>
          <w:tab/>
        </w:r>
        <w:r w:rsidR="008D1927">
          <w:rPr>
            <w:webHidden/>
          </w:rPr>
          <w:fldChar w:fldCharType="begin"/>
        </w:r>
        <w:r w:rsidR="008D1927">
          <w:rPr>
            <w:webHidden/>
          </w:rPr>
          <w:instrText xml:space="preserve"> PAGEREF _Toc88637586 \h </w:instrText>
        </w:r>
        <w:r w:rsidR="008D1927">
          <w:rPr>
            <w:webHidden/>
          </w:rPr>
        </w:r>
        <w:r w:rsidR="008D1927">
          <w:rPr>
            <w:webHidden/>
          </w:rPr>
          <w:fldChar w:fldCharType="separate"/>
        </w:r>
        <w:r w:rsidR="00071098">
          <w:rPr>
            <w:webHidden/>
          </w:rPr>
          <w:t>83</w:t>
        </w:r>
        <w:r w:rsidR="008D1927">
          <w:rPr>
            <w:webHidden/>
          </w:rPr>
          <w:fldChar w:fldCharType="end"/>
        </w:r>
      </w:hyperlink>
    </w:p>
    <w:p w14:paraId="2C68DD7C" w14:textId="60387F1A" w:rsidR="008D1927" w:rsidRDefault="004D7373">
      <w:pPr>
        <w:pStyle w:val="TOC3"/>
        <w:tabs>
          <w:tab w:val="left" w:pos="2268"/>
        </w:tabs>
        <w:rPr>
          <w:rFonts w:asciiTheme="minorHAnsi" w:eastAsiaTheme="minorEastAsia" w:hAnsiTheme="minorHAnsi"/>
          <w:sz w:val="22"/>
          <w:lang w:eastAsia="en-NZ"/>
        </w:rPr>
      </w:pPr>
      <w:hyperlink w:anchor="_Toc88637587" w:history="1">
        <w:r w:rsidR="008D1927" w:rsidRPr="009C5B5D">
          <w:rPr>
            <w:rStyle w:val="Hyperlink"/>
          </w:rPr>
          <w:t>3.2.2.</w:t>
        </w:r>
        <w:r w:rsidR="008D1927">
          <w:rPr>
            <w:rFonts w:asciiTheme="minorHAnsi" w:eastAsiaTheme="minorEastAsia" w:hAnsiTheme="minorHAnsi"/>
            <w:sz w:val="22"/>
            <w:lang w:eastAsia="en-NZ"/>
          </w:rPr>
          <w:tab/>
        </w:r>
        <w:r w:rsidR="008D1927" w:rsidRPr="009C5B5D">
          <w:rPr>
            <w:rStyle w:val="Hyperlink"/>
          </w:rPr>
          <w:t>Submitters expressed general support for the proposed increase to FTE rates for clinical intervention roles</w:t>
        </w:r>
        <w:r w:rsidR="008D1927">
          <w:rPr>
            <w:webHidden/>
          </w:rPr>
          <w:tab/>
        </w:r>
        <w:r w:rsidR="008D1927">
          <w:rPr>
            <w:webHidden/>
          </w:rPr>
          <w:fldChar w:fldCharType="begin"/>
        </w:r>
        <w:r w:rsidR="008D1927">
          <w:rPr>
            <w:webHidden/>
          </w:rPr>
          <w:instrText xml:space="preserve"> PAGEREF _Toc88637587 \h </w:instrText>
        </w:r>
        <w:r w:rsidR="008D1927">
          <w:rPr>
            <w:webHidden/>
          </w:rPr>
        </w:r>
        <w:r w:rsidR="008D1927">
          <w:rPr>
            <w:webHidden/>
          </w:rPr>
          <w:fldChar w:fldCharType="separate"/>
        </w:r>
        <w:r w:rsidR="00071098">
          <w:rPr>
            <w:webHidden/>
          </w:rPr>
          <w:t>85</w:t>
        </w:r>
        <w:r w:rsidR="008D1927">
          <w:rPr>
            <w:webHidden/>
          </w:rPr>
          <w:fldChar w:fldCharType="end"/>
        </w:r>
      </w:hyperlink>
    </w:p>
    <w:p w14:paraId="4E059E8F" w14:textId="74268854" w:rsidR="008D1927" w:rsidRDefault="004D7373">
      <w:pPr>
        <w:pStyle w:val="TOC3"/>
        <w:tabs>
          <w:tab w:val="left" w:pos="2268"/>
        </w:tabs>
        <w:rPr>
          <w:rFonts w:asciiTheme="minorHAnsi" w:eastAsiaTheme="minorEastAsia" w:hAnsiTheme="minorHAnsi"/>
          <w:sz w:val="22"/>
          <w:lang w:eastAsia="en-NZ"/>
        </w:rPr>
      </w:pPr>
      <w:hyperlink w:anchor="_Toc88637588" w:history="1">
        <w:r w:rsidR="008D1927" w:rsidRPr="009C5B5D">
          <w:rPr>
            <w:rStyle w:val="Hyperlink"/>
          </w:rPr>
          <w:t>3.2.3.</w:t>
        </w:r>
        <w:r w:rsidR="008D1927">
          <w:rPr>
            <w:rFonts w:asciiTheme="minorHAnsi" w:eastAsiaTheme="minorEastAsia" w:hAnsiTheme="minorHAnsi"/>
            <w:sz w:val="22"/>
            <w:lang w:eastAsia="en-NZ"/>
          </w:rPr>
          <w:tab/>
        </w:r>
        <w:r w:rsidR="008D1927" w:rsidRPr="009C5B5D">
          <w:rPr>
            <w:rStyle w:val="Hyperlink"/>
          </w:rPr>
          <w:t>NCGM submitters, service providers and individuals considered that technology had been overlooked in the proposed funding mix</w:t>
        </w:r>
        <w:r w:rsidR="008D1927">
          <w:rPr>
            <w:webHidden/>
          </w:rPr>
          <w:tab/>
        </w:r>
        <w:r w:rsidR="008D1927">
          <w:rPr>
            <w:webHidden/>
          </w:rPr>
          <w:fldChar w:fldCharType="begin"/>
        </w:r>
        <w:r w:rsidR="008D1927">
          <w:rPr>
            <w:webHidden/>
          </w:rPr>
          <w:instrText xml:space="preserve"> PAGEREF _Toc88637588 \h </w:instrText>
        </w:r>
        <w:r w:rsidR="008D1927">
          <w:rPr>
            <w:webHidden/>
          </w:rPr>
        </w:r>
        <w:r w:rsidR="008D1927">
          <w:rPr>
            <w:webHidden/>
          </w:rPr>
          <w:fldChar w:fldCharType="separate"/>
        </w:r>
        <w:r w:rsidR="00071098">
          <w:rPr>
            <w:webHidden/>
          </w:rPr>
          <w:t>86</w:t>
        </w:r>
        <w:r w:rsidR="008D1927">
          <w:rPr>
            <w:webHidden/>
          </w:rPr>
          <w:fldChar w:fldCharType="end"/>
        </w:r>
      </w:hyperlink>
    </w:p>
    <w:p w14:paraId="48A0BCD9" w14:textId="5BE23048" w:rsidR="008D1927" w:rsidRDefault="004D7373">
      <w:pPr>
        <w:pStyle w:val="TOC3"/>
        <w:tabs>
          <w:tab w:val="left" w:pos="2268"/>
        </w:tabs>
        <w:rPr>
          <w:rFonts w:asciiTheme="minorHAnsi" w:eastAsiaTheme="minorEastAsia" w:hAnsiTheme="minorHAnsi"/>
          <w:sz w:val="22"/>
          <w:lang w:eastAsia="en-NZ"/>
        </w:rPr>
      </w:pPr>
      <w:hyperlink w:anchor="_Toc88637589" w:history="1">
        <w:r w:rsidR="008D1927" w:rsidRPr="009C5B5D">
          <w:rPr>
            <w:rStyle w:val="Hyperlink"/>
          </w:rPr>
          <w:t>3.2.4.</w:t>
        </w:r>
        <w:r w:rsidR="008D1927">
          <w:rPr>
            <w:rFonts w:asciiTheme="minorHAnsi" w:eastAsiaTheme="minorEastAsia" w:hAnsiTheme="minorHAnsi"/>
            <w:sz w:val="22"/>
            <w:lang w:eastAsia="en-NZ"/>
          </w:rPr>
          <w:tab/>
        </w:r>
        <w:r w:rsidR="008D1927" w:rsidRPr="009C5B5D">
          <w:rPr>
            <w:rStyle w:val="Hyperlink"/>
          </w:rPr>
          <w:t>Submitters had mixed views on the decrease in research funding</w:t>
        </w:r>
        <w:r w:rsidR="008D1927">
          <w:rPr>
            <w:webHidden/>
          </w:rPr>
          <w:tab/>
        </w:r>
        <w:r w:rsidR="008D1927">
          <w:rPr>
            <w:webHidden/>
          </w:rPr>
          <w:fldChar w:fldCharType="begin"/>
        </w:r>
        <w:r w:rsidR="008D1927">
          <w:rPr>
            <w:webHidden/>
          </w:rPr>
          <w:instrText xml:space="preserve"> PAGEREF _Toc88637589 \h </w:instrText>
        </w:r>
        <w:r w:rsidR="008D1927">
          <w:rPr>
            <w:webHidden/>
          </w:rPr>
        </w:r>
        <w:r w:rsidR="008D1927">
          <w:rPr>
            <w:webHidden/>
          </w:rPr>
          <w:fldChar w:fldCharType="separate"/>
        </w:r>
        <w:r w:rsidR="00071098">
          <w:rPr>
            <w:webHidden/>
          </w:rPr>
          <w:t>87</w:t>
        </w:r>
        <w:r w:rsidR="008D1927">
          <w:rPr>
            <w:webHidden/>
          </w:rPr>
          <w:fldChar w:fldCharType="end"/>
        </w:r>
      </w:hyperlink>
    </w:p>
    <w:p w14:paraId="5979B60F" w14:textId="666A9629" w:rsidR="008D1927" w:rsidRDefault="004D7373">
      <w:pPr>
        <w:pStyle w:val="TOC3"/>
        <w:tabs>
          <w:tab w:val="left" w:pos="2268"/>
        </w:tabs>
        <w:rPr>
          <w:rFonts w:asciiTheme="minorHAnsi" w:eastAsiaTheme="minorEastAsia" w:hAnsiTheme="minorHAnsi"/>
          <w:sz w:val="22"/>
          <w:lang w:eastAsia="en-NZ"/>
        </w:rPr>
      </w:pPr>
      <w:hyperlink w:anchor="_Toc88637590" w:history="1">
        <w:r w:rsidR="008D1927" w:rsidRPr="009C5B5D">
          <w:rPr>
            <w:rStyle w:val="Hyperlink"/>
          </w:rPr>
          <w:t>3.2.5.</w:t>
        </w:r>
        <w:r w:rsidR="008D1927">
          <w:rPr>
            <w:rFonts w:asciiTheme="minorHAnsi" w:eastAsiaTheme="minorEastAsia" w:hAnsiTheme="minorHAnsi"/>
            <w:sz w:val="22"/>
            <w:lang w:eastAsia="en-NZ"/>
          </w:rPr>
          <w:tab/>
        </w:r>
        <w:r w:rsidR="008D1927" w:rsidRPr="009C5B5D">
          <w:rPr>
            <w:rStyle w:val="Hyperlink"/>
          </w:rPr>
          <w:t>Gambling industry submitters considered that the increase in funding was inappropriate if there was to be more of the same</w:t>
        </w:r>
        <w:r w:rsidR="008D1927">
          <w:rPr>
            <w:webHidden/>
          </w:rPr>
          <w:tab/>
        </w:r>
        <w:r w:rsidR="008D1927">
          <w:rPr>
            <w:webHidden/>
          </w:rPr>
          <w:fldChar w:fldCharType="begin"/>
        </w:r>
        <w:r w:rsidR="008D1927">
          <w:rPr>
            <w:webHidden/>
          </w:rPr>
          <w:instrText xml:space="preserve"> PAGEREF _Toc88637590 \h </w:instrText>
        </w:r>
        <w:r w:rsidR="008D1927">
          <w:rPr>
            <w:webHidden/>
          </w:rPr>
        </w:r>
        <w:r w:rsidR="008D1927">
          <w:rPr>
            <w:webHidden/>
          </w:rPr>
          <w:fldChar w:fldCharType="separate"/>
        </w:r>
        <w:r w:rsidR="00071098">
          <w:rPr>
            <w:webHidden/>
          </w:rPr>
          <w:t>88</w:t>
        </w:r>
        <w:r w:rsidR="008D1927">
          <w:rPr>
            <w:webHidden/>
          </w:rPr>
          <w:fldChar w:fldCharType="end"/>
        </w:r>
      </w:hyperlink>
    </w:p>
    <w:p w14:paraId="2D4A4680" w14:textId="4B1C3CD5" w:rsidR="008D1927" w:rsidRDefault="004D7373">
      <w:pPr>
        <w:pStyle w:val="TOC3"/>
        <w:tabs>
          <w:tab w:val="left" w:pos="2268"/>
        </w:tabs>
        <w:rPr>
          <w:rFonts w:asciiTheme="minorHAnsi" w:eastAsiaTheme="minorEastAsia" w:hAnsiTheme="minorHAnsi"/>
          <w:sz w:val="22"/>
          <w:lang w:eastAsia="en-NZ"/>
        </w:rPr>
      </w:pPr>
      <w:hyperlink w:anchor="_Toc88637591" w:history="1">
        <w:r w:rsidR="008D1927" w:rsidRPr="009C5B5D">
          <w:rPr>
            <w:rStyle w:val="Hyperlink"/>
          </w:rPr>
          <w:t>3.2.6.</w:t>
        </w:r>
        <w:r w:rsidR="008D1927">
          <w:rPr>
            <w:rFonts w:asciiTheme="minorHAnsi" w:eastAsiaTheme="minorEastAsia" w:hAnsiTheme="minorHAnsi"/>
            <w:sz w:val="22"/>
            <w:lang w:eastAsia="en-NZ"/>
          </w:rPr>
          <w:tab/>
        </w:r>
        <w:r w:rsidR="008D1927" w:rsidRPr="009C5B5D">
          <w:rPr>
            <w:rStyle w:val="Hyperlink"/>
          </w:rPr>
          <w:t>Submitters considered that there was a need for sustainable funding that was not based on industry profits</w:t>
        </w:r>
        <w:r w:rsidR="008D1927">
          <w:rPr>
            <w:webHidden/>
          </w:rPr>
          <w:tab/>
        </w:r>
        <w:r w:rsidR="008D1927">
          <w:rPr>
            <w:webHidden/>
          </w:rPr>
          <w:fldChar w:fldCharType="begin"/>
        </w:r>
        <w:r w:rsidR="008D1927">
          <w:rPr>
            <w:webHidden/>
          </w:rPr>
          <w:instrText xml:space="preserve"> PAGEREF _Toc88637591 \h </w:instrText>
        </w:r>
        <w:r w:rsidR="008D1927">
          <w:rPr>
            <w:webHidden/>
          </w:rPr>
        </w:r>
        <w:r w:rsidR="008D1927">
          <w:rPr>
            <w:webHidden/>
          </w:rPr>
          <w:fldChar w:fldCharType="separate"/>
        </w:r>
        <w:r w:rsidR="00071098">
          <w:rPr>
            <w:webHidden/>
          </w:rPr>
          <w:t>88</w:t>
        </w:r>
        <w:r w:rsidR="008D1927">
          <w:rPr>
            <w:webHidden/>
          </w:rPr>
          <w:fldChar w:fldCharType="end"/>
        </w:r>
      </w:hyperlink>
    </w:p>
    <w:p w14:paraId="157F694E" w14:textId="37EAE20A" w:rsidR="008D1927" w:rsidRDefault="004D7373">
      <w:pPr>
        <w:pStyle w:val="TOC3"/>
        <w:tabs>
          <w:tab w:val="left" w:pos="2268"/>
        </w:tabs>
        <w:rPr>
          <w:rFonts w:asciiTheme="minorHAnsi" w:eastAsiaTheme="minorEastAsia" w:hAnsiTheme="minorHAnsi"/>
          <w:sz w:val="22"/>
          <w:lang w:eastAsia="en-NZ"/>
        </w:rPr>
      </w:pPr>
      <w:hyperlink w:anchor="_Toc88637592" w:history="1">
        <w:r w:rsidR="008D1927" w:rsidRPr="009C5B5D">
          <w:rPr>
            <w:rStyle w:val="Hyperlink"/>
          </w:rPr>
          <w:t>3.2.7.</w:t>
        </w:r>
        <w:r w:rsidR="008D1927">
          <w:rPr>
            <w:rFonts w:asciiTheme="minorHAnsi" w:eastAsiaTheme="minorEastAsia" w:hAnsiTheme="minorHAnsi"/>
            <w:sz w:val="22"/>
            <w:lang w:eastAsia="en-NZ"/>
          </w:rPr>
          <w:tab/>
        </w:r>
        <w:r w:rsidR="008D1927" w:rsidRPr="009C5B5D">
          <w:rPr>
            <w:rStyle w:val="Hyperlink"/>
          </w:rPr>
          <w:t>Key themes from the consultation hui</w:t>
        </w:r>
        <w:r w:rsidR="008D1927">
          <w:rPr>
            <w:webHidden/>
          </w:rPr>
          <w:tab/>
        </w:r>
        <w:r w:rsidR="008D1927">
          <w:rPr>
            <w:webHidden/>
          </w:rPr>
          <w:fldChar w:fldCharType="begin"/>
        </w:r>
        <w:r w:rsidR="008D1927">
          <w:rPr>
            <w:webHidden/>
          </w:rPr>
          <w:instrText xml:space="preserve"> PAGEREF _Toc88637592 \h </w:instrText>
        </w:r>
        <w:r w:rsidR="008D1927">
          <w:rPr>
            <w:webHidden/>
          </w:rPr>
        </w:r>
        <w:r w:rsidR="008D1927">
          <w:rPr>
            <w:webHidden/>
          </w:rPr>
          <w:fldChar w:fldCharType="separate"/>
        </w:r>
        <w:r w:rsidR="00071098">
          <w:rPr>
            <w:webHidden/>
          </w:rPr>
          <w:t>89</w:t>
        </w:r>
        <w:r w:rsidR="008D1927">
          <w:rPr>
            <w:webHidden/>
          </w:rPr>
          <w:fldChar w:fldCharType="end"/>
        </w:r>
      </w:hyperlink>
    </w:p>
    <w:p w14:paraId="53F78FC7" w14:textId="7C7DB565" w:rsidR="008D1927" w:rsidRDefault="004D7373">
      <w:pPr>
        <w:pStyle w:val="TOC2"/>
        <w:rPr>
          <w:rFonts w:asciiTheme="minorHAnsi" w:eastAsiaTheme="minorEastAsia" w:hAnsiTheme="minorHAnsi"/>
          <w:lang w:eastAsia="en-NZ"/>
        </w:rPr>
      </w:pPr>
      <w:hyperlink w:anchor="_Toc88637593" w:history="1">
        <w:r w:rsidR="008D1927" w:rsidRPr="009C5B5D">
          <w:rPr>
            <w:rStyle w:val="Hyperlink"/>
          </w:rPr>
          <w:t>3.3.</w:t>
        </w:r>
        <w:r w:rsidR="008D1927">
          <w:rPr>
            <w:rFonts w:asciiTheme="minorHAnsi" w:eastAsiaTheme="minorEastAsia" w:hAnsiTheme="minorHAnsi"/>
            <w:lang w:eastAsia="en-NZ"/>
          </w:rPr>
          <w:tab/>
        </w:r>
        <w:r w:rsidR="008D1927" w:rsidRPr="009C5B5D">
          <w:rPr>
            <w:rStyle w:val="Hyperlink"/>
          </w:rPr>
          <w:t>The degree of support for the proposed new services, innovation pilots and investments</w:t>
        </w:r>
        <w:r w:rsidR="008D1927">
          <w:rPr>
            <w:webHidden/>
          </w:rPr>
          <w:tab/>
        </w:r>
        <w:r w:rsidR="008D1927">
          <w:rPr>
            <w:webHidden/>
          </w:rPr>
          <w:fldChar w:fldCharType="begin"/>
        </w:r>
        <w:r w:rsidR="008D1927">
          <w:rPr>
            <w:webHidden/>
          </w:rPr>
          <w:instrText xml:space="preserve"> PAGEREF _Toc88637593 \h </w:instrText>
        </w:r>
        <w:r w:rsidR="008D1927">
          <w:rPr>
            <w:webHidden/>
          </w:rPr>
        </w:r>
        <w:r w:rsidR="008D1927">
          <w:rPr>
            <w:webHidden/>
          </w:rPr>
          <w:fldChar w:fldCharType="separate"/>
        </w:r>
        <w:r w:rsidR="00071098">
          <w:rPr>
            <w:webHidden/>
          </w:rPr>
          <w:t>90</w:t>
        </w:r>
        <w:r w:rsidR="008D1927">
          <w:rPr>
            <w:webHidden/>
          </w:rPr>
          <w:fldChar w:fldCharType="end"/>
        </w:r>
      </w:hyperlink>
    </w:p>
    <w:p w14:paraId="5B53B935" w14:textId="3B122B24" w:rsidR="008D1927" w:rsidRDefault="004D7373">
      <w:pPr>
        <w:pStyle w:val="TOC3"/>
        <w:tabs>
          <w:tab w:val="left" w:pos="2268"/>
        </w:tabs>
        <w:rPr>
          <w:rFonts w:asciiTheme="minorHAnsi" w:eastAsiaTheme="minorEastAsia" w:hAnsiTheme="minorHAnsi"/>
          <w:sz w:val="22"/>
          <w:lang w:eastAsia="en-NZ"/>
        </w:rPr>
      </w:pPr>
      <w:hyperlink w:anchor="_Toc88637594" w:history="1">
        <w:r w:rsidR="008D1927" w:rsidRPr="009C5B5D">
          <w:rPr>
            <w:rStyle w:val="Hyperlink"/>
          </w:rPr>
          <w:t>3.3.1.</w:t>
        </w:r>
        <w:r w:rsidR="008D1927">
          <w:rPr>
            <w:rFonts w:asciiTheme="minorHAnsi" w:eastAsiaTheme="minorEastAsia" w:hAnsiTheme="minorHAnsi"/>
            <w:sz w:val="22"/>
            <w:lang w:eastAsia="en-NZ"/>
          </w:rPr>
          <w:tab/>
        </w:r>
        <w:r w:rsidR="008D1927" w:rsidRPr="009C5B5D">
          <w:rPr>
            <w:rStyle w:val="Hyperlink"/>
          </w:rPr>
          <w:t>Over two-thirds of the submitters who commented on the proposed new services, innovation pilots and investments supported them to some degree</w:t>
        </w:r>
        <w:r w:rsidR="008D1927">
          <w:rPr>
            <w:webHidden/>
          </w:rPr>
          <w:tab/>
        </w:r>
        <w:r w:rsidR="008D1927">
          <w:rPr>
            <w:webHidden/>
          </w:rPr>
          <w:fldChar w:fldCharType="begin"/>
        </w:r>
        <w:r w:rsidR="008D1927">
          <w:rPr>
            <w:webHidden/>
          </w:rPr>
          <w:instrText xml:space="preserve"> PAGEREF _Toc88637594 \h </w:instrText>
        </w:r>
        <w:r w:rsidR="008D1927">
          <w:rPr>
            <w:webHidden/>
          </w:rPr>
        </w:r>
        <w:r w:rsidR="008D1927">
          <w:rPr>
            <w:webHidden/>
          </w:rPr>
          <w:fldChar w:fldCharType="separate"/>
        </w:r>
        <w:r w:rsidR="00071098">
          <w:rPr>
            <w:webHidden/>
          </w:rPr>
          <w:t>90</w:t>
        </w:r>
        <w:r w:rsidR="008D1927">
          <w:rPr>
            <w:webHidden/>
          </w:rPr>
          <w:fldChar w:fldCharType="end"/>
        </w:r>
      </w:hyperlink>
    </w:p>
    <w:p w14:paraId="35F50005" w14:textId="0607520C" w:rsidR="008D1927" w:rsidRDefault="004D7373">
      <w:pPr>
        <w:pStyle w:val="TOC3"/>
        <w:tabs>
          <w:tab w:val="left" w:pos="2268"/>
        </w:tabs>
        <w:rPr>
          <w:rFonts w:asciiTheme="minorHAnsi" w:eastAsiaTheme="minorEastAsia" w:hAnsiTheme="minorHAnsi"/>
          <w:sz w:val="22"/>
          <w:lang w:eastAsia="en-NZ"/>
        </w:rPr>
      </w:pPr>
      <w:hyperlink w:anchor="_Toc88637595" w:history="1">
        <w:r w:rsidR="008D1927" w:rsidRPr="009C5B5D">
          <w:rPr>
            <w:rStyle w:val="Hyperlink"/>
          </w:rPr>
          <w:t>3.3.2.</w:t>
        </w:r>
        <w:r w:rsidR="008D1927">
          <w:rPr>
            <w:rFonts w:asciiTheme="minorHAnsi" w:eastAsiaTheme="minorEastAsia" w:hAnsiTheme="minorHAnsi"/>
            <w:sz w:val="22"/>
            <w:lang w:eastAsia="en-NZ"/>
          </w:rPr>
          <w:tab/>
        </w:r>
        <w:r w:rsidR="008D1927" w:rsidRPr="009C5B5D">
          <w:rPr>
            <w:rStyle w:val="Hyperlink"/>
          </w:rPr>
          <w:t>Service providers and health and social services submitters conditionally supported the de-stigmatisation initiative</w:t>
        </w:r>
        <w:r w:rsidR="008D1927">
          <w:rPr>
            <w:webHidden/>
          </w:rPr>
          <w:tab/>
        </w:r>
        <w:r w:rsidR="008D1927">
          <w:rPr>
            <w:webHidden/>
          </w:rPr>
          <w:fldChar w:fldCharType="begin"/>
        </w:r>
        <w:r w:rsidR="008D1927">
          <w:rPr>
            <w:webHidden/>
          </w:rPr>
          <w:instrText xml:space="preserve"> PAGEREF _Toc88637595 \h </w:instrText>
        </w:r>
        <w:r w:rsidR="008D1927">
          <w:rPr>
            <w:webHidden/>
          </w:rPr>
        </w:r>
        <w:r w:rsidR="008D1927">
          <w:rPr>
            <w:webHidden/>
          </w:rPr>
          <w:fldChar w:fldCharType="separate"/>
        </w:r>
        <w:r w:rsidR="00071098">
          <w:rPr>
            <w:webHidden/>
          </w:rPr>
          <w:t>91</w:t>
        </w:r>
        <w:r w:rsidR="008D1927">
          <w:rPr>
            <w:webHidden/>
          </w:rPr>
          <w:fldChar w:fldCharType="end"/>
        </w:r>
      </w:hyperlink>
    </w:p>
    <w:p w14:paraId="130E8A86" w14:textId="67832930" w:rsidR="008D1927" w:rsidRDefault="004D7373">
      <w:pPr>
        <w:pStyle w:val="TOC3"/>
        <w:tabs>
          <w:tab w:val="left" w:pos="2268"/>
        </w:tabs>
        <w:rPr>
          <w:rFonts w:asciiTheme="minorHAnsi" w:eastAsiaTheme="minorEastAsia" w:hAnsiTheme="minorHAnsi"/>
          <w:sz w:val="22"/>
          <w:lang w:eastAsia="en-NZ"/>
        </w:rPr>
      </w:pPr>
      <w:hyperlink w:anchor="_Toc88637596" w:history="1">
        <w:r w:rsidR="008D1927" w:rsidRPr="009C5B5D">
          <w:rPr>
            <w:rStyle w:val="Hyperlink"/>
          </w:rPr>
          <w:t>3.3.3.</w:t>
        </w:r>
        <w:r w:rsidR="008D1927">
          <w:rPr>
            <w:rFonts w:asciiTheme="minorHAnsi" w:eastAsiaTheme="minorEastAsia" w:hAnsiTheme="minorHAnsi"/>
            <w:sz w:val="22"/>
            <w:lang w:eastAsia="en-NZ"/>
          </w:rPr>
          <w:tab/>
        </w:r>
        <w:r w:rsidR="008D1927" w:rsidRPr="009C5B5D">
          <w:rPr>
            <w:rStyle w:val="Hyperlink"/>
          </w:rPr>
          <w:t>Submitters expressed a range of views on the purpose and efficacy of developing an NZQA level 7 qualification</w:t>
        </w:r>
        <w:r w:rsidR="008D1927">
          <w:rPr>
            <w:webHidden/>
          </w:rPr>
          <w:tab/>
        </w:r>
        <w:r w:rsidR="008D1927">
          <w:rPr>
            <w:webHidden/>
          </w:rPr>
          <w:fldChar w:fldCharType="begin"/>
        </w:r>
        <w:r w:rsidR="008D1927">
          <w:rPr>
            <w:webHidden/>
          </w:rPr>
          <w:instrText xml:space="preserve"> PAGEREF _Toc88637596 \h </w:instrText>
        </w:r>
        <w:r w:rsidR="008D1927">
          <w:rPr>
            <w:webHidden/>
          </w:rPr>
        </w:r>
        <w:r w:rsidR="008D1927">
          <w:rPr>
            <w:webHidden/>
          </w:rPr>
          <w:fldChar w:fldCharType="separate"/>
        </w:r>
        <w:r w:rsidR="00071098">
          <w:rPr>
            <w:webHidden/>
          </w:rPr>
          <w:t>92</w:t>
        </w:r>
        <w:r w:rsidR="008D1927">
          <w:rPr>
            <w:webHidden/>
          </w:rPr>
          <w:fldChar w:fldCharType="end"/>
        </w:r>
      </w:hyperlink>
    </w:p>
    <w:p w14:paraId="2FE4EDD4" w14:textId="20E4FB91" w:rsidR="008D1927" w:rsidRDefault="004D7373">
      <w:pPr>
        <w:pStyle w:val="TOC3"/>
        <w:tabs>
          <w:tab w:val="left" w:pos="2268"/>
        </w:tabs>
        <w:rPr>
          <w:rFonts w:asciiTheme="minorHAnsi" w:eastAsiaTheme="minorEastAsia" w:hAnsiTheme="minorHAnsi"/>
          <w:sz w:val="22"/>
          <w:lang w:eastAsia="en-NZ"/>
        </w:rPr>
      </w:pPr>
      <w:hyperlink w:anchor="_Toc88637597" w:history="1">
        <w:r w:rsidR="008D1927" w:rsidRPr="009C5B5D">
          <w:rPr>
            <w:rStyle w:val="Hyperlink"/>
          </w:rPr>
          <w:t>3.3.4.</w:t>
        </w:r>
        <w:r w:rsidR="008D1927">
          <w:rPr>
            <w:rFonts w:asciiTheme="minorHAnsi" w:eastAsiaTheme="minorEastAsia" w:hAnsiTheme="minorHAnsi"/>
            <w:sz w:val="22"/>
            <w:lang w:eastAsia="en-NZ"/>
          </w:rPr>
          <w:tab/>
        </w:r>
        <w:r w:rsidR="008D1927" w:rsidRPr="009C5B5D">
          <w:rPr>
            <w:rStyle w:val="Hyperlink"/>
          </w:rPr>
          <w:t>Submitters from all sectors expressed conditional support for scholarship funding</w:t>
        </w:r>
        <w:r w:rsidR="008D1927">
          <w:rPr>
            <w:webHidden/>
          </w:rPr>
          <w:tab/>
        </w:r>
        <w:r w:rsidR="008D1927">
          <w:rPr>
            <w:webHidden/>
          </w:rPr>
          <w:fldChar w:fldCharType="begin"/>
        </w:r>
        <w:r w:rsidR="008D1927">
          <w:rPr>
            <w:webHidden/>
          </w:rPr>
          <w:instrText xml:space="preserve"> PAGEREF _Toc88637597 \h </w:instrText>
        </w:r>
        <w:r w:rsidR="008D1927">
          <w:rPr>
            <w:webHidden/>
          </w:rPr>
        </w:r>
        <w:r w:rsidR="008D1927">
          <w:rPr>
            <w:webHidden/>
          </w:rPr>
          <w:fldChar w:fldCharType="separate"/>
        </w:r>
        <w:r w:rsidR="00071098">
          <w:rPr>
            <w:webHidden/>
          </w:rPr>
          <w:t>94</w:t>
        </w:r>
        <w:r w:rsidR="008D1927">
          <w:rPr>
            <w:webHidden/>
          </w:rPr>
          <w:fldChar w:fldCharType="end"/>
        </w:r>
      </w:hyperlink>
    </w:p>
    <w:p w14:paraId="7C84ABDD" w14:textId="3A0EE6AF" w:rsidR="008D1927" w:rsidRDefault="004D7373">
      <w:pPr>
        <w:pStyle w:val="TOC3"/>
        <w:tabs>
          <w:tab w:val="left" w:pos="2268"/>
        </w:tabs>
        <w:rPr>
          <w:rFonts w:asciiTheme="minorHAnsi" w:eastAsiaTheme="minorEastAsia" w:hAnsiTheme="minorHAnsi"/>
          <w:sz w:val="22"/>
          <w:lang w:eastAsia="en-NZ"/>
        </w:rPr>
      </w:pPr>
      <w:hyperlink w:anchor="_Toc88637598" w:history="1">
        <w:r w:rsidR="008D1927" w:rsidRPr="009C5B5D">
          <w:rPr>
            <w:rStyle w:val="Hyperlink"/>
          </w:rPr>
          <w:t>3.3.5.</w:t>
        </w:r>
        <w:r w:rsidR="008D1927">
          <w:rPr>
            <w:rFonts w:asciiTheme="minorHAnsi" w:eastAsiaTheme="minorEastAsia" w:hAnsiTheme="minorHAnsi"/>
            <w:sz w:val="22"/>
            <w:lang w:eastAsia="en-NZ"/>
          </w:rPr>
          <w:tab/>
        </w:r>
        <w:r w:rsidR="008D1927" w:rsidRPr="009C5B5D">
          <w:rPr>
            <w:rStyle w:val="Hyperlink"/>
          </w:rPr>
          <w:t>Submitters provided general support for the innovation pilots</w:t>
        </w:r>
        <w:r w:rsidR="008D1927">
          <w:rPr>
            <w:webHidden/>
          </w:rPr>
          <w:tab/>
        </w:r>
        <w:r w:rsidR="008D1927">
          <w:rPr>
            <w:webHidden/>
          </w:rPr>
          <w:fldChar w:fldCharType="begin"/>
        </w:r>
        <w:r w:rsidR="008D1927">
          <w:rPr>
            <w:webHidden/>
          </w:rPr>
          <w:instrText xml:space="preserve"> PAGEREF _Toc88637598 \h </w:instrText>
        </w:r>
        <w:r w:rsidR="008D1927">
          <w:rPr>
            <w:webHidden/>
          </w:rPr>
        </w:r>
        <w:r w:rsidR="008D1927">
          <w:rPr>
            <w:webHidden/>
          </w:rPr>
          <w:fldChar w:fldCharType="separate"/>
        </w:r>
        <w:r w:rsidR="00071098">
          <w:rPr>
            <w:webHidden/>
          </w:rPr>
          <w:t>95</w:t>
        </w:r>
        <w:r w:rsidR="008D1927">
          <w:rPr>
            <w:webHidden/>
          </w:rPr>
          <w:fldChar w:fldCharType="end"/>
        </w:r>
      </w:hyperlink>
    </w:p>
    <w:p w14:paraId="08C232ED" w14:textId="7400386B" w:rsidR="008D1927" w:rsidRDefault="004D7373">
      <w:pPr>
        <w:pStyle w:val="TOC3"/>
        <w:tabs>
          <w:tab w:val="left" w:pos="2268"/>
        </w:tabs>
        <w:rPr>
          <w:rFonts w:asciiTheme="minorHAnsi" w:eastAsiaTheme="minorEastAsia" w:hAnsiTheme="minorHAnsi"/>
          <w:sz w:val="22"/>
          <w:lang w:eastAsia="en-NZ"/>
        </w:rPr>
      </w:pPr>
      <w:hyperlink w:anchor="_Toc88637599" w:history="1">
        <w:r w:rsidR="008D1927" w:rsidRPr="009C5B5D">
          <w:rPr>
            <w:rStyle w:val="Hyperlink"/>
          </w:rPr>
          <w:t>3.3.6.</w:t>
        </w:r>
        <w:r w:rsidR="008D1927">
          <w:rPr>
            <w:rFonts w:asciiTheme="minorHAnsi" w:eastAsiaTheme="minorEastAsia" w:hAnsiTheme="minorHAnsi"/>
            <w:sz w:val="22"/>
            <w:lang w:eastAsia="en-NZ"/>
          </w:rPr>
          <w:tab/>
        </w:r>
        <w:r w:rsidR="008D1927" w:rsidRPr="009C5B5D">
          <w:rPr>
            <w:rStyle w:val="Hyperlink"/>
          </w:rPr>
          <w:t>Two NCGM submitters did not support the proposed initiatives</w:t>
        </w:r>
        <w:r w:rsidR="008D1927">
          <w:rPr>
            <w:webHidden/>
          </w:rPr>
          <w:tab/>
        </w:r>
        <w:r w:rsidR="008D1927">
          <w:rPr>
            <w:webHidden/>
          </w:rPr>
          <w:fldChar w:fldCharType="begin"/>
        </w:r>
        <w:r w:rsidR="008D1927">
          <w:rPr>
            <w:webHidden/>
          </w:rPr>
          <w:instrText xml:space="preserve"> PAGEREF _Toc88637599 \h </w:instrText>
        </w:r>
        <w:r w:rsidR="008D1927">
          <w:rPr>
            <w:webHidden/>
          </w:rPr>
        </w:r>
        <w:r w:rsidR="008D1927">
          <w:rPr>
            <w:webHidden/>
          </w:rPr>
          <w:fldChar w:fldCharType="separate"/>
        </w:r>
        <w:r w:rsidR="00071098">
          <w:rPr>
            <w:webHidden/>
          </w:rPr>
          <w:t>96</w:t>
        </w:r>
        <w:r w:rsidR="008D1927">
          <w:rPr>
            <w:webHidden/>
          </w:rPr>
          <w:fldChar w:fldCharType="end"/>
        </w:r>
      </w:hyperlink>
    </w:p>
    <w:p w14:paraId="1D286878" w14:textId="497BA764" w:rsidR="008D1927" w:rsidRDefault="004D7373">
      <w:pPr>
        <w:pStyle w:val="TOC3"/>
        <w:tabs>
          <w:tab w:val="left" w:pos="2268"/>
        </w:tabs>
        <w:rPr>
          <w:rFonts w:asciiTheme="minorHAnsi" w:eastAsiaTheme="minorEastAsia" w:hAnsiTheme="minorHAnsi"/>
          <w:sz w:val="22"/>
          <w:lang w:eastAsia="en-NZ"/>
        </w:rPr>
      </w:pPr>
      <w:hyperlink w:anchor="_Toc88637600" w:history="1">
        <w:r w:rsidR="008D1927" w:rsidRPr="009C5B5D">
          <w:rPr>
            <w:rStyle w:val="Hyperlink"/>
          </w:rPr>
          <w:t>3.3.7.</w:t>
        </w:r>
        <w:r w:rsidR="008D1927">
          <w:rPr>
            <w:rFonts w:asciiTheme="minorHAnsi" w:eastAsiaTheme="minorEastAsia" w:hAnsiTheme="minorHAnsi"/>
            <w:sz w:val="22"/>
            <w:lang w:eastAsia="en-NZ"/>
          </w:rPr>
          <w:tab/>
        </w:r>
        <w:r w:rsidR="008D1927" w:rsidRPr="009C5B5D">
          <w:rPr>
            <w:rStyle w:val="Hyperlink"/>
          </w:rPr>
          <w:t>Key themes from the consultation hui</w:t>
        </w:r>
        <w:r w:rsidR="008D1927">
          <w:rPr>
            <w:webHidden/>
          </w:rPr>
          <w:tab/>
        </w:r>
        <w:r w:rsidR="008D1927">
          <w:rPr>
            <w:webHidden/>
          </w:rPr>
          <w:fldChar w:fldCharType="begin"/>
        </w:r>
        <w:r w:rsidR="008D1927">
          <w:rPr>
            <w:webHidden/>
          </w:rPr>
          <w:instrText xml:space="preserve"> PAGEREF _Toc88637600 \h </w:instrText>
        </w:r>
        <w:r w:rsidR="008D1927">
          <w:rPr>
            <w:webHidden/>
          </w:rPr>
        </w:r>
        <w:r w:rsidR="008D1927">
          <w:rPr>
            <w:webHidden/>
          </w:rPr>
          <w:fldChar w:fldCharType="separate"/>
        </w:r>
        <w:r w:rsidR="00071098">
          <w:rPr>
            <w:webHidden/>
          </w:rPr>
          <w:t>96</w:t>
        </w:r>
        <w:r w:rsidR="008D1927">
          <w:rPr>
            <w:webHidden/>
          </w:rPr>
          <w:fldChar w:fldCharType="end"/>
        </w:r>
      </w:hyperlink>
    </w:p>
    <w:p w14:paraId="323C8A2D" w14:textId="2B130345" w:rsidR="008D1927" w:rsidRDefault="004D7373">
      <w:pPr>
        <w:pStyle w:val="TOC2"/>
        <w:rPr>
          <w:rFonts w:asciiTheme="minorHAnsi" w:eastAsiaTheme="minorEastAsia" w:hAnsiTheme="minorHAnsi"/>
          <w:lang w:eastAsia="en-NZ"/>
        </w:rPr>
      </w:pPr>
      <w:hyperlink w:anchor="_Toc88637601" w:history="1">
        <w:r w:rsidR="008D1927" w:rsidRPr="009C5B5D">
          <w:rPr>
            <w:rStyle w:val="Hyperlink"/>
          </w:rPr>
          <w:t>3.4.</w:t>
        </w:r>
        <w:r w:rsidR="008D1927">
          <w:rPr>
            <w:rFonts w:asciiTheme="minorHAnsi" w:eastAsiaTheme="minorEastAsia" w:hAnsiTheme="minorHAnsi"/>
            <w:lang w:eastAsia="en-NZ"/>
          </w:rPr>
          <w:tab/>
        </w:r>
        <w:r w:rsidR="008D1927" w:rsidRPr="009C5B5D">
          <w:rPr>
            <w:rStyle w:val="Hyperlink"/>
          </w:rPr>
          <w:t>The degree of support for research and evaluation draft priorities</w:t>
        </w:r>
        <w:r w:rsidR="008D1927">
          <w:rPr>
            <w:webHidden/>
          </w:rPr>
          <w:tab/>
        </w:r>
        <w:r w:rsidR="008D1927">
          <w:rPr>
            <w:webHidden/>
          </w:rPr>
          <w:fldChar w:fldCharType="begin"/>
        </w:r>
        <w:r w:rsidR="008D1927">
          <w:rPr>
            <w:webHidden/>
          </w:rPr>
          <w:instrText xml:space="preserve"> PAGEREF _Toc88637601 \h </w:instrText>
        </w:r>
        <w:r w:rsidR="008D1927">
          <w:rPr>
            <w:webHidden/>
          </w:rPr>
        </w:r>
        <w:r w:rsidR="008D1927">
          <w:rPr>
            <w:webHidden/>
          </w:rPr>
          <w:fldChar w:fldCharType="separate"/>
        </w:r>
        <w:r w:rsidR="00071098">
          <w:rPr>
            <w:webHidden/>
          </w:rPr>
          <w:t>97</w:t>
        </w:r>
        <w:r w:rsidR="008D1927">
          <w:rPr>
            <w:webHidden/>
          </w:rPr>
          <w:fldChar w:fldCharType="end"/>
        </w:r>
      </w:hyperlink>
    </w:p>
    <w:p w14:paraId="578DBE3B" w14:textId="78C424C6" w:rsidR="008D1927" w:rsidRDefault="004D7373">
      <w:pPr>
        <w:pStyle w:val="TOC3"/>
        <w:tabs>
          <w:tab w:val="left" w:pos="2268"/>
        </w:tabs>
        <w:rPr>
          <w:rFonts w:asciiTheme="minorHAnsi" w:eastAsiaTheme="minorEastAsia" w:hAnsiTheme="minorHAnsi"/>
          <w:sz w:val="22"/>
          <w:lang w:eastAsia="en-NZ"/>
        </w:rPr>
      </w:pPr>
      <w:hyperlink w:anchor="_Toc88637602" w:history="1">
        <w:r w:rsidR="008D1927" w:rsidRPr="009C5B5D">
          <w:rPr>
            <w:rStyle w:val="Hyperlink"/>
          </w:rPr>
          <w:t>3.4.1.</w:t>
        </w:r>
        <w:r w:rsidR="008D1927">
          <w:rPr>
            <w:rFonts w:asciiTheme="minorHAnsi" w:eastAsiaTheme="minorEastAsia" w:hAnsiTheme="minorHAnsi"/>
            <w:sz w:val="22"/>
            <w:lang w:eastAsia="en-NZ"/>
          </w:rPr>
          <w:tab/>
        </w:r>
        <w:r w:rsidR="008D1927" w:rsidRPr="009C5B5D">
          <w:rPr>
            <w:rStyle w:val="Hyperlink"/>
          </w:rPr>
          <w:t>Most submitters who commented on the research and evaluation draft priorities supported them to some degree</w:t>
        </w:r>
        <w:r w:rsidR="008D1927">
          <w:rPr>
            <w:webHidden/>
          </w:rPr>
          <w:tab/>
        </w:r>
        <w:r w:rsidR="008D1927">
          <w:rPr>
            <w:webHidden/>
          </w:rPr>
          <w:fldChar w:fldCharType="begin"/>
        </w:r>
        <w:r w:rsidR="008D1927">
          <w:rPr>
            <w:webHidden/>
          </w:rPr>
          <w:instrText xml:space="preserve"> PAGEREF _Toc88637602 \h </w:instrText>
        </w:r>
        <w:r w:rsidR="008D1927">
          <w:rPr>
            <w:webHidden/>
          </w:rPr>
        </w:r>
        <w:r w:rsidR="008D1927">
          <w:rPr>
            <w:webHidden/>
          </w:rPr>
          <w:fldChar w:fldCharType="separate"/>
        </w:r>
        <w:r w:rsidR="00071098">
          <w:rPr>
            <w:webHidden/>
          </w:rPr>
          <w:t>97</w:t>
        </w:r>
        <w:r w:rsidR="008D1927">
          <w:rPr>
            <w:webHidden/>
          </w:rPr>
          <w:fldChar w:fldCharType="end"/>
        </w:r>
      </w:hyperlink>
    </w:p>
    <w:p w14:paraId="73C7CE1F" w14:textId="4A361AF7" w:rsidR="008D1927" w:rsidRDefault="004D7373">
      <w:pPr>
        <w:pStyle w:val="TOC3"/>
        <w:tabs>
          <w:tab w:val="left" w:pos="2268"/>
        </w:tabs>
        <w:rPr>
          <w:rFonts w:asciiTheme="minorHAnsi" w:eastAsiaTheme="minorEastAsia" w:hAnsiTheme="minorHAnsi"/>
          <w:sz w:val="22"/>
          <w:lang w:eastAsia="en-NZ"/>
        </w:rPr>
      </w:pPr>
      <w:hyperlink w:anchor="_Toc88637603" w:history="1">
        <w:r w:rsidR="008D1927" w:rsidRPr="009C5B5D">
          <w:rPr>
            <w:rStyle w:val="Hyperlink"/>
          </w:rPr>
          <w:t>3.4.2.</w:t>
        </w:r>
        <w:r w:rsidR="008D1927">
          <w:rPr>
            <w:rFonts w:asciiTheme="minorHAnsi" w:eastAsiaTheme="minorEastAsia" w:hAnsiTheme="minorHAnsi"/>
            <w:sz w:val="22"/>
            <w:lang w:eastAsia="en-NZ"/>
          </w:rPr>
          <w:tab/>
        </w:r>
        <w:r w:rsidR="008D1927" w:rsidRPr="009C5B5D">
          <w:rPr>
            <w:rStyle w:val="Hyperlink"/>
          </w:rPr>
          <w:t>Submitters from most sectors suggested additional research priorities</w:t>
        </w:r>
        <w:r w:rsidR="008D1927">
          <w:rPr>
            <w:webHidden/>
          </w:rPr>
          <w:tab/>
        </w:r>
        <w:r w:rsidR="008D1927">
          <w:rPr>
            <w:webHidden/>
          </w:rPr>
          <w:fldChar w:fldCharType="begin"/>
        </w:r>
        <w:r w:rsidR="008D1927">
          <w:rPr>
            <w:webHidden/>
          </w:rPr>
          <w:instrText xml:space="preserve"> PAGEREF _Toc88637603 \h </w:instrText>
        </w:r>
        <w:r w:rsidR="008D1927">
          <w:rPr>
            <w:webHidden/>
          </w:rPr>
        </w:r>
        <w:r w:rsidR="008D1927">
          <w:rPr>
            <w:webHidden/>
          </w:rPr>
          <w:fldChar w:fldCharType="separate"/>
        </w:r>
        <w:r w:rsidR="00071098">
          <w:rPr>
            <w:webHidden/>
          </w:rPr>
          <w:t>98</w:t>
        </w:r>
        <w:r w:rsidR="008D1927">
          <w:rPr>
            <w:webHidden/>
          </w:rPr>
          <w:fldChar w:fldCharType="end"/>
        </w:r>
      </w:hyperlink>
    </w:p>
    <w:p w14:paraId="533B82A8" w14:textId="7F1381B3" w:rsidR="008D1927" w:rsidRDefault="004D7373">
      <w:pPr>
        <w:pStyle w:val="TOC3"/>
        <w:tabs>
          <w:tab w:val="left" w:pos="2268"/>
        </w:tabs>
        <w:rPr>
          <w:rFonts w:asciiTheme="minorHAnsi" w:eastAsiaTheme="minorEastAsia" w:hAnsiTheme="minorHAnsi"/>
          <w:sz w:val="22"/>
          <w:lang w:eastAsia="en-NZ"/>
        </w:rPr>
      </w:pPr>
      <w:hyperlink w:anchor="_Toc88637604" w:history="1">
        <w:r w:rsidR="008D1927" w:rsidRPr="009C5B5D">
          <w:rPr>
            <w:rStyle w:val="Hyperlink"/>
          </w:rPr>
          <w:t>3.4.3.</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_Toc88637604 \h </w:instrText>
        </w:r>
        <w:r w:rsidR="008D1927">
          <w:rPr>
            <w:webHidden/>
          </w:rPr>
        </w:r>
        <w:r w:rsidR="008D1927">
          <w:rPr>
            <w:webHidden/>
          </w:rPr>
          <w:fldChar w:fldCharType="separate"/>
        </w:r>
        <w:r w:rsidR="00071098">
          <w:rPr>
            <w:webHidden/>
          </w:rPr>
          <w:t>100</w:t>
        </w:r>
        <w:r w:rsidR="008D1927">
          <w:rPr>
            <w:webHidden/>
          </w:rPr>
          <w:fldChar w:fldCharType="end"/>
        </w:r>
      </w:hyperlink>
    </w:p>
    <w:p w14:paraId="2D104990" w14:textId="4B758FBD" w:rsidR="008D1927" w:rsidRDefault="004D7373">
      <w:pPr>
        <w:pStyle w:val="TOC1"/>
        <w:rPr>
          <w:rFonts w:asciiTheme="minorHAnsi" w:eastAsiaTheme="minorEastAsia" w:hAnsiTheme="minorHAnsi"/>
          <w:b w:val="0"/>
          <w:caps w:val="0"/>
          <w:lang w:eastAsia="en-NZ"/>
        </w:rPr>
      </w:pPr>
      <w:hyperlink w:anchor="_Toc88637605" w:history="1">
        <w:r w:rsidR="008D1927" w:rsidRPr="009C5B5D">
          <w:rPr>
            <w:rStyle w:val="Hyperlink"/>
          </w:rPr>
          <w:t>4.</w:t>
        </w:r>
        <w:r w:rsidR="008D1927">
          <w:rPr>
            <w:rFonts w:asciiTheme="minorHAnsi" w:eastAsiaTheme="minorEastAsia" w:hAnsiTheme="minorHAnsi"/>
            <w:b w:val="0"/>
            <w:caps w:val="0"/>
            <w:lang w:eastAsia="en-NZ"/>
          </w:rPr>
          <w:tab/>
        </w:r>
        <w:r w:rsidR="008D1927" w:rsidRPr="009C5B5D">
          <w:rPr>
            <w:rStyle w:val="Hyperlink"/>
          </w:rPr>
          <w:t>Levy and alternate levy weightings</w:t>
        </w:r>
        <w:r w:rsidR="008D1927">
          <w:rPr>
            <w:webHidden/>
          </w:rPr>
          <w:tab/>
        </w:r>
        <w:r w:rsidR="008D1927">
          <w:rPr>
            <w:webHidden/>
          </w:rPr>
          <w:fldChar w:fldCharType="begin"/>
        </w:r>
        <w:r w:rsidR="008D1927">
          <w:rPr>
            <w:webHidden/>
          </w:rPr>
          <w:instrText xml:space="preserve"> PAGEREF _Toc88637605 \h </w:instrText>
        </w:r>
        <w:r w:rsidR="008D1927">
          <w:rPr>
            <w:webHidden/>
          </w:rPr>
        </w:r>
        <w:r w:rsidR="008D1927">
          <w:rPr>
            <w:webHidden/>
          </w:rPr>
          <w:fldChar w:fldCharType="separate"/>
        </w:r>
        <w:r w:rsidR="00071098">
          <w:rPr>
            <w:webHidden/>
          </w:rPr>
          <w:t>101</w:t>
        </w:r>
        <w:r w:rsidR="008D1927">
          <w:rPr>
            <w:webHidden/>
          </w:rPr>
          <w:fldChar w:fldCharType="end"/>
        </w:r>
      </w:hyperlink>
    </w:p>
    <w:p w14:paraId="64E2EDAE" w14:textId="4F43F145" w:rsidR="008D1927" w:rsidRDefault="004D7373">
      <w:pPr>
        <w:pStyle w:val="TOC2"/>
        <w:rPr>
          <w:rFonts w:asciiTheme="minorHAnsi" w:eastAsiaTheme="minorEastAsia" w:hAnsiTheme="minorHAnsi"/>
          <w:lang w:eastAsia="en-NZ"/>
        </w:rPr>
      </w:pPr>
      <w:hyperlink w:anchor="_Toc88637606" w:history="1">
        <w:r w:rsidR="008D1927" w:rsidRPr="009C5B5D">
          <w:rPr>
            <w:rStyle w:val="Hyperlink"/>
          </w:rPr>
          <w:t>4.1.</w:t>
        </w:r>
        <w:r w:rsidR="008D1927">
          <w:rPr>
            <w:rFonts w:asciiTheme="minorHAnsi" w:eastAsiaTheme="minorEastAsia" w:hAnsiTheme="minorHAnsi"/>
            <w:lang w:eastAsia="en-NZ"/>
          </w:rPr>
          <w:tab/>
        </w:r>
        <w:r w:rsidR="008D1927" w:rsidRPr="009C5B5D">
          <w:rPr>
            <w:rStyle w:val="Hyperlink"/>
          </w:rPr>
          <w:t>The degree of support for player expenditure forecasts</w:t>
        </w:r>
        <w:r w:rsidR="008D1927">
          <w:rPr>
            <w:webHidden/>
          </w:rPr>
          <w:tab/>
        </w:r>
        <w:r w:rsidR="008D1927">
          <w:rPr>
            <w:webHidden/>
          </w:rPr>
          <w:fldChar w:fldCharType="begin"/>
        </w:r>
        <w:r w:rsidR="008D1927">
          <w:rPr>
            <w:webHidden/>
          </w:rPr>
          <w:instrText xml:space="preserve"> PAGEREF _Toc88637606 \h </w:instrText>
        </w:r>
        <w:r w:rsidR="008D1927">
          <w:rPr>
            <w:webHidden/>
          </w:rPr>
        </w:r>
        <w:r w:rsidR="008D1927">
          <w:rPr>
            <w:webHidden/>
          </w:rPr>
          <w:fldChar w:fldCharType="separate"/>
        </w:r>
        <w:r w:rsidR="00071098">
          <w:rPr>
            <w:webHidden/>
          </w:rPr>
          <w:t>102</w:t>
        </w:r>
        <w:r w:rsidR="008D1927">
          <w:rPr>
            <w:webHidden/>
          </w:rPr>
          <w:fldChar w:fldCharType="end"/>
        </w:r>
      </w:hyperlink>
    </w:p>
    <w:p w14:paraId="70C51A47" w14:textId="164692DF" w:rsidR="008D1927" w:rsidRDefault="004D7373">
      <w:pPr>
        <w:pStyle w:val="TOC3"/>
        <w:tabs>
          <w:tab w:val="left" w:pos="2268"/>
        </w:tabs>
        <w:rPr>
          <w:rFonts w:asciiTheme="minorHAnsi" w:eastAsiaTheme="minorEastAsia" w:hAnsiTheme="minorHAnsi"/>
          <w:sz w:val="22"/>
          <w:lang w:eastAsia="en-NZ"/>
        </w:rPr>
      </w:pPr>
      <w:hyperlink w:anchor="_Toc88637607" w:history="1">
        <w:r w:rsidR="008D1927" w:rsidRPr="009C5B5D">
          <w:rPr>
            <w:rStyle w:val="Hyperlink"/>
          </w:rPr>
          <w:t>4.1.1.</w:t>
        </w:r>
        <w:r w:rsidR="008D1927">
          <w:rPr>
            <w:rFonts w:asciiTheme="minorHAnsi" w:eastAsiaTheme="minorEastAsia" w:hAnsiTheme="minorHAnsi"/>
            <w:sz w:val="22"/>
            <w:lang w:eastAsia="en-NZ"/>
          </w:rPr>
          <w:tab/>
        </w:r>
        <w:r w:rsidR="008D1927" w:rsidRPr="009C5B5D">
          <w:rPr>
            <w:rStyle w:val="Hyperlink"/>
          </w:rPr>
          <w:t>Submitters considered the forecasts were unrealistic because they did not include offshore and online gambling</w:t>
        </w:r>
        <w:r w:rsidR="008D1927">
          <w:rPr>
            <w:webHidden/>
          </w:rPr>
          <w:tab/>
        </w:r>
        <w:r w:rsidR="008D1927">
          <w:rPr>
            <w:webHidden/>
          </w:rPr>
          <w:fldChar w:fldCharType="begin"/>
        </w:r>
        <w:r w:rsidR="008D1927">
          <w:rPr>
            <w:webHidden/>
          </w:rPr>
          <w:instrText xml:space="preserve"> PAGEREF _Toc88637607 \h </w:instrText>
        </w:r>
        <w:r w:rsidR="008D1927">
          <w:rPr>
            <w:webHidden/>
          </w:rPr>
        </w:r>
        <w:r w:rsidR="008D1927">
          <w:rPr>
            <w:webHidden/>
          </w:rPr>
          <w:fldChar w:fldCharType="separate"/>
        </w:r>
        <w:r w:rsidR="00071098">
          <w:rPr>
            <w:webHidden/>
          </w:rPr>
          <w:t>102</w:t>
        </w:r>
        <w:r w:rsidR="008D1927">
          <w:rPr>
            <w:webHidden/>
          </w:rPr>
          <w:fldChar w:fldCharType="end"/>
        </w:r>
      </w:hyperlink>
    </w:p>
    <w:p w14:paraId="548E0F7A" w14:textId="5B94F1E7" w:rsidR="008D1927" w:rsidRDefault="004D7373">
      <w:pPr>
        <w:pStyle w:val="TOC3"/>
        <w:tabs>
          <w:tab w:val="left" w:pos="2268"/>
        </w:tabs>
        <w:rPr>
          <w:rFonts w:asciiTheme="minorHAnsi" w:eastAsiaTheme="minorEastAsia" w:hAnsiTheme="minorHAnsi"/>
          <w:sz w:val="22"/>
          <w:lang w:eastAsia="en-NZ"/>
        </w:rPr>
      </w:pPr>
      <w:hyperlink w:anchor="_Toc88637608" w:history="1">
        <w:r w:rsidR="008D1927" w:rsidRPr="009C5B5D">
          <w:rPr>
            <w:rStyle w:val="Hyperlink"/>
          </w:rPr>
          <w:t>4.1.2.</w:t>
        </w:r>
        <w:r w:rsidR="008D1927">
          <w:rPr>
            <w:rFonts w:asciiTheme="minorHAnsi" w:eastAsiaTheme="minorEastAsia" w:hAnsiTheme="minorHAnsi"/>
            <w:sz w:val="22"/>
            <w:lang w:eastAsia="en-NZ"/>
          </w:rPr>
          <w:tab/>
        </w:r>
        <w:r w:rsidR="008D1927" w:rsidRPr="009C5B5D">
          <w:rPr>
            <w:rStyle w:val="Hyperlink"/>
          </w:rPr>
          <w:t>Submitters considered that decreased gambling expenditure was given COVID-19 uncertainty and restrictions</w:t>
        </w:r>
        <w:r w:rsidR="008D1927">
          <w:rPr>
            <w:webHidden/>
          </w:rPr>
          <w:tab/>
        </w:r>
        <w:r w:rsidR="008D1927">
          <w:rPr>
            <w:webHidden/>
          </w:rPr>
          <w:fldChar w:fldCharType="begin"/>
        </w:r>
        <w:r w:rsidR="008D1927">
          <w:rPr>
            <w:webHidden/>
          </w:rPr>
          <w:instrText xml:space="preserve"> PAGEREF _Toc88637608 \h </w:instrText>
        </w:r>
        <w:r w:rsidR="008D1927">
          <w:rPr>
            <w:webHidden/>
          </w:rPr>
        </w:r>
        <w:r w:rsidR="008D1927">
          <w:rPr>
            <w:webHidden/>
          </w:rPr>
          <w:fldChar w:fldCharType="separate"/>
        </w:r>
        <w:r w:rsidR="00071098">
          <w:rPr>
            <w:webHidden/>
          </w:rPr>
          <w:t>103</w:t>
        </w:r>
        <w:r w:rsidR="008D1927">
          <w:rPr>
            <w:webHidden/>
          </w:rPr>
          <w:fldChar w:fldCharType="end"/>
        </w:r>
      </w:hyperlink>
    </w:p>
    <w:p w14:paraId="68F4948F" w14:textId="385CE532" w:rsidR="008D1927" w:rsidRDefault="004D7373">
      <w:pPr>
        <w:pStyle w:val="TOC3"/>
        <w:tabs>
          <w:tab w:val="left" w:pos="2268"/>
        </w:tabs>
        <w:rPr>
          <w:rFonts w:asciiTheme="minorHAnsi" w:eastAsiaTheme="minorEastAsia" w:hAnsiTheme="minorHAnsi"/>
          <w:sz w:val="22"/>
          <w:lang w:eastAsia="en-NZ"/>
        </w:rPr>
      </w:pPr>
      <w:hyperlink w:anchor="_Toc88637609" w:history="1">
        <w:r w:rsidR="008D1927" w:rsidRPr="009C5B5D">
          <w:rPr>
            <w:rStyle w:val="Hyperlink"/>
          </w:rPr>
          <w:t>4.1.3.</w:t>
        </w:r>
        <w:r w:rsidR="008D1927">
          <w:rPr>
            <w:rFonts w:asciiTheme="minorHAnsi" w:eastAsiaTheme="minorEastAsia" w:hAnsiTheme="minorHAnsi"/>
            <w:sz w:val="22"/>
            <w:lang w:eastAsia="en-NZ"/>
          </w:rPr>
          <w:tab/>
        </w:r>
        <w:r w:rsidR="008D1927" w:rsidRPr="009C5B5D">
          <w:rPr>
            <w:rStyle w:val="Hyperlink"/>
          </w:rPr>
          <w:t>Lotto NZ suggested the Ministry adopt their Statement of Intent expenditure forecast</w:t>
        </w:r>
        <w:r w:rsidR="008D1927">
          <w:rPr>
            <w:webHidden/>
          </w:rPr>
          <w:tab/>
        </w:r>
        <w:r w:rsidR="008D1927">
          <w:rPr>
            <w:webHidden/>
          </w:rPr>
          <w:fldChar w:fldCharType="begin"/>
        </w:r>
        <w:r w:rsidR="008D1927">
          <w:rPr>
            <w:webHidden/>
          </w:rPr>
          <w:instrText xml:space="preserve"> PAGEREF _Toc88637609 \h </w:instrText>
        </w:r>
        <w:r w:rsidR="008D1927">
          <w:rPr>
            <w:webHidden/>
          </w:rPr>
        </w:r>
        <w:r w:rsidR="008D1927">
          <w:rPr>
            <w:webHidden/>
          </w:rPr>
          <w:fldChar w:fldCharType="separate"/>
        </w:r>
        <w:r w:rsidR="00071098">
          <w:rPr>
            <w:webHidden/>
          </w:rPr>
          <w:t>103</w:t>
        </w:r>
        <w:r w:rsidR="008D1927">
          <w:rPr>
            <w:webHidden/>
          </w:rPr>
          <w:fldChar w:fldCharType="end"/>
        </w:r>
      </w:hyperlink>
    </w:p>
    <w:p w14:paraId="09F4189B" w14:textId="25935348" w:rsidR="008D1927" w:rsidRDefault="004D7373">
      <w:pPr>
        <w:pStyle w:val="TOC2"/>
        <w:rPr>
          <w:rFonts w:asciiTheme="minorHAnsi" w:eastAsiaTheme="minorEastAsia" w:hAnsiTheme="minorHAnsi"/>
          <w:lang w:eastAsia="en-NZ"/>
        </w:rPr>
      </w:pPr>
      <w:hyperlink w:anchor="_Toc88637610" w:history="1">
        <w:r w:rsidR="008D1927" w:rsidRPr="009C5B5D">
          <w:rPr>
            <w:rStyle w:val="Hyperlink"/>
          </w:rPr>
          <w:t>4.2.</w:t>
        </w:r>
        <w:r w:rsidR="008D1927">
          <w:rPr>
            <w:rFonts w:asciiTheme="minorHAnsi" w:eastAsiaTheme="minorEastAsia" w:hAnsiTheme="minorHAnsi"/>
            <w:lang w:eastAsia="en-NZ"/>
          </w:rPr>
          <w:tab/>
        </w:r>
        <w:r w:rsidR="008D1927" w:rsidRPr="009C5B5D">
          <w:rPr>
            <w:rStyle w:val="Hyperlink"/>
          </w:rPr>
          <w:t>The degree of support for the various weighting options</w:t>
        </w:r>
        <w:r w:rsidR="008D1927">
          <w:rPr>
            <w:webHidden/>
          </w:rPr>
          <w:tab/>
        </w:r>
        <w:r w:rsidR="008D1927">
          <w:rPr>
            <w:webHidden/>
          </w:rPr>
          <w:fldChar w:fldCharType="begin"/>
        </w:r>
        <w:r w:rsidR="008D1927">
          <w:rPr>
            <w:webHidden/>
          </w:rPr>
          <w:instrText xml:space="preserve"> PAGEREF _Toc88637610 \h </w:instrText>
        </w:r>
        <w:r w:rsidR="008D1927">
          <w:rPr>
            <w:webHidden/>
          </w:rPr>
        </w:r>
        <w:r w:rsidR="008D1927">
          <w:rPr>
            <w:webHidden/>
          </w:rPr>
          <w:fldChar w:fldCharType="separate"/>
        </w:r>
        <w:r w:rsidR="00071098">
          <w:rPr>
            <w:webHidden/>
          </w:rPr>
          <w:t>103</w:t>
        </w:r>
        <w:r w:rsidR="008D1927">
          <w:rPr>
            <w:webHidden/>
          </w:rPr>
          <w:fldChar w:fldCharType="end"/>
        </w:r>
      </w:hyperlink>
    </w:p>
    <w:p w14:paraId="74609FF0" w14:textId="23DACDBF" w:rsidR="008D1927" w:rsidRDefault="004D7373">
      <w:pPr>
        <w:pStyle w:val="TOC3"/>
        <w:tabs>
          <w:tab w:val="left" w:pos="2268"/>
        </w:tabs>
        <w:rPr>
          <w:rFonts w:asciiTheme="minorHAnsi" w:eastAsiaTheme="minorEastAsia" w:hAnsiTheme="minorHAnsi"/>
          <w:sz w:val="22"/>
          <w:lang w:eastAsia="en-NZ"/>
        </w:rPr>
      </w:pPr>
      <w:hyperlink w:anchor="_Toc88637611" w:history="1">
        <w:r w:rsidR="008D1927" w:rsidRPr="009C5B5D">
          <w:rPr>
            <w:rStyle w:val="Hyperlink"/>
          </w:rPr>
          <w:t>4.2.1.</w:t>
        </w:r>
        <w:r w:rsidR="008D1927">
          <w:rPr>
            <w:rFonts w:asciiTheme="minorHAnsi" w:eastAsiaTheme="minorEastAsia" w:hAnsiTheme="minorHAnsi"/>
            <w:sz w:val="22"/>
            <w:lang w:eastAsia="en-NZ"/>
          </w:rPr>
          <w:tab/>
        </w:r>
        <w:r w:rsidR="008D1927" w:rsidRPr="009C5B5D">
          <w:rPr>
            <w:rStyle w:val="Hyperlink"/>
          </w:rPr>
          <w:t>Submitters supported a 30/70 weighting and almost all NCGM submitters preferred this weighting</w:t>
        </w:r>
        <w:r w:rsidR="008D1927">
          <w:rPr>
            <w:webHidden/>
          </w:rPr>
          <w:tab/>
        </w:r>
        <w:r w:rsidR="008D1927">
          <w:rPr>
            <w:webHidden/>
          </w:rPr>
          <w:fldChar w:fldCharType="begin"/>
        </w:r>
        <w:r w:rsidR="008D1927">
          <w:rPr>
            <w:webHidden/>
          </w:rPr>
          <w:instrText xml:space="preserve"> PAGEREF _Toc88637611 \h </w:instrText>
        </w:r>
        <w:r w:rsidR="008D1927">
          <w:rPr>
            <w:webHidden/>
          </w:rPr>
        </w:r>
        <w:r w:rsidR="008D1927">
          <w:rPr>
            <w:webHidden/>
          </w:rPr>
          <w:fldChar w:fldCharType="separate"/>
        </w:r>
        <w:r w:rsidR="00071098">
          <w:rPr>
            <w:webHidden/>
          </w:rPr>
          <w:t>104</w:t>
        </w:r>
        <w:r w:rsidR="008D1927">
          <w:rPr>
            <w:webHidden/>
          </w:rPr>
          <w:fldChar w:fldCharType="end"/>
        </w:r>
      </w:hyperlink>
    </w:p>
    <w:p w14:paraId="39E4ABC8" w14:textId="40ED9306" w:rsidR="008D1927" w:rsidRDefault="004D7373">
      <w:pPr>
        <w:pStyle w:val="TOC3"/>
        <w:tabs>
          <w:tab w:val="left" w:pos="2268"/>
        </w:tabs>
        <w:rPr>
          <w:rFonts w:asciiTheme="minorHAnsi" w:eastAsiaTheme="minorEastAsia" w:hAnsiTheme="minorHAnsi"/>
          <w:sz w:val="22"/>
          <w:lang w:eastAsia="en-NZ"/>
        </w:rPr>
      </w:pPr>
      <w:hyperlink w:anchor="_Toc88637612" w:history="1">
        <w:r w:rsidR="008D1927" w:rsidRPr="009C5B5D">
          <w:rPr>
            <w:rStyle w:val="Hyperlink"/>
          </w:rPr>
          <w:t>4.2.2.</w:t>
        </w:r>
        <w:r w:rsidR="008D1927">
          <w:rPr>
            <w:rFonts w:asciiTheme="minorHAnsi" w:eastAsiaTheme="minorEastAsia" w:hAnsiTheme="minorHAnsi"/>
            <w:sz w:val="22"/>
            <w:lang w:eastAsia="en-NZ"/>
          </w:rPr>
          <w:tab/>
        </w:r>
        <w:r w:rsidR="008D1927" w:rsidRPr="009C5B5D">
          <w:rPr>
            <w:rStyle w:val="Hyperlink"/>
          </w:rPr>
          <w:t>Submitters from across sectors supported a 5/95 weighting, so the NCGM sector would contribute the most to the levy</w:t>
        </w:r>
        <w:r w:rsidR="008D1927">
          <w:rPr>
            <w:webHidden/>
          </w:rPr>
          <w:tab/>
        </w:r>
        <w:r w:rsidR="008D1927">
          <w:rPr>
            <w:webHidden/>
          </w:rPr>
          <w:fldChar w:fldCharType="begin"/>
        </w:r>
        <w:r w:rsidR="008D1927">
          <w:rPr>
            <w:webHidden/>
          </w:rPr>
          <w:instrText xml:space="preserve"> PAGEREF _Toc88637612 \h </w:instrText>
        </w:r>
        <w:r w:rsidR="008D1927">
          <w:rPr>
            <w:webHidden/>
          </w:rPr>
        </w:r>
        <w:r w:rsidR="008D1927">
          <w:rPr>
            <w:webHidden/>
          </w:rPr>
          <w:fldChar w:fldCharType="separate"/>
        </w:r>
        <w:r w:rsidR="00071098">
          <w:rPr>
            <w:webHidden/>
          </w:rPr>
          <w:t>106</w:t>
        </w:r>
        <w:r w:rsidR="008D1927">
          <w:rPr>
            <w:webHidden/>
          </w:rPr>
          <w:fldChar w:fldCharType="end"/>
        </w:r>
      </w:hyperlink>
    </w:p>
    <w:p w14:paraId="149ED939" w14:textId="055F8AB8" w:rsidR="008D1927" w:rsidRDefault="004D7373">
      <w:pPr>
        <w:pStyle w:val="TOC3"/>
        <w:tabs>
          <w:tab w:val="left" w:pos="2268"/>
        </w:tabs>
        <w:rPr>
          <w:rFonts w:asciiTheme="minorHAnsi" w:eastAsiaTheme="minorEastAsia" w:hAnsiTheme="minorHAnsi"/>
          <w:sz w:val="22"/>
          <w:lang w:eastAsia="en-NZ"/>
        </w:rPr>
      </w:pPr>
      <w:hyperlink w:anchor="_Toc88637613" w:history="1">
        <w:r w:rsidR="008D1927" w:rsidRPr="009C5B5D">
          <w:rPr>
            <w:rStyle w:val="Hyperlink"/>
          </w:rPr>
          <w:t>4.2.3.</w:t>
        </w:r>
        <w:r w:rsidR="008D1927">
          <w:rPr>
            <w:rFonts w:asciiTheme="minorHAnsi" w:eastAsiaTheme="minorEastAsia" w:hAnsiTheme="minorHAnsi"/>
            <w:sz w:val="22"/>
            <w:lang w:eastAsia="en-NZ"/>
          </w:rPr>
          <w:tab/>
        </w:r>
        <w:r w:rsidR="008D1927" w:rsidRPr="009C5B5D">
          <w:rPr>
            <w:rStyle w:val="Hyperlink"/>
          </w:rPr>
          <w:t>Four gambling industry submitters advocated for returning to the 10/90 weighting</w:t>
        </w:r>
        <w:r w:rsidR="008D1927">
          <w:rPr>
            <w:webHidden/>
          </w:rPr>
          <w:tab/>
        </w:r>
        <w:r w:rsidR="008D1927">
          <w:rPr>
            <w:webHidden/>
          </w:rPr>
          <w:fldChar w:fldCharType="begin"/>
        </w:r>
        <w:r w:rsidR="008D1927">
          <w:rPr>
            <w:webHidden/>
          </w:rPr>
          <w:instrText xml:space="preserve"> PAGEREF _Toc88637613 \h </w:instrText>
        </w:r>
        <w:r w:rsidR="008D1927">
          <w:rPr>
            <w:webHidden/>
          </w:rPr>
        </w:r>
        <w:r w:rsidR="008D1927">
          <w:rPr>
            <w:webHidden/>
          </w:rPr>
          <w:fldChar w:fldCharType="separate"/>
        </w:r>
        <w:r w:rsidR="00071098">
          <w:rPr>
            <w:webHidden/>
          </w:rPr>
          <w:t>106</w:t>
        </w:r>
        <w:r w:rsidR="008D1927">
          <w:rPr>
            <w:webHidden/>
          </w:rPr>
          <w:fldChar w:fldCharType="end"/>
        </w:r>
      </w:hyperlink>
    </w:p>
    <w:p w14:paraId="2D0010B6" w14:textId="28E47065" w:rsidR="008D1927" w:rsidRDefault="004D7373">
      <w:pPr>
        <w:pStyle w:val="TOC3"/>
        <w:tabs>
          <w:tab w:val="left" w:pos="2268"/>
        </w:tabs>
        <w:rPr>
          <w:rFonts w:asciiTheme="minorHAnsi" w:eastAsiaTheme="minorEastAsia" w:hAnsiTheme="minorHAnsi"/>
          <w:sz w:val="22"/>
          <w:lang w:eastAsia="en-NZ"/>
        </w:rPr>
      </w:pPr>
      <w:hyperlink w:anchor="_Toc88637614" w:history="1">
        <w:r w:rsidR="008D1927" w:rsidRPr="009C5B5D">
          <w:rPr>
            <w:rStyle w:val="Hyperlink"/>
          </w:rPr>
          <w:t>4.2.4.</w:t>
        </w:r>
        <w:r w:rsidR="008D1927">
          <w:rPr>
            <w:rFonts w:asciiTheme="minorHAnsi" w:eastAsiaTheme="minorEastAsia" w:hAnsiTheme="minorHAnsi"/>
            <w:sz w:val="22"/>
            <w:lang w:eastAsia="en-NZ"/>
          </w:rPr>
          <w:tab/>
        </w:r>
        <w:r w:rsidR="008D1927" w:rsidRPr="009C5B5D">
          <w:rPr>
            <w:rStyle w:val="Hyperlink"/>
          </w:rPr>
          <w:t>Some submitters supported increasing the expenditure weighting closer to 50 percent</w:t>
        </w:r>
        <w:r w:rsidR="008D1927">
          <w:rPr>
            <w:webHidden/>
          </w:rPr>
          <w:tab/>
        </w:r>
        <w:r w:rsidR="008D1927">
          <w:rPr>
            <w:webHidden/>
          </w:rPr>
          <w:fldChar w:fldCharType="begin"/>
        </w:r>
        <w:r w:rsidR="008D1927">
          <w:rPr>
            <w:webHidden/>
          </w:rPr>
          <w:instrText xml:space="preserve"> PAGEREF _Toc88637614 \h </w:instrText>
        </w:r>
        <w:r w:rsidR="008D1927">
          <w:rPr>
            <w:webHidden/>
          </w:rPr>
        </w:r>
        <w:r w:rsidR="008D1927">
          <w:rPr>
            <w:webHidden/>
          </w:rPr>
          <w:fldChar w:fldCharType="separate"/>
        </w:r>
        <w:r w:rsidR="00071098">
          <w:rPr>
            <w:webHidden/>
          </w:rPr>
          <w:t>107</w:t>
        </w:r>
        <w:r w:rsidR="008D1927">
          <w:rPr>
            <w:webHidden/>
          </w:rPr>
          <w:fldChar w:fldCharType="end"/>
        </w:r>
      </w:hyperlink>
    </w:p>
    <w:p w14:paraId="768DE803" w14:textId="6C3300EC" w:rsidR="008D1927" w:rsidRDefault="004D7373">
      <w:pPr>
        <w:pStyle w:val="TOC3"/>
        <w:tabs>
          <w:tab w:val="left" w:pos="2268"/>
        </w:tabs>
        <w:rPr>
          <w:rFonts w:asciiTheme="minorHAnsi" w:eastAsiaTheme="minorEastAsia" w:hAnsiTheme="minorHAnsi"/>
          <w:sz w:val="22"/>
          <w:lang w:eastAsia="en-NZ"/>
        </w:rPr>
      </w:pPr>
      <w:hyperlink w:anchor="_Toc88637615" w:history="1">
        <w:r w:rsidR="008D1927" w:rsidRPr="009C5B5D">
          <w:rPr>
            <w:rStyle w:val="Hyperlink"/>
          </w:rPr>
          <w:t>4.2.5.</w:t>
        </w:r>
        <w:r w:rsidR="008D1927">
          <w:rPr>
            <w:rFonts w:asciiTheme="minorHAnsi" w:eastAsiaTheme="minorEastAsia" w:hAnsiTheme="minorHAnsi"/>
            <w:sz w:val="22"/>
            <w:lang w:eastAsia="en-NZ"/>
          </w:rPr>
          <w:tab/>
        </w:r>
        <w:r w:rsidR="008D1927" w:rsidRPr="009C5B5D">
          <w:rPr>
            <w:rStyle w:val="Hyperlink"/>
          </w:rPr>
          <w:t>One NCGM submitter advocated for a 100/0 weighting</w:t>
        </w:r>
        <w:r w:rsidR="008D1927">
          <w:rPr>
            <w:webHidden/>
          </w:rPr>
          <w:tab/>
        </w:r>
        <w:r w:rsidR="008D1927">
          <w:rPr>
            <w:webHidden/>
          </w:rPr>
          <w:fldChar w:fldCharType="begin"/>
        </w:r>
        <w:r w:rsidR="008D1927">
          <w:rPr>
            <w:webHidden/>
          </w:rPr>
          <w:instrText xml:space="preserve"> PAGEREF _Toc88637615 \h </w:instrText>
        </w:r>
        <w:r w:rsidR="008D1927">
          <w:rPr>
            <w:webHidden/>
          </w:rPr>
        </w:r>
        <w:r w:rsidR="008D1927">
          <w:rPr>
            <w:webHidden/>
          </w:rPr>
          <w:fldChar w:fldCharType="separate"/>
        </w:r>
        <w:r w:rsidR="00071098">
          <w:rPr>
            <w:webHidden/>
          </w:rPr>
          <w:t>107</w:t>
        </w:r>
        <w:r w:rsidR="008D1927">
          <w:rPr>
            <w:webHidden/>
          </w:rPr>
          <w:fldChar w:fldCharType="end"/>
        </w:r>
      </w:hyperlink>
    </w:p>
    <w:p w14:paraId="3D0AA963" w14:textId="43879E5A" w:rsidR="008D1927" w:rsidRDefault="004D7373">
      <w:pPr>
        <w:pStyle w:val="TOC3"/>
        <w:tabs>
          <w:tab w:val="left" w:pos="2268"/>
        </w:tabs>
        <w:rPr>
          <w:rFonts w:asciiTheme="minorHAnsi" w:eastAsiaTheme="minorEastAsia" w:hAnsiTheme="minorHAnsi"/>
          <w:sz w:val="22"/>
          <w:lang w:eastAsia="en-NZ"/>
        </w:rPr>
      </w:pPr>
      <w:hyperlink w:anchor="_Toc88637616" w:history="1">
        <w:r w:rsidR="008D1927" w:rsidRPr="009C5B5D">
          <w:rPr>
            <w:rStyle w:val="Hyperlink"/>
          </w:rPr>
          <w:t>4.2.6.</w:t>
        </w:r>
        <w:r w:rsidR="008D1927">
          <w:rPr>
            <w:rFonts w:asciiTheme="minorHAnsi" w:eastAsiaTheme="minorEastAsia" w:hAnsiTheme="minorHAnsi"/>
            <w:sz w:val="22"/>
            <w:lang w:eastAsia="en-NZ"/>
          </w:rPr>
          <w:tab/>
        </w:r>
        <w:r w:rsidR="008D1927" w:rsidRPr="009C5B5D">
          <w:rPr>
            <w:rStyle w:val="Hyperlink"/>
          </w:rPr>
          <w:t>No submitters supported the 20/80 weighting</w:t>
        </w:r>
        <w:r w:rsidR="008D1927">
          <w:rPr>
            <w:webHidden/>
          </w:rPr>
          <w:tab/>
        </w:r>
        <w:r w:rsidR="008D1927">
          <w:rPr>
            <w:webHidden/>
          </w:rPr>
          <w:fldChar w:fldCharType="begin"/>
        </w:r>
        <w:r w:rsidR="008D1927">
          <w:rPr>
            <w:webHidden/>
          </w:rPr>
          <w:instrText xml:space="preserve"> PAGEREF _Toc88637616 \h </w:instrText>
        </w:r>
        <w:r w:rsidR="008D1927">
          <w:rPr>
            <w:webHidden/>
          </w:rPr>
        </w:r>
        <w:r w:rsidR="008D1927">
          <w:rPr>
            <w:webHidden/>
          </w:rPr>
          <w:fldChar w:fldCharType="separate"/>
        </w:r>
        <w:r w:rsidR="00071098">
          <w:rPr>
            <w:webHidden/>
          </w:rPr>
          <w:t>107</w:t>
        </w:r>
        <w:r w:rsidR="008D1927">
          <w:rPr>
            <w:webHidden/>
          </w:rPr>
          <w:fldChar w:fldCharType="end"/>
        </w:r>
      </w:hyperlink>
    </w:p>
    <w:p w14:paraId="5D10FCD3" w14:textId="60A0C795" w:rsidR="008D1927" w:rsidRDefault="004D7373">
      <w:pPr>
        <w:pStyle w:val="TOC3"/>
        <w:tabs>
          <w:tab w:val="left" w:pos="2268"/>
        </w:tabs>
        <w:rPr>
          <w:rFonts w:asciiTheme="minorHAnsi" w:eastAsiaTheme="minorEastAsia" w:hAnsiTheme="minorHAnsi"/>
          <w:sz w:val="22"/>
          <w:lang w:eastAsia="en-NZ"/>
        </w:rPr>
      </w:pPr>
      <w:hyperlink w:anchor="_Toc88637617" w:history="1">
        <w:r w:rsidR="008D1927" w:rsidRPr="009C5B5D">
          <w:rPr>
            <w:rStyle w:val="Hyperlink"/>
          </w:rPr>
          <w:t>4.2.7.</w:t>
        </w:r>
        <w:r w:rsidR="008D1927">
          <w:rPr>
            <w:rFonts w:asciiTheme="minorHAnsi" w:eastAsiaTheme="minorEastAsia" w:hAnsiTheme="minorHAnsi"/>
            <w:sz w:val="22"/>
            <w:lang w:eastAsia="en-NZ"/>
          </w:rPr>
          <w:tab/>
        </w:r>
        <w:r w:rsidR="008D1927" w:rsidRPr="009C5B5D">
          <w:rPr>
            <w:rStyle w:val="Hyperlink"/>
          </w:rPr>
          <w:t>Some submitters suggested amendments to the levy formula (i.e., that MVEs could be considered as a weighting)</w:t>
        </w:r>
        <w:r w:rsidR="008D1927">
          <w:rPr>
            <w:webHidden/>
          </w:rPr>
          <w:tab/>
        </w:r>
        <w:r w:rsidR="008D1927">
          <w:rPr>
            <w:webHidden/>
          </w:rPr>
          <w:fldChar w:fldCharType="begin"/>
        </w:r>
        <w:r w:rsidR="008D1927">
          <w:rPr>
            <w:webHidden/>
          </w:rPr>
          <w:instrText xml:space="preserve"> PAGEREF _Toc88637617 \h </w:instrText>
        </w:r>
        <w:r w:rsidR="008D1927">
          <w:rPr>
            <w:webHidden/>
          </w:rPr>
        </w:r>
        <w:r w:rsidR="008D1927">
          <w:rPr>
            <w:webHidden/>
          </w:rPr>
          <w:fldChar w:fldCharType="separate"/>
        </w:r>
        <w:r w:rsidR="00071098">
          <w:rPr>
            <w:webHidden/>
          </w:rPr>
          <w:t>107</w:t>
        </w:r>
        <w:r w:rsidR="008D1927">
          <w:rPr>
            <w:webHidden/>
          </w:rPr>
          <w:fldChar w:fldCharType="end"/>
        </w:r>
      </w:hyperlink>
    </w:p>
    <w:p w14:paraId="6FC01DE4" w14:textId="3BCE3CBF" w:rsidR="008D1927" w:rsidRDefault="004D7373">
      <w:pPr>
        <w:pStyle w:val="TOC3"/>
        <w:tabs>
          <w:tab w:val="left" w:pos="2268"/>
        </w:tabs>
        <w:rPr>
          <w:rFonts w:asciiTheme="minorHAnsi" w:eastAsiaTheme="minorEastAsia" w:hAnsiTheme="minorHAnsi"/>
          <w:sz w:val="22"/>
          <w:lang w:eastAsia="en-NZ"/>
        </w:rPr>
      </w:pPr>
      <w:hyperlink w:anchor="_Toc88637618" w:history="1">
        <w:r w:rsidR="008D1927" w:rsidRPr="009C5B5D">
          <w:rPr>
            <w:rStyle w:val="Hyperlink"/>
          </w:rPr>
          <w:t>4.2.8.</w:t>
        </w:r>
        <w:r w:rsidR="008D1927">
          <w:rPr>
            <w:rFonts w:asciiTheme="minorHAnsi" w:eastAsiaTheme="minorEastAsia" w:hAnsiTheme="minorHAnsi"/>
            <w:sz w:val="22"/>
            <w:lang w:eastAsia="en-NZ"/>
          </w:rPr>
          <w:tab/>
        </w:r>
        <w:r w:rsidR="008D1927" w:rsidRPr="009C5B5D">
          <w:rPr>
            <w:rStyle w:val="Hyperlink"/>
          </w:rPr>
          <w:t>One service provider argued that the levy should be adjusted to return money taken from gambling to communities</w:t>
        </w:r>
        <w:r w:rsidR="008D1927">
          <w:rPr>
            <w:webHidden/>
          </w:rPr>
          <w:tab/>
        </w:r>
        <w:r w:rsidR="008D1927">
          <w:rPr>
            <w:webHidden/>
          </w:rPr>
          <w:fldChar w:fldCharType="begin"/>
        </w:r>
        <w:r w:rsidR="008D1927">
          <w:rPr>
            <w:webHidden/>
          </w:rPr>
          <w:instrText xml:space="preserve"> PAGEREF _Toc88637618 \h </w:instrText>
        </w:r>
        <w:r w:rsidR="008D1927">
          <w:rPr>
            <w:webHidden/>
          </w:rPr>
        </w:r>
        <w:r w:rsidR="008D1927">
          <w:rPr>
            <w:webHidden/>
          </w:rPr>
          <w:fldChar w:fldCharType="separate"/>
        </w:r>
        <w:r w:rsidR="00071098">
          <w:rPr>
            <w:webHidden/>
          </w:rPr>
          <w:t>108</w:t>
        </w:r>
        <w:r w:rsidR="008D1927">
          <w:rPr>
            <w:webHidden/>
          </w:rPr>
          <w:fldChar w:fldCharType="end"/>
        </w:r>
      </w:hyperlink>
    </w:p>
    <w:p w14:paraId="38479B9B" w14:textId="1B921C8A" w:rsidR="008D1927" w:rsidRDefault="004D7373">
      <w:pPr>
        <w:pStyle w:val="TOC2"/>
        <w:rPr>
          <w:rFonts w:asciiTheme="minorHAnsi" w:eastAsiaTheme="minorEastAsia" w:hAnsiTheme="minorHAnsi"/>
          <w:lang w:eastAsia="en-NZ"/>
        </w:rPr>
      </w:pPr>
      <w:hyperlink w:anchor="_Toc88637619" w:history="1">
        <w:r w:rsidR="008D1927" w:rsidRPr="009C5B5D">
          <w:rPr>
            <w:rStyle w:val="Hyperlink"/>
          </w:rPr>
          <w:t>4.3.</w:t>
        </w:r>
        <w:r w:rsidR="008D1927">
          <w:rPr>
            <w:rFonts w:asciiTheme="minorHAnsi" w:eastAsiaTheme="minorEastAsia" w:hAnsiTheme="minorHAnsi"/>
            <w:lang w:eastAsia="en-NZ"/>
          </w:rPr>
          <w:tab/>
        </w:r>
        <w:r w:rsidR="008D1927" w:rsidRPr="009C5B5D">
          <w:rPr>
            <w:rStyle w:val="Hyperlink"/>
          </w:rPr>
          <w:t>The degree of support for the levy rates</w:t>
        </w:r>
        <w:r w:rsidR="008D1927">
          <w:rPr>
            <w:webHidden/>
          </w:rPr>
          <w:tab/>
        </w:r>
        <w:r w:rsidR="008D1927">
          <w:rPr>
            <w:webHidden/>
          </w:rPr>
          <w:fldChar w:fldCharType="begin"/>
        </w:r>
        <w:r w:rsidR="008D1927">
          <w:rPr>
            <w:webHidden/>
          </w:rPr>
          <w:instrText xml:space="preserve"> PAGEREF _Toc88637619 \h </w:instrText>
        </w:r>
        <w:r w:rsidR="008D1927">
          <w:rPr>
            <w:webHidden/>
          </w:rPr>
        </w:r>
        <w:r w:rsidR="008D1927">
          <w:rPr>
            <w:webHidden/>
          </w:rPr>
          <w:fldChar w:fldCharType="separate"/>
        </w:r>
        <w:r w:rsidR="00071098">
          <w:rPr>
            <w:webHidden/>
          </w:rPr>
          <w:t>109</w:t>
        </w:r>
        <w:r w:rsidR="008D1927">
          <w:rPr>
            <w:webHidden/>
          </w:rPr>
          <w:fldChar w:fldCharType="end"/>
        </w:r>
      </w:hyperlink>
    </w:p>
    <w:p w14:paraId="2E2952D1" w14:textId="54C357AF" w:rsidR="008D1927" w:rsidRDefault="004D7373">
      <w:pPr>
        <w:pStyle w:val="TOC3"/>
        <w:tabs>
          <w:tab w:val="left" w:pos="2268"/>
        </w:tabs>
        <w:rPr>
          <w:rFonts w:asciiTheme="minorHAnsi" w:eastAsiaTheme="minorEastAsia" w:hAnsiTheme="minorHAnsi"/>
          <w:sz w:val="22"/>
          <w:lang w:eastAsia="en-NZ"/>
        </w:rPr>
      </w:pPr>
      <w:hyperlink w:anchor="_Toc88637620" w:history="1">
        <w:r w:rsidR="008D1927" w:rsidRPr="009C5B5D">
          <w:rPr>
            <w:rStyle w:val="Hyperlink"/>
          </w:rPr>
          <w:t>4.3.1.</w:t>
        </w:r>
        <w:r w:rsidR="008D1927">
          <w:rPr>
            <w:rFonts w:asciiTheme="minorHAnsi" w:eastAsiaTheme="minorEastAsia" w:hAnsiTheme="minorHAnsi"/>
            <w:sz w:val="22"/>
            <w:lang w:eastAsia="en-NZ"/>
          </w:rPr>
          <w:tab/>
        </w:r>
        <w:r w:rsidR="008D1927" w:rsidRPr="009C5B5D">
          <w:rPr>
            <w:rStyle w:val="Hyperlink"/>
          </w:rPr>
          <w:t>There was various support for further increases to the levy rate beyond the proposed level</w:t>
        </w:r>
        <w:r w:rsidR="008D1927">
          <w:rPr>
            <w:webHidden/>
          </w:rPr>
          <w:tab/>
        </w:r>
        <w:r w:rsidR="008D1927">
          <w:rPr>
            <w:webHidden/>
          </w:rPr>
          <w:fldChar w:fldCharType="begin"/>
        </w:r>
        <w:r w:rsidR="008D1927">
          <w:rPr>
            <w:webHidden/>
          </w:rPr>
          <w:instrText xml:space="preserve"> PAGEREF _Toc88637620 \h </w:instrText>
        </w:r>
        <w:r w:rsidR="008D1927">
          <w:rPr>
            <w:webHidden/>
          </w:rPr>
        </w:r>
        <w:r w:rsidR="008D1927">
          <w:rPr>
            <w:webHidden/>
          </w:rPr>
          <w:fldChar w:fldCharType="separate"/>
        </w:r>
        <w:r w:rsidR="00071098">
          <w:rPr>
            <w:webHidden/>
          </w:rPr>
          <w:t>109</w:t>
        </w:r>
        <w:r w:rsidR="008D1927">
          <w:rPr>
            <w:webHidden/>
          </w:rPr>
          <w:fldChar w:fldCharType="end"/>
        </w:r>
      </w:hyperlink>
    </w:p>
    <w:p w14:paraId="025AD6AC" w14:textId="76867E77" w:rsidR="008D1927" w:rsidRDefault="004D7373">
      <w:pPr>
        <w:pStyle w:val="TOC3"/>
        <w:tabs>
          <w:tab w:val="left" w:pos="2268"/>
        </w:tabs>
        <w:rPr>
          <w:rFonts w:asciiTheme="minorHAnsi" w:eastAsiaTheme="minorEastAsia" w:hAnsiTheme="minorHAnsi"/>
          <w:sz w:val="22"/>
          <w:lang w:eastAsia="en-NZ"/>
        </w:rPr>
      </w:pPr>
      <w:hyperlink w:anchor="_Toc88637621" w:history="1">
        <w:r w:rsidR="008D1927" w:rsidRPr="009C5B5D">
          <w:rPr>
            <w:rStyle w:val="Hyperlink"/>
          </w:rPr>
          <w:t>4.3.2.</w:t>
        </w:r>
        <w:r w:rsidR="008D1927">
          <w:rPr>
            <w:rFonts w:asciiTheme="minorHAnsi" w:eastAsiaTheme="minorEastAsia" w:hAnsiTheme="minorHAnsi"/>
            <w:sz w:val="22"/>
            <w:lang w:eastAsia="en-NZ"/>
          </w:rPr>
          <w:tab/>
        </w:r>
        <w:r w:rsidR="008D1927" w:rsidRPr="009C5B5D">
          <w:rPr>
            <w:rStyle w:val="Hyperlink"/>
          </w:rPr>
          <w:t>NCGM submitters and a gambling industry submitter described the proposed increase as inappropriate unless it results in improved services and results</w:t>
        </w:r>
        <w:r w:rsidR="008D1927">
          <w:rPr>
            <w:webHidden/>
          </w:rPr>
          <w:tab/>
        </w:r>
        <w:r w:rsidR="008D1927">
          <w:rPr>
            <w:webHidden/>
          </w:rPr>
          <w:fldChar w:fldCharType="begin"/>
        </w:r>
        <w:r w:rsidR="008D1927">
          <w:rPr>
            <w:webHidden/>
          </w:rPr>
          <w:instrText xml:space="preserve"> PAGEREF _Toc88637621 \h </w:instrText>
        </w:r>
        <w:r w:rsidR="008D1927">
          <w:rPr>
            <w:webHidden/>
          </w:rPr>
        </w:r>
        <w:r w:rsidR="008D1927">
          <w:rPr>
            <w:webHidden/>
          </w:rPr>
          <w:fldChar w:fldCharType="separate"/>
        </w:r>
        <w:r w:rsidR="00071098">
          <w:rPr>
            <w:webHidden/>
          </w:rPr>
          <w:t>110</w:t>
        </w:r>
        <w:r w:rsidR="008D1927">
          <w:rPr>
            <w:webHidden/>
          </w:rPr>
          <w:fldChar w:fldCharType="end"/>
        </w:r>
      </w:hyperlink>
    </w:p>
    <w:p w14:paraId="71EA478B" w14:textId="63B65847" w:rsidR="008D1927" w:rsidRDefault="004D7373">
      <w:pPr>
        <w:pStyle w:val="TOC3"/>
        <w:tabs>
          <w:tab w:val="left" w:pos="2268"/>
        </w:tabs>
        <w:rPr>
          <w:rFonts w:asciiTheme="minorHAnsi" w:eastAsiaTheme="minorEastAsia" w:hAnsiTheme="minorHAnsi"/>
          <w:sz w:val="22"/>
          <w:lang w:eastAsia="en-NZ"/>
        </w:rPr>
      </w:pPr>
      <w:hyperlink w:anchor="_Toc88637622" w:history="1">
        <w:r w:rsidR="008D1927" w:rsidRPr="009C5B5D">
          <w:rPr>
            <w:rStyle w:val="Hyperlink"/>
          </w:rPr>
          <w:t>4.3.3.</w:t>
        </w:r>
        <w:r w:rsidR="008D1927">
          <w:rPr>
            <w:rFonts w:asciiTheme="minorHAnsi" w:eastAsiaTheme="minorEastAsia" w:hAnsiTheme="minorHAnsi"/>
            <w:sz w:val="22"/>
            <w:lang w:eastAsia="en-NZ"/>
          </w:rPr>
          <w:tab/>
        </w:r>
        <w:r w:rsidR="008D1927" w:rsidRPr="009C5B5D">
          <w:rPr>
            <w:rStyle w:val="Hyperlink"/>
          </w:rPr>
          <w:t>One service provider in support of the proposed levy rates noted the risk to Pacific peoples from NCGMs and the growing harm caused by online gambling</w:t>
        </w:r>
        <w:r w:rsidR="008D1927">
          <w:rPr>
            <w:webHidden/>
          </w:rPr>
          <w:tab/>
        </w:r>
        <w:r w:rsidR="008D1927">
          <w:rPr>
            <w:webHidden/>
          </w:rPr>
          <w:fldChar w:fldCharType="begin"/>
        </w:r>
        <w:r w:rsidR="008D1927">
          <w:rPr>
            <w:webHidden/>
          </w:rPr>
          <w:instrText xml:space="preserve"> PAGEREF _Toc88637622 \h </w:instrText>
        </w:r>
        <w:r w:rsidR="008D1927">
          <w:rPr>
            <w:webHidden/>
          </w:rPr>
        </w:r>
        <w:r w:rsidR="008D1927">
          <w:rPr>
            <w:webHidden/>
          </w:rPr>
          <w:fldChar w:fldCharType="separate"/>
        </w:r>
        <w:r w:rsidR="00071098">
          <w:rPr>
            <w:webHidden/>
          </w:rPr>
          <w:t>111</w:t>
        </w:r>
        <w:r w:rsidR="008D1927">
          <w:rPr>
            <w:webHidden/>
          </w:rPr>
          <w:fldChar w:fldCharType="end"/>
        </w:r>
      </w:hyperlink>
    </w:p>
    <w:p w14:paraId="43C78F24" w14:textId="04E50569" w:rsidR="008D1927" w:rsidRDefault="004D7373">
      <w:pPr>
        <w:pStyle w:val="TOC3"/>
        <w:tabs>
          <w:tab w:val="left" w:pos="2268"/>
        </w:tabs>
        <w:rPr>
          <w:rFonts w:asciiTheme="minorHAnsi" w:eastAsiaTheme="minorEastAsia" w:hAnsiTheme="minorHAnsi"/>
          <w:sz w:val="22"/>
          <w:lang w:eastAsia="en-NZ"/>
        </w:rPr>
      </w:pPr>
      <w:hyperlink w:anchor="_Toc88637623" w:history="1">
        <w:r w:rsidR="008D1927" w:rsidRPr="009C5B5D">
          <w:rPr>
            <w:rStyle w:val="Hyperlink"/>
          </w:rPr>
          <w:t>4.3.4.</w:t>
        </w:r>
        <w:r w:rsidR="008D1927">
          <w:rPr>
            <w:rFonts w:asciiTheme="minorHAnsi" w:eastAsiaTheme="minorEastAsia" w:hAnsiTheme="minorHAnsi"/>
            <w:sz w:val="22"/>
            <w:lang w:eastAsia="en-NZ"/>
          </w:rPr>
          <w:tab/>
        </w:r>
        <w:r w:rsidR="008D1927" w:rsidRPr="009C5B5D">
          <w:rPr>
            <w:rStyle w:val="Hyperlink"/>
          </w:rPr>
          <w:t>Key themes from consultation hui</w:t>
        </w:r>
        <w:r w:rsidR="008D1927">
          <w:rPr>
            <w:webHidden/>
          </w:rPr>
          <w:tab/>
        </w:r>
        <w:r w:rsidR="008D1927">
          <w:rPr>
            <w:webHidden/>
          </w:rPr>
          <w:fldChar w:fldCharType="begin"/>
        </w:r>
        <w:r w:rsidR="008D1927">
          <w:rPr>
            <w:webHidden/>
          </w:rPr>
          <w:instrText xml:space="preserve"> PAGEREF _Toc88637623 \h </w:instrText>
        </w:r>
        <w:r w:rsidR="008D1927">
          <w:rPr>
            <w:webHidden/>
          </w:rPr>
        </w:r>
        <w:r w:rsidR="008D1927">
          <w:rPr>
            <w:webHidden/>
          </w:rPr>
          <w:fldChar w:fldCharType="separate"/>
        </w:r>
        <w:r w:rsidR="00071098">
          <w:rPr>
            <w:webHidden/>
          </w:rPr>
          <w:t>111</w:t>
        </w:r>
        <w:r w:rsidR="008D1927">
          <w:rPr>
            <w:webHidden/>
          </w:rPr>
          <w:fldChar w:fldCharType="end"/>
        </w:r>
      </w:hyperlink>
    </w:p>
    <w:p w14:paraId="59CB3B5B" w14:textId="52B7597A" w:rsidR="008D1927" w:rsidRDefault="004D7373">
      <w:pPr>
        <w:pStyle w:val="TOC1"/>
        <w:rPr>
          <w:rFonts w:asciiTheme="minorHAnsi" w:eastAsiaTheme="minorEastAsia" w:hAnsiTheme="minorHAnsi"/>
          <w:b w:val="0"/>
          <w:caps w:val="0"/>
          <w:lang w:eastAsia="en-NZ"/>
        </w:rPr>
      </w:pPr>
      <w:hyperlink w:anchor="_Toc88637624" w:history="1">
        <w:r w:rsidR="008D1927" w:rsidRPr="009C5B5D">
          <w:rPr>
            <w:rStyle w:val="Hyperlink"/>
          </w:rPr>
          <w:t>5.</w:t>
        </w:r>
        <w:r w:rsidR="008D1927">
          <w:rPr>
            <w:rFonts w:asciiTheme="minorHAnsi" w:eastAsiaTheme="minorEastAsia" w:hAnsiTheme="minorHAnsi"/>
            <w:b w:val="0"/>
            <w:caps w:val="0"/>
            <w:lang w:eastAsia="en-NZ"/>
          </w:rPr>
          <w:tab/>
        </w:r>
        <w:r w:rsidR="008D1927" w:rsidRPr="009C5B5D">
          <w:rPr>
            <w:rStyle w:val="Hyperlink"/>
          </w:rPr>
          <w:t>Thematic analysis by sector</w:t>
        </w:r>
        <w:r w:rsidR="008D1927">
          <w:rPr>
            <w:webHidden/>
          </w:rPr>
          <w:tab/>
        </w:r>
        <w:r w:rsidR="008D1927">
          <w:rPr>
            <w:webHidden/>
          </w:rPr>
          <w:fldChar w:fldCharType="begin"/>
        </w:r>
        <w:r w:rsidR="008D1927">
          <w:rPr>
            <w:webHidden/>
          </w:rPr>
          <w:instrText xml:space="preserve"> PAGEREF _Toc88637624 \h </w:instrText>
        </w:r>
        <w:r w:rsidR="008D1927">
          <w:rPr>
            <w:webHidden/>
          </w:rPr>
        </w:r>
        <w:r w:rsidR="008D1927">
          <w:rPr>
            <w:webHidden/>
          </w:rPr>
          <w:fldChar w:fldCharType="separate"/>
        </w:r>
        <w:r w:rsidR="00071098">
          <w:rPr>
            <w:webHidden/>
          </w:rPr>
          <w:t>112</w:t>
        </w:r>
        <w:r w:rsidR="008D1927">
          <w:rPr>
            <w:webHidden/>
          </w:rPr>
          <w:fldChar w:fldCharType="end"/>
        </w:r>
      </w:hyperlink>
    </w:p>
    <w:p w14:paraId="64B105BF" w14:textId="4DC42747" w:rsidR="008D1927" w:rsidRDefault="004D7373">
      <w:pPr>
        <w:pStyle w:val="TOC2"/>
        <w:rPr>
          <w:rFonts w:asciiTheme="minorHAnsi" w:eastAsiaTheme="minorEastAsia" w:hAnsiTheme="minorHAnsi"/>
          <w:lang w:eastAsia="en-NZ"/>
        </w:rPr>
      </w:pPr>
      <w:hyperlink w:anchor="_Toc88637625" w:history="1">
        <w:r w:rsidR="008D1927" w:rsidRPr="009C5B5D">
          <w:rPr>
            <w:rStyle w:val="Hyperlink"/>
          </w:rPr>
          <w:t>5.1.</w:t>
        </w:r>
        <w:r w:rsidR="008D1927">
          <w:rPr>
            <w:rFonts w:asciiTheme="minorHAnsi" w:eastAsiaTheme="minorEastAsia" w:hAnsiTheme="minorHAnsi"/>
            <w:lang w:eastAsia="en-NZ"/>
          </w:rPr>
          <w:tab/>
        </w:r>
        <w:r w:rsidR="008D1927" w:rsidRPr="009C5B5D">
          <w:rPr>
            <w:rStyle w:val="Hyperlink"/>
          </w:rPr>
          <w:t>The current strategy was not seen to be working by some submitters</w:t>
        </w:r>
        <w:r w:rsidR="008D1927">
          <w:rPr>
            <w:webHidden/>
          </w:rPr>
          <w:tab/>
        </w:r>
        <w:r w:rsidR="008D1927">
          <w:rPr>
            <w:webHidden/>
          </w:rPr>
          <w:fldChar w:fldCharType="begin"/>
        </w:r>
        <w:r w:rsidR="008D1927">
          <w:rPr>
            <w:webHidden/>
          </w:rPr>
          <w:instrText xml:space="preserve"> PAGEREF _Toc88637625 \h </w:instrText>
        </w:r>
        <w:r w:rsidR="008D1927">
          <w:rPr>
            <w:webHidden/>
          </w:rPr>
        </w:r>
        <w:r w:rsidR="008D1927">
          <w:rPr>
            <w:webHidden/>
          </w:rPr>
          <w:fldChar w:fldCharType="separate"/>
        </w:r>
        <w:r w:rsidR="00071098">
          <w:rPr>
            <w:webHidden/>
          </w:rPr>
          <w:t>112</w:t>
        </w:r>
        <w:r w:rsidR="008D1927">
          <w:rPr>
            <w:webHidden/>
          </w:rPr>
          <w:fldChar w:fldCharType="end"/>
        </w:r>
      </w:hyperlink>
    </w:p>
    <w:p w14:paraId="76365B9B" w14:textId="673D09B4" w:rsidR="008D1927" w:rsidRDefault="004D7373">
      <w:pPr>
        <w:pStyle w:val="TOC2"/>
        <w:rPr>
          <w:rFonts w:asciiTheme="minorHAnsi" w:eastAsiaTheme="minorEastAsia" w:hAnsiTheme="minorHAnsi"/>
          <w:lang w:eastAsia="en-NZ"/>
        </w:rPr>
      </w:pPr>
      <w:hyperlink w:anchor="_Toc88637626" w:history="1">
        <w:r w:rsidR="008D1927" w:rsidRPr="009C5B5D">
          <w:rPr>
            <w:rStyle w:val="Hyperlink"/>
          </w:rPr>
          <w:t>5.2.</w:t>
        </w:r>
        <w:r w:rsidR="008D1927">
          <w:rPr>
            <w:rFonts w:asciiTheme="minorHAnsi" w:eastAsiaTheme="minorEastAsia" w:hAnsiTheme="minorHAnsi"/>
            <w:lang w:eastAsia="en-NZ"/>
          </w:rPr>
          <w:tab/>
        </w:r>
        <w:r w:rsidR="008D1927" w:rsidRPr="009C5B5D">
          <w:rPr>
            <w:rStyle w:val="Hyperlink"/>
          </w:rPr>
          <w:t>Submitters from across all sectors wanted to see more of a focus on online gambling and gaming</w:t>
        </w:r>
        <w:r w:rsidR="008D1927">
          <w:rPr>
            <w:webHidden/>
          </w:rPr>
          <w:tab/>
        </w:r>
        <w:r w:rsidR="008D1927">
          <w:rPr>
            <w:webHidden/>
          </w:rPr>
          <w:fldChar w:fldCharType="begin"/>
        </w:r>
        <w:r w:rsidR="008D1927">
          <w:rPr>
            <w:webHidden/>
          </w:rPr>
          <w:instrText xml:space="preserve"> PAGEREF _Toc88637626 \h </w:instrText>
        </w:r>
        <w:r w:rsidR="008D1927">
          <w:rPr>
            <w:webHidden/>
          </w:rPr>
        </w:r>
        <w:r w:rsidR="008D1927">
          <w:rPr>
            <w:webHidden/>
          </w:rPr>
          <w:fldChar w:fldCharType="separate"/>
        </w:r>
        <w:r w:rsidR="00071098">
          <w:rPr>
            <w:webHidden/>
          </w:rPr>
          <w:t>112</w:t>
        </w:r>
        <w:r w:rsidR="008D1927">
          <w:rPr>
            <w:webHidden/>
          </w:rPr>
          <w:fldChar w:fldCharType="end"/>
        </w:r>
      </w:hyperlink>
    </w:p>
    <w:p w14:paraId="1E6546BE" w14:textId="3AFCB83D" w:rsidR="008D1927" w:rsidRDefault="004D7373">
      <w:pPr>
        <w:pStyle w:val="TOC2"/>
        <w:rPr>
          <w:rFonts w:asciiTheme="minorHAnsi" w:eastAsiaTheme="minorEastAsia" w:hAnsiTheme="minorHAnsi"/>
          <w:lang w:eastAsia="en-NZ"/>
        </w:rPr>
      </w:pPr>
      <w:hyperlink w:anchor="_Toc88637627" w:history="1">
        <w:r w:rsidR="008D1927" w:rsidRPr="009C5B5D">
          <w:rPr>
            <w:rStyle w:val="Hyperlink"/>
          </w:rPr>
          <w:t>5.3.</w:t>
        </w:r>
        <w:r w:rsidR="008D1927">
          <w:rPr>
            <w:rFonts w:asciiTheme="minorHAnsi" w:eastAsiaTheme="minorEastAsia" w:hAnsiTheme="minorHAnsi"/>
            <w:lang w:eastAsia="en-NZ"/>
          </w:rPr>
          <w:tab/>
        </w:r>
        <w:r w:rsidR="008D1927" w:rsidRPr="009C5B5D">
          <w:rPr>
            <w:rStyle w:val="Hyperlink"/>
          </w:rPr>
          <w:t>Service providers considered that online service provision could be improved</w:t>
        </w:r>
        <w:r w:rsidR="008D1927">
          <w:rPr>
            <w:webHidden/>
          </w:rPr>
          <w:tab/>
        </w:r>
        <w:r w:rsidR="008D1927">
          <w:rPr>
            <w:webHidden/>
          </w:rPr>
          <w:fldChar w:fldCharType="begin"/>
        </w:r>
        <w:r w:rsidR="008D1927">
          <w:rPr>
            <w:webHidden/>
          </w:rPr>
          <w:instrText xml:space="preserve"> PAGEREF _Toc88637627 \h </w:instrText>
        </w:r>
        <w:r w:rsidR="008D1927">
          <w:rPr>
            <w:webHidden/>
          </w:rPr>
        </w:r>
        <w:r w:rsidR="008D1927">
          <w:rPr>
            <w:webHidden/>
          </w:rPr>
          <w:fldChar w:fldCharType="separate"/>
        </w:r>
        <w:r w:rsidR="00071098">
          <w:rPr>
            <w:webHidden/>
          </w:rPr>
          <w:t>114</w:t>
        </w:r>
        <w:r w:rsidR="008D1927">
          <w:rPr>
            <w:webHidden/>
          </w:rPr>
          <w:fldChar w:fldCharType="end"/>
        </w:r>
      </w:hyperlink>
    </w:p>
    <w:p w14:paraId="2E579D33" w14:textId="6241CCD3" w:rsidR="008D1927" w:rsidRDefault="004D7373">
      <w:pPr>
        <w:pStyle w:val="TOC2"/>
        <w:rPr>
          <w:rFonts w:asciiTheme="minorHAnsi" w:eastAsiaTheme="minorEastAsia" w:hAnsiTheme="minorHAnsi"/>
          <w:lang w:eastAsia="en-NZ"/>
        </w:rPr>
      </w:pPr>
      <w:hyperlink w:anchor="_Toc88637628" w:history="1">
        <w:r w:rsidR="008D1927" w:rsidRPr="009C5B5D">
          <w:rPr>
            <w:rStyle w:val="Hyperlink"/>
          </w:rPr>
          <w:t>5.4.</w:t>
        </w:r>
        <w:r w:rsidR="008D1927">
          <w:rPr>
            <w:rFonts w:asciiTheme="minorHAnsi" w:eastAsiaTheme="minorEastAsia" w:hAnsiTheme="minorHAnsi"/>
            <w:lang w:eastAsia="en-NZ"/>
          </w:rPr>
          <w:tab/>
        </w:r>
        <w:r w:rsidR="008D1927" w:rsidRPr="009C5B5D">
          <w:rPr>
            <w:rStyle w:val="Hyperlink"/>
          </w:rPr>
          <w:t>Submitters from across sectors considered that more culturally appropriate services are required</w:t>
        </w:r>
        <w:r w:rsidR="008D1927">
          <w:rPr>
            <w:webHidden/>
          </w:rPr>
          <w:tab/>
        </w:r>
        <w:r w:rsidR="008D1927">
          <w:rPr>
            <w:webHidden/>
          </w:rPr>
          <w:fldChar w:fldCharType="begin"/>
        </w:r>
        <w:r w:rsidR="008D1927">
          <w:rPr>
            <w:webHidden/>
          </w:rPr>
          <w:instrText xml:space="preserve"> PAGEREF _Toc88637628 \h </w:instrText>
        </w:r>
        <w:r w:rsidR="008D1927">
          <w:rPr>
            <w:webHidden/>
          </w:rPr>
        </w:r>
        <w:r w:rsidR="008D1927">
          <w:rPr>
            <w:webHidden/>
          </w:rPr>
          <w:fldChar w:fldCharType="separate"/>
        </w:r>
        <w:r w:rsidR="00071098">
          <w:rPr>
            <w:webHidden/>
          </w:rPr>
          <w:t>114</w:t>
        </w:r>
        <w:r w:rsidR="008D1927">
          <w:rPr>
            <w:webHidden/>
          </w:rPr>
          <w:fldChar w:fldCharType="end"/>
        </w:r>
      </w:hyperlink>
    </w:p>
    <w:p w14:paraId="72366D83" w14:textId="04F44E11" w:rsidR="008D1927" w:rsidRDefault="004D7373">
      <w:pPr>
        <w:pStyle w:val="TOC2"/>
        <w:rPr>
          <w:rFonts w:asciiTheme="minorHAnsi" w:eastAsiaTheme="minorEastAsia" w:hAnsiTheme="minorHAnsi"/>
          <w:lang w:eastAsia="en-NZ"/>
        </w:rPr>
      </w:pPr>
      <w:hyperlink w:anchor="_Toc88637629" w:history="1">
        <w:r w:rsidR="008D1927" w:rsidRPr="009C5B5D">
          <w:rPr>
            <w:rStyle w:val="Hyperlink"/>
          </w:rPr>
          <w:t>5.5.</w:t>
        </w:r>
        <w:r w:rsidR="008D1927">
          <w:rPr>
            <w:rFonts w:asciiTheme="minorHAnsi" w:eastAsiaTheme="minorEastAsia" w:hAnsiTheme="minorHAnsi"/>
            <w:lang w:eastAsia="en-NZ"/>
          </w:rPr>
          <w:tab/>
        </w:r>
        <w:r w:rsidR="008D1927" w:rsidRPr="009C5B5D">
          <w:rPr>
            <w:rStyle w:val="Hyperlink"/>
          </w:rPr>
          <w:t>NCGM submitters wanted to see a complete overhaul of service provision</w:t>
        </w:r>
        <w:r w:rsidR="008D1927">
          <w:rPr>
            <w:webHidden/>
          </w:rPr>
          <w:tab/>
        </w:r>
        <w:r w:rsidR="008D1927">
          <w:rPr>
            <w:webHidden/>
          </w:rPr>
          <w:fldChar w:fldCharType="begin"/>
        </w:r>
        <w:r w:rsidR="008D1927">
          <w:rPr>
            <w:webHidden/>
          </w:rPr>
          <w:instrText xml:space="preserve"> PAGEREF _Toc88637629 \h </w:instrText>
        </w:r>
        <w:r w:rsidR="008D1927">
          <w:rPr>
            <w:webHidden/>
          </w:rPr>
        </w:r>
        <w:r w:rsidR="008D1927">
          <w:rPr>
            <w:webHidden/>
          </w:rPr>
          <w:fldChar w:fldCharType="separate"/>
        </w:r>
        <w:r w:rsidR="00071098">
          <w:rPr>
            <w:webHidden/>
          </w:rPr>
          <w:t>115</w:t>
        </w:r>
        <w:r w:rsidR="008D1927">
          <w:rPr>
            <w:webHidden/>
          </w:rPr>
          <w:fldChar w:fldCharType="end"/>
        </w:r>
      </w:hyperlink>
    </w:p>
    <w:p w14:paraId="2D143F70" w14:textId="2437D2F3" w:rsidR="008D1927" w:rsidRDefault="004D7373">
      <w:pPr>
        <w:pStyle w:val="TOC2"/>
        <w:rPr>
          <w:rFonts w:asciiTheme="minorHAnsi" w:eastAsiaTheme="minorEastAsia" w:hAnsiTheme="minorHAnsi"/>
          <w:lang w:eastAsia="en-NZ"/>
        </w:rPr>
      </w:pPr>
      <w:hyperlink w:anchor="_Toc88637630" w:history="1">
        <w:r w:rsidR="008D1927" w:rsidRPr="009C5B5D">
          <w:rPr>
            <w:rStyle w:val="Hyperlink"/>
          </w:rPr>
          <w:t>5.6.</w:t>
        </w:r>
        <w:r w:rsidR="008D1927">
          <w:rPr>
            <w:rFonts w:asciiTheme="minorHAnsi" w:eastAsiaTheme="minorEastAsia" w:hAnsiTheme="minorHAnsi"/>
            <w:lang w:eastAsia="en-NZ"/>
          </w:rPr>
          <w:tab/>
        </w:r>
        <w:r w:rsidR="008D1927" w:rsidRPr="009C5B5D">
          <w:rPr>
            <w:rStyle w:val="Hyperlink"/>
          </w:rPr>
          <w:t>NCGM sector submitters thought increased funding was inappropriate, while other submitters thought it would not be enough</w:t>
        </w:r>
        <w:r w:rsidR="008D1927">
          <w:rPr>
            <w:webHidden/>
          </w:rPr>
          <w:tab/>
        </w:r>
        <w:r w:rsidR="008D1927">
          <w:rPr>
            <w:webHidden/>
          </w:rPr>
          <w:fldChar w:fldCharType="begin"/>
        </w:r>
        <w:r w:rsidR="008D1927">
          <w:rPr>
            <w:webHidden/>
          </w:rPr>
          <w:instrText xml:space="preserve"> PAGEREF _Toc88637630 \h </w:instrText>
        </w:r>
        <w:r w:rsidR="008D1927">
          <w:rPr>
            <w:webHidden/>
          </w:rPr>
        </w:r>
        <w:r w:rsidR="008D1927">
          <w:rPr>
            <w:webHidden/>
          </w:rPr>
          <w:fldChar w:fldCharType="separate"/>
        </w:r>
        <w:r w:rsidR="00071098">
          <w:rPr>
            <w:webHidden/>
          </w:rPr>
          <w:t>116</w:t>
        </w:r>
        <w:r w:rsidR="008D1927">
          <w:rPr>
            <w:webHidden/>
          </w:rPr>
          <w:fldChar w:fldCharType="end"/>
        </w:r>
      </w:hyperlink>
    </w:p>
    <w:p w14:paraId="7CD28779" w14:textId="1BA897B7" w:rsidR="008D1927" w:rsidRDefault="004D7373">
      <w:pPr>
        <w:pStyle w:val="TOC2"/>
        <w:rPr>
          <w:rFonts w:asciiTheme="minorHAnsi" w:eastAsiaTheme="minorEastAsia" w:hAnsiTheme="minorHAnsi"/>
          <w:lang w:eastAsia="en-NZ"/>
        </w:rPr>
      </w:pPr>
      <w:hyperlink w:anchor="_Toc88637631" w:history="1">
        <w:r w:rsidR="008D1927" w:rsidRPr="009C5B5D">
          <w:rPr>
            <w:rStyle w:val="Hyperlink"/>
          </w:rPr>
          <w:t>5.7.</w:t>
        </w:r>
        <w:r w:rsidR="008D1927">
          <w:rPr>
            <w:rFonts w:asciiTheme="minorHAnsi" w:eastAsiaTheme="minorEastAsia" w:hAnsiTheme="minorHAnsi"/>
            <w:lang w:eastAsia="en-NZ"/>
          </w:rPr>
          <w:tab/>
        </w:r>
        <w:r w:rsidR="008D1927" w:rsidRPr="009C5B5D">
          <w:rPr>
            <w:rStyle w:val="Hyperlink"/>
          </w:rPr>
          <w:t>Submitters expressed a range of views on the proposed new services, innovation pilots and investments</w:t>
        </w:r>
        <w:r w:rsidR="008D1927">
          <w:rPr>
            <w:webHidden/>
          </w:rPr>
          <w:tab/>
        </w:r>
        <w:r w:rsidR="008D1927">
          <w:rPr>
            <w:webHidden/>
          </w:rPr>
          <w:fldChar w:fldCharType="begin"/>
        </w:r>
        <w:r w:rsidR="008D1927">
          <w:rPr>
            <w:webHidden/>
          </w:rPr>
          <w:instrText xml:space="preserve"> PAGEREF _Toc88637631 \h </w:instrText>
        </w:r>
        <w:r w:rsidR="008D1927">
          <w:rPr>
            <w:webHidden/>
          </w:rPr>
        </w:r>
        <w:r w:rsidR="008D1927">
          <w:rPr>
            <w:webHidden/>
          </w:rPr>
          <w:fldChar w:fldCharType="separate"/>
        </w:r>
        <w:r w:rsidR="00071098">
          <w:rPr>
            <w:webHidden/>
          </w:rPr>
          <w:t>117</w:t>
        </w:r>
        <w:r w:rsidR="008D1927">
          <w:rPr>
            <w:webHidden/>
          </w:rPr>
          <w:fldChar w:fldCharType="end"/>
        </w:r>
      </w:hyperlink>
    </w:p>
    <w:p w14:paraId="33A41A5A" w14:textId="49DE6522" w:rsidR="008D1927" w:rsidRDefault="004D7373">
      <w:pPr>
        <w:pStyle w:val="TOC2"/>
        <w:rPr>
          <w:rFonts w:asciiTheme="minorHAnsi" w:eastAsiaTheme="minorEastAsia" w:hAnsiTheme="minorHAnsi"/>
          <w:lang w:eastAsia="en-NZ"/>
        </w:rPr>
      </w:pPr>
      <w:hyperlink w:anchor="_Toc88637632" w:history="1">
        <w:r w:rsidR="008D1927" w:rsidRPr="009C5B5D">
          <w:rPr>
            <w:rStyle w:val="Hyperlink"/>
          </w:rPr>
          <w:t>5.8.</w:t>
        </w:r>
        <w:r w:rsidR="008D1927">
          <w:rPr>
            <w:rFonts w:asciiTheme="minorHAnsi" w:eastAsiaTheme="minorEastAsia" w:hAnsiTheme="minorHAnsi"/>
            <w:lang w:eastAsia="en-NZ"/>
          </w:rPr>
          <w:tab/>
        </w:r>
        <w:r w:rsidR="008D1927" w:rsidRPr="009C5B5D">
          <w:rPr>
            <w:rStyle w:val="Hyperlink"/>
          </w:rPr>
          <w:t>Submitters from across all sectors generally supported the proposed research priorities</w:t>
        </w:r>
        <w:r w:rsidR="008D1927">
          <w:rPr>
            <w:webHidden/>
          </w:rPr>
          <w:tab/>
        </w:r>
        <w:r w:rsidR="008D1927">
          <w:rPr>
            <w:webHidden/>
          </w:rPr>
          <w:fldChar w:fldCharType="begin"/>
        </w:r>
        <w:r w:rsidR="008D1927">
          <w:rPr>
            <w:webHidden/>
          </w:rPr>
          <w:instrText xml:space="preserve"> PAGEREF _Toc88637632 \h </w:instrText>
        </w:r>
        <w:r w:rsidR="008D1927">
          <w:rPr>
            <w:webHidden/>
          </w:rPr>
        </w:r>
        <w:r w:rsidR="008D1927">
          <w:rPr>
            <w:webHidden/>
          </w:rPr>
          <w:fldChar w:fldCharType="separate"/>
        </w:r>
        <w:r w:rsidR="00071098">
          <w:rPr>
            <w:webHidden/>
          </w:rPr>
          <w:t>119</w:t>
        </w:r>
        <w:r w:rsidR="008D1927">
          <w:rPr>
            <w:webHidden/>
          </w:rPr>
          <w:fldChar w:fldCharType="end"/>
        </w:r>
      </w:hyperlink>
    </w:p>
    <w:p w14:paraId="3993D007" w14:textId="28AA3E55" w:rsidR="008D1927" w:rsidRDefault="004D7373">
      <w:pPr>
        <w:pStyle w:val="TOC2"/>
        <w:rPr>
          <w:rFonts w:asciiTheme="minorHAnsi" w:eastAsiaTheme="minorEastAsia" w:hAnsiTheme="minorHAnsi"/>
          <w:lang w:eastAsia="en-NZ"/>
        </w:rPr>
      </w:pPr>
      <w:hyperlink w:anchor="_Toc88637633" w:history="1">
        <w:r w:rsidR="008D1927" w:rsidRPr="009C5B5D">
          <w:rPr>
            <w:rStyle w:val="Hyperlink"/>
          </w:rPr>
          <w:t>5.9.</w:t>
        </w:r>
        <w:r w:rsidR="008D1927">
          <w:rPr>
            <w:rFonts w:asciiTheme="minorHAnsi" w:eastAsiaTheme="minorEastAsia" w:hAnsiTheme="minorHAnsi"/>
            <w:lang w:eastAsia="en-NZ"/>
          </w:rPr>
          <w:tab/>
        </w:r>
        <w:r w:rsidR="008D1927" w:rsidRPr="009C5B5D">
          <w:rPr>
            <w:rStyle w:val="Hyperlink"/>
          </w:rPr>
          <w:t>Submitters had differing views on the levy and expenditure</w:t>
        </w:r>
        <w:r w:rsidR="008D1927">
          <w:rPr>
            <w:webHidden/>
          </w:rPr>
          <w:tab/>
        </w:r>
        <w:r w:rsidR="008D1927">
          <w:rPr>
            <w:webHidden/>
          </w:rPr>
          <w:fldChar w:fldCharType="begin"/>
        </w:r>
        <w:r w:rsidR="008D1927">
          <w:rPr>
            <w:webHidden/>
          </w:rPr>
          <w:instrText xml:space="preserve"> PAGEREF _Toc88637633 \h </w:instrText>
        </w:r>
        <w:r w:rsidR="008D1927">
          <w:rPr>
            <w:webHidden/>
          </w:rPr>
        </w:r>
        <w:r w:rsidR="008D1927">
          <w:rPr>
            <w:webHidden/>
          </w:rPr>
          <w:fldChar w:fldCharType="separate"/>
        </w:r>
        <w:r w:rsidR="00071098">
          <w:rPr>
            <w:webHidden/>
          </w:rPr>
          <w:t>120</w:t>
        </w:r>
        <w:r w:rsidR="008D1927">
          <w:rPr>
            <w:webHidden/>
          </w:rPr>
          <w:fldChar w:fldCharType="end"/>
        </w:r>
      </w:hyperlink>
    </w:p>
    <w:p w14:paraId="76A07481" w14:textId="1D0C28D5" w:rsidR="008D1927" w:rsidRDefault="004D7373">
      <w:pPr>
        <w:pStyle w:val="TOC1"/>
        <w:rPr>
          <w:rFonts w:asciiTheme="minorHAnsi" w:eastAsiaTheme="minorEastAsia" w:hAnsiTheme="minorHAnsi"/>
          <w:b w:val="0"/>
          <w:caps w:val="0"/>
          <w:lang w:eastAsia="en-NZ"/>
        </w:rPr>
      </w:pPr>
      <w:hyperlink w:anchor="_Toc88637634" w:history="1">
        <w:r w:rsidR="008D1927" w:rsidRPr="009C5B5D">
          <w:rPr>
            <w:rStyle w:val="Hyperlink"/>
          </w:rPr>
          <w:t>6.</w:t>
        </w:r>
        <w:r w:rsidR="008D1927">
          <w:rPr>
            <w:rFonts w:asciiTheme="minorHAnsi" w:eastAsiaTheme="minorEastAsia" w:hAnsiTheme="minorHAnsi"/>
            <w:b w:val="0"/>
            <w:caps w:val="0"/>
            <w:lang w:eastAsia="en-NZ"/>
          </w:rPr>
          <w:tab/>
        </w:r>
        <w:r w:rsidR="008D1927" w:rsidRPr="009C5B5D">
          <w:rPr>
            <w:rStyle w:val="Hyperlink"/>
          </w:rPr>
          <w:t>Stories of lived experience</w:t>
        </w:r>
        <w:r w:rsidR="008D1927">
          <w:rPr>
            <w:webHidden/>
          </w:rPr>
          <w:tab/>
        </w:r>
        <w:r w:rsidR="008D1927">
          <w:rPr>
            <w:webHidden/>
          </w:rPr>
          <w:fldChar w:fldCharType="begin"/>
        </w:r>
        <w:r w:rsidR="008D1927">
          <w:rPr>
            <w:webHidden/>
          </w:rPr>
          <w:instrText xml:space="preserve"> PAGEREF _Toc88637634 \h </w:instrText>
        </w:r>
        <w:r w:rsidR="008D1927">
          <w:rPr>
            <w:webHidden/>
          </w:rPr>
        </w:r>
        <w:r w:rsidR="008D1927">
          <w:rPr>
            <w:webHidden/>
          </w:rPr>
          <w:fldChar w:fldCharType="separate"/>
        </w:r>
        <w:r w:rsidR="00071098">
          <w:rPr>
            <w:webHidden/>
          </w:rPr>
          <w:t>123</w:t>
        </w:r>
        <w:r w:rsidR="008D1927">
          <w:rPr>
            <w:webHidden/>
          </w:rPr>
          <w:fldChar w:fldCharType="end"/>
        </w:r>
      </w:hyperlink>
    </w:p>
    <w:p w14:paraId="04A28283" w14:textId="3AF8A513" w:rsidR="008D1927" w:rsidRDefault="004D7373">
      <w:pPr>
        <w:pStyle w:val="TOC1"/>
        <w:rPr>
          <w:rFonts w:asciiTheme="minorHAnsi" w:eastAsiaTheme="minorEastAsia" w:hAnsiTheme="minorHAnsi"/>
          <w:b w:val="0"/>
          <w:caps w:val="0"/>
          <w:lang w:eastAsia="en-NZ"/>
        </w:rPr>
      </w:pPr>
      <w:hyperlink w:anchor="_Toc88637635" w:history="1">
        <w:r w:rsidR="008D1927" w:rsidRPr="009C5B5D">
          <w:rPr>
            <w:rStyle w:val="Hyperlink"/>
          </w:rPr>
          <w:t>7.</w:t>
        </w:r>
        <w:r w:rsidR="008D1927">
          <w:rPr>
            <w:rFonts w:asciiTheme="minorHAnsi" w:eastAsiaTheme="minorEastAsia" w:hAnsiTheme="minorHAnsi"/>
            <w:b w:val="0"/>
            <w:caps w:val="0"/>
            <w:lang w:eastAsia="en-NZ"/>
          </w:rPr>
          <w:tab/>
        </w:r>
        <w:r w:rsidR="008D1927" w:rsidRPr="009C5B5D">
          <w:rPr>
            <w:rStyle w:val="Hyperlink"/>
          </w:rPr>
          <w:t>Other issues raised by submitters</w:t>
        </w:r>
        <w:r w:rsidR="008D1927">
          <w:rPr>
            <w:webHidden/>
          </w:rPr>
          <w:tab/>
        </w:r>
        <w:r w:rsidR="008D1927">
          <w:rPr>
            <w:webHidden/>
          </w:rPr>
          <w:fldChar w:fldCharType="begin"/>
        </w:r>
        <w:r w:rsidR="008D1927">
          <w:rPr>
            <w:webHidden/>
          </w:rPr>
          <w:instrText xml:space="preserve"> PAGEREF _Toc88637635 \h </w:instrText>
        </w:r>
        <w:r w:rsidR="008D1927">
          <w:rPr>
            <w:webHidden/>
          </w:rPr>
        </w:r>
        <w:r w:rsidR="008D1927">
          <w:rPr>
            <w:webHidden/>
          </w:rPr>
          <w:fldChar w:fldCharType="separate"/>
        </w:r>
        <w:r w:rsidR="00071098">
          <w:rPr>
            <w:webHidden/>
          </w:rPr>
          <w:t>125</w:t>
        </w:r>
        <w:r w:rsidR="008D1927">
          <w:rPr>
            <w:webHidden/>
          </w:rPr>
          <w:fldChar w:fldCharType="end"/>
        </w:r>
      </w:hyperlink>
    </w:p>
    <w:p w14:paraId="697582A0" w14:textId="3DB288F0" w:rsidR="008D1927" w:rsidRDefault="004D7373">
      <w:pPr>
        <w:pStyle w:val="TOC1"/>
        <w:rPr>
          <w:rFonts w:asciiTheme="minorHAnsi" w:eastAsiaTheme="minorEastAsia" w:hAnsiTheme="minorHAnsi"/>
          <w:b w:val="0"/>
          <w:caps w:val="0"/>
          <w:lang w:eastAsia="en-NZ"/>
        </w:rPr>
      </w:pPr>
      <w:hyperlink w:anchor="_Toc88637636" w:history="1">
        <w:r w:rsidR="008D1927" w:rsidRPr="009C5B5D">
          <w:rPr>
            <w:rStyle w:val="Hyperlink"/>
          </w:rPr>
          <w:t>Appendix A: List of submitters</w:t>
        </w:r>
        <w:r w:rsidR="008D1927">
          <w:rPr>
            <w:webHidden/>
          </w:rPr>
          <w:tab/>
        </w:r>
        <w:r w:rsidR="008D1927">
          <w:rPr>
            <w:webHidden/>
          </w:rPr>
          <w:fldChar w:fldCharType="begin"/>
        </w:r>
        <w:r w:rsidR="008D1927">
          <w:rPr>
            <w:webHidden/>
          </w:rPr>
          <w:instrText xml:space="preserve"> PAGEREF _Toc88637636 \h </w:instrText>
        </w:r>
        <w:r w:rsidR="008D1927">
          <w:rPr>
            <w:webHidden/>
          </w:rPr>
        </w:r>
        <w:r w:rsidR="008D1927">
          <w:rPr>
            <w:webHidden/>
          </w:rPr>
          <w:fldChar w:fldCharType="separate"/>
        </w:r>
        <w:r w:rsidR="00071098">
          <w:rPr>
            <w:webHidden/>
          </w:rPr>
          <w:t>128</w:t>
        </w:r>
        <w:r w:rsidR="008D1927">
          <w:rPr>
            <w:webHidden/>
          </w:rPr>
          <w:fldChar w:fldCharType="end"/>
        </w:r>
      </w:hyperlink>
    </w:p>
    <w:p w14:paraId="5C212650" w14:textId="727012B2" w:rsidR="008D1927" w:rsidRDefault="004D7373">
      <w:pPr>
        <w:pStyle w:val="TOC1"/>
        <w:rPr>
          <w:rFonts w:asciiTheme="minorHAnsi" w:eastAsiaTheme="minorEastAsia" w:hAnsiTheme="minorHAnsi"/>
          <w:b w:val="0"/>
          <w:caps w:val="0"/>
          <w:lang w:eastAsia="en-NZ"/>
        </w:rPr>
      </w:pPr>
      <w:hyperlink w:anchor="_Toc88637637" w:history="1">
        <w:r w:rsidR="008D1927" w:rsidRPr="009C5B5D">
          <w:rPr>
            <w:rStyle w:val="Hyperlink"/>
          </w:rPr>
          <w:t>Appendix B: Consultation questions</w:t>
        </w:r>
        <w:r w:rsidR="008D1927">
          <w:rPr>
            <w:webHidden/>
          </w:rPr>
          <w:tab/>
        </w:r>
        <w:r w:rsidR="008D1927">
          <w:rPr>
            <w:webHidden/>
          </w:rPr>
          <w:fldChar w:fldCharType="begin"/>
        </w:r>
        <w:r w:rsidR="008D1927">
          <w:rPr>
            <w:webHidden/>
          </w:rPr>
          <w:instrText xml:space="preserve"> PAGEREF _Toc88637637 \h </w:instrText>
        </w:r>
        <w:r w:rsidR="008D1927">
          <w:rPr>
            <w:webHidden/>
          </w:rPr>
        </w:r>
        <w:r w:rsidR="008D1927">
          <w:rPr>
            <w:webHidden/>
          </w:rPr>
          <w:fldChar w:fldCharType="separate"/>
        </w:r>
        <w:r w:rsidR="00071098">
          <w:rPr>
            <w:webHidden/>
          </w:rPr>
          <w:t>130</w:t>
        </w:r>
        <w:r w:rsidR="008D1927">
          <w:rPr>
            <w:webHidden/>
          </w:rPr>
          <w:fldChar w:fldCharType="end"/>
        </w:r>
      </w:hyperlink>
    </w:p>
    <w:p w14:paraId="09B74953" w14:textId="7EC7C45E" w:rsidR="003743F7" w:rsidRPr="00654C3D" w:rsidRDefault="003743F7" w:rsidP="00654C3D">
      <w:r w:rsidRPr="00654C3D">
        <w:fldChar w:fldCharType="end"/>
      </w:r>
    </w:p>
    <w:p w14:paraId="5784BA16" w14:textId="0A29C32F" w:rsidR="003743F7" w:rsidRPr="00654C3D" w:rsidRDefault="003743F7" w:rsidP="00654C3D">
      <w:r w:rsidRPr="00654C3D">
        <w:br w:type="page"/>
      </w:r>
    </w:p>
    <w:p w14:paraId="19E3BC08" w14:textId="68BFAE57" w:rsidR="0081174B" w:rsidRDefault="00E1668D" w:rsidP="0081174B">
      <w:pPr>
        <w:pStyle w:val="Heading1"/>
      </w:pPr>
      <w:bookmarkStart w:id="2" w:name="_Toc88637521"/>
      <w:r w:rsidRPr="006A3C41">
        <w:lastRenderedPageBreak/>
        <w:t>Glossary</w:t>
      </w:r>
      <w:bookmarkEnd w:id="2"/>
    </w:p>
    <w:tbl>
      <w:tblPr>
        <w:tblW w:w="0" w:type="auto"/>
        <w:tblLook w:val="04A0" w:firstRow="1" w:lastRow="0" w:firstColumn="1" w:lastColumn="0" w:noHBand="0" w:noVBand="1"/>
      </w:tblPr>
      <w:tblGrid>
        <w:gridCol w:w="2122"/>
        <w:gridCol w:w="6939"/>
      </w:tblGrid>
      <w:tr w:rsidR="00FD046F" w14:paraId="45E4F091" w14:textId="77777777" w:rsidTr="008A6F33">
        <w:tc>
          <w:tcPr>
            <w:tcW w:w="2122" w:type="dxa"/>
          </w:tcPr>
          <w:p w14:paraId="78041464" w14:textId="541BD963" w:rsidR="00FD046F" w:rsidRDefault="00FD046F" w:rsidP="00C022F5">
            <w:pPr>
              <w:pStyle w:val="BodyText"/>
              <w:rPr>
                <w:b/>
                <w:bCs/>
              </w:rPr>
            </w:pPr>
            <w:r>
              <w:rPr>
                <w:b/>
                <w:bCs/>
              </w:rPr>
              <w:t>AUT</w:t>
            </w:r>
          </w:p>
        </w:tc>
        <w:tc>
          <w:tcPr>
            <w:tcW w:w="6939" w:type="dxa"/>
          </w:tcPr>
          <w:p w14:paraId="4F8F4207" w14:textId="6DF45F64" w:rsidR="00FD046F" w:rsidRDefault="00FD046F" w:rsidP="00C022F5">
            <w:pPr>
              <w:pStyle w:val="BodyText"/>
            </w:pPr>
            <w:r>
              <w:t xml:space="preserve">Auckland </w:t>
            </w:r>
            <w:r w:rsidR="00676AD0">
              <w:t>University</w:t>
            </w:r>
            <w:r>
              <w:t xml:space="preserve"> of </w:t>
            </w:r>
            <w:r w:rsidR="00676AD0">
              <w:t>T</w:t>
            </w:r>
            <w:r>
              <w:t>echnology</w:t>
            </w:r>
          </w:p>
        </w:tc>
      </w:tr>
      <w:tr w:rsidR="00C0710C" w14:paraId="5505B0CF" w14:textId="77777777" w:rsidTr="008A6F33">
        <w:tc>
          <w:tcPr>
            <w:tcW w:w="2122" w:type="dxa"/>
          </w:tcPr>
          <w:p w14:paraId="4FD8AC2D" w14:textId="3C570136" w:rsidR="00C0710C" w:rsidRDefault="00C0710C" w:rsidP="00C022F5">
            <w:pPr>
              <w:pStyle w:val="BodyText"/>
              <w:rPr>
                <w:b/>
                <w:bCs/>
              </w:rPr>
            </w:pPr>
            <w:r>
              <w:rPr>
                <w:b/>
                <w:bCs/>
              </w:rPr>
              <w:t>CPD</w:t>
            </w:r>
          </w:p>
        </w:tc>
        <w:tc>
          <w:tcPr>
            <w:tcW w:w="6939" w:type="dxa"/>
          </w:tcPr>
          <w:p w14:paraId="46520E91" w14:textId="35A1ADB3" w:rsidR="00C0710C" w:rsidRDefault="00C0710C" w:rsidP="00C022F5">
            <w:pPr>
              <w:pStyle w:val="BodyText"/>
            </w:pPr>
            <w:r>
              <w:t>Continuing Professional Development</w:t>
            </w:r>
          </w:p>
        </w:tc>
      </w:tr>
      <w:tr w:rsidR="003105C4" w14:paraId="69196482" w14:textId="77777777" w:rsidTr="008A6F33">
        <w:tc>
          <w:tcPr>
            <w:tcW w:w="2122" w:type="dxa"/>
          </w:tcPr>
          <w:p w14:paraId="145467B1" w14:textId="24CF4B5F" w:rsidR="003105C4" w:rsidRPr="008A6F33" w:rsidRDefault="003105C4" w:rsidP="00C022F5">
            <w:pPr>
              <w:pStyle w:val="BodyText"/>
              <w:rPr>
                <w:b/>
                <w:bCs/>
              </w:rPr>
            </w:pPr>
            <w:r>
              <w:rPr>
                <w:b/>
                <w:bCs/>
              </w:rPr>
              <w:t>DHB</w:t>
            </w:r>
          </w:p>
        </w:tc>
        <w:tc>
          <w:tcPr>
            <w:tcW w:w="6939" w:type="dxa"/>
          </w:tcPr>
          <w:p w14:paraId="051A9D83" w14:textId="744E74A7" w:rsidR="003105C4" w:rsidRDefault="003105C4" w:rsidP="00C022F5">
            <w:pPr>
              <w:pStyle w:val="BodyText"/>
            </w:pPr>
            <w:r>
              <w:t>District Health Board</w:t>
            </w:r>
          </w:p>
        </w:tc>
      </w:tr>
      <w:tr w:rsidR="00F05D62" w14:paraId="720AC958" w14:textId="77777777" w:rsidTr="008A6F33">
        <w:tc>
          <w:tcPr>
            <w:tcW w:w="2122" w:type="dxa"/>
          </w:tcPr>
          <w:p w14:paraId="4D1D627A" w14:textId="525CE3B4" w:rsidR="00F05D62" w:rsidRPr="008A6F33" w:rsidRDefault="00F05D62" w:rsidP="00C022F5">
            <w:pPr>
              <w:pStyle w:val="BodyText"/>
              <w:rPr>
                <w:b/>
                <w:bCs/>
              </w:rPr>
            </w:pPr>
            <w:r w:rsidRPr="008A6F33">
              <w:rPr>
                <w:b/>
                <w:bCs/>
              </w:rPr>
              <w:t>DIA</w:t>
            </w:r>
          </w:p>
        </w:tc>
        <w:tc>
          <w:tcPr>
            <w:tcW w:w="6939" w:type="dxa"/>
          </w:tcPr>
          <w:p w14:paraId="7B57CAC4" w14:textId="339E1A21" w:rsidR="00F05D62" w:rsidRDefault="008A6F33" w:rsidP="00C022F5">
            <w:pPr>
              <w:pStyle w:val="BodyText"/>
            </w:pPr>
            <w:r>
              <w:t>Department of Internal Affairs</w:t>
            </w:r>
          </w:p>
        </w:tc>
      </w:tr>
      <w:tr w:rsidR="00240219" w14:paraId="286AF986" w14:textId="77777777" w:rsidTr="008A6F33">
        <w:tc>
          <w:tcPr>
            <w:tcW w:w="2122" w:type="dxa"/>
          </w:tcPr>
          <w:p w14:paraId="121E1058" w14:textId="59B47070" w:rsidR="00240219" w:rsidRPr="008A6F33" w:rsidRDefault="00240219" w:rsidP="00C022F5">
            <w:pPr>
              <w:pStyle w:val="BodyText"/>
              <w:rPr>
                <w:b/>
                <w:bCs/>
              </w:rPr>
            </w:pPr>
            <w:r>
              <w:rPr>
                <w:b/>
                <w:bCs/>
              </w:rPr>
              <w:t>FRT</w:t>
            </w:r>
          </w:p>
        </w:tc>
        <w:tc>
          <w:tcPr>
            <w:tcW w:w="6939" w:type="dxa"/>
          </w:tcPr>
          <w:p w14:paraId="2665BF5C" w14:textId="33D77041" w:rsidR="00240219" w:rsidRDefault="00240219" w:rsidP="00C022F5">
            <w:pPr>
              <w:pStyle w:val="BodyText"/>
            </w:pPr>
            <w:r>
              <w:t>Facial Recognition Technology</w:t>
            </w:r>
          </w:p>
        </w:tc>
      </w:tr>
      <w:tr w:rsidR="008914C1" w14:paraId="09CA4837" w14:textId="77777777" w:rsidTr="008A6F33">
        <w:tc>
          <w:tcPr>
            <w:tcW w:w="2122" w:type="dxa"/>
          </w:tcPr>
          <w:p w14:paraId="4B4C6967" w14:textId="662563AF" w:rsidR="008914C1" w:rsidRDefault="008914C1" w:rsidP="00C022F5">
            <w:pPr>
              <w:pStyle w:val="BodyText"/>
              <w:rPr>
                <w:b/>
                <w:bCs/>
              </w:rPr>
            </w:pPr>
            <w:r>
              <w:rPr>
                <w:b/>
                <w:bCs/>
              </w:rPr>
              <w:t>GMP</w:t>
            </w:r>
          </w:p>
        </w:tc>
        <w:tc>
          <w:tcPr>
            <w:tcW w:w="6939" w:type="dxa"/>
          </w:tcPr>
          <w:p w14:paraId="4D7482C9" w14:textId="3A27D0E7" w:rsidR="008914C1" w:rsidRDefault="008914C1" w:rsidP="00C022F5">
            <w:pPr>
              <w:pStyle w:val="BodyText"/>
            </w:pPr>
            <w:r>
              <w:t xml:space="preserve">Gaming Machine Profit </w:t>
            </w:r>
          </w:p>
        </w:tc>
      </w:tr>
      <w:tr w:rsidR="00F05D62" w14:paraId="0C16C1E4" w14:textId="77777777" w:rsidTr="008A6F33">
        <w:tc>
          <w:tcPr>
            <w:tcW w:w="2122" w:type="dxa"/>
          </w:tcPr>
          <w:p w14:paraId="22DB36D2" w14:textId="63DA69FF" w:rsidR="00F05D62" w:rsidRPr="008A6F33" w:rsidRDefault="00F05D62" w:rsidP="00C022F5">
            <w:pPr>
              <w:pStyle w:val="BodyText"/>
              <w:rPr>
                <w:b/>
                <w:bCs/>
              </w:rPr>
            </w:pPr>
            <w:r w:rsidRPr="008A6F33">
              <w:rPr>
                <w:b/>
                <w:bCs/>
              </w:rPr>
              <w:t>HPA</w:t>
            </w:r>
          </w:p>
        </w:tc>
        <w:tc>
          <w:tcPr>
            <w:tcW w:w="6939" w:type="dxa"/>
          </w:tcPr>
          <w:p w14:paraId="4ED2E7E3" w14:textId="1A868999" w:rsidR="00F05D62" w:rsidRDefault="0039518D" w:rsidP="00C022F5">
            <w:pPr>
              <w:pStyle w:val="BodyText"/>
            </w:pPr>
            <w:r>
              <w:t>Te Hiringa Hauora/</w:t>
            </w:r>
            <w:r w:rsidR="008A6F33">
              <w:t>Health Promotion Agency</w:t>
            </w:r>
          </w:p>
        </w:tc>
      </w:tr>
      <w:tr w:rsidR="00F05D62" w14:paraId="2CAB160D" w14:textId="77777777" w:rsidTr="008A6F33">
        <w:tc>
          <w:tcPr>
            <w:tcW w:w="2122" w:type="dxa"/>
          </w:tcPr>
          <w:p w14:paraId="6018F3CF" w14:textId="2224DDDC" w:rsidR="00F05D62" w:rsidRPr="008A6F33" w:rsidRDefault="00F05D62" w:rsidP="00C022F5">
            <w:pPr>
              <w:pStyle w:val="BodyText"/>
              <w:rPr>
                <w:b/>
                <w:bCs/>
              </w:rPr>
            </w:pPr>
            <w:r w:rsidRPr="008A6F33">
              <w:rPr>
                <w:b/>
                <w:bCs/>
              </w:rPr>
              <w:t>The Ministry</w:t>
            </w:r>
          </w:p>
        </w:tc>
        <w:tc>
          <w:tcPr>
            <w:tcW w:w="6939" w:type="dxa"/>
          </w:tcPr>
          <w:p w14:paraId="384E3DF1" w14:textId="296080DA" w:rsidR="00F05D62" w:rsidRDefault="008A6F33" w:rsidP="00C022F5">
            <w:pPr>
              <w:pStyle w:val="BodyText"/>
            </w:pPr>
            <w:r>
              <w:t>The Ministry of Health</w:t>
            </w:r>
          </w:p>
        </w:tc>
      </w:tr>
      <w:tr w:rsidR="00F05D62" w14:paraId="021BC193" w14:textId="77777777" w:rsidTr="008A6F33">
        <w:tc>
          <w:tcPr>
            <w:tcW w:w="2122" w:type="dxa"/>
          </w:tcPr>
          <w:p w14:paraId="3A79BFD9" w14:textId="728B85E3" w:rsidR="00F05D62" w:rsidRPr="008A6F33" w:rsidRDefault="00F05D62" w:rsidP="00C022F5">
            <w:pPr>
              <w:pStyle w:val="BodyText"/>
              <w:rPr>
                <w:b/>
                <w:bCs/>
              </w:rPr>
            </w:pPr>
            <w:r w:rsidRPr="008A6F33">
              <w:rPr>
                <w:b/>
                <w:bCs/>
              </w:rPr>
              <w:t>MVE</w:t>
            </w:r>
          </w:p>
        </w:tc>
        <w:tc>
          <w:tcPr>
            <w:tcW w:w="6939" w:type="dxa"/>
          </w:tcPr>
          <w:p w14:paraId="6BC1BA7A" w14:textId="56D03229" w:rsidR="00F05D62" w:rsidRDefault="008A6F33" w:rsidP="00C022F5">
            <w:pPr>
              <w:pStyle w:val="BodyText"/>
            </w:pPr>
            <w:r>
              <w:t>Multi-venue Exclusion</w:t>
            </w:r>
          </w:p>
        </w:tc>
      </w:tr>
      <w:tr w:rsidR="00F05D62" w14:paraId="1A2BC78F" w14:textId="2C8A1174" w:rsidTr="008A6F33">
        <w:tc>
          <w:tcPr>
            <w:tcW w:w="2122" w:type="dxa"/>
          </w:tcPr>
          <w:p w14:paraId="7DDDE390" w14:textId="7ED1B2B9" w:rsidR="00F05D62" w:rsidRPr="008A6F33" w:rsidRDefault="00F05D62" w:rsidP="00C022F5">
            <w:pPr>
              <w:pStyle w:val="BodyText"/>
              <w:rPr>
                <w:b/>
                <w:bCs/>
              </w:rPr>
            </w:pPr>
            <w:r w:rsidRPr="008A6F33">
              <w:rPr>
                <w:b/>
                <w:bCs/>
              </w:rPr>
              <w:t>NCGM</w:t>
            </w:r>
          </w:p>
        </w:tc>
        <w:tc>
          <w:tcPr>
            <w:tcW w:w="6939" w:type="dxa"/>
          </w:tcPr>
          <w:p w14:paraId="4470103D" w14:textId="27A18ECF" w:rsidR="00841719" w:rsidRDefault="00995192" w:rsidP="00C022F5">
            <w:pPr>
              <w:pStyle w:val="BodyText"/>
            </w:pPr>
            <w:r>
              <w:t>Non-casino Gaming Machine</w:t>
            </w:r>
          </w:p>
        </w:tc>
      </w:tr>
      <w:tr w:rsidR="00841719" w14:paraId="2BDCD88A" w14:textId="77777777" w:rsidTr="008A6F33">
        <w:tc>
          <w:tcPr>
            <w:tcW w:w="2122" w:type="dxa"/>
          </w:tcPr>
          <w:p w14:paraId="2CA8C309" w14:textId="2A230AEA" w:rsidR="00841719" w:rsidRPr="008A6F33" w:rsidRDefault="00841719" w:rsidP="00C022F5">
            <w:pPr>
              <w:pStyle w:val="BodyText"/>
              <w:rPr>
                <w:b/>
                <w:bCs/>
              </w:rPr>
            </w:pPr>
            <w:r>
              <w:rPr>
                <w:b/>
                <w:bCs/>
              </w:rPr>
              <w:t>NCS</w:t>
            </w:r>
          </w:p>
        </w:tc>
        <w:tc>
          <w:tcPr>
            <w:tcW w:w="6939" w:type="dxa"/>
          </w:tcPr>
          <w:p w14:paraId="614EECBC" w14:textId="17D8C882" w:rsidR="00841719" w:rsidRDefault="00841719" w:rsidP="00C022F5">
            <w:pPr>
              <w:pStyle w:val="BodyText"/>
            </w:pPr>
            <w:r>
              <w:t xml:space="preserve">National Coordination Service </w:t>
            </w:r>
          </w:p>
        </w:tc>
      </w:tr>
      <w:tr w:rsidR="003105C4" w14:paraId="4F245722" w14:textId="77777777" w:rsidTr="008A6F33">
        <w:tc>
          <w:tcPr>
            <w:tcW w:w="2122" w:type="dxa"/>
          </w:tcPr>
          <w:p w14:paraId="6389B2EE" w14:textId="50498D34" w:rsidR="003105C4" w:rsidRDefault="003105C4" w:rsidP="003105C4">
            <w:pPr>
              <w:pStyle w:val="BodyText"/>
              <w:rPr>
                <w:b/>
                <w:bCs/>
              </w:rPr>
            </w:pPr>
            <w:r>
              <w:rPr>
                <w:b/>
                <w:bCs/>
              </w:rPr>
              <w:t>NGO</w:t>
            </w:r>
          </w:p>
        </w:tc>
        <w:tc>
          <w:tcPr>
            <w:tcW w:w="6939" w:type="dxa"/>
          </w:tcPr>
          <w:p w14:paraId="34A23DA9" w14:textId="74A25BB8" w:rsidR="003105C4" w:rsidRDefault="003105C4" w:rsidP="003105C4">
            <w:pPr>
              <w:pStyle w:val="BodyText"/>
            </w:pPr>
            <w:r>
              <w:t xml:space="preserve">Non-government </w:t>
            </w:r>
            <w:r w:rsidR="00D74622">
              <w:t>Organisation</w:t>
            </w:r>
          </w:p>
        </w:tc>
      </w:tr>
      <w:tr w:rsidR="00384E97" w14:paraId="42AF118B" w14:textId="77777777" w:rsidTr="008A6F33">
        <w:tc>
          <w:tcPr>
            <w:tcW w:w="2122" w:type="dxa"/>
          </w:tcPr>
          <w:p w14:paraId="7249055B" w14:textId="47F40211" w:rsidR="00384E97" w:rsidRDefault="00384E97" w:rsidP="003105C4">
            <w:pPr>
              <w:pStyle w:val="BodyText"/>
              <w:rPr>
                <w:b/>
                <w:bCs/>
              </w:rPr>
            </w:pPr>
            <w:r>
              <w:rPr>
                <w:b/>
                <w:bCs/>
              </w:rPr>
              <w:t>NZQA</w:t>
            </w:r>
          </w:p>
        </w:tc>
        <w:tc>
          <w:tcPr>
            <w:tcW w:w="6939" w:type="dxa"/>
          </w:tcPr>
          <w:p w14:paraId="765F578F" w14:textId="6AB2C5ED" w:rsidR="00384E97" w:rsidRDefault="00384E97" w:rsidP="003105C4">
            <w:pPr>
              <w:pStyle w:val="BodyText"/>
            </w:pPr>
            <w:r>
              <w:t>New Zealand Qualification</w:t>
            </w:r>
            <w:r w:rsidR="005471B1">
              <w:t>s</w:t>
            </w:r>
            <w:r>
              <w:t xml:space="preserve"> Authority</w:t>
            </w:r>
          </w:p>
        </w:tc>
      </w:tr>
      <w:tr w:rsidR="00F05D62" w14:paraId="4055502A" w14:textId="77777777" w:rsidTr="008A6F33">
        <w:tc>
          <w:tcPr>
            <w:tcW w:w="2122" w:type="dxa"/>
          </w:tcPr>
          <w:p w14:paraId="1C9372CC" w14:textId="64A0F35E" w:rsidR="00F05D62" w:rsidRPr="008A6F33" w:rsidRDefault="008A6F33" w:rsidP="00C022F5">
            <w:pPr>
              <w:pStyle w:val="BodyText"/>
              <w:rPr>
                <w:b/>
                <w:bCs/>
              </w:rPr>
            </w:pPr>
            <w:r w:rsidRPr="008A6F33">
              <w:rPr>
                <w:b/>
                <w:bCs/>
              </w:rPr>
              <w:t>PGSI</w:t>
            </w:r>
          </w:p>
        </w:tc>
        <w:tc>
          <w:tcPr>
            <w:tcW w:w="6939" w:type="dxa"/>
          </w:tcPr>
          <w:p w14:paraId="5FA7B846" w14:textId="2D9EB5E2" w:rsidR="00F05D62" w:rsidRDefault="00995192" w:rsidP="00C022F5">
            <w:pPr>
              <w:pStyle w:val="BodyText"/>
            </w:pPr>
            <w:r>
              <w:t>Problem Gambling Severity Index</w:t>
            </w:r>
          </w:p>
        </w:tc>
      </w:tr>
      <w:tr w:rsidR="00CF3011" w14:paraId="539ACD6D" w14:textId="77777777" w:rsidTr="008A6F33">
        <w:tc>
          <w:tcPr>
            <w:tcW w:w="2122" w:type="dxa"/>
          </w:tcPr>
          <w:p w14:paraId="37A3E64C" w14:textId="2B7B2738" w:rsidR="00CF3011" w:rsidRPr="008A6F33" w:rsidRDefault="00CF3011" w:rsidP="00C022F5">
            <w:pPr>
              <w:pStyle w:val="BodyText"/>
              <w:rPr>
                <w:b/>
                <w:bCs/>
              </w:rPr>
            </w:pPr>
            <w:r>
              <w:rPr>
                <w:b/>
                <w:bCs/>
              </w:rPr>
              <w:t>PMGH</w:t>
            </w:r>
          </w:p>
        </w:tc>
        <w:tc>
          <w:tcPr>
            <w:tcW w:w="6939" w:type="dxa"/>
          </w:tcPr>
          <w:p w14:paraId="25C6B858" w14:textId="3954FCCF" w:rsidR="00CF3011" w:rsidRDefault="00CF3011" w:rsidP="00C022F5">
            <w:pPr>
              <w:pStyle w:val="BodyText"/>
            </w:pPr>
            <w:r>
              <w:t>Preventing and minimising gambling harm</w:t>
            </w:r>
          </w:p>
        </w:tc>
      </w:tr>
    </w:tbl>
    <w:p w14:paraId="50B130CF" w14:textId="77777777" w:rsidR="00E1668D" w:rsidRPr="006A3C41" w:rsidRDefault="00E1668D" w:rsidP="000968A5">
      <w:pPr>
        <w:pStyle w:val="Heading2-NOTinTOC"/>
      </w:pPr>
      <w:r w:rsidRPr="006A3C41">
        <w:t>Tables</w:t>
      </w:r>
    </w:p>
    <w:p w14:paraId="2445656F" w14:textId="5EDE119F" w:rsidR="008D1927" w:rsidRDefault="00E1668D">
      <w:pPr>
        <w:pStyle w:val="TableofFigures"/>
        <w:rPr>
          <w:rFonts w:asciiTheme="minorHAnsi" w:eastAsiaTheme="minorEastAsia" w:hAnsiTheme="minorHAnsi"/>
          <w:noProof/>
          <w:lang w:eastAsia="en-NZ"/>
        </w:rPr>
      </w:pPr>
      <w:r w:rsidRPr="006A3C41">
        <w:fldChar w:fldCharType="begin"/>
      </w:r>
      <w:r w:rsidRPr="006A3C41">
        <w:instrText xml:space="preserve"> TOC \h \z \c "Table" </w:instrText>
      </w:r>
      <w:r w:rsidRPr="006A3C41">
        <w:fldChar w:fldCharType="separate"/>
      </w:r>
      <w:hyperlink w:anchor="_Toc88637638" w:history="1">
        <w:r w:rsidR="008D1927" w:rsidRPr="006D701E">
          <w:rPr>
            <w:rStyle w:val="Hyperlink"/>
            <w:noProof/>
          </w:rPr>
          <w:t>Table 1: Secondary category by priority group(s) represented</w:t>
        </w:r>
        <w:r w:rsidR="008D1927">
          <w:rPr>
            <w:noProof/>
            <w:webHidden/>
          </w:rPr>
          <w:tab/>
        </w:r>
        <w:r w:rsidR="008D1927">
          <w:rPr>
            <w:noProof/>
            <w:webHidden/>
          </w:rPr>
          <w:fldChar w:fldCharType="begin"/>
        </w:r>
        <w:r w:rsidR="008D1927">
          <w:rPr>
            <w:noProof/>
            <w:webHidden/>
          </w:rPr>
          <w:instrText xml:space="preserve"> PAGEREF _Toc88637638 \h </w:instrText>
        </w:r>
        <w:r w:rsidR="008D1927">
          <w:rPr>
            <w:noProof/>
            <w:webHidden/>
          </w:rPr>
        </w:r>
        <w:r w:rsidR="008D1927">
          <w:rPr>
            <w:noProof/>
            <w:webHidden/>
          </w:rPr>
          <w:fldChar w:fldCharType="separate"/>
        </w:r>
        <w:r w:rsidR="00071098">
          <w:rPr>
            <w:noProof/>
            <w:webHidden/>
          </w:rPr>
          <w:t>21</w:t>
        </w:r>
        <w:r w:rsidR="008D1927">
          <w:rPr>
            <w:noProof/>
            <w:webHidden/>
          </w:rPr>
          <w:fldChar w:fldCharType="end"/>
        </w:r>
      </w:hyperlink>
    </w:p>
    <w:p w14:paraId="155111E4" w14:textId="099F5A01" w:rsidR="008D1927" w:rsidRDefault="004D7373">
      <w:pPr>
        <w:pStyle w:val="TableofFigures"/>
        <w:rPr>
          <w:rFonts w:asciiTheme="minorHAnsi" w:eastAsiaTheme="minorEastAsia" w:hAnsiTheme="minorHAnsi"/>
          <w:noProof/>
          <w:lang w:eastAsia="en-NZ"/>
        </w:rPr>
      </w:pPr>
      <w:hyperlink w:anchor="_Toc88637639" w:history="1">
        <w:r w:rsidR="008D1927" w:rsidRPr="006D701E">
          <w:rPr>
            <w:rStyle w:val="Hyperlink"/>
            <w:noProof/>
          </w:rPr>
          <w:t>Table 2: Responses to questions about the draft strategic plan</w:t>
        </w:r>
        <w:r w:rsidR="008D1927">
          <w:rPr>
            <w:noProof/>
            <w:webHidden/>
          </w:rPr>
          <w:tab/>
        </w:r>
        <w:r w:rsidR="008D1927">
          <w:rPr>
            <w:noProof/>
            <w:webHidden/>
          </w:rPr>
          <w:fldChar w:fldCharType="begin"/>
        </w:r>
        <w:r w:rsidR="008D1927">
          <w:rPr>
            <w:noProof/>
            <w:webHidden/>
          </w:rPr>
          <w:instrText xml:space="preserve"> PAGEREF _Toc88637639 \h </w:instrText>
        </w:r>
        <w:r w:rsidR="008D1927">
          <w:rPr>
            <w:noProof/>
            <w:webHidden/>
          </w:rPr>
        </w:r>
        <w:r w:rsidR="008D1927">
          <w:rPr>
            <w:noProof/>
            <w:webHidden/>
          </w:rPr>
          <w:fldChar w:fldCharType="separate"/>
        </w:r>
        <w:r w:rsidR="00071098">
          <w:rPr>
            <w:noProof/>
            <w:webHidden/>
          </w:rPr>
          <w:t>24</w:t>
        </w:r>
        <w:r w:rsidR="008D1927">
          <w:rPr>
            <w:noProof/>
            <w:webHidden/>
          </w:rPr>
          <w:fldChar w:fldCharType="end"/>
        </w:r>
      </w:hyperlink>
    </w:p>
    <w:p w14:paraId="62282501" w14:textId="32D98F0B" w:rsidR="008D1927" w:rsidRDefault="004D7373">
      <w:pPr>
        <w:pStyle w:val="TableofFigures"/>
        <w:rPr>
          <w:rFonts w:asciiTheme="minorHAnsi" w:eastAsiaTheme="minorEastAsia" w:hAnsiTheme="minorHAnsi"/>
          <w:noProof/>
          <w:lang w:eastAsia="en-NZ"/>
        </w:rPr>
      </w:pPr>
      <w:hyperlink w:anchor="_Toc88637640" w:history="1">
        <w:r w:rsidR="008D1927" w:rsidRPr="006D701E">
          <w:rPr>
            <w:rStyle w:val="Hyperlink"/>
            <w:noProof/>
          </w:rPr>
          <w:t>Table 3: Responses to questions about the draft service plan</w:t>
        </w:r>
        <w:r w:rsidR="008D1927">
          <w:rPr>
            <w:noProof/>
            <w:webHidden/>
          </w:rPr>
          <w:tab/>
        </w:r>
        <w:r w:rsidR="008D1927">
          <w:rPr>
            <w:noProof/>
            <w:webHidden/>
          </w:rPr>
          <w:fldChar w:fldCharType="begin"/>
        </w:r>
        <w:r w:rsidR="008D1927">
          <w:rPr>
            <w:noProof/>
            <w:webHidden/>
          </w:rPr>
          <w:instrText xml:space="preserve"> PAGEREF _Toc88637640 \h </w:instrText>
        </w:r>
        <w:r w:rsidR="008D1927">
          <w:rPr>
            <w:noProof/>
            <w:webHidden/>
          </w:rPr>
        </w:r>
        <w:r w:rsidR="008D1927">
          <w:rPr>
            <w:noProof/>
            <w:webHidden/>
          </w:rPr>
          <w:fldChar w:fldCharType="separate"/>
        </w:r>
        <w:r w:rsidR="00071098">
          <w:rPr>
            <w:noProof/>
            <w:webHidden/>
          </w:rPr>
          <w:t>73</w:t>
        </w:r>
        <w:r w:rsidR="008D1927">
          <w:rPr>
            <w:noProof/>
            <w:webHidden/>
          </w:rPr>
          <w:fldChar w:fldCharType="end"/>
        </w:r>
      </w:hyperlink>
    </w:p>
    <w:p w14:paraId="392074A6" w14:textId="50734726" w:rsidR="008D1927" w:rsidRDefault="004D7373">
      <w:pPr>
        <w:pStyle w:val="TableofFigures"/>
        <w:rPr>
          <w:rFonts w:asciiTheme="minorHAnsi" w:eastAsiaTheme="minorEastAsia" w:hAnsiTheme="minorHAnsi"/>
          <w:noProof/>
          <w:lang w:eastAsia="en-NZ"/>
        </w:rPr>
      </w:pPr>
      <w:hyperlink w:anchor="_Toc88637641" w:history="1">
        <w:r w:rsidR="008D1927" w:rsidRPr="006D701E">
          <w:rPr>
            <w:rStyle w:val="Hyperlink"/>
            <w:noProof/>
          </w:rPr>
          <w:t>Table 4: Responses to questions about the levy</w:t>
        </w:r>
        <w:r w:rsidR="008D1927">
          <w:rPr>
            <w:noProof/>
            <w:webHidden/>
          </w:rPr>
          <w:tab/>
        </w:r>
        <w:r w:rsidR="008D1927">
          <w:rPr>
            <w:noProof/>
            <w:webHidden/>
          </w:rPr>
          <w:fldChar w:fldCharType="begin"/>
        </w:r>
        <w:r w:rsidR="008D1927">
          <w:rPr>
            <w:noProof/>
            <w:webHidden/>
          </w:rPr>
          <w:instrText xml:space="preserve"> PAGEREF _Toc88637641 \h </w:instrText>
        </w:r>
        <w:r w:rsidR="008D1927">
          <w:rPr>
            <w:noProof/>
            <w:webHidden/>
          </w:rPr>
        </w:r>
        <w:r w:rsidR="008D1927">
          <w:rPr>
            <w:noProof/>
            <w:webHidden/>
          </w:rPr>
          <w:fldChar w:fldCharType="separate"/>
        </w:r>
        <w:r w:rsidR="00071098">
          <w:rPr>
            <w:noProof/>
            <w:webHidden/>
          </w:rPr>
          <w:t>101</w:t>
        </w:r>
        <w:r w:rsidR="008D1927">
          <w:rPr>
            <w:noProof/>
            <w:webHidden/>
          </w:rPr>
          <w:fldChar w:fldCharType="end"/>
        </w:r>
      </w:hyperlink>
    </w:p>
    <w:p w14:paraId="2D27E39D" w14:textId="728B516D" w:rsidR="008D1927" w:rsidRDefault="004D7373">
      <w:pPr>
        <w:pStyle w:val="TableofFigures"/>
        <w:rPr>
          <w:rFonts w:asciiTheme="minorHAnsi" w:eastAsiaTheme="minorEastAsia" w:hAnsiTheme="minorHAnsi"/>
          <w:noProof/>
          <w:lang w:eastAsia="en-NZ"/>
        </w:rPr>
      </w:pPr>
      <w:hyperlink w:anchor="_Toc88637642" w:history="1">
        <w:r w:rsidR="008D1927" w:rsidRPr="006D701E">
          <w:rPr>
            <w:rStyle w:val="Hyperlink"/>
            <w:noProof/>
          </w:rPr>
          <w:t>Table 5: Level of support for each weighting preference, by number of submitters</w:t>
        </w:r>
        <w:r w:rsidR="008D1927">
          <w:rPr>
            <w:noProof/>
            <w:webHidden/>
          </w:rPr>
          <w:tab/>
        </w:r>
        <w:r w:rsidR="008D1927">
          <w:rPr>
            <w:noProof/>
            <w:webHidden/>
          </w:rPr>
          <w:fldChar w:fldCharType="begin"/>
        </w:r>
        <w:r w:rsidR="008D1927">
          <w:rPr>
            <w:noProof/>
            <w:webHidden/>
          </w:rPr>
          <w:instrText xml:space="preserve"> PAGEREF _Toc88637642 \h </w:instrText>
        </w:r>
        <w:r w:rsidR="008D1927">
          <w:rPr>
            <w:noProof/>
            <w:webHidden/>
          </w:rPr>
        </w:r>
        <w:r w:rsidR="008D1927">
          <w:rPr>
            <w:noProof/>
            <w:webHidden/>
          </w:rPr>
          <w:fldChar w:fldCharType="separate"/>
        </w:r>
        <w:r w:rsidR="00071098">
          <w:rPr>
            <w:noProof/>
            <w:webHidden/>
          </w:rPr>
          <w:t>104</w:t>
        </w:r>
        <w:r w:rsidR="008D1927">
          <w:rPr>
            <w:noProof/>
            <w:webHidden/>
          </w:rPr>
          <w:fldChar w:fldCharType="end"/>
        </w:r>
      </w:hyperlink>
    </w:p>
    <w:p w14:paraId="650E6E00" w14:textId="6E53D9AC" w:rsidR="0052685B" w:rsidRDefault="00E1668D" w:rsidP="00096C49">
      <w:pPr>
        <w:pStyle w:val="Heading2-NOTinTOC"/>
      </w:pPr>
      <w:r w:rsidRPr="006A3C41">
        <w:fldChar w:fldCharType="end"/>
      </w:r>
      <w:r w:rsidR="00096C49">
        <w:t>Figures</w:t>
      </w:r>
    </w:p>
    <w:p w14:paraId="718800C6" w14:textId="22FB845B" w:rsidR="008D1927" w:rsidRDefault="00096C49">
      <w:pPr>
        <w:pStyle w:val="TableofFigures"/>
        <w:rPr>
          <w:rFonts w:asciiTheme="minorHAnsi" w:eastAsiaTheme="minorEastAsia" w:hAnsiTheme="minorHAnsi"/>
          <w:noProof/>
          <w:lang w:eastAsia="en-NZ"/>
        </w:rPr>
      </w:pPr>
      <w:r>
        <w:fldChar w:fldCharType="begin"/>
      </w:r>
      <w:r>
        <w:instrText xml:space="preserve"> TOC \h \z \c "Figure" </w:instrText>
      </w:r>
      <w:r>
        <w:fldChar w:fldCharType="separate"/>
      </w:r>
      <w:hyperlink w:anchor="_Toc88637643" w:history="1">
        <w:r w:rsidR="008D1927" w:rsidRPr="00DD7891">
          <w:rPr>
            <w:rStyle w:val="Hyperlink"/>
            <w:noProof/>
          </w:rPr>
          <w:t>Figure 1: Organisation submitters by sector type</w:t>
        </w:r>
        <w:r w:rsidR="008D1927">
          <w:rPr>
            <w:noProof/>
            <w:webHidden/>
          </w:rPr>
          <w:tab/>
        </w:r>
        <w:r w:rsidR="008D1927">
          <w:rPr>
            <w:noProof/>
            <w:webHidden/>
          </w:rPr>
          <w:fldChar w:fldCharType="begin"/>
        </w:r>
        <w:r w:rsidR="008D1927">
          <w:rPr>
            <w:noProof/>
            <w:webHidden/>
          </w:rPr>
          <w:instrText xml:space="preserve"> PAGEREF _Toc88637643 \h </w:instrText>
        </w:r>
        <w:r w:rsidR="008D1927">
          <w:rPr>
            <w:noProof/>
            <w:webHidden/>
          </w:rPr>
        </w:r>
        <w:r w:rsidR="008D1927">
          <w:rPr>
            <w:noProof/>
            <w:webHidden/>
          </w:rPr>
          <w:fldChar w:fldCharType="separate"/>
        </w:r>
        <w:r w:rsidR="00071098">
          <w:rPr>
            <w:noProof/>
            <w:webHidden/>
          </w:rPr>
          <w:t>21</w:t>
        </w:r>
        <w:r w:rsidR="008D1927">
          <w:rPr>
            <w:noProof/>
            <w:webHidden/>
          </w:rPr>
          <w:fldChar w:fldCharType="end"/>
        </w:r>
      </w:hyperlink>
    </w:p>
    <w:p w14:paraId="0992A77D" w14:textId="04F726CF" w:rsidR="008D1927" w:rsidRDefault="004D7373">
      <w:pPr>
        <w:pStyle w:val="TableofFigures"/>
        <w:rPr>
          <w:rFonts w:asciiTheme="minorHAnsi" w:eastAsiaTheme="minorEastAsia" w:hAnsiTheme="minorHAnsi"/>
          <w:noProof/>
          <w:lang w:eastAsia="en-NZ"/>
        </w:rPr>
      </w:pPr>
      <w:hyperlink w:anchor="_Toc88637644" w:history="1">
        <w:r w:rsidR="008D1927" w:rsidRPr="00DD7891">
          <w:rPr>
            <w:rStyle w:val="Hyperlink"/>
            <w:noProof/>
          </w:rPr>
          <w:t>Figure 2:  Number of submitters, by sector, who commented on the draft strategic plan</w:t>
        </w:r>
        <w:r w:rsidR="008D1927">
          <w:rPr>
            <w:noProof/>
            <w:webHidden/>
          </w:rPr>
          <w:tab/>
        </w:r>
        <w:r w:rsidR="008D1927">
          <w:rPr>
            <w:noProof/>
            <w:webHidden/>
          </w:rPr>
          <w:fldChar w:fldCharType="begin"/>
        </w:r>
        <w:r w:rsidR="008D1927">
          <w:rPr>
            <w:noProof/>
            <w:webHidden/>
          </w:rPr>
          <w:instrText xml:space="preserve"> PAGEREF _Toc88637644 \h </w:instrText>
        </w:r>
        <w:r w:rsidR="008D1927">
          <w:rPr>
            <w:noProof/>
            <w:webHidden/>
          </w:rPr>
        </w:r>
        <w:r w:rsidR="008D1927">
          <w:rPr>
            <w:noProof/>
            <w:webHidden/>
          </w:rPr>
          <w:fldChar w:fldCharType="separate"/>
        </w:r>
        <w:r w:rsidR="00071098">
          <w:rPr>
            <w:noProof/>
            <w:webHidden/>
          </w:rPr>
          <w:t>25</w:t>
        </w:r>
        <w:r w:rsidR="008D1927">
          <w:rPr>
            <w:noProof/>
            <w:webHidden/>
          </w:rPr>
          <w:fldChar w:fldCharType="end"/>
        </w:r>
      </w:hyperlink>
    </w:p>
    <w:p w14:paraId="5A302E1E" w14:textId="2FFD3ACE" w:rsidR="008D1927" w:rsidRDefault="004D7373">
      <w:pPr>
        <w:pStyle w:val="TableofFigures"/>
        <w:rPr>
          <w:rFonts w:asciiTheme="minorHAnsi" w:eastAsiaTheme="minorEastAsia" w:hAnsiTheme="minorHAnsi"/>
          <w:noProof/>
          <w:lang w:eastAsia="en-NZ"/>
        </w:rPr>
      </w:pPr>
      <w:hyperlink w:anchor="_Toc88637645" w:history="1">
        <w:r w:rsidR="008D1927" w:rsidRPr="00DD7891">
          <w:rPr>
            <w:rStyle w:val="Hyperlink"/>
            <w:noProof/>
          </w:rPr>
          <w:t>Figure 3: Number of submitters, by sector, who commented on the draft service plan</w:t>
        </w:r>
        <w:r w:rsidR="008D1927">
          <w:rPr>
            <w:noProof/>
            <w:webHidden/>
          </w:rPr>
          <w:tab/>
        </w:r>
        <w:r w:rsidR="008D1927">
          <w:rPr>
            <w:noProof/>
            <w:webHidden/>
          </w:rPr>
          <w:fldChar w:fldCharType="begin"/>
        </w:r>
        <w:r w:rsidR="008D1927">
          <w:rPr>
            <w:noProof/>
            <w:webHidden/>
          </w:rPr>
          <w:instrText xml:space="preserve"> PAGEREF _Toc88637645 \h </w:instrText>
        </w:r>
        <w:r w:rsidR="008D1927">
          <w:rPr>
            <w:noProof/>
            <w:webHidden/>
          </w:rPr>
        </w:r>
        <w:r w:rsidR="008D1927">
          <w:rPr>
            <w:noProof/>
            <w:webHidden/>
          </w:rPr>
          <w:fldChar w:fldCharType="separate"/>
        </w:r>
        <w:r w:rsidR="00071098">
          <w:rPr>
            <w:noProof/>
            <w:webHidden/>
          </w:rPr>
          <w:t>74</w:t>
        </w:r>
        <w:r w:rsidR="008D1927">
          <w:rPr>
            <w:noProof/>
            <w:webHidden/>
          </w:rPr>
          <w:fldChar w:fldCharType="end"/>
        </w:r>
      </w:hyperlink>
    </w:p>
    <w:p w14:paraId="05660839" w14:textId="5ACCF0C2" w:rsidR="008D1927" w:rsidRDefault="004D7373">
      <w:pPr>
        <w:pStyle w:val="TableofFigures"/>
        <w:rPr>
          <w:rFonts w:asciiTheme="minorHAnsi" w:eastAsiaTheme="minorEastAsia" w:hAnsiTheme="minorHAnsi"/>
          <w:noProof/>
          <w:lang w:eastAsia="en-NZ"/>
        </w:rPr>
      </w:pPr>
      <w:hyperlink w:anchor="_Toc88637646" w:history="1">
        <w:r w:rsidR="008D1927" w:rsidRPr="00DD7891">
          <w:rPr>
            <w:rStyle w:val="Hyperlink"/>
            <w:noProof/>
          </w:rPr>
          <w:t>Figure 4: Numbers of submitters, by sector, who commented on the levy</w:t>
        </w:r>
        <w:r w:rsidR="008D1927">
          <w:rPr>
            <w:noProof/>
            <w:webHidden/>
          </w:rPr>
          <w:tab/>
        </w:r>
        <w:r w:rsidR="008D1927">
          <w:rPr>
            <w:noProof/>
            <w:webHidden/>
          </w:rPr>
          <w:fldChar w:fldCharType="begin"/>
        </w:r>
        <w:r w:rsidR="008D1927">
          <w:rPr>
            <w:noProof/>
            <w:webHidden/>
          </w:rPr>
          <w:instrText xml:space="preserve"> PAGEREF _Toc88637646 \h </w:instrText>
        </w:r>
        <w:r w:rsidR="008D1927">
          <w:rPr>
            <w:noProof/>
            <w:webHidden/>
          </w:rPr>
        </w:r>
        <w:r w:rsidR="008D1927">
          <w:rPr>
            <w:noProof/>
            <w:webHidden/>
          </w:rPr>
          <w:fldChar w:fldCharType="separate"/>
        </w:r>
        <w:r w:rsidR="00071098">
          <w:rPr>
            <w:noProof/>
            <w:webHidden/>
          </w:rPr>
          <w:t>102</w:t>
        </w:r>
        <w:r w:rsidR="008D1927">
          <w:rPr>
            <w:noProof/>
            <w:webHidden/>
          </w:rPr>
          <w:fldChar w:fldCharType="end"/>
        </w:r>
      </w:hyperlink>
    </w:p>
    <w:p w14:paraId="1A64B169" w14:textId="36562596" w:rsidR="00576B86" w:rsidRPr="006A3C41" w:rsidRDefault="00096C49" w:rsidP="00096C49">
      <w:pPr>
        <w:pStyle w:val="Heading1-NOTinTOC"/>
      </w:pPr>
      <w:r>
        <w:lastRenderedPageBreak/>
        <w:fldChar w:fldCharType="end"/>
      </w:r>
      <w:bookmarkStart w:id="3" w:name="_Toc273196825"/>
      <w:r w:rsidR="00576B86" w:rsidRPr="006A3C41">
        <w:t>Executive Summary</w:t>
      </w:r>
    </w:p>
    <w:p w14:paraId="29B8F034" w14:textId="65115A68" w:rsidR="00132E36" w:rsidRDefault="00A677C6" w:rsidP="00132E36">
      <w:pPr>
        <w:pStyle w:val="Heading2"/>
      </w:pPr>
      <w:bookmarkStart w:id="4" w:name="_Toc88637522"/>
      <w:r>
        <w:t>Sixty-</w:t>
      </w:r>
      <w:r w:rsidR="00F878B5">
        <w:t>four</w:t>
      </w:r>
      <w:r>
        <w:t xml:space="preserve"> </w:t>
      </w:r>
      <w:r w:rsidR="00132E36">
        <w:t>submissions</w:t>
      </w:r>
      <w:r>
        <w:t xml:space="preserve"> were</w:t>
      </w:r>
      <w:r w:rsidR="00132E36">
        <w:t xml:space="preserve"> received</w:t>
      </w:r>
      <w:bookmarkEnd w:id="4"/>
    </w:p>
    <w:p w14:paraId="646730AC" w14:textId="5531BB57" w:rsidR="009F7EA2" w:rsidRDefault="009F7EA2" w:rsidP="009F7EA2">
      <w:pPr>
        <w:pStyle w:val="BodyText"/>
      </w:pPr>
      <w:r>
        <w:t>Sixty-</w:t>
      </w:r>
      <w:r w:rsidR="004D28BB">
        <w:t>four</w:t>
      </w:r>
      <w:r>
        <w:t xml:space="preserve"> submissions were received on the Ministry of Health’s </w:t>
      </w:r>
      <w:r w:rsidR="004F16F0">
        <w:rPr>
          <w:i/>
          <w:iCs/>
        </w:rPr>
        <w:t>Draft Strategy to Prevent and Minimise Gambling Harm (2022/23 to 2024/25)</w:t>
      </w:r>
      <w:r w:rsidR="004F16F0">
        <w:t xml:space="preserve"> (the </w:t>
      </w:r>
      <w:r w:rsidR="00207916">
        <w:t xml:space="preserve">draft </w:t>
      </w:r>
      <w:r w:rsidR="00FF1317">
        <w:t>s</w:t>
      </w:r>
      <w:r w:rsidR="004F16F0">
        <w:t>trategy)</w:t>
      </w:r>
      <w:r w:rsidR="00F45AE8">
        <w:t xml:space="preserve"> consultation document</w:t>
      </w:r>
      <w:r w:rsidR="004F16F0">
        <w:t xml:space="preserve">. </w:t>
      </w:r>
      <w:r w:rsidR="00974F53">
        <w:t>T</w:t>
      </w:r>
      <w:r w:rsidR="004F16F0">
        <w:t>h</w:t>
      </w:r>
      <w:r w:rsidR="00974F53">
        <w:t xml:space="preserve">is is </w:t>
      </w:r>
      <w:r w:rsidR="00932549">
        <w:t xml:space="preserve">less than the number of submissions </w:t>
      </w:r>
      <w:r w:rsidR="006012B1">
        <w:t>received during the 2018 consultation (82 submissions were received in the 2018 consultation).</w:t>
      </w:r>
      <w:r w:rsidR="00D27439">
        <w:rPr>
          <w:rStyle w:val="FootnoteReference"/>
        </w:rPr>
        <w:footnoteReference w:id="2"/>
      </w:r>
      <w:r w:rsidR="006012B1">
        <w:t xml:space="preserve"> Submissions were received from a range of </w:t>
      </w:r>
      <w:r w:rsidR="001A1271">
        <w:t>stakeholders</w:t>
      </w:r>
      <w:r w:rsidR="006012B1">
        <w:t>:</w:t>
      </w:r>
    </w:p>
    <w:p w14:paraId="129B4386" w14:textId="541219D0" w:rsidR="00C10496" w:rsidRDefault="00A51F8E" w:rsidP="00990F09">
      <w:pPr>
        <w:pStyle w:val="List-BulletLvl1"/>
      </w:pPr>
      <w:r>
        <w:t>s</w:t>
      </w:r>
      <w:r w:rsidR="00576912">
        <w:t>ixteen</w:t>
      </w:r>
      <w:r>
        <w:t xml:space="preserve"> service providers</w:t>
      </w:r>
      <w:r w:rsidR="00BB7660">
        <w:t xml:space="preserve"> (</w:t>
      </w:r>
      <w:r w:rsidR="002B21D7">
        <w:t>1</w:t>
      </w:r>
      <w:r w:rsidR="00576912">
        <w:t>2</w:t>
      </w:r>
      <w:r w:rsidR="00BB7660">
        <w:t xml:space="preserve"> clinical treatment providers, </w:t>
      </w:r>
      <w:r w:rsidR="002B21D7">
        <w:t>three</w:t>
      </w:r>
      <w:r w:rsidR="00BB7660">
        <w:t xml:space="preserve"> other public health providers, and </w:t>
      </w:r>
      <w:r w:rsidR="002B21D7">
        <w:t>one advisory group</w:t>
      </w:r>
      <w:r w:rsidR="00BB7660">
        <w:t>)</w:t>
      </w:r>
      <w:r w:rsidR="00B7221E">
        <w:rPr>
          <w:rStyle w:val="FootnoteReference"/>
        </w:rPr>
        <w:footnoteReference w:id="3"/>
      </w:r>
      <w:r w:rsidR="00C10496">
        <w:t xml:space="preserve"> </w:t>
      </w:r>
    </w:p>
    <w:p w14:paraId="621E9406" w14:textId="55751096" w:rsidR="00513417" w:rsidRDefault="00513417" w:rsidP="00DD344B">
      <w:pPr>
        <w:pStyle w:val="List-BulletLvl1"/>
      </w:pPr>
      <w:r>
        <w:t>sixteen Non-Casino Gaming Machine</w:t>
      </w:r>
      <w:r>
        <w:rPr>
          <w:rStyle w:val="FootnoteReference"/>
        </w:rPr>
        <w:footnoteReference w:id="4"/>
      </w:r>
      <w:r>
        <w:t xml:space="preserve"> (NCGM) s</w:t>
      </w:r>
      <w:r w:rsidR="008719B2">
        <w:t>ubmitters</w:t>
      </w:r>
      <w:r>
        <w:t xml:space="preserve"> (</w:t>
      </w:r>
      <w:r w:rsidRPr="00E011FC">
        <w:t>1</w:t>
      </w:r>
      <w:r w:rsidR="00827E2E">
        <w:t>3</w:t>
      </w:r>
      <w:r w:rsidRPr="00E011FC">
        <w:t xml:space="preserve"> societies, two sector representatives</w:t>
      </w:r>
      <w:r w:rsidR="00DB453F">
        <w:t>, and one club</w:t>
      </w:r>
      <w:r>
        <w:t>)</w:t>
      </w:r>
      <w:r>
        <w:rPr>
          <w:rStyle w:val="FootnoteReference"/>
        </w:rPr>
        <w:footnoteReference w:id="5"/>
      </w:r>
    </w:p>
    <w:p w14:paraId="26AE639A" w14:textId="070A2409" w:rsidR="00C10496" w:rsidRDefault="00C94B00" w:rsidP="00990F09">
      <w:pPr>
        <w:pStyle w:val="List-BulletLvl1"/>
      </w:pPr>
      <w:r>
        <w:t>sixteen</w:t>
      </w:r>
      <w:r w:rsidR="00DD6271">
        <w:t xml:space="preserve"> </w:t>
      </w:r>
      <w:r>
        <w:t>h</w:t>
      </w:r>
      <w:r w:rsidR="00DD6271">
        <w:t>ealth</w:t>
      </w:r>
      <w:r>
        <w:t xml:space="preserve"> and social services</w:t>
      </w:r>
      <w:r w:rsidR="00DD6271">
        <w:t xml:space="preserve"> </w:t>
      </w:r>
      <w:r w:rsidR="008719B2">
        <w:t>submitters</w:t>
      </w:r>
      <w:r w:rsidR="00BB074F">
        <w:t xml:space="preserve"> </w:t>
      </w:r>
      <w:r w:rsidR="00BB7660">
        <w:t>(</w:t>
      </w:r>
      <w:r w:rsidR="008A6A26">
        <w:t xml:space="preserve">seven health sector representatives, </w:t>
      </w:r>
      <w:r w:rsidR="00C20FAB">
        <w:t>four</w:t>
      </w:r>
      <w:r w:rsidR="00BB7660">
        <w:t xml:space="preserve"> District Health Boards [</w:t>
      </w:r>
      <w:r w:rsidR="00C20FAB">
        <w:t>D</w:t>
      </w:r>
      <w:r w:rsidR="00BB7660">
        <w:t xml:space="preserve">HB], </w:t>
      </w:r>
      <w:r w:rsidR="00381790">
        <w:t xml:space="preserve">three health providers, </w:t>
      </w:r>
      <w:r w:rsidR="00B31E56">
        <w:t>one non</w:t>
      </w:r>
      <w:r w:rsidR="007A3DEA">
        <w:t>-</w:t>
      </w:r>
      <w:r w:rsidR="00B31E56">
        <w:t>government organisation [NGO] representative</w:t>
      </w:r>
      <w:r w:rsidR="00BB7660">
        <w:t xml:space="preserve"> and </w:t>
      </w:r>
      <w:r w:rsidR="007A3DEA">
        <w:t>one social service representative</w:t>
      </w:r>
      <w:r w:rsidR="00BB7660">
        <w:t>)</w:t>
      </w:r>
      <w:r w:rsidR="00EB6641">
        <w:rPr>
          <w:rStyle w:val="FootnoteReference"/>
        </w:rPr>
        <w:footnoteReference w:id="6"/>
      </w:r>
      <w:r w:rsidR="00DD6271">
        <w:t xml:space="preserve"> </w:t>
      </w:r>
    </w:p>
    <w:p w14:paraId="4F4CE260" w14:textId="2B152312" w:rsidR="00DD6271" w:rsidRDefault="00946BA1" w:rsidP="00990F09">
      <w:pPr>
        <w:pStyle w:val="List-BulletLvl1"/>
      </w:pPr>
      <w:r>
        <w:t>five</w:t>
      </w:r>
      <w:r w:rsidR="00A80760">
        <w:t xml:space="preserve"> </w:t>
      </w:r>
      <w:r>
        <w:t>g</w:t>
      </w:r>
      <w:r w:rsidR="00A80760">
        <w:t xml:space="preserve">ambling </w:t>
      </w:r>
      <w:r>
        <w:t>i</w:t>
      </w:r>
      <w:r w:rsidR="00A80760">
        <w:t xml:space="preserve">ndustry </w:t>
      </w:r>
      <w:r w:rsidR="00C634EF">
        <w:t>(other)</w:t>
      </w:r>
      <w:r w:rsidR="00BB7660">
        <w:t xml:space="preserve"> </w:t>
      </w:r>
      <w:r w:rsidR="008719B2">
        <w:t xml:space="preserve">submitters </w:t>
      </w:r>
      <w:r w:rsidR="00BB7660">
        <w:t>(</w:t>
      </w:r>
      <w:r w:rsidR="00332915">
        <w:t>two casino</w:t>
      </w:r>
      <w:r w:rsidR="00B05B1C">
        <w:t xml:space="preserve"> operators</w:t>
      </w:r>
      <w:r w:rsidR="00332915">
        <w:t xml:space="preserve">, one gambling technology-related organisation, </w:t>
      </w:r>
      <w:r w:rsidR="00B05B1C">
        <w:t>Lotto NZ and TAB NZ</w:t>
      </w:r>
      <w:r w:rsidR="00FD5E5B">
        <w:t>)</w:t>
      </w:r>
      <w:r w:rsidR="00332915">
        <w:t xml:space="preserve"> </w:t>
      </w:r>
      <w:r w:rsidR="00523C01">
        <w:rPr>
          <w:rStyle w:val="FootnoteReference"/>
        </w:rPr>
        <w:footnoteReference w:id="7"/>
      </w:r>
    </w:p>
    <w:p w14:paraId="186E74E5" w14:textId="47C19B2E" w:rsidR="00C634EF" w:rsidRDefault="00CC437A" w:rsidP="00C634EF">
      <w:pPr>
        <w:pStyle w:val="List-BulletLvl1"/>
      </w:pPr>
      <w:r>
        <w:t>four</w:t>
      </w:r>
      <w:r w:rsidR="00C634EF">
        <w:t xml:space="preserve"> </w:t>
      </w:r>
      <w:r w:rsidR="00F01F0F">
        <w:t>l</w:t>
      </w:r>
      <w:r w:rsidR="00C634EF">
        <w:t xml:space="preserve">ocal </w:t>
      </w:r>
      <w:r w:rsidR="00F01F0F">
        <w:t>g</w:t>
      </w:r>
      <w:r w:rsidR="00C634EF">
        <w:t>overnment</w:t>
      </w:r>
      <w:r w:rsidR="002112B9">
        <w:t xml:space="preserve"> submitters</w:t>
      </w:r>
      <w:r w:rsidR="00883D4F">
        <w:rPr>
          <w:rStyle w:val="FootnoteReference"/>
        </w:rPr>
        <w:footnoteReference w:id="8"/>
      </w:r>
      <w:r w:rsidR="00C634EF">
        <w:t xml:space="preserve"> </w:t>
      </w:r>
    </w:p>
    <w:p w14:paraId="2C51B689" w14:textId="50BEA726" w:rsidR="00CC437A" w:rsidRDefault="00CC437A" w:rsidP="00C634EF">
      <w:pPr>
        <w:pStyle w:val="List-BulletLvl1"/>
      </w:pPr>
      <w:r>
        <w:t>on</w:t>
      </w:r>
      <w:r w:rsidR="00156772">
        <w:t>e</w:t>
      </w:r>
      <w:r>
        <w:t xml:space="preserve"> </w:t>
      </w:r>
      <w:r w:rsidR="00410280">
        <w:t>central g</w:t>
      </w:r>
      <w:r w:rsidR="00C967A5">
        <w:t>overnment</w:t>
      </w:r>
      <w:r w:rsidR="002112B9">
        <w:t xml:space="preserve"> submitters</w:t>
      </w:r>
      <w:r w:rsidR="00DC23AE">
        <w:rPr>
          <w:rStyle w:val="FootnoteReference"/>
        </w:rPr>
        <w:footnoteReference w:id="9"/>
      </w:r>
    </w:p>
    <w:p w14:paraId="657F4BC2" w14:textId="6AABB3B4" w:rsidR="00C634EF" w:rsidRPr="004F16F0" w:rsidRDefault="00513417" w:rsidP="00C634EF">
      <w:pPr>
        <w:pStyle w:val="List-BulletLvl1"/>
      </w:pPr>
      <w:r>
        <w:t>six</w:t>
      </w:r>
      <w:r w:rsidR="00C634EF">
        <w:t xml:space="preserve"> from individuals.</w:t>
      </w:r>
      <w:r w:rsidR="00EE744F">
        <w:rPr>
          <w:rStyle w:val="FootnoteReference"/>
        </w:rPr>
        <w:footnoteReference w:id="10"/>
      </w:r>
      <w:r w:rsidR="00C634EF">
        <w:t xml:space="preserve"> </w:t>
      </w:r>
    </w:p>
    <w:p w14:paraId="45431804" w14:textId="2D9EF4B6" w:rsidR="00DA03BC" w:rsidRPr="00DA03BC" w:rsidRDefault="00DA03BC" w:rsidP="00DA03BC">
      <w:pPr>
        <w:pStyle w:val="Heading2"/>
      </w:pPr>
      <w:bookmarkStart w:id="5" w:name="_Toc88637523"/>
      <w:r>
        <w:t xml:space="preserve">Key themes at </w:t>
      </w:r>
      <w:r w:rsidR="00A51F8E">
        <w:t xml:space="preserve">consultation </w:t>
      </w:r>
      <w:r>
        <w:t>hui</w:t>
      </w:r>
      <w:bookmarkEnd w:id="5"/>
    </w:p>
    <w:p w14:paraId="68D9A3D7" w14:textId="77777777" w:rsidR="00964B3A" w:rsidRPr="007F6DB6" w:rsidRDefault="00964B3A" w:rsidP="00964B3A">
      <w:pPr>
        <w:pStyle w:val="Heading3-NOTinTOC"/>
      </w:pPr>
      <w:bookmarkStart w:id="6" w:name="_Toc84433603"/>
      <w:r w:rsidRPr="007F6DB6">
        <w:t>Culturally appropriate services</w:t>
      </w:r>
      <w:bookmarkEnd w:id="6"/>
    </w:p>
    <w:p w14:paraId="51E2D06B" w14:textId="77777777" w:rsidR="007A7A02" w:rsidRDefault="00964B3A" w:rsidP="007A7A02">
      <w:pPr>
        <w:pStyle w:val="List-BulletLvl1"/>
      </w:pPr>
      <w:r w:rsidRPr="007A7A02">
        <w:t>Stakeholders</w:t>
      </w:r>
      <w:r w:rsidRPr="007F6DB6">
        <w:t xml:space="preserve"> consider</w:t>
      </w:r>
      <w:r>
        <w:t>ed</w:t>
      </w:r>
      <w:r w:rsidRPr="007F6DB6">
        <w:t xml:space="preserve"> it essential to have lived experience peer support from service providers who come from the communities that are suffering the most. People who are not from the communities have a harder time relating to and understanding the issues. In addition, people suffering harm struggle to reach out for help if they think that the person they are talking to will not be able to fully understand their </w:t>
      </w:r>
      <w:r w:rsidRPr="007A7A02">
        <w:t>cultural context</w:t>
      </w:r>
      <w:r w:rsidR="007A7A02" w:rsidRPr="007A7A02">
        <w:t xml:space="preserve">. </w:t>
      </w:r>
    </w:p>
    <w:p w14:paraId="006F69D8" w14:textId="4442CDED" w:rsidR="00964B3A" w:rsidRPr="007F6DB6" w:rsidRDefault="007A7A02" w:rsidP="007A7A02">
      <w:pPr>
        <w:pStyle w:val="List-BulletLvl2"/>
      </w:pPr>
      <w:r w:rsidRPr="007A7A02">
        <w:t xml:space="preserve">This </w:t>
      </w:r>
      <w:r w:rsidR="00964B3A" w:rsidRPr="007A7A02">
        <w:t>theme was raised in most hui, but came out particularly strongly in the Pacific and Asian</w:t>
      </w:r>
      <w:r w:rsidRPr="007A7A02">
        <w:t>-focused</w:t>
      </w:r>
      <w:r w:rsidR="00964B3A" w:rsidRPr="007A7A02">
        <w:t xml:space="preserve"> hui</w:t>
      </w:r>
      <w:r w:rsidRPr="007A7A02">
        <w:t>.</w:t>
      </w:r>
    </w:p>
    <w:p w14:paraId="4D3C24D0" w14:textId="490AD53B" w:rsidR="00964B3A" w:rsidRPr="007F6DB6" w:rsidRDefault="00964B3A" w:rsidP="00964B3A">
      <w:pPr>
        <w:pStyle w:val="List-BulletLvl1"/>
      </w:pPr>
      <w:r w:rsidRPr="007F6DB6">
        <w:t>‘For Pacific by Pacific’ – stakeholders want</w:t>
      </w:r>
      <w:r w:rsidR="007A7A02">
        <w:t xml:space="preserve">ed to see </w:t>
      </w:r>
      <w:r w:rsidRPr="007F6DB6">
        <w:t>services designed and implemented by their own communities. This w</w:t>
      </w:r>
      <w:r w:rsidR="00BA081E">
        <w:t>ould</w:t>
      </w:r>
      <w:r w:rsidRPr="007F6DB6">
        <w:t xml:space="preserve"> help with identifying </w:t>
      </w:r>
      <w:r w:rsidRPr="007F6DB6">
        <w:lastRenderedPageBreak/>
        <w:t xml:space="preserve">community needs and responses much more effectively, as well as supporting more of a focus on prevention work. </w:t>
      </w:r>
    </w:p>
    <w:p w14:paraId="175D12E3" w14:textId="59ED1BED" w:rsidR="00964B3A" w:rsidRPr="007F6DB6" w:rsidRDefault="00964B3A" w:rsidP="00964B3A">
      <w:pPr>
        <w:pStyle w:val="List-BulletLvl1"/>
      </w:pPr>
      <w:r w:rsidRPr="007F6DB6">
        <w:t>Stakeholders noted that at-risk groups should be engaged at the source of their harm</w:t>
      </w:r>
      <w:r w:rsidR="00BA081E">
        <w:t>.</w:t>
      </w:r>
      <w:r w:rsidRPr="007F6DB6">
        <w:t xml:space="preserve"> </w:t>
      </w:r>
      <w:r w:rsidR="00BA081E">
        <w:t>F</w:t>
      </w:r>
      <w:r w:rsidRPr="007F6DB6">
        <w:t xml:space="preserve">or example, young people could be engaged in schools by weaving gambling awareness into the curriculum. Another example </w:t>
      </w:r>
      <w:r w:rsidR="00BA081E">
        <w:t>was</w:t>
      </w:r>
      <w:r w:rsidRPr="007F6DB6">
        <w:t xml:space="preserve"> to address unhealthy gambling behaviours in the Pacific Islands where people begin developing harmful behaviours before arriving in New Zealand, where those behaviours are exacerbated. </w:t>
      </w:r>
    </w:p>
    <w:p w14:paraId="68AA4CCE" w14:textId="50ADEF6B" w:rsidR="00964B3A" w:rsidRPr="007F6DB6" w:rsidRDefault="00964B3A" w:rsidP="00964B3A">
      <w:pPr>
        <w:pStyle w:val="List-BulletLvl1"/>
      </w:pPr>
      <w:r w:rsidRPr="007F6DB6">
        <w:t xml:space="preserve">Some stakeholders noted that they could not ‘see themselves’ in the </w:t>
      </w:r>
      <w:r w:rsidR="00BA081E">
        <w:t>draft s</w:t>
      </w:r>
      <w:r w:rsidRPr="007F6DB6">
        <w:t xml:space="preserve">trategy and wondered why relevant groups had not been included in the drafting. </w:t>
      </w:r>
    </w:p>
    <w:p w14:paraId="68515978" w14:textId="0D947931" w:rsidR="00964B3A" w:rsidRPr="007F6DB6" w:rsidRDefault="00964B3A" w:rsidP="00964B3A">
      <w:pPr>
        <w:pStyle w:val="List-BulletLvl1"/>
      </w:pPr>
      <w:r w:rsidRPr="007F6DB6">
        <w:t xml:space="preserve">Stakeholders noted the importance </w:t>
      </w:r>
      <w:r w:rsidR="009525B1">
        <w:t xml:space="preserve">of </w:t>
      </w:r>
      <w:r w:rsidRPr="007F6DB6">
        <w:t xml:space="preserve">growing the workforce by giving minority providers the chance to offer the same salary range as DHBs, so people within these communities can access culturally competent services.  </w:t>
      </w:r>
    </w:p>
    <w:p w14:paraId="13E23A3F" w14:textId="77777777" w:rsidR="00964B3A" w:rsidRPr="007F6DB6" w:rsidRDefault="00964B3A" w:rsidP="00964B3A">
      <w:pPr>
        <w:pStyle w:val="Heading3-NOTinTOC"/>
      </w:pPr>
      <w:bookmarkStart w:id="7" w:name="_Toc84433604"/>
      <w:r w:rsidRPr="007F6DB6">
        <w:t>Priority populations</w:t>
      </w:r>
      <w:bookmarkEnd w:id="7"/>
    </w:p>
    <w:p w14:paraId="68E13AB5" w14:textId="52AA0113" w:rsidR="00964B3A" w:rsidRPr="007F6DB6" w:rsidRDefault="00964B3A" w:rsidP="00964B3A">
      <w:pPr>
        <w:pStyle w:val="List-BulletLvl1"/>
      </w:pPr>
      <w:r w:rsidRPr="007F6DB6">
        <w:t xml:space="preserve">Stakeholders were pleased to see the additional focus on young people in the draft </w:t>
      </w:r>
      <w:r w:rsidR="00BA081E">
        <w:t>s</w:t>
      </w:r>
      <w:r w:rsidRPr="007F6DB6">
        <w:t xml:space="preserve">trategy. </w:t>
      </w:r>
    </w:p>
    <w:p w14:paraId="239617F5" w14:textId="77777777" w:rsidR="00964B3A" w:rsidRPr="007F6DB6" w:rsidRDefault="00964B3A" w:rsidP="00964B3A">
      <w:pPr>
        <w:pStyle w:val="List-BulletLvl1"/>
      </w:pPr>
      <w:r w:rsidRPr="007F6DB6">
        <w:t xml:space="preserve">Stakeholders highlighted how young people are essentially a culture of their own, and therefore there must be a focus on a strategy, services and campaigns that are by young people, for young people. </w:t>
      </w:r>
    </w:p>
    <w:p w14:paraId="5021E28D" w14:textId="0DFAF0C1" w:rsidR="00964B3A" w:rsidRPr="007F6DB6" w:rsidRDefault="00964B3A" w:rsidP="00964B3A">
      <w:pPr>
        <w:pStyle w:val="List-BulletLvl1"/>
      </w:pPr>
      <w:r w:rsidRPr="007F6DB6">
        <w:t xml:space="preserve">There was a desire from stakeholders to see more of a focus on the Asian community and retirees in the </w:t>
      </w:r>
      <w:r w:rsidR="002B1B0A">
        <w:t>draft s</w:t>
      </w:r>
      <w:r w:rsidRPr="007F6DB6">
        <w:t xml:space="preserve">trategy. </w:t>
      </w:r>
    </w:p>
    <w:p w14:paraId="3EFD1F2D" w14:textId="3C4A2284" w:rsidR="00964B3A" w:rsidRPr="007F6DB6" w:rsidRDefault="00964B3A" w:rsidP="00964B3A">
      <w:pPr>
        <w:pStyle w:val="List-BulletLvl1"/>
      </w:pPr>
      <w:r w:rsidRPr="007F6DB6">
        <w:t xml:space="preserve">International students were well-represented at both the Lived Experience and Asian hui in particular. Stakeholders noted that international students often come from countries where gambling is illegal, and do not have support systems in place in New Zealand. Therefore, there </w:t>
      </w:r>
      <w:r w:rsidR="002B1B0A">
        <w:t xml:space="preserve">should be additional </w:t>
      </w:r>
      <w:r w:rsidRPr="007F6DB6">
        <w:t xml:space="preserve">focus on prevention (rather than just addressing harm once it has occurred) for these communities. </w:t>
      </w:r>
    </w:p>
    <w:p w14:paraId="0FA1E707" w14:textId="77777777" w:rsidR="00964B3A" w:rsidRPr="007F6DB6" w:rsidRDefault="00964B3A" w:rsidP="00964B3A">
      <w:pPr>
        <w:pStyle w:val="Heading3-NOTinTOC"/>
      </w:pPr>
      <w:bookmarkStart w:id="8" w:name="_Toc84433605"/>
      <w:r w:rsidRPr="007F6DB6">
        <w:t>Effective implementation</w:t>
      </w:r>
      <w:bookmarkEnd w:id="8"/>
    </w:p>
    <w:p w14:paraId="5128BDAD" w14:textId="0CB8308C" w:rsidR="00964B3A" w:rsidRPr="007F6DB6" w:rsidRDefault="00964B3A" w:rsidP="00964B3A">
      <w:pPr>
        <w:pStyle w:val="List-BulletLvl1"/>
      </w:pPr>
      <w:r w:rsidRPr="007F6DB6">
        <w:t xml:space="preserve">Stakeholders repeatedly mentioned the need for clarity in planning and implementation and asked for more detail on how the </w:t>
      </w:r>
      <w:r w:rsidR="002B1B0A">
        <w:t>draft s</w:t>
      </w:r>
      <w:r w:rsidRPr="007F6DB6">
        <w:t xml:space="preserve">trategy would be implemented. </w:t>
      </w:r>
    </w:p>
    <w:p w14:paraId="2301704A" w14:textId="77777777" w:rsidR="00964B3A" w:rsidRPr="007F6DB6" w:rsidRDefault="00964B3A" w:rsidP="00964B3A">
      <w:pPr>
        <w:pStyle w:val="Heading3-NOTinTOC"/>
      </w:pPr>
      <w:bookmarkStart w:id="9" w:name="_Toc84433606"/>
      <w:r w:rsidRPr="007F6DB6">
        <w:t>Education and training</w:t>
      </w:r>
      <w:bookmarkEnd w:id="9"/>
    </w:p>
    <w:p w14:paraId="093D8394" w14:textId="5B071AF2" w:rsidR="00964B3A" w:rsidRPr="007F6DB6" w:rsidRDefault="00964B3A" w:rsidP="00964B3A">
      <w:pPr>
        <w:pStyle w:val="List-BulletLvl1"/>
      </w:pPr>
      <w:r w:rsidRPr="007F6DB6">
        <w:t xml:space="preserve">Stakeholders noted the importance of training and education being fit for purpose, culturally appropriate and reflected in the </w:t>
      </w:r>
      <w:r w:rsidR="002B1B0A">
        <w:t>draft s</w:t>
      </w:r>
      <w:r w:rsidRPr="007F6DB6">
        <w:t xml:space="preserve">trategy. Stakeholders again emphasised that the best way to do this </w:t>
      </w:r>
      <w:r w:rsidR="002B1B0A">
        <w:t>was</w:t>
      </w:r>
      <w:r w:rsidRPr="007F6DB6">
        <w:t xml:space="preserve"> to design and implement programmes with the communities involved. </w:t>
      </w:r>
    </w:p>
    <w:p w14:paraId="17ED7D30" w14:textId="77777777" w:rsidR="00964B3A" w:rsidRPr="007F6DB6" w:rsidRDefault="00964B3A" w:rsidP="00964B3A">
      <w:pPr>
        <w:pStyle w:val="List-BulletLvl1"/>
      </w:pPr>
      <w:r w:rsidRPr="007F6DB6">
        <w:t xml:space="preserve">Stakeholders expressed a lot of interest in the Level 7 Qualification scholarships, and some support. Some stakeholders suggested that this could be a secondary school qualification (Level 2 or 3), to provide further-reaching opportunities.  </w:t>
      </w:r>
    </w:p>
    <w:p w14:paraId="0CE86BAA" w14:textId="77777777" w:rsidR="00964B3A" w:rsidRPr="007F6DB6" w:rsidRDefault="00964B3A" w:rsidP="00964B3A">
      <w:pPr>
        <w:pStyle w:val="Heading3-NOTinTOC"/>
      </w:pPr>
      <w:bookmarkStart w:id="10" w:name="_Toc84433607"/>
      <w:r w:rsidRPr="007F6DB6">
        <w:lastRenderedPageBreak/>
        <w:t>Online gambling and gaming</w:t>
      </w:r>
      <w:bookmarkEnd w:id="10"/>
    </w:p>
    <w:p w14:paraId="4B770856" w14:textId="77777777" w:rsidR="00964B3A" w:rsidRPr="007F6DB6" w:rsidRDefault="00964B3A" w:rsidP="00964B3A">
      <w:pPr>
        <w:pStyle w:val="List-BulletLvl1"/>
      </w:pPr>
      <w:r w:rsidRPr="007F6DB6">
        <w:t xml:space="preserve">The concept of ‘gaming’ (more general than ‘gambling’) was raised in several hui by multiple stakeholders. Stakeholders were particularly concerned with ‘loot boxes’ and other forms of online games which require participants to spend money, and felt that more needed to be done to prevent harm in this area, particularly for young people. </w:t>
      </w:r>
    </w:p>
    <w:p w14:paraId="3087B232" w14:textId="014BD12A" w:rsidR="00964B3A" w:rsidRPr="007F6DB6" w:rsidRDefault="00964B3A" w:rsidP="00964B3A">
      <w:pPr>
        <w:pStyle w:val="List-BulletLvl1"/>
      </w:pPr>
      <w:r w:rsidRPr="007F6DB6">
        <w:t xml:space="preserve">Some stakeholders expressed a desire for regulation/the levy to be extended to cover online gambling and gaming. They also noted that online gaming in the community should be tackled as part of the </w:t>
      </w:r>
      <w:r w:rsidR="00750A04">
        <w:t>s</w:t>
      </w:r>
      <w:r w:rsidRPr="007F6DB6">
        <w:t>trategy.</w:t>
      </w:r>
    </w:p>
    <w:p w14:paraId="60CBF1AB" w14:textId="77777777" w:rsidR="00964B3A" w:rsidRPr="007F6DB6" w:rsidRDefault="00964B3A" w:rsidP="00964B3A">
      <w:pPr>
        <w:pStyle w:val="Heading3-NOTinTOC"/>
      </w:pPr>
      <w:bookmarkStart w:id="11" w:name="_Toc84433608"/>
      <w:r w:rsidRPr="007F6DB6">
        <w:t>NCGMs and de-stigmatisation</w:t>
      </w:r>
      <w:bookmarkEnd w:id="11"/>
      <w:r w:rsidRPr="007F6DB6">
        <w:t xml:space="preserve"> </w:t>
      </w:r>
    </w:p>
    <w:p w14:paraId="0B030E3B" w14:textId="77777777" w:rsidR="00964B3A" w:rsidRPr="007F6DB6" w:rsidRDefault="00964B3A" w:rsidP="00964B3A">
      <w:pPr>
        <w:pStyle w:val="List-BulletLvl1"/>
      </w:pPr>
      <w:r w:rsidRPr="007F6DB6">
        <w:t xml:space="preserve">Stakeholders in several hui focused on de-stigmatisation. In particular, they stated that there should be more visibility and awareness of how NCGMs work. This should include moving away from telling people that they have a problem controlling themselves and providing more information about how the design of NCGMs leads to addiction. </w:t>
      </w:r>
    </w:p>
    <w:p w14:paraId="0F45B07F" w14:textId="2CD6E26C" w:rsidR="00964B3A" w:rsidRPr="007F6DB6" w:rsidRDefault="00964B3A" w:rsidP="00964B3A">
      <w:pPr>
        <w:pStyle w:val="List-BulletLvl1"/>
      </w:pPr>
      <w:r w:rsidRPr="007F6DB6">
        <w:t xml:space="preserve">Stakeholders </w:t>
      </w:r>
      <w:r w:rsidR="00680DB1">
        <w:t>also wanted</w:t>
      </w:r>
      <w:r w:rsidRPr="007F6DB6">
        <w:t xml:space="preserve"> to see a reduction in the number of NCGMs, particularly in poor communities. </w:t>
      </w:r>
    </w:p>
    <w:p w14:paraId="7F90C16A" w14:textId="77777777" w:rsidR="00964B3A" w:rsidRPr="007F6DB6" w:rsidRDefault="00964B3A" w:rsidP="00964B3A">
      <w:pPr>
        <w:pStyle w:val="Heading3-NOTinTOC"/>
      </w:pPr>
      <w:bookmarkStart w:id="12" w:name="_Toc84433609"/>
      <w:r w:rsidRPr="007F6DB6">
        <w:t>Other issues</w:t>
      </w:r>
      <w:bookmarkEnd w:id="12"/>
    </w:p>
    <w:p w14:paraId="6F58F212" w14:textId="77777777" w:rsidR="00964B3A" w:rsidRPr="007F6DB6" w:rsidRDefault="00964B3A" w:rsidP="00964B3A">
      <w:pPr>
        <w:pStyle w:val="List-BulletLvl1"/>
      </w:pPr>
      <w:r w:rsidRPr="007F6DB6">
        <w:t xml:space="preserve">Stakeholders expressed strong concerns about the decrease in the research budget. </w:t>
      </w:r>
    </w:p>
    <w:p w14:paraId="3A838D16" w14:textId="77777777" w:rsidR="00680DB1" w:rsidRDefault="00964B3A" w:rsidP="00964B3A">
      <w:pPr>
        <w:pStyle w:val="List-BulletLvl1"/>
      </w:pPr>
      <w:r w:rsidRPr="007F6DB6">
        <w:t xml:space="preserve">Stakeholders noted the importance of holistic services, and the recognition of gambling harm in conjunction with other types of addiction and mental health considerations. </w:t>
      </w:r>
    </w:p>
    <w:p w14:paraId="424B9267" w14:textId="177A9118" w:rsidR="00964B3A" w:rsidRPr="007F6DB6" w:rsidRDefault="00964B3A" w:rsidP="00964B3A">
      <w:pPr>
        <w:pStyle w:val="List-BulletLvl1"/>
      </w:pPr>
      <w:r w:rsidRPr="007F6DB6">
        <w:t>Stakeholders want</w:t>
      </w:r>
      <w:r w:rsidR="00680DB1">
        <w:t>ed</w:t>
      </w:r>
      <w:r w:rsidRPr="007F6DB6">
        <w:t xml:space="preserve"> to see more linking between gambling harm and other addition and mental health services. Peer support is one thing that has worked well in mental health and </w:t>
      </w:r>
      <w:r w:rsidR="00750A04">
        <w:t>alcohol and other drug addiction</w:t>
      </w:r>
      <w:r w:rsidRPr="007F6DB6">
        <w:t xml:space="preserve"> services that gambling can learn from. </w:t>
      </w:r>
    </w:p>
    <w:p w14:paraId="683C489D" w14:textId="77777777" w:rsidR="00964B3A" w:rsidRPr="007F6DB6" w:rsidRDefault="00964B3A" w:rsidP="00964B3A">
      <w:pPr>
        <w:pStyle w:val="List-BulletLvl1"/>
      </w:pPr>
      <w:r w:rsidRPr="007F6DB6">
        <w:t>Host responsibility was a strong concern for many stakeholders (particularly those with lived experience), and it was suggested that training to recognise gambling harm could be linked to alcohol training.</w:t>
      </w:r>
    </w:p>
    <w:p w14:paraId="3A3CB90F" w14:textId="01F4C60D" w:rsidR="00521D3F" w:rsidRDefault="00521D3F" w:rsidP="00132E36">
      <w:pPr>
        <w:pStyle w:val="Heading2"/>
      </w:pPr>
      <w:bookmarkStart w:id="13" w:name="_Toc88637524"/>
      <w:r>
        <w:t>Lived experience</w:t>
      </w:r>
      <w:r w:rsidR="00801262">
        <w:t xml:space="preserve"> stories</w:t>
      </w:r>
      <w:bookmarkEnd w:id="13"/>
    </w:p>
    <w:p w14:paraId="5DC0B058" w14:textId="5A164189" w:rsidR="004F2872" w:rsidRDefault="00801262" w:rsidP="00801262">
      <w:pPr>
        <w:pStyle w:val="BodyText"/>
      </w:pPr>
      <w:r>
        <w:t xml:space="preserve">The consultation hui </w:t>
      </w:r>
      <w:r w:rsidR="00BB66B3">
        <w:t>were attended by a number of stakeholders who shared stories of their lived experience of gambling har</w:t>
      </w:r>
      <w:r w:rsidR="005654AA">
        <w:t xml:space="preserve">m, either their own, or </w:t>
      </w:r>
      <w:r w:rsidR="00C85433">
        <w:t xml:space="preserve">that of a whānau member. </w:t>
      </w:r>
      <w:r w:rsidR="007D4E5A">
        <w:t xml:space="preserve">Some service providers also spoke on behalf of clients. </w:t>
      </w:r>
      <w:r w:rsidR="004F2872">
        <w:t xml:space="preserve">Stories of lived experienced are summarised below. </w:t>
      </w:r>
    </w:p>
    <w:p w14:paraId="0B264A8F" w14:textId="020307F2" w:rsidR="00057EC6" w:rsidRDefault="00165C27" w:rsidP="00801262">
      <w:pPr>
        <w:pStyle w:val="BodyText"/>
      </w:pPr>
      <w:r>
        <w:t xml:space="preserve">Stakeholders with lived experience </w:t>
      </w:r>
      <w:r w:rsidR="00A41096">
        <w:t>wanted to see changes to policies to identify problem gamblers in venues</w:t>
      </w:r>
      <w:r w:rsidR="00FD4A4D">
        <w:t xml:space="preserve">. Stakeholders emphasised that staff in venues have an important role to play in identifying gamblers and </w:t>
      </w:r>
      <w:r w:rsidR="00314B9B">
        <w:t xml:space="preserve">that policies are not currently providing the mandate required. </w:t>
      </w:r>
      <w:r w:rsidR="00AC2F00">
        <w:t xml:space="preserve">In particular, stakeholders were concerned about the perceived slowness of policy change, when it was so obvious that problems existed. </w:t>
      </w:r>
      <w:r w:rsidR="00405C3D">
        <w:t>Stakeholders discussed the consequences for venu</w:t>
      </w:r>
      <w:r w:rsidR="005C7177">
        <w:t xml:space="preserve">e owners on breaching alcohol licensing rules and considered that the consequences with respect to gambling harm could be much stricter. </w:t>
      </w:r>
    </w:p>
    <w:p w14:paraId="6F8B8C9B" w14:textId="1BA9B8A9" w:rsidR="004C30D7" w:rsidRDefault="00243FBE" w:rsidP="00801262">
      <w:pPr>
        <w:pStyle w:val="BodyText"/>
      </w:pPr>
      <w:r>
        <w:lastRenderedPageBreak/>
        <w:t xml:space="preserve">In addition, stakeholders questioned why there was no formal training for bar staff, including bringing in people with lived experience to </w:t>
      </w:r>
      <w:r w:rsidR="00872E7C">
        <w:t xml:space="preserve">educate bar staff on what gambling addiction looks like, and how to </w:t>
      </w:r>
      <w:r w:rsidR="00BE4B86">
        <w:t xml:space="preserve">identify and help people. </w:t>
      </w:r>
    </w:p>
    <w:p w14:paraId="04FE5460" w14:textId="12F40E92" w:rsidR="00803206" w:rsidRDefault="00803206" w:rsidP="00801262">
      <w:pPr>
        <w:pStyle w:val="BodyText"/>
      </w:pPr>
      <w:r>
        <w:t xml:space="preserve">Stakeholders with lived experience also emphasised the </w:t>
      </w:r>
      <w:r w:rsidR="009966F0">
        <w:t xml:space="preserve">risk of developing co-morbidities, with one stakeholder giving the example of being offered drugs at a casino. Stakeholders considered that a more comprehensive approach within drug and alcohol residence services could be adopted to address the manifestation of gambling harm with other addictions. </w:t>
      </w:r>
    </w:p>
    <w:p w14:paraId="7130D7C3" w14:textId="2BD835E2" w:rsidR="00B5195F" w:rsidRDefault="00B5195F" w:rsidP="00801262">
      <w:pPr>
        <w:pStyle w:val="BodyText"/>
      </w:pPr>
      <w:r>
        <w:t xml:space="preserve">Many of the lived experience stakeholders came from migrant or international student backgrounds, and highlighted </w:t>
      </w:r>
      <w:r w:rsidR="001B2094">
        <w:t xml:space="preserve">gambling </w:t>
      </w:r>
      <w:r>
        <w:t xml:space="preserve">as a particular risk area. </w:t>
      </w:r>
      <w:r w:rsidR="002B63FA">
        <w:t xml:space="preserve">International students are away from their families and often have limited support systems, which </w:t>
      </w:r>
      <w:r w:rsidR="00654E67">
        <w:t xml:space="preserve">means that they can more easily fall into gambling harm, and struggle to get out of it. </w:t>
      </w:r>
    </w:p>
    <w:p w14:paraId="4A37F394" w14:textId="45813CD3" w:rsidR="00654E67" w:rsidRDefault="00654E67" w:rsidP="00801262">
      <w:pPr>
        <w:pStyle w:val="BodyText"/>
      </w:pPr>
      <w:r>
        <w:t>Stakeholders also commented on the shame of gambling</w:t>
      </w:r>
      <w:r w:rsidR="001C3DF9">
        <w:t xml:space="preserve">. Gambling was seen as a ‘hidden disease’, unlike something like alcoholism. Stakeholders noted that someone could be spending thousands of dollars a day, and it would be hard to see. </w:t>
      </w:r>
      <w:r w:rsidR="005C7177">
        <w:t xml:space="preserve">In addition, some stakeholders considered that in monetary terms, problem gambling was a much bigger issue than alcohol abuse. </w:t>
      </w:r>
    </w:p>
    <w:p w14:paraId="53402E6E" w14:textId="4A455690" w:rsidR="005C7177" w:rsidRDefault="005C7177" w:rsidP="00801262">
      <w:pPr>
        <w:pStyle w:val="BodyText"/>
      </w:pPr>
      <w:r>
        <w:t>Some stakeholders also n</w:t>
      </w:r>
      <w:r w:rsidR="00AE0AA4">
        <w:t xml:space="preserve">oted the warning labels on </w:t>
      </w:r>
      <w:r w:rsidR="00F84CB7">
        <w:t>things like cigarettes and alcohol</w:t>
      </w:r>
      <w:r w:rsidR="0049621D">
        <w:t xml:space="preserve"> </w:t>
      </w:r>
      <w:r w:rsidR="00F84CB7">
        <w:t xml:space="preserve">and wondered whether similar campaigns could be run for gambling. </w:t>
      </w:r>
      <w:r w:rsidR="0049621D">
        <w:t xml:space="preserve">Stakeholders also wanted to see advertising and outside signage banned. </w:t>
      </w:r>
    </w:p>
    <w:p w14:paraId="0B88703F" w14:textId="58204EA7" w:rsidR="008339C7" w:rsidRDefault="008339C7" w:rsidP="00801262">
      <w:pPr>
        <w:pStyle w:val="BodyText"/>
      </w:pPr>
      <w:r>
        <w:t xml:space="preserve">Lived experience stakeholders expressed strong support for including people with lived experience in the </w:t>
      </w:r>
      <w:r w:rsidR="00FE02A8">
        <w:t>workforce, and noted that this could take a number of avenues:</w:t>
      </w:r>
    </w:p>
    <w:p w14:paraId="54B123EA" w14:textId="6E8B85CC" w:rsidR="00FE02A8" w:rsidRDefault="00C3571D" w:rsidP="00FE02A8">
      <w:pPr>
        <w:pStyle w:val="List-BulletLvl1"/>
      </w:pPr>
      <w:r>
        <w:t>sharing stories in a peer capacity</w:t>
      </w:r>
    </w:p>
    <w:p w14:paraId="789A6E4A" w14:textId="0C19C35D" w:rsidR="00C3571D" w:rsidRDefault="00CF6CAB" w:rsidP="00FE02A8">
      <w:pPr>
        <w:pStyle w:val="List-BulletLvl1"/>
      </w:pPr>
      <w:r>
        <w:t xml:space="preserve">supporting someone who is trying to make changes in the context of their own experiences. </w:t>
      </w:r>
    </w:p>
    <w:p w14:paraId="34A2150E" w14:textId="5DF61594" w:rsidR="008F2731" w:rsidRDefault="008F2731" w:rsidP="008F2731">
      <w:pPr>
        <w:pStyle w:val="BodyText"/>
      </w:pPr>
      <w:r>
        <w:t xml:space="preserve">Lived experience stakeholders also strongly supported better involvement of whānau and ‘affected others’ in services, noting that gambling harm affects more people than just the person gambling. </w:t>
      </w:r>
    </w:p>
    <w:p w14:paraId="5A20613D" w14:textId="4DDD34BB" w:rsidR="00132E36" w:rsidRDefault="00904869" w:rsidP="00132E36">
      <w:pPr>
        <w:pStyle w:val="Heading2"/>
      </w:pPr>
      <w:bookmarkStart w:id="14" w:name="_Toc88637525"/>
      <w:r>
        <w:t>Key themes from written submissions</w:t>
      </w:r>
      <w:bookmarkEnd w:id="14"/>
    </w:p>
    <w:p w14:paraId="732AE088" w14:textId="70AEC439" w:rsidR="000A1D24" w:rsidRDefault="000A1D24" w:rsidP="00904869">
      <w:pPr>
        <w:pStyle w:val="Heading3-NOTinTOC"/>
      </w:pPr>
      <w:r>
        <w:t xml:space="preserve">Submitters considered equity to be </w:t>
      </w:r>
      <w:r w:rsidR="00C13C80">
        <w:t>an essential element of the draft strategy</w:t>
      </w:r>
    </w:p>
    <w:p w14:paraId="6053C36D" w14:textId="3B5EA257" w:rsidR="00C13C80" w:rsidRPr="00C13C80" w:rsidRDefault="00C13C80" w:rsidP="00C13C80">
      <w:pPr>
        <w:pStyle w:val="BodyText"/>
      </w:pPr>
      <w:r>
        <w:t xml:space="preserve">Submitters from all sectors considered equity to be an essential element of the draft strategy, </w:t>
      </w:r>
      <w:r w:rsidR="00CB61E5">
        <w:t>which ran through all aspects of the consultation document. T</w:t>
      </w:r>
      <w:r>
        <w:t xml:space="preserve">he vast majority </w:t>
      </w:r>
      <w:r w:rsidR="00CB61E5">
        <w:t xml:space="preserve">supported the focus on equity. However, many submitters were concerned that the draft strategy did not go far enough in </w:t>
      </w:r>
      <w:r w:rsidR="00DB1D36">
        <w:t xml:space="preserve">outlining clear targets, structures and methods for actually achieving equity, and wanted to see more about how and where equity would be </w:t>
      </w:r>
      <w:r w:rsidR="00731366">
        <w:t xml:space="preserve">implemented. </w:t>
      </w:r>
    </w:p>
    <w:p w14:paraId="17BFFF2B" w14:textId="3459C6C2" w:rsidR="00904869" w:rsidRDefault="00904869" w:rsidP="00904869">
      <w:pPr>
        <w:pStyle w:val="Heading3-NOTinTOC"/>
      </w:pPr>
      <w:r>
        <w:t>Some submitters considered that the current strategy was not working</w:t>
      </w:r>
    </w:p>
    <w:p w14:paraId="366A7AE4" w14:textId="40C37B72" w:rsidR="00D72FBC" w:rsidRDefault="002A5112" w:rsidP="00D72FBC">
      <w:pPr>
        <w:pStyle w:val="BodyText"/>
      </w:pPr>
      <w:r>
        <w:t>NCGM submitters and</w:t>
      </w:r>
      <w:r w:rsidR="00D72FBC">
        <w:t xml:space="preserve"> gambling industry submitters strongly considered that the current </w:t>
      </w:r>
      <w:r w:rsidR="00F25E05">
        <w:t>s</w:t>
      </w:r>
      <w:r w:rsidR="00D72FBC">
        <w:t xml:space="preserve">trategy </w:t>
      </w:r>
      <w:r w:rsidR="00904869">
        <w:t>was</w:t>
      </w:r>
      <w:r w:rsidR="00D72FBC">
        <w:t xml:space="preserve"> not working, as funding ha</w:t>
      </w:r>
      <w:r w:rsidR="00904869">
        <w:t>d</w:t>
      </w:r>
      <w:r w:rsidR="00D72FBC">
        <w:t xml:space="preserve"> been high, and the prevalence of problem gambling ha</w:t>
      </w:r>
      <w:r w:rsidR="00904869">
        <w:t>d</w:t>
      </w:r>
      <w:r w:rsidR="00D72FBC">
        <w:t xml:space="preserve"> not decreased.</w:t>
      </w:r>
    </w:p>
    <w:p w14:paraId="3D6F00AA" w14:textId="75146524" w:rsidR="0002709E" w:rsidRDefault="0002709E" w:rsidP="0002709E">
      <w:pPr>
        <w:pStyle w:val="Heading3-NOTinTOC"/>
      </w:pPr>
      <w:r>
        <w:lastRenderedPageBreak/>
        <w:t>Submitters from all sectors wanted to see greater focus on online gambling and gaming</w:t>
      </w:r>
    </w:p>
    <w:p w14:paraId="02EB3363" w14:textId="2097D99F" w:rsidR="0002709E" w:rsidRDefault="00096C49" w:rsidP="0002709E">
      <w:pPr>
        <w:pStyle w:val="BodyText"/>
      </w:pPr>
      <w:r>
        <w:t xml:space="preserve">Submitters from all sectors expressed concern about online gambling and gaming </w:t>
      </w:r>
      <w:r w:rsidR="00724699">
        <w:t xml:space="preserve">and noted that the draft strategy had a long way to go to appropriately address online gambling and gaming. </w:t>
      </w:r>
      <w:r>
        <w:t>and wanted to see increased focus on:</w:t>
      </w:r>
    </w:p>
    <w:p w14:paraId="0CFED5B9" w14:textId="0547702B" w:rsidR="00096C49" w:rsidRDefault="00096C49" w:rsidP="00096C49">
      <w:pPr>
        <w:pStyle w:val="List-BulletLvl1"/>
      </w:pPr>
      <w:r>
        <w:t>research into the impacts of online gambling and gaming, particularly with respect to priority populations (Pacific</w:t>
      </w:r>
      <w:r w:rsidR="002E4B4D">
        <w:t>,</w:t>
      </w:r>
      <w:r>
        <w:t xml:space="preserve"> and </w:t>
      </w:r>
      <w:r w:rsidR="008E2AFE">
        <w:t>rangatahi, and international students</w:t>
      </w:r>
      <w:r>
        <w:t>)</w:t>
      </w:r>
    </w:p>
    <w:p w14:paraId="04E6AA85" w14:textId="6450B622" w:rsidR="00724699" w:rsidRPr="0002709E" w:rsidRDefault="00711452" w:rsidP="00661C3E">
      <w:pPr>
        <w:pStyle w:val="List-BulletLvl1"/>
      </w:pPr>
      <w:r>
        <w:t>specific service provision for online gambling</w:t>
      </w:r>
      <w:r w:rsidR="008E2AFE">
        <w:t>.</w:t>
      </w:r>
    </w:p>
    <w:p w14:paraId="2DF948E2" w14:textId="53DF72B3" w:rsidR="00D72FBC" w:rsidRPr="004501D6" w:rsidRDefault="00D72FBC" w:rsidP="004501D6">
      <w:pPr>
        <w:pStyle w:val="Heading3-NOTinTOC"/>
      </w:pPr>
      <w:r w:rsidRPr="002A5112">
        <w:t xml:space="preserve">Service providers considered that </w:t>
      </w:r>
      <w:r w:rsidR="0002709E">
        <w:t xml:space="preserve">online </w:t>
      </w:r>
      <w:r w:rsidRPr="002A5112">
        <w:t>service provision could be improved</w:t>
      </w:r>
    </w:p>
    <w:p w14:paraId="3ABC1AC3" w14:textId="31ED9D61" w:rsidR="00156C3F" w:rsidRDefault="0032305F" w:rsidP="00D72FBC">
      <w:pPr>
        <w:pStyle w:val="BodyText"/>
      </w:pPr>
      <w:r>
        <w:t>S</w:t>
      </w:r>
      <w:r w:rsidR="00D72FBC">
        <w:t xml:space="preserve">ervice providers </w:t>
      </w:r>
      <w:r w:rsidR="00904869">
        <w:t>saw</w:t>
      </w:r>
      <w:r w:rsidR="00D72FBC">
        <w:t xml:space="preserve"> a need to expand services into the online space. </w:t>
      </w:r>
      <w:r w:rsidR="00156C3F">
        <w:t>Providers referenced:</w:t>
      </w:r>
    </w:p>
    <w:p w14:paraId="16CDA8F9" w14:textId="734A9679" w:rsidR="00156C3F" w:rsidRDefault="00D72FBC" w:rsidP="00156C3F">
      <w:pPr>
        <w:pStyle w:val="List-BulletLvl1"/>
      </w:pPr>
      <w:r>
        <w:t>the changing nature of face-to-face services due to COVID-19 and the associated increase in online gambling and stated that this has not been acknowledged in the draft service plan</w:t>
      </w:r>
    </w:p>
    <w:p w14:paraId="418EBC41" w14:textId="60BB6145" w:rsidR="00D72FBC" w:rsidRDefault="00156C3F" w:rsidP="004501D6">
      <w:pPr>
        <w:pStyle w:val="List-BulletLvl1"/>
      </w:pPr>
      <w:r>
        <w:t>the need for more s</w:t>
      </w:r>
      <w:r w:rsidR="00D72FBC">
        <w:t xml:space="preserve">elf-help groups or forums accessible face-to-face and online in New Zealand as these are scarce and push tangata </w:t>
      </w:r>
      <w:r w:rsidR="004F15F2">
        <w:t>whaiora</w:t>
      </w:r>
      <w:r w:rsidR="00D72FBC">
        <w:t xml:space="preserve"> to seek these forums on overseas websites.</w:t>
      </w:r>
    </w:p>
    <w:p w14:paraId="10B9EAB3" w14:textId="72374ED3" w:rsidR="00B20AD6" w:rsidRDefault="00B20AD6" w:rsidP="00B20AD6">
      <w:pPr>
        <w:pStyle w:val="Heading3-NOTinTOC"/>
      </w:pPr>
      <w:r>
        <w:t xml:space="preserve">NCGM submitters </w:t>
      </w:r>
      <w:r w:rsidR="00DD0AB8">
        <w:t>wanted to see an overhaul of service provision</w:t>
      </w:r>
    </w:p>
    <w:p w14:paraId="6A081168" w14:textId="4D7E2790" w:rsidR="00D72FBC" w:rsidRPr="00C4137A" w:rsidRDefault="00D72FBC" w:rsidP="00D72FBC">
      <w:pPr>
        <w:pStyle w:val="BodyText"/>
      </w:pPr>
      <w:r>
        <w:t>NCGM submitters want</w:t>
      </w:r>
      <w:r w:rsidR="00E8172E">
        <w:t>ed to see</w:t>
      </w:r>
      <w:r>
        <w:t xml:space="preserve"> an overhaul of service provision, including targets for service providers, and integration of addiction service</w:t>
      </w:r>
      <w:r w:rsidR="002E4B4D">
        <w:t>s</w:t>
      </w:r>
      <w:r>
        <w:t xml:space="preserve">. NCGM submitters commented that the strategy should include clear targets </w:t>
      </w:r>
      <w:r w:rsidR="00E8172E">
        <w:t>to</w:t>
      </w:r>
      <w:r>
        <w:t xml:space="preserve"> be considered during the allocation of levy money.</w:t>
      </w:r>
      <w:r w:rsidRPr="00EF7075">
        <w:rPr>
          <w:rStyle w:val="FootnoteReference"/>
        </w:rPr>
        <w:t xml:space="preserve"> </w:t>
      </w:r>
    </w:p>
    <w:p w14:paraId="5290AE87" w14:textId="11CAF887" w:rsidR="00D72FBC" w:rsidRDefault="00D72FBC" w:rsidP="00D72FBC">
      <w:pPr>
        <w:pStyle w:val="BodyText"/>
      </w:pPr>
      <w:r>
        <w:t>NCGM</w:t>
      </w:r>
      <w:r w:rsidR="00156C3F">
        <w:t xml:space="preserve"> </w:t>
      </w:r>
      <w:r>
        <w:t>submitters</w:t>
      </w:r>
      <w:r w:rsidR="000E74FB">
        <w:t xml:space="preserve"> also</w:t>
      </w:r>
      <w:r>
        <w:t xml:space="preserve"> commented on the need for more accessible face-to-face counselling and longer-term support.</w:t>
      </w:r>
    </w:p>
    <w:p w14:paraId="13845287" w14:textId="551896BA" w:rsidR="00D72FBC" w:rsidRDefault="00D72FBC" w:rsidP="00D72FBC">
      <w:pPr>
        <w:pStyle w:val="BodyText"/>
      </w:pPr>
      <w:r>
        <w:t xml:space="preserve">NCGM submitters were critical of current </w:t>
      </w:r>
      <w:r w:rsidR="00DB442D">
        <w:t>preventing and minimi</w:t>
      </w:r>
      <w:r w:rsidR="000A1399">
        <w:t>sing gambling harm (</w:t>
      </w:r>
      <w:r>
        <w:t>PMGH</w:t>
      </w:r>
      <w:r w:rsidR="000A1399">
        <w:t>)</w:t>
      </w:r>
      <w:r>
        <w:t xml:space="preserve"> service providers and </w:t>
      </w:r>
      <w:r w:rsidR="001D138B">
        <w:t xml:space="preserve">considered that in spite of </w:t>
      </w:r>
      <w:r w:rsidR="00764F79">
        <w:t>the funding available</w:t>
      </w:r>
      <w:r>
        <w:t xml:space="preserve">, current providers </w:t>
      </w:r>
      <w:r w:rsidR="001A498D">
        <w:t xml:space="preserve">were </w:t>
      </w:r>
      <w:r>
        <w:t>not equipped or willing to travel to clients who cannot come to the office or see clients after hours/on weekends</w:t>
      </w:r>
      <w:r w:rsidR="00156C3F">
        <w:t xml:space="preserve">. </w:t>
      </w:r>
      <w:r>
        <w:t xml:space="preserve">These submitters stated that </w:t>
      </w:r>
      <w:r w:rsidR="00B44D9A">
        <w:t>the Ministry of Health (</w:t>
      </w:r>
      <w:r>
        <w:t>the Ministry</w:t>
      </w:r>
      <w:r w:rsidR="00B44D9A">
        <w:t>)</w:t>
      </w:r>
      <w:r>
        <w:t xml:space="preserve"> must move away from funding services in set geographical areas Monday to Friday 9am-5pm, and instead require providers to be on call, provide afterhours and weekend support and travel to clients if necessary.</w:t>
      </w:r>
    </w:p>
    <w:p w14:paraId="565EC495" w14:textId="3EDC4942" w:rsidR="00D72FBC" w:rsidRPr="00F109FF" w:rsidRDefault="00D72FBC" w:rsidP="00D72FBC">
      <w:pPr>
        <w:pStyle w:val="BodyText"/>
      </w:pPr>
      <w:r>
        <w:t xml:space="preserve">NCGM submitters </w:t>
      </w:r>
      <w:r w:rsidR="00156C3F">
        <w:t xml:space="preserve">also </w:t>
      </w:r>
      <w:r>
        <w:t>wanted the draft service plan to shift focus to long term treatment and support models and stated that the Ministry should require service providers to take reasonable steps to maintain contact with client</w:t>
      </w:r>
      <w:r w:rsidR="002E4B4D">
        <w:t>s</w:t>
      </w:r>
      <w:r>
        <w:t xml:space="preserve"> for a three-year period.</w:t>
      </w:r>
      <w:r w:rsidR="00156C3F">
        <w:t xml:space="preserve"> </w:t>
      </w:r>
      <w:r>
        <w:t>These submitters stated that statistics show most clients receive less than 10 hours of support in total which is insufficient to prevent relapse.</w:t>
      </w:r>
    </w:p>
    <w:p w14:paraId="0CA8632C" w14:textId="0EB9AF6F" w:rsidR="00D72FBC" w:rsidRDefault="00687CF4" w:rsidP="004501D6">
      <w:pPr>
        <w:pStyle w:val="Heading3-NOTinTOC"/>
      </w:pPr>
      <w:r>
        <w:t>Submitters from across sectors considered that more</w:t>
      </w:r>
      <w:r w:rsidR="00D72FBC">
        <w:t xml:space="preserve"> culturally appropriate services </w:t>
      </w:r>
      <w:r>
        <w:t>were</w:t>
      </w:r>
      <w:r w:rsidR="00D72FBC">
        <w:t xml:space="preserve"> required </w:t>
      </w:r>
    </w:p>
    <w:p w14:paraId="32F136B3" w14:textId="537D96B0" w:rsidR="00D72FBC" w:rsidRPr="0004130A" w:rsidRDefault="00D72FBC" w:rsidP="00D72FBC">
      <w:pPr>
        <w:pStyle w:val="BodyText"/>
      </w:pPr>
      <w:r>
        <w:t>Service providers, health and social services submitters, individuals and a local government submitter all considered that culturally appropriate services were required for Māori, Pacific</w:t>
      </w:r>
      <w:r w:rsidR="00982911">
        <w:t>,</w:t>
      </w:r>
      <w:r>
        <w:t xml:space="preserve"> and Asian population groups. </w:t>
      </w:r>
    </w:p>
    <w:p w14:paraId="1A448813" w14:textId="01C708CE" w:rsidR="00D72FBC" w:rsidRPr="00FD1340" w:rsidRDefault="00156C3F" w:rsidP="00D72FBC">
      <w:pPr>
        <w:pStyle w:val="BodyText"/>
      </w:pPr>
      <w:r>
        <w:t>Serv</w:t>
      </w:r>
      <w:r w:rsidR="00D72FBC">
        <w:t xml:space="preserve">ice providers considered that more culturally appropriate services </w:t>
      </w:r>
      <w:r w:rsidR="00E8172E">
        <w:t>wer</w:t>
      </w:r>
      <w:r w:rsidR="00D72FBC">
        <w:t>e required for Māori, Pacific</w:t>
      </w:r>
      <w:r w:rsidR="000E6ACB">
        <w:t>,</w:t>
      </w:r>
      <w:r w:rsidR="00D72FBC">
        <w:t xml:space="preserve"> and Asian population groups</w:t>
      </w:r>
      <w:r w:rsidR="00687CF4">
        <w:t xml:space="preserve">, and in particular, that the diversity of Pacific and Asian peoples should be </w:t>
      </w:r>
      <w:r w:rsidR="00A27511">
        <w:t>recognised</w:t>
      </w:r>
      <w:r w:rsidR="00D72FBC">
        <w:t>.</w:t>
      </w:r>
      <w:r w:rsidR="00687CF4">
        <w:t xml:space="preserve"> </w:t>
      </w:r>
      <w:r>
        <w:t>Service</w:t>
      </w:r>
      <w:r w:rsidR="00D72FBC">
        <w:t xml:space="preserve"> providers specified issues with the National Gambling </w:t>
      </w:r>
      <w:r w:rsidR="00D72FBC">
        <w:lastRenderedPageBreak/>
        <w:t>Helpline for Pacific</w:t>
      </w:r>
      <w:r w:rsidR="00561BA6">
        <w:t>,</w:t>
      </w:r>
      <w:r w:rsidR="00D72FBC">
        <w:t xml:space="preserve"> and Asian communities. </w:t>
      </w:r>
      <w:r>
        <w:t>Submitters also</w:t>
      </w:r>
      <w:r w:rsidR="00D72FBC">
        <w:t xml:space="preserve"> called for the Asian </w:t>
      </w:r>
      <w:r w:rsidR="002E4B4D">
        <w:t>H</w:t>
      </w:r>
      <w:r w:rsidR="00D72FBC">
        <w:t xml:space="preserve">elpline run by Asian Family Services to be extended so it could run as a 24/7 service, while the </w:t>
      </w:r>
      <w:r w:rsidR="006105C7">
        <w:t>others</w:t>
      </w:r>
      <w:r w:rsidR="00D72FBC">
        <w:t xml:space="preserve"> highlighted that having dedicated Pacific staff for the Pacific helpline is essential.</w:t>
      </w:r>
    </w:p>
    <w:p w14:paraId="5224F61A" w14:textId="6559A5AB" w:rsidR="00D72FBC" w:rsidRPr="00FD1340" w:rsidRDefault="006105C7" w:rsidP="00D72FBC">
      <w:pPr>
        <w:pStyle w:val="BodyText"/>
      </w:pPr>
      <w:r>
        <w:t>S</w:t>
      </w:r>
      <w:r w:rsidR="00D72FBC">
        <w:t xml:space="preserve">ervice providers considered that more work should be done to ensure that general PMGH service providers </w:t>
      </w:r>
      <w:r w:rsidR="00193C69">
        <w:t>were</w:t>
      </w:r>
      <w:r w:rsidR="00D72FBC">
        <w:t xml:space="preserve"> equipped to offer culturally appropriate services, as priority populations often access general services as well as culturally specific ones</w:t>
      </w:r>
      <w:r>
        <w:t>.</w:t>
      </w:r>
    </w:p>
    <w:p w14:paraId="6F021BEF" w14:textId="333C932F" w:rsidR="00D72FBC" w:rsidRDefault="006105C7" w:rsidP="00D72FBC">
      <w:pPr>
        <w:pStyle w:val="BodyText"/>
      </w:pPr>
      <w:r>
        <w:t>Service providers also</w:t>
      </w:r>
      <w:r w:rsidR="00D72FBC">
        <w:t xml:space="preserve"> commented on the need for more Kaupapa Māori services and support of alternative support staff in the form of </w:t>
      </w:r>
      <w:r w:rsidR="00D72FBC" w:rsidRPr="008F2C58">
        <w:t>kaiawhina/mataora</w:t>
      </w:r>
      <w:r w:rsidR="00D72FBC">
        <w:t xml:space="preserve"> or Māori approaches to treatment such as </w:t>
      </w:r>
      <w:r w:rsidR="00D72FBC" w:rsidRPr="004E0670">
        <w:t>of wānanga</w:t>
      </w:r>
      <w:r w:rsidR="00D72FBC">
        <w:t>.</w:t>
      </w:r>
    </w:p>
    <w:p w14:paraId="093FF959" w14:textId="4BA96BA0" w:rsidR="00D72FBC" w:rsidRPr="00D6734B" w:rsidRDefault="006105C7" w:rsidP="00230A74">
      <w:pPr>
        <w:pStyle w:val="BodyText"/>
      </w:pPr>
      <w:r>
        <w:t>H</w:t>
      </w:r>
      <w:r w:rsidR="00D72FBC">
        <w:t xml:space="preserve">ealth and social services submitters </w:t>
      </w:r>
      <w:r>
        <w:t xml:space="preserve">also </w:t>
      </w:r>
      <w:r w:rsidR="00D72FBC">
        <w:t>commented on the need for culturally appropriate services</w:t>
      </w:r>
      <w:r w:rsidR="00193C69">
        <w:t>, and</w:t>
      </w:r>
      <w:r w:rsidR="00D72FBC">
        <w:t xml:space="preserve"> called for specific funding commitments for </w:t>
      </w:r>
      <w:r w:rsidR="00D72FBC" w:rsidRPr="00D30C36">
        <w:t>Kaupapa Māori, Pacific, and Asian services</w:t>
      </w:r>
      <w:r w:rsidR="00D72FBC">
        <w:t>, and called for culturally mandated services as first referral options.</w:t>
      </w:r>
      <w:r w:rsidR="006464E1">
        <w:t xml:space="preserve"> Health and social services submitters also </w:t>
      </w:r>
      <w:r w:rsidR="00230A74">
        <w:t xml:space="preserve">considered </w:t>
      </w:r>
      <w:r w:rsidR="00D72FBC">
        <w:t>that the Ministry should ensure there is a culturally appropriate peer support workforce.</w:t>
      </w:r>
    </w:p>
    <w:p w14:paraId="18D25CAC" w14:textId="3D92BA16" w:rsidR="00D72FBC" w:rsidRPr="00987D45" w:rsidRDefault="00D72FBC" w:rsidP="00D72FBC">
      <w:pPr>
        <w:pStyle w:val="BodyText"/>
      </w:pPr>
      <w:r>
        <w:t>Two individual</w:t>
      </w:r>
      <w:r w:rsidR="00A839D6">
        <w:t>s</w:t>
      </w:r>
      <w:r>
        <w:t xml:space="preserve"> </w:t>
      </w:r>
      <w:r w:rsidR="002B568D">
        <w:t xml:space="preserve">also </w:t>
      </w:r>
      <w:r>
        <w:t>supported more culturally appropriate services. One of these submitters stated that consideration should be given to tikanga practices relative to iwi and hapū regions as Māori in isolated communities know their own and should</w:t>
      </w:r>
      <w:r w:rsidR="002C32B5">
        <w:t xml:space="preserve"> therefore</w:t>
      </w:r>
      <w:r>
        <w:t xml:space="preserve"> be supported in what they do with</w:t>
      </w:r>
      <w:r w:rsidR="00844A2B">
        <w:t>in</w:t>
      </w:r>
      <w:r>
        <w:t xml:space="preserve"> their communit</w:t>
      </w:r>
      <w:r w:rsidR="00CD78B1">
        <w:t>ies</w:t>
      </w:r>
      <w:r>
        <w:t>.</w:t>
      </w:r>
    </w:p>
    <w:p w14:paraId="5939EF40" w14:textId="783AC54E" w:rsidR="00D72FBC" w:rsidRDefault="00D72FBC" w:rsidP="004501D6">
      <w:pPr>
        <w:pStyle w:val="Heading3-NOTinTOC"/>
      </w:pPr>
      <w:r>
        <w:t>NCGM submitters thought increased funding was inappropriate, while other submitters thought it would not be enough</w:t>
      </w:r>
    </w:p>
    <w:p w14:paraId="1E9C5001" w14:textId="606D8CB6" w:rsidR="00D72FBC" w:rsidRPr="00E70D31" w:rsidRDefault="00D72FBC" w:rsidP="00D72FBC">
      <w:pPr>
        <w:pStyle w:val="BodyText"/>
      </w:pPr>
      <w:r>
        <w:t xml:space="preserve">NCGM submitters, service providers, health and social services submitters and a gambling industry submitter had mixed views on the increase in funding in the draft service plan. </w:t>
      </w:r>
    </w:p>
    <w:p w14:paraId="7AAFC28B" w14:textId="65BC03AD" w:rsidR="00D72FBC" w:rsidRPr="003E458C" w:rsidRDefault="00D72FBC" w:rsidP="00D72FBC">
      <w:pPr>
        <w:pStyle w:val="BodyText"/>
      </w:pPr>
      <w:r w:rsidRPr="003E458C">
        <w:t xml:space="preserve">NCGM submitters considered the increase in funding </w:t>
      </w:r>
      <w:r>
        <w:t>unwarranted for the following reasons</w:t>
      </w:r>
      <w:r w:rsidRPr="003E458C">
        <w:t>:</w:t>
      </w:r>
    </w:p>
    <w:p w14:paraId="43C7584A" w14:textId="77777777" w:rsidR="00D72FBC" w:rsidRPr="003E458C" w:rsidRDefault="00D72FBC" w:rsidP="008B3C7F">
      <w:pPr>
        <w:pStyle w:val="List-BulletLvl1"/>
      </w:pPr>
      <w:r>
        <w:t>i</w:t>
      </w:r>
      <w:r w:rsidRPr="003E458C">
        <w:t>ncreasing the FTE rates is inconsistent with the government wage freeze</w:t>
      </w:r>
    </w:p>
    <w:p w14:paraId="5192EA38" w14:textId="40F9AA1F" w:rsidR="00D72FBC" w:rsidRPr="003E458C" w:rsidRDefault="00D72FBC" w:rsidP="008B3C7F">
      <w:pPr>
        <w:pStyle w:val="List-BulletLvl1"/>
      </w:pPr>
      <w:r>
        <w:t>m</w:t>
      </w:r>
      <w:r w:rsidRPr="003E458C">
        <w:t>oney must be spent on preventing, minimising, treating or reducing harm, not paying existing providers more for office overheads or administration</w:t>
      </w:r>
    </w:p>
    <w:p w14:paraId="0C30504C" w14:textId="77777777" w:rsidR="00D72FBC" w:rsidRDefault="00D72FBC" w:rsidP="008B3C7F">
      <w:pPr>
        <w:pStyle w:val="List-BulletLvl1"/>
      </w:pPr>
      <w:r>
        <w:t>g</w:t>
      </w:r>
      <w:r w:rsidRPr="003E458C">
        <w:t>ambling participation and presentations to PMGH services have decreased, indicating a reduced workload for these services, thus making an increase to FTE rates unwarranted</w:t>
      </w:r>
      <w:r>
        <w:t>.</w:t>
      </w:r>
    </w:p>
    <w:p w14:paraId="724D9344" w14:textId="2A5C1C79" w:rsidR="00D72FBC" w:rsidRPr="000305D5" w:rsidRDefault="00D72FBC" w:rsidP="00D72FBC">
      <w:pPr>
        <w:pStyle w:val="BodyText"/>
      </w:pPr>
      <w:r>
        <w:t>One gambling industry submitter commented that while they expected an increase in funding given trends in previous strategies, the size of this increase was surprising given the significant past investment from both the Ministry and the industry.</w:t>
      </w:r>
    </w:p>
    <w:p w14:paraId="14007E7B" w14:textId="24AC0BDF" w:rsidR="00D72FBC" w:rsidRDefault="006105C7" w:rsidP="00D72FBC">
      <w:pPr>
        <w:pStyle w:val="BodyText"/>
      </w:pPr>
      <w:r>
        <w:t>S</w:t>
      </w:r>
      <w:r w:rsidR="00D72FBC">
        <w:t xml:space="preserve">ervice providers considered more funding and investment was needed to actualise the goals of the draft service plan, as current investments were insufficient to drive real change. One service provider commented that as a culturally specific service, they receive limited support from the </w:t>
      </w:r>
      <w:r w:rsidR="009421BC">
        <w:t>National Coordination Service (</w:t>
      </w:r>
      <w:r w:rsidR="00D72FBC">
        <w:t>NCS</w:t>
      </w:r>
      <w:r w:rsidR="009421BC">
        <w:t>)</w:t>
      </w:r>
      <w:r w:rsidR="00D72FBC">
        <w:t xml:space="preserve"> and often have to fund their own culturally specific resources, meaning they are unfairly burdened compared to mainstream services.</w:t>
      </w:r>
    </w:p>
    <w:p w14:paraId="29CE47F0" w14:textId="5C43D8DA" w:rsidR="00D72FBC" w:rsidRPr="001D1D84" w:rsidRDefault="00D72FBC" w:rsidP="00D72FBC">
      <w:pPr>
        <w:pStyle w:val="BodyText"/>
      </w:pPr>
      <w:r>
        <w:t xml:space="preserve">One health and social services submitter </w:t>
      </w:r>
      <w:r w:rsidR="006105C7">
        <w:t xml:space="preserve">commented that </w:t>
      </w:r>
      <w:r>
        <w:t>more investment is necessary to achieve set outcomes if we as a society are serious about equity and public health approached to gambling harm prevention and minimisation.</w:t>
      </w:r>
    </w:p>
    <w:p w14:paraId="69AA7D01" w14:textId="79A5D6C5" w:rsidR="00D72FBC" w:rsidRDefault="009152AA" w:rsidP="004501D6">
      <w:pPr>
        <w:pStyle w:val="Heading3-NOTinTOC"/>
      </w:pPr>
      <w:r>
        <w:lastRenderedPageBreak/>
        <w:t>Submitters had a range of views</w:t>
      </w:r>
      <w:r w:rsidR="00D72FBC">
        <w:t xml:space="preserve"> on the proposed new services, innovation pilots and investments</w:t>
      </w:r>
    </w:p>
    <w:p w14:paraId="4C8A7FC1" w14:textId="77777777" w:rsidR="00D72FBC" w:rsidRPr="00533DC3" w:rsidRDefault="00D72FBC" w:rsidP="00D72FBC">
      <w:pPr>
        <w:pStyle w:val="BodyText"/>
      </w:pPr>
      <w:r>
        <w:t xml:space="preserve">NCGM submitters, service providers, health and social services submitters and gambling industry submitters had varying opinions on the proposed new services, innovation pilots and investments. </w:t>
      </w:r>
    </w:p>
    <w:p w14:paraId="48C30BCB" w14:textId="0DD30459" w:rsidR="00D72FBC" w:rsidRDefault="006105C7" w:rsidP="00D72FBC">
      <w:pPr>
        <w:pStyle w:val="BodyText"/>
      </w:pPr>
      <w:r>
        <w:t>Most</w:t>
      </w:r>
      <w:r w:rsidR="00D72FBC">
        <w:t xml:space="preserve"> NCGM submitters suggested that additional to the proposed</w:t>
      </w:r>
      <w:r w:rsidR="009F6F5D">
        <w:t xml:space="preserve"> level 7 gambling harm</w:t>
      </w:r>
      <w:r w:rsidR="00D72FBC">
        <w:t xml:space="preserve"> qualification, funding should be allocated for a new NZQA qualification and harm leader minimisation leadership course, such as those proposed and run by Hospitality New Zealand.</w:t>
      </w:r>
    </w:p>
    <w:p w14:paraId="7DA836CB" w14:textId="07E5F591" w:rsidR="00D72FBC" w:rsidRDefault="00D72FBC" w:rsidP="00D72FBC">
      <w:pPr>
        <w:pStyle w:val="BodyText"/>
      </w:pPr>
      <w:r>
        <w:t>NCGM submitters commented that the Ministry should consider whether a level 7 qualification would be a barrier to those the Ministry is trying to target with this initiative and whether there would be high uptake at this level. One NCGM submitter went on to say that few people would be likely to attempt a level 7 qualification, and even fewer would complete or pass. Another NCGM submitter suggested a level 5 or 6 qualification may have higher uptake and pass/completion rates.</w:t>
      </w:r>
    </w:p>
    <w:p w14:paraId="394B17F6" w14:textId="1B580164" w:rsidR="00D72FBC" w:rsidRDefault="006105C7" w:rsidP="00D72FBC">
      <w:pPr>
        <w:pStyle w:val="BodyText"/>
      </w:pPr>
      <w:r>
        <w:t xml:space="preserve">Other </w:t>
      </w:r>
      <w:r w:rsidR="00D72FBC">
        <w:t>NCGM submitters supported the new scholarships aimed at priority populations but suggested that access to scholarships should be extended to anyone that would like to provide help for problem gambling, including society and hospitality staff.</w:t>
      </w:r>
    </w:p>
    <w:p w14:paraId="10E308EB" w14:textId="46F90C16" w:rsidR="00D72FBC" w:rsidRPr="00CF1DD6" w:rsidRDefault="006105C7" w:rsidP="00D72FBC">
      <w:pPr>
        <w:pStyle w:val="BodyText"/>
      </w:pPr>
      <w:r>
        <w:t xml:space="preserve">Some </w:t>
      </w:r>
      <w:r w:rsidR="00D72FBC">
        <w:t>NCGM submitters commented that no detail is given as to what is proposed in the inequity pilots despite a budget of $1.96 million and suggested an alternative use for this budget.</w:t>
      </w:r>
    </w:p>
    <w:p w14:paraId="70FEAF0B" w14:textId="415B2733" w:rsidR="00D72FBC" w:rsidRDefault="00D72FBC" w:rsidP="00D72FBC">
      <w:pPr>
        <w:pStyle w:val="BodyText"/>
      </w:pPr>
      <w:r>
        <w:t xml:space="preserve">Two service providers commented that there was ambiguity around how and in what context the proposed qualification would benefit prospective students and raised concerns that this level </w:t>
      </w:r>
      <w:r w:rsidR="00224F60">
        <w:t xml:space="preserve">of </w:t>
      </w:r>
      <w:r>
        <w:t xml:space="preserve">qualification may create further inequities for priority populations. Three service providers supported the creation of an entry-level Gambling Harm qualification (levels 1-4) to help build </w:t>
      </w:r>
      <w:r w:rsidR="009F6F5D">
        <w:t xml:space="preserve">a </w:t>
      </w:r>
      <w:r>
        <w:t>pathway to and increase the accessibility of the NQZA level 7 qualification.</w:t>
      </w:r>
    </w:p>
    <w:p w14:paraId="758E2590" w14:textId="0E66CFB9" w:rsidR="00D72FBC" w:rsidRDefault="006105C7" w:rsidP="00D72FBC">
      <w:pPr>
        <w:pStyle w:val="BodyText"/>
      </w:pPr>
      <w:r>
        <w:t>S</w:t>
      </w:r>
      <w:r w:rsidR="00D72FBC">
        <w:t>ervice providers considered that rather than developing a standalone level 7 qualification on gambling harm and gambling intervention competencies, these should be embedded into current qualifications in the addiction space.</w:t>
      </w:r>
    </w:p>
    <w:p w14:paraId="69440D28" w14:textId="628032E6" w:rsidR="00D72FBC" w:rsidRPr="00981360" w:rsidRDefault="00D72FBC" w:rsidP="00D72FBC">
      <w:pPr>
        <w:pStyle w:val="BodyText"/>
      </w:pPr>
      <w:r>
        <w:t>Three service providers commented that additional scholarships should be made available for the existing gambling workforce as well as lived experience Kaimahi in the workforce development area to upskill and develop their knowledge beyond the regional and national training forums.</w:t>
      </w:r>
    </w:p>
    <w:p w14:paraId="72B99D82" w14:textId="745FAC7F" w:rsidR="00D72FBC" w:rsidRDefault="00D72FBC" w:rsidP="00D72FBC">
      <w:pPr>
        <w:pStyle w:val="BodyText"/>
      </w:pPr>
      <w:r>
        <w:t>Two service providers supported the intensive support pilot, stating that at present there are no contracted residential beds for people where their addiction does not include alcohol and/or other drugs or mental health issues despite the significant benefits this type of programme could have for those experiencing gambling harm.</w:t>
      </w:r>
    </w:p>
    <w:p w14:paraId="55DC663B" w14:textId="2461ED46" w:rsidR="00D72FBC" w:rsidRDefault="006105C7" w:rsidP="00D72FBC">
      <w:pPr>
        <w:pStyle w:val="BodyText"/>
      </w:pPr>
      <w:r>
        <w:t>Service providers were concerned that</w:t>
      </w:r>
      <w:r w:rsidR="00D72FBC">
        <w:t xml:space="preserve"> innovation pilots </w:t>
      </w:r>
      <w:r w:rsidR="00F02637">
        <w:t>did</w:t>
      </w:r>
      <w:r w:rsidR="00D72FBC">
        <w:t xml:space="preserve"> not seem to be adequately resourced – for example, the total budget for the technology pilot across the strategy period is not enough when considering the infrastructure support needed to sustain technological innovations. </w:t>
      </w:r>
    </w:p>
    <w:p w14:paraId="034AD5C1" w14:textId="26035446" w:rsidR="00D72FBC" w:rsidRDefault="00F84B46" w:rsidP="00D72FBC">
      <w:pPr>
        <w:pStyle w:val="BodyText"/>
      </w:pPr>
      <w:r>
        <w:t>Service providers also considered that</w:t>
      </w:r>
      <w:r w:rsidR="00D72FBC">
        <w:t xml:space="preserve"> to address the challenges faced by the Asian community in this equity pilot, the nuances and many different cultures and ethnicities </w:t>
      </w:r>
      <w:r w:rsidR="00AA45C9">
        <w:t>within the wider</w:t>
      </w:r>
      <w:r w:rsidR="00D72FBC">
        <w:t xml:space="preserve"> Asian population must be accounted for.</w:t>
      </w:r>
    </w:p>
    <w:p w14:paraId="7A741BB3" w14:textId="4470BB0C" w:rsidR="007013D4" w:rsidRDefault="00F84B46" w:rsidP="00D72FBC">
      <w:pPr>
        <w:pStyle w:val="BodyText"/>
      </w:pPr>
      <w:r>
        <w:t>Health and social services submitters</w:t>
      </w:r>
      <w:r w:rsidR="00D72FBC">
        <w:t xml:space="preserve"> recommended</w:t>
      </w:r>
      <w:r w:rsidR="007013D4">
        <w:t>:</w:t>
      </w:r>
    </w:p>
    <w:p w14:paraId="6599FD3E" w14:textId="18233D22" w:rsidR="007013D4" w:rsidRDefault="00D72FBC" w:rsidP="009F0617">
      <w:pPr>
        <w:pStyle w:val="List-BulletLvl1"/>
      </w:pPr>
      <w:r>
        <w:t>lived experience leadership to support the de-stigmatisation initiative</w:t>
      </w:r>
    </w:p>
    <w:p w14:paraId="7192AF74" w14:textId="45002FB8" w:rsidR="007013D4" w:rsidRDefault="00D72FBC" w:rsidP="009F0617">
      <w:pPr>
        <w:pStyle w:val="List-BulletLvl1"/>
      </w:pPr>
      <w:r>
        <w:lastRenderedPageBreak/>
        <w:t>those with lived experience moving into leadership roles</w:t>
      </w:r>
      <w:r w:rsidR="007013D4">
        <w:t xml:space="preserve"> including</w:t>
      </w:r>
      <w:r>
        <w:t xml:space="preserve"> provision for scholarships to attain NZQA qualifications</w:t>
      </w:r>
      <w:r w:rsidR="00464F95">
        <w:t xml:space="preserve"> and these</w:t>
      </w:r>
      <w:r>
        <w:t xml:space="preserve"> should extend beyond level 7</w:t>
      </w:r>
    </w:p>
    <w:p w14:paraId="46FE7BD8" w14:textId="4BB604C6" w:rsidR="00D72FBC" w:rsidRDefault="00D72FBC" w:rsidP="009F0617">
      <w:pPr>
        <w:pStyle w:val="List-BulletLvl1"/>
      </w:pPr>
      <w:r>
        <w:t>rather than developing a standalone level 7 qualification on gambling harm and gambling intervention competencies, these should be embedded into current qualifications in the addiction space</w:t>
      </w:r>
    </w:p>
    <w:p w14:paraId="0B65E4B4" w14:textId="5BF23AC5" w:rsidR="00F90AA9" w:rsidRDefault="00F90AA9" w:rsidP="00D72FBC">
      <w:pPr>
        <w:pStyle w:val="List-BulletLvl1"/>
      </w:pPr>
      <w:r>
        <w:t xml:space="preserve">that </w:t>
      </w:r>
      <w:r w:rsidR="00D72FBC">
        <w:t xml:space="preserve">scholarships should be attached to employers already committed to building the PMGH workforce and who have specific skills to support and mentor scholarship recipients and </w:t>
      </w:r>
      <w:r w:rsidR="0060208A">
        <w:t xml:space="preserve">this </w:t>
      </w:r>
      <w:r w:rsidR="00D72FBC">
        <w:t>could provide a way for providers to identify promising staff</w:t>
      </w:r>
    </w:p>
    <w:p w14:paraId="2BE1D52D" w14:textId="2D1CDF03" w:rsidR="00D72FBC" w:rsidRPr="00B8736C" w:rsidRDefault="00760F79" w:rsidP="004501D6">
      <w:pPr>
        <w:pStyle w:val="List-BulletLvl1"/>
      </w:pPr>
      <w:r>
        <w:t xml:space="preserve">that </w:t>
      </w:r>
      <w:r w:rsidR="00D72FBC">
        <w:t xml:space="preserve">priority populations should be </w:t>
      </w:r>
      <w:r w:rsidR="00F90AA9">
        <w:t xml:space="preserve">prioritised </w:t>
      </w:r>
      <w:r w:rsidR="00D72FBC">
        <w:t>in scholarship allocation, but if supply exceeded interest from other population groups, then this should be allowed and encouraged.</w:t>
      </w:r>
    </w:p>
    <w:p w14:paraId="7259635C" w14:textId="45502211" w:rsidR="00D72FBC" w:rsidRDefault="00D72FBC" w:rsidP="00D72FBC">
      <w:pPr>
        <w:pStyle w:val="BodyText"/>
      </w:pPr>
      <w:r>
        <w:t xml:space="preserve">One gambling industry submitter supported the level 7 pathway as it </w:t>
      </w:r>
      <w:r w:rsidR="00107132">
        <w:t>was</w:t>
      </w:r>
      <w:r>
        <w:t xml:space="preserve"> proposed,</w:t>
      </w:r>
      <w:r w:rsidR="000869B8">
        <w:t xml:space="preserve"> </w:t>
      </w:r>
      <w:r w:rsidR="00BF6934">
        <w:t>gave</w:t>
      </w:r>
      <w:r>
        <w:t xml:space="preserve"> broad support for new scholarships</w:t>
      </w:r>
      <w:r w:rsidR="00BF6934">
        <w:t>,</w:t>
      </w:r>
      <w:r>
        <w:t xml:space="preserve"> and supported the technology pilot in particular, stating that </w:t>
      </w:r>
      <w:r w:rsidR="00107132">
        <w:t xml:space="preserve">the </w:t>
      </w:r>
      <w:r>
        <w:t>technology-based innovation generally receive</w:t>
      </w:r>
      <w:r w:rsidR="00107132">
        <w:t>d</w:t>
      </w:r>
      <w:r>
        <w:t xml:space="preserve"> universal support across the PMGH sector.</w:t>
      </w:r>
    </w:p>
    <w:p w14:paraId="6A45A712" w14:textId="33B5DC6A" w:rsidR="00D72FBC" w:rsidRDefault="00802DF6" w:rsidP="004501D6">
      <w:pPr>
        <w:pStyle w:val="Heading3-NOTinTOC"/>
      </w:pPr>
      <w:r>
        <w:t>Submitters made suggestions for additional r</w:t>
      </w:r>
      <w:r w:rsidR="00D72FBC">
        <w:t>esearch priorities</w:t>
      </w:r>
    </w:p>
    <w:p w14:paraId="0D27580D" w14:textId="1D725FF4" w:rsidR="00D72FBC" w:rsidRPr="009D2231" w:rsidRDefault="00D72FBC" w:rsidP="00D72FBC">
      <w:pPr>
        <w:pStyle w:val="BodyText"/>
      </w:pPr>
      <w:r w:rsidRPr="009D2231">
        <w:t xml:space="preserve">NCGM </w:t>
      </w:r>
      <w:r w:rsidR="00107132">
        <w:t xml:space="preserve">and gambling industry </w:t>
      </w:r>
      <w:r w:rsidRPr="009D2231">
        <w:t>submitters, service providers, health and social services submitters</w:t>
      </w:r>
      <w:r>
        <w:t>, an</w:t>
      </w:r>
      <w:r w:rsidR="00107132">
        <w:t>d an</w:t>
      </w:r>
      <w:r>
        <w:t xml:space="preserve"> individual</w:t>
      </w:r>
      <w:r w:rsidRPr="009D2231">
        <w:t xml:space="preserve"> </w:t>
      </w:r>
      <w:r>
        <w:t>generally agreed with research priorities but made other suggestions.</w:t>
      </w:r>
    </w:p>
    <w:p w14:paraId="7A3CF015" w14:textId="77777777" w:rsidR="00727D65" w:rsidRDefault="00310DCE" w:rsidP="00D72FBC">
      <w:pPr>
        <w:pStyle w:val="BodyText"/>
      </w:pPr>
      <w:r>
        <w:t>S</w:t>
      </w:r>
      <w:r w:rsidR="00D72FBC" w:rsidRPr="00FA4322">
        <w:t>ervice provider</w:t>
      </w:r>
      <w:r w:rsidR="00D72FBC">
        <w:t>s</w:t>
      </w:r>
      <w:r w:rsidR="00D72FBC" w:rsidRPr="00FA4322">
        <w:t xml:space="preserve"> encouraged the Ministry to ensure all research with priority populations includes these groups not only as participants, but as leaders and co-leaders of research to allow for the voices of these populations to be captured and inform the development of appropriate supports.</w:t>
      </w:r>
      <w:r w:rsidR="00D72FBC">
        <w:t xml:space="preserve"> </w:t>
      </w:r>
      <w:r w:rsidR="00727D65">
        <w:t>Comments included:</w:t>
      </w:r>
    </w:p>
    <w:p w14:paraId="3A4846A1" w14:textId="683E9F1E" w:rsidR="00727D65" w:rsidRDefault="00D72FBC" w:rsidP="00727D65">
      <w:pPr>
        <w:pStyle w:val="List-BulletLvl1"/>
      </w:pPr>
      <w:r>
        <w:t xml:space="preserve">research on Pacific </w:t>
      </w:r>
      <w:r w:rsidR="001D0A43">
        <w:t>p</w:t>
      </w:r>
      <w:r>
        <w:t xml:space="preserve">eoples should be undertaken with and led by Pacific </w:t>
      </w:r>
      <w:r w:rsidR="001D0A43">
        <w:t>p</w:t>
      </w:r>
      <w:r>
        <w:t>eoples</w:t>
      </w:r>
    </w:p>
    <w:p w14:paraId="41F6A89B" w14:textId="6D8AF580" w:rsidR="00727D65" w:rsidRDefault="00D72FBC" w:rsidP="00727D65">
      <w:pPr>
        <w:pStyle w:val="List-BulletLvl1"/>
      </w:pPr>
      <w:r>
        <w:t xml:space="preserve">there </w:t>
      </w:r>
      <w:r w:rsidR="00727D65">
        <w:t>should</w:t>
      </w:r>
      <w:r>
        <w:t xml:space="preserve"> be support for community lead projects, with funding</w:t>
      </w:r>
      <w:r w:rsidR="0046403E">
        <w:t xml:space="preserve"> earmarked for</w:t>
      </w:r>
      <w:r>
        <w:t xml:space="preserve"> </w:t>
      </w:r>
      <w:r w:rsidRPr="00093FBB">
        <w:t>whānau, hapū, iwi and hāpori Māori</w:t>
      </w:r>
      <w:r>
        <w:t xml:space="preserve"> and a</w:t>
      </w:r>
      <w:r w:rsidRPr="00093FBB">
        <w:t xml:space="preserve"> fostering of acceptance of whānau, hapū, iwi and hāpori Māori centric knowledge, evidence and research</w:t>
      </w:r>
    </w:p>
    <w:p w14:paraId="0C77A207" w14:textId="4CEFC516" w:rsidR="00727D65" w:rsidRDefault="00727D65" w:rsidP="00727D65">
      <w:pPr>
        <w:pStyle w:val="List-BulletLvl1"/>
      </w:pPr>
      <w:r>
        <w:t xml:space="preserve">support for </w:t>
      </w:r>
      <w:r w:rsidR="00D72FBC">
        <w:t>qualitative research methods to aid in cultural responsiveness</w:t>
      </w:r>
      <w:r>
        <w:t>, and</w:t>
      </w:r>
    </w:p>
    <w:p w14:paraId="0A20B0E8" w14:textId="4CD9D639" w:rsidR="00D72FBC" w:rsidRDefault="00D72FBC" w:rsidP="00727D65">
      <w:pPr>
        <w:pStyle w:val="List-BulletLvl1"/>
      </w:pPr>
      <w:r>
        <w:t>in future the Ministry may assess barriers to equitable service access and outcomes for subgroups e.g., those in the Asian community who are young and new migrants, and broader subgroups that intersect with the disability community</w:t>
      </w:r>
      <w:r w:rsidR="00727D65">
        <w:t>.</w:t>
      </w:r>
    </w:p>
    <w:p w14:paraId="6A6D6903" w14:textId="6ECEF09C" w:rsidR="00D72FBC" w:rsidRPr="00841474" w:rsidRDefault="00C555EB" w:rsidP="00D72FBC">
      <w:pPr>
        <w:pStyle w:val="BodyText"/>
      </w:pPr>
      <w:r>
        <w:t>S</w:t>
      </w:r>
      <w:r w:rsidR="00D72FBC">
        <w:t xml:space="preserve">ervice providers suggested additional research priorities across NCGMs, </w:t>
      </w:r>
      <w:r w:rsidR="002D35A8">
        <w:t>multi-venue exclusions (</w:t>
      </w:r>
      <w:r w:rsidR="00D72FBC">
        <w:t>MVEs</w:t>
      </w:r>
      <w:r w:rsidR="002D35A8">
        <w:t>)</w:t>
      </w:r>
      <w:r w:rsidR="00D72FBC">
        <w:t>, online gambling and online interventions as well as research into the effects of COVID-19, to understand gambling stigma.</w:t>
      </w:r>
    </w:p>
    <w:p w14:paraId="187129D7" w14:textId="05F1EB25" w:rsidR="00D72FBC" w:rsidRDefault="00D72FBC" w:rsidP="00D72FBC">
      <w:pPr>
        <w:pStyle w:val="List-BulletLvl1"/>
        <w:numPr>
          <w:ilvl w:val="0"/>
          <w:numId w:val="0"/>
        </w:numPr>
      </w:pPr>
      <w:r>
        <w:t>One NCGM submitter expressed concerns that research underpinning Ministry strategies lacks long-term monitoring and reporting on NCGM societies and stated that the actions of these societies are largely ignored in research.  This submitter called for better consultation with the NCGM sector, as well as research into the effectiveness of service providers alongside the NCGM sector to assess current performance.</w:t>
      </w:r>
    </w:p>
    <w:p w14:paraId="78694D51" w14:textId="629B08FB" w:rsidR="00D72FBC" w:rsidRPr="00E56E22" w:rsidRDefault="00D72FBC" w:rsidP="00D72FBC">
      <w:pPr>
        <w:pStyle w:val="List-BulletLvl1"/>
        <w:numPr>
          <w:ilvl w:val="0"/>
          <w:numId w:val="0"/>
        </w:numPr>
      </w:pPr>
      <w:r>
        <w:t>One individual commented that there is a need for more effective research at a grassroots level, suggesting that researchers regularly cite NCGMs as the most harmful gambling product, but has never had a researcher visit a venue to understand the workings of one.</w:t>
      </w:r>
    </w:p>
    <w:p w14:paraId="6B0A7221" w14:textId="1C899D0E" w:rsidR="00D72FBC" w:rsidRPr="00C129DE" w:rsidRDefault="00D72FBC" w:rsidP="00D72FBC">
      <w:pPr>
        <w:pStyle w:val="List-BulletLvl1"/>
        <w:numPr>
          <w:ilvl w:val="0"/>
          <w:numId w:val="0"/>
        </w:numPr>
      </w:pPr>
      <w:r>
        <w:lastRenderedPageBreak/>
        <w:t>One gambling industry submitter commented that dedicated research, data collection and evaluation is required into unregulated offshore online gambling specifically, given the lack of harm minimisation controls in this area.</w:t>
      </w:r>
    </w:p>
    <w:p w14:paraId="69E2958C" w14:textId="47D7D461" w:rsidR="00D72FBC" w:rsidRDefault="00C555EB" w:rsidP="00D72FBC">
      <w:pPr>
        <w:pStyle w:val="BodyText"/>
      </w:pPr>
      <w:r>
        <w:t>H</w:t>
      </w:r>
      <w:r w:rsidR="00D72FBC">
        <w:t xml:space="preserve">ealth and social services submitters </w:t>
      </w:r>
      <w:r w:rsidR="00D40048">
        <w:t xml:space="preserve">suggested </w:t>
      </w:r>
      <w:r w:rsidR="00D72FBC">
        <w:t>additional research priorities across NCGMs, MVEs, online gambling and online interventions as well as research into the effect of loan sharks and what support works for affected others.</w:t>
      </w:r>
    </w:p>
    <w:p w14:paraId="348FFC38" w14:textId="27B66335" w:rsidR="00D72FBC" w:rsidRDefault="00C555EB" w:rsidP="00D72FBC">
      <w:pPr>
        <w:pStyle w:val="BodyText"/>
      </w:pPr>
      <w:r>
        <w:t>Health and social services submitters also</w:t>
      </w:r>
      <w:r w:rsidR="00D72FBC">
        <w:t xml:space="preserve"> encouraged research and evaluation to be targeted in areas where there were high rates of gambling to ensure data reflects the wider persistent impacts and disadvantages</w:t>
      </w:r>
      <w:r w:rsidR="00D72FBC" w:rsidRPr="00A81F4F">
        <w:t>.</w:t>
      </w:r>
    </w:p>
    <w:p w14:paraId="12CBBA73" w14:textId="7B64C21C" w:rsidR="00D72FBC" w:rsidRPr="00821EFB" w:rsidRDefault="00802DF6" w:rsidP="004501D6">
      <w:pPr>
        <w:pStyle w:val="Heading3-NOTinTOC"/>
      </w:pPr>
      <w:r>
        <w:t xml:space="preserve">Most submitters favoured a 30/70 weighting </w:t>
      </w:r>
    </w:p>
    <w:p w14:paraId="5A6921BC" w14:textId="299C1D19" w:rsidR="00D72FBC" w:rsidRDefault="00C555EB" w:rsidP="00D72FBC">
      <w:pPr>
        <w:pStyle w:val="BodyText"/>
      </w:pPr>
      <w:r>
        <w:t>Most</w:t>
      </w:r>
      <w:r w:rsidR="00D72FBC">
        <w:t xml:space="preserve"> NCGM submitters favoured a 30/70 levy weighting. They argued a 30/70 weighting would:</w:t>
      </w:r>
    </w:p>
    <w:p w14:paraId="0E401BF1" w14:textId="70B46C5B" w:rsidR="00D72FBC" w:rsidRDefault="00D72FBC" w:rsidP="00D72FBC">
      <w:pPr>
        <w:pStyle w:val="List-BulletLvl1"/>
      </w:pPr>
      <w:r>
        <w:t>reflect</w:t>
      </w:r>
      <w:r w:rsidR="00857D36">
        <w:t xml:space="preserve"> the Gambling Act 2003’s</w:t>
      </w:r>
      <w:r>
        <w:t xml:space="preserve"> </w:t>
      </w:r>
      <w:r w:rsidR="00954435">
        <w:t>(</w:t>
      </w:r>
      <w:r>
        <w:t>the Act</w:t>
      </w:r>
      <w:r w:rsidR="00954435">
        <w:t>)</w:t>
      </w:r>
      <w:r>
        <w:t xml:space="preserve"> wide definition of harm</w:t>
      </w:r>
    </w:p>
    <w:p w14:paraId="4C7C9C94" w14:textId="79BAA923" w:rsidR="00D72FBC" w:rsidRDefault="00D72FBC" w:rsidP="00D72FBC">
      <w:pPr>
        <w:pStyle w:val="List-BulletLvl1"/>
      </w:pPr>
      <w:r>
        <w:t>recognise help-seeking is not a good indication of gambling harm</w:t>
      </w:r>
    </w:p>
    <w:p w14:paraId="638FC429" w14:textId="1D554B73" w:rsidR="00D72FBC" w:rsidRDefault="00D72FBC" w:rsidP="00D72FBC">
      <w:pPr>
        <w:pStyle w:val="List-BulletLvl1"/>
      </w:pPr>
      <w:r>
        <w:t>acknowledge that levy funding is used for research and evaluation</w:t>
      </w:r>
    </w:p>
    <w:p w14:paraId="1D655667" w14:textId="2D7E5AD4" w:rsidR="00D72FBC" w:rsidRDefault="00D72FBC" w:rsidP="00D72FBC">
      <w:pPr>
        <w:pStyle w:val="List-BulletLvl1"/>
      </w:pPr>
      <w:r>
        <w:t>recognise the NCGM sector has no online offering</w:t>
      </w:r>
    </w:p>
    <w:p w14:paraId="53B06A69" w14:textId="5DCD34AB" w:rsidR="00D72FBC" w:rsidRDefault="00D72FBC" w:rsidP="00D72FBC">
      <w:pPr>
        <w:pStyle w:val="List-BulletLvl1"/>
      </w:pPr>
      <w:r>
        <w:t>protect against adverse incentives</w:t>
      </w:r>
    </w:p>
    <w:p w14:paraId="31EF1271" w14:textId="3DFB64AE" w:rsidR="00D72FBC" w:rsidRDefault="00D72FBC" w:rsidP="00D72FBC">
      <w:pPr>
        <w:pStyle w:val="List-BulletLvl1"/>
      </w:pPr>
      <w:r>
        <w:t>recognise indicators of harm show reduced levels of harm.</w:t>
      </w:r>
    </w:p>
    <w:p w14:paraId="3BA339CA" w14:textId="0E787442" w:rsidR="00D72FBC" w:rsidRDefault="0066191C" w:rsidP="00147333">
      <w:pPr>
        <w:pStyle w:val="BodyText"/>
      </w:pPr>
      <w:r>
        <w:t xml:space="preserve">Some </w:t>
      </w:r>
      <w:r w:rsidR="00D72FBC">
        <w:t>NCGM submitters did not support a 30/70 weighting suggested further increasing the weighting towards expenditure, one suggested a 100 percent expenditure weighting.</w:t>
      </w:r>
    </w:p>
    <w:p w14:paraId="7FECD1D2" w14:textId="555E454D" w:rsidR="00D72FBC" w:rsidRDefault="00D72FBC" w:rsidP="00147333">
      <w:pPr>
        <w:pStyle w:val="BodyText"/>
      </w:pPr>
      <w:r>
        <w:t xml:space="preserve">Three NCGM submitters considered an increase in the levy rate to be inappropriate if it results in ‘more of the same’. They did not support increasing the FTE rate of existing individual providers for their work, which they described as having not achieved the desired results. </w:t>
      </w:r>
    </w:p>
    <w:p w14:paraId="4A2F0647" w14:textId="0BB6B602" w:rsidR="00D72FBC" w:rsidRDefault="00D72FBC" w:rsidP="00147333">
      <w:pPr>
        <w:pStyle w:val="BodyText"/>
      </w:pPr>
      <w:r>
        <w:t>Relatively few service providers commented</w:t>
      </w:r>
      <w:r w:rsidR="00084500">
        <w:t xml:space="preserve"> on</w:t>
      </w:r>
      <w:r>
        <w:t xml:space="preserve"> supporting a</w:t>
      </w:r>
      <w:r w:rsidR="000C24B0">
        <w:t xml:space="preserve"> particular</w:t>
      </w:r>
      <w:r>
        <w:t xml:space="preserve"> levy weighting. Those that did</w:t>
      </w:r>
      <w:r w:rsidR="006164BA">
        <w:t>,</w:t>
      </w:r>
      <w:r>
        <w:t xml:space="preserve"> supported different options but almost all argued the NCGM sector should contribute the most to the levy.</w:t>
      </w:r>
    </w:p>
    <w:p w14:paraId="0910A1F8" w14:textId="382C8C2A" w:rsidR="00D72FBC" w:rsidRDefault="00D72FBC" w:rsidP="00147333">
      <w:pPr>
        <w:pStyle w:val="BodyText"/>
      </w:pPr>
      <w:r>
        <w:t>Service providers supported the proposed increase in the levy rate, many noted the need for further increases beyond this to fully recover the cost of developing, managing, and delivering the integrated problem gambling strateg</w:t>
      </w:r>
      <w:r w:rsidR="003F6469">
        <w:t>y</w:t>
      </w:r>
      <w:r>
        <w:t xml:space="preserve">. These service providers further discussed the need for targeted health services in relation to the levy. </w:t>
      </w:r>
    </w:p>
    <w:p w14:paraId="69048D2C" w14:textId="370EC038" w:rsidR="00D72FBC" w:rsidRPr="008B459D" w:rsidRDefault="00D72FBC" w:rsidP="00D72FBC">
      <w:pPr>
        <w:pStyle w:val="BodyText"/>
      </w:pPr>
      <w:r>
        <w:t xml:space="preserve">Gambling industry submitters supported a return to the 10/90 levy weighting. They considered the shift to </w:t>
      </w:r>
      <w:r w:rsidRPr="008B459D">
        <w:t>a 30/70 weighting as part of the previous strategy</w:t>
      </w:r>
      <w:r w:rsidR="00322C85" w:rsidRPr="008B459D">
        <w:t xml:space="preserve"> was</w:t>
      </w:r>
      <w:r w:rsidRPr="008B459D">
        <w:t xml:space="preserve"> unjustified and argued </w:t>
      </w:r>
      <w:r w:rsidR="00322C85" w:rsidRPr="008B459D">
        <w:t xml:space="preserve">that </w:t>
      </w:r>
      <w:r w:rsidRPr="008B459D">
        <w:t>the sectors which are the root cause to problem gambling should bear the largest proportion of the costs of the strategy. They considered a 10/90 weighting would best reflect the purpose of the levy.</w:t>
      </w:r>
    </w:p>
    <w:p w14:paraId="5A32155B" w14:textId="3EB22AD0" w:rsidR="00D72FBC" w:rsidRPr="008B459D" w:rsidRDefault="004501D6" w:rsidP="00D72FBC">
      <w:pPr>
        <w:pStyle w:val="BodyText"/>
      </w:pPr>
      <w:r w:rsidRPr="008B459D">
        <w:t>H</w:t>
      </w:r>
      <w:r w:rsidR="00D72FBC" w:rsidRPr="008B459D">
        <w:t xml:space="preserve">ealth and social service submitters commented </w:t>
      </w:r>
      <w:r w:rsidR="0085374A" w:rsidRPr="008B459D">
        <w:t xml:space="preserve">on </w:t>
      </w:r>
      <w:r w:rsidR="00D72FBC" w:rsidRPr="008B459D">
        <w:t xml:space="preserve">the levy weighting and proposed rates. Comments </w:t>
      </w:r>
      <w:r w:rsidR="00802DF6" w:rsidRPr="008B459D">
        <w:t>included:</w:t>
      </w:r>
    </w:p>
    <w:p w14:paraId="4E6A1B33" w14:textId="320338F5" w:rsidR="00D72FBC" w:rsidRPr="008B459D" w:rsidRDefault="00D72FBC" w:rsidP="00147333">
      <w:pPr>
        <w:pStyle w:val="List-BulletLvl1"/>
      </w:pPr>
      <w:r w:rsidRPr="008B459D">
        <w:t xml:space="preserve">further increases to the levy rate beyond proposed levels </w:t>
      </w:r>
      <w:r w:rsidR="00EE229C">
        <w:t>wer</w:t>
      </w:r>
      <w:r w:rsidRPr="008B459D">
        <w:t>e needed</w:t>
      </w:r>
    </w:p>
    <w:p w14:paraId="57A256E2" w14:textId="3D4A7F4C" w:rsidR="00D72FBC" w:rsidRPr="008B459D" w:rsidRDefault="00D72FBC" w:rsidP="00147333">
      <w:pPr>
        <w:pStyle w:val="List-BulletLvl1"/>
      </w:pPr>
      <w:r w:rsidRPr="008B459D">
        <w:t>NCGMs are the most harmful form of gambling and should contribute the most to the levy</w:t>
      </w:r>
    </w:p>
    <w:p w14:paraId="58E704D4" w14:textId="420D4710" w:rsidR="008B459D" w:rsidRDefault="00D72FBC" w:rsidP="008B459D">
      <w:pPr>
        <w:pStyle w:val="List-BulletLvl1"/>
      </w:pPr>
      <w:r w:rsidRPr="008B459D">
        <w:lastRenderedPageBreak/>
        <w:t xml:space="preserve">the levy </w:t>
      </w:r>
      <w:r w:rsidR="00EE229C">
        <w:t>wa</w:t>
      </w:r>
      <w:r w:rsidRPr="008B459D">
        <w:t>s no longer fit-for-purpose</w:t>
      </w:r>
    </w:p>
    <w:p w14:paraId="4C2A8BDF" w14:textId="6D065E04" w:rsidR="00576B86" w:rsidRPr="008B459D" w:rsidRDefault="008B459D" w:rsidP="008B459D">
      <w:pPr>
        <w:pStyle w:val="List-BulletLvl1"/>
      </w:pPr>
      <w:r>
        <w:t xml:space="preserve">MVEs could be used as a proxy for harm. </w:t>
      </w:r>
      <w:r w:rsidR="00576B86" w:rsidRPr="008B459D">
        <w:rPr>
          <w:highlight w:val="lightGray"/>
        </w:rPr>
        <w:br w:type="page"/>
      </w:r>
    </w:p>
    <w:p w14:paraId="1744D204" w14:textId="6CD20A81" w:rsidR="00731BFE" w:rsidRDefault="00731BFE" w:rsidP="00576B86">
      <w:pPr>
        <w:pStyle w:val="NumberedHeading1"/>
      </w:pPr>
      <w:bookmarkStart w:id="15" w:name="_Toc88637526"/>
      <w:r w:rsidRPr="006A3C41">
        <w:lastRenderedPageBreak/>
        <w:t>Introduction</w:t>
      </w:r>
      <w:bookmarkEnd w:id="3"/>
      <w:bookmarkEnd w:id="15"/>
    </w:p>
    <w:p w14:paraId="50E9F39E" w14:textId="29B847D0" w:rsidR="00785B57" w:rsidRPr="00785B57" w:rsidRDefault="00785B57" w:rsidP="00785B57">
      <w:pPr>
        <w:pStyle w:val="NumberedHeading2"/>
      </w:pPr>
      <w:bookmarkStart w:id="16" w:name="_Toc88637527"/>
      <w:r>
        <w:t>Background</w:t>
      </w:r>
      <w:bookmarkEnd w:id="16"/>
    </w:p>
    <w:p w14:paraId="501C1031" w14:textId="7C374BE4" w:rsidR="0024393C" w:rsidRDefault="00233BD4" w:rsidP="00233BD4">
      <w:pPr>
        <w:pStyle w:val="BodyText"/>
      </w:pPr>
      <w:r>
        <w:t>The Ministry of Health (the Ministry) has responsibility under the Gambling Act 2003</w:t>
      </w:r>
      <w:r w:rsidR="000E0968">
        <w:t xml:space="preserve"> (the Act)</w:t>
      </w:r>
      <w:r>
        <w:t xml:space="preserve"> to develop and implement an integrated</w:t>
      </w:r>
      <w:r w:rsidR="006D384F">
        <w:t>, public health</w:t>
      </w:r>
      <w:r w:rsidR="00A43925">
        <w:t>-</w:t>
      </w:r>
      <w:r w:rsidR="006D384F">
        <w:t>focused problem gambling strategy at least ever</w:t>
      </w:r>
      <w:r w:rsidR="00532B4D">
        <w:t>y</w:t>
      </w:r>
      <w:r w:rsidR="006D384F">
        <w:t xml:space="preserve"> three years (sections 317 and 318 of the Act refer). </w:t>
      </w:r>
      <w:r w:rsidR="000E0968">
        <w:t xml:space="preserve">Through the Act, the Crown recovers the cost of developing and implementing the </w:t>
      </w:r>
      <w:r w:rsidR="00412B9D">
        <w:t>strategy by way of a ‘problem gambling levy’, set by regulation at a different rate for each of the main gambling sectors (i.e.</w:t>
      </w:r>
      <w:r w:rsidR="00BC5D23">
        <w:t>,</w:t>
      </w:r>
      <w:r w:rsidR="00412B9D">
        <w:t xml:space="preserve"> </w:t>
      </w:r>
      <w:r w:rsidR="0081393D">
        <w:t>TAB New Zealand</w:t>
      </w:r>
      <w:r w:rsidR="00412B9D">
        <w:t xml:space="preserve">, </w:t>
      </w:r>
      <w:r w:rsidR="0081393D">
        <w:t>Lotto New Zealand</w:t>
      </w:r>
      <w:r w:rsidR="00412B9D">
        <w:t xml:space="preserve">, casinos and non-casino gaming machines </w:t>
      </w:r>
      <w:r w:rsidR="009C09DC">
        <w:t>[</w:t>
      </w:r>
      <w:r w:rsidR="00412B9D">
        <w:t>NCGMs</w:t>
      </w:r>
      <w:r w:rsidR="009C09DC">
        <w:t>]</w:t>
      </w:r>
      <w:r w:rsidR="0024393C">
        <w:t>). The strategy must include:</w:t>
      </w:r>
      <w:r w:rsidR="0024393C">
        <w:rPr>
          <w:rStyle w:val="FootnoteReference"/>
        </w:rPr>
        <w:footnoteReference w:id="11"/>
      </w:r>
    </w:p>
    <w:p w14:paraId="46BCC019" w14:textId="0D49D421" w:rsidR="00695B02" w:rsidRDefault="00695B02" w:rsidP="00351408">
      <w:pPr>
        <w:pStyle w:val="List-AlphanumericLvl1"/>
        <w:jc w:val="both"/>
      </w:pPr>
      <w:r>
        <w:t>measures to promote public health by preventing and minimising the harm from gambling</w:t>
      </w:r>
    </w:p>
    <w:p w14:paraId="645BA710" w14:textId="3E7B6FB5" w:rsidR="00695B02" w:rsidRDefault="00695B02" w:rsidP="00351408">
      <w:pPr>
        <w:pStyle w:val="List-AlphanumericLvl1"/>
        <w:jc w:val="both"/>
      </w:pPr>
      <w:r>
        <w:t xml:space="preserve">services to </w:t>
      </w:r>
      <w:r w:rsidR="005D11F4">
        <w:t>treat</w:t>
      </w:r>
      <w:r>
        <w:t xml:space="preserve"> and assist problem gamblers and their families and whānau</w:t>
      </w:r>
    </w:p>
    <w:p w14:paraId="7A200DF1" w14:textId="7EA57384" w:rsidR="00695B02" w:rsidRDefault="006932BE" w:rsidP="00351408">
      <w:pPr>
        <w:pStyle w:val="List-AlphanumericLvl1"/>
        <w:jc w:val="both"/>
      </w:pPr>
      <w:r>
        <w:t xml:space="preserve">independent scientific research associated with gambling, </w:t>
      </w:r>
      <w:r w:rsidR="008F59C9">
        <w:t>including longitudinal</w:t>
      </w:r>
      <w:r>
        <w:t xml:space="preserve"> research on the social and economic impacts of gambling, particularly the impacts on different cultural groups</w:t>
      </w:r>
    </w:p>
    <w:p w14:paraId="26B44A51" w14:textId="49FDD463" w:rsidR="006932BE" w:rsidRDefault="006932BE" w:rsidP="00351408">
      <w:pPr>
        <w:pStyle w:val="List-AlphanumericLvl1"/>
        <w:jc w:val="both"/>
      </w:pPr>
      <w:r>
        <w:t xml:space="preserve">evaluation. </w:t>
      </w:r>
    </w:p>
    <w:p w14:paraId="1328015C" w14:textId="4CEB678B" w:rsidR="00D10326" w:rsidRDefault="00D10326" w:rsidP="00D10326">
      <w:pPr>
        <w:pStyle w:val="BodyText"/>
      </w:pPr>
      <w:r>
        <w:t>The Ministry use</w:t>
      </w:r>
      <w:r w:rsidR="002C60CD">
        <w:t>d</w:t>
      </w:r>
      <w:r>
        <w:t xml:space="preserve"> insights from a </w:t>
      </w:r>
      <w:r w:rsidR="00B5704F">
        <w:t>N</w:t>
      </w:r>
      <w:r>
        <w:t xml:space="preserve">eeds </w:t>
      </w:r>
      <w:r w:rsidR="00B5704F">
        <w:t>A</w:t>
      </w:r>
      <w:r>
        <w:t>ssessment to outline proposed services to be delivered and indicative budgets for the next three</w:t>
      </w:r>
      <w:r w:rsidR="008F59C9">
        <w:t>-</w:t>
      </w:r>
      <w:r>
        <w:t>year</w:t>
      </w:r>
      <w:r w:rsidR="001E785D">
        <w:t xml:space="preserve"> period</w:t>
      </w:r>
      <w:r>
        <w:t xml:space="preserve">. </w:t>
      </w:r>
    </w:p>
    <w:p w14:paraId="45698556" w14:textId="778197A7" w:rsidR="00785B57" w:rsidRDefault="00785B57" w:rsidP="00785B57">
      <w:pPr>
        <w:pStyle w:val="NumberedHeading2"/>
      </w:pPr>
      <w:bookmarkStart w:id="17" w:name="_Toc88637528"/>
      <w:r>
        <w:t>Consultation document</w:t>
      </w:r>
      <w:bookmarkEnd w:id="17"/>
      <w:r w:rsidR="00D25469">
        <w:tab/>
      </w:r>
    </w:p>
    <w:p w14:paraId="13F39CE5" w14:textId="7D8EC0DF" w:rsidR="00720D67" w:rsidRPr="00CE1E4C" w:rsidRDefault="00720D67" w:rsidP="00D10326">
      <w:pPr>
        <w:pStyle w:val="BodyText"/>
      </w:pPr>
      <w:r w:rsidRPr="00CE1E4C">
        <w:t xml:space="preserve">On </w:t>
      </w:r>
      <w:r w:rsidR="00FA4415" w:rsidRPr="00CE1E4C">
        <w:t>29</w:t>
      </w:r>
      <w:r w:rsidRPr="00CE1E4C">
        <w:t xml:space="preserve"> August 2021, the Ministry released a consultation document: </w:t>
      </w:r>
      <w:r w:rsidR="00FA4415" w:rsidRPr="00CE1E4C">
        <w:rPr>
          <w:i/>
          <w:iCs/>
        </w:rPr>
        <w:t>Draft</w:t>
      </w:r>
      <w:r w:rsidR="00FA4415" w:rsidRPr="00CE1E4C">
        <w:t xml:space="preserve"> </w:t>
      </w:r>
      <w:r w:rsidRPr="00CE1E4C">
        <w:rPr>
          <w:i/>
          <w:iCs/>
        </w:rPr>
        <w:t xml:space="preserve">Strategy to Prevent and Minimise Gambling Harm </w:t>
      </w:r>
      <w:r w:rsidR="00FA4415" w:rsidRPr="00CE1E4C">
        <w:rPr>
          <w:i/>
          <w:iCs/>
        </w:rPr>
        <w:t>(</w:t>
      </w:r>
      <w:r w:rsidR="001B2520" w:rsidRPr="00CE1E4C">
        <w:rPr>
          <w:i/>
          <w:iCs/>
        </w:rPr>
        <w:t xml:space="preserve">2022/23 </w:t>
      </w:r>
      <w:r w:rsidR="00D07B3F">
        <w:rPr>
          <w:i/>
          <w:iCs/>
        </w:rPr>
        <w:t>to</w:t>
      </w:r>
      <w:r w:rsidR="001B2520" w:rsidRPr="00CE1E4C">
        <w:rPr>
          <w:i/>
          <w:iCs/>
        </w:rPr>
        <w:t xml:space="preserve"> 2024/25</w:t>
      </w:r>
      <w:r w:rsidR="00FA4415" w:rsidRPr="00CE1E4C">
        <w:rPr>
          <w:i/>
          <w:iCs/>
        </w:rPr>
        <w:t>)</w:t>
      </w:r>
      <w:r w:rsidR="001B2520" w:rsidRPr="00CE1E4C">
        <w:rPr>
          <w:i/>
          <w:iCs/>
        </w:rPr>
        <w:t xml:space="preserve"> </w:t>
      </w:r>
      <w:r w:rsidR="001B2520" w:rsidRPr="00CE1E4C">
        <w:t xml:space="preserve">(the </w:t>
      </w:r>
      <w:r w:rsidR="009C09DC">
        <w:t xml:space="preserve">draft </w:t>
      </w:r>
      <w:r w:rsidR="00436FF5">
        <w:t>s</w:t>
      </w:r>
      <w:r w:rsidR="001B2520" w:rsidRPr="00CE1E4C">
        <w:t>trategy). This document sought feedback on</w:t>
      </w:r>
      <w:r w:rsidR="00224947" w:rsidRPr="00CE1E4C">
        <w:t xml:space="preserve"> draft proposals for the:</w:t>
      </w:r>
    </w:p>
    <w:p w14:paraId="5E325F8D" w14:textId="05B2B4A5" w:rsidR="001B2520" w:rsidRPr="00CE1E4C" w:rsidRDefault="00F41FB1" w:rsidP="001B2520">
      <w:pPr>
        <w:pStyle w:val="List-BulletLvl1"/>
      </w:pPr>
      <w:r w:rsidRPr="00CE1E4C">
        <w:t>s</w:t>
      </w:r>
      <w:r w:rsidR="00807A6F" w:rsidRPr="00CE1E4C">
        <w:t xml:space="preserve">trategic plan, including a proposed strategic framework that sets out the population outcome, strategic goal, outcomes, objectives and priority areas for the </w:t>
      </w:r>
      <w:r w:rsidR="003E1E74">
        <w:t>s</w:t>
      </w:r>
      <w:r w:rsidR="00807A6F" w:rsidRPr="00CE1E4C">
        <w:t>trategy</w:t>
      </w:r>
    </w:p>
    <w:p w14:paraId="0308FE7C" w14:textId="6FF7E547" w:rsidR="005A7484" w:rsidRPr="00CE1E4C" w:rsidRDefault="00F41FB1" w:rsidP="001B2520">
      <w:pPr>
        <w:pStyle w:val="List-BulletLvl1"/>
      </w:pPr>
      <w:r w:rsidRPr="00CE1E4C">
        <w:t>service plan for the three years from 2022/23 to 2024/25</w:t>
      </w:r>
    </w:p>
    <w:p w14:paraId="1423D526" w14:textId="59EEABB9" w:rsidR="00F41FB1" w:rsidRPr="00CE1E4C" w:rsidRDefault="00F41FB1" w:rsidP="001B2520">
      <w:pPr>
        <w:pStyle w:val="List-BulletLvl1"/>
      </w:pPr>
      <w:r w:rsidRPr="00CE1E4C">
        <w:t xml:space="preserve">funding levels for the Ministry </w:t>
      </w:r>
      <w:r w:rsidR="00224947" w:rsidRPr="00CE1E4C">
        <w:t xml:space="preserve">in relation to the gambling harm prevention and minimisation activities described in the </w:t>
      </w:r>
      <w:r w:rsidR="006332BF">
        <w:t xml:space="preserve">draft </w:t>
      </w:r>
      <w:r w:rsidR="00D84630">
        <w:t>s</w:t>
      </w:r>
      <w:r w:rsidR="00C64F50" w:rsidRPr="00CE1E4C">
        <w:t>trategy</w:t>
      </w:r>
    </w:p>
    <w:p w14:paraId="5A5942E6" w14:textId="3D155105" w:rsidR="00224947" w:rsidRPr="00CE1E4C" w:rsidRDefault="00224947" w:rsidP="001B2520">
      <w:pPr>
        <w:pStyle w:val="List-BulletLvl1"/>
      </w:pPr>
      <w:r w:rsidRPr="00CE1E4C">
        <w:t>the problem gambling levy rates and we</w:t>
      </w:r>
      <w:r w:rsidR="00CE1E4C" w:rsidRPr="00CE1E4C">
        <w:t>ighting options per gambling sector for the three years</w:t>
      </w:r>
      <w:r w:rsidR="00AA4731">
        <w:t xml:space="preserve"> from 2022/23 to 2024/25</w:t>
      </w:r>
      <w:r w:rsidR="00CE1E4C" w:rsidRPr="00CE1E4C">
        <w:t xml:space="preserve">. </w:t>
      </w:r>
    </w:p>
    <w:p w14:paraId="3C316E50" w14:textId="06B39CBA" w:rsidR="00AF4DB5" w:rsidRPr="001105AC" w:rsidRDefault="00AF4DB5" w:rsidP="00AF4DB5">
      <w:pPr>
        <w:pStyle w:val="BodyText"/>
      </w:pPr>
      <w:r w:rsidRPr="001105AC">
        <w:t xml:space="preserve">The consultation document included </w:t>
      </w:r>
      <w:r w:rsidR="0093278D" w:rsidRPr="001105AC">
        <w:t>13</w:t>
      </w:r>
      <w:r w:rsidRPr="001105AC">
        <w:t xml:space="preserve"> questions </w:t>
      </w:r>
      <w:r w:rsidR="004F02D8" w:rsidRPr="001105AC">
        <w:t>to guide submitters’ feedback in relation to these areas:</w:t>
      </w:r>
    </w:p>
    <w:p w14:paraId="749E3EBA" w14:textId="488F2D4D" w:rsidR="004F02D8" w:rsidRPr="001105AC" w:rsidRDefault="00D84630" w:rsidP="004F02D8">
      <w:pPr>
        <w:pStyle w:val="List-BulletLvl1"/>
      </w:pPr>
      <w:r>
        <w:t>Q</w:t>
      </w:r>
      <w:r w:rsidR="004F02D8" w:rsidRPr="001105AC">
        <w:t xml:space="preserve">uestions </w:t>
      </w:r>
      <w:r w:rsidR="00C06B84" w:rsidRPr="001105AC">
        <w:t>1-4</w:t>
      </w:r>
      <w:r w:rsidR="004F02D8" w:rsidRPr="001105AC">
        <w:t xml:space="preserve"> asked stakeholders about the </w:t>
      </w:r>
      <w:r w:rsidR="00C06B84" w:rsidRPr="001105AC">
        <w:t>proposed strategic direction</w:t>
      </w:r>
    </w:p>
    <w:p w14:paraId="3B3D768F" w14:textId="37C9B120" w:rsidR="004F02D8" w:rsidRPr="001105AC" w:rsidRDefault="00D84630" w:rsidP="004F02D8">
      <w:pPr>
        <w:pStyle w:val="List-BulletLvl1"/>
      </w:pPr>
      <w:r>
        <w:t>Q</w:t>
      </w:r>
      <w:r w:rsidR="004F02D8" w:rsidRPr="001105AC">
        <w:t xml:space="preserve">uestions </w:t>
      </w:r>
      <w:r w:rsidR="00C728CD" w:rsidRPr="001105AC">
        <w:t>5-8</w:t>
      </w:r>
      <w:r w:rsidR="004F02D8" w:rsidRPr="001105AC">
        <w:t xml:space="preserve"> asked </w:t>
      </w:r>
      <w:r w:rsidR="00AD7E9C" w:rsidRPr="001105AC">
        <w:t>stakeholders</w:t>
      </w:r>
      <w:r w:rsidR="004F02D8" w:rsidRPr="001105AC">
        <w:t xml:space="preserve"> about the </w:t>
      </w:r>
      <w:r w:rsidR="003D6FBA" w:rsidRPr="001105AC">
        <w:t xml:space="preserve">proposed </w:t>
      </w:r>
      <w:r w:rsidR="004F02D8" w:rsidRPr="001105AC">
        <w:t xml:space="preserve">draft </w:t>
      </w:r>
      <w:r w:rsidR="00C728CD" w:rsidRPr="001105AC">
        <w:t>service plan</w:t>
      </w:r>
      <w:r w:rsidR="004F02D8" w:rsidRPr="001105AC">
        <w:t xml:space="preserve"> and funding</w:t>
      </w:r>
    </w:p>
    <w:p w14:paraId="544F012B" w14:textId="4F583B16" w:rsidR="004F02D8" w:rsidRPr="001105AC" w:rsidRDefault="00D84630" w:rsidP="004F02D8">
      <w:pPr>
        <w:pStyle w:val="List-BulletLvl1"/>
      </w:pPr>
      <w:r>
        <w:t>Q</w:t>
      </w:r>
      <w:r w:rsidR="004F02D8" w:rsidRPr="001105AC">
        <w:t xml:space="preserve">uestions </w:t>
      </w:r>
      <w:r w:rsidR="003D6FBA" w:rsidRPr="001105AC">
        <w:t>9</w:t>
      </w:r>
      <w:r w:rsidR="004F02D8" w:rsidRPr="001105AC">
        <w:t>-</w:t>
      </w:r>
      <w:r w:rsidR="003D6FBA" w:rsidRPr="001105AC">
        <w:t>12</w:t>
      </w:r>
      <w:r w:rsidR="004F02D8" w:rsidRPr="001105AC">
        <w:t xml:space="preserve"> asked </w:t>
      </w:r>
      <w:r w:rsidR="00AD7E9C" w:rsidRPr="001105AC">
        <w:t>stakeholders</w:t>
      </w:r>
      <w:r w:rsidR="004F02D8" w:rsidRPr="001105AC">
        <w:t xml:space="preserve"> about the </w:t>
      </w:r>
      <w:r w:rsidR="003D6FBA" w:rsidRPr="001105AC">
        <w:t xml:space="preserve">proposed </w:t>
      </w:r>
      <w:r w:rsidR="004F02D8" w:rsidRPr="001105AC">
        <w:t xml:space="preserve">levy </w:t>
      </w:r>
      <w:r w:rsidR="00A57929">
        <w:t>and weighting options</w:t>
      </w:r>
    </w:p>
    <w:p w14:paraId="408AECE4" w14:textId="658F8C07" w:rsidR="00432573" w:rsidRPr="001105AC" w:rsidRDefault="00D84630" w:rsidP="004F02D8">
      <w:pPr>
        <w:pStyle w:val="List-BulletLvl1"/>
      </w:pPr>
      <w:r>
        <w:lastRenderedPageBreak/>
        <w:t>Q</w:t>
      </w:r>
      <w:r w:rsidR="00432573" w:rsidRPr="001105AC">
        <w:t xml:space="preserve">uestion </w:t>
      </w:r>
      <w:r w:rsidR="001105AC" w:rsidRPr="001105AC">
        <w:t>13</w:t>
      </w:r>
      <w:r w:rsidR="00432573" w:rsidRPr="001105AC">
        <w:t xml:space="preserve"> asked if there was anything else that stakeholders would like to tell the Ministry about the </w:t>
      </w:r>
      <w:r>
        <w:t>draft s</w:t>
      </w:r>
      <w:r w:rsidR="001105AC" w:rsidRPr="001105AC">
        <w:t>trategy</w:t>
      </w:r>
      <w:r w:rsidR="00432573" w:rsidRPr="001105AC">
        <w:t xml:space="preserve"> or preventing and minimising gambling harm more generally. </w:t>
      </w:r>
    </w:p>
    <w:p w14:paraId="0743EA6B" w14:textId="1C9580C3" w:rsidR="00830CF5" w:rsidRDefault="00830CF5" w:rsidP="00576B86">
      <w:pPr>
        <w:pStyle w:val="NumberedHeading2"/>
      </w:pPr>
      <w:bookmarkStart w:id="18" w:name="_Toc88637529"/>
      <w:bookmarkStart w:id="19" w:name="_Toc273196830"/>
      <w:r>
        <w:t>Purpose</w:t>
      </w:r>
      <w:r w:rsidR="00132E36">
        <w:t xml:space="preserve"> of this report</w:t>
      </w:r>
      <w:bookmarkEnd w:id="18"/>
    </w:p>
    <w:p w14:paraId="2E79778E" w14:textId="5D4D27BC" w:rsidR="00BF4A7E" w:rsidRDefault="00BF4A7E" w:rsidP="00BF4A7E">
      <w:pPr>
        <w:pStyle w:val="BodyText"/>
      </w:pPr>
      <w:r>
        <w:t>Allen and Clarke Policy and Regulatory Specialists (</w:t>
      </w:r>
      <w:r>
        <w:rPr>
          <w:i/>
          <w:iCs/>
        </w:rPr>
        <w:t>Allen + Clarke</w:t>
      </w:r>
      <w:r>
        <w:t xml:space="preserve">) </w:t>
      </w:r>
      <w:r w:rsidR="005F5EC2">
        <w:t xml:space="preserve">was </w:t>
      </w:r>
      <w:r>
        <w:t xml:space="preserve">contracted by the Ministry to analyse the </w:t>
      </w:r>
      <w:r w:rsidR="002007BD">
        <w:t>feedback</w:t>
      </w:r>
      <w:r w:rsidR="005809F5">
        <w:t xml:space="preserve"> provided</w:t>
      </w:r>
      <w:r w:rsidR="002007BD">
        <w:t xml:space="preserve"> at </w:t>
      </w:r>
      <w:r w:rsidR="005D4AEA">
        <w:t xml:space="preserve">10 </w:t>
      </w:r>
      <w:r w:rsidR="002007BD">
        <w:t xml:space="preserve">consultation hui and the written submissions and provide all feedback in a narrative report. </w:t>
      </w:r>
    </w:p>
    <w:p w14:paraId="40CEE0E5" w14:textId="6A3E66C5" w:rsidR="002007BD" w:rsidRDefault="002007BD" w:rsidP="00BF4A7E">
      <w:pPr>
        <w:pStyle w:val="BodyText"/>
      </w:pPr>
      <w:r>
        <w:t xml:space="preserve">This report summarises views submitted on the </w:t>
      </w:r>
      <w:r w:rsidR="00512A1F">
        <w:t>draft</w:t>
      </w:r>
      <w:r>
        <w:t xml:space="preserve"> </w:t>
      </w:r>
      <w:r w:rsidR="003457A0">
        <w:t>s</w:t>
      </w:r>
      <w:r w:rsidR="00FA4395">
        <w:t xml:space="preserve">trategy </w:t>
      </w:r>
      <w:r>
        <w:t xml:space="preserve">both by thematic area and by category of submitter. Evidence provided by submitters is also described where relevant. </w:t>
      </w:r>
    </w:p>
    <w:p w14:paraId="120F6BC2" w14:textId="7E74FFEA" w:rsidR="00C13878" w:rsidRDefault="00C13878" w:rsidP="00BF4A7E">
      <w:pPr>
        <w:pStyle w:val="BodyText"/>
      </w:pPr>
      <w:r>
        <w:t xml:space="preserve">This report will be used by the Ministry to inform the development of the final direction of the </w:t>
      </w:r>
      <w:r w:rsidR="00490C78">
        <w:t>s</w:t>
      </w:r>
      <w:r>
        <w:t>trategy and its priorities. After considering the feedback in this report, and making any necessary revisions</w:t>
      </w:r>
      <w:r w:rsidR="00312A52">
        <w:t xml:space="preserve">, the Ministry will submit </w:t>
      </w:r>
      <w:r w:rsidR="0025094C">
        <w:t>the</w:t>
      </w:r>
      <w:r w:rsidR="00312A52">
        <w:t xml:space="preserve"> </w:t>
      </w:r>
      <w:r w:rsidR="008273A7">
        <w:t xml:space="preserve">updated </w:t>
      </w:r>
      <w:r w:rsidR="00490C78">
        <w:t>s</w:t>
      </w:r>
      <w:r w:rsidR="00312A52">
        <w:t xml:space="preserve">trategy and levy rates to the Gambling Commission in accordance with section 318 of the Act. </w:t>
      </w:r>
      <w:r w:rsidR="00282299">
        <w:t>The Gambling Commission will undertake an analysis, convene a consultation meeting, and provide its own advice to</w:t>
      </w:r>
      <w:r w:rsidR="00522A67">
        <w:t xml:space="preserve"> the responsible Ministers. Cabinet will subsequently make decisions on the shape of the </w:t>
      </w:r>
      <w:r w:rsidR="00490C78">
        <w:t>s</w:t>
      </w:r>
      <w:r w:rsidR="008273A7">
        <w:t xml:space="preserve">trategy </w:t>
      </w:r>
      <w:r w:rsidR="00522A67">
        <w:t>and the levy rates for the next three</w:t>
      </w:r>
      <w:r w:rsidR="00200139">
        <w:t>-</w:t>
      </w:r>
      <w:r w:rsidR="00522A67">
        <w:t>year period (20</w:t>
      </w:r>
      <w:r w:rsidR="00200139">
        <w:t xml:space="preserve">22/23 </w:t>
      </w:r>
      <w:r w:rsidR="0025094C">
        <w:t xml:space="preserve">to </w:t>
      </w:r>
      <w:r w:rsidR="00200139">
        <w:t xml:space="preserve">2024/25). </w:t>
      </w:r>
    </w:p>
    <w:p w14:paraId="20D56911" w14:textId="14934BBB" w:rsidR="005930A4" w:rsidRDefault="003B396E" w:rsidP="003B396E">
      <w:pPr>
        <w:pStyle w:val="NumberedHeading2"/>
      </w:pPr>
      <w:bookmarkStart w:id="20" w:name="_Toc88637530"/>
      <w:r>
        <w:t>Consultation process</w:t>
      </w:r>
      <w:bookmarkEnd w:id="20"/>
    </w:p>
    <w:p w14:paraId="4BDE420D" w14:textId="698AC165" w:rsidR="00200139" w:rsidRDefault="00200139" w:rsidP="00BF4A7E">
      <w:pPr>
        <w:pStyle w:val="BodyText"/>
      </w:pPr>
      <w:r>
        <w:t xml:space="preserve">The consultation process about the proposals to refresh the </w:t>
      </w:r>
      <w:r w:rsidR="00EA19B7">
        <w:t>s</w:t>
      </w:r>
      <w:r>
        <w:t xml:space="preserve">trategy and associated levy ran for </w:t>
      </w:r>
      <w:r w:rsidR="00546EB3">
        <w:t xml:space="preserve">six </w:t>
      </w:r>
      <w:r>
        <w:t xml:space="preserve">weeks </w:t>
      </w:r>
      <w:r w:rsidRPr="006500C5">
        <w:t xml:space="preserve">from </w:t>
      </w:r>
      <w:r w:rsidR="007E3E0A" w:rsidRPr="006500C5">
        <w:t>29</w:t>
      </w:r>
      <w:r w:rsidRPr="006500C5">
        <w:t xml:space="preserve"> August to </w:t>
      </w:r>
      <w:r w:rsidR="006500C5" w:rsidRPr="006500C5">
        <w:t>8 October</w:t>
      </w:r>
      <w:r w:rsidRPr="006500C5">
        <w:t xml:space="preserve"> 2021. </w:t>
      </w:r>
      <w:r w:rsidR="0046421E" w:rsidRPr="006500C5">
        <w:t>Consultation</w:t>
      </w:r>
      <w:r w:rsidR="0046421E">
        <w:t xml:space="preserve"> </w:t>
      </w:r>
      <w:r w:rsidR="00AC6D1F">
        <w:t xml:space="preserve">focused on </w:t>
      </w:r>
      <w:r w:rsidR="0046421E">
        <w:t xml:space="preserve">stakeholders from the gambling industry, </w:t>
      </w:r>
      <w:r w:rsidR="002570BA">
        <w:t>service providers, affected communities and interest groups</w:t>
      </w:r>
      <w:r w:rsidR="00EF1CFD">
        <w:t>. Stakeholders were contacted</w:t>
      </w:r>
      <w:r w:rsidR="002570BA">
        <w:t xml:space="preserve"> via email, the Ministry’s website and social media. </w:t>
      </w:r>
    </w:p>
    <w:p w14:paraId="4A04311F" w14:textId="5FBA8334" w:rsidR="002570BA" w:rsidRDefault="0023592E" w:rsidP="00BF4A7E">
      <w:pPr>
        <w:pStyle w:val="BodyText"/>
      </w:pPr>
      <w:r w:rsidRPr="008D5102">
        <w:t xml:space="preserve">The Ministry held 10 consultation hui between 6 September and 28 September 2021, facilitated by </w:t>
      </w:r>
      <w:r w:rsidRPr="008D5102">
        <w:rPr>
          <w:i/>
          <w:iCs/>
        </w:rPr>
        <w:t>Allen + Clarke</w:t>
      </w:r>
      <w:r w:rsidRPr="008D5102">
        <w:t xml:space="preserve">. </w:t>
      </w:r>
      <w:r w:rsidR="00660E5B" w:rsidRPr="008D5102">
        <w:t>All hui were held via Zoom to accommodate the August 2021 COVID-19 Delta outbreak, and different stakeholder</w:t>
      </w:r>
      <w:r w:rsidR="005D4AEA">
        <w:t xml:space="preserve"> and interest</w:t>
      </w:r>
      <w:r w:rsidR="00660E5B" w:rsidRPr="008D5102">
        <w:t xml:space="preserve"> groups were encouraged to attend. The purpose of the hui </w:t>
      </w:r>
      <w:r w:rsidR="00660E5B">
        <w:t>were</w:t>
      </w:r>
      <w:r w:rsidR="00660E5B" w:rsidRPr="008D5102">
        <w:t xml:space="preserve"> to facilitate discussion about the </w:t>
      </w:r>
      <w:r w:rsidR="00660E5B">
        <w:t>S</w:t>
      </w:r>
      <w:r w:rsidR="00660E5B" w:rsidRPr="008D5102">
        <w:t>trategy</w:t>
      </w:r>
      <w:r w:rsidR="00660E5B">
        <w:t xml:space="preserve">, </w:t>
      </w:r>
      <w:r w:rsidR="00660E5B" w:rsidRPr="008D5102">
        <w:t>answer questions that stakeholder</w:t>
      </w:r>
      <w:r w:rsidR="00660E5B">
        <w:t>s</w:t>
      </w:r>
      <w:r w:rsidR="00660E5B" w:rsidRPr="008D5102">
        <w:t xml:space="preserve"> had,</w:t>
      </w:r>
      <w:r w:rsidR="00660E5B">
        <w:t xml:space="preserve"> and</w:t>
      </w:r>
      <w:r w:rsidR="00660E5B" w:rsidRPr="008D5102">
        <w:t xml:space="preserve"> to </w:t>
      </w:r>
      <w:r w:rsidR="00B94693">
        <w:t xml:space="preserve">provide advice about </w:t>
      </w:r>
      <w:r w:rsidR="00660E5B" w:rsidRPr="008D5102">
        <w:t xml:space="preserve">preparing their written submissions. </w:t>
      </w:r>
      <w:r w:rsidR="002570BA">
        <w:t>The hui were themed to hear Māori, Pacific</w:t>
      </w:r>
      <w:r w:rsidR="00102164">
        <w:t xml:space="preserve"> </w:t>
      </w:r>
      <w:r w:rsidR="001D2FF9">
        <w:t>p</w:t>
      </w:r>
      <w:r w:rsidR="00102164">
        <w:t>eoples</w:t>
      </w:r>
      <w:r w:rsidR="002570BA">
        <w:t>, Asian</w:t>
      </w:r>
      <w:r w:rsidR="0000379D">
        <w:t xml:space="preserve"> </w:t>
      </w:r>
      <w:r w:rsidR="001D2FF9">
        <w:t>peo</w:t>
      </w:r>
      <w:r w:rsidR="00F73C02">
        <w:t>p</w:t>
      </w:r>
      <w:r w:rsidR="001D2FF9">
        <w:t>le</w:t>
      </w:r>
      <w:r w:rsidR="00452EF1">
        <w:t>s</w:t>
      </w:r>
      <w:r w:rsidR="002570BA">
        <w:t>,</w:t>
      </w:r>
      <w:r w:rsidR="008B3219">
        <w:t xml:space="preserve"> young people,</w:t>
      </w:r>
      <w:r w:rsidR="002570BA">
        <w:t xml:space="preserve"> </w:t>
      </w:r>
      <w:r w:rsidR="00927320">
        <w:t>people with lived experience</w:t>
      </w:r>
      <w:r w:rsidR="008B3219">
        <w:t xml:space="preserve"> and industry viewpoints and </w:t>
      </w:r>
      <w:r w:rsidR="00501B3F">
        <w:t xml:space="preserve">advice from </w:t>
      </w:r>
      <w:r w:rsidR="008B3219">
        <w:t xml:space="preserve">the general public. Written notes of the verbal feedback received during the hui were taken by </w:t>
      </w:r>
      <w:r w:rsidR="008B3219">
        <w:rPr>
          <w:i/>
          <w:iCs/>
        </w:rPr>
        <w:t xml:space="preserve">Allen + Clarke. </w:t>
      </w:r>
      <w:r w:rsidR="00584770" w:rsidRPr="008D5102">
        <w:t xml:space="preserve">Themes and comments from hui contained in this report are summarised from the full set of notes. Themes from the hui are included under the </w:t>
      </w:r>
      <w:r w:rsidR="00584770">
        <w:t>relevant</w:t>
      </w:r>
      <w:r w:rsidR="00584770" w:rsidRPr="008D5102">
        <w:t xml:space="preserve"> heading throughout the report</w:t>
      </w:r>
      <w:r w:rsidR="00584770">
        <w:t>.</w:t>
      </w:r>
    </w:p>
    <w:p w14:paraId="1571AC8F" w14:textId="2C1ED48C" w:rsidR="00916E5D" w:rsidRPr="008B3219" w:rsidRDefault="00916E5D" w:rsidP="00BF4A7E">
      <w:pPr>
        <w:pStyle w:val="BodyText"/>
      </w:pPr>
      <w:r>
        <w:t xml:space="preserve">The analysis of the written submissions </w:t>
      </w:r>
      <w:r w:rsidR="00F460AC">
        <w:t xml:space="preserve">and verbal feedback during </w:t>
      </w:r>
      <w:r w:rsidR="003C39EF">
        <w:t>the hui is</w:t>
      </w:r>
      <w:r w:rsidR="00F460AC">
        <w:t xml:space="preserve"> being considered by the Ministry</w:t>
      </w:r>
      <w:r w:rsidR="003C39EF">
        <w:t xml:space="preserve"> and will inform the Ministry’s response to the submissions.</w:t>
      </w:r>
    </w:p>
    <w:p w14:paraId="7F85AD44" w14:textId="15FF59C2" w:rsidR="008D5102" w:rsidRPr="008D5102" w:rsidRDefault="008D5102" w:rsidP="008D5102">
      <w:pPr>
        <w:pStyle w:val="BodyText"/>
      </w:pPr>
    </w:p>
    <w:p w14:paraId="4FA3FC0B" w14:textId="77777777" w:rsidR="008D5102" w:rsidRPr="008B3219" w:rsidRDefault="008D5102" w:rsidP="00BF4A7E">
      <w:pPr>
        <w:pStyle w:val="BodyText"/>
      </w:pPr>
    </w:p>
    <w:p w14:paraId="0EE98852" w14:textId="77777777" w:rsidR="0052685B" w:rsidRDefault="0052685B" w:rsidP="0052685B">
      <w:pPr>
        <w:pStyle w:val="BodyText"/>
        <w:rPr>
          <w:rFonts w:asciiTheme="majorHAnsi" w:hAnsiTheme="majorHAnsi"/>
          <w:color w:val="36424A" w:themeColor="text2"/>
          <w:sz w:val="28"/>
          <w:highlight w:val="lightGray"/>
        </w:rPr>
      </w:pPr>
      <w:r>
        <w:rPr>
          <w:highlight w:val="lightGray"/>
        </w:rPr>
        <w:br w:type="page"/>
      </w:r>
    </w:p>
    <w:p w14:paraId="301F5BFA" w14:textId="7252FD89" w:rsidR="00731BFE" w:rsidRDefault="00731BFE" w:rsidP="0077111C">
      <w:pPr>
        <w:pStyle w:val="NumberedHeading2"/>
      </w:pPr>
      <w:bookmarkStart w:id="21" w:name="_Toc88637531"/>
      <w:r w:rsidRPr="006A3C41">
        <w:lastRenderedPageBreak/>
        <w:t>Methodology</w:t>
      </w:r>
      <w:bookmarkEnd w:id="19"/>
      <w:bookmarkEnd w:id="21"/>
    </w:p>
    <w:p w14:paraId="74D55C4A" w14:textId="09A82CCF" w:rsidR="00D50BE8" w:rsidRDefault="00D50BE8" w:rsidP="00D50BE8">
      <w:pPr>
        <w:pStyle w:val="BodyText"/>
      </w:pPr>
      <w:r>
        <w:t xml:space="preserve">All submissions were supplied to </w:t>
      </w:r>
      <w:r>
        <w:rPr>
          <w:i/>
          <w:iCs/>
        </w:rPr>
        <w:t xml:space="preserve">Allen + Clarke </w:t>
      </w:r>
      <w:r>
        <w:t xml:space="preserve">in </w:t>
      </w:r>
      <w:r w:rsidR="002D0B48">
        <w:t>electronic</w:t>
      </w:r>
      <w:r>
        <w:t xml:space="preserve"> format</w:t>
      </w:r>
      <w:r w:rsidR="003F0D77">
        <w:t xml:space="preserve">. Submissions were received by the Ministry via </w:t>
      </w:r>
      <w:r w:rsidR="00CE5BFA">
        <w:t>‘</w:t>
      </w:r>
      <w:r w:rsidR="000B4FD1">
        <w:t>Citizen</w:t>
      </w:r>
      <w:r w:rsidR="003F0D77">
        <w:t xml:space="preserve"> Space</w:t>
      </w:r>
      <w:r w:rsidR="00CE5BFA">
        <w:t>’</w:t>
      </w:r>
      <w:r w:rsidR="003F0D77">
        <w:t xml:space="preserve"> (a cloud-based consultation software) and direct email submission, according to submitter prefe</w:t>
      </w:r>
      <w:r w:rsidR="006B55BC">
        <w:t xml:space="preserve">rence. Submitters were asked to </w:t>
      </w:r>
      <w:r w:rsidR="00C10833">
        <w:t>identify if the</w:t>
      </w:r>
      <w:r w:rsidR="0018707F">
        <w:t>y</w:t>
      </w:r>
      <w:r w:rsidR="00C10833">
        <w:t xml:space="preserve"> were an organisation (and if so, what type of organisation) or individual, and could choose from a standard set of possible options. This categorisation was supplemented by a Ministry assessment if the submitter type was not clear or not provided, or to determine a primary classification</w:t>
      </w:r>
      <w:r w:rsidR="003A2218">
        <w:t xml:space="preserve"> </w:t>
      </w:r>
      <w:r w:rsidR="00C10833">
        <w:t>if the submitter had nominated multiple types. All submissions were collated and allocated a unique ide</w:t>
      </w:r>
      <w:r w:rsidR="00D91D68">
        <w:t xml:space="preserve">ntifier before being provided to </w:t>
      </w:r>
      <w:r w:rsidR="00D91D68">
        <w:rPr>
          <w:i/>
          <w:iCs/>
        </w:rPr>
        <w:t xml:space="preserve">Allen + Clarke. </w:t>
      </w:r>
    </w:p>
    <w:p w14:paraId="0154FC72" w14:textId="184C1528" w:rsidR="00D91D68" w:rsidRPr="00D91D68" w:rsidRDefault="00D91D68" w:rsidP="00D50BE8">
      <w:pPr>
        <w:pStyle w:val="BodyText"/>
      </w:pPr>
      <w:r>
        <w:t xml:space="preserve">Once received by </w:t>
      </w:r>
      <w:r>
        <w:rPr>
          <w:i/>
          <w:iCs/>
        </w:rPr>
        <w:t>Allen + Clarke</w:t>
      </w:r>
      <w:r>
        <w:t xml:space="preserve">, submissions were uploaded to NVivo </w:t>
      </w:r>
      <w:r w:rsidR="007B2396">
        <w:t>(</w:t>
      </w:r>
      <w:r>
        <w:t>version</w:t>
      </w:r>
      <w:r w:rsidR="005759D9">
        <w:t xml:space="preserve"> </w:t>
      </w:r>
      <w:r w:rsidR="005759D9" w:rsidRPr="009C70E1">
        <w:t>1.5.1</w:t>
      </w:r>
      <w:r w:rsidR="007B2396">
        <w:t>, a q</w:t>
      </w:r>
      <w:r w:rsidRPr="009C70E1">
        <w:t>ualitative</w:t>
      </w:r>
      <w:r>
        <w:t xml:space="preserve"> analysis software</w:t>
      </w:r>
      <w:r w:rsidR="007B2396">
        <w:t>)</w:t>
      </w:r>
      <w:r>
        <w:t xml:space="preserve"> and coded to a question-based coding frame</w:t>
      </w:r>
      <w:r w:rsidR="008F4968">
        <w:t>work</w:t>
      </w:r>
      <w:r>
        <w:t xml:space="preserve">. From this, specific reports by both theme and individual submitter were drawn and used to inform this report. </w:t>
      </w:r>
    </w:p>
    <w:p w14:paraId="4329E783" w14:textId="270A724F" w:rsidR="00132E36" w:rsidRDefault="00132E36" w:rsidP="00132E36">
      <w:pPr>
        <w:pStyle w:val="NumberedHeading2"/>
      </w:pPr>
      <w:bookmarkStart w:id="22" w:name="_Toc88637532"/>
      <w:r>
        <w:t>Summary of submitters</w:t>
      </w:r>
      <w:bookmarkEnd w:id="22"/>
    </w:p>
    <w:p w14:paraId="56CFF9B8" w14:textId="6A538B60" w:rsidR="00331EE3" w:rsidRDefault="00F80747" w:rsidP="00331EE3">
      <w:pPr>
        <w:pStyle w:val="BodyText"/>
      </w:pPr>
      <w:r>
        <w:t>S</w:t>
      </w:r>
      <w:r w:rsidR="00331EE3">
        <w:t>ection</w:t>
      </w:r>
      <w:r>
        <w:t xml:space="preserve"> 1.6</w:t>
      </w:r>
      <w:r w:rsidR="00331EE3">
        <w:t xml:space="preserve"> summarises the submitters who commented on the </w:t>
      </w:r>
      <w:r w:rsidR="005F1A52">
        <w:t>draft</w:t>
      </w:r>
      <w:r w:rsidR="00331EE3">
        <w:t xml:space="preserve"> </w:t>
      </w:r>
      <w:r w:rsidR="00331356">
        <w:t>s</w:t>
      </w:r>
      <w:r w:rsidR="00331EE3">
        <w:t>trategy</w:t>
      </w:r>
      <w:r w:rsidR="0060106F">
        <w:t>.</w:t>
      </w:r>
      <w:r w:rsidR="00331EE3">
        <w:t xml:space="preserve"> </w:t>
      </w:r>
    </w:p>
    <w:p w14:paraId="7B2F765E" w14:textId="3CC6EE3B" w:rsidR="00A72482" w:rsidRDefault="00A72482" w:rsidP="00A72482">
      <w:pPr>
        <w:pStyle w:val="NumberedHeading3"/>
      </w:pPr>
      <w:bookmarkStart w:id="23" w:name="_Toc88637533"/>
      <w:r>
        <w:t>Number and type of submitters</w:t>
      </w:r>
      <w:bookmarkEnd w:id="23"/>
    </w:p>
    <w:p w14:paraId="36AE1B49" w14:textId="10892D23" w:rsidR="00A72482" w:rsidRDefault="00A72482" w:rsidP="00A72482">
      <w:pPr>
        <w:pStyle w:val="BodyText"/>
      </w:pPr>
      <w:r>
        <w:t xml:space="preserve">A total of </w:t>
      </w:r>
      <w:r w:rsidR="007C043E">
        <w:t>6</w:t>
      </w:r>
      <w:r w:rsidR="00487F9F">
        <w:t>4</w:t>
      </w:r>
      <w:r>
        <w:t xml:space="preserve"> written submissions were received</w:t>
      </w:r>
      <w:r w:rsidR="006675B2">
        <w:t>:</w:t>
      </w:r>
    </w:p>
    <w:p w14:paraId="2363431C" w14:textId="166BDDEA" w:rsidR="006675B2" w:rsidRDefault="00F80747" w:rsidP="006675B2">
      <w:pPr>
        <w:pStyle w:val="List-BulletLvl1"/>
      </w:pPr>
      <w:r>
        <w:t>58</w:t>
      </w:r>
      <w:r w:rsidR="00C414A9">
        <w:t xml:space="preserve"> </w:t>
      </w:r>
      <w:r w:rsidR="006675B2">
        <w:t>submissions from organisations</w:t>
      </w:r>
      <w:r w:rsidR="00C67364">
        <w:rPr>
          <w:rStyle w:val="FootnoteReference"/>
        </w:rPr>
        <w:footnoteReference w:id="12"/>
      </w:r>
      <w:r w:rsidR="007D56A2">
        <w:t xml:space="preserve"> </w:t>
      </w:r>
    </w:p>
    <w:p w14:paraId="3342D6AB" w14:textId="17E7B746" w:rsidR="006675B2" w:rsidRDefault="00015FDC" w:rsidP="006675B2">
      <w:pPr>
        <w:pStyle w:val="List-BulletLvl1"/>
      </w:pPr>
      <w:r w:rsidDel="00597E7C">
        <w:t>s</w:t>
      </w:r>
      <w:r>
        <w:t>ix</w:t>
      </w:r>
      <w:r w:rsidR="006675B2">
        <w:t xml:space="preserve"> submissions from individuals.</w:t>
      </w:r>
      <w:r w:rsidR="00C67364">
        <w:rPr>
          <w:rStyle w:val="FootnoteReference"/>
        </w:rPr>
        <w:footnoteReference w:id="13"/>
      </w:r>
      <w:r w:rsidR="006675B2">
        <w:t xml:space="preserve"> </w:t>
      </w:r>
    </w:p>
    <w:p w14:paraId="41381333" w14:textId="7987375E" w:rsidR="00900722" w:rsidRDefault="00900722" w:rsidP="00900722">
      <w:pPr>
        <w:pStyle w:val="BodyText"/>
      </w:pPr>
      <w:r>
        <w:t xml:space="preserve">The </w:t>
      </w:r>
      <w:r w:rsidRPr="005808F6">
        <w:t>primary</w:t>
      </w:r>
      <w:r>
        <w:t xml:space="preserve"> type of organisation (sector) and the number of submitters in each sector are described in </w:t>
      </w:r>
      <w:r w:rsidR="00C554D9">
        <w:fldChar w:fldCharType="begin"/>
      </w:r>
      <w:r w:rsidR="00C554D9">
        <w:instrText xml:space="preserve"> REF _Ref86933962 \h </w:instrText>
      </w:r>
      <w:r w:rsidR="00C554D9">
        <w:fldChar w:fldCharType="separate"/>
      </w:r>
      <w:r w:rsidR="00071098">
        <w:t xml:space="preserve">Figure </w:t>
      </w:r>
      <w:r w:rsidR="00071098">
        <w:rPr>
          <w:noProof/>
        </w:rPr>
        <w:t>1</w:t>
      </w:r>
      <w:r w:rsidR="00C554D9">
        <w:fldChar w:fldCharType="end"/>
      </w:r>
      <w:r w:rsidR="00C554D9">
        <w:t xml:space="preserve"> (overleaf).</w:t>
      </w:r>
      <w:r>
        <w:t xml:space="preserve"> </w:t>
      </w:r>
    </w:p>
    <w:p w14:paraId="2F9DB0BD" w14:textId="6A4DDDAC" w:rsidR="00900722" w:rsidRDefault="0002749B" w:rsidP="00900722">
      <w:pPr>
        <w:pStyle w:val="BodyText"/>
      </w:pPr>
      <w:r>
        <w:t>‘NCGM submitters’</w:t>
      </w:r>
      <w:r w:rsidR="00900722">
        <w:t xml:space="preserve"> includes NCGM societies</w:t>
      </w:r>
      <w:r w:rsidR="00000983">
        <w:t>, clubs</w:t>
      </w:r>
      <w:r w:rsidR="00900722">
        <w:t xml:space="preserve"> and sector</w:t>
      </w:r>
      <w:r w:rsidR="009F78D5" w:rsidRPr="0085338F">
        <w:t xml:space="preserve"> representatives</w:t>
      </w:r>
      <w:r w:rsidR="00900722">
        <w:t xml:space="preserve">. </w:t>
      </w:r>
    </w:p>
    <w:p w14:paraId="5BFB53A2" w14:textId="435B59BD" w:rsidR="00CA2F24" w:rsidRDefault="00CA2F24" w:rsidP="00900722">
      <w:pPr>
        <w:pStyle w:val="BodyText"/>
      </w:pPr>
      <w:r>
        <w:t xml:space="preserve">‘Service </w:t>
      </w:r>
      <w:r w:rsidR="009F78D5" w:rsidRPr="0085338F">
        <w:t>p</w:t>
      </w:r>
      <w:r w:rsidRPr="0085338F">
        <w:t>roviders’</w:t>
      </w:r>
      <w:r>
        <w:t xml:space="preserve"> are organisations that offer treatment to people who are experiencing harm from gambling. </w:t>
      </w:r>
      <w:r w:rsidR="00DF38F8" w:rsidRPr="0085338F">
        <w:t xml:space="preserve">For the purposes of this analysis, </w:t>
      </w:r>
      <w:r w:rsidR="00676AD0">
        <w:t>Auckland University of Technology (</w:t>
      </w:r>
      <w:r w:rsidR="00DF38F8" w:rsidRPr="0085338F">
        <w:t>AUT</w:t>
      </w:r>
      <w:r w:rsidR="00676AD0">
        <w:t>)</w:t>
      </w:r>
      <w:r w:rsidR="00431210">
        <w:t xml:space="preserve">, and an advisory group, </w:t>
      </w:r>
      <w:r w:rsidR="00022CF1">
        <w:t>are</w:t>
      </w:r>
      <w:r w:rsidR="00DF38F8" w:rsidRPr="0085338F">
        <w:t xml:space="preserve"> counted as </w:t>
      </w:r>
      <w:r w:rsidR="00431210">
        <w:t>s</w:t>
      </w:r>
      <w:r w:rsidR="00DF38F8" w:rsidRPr="0085338F">
        <w:t xml:space="preserve">ervice </w:t>
      </w:r>
      <w:r w:rsidR="00431210">
        <w:t>p</w:t>
      </w:r>
      <w:r w:rsidR="00DF38F8" w:rsidRPr="0085338F">
        <w:t>rovider</w:t>
      </w:r>
      <w:r w:rsidR="00431210">
        <w:t>s</w:t>
      </w:r>
      <w:r w:rsidR="00DF38F8" w:rsidRPr="0085338F">
        <w:t>.</w:t>
      </w:r>
    </w:p>
    <w:p w14:paraId="4C94C763" w14:textId="7F331206" w:rsidR="00CA2F24" w:rsidRDefault="0002749B" w:rsidP="00900722">
      <w:pPr>
        <w:pStyle w:val="BodyText"/>
      </w:pPr>
      <w:r>
        <w:t>‘Health</w:t>
      </w:r>
      <w:r w:rsidR="00CA2F24">
        <w:t xml:space="preserve"> </w:t>
      </w:r>
      <w:r w:rsidR="009F78D5" w:rsidRPr="0085338F">
        <w:t xml:space="preserve">and social services </w:t>
      </w:r>
      <w:r w:rsidR="00CA2F24">
        <w:t>s</w:t>
      </w:r>
      <w:r>
        <w:t>ubmitters</w:t>
      </w:r>
      <w:r w:rsidR="00CA2F24">
        <w:t xml:space="preserve">’ include organisations such as </w:t>
      </w:r>
      <w:r w:rsidR="00345571">
        <w:t>DHBs</w:t>
      </w:r>
      <w:r w:rsidR="005D1B5F" w:rsidRPr="0085338F">
        <w:t>, medical associations and social services organisations</w:t>
      </w:r>
      <w:r w:rsidR="00CA2F24">
        <w:t xml:space="preserve">. </w:t>
      </w:r>
    </w:p>
    <w:p w14:paraId="7C5624CB" w14:textId="7FB546E3" w:rsidR="00A26A93" w:rsidRPr="009E7223" w:rsidRDefault="00A26A93" w:rsidP="00A26A93">
      <w:pPr>
        <w:pStyle w:val="BodyText"/>
      </w:pPr>
      <w:r w:rsidRPr="009E7223">
        <w:t xml:space="preserve">‘Gambling </w:t>
      </w:r>
      <w:r w:rsidR="00E80205">
        <w:t>i</w:t>
      </w:r>
      <w:r w:rsidRPr="009E7223">
        <w:t xml:space="preserve">ndustry’ </w:t>
      </w:r>
      <w:r w:rsidR="00621E42">
        <w:t>includes</w:t>
      </w:r>
      <w:r w:rsidRPr="009E7223">
        <w:t xml:space="preserve"> gambling-associated organisations</w:t>
      </w:r>
      <w:r w:rsidR="00621E42">
        <w:t>,</w:t>
      </w:r>
      <w:r w:rsidRPr="009E7223">
        <w:t xml:space="preserve"> except those covered by NCGM sector</w:t>
      </w:r>
      <w:r w:rsidR="002C61B2">
        <w:t>, and</w:t>
      </w:r>
      <w:r w:rsidRPr="009E7223">
        <w:t xml:space="preserve"> technology providers.</w:t>
      </w:r>
    </w:p>
    <w:p w14:paraId="0FCE82E0" w14:textId="5A17CCE5" w:rsidR="00A26A93" w:rsidRPr="009E7223" w:rsidRDefault="00A26A93" w:rsidP="00A26A93">
      <w:pPr>
        <w:pStyle w:val="BodyText"/>
      </w:pPr>
      <w:r w:rsidRPr="009E7223">
        <w:t xml:space="preserve">‘Local </w:t>
      </w:r>
      <w:r w:rsidR="00722AFA">
        <w:t>g</w:t>
      </w:r>
      <w:r w:rsidRPr="009E7223">
        <w:t xml:space="preserve">overnment’ </w:t>
      </w:r>
      <w:r w:rsidR="00621E42">
        <w:t>includes</w:t>
      </w:r>
      <w:r w:rsidRPr="009E7223">
        <w:t xml:space="preserve"> </w:t>
      </w:r>
      <w:r w:rsidR="009966B7">
        <w:t>territorial local authorities</w:t>
      </w:r>
      <w:r w:rsidRPr="009E7223">
        <w:t>.</w:t>
      </w:r>
    </w:p>
    <w:p w14:paraId="7B8F4ADE" w14:textId="3860421F" w:rsidR="002F2216" w:rsidRPr="0085338F" w:rsidRDefault="002F2216" w:rsidP="0085338F">
      <w:pPr>
        <w:pStyle w:val="BodyText"/>
      </w:pPr>
      <w:r w:rsidRPr="0085338F">
        <w:t xml:space="preserve">‘Government’ </w:t>
      </w:r>
      <w:r w:rsidR="00621E42">
        <w:t>include</w:t>
      </w:r>
      <w:r w:rsidRPr="0085338F">
        <w:t xml:space="preserve">s </w:t>
      </w:r>
      <w:r w:rsidR="0085338F" w:rsidRPr="0085338F">
        <w:t>independent Crown entities</w:t>
      </w:r>
      <w:r w:rsidR="00F04AF1">
        <w:t xml:space="preserve"> and government agencies</w:t>
      </w:r>
      <w:r w:rsidR="0085338F" w:rsidRPr="0085338F">
        <w:t xml:space="preserve">. </w:t>
      </w:r>
    </w:p>
    <w:p w14:paraId="007F7A0F" w14:textId="3CF2160F" w:rsidR="00A26A93" w:rsidRPr="009E7223" w:rsidRDefault="00A26A93" w:rsidP="00A26A93">
      <w:pPr>
        <w:pStyle w:val="BodyText"/>
      </w:pPr>
      <w:r w:rsidRPr="009E7223">
        <w:t xml:space="preserve">‘Individual’ is the category </w:t>
      </w:r>
      <w:r w:rsidR="00370753" w:rsidRPr="0085338F">
        <w:t>of</w:t>
      </w:r>
      <w:r w:rsidRPr="009E7223">
        <w:t xml:space="preserve"> submissions received from private individuals.</w:t>
      </w:r>
    </w:p>
    <w:p w14:paraId="11E485E1" w14:textId="77777777" w:rsidR="00C554D9" w:rsidRDefault="00C554D9" w:rsidP="00A26A93">
      <w:pPr>
        <w:pStyle w:val="BodyText"/>
      </w:pPr>
    </w:p>
    <w:p w14:paraId="5AC7EECB" w14:textId="77777777" w:rsidR="00C554D9" w:rsidRDefault="00C554D9" w:rsidP="00A26A93">
      <w:pPr>
        <w:pStyle w:val="BodyText"/>
      </w:pPr>
    </w:p>
    <w:p w14:paraId="056E87A3" w14:textId="0DB01838" w:rsidR="00A26A93" w:rsidRPr="00C554D9" w:rsidRDefault="005F1A52" w:rsidP="00C554D9">
      <w:pPr>
        <w:pStyle w:val="Caption"/>
      </w:pPr>
      <w:bookmarkStart w:id="24" w:name="_Ref86933962"/>
      <w:bookmarkStart w:id="25" w:name="_Toc88637643"/>
      <w:r>
        <w:rPr>
          <w:noProof/>
        </w:rPr>
        <w:lastRenderedPageBreak/>
        <w:drawing>
          <wp:anchor distT="0" distB="0" distL="114300" distR="114300" simplePos="0" relativeHeight="251675136" behindDoc="0" locked="0" layoutInCell="1" allowOverlap="1" wp14:anchorId="6FF962E2" wp14:editId="2B5E9721">
            <wp:simplePos x="0" y="0"/>
            <wp:positionH relativeFrom="column">
              <wp:posOffset>152031</wp:posOffset>
            </wp:positionH>
            <wp:positionV relativeFrom="paragraph">
              <wp:posOffset>216535</wp:posOffset>
            </wp:positionV>
            <wp:extent cx="5502910" cy="4019550"/>
            <wp:effectExtent l="0" t="0" r="2540" b="0"/>
            <wp:wrapSquare wrapText="bothSides"/>
            <wp:docPr id="10" name="Picture 10"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emap chart&#10;&#10;Description automatically generated"/>
                    <pic:cNvPicPr/>
                  </pic:nvPicPr>
                  <pic:blipFill rotWithShape="1">
                    <a:blip r:embed="rId15">
                      <a:extLst>
                        <a:ext uri="{28A0092B-C50C-407E-A947-70E740481C1C}">
                          <a14:useLocalDpi xmlns:a14="http://schemas.microsoft.com/office/drawing/2010/main" val="0"/>
                        </a:ext>
                      </a:extLst>
                    </a:blip>
                    <a:srcRect l="4465" t="1861"/>
                    <a:stretch/>
                  </pic:blipFill>
                  <pic:spPr bwMode="auto">
                    <a:xfrm>
                      <a:off x="0" y="0"/>
                      <a:ext cx="5502910" cy="4019550"/>
                    </a:xfrm>
                    <a:prstGeom prst="rect">
                      <a:avLst/>
                    </a:prstGeom>
                    <a:ln>
                      <a:noFill/>
                    </a:ln>
                    <a:extLst>
                      <a:ext uri="{53640926-AAD7-44D8-BBD7-CCE9431645EC}">
                        <a14:shadowObscured xmlns:a14="http://schemas.microsoft.com/office/drawing/2010/main"/>
                      </a:ext>
                    </a:extLst>
                  </pic:spPr>
                </pic:pic>
              </a:graphicData>
            </a:graphic>
          </wp:anchor>
        </w:drawing>
      </w:r>
      <w:r w:rsidR="00C554D9">
        <w:t xml:space="preserve">Figure </w:t>
      </w:r>
      <w:r w:rsidR="00C554D9">
        <w:fldChar w:fldCharType="begin"/>
      </w:r>
      <w:r w:rsidR="00C554D9">
        <w:instrText xml:space="preserve"> SEQ Figure \* ARABIC </w:instrText>
      </w:r>
      <w:r w:rsidR="00C554D9">
        <w:fldChar w:fldCharType="separate"/>
      </w:r>
      <w:r w:rsidR="00071098">
        <w:rPr>
          <w:noProof/>
        </w:rPr>
        <w:t>1</w:t>
      </w:r>
      <w:r w:rsidR="00C554D9">
        <w:fldChar w:fldCharType="end"/>
      </w:r>
      <w:bookmarkEnd w:id="24"/>
      <w:r w:rsidR="00C554D9">
        <w:t xml:space="preserve">: </w:t>
      </w:r>
      <w:r w:rsidR="00C55C94">
        <w:t>Organisation submitters by sector</w:t>
      </w:r>
      <w:r w:rsidR="00C554D9">
        <w:t xml:space="preserve"> type</w:t>
      </w:r>
      <w:bookmarkEnd w:id="25"/>
      <w:r w:rsidR="00C55C94">
        <w:t xml:space="preserve"> </w:t>
      </w:r>
    </w:p>
    <w:p w14:paraId="53BFC580" w14:textId="0AF42294" w:rsidR="005177EE" w:rsidRDefault="005177EE" w:rsidP="00AD1F2D"/>
    <w:p w14:paraId="2127968B" w14:textId="65338F71" w:rsidR="0009476C" w:rsidRPr="00900722" w:rsidRDefault="0009476C" w:rsidP="00900722">
      <w:pPr>
        <w:pStyle w:val="BodyText"/>
      </w:pPr>
      <w:r>
        <w:t xml:space="preserve">As well as the ability to self-identify from a range of different </w:t>
      </w:r>
      <w:r w:rsidR="00C554D9">
        <w:t>organisation type</w:t>
      </w:r>
      <w:r>
        <w:t xml:space="preserve">s (as illustrated in </w:t>
      </w:r>
      <w:r w:rsidR="00C554D9">
        <w:fldChar w:fldCharType="begin"/>
      </w:r>
      <w:r w:rsidR="00C554D9">
        <w:instrText xml:space="preserve"> REF _Ref86933962 \h </w:instrText>
      </w:r>
      <w:r w:rsidR="00C554D9">
        <w:fldChar w:fldCharType="separate"/>
      </w:r>
      <w:r w:rsidR="00071098">
        <w:t xml:space="preserve">Figure </w:t>
      </w:r>
      <w:r w:rsidR="00071098">
        <w:rPr>
          <w:noProof/>
        </w:rPr>
        <w:t>1</w:t>
      </w:r>
      <w:r w:rsidR="00C554D9">
        <w:fldChar w:fldCharType="end"/>
      </w:r>
      <w:r>
        <w:t xml:space="preserve">), submitters were able to identify </w:t>
      </w:r>
      <w:r w:rsidR="003122C0">
        <w:t>one or more</w:t>
      </w:r>
      <w:r>
        <w:t xml:space="preserve"> specific </w:t>
      </w:r>
      <w:r w:rsidR="00DF61C1">
        <w:t>priority g</w:t>
      </w:r>
      <w:r w:rsidR="00945A1A">
        <w:t>roup</w:t>
      </w:r>
      <w:r w:rsidR="003E4032">
        <w:t>/groups</w:t>
      </w:r>
      <w:r w:rsidR="00945A1A">
        <w:t xml:space="preserve">. </w:t>
      </w:r>
      <w:r w:rsidR="002A49A9" w:rsidRPr="002A49A9">
        <w:t>Twenty-</w:t>
      </w:r>
      <w:r w:rsidR="00576912">
        <w:t>one</w:t>
      </w:r>
      <w:r w:rsidR="00945A1A" w:rsidRPr="002A49A9">
        <w:t xml:space="preserve"> organisations and individuals</w:t>
      </w:r>
      <w:r w:rsidR="00945A1A">
        <w:t xml:space="preserve"> </w:t>
      </w:r>
      <w:r w:rsidR="009A1EC3">
        <w:t xml:space="preserve">identified themselves as representing </w:t>
      </w:r>
      <w:r w:rsidR="00B5241A">
        <w:t xml:space="preserve">the interests of specific </w:t>
      </w:r>
      <w:r w:rsidR="00775F36">
        <w:t>priority</w:t>
      </w:r>
      <w:r w:rsidR="00324A74">
        <w:t xml:space="preserve"> </w:t>
      </w:r>
      <w:r w:rsidR="003E76EE">
        <w:t>populations.</w:t>
      </w:r>
      <w:r w:rsidR="00346D8E">
        <w:rPr>
          <w:rStyle w:val="FootnoteReference"/>
        </w:rPr>
        <w:footnoteReference w:id="14"/>
      </w:r>
      <w:r w:rsidR="003E76EE">
        <w:t xml:space="preserve"> </w:t>
      </w:r>
      <w:r w:rsidR="00C02670">
        <w:t xml:space="preserve">These are described in </w:t>
      </w:r>
      <w:r w:rsidR="00202D11">
        <w:fldChar w:fldCharType="begin"/>
      </w:r>
      <w:r w:rsidR="00202D11">
        <w:instrText xml:space="preserve"> REF _Ref86356373 \h </w:instrText>
      </w:r>
      <w:r w:rsidR="00202D11">
        <w:fldChar w:fldCharType="separate"/>
      </w:r>
      <w:r w:rsidR="00071098">
        <w:t xml:space="preserve">Table </w:t>
      </w:r>
      <w:r w:rsidR="00071098">
        <w:rPr>
          <w:noProof/>
        </w:rPr>
        <w:t>1</w:t>
      </w:r>
      <w:r w:rsidR="00202D11">
        <w:fldChar w:fldCharType="end"/>
      </w:r>
      <w:r w:rsidR="0085700E">
        <w:t xml:space="preserve"> (below). </w:t>
      </w:r>
    </w:p>
    <w:p w14:paraId="457D750E" w14:textId="48BA2DD2" w:rsidR="00142B7D" w:rsidRDefault="003122C0" w:rsidP="003122C0">
      <w:pPr>
        <w:pStyle w:val="Caption"/>
      </w:pPr>
      <w:bookmarkStart w:id="26" w:name="_Ref86356373"/>
      <w:bookmarkStart w:id="27" w:name="_Toc88637638"/>
      <w:r>
        <w:t xml:space="preserve">Table </w:t>
      </w:r>
      <w:r>
        <w:fldChar w:fldCharType="begin"/>
      </w:r>
      <w:r>
        <w:instrText xml:space="preserve"> SEQ Table \* ARABIC </w:instrText>
      </w:r>
      <w:r>
        <w:fldChar w:fldCharType="separate"/>
      </w:r>
      <w:r w:rsidR="00071098">
        <w:rPr>
          <w:noProof/>
        </w:rPr>
        <w:t>1</w:t>
      </w:r>
      <w:r>
        <w:fldChar w:fldCharType="end"/>
      </w:r>
      <w:bookmarkEnd w:id="26"/>
      <w:r w:rsidR="00775F36">
        <w:t xml:space="preserve">: </w:t>
      </w:r>
      <w:r>
        <w:t>Secondary category by priority group(s) represented</w:t>
      </w:r>
      <w:bookmarkEnd w:id="27"/>
    </w:p>
    <w:tbl>
      <w:tblPr>
        <w:tblStyle w:val="ACGrey-BasicTable"/>
        <w:tblW w:w="0" w:type="auto"/>
        <w:tblLook w:val="04A0" w:firstRow="1" w:lastRow="0" w:firstColumn="1" w:lastColumn="0" w:noHBand="0" w:noVBand="1"/>
      </w:tblPr>
      <w:tblGrid>
        <w:gridCol w:w="3650"/>
        <w:gridCol w:w="5411"/>
      </w:tblGrid>
      <w:tr w:rsidR="000A0E5D" w14:paraId="6DC2C813" w14:textId="77777777" w:rsidTr="007E5CA6">
        <w:trPr>
          <w:cnfStyle w:val="100000000000" w:firstRow="1" w:lastRow="0" w:firstColumn="0" w:lastColumn="0" w:oddVBand="0" w:evenVBand="0" w:oddHBand="0" w:evenHBand="0" w:firstRowFirstColumn="0" w:firstRowLastColumn="0" w:lastRowFirstColumn="0" w:lastRowLastColumn="0"/>
        </w:trPr>
        <w:tc>
          <w:tcPr>
            <w:tcW w:w="3650" w:type="dxa"/>
          </w:tcPr>
          <w:p w14:paraId="2C0465DC" w14:textId="32CB98A2" w:rsidR="002A49A9" w:rsidRPr="001F18AE" w:rsidRDefault="001F18AE" w:rsidP="00900722">
            <w:pPr>
              <w:pStyle w:val="BodyText"/>
              <w:rPr>
                <w:b/>
              </w:rPr>
            </w:pPr>
            <w:r w:rsidRPr="001F18AE">
              <w:rPr>
                <w:b/>
                <w:bCs/>
              </w:rPr>
              <w:t>Priority group</w:t>
            </w:r>
          </w:p>
        </w:tc>
        <w:tc>
          <w:tcPr>
            <w:tcW w:w="5411" w:type="dxa"/>
          </w:tcPr>
          <w:p w14:paraId="3FC46E28" w14:textId="285F673E" w:rsidR="002A49A9" w:rsidRPr="001F18AE" w:rsidRDefault="001F18AE" w:rsidP="00900722">
            <w:pPr>
              <w:pStyle w:val="BodyText"/>
              <w:rPr>
                <w:b/>
              </w:rPr>
            </w:pPr>
            <w:r w:rsidRPr="001F18AE">
              <w:rPr>
                <w:b/>
                <w:bCs/>
              </w:rPr>
              <w:t>Number of submissions identifying with priority group</w:t>
            </w:r>
          </w:p>
        </w:tc>
      </w:tr>
      <w:tr w:rsidR="00301A27" w14:paraId="43217024" w14:textId="77777777" w:rsidTr="007E5CA6">
        <w:tc>
          <w:tcPr>
            <w:tcW w:w="3650" w:type="dxa"/>
          </w:tcPr>
          <w:p w14:paraId="52B347E6" w14:textId="4173F99F" w:rsidR="00301A27" w:rsidRPr="001F18AE" w:rsidRDefault="00301A27" w:rsidP="00775F36">
            <w:pPr>
              <w:pStyle w:val="BodyText"/>
              <w:jc w:val="left"/>
              <w:rPr>
                <w:b/>
                <w:bCs/>
              </w:rPr>
            </w:pPr>
            <w:r>
              <w:t xml:space="preserve">Māori </w:t>
            </w:r>
          </w:p>
        </w:tc>
        <w:tc>
          <w:tcPr>
            <w:tcW w:w="5411" w:type="dxa"/>
          </w:tcPr>
          <w:p w14:paraId="42DA1341" w14:textId="193C1378" w:rsidR="00301A27" w:rsidRPr="001F18AE" w:rsidRDefault="00301A27" w:rsidP="00301A27">
            <w:pPr>
              <w:pStyle w:val="BodyText"/>
              <w:rPr>
                <w:b/>
                <w:bCs/>
              </w:rPr>
            </w:pPr>
            <w:r>
              <w:t>Six submitters</w:t>
            </w:r>
            <w:r>
              <w:rPr>
                <w:rStyle w:val="FootnoteReference"/>
              </w:rPr>
              <w:footnoteReference w:id="15"/>
            </w:r>
          </w:p>
        </w:tc>
      </w:tr>
      <w:tr w:rsidR="00301A27" w14:paraId="216D49E3" w14:textId="77777777" w:rsidTr="007E5CA6">
        <w:tc>
          <w:tcPr>
            <w:tcW w:w="3650" w:type="dxa"/>
          </w:tcPr>
          <w:p w14:paraId="203F254E" w14:textId="463BEE4A" w:rsidR="00301A27" w:rsidRDefault="00301A27" w:rsidP="00775F36">
            <w:pPr>
              <w:pStyle w:val="BodyText"/>
              <w:jc w:val="left"/>
            </w:pPr>
            <w:r>
              <w:t>Rangatahi (young people)</w:t>
            </w:r>
          </w:p>
        </w:tc>
        <w:tc>
          <w:tcPr>
            <w:tcW w:w="5411" w:type="dxa"/>
          </w:tcPr>
          <w:p w14:paraId="3186F4E2" w14:textId="043161C8" w:rsidR="00301A27" w:rsidRDefault="00301A27" w:rsidP="00301A27">
            <w:pPr>
              <w:pStyle w:val="BodyText"/>
            </w:pPr>
            <w:r>
              <w:t>Five submitters</w:t>
            </w:r>
            <w:r>
              <w:rPr>
                <w:rStyle w:val="FootnoteReference"/>
              </w:rPr>
              <w:footnoteReference w:id="16"/>
            </w:r>
          </w:p>
        </w:tc>
      </w:tr>
      <w:tr w:rsidR="00301A27" w14:paraId="3FF59EB9" w14:textId="77777777" w:rsidTr="007E5CA6">
        <w:tc>
          <w:tcPr>
            <w:tcW w:w="3650" w:type="dxa"/>
          </w:tcPr>
          <w:p w14:paraId="18833217" w14:textId="624EB423" w:rsidR="00301A27" w:rsidRDefault="00301A27" w:rsidP="00775F36">
            <w:pPr>
              <w:pStyle w:val="BodyText"/>
              <w:jc w:val="left"/>
            </w:pPr>
            <w:r>
              <w:t xml:space="preserve">Pacific </w:t>
            </w:r>
          </w:p>
        </w:tc>
        <w:tc>
          <w:tcPr>
            <w:tcW w:w="5411" w:type="dxa"/>
          </w:tcPr>
          <w:p w14:paraId="7C2559DE" w14:textId="742DC0AD" w:rsidR="00301A27" w:rsidRDefault="00576912" w:rsidP="00301A27">
            <w:pPr>
              <w:pStyle w:val="BodyText"/>
            </w:pPr>
            <w:r>
              <w:t>Three</w:t>
            </w:r>
            <w:r w:rsidR="00301A27">
              <w:t xml:space="preserve"> submitters</w:t>
            </w:r>
            <w:r w:rsidR="00301A27">
              <w:rPr>
                <w:rStyle w:val="FootnoteReference"/>
              </w:rPr>
              <w:footnoteReference w:id="17"/>
            </w:r>
          </w:p>
        </w:tc>
      </w:tr>
      <w:tr w:rsidR="00301A27" w14:paraId="3BE84F31" w14:textId="77777777" w:rsidTr="007E5CA6">
        <w:tc>
          <w:tcPr>
            <w:tcW w:w="3650" w:type="dxa"/>
          </w:tcPr>
          <w:p w14:paraId="66C1B349" w14:textId="2E66911F" w:rsidR="00301A27" w:rsidRDefault="00301A27" w:rsidP="00775F36">
            <w:pPr>
              <w:pStyle w:val="BodyText"/>
              <w:jc w:val="left"/>
            </w:pPr>
            <w:r>
              <w:t>Pacific, Rangatahi (young people)</w:t>
            </w:r>
          </w:p>
        </w:tc>
        <w:tc>
          <w:tcPr>
            <w:tcW w:w="5411" w:type="dxa"/>
          </w:tcPr>
          <w:p w14:paraId="3007F254" w14:textId="2FDA1ACB" w:rsidR="00301A27" w:rsidRDefault="00301A27" w:rsidP="00301A27">
            <w:pPr>
              <w:pStyle w:val="BodyText"/>
            </w:pPr>
            <w:r>
              <w:t>Two submitters</w:t>
            </w:r>
            <w:r>
              <w:rPr>
                <w:rStyle w:val="FootnoteReference"/>
              </w:rPr>
              <w:footnoteReference w:id="18"/>
            </w:r>
          </w:p>
        </w:tc>
      </w:tr>
      <w:tr w:rsidR="002A49A9" w14:paraId="237DEA2B" w14:textId="77777777" w:rsidTr="007E5CA6">
        <w:tc>
          <w:tcPr>
            <w:tcW w:w="3650" w:type="dxa"/>
          </w:tcPr>
          <w:p w14:paraId="64826F0C" w14:textId="193B471F" w:rsidR="002A49A9" w:rsidRDefault="00B20ACF" w:rsidP="00775F36">
            <w:pPr>
              <w:pStyle w:val="BodyText"/>
              <w:jc w:val="left"/>
            </w:pPr>
            <w:r>
              <w:lastRenderedPageBreak/>
              <w:t xml:space="preserve">Asian </w:t>
            </w:r>
          </w:p>
        </w:tc>
        <w:tc>
          <w:tcPr>
            <w:tcW w:w="5411" w:type="dxa"/>
          </w:tcPr>
          <w:p w14:paraId="7AEAF9CB" w14:textId="6A2BD27F" w:rsidR="002A49A9" w:rsidRDefault="00B20ACF" w:rsidP="00900722">
            <w:pPr>
              <w:pStyle w:val="BodyText"/>
            </w:pPr>
            <w:r>
              <w:t>One submitter</w:t>
            </w:r>
            <w:r>
              <w:rPr>
                <w:rStyle w:val="FootnoteReference"/>
              </w:rPr>
              <w:footnoteReference w:id="19"/>
            </w:r>
          </w:p>
        </w:tc>
      </w:tr>
      <w:tr w:rsidR="002A49A9" w14:paraId="1DE0D512" w14:textId="77777777" w:rsidTr="007E5CA6">
        <w:tc>
          <w:tcPr>
            <w:tcW w:w="3650" w:type="dxa"/>
          </w:tcPr>
          <w:p w14:paraId="308D2C31" w14:textId="51FDB965" w:rsidR="002A49A9" w:rsidRDefault="00181783" w:rsidP="00775F36">
            <w:pPr>
              <w:pStyle w:val="BodyText"/>
              <w:jc w:val="left"/>
            </w:pPr>
            <w:r>
              <w:t>Asian, Māori, Pacific</w:t>
            </w:r>
          </w:p>
        </w:tc>
        <w:tc>
          <w:tcPr>
            <w:tcW w:w="5411" w:type="dxa"/>
          </w:tcPr>
          <w:p w14:paraId="32E532F6" w14:textId="7CAD7003" w:rsidR="002A49A9" w:rsidRDefault="00181783" w:rsidP="00900722">
            <w:pPr>
              <w:pStyle w:val="BodyText"/>
            </w:pPr>
            <w:r>
              <w:t>One submitter</w:t>
            </w:r>
            <w:r w:rsidR="00C862B5">
              <w:rPr>
                <w:rStyle w:val="FootnoteReference"/>
              </w:rPr>
              <w:footnoteReference w:id="20"/>
            </w:r>
          </w:p>
        </w:tc>
      </w:tr>
      <w:tr w:rsidR="002A49A9" w14:paraId="1FE748CA" w14:textId="77777777" w:rsidTr="007E5CA6">
        <w:tc>
          <w:tcPr>
            <w:tcW w:w="3650" w:type="dxa"/>
          </w:tcPr>
          <w:p w14:paraId="555AD4E0" w14:textId="0FDC4F2C" w:rsidR="002A49A9" w:rsidRDefault="00181783" w:rsidP="00775F36">
            <w:pPr>
              <w:pStyle w:val="BodyText"/>
              <w:jc w:val="left"/>
            </w:pPr>
            <w:r>
              <w:t>Asian, Māori, Pacific, Rangatahi (young people)</w:t>
            </w:r>
          </w:p>
        </w:tc>
        <w:tc>
          <w:tcPr>
            <w:tcW w:w="5411" w:type="dxa"/>
          </w:tcPr>
          <w:p w14:paraId="18A57E34" w14:textId="5F91D403" w:rsidR="002A49A9" w:rsidRDefault="00181783" w:rsidP="00900722">
            <w:pPr>
              <w:pStyle w:val="BodyText"/>
            </w:pPr>
            <w:r>
              <w:t>One submitter</w:t>
            </w:r>
            <w:r w:rsidR="00C862B5">
              <w:rPr>
                <w:rStyle w:val="FootnoteReference"/>
              </w:rPr>
              <w:footnoteReference w:id="21"/>
            </w:r>
          </w:p>
        </w:tc>
      </w:tr>
      <w:tr w:rsidR="006A4FD3" w14:paraId="1A3E5D6D" w14:textId="77777777" w:rsidTr="007E5CA6">
        <w:tc>
          <w:tcPr>
            <w:tcW w:w="3650" w:type="dxa"/>
          </w:tcPr>
          <w:p w14:paraId="2C175EBE" w14:textId="681CD131" w:rsidR="006A4FD3" w:rsidRDefault="006A4FD3" w:rsidP="00775F36">
            <w:pPr>
              <w:pStyle w:val="BodyText"/>
              <w:jc w:val="left"/>
            </w:pPr>
            <w:r>
              <w:t>Māori, Pacific</w:t>
            </w:r>
          </w:p>
        </w:tc>
        <w:tc>
          <w:tcPr>
            <w:tcW w:w="5411" w:type="dxa"/>
          </w:tcPr>
          <w:p w14:paraId="179A6C6D" w14:textId="775722CB" w:rsidR="006A4FD3" w:rsidRDefault="006A4FD3" w:rsidP="00301A27">
            <w:pPr>
              <w:pStyle w:val="BodyText"/>
            </w:pPr>
            <w:r>
              <w:t>One submitter</w:t>
            </w:r>
            <w:r>
              <w:rPr>
                <w:rStyle w:val="FootnoteReference"/>
              </w:rPr>
              <w:footnoteReference w:id="22"/>
            </w:r>
          </w:p>
        </w:tc>
      </w:tr>
      <w:tr w:rsidR="002A49A9" w14:paraId="272B7D67" w14:textId="77777777" w:rsidTr="007E5CA6">
        <w:tc>
          <w:tcPr>
            <w:tcW w:w="3650" w:type="dxa"/>
          </w:tcPr>
          <w:p w14:paraId="06E03432" w14:textId="0052DCE3" w:rsidR="002A49A9" w:rsidRDefault="00DE51A9" w:rsidP="00775F36">
            <w:pPr>
              <w:pStyle w:val="BodyText"/>
              <w:jc w:val="left"/>
            </w:pPr>
            <w:r>
              <w:t>Māori, Pacific, Rangatahi (youn</w:t>
            </w:r>
            <w:r w:rsidR="00A6319A">
              <w:t>g</w:t>
            </w:r>
            <w:r>
              <w:t xml:space="preserve"> people)</w:t>
            </w:r>
          </w:p>
        </w:tc>
        <w:tc>
          <w:tcPr>
            <w:tcW w:w="5411" w:type="dxa"/>
          </w:tcPr>
          <w:p w14:paraId="623F083A" w14:textId="27B714FA" w:rsidR="002A49A9" w:rsidRDefault="00301A27" w:rsidP="00900722">
            <w:pPr>
              <w:pStyle w:val="BodyText"/>
            </w:pPr>
            <w:r>
              <w:t>One submitter</w:t>
            </w:r>
            <w:r>
              <w:rPr>
                <w:rStyle w:val="FootnoteReference"/>
              </w:rPr>
              <w:footnoteReference w:id="23"/>
            </w:r>
          </w:p>
        </w:tc>
      </w:tr>
    </w:tbl>
    <w:p w14:paraId="521BCDA4" w14:textId="2AB76627" w:rsidR="00132E36" w:rsidRDefault="00132E36" w:rsidP="00132E36">
      <w:pPr>
        <w:pStyle w:val="NumberedHeading2"/>
      </w:pPr>
      <w:bookmarkStart w:id="28" w:name="_Toc88637534"/>
      <w:r>
        <w:t>General comments on submissions received</w:t>
      </w:r>
      <w:bookmarkEnd w:id="28"/>
      <w:r>
        <w:t xml:space="preserve"> </w:t>
      </w:r>
    </w:p>
    <w:p w14:paraId="432E5FCE" w14:textId="77777777" w:rsidR="001942F1" w:rsidRPr="009E7223" w:rsidRDefault="001942F1" w:rsidP="001942F1">
      <w:pPr>
        <w:pStyle w:val="BodyText"/>
      </w:pPr>
      <w:r w:rsidRPr="009E7223">
        <w:t xml:space="preserve">The comments received from submitters were diverse, focusing on a range of topics. Most submitters discussed those areas </w:t>
      </w:r>
      <w:r>
        <w:t xml:space="preserve">in which </w:t>
      </w:r>
      <w:r w:rsidRPr="009E7223">
        <w:t>they had a specific interest and did not respond to the other questions posed by the Ministry.</w:t>
      </w:r>
    </w:p>
    <w:p w14:paraId="348D291F" w14:textId="4132A458" w:rsidR="001A28B1" w:rsidRDefault="001942F1" w:rsidP="001942F1">
      <w:pPr>
        <w:pStyle w:val="BodyText"/>
      </w:pPr>
      <w:r w:rsidRPr="009E7223">
        <w:t>Most submissions were unique</w:t>
      </w:r>
      <w:r w:rsidR="006E6B51">
        <w:t>,</w:t>
      </w:r>
      <w:r w:rsidR="001C7DEB">
        <w:t xml:space="preserve"> </w:t>
      </w:r>
      <w:r w:rsidR="0087237A">
        <w:t>but</w:t>
      </w:r>
      <w:r w:rsidRPr="009E7223">
        <w:t xml:space="preserve"> </w:t>
      </w:r>
      <w:r w:rsidR="002059E2">
        <w:t>11</w:t>
      </w:r>
      <w:r w:rsidRPr="009E7223">
        <w:t xml:space="preserve"> NCGM submitters drew on the submission drafted by the Gaming Machine Association of New Zealand (GMANZ)</w:t>
      </w:r>
      <w:r w:rsidR="001C7DEB">
        <w:t>,</w:t>
      </w:r>
      <w:r w:rsidR="00F95ABF" w:rsidRPr="009E7223">
        <w:rPr>
          <w:rStyle w:val="FootnoteReference"/>
        </w:rPr>
        <w:footnoteReference w:id="24"/>
      </w:r>
      <w:r w:rsidR="001C7DEB">
        <w:t xml:space="preserve"> </w:t>
      </w:r>
      <w:r w:rsidR="001C7DEB" w:rsidRPr="009E7223">
        <w:t>at least in part and sometimes substantially</w:t>
      </w:r>
      <w:r w:rsidR="001C7DEB">
        <w:t>,</w:t>
      </w:r>
      <w:r w:rsidRPr="009E7223">
        <w:t xml:space="preserve"> to develop their own submission.</w:t>
      </w:r>
      <w:r w:rsidR="002059E2" w:rsidRPr="00511CAC">
        <w:rPr>
          <w:vertAlign w:val="superscript"/>
        </w:rPr>
        <w:footnoteReference w:id="25"/>
      </w:r>
      <w:r w:rsidR="00901023" w:rsidRPr="00511CAC">
        <w:rPr>
          <w:vertAlign w:val="superscript"/>
        </w:rPr>
        <w:t xml:space="preserve"> </w:t>
      </w:r>
      <w:r w:rsidR="00511CAC" w:rsidRPr="00511CAC">
        <w:t>Two further</w:t>
      </w:r>
      <w:r w:rsidR="00901023" w:rsidRPr="00511CAC">
        <w:t xml:space="preserve"> </w:t>
      </w:r>
      <w:r w:rsidR="00511CAC">
        <w:t xml:space="preserve">NCGM submitters commented </w:t>
      </w:r>
      <w:r w:rsidR="001B3561">
        <w:t>that they supported</w:t>
      </w:r>
      <w:r w:rsidR="00511CAC">
        <w:t xml:space="preserve"> the GMANZ submission</w:t>
      </w:r>
      <w:r w:rsidR="001B3561">
        <w:t xml:space="preserve"> in their own submission.</w:t>
      </w:r>
      <w:r w:rsidR="001B3561">
        <w:rPr>
          <w:rStyle w:val="FootnoteReference"/>
        </w:rPr>
        <w:footnoteReference w:id="26"/>
      </w:r>
    </w:p>
    <w:p w14:paraId="15DDEBD4" w14:textId="42D90855" w:rsidR="003B383E" w:rsidRDefault="003B383E" w:rsidP="001942F1">
      <w:pPr>
        <w:pStyle w:val="BodyText"/>
      </w:pPr>
      <w:r>
        <w:t xml:space="preserve">In addition, </w:t>
      </w:r>
      <w:r w:rsidR="00971117">
        <w:t>two service providers</w:t>
      </w:r>
      <w:r w:rsidR="00971117">
        <w:rPr>
          <w:rStyle w:val="FootnoteReference"/>
        </w:rPr>
        <w:footnoteReference w:id="27"/>
      </w:r>
      <w:r w:rsidR="00971117">
        <w:t xml:space="preserve"> provided nearly identical </w:t>
      </w:r>
      <w:r w:rsidR="00A45E85">
        <w:t>written submissions</w:t>
      </w:r>
      <w:r w:rsidR="00EB7BC0">
        <w:t>. One</w:t>
      </w:r>
      <w:r w:rsidR="00074722">
        <w:t xml:space="preserve"> health and social services submitter</w:t>
      </w:r>
      <w:r w:rsidR="00074722">
        <w:rPr>
          <w:rStyle w:val="FootnoteReference"/>
        </w:rPr>
        <w:footnoteReference w:id="28"/>
      </w:r>
      <w:r w:rsidR="00074722">
        <w:t xml:space="preserve"> and a </w:t>
      </w:r>
      <w:r w:rsidR="00DB0930">
        <w:t>l</w:t>
      </w:r>
      <w:r w:rsidR="00074722">
        <w:t xml:space="preserve">ocal </w:t>
      </w:r>
      <w:r w:rsidR="00DB0930">
        <w:t>g</w:t>
      </w:r>
      <w:r w:rsidR="00074722">
        <w:t>overnment submitter</w:t>
      </w:r>
      <w:r w:rsidR="00074722">
        <w:rPr>
          <w:rStyle w:val="FootnoteReference"/>
        </w:rPr>
        <w:footnoteReference w:id="29"/>
      </w:r>
      <w:r w:rsidR="00EB7BC0">
        <w:t xml:space="preserve"> also provided nearly identical submissions. </w:t>
      </w:r>
    </w:p>
    <w:p w14:paraId="0778FB82" w14:textId="68C3646C" w:rsidR="00074722" w:rsidRPr="009E7223" w:rsidRDefault="00D17E2D" w:rsidP="001942F1">
      <w:pPr>
        <w:pStyle w:val="BodyText"/>
      </w:pPr>
      <w:r>
        <w:t>One general service provider</w:t>
      </w:r>
      <w:r>
        <w:rPr>
          <w:rStyle w:val="FootnoteReference"/>
        </w:rPr>
        <w:footnoteReference w:id="30"/>
      </w:r>
      <w:r>
        <w:t xml:space="preserve"> </w:t>
      </w:r>
      <w:r w:rsidR="00007BA7">
        <w:t>summarised their points for priority populations based on feedback from more specialised service providers</w:t>
      </w:r>
      <w:r w:rsidR="004635D9">
        <w:t xml:space="preserve"> for Pacific communities</w:t>
      </w:r>
      <w:r w:rsidR="00007BA7">
        <w:rPr>
          <w:rStyle w:val="FootnoteReference"/>
        </w:rPr>
        <w:footnoteReference w:id="31"/>
      </w:r>
      <w:r w:rsidR="005F468C">
        <w:t xml:space="preserve"> </w:t>
      </w:r>
      <w:r w:rsidR="004635D9">
        <w:t>and Asian communities.</w:t>
      </w:r>
      <w:r>
        <w:t xml:space="preserve"> </w:t>
      </w:r>
      <w:r w:rsidR="004635D9">
        <w:rPr>
          <w:rStyle w:val="FootnoteReference"/>
        </w:rPr>
        <w:footnoteReference w:id="32"/>
      </w:r>
    </w:p>
    <w:p w14:paraId="32438A98" w14:textId="6E5D6D06" w:rsidR="00BF2482" w:rsidRDefault="00BF2482" w:rsidP="00BF2482">
      <w:pPr>
        <w:pStyle w:val="BodyText"/>
      </w:pPr>
      <w:r>
        <w:t>Many of the comments about the draft strategic plan (</w:t>
      </w:r>
      <w:r w:rsidR="00350A59">
        <w:t>part 2 of the draft strategy</w:t>
      </w:r>
      <w:r>
        <w:t>) and the draft service plan (</w:t>
      </w:r>
      <w:r w:rsidR="00350A59">
        <w:t>part 3</w:t>
      </w:r>
      <w:r>
        <w:t xml:space="preserve">) were </w:t>
      </w:r>
      <w:r w:rsidR="003A0220">
        <w:t xml:space="preserve">interrelated, with submitters commenting on aspects of both </w:t>
      </w:r>
      <w:r w:rsidR="00B47097">
        <w:t xml:space="preserve">in their responses. Commentary presented by submitters that was relevant to multiple sections, for </w:t>
      </w:r>
      <w:r w:rsidR="00B47097" w:rsidRPr="00133A72">
        <w:t xml:space="preserve">example factors that </w:t>
      </w:r>
      <w:r w:rsidR="00DA58FC" w:rsidRPr="00133A72">
        <w:t xml:space="preserve">should be considered </w:t>
      </w:r>
      <w:r w:rsidR="00133A72" w:rsidRPr="00133A72">
        <w:t>for priority populations</w:t>
      </w:r>
      <w:r w:rsidR="00DA58FC" w:rsidRPr="00133A72">
        <w:t xml:space="preserve"> and </w:t>
      </w:r>
      <w:r w:rsidR="00133A72" w:rsidRPr="00133A72">
        <w:t>the mix of funding</w:t>
      </w:r>
      <w:r w:rsidR="00DA58FC" w:rsidRPr="00133A72">
        <w:t xml:space="preserve"> are </w:t>
      </w:r>
      <w:r w:rsidR="00DA58FC" w:rsidRPr="00133A72">
        <w:lastRenderedPageBreak/>
        <w:t xml:space="preserve">discussed in the relevant sections of this report. To ensure that comments </w:t>
      </w:r>
      <w:r w:rsidR="00C2240E">
        <w:t>wer</w:t>
      </w:r>
      <w:r w:rsidR="00DA58FC" w:rsidRPr="00133A72">
        <w:t>e reflected to their best</w:t>
      </w:r>
      <w:r w:rsidR="00DA58FC">
        <w:t xml:space="preserve"> advantage, the analysis discusses submitters’ points under the sections of the report that best align to what they indirectly recommended, which may be different to how the submitter categorised i</w:t>
      </w:r>
      <w:r w:rsidR="003673AD">
        <w:t xml:space="preserve">t in their submission. All original meaning intended by the submitter has been retained. </w:t>
      </w:r>
    </w:p>
    <w:p w14:paraId="2F783DA3" w14:textId="48620CA0" w:rsidR="0052295B" w:rsidRPr="001942F1" w:rsidRDefault="008629C5" w:rsidP="00BF2482">
      <w:pPr>
        <w:pStyle w:val="BodyText"/>
      </w:pPr>
      <w:r>
        <w:t xml:space="preserve">As was the case in previous consultations, </w:t>
      </w:r>
      <w:r w:rsidR="002E6F9F">
        <w:t>a number of submission</w:t>
      </w:r>
      <w:r w:rsidR="00751623">
        <w:t xml:space="preserve">s referred to matters which affect gambling harm but </w:t>
      </w:r>
      <w:r w:rsidR="003B60CE">
        <w:t xml:space="preserve">which </w:t>
      </w:r>
      <w:r w:rsidR="00751623">
        <w:t>the strategy cannot address alone or in part (e.g.</w:t>
      </w:r>
      <w:r w:rsidR="00C33CF2">
        <w:t>,</w:t>
      </w:r>
      <w:r w:rsidR="00751623">
        <w:t xml:space="preserve"> the legal and regulatory frameworks around gambling</w:t>
      </w:r>
      <w:r w:rsidR="00DF3885">
        <w:t xml:space="preserve">, online gambling, NCGM locations and advertising, or gambling policy). </w:t>
      </w:r>
      <w:r>
        <w:t xml:space="preserve">These matters </w:t>
      </w:r>
      <w:r w:rsidR="00B94C9A">
        <w:t>fall under different</w:t>
      </w:r>
      <w:r>
        <w:t xml:space="preserve"> processes and agency leads. </w:t>
      </w:r>
      <w:r w:rsidR="008479B5">
        <w:t>Comments made by submitters which d</w:t>
      </w:r>
      <w:r w:rsidR="00B94C9A">
        <w:t>id</w:t>
      </w:r>
      <w:r w:rsidR="008479B5">
        <w:t xml:space="preserve"> not directly address the content of the draft strategy, but are still relevant to gambling harm in some way, are summarised in Section 5. </w:t>
      </w:r>
    </w:p>
    <w:p w14:paraId="3EC180CC" w14:textId="242DEABA" w:rsidR="003C01BC" w:rsidRPr="003C01BC" w:rsidRDefault="003C01BC" w:rsidP="003C01BC">
      <w:pPr>
        <w:pStyle w:val="NumberedHeading2"/>
      </w:pPr>
      <w:bookmarkStart w:id="29" w:name="_Toc88637535"/>
      <w:r>
        <w:t>How to navigate this report</w:t>
      </w:r>
      <w:bookmarkEnd w:id="29"/>
      <w:r>
        <w:t xml:space="preserve"> </w:t>
      </w:r>
    </w:p>
    <w:p w14:paraId="7881FBDC" w14:textId="1FD2F7CC" w:rsidR="003673AD" w:rsidRDefault="003673AD" w:rsidP="003673AD">
      <w:pPr>
        <w:pStyle w:val="BodyText"/>
      </w:pPr>
      <w:r>
        <w:t xml:space="preserve">This report has been drafted and arranged thematically, based on the structure of the Ministry’s consultation document. Where an answer to a question </w:t>
      </w:r>
      <w:r w:rsidR="00161291">
        <w:t>would better</w:t>
      </w:r>
      <w:r w:rsidR="00CB7021">
        <w:t xml:space="preserve"> fit another section of the report</w:t>
      </w:r>
      <w:r>
        <w:t xml:space="preserve">, </w:t>
      </w:r>
      <w:r w:rsidR="00CB7021">
        <w:t>this has been noted</w:t>
      </w:r>
      <w:r w:rsidR="0018367C">
        <w:t xml:space="preserve"> and reflected in the analysis</w:t>
      </w:r>
      <w:r>
        <w:t xml:space="preserve">. </w:t>
      </w:r>
    </w:p>
    <w:p w14:paraId="4D46E5F7" w14:textId="70653AA1" w:rsidR="003673AD" w:rsidRDefault="003673AD" w:rsidP="003673AD">
      <w:pPr>
        <w:pStyle w:val="BodyText"/>
      </w:pPr>
      <w:r>
        <w:t xml:space="preserve">This report contains </w:t>
      </w:r>
      <w:r w:rsidR="0018367C">
        <w:t xml:space="preserve">six </w:t>
      </w:r>
      <w:r w:rsidR="00F43D12">
        <w:t>sections</w:t>
      </w:r>
      <w:r w:rsidR="003B4893">
        <w:t>.</w:t>
      </w:r>
    </w:p>
    <w:p w14:paraId="4E2A1EA4" w14:textId="63FB5A68" w:rsidR="003673AD" w:rsidRPr="00B31913" w:rsidRDefault="00D83642" w:rsidP="004E54C7">
      <w:pPr>
        <w:pStyle w:val="List-BulletLvl1"/>
        <w:numPr>
          <w:ilvl w:val="0"/>
          <w:numId w:val="25"/>
        </w:numPr>
      </w:pPr>
      <w:r>
        <w:t>Section</w:t>
      </w:r>
      <w:r w:rsidR="00106BB9">
        <w:t xml:space="preserve"> </w:t>
      </w:r>
      <w:r w:rsidR="003673AD" w:rsidRPr="00B31913">
        <w:t xml:space="preserve">1 outlines the purpose and structure of the report, describes the methodology and </w:t>
      </w:r>
      <w:r w:rsidR="003B4893" w:rsidRPr="00B31913">
        <w:t>provides an overview of submitters and their submissions.</w:t>
      </w:r>
    </w:p>
    <w:p w14:paraId="2F4D16E3" w14:textId="47575B01" w:rsidR="003B4893" w:rsidRPr="00B31913" w:rsidRDefault="00D83642" w:rsidP="004E54C7">
      <w:pPr>
        <w:pStyle w:val="List-BulletLvl1"/>
        <w:numPr>
          <w:ilvl w:val="0"/>
          <w:numId w:val="25"/>
        </w:numPr>
      </w:pPr>
      <w:r>
        <w:t>Section</w:t>
      </w:r>
      <w:r w:rsidR="003B4893" w:rsidRPr="00B31913">
        <w:t xml:space="preserve"> 2 describes the submissions received on the draft strategic plan, including commentary about each of the four objectives</w:t>
      </w:r>
      <w:r w:rsidR="006E37F2" w:rsidRPr="00B31913">
        <w:t xml:space="preserve">, priority populations, and changes needed. </w:t>
      </w:r>
    </w:p>
    <w:p w14:paraId="1950BCFB" w14:textId="3D767FBB" w:rsidR="006E37F2" w:rsidRPr="00B31913" w:rsidRDefault="00D83642" w:rsidP="004E54C7">
      <w:pPr>
        <w:pStyle w:val="List-BulletLvl1"/>
        <w:numPr>
          <w:ilvl w:val="0"/>
          <w:numId w:val="25"/>
        </w:numPr>
      </w:pPr>
      <w:r>
        <w:t>Section</w:t>
      </w:r>
      <w:r w:rsidR="006E37F2" w:rsidRPr="00B31913">
        <w:t xml:space="preserve"> </w:t>
      </w:r>
      <w:r w:rsidR="00D439D0" w:rsidRPr="00B31913">
        <w:t xml:space="preserve">3 describes the submissions received on the draft three-year service plan, including the proposed funding allocation and the key initiatives or programmes planned for 2022/23 to 2024/25. </w:t>
      </w:r>
    </w:p>
    <w:p w14:paraId="658BE35F" w14:textId="4682FB02" w:rsidR="00D439D0" w:rsidRDefault="00E26B89" w:rsidP="004E54C7">
      <w:pPr>
        <w:pStyle w:val="List-BulletLvl1"/>
        <w:numPr>
          <w:ilvl w:val="0"/>
          <w:numId w:val="25"/>
        </w:numPr>
      </w:pPr>
      <w:r>
        <w:t>Section</w:t>
      </w:r>
      <w:r w:rsidR="00D439D0" w:rsidRPr="00B31913">
        <w:t xml:space="preserve"> 4 describes submitters’ comments on the problem gambling levy rates, including the levy weightings </w:t>
      </w:r>
      <w:r w:rsidR="00B31913" w:rsidRPr="00B31913">
        <w:t xml:space="preserve">and the method for calculating levy rates. </w:t>
      </w:r>
    </w:p>
    <w:p w14:paraId="2295C84C" w14:textId="1EF86929" w:rsidR="00904F00" w:rsidRDefault="00E26B89" w:rsidP="00982D1F">
      <w:pPr>
        <w:pStyle w:val="List-BulletLvl1"/>
        <w:numPr>
          <w:ilvl w:val="0"/>
          <w:numId w:val="25"/>
        </w:numPr>
      </w:pPr>
      <w:r>
        <w:t>Section</w:t>
      </w:r>
      <w:r w:rsidR="00B31913">
        <w:t xml:space="preserve"> </w:t>
      </w:r>
      <w:r w:rsidR="00982D1F">
        <w:t>5</w:t>
      </w:r>
      <w:r w:rsidR="00B31913">
        <w:t xml:space="preserve"> draws on the analysis reported in </w:t>
      </w:r>
      <w:r>
        <w:t xml:space="preserve">Sections </w:t>
      </w:r>
      <w:r w:rsidR="00B31913">
        <w:t xml:space="preserve">2 to </w:t>
      </w:r>
      <w:r w:rsidR="00904F00">
        <w:t>4</w:t>
      </w:r>
      <w:r w:rsidR="00A205F4">
        <w:t xml:space="preserve"> to analyse the way the six sectors addressed the common themes that emerged through the submissions analysis.</w:t>
      </w:r>
    </w:p>
    <w:p w14:paraId="108238A1" w14:textId="6F01EF06" w:rsidR="00982D1F" w:rsidRDefault="00904F00" w:rsidP="00982D1F">
      <w:pPr>
        <w:pStyle w:val="List-BulletLvl1"/>
        <w:numPr>
          <w:ilvl w:val="0"/>
          <w:numId w:val="25"/>
        </w:numPr>
      </w:pPr>
      <w:r>
        <w:t xml:space="preserve">Section 6 </w:t>
      </w:r>
      <w:r w:rsidR="00EF1F0F">
        <w:t>summarises storie</w:t>
      </w:r>
      <w:r w:rsidR="00EE112C">
        <w:t>s</w:t>
      </w:r>
      <w:r w:rsidR="00EF1F0F">
        <w:t xml:space="preserve"> of lived experience shared by stakeholders at the consultation hui. </w:t>
      </w:r>
      <w:r w:rsidR="00A205F4">
        <w:t xml:space="preserve"> </w:t>
      </w:r>
    </w:p>
    <w:p w14:paraId="2F99A332" w14:textId="0CF7930D" w:rsidR="00B31913" w:rsidRDefault="00982D1F" w:rsidP="002E1868">
      <w:pPr>
        <w:pStyle w:val="List-BulletLvl1"/>
        <w:numPr>
          <w:ilvl w:val="0"/>
          <w:numId w:val="25"/>
        </w:numPr>
      </w:pPr>
      <w:r>
        <w:t xml:space="preserve">Section </w:t>
      </w:r>
      <w:r w:rsidR="00EF1F0F">
        <w:t>7</w:t>
      </w:r>
      <w:r>
        <w:t xml:space="preserve"> summarises the other issues raised by submitters, including issues with the consultation process and issues that fall outside the scope of the consultation. </w:t>
      </w:r>
    </w:p>
    <w:p w14:paraId="13CE1F6B" w14:textId="72B6E9EB" w:rsidR="00A205F4" w:rsidRDefault="00A205F4" w:rsidP="00A205F4">
      <w:pPr>
        <w:pStyle w:val="BodyText"/>
      </w:pPr>
      <w:r>
        <w:t xml:space="preserve">Appendix A </w:t>
      </w:r>
      <w:r w:rsidR="00BF4859">
        <w:t xml:space="preserve">identifies submissions from </w:t>
      </w:r>
      <w:r>
        <w:t xml:space="preserve">individuals and </w:t>
      </w:r>
      <w:r w:rsidR="00BF4859">
        <w:t xml:space="preserve">organisations that provided a submission. </w:t>
      </w:r>
    </w:p>
    <w:p w14:paraId="0C645437" w14:textId="47225AF7" w:rsidR="00AA21E5" w:rsidRDefault="00AA21E5" w:rsidP="00A205F4">
      <w:pPr>
        <w:pStyle w:val="BodyText"/>
      </w:pPr>
      <w:r>
        <w:t xml:space="preserve">Appendix B provides a list of the </w:t>
      </w:r>
      <w:r w:rsidR="006973F2">
        <w:t xml:space="preserve">13 </w:t>
      </w:r>
      <w:r>
        <w:t xml:space="preserve">questions outlined in the consultation report. </w:t>
      </w:r>
    </w:p>
    <w:p w14:paraId="3E17DA58" w14:textId="541AD2B1" w:rsidR="003B10A1" w:rsidRPr="003B10A1" w:rsidRDefault="00AA21E5" w:rsidP="00AD1F2D">
      <w:pPr>
        <w:pStyle w:val="BodyText"/>
      </w:pPr>
      <w:r>
        <w:t xml:space="preserve">Submitters are typically not identified in this report, except by </w:t>
      </w:r>
      <w:r w:rsidR="00BF4859">
        <w:t xml:space="preserve">organisation </w:t>
      </w:r>
      <w:r>
        <w:t>name in Appendix A, and by category of submitter in the body of the report</w:t>
      </w:r>
      <w:r w:rsidR="00E80288">
        <w:t>.</w:t>
      </w:r>
      <w:r w:rsidR="00A2437E">
        <w:t xml:space="preserve"> </w:t>
      </w:r>
      <w:r w:rsidR="00E80288">
        <w:t>I</w:t>
      </w:r>
      <w:r>
        <w:t xml:space="preserve">n a few cases, identifying an organisation was unavoidable. </w:t>
      </w:r>
    </w:p>
    <w:p w14:paraId="0CB0D819" w14:textId="77777777" w:rsidR="004F377B" w:rsidRDefault="004F377B" w:rsidP="004F377B">
      <w:pPr>
        <w:pStyle w:val="NumberedHeading1"/>
      </w:pPr>
      <w:bookmarkStart w:id="30" w:name="_Toc88637536"/>
      <w:r>
        <w:lastRenderedPageBreak/>
        <w:t>The draft strategic plan</w:t>
      </w:r>
      <w:bookmarkEnd w:id="30"/>
    </w:p>
    <w:p w14:paraId="775EDD71" w14:textId="6D6E7856" w:rsidR="004F377B" w:rsidRDefault="008A252A" w:rsidP="004F377B">
      <w:pPr>
        <w:pStyle w:val="BodyText"/>
      </w:pPr>
      <w:r>
        <w:t>The consultation document set out the statutory requirements for an integrated problem gambling strategy and the aim for gambling harm minimisation</w:t>
      </w:r>
      <w:r w:rsidR="004E4F2D">
        <w:t xml:space="preserve">. It </w:t>
      </w:r>
      <w:r>
        <w:t>specif</w:t>
      </w:r>
      <w:r w:rsidR="004E4F2D">
        <w:t>ied</w:t>
      </w:r>
      <w:r>
        <w:t xml:space="preserve"> four objectives, each containing three priority action areas. </w:t>
      </w:r>
      <w:r w:rsidR="002846B5">
        <w:t xml:space="preserve">Section 2 </w:t>
      </w:r>
      <w:r w:rsidR="004F377B">
        <w:t>outlines the commentary received from submitters on the draft strategic plan. It covers:</w:t>
      </w:r>
    </w:p>
    <w:p w14:paraId="0D623842" w14:textId="77777777" w:rsidR="004F377B" w:rsidRDefault="004F377B" w:rsidP="004F377B">
      <w:pPr>
        <w:pStyle w:val="List-BulletLvl1"/>
      </w:pPr>
      <w:r>
        <w:t>agreement (or otherwise) with the proposed strategic goal, objectives and priority action areas</w:t>
      </w:r>
    </w:p>
    <w:p w14:paraId="0C14E75D" w14:textId="7AFB25D9" w:rsidR="004F377B" w:rsidRDefault="004F377B" w:rsidP="004F377B">
      <w:pPr>
        <w:pStyle w:val="List-BulletLvl1"/>
      </w:pPr>
      <w:r>
        <w:t>discussion of whether the draft strategic plan adequately reflect</w:t>
      </w:r>
      <w:r w:rsidR="00150E7F">
        <w:t>ed</w:t>
      </w:r>
      <w:r>
        <w:t xml:space="preserve"> changes in the gambling environment</w:t>
      </w:r>
    </w:p>
    <w:p w14:paraId="18FC94C8" w14:textId="038B74A8" w:rsidR="004F377B" w:rsidRDefault="004F377B" w:rsidP="004F377B">
      <w:pPr>
        <w:pStyle w:val="List-BulletLvl1"/>
      </w:pPr>
      <w:r>
        <w:t>comments on priority populations and addressing inequities</w:t>
      </w:r>
    </w:p>
    <w:p w14:paraId="2CE486C3" w14:textId="77777777" w:rsidR="004F377B" w:rsidRDefault="004F377B" w:rsidP="004F377B">
      <w:pPr>
        <w:pStyle w:val="List-BulletLvl1"/>
      </w:pPr>
      <w:r>
        <w:t>comments on ‘what needs to change’.</w:t>
      </w:r>
    </w:p>
    <w:p w14:paraId="26689C8D" w14:textId="57770743" w:rsidR="004F377B" w:rsidRDefault="004F377B" w:rsidP="004F377B">
      <w:pPr>
        <w:pStyle w:val="BodyText"/>
      </w:pPr>
      <w:r>
        <w:t xml:space="preserve">Four questions were asked, two of which included ‘Yes/No’ responses. </w:t>
      </w:r>
      <w:r w:rsidR="00161D0C">
        <w:fldChar w:fldCharType="begin"/>
      </w:r>
      <w:r w:rsidR="00161D0C">
        <w:instrText xml:space="preserve"> REF _Ref86360290 \h </w:instrText>
      </w:r>
      <w:r w:rsidR="00161D0C">
        <w:fldChar w:fldCharType="separate"/>
      </w:r>
      <w:r w:rsidR="00071098">
        <w:t xml:space="preserve">Table </w:t>
      </w:r>
      <w:r w:rsidR="00071098">
        <w:rPr>
          <w:noProof/>
        </w:rPr>
        <w:t>2</w:t>
      </w:r>
      <w:r w:rsidR="00161D0C">
        <w:fldChar w:fldCharType="end"/>
      </w:r>
      <w:r w:rsidR="00817BCB">
        <w:t xml:space="preserve"> </w:t>
      </w:r>
      <w:r w:rsidR="002C3090">
        <w:t xml:space="preserve">(below) </w:t>
      </w:r>
      <w:r>
        <w:t>shows the wording of th</w:t>
      </w:r>
      <w:r w:rsidR="002C3090">
        <w:t>o</w:t>
      </w:r>
      <w:r>
        <w:t xml:space="preserve">se questions and the number of submitters who responded, by response. Sometimes the narrative response indicated that the support was qualified or conditional, in which case the ‘Yes’ response was altered to ‘Qualified Support’ for clarity. </w:t>
      </w:r>
    </w:p>
    <w:p w14:paraId="3203A87A" w14:textId="062AFD76" w:rsidR="00B96C84" w:rsidRDefault="00B96C84" w:rsidP="00B96C84">
      <w:pPr>
        <w:pStyle w:val="BodyText"/>
      </w:pPr>
      <w:r>
        <w:t xml:space="preserve">Responses were received from across the seven sector groups, as detailed in </w:t>
      </w:r>
      <w:r w:rsidR="007D577B">
        <w:fldChar w:fldCharType="begin"/>
      </w:r>
      <w:r w:rsidR="007D577B">
        <w:instrText xml:space="preserve"> REF _Ref87020067 \h </w:instrText>
      </w:r>
      <w:r w:rsidR="007D577B">
        <w:fldChar w:fldCharType="separate"/>
      </w:r>
      <w:r w:rsidR="00071098">
        <w:t xml:space="preserve">Figure </w:t>
      </w:r>
      <w:r w:rsidR="00071098">
        <w:rPr>
          <w:noProof/>
        </w:rPr>
        <w:t>2</w:t>
      </w:r>
      <w:r w:rsidR="007D577B">
        <w:fldChar w:fldCharType="end"/>
      </w:r>
      <w:r w:rsidR="007D577B">
        <w:t xml:space="preserve"> </w:t>
      </w:r>
      <w:r w:rsidR="002624B4">
        <w:t>(</w:t>
      </w:r>
      <w:r w:rsidR="000268BF">
        <w:t>overleaf)</w:t>
      </w:r>
      <w:r>
        <w:t xml:space="preserve">. </w:t>
      </w:r>
    </w:p>
    <w:p w14:paraId="395E6DEC" w14:textId="09BA3C21" w:rsidR="00161D0C" w:rsidRDefault="00161D0C" w:rsidP="00B265B5">
      <w:pPr>
        <w:pStyle w:val="Caption"/>
        <w:keepNext/>
      </w:pPr>
      <w:bookmarkStart w:id="31" w:name="_Ref86360290"/>
      <w:bookmarkStart w:id="32" w:name="_Toc88637639"/>
      <w:r>
        <w:t xml:space="preserve">Table </w:t>
      </w:r>
      <w:r>
        <w:fldChar w:fldCharType="begin"/>
      </w:r>
      <w:r>
        <w:instrText xml:space="preserve"> SEQ Table \* ARABIC </w:instrText>
      </w:r>
      <w:r>
        <w:fldChar w:fldCharType="separate"/>
      </w:r>
      <w:r w:rsidR="00071098">
        <w:rPr>
          <w:noProof/>
        </w:rPr>
        <w:t>2</w:t>
      </w:r>
      <w:r>
        <w:fldChar w:fldCharType="end"/>
      </w:r>
      <w:bookmarkEnd w:id="31"/>
      <w:r>
        <w:t xml:space="preserve">: </w:t>
      </w:r>
      <w:r w:rsidR="00B558AF">
        <w:t>Responses</w:t>
      </w:r>
      <w:r>
        <w:t xml:space="preserve"> to questions about the draft strategic plan</w:t>
      </w:r>
      <w:bookmarkEnd w:id="32"/>
    </w:p>
    <w:tbl>
      <w:tblPr>
        <w:tblStyle w:val="ACGrey-BasicTable"/>
        <w:tblW w:w="9067" w:type="dxa"/>
        <w:tblLook w:val="04A0" w:firstRow="1" w:lastRow="0" w:firstColumn="1" w:lastColumn="0" w:noHBand="0" w:noVBand="1"/>
      </w:tblPr>
      <w:tblGrid>
        <w:gridCol w:w="4806"/>
        <w:gridCol w:w="957"/>
        <w:gridCol w:w="943"/>
        <w:gridCol w:w="992"/>
        <w:gridCol w:w="1369"/>
      </w:tblGrid>
      <w:tr w:rsidR="000A0E5D" w:rsidRPr="009E7223" w14:paraId="74C4E6BD" w14:textId="77777777" w:rsidTr="00D15A1C">
        <w:trPr>
          <w:cnfStyle w:val="100000000000" w:firstRow="1" w:lastRow="0" w:firstColumn="0" w:lastColumn="0" w:oddVBand="0" w:evenVBand="0" w:oddHBand="0" w:evenHBand="0" w:firstRowFirstColumn="0" w:firstRowLastColumn="0" w:lastRowFirstColumn="0" w:lastRowLastColumn="0"/>
        </w:trPr>
        <w:tc>
          <w:tcPr>
            <w:tcW w:w="4806" w:type="dxa"/>
            <w:hideMark/>
          </w:tcPr>
          <w:p w14:paraId="46EF99E4" w14:textId="77777777" w:rsidR="004F377B" w:rsidRPr="00A367ED" w:rsidRDefault="004F377B" w:rsidP="009559D0">
            <w:pPr>
              <w:pStyle w:val="BodyText"/>
              <w:jc w:val="center"/>
              <w:rPr>
                <w:b/>
                <w:bCs/>
              </w:rPr>
            </w:pPr>
            <w:r w:rsidRPr="00A367ED">
              <w:rPr>
                <w:b/>
                <w:bCs/>
              </w:rPr>
              <w:t>Question</w:t>
            </w:r>
          </w:p>
        </w:tc>
        <w:tc>
          <w:tcPr>
            <w:tcW w:w="957" w:type="dxa"/>
            <w:hideMark/>
          </w:tcPr>
          <w:p w14:paraId="70EFAA39" w14:textId="77777777" w:rsidR="004F377B" w:rsidRPr="00A367ED" w:rsidRDefault="004F377B" w:rsidP="009559D0">
            <w:pPr>
              <w:pStyle w:val="BodyText"/>
              <w:ind w:firstLine="122"/>
              <w:jc w:val="center"/>
              <w:rPr>
                <w:b/>
                <w:bCs/>
              </w:rPr>
            </w:pPr>
            <w:r w:rsidRPr="00A367ED">
              <w:rPr>
                <w:b/>
                <w:bCs/>
              </w:rPr>
              <w:t>Yes</w:t>
            </w:r>
          </w:p>
        </w:tc>
        <w:tc>
          <w:tcPr>
            <w:tcW w:w="943" w:type="dxa"/>
            <w:hideMark/>
          </w:tcPr>
          <w:p w14:paraId="35624A37" w14:textId="77777777" w:rsidR="004F377B" w:rsidRPr="00A367ED" w:rsidRDefault="004F377B" w:rsidP="009559D0">
            <w:pPr>
              <w:pStyle w:val="BodyText"/>
              <w:jc w:val="center"/>
              <w:rPr>
                <w:b/>
                <w:bCs/>
              </w:rPr>
            </w:pPr>
            <w:r w:rsidRPr="00A367ED">
              <w:rPr>
                <w:b/>
                <w:bCs/>
              </w:rPr>
              <w:t>No</w:t>
            </w:r>
          </w:p>
        </w:tc>
        <w:tc>
          <w:tcPr>
            <w:tcW w:w="992" w:type="dxa"/>
            <w:hideMark/>
          </w:tcPr>
          <w:p w14:paraId="16C5DD0D" w14:textId="77777777" w:rsidR="004F377B" w:rsidRPr="00A367ED" w:rsidRDefault="004F377B" w:rsidP="009559D0">
            <w:pPr>
              <w:pStyle w:val="BodyText"/>
              <w:jc w:val="center"/>
              <w:rPr>
                <w:b/>
                <w:bCs/>
              </w:rPr>
            </w:pPr>
            <w:r w:rsidRPr="00A367ED">
              <w:rPr>
                <w:b/>
                <w:bCs/>
              </w:rPr>
              <w:t>Qualified Support</w:t>
            </w:r>
          </w:p>
        </w:tc>
        <w:tc>
          <w:tcPr>
            <w:tcW w:w="1369" w:type="dxa"/>
          </w:tcPr>
          <w:p w14:paraId="3FBDF09F" w14:textId="77777777" w:rsidR="004F377B" w:rsidRPr="00A367ED" w:rsidRDefault="004F377B" w:rsidP="009559D0">
            <w:pPr>
              <w:pStyle w:val="BodyText"/>
              <w:jc w:val="center"/>
              <w:rPr>
                <w:b/>
                <w:bCs/>
              </w:rPr>
            </w:pPr>
            <w:r w:rsidRPr="00A367ED">
              <w:rPr>
                <w:b/>
                <w:bCs/>
              </w:rPr>
              <w:t>Total</w:t>
            </w:r>
          </w:p>
        </w:tc>
      </w:tr>
      <w:tr w:rsidR="004F377B" w:rsidRPr="009E7223" w14:paraId="07FF5F22" w14:textId="77777777" w:rsidTr="00D15A1C">
        <w:tc>
          <w:tcPr>
            <w:tcW w:w="4806" w:type="dxa"/>
          </w:tcPr>
          <w:p w14:paraId="40D4DED7" w14:textId="2FCB327A" w:rsidR="004F377B" w:rsidRPr="00182790" w:rsidRDefault="004F377B" w:rsidP="009559D0">
            <w:pPr>
              <w:pStyle w:val="BodyText"/>
              <w:jc w:val="left"/>
            </w:pPr>
            <w:r>
              <w:t xml:space="preserve">1. Do you agree with the proposed strategic goal, objectives and priority action areas? </w:t>
            </w:r>
          </w:p>
        </w:tc>
        <w:tc>
          <w:tcPr>
            <w:tcW w:w="957" w:type="dxa"/>
          </w:tcPr>
          <w:p w14:paraId="4175B373" w14:textId="158EFB6F" w:rsidR="004F377B" w:rsidRPr="009E7223" w:rsidRDefault="004F377B" w:rsidP="009559D0">
            <w:pPr>
              <w:pStyle w:val="BodyText"/>
              <w:ind w:firstLine="122"/>
              <w:jc w:val="center"/>
            </w:pPr>
            <w:r>
              <w:t>1</w:t>
            </w:r>
            <w:r w:rsidR="008172E4">
              <w:t>8</w:t>
            </w:r>
          </w:p>
        </w:tc>
        <w:tc>
          <w:tcPr>
            <w:tcW w:w="943" w:type="dxa"/>
          </w:tcPr>
          <w:p w14:paraId="5B721858" w14:textId="77777777" w:rsidR="004F377B" w:rsidRPr="009E7223" w:rsidRDefault="004F377B" w:rsidP="009559D0">
            <w:pPr>
              <w:pStyle w:val="BodyText"/>
              <w:ind w:firstLine="122"/>
              <w:jc w:val="center"/>
            </w:pPr>
            <w:r>
              <w:t>20</w:t>
            </w:r>
          </w:p>
        </w:tc>
        <w:tc>
          <w:tcPr>
            <w:tcW w:w="992" w:type="dxa"/>
          </w:tcPr>
          <w:p w14:paraId="431CD271" w14:textId="77777777" w:rsidR="004F377B" w:rsidRPr="009E7223" w:rsidRDefault="004F377B" w:rsidP="009559D0">
            <w:pPr>
              <w:pStyle w:val="BodyText"/>
              <w:ind w:firstLine="117"/>
              <w:jc w:val="center"/>
            </w:pPr>
            <w:r>
              <w:t>13</w:t>
            </w:r>
          </w:p>
        </w:tc>
        <w:tc>
          <w:tcPr>
            <w:tcW w:w="1369" w:type="dxa"/>
          </w:tcPr>
          <w:p w14:paraId="43C21729" w14:textId="1E869FEB" w:rsidR="004F377B" w:rsidRPr="000F01D7" w:rsidRDefault="004F377B" w:rsidP="009559D0">
            <w:pPr>
              <w:pStyle w:val="BodyText"/>
              <w:ind w:firstLine="117"/>
              <w:jc w:val="center"/>
              <w:rPr>
                <w:bCs/>
              </w:rPr>
            </w:pPr>
            <w:r w:rsidRPr="000F01D7">
              <w:rPr>
                <w:b/>
              </w:rPr>
              <w:t>5</w:t>
            </w:r>
            <w:r w:rsidR="008172E4">
              <w:rPr>
                <w:b/>
              </w:rPr>
              <w:t>1</w:t>
            </w:r>
          </w:p>
        </w:tc>
      </w:tr>
      <w:tr w:rsidR="004F377B" w:rsidRPr="009E7223" w14:paraId="7C79E700" w14:textId="77777777" w:rsidTr="00D15A1C">
        <w:tc>
          <w:tcPr>
            <w:tcW w:w="4806" w:type="dxa"/>
          </w:tcPr>
          <w:p w14:paraId="6AF149A8" w14:textId="77777777" w:rsidR="004F377B" w:rsidRPr="00182790" w:rsidRDefault="004F377B" w:rsidP="009559D0">
            <w:pPr>
              <w:pStyle w:val="BodyText"/>
              <w:jc w:val="left"/>
            </w:pPr>
            <w:r>
              <w:t xml:space="preserve">2. Does the draft strategic environment adequately reflect changes in the gambling environment? </w:t>
            </w:r>
          </w:p>
        </w:tc>
        <w:tc>
          <w:tcPr>
            <w:tcW w:w="957" w:type="dxa"/>
          </w:tcPr>
          <w:p w14:paraId="45A3959C" w14:textId="32C76CE2" w:rsidR="004F377B" w:rsidRPr="009E7223" w:rsidRDefault="008172E4" w:rsidP="009559D0">
            <w:pPr>
              <w:pStyle w:val="BodyText"/>
              <w:ind w:firstLine="122"/>
              <w:jc w:val="center"/>
            </w:pPr>
            <w:r>
              <w:t>7</w:t>
            </w:r>
          </w:p>
        </w:tc>
        <w:tc>
          <w:tcPr>
            <w:tcW w:w="943" w:type="dxa"/>
          </w:tcPr>
          <w:p w14:paraId="2FAF6AF3" w14:textId="77777777" w:rsidR="004F377B" w:rsidRPr="009E7223" w:rsidRDefault="004F377B" w:rsidP="009559D0">
            <w:pPr>
              <w:pStyle w:val="BodyText"/>
              <w:ind w:firstLine="122"/>
              <w:jc w:val="center"/>
            </w:pPr>
            <w:r>
              <w:t>22</w:t>
            </w:r>
          </w:p>
        </w:tc>
        <w:tc>
          <w:tcPr>
            <w:tcW w:w="992" w:type="dxa"/>
          </w:tcPr>
          <w:p w14:paraId="77A6A79E" w14:textId="37BFE7C8" w:rsidR="004F377B" w:rsidRPr="009E7223" w:rsidRDefault="001865B5" w:rsidP="009559D0">
            <w:pPr>
              <w:pStyle w:val="BodyText"/>
              <w:ind w:firstLine="117"/>
              <w:jc w:val="center"/>
            </w:pPr>
            <w:r>
              <w:t>2</w:t>
            </w:r>
          </w:p>
        </w:tc>
        <w:tc>
          <w:tcPr>
            <w:tcW w:w="1369" w:type="dxa"/>
          </w:tcPr>
          <w:p w14:paraId="4F795335" w14:textId="582BAB10" w:rsidR="004F377B" w:rsidRPr="009E7223" w:rsidRDefault="004F377B" w:rsidP="009559D0">
            <w:pPr>
              <w:pStyle w:val="BodyText"/>
              <w:ind w:firstLine="117"/>
              <w:jc w:val="center"/>
              <w:rPr>
                <w:b/>
              </w:rPr>
            </w:pPr>
            <w:r>
              <w:rPr>
                <w:b/>
              </w:rPr>
              <w:t>3</w:t>
            </w:r>
            <w:r w:rsidR="001865B5">
              <w:rPr>
                <w:b/>
              </w:rPr>
              <w:t>1</w:t>
            </w:r>
          </w:p>
        </w:tc>
      </w:tr>
      <w:tr w:rsidR="00D15A1C" w:rsidRPr="009E7223" w14:paraId="05D1608B" w14:textId="77777777" w:rsidTr="00D15A1C">
        <w:tc>
          <w:tcPr>
            <w:tcW w:w="4806" w:type="dxa"/>
          </w:tcPr>
          <w:p w14:paraId="46114746" w14:textId="67C478E7" w:rsidR="00D15A1C" w:rsidRDefault="00D15A1C" w:rsidP="009559D0">
            <w:pPr>
              <w:pStyle w:val="BodyText"/>
              <w:jc w:val="left"/>
            </w:pPr>
            <w:r>
              <w:t xml:space="preserve">3. Do you have any comments to make on the priority populations, including how we will address inequities? </w:t>
            </w:r>
          </w:p>
        </w:tc>
        <w:tc>
          <w:tcPr>
            <w:tcW w:w="2892" w:type="dxa"/>
            <w:gridSpan w:val="3"/>
          </w:tcPr>
          <w:p w14:paraId="391C8903" w14:textId="1083D48B" w:rsidR="00D15A1C" w:rsidRDefault="00D15A1C" w:rsidP="00D15A1C">
            <w:pPr>
              <w:pStyle w:val="BodyText"/>
              <w:ind w:firstLine="122"/>
              <w:jc w:val="center"/>
            </w:pPr>
            <w:r>
              <w:t>N/A</w:t>
            </w:r>
          </w:p>
        </w:tc>
        <w:tc>
          <w:tcPr>
            <w:tcW w:w="1369" w:type="dxa"/>
          </w:tcPr>
          <w:p w14:paraId="16C1045F" w14:textId="263E8097" w:rsidR="00D15A1C" w:rsidRDefault="006763D4" w:rsidP="009559D0">
            <w:pPr>
              <w:pStyle w:val="BodyText"/>
              <w:ind w:firstLine="117"/>
              <w:jc w:val="center"/>
              <w:rPr>
                <w:b/>
              </w:rPr>
            </w:pPr>
            <w:r>
              <w:rPr>
                <w:b/>
              </w:rPr>
              <w:t>34</w:t>
            </w:r>
          </w:p>
        </w:tc>
      </w:tr>
      <w:tr w:rsidR="00D15A1C" w:rsidRPr="009E7223" w14:paraId="5D4A8B36" w14:textId="77777777" w:rsidTr="00F902DD">
        <w:tc>
          <w:tcPr>
            <w:tcW w:w="4806" w:type="dxa"/>
          </w:tcPr>
          <w:p w14:paraId="4F39D4D9" w14:textId="250814CE" w:rsidR="00D15A1C" w:rsidRDefault="00D15A1C" w:rsidP="009559D0">
            <w:pPr>
              <w:pStyle w:val="BodyText"/>
              <w:jc w:val="left"/>
            </w:pPr>
            <w:r>
              <w:t>4. Do you have any comment to make on the matters under ‘what needs to change’?</w:t>
            </w:r>
          </w:p>
        </w:tc>
        <w:tc>
          <w:tcPr>
            <w:tcW w:w="2892" w:type="dxa"/>
            <w:gridSpan w:val="3"/>
          </w:tcPr>
          <w:p w14:paraId="05DAA16C" w14:textId="1BD5094A" w:rsidR="00D15A1C" w:rsidRDefault="00D15A1C" w:rsidP="00D15A1C">
            <w:pPr>
              <w:pStyle w:val="BodyText"/>
              <w:ind w:firstLine="122"/>
              <w:jc w:val="center"/>
            </w:pPr>
            <w:r>
              <w:t>N/A</w:t>
            </w:r>
          </w:p>
        </w:tc>
        <w:tc>
          <w:tcPr>
            <w:tcW w:w="1369" w:type="dxa"/>
          </w:tcPr>
          <w:p w14:paraId="2F6F5632" w14:textId="41F87A50" w:rsidR="00D15A1C" w:rsidRDefault="00FC73FA" w:rsidP="009559D0">
            <w:pPr>
              <w:pStyle w:val="BodyText"/>
              <w:ind w:firstLine="117"/>
              <w:jc w:val="center"/>
              <w:rPr>
                <w:b/>
              </w:rPr>
            </w:pPr>
            <w:r>
              <w:rPr>
                <w:b/>
              </w:rPr>
              <w:t>39</w:t>
            </w:r>
          </w:p>
        </w:tc>
      </w:tr>
    </w:tbl>
    <w:p w14:paraId="3B19E38F" w14:textId="05BBB648" w:rsidR="002C3090" w:rsidRDefault="002C3090" w:rsidP="004F377B">
      <w:pPr>
        <w:pStyle w:val="BodyText"/>
      </w:pPr>
      <w:r>
        <w:t>Sixty-two submitters responded to at least some of the questions about the draft strategic plan</w:t>
      </w:r>
      <w:r w:rsidR="000268BF">
        <w:t xml:space="preserve">, including </w:t>
      </w:r>
      <w:r w:rsidR="0016559A">
        <w:t xml:space="preserve">16 service providers, 16 health and social services submitters, 15 NCGM submitters, </w:t>
      </w:r>
      <w:r w:rsidR="000C2B98">
        <w:t>five gambling industry submitters, five individuals, four local government submitters and one government submitter</w:t>
      </w:r>
      <w:r>
        <w:t>.</w:t>
      </w:r>
      <w:r>
        <w:rPr>
          <w:rStyle w:val="FootnoteReference"/>
        </w:rPr>
        <w:footnoteReference w:id="33"/>
      </w:r>
    </w:p>
    <w:p w14:paraId="563D3534" w14:textId="77777777" w:rsidR="00864846" w:rsidRDefault="00864846" w:rsidP="00161D0C">
      <w:pPr>
        <w:pStyle w:val="Caption"/>
      </w:pPr>
      <w:bookmarkStart w:id="33" w:name="_Ref86360369"/>
    </w:p>
    <w:p w14:paraId="772C7AB1" w14:textId="77777777" w:rsidR="00864846" w:rsidRDefault="00864846" w:rsidP="00161D0C">
      <w:pPr>
        <w:pStyle w:val="Caption"/>
      </w:pPr>
    </w:p>
    <w:p w14:paraId="6A206501" w14:textId="66D15F5F" w:rsidR="00690174" w:rsidRDefault="00690174" w:rsidP="005F1A52">
      <w:pPr>
        <w:pStyle w:val="Caption"/>
        <w:keepNext/>
      </w:pPr>
      <w:bookmarkStart w:id="34" w:name="_Ref87020067"/>
      <w:bookmarkStart w:id="35" w:name="_Toc88637644"/>
      <w:r>
        <w:lastRenderedPageBreak/>
        <w:t xml:space="preserve">Figure </w:t>
      </w:r>
      <w:r>
        <w:fldChar w:fldCharType="begin"/>
      </w:r>
      <w:r>
        <w:instrText xml:space="preserve"> SEQ Figure \* ARABIC </w:instrText>
      </w:r>
      <w:r>
        <w:fldChar w:fldCharType="separate"/>
      </w:r>
      <w:r w:rsidR="00071098">
        <w:rPr>
          <w:noProof/>
        </w:rPr>
        <w:t>2</w:t>
      </w:r>
      <w:r>
        <w:fldChar w:fldCharType="end"/>
      </w:r>
      <w:bookmarkEnd w:id="34"/>
      <w:r w:rsidR="00B558AF">
        <w:t>:</w:t>
      </w:r>
      <w:r>
        <w:t xml:space="preserve">  Number of submitters, by sector, </w:t>
      </w:r>
      <w:r w:rsidR="00B558AF">
        <w:t xml:space="preserve">who commented </w:t>
      </w:r>
      <w:r>
        <w:t>on the draft strategic plan</w:t>
      </w:r>
      <w:bookmarkEnd w:id="35"/>
    </w:p>
    <w:p w14:paraId="4D27EFE4" w14:textId="05B79BBD" w:rsidR="00690174" w:rsidRPr="00254FE2" w:rsidRDefault="00690174" w:rsidP="005F1A52">
      <w:r>
        <w:rPr>
          <w:noProof/>
        </w:rPr>
        <w:drawing>
          <wp:inline distT="0" distB="0" distL="0" distR="0" wp14:anchorId="6FDE611F" wp14:editId="51243031">
            <wp:extent cx="5760085" cy="4876800"/>
            <wp:effectExtent l="0" t="0" r="0" b="0"/>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60085" cy="4876800"/>
                    </a:xfrm>
                    <a:prstGeom prst="rect">
                      <a:avLst/>
                    </a:prstGeom>
                  </pic:spPr>
                </pic:pic>
              </a:graphicData>
            </a:graphic>
          </wp:inline>
        </w:drawing>
      </w:r>
    </w:p>
    <w:p w14:paraId="7439A756" w14:textId="2CF9EA1E" w:rsidR="004F377B" w:rsidRDefault="004F377B" w:rsidP="000479A6">
      <w:pPr>
        <w:pStyle w:val="NumberedHeading2"/>
      </w:pPr>
      <w:bookmarkStart w:id="36" w:name="_Toc88637537"/>
      <w:bookmarkEnd w:id="33"/>
      <w:r>
        <w:t xml:space="preserve">The degree of support for the </w:t>
      </w:r>
      <w:r w:rsidR="00537AC0">
        <w:t>draft</w:t>
      </w:r>
      <w:r>
        <w:t xml:space="preserve"> strategic plan</w:t>
      </w:r>
      <w:bookmarkEnd w:id="36"/>
    </w:p>
    <w:p w14:paraId="032E627F" w14:textId="42A8A2C0" w:rsidR="007C06B2" w:rsidRDefault="00A81B61" w:rsidP="007C06B2">
      <w:pPr>
        <w:pStyle w:val="BodyText"/>
      </w:pPr>
      <w:r>
        <w:t>Over half (31 out of 51) of the submitters who commented on the proposed strategic goal, objectives and action areas supported them to some degree</w:t>
      </w:r>
      <w:r w:rsidR="00FD6D3F">
        <w:t>.</w:t>
      </w:r>
      <w:r w:rsidR="00FD6D3F">
        <w:rPr>
          <w:rStyle w:val="FootnoteReference"/>
        </w:rPr>
        <w:footnoteReference w:id="34"/>
      </w:r>
      <w:r>
        <w:t xml:space="preserve"> </w:t>
      </w:r>
      <w:r w:rsidR="000479A6">
        <w:t>Of those, 18 provided a simple “Yes” answer to Question 1. A further 13 expressed qualified support for the draft strategic plan (i.e., they supported the draft, but also commented on how it could be enhanced).</w:t>
      </w:r>
    </w:p>
    <w:p w14:paraId="7EB7642F" w14:textId="00DB2A31" w:rsidR="00B10882" w:rsidRDefault="00B93C2B" w:rsidP="007C06B2">
      <w:pPr>
        <w:pStyle w:val="BodyText"/>
      </w:pPr>
      <w:r>
        <w:t>Comments on the draft strategic plan included:</w:t>
      </w:r>
    </w:p>
    <w:p w14:paraId="367AF1D9" w14:textId="18C9C8E5" w:rsidR="00537AC0" w:rsidRDefault="00B93C2B" w:rsidP="0062107A">
      <w:pPr>
        <w:pStyle w:val="List-BulletLvl1"/>
      </w:pPr>
      <w:r>
        <w:t xml:space="preserve">concern about the proposed strategic direction </w:t>
      </w:r>
    </w:p>
    <w:p w14:paraId="487FB694" w14:textId="77890E6C" w:rsidR="00566963" w:rsidRDefault="00B93C2B" w:rsidP="00566963">
      <w:pPr>
        <w:pStyle w:val="List-BulletLvl1"/>
      </w:pPr>
      <w:r>
        <w:t xml:space="preserve">interest in seeing a bolder approach for the </w:t>
      </w:r>
      <w:r w:rsidR="00CA39F3">
        <w:t xml:space="preserve">draft </w:t>
      </w:r>
      <w:r>
        <w:t>strategic plan</w:t>
      </w:r>
    </w:p>
    <w:p w14:paraId="588E536B" w14:textId="617C47BE" w:rsidR="00566963" w:rsidRDefault="00566963" w:rsidP="00566963">
      <w:pPr>
        <w:pStyle w:val="List-BulletLvl1"/>
      </w:pPr>
      <w:r>
        <w:t xml:space="preserve">interest in seeing more </w:t>
      </w:r>
      <w:r w:rsidR="009510C0">
        <w:t>detail</w:t>
      </w:r>
      <w:r>
        <w:t xml:space="preserve"> </w:t>
      </w:r>
      <w:r w:rsidR="009510C0">
        <w:t>about how the draft strategic goal would be implemented</w:t>
      </w:r>
    </w:p>
    <w:p w14:paraId="34E563E2" w14:textId="263175F7" w:rsidR="009510C0" w:rsidRDefault="009510C0" w:rsidP="00566963">
      <w:pPr>
        <w:pStyle w:val="List-BulletLvl1"/>
      </w:pPr>
      <w:r>
        <w:t>interest in seeing mor</w:t>
      </w:r>
      <w:r w:rsidR="00070B1D">
        <w:t>e detail and tailored services to achieve the equity focus</w:t>
      </w:r>
    </w:p>
    <w:p w14:paraId="0B35F722" w14:textId="6B8FB374" w:rsidR="004B3567" w:rsidRDefault="00B93C2B" w:rsidP="0062107A">
      <w:pPr>
        <w:pStyle w:val="List-BulletLvl1"/>
      </w:pPr>
      <w:r>
        <w:t>support for the Needs Assessment findings</w:t>
      </w:r>
    </w:p>
    <w:p w14:paraId="5A1BD0D2" w14:textId="2C4F1EA5" w:rsidR="00B93C2B" w:rsidRDefault="004B3567" w:rsidP="0062107A">
      <w:pPr>
        <w:pStyle w:val="List-BulletLvl1"/>
      </w:pPr>
      <w:r>
        <w:lastRenderedPageBreak/>
        <w:t>specific suggestions to strengthen the strategic goal</w:t>
      </w:r>
    </w:p>
    <w:p w14:paraId="50E38D23" w14:textId="5FFB2E5B" w:rsidR="00B93C2B" w:rsidRDefault="00B93C2B" w:rsidP="00B93C2B">
      <w:pPr>
        <w:pStyle w:val="List-BulletLvl1"/>
      </w:pPr>
      <w:r>
        <w:t>constructive critique of all four objectives.</w:t>
      </w:r>
    </w:p>
    <w:p w14:paraId="422E5344" w14:textId="03F1478B" w:rsidR="00CA39F3" w:rsidRPr="007C06B2" w:rsidRDefault="00CA39F3" w:rsidP="00CA39F3">
      <w:pPr>
        <w:pStyle w:val="BodyText"/>
      </w:pPr>
      <w:r>
        <w:t xml:space="preserve">Each of these themes </w:t>
      </w:r>
      <w:r w:rsidR="00D055A0">
        <w:t xml:space="preserve">are discussed in the sections below. </w:t>
      </w:r>
    </w:p>
    <w:p w14:paraId="2ECB43D5" w14:textId="6623F1F8" w:rsidR="004F377B" w:rsidRDefault="00AF7D4D" w:rsidP="004F377B">
      <w:pPr>
        <w:pStyle w:val="NumberedHeading3"/>
      </w:pPr>
      <w:bookmarkStart w:id="37" w:name="_Toc88637538"/>
      <w:r>
        <w:t>Over half of</w:t>
      </w:r>
      <w:r w:rsidR="00244040">
        <w:t xml:space="preserve"> the submitters who comment</w:t>
      </w:r>
      <w:r w:rsidR="00693612">
        <w:t>ed on the</w:t>
      </w:r>
      <w:r w:rsidR="004F377B">
        <w:t xml:space="preserve"> proposed strategic goal, objectives and action </w:t>
      </w:r>
      <w:r w:rsidR="00693612">
        <w:t>areas supported them</w:t>
      </w:r>
      <w:r w:rsidR="004F377B">
        <w:t xml:space="preserve"> to some degree</w:t>
      </w:r>
      <w:bookmarkEnd w:id="37"/>
    </w:p>
    <w:p w14:paraId="65BD3A87" w14:textId="2D0BC0E1" w:rsidR="004F377B" w:rsidRDefault="004F377B" w:rsidP="004F377B">
      <w:pPr>
        <w:pStyle w:val="BodyText"/>
      </w:pPr>
      <w:r>
        <w:t xml:space="preserve">Submitters from almost all sectors expressed support for the overall </w:t>
      </w:r>
      <w:r w:rsidR="00AC248B">
        <w:t xml:space="preserve">draft </w:t>
      </w:r>
      <w:r>
        <w:t>strategic plan. Health and social services,</w:t>
      </w:r>
      <w:r>
        <w:rPr>
          <w:rStyle w:val="FootnoteReference"/>
        </w:rPr>
        <w:footnoteReference w:id="35"/>
      </w:r>
      <w:r>
        <w:t xml:space="preserve"> service providers,</w:t>
      </w:r>
      <w:r>
        <w:rPr>
          <w:rStyle w:val="FootnoteReference"/>
        </w:rPr>
        <w:footnoteReference w:id="36"/>
      </w:r>
      <w:r>
        <w:t xml:space="preserve"> and </w:t>
      </w:r>
      <w:r w:rsidR="00AC248B">
        <w:t>l</w:t>
      </w:r>
      <w:r>
        <w:t xml:space="preserve">ocal </w:t>
      </w:r>
      <w:r w:rsidR="00AC248B">
        <w:t>g</w:t>
      </w:r>
      <w:r>
        <w:t>overnment</w:t>
      </w:r>
      <w:r w:rsidR="00FB1E1B">
        <w:t xml:space="preserve"> submitters</w:t>
      </w:r>
      <w:r>
        <w:rPr>
          <w:rStyle w:val="FootnoteReference"/>
        </w:rPr>
        <w:footnoteReference w:id="37"/>
      </w:r>
      <w:r>
        <w:t xml:space="preserve"> were the strongest supporters of the </w:t>
      </w:r>
      <w:r w:rsidR="00611E0D">
        <w:t xml:space="preserve">proposed draft </w:t>
      </w:r>
      <w:r>
        <w:t xml:space="preserve">strategy, with some support </w:t>
      </w:r>
      <w:r w:rsidR="0057405A">
        <w:t xml:space="preserve">also reported </w:t>
      </w:r>
      <w:r>
        <w:t>from gambling industry</w:t>
      </w:r>
      <w:r w:rsidR="00CA2A82">
        <w:t xml:space="preserve"> submitters</w:t>
      </w:r>
      <w:r>
        <w:t>,</w:t>
      </w:r>
      <w:r>
        <w:rPr>
          <w:rStyle w:val="FootnoteReference"/>
        </w:rPr>
        <w:footnoteReference w:id="38"/>
      </w:r>
      <w:r>
        <w:t xml:space="preserve"> individuals,</w:t>
      </w:r>
      <w:r>
        <w:rPr>
          <w:rStyle w:val="FootnoteReference"/>
        </w:rPr>
        <w:footnoteReference w:id="39"/>
      </w:r>
      <w:r>
        <w:t xml:space="preserve"> and NCGM submitters.</w:t>
      </w:r>
      <w:r>
        <w:rPr>
          <w:rStyle w:val="FootnoteReference"/>
        </w:rPr>
        <w:footnoteReference w:id="40"/>
      </w:r>
      <w:r>
        <w:t xml:space="preserve"> </w:t>
      </w:r>
    </w:p>
    <w:p w14:paraId="277B4AA0" w14:textId="524C13AF" w:rsidR="004F377B" w:rsidRDefault="006A4E9E" w:rsidP="004F377B">
      <w:pPr>
        <w:pStyle w:val="BodyText"/>
      </w:pPr>
      <w:r>
        <w:t>In particular, submitters expressed support for:</w:t>
      </w:r>
    </w:p>
    <w:p w14:paraId="673E5F55" w14:textId="2E5BA531" w:rsidR="00E36392" w:rsidRDefault="006A4E9E" w:rsidP="004F377B">
      <w:pPr>
        <w:pStyle w:val="List-BulletLvl1"/>
      </w:pPr>
      <w:r>
        <w:t xml:space="preserve">the draft strategy’s </w:t>
      </w:r>
      <w:r w:rsidR="004F377B">
        <w:t>alignment with</w:t>
      </w:r>
      <w:r w:rsidR="00E36392">
        <w:t xml:space="preserve"> other government strategic documents:</w:t>
      </w:r>
    </w:p>
    <w:p w14:paraId="3FEAA016" w14:textId="6FCA9296" w:rsidR="004F377B" w:rsidRDefault="004F377B" w:rsidP="00E36392">
      <w:pPr>
        <w:pStyle w:val="List-BulletLvl2"/>
      </w:pPr>
      <w:r>
        <w:rPr>
          <w:i/>
          <w:iCs/>
        </w:rPr>
        <w:t>Whakamaua: Māori Health Action Plan</w:t>
      </w:r>
      <w:r>
        <w:t xml:space="preserve"> and </w:t>
      </w:r>
      <w:r>
        <w:rPr>
          <w:i/>
          <w:iCs/>
        </w:rPr>
        <w:t>Kia Kaha, Kia Māia, Kia Ora Aotearoa: COVID-19 Psychosocial and Mental Wellbeing Plan</w:t>
      </w:r>
      <w:r>
        <w:t xml:space="preserve"> (six health and social services </w:t>
      </w:r>
      <w:r w:rsidR="00362C3E">
        <w:t>submitters</w:t>
      </w:r>
      <w:r>
        <w:t>, three service providers, one gambling industry</w:t>
      </w:r>
      <w:r w:rsidR="00362C3E">
        <w:t xml:space="preserve"> submitter</w:t>
      </w:r>
      <w:r>
        <w:t xml:space="preserve"> and one individual)</w:t>
      </w:r>
      <w:r>
        <w:rPr>
          <w:rStyle w:val="FootnoteReference"/>
        </w:rPr>
        <w:footnoteReference w:id="41"/>
      </w:r>
    </w:p>
    <w:p w14:paraId="36D41ECF" w14:textId="2786EF9F" w:rsidR="00E36392" w:rsidRPr="004E18A2" w:rsidRDefault="00E36392" w:rsidP="00154E1B">
      <w:pPr>
        <w:pStyle w:val="List-BulletLvl2"/>
      </w:pPr>
      <w:r w:rsidRPr="00EE242F">
        <w:rPr>
          <w:i/>
          <w:iCs/>
        </w:rPr>
        <w:t>Pae Ora – Healthy Futures</w:t>
      </w:r>
      <w:r>
        <w:t xml:space="preserve"> (two health and social services and two service providers)</w:t>
      </w:r>
      <w:r>
        <w:rPr>
          <w:rStyle w:val="FootnoteReference"/>
        </w:rPr>
        <w:footnoteReference w:id="42"/>
      </w:r>
    </w:p>
    <w:p w14:paraId="7C68B23F" w14:textId="2AC8FAAE" w:rsidR="00E878EE" w:rsidRPr="004E18A2" w:rsidRDefault="006A4E9E" w:rsidP="00E878EE">
      <w:pPr>
        <w:pStyle w:val="List-BulletLvl1"/>
      </w:pPr>
      <w:r>
        <w:t xml:space="preserve">the </w:t>
      </w:r>
      <w:r w:rsidRPr="0028002E">
        <w:t>draft</w:t>
      </w:r>
      <w:r>
        <w:t xml:space="preserve"> strategy’s </w:t>
      </w:r>
      <w:r w:rsidR="00E878EE">
        <w:t xml:space="preserve">alignment with the current </w:t>
      </w:r>
      <w:r w:rsidR="00E878EE" w:rsidRPr="00985939">
        <w:t>strategy (</w:t>
      </w:r>
      <w:r w:rsidR="00985939" w:rsidRPr="00985939">
        <w:t>2019/20-2021/22</w:t>
      </w:r>
      <w:r w:rsidR="00E878EE" w:rsidRPr="00985939">
        <w:t>), which was</w:t>
      </w:r>
      <w:r w:rsidR="00E878EE">
        <w:t xml:space="preserve"> seen to be achieving the desired outcomes (one individual</w:t>
      </w:r>
      <w:r w:rsidR="00744756">
        <w:t xml:space="preserve"> and</w:t>
      </w:r>
      <w:r w:rsidR="00E878EE">
        <w:t xml:space="preserve"> one gambling industry</w:t>
      </w:r>
      <w:r w:rsidR="00744756">
        <w:t xml:space="preserve"> submitter</w:t>
      </w:r>
      <w:r w:rsidR="00E878EE">
        <w:t>)</w:t>
      </w:r>
      <w:r w:rsidR="00E878EE">
        <w:rPr>
          <w:rStyle w:val="FootnoteReference"/>
        </w:rPr>
        <w:footnoteReference w:id="43"/>
      </w:r>
    </w:p>
    <w:p w14:paraId="0D396706" w14:textId="01BE5251" w:rsidR="00F36E9B" w:rsidRDefault="00985939" w:rsidP="004F377B">
      <w:pPr>
        <w:pStyle w:val="List-BulletLvl1"/>
      </w:pPr>
      <w:r>
        <w:t>the inclusion of</w:t>
      </w:r>
      <w:r w:rsidR="004F377B">
        <w:t xml:space="preserve"> a</w:t>
      </w:r>
      <w:r w:rsidR="00B04DE1">
        <w:t xml:space="preserve"> greater </w:t>
      </w:r>
      <w:r w:rsidR="004F377B">
        <w:t>equity</w:t>
      </w:r>
      <w:r w:rsidR="00B04DE1">
        <w:t xml:space="preserve"> </w:t>
      </w:r>
      <w:r w:rsidR="004F377B">
        <w:t>focus</w:t>
      </w:r>
      <w:r w:rsidR="00F36E9B">
        <w:t xml:space="preserve"> </w:t>
      </w:r>
      <w:r w:rsidR="004F377B">
        <w:t>including</w:t>
      </w:r>
      <w:r w:rsidR="00E0255D">
        <w:t xml:space="preserve"> </w:t>
      </w:r>
      <w:r w:rsidR="006B1028">
        <w:t xml:space="preserve">explicit </w:t>
      </w:r>
      <w:r w:rsidR="00E0255D">
        <w:t>support for</w:t>
      </w:r>
      <w:r w:rsidR="00B04DE1">
        <w:t>:</w:t>
      </w:r>
      <w:r w:rsidR="004F377B">
        <w:t xml:space="preserve"> </w:t>
      </w:r>
    </w:p>
    <w:p w14:paraId="270C3C2B" w14:textId="310E79CF" w:rsidR="004F377B" w:rsidRDefault="004F377B" w:rsidP="00F36E9B">
      <w:pPr>
        <w:pStyle w:val="List-BulletLvl2"/>
      </w:pPr>
      <w:r>
        <w:t xml:space="preserve">addressing the health status and outcomes of the most affected populations of Māori, Pacific </w:t>
      </w:r>
      <w:r w:rsidR="001D0A43">
        <w:t>p</w:t>
      </w:r>
      <w:r>
        <w:t>eople</w:t>
      </w:r>
      <w:r w:rsidR="002377CF">
        <w:t>s</w:t>
      </w:r>
      <w:r>
        <w:t>, Asian people</w:t>
      </w:r>
      <w:r w:rsidR="00683195">
        <w:t>s</w:t>
      </w:r>
      <w:r>
        <w:t xml:space="preserve"> and rangatahi (three health and social services</w:t>
      </w:r>
      <w:r w:rsidR="006F242B">
        <w:t xml:space="preserve"> submitters</w:t>
      </w:r>
      <w:r>
        <w:t>, two</w:t>
      </w:r>
      <w:r w:rsidRPr="004E18A2">
        <w:t xml:space="preserve"> individual</w:t>
      </w:r>
      <w:r>
        <w:t xml:space="preserve">s, two service providers, one </w:t>
      </w:r>
      <w:r w:rsidR="002377CF">
        <w:t>l</w:t>
      </w:r>
      <w:r>
        <w:t xml:space="preserve">ocal </w:t>
      </w:r>
      <w:r w:rsidR="002377CF">
        <w:t>g</w:t>
      </w:r>
      <w:r>
        <w:t>overnmen</w:t>
      </w:r>
      <w:r w:rsidR="006F242B">
        <w:t>t submitter</w:t>
      </w:r>
      <w:r>
        <w:rPr>
          <w:rStyle w:val="FootnoteReference"/>
        </w:rPr>
        <w:footnoteReference w:id="44"/>
      </w:r>
      <w:r>
        <w:t xml:space="preserve"> </w:t>
      </w:r>
      <w:r w:rsidR="006F242B">
        <w:t xml:space="preserve">and </w:t>
      </w:r>
      <w:r>
        <w:t>one gambling industry</w:t>
      </w:r>
      <w:r w:rsidR="006F242B">
        <w:t xml:space="preserve"> submitter</w:t>
      </w:r>
      <w:r>
        <w:t>)</w:t>
      </w:r>
      <w:r>
        <w:rPr>
          <w:rStyle w:val="FootnoteReference"/>
        </w:rPr>
        <w:footnoteReference w:id="45"/>
      </w:r>
      <w:r w:rsidRPr="00EE3C4F">
        <w:t xml:space="preserve"> </w:t>
      </w:r>
    </w:p>
    <w:p w14:paraId="26D797B7" w14:textId="1BEF7A91" w:rsidR="00F36E9B" w:rsidRDefault="00F36E9B" w:rsidP="00F36E9B">
      <w:pPr>
        <w:pStyle w:val="List-BulletLvl2"/>
      </w:pPr>
      <w:r>
        <w:t xml:space="preserve">greater use of collaboration and co-design </w:t>
      </w:r>
      <w:r w:rsidR="000B2A90">
        <w:t>e.g.</w:t>
      </w:r>
      <w:r>
        <w:t>, when commissioning dedicated Māori, Pacific and Asian public health and clinical intervention services (one health and social services</w:t>
      </w:r>
      <w:r w:rsidR="006F242B">
        <w:t xml:space="preserve"> submitter</w:t>
      </w:r>
      <w:r>
        <w:t>)</w:t>
      </w:r>
      <w:r>
        <w:rPr>
          <w:rStyle w:val="FootnoteReference"/>
        </w:rPr>
        <w:footnoteReference w:id="46"/>
      </w:r>
    </w:p>
    <w:p w14:paraId="4F6F1CC3" w14:textId="24ECD9D0" w:rsidR="002E0BAC" w:rsidRDefault="002E0BAC" w:rsidP="00154E1B">
      <w:pPr>
        <w:pStyle w:val="List-BulletLvl2"/>
      </w:pPr>
      <w:r>
        <w:t>increasing use of services in different languages and supporting cultural awareness, and competency and safety training for the gambling harm workforce (one health and social services</w:t>
      </w:r>
      <w:r w:rsidR="006F242B">
        <w:t xml:space="preserve"> submitter</w:t>
      </w:r>
      <w:r>
        <w:t>)</w:t>
      </w:r>
      <w:r>
        <w:rPr>
          <w:rStyle w:val="FootnoteReference"/>
        </w:rPr>
        <w:footnoteReference w:id="47"/>
      </w:r>
    </w:p>
    <w:p w14:paraId="73EDD6BC" w14:textId="2D98E738" w:rsidR="00491F5F" w:rsidRDefault="00491F5F">
      <w:pPr>
        <w:pStyle w:val="List-BulletLvl1"/>
      </w:pPr>
      <w:r>
        <w:lastRenderedPageBreak/>
        <w:t xml:space="preserve">the </w:t>
      </w:r>
      <w:r w:rsidR="004F377B">
        <w:t>strategic goal, which was seen to have a strong health promotion approach and the acknowledgement of the need for system change across sectors (two health and social services</w:t>
      </w:r>
      <w:r w:rsidR="000070BC">
        <w:t xml:space="preserve"> submitters</w:t>
      </w:r>
      <w:r w:rsidR="004F377B">
        <w:t>)</w:t>
      </w:r>
      <w:r w:rsidR="004F377B">
        <w:rPr>
          <w:rStyle w:val="FootnoteReference"/>
        </w:rPr>
        <w:footnoteReference w:id="48"/>
      </w:r>
      <w:r w:rsidR="0042653B">
        <w:rPr>
          <w:rStyle w:val="CommentReference"/>
        </w:rPr>
        <w:t xml:space="preserve"> </w:t>
      </w:r>
    </w:p>
    <w:p w14:paraId="49082946" w14:textId="11AFDDCE" w:rsidR="000A49D1" w:rsidRDefault="0042653B" w:rsidP="004F377B">
      <w:pPr>
        <w:pStyle w:val="List-BulletLvl1"/>
      </w:pPr>
      <w:r>
        <w:t xml:space="preserve">the </w:t>
      </w:r>
      <w:r w:rsidRPr="0028002E">
        <w:t>draft</w:t>
      </w:r>
      <w:r>
        <w:t xml:space="preserve"> strategy’s </w:t>
      </w:r>
      <w:r w:rsidR="000A49D1">
        <w:t xml:space="preserve">strong focus on </w:t>
      </w:r>
      <w:r w:rsidR="00D9562C">
        <w:t xml:space="preserve">integrating </w:t>
      </w:r>
      <w:r w:rsidR="000A49D1">
        <w:t>public health approaches</w:t>
      </w:r>
      <w:r w:rsidR="00A5417A">
        <w:t>:</w:t>
      </w:r>
    </w:p>
    <w:p w14:paraId="730E093A" w14:textId="43DE794E" w:rsidR="000A49D1" w:rsidRPr="00EB1F00" w:rsidRDefault="000A49D1" w:rsidP="000A49D1">
      <w:pPr>
        <w:pStyle w:val="List-BulletLvl2"/>
        <w:rPr>
          <w:vertAlign w:val="superscript"/>
        </w:rPr>
      </w:pPr>
      <w:r>
        <w:t>continued development of public health campaigns focused on priority populations (</w:t>
      </w:r>
      <w:r w:rsidR="00D474BB">
        <w:t>two</w:t>
      </w:r>
      <w:r>
        <w:t xml:space="preserve"> health and social services</w:t>
      </w:r>
      <w:r w:rsidR="00D474BB">
        <w:t xml:space="preserve"> </w:t>
      </w:r>
      <w:r w:rsidR="00D62E2A">
        <w:t>submitter</w:t>
      </w:r>
      <w:r>
        <w:t>)</w:t>
      </w:r>
      <w:r w:rsidRPr="00E12EA4">
        <w:rPr>
          <w:rStyle w:val="FootnoteReference"/>
        </w:rPr>
        <w:t xml:space="preserve"> </w:t>
      </w:r>
      <w:r>
        <w:rPr>
          <w:rStyle w:val="FootnoteReference"/>
        </w:rPr>
        <w:footnoteReference w:id="49"/>
      </w:r>
    </w:p>
    <w:p w14:paraId="16CC6B18" w14:textId="7FF6C14A" w:rsidR="000A49D1" w:rsidRDefault="000A49D1" w:rsidP="00154E1B">
      <w:pPr>
        <w:pStyle w:val="List-BulletLvl2"/>
      </w:pPr>
      <w:r>
        <w:t>the situation of harm prevention and minimisation activities within the broader context of public health promotion and regulation of gambling (one health and social services</w:t>
      </w:r>
      <w:r w:rsidR="0053660C">
        <w:t xml:space="preserve"> </w:t>
      </w:r>
      <w:r w:rsidR="00AD1F2D">
        <w:t>submitter</w:t>
      </w:r>
      <w:r>
        <w:t>)</w:t>
      </w:r>
      <w:r>
        <w:rPr>
          <w:rStyle w:val="FootnoteReference"/>
        </w:rPr>
        <w:footnoteReference w:id="50"/>
      </w:r>
      <w:r w:rsidR="00363E24">
        <w:t xml:space="preserve"> </w:t>
      </w:r>
    </w:p>
    <w:p w14:paraId="045E53EF" w14:textId="2209E53F" w:rsidR="004D04FD" w:rsidRDefault="0042653B">
      <w:pPr>
        <w:pStyle w:val="List-BulletLvl1"/>
      </w:pPr>
      <w:r>
        <w:t xml:space="preserve">the </w:t>
      </w:r>
      <w:r w:rsidRPr="0028002E">
        <w:t>draft</w:t>
      </w:r>
      <w:r>
        <w:t xml:space="preserve"> strategy’s </w:t>
      </w:r>
      <w:r w:rsidR="005F3D94">
        <w:t>consideration of the financial impacts of service delivery</w:t>
      </w:r>
      <w:r w:rsidR="00335590">
        <w:t xml:space="preserve"> such as</w:t>
      </w:r>
      <w:r w:rsidR="00A5417A">
        <w:t>:</w:t>
      </w:r>
      <w:r w:rsidR="00335590">
        <w:t xml:space="preserve"> </w:t>
      </w:r>
    </w:p>
    <w:p w14:paraId="33963437" w14:textId="3DB9DCE9" w:rsidR="004D04FD" w:rsidRDefault="004F377B" w:rsidP="0017641D">
      <w:pPr>
        <w:pStyle w:val="List-BulletLvl2"/>
      </w:pPr>
      <w:r>
        <w:t>increased budgeting to allow for workforce development (</w:t>
      </w:r>
      <w:r w:rsidR="00005C1E">
        <w:t xml:space="preserve">one </w:t>
      </w:r>
      <w:r>
        <w:t>service provider</w:t>
      </w:r>
      <w:r w:rsidR="004D04FD">
        <w:t>)</w:t>
      </w:r>
      <w:r w:rsidR="004D04FD">
        <w:rPr>
          <w:rStyle w:val="FootnoteReference"/>
        </w:rPr>
        <w:footnoteReference w:id="51"/>
      </w:r>
    </w:p>
    <w:p w14:paraId="0621A6E0" w14:textId="6FD86780" w:rsidR="004D04FD" w:rsidRDefault="00AF2575" w:rsidP="0017641D">
      <w:pPr>
        <w:pStyle w:val="List-BulletLvl2"/>
      </w:pPr>
      <w:r>
        <w:t xml:space="preserve">the </w:t>
      </w:r>
      <w:r w:rsidR="004F377B">
        <w:t>proposal to introduce fair and equitable pay-scales with other addiction sectors (one service provider</w:t>
      </w:r>
      <w:r w:rsidR="004D04FD">
        <w:t>)</w:t>
      </w:r>
      <w:r w:rsidR="004D04FD">
        <w:rPr>
          <w:rStyle w:val="FootnoteReference"/>
        </w:rPr>
        <w:footnoteReference w:id="52"/>
      </w:r>
    </w:p>
    <w:p w14:paraId="1DCF4A78" w14:textId="5C077F8D" w:rsidR="004D04FD" w:rsidRDefault="004F377B" w:rsidP="0017641D">
      <w:pPr>
        <w:pStyle w:val="List-BulletLvl2"/>
      </w:pPr>
      <w:r>
        <w:t>better funding for public health (one service provider)</w:t>
      </w:r>
      <w:r>
        <w:rPr>
          <w:rStyle w:val="FootnoteReference"/>
        </w:rPr>
        <w:footnoteReference w:id="53"/>
      </w:r>
      <w:r w:rsidR="00AF2575">
        <w:t xml:space="preserve"> </w:t>
      </w:r>
    </w:p>
    <w:p w14:paraId="62951E13" w14:textId="26458409" w:rsidR="004F377B" w:rsidRPr="004E18A2" w:rsidRDefault="004F377B" w:rsidP="00AD1F2D">
      <w:pPr>
        <w:pStyle w:val="List-BulletLvl2"/>
      </w:pPr>
      <w:r>
        <w:t xml:space="preserve">extra funding associated with the </w:t>
      </w:r>
      <w:r w:rsidR="00EE242F" w:rsidRPr="0028002E">
        <w:t>draft</w:t>
      </w:r>
      <w:r w:rsidR="00EE242F">
        <w:t xml:space="preserve"> </w:t>
      </w:r>
      <w:r>
        <w:t xml:space="preserve">strategy and </w:t>
      </w:r>
      <w:r w:rsidR="00291212">
        <w:t>strategic</w:t>
      </w:r>
      <w:r>
        <w:t xml:space="preserve"> plan (no further detail provided) (one health and social services</w:t>
      </w:r>
      <w:r w:rsidR="000070BC">
        <w:t xml:space="preserve"> submitter</w:t>
      </w:r>
      <w:r>
        <w:t>)</w:t>
      </w:r>
      <w:r w:rsidR="00363E24">
        <w:t>.</w:t>
      </w:r>
      <w:r>
        <w:rPr>
          <w:rStyle w:val="FootnoteReference"/>
        </w:rPr>
        <w:footnoteReference w:id="54"/>
      </w:r>
    </w:p>
    <w:p w14:paraId="26D967CC" w14:textId="4D3DD32F" w:rsidR="004F377B" w:rsidRPr="004E18A2" w:rsidRDefault="00363E24" w:rsidP="00363E24">
      <w:pPr>
        <w:pStyle w:val="BodyText"/>
      </w:pPr>
      <w:r>
        <w:t xml:space="preserve">One NCGM submitter noted the </w:t>
      </w:r>
      <w:r w:rsidR="004F377B">
        <w:t xml:space="preserve">positive changes within the industry </w:t>
      </w:r>
      <w:r>
        <w:t xml:space="preserve">over the life of the current strategy (not further specified) and supported </w:t>
      </w:r>
      <w:r w:rsidR="004F377B">
        <w:t xml:space="preserve">all efforts to further minimise harm caused </w:t>
      </w:r>
      <w:r w:rsidR="00B520F5">
        <w:t xml:space="preserve">by </w:t>
      </w:r>
      <w:r w:rsidR="004F377B">
        <w:t>gambling.</w:t>
      </w:r>
      <w:r w:rsidR="004F377B">
        <w:rPr>
          <w:rStyle w:val="FootnoteReference"/>
        </w:rPr>
        <w:footnoteReference w:id="55"/>
      </w:r>
    </w:p>
    <w:p w14:paraId="7D6FC94F" w14:textId="279EAC26" w:rsidR="004F377B" w:rsidRDefault="0095079B" w:rsidP="004F377B">
      <w:pPr>
        <w:pStyle w:val="NumberedHeading3"/>
      </w:pPr>
      <w:bookmarkStart w:id="38" w:name="_Toc88637539"/>
      <w:r>
        <w:t>Submitters from across sectors</w:t>
      </w:r>
      <w:r w:rsidR="004F377B">
        <w:t xml:space="preserve"> had concerns about the proposed strategic direction</w:t>
      </w:r>
      <w:bookmarkEnd w:id="38"/>
    </w:p>
    <w:p w14:paraId="2D679BA4" w14:textId="35E57CF0" w:rsidR="004B3567" w:rsidRDefault="005311D9" w:rsidP="00740F28">
      <w:pPr>
        <w:pStyle w:val="BodyText"/>
      </w:pPr>
      <w:r>
        <w:t xml:space="preserve">Submitters from across sectors </w:t>
      </w:r>
      <w:r w:rsidR="00C35056">
        <w:t xml:space="preserve">also </w:t>
      </w:r>
      <w:r>
        <w:t>expressed concern about the proposed strategic direction</w:t>
      </w:r>
      <w:r w:rsidR="00764033">
        <w:t>, including</w:t>
      </w:r>
      <w:r w:rsidR="003C7EFA">
        <w:t xml:space="preserve"> concern that</w:t>
      </w:r>
      <w:r w:rsidR="004B3567">
        <w:t>:</w:t>
      </w:r>
    </w:p>
    <w:p w14:paraId="0E248CD9" w14:textId="57DB88FD" w:rsidR="004B3567" w:rsidRDefault="00764033" w:rsidP="004B3567">
      <w:pPr>
        <w:pStyle w:val="List-BulletLvl1"/>
      </w:pPr>
      <w:r>
        <w:t xml:space="preserve">the current </w:t>
      </w:r>
      <w:r w:rsidR="00BD733C">
        <w:t>s</w:t>
      </w:r>
      <w:r>
        <w:t xml:space="preserve">trategy </w:t>
      </w:r>
      <w:r w:rsidR="00F50F89">
        <w:t>was</w:t>
      </w:r>
      <w:r>
        <w:t xml:space="preserve"> not working (and that the </w:t>
      </w:r>
      <w:r w:rsidRPr="0028002E">
        <w:t>draft</w:t>
      </w:r>
      <w:r w:rsidR="00F50F89">
        <w:t xml:space="preserve"> wa</w:t>
      </w:r>
      <w:r>
        <w:t>s a repeat of the current approach)</w:t>
      </w:r>
      <w:r w:rsidR="00C642A7">
        <w:t xml:space="preserve"> </w:t>
      </w:r>
      <w:r w:rsidR="000D232B">
        <w:t xml:space="preserve">(noting that these comments came </w:t>
      </w:r>
      <w:r w:rsidR="00004209">
        <w:t xml:space="preserve">from industry submitters, while comments from other submitters were more </w:t>
      </w:r>
      <w:r w:rsidR="00A5417A">
        <w:t>explanatory</w:t>
      </w:r>
      <w:r w:rsidR="00004209">
        <w:t>)</w:t>
      </w:r>
    </w:p>
    <w:p w14:paraId="33F17BF2" w14:textId="3F333B47" w:rsidR="004620F6" w:rsidRDefault="004620F6" w:rsidP="004B3567">
      <w:pPr>
        <w:pStyle w:val="List-BulletLvl1"/>
      </w:pPr>
      <w:r>
        <w:t xml:space="preserve">the </w:t>
      </w:r>
      <w:r w:rsidRPr="0028002E">
        <w:t>draft</w:t>
      </w:r>
      <w:r>
        <w:t xml:space="preserve"> </w:t>
      </w:r>
      <w:r w:rsidR="0028002E">
        <w:t>s</w:t>
      </w:r>
      <w:r>
        <w:t xml:space="preserve">trategy did not </w:t>
      </w:r>
      <w:r w:rsidR="0053776D">
        <w:t xml:space="preserve">appropriately address the </w:t>
      </w:r>
      <w:r w:rsidR="005348D8">
        <w:t xml:space="preserve">causes of gambling harm </w:t>
      </w:r>
    </w:p>
    <w:p w14:paraId="416E74D6" w14:textId="62560BC2" w:rsidR="004B3567" w:rsidRDefault="00344803" w:rsidP="004B3567">
      <w:pPr>
        <w:pStyle w:val="List-BulletLvl1"/>
      </w:pPr>
      <w:r>
        <w:t>the three-year term doe</w:t>
      </w:r>
      <w:r w:rsidR="00B76721">
        <w:t>s</w:t>
      </w:r>
      <w:r>
        <w:t xml:space="preserve"> not provide enough flexibilit</w:t>
      </w:r>
      <w:r w:rsidRPr="00642CEE">
        <w:t>y</w:t>
      </w:r>
      <w:r w:rsidR="003C7EFA" w:rsidRPr="00642CEE">
        <w:t xml:space="preserve"> to</w:t>
      </w:r>
      <w:r w:rsidR="00642CEE" w:rsidRPr="00642CEE">
        <w:t xml:space="preserve"> response to changes in the gambling environment </w:t>
      </w:r>
    </w:p>
    <w:p w14:paraId="6E06FE0B" w14:textId="0EC91752" w:rsidR="00A008D7" w:rsidRDefault="00344803" w:rsidP="004B3567">
      <w:pPr>
        <w:pStyle w:val="List-BulletLvl1"/>
      </w:pPr>
      <w:r>
        <w:t xml:space="preserve">a more nuanced </w:t>
      </w:r>
      <w:r w:rsidR="002C192E">
        <w:t xml:space="preserve">understanding of risk should be incorporated into the </w:t>
      </w:r>
      <w:r w:rsidR="002C192E" w:rsidRPr="0028002E">
        <w:t>draft</w:t>
      </w:r>
      <w:r w:rsidR="002C192E">
        <w:t xml:space="preserve"> </w:t>
      </w:r>
      <w:r w:rsidR="0028002E">
        <w:t>s</w:t>
      </w:r>
      <w:r w:rsidR="002C192E">
        <w:t>trategy</w:t>
      </w:r>
    </w:p>
    <w:p w14:paraId="0906C39A" w14:textId="1A0E0338" w:rsidR="005348D8" w:rsidRDefault="00A008D7" w:rsidP="004B3567">
      <w:pPr>
        <w:pStyle w:val="List-BulletLvl1"/>
      </w:pPr>
      <w:r>
        <w:t xml:space="preserve">the draft </w:t>
      </w:r>
      <w:r w:rsidR="0028002E">
        <w:t>s</w:t>
      </w:r>
      <w:r>
        <w:t>trategy was not supported by enough research</w:t>
      </w:r>
    </w:p>
    <w:p w14:paraId="4F052364" w14:textId="269E4AD8" w:rsidR="00753A64" w:rsidRDefault="005348D8" w:rsidP="004B3567">
      <w:pPr>
        <w:pStyle w:val="List-BulletLvl1"/>
      </w:pPr>
      <w:r>
        <w:lastRenderedPageBreak/>
        <w:t xml:space="preserve">the </w:t>
      </w:r>
      <w:r w:rsidR="00984A6A">
        <w:t>positioning of gambling harm as an equity issue</w:t>
      </w:r>
      <w:r w:rsidR="00C4617E">
        <w:t>.</w:t>
      </w:r>
    </w:p>
    <w:p w14:paraId="448AD17D" w14:textId="31E16AA9" w:rsidR="004F377B" w:rsidRPr="002D1872" w:rsidRDefault="004F377B" w:rsidP="004F377B">
      <w:pPr>
        <w:pStyle w:val="CV-Heading2"/>
        <w:rPr>
          <w:i/>
          <w:iCs/>
        </w:rPr>
      </w:pPr>
      <w:r w:rsidRPr="002D1872">
        <w:rPr>
          <w:i/>
          <w:iCs/>
        </w:rPr>
        <w:t xml:space="preserve">Gambling industry submitters considered that the current strategy </w:t>
      </w:r>
      <w:r w:rsidR="00985076">
        <w:rPr>
          <w:i/>
          <w:iCs/>
        </w:rPr>
        <w:t>wa</w:t>
      </w:r>
      <w:r w:rsidRPr="002D1872">
        <w:rPr>
          <w:i/>
          <w:iCs/>
        </w:rPr>
        <w:t>s not working</w:t>
      </w:r>
      <w:r w:rsidR="00085C28">
        <w:rPr>
          <w:i/>
          <w:iCs/>
        </w:rPr>
        <w:t>:</w:t>
      </w:r>
      <w:r w:rsidR="00FD423E">
        <w:rPr>
          <w:i/>
          <w:iCs/>
        </w:rPr>
        <w:t xml:space="preserve"> repeating the </w:t>
      </w:r>
      <w:r w:rsidR="00085C28">
        <w:rPr>
          <w:i/>
          <w:iCs/>
        </w:rPr>
        <w:t xml:space="preserve">current </w:t>
      </w:r>
      <w:r w:rsidR="00FD423E">
        <w:rPr>
          <w:i/>
          <w:iCs/>
        </w:rPr>
        <w:t xml:space="preserve">approach </w:t>
      </w:r>
      <w:r w:rsidR="00085C28">
        <w:rPr>
          <w:i/>
          <w:iCs/>
        </w:rPr>
        <w:t xml:space="preserve">was </w:t>
      </w:r>
      <w:r w:rsidR="00FD423E">
        <w:rPr>
          <w:i/>
          <w:iCs/>
        </w:rPr>
        <w:t xml:space="preserve">not </w:t>
      </w:r>
      <w:r w:rsidR="00085C28">
        <w:rPr>
          <w:i/>
          <w:iCs/>
        </w:rPr>
        <w:t>valued by some</w:t>
      </w:r>
    </w:p>
    <w:p w14:paraId="4A14D26D" w14:textId="77777777" w:rsidR="00FC389B" w:rsidRDefault="004F377B" w:rsidP="004F377B">
      <w:pPr>
        <w:pStyle w:val="BodyText"/>
      </w:pPr>
      <w:r>
        <w:t xml:space="preserve">Eleven NCGM submitters and a gambling industry submitter commented that the current strategy </w:t>
      </w:r>
      <w:r w:rsidR="00985076">
        <w:t>wa</w:t>
      </w:r>
      <w:r>
        <w:t xml:space="preserve">s not working, and that </w:t>
      </w:r>
      <w:r w:rsidR="00657695">
        <w:t xml:space="preserve">the </w:t>
      </w:r>
      <w:r w:rsidR="00EE242F">
        <w:t xml:space="preserve">draft </w:t>
      </w:r>
      <w:r w:rsidR="00331356">
        <w:t>s</w:t>
      </w:r>
      <w:r w:rsidR="00657695">
        <w:t>trategy</w:t>
      </w:r>
      <w:r>
        <w:t xml:space="preserve"> repeat</w:t>
      </w:r>
      <w:r w:rsidR="00985076">
        <w:t>ed</w:t>
      </w:r>
      <w:r>
        <w:t xml:space="preserve"> all prior strategies</w:t>
      </w:r>
      <w:r w:rsidR="001A5933">
        <w:t>, which have been implemented</w:t>
      </w:r>
      <w:r>
        <w:t xml:space="preserve"> </w:t>
      </w:r>
      <w:r w:rsidR="005A0391">
        <w:t>without much success</w:t>
      </w:r>
      <w:r w:rsidR="001A5933">
        <w:t xml:space="preserve"> in terms of reducing gambling-related harm</w:t>
      </w:r>
      <w:r w:rsidR="0089357F">
        <w:t>: f</w:t>
      </w:r>
      <w:r>
        <w:t>unding has been high, and the prevalence of problem gambling has not decreased.</w:t>
      </w:r>
      <w:r>
        <w:rPr>
          <w:rStyle w:val="FootnoteReference"/>
        </w:rPr>
        <w:footnoteReference w:id="56"/>
      </w:r>
      <w:r>
        <w:t xml:space="preserve"> </w:t>
      </w:r>
      <w:r w:rsidR="00FC389B">
        <w:t xml:space="preserve">Comments included: </w:t>
      </w:r>
    </w:p>
    <w:p w14:paraId="2A81EADF" w14:textId="0A5A8C14" w:rsidR="00FC389B" w:rsidRDefault="00FC389B" w:rsidP="00FC389B">
      <w:pPr>
        <w:pStyle w:val="List-BulletLvl1"/>
      </w:pPr>
      <w:r>
        <w:t>the</w:t>
      </w:r>
      <w:r w:rsidR="004F377B">
        <w:t xml:space="preserve"> Ministry </w:t>
      </w:r>
      <w:r w:rsidR="00985076">
        <w:t>wa</w:t>
      </w:r>
      <w:r w:rsidR="004F377B">
        <w:t>s proposing to do the same thing again</w:t>
      </w:r>
      <w:r w:rsidR="004954A7">
        <w:t xml:space="preserve">, while </w:t>
      </w:r>
      <w:r w:rsidR="004F377B">
        <w:t>expect</w:t>
      </w:r>
      <w:r w:rsidR="004954A7">
        <w:t>ing</w:t>
      </w:r>
      <w:r w:rsidR="004F377B">
        <w:t xml:space="preserve"> a different result, when it </w:t>
      </w:r>
      <w:r w:rsidR="00985076">
        <w:t>wa</w:t>
      </w:r>
      <w:r w:rsidR="004F377B">
        <w:t xml:space="preserve">s clear (to these submitters) that a new approach </w:t>
      </w:r>
      <w:r w:rsidR="00985076">
        <w:t>wa</w:t>
      </w:r>
      <w:r w:rsidR="004F377B">
        <w:t>s needed</w:t>
      </w:r>
      <w:r w:rsidR="004F377B">
        <w:rPr>
          <w:rStyle w:val="FootnoteReference"/>
        </w:rPr>
        <w:footnoteReference w:id="57"/>
      </w:r>
      <w:r w:rsidR="004F377B">
        <w:t xml:space="preserve"> </w:t>
      </w:r>
    </w:p>
    <w:p w14:paraId="555B54F4" w14:textId="315E3079" w:rsidR="00FC389B" w:rsidRDefault="00FC389B" w:rsidP="00FC389B">
      <w:pPr>
        <w:pStyle w:val="List-BulletLvl1"/>
      </w:pPr>
      <w:r>
        <w:t xml:space="preserve">one </w:t>
      </w:r>
      <w:r w:rsidR="004F377B">
        <w:t xml:space="preserve">NCGM submitter </w:t>
      </w:r>
      <w:r w:rsidR="00FD430F">
        <w:t xml:space="preserve">also </w:t>
      </w:r>
      <w:r w:rsidR="004F377B">
        <w:t>note</w:t>
      </w:r>
      <w:r w:rsidR="00FD430F">
        <w:t>d</w:t>
      </w:r>
      <w:r w:rsidR="004F377B">
        <w:t xml:space="preserve"> that </w:t>
      </w:r>
      <w:r w:rsidR="00FD430F">
        <w:t xml:space="preserve">it was </w:t>
      </w:r>
      <w:r w:rsidR="004F377B">
        <w:t>opposed to the continued funding of a service that has become “complacent, out-dated, and more of an anti-gambling advocacy service than a treatment service”</w:t>
      </w:r>
      <w:r w:rsidR="004F377B">
        <w:rPr>
          <w:rStyle w:val="FootnoteReference"/>
        </w:rPr>
        <w:footnoteReference w:id="58"/>
      </w:r>
      <w:r w:rsidR="004F377B">
        <w:t xml:space="preserve"> </w:t>
      </w:r>
    </w:p>
    <w:p w14:paraId="1C937092" w14:textId="216966B4" w:rsidR="004F377B" w:rsidRDefault="00FC389B" w:rsidP="005808F6">
      <w:pPr>
        <w:pStyle w:val="List-BulletLvl1"/>
      </w:pPr>
      <w:r>
        <w:t xml:space="preserve">one </w:t>
      </w:r>
      <w:r w:rsidR="004F377B">
        <w:t xml:space="preserve">NCGM submitter supported the view that the current system has been successful to a degree in some respects (not further specified), but not in reducing </w:t>
      </w:r>
      <w:r w:rsidR="005422F3">
        <w:t>ongoing gambling harm</w:t>
      </w:r>
      <w:r w:rsidR="004F377B">
        <w:t>.</w:t>
      </w:r>
      <w:r w:rsidR="004F377B">
        <w:rPr>
          <w:rStyle w:val="FootnoteReference"/>
        </w:rPr>
        <w:footnoteReference w:id="59"/>
      </w:r>
    </w:p>
    <w:p w14:paraId="4D64BE47" w14:textId="48DEEE92" w:rsidR="00753A64" w:rsidRDefault="00753A64" w:rsidP="00753A64">
      <w:pPr>
        <w:pStyle w:val="BodyText"/>
      </w:pPr>
      <w:r>
        <w:t>One service provider expressed concern about the current underutilisation of services, and presented a range of potential reasons for this, including:</w:t>
      </w:r>
      <w:r w:rsidR="009C1A59">
        <w:rPr>
          <w:rStyle w:val="FootnoteReference"/>
        </w:rPr>
        <w:footnoteReference w:id="60"/>
      </w:r>
    </w:p>
    <w:p w14:paraId="2CE49AB6" w14:textId="6C6B6189" w:rsidR="00753A64" w:rsidRDefault="00753A64" w:rsidP="00753A64">
      <w:pPr>
        <w:pStyle w:val="List-BulletLvl1"/>
      </w:pPr>
      <w:r>
        <w:t xml:space="preserve">a lack of acceptable, culturally appropriate services - general services should be a choice for all users, and general services require support to attract and retain staff from a range of populations and to offer interventions and activities tailored to specific </w:t>
      </w:r>
      <w:r w:rsidR="003C0CCA">
        <w:t>population groups</w:t>
      </w:r>
    </w:p>
    <w:p w14:paraId="591007B1" w14:textId="77777777" w:rsidR="00753A64" w:rsidRPr="00723330" w:rsidRDefault="00753A64" w:rsidP="00753A64">
      <w:pPr>
        <w:pStyle w:val="List-BulletLvl1"/>
      </w:pPr>
      <w:r>
        <w:t>insufficient promotion of specialist gambling harm services</w:t>
      </w:r>
    </w:p>
    <w:p w14:paraId="5703E764" w14:textId="4D6E66C7" w:rsidR="00753A64" w:rsidRDefault="00753A64" w:rsidP="00753A64">
      <w:pPr>
        <w:pStyle w:val="List-BulletLvl1"/>
      </w:pPr>
      <w:r>
        <w:t xml:space="preserve">use of national telehealth services as the main promoted service as a first point of contact </w:t>
      </w:r>
      <w:r w:rsidR="00B91D2A">
        <w:t>and which had</w:t>
      </w:r>
      <w:r>
        <w:t xml:space="preserve"> an exceptionally low referral rate</w:t>
      </w:r>
    </w:p>
    <w:p w14:paraId="4BD0DC37" w14:textId="0F03C2FD" w:rsidR="00753A64" w:rsidRDefault="00753A64" w:rsidP="00753A64">
      <w:pPr>
        <w:pStyle w:val="List-BulletLvl1"/>
      </w:pPr>
      <w:r>
        <w:t>strong stigma associated with those affected by gambling harm and perpetrated by the gambling industry</w:t>
      </w:r>
    </w:p>
    <w:p w14:paraId="269D119C" w14:textId="7BC36D83" w:rsidR="00753A64" w:rsidRPr="00723330" w:rsidRDefault="00753A64" w:rsidP="00753A64">
      <w:pPr>
        <w:pStyle w:val="List-BulletLvl1"/>
      </w:pPr>
      <w:r>
        <w:t>limited gambling services across Aotearoa.</w:t>
      </w:r>
    </w:p>
    <w:p w14:paraId="55265265" w14:textId="72BDD477" w:rsidR="00DD5F68" w:rsidRPr="00832577" w:rsidRDefault="0095079B" w:rsidP="00832577">
      <w:pPr>
        <w:pStyle w:val="CV-Heading2"/>
        <w:rPr>
          <w:i/>
          <w:iCs/>
        </w:rPr>
      </w:pPr>
      <w:r w:rsidRPr="00832577">
        <w:rPr>
          <w:i/>
          <w:iCs/>
        </w:rPr>
        <w:t>Gambling industry submitters considered that COVID</w:t>
      </w:r>
      <w:r w:rsidR="00DD5F68" w:rsidRPr="00832577">
        <w:rPr>
          <w:i/>
          <w:iCs/>
        </w:rPr>
        <w:t>-19</w:t>
      </w:r>
      <w:r w:rsidRPr="00832577">
        <w:rPr>
          <w:i/>
          <w:iCs/>
        </w:rPr>
        <w:t xml:space="preserve"> was not responsible </w:t>
      </w:r>
      <w:r w:rsidR="00832577" w:rsidRPr="00832577">
        <w:rPr>
          <w:i/>
          <w:iCs/>
        </w:rPr>
        <w:t>for the current strategy</w:t>
      </w:r>
      <w:r w:rsidR="00FA1831">
        <w:rPr>
          <w:i/>
          <w:iCs/>
        </w:rPr>
        <w:t>’s poor performance</w:t>
      </w:r>
      <w:r w:rsidR="00F26D1D">
        <w:rPr>
          <w:i/>
          <w:iCs/>
        </w:rPr>
        <w:t xml:space="preserve"> to reduce gambling-related harm</w:t>
      </w:r>
    </w:p>
    <w:p w14:paraId="5F524171" w14:textId="192868B6" w:rsidR="004F377B" w:rsidRDefault="00F319E3" w:rsidP="004F377B">
      <w:pPr>
        <w:pStyle w:val="BodyText"/>
      </w:pPr>
      <w:r>
        <w:t>Five</w:t>
      </w:r>
      <w:r w:rsidR="004F377B">
        <w:t xml:space="preserve"> NCGM submitters did not accept that the COVID-19 pandemic was the cause of </w:t>
      </w:r>
      <w:r w:rsidR="009C1FE9">
        <w:t xml:space="preserve">poor </w:t>
      </w:r>
      <w:r w:rsidR="004F377B">
        <w:t xml:space="preserve">results </w:t>
      </w:r>
      <w:r w:rsidR="009D23E4">
        <w:t xml:space="preserve">related to </w:t>
      </w:r>
      <w:r w:rsidR="004F377B">
        <w:t>underutilised services</w:t>
      </w:r>
      <w:r w:rsidR="009D23E4">
        <w:t xml:space="preserve"> and the </w:t>
      </w:r>
      <w:r w:rsidR="004F377B">
        <w:t>overall level of harm remaining the same</w:t>
      </w:r>
      <w:r w:rsidR="009D23E4">
        <w:t xml:space="preserve"> year-on-year</w:t>
      </w:r>
      <w:r w:rsidR="004F377B">
        <w:t>.</w:t>
      </w:r>
      <w:r w:rsidR="009C1A59">
        <w:rPr>
          <w:rStyle w:val="FootnoteReference"/>
        </w:rPr>
        <w:footnoteReference w:id="61"/>
      </w:r>
      <w:r w:rsidR="004F377B">
        <w:t xml:space="preserve"> Two </w:t>
      </w:r>
      <w:r w:rsidR="00E75354">
        <w:t xml:space="preserve">also </w:t>
      </w:r>
      <w:r w:rsidR="004F377B">
        <w:t>comment</w:t>
      </w:r>
      <w:r w:rsidR="00E75354">
        <w:t>ed</w:t>
      </w:r>
      <w:r w:rsidR="004F377B">
        <w:t xml:space="preserve"> that COVID-19 should have assisted with reducing the prevalence of harmful gambling and inequity, as all NCGM venues and casinos were closed</w:t>
      </w:r>
      <w:r w:rsidR="005D4391">
        <w:t xml:space="preserve"> (except online offerings)</w:t>
      </w:r>
      <w:r w:rsidR="004F377B">
        <w:t>.</w:t>
      </w:r>
      <w:r w:rsidR="004F377B">
        <w:rPr>
          <w:rStyle w:val="FootnoteReference"/>
        </w:rPr>
        <w:footnoteReference w:id="62"/>
      </w:r>
      <w:r w:rsidR="004F377B">
        <w:t xml:space="preserve"> In addition, th</w:t>
      </w:r>
      <w:r w:rsidR="005D4391">
        <w:t>e</w:t>
      </w:r>
      <w:r w:rsidR="004F377B">
        <w:t xml:space="preserve">y submitted that there was considerable media attention regarding online gambling, </w:t>
      </w:r>
      <w:r w:rsidR="004F377B">
        <w:lastRenderedPageBreak/>
        <w:t>and the first level 4 lockdown last</w:t>
      </w:r>
      <w:r w:rsidR="00753A69">
        <w:t>ed</w:t>
      </w:r>
      <w:r w:rsidR="004F377B">
        <w:t xml:space="preserve"> for only four weeks</w:t>
      </w:r>
      <w:r w:rsidR="00F94908">
        <w:t xml:space="preserve">. They concluded that </w:t>
      </w:r>
      <w:r w:rsidR="00A35951">
        <w:t>there had not been much change</w:t>
      </w:r>
      <w:r w:rsidR="004F377B">
        <w:t xml:space="preserve"> for</w:t>
      </w:r>
      <w:r w:rsidR="00A35951">
        <w:t xml:space="preserve"> the last</w:t>
      </w:r>
      <w:r w:rsidR="004F377B">
        <w:t xml:space="preserve"> 17 years</w:t>
      </w:r>
      <w:r>
        <w:t>, and a new approach was needed</w:t>
      </w:r>
      <w:r w:rsidR="004F377B">
        <w:t>.</w:t>
      </w:r>
      <w:r w:rsidR="004F377B">
        <w:rPr>
          <w:rStyle w:val="FootnoteReference"/>
        </w:rPr>
        <w:footnoteReference w:id="63"/>
      </w:r>
    </w:p>
    <w:p w14:paraId="5F7CE5DF" w14:textId="778CBDA2" w:rsidR="007D06AC" w:rsidRDefault="007D06AC" w:rsidP="004F377B">
      <w:pPr>
        <w:pStyle w:val="BodyText"/>
      </w:pPr>
      <w:r>
        <w:t xml:space="preserve">Ways to achieve change were </w:t>
      </w:r>
      <w:r w:rsidR="002C587F">
        <w:t>suggest</w:t>
      </w:r>
      <w:r>
        <w:t>ed:</w:t>
      </w:r>
    </w:p>
    <w:p w14:paraId="7CB122AA" w14:textId="37446F37" w:rsidR="002A2247" w:rsidRDefault="004F377B" w:rsidP="007D06AC">
      <w:pPr>
        <w:pStyle w:val="BodyText"/>
        <w:numPr>
          <w:ilvl w:val="0"/>
          <w:numId w:val="29"/>
        </w:numPr>
      </w:pPr>
      <w:r>
        <w:t>technical machine changes</w:t>
      </w:r>
      <w:r w:rsidR="009A6B15">
        <w:t xml:space="preserve"> (one NCGM submitter</w:t>
      </w:r>
      <w:r w:rsidR="00642CEE">
        <w:t xml:space="preserve"> and </w:t>
      </w:r>
      <w:r w:rsidR="009A6B15">
        <w:t>one gambling industry submitter)</w:t>
      </w:r>
    </w:p>
    <w:p w14:paraId="3B3DBFDF" w14:textId="2B0322BF" w:rsidR="002A2247" w:rsidRDefault="004F377B" w:rsidP="007D06AC">
      <w:pPr>
        <w:pStyle w:val="BodyText"/>
        <w:numPr>
          <w:ilvl w:val="0"/>
          <w:numId w:val="29"/>
        </w:numPr>
      </w:pPr>
      <w:r>
        <w:t>the introduction of new harm minimisation technolog</w:t>
      </w:r>
      <w:r w:rsidR="002A2247">
        <w:t>y</w:t>
      </w:r>
      <w:r w:rsidR="00375BBB">
        <w:t xml:space="preserve"> including </w:t>
      </w:r>
      <w:r w:rsidR="007A195B" w:rsidRPr="001D4278">
        <w:t>expand</w:t>
      </w:r>
      <w:r w:rsidR="007A195B">
        <w:t>ing</w:t>
      </w:r>
      <w:r w:rsidR="007A195B" w:rsidRPr="001D4278">
        <w:t xml:space="preserve"> the use of facial recognition software as a tool to promote treatment and improve monitoring and enforcement</w:t>
      </w:r>
      <w:r w:rsidR="007A195B">
        <w:rPr>
          <w:vertAlign w:val="superscript"/>
        </w:rPr>
        <w:t xml:space="preserve"> </w:t>
      </w:r>
      <w:r w:rsidR="007A195B">
        <w:t>(one NCGM submitter</w:t>
      </w:r>
      <w:r w:rsidR="00642CEE">
        <w:t xml:space="preserve"> and</w:t>
      </w:r>
      <w:r w:rsidR="007A195B">
        <w:t xml:space="preserve"> one gambling industry submitter)</w:t>
      </w:r>
      <w:r w:rsidR="007A195B">
        <w:rPr>
          <w:vertAlign w:val="superscript"/>
        </w:rPr>
        <w:t xml:space="preserve">69,70 </w:t>
      </w:r>
    </w:p>
    <w:p w14:paraId="009B5645" w14:textId="60C2CD6F" w:rsidR="002A2247" w:rsidRDefault="004F377B" w:rsidP="007D06AC">
      <w:pPr>
        <w:pStyle w:val="BodyText"/>
        <w:numPr>
          <w:ilvl w:val="0"/>
          <w:numId w:val="29"/>
        </w:numPr>
      </w:pPr>
      <w:r>
        <w:t>changes to the way treatment services are provided</w:t>
      </w:r>
      <w:r w:rsidR="00F26E17">
        <w:t xml:space="preserve"> (one NCGM submitter)</w:t>
      </w:r>
      <w:r>
        <w:rPr>
          <w:rStyle w:val="FootnoteReference"/>
        </w:rPr>
        <w:footnoteReference w:id="64"/>
      </w:r>
      <w:r>
        <w:t xml:space="preserve"> </w:t>
      </w:r>
    </w:p>
    <w:p w14:paraId="71A572ED" w14:textId="540C830C" w:rsidR="004F377B" w:rsidRPr="00E34E14" w:rsidRDefault="004F377B" w:rsidP="00EB1F00">
      <w:pPr>
        <w:pStyle w:val="BodyText"/>
        <w:numPr>
          <w:ilvl w:val="0"/>
          <w:numId w:val="29"/>
        </w:numPr>
      </w:pPr>
      <w:r w:rsidRPr="001D4278">
        <w:t xml:space="preserve">the development of a tool for persons to request </w:t>
      </w:r>
      <w:r w:rsidR="0057121D">
        <w:t>multi-venue exclusions (</w:t>
      </w:r>
      <w:r w:rsidR="00FC6C8F">
        <w:t>MVE</w:t>
      </w:r>
      <w:r w:rsidR="0057121D">
        <w:t>s)</w:t>
      </w:r>
      <w:r w:rsidRPr="001D4278">
        <w:t xml:space="preserve"> from home (self-help, without the need to visit venues or a counsellor)</w:t>
      </w:r>
      <w:r w:rsidR="00DB1A27">
        <w:t xml:space="preserve"> (one gambling industry submitter)</w:t>
      </w:r>
      <w:r w:rsidRPr="001D4278">
        <w:t>.</w:t>
      </w:r>
      <w:r>
        <w:rPr>
          <w:rStyle w:val="FootnoteReference"/>
        </w:rPr>
        <w:footnoteReference w:id="65"/>
      </w:r>
    </w:p>
    <w:p w14:paraId="1A0F8B89" w14:textId="7A44DB2F" w:rsidR="006252B1" w:rsidRPr="006252B1" w:rsidRDefault="006252B1" w:rsidP="006252B1">
      <w:pPr>
        <w:pStyle w:val="CV-Heading2"/>
        <w:rPr>
          <w:i/>
          <w:iCs/>
        </w:rPr>
      </w:pPr>
      <w:r w:rsidRPr="006252B1">
        <w:rPr>
          <w:i/>
          <w:iCs/>
        </w:rPr>
        <w:t xml:space="preserve">Submitters were concerned that the draft </w:t>
      </w:r>
      <w:r w:rsidR="009B3A1D">
        <w:rPr>
          <w:i/>
          <w:iCs/>
        </w:rPr>
        <w:t>s</w:t>
      </w:r>
      <w:r w:rsidRPr="006252B1">
        <w:rPr>
          <w:i/>
          <w:iCs/>
        </w:rPr>
        <w:t>trategy d</w:t>
      </w:r>
      <w:r w:rsidR="008B55EC">
        <w:rPr>
          <w:i/>
          <w:iCs/>
        </w:rPr>
        <w:t>id</w:t>
      </w:r>
      <w:r w:rsidRPr="006252B1">
        <w:rPr>
          <w:i/>
          <w:iCs/>
        </w:rPr>
        <w:t xml:space="preserve"> not address the causes of problem gambling</w:t>
      </w:r>
    </w:p>
    <w:p w14:paraId="6168C149" w14:textId="26D45B20" w:rsidR="006252B1" w:rsidRDefault="006252B1" w:rsidP="006252B1">
      <w:pPr>
        <w:pStyle w:val="BodyText"/>
      </w:pPr>
      <w:r>
        <w:t xml:space="preserve">Health and social services submitters, service providers and one NCGM submitter expressed concern that the draft </w:t>
      </w:r>
      <w:r w:rsidR="009B3A1D">
        <w:t>s</w:t>
      </w:r>
      <w:r>
        <w:t>trategy d</w:t>
      </w:r>
      <w:r w:rsidR="00471F51">
        <w:t>id</w:t>
      </w:r>
      <w:r>
        <w:t xml:space="preserve"> not go far enough to address the causes of problem gambling. </w:t>
      </w:r>
    </w:p>
    <w:p w14:paraId="0ACC0868" w14:textId="23CCA6CD" w:rsidR="006252B1" w:rsidRPr="00C61424" w:rsidRDefault="006252B1" w:rsidP="00FD7CD7">
      <w:pPr>
        <w:pStyle w:val="BodyText"/>
      </w:pPr>
      <w:r>
        <w:t xml:space="preserve">One service provider expressed </w:t>
      </w:r>
      <w:r w:rsidR="00F60921">
        <w:t xml:space="preserve">a similar </w:t>
      </w:r>
      <w:r>
        <w:t xml:space="preserve">concern and in particular observed the broader Wairua of Aotearoa founding documents Te Tiriti o Waitangi/He Whakaputanga principles of Mana Tangata, Mana </w:t>
      </w:r>
      <w:r w:rsidRPr="00FD7CD7">
        <w:t>Whenua</w:t>
      </w:r>
      <w:r>
        <w:t>, Mana Moana and Mana Atua to be lacking.</w:t>
      </w:r>
      <w:r>
        <w:rPr>
          <w:rStyle w:val="FootnoteReference"/>
        </w:rPr>
        <w:footnoteReference w:id="66"/>
      </w:r>
      <w:r>
        <w:t xml:space="preserve"> This service provider suggested concentrating efforts on key public health activity such as minimising harmful endorsements of problem gambling (no further detail on how this could be done was provided).</w:t>
      </w:r>
      <w:r>
        <w:rPr>
          <w:rStyle w:val="FootnoteReference"/>
        </w:rPr>
        <w:footnoteReference w:id="67"/>
      </w:r>
      <w:r>
        <w:t xml:space="preserve"> </w:t>
      </w:r>
    </w:p>
    <w:p w14:paraId="506B2D0F" w14:textId="1CCAE74B" w:rsidR="006252B1" w:rsidRPr="00C61424" w:rsidRDefault="006252B1" w:rsidP="00FD7CD7">
      <w:pPr>
        <w:pStyle w:val="BodyText"/>
      </w:pPr>
      <w:r>
        <w:t xml:space="preserve">Two health and social services submitters and one service provider noted although the draft </w:t>
      </w:r>
      <w:r w:rsidR="005A3D5A">
        <w:t>s</w:t>
      </w:r>
      <w:r>
        <w:t xml:space="preserve">trategy attributes inequity largely to the greater concentration of NCGMs in lower socioeconomic </w:t>
      </w:r>
      <w:r w:rsidRPr="00FD7CD7">
        <w:t>status</w:t>
      </w:r>
      <w:r>
        <w:t xml:space="preserve"> and high deprivation areas, it fails to include any measures to address the location or density of NCGMs and other easily-accessible gambling venues.</w:t>
      </w:r>
      <w:r>
        <w:rPr>
          <w:rStyle w:val="FootnoteReference"/>
        </w:rPr>
        <w:footnoteReference w:id="68"/>
      </w:r>
      <w:r>
        <w:t xml:space="preserve"> The health and social service submitter expressed concern that the draft </w:t>
      </w:r>
      <w:r w:rsidR="005A3D5A">
        <w:t>s</w:t>
      </w:r>
      <w:r>
        <w:t>trategy’s focus on support services and education campaigns aimed at countering harm, including pilot studies and research, would consume resource while not significantly changing outcomes.</w:t>
      </w:r>
      <w:r>
        <w:rPr>
          <w:rStyle w:val="FootnoteReference"/>
        </w:rPr>
        <w:footnoteReference w:id="69"/>
      </w:r>
    </w:p>
    <w:p w14:paraId="3AAC89E4" w14:textId="25030056" w:rsidR="006252B1" w:rsidRDefault="006252B1" w:rsidP="00FD7CD7">
      <w:pPr>
        <w:pStyle w:val="BodyText"/>
      </w:pPr>
      <w:r>
        <w:t>One NCGM submitter commented that services should provide support beyond treatment and address the core reasons for excessive gambling.</w:t>
      </w:r>
      <w:r>
        <w:rPr>
          <w:rStyle w:val="FootnoteReference"/>
        </w:rPr>
        <w:footnoteReference w:id="70"/>
      </w:r>
      <w:r>
        <w:t xml:space="preserve"> Another NCGM submitter noted that previous strategies over the last 17 years have focused on the </w:t>
      </w:r>
      <w:r w:rsidR="00C708ED">
        <w:t>‘</w:t>
      </w:r>
      <w:r>
        <w:t xml:space="preserve">ambulance at the bottom of the </w:t>
      </w:r>
      <w:r w:rsidRPr="00FD7CD7">
        <w:t>cliff</w:t>
      </w:r>
      <w:r w:rsidR="00C708ED">
        <w:t>’</w:t>
      </w:r>
      <w:r>
        <w:t xml:space="preserve"> and </w:t>
      </w:r>
      <w:r w:rsidR="00C708ED">
        <w:t>have</w:t>
      </w:r>
      <w:r>
        <w:t xml:space="preserve"> done little or nothing to prevent and minimise the harm experienced by the minority of </w:t>
      </w:r>
      <w:r w:rsidR="00DF23FE">
        <w:t>gamblers</w:t>
      </w:r>
      <w:r>
        <w:t>.</w:t>
      </w:r>
      <w:r>
        <w:rPr>
          <w:rStyle w:val="FootnoteReference"/>
        </w:rPr>
        <w:footnoteReference w:id="71"/>
      </w:r>
      <w:r>
        <w:t xml:space="preserve"> The submitter </w:t>
      </w:r>
      <w:r w:rsidR="00D53E09">
        <w:t xml:space="preserve">also </w:t>
      </w:r>
      <w:r>
        <w:t>comment</w:t>
      </w:r>
      <w:r w:rsidR="00D53E09">
        <w:t>ed</w:t>
      </w:r>
      <w:r>
        <w:t xml:space="preserve"> that gambling services have failed to assist vulnerable problem gamblers, which</w:t>
      </w:r>
      <w:r w:rsidR="00985076">
        <w:t xml:space="preserve"> was </w:t>
      </w:r>
      <w:r>
        <w:t>evidenc</w:t>
      </w:r>
      <w:r w:rsidR="008B55EC">
        <w:t>ed by the number of people returning to services</w:t>
      </w:r>
      <w:r>
        <w:t>.</w:t>
      </w:r>
      <w:r>
        <w:rPr>
          <w:rStyle w:val="FootnoteReference"/>
        </w:rPr>
        <w:footnoteReference w:id="72"/>
      </w:r>
      <w:r>
        <w:t xml:space="preserve"> An individual also noted </w:t>
      </w:r>
      <w:r w:rsidRPr="00FD7CD7">
        <w:t>that</w:t>
      </w:r>
      <w:r>
        <w:t xml:space="preserve"> the Ministry “funds ambulances at the bottom of the cliff” instead of </w:t>
      </w:r>
      <w:r>
        <w:lastRenderedPageBreak/>
        <w:t>looking at the top, and should put processes in place that will slow the number of people needing to seek help.</w:t>
      </w:r>
      <w:r>
        <w:rPr>
          <w:rStyle w:val="FootnoteReference"/>
        </w:rPr>
        <w:footnoteReference w:id="73"/>
      </w:r>
    </w:p>
    <w:p w14:paraId="6E01ED93" w14:textId="6D4F13B6" w:rsidR="0068048C" w:rsidRPr="00FD7CD7" w:rsidRDefault="008B55EC" w:rsidP="00FD7CD7">
      <w:pPr>
        <w:pStyle w:val="CV-Heading2"/>
        <w:rPr>
          <w:i/>
          <w:iCs/>
        </w:rPr>
      </w:pPr>
      <w:r>
        <w:rPr>
          <w:i/>
          <w:iCs/>
        </w:rPr>
        <w:t>One submitter considered that the</w:t>
      </w:r>
      <w:r w:rsidR="00D172BC" w:rsidRPr="00FD7CD7">
        <w:rPr>
          <w:i/>
          <w:iCs/>
        </w:rPr>
        <w:t xml:space="preserve"> three-year t</w:t>
      </w:r>
      <w:r w:rsidR="0068048C" w:rsidRPr="00FD7CD7">
        <w:rPr>
          <w:i/>
          <w:iCs/>
        </w:rPr>
        <w:t xml:space="preserve">imeframe </w:t>
      </w:r>
      <w:r w:rsidR="00D172BC" w:rsidRPr="00FD7CD7">
        <w:rPr>
          <w:i/>
          <w:iCs/>
        </w:rPr>
        <w:t>does not allow for nimbleness</w:t>
      </w:r>
    </w:p>
    <w:p w14:paraId="7336D6FF" w14:textId="2A16E8E6" w:rsidR="004F377B" w:rsidRDefault="004F377B" w:rsidP="004F377B">
      <w:pPr>
        <w:pStyle w:val="BodyText"/>
      </w:pPr>
      <w:r>
        <w:t xml:space="preserve">One health and social services submitter noted that while it endorsed </w:t>
      </w:r>
      <w:r w:rsidRPr="003073F0">
        <w:t>a large amount of the consultation document, strategic changes and a cross-</w:t>
      </w:r>
      <w:r w:rsidR="00B60D31">
        <w:t>agency</w:t>
      </w:r>
      <w:r w:rsidRPr="003073F0">
        <w:t xml:space="preserve"> strategy need to be implemented</w:t>
      </w:r>
      <w:r w:rsidR="001C4176">
        <w:t xml:space="preserve"> </w:t>
      </w:r>
      <w:r w:rsidR="001C4176" w:rsidRPr="003073F0">
        <w:t>if gambling harm is to be prevented</w:t>
      </w:r>
      <w:r w:rsidRPr="003073F0">
        <w:t xml:space="preserve">. </w:t>
      </w:r>
      <w:r w:rsidR="00183FE4">
        <w:t xml:space="preserve">It considered that </w:t>
      </w:r>
      <w:r w:rsidR="00C642A7">
        <w:t xml:space="preserve">the series </w:t>
      </w:r>
      <w:r w:rsidRPr="003073F0">
        <w:t xml:space="preserve">of three-year strategies </w:t>
      </w:r>
      <w:r w:rsidR="00C642A7">
        <w:t>we</w:t>
      </w:r>
      <w:r w:rsidR="00183FE4">
        <w:t xml:space="preserve">re </w:t>
      </w:r>
      <w:r w:rsidRPr="003073F0">
        <w:t xml:space="preserve">too slow and </w:t>
      </w:r>
      <w:r w:rsidR="001E57F2">
        <w:t xml:space="preserve">are </w:t>
      </w:r>
      <w:r w:rsidRPr="003073F0">
        <w:t>not nimble enough to respond to the changes within the gambling sector. For prevention to occur the regulation and legislation needs to be adjusted to bring in greater restrictions, and a better funding model.</w:t>
      </w:r>
      <w:r>
        <w:rPr>
          <w:rStyle w:val="FootnoteReference"/>
        </w:rPr>
        <w:footnoteReference w:id="74"/>
      </w:r>
    </w:p>
    <w:p w14:paraId="701F6319" w14:textId="069B5702" w:rsidR="00552324" w:rsidRPr="00FD7CD7" w:rsidRDefault="008B55EC" w:rsidP="00FD7CD7">
      <w:pPr>
        <w:pStyle w:val="CV-Heading2"/>
        <w:rPr>
          <w:i/>
          <w:iCs/>
        </w:rPr>
      </w:pPr>
      <w:r>
        <w:rPr>
          <w:i/>
          <w:iCs/>
        </w:rPr>
        <w:t>One service provider considered that mo</w:t>
      </w:r>
      <w:r w:rsidR="000F1372" w:rsidRPr="00FD7CD7">
        <w:rPr>
          <w:i/>
          <w:iCs/>
        </w:rPr>
        <w:t xml:space="preserve">re nuanced understanding of risk </w:t>
      </w:r>
      <w:r w:rsidR="00761D01" w:rsidRPr="00FD7CD7">
        <w:rPr>
          <w:i/>
          <w:iCs/>
        </w:rPr>
        <w:t xml:space="preserve">could </w:t>
      </w:r>
      <w:r w:rsidR="000F1372" w:rsidRPr="00FD7CD7">
        <w:rPr>
          <w:i/>
          <w:iCs/>
        </w:rPr>
        <w:t xml:space="preserve">be incorporated into the draft </w:t>
      </w:r>
      <w:r w:rsidR="00FF6700">
        <w:rPr>
          <w:i/>
          <w:iCs/>
        </w:rPr>
        <w:t>s</w:t>
      </w:r>
      <w:r w:rsidR="000F1372" w:rsidRPr="00FD7CD7">
        <w:rPr>
          <w:i/>
          <w:iCs/>
        </w:rPr>
        <w:t>trategy</w:t>
      </w:r>
    </w:p>
    <w:p w14:paraId="41906B12" w14:textId="5911043D" w:rsidR="00B22A65" w:rsidRDefault="00B22A65" w:rsidP="00B22A65">
      <w:pPr>
        <w:pStyle w:val="BodyText"/>
      </w:pPr>
      <w:r>
        <w:t xml:space="preserve">One service provider did not fully support the proposed strategic goal, objectives and priority action areas, and noted that the </w:t>
      </w:r>
      <w:r w:rsidR="006249BA">
        <w:t xml:space="preserve">draft </w:t>
      </w:r>
      <w:r>
        <w:t xml:space="preserve">strategy </w:t>
      </w:r>
      <w:r w:rsidR="00642CEE">
        <w:t>wa</w:t>
      </w:r>
      <w:r>
        <w:t>s based on a public health model outlined in the Act.</w:t>
      </w:r>
      <w:r>
        <w:rPr>
          <w:rStyle w:val="FootnoteReference"/>
        </w:rPr>
        <w:footnoteReference w:id="75"/>
      </w:r>
      <w:r>
        <w:t xml:space="preserve"> The service provider noted that although this was ground-breaking </w:t>
      </w:r>
      <w:r w:rsidR="006249BA">
        <w:t>when the Act was introduced</w:t>
      </w:r>
      <w:r>
        <w:t>, significant progress has been made since then in the area of gambling-related harm</w:t>
      </w:r>
      <w:r w:rsidR="00AA4144">
        <w:t xml:space="preserve"> since then</w:t>
      </w:r>
      <w:r>
        <w:t>, and not everyone can be treated as having the same level of risk of being affected by it.</w:t>
      </w:r>
      <w:r>
        <w:rPr>
          <w:rStyle w:val="FootnoteReference"/>
        </w:rPr>
        <w:footnoteReference w:id="76"/>
      </w:r>
      <w:r>
        <w:t xml:space="preserve"> </w:t>
      </w:r>
    </w:p>
    <w:p w14:paraId="62A7B65A" w14:textId="0A383ECA" w:rsidR="00A008D7" w:rsidRPr="003C76AF" w:rsidRDefault="00A008D7" w:rsidP="00A008D7">
      <w:pPr>
        <w:pStyle w:val="CV-Heading2"/>
        <w:rPr>
          <w:i/>
          <w:iCs/>
        </w:rPr>
      </w:pPr>
      <w:r>
        <w:rPr>
          <w:i/>
          <w:iCs/>
        </w:rPr>
        <w:t>One submitter considered that the strategy was not</w:t>
      </w:r>
      <w:r w:rsidRPr="003C76AF">
        <w:rPr>
          <w:i/>
          <w:iCs/>
        </w:rPr>
        <w:t xml:space="preserve"> informed by enough research</w:t>
      </w:r>
    </w:p>
    <w:p w14:paraId="15F13C6C" w14:textId="74F5376C" w:rsidR="00A008D7" w:rsidRPr="00A008D7" w:rsidRDefault="00A008D7" w:rsidP="00A008D7">
      <w:pPr>
        <w:pStyle w:val="BodyText"/>
      </w:pPr>
      <w:r>
        <w:t xml:space="preserve">One service provider commented that a limitation of the </w:t>
      </w:r>
      <w:r w:rsidR="005459C1">
        <w:t xml:space="preserve">draft </w:t>
      </w:r>
      <w:r>
        <w:t xml:space="preserve">strategy was </w:t>
      </w:r>
      <w:r w:rsidR="007E03F9">
        <w:t xml:space="preserve">that it was </w:t>
      </w:r>
      <w:r>
        <w:t xml:space="preserve">informed by the Needs Assessment findings in a three-year period where </w:t>
      </w:r>
      <w:r w:rsidR="003008AF">
        <w:t>‘</w:t>
      </w:r>
      <w:r>
        <w:t>relatively little</w:t>
      </w:r>
      <w:r w:rsidR="003008AF">
        <w:t>’</w:t>
      </w:r>
      <w:r>
        <w:t xml:space="preserve"> research was funded.</w:t>
      </w:r>
      <w:r w:rsidR="008B459D">
        <w:rPr>
          <w:rStyle w:val="FootnoteReference"/>
        </w:rPr>
        <w:footnoteReference w:id="77"/>
      </w:r>
      <w:r>
        <w:t xml:space="preserve"> The submitter went on to say that this meant the local evidence which </w:t>
      </w:r>
      <w:r w:rsidR="004954CB">
        <w:t xml:space="preserve">informed </w:t>
      </w:r>
      <w:r>
        <w:t xml:space="preserve">the </w:t>
      </w:r>
      <w:r w:rsidR="004954CB">
        <w:t>draft</w:t>
      </w:r>
      <w:r>
        <w:t xml:space="preserve"> strategy was incomplete. The submitter noted that the COVID-19 lockdown period would have been a good time to fund and conduct research on people’s inability to gambl</w:t>
      </w:r>
      <w:r w:rsidR="00763FAF">
        <w:t>e</w:t>
      </w:r>
      <w:r>
        <w:t xml:space="preserve"> in physical venues, behaviours on re-opening of venues, relapse and uptake of online gambling, and that this was an opportunity that was missed in Aotearoa.</w:t>
      </w:r>
      <w:r w:rsidR="008B459D">
        <w:rPr>
          <w:rStyle w:val="FootnoteReference"/>
        </w:rPr>
        <w:footnoteReference w:id="78"/>
      </w:r>
      <w:r>
        <w:t xml:space="preserve"> </w:t>
      </w:r>
    </w:p>
    <w:p w14:paraId="1B302FF9" w14:textId="56F3F026" w:rsidR="00B66B6D" w:rsidRPr="004A4D8F" w:rsidRDefault="00B66B6D" w:rsidP="00B66B6D">
      <w:pPr>
        <w:pStyle w:val="CV-Heading2"/>
        <w:rPr>
          <w:i/>
          <w:iCs/>
        </w:rPr>
      </w:pPr>
      <w:r>
        <w:rPr>
          <w:i/>
          <w:iCs/>
        </w:rPr>
        <w:t>One s</w:t>
      </w:r>
      <w:r w:rsidRPr="004A4D8F">
        <w:rPr>
          <w:i/>
          <w:iCs/>
        </w:rPr>
        <w:t>ubmitter disagreed with positioning gambling harm and prevention explicitly as an equity issue</w:t>
      </w:r>
      <w:r w:rsidR="00662AC1">
        <w:rPr>
          <w:rStyle w:val="FootnoteReference"/>
          <w:i/>
          <w:iCs/>
        </w:rPr>
        <w:footnoteReference w:id="79"/>
      </w:r>
    </w:p>
    <w:p w14:paraId="22AD26D2" w14:textId="606041C0" w:rsidR="00B66B6D" w:rsidRPr="005C392D" w:rsidRDefault="00B66B6D" w:rsidP="00B66B6D">
      <w:pPr>
        <w:pStyle w:val="BodyText"/>
      </w:pPr>
      <w:r>
        <w:t>One service provider considered that positioning gambling harm and prevention explicitly as an equity issue was problematic as it implied that other populations who experience gambling harm are not as important.</w:t>
      </w:r>
      <w:r w:rsidRPr="000C3B90">
        <w:rPr>
          <w:rStyle w:val="FootnoteReference"/>
        </w:rPr>
        <w:t xml:space="preserve"> </w:t>
      </w:r>
      <w:r>
        <w:rPr>
          <w:rStyle w:val="FootnoteReference"/>
        </w:rPr>
        <w:footnoteReference w:id="80"/>
      </w:r>
      <w:r>
        <w:t xml:space="preserve"> The submitter considered that this </w:t>
      </w:r>
      <w:r w:rsidR="0006340D">
        <w:t>c</w:t>
      </w:r>
      <w:r>
        <w:t>ould contribute to maintaining the stigma associated with experiencing problem gambling and did not fit with the public health approach to minimise harms from gambling.</w:t>
      </w:r>
      <w:r>
        <w:rPr>
          <w:rStyle w:val="FootnoteReference"/>
        </w:rPr>
        <w:footnoteReference w:id="81"/>
      </w:r>
      <w:r>
        <w:t xml:space="preserve"> </w:t>
      </w:r>
    </w:p>
    <w:p w14:paraId="19E2D9DE" w14:textId="77777777" w:rsidR="004F377B" w:rsidRPr="002D1872" w:rsidRDefault="004F377B" w:rsidP="00EB1F00">
      <w:pPr>
        <w:pStyle w:val="NumberedHeading3"/>
      </w:pPr>
      <w:bookmarkStart w:id="39" w:name="_Toc88637540"/>
      <w:r w:rsidRPr="002D1872">
        <w:lastRenderedPageBreak/>
        <w:t xml:space="preserve">Submitters </w:t>
      </w:r>
      <w:r>
        <w:t xml:space="preserve">from across difference sectors </w:t>
      </w:r>
      <w:r w:rsidRPr="002D1872">
        <w:t>expressed interest in a bolder approach</w:t>
      </w:r>
      <w:bookmarkEnd w:id="39"/>
    </w:p>
    <w:p w14:paraId="7833CBD8" w14:textId="3D50F794" w:rsidR="003A13C0" w:rsidRDefault="003A13C0" w:rsidP="004F377B">
      <w:pPr>
        <w:pStyle w:val="BodyText"/>
      </w:pPr>
      <w:r>
        <w:t>Submitters from across all sectors expressed interest in a bolder approach, including:</w:t>
      </w:r>
    </w:p>
    <w:p w14:paraId="6636CAFF" w14:textId="79D28FD0" w:rsidR="003A13C0" w:rsidRDefault="003A13C0" w:rsidP="003A13C0">
      <w:pPr>
        <w:pStyle w:val="List-BulletLvl1"/>
      </w:pPr>
      <w:r>
        <w:t>better integration and a more collective approach to preventing and reducing gambling harm</w:t>
      </w:r>
    </w:p>
    <w:p w14:paraId="1DE418FF" w14:textId="4AC448EF" w:rsidR="003A13C0" w:rsidRDefault="00B66B6D" w:rsidP="003A13C0">
      <w:pPr>
        <w:pStyle w:val="List-BulletLvl1"/>
      </w:pPr>
      <w:r>
        <w:t>better support for people trying to access services</w:t>
      </w:r>
    </w:p>
    <w:p w14:paraId="3728C107" w14:textId="41CE03A5" w:rsidR="00EE5111" w:rsidRDefault="00EE5111" w:rsidP="00E420AA">
      <w:pPr>
        <w:pStyle w:val="List-BulletLvl1"/>
      </w:pPr>
      <w:r>
        <w:t>more inclusion of lived experience and the peer support workforce</w:t>
      </w:r>
      <w:r w:rsidR="00E420AA">
        <w:t>.</w:t>
      </w:r>
    </w:p>
    <w:p w14:paraId="530E9CB1" w14:textId="2AA16D3C" w:rsidR="004F377B" w:rsidRPr="008D49F5" w:rsidRDefault="004F377B" w:rsidP="004F377B">
      <w:pPr>
        <w:pStyle w:val="BodyText"/>
      </w:pPr>
      <w:r>
        <w:t xml:space="preserve">One individual and one </w:t>
      </w:r>
      <w:r w:rsidR="00070B1D">
        <w:t>l</w:t>
      </w:r>
      <w:r>
        <w:t xml:space="preserve">ocal </w:t>
      </w:r>
      <w:r w:rsidR="00070B1D">
        <w:t>g</w:t>
      </w:r>
      <w:r>
        <w:t xml:space="preserve">overnment submitter commented that the </w:t>
      </w:r>
      <w:r w:rsidR="00B60D31">
        <w:t xml:space="preserve">proposed </w:t>
      </w:r>
      <w:r w:rsidR="00641DEC">
        <w:t>s</w:t>
      </w:r>
      <w:r w:rsidR="00792172">
        <w:t>trategy</w:t>
      </w:r>
      <w:r w:rsidR="00985076">
        <w:t xml:space="preserve"> was </w:t>
      </w:r>
      <w:r>
        <w:t>not innovative or ambitious and needs to be looked at in a fresh way to minimise gambling harm.</w:t>
      </w:r>
      <w:r>
        <w:rPr>
          <w:rStyle w:val="FootnoteReference"/>
        </w:rPr>
        <w:footnoteReference w:id="82"/>
      </w:r>
      <w:r>
        <w:t xml:space="preserve"> </w:t>
      </w:r>
      <w:r w:rsidR="00EE0B00">
        <w:t xml:space="preserve">Other </w:t>
      </w:r>
      <w:r w:rsidR="00F31A15">
        <w:t>suggestions</w:t>
      </w:r>
      <w:r w:rsidR="00EE0B00">
        <w:t xml:space="preserve"> </w:t>
      </w:r>
      <w:r w:rsidR="000A2071">
        <w:t xml:space="preserve">were that </w:t>
      </w:r>
      <w:r w:rsidR="00006B88">
        <w:t xml:space="preserve">the </w:t>
      </w:r>
      <w:r w:rsidR="00425D67">
        <w:t xml:space="preserve">draft </w:t>
      </w:r>
      <w:r>
        <w:t xml:space="preserve">strategy </w:t>
      </w:r>
      <w:r w:rsidR="00F0083C">
        <w:t xml:space="preserve">should be </w:t>
      </w:r>
      <w:r>
        <w:t>flexible, nimble, and adaptive</w:t>
      </w:r>
      <w:r w:rsidR="00F0083C">
        <w:t xml:space="preserve">: </w:t>
      </w:r>
      <w:r>
        <w:t>a bolder approach</w:t>
      </w:r>
      <w:r w:rsidR="00985076">
        <w:t xml:space="preserve"> was </w:t>
      </w:r>
      <w:r w:rsidR="003A6D32">
        <w:t xml:space="preserve">needed from </w:t>
      </w:r>
      <w:r>
        <w:t>the Ministry,</w:t>
      </w:r>
      <w:r w:rsidR="003A6D32">
        <w:t xml:space="preserve"> as well as</w:t>
      </w:r>
      <w:r>
        <w:t xml:space="preserve"> a willingness to implement meaningful change, and an overhaul of the services provided to see a reduction in the problem gambling prevalence rate, a reduction in the relapse rate, and inequities addressed</w:t>
      </w:r>
      <w:r w:rsidR="00120EA7">
        <w:t xml:space="preserve"> </w:t>
      </w:r>
      <w:r w:rsidR="0065519E">
        <w:t>(one NCGM s</w:t>
      </w:r>
      <w:r w:rsidR="006547B9">
        <w:t>ubmitter).</w:t>
      </w:r>
      <w:r>
        <w:rPr>
          <w:rStyle w:val="FootnoteReference"/>
        </w:rPr>
        <w:footnoteReference w:id="83"/>
      </w:r>
      <w:r w:rsidR="00860E5B">
        <w:t xml:space="preserve"> </w:t>
      </w:r>
      <w:r>
        <w:t>One service provider commented that preventing and minimising gambling harm would take at least:</w:t>
      </w:r>
      <w:r>
        <w:rPr>
          <w:rStyle w:val="FootnoteReference"/>
        </w:rPr>
        <w:footnoteReference w:id="84"/>
      </w:r>
    </w:p>
    <w:p w14:paraId="729E2696" w14:textId="48380A1A" w:rsidR="004F377B" w:rsidRPr="008D49F5" w:rsidRDefault="004F377B" w:rsidP="004F377B">
      <w:pPr>
        <w:pStyle w:val="List-BulletLvl1"/>
      </w:pPr>
      <w:r>
        <w:t>cross-</w:t>
      </w:r>
      <w:r w:rsidR="003F4468">
        <w:t xml:space="preserve">agency </w:t>
      </w:r>
      <w:r>
        <w:t xml:space="preserve">support (not just the Ministry and </w:t>
      </w:r>
      <w:r w:rsidR="000A1156">
        <w:t>the Department of Internal Affairs [</w:t>
      </w:r>
      <w:r>
        <w:t>DIA</w:t>
      </w:r>
      <w:r w:rsidR="000A1156">
        <w:t>]</w:t>
      </w:r>
      <w:r>
        <w:t>)</w:t>
      </w:r>
    </w:p>
    <w:p w14:paraId="383B4519" w14:textId="77777777" w:rsidR="004F377B" w:rsidRDefault="004F377B" w:rsidP="004F377B">
      <w:pPr>
        <w:pStyle w:val="List-BulletLvl1"/>
      </w:pPr>
      <w:r>
        <w:t>expertise of specialist gambling-related harm services</w:t>
      </w:r>
    </w:p>
    <w:p w14:paraId="54D6AC9E" w14:textId="77777777" w:rsidR="004F377B" w:rsidRPr="008D49F5" w:rsidRDefault="004F377B" w:rsidP="004F377B">
      <w:pPr>
        <w:pStyle w:val="List-BulletLvl1"/>
      </w:pPr>
      <w:r>
        <w:t>support from the entire mental health, addictions and social services sectors</w:t>
      </w:r>
    </w:p>
    <w:p w14:paraId="4AA90FC0" w14:textId="09C77869" w:rsidR="004F377B" w:rsidRDefault="004F377B" w:rsidP="004F377B">
      <w:pPr>
        <w:pStyle w:val="List-BulletLvl1"/>
      </w:pPr>
      <w:r>
        <w:t>improved data collection and research to support decision-making and inform policy, legislation and regulation</w:t>
      </w:r>
    </w:p>
    <w:p w14:paraId="52CE173C" w14:textId="6D294FAC" w:rsidR="004F377B" w:rsidRDefault="004F377B" w:rsidP="004F377B">
      <w:pPr>
        <w:pStyle w:val="List-BulletLvl1"/>
      </w:pPr>
      <w:r>
        <w:t>legislation/regulation</w:t>
      </w:r>
      <w:r w:rsidR="00854E44">
        <w:t>,</w:t>
      </w:r>
      <w:r>
        <w:t xml:space="preserve"> and </w:t>
      </w:r>
      <w:r w:rsidR="00854E44">
        <w:t xml:space="preserve">a review and update of </w:t>
      </w:r>
      <w:r>
        <w:t xml:space="preserve">policy. </w:t>
      </w:r>
    </w:p>
    <w:p w14:paraId="3AFA3A24" w14:textId="77777777" w:rsidR="004F377B" w:rsidRPr="002F33E8" w:rsidRDefault="004F377B" w:rsidP="004F377B">
      <w:pPr>
        <w:pStyle w:val="CV-Heading2"/>
        <w:rPr>
          <w:i/>
          <w:iCs/>
        </w:rPr>
      </w:pPr>
      <w:r w:rsidRPr="002F33E8">
        <w:rPr>
          <w:i/>
          <w:iCs/>
        </w:rPr>
        <w:t xml:space="preserve">Submitters wanted to see </w:t>
      </w:r>
      <w:r>
        <w:rPr>
          <w:i/>
          <w:iCs/>
        </w:rPr>
        <w:t>better integration and a</w:t>
      </w:r>
      <w:r w:rsidRPr="002F33E8">
        <w:rPr>
          <w:i/>
          <w:iCs/>
        </w:rPr>
        <w:t xml:space="preserve"> more collective approach to </w:t>
      </w:r>
      <w:r>
        <w:rPr>
          <w:i/>
          <w:iCs/>
        </w:rPr>
        <w:t xml:space="preserve">preventing and </w:t>
      </w:r>
      <w:r w:rsidRPr="002F33E8">
        <w:rPr>
          <w:i/>
          <w:iCs/>
        </w:rPr>
        <w:t>reducing gambling harm</w:t>
      </w:r>
    </w:p>
    <w:p w14:paraId="2C9556EA" w14:textId="3B9CF99C" w:rsidR="004F377B" w:rsidRDefault="004F377B" w:rsidP="004F377B">
      <w:pPr>
        <w:pStyle w:val="BodyText"/>
      </w:pPr>
      <w:r>
        <w:t>Service providers, health and social services</w:t>
      </w:r>
      <w:r w:rsidR="000070BC">
        <w:t xml:space="preserve"> submitters</w:t>
      </w:r>
      <w:r>
        <w:t xml:space="preserve"> and </w:t>
      </w:r>
      <w:r w:rsidR="00030255">
        <w:t>l</w:t>
      </w:r>
      <w:r>
        <w:t xml:space="preserve">ocal </w:t>
      </w:r>
      <w:r w:rsidR="00030255">
        <w:t>g</w:t>
      </w:r>
      <w:r>
        <w:t xml:space="preserve">overnment </w:t>
      </w:r>
      <w:r w:rsidR="000070BC">
        <w:t xml:space="preserve">submitters </w:t>
      </w:r>
      <w:r>
        <w:t>wanted to see better collaboration across government</w:t>
      </w:r>
      <w:r w:rsidR="00F9122F">
        <w:t xml:space="preserve"> agencies</w:t>
      </w:r>
      <w:r>
        <w:t>:</w:t>
      </w:r>
    </w:p>
    <w:p w14:paraId="78340EB2" w14:textId="576957D4" w:rsidR="004F377B" w:rsidRDefault="006E3B95" w:rsidP="004F377B">
      <w:pPr>
        <w:pStyle w:val="List-BulletLvl1"/>
      </w:pPr>
      <w:r>
        <w:t>o</w:t>
      </w:r>
      <w:r w:rsidR="004F377B">
        <w:t xml:space="preserve">ne service provider and </w:t>
      </w:r>
      <w:r w:rsidR="005F0905">
        <w:t>l</w:t>
      </w:r>
      <w:r w:rsidR="004F377B">
        <w:t xml:space="preserve">ocal </w:t>
      </w:r>
      <w:r w:rsidR="005F0905">
        <w:t>g</w:t>
      </w:r>
      <w:r w:rsidR="004F377B">
        <w:t xml:space="preserve">overnment </w:t>
      </w:r>
      <w:r w:rsidR="005F0905">
        <w:t xml:space="preserve">submitter </w:t>
      </w:r>
      <w:r w:rsidR="004F377B">
        <w:t xml:space="preserve">commented that although DIA holds the role of regulating the </w:t>
      </w:r>
      <w:r w:rsidR="0080462F">
        <w:t xml:space="preserve">gambling </w:t>
      </w:r>
      <w:r w:rsidR="004F377B">
        <w:t>industry under the Act, measures for preventing minimising harm must also be included in the</w:t>
      </w:r>
      <w:r w:rsidR="0080462F">
        <w:t xml:space="preserve"> draft </w:t>
      </w:r>
      <w:r w:rsidR="00F9122F">
        <w:t>s</w:t>
      </w:r>
      <w:r w:rsidR="004F377B">
        <w:t>trategy, and the Ministry should take more proactive steps to prevent gambling harm</w:t>
      </w:r>
      <w:r w:rsidR="004F377B">
        <w:rPr>
          <w:rStyle w:val="FootnoteReference"/>
        </w:rPr>
        <w:footnoteReference w:id="85"/>
      </w:r>
    </w:p>
    <w:p w14:paraId="0024ABA5" w14:textId="06FC1C74" w:rsidR="004F377B" w:rsidRPr="003A5AD5" w:rsidRDefault="006E3B95" w:rsidP="004F377B">
      <w:pPr>
        <w:pStyle w:val="List-BulletLvl1"/>
      </w:pPr>
      <w:r>
        <w:t>o</w:t>
      </w:r>
      <w:r w:rsidR="004F377B">
        <w:t>ne service provider and one health and social service</w:t>
      </w:r>
      <w:r w:rsidR="000070BC">
        <w:t>s</w:t>
      </w:r>
      <w:r w:rsidR="004F377B">
        <w:t xml:space="preserve"> submitter commented that addressing</w:t>
      </w:r>
      <w:r w:rsidR="004F377B" w:rsidRPr="00D24289">
        <w:t xml:space="preserve"> inequities and enhancing health and wellbeing requires a whole of </w:t>
      </w:r>
      <w:r w:rsidR="00B76A1D">
        <w:t>g</w:t>
      </w:r>
      <w:r w:rsidR="004F377B" w:rsidRPr="00D24289">
        <w:t>overnment approach, including systemic and structural analysis; support and collaboration across the mental health, addiction, and social services areas; and specialist PMGH</w:t>
      </w:r>
      <w:r w:rsidR="001C5DEB">
        <w:t xml:space="preserve"> </w:t>
      </w:r>
      <w:r w:rsidR="004F377B" w:rsidRPr="00D24289">
        <w:t>service knowledge, input, and support</w:t>
      </w:r>
      <w:r w:rsidR="004F377B">
        <w:rPr>
          <w:rStyle w:val="FootnoteReference"/>
        </w:rPr>
        <w:footnoteReference w:id="86"/>
      </w:r>
    </w:p>
    <w:p w14:paraId="19D9787D" w14:textId="0BCA5977" w:rsidR="004F377B" w:rsidRDefault="006E3B95" w:rsidP="004F377B">
      <w:pPr>
        <w:pStyle w:val="List-BulletLvl1"/>
      </w:pPr>
      <w:r>
        <w:lastRenderedPageBreak/>
        <w:t>o</w:t>
      </w:r>
      <w:r w:rsidR="004F377B">
        <w:t>ne health and social services submitter encouraged the</w:t>
      </w:r>
      <w:r w:rsidR="00907480">
        <w:t xml:space="preserve"> Ministry to consider</w:t>
      </w:r>
      <w:r w:rsidR="004F377B">
        <w:t xml:space="preserve"> inclusion of the </w:t>
      </w:r>
      <w:r w:rsidR="004F377B" w:rsidRPr="00CF3011">
        <w:rPr>
          <w:i/>
          <w:iCs/>
        </w:rPr>
        <w:t>Kia Manawanui Strategy</w:t>
      </w:r>
      <w:r w:rsidR="004F377B">
        <w:t xml:space="preserve"> in the </w:t>
      </w:r>
      <w:r w:rsidR="00907480">
        <w:t xml:space="preserve">draft </w:t>
      </w:r>
      <w:r w:rsidR="004F377B">
        <w:t>strategy, as it embraces a cross-</w:t>
      </w:r>
      <w:r w:rsidR="005647B0">
        <w:t xml:space="preserve">agency </w:t>
      </w:r>
      <w:r w:rsidR="004F377B">
        <w:t>approach.</w:t>
      </w:r>
      <w:r w:rsidR="004F377B">
        <w:rPr>
          <w:rStyle w:val="FootnoteReference"/>
        </w:rPr>
        <w:footnoteReference w:id="87"/>
      </w:r>
    </w:p>
    <w:p w14:paraId="46F018F2" w14:textId="2433E891" w:rsidR="004F377B" w:rsidRPr="003A5AD5" w:rsidRDefault="00D44F1F" w:rsidP="004F377B">
      <w:pPr>
        <w:pStyle w:val="BodyText"/>
      </w:pPr>
      <w:r>
        <w:t xml:space="preserve">Integration and collaboration </w:t>
      </w:r>
      <w:r w:rsidR="007B7679">
        <w:t>w</w:t>
      </w:r>
      <w:r w:rsidR="000070BC">
        <w:t>ere also seen as</w:t>
      </w:r>
      <w:r>
        <w:t xml:space="preserve"> important for services. </w:t>
      </w:r>
      <w:r w:rsidR="004F377B">
        <w:t xml:space="preserve">One service provider and one health and social services </w:t>
      </w:r>
      <w:r w:rsidR="000070BC">
        <w:t xml:space="preserve">submitter </w:t>
      </w:r>
      <w:r w:rsidR="004F377B">
        <w:t>wanted to see greater integration of public health and clinical roles as a</w:t>
      </w:r>
      <w:r w:rsidR="007E611A">
        <w:t xml:space="preserve"> way to </w:t>
      </w:r>
      <w:r w:rsidR="004F377B">
        <w:t>innovate service delivery model</w:t>
      </w:r>
      <w:r w:rsidR="007E611A">
        <w:t>s</w:t>
      </w:r>
      <w:r w:rsidR="004F377B">
        <w:t>.</w:t>
      </w:r>
      <w:r w:rsidR="004F377B">
        <w:rPr>
          <w:rStyle w:val="FootnoteReference"/>
        </w:rPr>
        <w:footnoteReference w:id="88"/>
      </w:r>
      <w:r w:rsidR="004F377B" w:rsidRPr="000B4D4B">
        <w:t xml:space="preserve"> </w:t>
      </w:r>
      <w:r w:rsidR="004F377B">
        <w:t xml:space="preserve">Another service provider considered that collaboration across providers is valuable, but services are thinly spread across the </w:t>
      </w:r>
      <w:r w:rsidR="00E420AA">
        <w:t>country,</w:t>
      </w:r>
      <w:r w:rsidR="004F377B">
        <w:t xml:space="preserve"> and it</w:t>
      </w:r>
      <w:r w:rsidR="00985076">
        <w:t xml:space="preserve"> was </w:t>
      </w:r>
      <w:r w:rsidR="004F377B">
        <w:t>difficult for services to effectively prevent and minimise harm</w:t>
      </w:r>
      <w:r w:rsidR="00585AA9">
        <w:t xml:space="preserve"> or to have the resources to collaborate effectively</w:t>
      </w:r>
      <w:r w:rsidR="004F377B">
        <w:t>.</w:t>
      </w:r>
      <w:r w:rsidR="004F377B">
        <w:rPr>
          <w:rStyle w:val="FootnoteReference"/>
        </w:rPr>
        <w:footnoteReference w:id="89"/>
      </w:r>
      <w:r w:rsidR="004F377B">
        <w:t xml:space="preserve"> </w:t>
      </w:r>
    </w:p>
    <w:p w14:paraId="03F9D357" w14:textId="77777777" w:rsidR="004F377B" w:rsidRPr="003A5AD5" w:rsidRDefault="004F377B" w:rsidP="004F377B">
      <w:pPr>
        <w:pStyle w:val="BodyText"/>
      </w:pPr>
      <w:r>
        <w:t>Two NCGM submitters wanted to see greater collaboration between venue operators and treatment providers, to facilitate referrals for treatment and a feedback loop to assist with ongoing monitoring and support.</w:t>
      </w:r>
      <w:r>
        <w:rPr>
          <w:rStyle w:val="FootnoteReference"/>
        </w:rPr>
        <w:footnoteReference w:id="90"/>
      </w:r>
      <w:r>
        <w:t xml:space="preserve"> One service provider also advocated for a</w:t>
      </w:r>
      <w:r w:rsidRPr="00184DB5">
        <w:t xml:space="preserve"> collaborative approach</w:t>
      </w:r>
      <w:r>
        <w:t xml:space="preserve"> </w:t>
      </w:r>
      <w:r w:rsidRPr="00184DB5">
        <w:t>that upholds the leadership, mana, and tino rangatiratanga of each priority population</w:t>
      </w:r>
      <w:r>
        <w:t>, and stressed</w:t>
      </w:r>
      <w:r w:rsidRPr="00184DB5">
        <w:t xml:space="preserve"> that this should be done with the provision of transparent and timely host responsibility information from gambling providers and in collaboration with gambling treatment and public health services</w:t>
      </w:r>
      <w:r>
        <w:t>.</w:t>
      </w:r>
      <w:r w:rsidRPr="004A4D8F">
        <w:rPr>
          <w:rStyle w:val="FootnoteReference"/>
        </w:rPr>
        <w:t xml:space="preserve"> </w:t>
      </w:r>
      <w:r>
        <w:rPr>
          <w:rStyle w:val="FootnoteReference"/>
        </w:rPr>
        <w:footnoteReference w:id="91"/>
      </w:r>
    </w:p>
    <w:p w14:paraId="222D6AFA" w14:textId="77777777" w:rsidR="004F377B" w:rsidRPr="00531531" w:rsidRDefault="004F377B" w:rsidP="004F377B">
      <w:pPr>
        <w:pStyle w:val="CV-Heading2"/>
        <w:rPr>
          <w:i/>
          <w:iCs/>
        </w:rPr>
      </w:pPr>
      <w:r>
        <w:rPr>
          <w:i/>
          <w:iCs/>
        </w:rPr>
        <w:t>Submitters wanted better s</w:t>
      </w:r>
      <w:r w:rsidRPr="00531531">
        <w:rPr>
          <w:i/>
          <w:iCs/>
        </w:rPr>
        <w:t>upport for</w:t>
      </w:r>
      <w:r>
        <w:rPr>
          <w:i/>
          <w:iCs/>
        </w:rPr>
        <w:t xml:space="preserve"> people trying to access </w:t>
      </w:r>
      <w:r w:rsidRPr="00531531">
        <w:rPr>
          <w:i/>
          <w:iCs/>
        </w:rPr>
        <w:t>services</w:t>
      </w:r>
    </w:p>
    <w:p w14:paraId="436DBF67" w14:textId="285C2A43" w:rsidR="004F377B" w:rsidRPr="00733A0F" w:rsidRDefault="004F377B" w:rsidP="004F377B">
      <w:pPr>
        <w:pStyle w:val="BodyText"/>
      </w:pPr>
      <w:r>
        <w:t xml:space="preserve">One health and social services submitter commented that the </w:t>
      </w:r>
      <w:r w:rsidR="00586C67">
        <w:t xml:space="preserve">draft </w:t>
      </w:r>
      <w:r w:rsidR="00581967">
        <w:t>s</w:t>
      </w:r>
      <w:r>
        <w:t>trategy should include support for people experiencing gambling harm to access services, including provision for people to travel if needed.</w:t>
      </w:r>
      <w:r>
        <w:rPr>
          <w:rStyle w:val="FootnoteReference"/>
        </w:rPr>
        <w:footnoteReference w:id="92"/>
      </w:r>
      <w:r>
        <w:t xml:space="preserve"> Another health and social service submitter commented on access and use of online tools</w:t>
      </w:r>
      <w:r w:rsidR="00D7335E">
        <w:t xml:space="preserve"> to improve access</w:t>
      </w:r>
      <w:r>
        <w:t>, particularly for elderly people and people with disabilities.</w:t>
      </w:r>
      <w:r>
        <w:rPr>
          <w:rStyle w:val="FootnoteReference"/>
        </w:rPr>
        <w:footnoteReference w:id="93"/>
      </w:r>
      <w:r>
        <w:t xml:space="preserve"> </w:t>
      </w:r>
    </w:p>
    <w:p w14:paraId="1ED169AA" w14:textId="77777777" w:rsidR="004F377B" w:rsidRPr="00F066C6" w:rsidRDefault="004F377B" w:rsidP="004F377B">
      <w:pPr>
        <w:pStyle w:val="CV-Heading2"/>
        <w:rPr>
          <w:i/>
          <w:iCs/>
        </w:rPr>
      </w:pPr>
      <w:r>
        <w:rPr>
          <w:i/>
          <w:iCs/>
        </w:rPr>
        <w:t>S</w:t>
      </w:r>
      <w:r w:rsidRPr="00F066C6">
        <w:rPr>
          <w:i/>
          <w:iCs/>
        </w:rPr>
        <w:t xml:space="preserve">ubmitters wanted to see </w:t>
      </w:r>
      <w:r>
        <w:rPr>
          <w:i/>
          <w:iCs/>
        </w:rPr>
        <w:t>more inclusion of lived experience and workforce</w:t>
      </w:r>
    </w:p>
    <w:p w14:paraId="62CF577A" w14:textId="2E7E4F14" w:rsidR="004F377B" w:rsidRDefault="004F377B" w:rsidP="004F377B">
      <w:pPr>
        <w:pStyle w:val="BodyText"/>
      </w:pPr>
      <w:r>
        <w:t xml:space="preserve">Health and social services </w:t>
      </w:r>
      <w:r w:rsidR="000070BC">
        <w:t xml:space="preserve">submitters </w:t>
      </w:r>
      <w:r>
        <w:t xml:space="preserve">and service providers submitters wanted to see more emphasis on lived experience throughout the </w:t>
      </w:r>
      <w:r w:rsidR="003B65ED">
        <w:t xml:space="preserve">draft </w:t>
      </w:r>
      <w:r w:rsidR="00257BA5">
        <w:t>s</w:t>
      </w:r>
      <w:r>
        <w:t>trategy</w:t>
      </w:r>
      <w:r w:rsidR="003B65ED">
        <w:t>. Ideas to deliver on this included:</w:t>
      </w:r>
    </w:p>
    <w:p w14:paraId="475BD06A" w14:textId="61771772" w:rsidR="004F377B" w:rsidRDefault="00257BA5" w:rsidP="004F377B">
      <w:pPr>
        <w:pStyle w:val="List-BulletLvl1"/>
      </w:pPr>
      <w:r>
        <w:t>a</w:t>
      </w:r>
      <w:r w:rsidR="004F377B">
        <w:t>mend the principle ‘people and whānau at the centre’ to include those with lived experience - the inclusion of people who have lived experience of gambling harm should be at the centre of service design and delivery (</w:t>
      </w:r>
      <w:r w:rsidR="000070BC">
        <w:t xml:space="preserve">one </w:t>
      </w:r>
      <w:r w:rsidR="004F377B">
        <w:t>health and social services</w:t>
      </w:r>
      <w:r w:rsidR="000070BC">
        <w:t xml:space="preserve"> submitter</w:t>
      </w:r>
      <w:r w:rsidR="004F377B">
        <w:t>)</w:t>
      </w:r>
      <w:r w:rsidR="004F377B">
        <w:rPr>
          <w:rStyle w:val="FootnoteReference"/>
        </w:rPr>
        <w:footnoteReference w:id="94"/>
      </w:r>
      <w:r w:rsidR="004F377B">
        <w:t xml:space="preserve"> </w:t>
      </w:r>
    </w:p>
    <w:p w14:paraId="28575E55" w14:textId="47C003F4" w:rsidR="004F377B" w:rsidRDefault="004E5A11" w:rsidP="004F377B">
      <w:pPr>
        <w:pStyle w:val="List-BulletLvl1"/>
      </w:pPr>
      <w:r>
        <w:t>l</w:t>
      </w:r>
      <w:r w:rsidR="004F377B">
        <w:t xml:space="preserve">isten carefully to the voices of people who have experienced gambling-related harm and incorporate their views into work that flows from the </w:t>
      </w:r>
      <w:r w:rsidR="00F1639D">
        <w:t xml:space="preserve">draft </w:t>
      </w:r>
      <w:r>
        <w:t>s</w:t>
      </w:r>
      <w:r w:rsidR="004F377B">
        <w:t>trategy (</w:t>
      </w:r>
      <w:r w:rsidR="000070BC">
        <w:t xml:space="preserve">one </w:t>
      </w:r>
      <w:r w:rsidR="004F377B">
        <w:t>health and social services</w:t>
      </w:r>
      <w:r w:rsidR="000070BC">
        <w:t xml:space="preserve"> submitter</w:t>
      </w:r>
      <w:r w:rsidR="004F377B">
        <w:t>)</w:t>
      </w:r>
      <w:r w:rsidR="004F377B">
        <w:rPr>
          <w:rStyle w:val="FootnoteReference"/>
        </w:rPr>
        <w:footnoteReference w:id="95"/>
      </w:r>
    </w:p>
    <w:p w14:paraId="3ACAA4F7" w14:textId="2212A25A" w:rsidR="004F377B" w:rsidRPr="00552F23" w:rsidRDefault="004E5A11" w:rsidP="004F377B">
      <w:pPr>
        <w:pStyle w:val="List-BulletLvl1"/>
      </w:pPr>
      <w:r>
        <w:t>i</w:t>
      </w:r>
      <w:r w:rsidR="00F1639D">
        <w:t xml:space="preserve">nclude </w:t>
      </w:r>
      <w:r w:rsidR="004F377B">
        <w:t>more reference</w:t>
      </w:r>
      <w:r w:rsidR="00F1639D">
        <w:t>s</w:t>
      </w:r>
      <w:r w:rsidR="004F377B">
        <w:t xml:space="preserve"> in general to the gambler and </w:t>
      </w:r>
      <w:r w:rsidR="001630DD">
        <w:t xml:space="preserve">their whānau </w:t>
      </w:r>
      <w:r w:rsidR="004F377B">
        <w:t xml:space="preserve">in the </w:t>
      </w:r>
      <w:r w:rsidR="00F1639D">
        <w:t xml:space="preserve">draft </w:t>
      </w:r>
      <w:r w:rsidR="00C46F60">
        <w:t>s</w:t>
      </w:r>
      <w:r w:rsidR="004F377B">
        <w:t xml:space="preserve">trategy, and </w:t>
      </w:r>
      <w:r w:rsidR="00F1639D">
        <w:t xml:space="preserve">state that </w:t>
      </w:r>
      <w:r w:rsidR="004F377B">
        <w:t>gambling harm</w:t>
      </w:r>
      <w:r w:rsidR="00985076">
        <w:t xml:space="preserve"> was </w:t>
      </w:r>
      <w:r w:rsidR="004F377B">
        <w:t>wide-reaching (service provider).</w:t>
      </w:r>
      <w:r w:rsidR="004F377B">
        <w:rPr>
          <w:rStyle w:val="FootnoteReference"/>
        </w:rPr>
        <w:footnoteReference w:id="96"/>
      </w:r>
    </w:p>
    <w:p w14:paraId="0B277984" w14:textId="193B671B" w:rsidR="004F377B" w:rsidRDefault="004F377B" w:rsidP="004F377B">
      <w:pPr>
        <w:pStyle w:val="BodyText"/>
      </w:pPr>
      <w:r>
        <w:lastRenderedPageBreak/>
        <w:t xml:space="preserve">One health and social services </w:t>
      </w:r>
      <w:r w:rsidR="00362C3E">
        <w:t xml:space="preserve">submitter </w:t>
      </w:r>
      <w:r>
        <w:t>commented that it should be clarified that ‘people and whānau at the centre’ includes the workforce.</w:t>
      </w:r>
      <w:r>
        <w:rPr>
          <w:rStyle w:val="FootnoteReference"/>
        </w:rPr>
        <w:footnoteReference w:id="97"/>
      </w:r>
      <w:r>
        <w:t xml:space="preserve"> This included:</w:t>
      </w:r>
    </w:p>
    <w:p w14:paraId="046D7202" w14:textId="77777777" w:rsidR="004F377B" w:rsidRPr="00552F23" w:rsidRDefault="004F377B" w:rsidP="004F377B">
      <w:pPr>
        <w:pStyle w:val="List-BulletLvl1"/>
      </w:pPr>
      <w:r>
        <w:t>explicit reference to the participation of the workforce in service design</w:t>
      </w:r>
    </w:p>
    <w:p w14:paraId="75BB5AEA" w14:textId="6F20D3FD" w:rsidR="004F377B" w:rsidRPr="00552F23" w:rsidRDefault="004F377B" w:rsidP="004F377B">
      <w:pPr>
        <w:pStyle w:val="List-BulletLvl1"/>
      </w:pPr>
      <w:r>
        <w:t>acknowledging and supporting the existing problem gambling workforce across DHBs and community services</w:t>
      </w:r>
    </w:p>
    <w:p w14:paraId="2F9BB8F2" w14:textId="77777777" w:rsidR="004F377B" w:rsidRPr="00552F23" w:rsidRDefault="004F377B" w:rsidP="004F377B">
      <w:pPr>
        <w:pStyle w:val="List-BulletLvl1"/>
      </w:pPr>
      <w:r>
        <w:t>enabling training and development of the workforce across DHBs, community services and other relevant agencies.</w:t>
      </w:r>
    </w:p>
    <w:p w14:paraId="0412F229" w14:textId="245F5183" w:rsidR="004F377B" w:rsidRPr="003C76AF" w:rsidRDefault="004F377B" w:rsidP="00EE5111">
      <w:pPr>
        <w:pStyle w:val="NumberedHeading3"/>
      </w:pPr>
      <w:bookmarkStart w:id="40" w:name="_Toc88637541"/>
      <w:r w:rsidRPr="003C76AF">
        <w:t xml:space="preserve">Submitters suggested rewording the </w:t>
      </w:r>
      <w:r w:rsidR="00083E2E">
        <w:t xml:space="preserve">draft </w:t>
      </w:r>
      <w:r w:rsidRPr="003C76AF">
        <w:t>strategic goal</w:t>
      </w:r>
      <w:bookmarkEnd w:id="40"/>
    </w:p>
    <w:p w14:paraId="7AF223A7" w14:textId="3A2266EE" w:rsidR="004F377B" w:rsidRDefault="004F377B" w:rsidP="004F377B">
      <w:pPr>
        <w:pStyle w:val="BodyText"/>
      </w:pPr>
      <w:r>
        <w:t>The draft strategic goal</w:t>
      </w:r>
      <w:r w:rsidR="00985076">
        <w:t xml:space="preserve"> was </w:t>
      </w:r>
      <w:r>
        <w:t>‘</w:t>
      </w:r>
      <w:r w:rsidR="00083E2E">
        <w:t>t</w:t>
      </w:r>
      <w:r>
        <w:t xml:space="preserve">o promote equity and wellbeing by preventing and reducing gambling-related harm’. </w:t>
      </w:r>
      <w:r w:rsidR="00E420AA">
        <w:t>He</w:t>
      </w:r>
      <w:r>
        <w:t>alth and social services</w:t>
      </w:r>
      <w:r w:rsidR="00E420AA">
        <w:t xml:space="preserve"> submitters</w:t>
      </w:r>
      <w:r>
        <w:t xml:space="preserve">, service providers </w:t>
      </w:r>
      <w:r w:rsidR="00E420AA">
        <w:t>and NCGM submitters</w:t>
      </w:r>
      <w:r>
        <w:t xml:space="preserve"> </w:t>
      </w:r>
      <w:r w:rsidR="0036465A">
        <w:t>suggested amendments to</w:t>
      </w:r>
      <w:r>
        <w:t xml:space="preserve"> the strategic goal</w:t>
      </w:r>
      <w:r w:rsidR="0036465A">
        <w:t>,</w:t>
      </w:r>
      <w:r>
        <w:t xml:space="preserve"> includ</w:t>
      </w:r>
      <w:r w:rsidR="0036465A">
        <w:t>ing</w:t>
      </w:r>
      <w:r>
        <w:t>:</w:t>
      </w:r>
    </w:p>
    <w:p w14:paraId="748478EF" w14:textId="0B0FF1FA" w:rsidR="00936571" w:rsidRDefault="004F377B" w:rsidP="004F377B">
      <w:pPr>
        <w:pStyle w:val="List-BulletLvl1"/>
      </w:pPr>
      <w:r>
        <w:t>being more ambitious</w:t>
      </w:r>
      <w:r w:rsidR="00DA2F16">
        <w:t xml:space="preserve"> with regard to eliminating harm</w:t>
      </w:r>
      <w:r w:rsidR="00A91BBD">
        <w:t>:</w:t>
      </w:r>
    </w:p>
    <w:p w14:paraId="364EC6A3" w14:textId="71B223B9" w:rsidR="004F377B" w:rsidRDefault="00DE6247" w:rsidP="00EB1F00">
      <w:pPr>
        <w:pStyle w:val="List-BulletLvl2"/>
      </w:pPr>
      <w:r>
        <w:t>‘</w:t>
      </w:r>
      <w:r w:rsidR="00936571">
        <w:t>t</w:t>
      </w:r>
      <w:r w:rsidR="004F377B">
        <w:t xml:space="preserve">o promote equity and wellbeing by protecting against, preventing and </w:t>
      </w:r>
      <w:r w:rsidR="004F377B">
        <w:rPr>
          <w:b/>
          <w:bCs/>
        </w:rPr>
        <w:t>eliminating gambling</w:t>
      </w:r>
      <w:r w:rsidR="005E1F12">
        <w:rPr>
          <w:b/>
          <w:bCs/>
        </w:rPr>
        <w:t>-</w:t>
      </w:r>
      <w:r w:rsidR="004F377B">
        <w:rPr>
          <w:b/>
          <w:bCs/>
        </w:rPr>
        <w:t>related harm</w:t>
      </w:r>
      <w:r>
        <w:t>’</w:t>
      </w:r>
      <w:r w:rsidR="004F377B">
        <w:t xml:space="preserve"> (submitter’s emphasis) (one health and social services submitter)</w:t>
      </w:r>
      <w:r w:rsidR="004F377B">
        <w:rPr>
          <w:rStyle w:val="FootnoteReference"/>
        </w:rPr>
        <w:footnoteReference w:id="98"/>
      </w:r>
      <w:r w:rsidR="004F377B">
        <w:t xml:space="preserve"> </w:t>
      </w:r>
    </w:p>
    <w:p w14:paraId="0727368E" w14:textId="6A9397FF" w:rsidR="004F377B" w:rsidRDefault="00DE6247" w:rsidP="00936571">
      <w:pPr>
        <w:pStyle w:val="List-BulletLvl2"/>
      </w:pPr>
      <w:r>
        <w:t>‘</w:t>
      </w:r>
      <w:r w:rsidR="00936571">
        <w:t>t</w:t>
      </w:r>
      <w:r w:rsidR="004F377B">
        <w:t>o promote the prevention and reduction of gambling-related harm in a way that promotes equity and wellbeing</w:t>
      </w:r>
      <w:r>
        <w:t>’</w:t>
      </w:r>
      <w:r w:rsidR="004F377B">
        <w:t xml:space="preserve"> (one health and social services submitter)</w:t>
      </w:r>
      <w:r w:rsidR="004F377B">
        <w:rPr>
          <w:rStyle w:val="FootnoteReference"/>
        </w:rPr>
        <w:footnoteReference w:id="99"/>
      </w:r>
    </w:p>
    <w:p w14:paraId="4C12C3A8" w14:textId="6B24AF35" w:rsidR="0055135B" w:rsidRDefault="0055135B" w:rsidP="0055135B">
      <w:pPr>
        <w:pStyle w:val="List-BulletLvl1"/>
      </w:pPr>
      <w:r>
        <w:t xml:space="preserve">using stronger language which prioritises and ensures that equity is a strategic reality rather than an aspiration – the </w:t>
      </w:r>
      <w:r w:rsidRPr="00E9286D">
        <w:t xml:space="preserve">strategic goal needs to look to </w:t>
      </w:r>
      <w:r>
        <w:t>‘</w:t>
      </w:r>
      <w:r w:rsidRPr="00E9286D">
        <w:t>give effect to equity</w:t>
      </w:r>
      <w:r>
        <w:t>’</w:t>
      </w:r>
      <w:r w:rsidRPr="00E9286D">
        <w:t xml:space="preserve"> or </w:t>
      </w:r>
      <w:r>
        <w:t>‘</w:t>
      </w:r>
      <w:r w:rsidRPr="00E9286D">
        <w:t>to action equity</w:t>
      </w:r>
      <w:r>
        <w:t>’</w:t>
      </w:r>
      <w:r w:rsidRPr="00E9286D">
        <w:t xml:space="preserve"> and then to promote wellbeing as an incidental outcome of equity-based strategy</w:t>
      </w:r>
      <w:r w:rsidR="00807955">
        <w:t xml:space="preserve"> (one service provider)</w:t>
      </w:r>
      <w:r>
        <w:rPr>
          <w:rStyle w:val="FootnoteReference"/>
        </w:rPr>
        <w:footnoteReference w:id="100"/>
      </w:r>
      <w:r w:rsidRPr="00E9286D">
        <w:t xml:space="preserve">  </w:t>
      </w:r>
    </w:p>
    <w:p w14:paraId="0664A92D" w14:textId="4F4C6379" w:rsidR="004F377B" w:rsidRDefault="004F377B" w:rsidP="004F377B">
      <w:pPr>
        <w:pStyle w:val="List-BulletLvl1"/>
      </w:pPr>
      <w:r>
        <w:t>capturing the priority goal which should be</w:t>
      </w:r>
      <w:r w:rsidR="004854B1">
        <w:t xml:space="preserve"> to</w:t>
      </w:r>
      <w:r>
        <w:t xml:space="preserve"> </w:t>
      </w:r>
      <w:r w:rsidR="00AE40CB">
        <w:t>improve equity and</w:t>
      </w:r>
      <w:r>
        <w:t xml:space="preserve"> to prevent gambling-related harm in the high deprivation communities of Aotearoa (one service provider</w:t>
      </w:r>
      <w:r w:rsidR="004854B1">
        <w:t xml:space="preserve"> and one health and social services submitter</w:t>
      </w:r>
      <w:r>
        <w:t>)</w:t>
      </w:r>
      <w:r>
        <w:rPr>
          <w:rStyle w:val="FootnoteReference"/>
        </w:rPr>
        <w:footnoteReference w:id="101"/>
      </w:r>
    </w:p>
    <w:p w14:paraId="3B001482" w14:textId="28CA2023" w:rsidR="004F377B" w:rsidRPr="00647511" w:rsidRDefault="004F377B" w:rsidP="004F377B">
      <w:pPr>
        <w:pStyle w:val="List-BulletLvl1"/>
      </w:pPr>
      <w:r>
        <w:t xml:space="preserve">having more critical inclusivity </w:t>
      </w:r>
      <w:r w:rsidR="00D67B8E">
        <w:t xml:space="preserve">of the industry </w:t>
      </w:r>
      <w:r>
        <w:t>in  focus - while the stated goal may well set a direction for the minimisation of harm related to gambling it</w:t>
      </w:r>
      <w:r w:rsidR="00985076">
        <w:t xml:space="preserve"> was </w:t>
      </w:r>
      <w:r>
        <w:t xml:space="preserve">incorrect in its assertion that it is </w:t>
      </w:r>
      <w:r w:rsidR="002E0ADB">
        <w:t>‘</w:t>
      </w:r>
      <w:r>
        <w:t>system wide</w:t>
      </w:r>
      <w:r w:rsidR="002E0ADB">
        <w:t>’</w:t>
      </w:r>
      <w:r>
        <w:t xml:space="preserve">, and the </w:t>
      </w:r>
      <w:r w:rsidR="006201D4">
        <w:t>draft</w:t>
      </w:r>
      <w:r>
        <w:t xml:space="preserve"> strategy </w:t>
      </w:r>
      <w:r w:rsidR="001F229A">
        <w:t xml:space="preserve">fails </w:t>
      </w:r>
      <w:r>
        <w:t xml:space="preserve">to include the very organisations who own (the </w:t>
      </w:r>
      <w:r w:rsidR="009F6FFD">
        <w:t>s</w:t>
      </w:r>
      <w:r>
        <w:t xml:space="preserve">ocieties) and operate (the </w:t>
      </w:r>
      <w:r w:rsidR="009F6FFD">
        <w:t>v</w:t>
      </w:r>
      <w:r>
        <w:t>enues) the gaming machines (one NCGM</w:t>
      </w:r>
      <w:r w:rsidR="00923C3C">
        <w:t xml:space="preserve"> submitter</w:t>
      </w:r>
      <w:r>
        <w:t>).</w:t>
      </w:r>
      <w:r>
        <w:rPr>
          <w:rStyle w:val="FootnoteReference"/>
        </w:rPr>
        <w:footnoteReference w:id="102"/>
      </w:r>
      <w:r>
        <w:t xml:space="preserve">  </w:t>
      </w:r>
    </w:p>
    <w:p w14:paraId="3E3A1C32" w14:textId="47FCE8C6" w:rsidR="003A13C0" w:rsidRDefault="003A13C0" w:rsidP="00EB1F00">
      <w:pPr>
        <w:pStyle w:val="NumberedHeading3"/>
      </w:pPr>
      <w:bookmarkStart w:id="41" w:name="_Toc88637542"/>
      <w:r>
        <w:t xml:space="preserve">Submitters </w:t>
      </w:r>
      <w:r w:rsidR="004E1392">
        <w:t xml:space="preserve">from across sectors </w:t>
      </w:r>
      <w:r>
        <w:t xml:space="preserve">wanted </w:t>
      </w:r>
      <w:r w:rsidR="0029618F">
        <w:t>the draft</w:t>
      </w:r>
      <w:r w:rsidR="009F6B3B">
        <w:t xml:space="preserve"> </w:t>
      </w:r>
      <w:r w:rsidR="004E1392">
        <w:t xml:space="preserve">strategic goal </w:t>
      </w:r>
      <w:r w:rsidR="0029618F">
        <w:t>to include more specific targets</w:t>
      </w:r>
      <w:bookmarkEnd w:id="41"/>
    </w:p>
    <w:p w14:paraId="7CB9E3E9" w14:textId="77AD1605" w:rsidR="003A13C0" w:rsidRDefault="003A13C0" w:rsidP="003A13C0">
      <w:pPr>
        <w:pStyle w:val="BodyText"/>
      </w:pPr>
      <w:r>
        <w:t xml:space="preserve">Submitters from across all sectors expressed support for the strategic goal but wanted </w:t>
      </w:r>
      <w:r w:rsidR="0029618F">
        <w:t>it to include more specific targets and tangible steps</w:t>
      </w:r>
      <w:r>
        <w:t xml:space="preserve">. </w:t>
      </w:r>
      <w:r w:rsidR="004D04BE">
        <w:t>Suggestions for a</w:t>
      </w:r>
      <w:r>
        <w:t>dditional information to be provided include</w:t>
      </w:r>
      <w:r w:rsidR="004D04BE">
        <w:t>d</w:t>
      </w:r>
      <w:r>
        <w:t>:</w:t>
      </w:r>
    </w:p>
    <w:p w14:paraId="211D8519" w14:textId="0A4DDCAF" w:rsidR="003A13C0" w:rsidRDefault="003A13C0" w:rsidP="003A13C0">
      <w:pPr>
        <w:pStyle w:val="List-BulletLvl1"/>
      </w:pPr>
      <w:r>
        <w:lastRenderedPageBreak/>
        <w:t>proactive, measurable steps to minimise the occurrence of problem gambling</w:t>
      </w:r>
      <w:r w:rsidR="00DB689B">
        <w:t xml:space="preserve"> (one local government submitter)</w:t>
      </w:r>
      <w:r>
        <w:rPr>
          <w:rStyle w:val="FootnoteReference"/>
        </w:rPr>
        <w:footnoteReference w:id="103"/>
      </w:r>
      <w:r>
        <w:t xml:space="preserve"> or a SMART structure</w:t>
      </w:r>
      <w:r>
        <w:rPr>
          <w:rStyle w:val="FootnoteReference"/>
        </w:rPr>
        <w:footnoteReference w:id="104"/>
      </w:r>
      <w:r>
        <w:t xml:space="preserve"> (one health and social services</w:t>
      </w:r>
      <w:r w:rsidR="00DB689B">
        <w:t xml:space="preserve"> submitter</w:t>
      </w:r>
      <w:r>
        <w:t>)</w:t>
      </w:r>
      <w:r>
        <w:rPr>
          <w:rStyle w:val="FootnoteReference"/>
        </w:rPr>
        <w:footnoteReference w:id="105"/>
      </w:r>
    </w:p>
    <w:p w14:paraId="68324471" w14:textId="06F8CA04" w:rsidR="003A13C0" w:rsidRDefault="003A13C0" w:rsidP="003A13C0">
      <w:pPr>
        <w:pStyle w:val="List-BulletLvl1"/>
      </w:pPr>
      <w:r>
        <w:t>specific reference to socioeconomic deprivation as it influences gambling harm inequities including research and effective data collection and analysis to inform evidence-based decision making (one service provider)</w:t>
      </w:r>
      <w:r>
        <w:rPr>
          <w:rStyle w:val="FootnoteReference"/>
        </w:rPr>
        <w:footnoteReference w:id="106"/>
      </w:r>
      <w:r>
        <w:t xml:space="preserve"> and where gambling-related harm is coming from (one service provider)</w:t>
      </w:r>
      <w:r w:rsidR="00410C60">
        <w:t>.</w:t>
      </w:r>
      <w:r>
        <w:rPr>
          <w:rStyle w:val="FootnoteReference"/>
        </w:rPr>
        <w:footnoteReference w:id="107"/>
      </w:r>
    </w:p>
    <w:p w14:paraId="4B34AC3C" w14:textId="28A6E7C9" w:rsidR="003A13C0" w:rsidRPr="00FE3D95" w:rsidRDefault="003A13C0" w:rsidP="00B41E6B">
      <w:pPr>
        <w:pStyle w:val="BodyText"/>
      </w:pPr>
      <w:r>
        <w:t>One service provider expressed particular concern for the implementation of the strategic plan for Asian communities, commenting that there</w:t>
      </w:r>
      <w:r w:rsidR="00985076">
        <w:t xml:space="preserve"> was </w:t>
      </w:r>
      <w:r>
        <w:t>a failure (within the draft strategic plan) to recognise the needs of Asian populations, especially increased suicide rates.</w:t>
      </w:r>
      <w:r w:rsidR="00410C60">
        <w:rPr>
          <w:rStyle w:val="FootnoteReference"/>
        </w:rPr>
        <w:footnoteReference w:id="108"/>
      </w:r>
      <w:r>
        <w:t xml:space="preserve"> </w:t>
      </w:r>
    </w:p>
    <w:p w14:paraId="75D4C3C4" w14:textId="04D1AA6F" w:rsidR="00DC5A74" w:rsidRDefault="003A13C0" w:rsidP="001E32D4">
      <w:pPr>
        <w:pStyle w:val="NumberedHeading3"/>
      </w:pPr>
      <w:bookmarkStart w:id="42" w:name="_Toc88637543"/>
      <w:r w:rsidRPr="009573BB">
        <w:t>Submitters from across sectors agreed with the equity focus, but wanted to see more detail and tailored services</w:t>
      </w:r>
      <w:bookmarkEnd w:id="42"/>
      <w:r>
        <w:t xml:space="preserve"> </w:t>
      </w:r>
    </w:p>
    <w:p w14:paraId="74F63322" w14:textId="44148305" w:rsidR="003A13C0" w:rsidRDefault="003A13C0" w:rsidP="00DC5A74">
      <w:pPr>
        <w:pStyle w:val="BodyText"/>
      </w:pPr>
      <w:r>
        <w:t xml:space="preserve">Submitters from across all sectors agreed with the increased focus on equity but wanted to see more tailored services for different groups, and more detail about how the increased focus on equity would actually be achieved. </w:t>
      </w:r>
    </w:p>
    <w:p w14:paraId="7CC2A34E" w14:textId="6817DFCB" w:rsidR="0093080C" w:rsidRPr="00EB1F00" w:rsidRDefault="0093080C" w:rsidP="0093080C">
      <w:pPr>
        <w:pStyle w:val="BodyText"/>
        <w:rPr>
          <w:i/>
          <w:iCs/>
        </w:rPr>
      </w:pPr>
      <w:r>
        <w:t xml:space="preserve">General statements about improving the equity component of the draft </w:t>
      </w:r>
      <w:r w:rsidR="008F487B">
        <w:t>s</w:t>
      </w:r>
      <w:r>
        <w:t>trategy included:</w:t>
      </w:r>
    </w:p>
    <w:p w14:paraId="2749B82E" w14:textId="2A810034" w:rsidR="007F220D" w:rsidRDefault="007F220D" w:rsidP="007F220D">
      <w:pPr>
        <w:pStyle w:val="List-BulletLvl1"/>
      </w:pPr>
      <w:r>
        <w:t xml:space="preserve">reference to the how and where equity </w:t>
      </w:r>
      <w:r w:rsidR="00A90AF3">
        <w:t>would</w:t>
      </w:r>
      <w:r>
        <w:t xml:space="preserve"> be promoted (one service provider</w:t>
      </w:r>
      <w:r w:rsidR="00A90AF3">
        <w:t xml:space="preserve"> and</w:t>
      </w:r>
      <w:r>
        <w:t xml:space="preserve"> one local government submitter)</w:t>
      </w:r>
      <w:r>
        <w:rPr>
          <w:rStyle w:val="FootnoteReference"/>
        </w:rPr>
        <w:footnoteReference w:id="109"/>
      </w:r>
    </w:p>
    <w:p w14:paraId="51FFD721" w14:textId="259C8D86" w:rsidR="0093080C" w:rsidRDefault="0093080C" w:rsidP="0093080C">
      <w:pPr>
        <w:pStyle w:val="List-BulletLvl1"/>
      </w:pPr>
      <w:r>
        <w:t>requiring tailored services, including targeted actions based on engaging with, listening to, and partnering with the most affected people (two service providers)</w:t>
      </w:r>
      <w:r>
        <w:rPr>
          <w:rStyle w:val="FootnoteReference"/>
        </w:rPr>
        <w:footnoteReference w:id="110"/>
      </w:r>
    </w:p>
    <w:p w14:paraId="5EECE720" w14:textId="7CDC736B" w:rsidR="0093080C" w:rsidRDefault="0093080C" w:rsidP="0093080C">
      <w:pPr>
        <w:pStyle w:val="List-BulletLvl1"/>
      </w:pPr>
      <w:r>
        <w:t>noting that health equity cannot be achieved without recognising the micro and macro influences that brought about the inequities in the first place (e</w:t>
      </w:r>
      <w:r w:rsidR="00646093">
        <w:t>.</w:t>
      </w:r>
      <w:r>
        <w:t>g</w:t>
      </w:r>
      <w:r w:rsidR="00646093">
        <w:t>.</w:t>
      </w:r>
      <w:r>
        <w:t>, discriminatory laws, policies and regulations enacted by the government) – it is important to explicitly recognise the legal, financial and political moves against Māori and their ways of living and knowledge to see how current settings have come to be and build a path to equity (one service provider)</w:t>
      </w:r>
      <w:r>
        <w:rPr>
          <w:rStyle w:val="FootnoteReference"/>
        </w:rPr>
        <w:footnoteReference w:id="111"/>
      </w:r>
      <w:r>
        <w:t xml:space="preserve"> </w:t>
      </w:r>
    </w:p>
    <w:p w14:paraId="416BA42C" w14:textId="03FDACDF" w:rsidR="0093080C" w:rsidRDefault="0093080C" w:rsidP="0093080C">
      <w:pPr>
        <w:pStyle w:val="List-BulletLvl1"/>
      </w:pPr>
      <w:r>
        <w:t>including a broader poverty and structural inequality lens; addressing poverty and exclusion in poorest communities must sit alongside the public health measures proposed in the strategy (one health and social services</w:t>
      </w:r>
      <w:r w:rsidR="000070BC">
        <w:t xml:space="preserve"> submitter</w:t>
      </w:r>
      <w:r>
        <w:t>)</w:t>
      </w:r>
      <w:r>
        <w:rPr>
          <w:rStyle w:val="FootnoteReference"/>
        </w:rPr>
        <w:footnoteReference w:id="112"/>
      </w:r>
    </w:p>
    <w:p w14:paraId="5985F4E3" w14:textId="7DB39830" w:rsidR="0093080C" w:rsidRDefault="0093080C" w:rsidP="0093080C">
      <w:pPr>
        <w:pStyle w:val="List-BulletLvl1"/>
      </w:pPr>
      <w:r>
        <w:t xml:space="preserve">recognising that </w:t>
      </w:r>
      <w:r w:rsidR="003B4F0C">
        <w:t>‘</w:t>
      </w:r>
      <w:r>
        <w:t>one size does not fit all</w:t>
      </w:r>
      <w:r w:rsidR="003B4F0C">
        <w:t>’</w:t>
      </w:r>
      <w:r>
        <w:t>, and population-level interventions may not be designed to centre the specific contexts and needs of different communities within a rights-based framework: priority actions should be designed, resourced and implemented in partnership with communities, and enable tino rangatiratanga and mana motuhake (one health and social services</w:t>
      </w:r>
      <w:r w:rsidR="000070BC">
        <w:t xml:space="preserve"> submitter</w:t>
      </w:r>
      <w:r>
        <w:t>)</w:t>
      </w:r>
      <w:r>
        <w:rPr>
          <w:rStyle w:val="FootnoteReference"/>
        </w:rPr>
        <w:footnoteReference w:id="113"/>
      </w:r>
    </w:p>
    <w:p w14:paraId="5058E128" w14:textId="25EFE332" w:rsidR="0093080C" w:rsidRDefault="0093080C" w:rsidP="00DC5A74">
      <w:pPr>
        <w:pStyle w:val="List-BulletLvl1"/>
      </w:pPr>
      <w:r>
        <w:lastRenderedPageBreak/>
        <w:t>needs of existing ethnic-specific services and peer support should be regularly reviewed, supported and solidified (service provider).</w:t>
      </w:r>
      <w:r>
        <w:rPr>
          <w:rStyle w:val="FootnoteReference"/>
        </w:rPr>
        <w:footnoteReference w:id="114"/>
      </w:r>
    </w:p>
    <w:p w14:paraId="24148901" w14:textId="00FD92A8" w:rsidR="003A13C0" w:rsidRDefault="003A13C0" w:rsidP="003A13C0">
      <w:pPr>
        <w:pStyle w:val="BodyText"/>
      </w:pPr>
      <w:r>
        <w:t>Improving equity for Māori could include drawing on the special relationship that the Crown has with Māori under Te Tiriti where Māori are disadvantaged or harmed: this issue need</w:t>
      </w:r>
      <w:r w:rsidR="00EE279A">
        <w:t>s</w:t>
      </w:r>
      <w:r>
        <w:t xml:space="preserve"> to be considered carefully and implemented well (two service providers)</w:t>
      </w:r>
      <w:r>
        <w:rPr>
          <w:rStyle w:val="FootnoteReference"/>
        </w:rPr>
        <w:footnoteReference w:id="115"/>
      </w:r>
      <w:r>
        <w:t xml:space="preserve">. Another service provider noted that the draft </w:t>
      </w:r>
      <w:r w:rsidR="00EE279A">
        <w:t>s</w:t>
      </w:r>
      <w:r>
        <w:t>trategy</w:t>
      </w:r>
      <w:r w:rsidR="00985076">
        <w:t xml:space="preserve"> was </w:t>
      </w:r>
      <w:r>
        <w:t>not detailed enough or sufficient on its own to influence systemic and structural changes. Although there are references to various strategies that champion Māori health and description of the principles of Te Tiriti o Waitangi, the strategy lacks clarity about how it will meet i</w:t>
      </w:r>
      <w:r w:rsidR="00985076">
        <w:t>t</w:t>
      </w:r>
      <w:r>
        <w:t>s goal of ‘equity and wellbeing’ (one service provider).</w:t>
      </w:r>
      <w:r>
        <w:rPr>
          <w:rStyle w:val="FootnoteReference"/>
        </w:rPr>
        <w:footnoteReference w:id="116"/>
      </w:r>
      <w:r>
        <w:t xml:space="preserve"> The role of the Māori Health Authority in the consultation on the </w:t>
      </w:r>
      <w:r w:rsidR="00713486">
        <w:t>draft</w:t>
      </w:r>
      <w:r>
        <w:t xml:space="preserve"> strategy was queried.</w:t>
      </w:r>
      <w:r>
        <w:rPr>
          <w:rStyle w:val="FootnoteReference"/>
        </w:rPr>
        <w:footnoteReference w:id="117"/>
      </w:r>
    </w:p>
    <w:p w14:paraId="42D8A356" w14:textId="514149D8" w:rsidR="003A13C0" w:rsidRDefault="00462C7C" w:rsidP="003A13C0">
      <w:pPr>
        <w:pStyle w:val="BodyText"/>
      </w:pPr>
      <w:r>
        <w:t>Specific suggestions for i</w:t>
      </w:r>
      <w:r w:rsidR="003A13C0">
        <w:t xml:space="preserve">mproving equity for Pacific </w:t>
      </w:r>
      <w:r w:rsidR="004008A7">
        <w:t>p</w:t>
      </w:r>
      <w:r w:rsidR="003A13C0">
        <w:t>eople</w:t>
      </w:r>
      <w:r w:rsidR="00C942F4">
        <w:t>s</w:t>
      </w:r>
      <w:r w:rsidR="003A13C0">
        <w:t xml:space="preserve"> </w:t>
      </w:r>
      <w:r>
        <w:t>were identified, including</w:t>
      </w:r>
      <w:r w:rsidR="003A13C0">
        <w:t>:</w:t>
      </w:r>
    </w:p>
    <w:p w14:paraId="0BFEE805" w14:textId="27A82917" w:rsidR="003A13C0" w:rsidRDefault="003A13C0" w:rsidP="003A13C0">
      <w:pPr>
        <w:pStyle w:val="List-BulletLvl1"/>
      </w:pPr>
      <w:r>
        <w:t xml:space="preserve">incorporating </w:t>
      </w:r>
      <w:r w:rsidRPr="00241CEA">
        <w:rPr>
          <w:i/>
          <w:iCs/>
        </w:rPr>
        <w:t>Ola Manuia, Pacific Health and Wellbeing Action Plan 2020-2025</w:t>
      </w:r>
      <w:r>
        <w:t xml:space="preserve"> (three service providers and one health and social services</w:t>
      </w:r>
      <w:r w:rsidR="000070BC">
        <w:t xml:space="preserve"> submitter</w:t>
      </w:r>
      <w:r>
        <w:t>)</w:t>
      </w:r>
      <w:r>
        <w:rPr>
          <w:rStyle w:val="FootnoteReference"/>
        </w:rPr>
        <w:footnoteReference w:id="118"/>
      </w:r>
    </w:p>
    <w:p w14:paraId="4D17D01F" w14:textId="2B28944E" w:rsidR="003A13C0" w:rsidRDefault="003A13C0" w:rsidP="003A13C0">
      <w:pPr>
        <w:pStyle w:val="List-BulletLvl1"/>
      </w:pPr>
      <w:r>
        <w:t xml:space="preserve">more detail about how the draft </w:t>
      </w:r>
      <w:r w:rsidR="007D799E">
        <w:t>s</w:t>
      </w:r>
      <w:r>
        <w:t xml:space="preserve">trategy will specifically address inequities and improve Pacific </w:t>
      </w:r>
      <w:r w:rsidR="001D2FF9">
        <w:t>p</w:t>
      </w:r>
      <w:r w:rsidR="007D799E">
        <w:t xml:space="preserve">eoples’ </w:t>
      </w:r>
      <w:r>
        <w:t>health outcomes (three service providers)</w:t>
      </w:r>
      <w:r w:rsidR="00DC5A74">
        <w:t>.</w:t>
      </w:r>
      <w:r>
        <w:rPr>
          <w:rStyle w:val="FootnoteReference"/>
        </w:rPr>
        <w:footnoteReference w:id="119"/>
      </w:r>
    </w:p>
    <w:p w14:paraId="0D1F9519" w14:textId="275F0CFA" w:rsidR="004F377B" w:rsidRPr="003C76AF" w:rsidRDefault="00BB208B" w:rsidP="00EB1F00">
      <w:pPr>
        <w:pStyle w:val="NumberedHeading3"/>
      </w:pPr>
      <w:bookmarkStart w:id="43" w:name="_Toc88637544"/>
      <w:r>
        <w:t>Submitters expressed s</w:t>
      </w:r>
      <w:r w:rsidR="004F377B" w:rsidRPr="003C76AF">
        <w:t>upport for the Needs Assessment findings</w:t>
      </w:r>
      <w:r>
        <w:t xml:space="preserve">, but had mixed views on whether the draft </w:t>
      </w:r>
      <w:r w:rsidR="007D799E">
        <w:t>s</w:t>
      </w:r>
      <w:r>
        <w:t xml:space="preserve">trategy </w:t>
      </w:r>
      <w:r w:rsidR="000142D8">
        <w:t xml:space="preserve">sufficiently incorporates </w:t>
      </w:r>
      <w:r>
        <w:t xml:space="preserve">the </w:t>
      </w:r>
      <w:r w:rsidR="000142D8">
        <w:t>Needs Assessment</w:t>
      </w:r>
      <w:r>
        <w:t xml:space="preserve"> findings</w:t>
      </w:r>
      <w:bookmarkEnd w:id="43"/>
      <w:r>
        <w:t xml:space="preserve"> </w:t>
      </w:r>
    </w:p>
    <w:p w14:paraId="0FA799B5" w14:textId="7D5357FF" w:rsidR="004F377B" w:rsidRDefault="004F377B" w:rsidP="004F377B">
      <w:pPr>
        <w:pStyle w:val="BodyText"/>
      </w:pPr>
      <w:r>
        <w:t xml:space="preserve">NCGM </w:t>
      </w:r>
      <w:r w:rsidR="000070BC">
        <w:t>submitters</w:t>
      </w:r>
      <w:r>
        <w:t>, gambling industry</w:t>
      </w:r>
      <w:r w:rsidR="000070BC">
        <w:t xml:space="preserve"> submitters</w:t>
      </w:r>
      <w:r>
        <w:t xml:space="preserve">, health and social services </w:t>
      </w:r>
      <w:r w:rsidR="000070BC">
        <w:t xml:space="preserve">submitters </w:t>
      </w:r>
      <w:r>
        <w:t xml:space="preserve">and service providers commented on the Needs Assessment findings, and the </w:t>
      </w:r>
      <w:r w:rsidR="0045211D">
        <w:t>perceived</w:t>
      </w:r>
      <w:r>
        <w:t xml:space="preserve"> level of incorporation of those findings in</w:t>
      </w:r>
      <w:r w:rsidR="0045211D">
        <w:t>to</w:t>
      </w:r>
      <w:r>
        <w:t xml:space="preserve"> the </w:t>
      </w:r>
      <w:r w:rsidR="00C56905">
        <w:t xml:space="preserve">draft </w:t>
      </w:r>
      <w:r w:rsidR="00762697">
        <w:t>s</w:t>
      </w:r>
      <w:r>
        <w:t xml:space="preserve">trategy. </w:t>
      </w:r>
    </w:p>
    <w:p w14:paraId="3637575B" w14:textId="77777777" w:rsidR="00CE547F" w:rsidRDefault="00CE547F" w:rsidP="00CE547F">
      <w:pPr>
        <w:pStyle w:val="BodyText"/>
      </w:pPr>
      <w:r>
        <w:t>Two service providers generally supported the findings and recommendations of the Needs Assessment findings.</w:t>
      </w:r>
      <w:r>
        <w:rPr>
          <w:rStyle w:val="FootnoteReference"/>
        </w:rPr>
        <w:footnoteReference w:id="120"/>
      </w:r>
      <w:r>
        <w:t xml:space="preserve"> </w:t>
      </w:r>
    </w:p>
    <w:p w14:paraId="63E53C6D" w14:textId="3D745869" w:rsidR="001502AA" w:rsidRDefault="001502AA" w:rsidP="001502AA">
      <w:pPr>
        <w:pStyle w:val="CV-Heading2"/>
        <w:rPr>
          <w:i/>
          <w:iCs/>
        </w:rPr>
      </w:pPr>
      <w:r>
        <w:rPr>
          <w:i/>
          <w:iCs/>
        </w:rPr>
        <w:t>Submitters considered that the Needs Assessment showed that the current strategy had not delivered, particularly on equity grounds</w:t>
      </w:r>
    </w:p>
    <w:p w14:paraId="14E2947D" w14:textId="79238321" w:rsidR="00B86E60" w:rsidRDefault="0001740F" w:rsidP="00CE547F">
      <w:pPr>
        <w:pStyle w:val="BodyText"/>
      </w:pPr>
      <w:r>
        <w:t>Six NCGM submitters reproduced large portions of the Needs Assessment findings, and referred to it as ‘damning’ (i.e., the evidence supported their concerns about the amount of progress made over the past 17 years).</w:t>
      </w:r>
      <w:r>
        <w:rPr>
          <w:rStyle w:val="FootnoteReference"/>
        </w:rPr>
        <w:footnoteReference w:id="121"/>
      </w:r>
      <w:r>
        <w:t xml:space="preserve"> </w:t>
      </w:r>
      <w:r w:rsidR="00B85599">
        <w:t xml:space="preserve">Three health and social services submitters considered that the current strategy progress was limited, and that the draft strategy required more </w:t>
      </w:r>
      <w:r w:rsidR="00CE547F">
        <w:t>focus on equity, service integration, workforce development and health promotion</w:t>
      </w:r>
      <w:r w:rsidR="00B86E60">
        <w:t>.</w:t>
      </w:r>
      <w:r w:rsidR="00B86E60">
        <w:rPr>
          <w:rStyle w:val="FootnoteReference"/>
        </w:rPr>
        <w:footnoteReference w:id="122"/>
      </w:r>
    </w:p>
    <w:p w14:paraId="5B06631A" w14:textId="60248D44" w:rsidR="006A2DFD" w:rsidRDefault="006A2DFD" w:rsidP="00CE547F">
      <w:pPr>
        <w:pStyle w:val="BodyText"/>
      </w:pPr>
      <w:r>
        <w:t>One NCGM submitter noted that the Needs Assessment found that little to no progress had been made in relation to reducing gambling-related harm inequities for Māori, Pacific and Asian peoples.</w:t>
      </w:r>
      <w:r>
        <w:rPr>
          <w:rStyle w:val="FootnoteReference"/>
        </w:rPr>
        <w:footnoteReference w:id="123"/>
      </w:r>
    </w:p>
    <w:p w14:paraId="01513F39" w14:textId="2690E157" w:rsidR="001502AA" w:rsidRDefault="001502AA" w:rsidP="001502AA">
      <w:pPr>
        <w:pStyle w:val="CV-Heading2"/>
        <w:rPr>
          <w:i/>
          <w:iCs/>
        </w:rPr>
      </w:pPr>
      <w:r>
        <w:rPr>
          <w:i/>
          <w:iCs/>
        </w:rPr>
        <w:lastRenderedPageBreak/>
        <w:t>Submitters considered that more partnership with industry was needed</w:t>
      </w:r>
    </w:p>
    <w:p w14:paraId="7B7BF992" w14:textId="1F70DB6C" w:rsidR="0001740F" w:rsidRDefault="00B86E60" w:rsidP="00CE547F">
      <w:pPr>
        <w:pStyle w:val="BodyText"/>
      </w:pPr>
      <w:r>
        <w:t>Four</w:t>
      </w:r>
      <w:r w:rsidR="0001740F" w:rsidRPr="00F76A69">
        <w:t xml:space="preserve"> </w:t>
      </w:r>
      <w:r w:rsidR="0001740F">
        <w:t>NCGM submitters noted that the draft strategy did not do anything to address the need for improved partnerships with industry (e.g., society staff, venue staff, and industry groups such as Hospitality New Zealand), as identified by the Needs Assessment findings, despite acknowledging that this was needed</w:t>
      </w:r>
      <w:r>
        <w:t>.</w:t>
      </w:r>
      <w:r w:rsidR="0001740F">
        <w:rPr>
          <w:rStyle w:val="FootnoteReference"/>
        </w:rPr>
        <w:footnoteReference w:id="124"/>
      </w:r>
    </w:p>
    <w:p w14:paraId="63973AD0" w14:textId="5AA4A193" w:rsidR="001502AA" w:rsidRPr="001502AA" w:rsidRDefault="001502AA" w:rsidP="001502AA">
      <w:pPr>
        <w:pStyle w:val="CV-Heading2"/>
        <w:rPr>
          <w:i/>
          <w:iCs/>
        </w:rPr>
      </w:pPr>
      <w:r>
        <w:rPr>
          <w:i/>
          <w:iCs/>
        </w:rPr>
        <w:t>Submitters considered that the Needs Assessment showed that online gambling was an issue, and this was not addressed sufficiently in the draft strategy</w:t>
      </w:r>
    </w:p>
    <w:p w14:paraId="65080DBF" w14:textId="2F0752F5" w:rsidR="004F377B" w:rsidRDefault="00CE547F" w:rsidP="00CE547F">
      <w:pPr>
        <w:pStyle w:val="BodyText"/>
      </w:pPr>
      <w:r>
        <w:t>O</w:t>
      </w:r>
      <w:r w:rsidR="004F377B">
        <w:t xml:space="preserve">ne gambling industry submitter wanted to see more consistency between the Needs Assessment </w:t>
      </w:r>
      <w:r w:rsidR="00904AFC">
        <w:t xml:space="preserve">findings </w:t>
      </w:r>
      <w:r w:rsidR="004F377B">
        <w:t xml:space="preserve">and the </w:t>
      </w:r>
      <w:r w:rsidR="00972D3E">
        <w:t xml:space="preserve">draft </w:t>
      </w:r>
      <w:r w:rsidR="004F377B">
        <w:t>strategy in terms of how online offshore gambling was referenced</w:t>
      </w:r>
      <w:r w:rsidR="004F377B">
        <w:rPr>
          <w:rStyle w:val="FootnoteReference"/>
        </w:rPr>
        <w:footnoteReference w:id="125"/>
      </w:r>
      <w:r w:rsidR="004F377B">
        <w:t xml:space="preserve"> </w:t>
      </w:r>
    </w:p>
    <w:p w14:paraId="4A2C09B7" w14:textId="38D035A1" w:rsidR="00CE547F" w:rsidRPr="00CE547F" w:rsidRDefault="00CE547F" w:rsidP="00CE547F">
      <w:pPr>
        <w:pStyle w:val="CV-Heading2"/>
        <w:rPr>
          <w:i/>
          <w:iCs/>
        </w:rPr>
      </w:pPr>
      <w:r>
        <w:rPr>
          <w:i/>
          <w:iCs/>
        </w:rPr>
        <w:t>One gambling industry submitter considered that the Ministry had effectively utilised the Needs Assessment findings</w:t>
      </w:r>
    </w:p>
    <w:p w14:paraId="19B424FC" w14:textId="26A62141" w:rsidR="004F377B" w:rsidRPr="00867E31" w:rsidRDefault="004F377B" w:rsidP="004F377B">
      <w:pPr>
        <w:pStyle w:val="BodyText"/>
      </w:pPr>
      <w:r>
        <w:t>In contrast to the points above, one gambling industry submitter that it was good to see the Ministry utilising the Needs Assessment</w:t>
      </w:r>
      <w:r w:rsidR="00846D94">
        <w:t xml:space="preserve"> findings</w:t>
      </w:r>
      <w:r>
        <w:t xml:space="preserve"> [in the </w:t>
      </w:r>
      <w:r w:rsidR="004A79E4">
        <w:t xml:space="preserve">draft </w:t>
      </w:r>
      <w:r w:rsidR="004761B4">
        <w:t>s</w:t>
      </w:r>
      <w:r>
        <w:t>trategy].</w:t>
      </w:r>
      <w:r>
        <w:rPr>
          <w:rStyle w:val="FootnoteReference"/>
        </w:rPr>
        <w:footnoteReference w:id="126"/>
      </w:r>
      <w:r>
        <w:t xml:space="preserve"> </w:t>
      </w:r>
    </w:p>
    <w:p w14:paraId="57BD394D" w14:textId="7A8D77A3" w:rsidR="004F377B" w:rsidRDefault="00BB208B" w:rsidP="004F377B">
      <w:pPr>
        <w:pStyle w:val="NumberedHeading3"/>
      </w:pPr>
      <w:bookmarkStart w:id="44" w:name="_Toc88637545"/>
      <w:r>
        <w:t>T</w:t>
      </w:r>
      <w:r w:rsidR="004F377B" w:rsidRPr="00704477">
        <w:t>here was constructive critique of all four objectives</w:t>
      </w:r>
      <w:r w:rsidR="00155B39">
        <w:t xml:space="preserve"> and the associated </w:t>
      </w:r>
      <w:r w:rsidR="006378D0">
        <w:t>priority action areas</w:t>
      </w:r>
      <w:bookmarkEnd w:id="44"/>
    </w:p>
    <w:p w14:paraId="114C304E" w14:textId="6DCC32F8" w:rsidR="004F377B" w:rsidRDefault="00817BCB" w:rsidP="004F377B">
      <w:pPr>
        <w:pStyle w:val="BodyText"/>
      </w:pPr>
      <w:r w:rsidRPr="00531AED">
        <w:t>Twenty-s</w:t>
      </w:r>
      <w:r w:rsidR="0089567F" w:rsidRPr="00531AED">
        <w:t>ix</w:t>
      </w:r>
      <w:r w:rsidR="004F377B" w:rsidRPr="00531AED">
        <w:t xml:space="preserve"> submitters commented on one or more of the proposed objectives</w:t>
      </w:r>
      <w:r w:rsidR="00BC7C9E" w:rsidRPr="00531AED">
        <w:t>, including</w:t>
      </w:r>
      <w:r w:rsidR="004F377B" w:rsidRPr="00531AED">
        <w:t xml:space="preserve"> </w:t>
      </w:r>
      <w:r w:rsidR="00BC7C9E" w:rsidRPr="00531AED">
        <w:t>10</w:t>
      </w:r>
      <w:r w:rsidR="00AD26B2" w:rsidRPr="00531AED">
        <w:t xml:space="preserve"> service providers, nine health and social </w:t>
      </w:r>
      <w:r w:rsidR="005D4111" w:rsidRPr="00531AED">
        <w:t>service</w:t>
      </w:r>
      <w:r w:rsidR="000070BC">
        <w:t>s</w:t>
      </w:r>
      <w:r w:rsidR="005D4111" w:rsidRPr="00531AED">
        <w:t xml:space="preserve"> submitters, three NCGM submitters, </w:t>
      </w:r>
      <w:r w:rsidR="00FE5A5B" w:rsidRPr="00531AED">
        <w:t xml:space="preserve">two individuals, and one </w:t>
      </w:r>
      <w:r w:rsidR="00305D83">
        <w:t>l</w:t>
      </w:r>
      <w:r w:rsidR="00FE5A5B" w:rsidRPr="00531AED">
        <w:t xml:space="preserve">ocal </w:t>
      </w:r>
      <w:r w:rsidR="00305D83">
        <w:t>g</w:t>
      </w:r>
      <w:r w:rsidR="00FE5A5B" w:rsidRPr="00531AED">
        <w:t>overnment submitter</w:t>
      </w:r>
      <w:r w:rsidR="00531AED" w:rsidRPr="00531AED">
        <w:t>.</w:t>
      </w:r>
      <w:r w:rsidR="001C7A0A" w:rsidRPr="00531AED">
        <w:rPr>
          <w:rStyle w:val="FootnoteReference"/>
        </w:rPr>
        <w:footnoteReference w:id="127"/>
      </w:r>
      <w:r w:rsidR="004F377B">
        <w:t xml:space="preserve"> </w:t>
      </w:r>
      <w:r w:rsidR="0032421B">
        <w:t>Most provided comments about specific objectives.</w:t>
      </w:r>
    </w:p>
    <w:p w14:paraId="32E5DCBB" w14:textId="3662B6F7" w:rsidR="004F377B" w:rsidRDefault="004F377B" w:rsidP="004F377B">
      <w:pPr>
        <w:pStyle w:val="BodyText"/>
      </w:pPr>
      <w:r>
        <w:t>Some submitters provided positive feedback on the four objectives</w:t>
      </w:r>
      <w:r w:rsidR="006378D0">
        <w:t xml:space="preserve"> and priority action areas</w:t>
      </w:r>
      <w:r>
        <w:t xml:space="preserve"> generally</w:t>
      </w:r>
      <w:r w:rsidR="00155B39">
        <w:t>, including</w:t>
      </w:r>
      <w:r>
        <w:t>:</w:t>
      </w:r>
    </w:p>
    <w:p w14:paraId="3751B4D8" w14:textId="260E2D13" w:rsidR="004F377B" w:rsidRDefault="00155B39" w:rsidP="004F377B">
      <w:pPr>
        <w:pStyle w:val="List-BulletLvl1"/>
      </w:pPr>
      <w:r>
        <w:t>t</w:t>
      </w:r>
      <w:r w:rsidR="004F377B">
        <w:t>he reduction from 11 objectives (in the current strategy) to four (in the draft</w:t>
      </w:r>
      <w:r w:rsidR="004A79E4">
        <w:t xml:space="preserve"> </w:t>
      </w:r>
      <w:r w:rsidR="0028173A">
        <w:t>s</w:t>
      </w:r>
      <w:r w:rsidR="004F377B">
        <w:t>trategy) provid</w:t>
      </w:r>
      <w:r>
        <w:t>ed</w:t>
      </w:r>
      <w:r w:rsidR="004F377B">
        <w:t xml:space="preserve"> increased clarity (one service provider)</w:t>
      </w:r>
      <w:r w:rsidR="004F377B">
        <w:rPr>
          <w:rStyle w:val="FootnoteReference"/>
        </w:rPr>
        <w:footnoteReference w:id="128"/>
      </w:r>
    </w:p>
    <w:p w14:paraId="3F0E26CB" w14:textId="5EB307D9" w:rsidR="004F377B" w:rsidRDefault="004F377B" w:rsidP="004F377B">
      <w:pPr>
        <w:pStyle w:val="List-BulletLvl1"/>
      </w:pPr>
      <w:r>
        <w:t>there was support for the proposed priority action areas that would support each of the objectives, and a recognition that the action areas reflected the necessary contributions of DIA and Te Hiring</w:t>
      </w:r>
      <w:r w:rsidR="009F245C">
        <w:t>a</w:t>
      </w:r>
      <w:r>
        <w:t xml:space="preserve"> Hauora (one gambling industry</w:t>
      </w:r>
      <w:r w:rsidR="00331463">
        <w:t xml:space="preserve"> submitter</w:t>
      </w:r>
      <w:r>
        <w:t>)</w:t>
      </w:r>
      <w:r>
        <w:rPr>
          <w:rStyle w:val="FootnoteReference"/>
        </w:rPr>
        <w:footnoteReference w:id="129"/>
      </w:r>
      <w:r>
        <w:t xml:space="preserve"> </w:t>
      </w:r>
    </w:p>
    <w:p w14:paraId="1CF3086C" w14:textId="53B6A262" w:rsidR="004F377B" w:rsidRDefault="004F377B" w:rsidP="004F377B">
      <w:pPr>
        <w:pStyle w:val="List-BulletLvl1"/>
      </w:pPr>
      <w:r>
        <w:t>it was noted that the gambling industry had an important role to play in relation to the priority action areas (one gambling industry</w:t>
      </w:r>
      <w:r w:rsidR="00331463">
        <w:t xml:space="preserve"> submitter</w:t>
      </w:r>
      <w:r>
        <w:t>).</w:t>
      </w:r>
      <w:r>
        <w:rPr>
          <w:rStyle w:val="FootnoteReference"/>
        </w:rPr>
        <w:footnoteReference w:id="130"/>
      </w:r>
    </w:p>
    <w:p w14:paraId="2D7002E8" w14:textId="02F2B8A9" w:rsidR="00805366" w:rsidRDefault="00805366" w:rsidP="004C6FA2">
      <w:pPr>
        <w:pStyle w:val="BodyText"/>
      </w:pPr>
      <w:r>
        <w:t>Only a small number of submitters provided explicit opposition to the draft objectives. One individual noted that although they agreed with the goal, they did not agree with the proposed objectives or priority action areas</w:t>
      </w:r>
      <w:r w:rsidR="00801D73">
        <w:t xml:space="preserve"> because these </w:t>
      </w:r>
      <w:r>
        <w:t>were just more of the same (which has not achieved anything, in the submitter’s opinion).</w:t>
      </w:r>
      <w:r>
        <w:rPr>
          <w:rStyle w:val="FootnoteReference"/>
        </w:rPr>
        <w:footnoteReference w:id="131"/>
      </w:r>
      <w:r w:rsidR="004E57E5">
        <w:t xml:space="preserve"> This perceived lack of achievement</w:t>
      </w:r>
      <w:r w:rsidR="00985076">
        <w:t xml:space="preserve"> was </w:t>
      </w:r>
      <w:r w:rsidR="004E57E5">
        <w:t>a consistent theme among those who did not strongly support the draft strategy.</w:t>
      </w:r>
    </w:p>
    <w:p w14:paraId="3B71FABC" w14:textId="492B8995" w:rsidR="00297EBE" w:rsidRPr="004C6FA2" w:rsidRDefault="00297EBE" w:rsidP="004C6FA2">
      <w:pPr>
        <w:pStyle w:val="CV-Heading2"/>
        <w:rPr>
          <w:i/>
          <w:iCs/>
        </w:rPr>
      </w:pPr>
      <w:r w:rsidRPr="004C6FA2">
        <w:rPr>
          <w:i/>
          <w:iCs/>
        </w:rPr>
        <w:lastRenderedPageBreak/>
        <w:t>Overarching changes</w:t>
      </w:r>
      <w:r>
        <w:rPr>
          <w:i/>
        </w:rPr>
        <w:t xml:space="preserve"> </w:t>
      </w:r>
      <w:r w:rsidR="003E70DB">
        <w:rPr>
          <w:i/>
          <w:iCs/>
        </w:rPr>
        <w:t>to the draft objectives</w:t>
      </w:r>
      <w:r w:rsidRPr="004C6FA2">
        <w:rPr>
          <w:i/>
          <w:iCs/>
        </w:rPr>
        <w:t xml:space="preserve"> were suggested</w:t>
      </w:r>
    </w:p>
    <w:p w14:paraId="3296E66F" w14:textId="397FCD74" w:rsidR="004F377B" w:rsidRDefault="00672EC8" w:rsidP="004F377B">
      <w:pPr>
        <w:pStyle w:val="BodyText"/>
      </w:pPr>
      <w:r>
        <w:t>While much of the commentary focused on specific objectives, there was also a range of proposed amendments that could apply across all four draft objectives.</w:t>
      </w:r>
      <w:r w:rsidR="00147BD4">
        <w:t xml:space="preserve"> Ensuring meaningful connection between the objectives and the Crown’s obligations to Māori was important to o</w:t>
      </w:r>
      <w:r w:rsidR="004F377B">
        <w:t>ne service provider</w:t>
      </w:r>
      <w:r w:rsidR="00147BD4">
        <w:t>, who</w:t>
      </w:r>
      <w:r w:rsidR="004F377B">
        <w:t xml:space="preserve"> expressed concern </w:t>
      </w:r>
      <w:r w:rsidR="00297EBE">
        <w:t xml:space="preserve">about </w:t>
      </w:r>
      <w:r w:rsidR="004F377B">
        <w:t>a perceived lack of connectivity between the strategic priority and the objectives, although</w:t>
      </w:r>
      <w:r w:rsidR="005913E7">
        <w:t xml:space="preserve"> they</w:t>
      </w:r>
      <w:r w:rsidR="004F377B">
        <w:t xml:space="preserve"> recognise</w:t>
      </w:r>
      <w:r w:rsidR="00297EBE">
        <w:t>d</w:t>
      </w:r>
      <w:r w:rsidR="004F377B">
        <w:t xml:space="preserve"> that the objectives show a commitment to preventing and minimising gambling harm in Aotearoa.</w:t>
      </w:r>
      <w:r w:rsidR="004F377B">
        <w:rPr>
          <w:rStyle w:val="FootnoteReference"/>
        </w:rPr>
        <w:footnoteReference w:id="132"/>
      </w:r>
      <w:r w:rsidR="004F377B">
        <w:t xml:space="preserve"> The submitter also acknowledged the note indicating that the objectives w</w:t>
      </w:r>
      <w:r w:rsidR="00C31FFB">
        <w:t>ould</w:t>
      </w:r>
      <w:r w:rsidR="004F377B">
        <w:t xml:space="preserve"> look to align and enable the five Hauora principles determined by the Wai2575 claim.</w:t>
      </w:r>
      <w:r w:rsidR="004F377B">
        <w:rPr>
          <w:rStyle w:val="FootnoteReference"/>
        </w:rPr>
        <w:footnoteReference w:id="133"/>
      </w:r>
      <w:r w:rsidR="004F377B">
        <w:t xml:space="preserve"> The submitter noted that the objectives should have the Hauora objectives embedded within them, not merely aligned or enabled. </w:t>
      </w:r>
    </w:p>
    <w:p w14:paraId="0F711F52" w14:textId="4DCC5246" w:rsidR="004F377B" w:rsidRDefault="003A3E12" w:rsidP="004F377B">
      <w:pPr>
        <w:pStyle w:val="BodyText"/>
      </w:pPr>
      <w:r>
        <w:t>Ensuring that the objectives could be measured was important to o</w:t>
      </w:r>
      <w:r w:rsidR="004F377B">
        <w:t xml:space="preserve">ne health and social services submitter </w:t>
      </w:r>
      <w:r w:rsidR="00644A94">
        <w:t xml:space="preserve">commented that there was </w:t>
      </w:r>
      <w:r w:rsidR="004F377B">
        <w:t xml:space="preserve">sense that the objectives </w:t>
      </w:r>
      <w:r w:rsidR="00644A94">
        <w:t>were</w:t>
      </w:r>
      <w:r w:rsidR="004F377B">
        <w:t xml:space="preserve"> not measurable and may not be achievable, </w:t>
      </w:r>
      <w:r w:rsidR="00B67F92">
        <w:t xml:space="preserve">that </w:t>
      </w:r>
      <w:r w:rsidR="004F377B">
        <w:t>associated actions reflect</w:t>
      </w:r>
      <w:r w:rsidR="00644A94">
        <w:t>ed</w:t>
      </w:r>
      <w:r w:rsidR="004F377B">
        <w:t xml:space="preserve"> the status quo (lack of ambition reflected by the absence of a meaningful measure for progress), </w:t>
      </w:r>
      <w:r w:rsidR="00644A94">
        <w:t xml:space="preserve">and that there were </w:t>
      </w:r>
      <w:r w:rsidR="004F377B">
        <w:t xml:space="preserve">no </w:t>
      </w:r>
      <w:r w:rsidR="008D2FA6">
        <w:t>key performance indic</w:t>
      </w:r>
      <w:r w:rsidR="00E80FD7">
        <w:t>a</w:t>
      </w:r>
      <w:r w:rsidR="008D2FA6">
        <w:t>tors</w:t>
      </w:r>
      <w:r w:rsidR="004F377B">
        <w:t>.</w:t>
      </w:r>
      <w:r w:rsidR="004F377B">
        <w:rPr>
          <w:rStyle w:val="FootnoteReference"/>
        </w:rPr>
        <w:footnoteReference w:id="134"/>
      </w:r>
      <w:r>
        <w:t xml:space="preserve"> </w:t>
      </w:r>
      <w:r w:rsidR="00ED2AD3">
        <w:t xml:space="preserve">This view was similar to the ones expressed about the need for the draft strategic goal </w:t>
      </w:r>
      <w:r w:rsidR="00C600BE">
        <w:t>to be ‘SMART’ (above in Section 2.1.5.).</w:t>
      </w:r>
    </w:p>
    <w:p w14:paraId="6F364DCF" w14:textId="3AB86995" w:rsidR="004F377B" w:rsidRDefault="004F377B" w:rsidP="004F377B">
      <w:pPr>
        <w:pStyle w:val="BodyText"/>
      </w:pPr>
      <w:r>
        <w:t>One health and social services submitter noted that objectives two and four align</w:t>
      </w:r>
      <w:r w:rsidR="00C73518">
        <w:t>ed</w:t>
      </w:r>
      <w:r>
        <w:t xml:space="preserve"> to the </w:t>
      </w:r>
      <w:r w:rsidRPr="00C81E9F">
        <w:rPr>
          <w:i/>
          <w:iCs/>
        </w:rPr>
        <w:t>Te Hiringa Hauora Strategy</w:t>
      </w:r>
      <w:r>
        <w:t xml:space="preserve"> </w:t>
      </w:r>
      <w:r w:rsidRPr="00C81E9F">
        <w:rPr>
          <w:i/>
          <w:iCs/>
        </w:rPr>
        <w:t>and Business Plan</w:t>
      </w:r>
      <w:r>
        <w:t xml:space="preserve"> to refocus resources and time to those communities where the need </w:t>
      </w:r>
      <w:r w:rsidR="00C73518">
        <w:t>was</w:t>
      </w:r>
      <w:r>
        <w:t xml:space="preserve"> greatest.</w:t>
      </w:r>
      <w:r>
        <w:rPr>
          <w:rStyle w:val="FootnoteReference"/>
        </w:rPr>
        <w:footnoteReference w:id="135"/>
      </w:r>
      <w:r>
        <w:t xml:space="preserve"> The submitter note</w:t>
      </w:r>
      <w:r w:rsidR="00682B4C">
        <w:t>d</w:t>
      </w:r>
      <w:r>
        <w:t xml:space="preserve"> that it </w:t>
      </w:r>
      <w:r w:rsidR="00232DA4">
        <w:t>is</w:t>
      </w:r>
      <w:r w:rsidR="001D7DD0">
        <w:t xml:space="preserve"> </w:t>
      </w:r>
      <w:r>
        <w:t>vital to develop strong and strategic relationships to support a collective approach to improving health and wellbeing, and work with others who share the same ambitions and values.</w:t>
      </w:r>
      <w:r>
        <w:rPr>
          <w:rStyle w:val="FootnoteReference"/>
        </w:rPr>
        <w:footnoteReference w:id="136"/>
      </w:r>
      <w:r>
        <w:t xml:space="preserve"> Developing and investing in relationships with the </w:t>
      </w:r>
      <w:r w:rsidR="00C81E9F">
        <w:t>minimising gambling</w:t>
      </w:r>
      <w:r w:rsidR="00BD13CC">
        <w:t>-</w:t>
      </w:r>
      <w:r w:rsidR="00C81E9F">
        <w:t>harm</w:t>
      </w:r>
      <w:r>
        <w:t xml:space="preserve"> sector and communities </w:t>
      </w:r>
      <w:r w:rsidR="00C73518">
        <w:t>was seen as</w:t>
      </w:r>
      <w:r>
        <w:t xml:space="preserve"> key to optimising all of the objectives, </w:t>
      </w:r>
      <w:r w:rsidR="001D7DD0">
        <w:t>including</w:t>
      </w:r>
      <w:r>
        <w:t xml:space="preserve"> enabling and resourcing the </w:t>
      </w:r>
      <w:r w:rsidR="00C81E9F">
        <w:t>sector</w:t>
      </w:r>
      <w:r w:rsidR="00CC1F00">
        <w:t>.</w:t>
      </w:r>
      <w:r>
        <w:rPr>
          <w:rStyle w:val="FootnoteReference"/>
        </w:rPr>
        <w:footnoteReference w:id="137"/>
      </w:r>
      <w:r>
        <w:t xml:space="preserve"> The submitter noted that this </w:t>
      </w:r>
      <w:r w:rsidR="00C73518">
        <w:t>would</w:t>
      </w:r>
      <w:r>
        <w:t xml:space="preserve"> need to be supported by the Ministry and DIA so that service providers c</w:t>
      </w:r>
      <w:r w:rsidR="00CC1F00">
        <w:t>ould</w:t>
      </w:r>
      <w:r>
        <w:t xml:space="preserve"> meet their needs and goals.</w:t>
      </w:r>
      <w:r>
        <w:rPr>
          <w:rStyle w:val="FootnoteReference"/>
        </w:rPr>
        <w:footnoteReference w:id="138"/>
      </w:r>
      <w:r>
        <w:t xml:space="preserve"> One service provider </w:t>
      </w:r>
      <w:r w:rsidR="00416D0A">
        <w:t xml:space="preserve">also </w:t>
      </w:r>
      <w:r>
        <w:t>noted that under</w:t>
      </w:r>
      <w:r w:rsidRPr="00451AA2">
        <w:t xml:space="preserve"> the four objectives, several priority action areas mention</w:t>
      </w:r>
      <w:r w:rsidR="00C73518">
        <w:t>ed</w:t>
      </w:r>
      <w:r w:rsidRPr="00451AA2">
        <w:t xml:space="preserve"> ensuring equitable participation in community decision-making and partnering with iwi and other Māori organisations.</w:t>
      </w:r>
      <w:r>
        <w:rPr>
          <w:rStyle w:val="FootnoteReference"/>
        </w:rPr>
        <w:footnoteReference w:id="139"/>
      </w:r>
      <w:r>
        <w:t xml:space="preserve"> </w:t>
      </w:r>
    </w:p>
    <w:p w14:paraId="1153FAE3" w14:textId="6BED7E96" w:rsidR="004F377B" w:rsidRPr="00697FA7" w:rsidRDefault="004F377B" w:rsidP="004F377B">
      <w:pPr>
        <w:pStyle w:val="CV-Heading2"/>
        <w:rPr>
          <w:i/>
          <w:iCs/>
        </w:rPr>
      </w:pPr>
      <w:r w:rsidRPr="00697FA7">
        <w:rPr>
          <w:i/>
          <w:iCs/>
        </w:rPr>
        <w:t xml:space="preserve">Objective </w:t>
      </w:r>
      <w:r w:rsidR="00AD5F96">
        <w:rPr>
          <w:i/>
          <w:iCs/>
        </w:rPr>
        <w:t>one</w:t>
      </w:r>
      <w:r w:rsidRPr="00697FA7">
        <w:rPr>
          <w:i/>
          <w:iCs/>
        </w:rPr>
        <w:t>: Create a full spectrum of services and supports</w:t>
      </w:r>
    </w:p>
    <w:p w14:paraId="4ABC6D2A" w14:textId="09BB2007" w:rsidR="00CC1F00" w:rsidRDefault="004C6FA2" w:rsidP="004F377B">
      <w:pPr>
        <w:pStyle w:val="BodyText"/>
      </w:pPr>
      <w:r w:rsidRPr="0021247E">
        <w:t>Twelve</w:t>
      </w:r>
      <w:r w:rsidR="00BD432A" w:rsidRPr="0021247E">
        <w:t xml:space="preserve"> submitters commented on objective one, including </w:t>
      </w:r>
      <w:r w:rsidRPr="0021247E">
        <w:t>eight</w:t>
      </w:r>
      <w:r w:rsidR="00677BA0" w:rsidRPr="0021247E">
        <w:t xml:space="preserve"> service providers</w:t>
      </w:r>
      <w:r w:rsidR="00BD432A" w:rsidRPr="0021247E">
        <w:t xml:space="preserve">, </w:t>
      </w:r>
      <w:r w:rsidRPr="0021247E">
        <w:t>three</w:t>
      </w:r>
      <w:r w:rsidR="00BC4CA3" w:rsidRPr="0021247E">
        <w:t xml:space="preserve"> health and social service submitters</w:t>
      </w:r>
      <w:r w:rsidR="00BD432A" w:rsidRPr="0021247E">
        <w:t xml:space="preserve">, and </w:t>
      </w:r>
      <w:r w:rsidR="00766231" w:rsidRPr="0021247E">
        <w:t>one NCGM submitter.</w:t>
      </w:r>
      <w:r w:rsidR="00C71BBE" w:rsidRPr="0021247E">
        <w:rPr>
          <w:rStyle w:val="FootnoteReference"/>
        </w:rPr>
        <w:footnoteReference w:id="140"/>
      </w:r>
      <w:r w:rsidR="00BD432A">
        <w:t xml:space="preserve"> </w:t>
      </w:r>
    </w:p>
    <w:p w14:paraId="19B90083" w14:textId="3D27F319" w:rsidR="00D94991" w:rsidRDefault="00D5501F" w:rsidP="0017641D">
      <w:pPr>
        <w:pStyle w:val="BodyText"/>
      </w:pPr>
      <w:r>
        <w:t>Most submitters supported objective one.</w:t>
      </w:r>
    </w:p>
    <w:p w14:paraId="1175ECF9" w14:textId="3C9216C1" w:rsidR="0030379D" w:rsidRDefault="00E80237" w:rsidP="004C6FA2">
      <w:pPr>
        <w:pStyle w:val="BodyText"/>
      </w:pPr>
      <w:r>
        <w:t>Some submitters expressed support for the objective, without caveats</w:t>
      </w:r>
      <w:r w:rsidR="0090300C">
        <w:t xml:space="preserve"> because objective one </w:t>
      </w:r>
      <w:r w:rsidR="003229C2">
        <w:t>address gaps in the spectrum of services and supports that are currently provided, particularly in the areas of peer support and residential treatment for specific groups</w:t>
      </w:r>
      <w:r w:rsidR="000A08D5">
        <w:t xml:space="preserve"> (one service provider)</w:t>
      </w:r>
      <w:r w:rsidR="003229C2">
        <w:rPr>
          <w:rStyle w:val="FootnoteReference"/>
        </w:rPr>
        <w:footnoteReference w:id="141"/>
      </w:r>
      <w:r w:rsidR="000A08D5">
        <w:t xml:space="preserve"> or because</w:t>
      </w:r>
      <w:r w:rsidR="008540DD">
        <w:t xml:space="preserve"> the hauora principles and outcomes </w:t>
      </w:r>
      <w:r w:rsidR="0030379D">
        <w:t xml:space="preserve">address gaps in the spectrum of services and </w:t>
      </w:r>
      <w:r w:rsidR="0030379D">
        <w:lastRenderedPageBreak/>
        <w:t>supports provided, particularly in the areas of peer support and residential treatment and for specific groups</w:t>
      </w:r>
      <w:r w:rsidR="0015766A">
        <w:t xml:space="preserve"> (two health and social service </w:t>
      </w:r>
      <w:r w:rsidR="004C6FA2">
        <w:t>submitters</w:t>
      </w:r>
      <w:r w:rsidR="0015766A">
        <w:t>)</w:t>
      </w:r>
      <w:r w:rsidR="0030379D">
        <w:t>.</w:t>
      </w:r>
      <w:r w:rsidR="0030379D">
        <w:rPr>
          <w:rStyle w:val="FootnoteReference"/>
        </w:rPr>
        <w:footnoteReference w:id="142"/>
      </w:r>
      <w:r w:rsidR="0030379D">
        <w:t xml:space="preserve"> </w:t>
      </w:r>
    </w:p>
    <w:p w14:paraId="242FCA4B" w14:textId="4A89CDFE" w:rsidR="00244D27" w:rsidRDefault="0015766A" w:rsidP="004F377B">
      <w:pPr>
        <w:pStyle w:val="BodyText"/>
      </w:pPr>
      <w:r>
        <w:t>Other s</w:t>
      </w:r>
      <w:r w:rsidR="00582CD7">
        <w:t xml:space="preserve">ubmitters expressed support for </w:t>
      </w:r>
      <w:r w:rsidR="00244D27">
        <w:t>objective one generally but outlined improvements that could be made to ensure that the objective was achieved</w:t>
      </w:r>
      <w:r w:rsidR="00D94991">
        <w:t>. Suggested improvements included</w:t>
      </w:r>
      <w:r w:rsidR="002E18F6">
        <w:t xml:space="preserve"> that</w:t>
      </w:r>
      <w:r w:rsidR="00D94991">
        <w:t>:</w:t>
      </w:r>
    </w:p>
    <w:p w14:paraId="7A78C881" w14:textId="070CEAA3" w:rsidR="00244D27" w:rsidRDefault="004F377B" w:rsidP="004F377B">
      <w:pPr>
        <w:pStyle w:val="List-BulletLvl1"/>
      </w:pPr>
      <w:r>
        <w:t xml:space="preserve">a broad range of information, support and targeted services </w:t>
      </w:r>
      <w:r w:rsidR="002E18F6">
        <w:t xml:space="preserve">should be </w:t>
      </w:r>
      <w:r>
        <w:t>made available</w:t>
      </w:r>
      <w:r w:rsidR="00244D27">
        <w:t xml:space="preserve"> (one service provider)</w:t>
      </w:r>
      <w:r>
        <w:rPr>
          <w:rStyle w:val="FootnoteReference"/>
        </w:rPr>
        <w:footnoteReference w:id="143"/>
      </w:r>
      <w:r>
        <w:t xml:space="preserve"> </w:t>
      </w:r>
    </w:p>
    <w:p w14:paraId="73005C9C" w14:textId="5CB13048" w:rsidR="00E80237" w:rsidRDefault="00E80237" w:rsidP="004C6FA2">
      <w:pPr>
        <w:pStyle w:val="List-BulletLvl1"/>
      </w:pPr>
      <w:r>
        <w:t>more consideration be given</w:t>
      </w:r>
      <w:r w:rsidR="004F377B">
        <w:t xml:space="preserve"> of the impact of gambling harm on tamariki</w:t>
      </w:r>
      <w:r>
        <w:t xml:space="preserve"> </w:t>
      </w:r>
      <w:r w:rsidR="004F377B">
        <w:t xml:space="preserve">and services and supports for tamariki </w:t>
      </w:r>
      <w:r>
        <w:t>should</w:t>
      </w:r>
      <w:r w:rsidR="004F377B">
        <w:t xml:space="preserve"> be explicitly stated</w:t>
      </w:r>
      <w:r>
        <w:t xml:space="preserve"> </w:t>
      </w:r>
      <w:r w:rsidR="000201D6">
        <w:t>and</w:t>
      </w:r>
      <w:r w:rsidR="00D428BA">
        <w:t xml:space="preserve"> </w:t>
      </w:r>
      <w:r w:rsidR="004F377B">
        <w:t>the funding boost focus on supports and services should consider and address whānau impacted by problem gamblers</w:t>
      </w:r>
      <w:r w:rsidR="000201D6">
        <w:t xml:space="preserve"> (one service provider and one health and social services submitter)</w:t>
      </w:r>
      <w:r w:rsidR="00D428BA">
        <w:rPr>
          <w:rStyle w:val="FootnoteReference"/>
        </w:rPr>
        <w:footnoteReference w:id="144"/>
      </w:r>
    </w:p>
    <w:p w14:paraId="2091E6D6" w14:textId="03476414" w:rsidR="00FB50E5" w:rsidRDefault="00FB50E5" w:rsidP="00E80237">
      <w:pPr>
        <w:pStyle w:val="List-BulletLvl1"/>
      </w:pPr>
      <w:r>
        <w:t>t</w:t>
      </w:r>
      <w:r w:rsidR="00E80237">
        <w:t xml:space="preserve">here </w:t>
      </w:r>
      <w:r w:rsidR="00B97595">
        <w:t xml:space="preserve">should </w:t>
      </w:r>
      <w:r w:rsidR="00E80237">
        <w:t xml:space="preserve">be </w:t>
      </w:r>
      <w:r>
        <w:t>more detail</w:t>
      </w:r>
      <w:r w:rsidR="004F377B">
        <w:t xml:space="preserve"> </w:t>
      </w:r>
      <w:r w:rsidR="001B48E2">
        <w:t xml:space="preserve">to </w:t>
      </w:r>
      <w:r w:rsidR="004F377B">
        <w:t xml:space="preserve">explain how </w:t>
      </w:r>
      <w:r>
        <w:t>the objective</w:t>
      </w:r>
      <w:r w:rsidR="004F377B">
        <w:t xml:space="preserve"> should be interpreted</w:t>
      </w:r>
      <w:r w:rsidR="00B018F2">
        <w:t xml:space="preserve"> (one service provider)</w:t>
      </w:r>
      <w:r w:rsidR="004F377B">
        <w:rPr>
          <w:rStyle w:val="FootnoteReference"/>
        </w:rPr>
        <w:footnoteReference w:id="145"/>
      </w:r>
      <w:r w:rsidR="004F377B">
        <w:t xml:space="preserve"> </w:t>
      </w:r>
    </w:p>
    <w:p w14:paraId="7D3D99AA" w14:textId="07F32FA6" w:rsidR="00B018F2" w:rsidRDefault="00B018F2" w:rsidP="00B018F2">
      <w:pPr>
        <w:pStyle w:val="List-BulletLvl1"/>
      </w:pPr>
      <w:r>
        <w:t>there should be consideration as to whether the current service model</w:t>
      </w:r>
      <w:r w:rsidR="00985076">
        <w:t xml:space="preserve"> was </w:t>
      </w:r>
      <w:r>
        <w:t xml:space="preserve">still fit for purpose </w:t>
      </w:r>
      <w:r w:rsidR="003A66F1">
        <w:t>and achieving equity</w:t>
      </w:r>
      <w:r w:rsidR="001B48E2">
        <w:t xml:space="preserve"> </w:t>
      </w:r>
      <w:r>
        <w:t>(</w:t>
      </w:r>
      <w:r w:rsidR="003A66F1">
        <w:t xml:space="preserve">two service providers and </w:t>
      </w:r>
      <w:r w:rsidR="00F909DB">
        <w:t>two</w:t>
      </w:r>
      <w:r w:rsidR="004A289E">
        <w:t xml:space="preserve"> health and social services submitter</w:t>
      </w:r>
      <w:r w:rsidR="00F909DB">
        <w:t>s</w:t>
      </w:r>
      <w:r>
        <w:t>)</w:t>
      </w:r>
      <w:r w:rsidR="008D3598">
        <w:t>, including</w:t>
      </w:r>
      <w:r>
        <w:t>:</w:t>
      </w:r>
      <w:r>
        <w:rPr>
          <w:rStyle w:val="FootnoteReference"/>
        </w:rPr>
        <w:footnoteReference w:id="146"/>
      </w:r>
      <w:r>
        <w:t xml:space="preserve"> </w:t>
      </w:r>
    </w:p>
    <w:p w14:paraId="3BBDA6E8" w14:textId="289AADE0" w:rsidR="00B018F2" w:rsidRDefault="00B018F2" w:rsidP="00B018F2">
      <w:pPr>
        <w:pStyle w:val="List-BulletLvl2"/>
      </w:pPr>
      <w:r>
        <w:t xml:space="preserve">face-to-face services are more appropriately termed </w:t>
      </w:r>
      <w:r w:rsidR="004517C7">
        <w:t>‘</w:t>
      </w:r>
      <w:r>
        <w:t>specialist gambling harm services</w:t>
      </w:r>
      <w:r w:rsidR="004517C7">
        <w:t>’</w:t>
      </w:r>
      <w:r>
        <w:t xml:space="preserve"> and need to expand access modalities, particularly to meet COVID-19 lockdown challenges and improve access</w:t>
      </w:r>
    </w:p>
    <w:p w14:paraId="29FEB510" w14:textId="6D3FB721" w:rsidR="00B018F2" w:rsidRDefault="00B018F2" w:rsidP="00B018F2">
      <w:pPr>
        <w:pStyle w:val="List-BulletLvl2"/>
      </w:pPr>
      <w:r>
        <w:t>action to address barriers to access should include increased funding and support for specialist PMGH services to implement online and remote interventions</w:t>
      </w:r>
    </w:p>
    <w:p w14:paraId="431DB2A6" w14:textId="3A2025B8" w:rsidR="00501968" w:rsidRDefault="00B018F2" w:rsidP="00515E94">
      <w:pPr>
        <w:pStyle w:val="List-BulletLvl2"/>
      </w:pPr>
      <w:r>
        <w:t xml:space="preserve">the design and delivery of services must address the gaps identified for Māori, Pacific </w:t>
      </w:r>
      <w:r w:rsidR="008309AE">
        <w:t>p</w:t>
      </w:r>
      <w:r>
        <w:t>eople</w:t>
      </w:r>
      <w:r w:rsidR="004517C7">
        <w:t>s</w:t>
      </w:r>
      <w:r>
        <w:t xml:space="preserve">, Asian </w:t>
      </w:r>
      <w:r w:rsidR="008309AE">
        <w:t>p</w:t>
      </w:r>
      <w:r>
        <w:t>eoples and young people, and meet the needs of these diverse groups</w:t>
      </w:r>
    </w:p>
    <w:p w14:paraId="0BC2242C" w14:textId="4494E7C6" w:rsidR="003E0538" w:rsidRDefault="00B018F2" w:rsidP="003A66F1">
      <w:pPr>
        <w:pStyle w:val="List-BulletLvl2"/>
      </w:pPr>
      <w:r>
        <w:t xml:space="preserve">a holistic, Whānau Ora approach </w:t>
      </w:r>
      <w:r w:rsidR="003E0538">
        <w:t>should be implemented</w:t>
      </w:r>
      <w:r>
        <w:t xml:space="preserve"> to better support those affected by gambling harm as this would involve collaboration across the mental health and addiction sector and with other government agencies, such as the Ministry of Social Development for comprehensive care</w:t>
      </w:r>
      <w:r w:rsidR="003E0538">
        <w:t xml:space="preserve"> </w:t>
      </w:r>
    </w:p>
    <w:p w14:paraId="4D4DD9A5" w14:textId="77777777" w:rsidR="00F909DB" w:rsidRDefault="00B018F2" w:rsidP="00F909DB">
      <w:pPr>
        <w:pStyle w:val="List-BulletLvl2"/>
      </w:pPr>
      <w:r>
        <w:t>stronger primary prevention efforts in place for those at low to moderate risk</w:t>
      </w:r>
    </w:p>
    <w:p w14:paraId="6E7DD8B4" w14:textId="0E52CBEC" w:rsidR="003E0538" w:rsidRDefault="003E0538" w:rsidP="00F909DB">
      <w:pPr>
        <w:pStyle w:val="List-BulletLvl2"/>
      </w:pPr>
      <w:r>
        <w:t>linguistic and cultural knowledge should be better integrated across the system</w:t>
      </w:r>
    </w:p>
    <w:p w14:paraId="70566BC8" w14:textId="44ABF9F4" w:rsidR="004F2033" w:rsidRPr="005D2DFB" w:rsidRDefault="004F2033" w:rsidP="00F909DB">
      <w:pPr>
        <w:pStyle w:val="List-BulletLvl2"/>
      </w:pPr>
      <w:r>
        <w:t xml:space="preserve">documents and resources available in a range of accessible formats. </w:t>
      </w:r>
    </w:p>
    <w:p w14:paraId="2F86FC11" w14:textId="23B05A33" w:rsidR="003E0538" w:rsidRDefault="003644F8" w:rsidP="00D5501F">
      <w:pPr>
        <w:pStyle w:val="List-BulletLvl1"/>
      </w:pPr>
      <w:r>
        <w:t xml:space="preserve">the draft </w:t>
      </w:r>
      <w:r w:rsidR="000A5039">
        <w:t>s</w:t>
      </w:r>
      <w:r>
        <w:t xml:space="preserve">trategy should refer to a </w:t>
      </w:r>
      <w:r w:rsidR="000A5039">
        <w:t>‘</w:t>
      </w:r>
      <w:r>
        <w:t>culturally safe workforce</w:t>
      </w:r>
      <w:r w:rsidR="000A5039">
        <w:t>’</w:t>
      </w:r>
      <w:r w:rsidR="005069B5">
        <w:t xml:space="preserve"> rather than</w:t>
      </w:r>
      <w:r w:rsidR="003E0538">
        <w:t xml:space="preserve"> a </w:t>
      </w:r>
      <w:r w:rsidR="000A5039">
        <w:t>‘</w:t>
      </w:r>
      <w:r w:rsidR="003E0538">
        <w:t>culturally responsive workforce</w:t>
      </w:r>
      <w:r w:rsidR="000A5039">
        <w:t>’</w:t>
      </w:r>
      <w:r w:rsidR="003E0538">
        <w:t xml:space="preserve">, as </w:t>
      </w:r>
      <w:r w:rsidR="005069B5">
        <w:t>that would be</w:t>
      </w:r>
      <w:r w:rsidR="003E0538">
        <w:t xml:space="preserve"> consistent with the Medical Council of New Zealand’s framing and </w:t>
      </w:r>
      <w:r w:rsidR="005069B5">
        <w:t xml:space="preserve">would </w:t>
      </w:r>
      <w:r w:rsidR="003E0538">
        <w:t xml:space="preserve">ensure that the practitioner is working to address their own biases, assumptions and privilege, rather than continuing to </w:t>
      </w:r>
      <w:r w:rsidR="003E0538">
        <w:lastRenderedPageBreak/>
        <w:t>position their patients as the “exotic other”</w:t>
      </w:r>
      <w:r w:rsidR="005069B5">
        <w:t xml:space="preserve"> (one health and social services submitter)</w:t>
      </w:r>
      <w:r w:rsidR="003E0538">
        <w:t>.</w:t>
      </w:r>
      <w:r w:rsidR="005069B5">
        <w:rPr>
          <w:rStyle w:val="FootnoteReference"/>
        </w:rPr>
        <w:footnoteReference w:id="147"/>
      </w:r>
      <w:r w:rsidR="003E0538">
        <w:t xml:space="preserve"> </w:t>
      </w:r>
    </w:p>
    <w:p w14:paraId="5DCC843F" w14:textId="510D3D52" w:rsidR="004F377B" w:rsidRDefault="00FB50E5" w:rsidP="00FB50E5">
      <w:pPr>
        <w:pStyle w:val="BodyText"/>
      </w:pPr>
      <w:r>
        <w:t>One</w:t>
      </w:r>
      <w:r w:rsidR="004F377B">
        <w:t xml:space="preserve"> service provider outlined a number of concerns that they had with objective</w:t>
      </w:r>
      <w:r w:rsidR="0001757D">
        <w:t xml:space="preserve"> one</w:t>
      </w:r>
      <w:r w:rsidR="004F377B">
        <w:t>:</w:t>
      </w:r>
      <w:r w:rsidR="00C32438">
        <w:rPr>
          <w:rStyle w:val="FootnoteReference"/>
        </w:rPr>
        <w:footnoteReference w:id="148"/>
      </w:r>
    </w:p>
    <w:p w14:paraId="09FA3E0E" w14:textId="77777777" w:rsidR="004F377B" w:rsidRDefault="004F377B" w:rsidP="004F377B">
      <w:pPr>
        <w:pStyle w:val="List-BulletLvl1"/>
      </w:pPr>
      <w:r>
        <w:t>the need to ensure that those who are “well” and “not well” are not compartmentalised</w:t>
      </w:r>
    </w:p>
    <w:p w14:paraId="602B5868" w14:textId="173B27F4" w:rsidR="004F377B" w:rsidRDefault="004F377B" w:rsidP="004F377B">
      <w:pPr>
        <w:pStyle w:val="List-BulletLvl1"/>
      </w:pPr>
      <w:r>
        <w:t xml:space="preserve">those already working in the wider addiction and mental health field have their own experiences and history and it seemed unnatural to this submitter to have to sit within a </w:t>
      </w:r>
      <w:r w:rsidR="0046353E">
        <w:t>‘</w:t>
      </w:r>
      <w:r>
        <w:t>clinical</w:t>
      </w:r>
      <w:r w:rsidR="0046353E">
        <w:t>’</w:t>
      </w:r>
      <w:r>
        <w:t xml:space="preserve"> role or a </w:t>
      </w:r>
      <w:r w:rsidR="0046353E">
        <w:t>‘</w:t>
      </w:r>
      <w:r>
        <w:t>lived experience</w:t>
      </w:r>
      <w:r w:rsidR="0046353E">
        <w:t>’</w:t>
      </w:r>
      <w:r>
        <w:t xml:space="preserve"> role rather than adopting a mindset that acknowledges that they have multiple experiences influencing the work</w:t>
      </w:r>
    </w:p>
    <w:p w14:paraId="79EB65E5" w14:textId="42D2AADC" w:rsidR="004F377B" w:rsidRDefault="004F377B" w:rsidP="004F377B">
      <w:pPr>
        <w:pStyle w:val="List-BulletLvl1"/>
      </w:pPr>
      <w:r>
        <w:t xml:space="preserve">the submitter was </w:t>
      </w:r>
      <w:r w:rsidR="0046353E">
        <w:t>‘</w:t>
      </w:r>
      <w:r>
        <w:t>not convinced</w:t>
      </w:r>
      <w:r w:rsidR="0046353E">
        <w:t>’</w:t>
      </w:r>
      <w:r>
        <w:t xml:space="preserve"> of the benefits of residential treatment for gambling issues if it would result in funding being diverted from community based/face-to-face services</w:t>
      </w:r>
      <w:r w:rsidR="00420CC7">
        <w:t>.</w:t>
      </w:r>
      <w:r>
        <w:t xml:space="preserve"> </w:t>
      </w:r>
      <w:r w:rsidR="00D12684">
        <w:t>I</w:t>
      </w:r>
      <w:r>
        <w:t xml:space="preserve">n this submitter’s experience, those whose main presenting issue is gambling-related harm and </w:t>
      </w:r>
      <w:r w:rsidR="00A66074">
        <w:t xml:space="preserve">who </w:t>
      </w:r>
      <w:r>
        <w:t>attend a residential program</w:t>
      </w:r>
      <w:r w:rsidR="00E95416">
        <w:t>me</w:t>
      </w:r>
      <w:r>
        <w:t xml:space="preserve"> find that current residential services are not </w:t>
      </w:r>
      <w:r w:rsidR="0046353E">
        <w:t>‘</w:t>
      </w:r>
      <w:r>
        <w:t>individualised</w:t>
      </w:r>
      <w:r w:rsidR="0046353E">
        <w:t>’</w:t>
      </w:r>
      <w:r>
        <w:t xml:space="preserve"> enough for them</w:t>
      </w:r>
    </w:p>
    <w:p w14:paraId="56B0F368" w14:textId="03F64F8E" w:rsidR="004F377B" w:rsidRDefault="004F377B" w:rsidP="004F377B">
      <w:pPr>
        <w:pStyle w:val="List-BulletLvl1"/>
      </w:pPr>
      <w:r>
        <w:t>it important to acknowledge the difficulties in addressing gambling</w:t>
      </w:r>
      <w:r w:rsidR="005E1F12">
        <w:t>-</w:t>
      </w:r>
      <w:r>
        <w:t xml:space="preserve">related harm (specifically NCGM venues) when the gambling industry is largely self-regulated. </w:t>
      </w:r>
    </w:p>
    <w:p w14:paraId="595FEA97" w14:textId="6FBFF2DB" w:rsidR="004F377B" w:rsidRPr="005D2DFB" w:rsidRDefault="004F377B" w:rsidP="004F377B">
      <w:pPr>
        <w:pStyle w:val="BodyText"/>
      </w:pPr>
      <w:r>
        <w:t xml:space="preserve">One NCGM sector submitter called for wraparound services that </w:t>
      </w:r>
      <w:r w:rsidR="00CE0599">
        <w:t>were</w:t>
      </w:r>
      <w:r>
        <w:t xml:space="preserve"> more flexible and responsive</w:t>
      </w:r>
      <w:r w:rsidR="00CD3FA6">
        <w:t>,</w:t>
      </w:r>
      <w:r>
        <w:t xml:space="preserve"> provided anecdotal evidence that venue staff have been approached by problem gamblers who seek more help than service providers are </w:t>
      </w:r>
      <w:r w:rsidR="00956CAF">
        <w:t>‘</w:t>
      </w:r>
      <w:r>
        <w:t>willing or able to provide</w:t>
      </w:r>
      <w:r w:rsidR="00956CAF">
        <w:t>’</w:t>
      </w:r>
      <w:r>
        <w:t>.</w:t>
      </w:r>
      <w:r>
        <w:rPr>
          <w:rStyle w:val="FootnoteReference"/>
        </w:rPr>
        <w:footnoteReference w:id="149"/>
      </w:r>
      <w:r>
        <w:t xml:space="preserve"> The NCGM submitter went on to describe the </w:t>
      </w:r>
      <w:r w:rsidR="00956CAF">
        <w:t>‘</w:t>
      </w:r>
      <w:r>
        <w:t>common experience</w:t>
      </w:r>
      <w:r w:rsidR="00956CAF">
        <w:t>’</w:t>
      </w:r>
      <w:r>
        <w:t xml:space="preserve"> of gamblers receiving small amounts of initial face time with a counsellor, with no mechanism for follow-up- this means that there is often not effective rehabilitation.</w:t>
      </w:r>
      <w:r>
        <w:rPr>
          <w:rStyle w:val="FootnoteReference"/>
        </w:rPr>
        <w:footnoteReference w:id="150"/>
      </w:r>
      <w:r>
        <w:t xml:space="preserve"> The submitter also noted the need for a more collaborative approach and a move away from silos.</w:t>
      </w:r>
      <w:r>
        <w:rPr>
          <w:rStyle w:val="FootnoteReference"/>
        </w:rPr>
        <w:footnoteReference w:id="151"/>
      </w:r>
      <w:r>
        <w:t xml:space="preserve"> The submitter considered that the</w:t>
      </w:r>
      <w:r w:rsidR="006047F4">
        <w:t xml:space="preserve"> draft</w:t>
      </w:r>
      <w:r>
        <w:t xml:space="preserve"> </w:t>
      </w:r>
      <w:r w:rsidR="00D75120">
        <w:t>s</w:t>
      </w:r>
      <w:r>
        <w:t>trategy did not adequately address the need to support a gambler fully through their journey to rehabilitation.</w:t>
      </w:r>
      <w:r>
        <w:rPr>
          <w:rStyle w:val="FootnoteReference"/>
        </w:rPr>
        <w:footnoteReference w:id="152"/>
      </w:r>
    </w:p>
    <w:p w14:paraId="4FB77833" w14:textId="14DD0AD2" w:rsidR="004F377B" w:rsidRPr="005D2DFB" w:rsidRDefault="004F377B" w:rsidP="004F377B">
      <w:pPr>
        <w:pStyle w:val="BodyText"/>
      </w:pPr>
      <w:r>
        <w:t xml:space="preserve">One service provider noted that in creating this objective, there </w:t>
      </w:r>
      <w:r w:rsidR="00DB6BC6">
        <w:t>needed to be</w:t>
      </w:r>
      <w:r>
        <w:t xml:space="preserve"> an </w:t>
      </w:r>
      <w:r w:rsidR="003F3E10">
        <w:t>‘</w:t>
      </w:r>
      <w:r>
        <w:t>aggressive strategy</w:t>
      </w:r>
      <w:r w:rsidR="003F3E10">
        <w:t>’</w:t>
      </w:r>
      <w:r>
        <w:t xml:space="preserve"> which look</w:t>
      </w:r>
      <w:r w:rsidR="00DB6BC6">
        <w:t>ed</w:t>
      </w:r>
      <w:r>
        <w:t xml:space="preserve"> to consider the dependency that the gambling harm minimisation sector has on the gambling levy.</w:t>
      </w:r>
      <w:r>
        <w:rPr>
          <w:rStyle w:val="FootnoteReference"/>
        </w:rPr>
        <w:footnoteReference w:id="153"/>
      </w:r>
      <w:r>
        <w:t xml:space="preserve"> The submitter urged the Ministry to further consider the role that public health has to play in the full spectrum of services and supports.</w:t>
      </w:r>
      <w:r>
        <w:rPr>
          <w:rStyle w:val="FootnoteReference"/>
        </w:rPr>
        <w:footnoteReference w:id="154"/>
      </w:r>
      <w:r>
        <w:t xml:space="preserve"> </w:t>
      </w:r>
    </w:p>
    <w:p w14:paraId="51ABCC5C" w14:textId="300AD56B" w:rsidR="004F377B" w:rsidRDefault="004F377B" w:rsidP="004F377B">
      <w:pPr>
        <w:pStyle w:val="CV-Heading2"/>
        <w:rPr>
          <w:i/>
          <w:iCs/>
        </w:rPr>
      </w:pPr>
      <w:r w:rsidRPr="00BD704A">
        <w:rPr>
          <w:i/>
          <w:iCs/>
        </w:rPr>
        <w:t xml:space="preserve">Objective </w:t>
      </w:r>
      <w:r w:rsidR="00AD5F96">
        <w:rPr>
          <w:i/>
          <w:iCs/>
        </w:rPr>
        <w:t>two</w:t>
      </w:r>
      <w:r w:rsidRPr="00BD704A">
        <w:rPr>
          <w:i/>
          <w:iCs/>
        </w:rPr>
        <w:t xml:space="preserve">: Shift cultural and social norms </w:t>
      </w:r>
    </w:p>
    <w:p w14:paraId="5CAEFE9E" w14:textId="5B416D0A" w:rsidR="00C73518" w:rsidRPr="00C73518" w:rsidRDefault="001C3649" w:rsidP="00C73518">
      <w:pPr>
        <w:pStyle w:val="BodyText"/>
      </w:pPr>
      <w:r>
        <w:t>Seventeen</w:t>
      </w:r>
      <w:r w:rsidR="009146AD" w:rsidRPr="00966DA4">
        <w:t xml:space="preserve"> submitters commented on objective two, including nine health and social service</w:t>
      </w:r>
      <w:r w:rsidR="000070BC">
        <w:t>s</w:t>
      </w:r>
      <w:r w:rsidR="009146AD" w:rsidRPr="00966DA4">
        <w:t xml:space="preserve"> submitters, seven service providers, and one gambling industry submitter.</w:t>
      </w:r>
      <w:r w:rsidR="009146AD" w:rsidRPr="00966DA4">
        <w:rPr>
          <w:rStyle w:val="FootnoteReference"/>
        </w:rPr>
        <w:footnoteReference w:id="155"/>
      </w:r>
      <w:r w:rsidR="009146AD">
        <w:t xml:space="preserve"> </w:t>
      </w:r>
    </w:p>
    <w:p w14:paraId="2DA392B4" w14:textId="5456E81F" w:rsidR="007E4F40" w:rsidRDefault="007E4F40" w:rsidP="004F377B">
      <w:pPr>
        <w:pStyle w:val="BodyText"/>
      </w:pPr>
      <w:r>
        <w:t>Objective two was widely supported</w:t>
      </w:r>
      <w:r w:rsidR="009512EE">
        <w:t xml:space="preserve">, with recommendations provided for implementation and improvement. </w:t>
      </w:r>
    </w:p>
    <w:p w14:paraId="35247A01" w14:textId="77777777" w:rsidR="001B149F" w:rsidRDefault="001B149F" w:rsidP="001B149F">
      <w:pPr>
        <w:pStyle w:val="BodyText"/>
      </w:pPr>
      <w:r>
        <w:t>Some submitters supported the objective without caveats because:</w:t>
      </w:r>
    </w:p>
    <w:p w14:paraId="53694D1B" w14:textId="46750AA6" w:rsidR="001B149F" w:rsidRDefault="001B149F" w:rsidP="001B149F">
      <w:pPr>
        <w:pStyle w:val="List-BulletLvl1"/>
      </w:pPr>
      <w:r>
        <w:lastRenderedPageBreak/>
        <w:t>achieving the shift in cultural and social norms</w:t>
      </w:r>
      <w:r w:rsidR="00985076">
        <w:t xml:space="preserve"> was </w:t>
      </w:r>
      <w:r>
        <w:t>a desirable outcome, and investment in de-stigmatisation initiatives and awareness campaigns would be a substantial leap forward in making services and supports more accessible (one health and social services submitter)</w:t>
      </w:r>
      <w:r>
        <w:rPr>
          <w:rStyle w:val="FootnoteReference"/>
        </w:rPr>
        <w:footnoteReference w:id="156"/>
      </w:r>
      <w:r>
        <w:t xml:space="preserve"> </w:t>
      </w:r>
    </w:p>
    <w:p w14:paraId="09BFEF5C" w14:textId="77777777" w:rsidR="001B149F" w:rsidRDefault="001B149F" w:rsidP="001B149F">
      <w:pPr>
        <w:pStyle w:val="List-BulletLvl1"/>
      </w:pPr>
      <w:r>
        <w:t>increased awareness in the population would encourage help-seeking behaviours and support others to recognise the signs of harmful gambling (one health and social services submitter)</w:t>
      </w:r>
      <w:r>
        <w:rPr>
          <w:rStyle w:val="FootnoteReference"/>
        </w:rPr>
        <w:footnoteReference w:id="157"/>
      </w:r>
      <w:r>
        <w:t xml:space="preserve"> </w:t>
      </w:r>
    </w:p>
    <w:p w14:paraId="46697982" w14:textId="77777777" w:rsidR="001B149F" w:rsidRDefault="001B149F" w:rsidP="001B149F">
      <w:pPr>
        <w:pStyle w:val="List-BulletLvl1"/>
      </w:pPr>
      <w:r>
        <w:t>the move away from personalising gambling harm to a focus on community and equity issues was supported (one health and social services submitter).</w:t>
      </w:r>
      <w:r>
        <w:rPr>
          <w:rStyle w:val="FootnoteReference"/>
        </w:rPr>
        <w:footnoteReference w:id="158"/>
      </w:r>
      <w:r>
        <w:t xml:space="preserve"> </w:t>
      </w:r>
    </w:p>
    <w:p w14:paraId="415D0E34" w14:textId="0841B5B5" w:rsidR="006B4C2F" w:rsidRDefault="006B4C2F" w:rsidP="002B4B22">
      <w:pPr>
        <w:pStyle w:val="BodyText"/>
      </w:pPr>
      <w:r>
        <w:t xml:space="preserve">Submitters expressed support for objective two generally, but also expressed some concerns about </w:t>
      </w:r>
      <w:r w:rsidR="00634875">
        <w:t>the realities of implementing it</w:t>
      </w:r>
      <w:r w:rsidR="002B4B22">
        <w:t>.</w:t>
      </w:r>
    </w:p>
    <w:p w14:paraId="7639F668" w14:textId="6E9550E3" w:rsidR="002C5ECD" w:rsidRDefault="00DF7735" w:rsidP="002B4B22">
      <w:pPr>
        <w:pStyle w:val="BodyText"/>
      </w:pPr>
      <w:r>
        <w:t>The strategy should consider i</w:t>
      </w:r>
      <w:r w:rsidR="002B4B22">
        <w:t>mpacts on whānau/the community as a whole:</w:t>
      </w:r>
    </w:p>
    <w:p w14:paraId="076197F5" w14:textId="6BD4A63E" w:rsidR="001C7326" w:rsidRDefault="001C7326" w:rsidP="004F377B">
      <w:pPr>
        <w:pStyle w:val="List-BulletLvl1"/>
      </w:pPr>
      <w:r>
        <w:t>one health and social services submitter and one service provider noted that any campaign to increase public awareness needs to focus on the drivers of harm and the impact of gambling across individuals, families and whānau, and communities and society as a whole, and that consultation on a campaign should include a range of stakeholders including social services, specialist and mainstream services, mental health and addiction services and people with lived experience</w:t>
      </w:r>
      <w:r>
        <w:rPr>
          <w:rStyle w:val="FootnoteReference"/>
        </w:rPr>
        <w:footnoteReference w:id="159"/>
      </w:r>
    </w:p>
    <w:p w14:paraId="35C4942A" w14:textId="79B5FAFF" w:rsidR="00497642" w:rsidRDefault="00497642" w:rsidP="00497642">
      <w:pPr>
        <w:pStyle w:val="List-BulletLvl1"/>
      </w:pPr>
      <w:r>
        <w:t>one service provider noted that increasing public awareness</w:t>
      </w:r>
      <w:r w:rsidR="00985076">
        <w:t xml:space="preserve"> was </w:t>
      </w:r>
      <w:r>
        <w:t>important, but how it</w:t>
      </w:r>
      <w:r w:rsidR="00985076">
        <w:t xml:space="preserve"> was </w:t>
      </w:r>
      <w:r>
        <w:t>framed as a community and equity issue rather than an individual issue</w:t>
      </w:r>
      <w:r w:rsidR="00985076">
        <w:t xml:space="preserve"> was </w:t>
      </w:r>
      <w:r>
        <w:t>essential, and that any future campaigns should focus on how gambling harm impacts all of society first, so that everyone buys into gambling harm prevention and stigma reduction</w:t>
      </w:r>
      <w:r>
        <w:rPr>
          <w:rStyle w:val="FootnoteReference"/>
        </w:rPr>
        <w:footnoteReference w:id="160"/>
      </w:r>
      <w:r>
        <w:t xml:space="preserve"> </w:t>
      </w:r>
    </w:p>
    <w:p w14:paraId="10FF2E9C" w14:textId="0A40605C" w:rsidR="002C5ECD" w:rsidRDefault="002C5ECD" w:rsidP="002B4B22">
      <w:pPr>
        <w:pStyle w:val="BodyText"/>
      </w:pPr>
      <w:r w:rsidRPr="002B4B22">
        <w:t>De</w:t>
      </w:r>
      <w:r w:rsidR="002B4B22" w:rsidRPr="002B4B22">
        <w:t>-s</w:t>
      </w:r>
      <w:r w:rsidRPr="002B4B22">
        <w:t xml:space="preserve">tigmatisation efforts </w:t>
      </w:r>
      <w:r w:rsidR="00DF7735">
        <w:t>were seen as essential</w:t>
      </w:r>
      <w:r w:rsidR="00D7009F" w:rsidRPr="002B4B22">
        <w:t xml:space="preserve"> to understand and address harm</w:t>
      </w:r>
      <w:r w:rsidR="002B4B22" w:rsidRPr="002B4B22">
        <w:t>:</w:t>
      </w:r>
    </w:p>
    <w:p w14:paraId="57FA7E8A" w14:textId="367E7976" w:rsidR="00984CB4" w:rsidRDefault="00984CB4" w:rsidP="00984CB4">
      <w:pPr>
        <w:pStyle w:val="List-BulletLvl1"/>
      </w:pPr>
      <w:r>
        <w:t>two service providers supported the need to increase public awareness about the nature of harmful gambling and how to provide support for those with gambling issues, including de-stigmatisation, but noted that engagement with Māori in particular needed to improve, and not occur after decisions have been made</w:t>
      </w:r>
      <w:r>
        <w:rPr>
          <w:rStyle w:val="FootnoteReference"/>
        </w:rPr>
        <w:footnoteReference w:id="161"/>
      </w:r>
      <w:r>
        <w:t xml:space="preserve"> </w:t>
      </w:r>
    </w:p>
    <w:p w14:paraId="2D0673BE" w14:textId="7C1CAE22" w:rsidR="00984CB4" w:rsidRDefault="00984CB4" w:rsidP="00984CB4">
      <w:pPr>
        <w:pStyle w:val="List-BulletLvl1"/>
      </w:pPr>
      <w:r>
        <w:t>one service provider supported the objective, particularly the strong public health approach outlined in the draft strategy, but noted that an equity response within in this objective would look to recognise the role that Te Ao Māori plays in understanding and addressing gambling harms and norms, in addition to addressing the wider determinants of health, as these form a critical part of informing social norms, in particularly, conversations about poverty, income and employment security, housing and wealth distribution and capability building</w:t>
      </w:r>
      <w:r>
        <w:rPr>
          <w:rStyle w:val="FootnoteReference"/>
        </w:rPr>
        <w:footnoteReference w:id="162"/>
      </w:r>
    </w:p>
    <w:p w14:paraId="2861FB11" w14:textId="07C7645A" w:rsidR="004F377B" w:rsidRDefault="00634875" w:rsidP="004F377B">
      <w:pPr>
        <w:pStyle w:val="List-BulletLvl1"/>
      </w:pPr>
      <w:r>
        <w:t>o</w:t>
      </w:r>
      <w:r w:rsidR="004F377B">
        <w:t xml:space="preserve">ne service provider </w:t>
      </w:r>
      <w:r>
        <w:t>was</w:t>
      </w:r>
      <w:r w:rsidR="004F377B">
        <w:t xml:space="preserve"> supportive of continuing to improve de-stigmatisation strategies and approaches</w:t>
      </w:r>
      <w:r>
        <w:t xml:space="preserve"> but</w:t>
      </w:r>
      <w:r w:rsidR="004F377B">
        <w:t xml:space="preserve"> were concerned that, like in the area of alcohol </w:t>
      </w:r>
      <w:r w:rsidR="004F377B">
        <w:lastRenderedPageBreak/>
        <w:t>control, education has largely seemed to be an ineffective strategy to affecting attitude or behaviour change</w:t>
      </w:r>
      <w:r>
        <w:t xml:space="preserve"> (one service provider)</w:t>
      </w:r>
      <w:r w:rsidR="004F377B">
        <w:rPr>
          <w:rStyle w:val="FootnoteReference"/>
        </w:rPr>
        <w:footnoteReference w:id="163"/>
      </w:r>
    </w:p>
    <w:p w14:paraId="56839482" w14:textId="46FDB264" w:rsidR="00B6430D" w:rsidRDefault="002E1B4B" w:rsidP="001E32D4">
      <w:pPr>
        <w:pStyle w:val="List-BulletLvl1"/>
      </w:pPr>
      <w:r>
        <w:t>o</w:t>
      </w:r>
      <w:r w:rsidR="00B6430D">
        <w:t>ne service provider was ‘delighted’ to see objective two and noted that they had witnessed first-hand the challenges of the stigma experienced by Asian communities in particular</w:t>
      </w:r>
      <w:r w:rsidR="00E95416">
        <w:t xml:space="preserve">. They went </w:t>
      </w:r>
      <w:r w:rsidR="00EB2F97">
        <w:t>on to comment that</w:t>
      </w:r>
      <w:r w:rsidR="00B6430D">
        <w:t xml:space="preserve"> understanding that gambling harm and stigma are culturally based</w:t>
      </w:r>
      <w:r w:rsidR="007C24B5">
        <w:t>.</w:t>
      </w:r>
      <w:r w:rsidR="00B6430D">
        <w:t xml:space="preserve"> is essential when designing an effective social marketing strategy, and provided some examples of specific ways in which Asian communities are harmed by, or respond to gambling</w:t>
      </w:r>
      <w:r>
        <w:t xml:space="preserve">, and noted that </w:t>
      </w:r>
      <w:r w:rsidR="0014778C">
        <w:t>insight and in-depth cultural knowledge was essential for encouraging behavioural change</w:t>
      </w:r>
      <w:r w:rsidR="00EB2F97">
        <w:rPr>
          <w:rStyle w:val="FootnoteReference"/>
        </w:rPr>
        <w:footnoteReference w:id="164"/>
      </w:r>
    </w:p>
    <w:p w14:paraId="7C4E0F32" w14:textId="0DB18AA9" w:rsidR="000700CA" w:rsidRDefault="000700CA" w:rsidP="000700CA">
      <w:pPr>
        <w:pStyle w:val="List-BulletLvl1"/>
      </w:pPr>
      <w:r>
        <w:t>one health and social services submitter recommended that awareness and education programmes, and the de-stigmatisation initiative be developed specifically for target population groups, noting that co-design with population groups would be essential in shifting cultural and social norms</w:t>
      </w:r>
      <w:r w:rsidR="00926796">
        <w:t>.</w:t>
      </w:r>
      <w:r>
        <w:rPr>
          <w:rStyle w:val="FootnoteReference"/>
        </w:rPr>
        <w:footnoteReference w:id="165"/>
      </w:r>
      <w:r>
        <w:t xml:space="preserve"> </w:t>
      </w:r>
    </w:p>
    <w:p w14:paraId="73B83173" w14:textId="5DDEEC62" w:rsidR="000700CA" w:rsidRDefault="00D80492" w:rsidP="00926796">
      <w:pPr>
        <w:pStyle w:val="BodyText"/>
      </w:pPr>
      <w:r>
        <w:t>One gambling industry submitter commented that further consideration must be given to the effect that stigmatisation of general gambling participation has on the resulting stigma associated with gambling harm.</w:t>
      </w:r>
      <w:r>
        <w:rPr>
          <w:rStyle w:val="FootnoteReference"/>
        </w:rPr>
        <w:footnoteReference w:id="166"/>
      </w:r>
      <w:r>
        <w:t xml:space="preserve"> This submitter considered that its own role was most important in relation to objective two.</w:t>
      </w:r>
      <w:r>
        <w:rPr>
          <w:rStyle w:val="FootnoteReference"/>
        </w:rPr>
        <w:footnoteReference w:id="167"/>
      </w:r>
    </w:p>
    <w:p w14:paraId="219CFA00" w14:textId="25BA3F38" w:rsidR="00352448" w:rsidRDefault="00352448" w:rsidP="002B4B22">
      <w:pPr>
        <w:pStyle w:val="BodyText"/>
      </w:pPr>
      <w:r w:rsidRPr="002B4B22">
        <w:t>Preventio</w:t>
      </w:r>
      <w:r w:rsidR="001175EB" w:rsidRPr="002B4B22">
        <w:t>n is better than a cure</w:t>
      </w:r>
      <w:r w:rsidR="002B4B22">
        <w:t xml:space="preserve">: </w:t>
      </w:r>
      <w:r w:rsidR="00DF7735">
        <w:t>submitters considered that a</w:t>
      </w:r>
      <w:r w:rsidR="002B4B22">
        <w:t xml:space="preserve"> health promotion</w:t>
      </w:r>
      <w:r w:rsidR="000E7A20" w:rsidRPr="002B4B22">
        <w:t xml:space="preserve"> and environmental approach</w:t>
      </w:r>
      <w:r w:rsidR="002B4B22">
        <w:t xml:space="preserve"> should be taken: </w:t>
      </w:r>
    </w:p>
    <w:p w14:paraId="6791353D" w14:textId="77777777" w:rsidR="00497642" w:rsidRDefault="00497642" w:rsidP="00497642">
      <w:pPr>
        <w:pStyle w:val="List-BulletLvl1"/>
      </w:pPr>
      <w:r>
        <w:t>one service provider strongly supported a public health approach focusing on building health environments through policy, health promotion and community engagement, however, believed that policy change was constrained by the Act</w:t>
      </w:r>
      <w:r>
        <w:rPr>
          <w:rStyle w:val="FootnoteReference"/>
        </w:rPr>
        <w:footnoteReference w:id="168"/>
      </w:r>
      <w:r>
        <w:t xml:space="preserve"> </w:t>
      </w:r>
    </w:p>
    <w:p w14:paraId="34099B4E" w14:textId="035CFE86" w:rsidR="006F0FF6" w:rsidRDefault="006F0FF6" w:rsidP="00870943">
      <w:pPr>
        <w:pStyle w:val="List-BulletLvl1"/>
      </w:pPr>
      <w:r>
        <w:t>o</w:t>
      </w:r>
      <w:r w:rsidR="00870943">
        <w:t>ne service provider considered that stronger primary prevention efforts are required for those exposed to mild gambling-related harm, and that this would help reduce the number of people developing and being affected by severe gambling harm in the first place</w:t>
      </w:r>
      <w:r w:rsidR="00870943">
        <w:rPr>
          <w:rStyle w:val="FootnoteReference"/>
        </w:rPr>
        <w:footnoteReference w:id="169"/>
      </w:r>
      <w:r w:rsidR="00870943">
        <w:t xml:space="preserve"> </w:t>
      </w:r>
    </w:p>
    <w:p w14:paraId="2AE4DB87" w14:textId="77777777" w:rsidR="000E7A20" w:rsidRDefault="000E7A20" w:rsidP="000E7A20">
      <w:pPr>
        <w:pStyle w:val="List-BulletLvl1"/>
      </w:pPr>
      <w:r>
        <w:t>one service provider commented that a focus on prevention would help address inequities, and therefore the priority action area to reduce the stigma attached to gambling was supported, however, it would be more effective to address inequities by changing the environment that people live in</w:t>
      </w:r>
      <w:r>
        <w:rPr>
          <w:rStyle w:val="FootnoteReference"/>
        </w:rPr>
        <w:t>,</w:t>
      </w:r>
      <w:r>
        <w:t xml:space="preserve"> and further information about how this would be achieved was needed</w:t>
      </w:r>
      <w:r>
        <w:rPr>
          <w:rStyle w:val="FootnoteReference"/>
        </w:rPr>
        <w:footnoteReference w:id="170"/>
      </w:r>
    </w:p>
    <w:p w14:paraId="0B197112" w14:textId="6FA99C54" w:rsidR="000E7A20" w:rsidRPr="002B4B22" w:rsidRDefault="00DF7735" w:rsidP="002B4B22">
      <w:pPr>
        <w:pStyle w:val="BodyText"/>
      </w:pPr>
      <w:r>
        <w:t>Submitters repeated that i</w:t>
      </w:r>
      <w:r w:rsidR="000E7A20" w:rsidRPr="002B4B22">
        <w:t xml:space="preserve">mplementation </w:t>
      </w:r>
      <w:r>
        <w:t>wa</w:t>
      </w:r>
      <w:r w:rsidR="000E7A20" w:rsidRPr="002B4B22">
        <w:t>s key</w:t>
      </w:r>
      <w:r w:rsidR="002B4B22" w:rsidRPr="002B4B22">
        <w:t>:</w:t>
      </w:r>
    </w:p>
    <w:p w14:paraId="3C8A2F39" w14:textId="77777777" w:rsidR="00307B45" w:rsidRDefault="00307B45" w:rsidP="00307B45">
      <w:pPr>
        <w:pStyle w:val="List-BulletLvl1"/>
      </w:pPr>
      <w:r>
        <w:t xml:space="preserve">one service provider commented that a focus on prevention would help address inequities, and therefore the priority action area to reduce the stigma attached to gambling was supported, however, it would be more effective to address inequities </w:t>
      </w:r>
      <w:r>
        <w:lastRenderedPageBreak/>
        <w:t>by changing the environment that people live in</w:t>
      </w:r>
      <w:r>
        <w:rPr>
          <w:rStyle w:val="FootnoteReference"/>
        </w:rPr>
        <w:t>,</w:t>
      </w:r>
      <w:r>
        <w:t xml:space="preserve"> and further information about how this would be achieved was needed</w:t>
      </w:r>
      <w:r>
        <w:rPr>
          <w:rStyle w:val="FootnoteReference"/>
        </w:rPr>
        <w:footnoteReference w:id="171"/>
      </w:r>
    </w:p>
    <w:p w14:paraId="11DCBC91" w14:textId="3136A646" w:rsidR="00B20ED8" w:rsidRDefault="00DF7735" w:rsidP="004C6FA2">
      <w:pPr>
        <w:pStyle w:val="BodyText"/>
      </w:pPr>
      <w:r>
        <w:t>Submitters considered e</w:t>
      </w:r>
      <w:r w:rsidR="00AB65B9" w:rsidRPr="00290094">
        <w:t>quity</w:t>
      </w:r>
      <w:r w:rsidR="00290094" w:rsidRPr="00290094">
        <w:t xml:space="preserve"> considerations </w:t>
      </w:r>
      <w:r>
        <w:t>to be</w:t>
      </w:r>
      <w:r w:rsidR="00290094" w:rsidRPr="00290094">
        <w:t xml:space="preserve"> essential:</w:t>
      </w:r>
    </w:p>
    <w:p w14:paraId="6608B314" w14:textId="3B203BE2" w:rsidR="00D2755F" w:rsidRDefault="0023124A" w:rsidP="00D2755F">
      <w:pPr>
        <w:pStyle w:val="List-BulletLvl1"/>
      </w:pPr>
      <w:r>
        <w:t>one service provider noted that</w:t>
      </w:r>
      <w:r w:rsidR="00D2755F">
        <w:t xml:space="preserve"> access to Lotto and the proliferation of new ‘games’ remain</w:t>
      </w:r>
      <w:r>
        <w:t>ed</w:t>
      </w:r>
      <w:r w:rsidR="00D2755F">
        <w:t xml:space="preserve"> an issue</w:t>
      </w:r>
      <w:r>
        <w:t xml:space="preserve">, </w:t>
      </w:r>
      <w:r w:rsidR="00D2755F">
        <w:t>particularly in disadvantaged communities</w:t>
      </w:r>
      <w:r>
        <w:t xml:space="preserve"> and</w:t>
      </w:r>
      <w:r w:rsidR="00D2755F">
        <w:t xml:space="preserve"> considered that although the draft strategy outlined the increase in this area, it was unclear what approach the Ministry was planning to take to reduce the availability of games, particularly in disadvantaged communities</w:t>
      </w:r>
      <w:r w:rsidR="00D2755F">
        <w:rPr>
          <w:rStyle w:val="FootnoteReference"/>
        </w:rPr>
        <w:footnoteReference w:id="172"/>
      </w:r>
    </w:p>
    <w:p w14:paraId="1E3EF693" w14:textId="09979654" w:rsidR="0023124A" w:rsidRDefault="0023124A" w:rsidP="00D2755F">
      <w:pPr>
        <w:pStyle w:val="List-BulletLvl1"/>
      </w:pPr>
      <w:r>
        <w:t>o</w:t>
      </w:r>
      <w:r w:rsidR="00D2755F">
        <w:t>ne health and social services submitter expressed their support of the objective, and recommended that the priority action areas be explicit in demonstrating how shifting cultural and social norms w</w:t>
      </w:r>
      <w:r>
        <w:t>ould</w:t>
      </w:r>
      <w:r w:rsidR="00D2755F">
        <w:t xml:space="preserve"> be achieved for the priority population groups from prevention through to treatment</w:t>
      </w:r>
      <w:r w:rsidR="00D2755F">
        <w:rPr>
          <w:rStyle w:val="FootnoteReference"/>
        </w:rPr>
        <w:footnoteReference w:id="173"/>
      </w:r>
      <w:r w:rsidR="00D2755F">
        <w:t xml:space="preserve"> </w:t>
      </w:r>
    </w:p>
    <w:p w14:paraId="7F57F20B" w14:textId="66423FC8" w:rsidR="00634875" w:rsidRDefault="00260E2B" w:rsidP="004F377B">
      <w:pPr>
        <w:pStyle w:val="BodyText"/>
      </w:pPr>
      <w:r>
        <w:t>One health and social services submitter</w:t>
      </w:r>
      <w:r w:rsidR="00634875">
        <w:t xml:space="preserve"> suggested </w:t>
      </w:r>
      <w:r w:rsidR="00FD29B5">
        <w:t>additional actions that they wanted to see taken in relation to the objective:</w:t>
      </w:r>
    </w:p>
    <w:p w14:paraId="2A73672B" w14:textId="779431D7" w:rsidR="00260E2B" w:rsidRDefault="004F377B" w:rsidP="00FF6D03">
      <w:pPr>
        <w:pStyle w:val="List-BulletLvl1"/>
      </w:pPr>
      <w:r>
        <w:t xml:space="preserve">additional research </w:t>
      </w:r>
      <w:r w:rsidR="00260E2B">
        <w:t>should</w:t>
      </w:r>
      <w:r>
        <w:t xml:space="preserve"> be undertaken to look at the community grants model in relation to NCGM gambling</w:t>
      </w:r>
      <w:r w:rsidR="00260E2B">
        <w:t>, and po</w:t>
      </w:r>
      <w:r>
        <w:t xml:space="preserve">inted out that while 1.3 percent of New Zealanders regularly use NCGMs, 50 percent of the NCGMs are in the most deprived communities, which means that the majority of the money being paid out by </w:t>
      </w:r>
      <w:r w:rsidR="00027447">
        <w:t>t</w:t>
      </w:r>
      <w:r>
        <w:t xml:space="preserve">rusts and </w:t>
      </w:r>
      <w:r w:rsidR="00027447">
        <w:t>s</w:t>
      </w:r>
      <w:r>
        <w:t>ocieties to community groups is coming from the poorest New Zealanders</w:t>
      </w:r>
      <w:r>
        <w:rPr>
          <w:rStyle w:val="FootnoteReference"/>
        </w:rPr>
        <w:footnoteReference w:id="174"/>
      </w:r>
      <w:r>
        <w:t xml:space="preserve"> </w:t>
      </w:r>
    </w:p>
    <w:p w14:paraId="51E9897A" w14:textId="0B4902D7" w:rsidR="004F377B" w:rsidRDefault="004F377B" w:rsidP="00FD29B5">
      <w:pPr>
        <w:pStyle w:val="List-BulletLvl1"/>
      </w:pPr>
      <w:r>
        <w:t xml:space="preserve">the current funding model </w:t>
      </w:r>
      <w:r w:rsidR="00260E2B">
        <w:t>was</w:t>
      </w:r>
      <w:r>
        <w:t xml:space="preserve"> inequitable as the Boards are self-appointed and only accountable to themselves when deciding which groups receive the proceeds of NCGM losses</w:t>
      </w:r>
      <w:r w:rsidR="00260E2B">
        <w:t>, and</w:t>
      </w:r>
      <w:r>
        <w:t xml:space="preserve"> suggested that NCGM losses be replaced with a government grants programme, which would, in their opinion, achieve:</w:t>
      </w:r>
    </w:p>
    <w:p w14:paraId="074BE00C" w14:textId="77777777" w:rsidR="004F377B" w:rsidRDefault="004F377B" w:rsidP="00FD29B5">
      <w:pPr>
        <w:pStyle w:val="List-BulletLvl2"/>
      </w:pPr>
      <w:r>
        <w:t>community and sports funding being secured so services can continue to be delivered</w:t>
      </w:r>
    </w:p>
    <w:p w14:paraId="04DECDDB" w14:textId="3461F71F" w:rsidR="004F377B" w:rsidRDefault="004F377B" w:rsidP="00FD29B5">
      <w:pPr>
        <w:pStyle w:val="List-BulletLvl2"/>
      </w:pPr>
      <w:r>
        <w:t>losses from the most deprived communities would stop being diverted to national public programmes and national sports interests</w:t>
      </w:r>
    </w:p>
    <w:p w14:paraId="0A6E9445" w14:textId="77777777" w:rsidR="001B149F" w:rsidRDefault="004F377B" w:rsidP="001B149F">
      <w:pPr>
        <w:pStyle w:val="List-BulletLvl2"/>
      </w:pPr>
      <w:r>
        <w:t>transparency about who gets what money and what it is used for.</w:t>
      </w:r>
      <w:r>
        <w:rPr>
          <w:rStyle w:val="FootnoteReference"/>
        </w:rPr>
        <w:footnoteReference w:id="175"/>
      </w:r>
      <w:r w:rsidR="001B149F" w:rsidRPr="001B149F">
        <w:t xml:space="preserve"> </w:t>
      </w:r>
    </w:p>
    <w:p w14:paraId="728C0573" w14:textId="465D73E1" w:rsidR="004F377B" w:rsidRDefault="001B149F" w:rsidP="001B149F">
      <w:pPr>
        <w:pStyle w:val="List-BulletLvl1"/>
        <w:numPr>
          <w:ilvl w:val="0"/>
          <w:numId w:val="0"/>
        </w:numPr>
      </w:pPr>
      <w:r>
        <w:t>One health and social services submitter considered it to be “fundamental to acknowledge that gambling practices were introduced through colonisation and were not present in Te Ao Māori prior to the arrival of Europeans.”</w:t>
      </w:r>
      <w:r>
        <w:rPr>
          <w:rStyle w:val="FootnoteReference"/>
        </w:rPr>
        <w:footnoteReference w:id="176"/>
      </w:r>
      <w:r>
        <w:t xml:space="preserve"> The submitter also commented that information and support to make health</w:t>
      </w:r>
      <w:r w:rsidR="00926796">
        <w:t>y</w:t>
      </w:r>
      <w:r>
        <w:t xml:space="preserve"> choices about gambling should be widely available, barrier-free and accessible in many languages.</w:t>
      </w:r>
      <w:r>
        <w:rPr>
          <w:rStyle w:val="FootnoteReference"/>
        </w:rPr>
        <w:footnoteReference w:id="177"/>
      </w:r>
    </w:p>
    <w:p w14:paraId="06F558E6" w14:textId="7B874B35" w:rsidR="004F377B" w:rsidRDefault="004F377B" w:rsidP="004F377B">
      <w:pPr>
        <w:pStyle w:val="CV-Heading2"/>
        <w:rPr>
          <w:i/>
          <w:iCs/>
        </w:rPr>
      </w:pPr>
      <w:r w:rsidRPr="001969B1">
        <w:rPr>
          <w:i/>
          <w:iCs/>
        </w:rPr>
        <w:lastRenderedPageBreak/>
        <w:t xml:space="preserve">Objective </w:t>
      </w:r>
      <w:r w:rsidR="00B63C65">
        <w:rPr>
          <w:i/>
          <w:iCs/>
        </w:rPr>
        <w:t>three</w:t>
      </w:r>
      <w:r w:rsidRPr="001969B1">
        <w:rPr>
          <w:i/>
          <w:iCs/>
        </w:rPr>
        <w:t>: Strengthen leadership and accountability to achieve equity</w:t>
      </w:r>
    </w:p>
    <w:p w14:paraId="35B55954" w14:textId="5009EC9C" w:rsidR="00401546" w:rsidRPr="00401546" w:rsidRDefault="000014E8" w:rsidP="00260E2B">
      <w:pPr>
        <w:pStyle w:val="BodyText"/>
      </w:pPr>
      <w:r>
        <w:t>Sixteen</w:t>
      </w:r>
      <w:r w:rsidR="00401546" w:rsidRPr="008E4837">
        <w:t xml:space="preserve"> submitters commented on objective </w:t>
      </w:r>
      <w:r w:rsidR="00401546">
        <w:t>three</w:t>
      </w:r>
      <w:r w:rsidR="00401546" w:rsidRPr="008E4837">
        <w:t>, including six service</w:t>
      </w:r>
      <w:r w:rsidR="00401546">
        <w:t xml:space="preserve"> providers, six health and social service</w:t>
      </w:r>
      <w:r w:rsidR="00DD2293">
        <w:t>s</w:t>
      </w:r>
      <w:r w:rsidR="00401546">
        <w:t xml:space="preserve"> submitters, two gambling industry submitters, one local government submitter, and one NCGM submitter.</w:t>
      </w:r>
      <w:r w:rsidR="00401546">
        <w:rPr>
          <w:rStyle w:val="FootnoteReference"/>
        </w:rPr>
        <w:footnoteReference w:id="178"/>
      </w:r>
      <w:r w:rsidR="00401546">
        <w:t xml:space="preserve"> </w:t>
      </w:r>
    </w:p>
    <w:p w14:paraId="3F98B8BF" w14:textId="5AB361EA" w:rsidR="00C07F49" w:rsidRDefault="00EB4DDF" w:rsidP="00260E2B">
      <w:pPr>
        <w:pStyle w:val="BodyText"/>
      </w:pPr>
      <w:r>
        <w:t>In relation to objective three, submitters wanted to see much more collaboration between services, government departments and more inclusion of local government</w:t>
      </w:r>
      <w:r w:rsidR="00B0690A">
        <w:t xml:space="preserve">. Submitters acknowledged the separate roles of the Ministry and DIA </w:t>
      </w:r>
      <w:r w:rsidR="00C45466">
        <w:t>and</w:t>
      </w:r>
      <w:r w:rsidR="00B0690A">
        <w:t xml:space="preserve"> encouraged the Ministry to take a </w:t>
      </w:r>
      <w:r w:rsidR="00C45466">
        <w:t xml:space="preserve">more active role in driving policy improvement. </w:t>
      </w:r>
    </w:p>
    <w:p w14:paraId="3E1571E0" w14:textId="77777777" w:rsidR="00C07F49" w:rsidRDefault="008C324C" w:rsidP="00C07F49">
      <w:pPr>
        <w:pStyle w:val="BodyText"/>
      </w:pPr>
      <w:r>
        <w:t>Submitters wanted to see more support to improve the regulatory environment</w:t>
      </w:r>
      <w:r w:rsidR="00DF7735">
        <w:t>:</w:t>
      </w:r>
    </w:p>
    <w:p w14:paraId="01B923AF" w14:textId="6FE3DFF5" w:rsidR="00C07F49" w:rsidRDefault="00C07F49" w:rsidP="00C07F49">
      <w:pPr>
        <w:pStyle w:val="List-BulletLvl1"/>
      </w:pPr>
      <w:r>
        <w:t xml:space="preserve">the outcome of the </w:t>
      </w:r>
      <w:r w:rsidRPr="00377D42">
        <w:rPr>
          <w:i/>
          <w:iCs/>
        </w:rPr>
        <w:t>Online Gambling Review</w:t>
      </w:r>
      <w:r>
        <w:t xml:space="preserve"> would be fundamental to reducing the significant and increasing spend by New Zealanders on unregulated offshore online gambling websites, which have no mandatory harm minimisation controls</w:t>
      </w:r>
      <w:r w:rsidR="00290D9F">
        <w:t xml:space="preserve"> (one gambling industry submitter)</w:t>
      </w:r>
      <w:r>
        <w:rPr>
          <w:rStyle w:val="FootnoteReference"/>
        </w:rPr>
        <w:footnoteReference w:id="179"/>
      </w:r>
    </w:p>
    <w:p w14:paraId="3EBE45C7" w14:textId="77777777" w:rsidR="00290D9F" w:rsidRDefault="00BD2FD9" w:rsidP="000B173D">
      <w:pPr>
        <w:pStyle w:val="List-BulletLvl1"/>
      </w:pPr>
      <w:r>
        <w:t xml:space="preserve">the priority areas under this objective should address gambling product design and environments, e.g., the </w:t>
      </w:r>
      <w:r w:rsidRPr="00290D9F">
        <w:rPr>
          <w:i/>
          <w:iCs/>
        </w:rPr>
        <w:t>Gaming Machine National Standards</w:t>
      </w:r>
      <w:r>
        <w:t xml:space="preserve"> could be amended to reduce electronic gaming machine salience, and mandate for all machines to have in-built facial recognition so that exclusions can be properly monitored</w:t>
      </w:r>
      <w:r w:rsidR="00290D9F">
        <w:t xml:space="preserve"> (one service provider)</w:t>
      </w:r>
      <w:r>
        <w:rPr>
          <w:rStyle w:val="FootnoteReference"/>
        </w:rPr>
        <w:footnoteReference w:id="180"/>
      </w:r>
      <w:r>
        <w:t xml:space="preserve"> </w:t>
      </w:r>
    </w:p>
    <w:p w14:paraId="3F4289B5" w14:textId="7CDBBA3A" w:rsidR="00E5611C" w:rsidRDefault="00290D9F" w:rsidP="000B173D">
      <w:pPr>
        <w:pStyle w:val="List-BulletLvl1"/>
      </w:pPr>
      <w:r>
        <w:t>on</w:t>
      </w:r>
      <w:r w:rsidR="00E5611C">
        <w:t>e service provider had collected questions from its community on objective three:</w:t>
      </w:r>
      <w:r w:rsidR="00E5611C">
        <w:rPr>
          <w:rStyle w:val="FootnoteReference"/>
        </w:rPr>
        <w:footnoteReference w:id="181"/>
      </w:r>
    </w:p>
    <w:p w14:paraId="76A9BCDE" w14:textId="77777777" w:rsidR="00E5611C" w:rsidRDefault="00E5611C" w:rsidP="00290D9F">
      <w:pPr>
        <w:pStyle w:val="List-BulletLvl2"/>
      </w:pPr>
      <w:r>
        <w:t>is there a plan to invest more into local government or an opportunity for councils to take on some of the regulatory tasks that DIA would usually undertake?</w:t>
      </w:r>
    </w:p>
    <w:p w14:paraId="68BF81DD" w14:textId="77777777" w:rsidR="00E5611C" w:rsidRDefault="00E5611C" w:rsidP="00290D9F">
      <w:pPr>
        <w:pStyle w:val="List-BulletLvl2"/>
      </w:pPr>
      <w:r>
        <w:t xml:space="preserve">what changes can be made to align legislation and the Act to be more relevant? </w:t>
      </w:r>
    </w:p>
    <w:p w14:paraId="1B0C9224" w14:textId="77777777" w:rsidR="00C07F49" w:rsidRDefault="008C324C" w:rsidP="008C324C">
      <w:pPr>
        <w:pStyle w:val="BodyText"/>
      </w:pPr>
      <w:r>
        <w:t>Submitters considered that the Ministry had an important leadership role</w:t>
      </w:r>
      <w:r w:rsidR="00DF7735">
        <w:t>:</w:t>
      </w:r>
    </w:p>
    <w:p w14:paraId="170FD1AE" w14:textId="154F9117" w:rsidR="006903E7" w:rsidRDefault="006903E7" w:rsidP="006903E7">
      <w:pPr>
        <w:pStyle w:val="List-BulletLvl1"/>
      </w:pPr>
      <w:r>
        <w:t>objective three involves the Ministry and DIA working closely together, and it was recommended that the Ministry urge DIA to consider effective changes to the gambling environment (two service providers and one health and social services submitter)</w:t>
      </w:r>
      <w:r>
        <w:rPr>
          <w:rStyle w:val="FootnoteReference"/>
        </w:rPr>
        <w:footnoteReference w:id="182"/>
      </w:r>
      <w:r>
        <w:t xml:space="preserve"> </w:t>
      </w:r>
    </w:p>
    <w:p w14:paraId="39161A96" w14:textId="77777777" w:rsidR="00C07F49" w:rsidRDefault="00C07F49" w:rsidP="00C07F49">
      <w:pPr>
        <w:pStyle w:val="List-BulletLvl1"/>
      </w:pPr>
      <w:r>
        <w:t>strong leadership and accountability to achieve the outcomes intended would be essential (one health and social services submitter)</w:t>
      </w:r>
      <w:r>
        <w:rPr>
          <w:rStyle w:val="FootnoteReference"/>
        </w:rPr>
        <w:footnoteReference w:id="183"/>
      </w:r>
      <w:r>
        <w:t xml:space="preserve"> </w:t>
      </w:r>
    </w:p>
    <w:p w14:paraId="474F095C" w14:textId="52F1AE98" w:rsidR="008C324C" w:rsidRDefault="00C07F49" w:rsidP="00C07F49">
      <w:pPr>
        <w:pStyle w:val="List-BulletLvl1"/>
      </w:pPr>
      <w:r>
        <w:t>the Ministry could use this objective to enact the most effective change to fulfil the strategic goal around addressing equity, prevention, and reducing gambling harm (service provider)</w:t>
      </w:r>
      <w:r>
        <w:rPr>
          <w:rStyle w:val="FootnoteReference"/>
        </w:rPr>
        <w:footnoteReference w:id="184"/>
      </w:r>
    </w:p>
    <w:p w14:paraId="2122EC39" w14:textId="7D03E232" w:rsidR="008C324C" w:rsidRDefault="008C324C" w:rsidP="008C324C">
      <w:pPr>
        <w:pStyle w:val="BodyText"/>
      </w:pPr>
      <w:r>
        <w:t>Submitters wanted to see m</w:t>
      </w:r>
      <w:r w:rsidR="00DF7735">
        <w:t>ore consultation and collaboration:</w:t>
      </w:r>
    </w:p>
    <w:p w14:paraId="605670C4" w14:textId="3BF330E7" w:rsidR="009533FF" w:rsidRDefault="009533FF" w:rsidP="009533FF">
      <w:pPr>
        <w:pStyle w:val="List-BulletLvl1"/>
      </w:pPr>
      <w:r>
        <w:lastRenderedPageBreak/>
        <w:t>one service provider strongly supported improved leadership and accountability and noted that the priority action areas under objective three were strong</w:t>
      </w:r>
      <w:r w:rsidR="009511C7">
        <w:t>. They</w:t>
      </w:r>
      <w:r>
        <w:t xml:space="preserve"> considered that a component of the responsibility sat with the Ministry to improve communication and information sharing with the sector, other key stakeholders and the public, e.g., research summaries, feedback after reporting periods and intervention service data being supplied back to the sector in a more helpful way:</w:t>
      </w:r>
      <w:r>
        <w:rPr>
          <w:rStyle w:val="FootnoteReference"/>
        </w:rPr>
        <w:footnoteReference w:id="185"/>
      </w:r>
      <w:r>
        <w:t xml:space="preserve"> </w:t>
      </w:r>
    </w:p>
    <w:p w14:paraId="6F30FED8" w14:textId="10056BB2" w:rsidR="009533FF" w:rsidRDefault="009533FF" w:rsidP="009533FF">
      <w:pPr>
        <w:pStyle w:val="List-BulletLvl2"/>
      </w:pPr>
      <w:r>
        <w:t>the submitter also wanted to see more proactive consultation and collaboration with the whole specialist PMGH service sector to reduce systemic barriers and support innovative and collaborative problem-solving</w:t>
      </w:r>
    </w:p>
    <w:p w14:paraId="4F33A2FA" w14:textId="11214C6D" w:rsidR="00E5611C" w:rsidRDefault="00AD10E8" w:rsidP="00AD10E8">
      <w:pPr>
        <w:pStyle w:val="List-BulletLvl1"/>
      </w:pPr>
      <w:r>
        <w:t>t</w:t>
      </w:r>
      <w:r w:rsidR="00E5611C">
        <w:t>wo service providers acknowledged the Needs Assessment findings, and noted that the Ministry could do more to:</w:t>
      </w:r>
      <w:r w:rsidR="00E5611C">
        <w:rPr>
          <w:rStyle w:val="FootnoteReference"/>
        </w:rPr>
        <w:footnoteReference w:id="186"/>
      </w:r>
    </w:p>
    <w:p w14:paraId="0B0020EC" w14:textId="77777777" w:rsidR="00E5611C" w:rsidRDefault="00E5611C" w:rsidP="00AD10E8">
      <w:pPr>
        <w:pStyle w:val="List-BulletLvl2"/>
      </w:pPr>
      <w:r>
        <w:t>develop and maintain mutually respectful partnerships and relationships</w:t>
      </w:r>
    </w:p>
    <w:p w14:paraId="1EFBB7E2" w14:textId="77777777" w:rsidR="00E5611C" w:rsidRDefault="00E5611C" w:rsidP="00AD10E8">
      <w:pPr>
        <w:pStyle w:val="List-BulletLvl2"/>
      </w:pPr>
      <w:r>
        <w:t>consult and engage with gambling harm services, gambling operators, researchers and communities</w:t>
      </w:r>
    </w:p>
    <w:p w14:paraId="39CA0AC8" w14:textId="77777777" w:rsidR="00E5611C" w:rsidRDefault="00E5611C" w:rsidP="00AD10E8">
      <w:pPr>
        <w:pStyle w:val="List-BulletLvl2"/>
      </w:pPr>
      <w:r>
        <w:t xml:space="preserve">create more decisive leadership in gambling harm minimisation and reduction. </w:t>
      </w:r>
    </w:p>
    <w:p w14:paraId="5AD3CB0B" w14:textId="77777777" w:rsidR="00D31342" w:rsidRDefault="00C07F49" w:rsidP="00D31342">
      <w:pPr>
        <w:pStyle w:val="BodyText"/>
      </w:pPr>
      <w:r>
        <w:t>Working with local government was seen as important:</w:t>
      </w:r>
      <w:r w:rsidR="00D31342" w:rsidRPr="00D31342">
        <w:t xml:space="preserve"> </w:t>
      </w:r>
    </w:p>
    <w:p w14:paraId="73D9812E" w14:textId="7BA7E654" w:rsidR="00D31342" w:rsidRDefault="00D31342" w:rsidP="00D31342">
      <w:pPr>
        <w:pStyle w:val="List-BulletLvl1"/>
      </w:pPr>
      <w:r>
        <w:t>support for a collaborative approach between central government, local government, problem gambling service providers, the gambling sector and communities to prevent and minimise gambling-related harm and reduce gambling-related health inequities, but wanted to see more reference to the role local government plays in gambling harm prevention, and considered that given principles of community focus and collaboration, local government should be explicitly recognised as a strategic partner (one local government submitter)</w:t>
      </w:r>
      <w:r>
        <w:rPr>
          <w:rStyle w:val="FootnoteReference"/>
        </w:rPr>
        <w:footnoteReference w:id="187"/>
      </w:r>
    </w:p>
    <w:p w14:paraId="66F35968" w14:textId="395B2959" w:rsidR="00C45466" w:rsidRDefault="00AD10E8" w:rsidP="00260E2B">
      <w:pPr>
        <w:pStyle w:val="BodyText"/>
      </w:pPr>
      <w:r>
        <w:t>O</w:t>
      </w:r>
      <w:r w:rsidR="00C31986">
        <w:t>ther submitters supported objective three, but considered that there were ways that it could be improved:</w:t>
      </w:r>
    </w:p>
    <w:p w14:paraId="1407FB80" w14:textId="6098F0AA" w:rsidR="00007D1E" w:rsidRDefault="00007D1E" w:rsidP="00007D1E">
      <w:pPr>
        <w:pStyle w:val="List-BulletLvl1"/>
      </w:pPr>
      <w:r>
        <w:t>one health and social services submitter noted that the action area to improve the legislative and regulatory framework was an opportunity to address the current gambling environment and explore policy levers outside of what currently exists</w:t>
      </w:r>
      <w:r w:rsidR="001575A3">
        <w:t xml:space="preserve"> and</w:t>
      </w:r>
      <w:r>
        <w:t xml:space="preserve"> noted that effective policy levers will be different for each industry setting (e.g., Lotto, NCGM, casinos, sports betting, and online gambling)</w:t>
      </w:r>
      <w:r>
        <w:rPr>
          <w:rStyle w:val="FootnoteReference"/>
        </w:rPr>
        <w:footnoteReference w:id="188"/>
      </w:r>
    </w:p>
    <w:p w14:paraId="3094F16E" w14:textId="55450206" w:rsidR="00FD4C42" w:rsidRDefault="001575A3" w:rsidP="00007D1E">
      <w:pPr>
        <w:pStyle w:val="List-BulletLvl1"/>
      </w:pPr>
      <w:r>
        <w:t>on</w:t>
      </w:r>
      <w:r w:rsidR="00007D1E">
        <w:t>e service provider supported objective three and recommended that the objective give</w:t>
      </w:r>
      <w:r w:rsidR="009511C7">
        <w:t>s</w:t>
      </w:r>
      <w:r w:rsidR="00007D1E">
        <w:t xml:space="preserve"> effect to the concerns raised through the Needs Assessment</w:t>
      </w:r>
      <w:r>
        <w:t>, in addition to</w:t>
      </w:r>
      <w:r w:rsidR="00186D4C">
        <w:t xml:space="preserve"> encouraging subs</w:t>
      </w:r>
      <w:r w:rsidR="00007D1E">
        <w:t>tantive action to ensure that there is an ecosystem of leadership and accountability working comprehensively towards achieving equity in gambling harm minimisation</w:t>
      </w:r>
      <w:r w:rsidR="00007D1E">
        <w:rPr>
          <w:rStyle w:val="FootnoteReference"/>
        </w:rPr>
        <w:footnoteReference w:id="189"/>
      </w:r>
    </w:p>
    <w:p w14:paraId="1B25D238" w14:textId="393A2111" w:rsidR="00007D1E" w:rsidRDefault="00A702C7" w:rsidP="00007D1E">
      <w:pPr>
        <w:pStyle w:val="List-BulletLvl1"/>
      </w:pPr>
      <w:r>
        <w:lastRenderedPageBreak/>
        <w:t>o</w:t>
      </w:r>
      <w:r w:rsidR="00007D1E">
        <w:t>ne health and social services submitter supported the objective, and made the following suggestions:</w:t>
      </w:r>
      <w:r w:rsidR="00007D1E">
        <w:rPr>
          <w:rStyle w:val="FootnoteReference"/>
        </w:rPr>
        <w:footnoteReference w:id="190"/>
      </w:r>
    </w:p>
    <w:p w14:paraId="14FE7322" w14:textId="77777777" w:rsidR="00007D1E" w:rsidRDefault="00007D1E" w:rsidP="00FD4C42">
      <w:pPr>
        <w:pStyle w:val="List-BulletLvl2"/>
      </w:pPr>
      <w:r>
        <w:t>people with lived experience should be in leadership roles</w:t>
      </w:r>
    </w:p>
    <w:p w14:paraId="00938917" w14:textId="77777777" w:rsidR="00007D1E" w:rsidRDefault="00007D1E" w:rsidP="00FD4C42">
      <w:pPr>
        <w:pStyle w:val="List-BulletLvl2"/>
      </w:pPr>
      <w:r>
        <w:t xml:space="preserve">strong leadership of the equity framework is required. </w:t>
      </w:r>
    </w:p>
    <w:p w14:paraId="76482725" w14:textId="249CD8AA" w:rsidR="001305FD" w:rsidRDefault="001305FD" w:rsidP="001305FD">
      <w:pPr>
        <w:pStyle w:val="BodyText"/>
      </w:pPr>
      <w:r>
        <w:t>One health and social services submitter agreed with the objective, but considered that the last two priority areas of the objective were not clearly translated in the draft service plan activities.</w:t>
      </w:r>
      <w:r>
        <w:rPr>
          <w:rStyle w:val="FootnoteReference"/>
        </w:rPr>
        <w:footnoteReference w:id="191"/>
      </w:r>
      <w:r>
        <w:t xml:space="preserve"> </w:t>
      </w:r>
    </w:p>
    <w:p w14:paraId="50E212B5" w14:textId="733C319A" w:rsidR="004F377B" w:rsidRDefault="00234A3B" w:rsidP="004F377B">
      <w:pPr>
        <w:pStyle w:val="BodyText"/>
      </w:pPr>
      <w:r>
        <w:t xml:space="preserve">Gambling industry submitters wanted to see more recognition for the role of gambling operators. </w:t>
      </w:r>
      <w:r w:rsidR="004F377B">
        <w:t xml:space="preserve">One </w:t>
      </w:r>
      <w:r w:rsidR="00971797">
        <w:t>g</w:t>
      </w:r>
      <w:r w:rsidR="004F377B">
        <w:t xml:space="preserve">ambling </w:t>
      </w:r>
      <w:r w:rsidR="00971797">
        <w:t>i</w:t>
      </w:r>
      <w:r w:rsidR="004F377B">
        <w:t xml:space="preserve">ndustry </w:t>
      </w:r>
      <w:r w:rsidR="0060461C">
        <w:t xml:space="preserve">submitter </w:t>
      </w:r>
      <w:r w:rsidR="00B82BBA">
        <w:t>noted this</w:t>
      </w:r>
      <w:r w:rsidR="004F377B">
        <w:t xml:space="preserve"> particularly in relation to supporting priority action areas.</w:t>
      </w:r>
      <w:r w:rsidR="004F377B">
        <w:rPr>
          <w:rStyle w:val="FootnoteReference"/>
        </w:rPr>
        <w:footnoteReference w:id="192"/>
      </w:r>
      <w:r w:rsidR="004F377B">
        <w:t xml:space="preserve"> The submitter commented that consideration should be given to development of a priority action area to create a framework for ensuring that helpful and meaningful connection and consultation is maintained between the Ministry, DIA and gambling operators who wish to provide ongoing insight and information that can help shape this objective.</w:t>
      </w:r>
      <w:r w:rsidR="004F377B">
        <w:rPr>
          <w:rStyle w:val="FootnoteReference"/>
        </w:rPr>
        <w:footnoteReference w:id="193"/>
      </w:r>
      <w:r>
        <w:t xml:space="preserve"> </w:t>
      </w:r>
      <w:r w:rsidR="004F377B">
        <w:t>A NCGM submitter commented that no consideration was given in this objective to the role the NCGM sector could play, or the benefits to be gained by their inclusion in a consultative and collaborative process.</w:t>
      </w:r>
      <w:r w:rsidR="004F377B">
        <w:rPr>
          <w:rStyle w:val="FootnoteReference"/>
        </w:rPr>
        <w:footnoteReference w:id="194"/>
      </w:r>
      <w:r w:rsidR="0060461C">
        <w:t xml:space="preserve"> </w:t>
      </w:r>
      <w:r w:rsidR="004F377B">
        <w:t>This submitter noted that the NCGM sector and their representative body (GMANZ) have enacted a socially responsible approach to the safe operation of NCGMs.</w:t>
      </w:r>
      <w:r w:rsidR="004F377B">
        <w:rPr>
          <w:rStyle w:val="FootnoteReference"/>
        </w:rPr>
        <w:footnoteReference w:id="195"/>
      </w:r>
      <w:r w:rsidR="004F377B">
        <w:t xml:space="preserve"> The submitter considered that more collaboration with GMANZ and other sector representatives around programme development would be beneficial. In addition, a </w:t>
      </w:r>
      <w:r w:rsidR="00DD4419">
        <w:t>‘</w:t>
      </w:r>
      <w:r w:rsidR="004F377B">
        <w:t>goodwill initiative</w:t>
      </w:r>
      <w:r w:rsidR="00DD4419">
        <w:t>’</w:t>
      </w:r>
      <w:r w:rsidR="004F377B">
        <w:t xml:space="preserve"> could include funding sector involvement in these initiatives.</w:t>
      </w:r>
      <w:r w:rsidR="004F377B">
        <w:rPr>
          <w:rStyle w:val="FootnoteReference"/>
        </w:rPr>
        <w:footnoteReference w:id="196"/>
      </w:r>
    </w:p>
    <w:p w14:paraId="0596236A" w14:textId="751E32BD" w:rsidR="004F377B" w:rsidRDefault="004F377B" w:rsidP="004F377B">
      <w:pPr>
        <w:pStyle w:val="BodyText"/>
      </w:pPr>
      <w:r>
        <w:t xml:space="preserve">One health and social services submitter noted that there </w:t>
      </w:r>
      <w:r w:rsidR="00D62F2E">
        <w:t>wer</w:t>
      </w:r>
      <w:r>
        <w:t>e growing calls to address the funding of community projects and groups from the proceeds of gambling, and that the reliance of clubs and groups on trusts and societies grants results in the social acceptance of under-resourced communities funding the recreational pursuits of wealthier populations.</w:t>
      </w:r>
      <w:r>
        <w:rPr>
          <w:rStyle w:val="FootnoteReference"/>
        </w:rPr>
        <w:footnoteReference w:id="197"/>
      </w:r>
    </w:p>
    <w:p w14:paraId="112864FE" w14:textId="166CFE78" w:rsidR="004F377B" w:rsidRDefault="004F377B" w:rsidP="004F377B">
      <w:pPr>
        <w:pStyle w:val="CV-Heading2"/>
        <w:rPr>
          <w:i/>
          <w:iCs/>
        </w:rPr>
      </w:pPr>
      <w:r w:rsidRPr="001969B1">
        <w:rPr>
          <w:i/>
          <w:iCs/>
        </w:rPr>
        <w:t xml:space="preserve">Objective </w:t>
      </w:r>
      <w:r w:rsidR="001A4FF3">
        <w:rPr>
          <w:i/>
          <w:iCs/>
        </w:rPr>
        <w:t>four</w:t>
      </w:r>
      <w:r w:rsidRPr="001969B1">
        <w:rPr>
          <w:i/>
          <w:iCs/>
        </w:rPr>
        <w:t>: Strengthen the health and health equity of Māori, Pacific peoples, Asian peoples, and young people/rangatahi</w:t>
      </w:r>
    </w:p>
    <w:p w14:paraId="2B808136" w14:textId="6D05FC68" w:rsidR="003C48BF" w:rsidRDefault="00BF45D3" w:rsidP="003C48BF">
      <w:pPr>
        <w:pStyle w:val="BodyText"/>
      </w:pPr>
      <w:r>
        <w:t>Sixteen</w:t>
      </w:r>
      <w:r w:rsidR="003C48BF" w:rsidRPr="004B3770">
        <w:t xml:space="preserve"> submitters commented on objective four, including </w:t>
      </w:r>
      <w:r w:rsidR="006A0D8A" w:rsidRPr="004B3770">
        <w:t>s</w:t>
      </w:r>
      <w:r w:rsidR="00E562BB" w:rsidRPr="004B3770">
        <w:t>even</w:t>
      </w:r>
      <w:r w:rsidR="006A0D8A" w:rsidRPr="004B3770">
        <w:t xml:space="preserve"> heal</w:t>
      </w:r>
      <w:r w:rsidR="00D1325C" w:rsidRPr="004B3770">
        <w:t>th and social service</w:t>
      </w:r>
      <w:r w:rsidR="00DD2293">
        <w:t>s</w:t>
      </w:r>
      <w:r w:rsidR="00D1325C" w:rsidRPr="004B3770">
        <w:t xml:space="preserve"> submitters</w:t>
      </w:r>
      <w:r w:rsidR="00401546" w:rsidRPr="004B3770">
        <w:t>,</w:t>
      </w:r>
      <w:r w:rsidR="004B3770" w:rsidRPr="004B3770">
        <w:t xml:space="preserve"> </w:t>
      </w:r>
      <w:r w:rsidR="00E562BB" w:rsidRPr="004B3770">
        <w:t>six service providers</w:t>
      </w:r>
      <w:r w:rsidR="00F41A94" w:rsidRPr="004B3770">
        <w:t xml:space="preserve">, one local government submitter, one </w:t>
      </w:r>
      <w:r w:rsidR="00BC09C0" w:rsidRPr="004B3770">
        <w:t>NCGM submitter,</w:t>
      </w:r>
      <w:r w:rsidR="003C48BF" w:rsidRPr="004B3770">
        <w:t xml:space="preserve"> and </w:t>
      </w:r>
      <w:r w:rsidR="00BC09C0" w:rsidRPr="004B3770">
        <w:t>an individual.</w:t>
      </w:r>
      <w:r w:rsidR="00BC09C0" w:rsidRPr="004B3770">
        <w:rPr>
          <w:rStyle w:val="FootnoteReference"/>
        </w:rPr>
        <w:footnoteReference w:id="198"/>
      </w:r>
      <w:r w:rsidR="00401546">
        <w:t xml:space="preserve"> </w:t>
      </w:r>
    </w:p>
    <w:p w14:paraId="3DEC6B34" w14:textId="543EAA1D" w:rsidR="006F2061" w:rsidRDefault="006F2061" w:rsidP="003C48BF">
      <w:pPr>
        <w:pStyle w:val="BodyText"/>
      </w:pPr>
      <w:r>
        <w:t xml:space="preserve">Detailed discussion on priority populations is also provided below in Section 2.3. </w:t>
      </w:r>
    </w:p>
    <w:p w14:paraId="70328D9D" w14:textId="1C40DFD5" w:rsidR="00CB6A04" w:rsidRPr="008A4529" w:rsidRDefault="00C36B0D" w:rsidP="00CB6A04">
      <w:pPr>
        <w:pStyle w:val="BodyText"/>
      </w:pPr>
      <w:r>
        <w:t xml:space="preserve">Submitters expressed strong support for objective four. </w:t>
      </w:r>
      <w:r w:rsidR="004F377B">
        <w:t xml:space="preserve">One health and social services </w:t>
      </w:r>
      <w:r w:rsidR="00487E68">
        <w:t>submitter</w:t>
      </w:r>
      <w:r w:rsidR="004F377B">
        <w:t xml:space="preserve"> suggested making this objective number one, to </w:t>
      </w:r>
      <w:r>
        <w:t xml:space="preserve">better </w:t>
      </w:r>
      <w:r w:rsidR="004F377B">
        <w:t xml:space="preserve">acknowledge the increased risk </w:t>
      </w:r>
      <w:r w:rsidR="00993B6F">
        <w:t>of</w:t>
      </w:r>
      <w:r w:rsidR="004F377B">
        <w:t xml:space="preserve"> priority groups.</w:t>
      </w:r>
      <w:r w:rsidR="004F377B">
        <w:rPr>
          <w:rStyle w:val="FootnoteReference"/>
        </w:rPr>
        <w:footnoteReference w:id="199"/>
      </w:r>
      <w:r w:rsidR="00CC3056">
        <w:t xml:space="preserve"> One service provider agreed with the identification of </w:t>
      </w:r>
      <w:r w:rsidR="00CC3056" w:rsidRPr="002E35B0">
        <w:t xml:space="preserve">Māori, Pacific peoples, Asian </w:t>
      </w:r>
      <w:r w:rsidR="00CC3056" w:rsidRPr="002E35B0">
        <w:lastRenderedPageBreak/>
        <w:t>peoples, and rangatahi as priority population groups.</w:t>
      </w:r>
      <w:r w:rsidR="00CC3056">
        <w:rPr>
          <w:rStyle w:val="FootnoteReference"/>
        </w:rPr>
        <w:footnoteReference w:id="200"/>
      </w:r>
      <w:r w:rsidR="00CC3056" w:rsidRPr="006B6DF7">
        <w:t xml:space="preserve"> </w:t>
      </w:r>
      <w:r w:rsidR="00CB6A04">
        <w:t>One local government submitter strongly supported the objective four priority of improving host responsibility.</w:t>
      </w:r>
      <w:r w:rsidR="00CB6A04">
        <w:rPr>
          <w:rStyle w:val="FootnoteReference"/>
        </w:rPr>
        <w:footnoteReference w:id="201"/>
      </w:r>
      <w:r w:rsidR="00CB6A04">
        <w:t xml:space="preserve"> </w:t>
      </w:r>
    </w:p>
    <w:p w14:paraId="50B3C44A" w14:textId="7199851F" w:rsidR="00E77BBD" w:rsidRDefault="00785C23" w:rsidP="004F377B">
      <w:pPr>
        <w:pStyle w:val="BodyText"/>
      </w:pPr>
      <w:r>
        <w:t>Submitters expressed strong support for the focus on equity and commented on how the focus could be strengthened:</w:t>
      </w:r>
    </w:p>
    <w:p w14:paraId="6A97E19C" w14:textId="1176B703" w:rsidR="00785C23" w:rsidRPr="008C41F6" w:rsidRDefault="007C58FA" w:rsidP="00785C23">
      <w:pPr>
        <w:pStyle w:val="List-BulletLvl1"/>
      </w:pPr>
      <w:r>
        <w:t>objective four was endorsed</w:t>
      </w:r>
      <w:r w:rsidR="00785C23">
        <w:t xml:space="preserve"> with a focus on addressing and reducing health inequities, and </w:t>
      </w:r>
      <w:r>
        <w:t xml:space="preserve">it was </w:t>
      </w:r>
      <w:r w:rsidR="00785C23">
        <w:t xml:space="preserve">noted that it aligned with </w:t>
      </w:r>
      <w:r w:rsidR="00785C23" w:rsidRPr="00A86693">
        <w:rPr>
          <w:i/>
          <w:iCs/>
        </w:rPr>
        <w:t>Te Hiringa Hauora’s</w:t>
      </w:r>
      <w:r w:rsidR="00785C23">
        <w:t xml:space="preserve"> approach of seeing gambling harm as an equity issue, and also aligned with the priority action areas in </w:t>
      </w:r>
      <w:r w:rsidR="00785C23" w:rsidRPr="008C41F6">
        <w:rPr>
          <w:i/>
          <w:iCs/>
        </w:rPr>
        <w:t>Whakamaua</w:t>
      </w:r>
      <w:r w:rsidR="00785C23">
        <w:t>: Tino rangatiratanga/self-determination, partnership, protection, options and equity</w:t>
      </w:r>
      <w:r>
        <w:t xml:space="preserve"> (one health and social services submitter)</w:t>
      </w:r>
      <w:r w:rsidR="00785C23">
        <w:rPr>
          <w:rStyle w:val="FootnoteReference"/>
        </w:rPr>
        <w:footnoteReference w:id="202"/>
      </w:r>
      <w:r w:rsidR="00785C23">
        <w:t xml:space="preserve"> </w:t>
      </w:r>
    </w:p>
    <w:p w14:paraId="373C602D" w14:textId="77777777" w:rsidR="00E84F92" w:rsidRDefault="007C58FA" w:rsidP="00CC3056">
      <w:pPr>
        <w:pStyle w:val="List-BulletLvl1"/>
      </w:pPr>
      <w:r>
        <w:t xml:space="preserve">it was noted that </w:t>
      </w:r>
      <w:r w:rsidR="00785C23">
        <w:t xml:space="preserve">the pace at which equity </w:t>
      </w:r>
      <w:r>
        <w:t>was</w:t>
      </w:r>
      <w:r w:rsidR="00785C23">
        <w:t xml:space="preserve"> being attained </w:t>
      </w:r>
      <w:r>
        <w:t>wa</w:t>
      </w:r>
      <w:r w:rsidR="00785C23">
        <w:t>s not in step with the harms in the community, and that to overcome these harms, supporting services for Māori with Māori for Māori services must be a priority</w:t>
      </w:r>
      <w:r>
        <w:t xml:space="preserve"> (one service provider)</w:t>
      </w:r>
      <w:r w:rsidR="00785C23">
        <w:rPr>
          <w:rStyle w:val="FootnoteReference"/>
        </w:rPr>
        <w:footnoteReference w:id="203"/>
      </w:r>
      <w:r w:rsidR="00785C23">
        <w:t xml:space="preserve"> </w:t>
      </w:r>
    </w:p>
    <w:p w14:paraId="45EC9526" w14:textId="41500733" w:rsidR="00CC3056" w:rsidRDefault="00CC3056" w:rsidP="00CC3056">
      <w:pPr>
        <w:pStyle w:val="List-BulletLvl1"/>
      </w:pPr>
      <w:r>
        <w:t xml:space="preserve">more effort </w:t>
      </w:r>
      <w:r w:rsidR="00E84F92">
        <w:t>wa</w:t>
      </w:r>
      <w:r>
        <w:t>s required, as it seems that inequitable health outcomes are not improving</w:t>
      </w:r>
      <w:r w:rsidR="00E84F92">
        <w:t xml:space="preserve"> (one service provider)</w:t>
      </w:r>
      <w:r>
        <w:rPr>
          <w:rStyle w:val="FootnoteReference"/>
        </w:rPr>
        <w:footnoteReference w:id="204"/>
      </w:r>
      <w:r>
        <w:t xml:space="preserve"> </w:t>
      </w:r>
    </w:p>
    <w:p w14:paraId="3C50C21A" w14:textId="7DEF79AB" w:rsidR="00CC3056" w:rsidRDefault="00E84F92" w:rsidP="00CC3056">
      <w:pPr>
        <w:pStyle w:val="List-BulletLvl1"/>
      </w:pPr>
      <w:r>
        <w:t>it was considered that</w:t>
      </w:r>
      <w:r w:rsidR="00CC3056">
        <w:t xml:space="preserve"> all of the equity response</w:t>
      </w:r>
      <w:r>
        <w:t xml:space="preserve"> was</w:t>
      </w:r>
      <w:r w:rsidR="00CC3056">
        <w:t xml:space="preserve"> sitting within this objective, and shifts the strategy from being strategic into one in which victim blames those affected by gambling harm the most</w:t>
      </w:r>
      <w:r>
        <w:t>: it was</w:t>
      </w:r>
      <w:r w:rsidR="00CC3056">
        <w:t xml:space="preserve"> suggest</w:t>
      </w:r>
      <w:r>
        <w:t>ed that</w:t>
      </w:r>
      <w:r w:rsidR="00CC3056">
        <w:t xml:space="preserve"> </w:t>
      </w:r>
      <w:r>
        <w:t>the</w:t>
      </w:r>
      <w:r w:rsidR="00CC3056">
        <w:t xml:space="preserve"> intentions with health and health equity</w:t>
      </w:r>
      <w:r>
        <w:t xml:space="preserve"> be separated</w:t>
      </w:r>
      <w:r w:rsidR="00CC3056">
        <w:t xml:space="preserve"> to give effect to the intended outcomes of each</w:t>
      </w:r>
      <w:r w:rsidR="00724699">
        <w:t xml:space="preserve"> (one service provider)</w:t>
      </w:r>
      <w:r w:rsidR="00CC3056">
        <w:rPr>
          <w:rStyle w:val="FootnoteReference"/>
        </w:rPr>
        <w:footnoteReference w:id="205"/>
      </w:r>
      <w:r w:rsidR="00CC3056">
        <w:t xml:space="preserve">  </w:t>
      </w:r>
    </w:p>
    <w:p w14:paraId="403F3470" w14:textId="6BFBE1D3" w:rsidR="00785C23" w:rsidRDefault="00724699" w:rsidP="00724699">
      <w:pPr>
        <w:pStyle w:val="List-BulletLvl1"/>
      </w:pPr>
      <w:r>
        <w:t>the</w:t>
      </w:r>
      <w:r w:rsidR="007C58FA" w:rsidRPr="003E20ED">
        <w:t xml:space="preserve"> intention to tailor services to address inequities, explore innovations and invest in new services indicate</w:t>
      </w:r>
      <w:r>
        <w:t>d</w:t>
      </w:r>
      <w:r w:rsidR="007C58FA" w:rsidRPr="003E20ED">
        <w:t xml:space="preserve"> that the draft strategic plan </w:t>
      </w:r>
      <w:r>
        <w:t>wa</w:t>
      </w:r>
      <w:r w:rsidR="007C58FA" w:rsidRPr="003E20ED">
        <w:t xml:space="preserve">s cognisant </w:t>
      </w:r>
      <w:r w:rsidR="007C58FA">
        <w:t xml:space="preserve">of how </w:t>
      </w:r>
      <w:r w:rsidR="007C58FA" w:rsidRPr="003E20ED">
        <w:t>the gambling landscape has changed</w:t>
      </w:r>
      <w:r>
        <w:t xml:space="preserve"> (one health and social services submitter)</w:t>
      </w:r>
      <w:r w:rsidR="007C58FA" w:rsidRPr="003E20ED">
        <w:t>.</w:t>
      </w:r>
      <w:r w:rsidR="007C58FA">
        <w:rPr>
          <w:rStyle w:val="FootnoteReference"/>
        </w:rPr>
        <w:footnoteReference w:id="206"/>
      </w:r>
    </w:p>
    <w:p w14:paraId="2483A67E" w14:textId="7DE25906" w:rsidR="007C58FA" w:rsidRDefault="00CB6A04" w:rsidP="007C58FA">
      <w:pPr>
        <w:pStyle w:val="BodyText"/>
      </w:pPr>
      <w:r>
        <w:t xml:space="preserve">Submitters </w:t>
      </w:r>
      <w:r w:rsidR="007C58FA">
        <w:t>highlighted the importance of co-design and leadership</w:t>
      </w:r>
      <w:r w:rsidR="00724699">
        <w:t>.</w:t>
      </w:r>
    </w:p>
    <w:p w14:paraId="16743B9C" w14:textId="3BE6E8F4" w:rsidR="007C58FA" w:rsidRDefault="007C58FA" w:rsidP="007C58FA">
      <w:pPr>
        <w:pStyle w:val="List-BulletLvl1"/>
      </w:pPr>
      <w:r>
        <w:t>Two service providers noted that it would be beneficial to get feedback on the strategy from the newly established Māori Health Authority- t</w:t>
      </w:r>
      <w:r w:rsidRPr="009A2C42">
        <w:t xml:space="preserve">his ensures that Māori shapes a vital element of our future health systems in New Zealand through the </w:t>
      </w:r>
      <w:r>
        <w:t>s</w:t>
      </w:r>
      <w:r w:rsidRPr="009A2C42">
        <w:t xml:space="preserve">trategic </w:t>
      </w:r>
      <w:r>
        <w:t>f</w:t>
      </w:r>
      <w:r w:rsidRPr="009A2C42">
        <w:t xml:space="preserve">ramework. This feedback is essential for Māori and ensures that under Te Tiriti o Waitangi, Tangata Whenua and Tangata Tiriti are working together in </w:t>
      </w:r>
      <w:r>
        <w:t>p</w:t>
      </w:r>
      <w:r w:rsidRPr="009A2C42">
        <w:t>artnership to help resolve those equity issues.</w:t>
      </w:r>
      <w:r>
        <w:rPr>
          <w:rStyle w:val="FootnoteReference"/>
        </w:rPr>
        <w:footnoteReference w:id="207"/>
      </w:r>
    </w:p>
    <w:p w14:paraId="041F9030" w14:textId="77777777" w:rsidR="007C58FA" w:rsidRDefault="007C58FA" w:rsidP="007C58FA">
      <w:pPr>
        <w:pStyle w:val="List-BulletLvl1"/>
      </w:pPr>
      <w:r>
        <w:t xml:space="preserve">One health and social services submitter agreed with objective four, and supported collaboration and co-design with priority populations, and accelerating and spreading Kaupapa Māori services and Pacific values-based services. </w:t>
      </w:r>
      <w:r w:rsidRPr="004E07F3">
        <w:t xml:space="preserve">However, </w:t>
      </w:r>
      <w:r>
        <w:t>the submitter</w:t>
      </w:r>
      <w:r w:rsidRPr="004E07F3">
        <w:t xml:space="preserve"> caution</w:t>
      </w:r>
      <w:r>
        <w:t>ed</w:t>
      </w:r>
      <w:r w:rsidRPr="004E07F3">
        <w:t xml:space="preserve"> that in order for this objective to be successful, the work needs to be well supported by workforce capabilities and funding.</w:t>
      </w:r>
      <w:r>
        <w:rPr>
          <w:rStyle w:val="FootnoteReference"/>
        </w:rPr>
        <w:footnoteReference w:id="208"/>
      </w:r>
      <w:r w:rsidRPr="004E07F3">
        <w:t xml:space="preserve"> </w:t>
      </w:r>
    </w:p>
    <w:p w14:paraId="49EB43F9" w14:textId="77777777" w:rsidR="007C58FA" w:rsidRDefault="007C58FA" w:rsidP="007C58FA">
      <w:pPr>
        <w:pStyle w:val="List-BulletLvl1"/>
      </w:pPr>
      <w:r>
        <w:lastRenderedPageBreak/>
        <w:t xml:space="preserve">One health and social services submitter strongly supported the objective and encouraged the Ministry to </w:t>
      </w:r>
      <w:r w:rsidRPr="00357356">
        <w:t>involve people from these populations who have lived experience of gambling-related harm, in leadership roles.</w:t>
      </w:r>
      <w:r>
        <w:rPr>
          <w:rStyle w:val="FootnoteReference"/>
        </w:rPr>
        <w:footnoteReference w:id="209"/>
      </w:r>
      <w:r w:rsidRPr="00357356">
        <w:t xml:space="preserve">  </w:t>
      </w:r>
    </w:p>
    <w:p w14:paraId="7D60649F" w14:textId="3B292C21" w:rsidR="00785C23" w:rsidRDefault="007C58FA" w:rsidP="004F377B">
      <w:pPr>
        <w:pStyle w:val="List-BulletLvl1"/>
      </w:pPr>
      <w:r>
        <w:t>Another health and social services submitter welcomed reference to lived experience in objective four, and noted that the quality and strength of solutions supporting the strategy’s continued implementation will build on the ability of the Ministry and its partners to listen and learn from the diverse experiences of people who have lived with gambling addiction or been impacted by gambling harm as a whānau member.</w:t>
      </w:r>
      <w:r>
        <w:rPr>
          <w:rStyle w:val="FootnoteReference"/>
        </w:rPr>
        <w:footnoteReference w:id="210"/>
      </w:r>
      <w:r>
        <w:t xml:space="preserve">  </w:t>
      </w:r>
    </w:p>
    <w:p w14:paraId="609091A1" w14:textId="55FB8FE7" w:rsidR="007C58FA" w:rsidRDefault="007C58FA" w:rsidP="004F377B">
      <w:pPr>
        <w:pStyle w:val="BodyText"/>
      </w:pPr>
      <w:r>
        <w:t>Submitters wanted to see more information about how the objective would be implemented</w:t>
      </w:r>
      <w:r w:rsidR="00724699">
        <w:t>.</w:t>
      </w:r>
    </w:p>
    <w:p w14:paraId="51078625" w14:textId="77777777" w:rsidR="007C58FA" w:rsidRDefault="007C58FA" w:rsidP="005808F6">
      <w:pPr>
        <w:pStyle w:val="BodyText"/>
      </w:pPr>
      <w:r>
        <w:t>One service provider commented that more details on what objective four will actually mean are needed, and that based on the information presented, they did not agree with the objective.</w:t>
      </w:r>
      <w:r>
        <w:rPr>
          <w:rStyle w:val="FootnoteReference"/>
        </w:rPr>
        <w:footnoteReference w:id="211"/>
      </w:r>
      <w:r>
        <w:t xml:space="preserve"> This submitter commented that trying to define people accessing services by one ethnicity does not accurately define the importance of one ethnicity to them, the range of ethnicities that they may identify with, or the multiple other factors that contribute to why they may be experiencing gambling harm. The submitter commented that the objective implies that Māori, Pacific peoples, Asian peoples and young people are homogeneous groups who are best served by a specific services model.</w:t>
      </w:r>
      <w:r>
        <w:rPr>
          <w:rStyle w:val="FootnoteReference"/>
        </w:rPr>
        <w:footnoteReference w:id="212"/>
      </w:r>
      <w:r>
        <w:t xml:space="preserve"> In this submitter’s opinion, the “majority of people presenting for support are Pakeha, and this approach does not provide a good picture on why it is that some priority populations are affected by gambling-related harm- e.g., it is likely to be due to multiple socio-economic factors which are not necessarily culturally-specific”.</w:t>
      </w:r>
      <w:r>
        <w:rPr>
          <w:rStyle w:val="FootnoteReference"/>
        </w:rPr>
        <w:footnoteReference w:id="213"/>
      </w:r>
    </w:p>
    <w:p w14:paraId="7D87AFEF" w14:textId="0A41E867" w:rsidR="004F377B" w:rsidRDefault="004F377B" w:rsidP="004F377B">
      <w:pPr>
        <w:pStyle w:val="BodyText"/>
      </w:pPr>
      <w:r>
        <w:t xml:space="preserve">One NCGM </w:t>
      </w:r>
      <w:r w:rsidR="00B74613">
        <w:t xml:space="preserve">submitter </w:t>
      </w:r>
      <w:r>
        <w:t xml:space="preserve">strongly supported the emphasis on priority populations, but argued that the </w:t>
      </w:r>
      <w:r w:rsidR="002B37C6">
        <w:t xml:space="preserve">draft </w:t>
      </w:r>
      <w:r>
        <w:t xml:space="preserve">strategy </w:t>
      </w:r>
      <w:r w:rsidR="002B37C6">
        <w:t>was</w:t>
      </w:r>
      <w:r>
        <w:t xml:space="preserve"> silent on direction for the NCGM sector and the role that it could play in implementing this aspect of the strategy.</w:t>
      </w:r>
      <w:r>
        <w:rPr>
          <w:rStyle w:val="FootnoteReference"/>
        </w:rPr>
        <w:footnoteReference w:id="214"/>
      </w:r>
      <w:r>
        <w:t xml:space="preserve"> </w:t>
      </w:r>
    </w:p>
    <w:p w14:paraId="54D3F281" w14:textId="77777777" w:rsidR="004F377B" w:rsidRDefault="004F377B" w:rsidP="004F377B">
      <w:pPr>
        <w:pStyle w:val="NumberedHeading3"/>
      </w:pPr>
      <w:bookmarkStart w:id="45" w:name="_Toc88637546"/>
      <w:r>
        <w:t>Two submitters were unclear about the question or unsure about their answer</w:t>
      </w:r>
      <w:bookmarkEnd w:id="45"/>
    </w:p>
    <w:p w14:paraId="620B1660" w14:textId="6476D4A7" w:rsidR="004F377B" w:rsidRDefault="004F377B" w:rsidP="004F377B">
      <w:pPr>
        <w:pStyle w:val="BodyText"/>
      </w:pPr>
      <w:r>
        <w:t>Two submitters seemed unclear or unsure about their answer:</w:t>
      </w:r>
    </w:p>
    <w:p w14:paraId="5E663910" w14:textId="06029709" w:rsidR="004F377B" w:rsidRDefault="004F377B" w:rsidP="004F377B">
      <w:pPr>
        <w:pStyle w:val="List-BulletLvl1"/>
      </w:pPr>
      <w:r>
        <w:t>one individual noted that Pacific people</w:t>
      </w:r>
      <w:r w:rsidR="00B301E5">
        <w:t>s</w:t>
      </w:r>
      <w:r>
        <w:t xml:space="preserve"> and Asian people</w:t>
      </w:r>
      <w:r w:rsidR="00D409D7">
        <w:t>s</w:t>
      </w:r>
      <w:r>
        <w:t xml:space="preserve"> should also be included as priority populations</w:t>
      </w:r>
      <w:r w:rsidR="00E265F1">
        <w:t xml:space="preserve"> (</w:t>
      </w:r>
      <w:r w:rsidR="00E265F1">
        <w:rPr>
          <w:i/>
          <w:iCs/>
        </w:rPr>
        <w:t>note that Pacific peoples and Asian peoples are included as priority populations</w:t>
      </w:r>
      <w:r w:rsidR="00E265F1">
        <w:t>)</w:t>
      </w:r>
      <w:r>
        <w:rPr>
          <w:rStyle w:val="FootnoteReference"/>
        </w:rPr>
        <w:footnoteReference w:id="215"/>
      </w:r>
    </w:p>
    <w:p w14:paraId="12A81300" w14:textId="77777777" w:rsidR="004F377B" w:rsidRDefault="004F377B" w:rsidP="004F377B">
      <w:pPr>
        <w:pStyle w:val="List-BulletLvl1"/>
      </w:pPr>
      <w:r>
        <w:t>one NCGM submitter commented that they did not take a view on the appropriate detailed steps that would be necessary to create a system that can successfully deal with addiction.</w:t>
      </w:r>
      <w:r>
        <w:rPr>
          <w:rStyle w:val="FootnoteReference"/>
        </w:rPr>
        <w:footnoteReference w:id="216"/>
      </w:r>
    </w:p>
    <w:p w14:paraId="755BCCCC" w14:textId="77777777" w:rsidR="00724699" w:rsidRDefault="00724699" w:rsidP="00724699">
      <w:pPr>
        <w:pStyle w:val="List-BulletLvl1"/>
        <w:numPr>
          <w:ilvl w:val="0"/>
          <w:numId w:val="0"/>
        </w:numPr>
      </w:pPr>
    </w:p>
    <w:p w14:paraId="5BA1429C" w14:textId="1E6B7EF4" w:rsidR="00EB326E" w:rsidRDefault="00F67625" w:rsidP="00EB326E">
      <w:pPr>
        <w:pStyle w:val="NumberedHeading3"/>
      </w:pPr>
      <w:bookmarkStart w:id="46" w:name="_Toc88637547"/>
      <w:r>
        <w:lastRenderedPageBreak/>
        <w:t>Key themes from consultation hui</w:t>
      </w:r>
      <w:bookmarkEnd w:id="46"/>
    </w:p>
    <w:tbl>
      <w:tblPr>
        <w:tblStyle w:val="TableGrid"/>
        <w:tblW w:w="0" w:type="auto"/>
        <w:shd w:val="clear" w:color="auto" w:fill="D2D9DE" w:themeFill="text2" w:themeFillTint="33"/>
        <w:tblLook w:val="04A0" w:firstRow="1" w:lastRow="0" w:firstColumn="1" w:lastColumn="0" w:noHBand="0" w:noVBand="1"/>
      </w:tblPr>
      <w:tblGrid>
        <w:gridCol w:w="9061"/>
      </w:tblGrid>
      <w:tr w:rsidR="00B037EB" w:rsidRPr="00B037EB" w14:paraId="63842B28" w14:textId="77777777" w:rsidTr="00A63114">
        <w:tc>
          <w:tcPr>
            <w:tcW w:w="9061" w:type="dxa"/>
            <w:shd w:val="clear" w:color="auto" w:fill="D2D9DE" w:themeFill="text2" w:themeFillTint="33"/>
          </w:tcPr>
          <w:p w14:paraId="7EB9E4B7" w14:textId="1419A9A3" w:rsidR="00B037EB" w:rsidRPr="008124D9" w:rsidRDefault="00B037EB" w:rsidP="008124D9">
            <w:pPr>
              <w:pStyle w:val="BodyText"/>
              <w:jc w:val="center"/>
              <w:rPr>
                <w:b/>
                <w:bCs/>
                <w:color w:val="36424A" w:themeColor="accent5"/>
              </w:rPr>
            </w:pPr>
            <w:r w:rsidRPr="008124D9">
              <w:rPr>
                <w:b/>
                <w:bCs/>
                <w:color w:val="36424A" w:themeColor="accent5"/>
              </w:rPr>
              <w:t>Comments from hui on the draft strategic plan</w:t>
            </w:r>
          </w:p>
          <w:p w14:paraId="1BFB92D9" w14:textId="523AC59E" w:rsidR="00B037EB" w:rsidRDefault="00FE2939" w:rsidP="00B037EB">
            <w:pPr>
              <w:pStyle w:val="List-BulletLvl1"/>
              <w:rPr>
                <w:color w:val="36424A" w:themeColor="accent5"/>
              </w:rPr>
            </w:pPr>
            <w:r>
              <w:rPr>
                <w:color w:val="36424A" w:themeColor="accent5"/>
              </w:rPr>
              <w:t>Stakeholders commented that objective one (</w:t>
            </w:r>
            <w:r w:rsidR="00F24198">
              <w:rPr>
                <w:i/>
                <w:iCs/>
                <w:color w:val="36424A" w:themeColor="accent5"/>
              </w:rPr>
              <w:t>C</w:t>
            </w:r>
            <w:r>
              <w:rPr>
                <w:i/>
                <w:iCs/>
                <w:color w:val="36424A" w:themeColor="accent5"/>
              </w:rPr>
              <w:t>reate a full spectrum of services and supports</w:t>
            </w:r>
            <w:r>
              <w:rPr>
                <w:color w:val="36424A" w:themeColor="accent5"/>
              </w:rPr>
              <w:t xml:space="preserve">) requires DIA to give iwi authority. Stakeholders noted that it would be hard to see how iwi voice was useful if there was no authority. </w:t>
            </w:r>
          </w:p>
          <w:p w14:paraId="0521248F" w14:textId="20795DAD" w:rsidR="00FD27F5" w:rsidRPr="00061150" w:rsidRDefault="00F24198" w:rsidP="00061150">
            <w:pPr>
              <w:pStyle w:val="List-BulletLvl1"/>
              <w:rPr>
                <w:color w:val="36424A" w:themeColor="accent5"/>
              </w:rPr>
            </w:pPr>
            <w:r>
              <w:rPr>
                <w:color w:val="36424A" w:themeColor="accent5"/>
              </w:rPr>
              <w:t xml:space="preserve">Stakeholders questioned the Ministry’s strategy for achieving equity in terms of implementation and harm minimisation (with respect to objective three: </w:t>
            </w:r>
            <w:r>
              <w:rPr>
                <w:i/>
                <w:iCs/>
                <w:color w:val="36424A" w:themeColor="accent5"/>
              </w:rPr>
              <w:t>Strengthen leadership and accountability to achieve equity</w:t>
            </w:r>
            <w:r>
              <w:rPr>
                <w:color w:val="36424A" w:themeColor="accent5"/>
              </w:rPr>
              <w:t xml:space="preserve">) and </w:t>
            </w:r>
            <w:r w:rsidR="00025C18">
              <w:rPr>
                <w:color w:val="36424A" w:themeColor="accent5"/>
              </w:rPr>
              <w:t xml:space="preserve">emphasised that this work should involve Te Tiriti o Waitangi. </w:t>
            </w:r>
          </w:p>
        </w:tc>
      </w:tr>
    </w:tbl>
    <w:p w14:paraId="54EDA7F6" w14:textId="10DC39DE" w:rsidR="004F377B" w:rsidRDefault="004F377B" w:rsidP="004F377B">
      <w:pPr>
        <w:pStyle w:val="NumberedHeading2"/>
      </w:pPr>
      <w:bookmarkStart w:id="47" w:name="_Toc88637548"/>
      <w:r>
        <w:t>The degree of agreement that the draft strategic plan adequately reflect</w:t>
      </w:r>
      <w:r w:rsidR="00F70FE6">
        <w:t>ed</w:t>
      </w:r>
      <w:r>
        <w:t xml:space="preserve"> changes in the gambling environment</w:t>
      </w:r>
      <w:bookmarkEnd w:id="47"/>
    </w:p>
    <w:p w14:paraId="18415034" w14:textId="635BF6A6" w:rsidR="002245F2" w:rsidRDefault="008F7901" w:rsidP="002245F2">
      <w:pPr>
        <w:pStyle w:val="BodyText"/>
      </w:pPr>
      <w:r>
        <w:t xml:space="preserve">Most </w:t>
      </w:r>
      <w:r w:rsidR="004F377B">
        <w:t xml:space="preserve">submitters </w:t>
      </w:r>
      <w:r>
        <w:t>did not agree that the draft strateg</w:t>
      </w:r>
      <w:r w:rsidR="00061150">
        <w:t>ic plan</w:t>
      </w:r>
      <w:r>
        <w:t xml:space="preserve"> </w:t>
      </w:r>
      <w:r w:rsidR="00B93D7D">
        <w:t xml:space="preserve">adequately </w:t>
      </w:r>
      <w:r w:rsidR="00286527">
        <w:t>reflect</w:t>
      </w:r>
      <w:r w:rsidR="00061150">
        <w:t>ed</w:t>
      </w:r>
      <w:r w:rsidR="00286527">
        <w:t xml:space="preserve"> changes in the gambling environment: only </w:t>
      </w:r>
      <w:r w:rsidR="00160C92">
        <w:t>nine</w:t>
      </w:r>
      <w:r w:rsidR="00100C50">
        <w:t xml:space="preserve"> out of the 31 who answered</w:t>
      </w:r>
      <w:r w:rsidR="00286E70">
        <w:t xml:space="preserve"> </w:t>
      </w:r>
      <w:r w:rsidR="00100C50">
        <w:t xml:space="preserve">question </w:t>
      </w:r>
      <w:r w:rsidR="00144B67">
        <w:t>two</w:t>
      </w:r>
      <w:r w:rsidR="00100C50">
        <w:t xml:space="preserve"> </w:t>
      </w:r>
      <w:r w:rsidR="004F377B">
        <w:t xml:space="preserve">agreed that </w:t>
      </w:r>
      <w:r w:rsidR="0067312C">
        <w:t>it d</w:t>
      </w:r>
      <w:r w:rsidR="00061150">
        <w:t>id</w:t>
      </w:r>
      <w:r w:rsidR="004F377B">
        <w:t xml:space="preserve">. </w:t>
      </w:r>
      <w:r w:rsidR="002245F2">
        <w:t xml:space="preserve">Of those, seven provided a simple “Yes” answer to </w:t>
      </w:r>
      <w:r w:rsidR="00500CE9">
        <w:t>q</w:t>
      </w:r>
      <w:r w:rsidR="002245F2">
        <w:t xml:space="preserve">uestion </w:t>
      </w:r>
      <w:r w:rsidR="00794C5B">
        <w:t>two</w:t>
      </w:r>
      <w:r w:rsidR="002245F2">
        <w:t xml:space="preserve">. A further two </w:t>
      </w:r>
      <w:r w:rsidR="004842CB">
        <w:t>qualified their agreement</w:t>
      </w:r>
      <w:r w:rsidR="00A75AF2">
        <w:t xml:space="preserve"> (i.e. they supported it, but also commented on how it could better reflect changes).</w:t>
      </w:r>
    </w:p>
    <w:p w14:paraId="7FE02C3B" w14:textId="47EA94DF" w:rsidR="00A75AF2" w:rsidRDefault="00A75AF2" w:rsidP="002245F2">
      <w:pPr>
        <w:pStyle w:val="BodyText"/>
      </w:pPr>
      <w:r>
        <w:t xml:space="preserve">Comments on </w:t>
      </w:r>
      <w:r w:rsidR="0018467C">
        <w:t>the</w:t>
      </w:r>
      <w:r>
        <w:t xml:space="preserve"> </w:t>
      </w:r>
      <w:r w:rsidR="00F36013">
        <w:t xml:space="preserve">changes </w:t>
      </w:r>
      <w:r w:rsidR="0018467C">
        <w:t>that could be made to better reflect the</w:t>
      </w:r>
      <w:r w:rsidR="00F36013">
        <w:t xml:space="preserve"> gambling environment included:</w:t>
      </w:r>
    </w:p>
    <w:p w14:paraId="5DB4D265" w14:textId="7FD7BE79" w:rsidR="002B6A40" w:rsidRDefault="002B6A40" w:rsidP="00106E43">
      <w:pPr>
        <w:pStyle w:val="List-BulletLvl1"/>
      </w:pPr>
      <w:r>
        <w:t>increased prioritisation of online gambling</w:t>
      </w:r>
      <w:r w:rsidR="0018467C">
        <w:t xml:space="preserve"> </w:t>
      </w:r>
      <w:r w:rsidR="00A05717">
        <w:t>throughout the draft strategy</w:t>
      </w:r>
      <w:r w:rsidR="006B7C70">
        <w:t xml:space="preserve">, including </w:t>
      </w:r>
      <w:r>
        <w:t xml:space="preserve">more emphasis on the harm from offshore gambling </w:t>
      </w:r>
    </w:p>
    <w:p w14:paraId="4227A21C" w14:textId="49737611" w:rsidR="002B6A40" w:rsidRDefault="0023718F" w:rsidP="00106E43">
      <w:pPr>
        <w:pStyle w:val="List-BulletLvl1"/>
      </w:pPr>
      <w:r>
        <w:t>increased funding for and adoption of technology</w:t>
      </w:r>
      <w:r w:rsidR="00A05717">
        <w:t xml:space="preserve"> to prevent gambling harm</w:t>
      </w:r>
    </w:p>
    <w:p w14:paraId="24D7473A" w14:textId="12AB7B19" w:rsidR="0023718F" w:rsidRDefault="0023718F" w:rsidP="00962127">
      <w:pPr>
        <w:pStyle w:val="List-BulletLvl1"/>
      </w:pPr>
      <w:r>
        <w:t>changes to the way treatment providers are contracted</w:t>
      </w:r>
      <w:r w:rsidR="006B7C70">
        <w:t xml:space="preserve"> so tha</w:t>
      </w:r>
      <w:r w:rsidR="00A05717">
        <w:t xml:space="preserve">t service provision is more effective (including </w:t>
      </w:r>
      <w:r w:rsidR="00D246A4">
        <w:t>introduction of a cost pressure adjustment for service providers</w:t>
      </w:r>
      <w:r w:rsidR="00477A35">
        <w:t>, introduction of harm minimisation ratings and the impact of COVID-19</w:t>
      </w:r>
      <w:r w:rsidR="00A05717">
        <w:rPr>
          <w:rStyle w:val="CommentReference"/>
        </w:rPr>
        <w:t>)</w:t>
      </w:r>
    </w:p>
    <w:p w14:paraId="1F551B31" w14:textId="0EB6E916" w:rsidR="00D246A4" w:rsidRDefault="00D246A4" w:rsidP="00106E43">
      <w:pPr>
        <w:pStyle w:val="List-BulletLvl1"/>
      </w:pPr>
      <w:r>
        <w:t>increased support or training</w:t>
      </w:r>
      <w:r w:rsidR="00477A35">
        <w:t xml:space="preserve"> for venue staff and service providers.</w:t>
      </w:r>
    </w:p>
    <w:p w14:paraId="5B3CF523" w14:textId="378BA2F5" w:rsidR="00C4596C" w:rsidRDefault="00C4596C" w:rsidP="00C4596C">
      <w:pPr>
        <w:pStyle w:val="BodyText"/>
      </w:pPr>
      <w:r>
        <w:t xml:space="preserve">Each of these themes are discussed in the sections below. </w:t>
      </w:r>
    </w:p>
    <w:p w14:paraId="62B1F6D4" w14:textId="551C3C8D" w:rsidR="004F377B" w:rsidRDefault="004F377B" w:rsidP="004F377B">
      <w:pPr>
        <w:pStyle w:val="NumberedHeading3"/>
      </w:pPr>
      <w:bookmarkStart w:id="48" w:name="_Toc88637549"/>
      <w:r>
        <w:t xml:space="preserve">Two submitters </w:t>
      </w:r>
      <w:r w:rsidR="00F70FE6">
        <w:t>qualified their agreement that the draft strategic plan adequately reflected changes in the gambling environment</w:t>
      </w:r>
      <w:bookmarkEnd w:id="48"/>
      <w:r>
        <w:t xml:space="preserve"> </w:t>
      </w:r>
    </w:p>
    <w:p w14:paraId="605719C6" w14:textId="12B32ED5" w:rsidR="004F377B" w:rsidRDefault="004F377B" w:rsidP="004F377B">
      <w:pPr>
        <w:pStyle w:val="BodyText"/>
      </w:pPr>
      <w:r>
        <w:t xml:space="preserve">One health and social service submitter agreed that the </w:t>
      </w:r>
      <w:r w:rsidR="00087B24">
        <w:t xml:space="preserve">draft </w:t>
      </w:r>
      <w:r>
        <w:t xml:space="preserve">strategy includes appropriate changes, particularly shifting cultural and social norms, however, </w:t>
      </w:r>
      <w:r w:rsidR="00ED540E">
        <w:t>it</w:t>
      </w:r>
      <w:r>
        <w:t xml:space="preserve"> considered that the </w:t>
      </w:r>
      <w:r w:rsidR="00ED540E">
        <w:t>dr</w:t>
      </w:r>
      <w:r w:rsidR="00AB1FD9">
        <w:t>a</w:t>
      </w:r>
      <w:r w:rsidR="00ED540E">
        <w:t>ft</w:t>
      </w:r>
      <w:r>
        <w:t xml:space="preserve"> strategy required more analysis in understanding the enablers of models and workforce capacity and capability.</w:t>
      </w:r>
      <w:r>
        <w:rPr>
          <w:rStyle w:val="FootnoteReference"/>
        </w:rPr>
        <w:footnoteReference w:id="217"/>
      </w:r>
      <w:r>
        <w:t xml:space="preserve"> One service provider commented that although they did not disagree that the</w:t>
      </w:r>
      <w:r w:rsidR="00157C95">
        <w:t xml:space="preserve"> strategic</w:t>
      </w:r>
      <w:r>
        <w:t xml:space="preserve"> plan adequately reflects changes in the gambling environment, they considered that it did not propose anything significantly different from the current</w:t>
      </w:r>
      <w:r w:rsidR="00157C95">
        <w:t xml:space="preserve"> strategic</w:t>
      </w:r>
      <w:r>
        <w:t xml:space="preserve"> plan.</w:t>
      </w:r>
      <w:r>
        <w:rPr>
          <w:rStyle w:val="FootnoteReference"/>
        </w:rPr>
        <w:footnoteReference w:id="218"/>
      </w:r>
    </w:p>
    <w:p w14:paraId="0884BD50" w14:textId="78519B89" w:rsidR="004F377B" w:rsidRDefault="004F377B" w:rsidP="004F377B">
      <w:pPr>
        <w:pStyle w:val="NumberedHeading3"/>
      </w:pPr>
      <w:bookmarkStart w:id="49" w:name="_Toc88637550"/>
      <w:r>
        <w:lastRenderedPageBreak/>
        <w:t>Submitters from across sectors wanted to see increased prioritisation of online gambling</w:t>
      </w:r>
      <w:bookmarkEnd w:id="49"/>
    </w:p>
    <w:p w14:paraId="675F6D9E" w14:textId="6D56AA78" w:rsidR="004F377B" w:rsidRDefault="004F377B" w:rsidP="004F377B">
      <w:pPr>
        <w:pStyle w:val="BodyText"/>
      </w:pPr>
      <w:r>
        <w:t>Twenty-three submitters (six health and social services submitters, six service providers, three gambling industry</w:t>
      </w:r>
      <w:r w:rsidR="00331463">
        <w:t xml:space="preserve"> submitters</w:t>
      </w:r>
      <w:r>
        <w:t>, three NCGM submitters, two individuals, t</w:t>
      </w:r>
      <w:r w:rsidR="00627405">
        <w:t>w</w:t>
      </w:r>
      <w:r>
        <w:t xml:space="preserve">o </w:t>
      </w:r>
      <w:r w:rsidR="0016639D">
        <w:t>l</w:t>
      </w:r>
      <w:r>
        <w:t xml:space="preserve">ocal </w:t>
      </w:r>
      <w:r w:rsidR="0016639D">
        <w:t>g</w:t>
      </w:r>
      <w:r>
        <w:t>overnment</w:t>
      </w:r>
      <w:r w:rsidR="00331463">
        <w:t xml:space="preserve"> submitters</w:t>
      </w:r>
      <w:r>
        <w:t xml:space="preserve">, and one </w:t>
      </w:r>
      <w:r w:rsidR="0016639D">
        <w:t>g</w:t>
      </w:r>
      <w:r>
        <w:t>overnment submitter)</w:t>
      </w:r>
      <w:r>
        <w:rPr>
          <w:rStyle w:val="FootnoteReference"/>
        </w:rPr>
        <w:footnoteReference w:id="219"/>
      </w:r>
      <w:r>
        <w:t xml:space="preserve"> wanted to see increased prioritisation of the harms of online gambling</w:t>
      </w:r>
      <w:r w:rsidR="00290094">
        <w:t>.</w:t>
      </w:r>
    </w:p>
    <w:p w14:paraId="5A8FAACF" w14:textId="3DA38569" w:rsidR="00055924" w:rsidRDefault="00290094" w:rsidP="004F377B">
      <w:pPr>
        <w:pStyle w:val="BodyText"/>
      </w:pPr>
      <w:r>
        <w:t>Generic comments about increased prioritisation of online gambling included:</w:t>
      </w:r>
    </w:p>
    <w:p w14:paraId="52FD3225" w14:textId="423CDD3F" w:rsidR="004F377B" w:rsidRDefault="004F377B" w:rsidP="004F377B">
      <w:pPr>
        <w:pStyle w:val="List-BulletLvl1"/>
      </w:pPr>
      <w:r>
        <w:t>increased recognition of the growth of online offshore gambling and the ‘gamblification' of sports and gaming</w:t>
      </w:r>
      <w:r w:rsidR="003049D2">
        <w:t>, and information around how the harms would be mitigated</w:t>
      </w:r>
      <w:r>
        <w:t xml:space="preserve"> (</w:t>
      </w:r>
      <w:r w:rsidR="003049D2">
        <w:t>two service providers and two</w:t>
      </w:r>
      <w:r w:rsidR="00B301E5">
        <w:t xml:space="preserve"> </w:t>
      </w:r>
      <w:r>
        <w:t>gambling industry</w:t>
      </w:r>
      <w:r w:rsidR="00331463">
        <w:t xml:space="preserve"> submitter</w:t>
      </w:r>
      <w:r w:rsidR="003049D2">
        <w:t>s</w:t>
      </w:r>
      <w:r>
        <w:t>)</w:t>
      </w:r>
      <w:r>
        <w:rPr>
          <w:rStyle w:val="FootnoteReference"/>
        </w:rPr>
        <w:footnoteReference w:id="220"/>
      </w:r>
    </w:p>
    <w:p w14:paraId="567996EC" w14:textId="5C341967" w:rsidR="004F377B" w:rsidRDefault="0041571F" w:rsidP="004F377B">
      <w:pPr>
        <w:pStyle w:val="List-BulletLvl1"/>
      </w:pPr>
      <w:r>
        <w:t xml:space="preserve">more </w:t>
      </w:r>
      <w:r w:rsidR="004F377B">
        <w:t xml:space="preserve">work to </w:t>
      </w:r>
      <w:r>
        <w:t xml:space="preserve">address </w:t>
      </w:r>
      <w:r w:rsidR="004F377B">
        <w:t xml:space="preserve">the unregulated online gambling industry and the negative effects </w:t>
      </w:r>
      <w:r>
        <w:t>that this form of gamb</w:t>
      </w:r>
      <w:r w:rsidR="00785B16">
        <w:t>l</w:t>
      </w:r>
      <w:r>
        <w:t xml:space="preserve">ing has </w:t>
      </w:r>
      <w:r w:rsidR="004F377B">
        <w:t>on the wider community (</w:t>
      </w:r>
      <w:r w:rsidR="00B301E5">
        <w:t xml:space="preserve">one </w:t>
      </w:r>
      <w:r w:rsidR="004F377B">
        <w:t>NCGM submitter)</w:t>
      </w:r>
      <w:r w:rsidR="004F377B">
        <w:rPr>
          <w:rStyle w:val="FootnoteReference"/>
        </w:rPr>
        <w:footnoteReference w:id="221"/>
      </w:r>
    </w:p>
    <w:p w14:paraId="119FC1A4" w14:textId="5E3BFB20" w:rsidR="004F377B" w:rsidRDefault="0038643D" w:rsidP="004F377B">
      <w:pPr>
        <w:pStyle w:val="List-BulletLvl1"/>
      </w:pPr>
      <w:r>
        <w:t>more work to</w:t>
      </w:r>
      <w:r w:rsidR="004F377B" w:rsidRPr="00126CDF">
        <w:t xml:space="preserve"> assess need for those gambling in the online environment and </w:t>
      </w:r>
      <w:r w:rsidR="001429A8">
        <w:t xml:space="preserve">to understand </w:t>
      </w:r>
      <w:r w:rsidR="004F377B" w:rsidRPr="00126CDF">
        <w:t>rangatahi engaged in gambling</w:t>
      </w:r>
      <w:r w:rsidR="005E1F12">
        <w:t>-</w:t>
      </w:r>
      <w:r w:rsidR="004F377B" w:rsidRPr="00126CDF">
        <w:t>related behaviours such as youth gaming</w:t>
      </w:r>
      <w:r w:rsidR="004F377B">
        <w:t xml:space="preserve"> (</w:t>
      </w:r>
      <w:r w:rsidR="00B301E5">
        <w:t xml:space="preserve">one </w:t>
      </w:r>
      <w:r w:rsidR="004F377B">
        <w:t>health and social services</w:t>
      </w:r>
      <w:r w:rsidR="00DD2293">
        <w:t xml:space="preserve"> submitter</w:t>
      </w:r>
      <w:r w:rsidR="004F377B">
        <w:t>)</w:t>
      </w:r>
      <w:r w:rsidR="004F377B">
        <w:rPr>
          <w:rStyle w:val="FootnoteReference"/>
        </w:rPr>
        <w:footnoteReference w:id="222"/>
      </w:r>
    </w:p>
    <w:p w14:paraId="4E836D7C" w14:textId="77777777" w:rsidR="007F68B5" w:rsidRDefault="007F68B5" w:rsidP="007F68B5">
      <w:pPr>
        <w:pStyle w:val="List-BulletLvl1"/>
      </w:pPr>
      <w:r>
        <w:t>the approach towards online gambling is too slow (one individual)</w:t>
      </w:r>
      <w:r>
        <w:rPr>
          <w:rStyle w:val="FootnoteReference"/>
        </w:rPr>
        <w:footnoteReference w:id="223"/>
      </w:r>
    </w:p>
    <w:p w14:paraId="43A27BFB" w14:textId="77777777" w:rsidR="006047F6" w:rsidRDefault="006047F6" w:rsidP="006047F6">
      <w:pPr>
        <w:pStyle w:val="List-BulletLvl1"/>
      </w:pPr>
      <w:r>
        <w:t>best practice would ensure that spend and time limits and exclusion orders are not subverted by players gambling online (one NCGM submitter)</w:t>
      </w:r>
      <w:r>
        <w:rPr>
          <w:rStyle w:val="FootnoteReference"/>
        </w:rPr>
        <w:footnoteReference w:id="224"/>
      </w:r>
    </w:p>
    <w:p w14:paraId="6B231398" w14:textId="77777777" w:rsidR="009347F0" w:rsidRDefault="009347F0" w:rsidP="009347F0">
      <w:pPr>
        <w:pStyle w:val="List-BulletLvl1"/>
      </w:pPr>
      <w:r>
        <w:t>the strategy does not reflect the increased needs from the online gambling sector, and is not nimble enough to adjust to the change in need over a three-year period (one health and social services submitter)</w:t>
      </w:r>
      <w:r>
        <w:rPr>
          <w:rStyle w:val="FootnoteReference"/>
        </w:rPr>
        <w:footnoteReference w:id="225"/>
      </w:r>
    </w:p>
    <w:p w14:paraId="2B5E1063" w14:textId="28CF9298" w:rsidR="00B179BF" w:rsidRDefault="001D17C8" w:rsidP="00290094">
      <w:pPr>
        <w:pStyle w:val="List-BulletLvl1"/>
      </w:pPr>
      <w:r>
        <w:t>more discussion is needed about the increasingly blurred lines between online gaming and gambling – loot boxes are only one aspect of the issue, with other aspects of gambling relating to gaming including opportunities for gambling within online games (one individual).</w:t>
      </w:r>
      <w:r>
        <w:rPr>
          <w:rStyle w:val="FootnoteReference"/>
        </w:rPr>
        <w:footnoteReference w:id="226"/>
      </w:r>
    </w:p>
    <w:p w14:paraId="240057A6" w14:textId="7F5B524B" w:rsidR="00055924" w:rsidRDefault="00290094" w:rsidP="00290094">
      <w:pPr>
        <w:pStyle w:val="BodyText"/>
      </w:pPr>
      <w:r>
        <w:t>Submitters made a number of specific comments about what could be done to improve the approach to online gambling (much of it regulatory):</w:t>
      </w:r>
    </w:p>
    <w:p w14:paraId="473D3CB0" w14:textId="27CF439C" w:rsidR="004F377B" w:rsidRDefault="004F377B" w:rsidP="004C6FA2">
      <w:pPr>
        <w:pStyle w:val="List-BulletLvl1"/>
      </w:pPr>
      <w:r>
        <w:t>a recommendation that the Ministry work with Māori from a Kaupapa Māori perspective to</w:t>
      </w:r>
      <w:r w:rsidR="00055924">
        <w:t xml:space="preserve"> </w:t>
      </w:r>
      <w:r>
        <w:t>work with DIA to explore regulation of the emerging technologies that result in gambling harm or addictive behaviours such as in-app purchasing by young people in games and other online platforms, with a view to including them in the definition of gambling and seeking to obtain a levy (</w:t>
      </w:r>
      <w:r w:rsidR="00B301E5">
        <w:t xml:space="preserve">one </w:t>
      </w:r>
      <w:r w:rsidR="00520C19">
        <w:t>g</w:t>
      </w:r>
      <w:r>
        <w:t>overnment</w:t>
      </w:r>
      <w:r w:rsidR="004369DA">
        <w:t xml:space="preserve"> submitter</w:t>
      </w:r>
      <w:r>
        <w:t>)</w:t>
      </w:r>
      <w:r>
        <w:rPr>
          <w:rStyle w:val="FootnoteReference"/>
        </w:rPr>
        <w:footnoteReference w:id="227"/>
      </w:r>
      <w:r>
        <w:t xml:space="preserve"> </w:t>
      </w:r>
    </w:p>
    <w:p w14:paraId="34CD231E" w14:textId="0223A61C" w:rsidR="004F377B" w:rsidRDefault="004F377B" w:rsidP="004F377B">
      <w:pPr>
        <w:pStyle w:val="List-BulletLvl1"/>
      </w:pPr>
      <w:r>
        <w:lastRenderedPageBreak/>
        <w:t>clear intention is needed to understand the impact of online gambling and the reach of this to understand what it means (</w:t>
      </w:r>
      <w:r w:rsidR="00831DA4">
        <w:t xml:space="preserve">one </w:t>
      </w:r>
      <w:r>
        <w:t>health and social services</w:t>
      </w:r>
      <w:r w:rsidR="00831DA4">
        <w:t xml:space="preserve"> submitter</w:t>
      </w:r>
      <w:r>
        <w:t>)</w:t>
      </w:r>
      <w:r>
        <w:rPr>
          <w:rStyle w:val="FootnoteReference"/>
        </w:rPr>
        <w:footnoteReference w:id="228"/>
      </w:r>
    </w:p>
    <w:p w14:paraId="1E6E3016" w14:textId="32C867CC" w:rsidR="004F377B" w:rsidRDefault="004F377B" w:rsidP="004F377B">
      <w:pPr>
        <w:pStyle w:val="List-BulletLvl1"/>
      </w:pPr>
      <w:r>
        <w:t>online gambling and the convergence of gaming and gambling needs to be more of a priority</w:t>
      </w:r>
      <w:r w:rsidR="00627405">
        <w:t xml:space="preserve"> </w:t>
      </w:r>
      <w:r>
        <w:t>- the sector is struggling to respond with almost no data/information available to support decision-making (</w:t>
      </w:r>
      <w:r w:rsidR="00E27766">
        <w:t xml:space="preserve">one </w:t>
      </w:r>
      <w:r>
        <w:t>service provider)</w:t>
      </w:r>
      <w:r>
        <w:rPr>
          <w:rStyle w:val="FootnoteReference"/>
        </w:rPr>
        <w:footnoteReference w:id="229"/>
      </w:r>
    </w:p>
    <w:p w14:paraId="60B5DDFE" w14:textId="28E8BCB2" w:rsidR="004F377B" w:rsidRDefault="004F377B" w:rsidP="004F377B">
      <w:pPr>
        <w:pStyle w:val="List-BulletLvl1"/>
      </w:pPr>
      <w:r>
        <w:t>specialist services targeted specifically at harm created online need to be created and funded</w:t>
      </w:r>
      <w:r w:rsidR="00627405">
        <w:t xml:space="preserve"> </w:t>
      </w:r>
      <w:r>
        <w:t>- with the current levy formula, only onshore online gambling provides funds for gambling harm prevention services (</w:t>
      </w:r>
      <w:r w:rsidR="00E27766">
        <w:t xml:space="preserve">one </w:t>
      </w:r>
      <w:r>
        <w:t>service provider)</w:t>
      </w:r>
      <w:r>
        <w:rPr>
          <w:rStyle w:val="FootnoteReference"/>
        </w:rPr>
        <w:footnoteReference w:id="230"/>
      </w:r>
    </w:p>
    <w:p w14:paraId="243F2EAE" w14:textId="20707FB5" w:rsidR="004F377B" w:rsidRDefault="004F377B" w:rsidP="004F377B">
      <w:pPr>
        <w:pStyle w:val="List-BulletLvl1"/>
      </w:pPr>
      <w:r>
        <w:t>online gambling requires the strongest regulation possible</w:t>
      </w:r>
      <w:r w:rsidR="00627405">
        <w:t xml:space="preserve"> </w:t>
      </w:r>
      <w:r>
        <w:t>- there is a concern that online platforms could lead to disproportionate harm for Pacific communities, particularly if the online gambling industry is allowed to grow and freely target Pacific communities (</w:t>
      </w:r>
      <w:r w:rsidR="002861A7">
        <w:t xml:space="preserve">one </w:t>
      </w:r>
      <w:r>
        <w:t>service provider)</w:t>
      </w:r>
      <w:r>
        <w:rPr>
          <w:rStyle w:val="FootnoteReference"/>
        </w:rPr>
        <w:footnoteReference w:id="231"/>
      </w:r>
    </w:p>
    <w:p w14:paraId="11A153E6" w14:textId="6FB6CC19" w:rsidR="004F377B" w:rsidRDefault="004F377B" w:rsidP="004F377B">
      <w:pPr>
        <w:pStyle w:val="List-BulletLvl1"/>
      </w:pPr>
      <w:r>
        <w:t>regulation needs to future-proof and consider the impact of COVID-19, and in particular the dramatic increase of online gambling during the pandemic – the ease of access in online gambling not only exposes gambling behaviour to tamariki at home but increases risk of child neglect (</w:t>
      </w:r>
      <w:r w:rsidR="002861A7">
        <w:t xml:space="preserve">one </w:t>
      </w:r>
      <w:r>
        <w:t>health and social services</w:t>
      </w:r>
      <w:r w:rsidR="002861A7">
        <w:t xml:space="preserve"> submitter</w:t>
      </w:r>
      <w:r>
        <w:t>)</w:t>
      </w:r>
      <w:r>
        <w:rPr>
          <w:rStyle w:val="FootnoteReference"/>
        </w:rPr>
        <w:footnoteReference w:id="232"/>
      </w:r>
    </w:p>
    <w:p w14:paraId="5BD6FF51" w14:textId="58C50533" w:rsidR="004F377B" w:rsidRDefault="004F377B" w:rsidP="004F377B">
      <w:pPr>
        <w:pStyle w:val="List-BulletLvl1"/>
      </w:pPr>
      <w:r>
        <w:t>there has been little effort put into how to navigate online gambling – this strategy needs to show leadership and outline how those who are operating under this strategy navigate the online gambling space (</w:t>
      </w:r>
      <w:r w:rsidR="002861A7">
        <w:t xml:space="preserve">one </w:t>
      </w:r>
      <w:r>
        <w:t>service provider)</w:t>
      </w:r>
      <w:r>
        <w:rPr>
          <w:rStyle w:val="FootnoteReference"/>
        </w:rPr>
        <w:footnoteReference w:id="233"/>
      </w:r>
    </w:p>
    <w:p w14:paraId="620DAC40" w14:textId="2338250C" w:rsidR="004F377B" w:rsidRDefault="004F377B" w:rsidP="004F377B">
      <w:pPr>
        <w:pStyle w:val="List-BulletLvl1"/>
      </w:pPr>
      <w:r>
        <w:t>despite the evidence that online gambling is growing, there does not yet seem to be any focus on the identification and support of problem gamblers in this sector (</w:t>
      </w:r>
      <w:r w:rsidR="002861A7">
        <w:t xml:space="preserve">one </w:t>
      </w:r>
      <w:r>
        <w:t>NCGM submitter)</w:t>
      </w:r>
      <w:r>
        <w:rPr>
          <w:rStyle w:val="FootnoteReference"/>
        </w:rPr>
        <w:footnoteReference w:id="234"/>
      </w:r>
    </w:p>
    <w:p w14:paraId="41960DAF" w14:textId="52BA5778" w:rsidR="004F377B" w:rsidRDefault="004F377B" w:rsidP="004F377B">
      <w:pPr>
        <w:pStyle w:val="List-BulletLvl1"/>
      </w:pPr>
      <w:r>
        <w:t>there should be controls put on online gambling, including all banks following Kiwibank’s lead and putting voluntary blocks on customer’s access to online gambling sites (</w:t>
      </w:r>
      <w:r w:rsidR="002861A7">
        <w:t xml:space="preserve">one </w:t>
      </w:r>
      <w:r>
        <w:t>health and social services</w:t>
      </w:r>
      <w:r w:rsidR="002861A7">
        <w:t xml:space="preserve"> submitter</w:t>
      </w:r>
      <w:r>
        <w:t>)</w:t>
      </w:r>
      <w:r>
        <w:rPr>
          <w:rStyle w:val="FootnoteReference"/>
        </w:rPr>
        <w:footnoteReference w:id="235"/>
      </w:r>
    </w:p>
    <w:p w14:paraId="3497C4C6" w14:textId="5D40B14D" w:rsidR="004F377B" w:rsidRDefault="004F377B" w:rsidP="004F377B">
      <w:pPr>
        <w:pStyle w:val="List-BulletLvl1"/>
      </w:pPr>
      <w:r>
        <w:t>the strategy needs to be more agile and responsive to new emerging harms from technologies that mimic gambling – anything that triggers gambling should fit the definition of what the levy can be spent on, rather than limiting it to activities associated with levy funders (</w:t>
      </w:r>
      <w:r w:rsidR="002861A7">
        <w:t xml:space="preserve">one </w:t>
      </w:r>
      <w:r w:rsidR="00AF3F07">
        <w:t>g</w:t>
      </w:r>
      <w:r>
        <w:t>overnment</w:t>
      </w:r>
      <w:r w:rsidR="00AF3F07">
        <w:t xml:space="preserve"> submitter</w:t>
      </w:r>
      <w:r>
        <w:t>)</w:t>
      </w:r>
      <w:r w:rsidR="00E02DC7">
        <w:t>.</w:t>
      </w:r>
      <w:r>
        <w:rPr>
          <w:rStyle w:val="FootnoteReference"/>
        </w:rPr>
        <w:footnoteReference w:id="236"/>
      </w:r>
    </w:p>
    <w:p w14:paraId="57F61D40" w14:textId="09ED71FF" w:rsidR="004F377B" w:rsidRDefault="004F377B" w:rsidP="004F377B">
      <w:pPr>
        <w:pStyle w:val="BodyText"/>
      </w:pPr>
      <w:r>
        <w:t>In contrast, one gambling industry submitter considered that a clearer distinction needs to be drawn between general participation in gaming (through playing, or watching Esports), and participation in real money risk-reward mechanics within gaming (i.e</w:t>
      </w:r>
      <w:r w:rsidR="00A268C4">
        <w:t>.,</w:t>
      </w:r>
      <w:r>
        <w:t xml:space="preserve"> loot boxes).</w:t>
      </w:r>
      <w:r>
        <w:rPr>
          <w:rStyle w:val="FootnoteReference"/>
        </w:rPr>
        <w:footnoteReference w:id="237"/>
      </w:r>
      <w:r>
        <w:t xml:space="preserve"> </w:t>
      </w:r>
    </w:p>
    <w:p w14:paraId="17CD14FE" w14:textId="04DBAF70" w:rsidR="004F377B" w:rsidRDefault="004F377B" w:rsidP="004F377B">
      <w:pPr>
        <w:pStyle w:val="NumberedHeading3"/>
      </w:pPr>
      <w:bookmarkStart w:id="50" w:name="_Toc88637551"/>
      <w:r>
        <w:lastRenderedPageBreak/>
        <w:t>Submitters from across sectors want</w:t>
      </w:r>
      <w:r w:rsidR="001E13B5">
        <w:t>ed</w:t>
      </w:r>
      <w:r>
        <w:t xml:space="preserve"> to see more emphasis on the harm from offshore gambling</w:t>
      </w:r>
      <w:r w:rsidR="00313A0C">
        <w:t xml:space="preserve"> in particular</w:t>
      </w:r>
      <w:bookmarkEnd w:id="50"/>
    </w:p>
    <w:p w14:paraId="0C22BDC5" w14:textId="4B7FB664" w:rsidR="004A7F6E" w:rsidRDefault="001E13B5" w:rsidP="004F377B">
      <w:pPr>
        <w:pStyle w:val="BodyText"/>
      </w:pPr>
      <w:r>
        <w:t xml:space="preserve">Gambling industry and health and social services submitters commented on the </w:t>
      </w:r>
      <w:r w:rsidR="00CE75AF">
        <w:t xml:space="preserve">growth of spending on offshore gambling products and </w:t>
      </w:r>
      <w:r w:rsidR="00EE2F14">
        <w:t xml:space="preserve">recognised a </w:t>
      </w:r>
      <w:r>
        <w:t xml:space="preserve">need for more emphasis on the harm </w:t>
      </w:r>
      <w:r w:rsidR="00416EFB">
        <w:t xml:space="preserve">arising </w:t>
      </w:r>
      <w:r>
        <w:t xml:space="preserve">from offshore gambling. </w:t>
      </w:r>
      <w:r w:rsidR="004A7F6E">
        <w:t>Mechanisms to address the harm from offshore gambling products were suggested</w:t>
      </w:r>
      <w:r w:rsidR="001B6300">
        <w:t>.</w:t>
      </w:r>
    </w:p>
    <w:p w14:paraId="31AB079A" w14:textId="7F18530E" w:rsidR="004F377B" w:rsidRDefault="001B6300" w:rsidP="0017641D">
      <w:pPr>
        <w:pStyle w:val="List-BulletLvl1"/>
      </w:pPr>
      <w:r>
        <w:t>I</w:t>
      </w:r>
      <w:r w:rsidR="004A7F6E">
        <w:t>ncrease</w:t>
      </w:r>
      <w:r w:rsidR="004F377B">
        <w:t xml:space="preserve"> regulation of online gambling by approving New Zealand-based operators and restricting or excluding offshore operators</w:t>
      </w:r>
      <w:r w:rsidR="00CE75AF">
        <w:t xml:space="preserve">: this would </w:t>
      </w:r>
      <w:r w:rsidR="004F377B" w:rsidRPr="00E57433">
        <w:t>give greater transparency to the impact of online gambling with the added benefits of preventing funds from going offshore, increasing the government tax income, holding online gambling operators to the same standard of host responsibility and inclusion in the levy contribution as other land-based operators</w:t>
      </w:r>
      <w:r w:rsidR="004A7F6E">
        <w:t xml:space="preserve"> (one NCGM submitter)</w:t>
      </w:r>
      <w:r w:rsidR="004F377B">
        <w:rPr>
          <w:rStyle w:val="FootnoteReference"/>
        </w:rPr>
        <w:footnoteReference w:id="238"/>
      </w:r>
    </w:p>
    <w:p w14:paraId="094F62AF" w14:textId="3D6C7A7B" w:rsidR="004F377B" w:rsidRDefault="001B6300" w:rsidP="0017641D">
      <w:pPr>
        <w:pStyle w:val="List-BulletLvl1"/>
      </w:pPr>
      <w:r>
        <w:t>A</w:t>
      </w:r>
      <w:r w:rsidR="004F377B" w:rsidRPr="00EF137A">
        <w:t>ccurately quantify</w:t>
      </w:r>
      <w:r w:rsidR="00FA125F">
        <w:t xml:space="preserve"> </w:t>
      </w:r>
      <w:r w:rsidR="004F377B" w:rsidRPr="00EF137A">
        <w:t>the scale of the offshore online gambling</w:t>
      </w:r>
      <w:r>
        <w:t xml:space="preserve"> </w:t>
      </w:r>
      <w:r w:rsidR="00FA125F">
        <w:t>spend</w:t>
      </w:r>
      <w:r w:rsidR="004F377B" w:rsidRPr="00EF137A">
        <w:t>, and incorporat</w:t>
      </w:r>
      <w:r w:rsidR="00FA125F">
        <w:t>e</w:t>
      </w:r>
      <w:r w:rsidR="004F377B" w:rsidRPr="00EF137A">
        <w:t xml:space="preserve"> strategic considerations that are specific to the harm associated with offshore online gambling</w:t>
      </w:r>
      <w:r w:rsidR="00EE2F14">
        <w:t xml:space="preserve"> (one gambling industry submitter</w:t>
      </w:r>
      <w:r w:rsidR="00525F7A">
        <w:t xml:space="preserve"> and one local government submitter</w:t>
      </w:r>
      <w:r w:rsidR="00EE2F14">
        <w:t>)</w:t>
      </w:r>
      <w:r w:rsidR="004F377B">
        <w:rPr>
          <w:rStyle w:val="FootnoteReference"/>
        </w:rPr>
        <w:footnoteReference w:id="239"/>
      </w:r>
    </w:p>
    <w:p w14:paraId="45898ED8" w14:textId="4D205C0B" w:rsidR="004F377B" w:rsidRDefault="001B6300" w:rsidP="004C6FA2">
      <w:pPr>
        <w:pStyle w:val="List-BulletLvl1"/>
      </w:pPr>
      <w:r>
        <w:t>D</w:t>
      </w:r>
      <w:r w:rsidR="005C3E55">
        <w:t xml:space="preserve">evelop </w:t>
      </w:r>
      <w:r w:rsidR="004F377B" w:rsidRPr="00DC68B5">
        <w:t xml:space="preserve">a </w:t>
      </w:r>
      <w:r w:rsidR="001E13B5">
        <w:t>‘</w:t>
      </w:r>
      <w:r w:rsidR="004F377B" w:rsidRPr="00DC68B5">
        <w:t>cybersecurity mandate</w:t>
      </w:r>
      <w:r w:rsidR="001E13B5">
        <w:t>’</w:t>
      </w:r>
      <w:r w:rsidR="004F377B" w:rsidRPr="00DC68B5">
        <w:t xml:space="preserve"> to ban offshore gambling sites</w:t>
      </w:r>
      <w:r w:rsidR="005C3E55">
        <w:t xml:space="preserve"> (one health and social services submitter)</w:t>
      </w:r>
      <w:r w:rsidR="004F377B">
        <w:rPr>
          <w:rStyle w:val="FootnoteReference"/>
        </w:rPr>
        <w:footnoteReference w:id="240"/>
      </w:r>
      <w:r w:rsidR="004F377B">
        <w:t xml:space="preserve"> </w:t>
      </w:r>
    </w:p>
    <w:p w14:paraId="2666CC49" w14:textId="0BA1EDB2" w:rsidR="000874EF" w:rsidRDefault="00D57806" w:rsidP="00D57806">
      <w:pPr>
        <w:pStyle w:val="List-BulletLvl1"/>
      </w:pPr>
      <w:r>
        <w:t>Actively</w:t>
      </w:r>
      <w:r w:rsidR="000874EF">
        <w:t xml:space="preserve"> advocate for regulation of the offshore online casino market (noting that this submitter was ‘confident’ in the robust player safety approach taken by their own domestic online gambling operations) (one gambling industry submitter)</w:t>
      </w:r>
      <w:r>
        <w:t>.</w:t>
      </w:r>
      <w:r w:rsidR="000874EF">
        <w:rPr>
          <w:rStyle w:val="FootnoteReference"/>
        </w:rPr>
        <w:footnoteReference w:id="241"/>
      </w:r>
    </w:p>
    <w:p w14:paraId="4939C1F2" w14:textId="77777777" w:rsidR="004F377B" w:rsidRDefault="004F377B" w:rsidP="004F377B">
      <w:pPr>
        <w:pStyle w:val="NumberedHeading3"/>
      </w:pPr>
      <w:bookmarkStart w:id="51" w:name="_Toc88637552"/>
      <w:r>
        <w:t>Submitters wanted to see increased funding for and adoption of technology</w:t>
      </w:r>
      <w:bookmarkEnd w:id="51"/>
    </w:p>
    <w:p w14:paraId="10179372" w14:textId="30A048CB" w:rsidR="00A83A71" w:rsidRDefault="00A83A71" w:rsidP="004F377B">
      <w:pPr>
        <w:pStyle w:val="BodyText"/>
      </w:pPr>
      <w:r>
        <w:t xml:space="preserve">Gambling industry </w:t>
      </w:r>
      <w:r w:rsidR="005E1128">
        <w:t xml:space="preserve">submitters and service providers were disappointed with the </w:t>
      </w:r>
      <w:r w:rsidR="00B747C8">
        <w:t xml:space="preserve">proposed </w:t>
      </w:r>
      <w:r w:rsidR="005E1128">
        <w:t xml:space="preserve">funding and use of technology to minimise gambling harm. </w:t>
      </w:r>
    </w:p>
    <w:p w14:paraId="6BF12808" w14:textId="4E2217C1" w:rsidR="00E96DE9" w:rsidRDefault="00E96DE9" w:rsidP="00E96DE9">
      <w:pPr>
        <w:pStyle w:val="BodyText"/>
      </w:pPr>
      <w:r>
        <w:t>One NCGM submitter commented that none of the technology fund should be used on technology that does not have a direct harm minimisation benefit (e.g., administration items used by treatment providers such as laptops</w:t>
      </w:r>
      <w:r w:rsidR="00E02DC7">
        <w:t>)</w:t>
      </w:r>
      <w:r>
        <w:t>.</w:t>
      </w:r>
      <w:r>
        <w:rPr>
          <w:rStyle w:val="FootnoteReference"/>
        </w:rPr>
        <w:footnoteReference w:id="242"/>
      </w:r>
    </w:p>
    <w:p w14:paraId="1D99BBA3" w14:textId="77777777" w:rsidR="00E96DE9" w:rsidRDefault="00E96DE9" w:rsidP="00E96DE9">
      <w:pPr>
        <w:pStyle w:val="BodyText"/>
      </w:pPr>
      <w:r>
        <w:t>Two service providers commented on technology specifically with respect to Pacific populations. One noted that more Pacific families are moving into the regions, which have limited services to provide the support they need – access to technology would reduce barriers for Pacific families.</w:t>
      </w:r>
      <w:r>
        <w:rPr>
          <w:rStyle w:val="FootnoteReference"/>
        </w:rPr>
        <w:footnoteReference w:id="243"/>
      </w:r>
      <w:r>
        <w:t xml:space="preserve"> Another service provider also commented that the ongoing COVID-19 lockdowns have shifted the way clients are supported online </w:t>
      </w:r>
      <w:r w:rsidRPr="00DF5499">
        <w:t xml:space="preserve">through apps such as Zoom. </w:t>
      </w:r>
      <w:r>
        <w:t>The submitter suggested that the Ministry provide a</w:t>
      </w:r>
      <w:r w:rsidRPr="00DF5499">
        <w:t xml:space="preserve"> technology support fund for gambling clients and their families to be able to access remote support and counselling.</w:t>
      </w:r>
      <w:r>
        <w:rPr>
          <w:rStyle w:val="FootnoteReference"/>
        </w:rPr>
        <w:footnoteReference w:id="244"/>
      </w:r>
    </w:p>
    <w:p w14:paraId="66169BF1" w14:textId="07EFA60B" w:rsidR="004F377B" w:rsidRPr="00C51B3D" w:rsidRDefault="00C51B3D" w:rsidP="00C51B3D">
      <w:pPr>
        <w:pStyle w:val="CV-Heading2"/>
        <w:rPr>
          <w:i/>
          <w:iCs/>
        </w:rPr>
      </w:pPr>
      <w:r>
        <w:rPr>
          <w:i/>
          <w:iCs/>
        </w:rPr>
        <w:lastRenderedPageBreak/>
        <w:t>NCGM submitters wanted the Ministry to spend money from the current technology fund</w:t>
      </w:r>
    </w:p>
    <w:p w14:paraId="0005FBE3" w14:textId="77777777" w:rsidR="00E869B7" w:rsidRDefault="00E869B7" w:rsidP="00E869B7">
      <w:pPr>
        <w:pStyle w:val="BodyText"/>
      </w:pPr>
      <w:r>
        <w:t>Three NCGM submitters commented that it was disappointing that no money from the current technology fund has been spent to date,</w:t>
      </w:r>
      <w:r>
        <w:rPr>
          <w:rStyle w:val="FootnoteReference"/>
        </w:rPr>
        <w:footnoteReference w:id="245"/>
      </w:r>
      <w:r>
        <w:t xml:space="preserve"> and two went on to say that they did not accept that the COVID-19 pandemic was the only reason for this underspend.</w:t>
      </w:r>
      <w:r>
        <w:rPr>
          <w:rStyle w:val="FootnoteReference"/>
        </w:rPr>
        <w:footnoteReference w:id="246"/>
      </w:r>
    </w:p>
    <w:p w14:paraId="1F8158DD" w14:textId="77777777" w:rsidR="00E869B7" w:rsidRDefault="00E869B7" w:rsidP="00E869B7">
      <w:pPr>
        <w:pStyle w:val="List-BulletLvl1"/>
      </w:pPr>
      <w:r w:rsidRPr="00CE37F0">
        <w:t>increase the technology budget and actually spend the money, ideally on technology that will make a real difference</w:t>
      </w:r>
      <w:r>
        <w:t>: a</w:t>
      </w:r>
      <w:r w:rsidRPr="00CE37F0">
        <w:t>t least 10</w:t>
      </w:r>
      <w:r>
        <w:t xml:space="preserve"> percent</w:t>
      </w:r>
      <w:r w:rsidRPr="00CE37F0">
        <w:t xml:space="preserve"> of the budget should be allocated for technology</w:t>
      </w:r>
      <w:r>
        <w:t>, and t</w:t>
      </w:r>
      <w:r w:rsidRPr="00CE37F0">
        <w:t xml:space="preserve">he fund should then be used </w:t>
      </w:r>
      <w:r>
        <w:t xml:space="preserve">as a priority </w:t>
      </w:r>
      <w:r w:rsidRPr="00CE37F0">
        <w:t>to meet the cost of facial recognition software and licensing fees at venues in high-deprivation areas</w:t>
      </w:r>
      <w:r>
        <w:t xml:space="preserve"> (i.e. before any of the fund is used for new pilots) (five NCGM submitters, one gambling industry submitter)</w:t>
      </w:r>
      <w:r>
        <w:rPr>
          <w:rStyle w:val="FootnoteReference"/>
        </w:rPr>
        <w:footnoteReference w:id="247"/>
      </w:r>
      <w:r w:rsidRPr="00CE37F0">
        <w:t xml:space="preserve"> </w:t>
      </w:r>
    </w:p>
    <w:p w14:paraId="2B1646D6" w14:textId="53C7825A" w:rsidR="00DA2C54" w:rsidRDefault="00DA2C54" w:rsidP="00C51B3D">
      <w:pPr>
        <w:pStyle w:val="List-BulletLvl1"/>
      </w:pPr>
      <w:r>
        <w:t>how the technology fund is used should be decided using a consultative and collaborative approach with the industry (one NCGM submitter)</w:t>
      </w:r>
      <w:r w:rsidR="00C51B3D">
        <w:t>.</w:t>
      </w:r>
      <w:r>
        <w:rPr>
          <w:rStyle w:val="FootnoteReference"/>
        </w:rPr>
        <w:footnoteReference w:id="248"/>
      </w:r>
    </w:p>
    <w:p w14:paraId="0AB366F4" w14:textId="0B2FB2CA" w:rsidR="00E869B7" w:rsidRPr="00E96DE9" w:rsidRDefault="00E96DE9" w:rsidP="00E96DE9">
      <w:pPr>
        <w:pStyle w:val="CV-Heading2"/>
        <w:rPr>
          <w:i/>
          <w:iCs/>
        </w:rPr>
      </w:pPr>
      <w:r w:rsidRPr="00E96DE9">
        <w:rPr>
          <w:i/>
          <w:iCs/>
        </w:rPr>
        <w:t xml:space="preserve">One individual and one NCGM sector submitter wanted to see </w:t>
      </w:r>
      <w:r w:rsidR="00F05A0F" w:rsidRPr="00E96DE9">
        <w:rPr>
          <w:i/>
          <w:iCs/>
        </w:rPr>
        <w:t>better monitoring of individual spends</w:t>
      </w:r>
    </w:p>
    <w:p w14:paraId="354E0533" w14:textId="4C029EC6" w:rsidR="00495AA5" w:rsidRDefault="00E96DE9" w:rsidP="00E96DE9">
      <w:pPr>
        <w:pStyle w:val="BodyText"/>
      </w:pPr>
      <w:r>
        <w:t xml:space="preserve">One individual noted that </w:t>
      </w:r>
      <w:r w:rsidR="00495AA5">
        <w:t>there is no use of technology to assist in monitoring current gamblers</w:t>
      </w:r>
      <w:r>
        <w:t xml:space="preserve">, and that </w:t>
      </w:r>
      <w:r w:rsidR="00495AA5">
        <w:t>to stop harm there need</w:t>
      </w:r>
      <w:r>
        <w:t>ed</w:t>
      </w:r>
      <w:r w:rsidR="00495AA5">
        <w:t xml:space="preserve"> to be better monitoring in place to monitor spend per person via online products or systems in physical products to monitor player behaviour</w:t>
      </w:r>
      <w:r>
        <w:t>.</w:t>
      </w:r>
      <w:r w:rsidR="00495AA5">
        <w:rPr>
          <w:rStyle w:val="FootnoteReference"/>
        </w:rPr>
        <w:footnoteReference w:id="249"/>
      </w:r>
      <w:r>
        <w:t xml:space="preserve"> In addition, an NCGM submitter considered that </w:t>
      </w:r>
      <w:r w:rsidR="00495AA5">
        <w:t>gaming machines should require some form of unique identifier to activate plan (e.g., wallet, card etc.) linked to Inland Revenue’s records to set a maximum spend limit using artificial intelligence algorithms plus a maximum daily time limit and would prevent a player who is subject to exclusion from placing credit onto a machine and playing</w:t>
      </w:r>
      <w:r>
        <w:t>.</w:t>
      </w:r>
      <w:r w:rsidR="00495AA5">
        <w:rPr>
          <w:rStyle w:val="FootnoteReference"/>
        </w:rPr>
        <w:footnoteReference w:id="250"/>
      </w:r>
    </w:p>
    <w:p w14:paraId="74BC89F9" w14:textId="1BC9C390" w:rsidR="00E869B7" w:rsidRDefault="00952DCB" w:rsidP="00952DCB">
      <w:pPr>
        <w:pStyle w:val="CV-Heading2"/>
        <w:rPr>
          <w:i/>
          <w:iCs/>
        </w:rPr>
      </w:pPr>
      <w:r w:rsidRPr="00952DCB">
        <w:rPr>
          <w:i/>
          <w:iCs/>
        </w:rPr>
        <w:t xml:space="preserve">Gambling industry submitters recommended </w:t>
      </w:r>
      <w:r>
        <w:rPr>
          <w:i/>
          <w:iCs/>
        </w:rPr>
        <w:t xml:space="preserve">funding for </w:t>
      </w:r>
      <w:r w:rsidR="00E869B7" w:rsidRPr="00952DCB">
        <w:rPr>
          <w:i/>
          <w:iCs/>
        </w:rPr>
        <w:t>specific technologies</w:t>
      </w:r>
      <w:r w:rsidR="000C0E68" w:rsidRPr="00952DCB">
        <w:rPr>
          <w:i/>
          <w:iCs/>
        </w:rPr>
        <w:t xml:space="preserve"> </w:t>
      </w:r>
    </w:p>
    <w:p w14:paraId="6176347D" w14:textId="52FD83B6" w:rsidR="00952DCB" w:rsidRPr="00952DCB" w:rsidRDefault="00952DCB" w:rsidP="00952DCB">
      <w:pPr>
        <w:pStyle w:val="BodyText"/>
      </w:pPr>
      <w:r>
        <w:t>Facial recognition:</w:t>
      </w:r>
    </w:p>
    <w:p w14:paraId="4A314D0F" w14:textId="39872E52" w:rsidR="00660E81" w:rsidRDefault="00660E81" w:rsidP="00660E81">
      <w:pPr>
        <w:pStyle w:val="List-BulletLvl1"/>
      </w:pPr>
      <w:r>
        <w:t>more funding and emphasis should be placed on helping with the installation and operation of harm minimisation technology at gambling venues such as facial recognition (six NCGM submitters and one gambling industry submitter)</w:t>
      </w:r>
      <w:r>
        <w:rPr>
          <w:rStyle w:val="FootnoteReference"/>
        </w:rPr>
        <w:footnoteReference w:id="251"/>
      </w:r>
    </w:p>
    <w:p w14:paraId="6A8F6A21" w14:textId="77777777" w:rsidR="00495AA5" w:rsidRDefault="00495AA5" w:rsidP="00495AA5">
      <w:pPr>
        <w:pStyle w:val="List-BulletLvl1"/>
      </w:pPr>
      <w:r>
        <w:t>at least one percent of the levy fund should be allocated towards funding facial recognition licence fees (one NCGM submitter)</w:t>
      </w:r>
      <w:r>
        <w:rPr>
          <w:rStyle w:val="FootnoteReference"/>
        </w:rPr>
        <w:footnoteReference w:id="252"/>
      </w:r>
    </w:p>
    <w:p w14:paraId="64498EEB" w14:textId="434E3A97" w:rsidR="00495AA5" w:rsidRPr="00CE37F0" w:rsidRDefault="00952DCB" w:rsidP="00952DCB">
      <w:pPr>
        <w:pStyle w:val="BodyText"/>
      </w:pPr>
      <w:r>
        <w:t>Self-help tools:</w:t>
      </w:r>
    </w:p>
    <w:p w14:paraId="6B989315" w14:textId="77777777" w:rsidR="000355D1" w:rsidRDefault="000355D1" w:rsidP="000355D1">
      <w:pPr>
        <w:pStyle w:val="List-BulletLvl1"/>
      </w:pPr>
      <w:r>
        <w:t>fund self-help tools, such as a web-based tool that enables individuals to request that they be excluded- then they don’t have to wait to see a counsellor to benefit from exclusion (four NCGM submitters and one gambling industry submitter)</w:t>
      </w:r>
      <w:r>
        <w:rPr>
          <w:rStyle w:val="FootnoteReference"/>
        </w:rPr>
        <w:footnoteReference w:id="253"/>
      </w:r>
    </w:p>
    <w:p w14:paraId="795E771A" w14:textId="77777777" w:rsidR="00495AA5" w:rsidRDefault="00495AA5" w:rsidP="00495AA5">
      <w:pPr>
        <w:pStyle w:val="List-BulletLvl1"/>
      </w:pPr>
      <w:r>
        <w:lastRenderedPageBreak/>
        <w:t>investment in the CONCERN National Database (administered by the Salvation Army) (one NCGM submitter)</w:t>
      </w:r>
      <w:r>
        <w:rPr>
          <w:rStyle w:val="FootnoteReference"/>
        </w:rPr>
        <w:footnoteReference w:id="254"/>
      </w:r>
    </w:p>
    <w:p w14:paraId="0DC51123" w14:textId="266019FF" w:rsidR="00495AA5" w:rsidRDefault="00495AA5" w:rsidP="00952DCB">
      <w:pPr>
        <w:pStyle w:val="BodyText"/>
      </w:pPr>
      <w:r>
        <w:t>MVEs</w:t>
      </w:r>
      <w:r w:rsidR="00952DCB">
        <w:t>:</w:t>
      </w:r>
    </w:p>
    <w:p w14:paraId="4237DE26" w14:textId="6D77E1CB" w:rsidR="00AA4469" w:rsidRDefault="0057694D" w:rsidP="00AA4469">
      <w:pPr>
        <w:pStyle w:val="List-BulletLvl1"/>
      </w:pPr>
      <w:r>
        <w:t>e</w:t>
      </w:r>
      <w:r w:rsidR="00AA4469">
        <w:t>ffective MVE is valuable for effectively treating gambling harm, and technological aids are required to assist with effective monitoring and enforcement of exclusion orders (two NCGM submitters and one gambling industry submitter)</w:t>
      </w:r>
      <w:r w:rsidR="005820AD">
        <w:t>.</w:t>
      </w:r>
      <w:r w:rsidR="00AA4469">
        <w:rPr>
          <w:rStyle w:val="FootnoteReference"/>
        </w:rPr>
        <w:footnoteReference w:id="255"/>
      </w:r>
    </w:p>
    <w:p w14:paraId="34688FCE" w14:textId="5B040A88" w:rsidR="004F377B" w:rsidRDefault="00DD0932" w:rsidP="004F377B">
      <w:pPr>
        <w:pStyle w:val="NumberedHeading3"/>
      </w:pPr>
      <w:bookmarkStart w:id="52" w:name="_Toc88637553"/>
      <w:r>
        <w:t>Submitters made c</w:t>
      </w:r>
      <w:r w:rsidR="004F377B">
        <w:t xml:space="preserve">omments about </w:t>
      </w:r>
      <w:r w:rsidR="00F4672E">
        <w:t>service providers and funding models</w:t>
      </w:r>
      <w:bookmarkEnd w:id="52"/>
    </w:p>
    <w:p w14:paraId="7ADF493D" w14:textId="50CB31BA" w:rsidR="00466BFE" w:rsidRDefault="00466BFE" w:rsidP="004F377B">
      <w:pPr>
        <w:pStyle w:val="BodyText"/>
      </w:pPr>
      <w:r>
        <w:t xml:space="preserve">Two submitters commented </w:t>
      </w:r>
      <w:r w:rsidR="00477A35">
        <w:t xml:space="preserve">generally </w:t>
      </w:r>
      <w:r>
        <w:t xml:space="preserve">on treatment services. </w:t>
      </w:r>
      <w:r w:rsidR="007A1FA2">
        <w:t>Each presented different issues.</w:t>
      </w:r>
      <w:r>
        <w:t xml:space="preserve"> </w:t>
      </w:r>
    </w:p>
    <w:p w14:paraId="2A61A635" w14:textId="33859892" w:rsidR="004F377B" w:rsidRDefault="004F377B" w:rsidP="004F377B">
      <w:pPr>
        <w:pStyle w:val="BodyText"/>
      </w:pPr>
      <w:r>
        <w:t xml:space="preserve">One NCGM submitter wanted to see less funding for treatment providers who are unwilling to </w:t>
      </w:r>
      <w:r w:rsidR="00DD0932">
        <w:t>‘</w:t>
      </w:r>
      <w:r>
        <w:t>work with</w:t>
      </w:r>
      <w:r w:rsidR="00DD0932">
        <w:t>’</w:t>
      </w:r>
      <w:r>
        <w:t xml:space="preserve"> the </w:t>
      </w:r>
      <w:r w:rsidR="00DD0932">
        <w:t xml:space="preserve">gambling </w:t>
      </w:r>
      <w:r>
        <w:t xml:space="preserve">industry, and more funding for treatment providers who are willing to </w:t>
      </w:r>
      <w:r w:rsidR="002C74DC">
        <w:t>do so</w:t>
      </w:r>
      <w:r w:rsidR="00D15709">
        <w:t xml:space="preserve">. They considered that </w:t>
      </w:r>
      <w:r>
        <w:t xml:space="preserve">society and venue staff should be included as part of the treatment </w:t>
      </w:r>
      <w:r w:rsidR="007A1FA2">
        <w:t xml:space="preserve">services </w:t>
      </w:r>
      <w:r>
        <w:t>provided</w:t>
      </w:r>
      <w:r w:rsidR="007A1FA2">
        <w:t xml:space="preserve"> to those with gambling issues</w:t>
      </w:r>
      <w:r>
        <w:t xml:space="preserve"> </w:t>
      </w:r>
      <w:r w:rsidR="007A1FA2">
        <w:t>and should</w:t>
      </w:r>
      <w:r>
        <w:t xml:space="preserve"> not </w:t>
      </w:r>
      <w:r w:rsidR="007A1FA2">
        <w:t>be</w:t>
      </w:r>
      <w:r>
        <w:t xml:space="preserve"> </w:t>
      </w:r>
      <w:r w:rsidR="00D12302">
        <w:t>‘</w:t>
      </w:r>
      <w:r>
        <w:t>treated as the enemy</w:t>
      </w:r>
      <w:r w:rsidR="00D12302">
        <w:t>’</w:t>
      </w:r>
      <w:r>
        <w:t>.</w:t>
      </w:r>
      <w:r>
        <w:rPr>
          <w:rStyle w:val="FootnoteReference"/>
        </w:rPr>
        <w:footnoteReference w:id="256"/>
      </w:r>
      <w:r>
        <w:t xml:space="preserve"> </w:t>
      </w:r>
    </w:p>
    <w:p w14:paraId="7F3206F5" w14:textId="0C8A1032" w:rsidR="004F377B" w:rsidRDefault="004F377B" w:rsidP="004F377B">
      <w:pPr>
        <w:pStyle w:val="BodyText"/>
      </w:pPr>
      <w:r>
        <w:t xml:space="preserve">One </w:t>
      </w:r>
      <w:r w:rsidR="008743EA">
        <w:t>l</w:t>
      </w:r>
      <w:r>
        <w:t xml:space="preserve">ocal </w:t>
      </w:r>
      <w:r w:rsidR="008743EA">
        <w:t>g</w:t>
      </w:r>
      <w:r>
        <w:t xml:space="preserve">overnment submitter commented that the </w:t>
      </w:r>
      <w:r w:rsidR="0019147B">
        <w:t xml:space="preserve">draft </w:t>
      </w:r>
      <w:r>
        <w:t>strategy d</w:t>
      </w:r>
      <w:r w:rsidR="00FF12D3">
        <w:t>id</w:t>
      </w:r>
      <w:r>
        <w:t xml:space="preserve"> not indicate how public health and clinical interventions will be allocated to areas of need rather than being funded by service providers.</w:t>
      </w:r>
      <w:r>
        <w:rPr>
          <w:rStyle w:val="FootnoteReference"/>
        </w:rPr>
        <w:footnoteReference w:id="257"/>
      </w:r>
    </w:p>
    <w:p w14:paraId="3D41DEB0" w14:textId="77777777" w:rsidR="004F377B" w:rsidRPr="00477A35" w:rsidRDefault="004F377B" w:rsidP="00477A35">
      <w:pPr>
        <w:pStyle w:val="CV-Heading2"/>
        <w:rPr>
          <w:i/>
          <w:iCs/>
        </w:rPr>
      </w:pPr>
      <w:r w:rsidRPr="00477A35">
        <w:rPr>
          <w:i/>
          <w:iCs/>
        </w:rPr>
        <w:t>Two submitters suggested a cost pressure adjustment for service providers</w:t>
      </w:r>
    </w:p>
    <w:p w14:paraId="2308DF2E" w14:textId="77777777" w:rsidR="004F377B" w:rsidRPr="0033148A" w:rsidRDefault="004F377B" w:rsidP="004F377B">
      <w:pPr>
        <w:pStyle w:val="BodyText"/>
        <w:rPr>
          <w:b/>
          <w:bCs/>
        </w:rPr>
      </w:pPr>
      <w:r>
        <w:t>One service provider and one health and social services submitter commented that organisations should have yearly general cost pressure uplifts worked into their contracts to maintain good quality services and meet growing demand.</w:t>
      </w:r>
      <w:r>
        <w:rPr>
          <w:rStyle w:val="FootnoteReference"/>
        </w:rPr>
        <w:footnoteReference w:id="258"/>
      </w:r>
      <w:r>
        <w:t xml:space="preserve"> </w:t>
      </w:r>
    </w:p>
    <w:p w14:paraId="2666A800" w14:textId="010C3851" w:rsidR="004F377B" w:rsidRPr="00477A35" w:rsidRDefault="00DD0932" w:rsidP="00477A35">
      <w:pPr>
        <w:pStyle w:val="CV-Heading2"/>
        <w:rPr>
          <w:i/>
          <w:iCs/>
        </w:rPr>
      </w:pPr>
      <w:r w:rsidRPr="00477A35">
        <w:rPr>
          <w:i/>
          <w:iCs/>
        </w:rPr>
        <w:t xml:space="preserve">One </w:t>
      </w:r>
      <w:r w:rsidR="004F377B" w:rsidRPr="00477A35">
        <w:rPr>
          <w:i/>
          <w:iCs/>
        </w:rPr>
        <w:t>NCGM submitter wanted to see harm minimisation ratings</w:t>
      </w:r>
    </w:p>
    <w:p w14:paraId="4B47DBFF" w14:textId="77777777" w:rsidR="004F377B" w:rsidRDefault="004F377B" w:rsidP="004F377B">
      <w:pPr>
        <w:pStyle w:val="BodyText"/>
      </w:pPr>
      <w:r>
        <w:t>One NCGM submitter considered that best practice would be for venues to have harm minimisation ratings, and rewards for venues with high standards.</w:t>
      </w:r>
      <w:r>
        <w:rPr>
          <w:rStyle w:val="FootnoteReference"/>
        </w:rPr>
        <w:footnoteReference w:id="259"/>
      </w:r>
      <w:r>
        <w:t xml:space="preserve"> One of the requirements to reach the best rating could be to have a minimum number of staff who have undertaken an NZQA gambling-related qualification and undertaken a minimum number of hours each year of ongoing professional development.</w:t>
      </w:r>
      <w:r>
        <w:rPr>
          <w:rStyle w:val="FootnoteReference"/>
        </w:rPr>
        <w:footnoteReference w:id="260"/>
      </w:r>
    </w:p>
    <w:p w14:paraId="1ECF90DE" w14:textId="77777777" w:rsidR="004F377B" w:rsidRPr="00477A35" w:rsidRDefault="004F377B" w:rsidP="00477A35">
      <w:pPr>
        <w:pStyle w:val="CV-Heading2"/>
        <w:rPr>
          <w:i/>
          <w:iCs/>
        </w:rPr>
      </w:pPr>
      <w:r w:rsidRPr="00477A35">
        <w:rPr>
          <w:i/>
          <w:iCs/>
        </w:rPr>
        <w:t>Services providers and health and social sector submitters commented on the impact of COVID-19</w:t>
      </w:r>
    </w:p>
    <w:p w14:paraId="1BF55637" w14:textId="5D91F793" w:rsidR="004F377B" w:rsidRDefault="004F377B" w:rsidP="004F377B">
      <w:pPr>
        <w:pStyle w:val="BodyText"/>
      </w:pPr>
      <w:r>
        <w:t xml:space="preserve">One health and social services submitter who </w:t>
      </w:r>
      <w:r w:rsidRPr="005928DE">
        <w:t xml:space="preserve">represents the largest professional health workforce who predominately </w:t>
      </w:r>
      <w:r w:rsidR="00016856">
        <w:t>service</w:t>
      </w:r>
      <w:r w:rsidRPr="005928DE">
        <w:t xml:space="preserve"> the testing and vaccination centres for mate korona (C</w:t>
      </w:r>
      <w:r>
        <w:t>OVID</w:t>
      </w:r>
      <w:r w:rsidRPr="005928DE">
        <w:t>-19)</w:t>
      </w:r>
      <w:r>
        <w:t xml:space="preserve"> commented that it</w:t>
      </w:r>
      <w:r w:rsidRPr="005928DE">
        <w:t xml:space="preserve"> is important that investment in improving the continued constraints </w:t>
      </w:r>
      <w:r>
        <w:t>that</w:t>
      </w:r>
      <w:r w:rsidRPr="005928DE">
        <w:t xml:space="preserve"> members are facing with minimal changes in cultural and work safe conditions, </w:t>
      </w:r>
      <w:r w:rsidRPr="005928DE">
        <w:lastRenderedPageBreak/>
        <w:t>unequal pay and limited access to necessary health and safety equipment and resources, remains topical when reflecting population needs.</w:t>
      </w:r>
      <w:r>
        <w:rPr>
          <w:rStyle w:val="FootnoteReference"/>
        </w:rPr>
        <w:footnoteReference w:id="261"/>
      </w:r>
    </w:p>
    <w:p w14:paraId="2DF92CFC" w14:textId="2809A91A" w:rsidR="004F377B" w:rsidRDefault="004F377B" w:rsidP="004F377B">
      <w:pPr>
        <w:pStyle w:val="BodyText"/>
      </w:pPr>
      <w:r>
        <w:t xml:space="preserve">Another health and social services submitter </w:t>
      </w:r>
      <w:r w:rsidRPr="00C710ED">
        <w:t>acknowledge</w:t>
      </w:r>
      <w:r>
        <w:t>d</w:t>
      </w:r>
      <w:r w:rsidRPr="00C710ED">
        <w:t xml:space="preserve"> that COVID-19 </w:t>
      </w:r>
      <w:r>
        <w:t>was</w:t>
      </w:r>
      <w:r w:rsidRPr="00C710ED">
        <w:t xml:space="preserve"> a factor in slowing down progress, however the prevalence of gambling harm remain</w:t>
      </w:r>
      <w:r>
        <w:t>ed</w:t>
      </w:r>
      <w:r w:rsidRPr="00C710ED">
        <w:t xml:space="preserve"> the same.</w:t>
      </w:r>
      <w:r>
        <w:rPr>
          <w:rStyle w:val="FootnoteReference"/>
        </w:rPr>
        <w:footnoteReference w:id="262"/>
      </w:r>
      <w:r w:rsidRPr="00C710ED">
        <w:t xml:space="preserve"> </w:t>
      </w:r>
      <w:r>
        <w:t>The submitter was</w:t>
      </w:r>
      <w:r w:rsidRPr="00C710ED">
        <w:t xml:space="preserve"> particularly concerned for the impact on priority population groups, and the ongoing detrimental effects on those most impacted by gambling harm</w:t>
      </w:r>
      <w:r>
        <w:t>, however noted that t</w:t>
      </w:r>
      <w:r w:rsidRPr="00C710ED">
        <w:t>he strategy needs to be more ambitious and monitoring more rigorous if it is to reduce risks at an equitable level.</w:t>
      </w:r>
      <w:r>
        <w:rPr>
          <w:rStyle w:val="FootnoteReference"/>
        </w:rPr>
        <w:footnoteReference w:id="263"/>
      </w:r>
    </w:p>
    <w:p w14:paraId="4B3F9171" w14:textId="15A91A52" w:rsidR="004F377B" w:rsidRDefault="004F377B" w:rsidP="004F377B">
      <w:pPr>
        <w:pStyle w:val="BodyText"/>
      </w:pPr>
      <w:r>
        <w:t xml:space="preserve">One service provider commented that </w:t>
      </w:r>
      <w:r w:rsidRPr="007650AD">
        <w:t>COVID-19 drastically changed the gambling landscape in Aotearoa.</w:t>
      </w:r>
      <w:r>
        <w:rPr>
          <w:rStyle w:val="FootnoteReference"/>
        </w:rPr>
        <w:footnoteReference w:id="264"/>
      </w:r>
      <w:r w:rsidRPr="007650AD">
        <w:t xml:space="preserve"> COVID-19 has exacerbated the psychosocial stressors which are impacting on </w:t>
      </w:r>
      <w:r>
        <w:t>whānau</w:t>
      </w:r>
      <w:r w:rsidRPr="007650AD">
        <w:t xml:space="preserve">, </w:t>
      </w:r>
      <w:r w:rsidR="00604ED5">
        <w:t xml:space="preserve">which </w:t>
      </w:r>
      <w:r w:rsidRPr="007650AD">
        <w:t>leav</w:t>
      </w:r>
      <w:r w:rsidR="00604ED5">
        <w:t>es</w:t>
      </w:r>
      <w:r w:rsidRPr="007650AD">
        <w:t xml:space="preserve"> communities more vulnerable and susceptible to predatory practices which act as a precursor for gambling harm (such as housing security, loan sharking and other such practices). </w:t>
      </w:r>
      <w:r>
        <w:t>The submitter considered that</w:t>
      </w:r>
      <w:r w:rsidRPr="007650AD">
        <w:t xml:space="preserve"> is critical to ensuring that </w:t>
      </w:r>
      <w:r w:rsidR="00604ED5">
        <w:t xml:space="preserve">the </w:t>
      </w:r>
      <w:r w:rsidRPr="007650AD">
        <w:t xml:space="preserve">strategy is fit for purpose </w:t>
      </w:r>
      <w:r>
        <w:t xml:space="preserve">and </w:t>
      </w:r>
      <w:r w:rsidRPr="007650AD">
        <w:t>that responsive measures are put in place to manage the interplay between the pandemic, emergency legislative measures and the impact that these have on whānau.</w:t>
      </w:r>
      <w:r>
        <w:rPr>
          <w:rStyle w:val="FootnoteReference"/>
        </w:rPr>
        <w:footnoteReference w:id="265"/>
      </w:r>
      <w:r w:rsidRPr="007650AD">
        <w:t xml:space="preserve">  </w:t>
      </w:r>
    </w:p>
    <w:p w14:paraId="60BB8A58" w14:textId="77777777" w:rsidR="004F377B" w:rsidRDefault="004F377B" w:rsidP="004F377B">
      <w:pPr>
        <w:pStyle w:val="BodyText"/>
      </w:pPr>
      <w:r>
        <w:t>One service provider commented that t</w:t>
      </w:r>
      <w:r w:rsidRPr="004028DE">
        <w:t>he recent COVID</w:t>
      </w:r>
      <w:r>
        <w:t>-</w:t>
      </w:r>
      <w:r w:rsidRPr="004028DE">
        <w:t xml:space="preserve">19 pandemic highlighted the need for ongoing support for the Pacific community through consultations, engagement, and connecting with </w:t>
      </w:r>
      <w:r>
        <w:t xml:space="preserve">the </w:t>
      </w:r>
      <w:r w:rsidRPr="004028DE">
        <w:t>community to come together to support one another.</w:t>
      </w:r>
      <w:r>
        <w:rPr>
          <w:rStyle w:val="FootnoteReference"/>
        </w:rPr>
        <w:footnoteReference w:id="266"/>
      </w:r>
    </w:p>
    <w:p w14:paraId="15B73A32" w14:textId="7CB6F3E7" w:rsidR="004F377B" w:rsidRDefault="001577EE" w:rsidP="004F377B">
      <w:pPr>
        <w:pStyle w:val="NumberedHeading3"/>
      </w:pPr>
      <w:bookmarkStart w:id="53" w:name="_Toc88637554"/>
      <w:r>
        <w:t xml:space="preserve">Some submitters wanted to see </w:t>
      </w:r>
      <w:r w:rsidR="004F377B">
        <w:t>increased support or training</w:t>
      </w:r>
      <w:bookmarkEnd w:id="53"/>
    </w:p>
    <w:p w14:paraId="31405D0B" w14:textId="59C29D18" w:rsidR="004F377B" w:rsidRDefault="004F377B" w:rsidP="004F377B">
      <w:pPr>
        <w:pStyle w:val="BodyText"/>
      </w:pPr>
      <w:r>
        <w:t>One NCGM submitter commented that the Ministry should develop and facilitate partnerships with gaming society staff and gambling venue staff, and that funding should be allocated for Hospitality New Zealand’s proposed NZQA gambling qualification and harm minimisation leadership course.</w:t>
      </w:r>
      <w:r>
        <w:rPr>
          <w:rStyle w:val="FootnoteReference"/>
        </w:rPr>
        <w:footnoteReference w:id="267"/>
      </w:r>
    </w:p>
    <w:p w14:paraId="0D3E3069" w14:textId="63372A55" w:rsidR="004F377B" w:rsidRDefault="004F377B" w:rsidP="004F377B">
      <w:pPr>
        <w:pStyle w:val="BodyText"/>
      </w:pPr>
      <w:r>
        <w:t>One service provider commented that s</w:t>
      </w:r>
      <w:r w:rsidRPr="00FA2923">
        <w:t>ignificant efforts and resourcing need to be directed towards ensuring that the workforce is fit for purpose and responsive to the emergent gambling issues in Aotearoa to best reach, engage with and support whānau who are engaging in harmful gambling.</w:t>
      </w:r>
      <w:r w:rsidRPr="00193ED8">
        <w:rPr>
          <w:rStyle w:val="FootnoteReference"/>
        </w:rPr>
        <w:t xml:space="preserve"> </w:t>
      </w:r>
      <w:r>
        <w:rPr>
          <w:rStyle w:val="FootnoteReference"/>
        </w:rPr>
        <w:footnoteReference w:id="268"/>
      </w:r>
      <w:r w:rsidRPr="00FA2923">
        <w:t xml:space="preserve">  More support is needed to help </w:t>
      </w:r>
      <w:r w:rsidR="00E60B50">
        <w:t>K</w:t>
      </w:r>
      <w:r w:rsidRPr="00FA2923">
        <w:t>aimahi bridge the cultural and linguistic divide to ensure gambling venues are supported.</w:t>
      </w:r>
      <w:r>
        <w:rPr>
          <w:rStyle w:val="FootnoteReference"/>
        </w:rPr>
        <w:footnoteReference w:id="269"/>
      </w:r>
      <w:r w:rsidRPr="00FA2923">
        <w:t xml:space="preserve">  </w:t>
      </w:r>
    </w:p>
    <w:p w14:paraId="4E26DC12" w14:textId="204B9E69" w:rsidR="00B037EB" w:rsidRDefault="00B037EB" w:rsidP="00B037EB">
      <w:pPr>
        <w:pStyle w:val="NumberedHeading3"/>
      </w:pPr>
      <w:bookmarkStart w:id="54" w:name="_Toc88637555"/>
      <w:r>
        <w:t>Key themes from consultation hui</w:t>
      </w:r>
      <w:bookmarkEnd w:id="54"/>
    </w:p>
    <w:tbl>
      <w:tblPr>
        <w:tblStyle w:val="TableGrid"/>
        <w:tblW w:w="0" w:type="auto"/>
        <w:shd w:val="clear" w:color="auto" w:fill="D2D9DE" w:themeFill="text2" w:themeFillTint="33"/>
        <w:tblLook w:val="04A0" w:firstRow="1" w:lastRow="0" w:firstColumn="1" w:lastColumn="0" w:noHBand="0" w:noVBand="1"/>
      </w:tblPr>
      <w:tblGrid>
        <w:gridCol w:w="9061"/>
      </w:tblGrid>
      <w:tr w:rsidR="00562E12" w:rsidRPr="00562E12" w14:paraId="0DF26270" w14:textId="77777777" w:rsidTr="00A63114">
        <w:tc>
          <w:tcPr>
            <w:tcW w:w="9061" w:type="dxa"/>
            <w:shd w:val="clear" w:color="auto" w:fill="D2D9DE" w:themeFill="text2" w:themeFillTint="33"/>
          </w:tcPr>
          <w:p w14:paraId="7C8B0344" w14:textId="69AA206B" w:rsidR="00B037EB" w:rsidRPr="00562E12" w:rsidRDefault="00B037EB" w:rsidP="00A63114">
            <w:pPr>
              <w:pStyle w:val="BodyText"/>
              <w:jc w:val="center"/>
              <w:rPr>
                <w:b/>
                <w:bCs/>
                <w:color w:val="36424A" w:themeColor="accent5"/>
              </w:rPr>
            </w:pPr>
            <w:r w:rsidRPr="00562E12">
              <w:rPr>
                <w:b/>
                <w:bCs/>
                <w:color w:val="36424A" w:themeColor="accent5"/>
              </w:rPr>
              <w:t>Comments from hui on key changes in the gambling environment</w:t>
            </w:r>
          </w:p>
          <w:p w14:paraId="6EC6EFF1" w14:textId="77777777" w:rsidR="00B037EB" w:rsidRDefault="00B037EB" w:rsidP="00562E12">
            <w:pPr>
              <w:pStyle w:val="List-BulletLvl1"/>
              <w:rPr>
                <w:color w:val="36424A" w:themeColor="accent5"/>
              </w:rPr>
            </w:pPr>
            <w:r w:rsidRPr="00562E12">
              <w:rPr>
                <w:color w:val="36424A" w:themeColor="accent5"/>
              </w:rPr>
              <w:t xml:space="preserve"> </w:t>
            </w:r>
            <w:r w:rsidR="00562E12" w:rsidRPr="00562E12">
              <w:rPr>
                <w:color w:val="36424A" w:themeColor="accent5"/>
              </w:rPr>
              <w:t xml:space="preserve">Stakeholders strongly </w:t>
            </w:r>
            <w:r w:rsidR="00562E12">
              <w:rPr>
                <w:color w:val="36424A" w:themeColor="accent5"/>
              </w:rPr>
              <w:t xml:space="preserve">supported increased focus on online gambling, with some commenting that </w:t>
            </w:r>
            <w:r w:rsidR="00E44015">
              <w:rPr>
                <w:color w:val="36424A" w:themeColor="accent5"/>
              </w:rPr>
              <w:t xml:space="preserve">it was important to break down the different parts of online gambling e.g. Lotto, online scratchies, TAB, offshore casinos, etc. as this would </w:t>
            </w:r>
            <w:r w:rsidR="00E44015">
              <w:rPr>
                <w:color w:val="36424A" w:themeColor="accent5"/>
              </w:rPr>
              <w:lastRenderedPageBreak/>
              <w:t xml:space="preserve">provide a better understanding of who is doing what online, and the harm being caused. </w:t>
            </w:r>
          </w:p>
          <w:p w14:paraId="6882116D" w14:textId="4836094F" w:rsidR="00FA65E8" w:rsidRDefault="00FA65E8" w:rsidP="00562E12">
            <w:pPr>
              <w:pStyle w:val="List-BulletLvl1"/>
              <w:rPr>
                <w:color w:val="36424A" w:themeColor="accent5"/>
              </w:rPr>
            </w:pPr>
            <w:r>
              <w:rPr>
                <w:color w:val="36424A" w:themeColor="accent5"/>
              </w:rPr>
              <w:t xml:space="preserve">Stakeholders at multiple hui discussed the need for interventions </w:t>
            </w:r>
            <w:r w:rsidR="00B92439">
              <w:rPr>
                <w:color w:val="36424A" w:themeColor="accent5"/>
              </w:rPr>
              <w:t>to prevent aggressive promotion of online gambling (e.g. pop-up adds on phones within other apps)</w:t>
            </w:r>
            <w:r w:rsidR="00C82155">
              <w:rPr>
                <w:color w:val="36424A" w:themeColor="accent5"/>
              </w:rPr>
              <w:t xml:space="preserve">. </w:t>
            </w:r>
          </w:p>
          <w:p w14:paraId="52E74943" w14:textId="788FDEB7" w:rsidR="00E44015" w:rsidRPr="00562E12" w:rsidRDefault="00166C7A" w:rsidP="00562E12">
            <w:pPr>
              <w:pStyle w:val="List-BulletLvl1"/>
              <w:rPr>
                <w:color w:val="36424A" w:themeColor="accent5"/>
              </w:rPr>
            </w:pPr>
            <w:r>
              <w:rPr>
                <w:color w:val="36424A" w:themeColor="accent5"/>
              </w:rPr>
              <w:t>Stakeholders discussed the need to ‘move into the future’ with service online such as online chat, apps and text</w:t>
            </w:r>
            <w:r w:rsidR="00A559E4">
              <w:rPr>
                <w:color w:val="36424A" w:themeColor="accent5"/>
              </w:rPr>
              <w:t xml:space="preserve">, and noted that this sort of engagement would allow the sector to be more nimble, particularly in engaging young people online. </w:t>
            </w:r>
          </w:p>
        </w:tc>
      </w:tr>
    </w:tbl>
    <w:p w14:paraId="25D3F594" w14:textId="77777777" w:rsidR="004F377B" w:rsidRDefault="004F377B" w:rsidP="004F377B">
      <w:pPr>
        <w:pStyle w:val="NumberedHeading2"/>
      </w:pPr>
      <w:bookmarkStart w:id="55" w:name="_Toc88637556"/>
      <w:r>
        <w:lastRenderedPageBreak/>
        <w:t>Priority populations</w:t>
      </w:r>
      <w:bookmarkEnd w:id="55"/>
    </w:p>
    <w:p w14:paraId="5E91CB9D" w14:textId="06E689F6" w:rsidR="00805D0F" w:rsidRDefault="004F377B" w:rsidP="004F377B">
      <w:pPr>
        <w:pStyle w:val="BodyText"/>
      </w:pPr>
      <w:r>
        <w:t>S</w:t>
      </w:r>
      <w:r w:rsidR="00F66AFB">
        <w:t xml:space="preserve">takeholders </w:t>
      </w:r>
      <w:r>
        <w:t xml:space="preserve">were asked whether they had any comments to make on the priority populations, including how inequities will be addressed. </w:t>
      </w:r>
      <w:r w:rsidR="00F66AFB">
        <w:t xml:space="preserve">A total of </w:t>
      </w:r>
      <w:r w:rsidR="001F35A9">
        <w:t>34</w:t>
      </w:r>
      <w:r w:rsidR="00805D0F">
        <w:t xml:space="preserve"> submitters commented on priority populations, including </w:t>
      </w:r>
      <w:r w:rsidR="000464C7">
        <w:t xml:space="preserve">12 </w:t>
      </w:r>
      <w:r w:rsidR="00A8416E">
        <w:t>service providers, ten health and social se</w:t>
      </w:r>
      <w:r w:rsidR="000A0B2A">
        <w:t>rvice</w:t>
      </w:r>
      <w:r w:rsidR="00DD2293">
        <w:t>s</w:t>
      </w:r>
      <w:r w:rsidR="000A0B2A">
        <w:t xml:space="preserve"> submitters, four local government submitters, four individuals</w:t>
      </w:r>
      <w:r w:rsidR="00E40573">
        <w:t xml:space="preserve">, two NCGM submitters, </w:t>
      </w:r>
      <w:r w:rsidR="005C6E54">
        <w:t xml:space="preserve">one </w:t>
      </w:r>
      <w:r w:rsidR="007C0FF2">
        <w:t>g</w:t>
      </w:r>
      <w:r w:rsidR="005C6E54">
        <w:t>overnment</w:t>
      </w:r>
      <w:r w:rsidR="004164B4">
        <w:t xml:space="preserve"> submitter, and </w:t>
      </w:r>
      <w:r w:rsidR="00E40573">
        <w:t>one gambling industry submitte</w:t>
      </w:r>
      <w:r w:rsidR="004164B4">
        <w:t>r</w:t>
      </w:r>
      <w:r w:rsidR="005C6E54">
        <w:t>.</w:t>
      </w:r>
      <w:r w:rsidR="001F35A9">
        <w:rPr>
          <w:rStyle w:val="FootnoteReference"/>
        </w:rPr>
        <w:footnoteReference w:id="270"/>
      </w:r>
      <w:r w:rsidR="00805D0F">
        <w:t xml:space="preserve"> </w:t>
      </w:r>
    </w:p>
    <w:p w14:paraId="1089130C" w14:textId="4C673CFF" w:rsidR="00471D43" w:rsidRDefault="00600008" w:rsidP="004F377B">
      <w:pPr>
        <w:pStyle w:val="BodyText"/>
      </w:pPr>
      <w:r>
        <w:t xml:space="preserve">There is also a discussion of priority populations above in Section 2.1.8., in relation to objective four. </w:t>
      </w:r>
    </w:p>
    <w:p w14:paraId="4F80E28A" w14:textId="6AF09163" w:rsidR="004F377B" w:rsidRPr="00DA6F6A" w:rsidRDefault="004F377B" w:rsidP="004F377B">
      <w:pPr>
        <w:pStyle w:val="BodyText"/>
      </w:pPr>
      <w:r>
        <w:t>Submitters made specific comments on each of the priority populations (Asian, Māori, Pacific and rangatahi), as well as general comments about the focus on priority populations. Some submitters also made suggestions for additional priority populations.</w:t>
      </w:r>
      <w:r w:rsidR="00B94FE3">
        <w:t xml:space="preserve"> </w:t>
      </w:r>
      <w:r w:rsidR="00C4596C">
        <w:t xml:space="preserve">Each of these themes are discussed in the sections below. </w:t>
      </w:r>
    </w:p>
    <w:p w14:paraId="1E7FB5AE" w14:textId="3E6AC0A3" w:rsidR="004F377B" w:rsidRDefault="00B715CD" w:rsidP="004F377B">
      <w:pPr>
        <w:pStyle w:val="NumberedHeading3"/>
      </w:pPr>
      <w:bookmarkStart w:id="56" w:name="_Toc88637557"/>
      <w:r>
        <w:t>Submitters from across sectors made g</w:t>
      </w:r>
      <w:r w:rsidR="004F377B">
        <w:t>eneral comments about the focus on priority populations</w:t>
      </w:r>
      <w:bookmarkEnd w:id="56"/>
    </w:p>
    <w:p w14:paraId="05C09AA7" w14:textId="5445615A" w:rsidR="004F377B" w:rsidRDefault="004F377B" w:rsidP="00B61A11">
      <w:pPr>
        <w:pStyle w:val="BodyText"/>
      </w:pPr>
      <w:r>
        <w:t>Submitters from across all sectors made general comments about the focus on priority populations, many of them positive. Positive comments included</w:t>
      </w:r>
      <w:r w:rsidR="00EE17F2">
        <w:t xml:space="preserve"> </w:t>
      </w:r>
      <w:r w:rsidR="006F2F58">
        <w:t>agreement with the stronger focus on priority populations (</w:t>
      </w:r>
      <w:r w:rsidR="00AC524A">
        <w:t xml:space="preserve">three </w:t>
      </w:r>
      <w:r w:rsidR="006F2F58">
        <w:t xml:space="preserve">health and social services submitters, </w:t>
      </w:r>
      <w:r w:rsidR="00377F45">
        <w:t xml:space="preserve">three </w:t>
      </w:r>
      <w:r w:rsidR="006F2F58">
        <w:t>service providers, one NCGM submitter and one gambling industry submitter)</w:t>
      </w:r>
      <w:r w:rsidR="006F2F58">
        <w:rPr>
          <w:rStyle w:val="FootnoteReference"/>
        </w:rPr>
        <w:footnoteReference w:id="271"/>
      </w:r>
      <w:r w:rsidR="006F2F58">
        <w:t xml:space="preserve"> </w:t>
      </w:r>
      <w:r w:rsidR="009D293C">
        <w:t xml:space="preserve">and </w:t>
      </w:r>
      <w:r w:rsidR="003B114F">
        <w:t xml:space="preserve">support for </w:t>
      </w:r>
      <w:r>
        <w:t>an independent focus on restoring health and thriving aspirations for those populations most at risk (</w:t>
      </w:r>
      <w:r w:rsidR="00D4580B">
        <w:t xml:space="preserve">two </w:t>
      </w:r>
      <w:r>
        <w:t>health and social services</w:t>
      </w:r>
      <w:r w:rsidR="00A7795C">
        <w:t xml:space="preserve"> submitter</w:t>
      </w:r>
      <w:r w:rsidR="00D4580B">
        <w:t>s, one service provider</w:t>
      </w:r>
      <w:r>
        <w:t>)</w:t>
      </w:r>
      <w:r w:rsidR="003B114F">
        <w:t>.</w:t>
      </w:r>
      <w:r>
        <w:rPr>
          <w:rStyle w:val="FootnoteReference"/>
        </w:rPr>
        <w:footnoteReference w:id="272"/>
      </w:r>
      <w:r w:rsidR="007F16F7">
        <w:t xml:space="preserve"> One service provider specifically agreed</w:t>
      </w:r>
      <w:r>
        <w:t xml:space="preserve"> with prioritising localised and </w:t>
      </w:r>
      <w:r w:rsidR="00344F98">
        <w:t>‘</w:t>
      </w:r>
      <w:r>
        <w:t>by X for X</w:t>
      </w:r>
      <w:r w:rsidR="00344F98">
        <w:t>’</w:t>
      </w:r>
      <w:r>
        <w:t xml:space="preserve"> approaches and supporting priority populations into the workforce</w:t>
      </w:r>
      <w:r w:rsidR="007F16F7">
        <w:t>.</w:t>
      </w:r>
      <w:r>
        <w:rPr>
          <w:rStyle w:val="FootnoteReference"/>
        </w:rPr>
        <w:footnoteReference w:id="273"/>
      </w:r>
      <w:r w:rsidR="00B50190">
        <w:t xml:space="preserve"> Other reasons for supporting </w:t>
      </w:r>
      <w:r w:rsidR="00202A6B">
        <w:t>a priority population approach were that</w:t>
      </w:r>
      <w:r w:rsidR="00EB6C4C">
        <w:t xml:space="preserve"> </w:t>
      </w:r>
      <w:r>
        <w:t>priority populations are disproportionately affected by gambling harm</w:t>
      </w:r>
      <w:r w:rsidR="00202A6B">
        <w:t xml:space="preserve"> and </w:t>
      </w:r>
      <w:r>
        <w:t>the intent to address inequit</w:t>
      </w:r>
      <w:r w:rsidR="00202A6B">
        <w:t>y is important</w:t>
      </w:r>
      <w:r>
        <w:t xml:space="preserve"> (</w:t>
      </w:r>
      <w:r w:rsidR="006F2F58">
        <w:t xml:space="preserve">one </w:t>
      </w:r>
      <w:r>
        <w:t>health and social services</w:t>
      </w:r>
      <w:r w:rsidR="006F2F58">
        <w:t xml:space="preserve"> submitter</w:t>
      </w:r>
      <w:r>
        <w:t>)</w:t>
      </w:r>
      <w:r w:rsidR="00EB6C4C">
        <w:t>.</w:t>
      </w:r>
      <w:r>
        <w:rPr>
          <w:rStyle w:val="FootnoteReference"/>
        </w:rPr>
        <w:footnoteReference w:id="274"/>
      </w:r>
      <w:r w:rsidR="00EB6C4C">
        <w:t xml:space="preserve"> One health and social services submitter specifically supported </w:t>
      </w:r>
      <w:r>
        <w:t>the addition of rangatahi and Asian into priority populations.</w:t>
      </w:r>
      <w:r>
        <w:rPr>
          <w:rStyle w:val="FootnoteReference"/>
        </w:rPr>
        <w:footnoteReference w:id="275"/>
      </w:r>
    </w:p>
    <w:p w14:paraId="3312811A" w14:textId="64DD45E2" w:rsidR="004737BF" w:rsidRDefault="00280283" w:rsidP="00855645">
      <w:pPr>
        <w:pStyle w:val="BodyText"/>
      </w:pPr>
      <w:r>
        <w:t xml:space="preserve">While there was strong support for the priority populations, there were also suggestions about how to strengthen </w:t>
      </w:r>
      <w:r w:rsidR="00BC313E">
        <w:t xml:space="preserve">the draft strategic plan. </w:t>
      </w:r>
      <w:r w:rsidR="004F377B">
        <w:t>One service provider noted that there is significant cross-over in priority groups</w:t>
      </w:r>
      <w:r w:rsidR="00604ED5">
        <w:t xml:space="preserve"> </w:t>
      </w:r>
      <w:r w:rsidR="004F377B">
        <w:t xml:space="preserve">- Māori and Pacific populations are relatively young, and this </w:t>
      </w:r>
      <w:r w:rsidR="004F377B">
        <w:lastRenderedPageBreak/>
        <w:t>intersectionality needs to be considered when working with priority populations.</w:t>
      </w:r>
      <w:r w:rsidR="004F377B">
        <w:rPr>
          <w:rStyle w:val="FootnoteReference"/>
        </w:rPr>
        <w:footnoteReference w:id="276"/>
      </w:r>
      <w:r w:rsidR="004F377B">
        <w:t xml:space="preserve"> Another service provider also noted that the Ministry should take a cross sector approach when it comes to undertaking gambling prevention with young Pacific people.</w:t>
      </w:r>
      <w:r w:rsidR="004F377B">
        <w:rPr>
          <w:rStyle w:val="FootnoteReference"/>
        </w:rPr>
        <w:footnoteReference w:id="277"/>
      </w:r>
      <w:r w:rsidR="004F377B">
        <w:t xml:space="preserve"> </w:t>
      </w:r>
      <w:r w:rsidR="00855645">
        <w:t xml:space="preserve">Submitters also made specific suggestions. </w:t>
      </w:r>
    </w:p>
    <w:p w14:paraId="6A745A6B" w14:textId="4CA0E481" w:rsidR="004737BF" w:rsidRPr="00BC4136" w:rsidRDefault="00BC4136" w:rsidP="00855645">
      <w:pPr>
        <w:pStyle w:val="CV-Heading2"/>
        <w:rPr>
          <w:i/>
          <w:iCs/>
        </w:rPr>
      </w:pPr>
      <w:r w:rsidRPr="00BC4136">
        <w:rPr>
          <w:i/>
          <w:iCs/>
        </w:rPr>
        <w:t>Submitters wanted to see more accessible resources</w:t>
      </w:r>
    </w:p>
    <w:p w14:paraId="2BBE4B17" w14:textId="395136C1" w:rsidR="004F377B" w:rsidRDefault="004F377B" w:rsidP="003C5534">
      <w:pPr>
        <w:pStyle w:val="List-BulletLvl1"/>
      </w:pPr>
      <w:r>
        <w:t xml:space="preserve">One </w:t>
      </w:r>
      <w:r w:rsidR="005414E8">
        <w:t>l</w:t>
      </w:r>
      <w:r>
        <w:t xml:space="preserve">ocal </w:t>
      </w:r>
      <w:r w:rsidR="005414E8">
        <w:t>g</w:t>
      </w:r>
      <w:r>
        <w:t>overnment</w:t>
      </w:r>
      <w:r w:rsidR="00F276F8">
        <w:t xml:space="preserve"> </w:t>
      </w:r>
      <w:r w:rsidR="00B97BD9">
        <w:t>submitter</w:t>
      </w:r>
      <w:r>
        <w:t xml:space="preserve"> noted that the proposal to translate problem gambling resources into </w:t>
      </w:r>
      <w:r w:rsidR="00E60B50">
        <w:t>T</w:t>
      </w:r>
      <w:r>
        <w:t xml:space="preserve">e </w:t>
      </w:r>
      <w:r w:rsidR="00E60B50">
        <w:t>R</w:t>
      </w:r>
      <w:r>
        <w:t>eo Māori, Pacific and Asian languages is a positive step towards raising awareness and educating people.</w:t>
      </w:r>
      <w:r>
        <w:rPr>
          <w:rStyle w:val="FootnoteReference"/>
        </w:rPr>
        <w:footnoteReference w:id="278"/>
      </w:r>
    </w:p>
    <w:p w14:paraId="4767905D" w14:textId="6D32A67D" w:rsidR="00172087" w:rsidRPr="001013C1" w:rsidRDefault="003C5534" w:rsidP="00172087">
      <w:pPr>
        <w:pStyle w:val="List-BulletLvl1"/>
      </w:pPr>
      <w:r>
        <w:t>One individual noted that t</w:t>
      </w:r>
      <w:r w:rsidR="00172087">
        <w:t xml:space="preserve">he use of signage in different languages </w:t>
      </w:r>
      <w:r>
        <w:t>had been</w:t>
      </w:r>
      <w:r w:rsidR="00172087">
        <w:t xml:space="preserve"> slow to roll out</w:t>
      </w:r>
      <w:r>
        <w:t>.</w:t>
      </w:r>
      <w:r w:rsidR="00172087">
        <w:rPr>
          <w:rStyle w:val="FootnoteReference"/>
        </w:rPr>
        <w:footnoteReference w:id="279"/>
      </w:r>
    </w:p>
    <w:p w14:paraId="2450B61F" w14:textId="63E8C5E6" w:rsidR="00172087" w:rsidRDefault="003C5534" w:rsidP="003C5534">
      <w:pPr>
        <w:pStyle w:val="List-BulletLvl1"/>
      </w:pPr>
      <w:r>
        <w:t xml:space="preserve">One individual commended the </w:t>
      </w:r>
      <w:r w:rsidR="00172087">
        <w:t>use of Pacific and Māori language material but</w:t>
      </w:r>
      <w:r>
        <w:t xml:space="preserve"> noted that</w:t>
      </w:r>
      <w:r w:rsidR="00172087">
        <w:t xml:space="preserve"> the growth of the number of Indian populations who gamble was not being represented in written materials</w:t>
      </w:r>
      <w:r>
        <w:t>.</w:t>
      </w:r>
      <w:r w:rsidR="00172087">
        <w:rPr>
          <w:rStyle w:val="FootnoteReference"/>
        </w:rPr>
        <w:footnoteReference w:id="280"/>
      </w:r>
    </w:p>
    <w:p w14:paraId="4D38FDB3" w14:textId="5170838A" w:rsidR="00F37125" w:rsidRDefault="003C5534" w:rsidP="003C5534">
      <w:pPr>
        <w:pStyle w:val="CV-Heading2"/>
        <w:rPr>
          <w:i/>
          <w:iCs/>
        </w:rPr>
      </w:pPr>
      <w:r w:rsidRPr="003C5534">
        <w:rPr>
          <w:i/>
          <w:iCs/>
        </w:rPr>
        <w:t>Submitters wanted to see e</w:t>
      </w:r>
      <w:r w:rsidR="00F37125" w:rsidRPr="003C5534">
        <w:rPr>
          <w:i/>
          <w:iCs/>
        </w:rPr>
        <w:t>ngagement with priority population communitie</w:t>
      </w:r>
      <w:r w:rsidR="000F60D1" w:rsidRPr="003C5534">
        <w:rPr>
          <w:i/>
          <w:iCs/>
        </w:rPr>
        <w:t>s in all design and decision-making about gambling (including urban planning)</w:t>
      </w:r>
    </w:p>
    <w:p w14:paraId="32F3200A" w14:textId="573337EC" w:rsidR="003C5534" w:rsidRPr="003C5534" w:rsidRDefault="003C5534" w:rsidP="003C5534">
      <w:pPr>
        <w:pStyle w:val="BodyText"/>
      </w:pPr>
      <w:r>
        <w:t xml:space="preserve">Submitters made a range of comments </w:t>
      </w:r>
      <w:r w:rsidR="00553E16">
        <w:t>regarding better engagement with priority populations in design and decision-making:</w:t>
      </w:r>
    </w:p>
    <w:p w14:paraId="7E99407E" w14:textId="77777777" w:rsidR="00C7386C" w:rsidRPr="001013C1" w:rsidRDefault="00C7386C" w:rsidP="00C7386C">
      <w:pPr>
        <w:pStyle w:val="List-BulletLvl1"/>
      </w:pPr>
      <w:r>
        <w:t>better use of the NGO and community sector to help address the inequities facing Māori and Pacific people was recommended (one service provider and one health and social services submitter)</w:t>
      </w:r>
      <w:r>
        <w:rPr>
          <w:rStyle w:val="FootnoteReference"/>
        </w:rPr>
        <w:footnoteReference w:id="281"/>
      </w:r>
    </w:p>
    <w:p w14:paraId="2599F424" w14:textId="7277E27F" w:rsidR="004F377B" w:rsidRPr="001013C1" w:rsidRDefault="004F377B" w:rsidP="004F377B">
      <w:pPr>
        <w:pStyle w:val="List-BulletLvl1"/>
      </w:pPr>
      <w:r>
        <w:t xml:space="preserve">when approaching priority populations make it a key focus to include iwi and </w:t>
      </w:r>
      <w:r w:rsidR="00F16DED">
        <w:t>P</w:t>
      </w:r>
      <w:r>
        <w:t>acific people</w:t>
      </w:r>
      <w:r w:rsidR="00F276F8">
        <w:t xml:space="preserve"> </w:t>
      </w:r>
      <w:r>
        <w:t>- this w</w:t>
      </w:r>
      <w:r w:rsidR="003A567E">
        <w:t>ould</w:t>
      </w:r>
      <w:r>
        <w:t xml:space="preserve"> strengthen the approach and delivery of the strategy (</w:t>
      </w:r>
      <w:r w:rsidR="00112F10">
        <w:t xml:space="preserve">one </w:t>
      </w:r>
      <w:r w:rsidR="00F16DED">
        <w:t>l</w:t>
      </w:r>
      <w:r>
        <w:t xml:space="preserve">ocal </w:t>
      </w:r>
      <w:r w:rsidR="00F16DED">
        <w:t>g</w:t>
      </w:r>
      <w:r>
        <w:t>overnment</w:t>
      </w:r>
      <w:r w:rsidR="00112F10">
        <w:t xml:space="preserve"> submitter</w:t>
      </w:r>
      <w:r>
        <w:t>)</w:t>
      </w:r>
      <w:r>
        <w:rPr>
          <w:rStyle w:val="FootnoteReference"/>
        </w:rPr>
        <w:footnoteReference w:id="282"/>
      </w:r>
    </w:p>
    <w:p w14:paraId="1E37CB9E" w14:textId="333C5ABF" w:rsidR="004F377B" w:rsidRPr="001013C1" w:rsidRDefault="004F377B" w:rsidP="004F377B">
      <w:pPr>
        <w:pStyle w:val="List-BulletLvl1"/>
      </w:pPr>
      <w:r>
        <w:t>consider regional town planning strategies that invest in economic development at a neighbourhood level critical to urban regeneration</w:t>
      </w:r>
      <w:r w:rsidR="00022EDB">
        <w:t xml:space="preserve"> </w:t>
      </w:r>
      <w:r>
        <w:t>- c</w:t>
      </w:r>
      <w:r w:rsidRPr="005371F2">
        <w:t xml:space="preserve">ohesion in all aspects of community has a connection to new spaces, business development needs, proactive relationship engagement reflecting our </w:t>
      </w:r>
      <w:r>
        <w:t>Māori and Pacific</w:t>
      </w:r>
      <w:r w:rsidRPr="005371F2">
        <w:t xml:space="preserve"> communities</w:t>
      </w:r>
      <w:r>
        <w:t xml:space="preserve"> (</w:t>
      </w:r>
      <w:r w:rsidR="003A567E">
        <w:t>on</w:t>
      </w:r>
      <w:r w:rsidR="00A938C6">
        <w:t>e</w:t>
      </w:r>
      <w:r w:rsidR="003A567E">
        <w:t xml:space="preserve"> </w:t>
      </w:r>
      <w:r>
        <w:t>individual)</w:t>
      </w:r>
      <w:r>
        <w:rPr>
          <w:rStyle w:val="FootnoteReference"/>
        </w:rPr>
        <w:footnoteReference w:id="283"/>
      </w:r>
    </w:p>
    <w:p w14:paraId="3A1DB4DE" w14:textId="15A39B95" w:rsidR="00CB26E5" w:rsidRDefault="00CB26E5" w:rsidP="00CB26E5">
      <w:pPr>
        <w:pStyle w:val="List-BulletLvl1"/>
      </w:pPr>
      <w:r>
        <w:t>the Ministry was recommended to involve the perspectives of the Lived Experience Advisory group to co</w:t>
      </w:r>
      <w:r w:rsidR="006302EA">
        <w:t>-</w:t>
      </w:r>
      <w:r>
        <w:t>design positive, equity-enhancing statements (one health and social services submitter)</w:t>
      </w:r>
      <w:r w:rsidR="00332367">
        <w:t>.</w:t>
      </w:r>
      <w:r>
        <w:rPr>
          <w:rStyle w:val="FootnoteReference"/>
        </w:rPr>
        <w:footnoteReference w:id="284"/>
      </w:r>
    </w:p>
    <w:p w14:paraId="20E94E7B" w14:textId="6F41338F" w:rsidR="00CB26E5" w:rsidRPr="00553E16" w:rsidRDefault="00553E16" w:rsidP="00553E16">
      <w:pPr>
        <w:pStyle w:val="CV-Heading2"/>
        <w:rPr>
          <w:i/>
          <w:iCs/>
        </w:rPr>
      </w:pPr>
      <w:r>
        <w:rPr>
          <w:i/>
          <w:iCs/>
        </w:rPr>
        <w:lastRenderedPageBreak/>
        <w:t>Submitters wanted to see more research specific to priority populations</w:t>
      </w:r>
    </w:p>
    <w:p w14:paraId="2087D322" w14:textId="7627D0FA" w:rsidR="004F377B" w:rsidRPr="001013C1" w:rsidRDefault="00553E16" w:rsidP="00553E16">
      <w:pPr>
        <w:pStyle w:val="BodyText"/>
      </w:pPr>
      <w:r>
        <w:t>One health and social services submitter considered that f</w:t>
      </w:r>
      <w:r w:rsidR="004F377B">
        <w:t>urther research should be done into vulnerable populations in terms of understanding the causes of gambling harm, and barriers to accessing services</w:t>
      </w:r>
      <w:r w:rsidR="00022EDB">
        <w:t xml:space="preserve"> </w:t>
      </w:r>
      <w:r w:rsidR="004F377B">
        <w:t>- combine research with evaluation into what works for vulnerable populations and how to improve services</w:t>
      </w:r>
      <w:r>
        <w:t>.</w:t>
      </w:r>
      <w:r w:rsidR="004F377B">
        <w:rPr>
          <w:rStyle w:val="FootnoteReference"/>
        </w:rPr>
        <w:footnoteReference w:id="285"/>
      </w:r>
    </w:p>
    <w:p w14:paraId="11C2E6C5" w14:textId="449FA3F2" w:rsidR="009D6CEB" w:rsidRPr="00C1520E" w:rsidRDefault="00847F97" w:rsidP="00847F97">
      <w:pPr>
        <w:pStyle w:val="CV-Heading2"/>
        <w:rPr>
          <w:i/>
          <w:iCs/>
        </w:rPr>
      </w:pPr>
      <w:r w:rsidRPr="00C1520E">
        <w:rPr>
          <w:i/>
          <w:iCs/>
        </w:rPr>
        <w:t xml:space="preserve">Submitters wanted to see </w:t>
      </w:r>
      <w:r w:rsidR="00C1520E" w:rsidRPr="00C1520E">
        <w:rPr>
          <w:i/>
          <w:iCs/>
        </w:rPr>
        <w:t>more acknowledgement of the complexity of priority populations</w:t>
      </w:r>
    </w:p>
    <w:p w14:paraId="210E5580" w14:textId="3DC12776" w:rsidR="00C1520E" w:rsidRDefault="002B1834" w:rsidP="00C1520E">
      <w:pPr>
        <w:pStyle w:val="BodyText"/>
      </w:pPr>
      <w:r>
        <w:t>Health and social services submitters commented:</w:t>
      </w:r>
    </w:p>
    <w:p w14:paraId="2988B129" w14:textId="0FDF4C16" w:rsidR="004F377B" w:rsidRPr="001013C1" w:rsidRDefault="004F377B" w:rsidP="004F377B">
      <w:pPr>
        <w:pStyle w:val="List-BulletLvl1"/>
      </w:pPr>
      <w:r>
        <w:t>priority populations need</w:t>
      </w:r>
      <w:r w:rsidR="00C7386C">
        <w:t>ed</w:t>
      </w:r>
      <w:r>
        <w:t xml:space="preserve"> to be considered not only as individuals but in the context of their tamariki, family and community and for Māori, </w:t>
      </w:r>
      <w:r w:rsidR="00C7386C">
        <w:t>t</w:t>
      </w:r>
      <w:r>
        <w:t>heir whānau, hapū and iwi</w:t>
      </w:r>
      <w:r>
        <w:rPr>
          <w:rStyle w:val="FootnoteReference"/>
        </w:rPr>
        <w:footnoteReference w:id="286"/>
      </w:r>
    </w:p>
    <w:p w14:paraId="7C013C98" w14:textId="047697BA" w:rsidR="004F377B" w:rsidRPr="001013C1" w:rsidRDefault="004F377B" w:rsidP="004F377B">
      <w:pPr>
        <w:pStyle w:val="List-BulletLvl1"/>
      </w:pPr>
      <w:r>
        <w:t xml:space="preserve">the </w:t>
      </w:r>
      <w:r w:rsidR="00C7386C">
        <w:t>draft strategy did</w:t>
      </w:r>
      <w:r>
        <w:t xml:space="preserve"> not consider the complexities of groups within the Pacific and Asian ethnicities – access barriers to supports and services, such as language and cultural barriers are unique to these groups and continue to be a problem.</w:t>
      </w:r>
      <w:r>
        <w:rPr>
          <w:rStyle w:val="FootnoteReference"/>
        </w:rPr>
        <w:footnoteReference w:id="287"/>
      </w:r>
    </w:p>
    <w:p w14:paraId="567E9717" w14:textId="69ADC660" w:rsidR="004F377B" w:rsidRDefault="004F377B" w:rsidP="004F377B">
      <w:pPr>
        <w:pStyle w:val="BodyText"/>
      </w:pPr>
      <w:r>
        <w:t>One service provider disagreed with the focus on additional resources such as scholarships</w:t>
      </w:r>
      <w:r w:rsidR="008E2B40">
        <w:t xml:space="preserve"> and noted that</w:t>
      </w:r>
      <w:r>
        <w:t xml:space="preserve"> resource allocation should be based on need, not ideology, and clinical and public health practitioners should have a high degree of evidence-based training and be able to operate in a culturally appropriate manner.</w:t>
      </w:r>
      <w:r>
        <w:rPr>
          <w:rStyle w:val="FootnoteReference"/>
        </w:rPr>
        <w:footnoteReference w:id="288"/>
      </w:r>
      <w:r>
        <w:t xml:space="preserve"> </w:t>
      </w:r>
    </w:p>
    <w:p w14:paraId="51774192" w14:textId="77777777" w:rsidR="004F377B" w:rsidRDefault="004F377B" w:rsidP="004F377B">
      <w:pPr>
        <w:pStyle w:val="NumberedHeading3"/>
      </w:pPr>
      <w:bookmarkStart w:id="57" w:name="_Toc88637558"/>
      <w:r>
        <w:t>Asian populations</w:t>
      </w:r>
      <w:bookmarkEnd w:id="57"/>
    </w:p>
    <w:p w14:paraId="4927A94B" w14:textId="07B2F816" w:rsidR="001B50E0" w:rsidRDefault="0075117A" w:rsidP="004F377B">
      <w:pPr>
        <w:pStyle w:val="BodyText"/>
      </w:pPr>
      <w:r>
        <w:t xml:space="preserve">Submitters were generally supportive of the inclusion of Asian populations in the draft strategy. </w:t>
      </w:r>
      <w:r w:rsidR="00F45CE2">
        <w:t xml:space="preserve">Comments about Asian populations focused on the </w:t>
      </w:r>
      <w:r w:rsidR="004F3EA3">
        <w:t xml:space="preserve">need for early inclusion in the development of pilots and services, and </w:t>
      </w:r>
      <w:r w:rsidR="00E967F9">
        <w:t xml:space="preserve">more </w:t>
      </w:r>
      <w:r w:rsidR="00C94C20">
        <w:t xml:space="preserve">emphasis on the diversity of Asian populations, rather than a ‘one-size-fits-all’ approach. </w:t>
      </w:r>
    </w:p>
    <w:p w14:paraId="655327B0" w14:textId="3613AD30" w:rsidR="00D2420E" w:rsidRDefault="00E847C6" w:rsidP="004F377B">
      <w:pPr>
        <w:pStyle w:val="BodyText"/>
      </w:pPr>
      <w:r>
        <w:t xml:space="preserve">Two service providers </w:t>
      </w:r>
      <w:r w:rsidR="009C6D86">
        <w:t xml:space="preserve">provided </w:t>
      </w:r>
      <w:r w:rsidR="00C54206">
        <w:t xml:space="preserve">detailed feedback on the inclusion of Asian populations and </w:t>
      </w:r>
      <w:r w:rsidR="004F377B">
        <w:t>encouraged the inclusion of Asian populations early in the development of pilots, technology-related innovation, intensive support pilot, and peer workforce pilot and expansion.</w:t>
      </w:r>
      <w:r w:rsidR="004F377B">
        <w:rPr>
          <w:rStyle w:val="FootnoteReference"/>
        </w:rPr>
        <w:footnoteReference w:id="289"/>
      </w:r>
      <w:r w:rsidR="004F377B">
        <w:t xml:space="preserve"> </w:t>
      </w:r>
    </w:p>
    <w:p w14:paraId="06E16DDD" w14:textId="2BE7E3AE" w:rsidR="00242A3F" w:rsidRDefault="000C2081" w:rsidP="004F377B">
      <w:pPr>
        <w:pStyle w:val="BodyText"/>
      </w:pPr>
      <w:r>
        <w:t xml:space="preserve">One health and social services submitter commented that the use of the term ‘Asian’ is problematic, and there is risk in treating all Asian people as a single group. </w:t>
      </w:r>
      <w:r>
        <w:rPr>
          <w:rStyle w:val="FootnoteReference"/>
        </w:rPr>
        <w:footnoteReference w:id="290"/>
      </w:r>
      <w:r>
        <w:t xml:space="preserve"> </w:t>
      </w:r>
      <w:r w:rsidR="004F377B">
        <w:t xml:space="preserve">Being culturally aware </w:t>
      </w:r>
      <w:r w:rsidR="009B7F7A">
        <w:t>was seen as being</w:t>
      </w:r>
      <w:r w:rsidR="004F377B">
        <w:t xml:space="preserve"> essential</w:t>
      </w:r>
      <w:r w:rsidR="004B1AA2">
        <w:t xml:space="preserve"> </w:t>
      </w:r>
      <w:r w:rsidR="004F377B">
        <w:t xml:space="preserve">- it is not merely relaying the </w:t>
      </w:r>
      <w:r w:rsidR="009B7F7A">
        <w:t xml:space="preserve">draft </w:t>
      </w:r>
      <w:r w:rsidR="004F377B">
        <w:t>strategy to Asian communities but ensuring that unique cultural views are acknowledged so that messages are meaningful in an Asian context.</w:t>
      </w:r>
      <w:r w:rsidR="004F377B">
        <w:rPr>
          <w:rStyle w:val="FootnoteReference"/>
        </w:rPr>
        <w:footnoteReference w:id="291"/>
      </w:r>
      <w:r w:rsidR="004F377B">
        <w:t xml:space="preserve"> </w:t>
      </w:r>
    </w:p>
    <w:p w14:paraId="3EDA552B" w14:textId="3450ED43" w:rsidR="00BF3A4B" w:rsidRDefault="004F377B" w:rsidP="00BF3A4B">
      <w:pPr>
        <w:pStyle w:val="BodyText"/>
      </w:pPr>
      <w:r>
        <w:t xml:space="preserve">Problem gambling and seeking help for addiction </w:t>
      </w:r>
      <w:r w:rsidR="009B7F7A">
        <w:t>was noted as being</w:t>
      </w:r>
      <w:r>
        <w:t xml:space="preserve"> severely surrounded by stigma in Asian cultures, and many Asians in New Zealand do not engage with </w:t>
      </w:r>
      <w:r w:rsidR="000E45A4">
        <w:t>‘</w:t>
      </w:r>
      <w:r>
        <w:t>mainstream</w:t>
      </w:r>
      <w:r w:rsidR="000E45A4">
        <w:t>’</w:t>
      </w:r>
      <w:r>
        <w:t xml:space="preserve"> communities.</w:t>
      </w:r>
      <w:r>
        <w:rPr>
          <w:rStyle w:val="FootnoteReference"/>
        </w:rPr>
        <w:footnoteReference w:id="292"/>
      </w:r>
      <w:r w:rsidR="009B7F7A">
        <w:t xml:space="preserve"> </w:t>
      </w:r>
      <w:r w:rsidR="000D0D3B">
        <w:t>One</w:t>
      </w:r>
      <w:r>
        <w:t xml:space="preserve"> service provider </w:t>
      </w:r>
      <w:r w:rsidR="00C54206">
        <w:t xml:space="preserve">also </w:t>
      </w:r>
      <w:r>
        <w:t>noted that N</w:t>
      </w:r>
      <w:r w:rsidRPr="000804C3">
        <w:t xml:space="preserve">ew Zealand’s growth of Asian communities and linguistic groups, each with its own cultural traits and health profiles, presents a complex challenge to service providers to achieve equitable access. Current experience and research </w:t>
      </w:r>
      <w:r w:rsidRPr="000804C3">
        <w:lastRenderedPageBreak/>
        <w:t>conducted in New Zealand show</w:t>
      </w:r>
      <w:r w:rsidR="00C54206">
        <w:t>ed</w:t>
      </w:r>
      <w:r w:rsidRPr="000804C3">
        <w:t xml:space="preserve"> that Asian people encounter difficulties accessing New Zealand health, mental health and addiction services. Other structural barriers experienced by new migrants/international students include</w:t>
      </w:r>
      <w:r w:rsidR="00E847C6">
        <w:t>d</w:t>
      </w:r>
      <w:r w:rsidRPr="000804C3">
        <w:t xml:space="preserve"> unfamiliarity with the health and social system in New Zealand. </w:t>
      </w:r>
      <w:r w:rsidR="00BF3A4B">
        <w:t>Another health and social services submitter commented that the top three ways Asian people seek support are turning to family and friends, self-help, and support groups (face-to-face).</w:t>
      </w:r>
      <w:r w:rsidR="00BF3A4B">
        <w:rPr>
          <w:rStyle w:val="FootnoteReference"/>
        </w:rPr>
        <w:footnoteReference w:id="293"/>
      </w:r>
    </w:p>
    <w:p w14:paraId="1D71D6A6" w14:textId="54422F30" w:rsidR="004F377B" w:rsidRDefault="004F377B" w:rsidP="004F377B">
      <w:pPr>
        <w:pStyle w:val="BodyText"/>
      </w:pPr>
      <w:r w:rsidRPr="000804C3">
        <w:t xml:space="preserve">There </w:t>
      </w:r>
      <w:r w:rsidR="00E847C6">
        <w:t xml:space="preserve">was </w:t>
      </w:r>
      <w:r w:rsidRPr="000804C3">
        <w:t>a lack of culturally and linguistically appropriate information and resources to make informed</w:t>
      </w:r>
      <w:r w:rsidR="000C7F10">
        <w:t xml:space="preserve"> decisions about</w:t>
      </w:r>
      <w:r w:rsidRPr="000804C3">
        <w:t xml:space="preserve"> living conditions, and some international students were being exploited through labour markets. To date, </w:t>
      </w:r>
      <w:r>
        <w:t>there is still only one</w:t>
      </w:r>
      <w:r w:rsidRPr="000804C3">
        <w:t xml:space="preserve"> dedicated mental health and addiction service providing culturally and linguistically appropriate services for Asians in New Zealand</w:t>
      </w:r>
      <w:r>
        <w:t>.</w:t>
      </w:r>
      <w:r>
        <w:rPr>
          <w:rStyle w:val="FootnoteReference"/>
        </w:rPr>
        <w:footnoteReference w:id="294"/>
      </w:r>
      <w:r w:rsidRPr="000804C3">
        <w:t xml:space="preserve"> </w:t>
      </w:r>
      <w:r w:rsidR="007B2378">
        <w:t>This submitter considered that there was an overall lack of national strategy for Asian New Zealanders to achieve health and mental health equity</w:t>
      </w:r>
      <w:r w:rsidR="007B2378" w:rsidDel="000D5635">
        <w:t>.</w:t>
      </w:r>
      <w:r w:rsidR="007B2378">
        <w:rPr>
          <w:rStyle w:val="FootnoteReference"/>
        </w:rPr>
        <w:footnoteReference w:id="295"/>
      </w:r>
      <w:r w:rsidR="007B2378">
        <w:t xml:space="preserve"> </w:t>
      </w:r>
    </w:p>
    <w:p w14:paraId="61D0B27F" w14:textId="77777777" w:rsidR="004F377B" w:rsidRDefault="004F377B" w:rsidP="004F377B">
      <w:pPr>
        <w:pStyle w:val="NumberedHeading3"/>
      </w:pPr>
      <w:bookmarkStart w:id="58" w:name="_Toc88637559"/>
      <w:r>
        <w:t>Māori populations</w:t>
      </w:r>
      <w:bookmarkEnd w:id="58"/>
    </w:p>
    <w:p w14:paraId="4830D8FE" w14:textId="781A998A" w:rsidR="003D38E4" w:rsidRDefault="0075117A" w:rsidP="004F377B">
      <w:pPr>
        <w:pStyle w:val="BodyText"/>
      </w:pPr>
      <w:r>
        <w:t xml:space="preserve">Submitters generally supported </w:t>
      </w:r>
      <w:r w:rsidR="007E1C93">
        <w:t xml:space="preserve">the discussion of Māori populations in the draft strategy, but considered that there </w:t>
      </w:r>
      <w:r w:rsidR="002E63DC">
        <w:t>should</w:t>
      </w:r>
      <w:r w:rsidR="007E1C93">
        <w:t xml:space="preserve"> be further commitment to increase </w:t>
      </w:r>
      <w:r w:rsidR="00D53348">
        <w:t xml:space="preserve">Māori inclusion in the design and delivery of </w:t>
      </w:r>
      <w:r w:rsidR="00AF5D84">
        <w:t>PMGH</w:t>
      </w:r>
      <w:r w:rsidR="00D53348">
        <w:t xml:space="preserve"> services. </w:t>
      </w:r>
    </w:p>
    <w:p w14:paraId="7226384E" w14:textId="6B8F621F" w:rsidR="003D38E4" w:rsidRPr="004032B2" w:rsidRDefault="003D38E4" w:rsidP="004032B2">
      <w:pPr>
        <w:pStyle w:val="CV-Heading2"/>
        <w:rPr>
          <w:i/>
          <w:iCs/>
        </w:rPr>
      </w:pPr>
      <w:r w:rsidRPr="004032B2">
        <w:rPr>
          <w:i/>
          <w:iCs/>
        </w:rPr>
        <w:t>Focus on whānau</w:t>
      </w:r>
      <w:r w:rsidR="00702ABE" w:rsidRPr="004032B2">
        <w:rPr>
          <w:i/>
          <w:iCs/>
        </w:rPr>
        <w:t xml:space="preserve"> and Kaupapa Māori services</w:t>
      </w:r>
    </w:p>
    <w:p w14:paraId="57AD3626" w14:textId="5C0E8F12" w:rsidR="005D3A8E" w:rsidRDefault="005D3A8E" w:rsidP="004F377B">
      <w:pPr>
        <w:pStyle w:val="BodyText"/>
      </w:pPr>
      <w:r>
        <w:t>Comments included</w:t>
      </w:r>
      <w:r w:rsidR="00C32DEF">
        <w:t xml:space="preserve"> a strong focus on whānau</w:t>
      </w:r>
      <w:r>
        <w:t>:</w:t>
      </w:r>
    </w:p>
    <w:p w14:paraId="36348DF1" w14:textId="78424A1F" w:rsidR="005D3A8E" w:rsidRDefault="005D3A8E" w:rsidP="005D3A8E">
      <w:pPr>
        <w:pStyle w:val="List-BulletLvl1"/>
      </w:pPr>
      <w:r>
        <w:t>interventions require strong consideration of whānau</w:t>
      </w:r>
      <w:r w:rsidR="00595161">
        <w:t xml:space="preserve"> because the whānau as a whole is affected </w:t>
      </w:r>
      <w:r>
        <w:t>when an individual is affected by gambling harm (one health and social services submitter)</w:t>
      </w:r>
      <w:r>
        <w:rPr>
          <w:rStyle w:val="FootnoteReference"/>
        </w:rPr>
        <w:footnoteReference w:id="296"/>
      </w:r>
    </w:p>
    <w:p w14:paraId="458BC2AE" w14:textId="5DE77C02" w:rsidR="00A4436A" w:rsidRDefault="00A4436A" w:rsidP="00A4436A">
      <w:pPr>
        <w:pStyle w:val="List-BulletLvl1"/>
      </w:pPr>
      <w:r>
        <w:t xml:space="preserve">it is important that a variety of approaches and services are used to inform outcomes, including for Māori, a whānau-centred </w:t>
      </w:r>
      <w:r w:rsidR="00B17E91">
        <w:t>K</w:t>
      </w:r>
      <w:r>
        <w:t>aupapa approach (one health and social services submitter)</w:t>
      </w:r>
      <w:r>
        <w:rPr>
          <w:rStyle w:val="FootnoteReference"/>
        </w:rPr>
        <w:footnoteReference w:id="297"/>
      </w:r>
    </w:p>
    <w:p w14:paraId="38CF0B1A" w14:textId="4C65BB2F" w:rsidR="00E01DA8" w:rsidRPr="00966FE7" w:rsidRDefault="00E01DA8" w:rsidP="00A4436A">
      <w:pPr>
        <w:pStyle w:val="List-BulletLvl1"/>
      </w:pPr>
      <w:r>
        <w:t>life skills in whānau and community are the tools and resources that are acknowledged as a means of enhancing people’s mana and Māori-developed Kaupapa program</w:t>
      </w:r>
      <w:r w:rsidR="00332367">
        <w:t>me</w:t>
      </w:r>
      <w:r>
        <w:t>s can co-exist as a co-designed program</w:t>
      </w:r>
      <w:r w:rsidR="00332367">
        <w:t>me</w:t>
      </w:r>
      <w:r>
        <w:t xml:space="preserve"> with hapū and iwi and other services (one individual)</w:t>
      </w:r>
      <w:r w:rsidR="002151C0">
        <w:t>.</w:t>
      </w:r>
      <w:r>
        <w:rPr>
          <w:rStyle w:val="FootnoteReference"/>
        </w:rPr>
        <w:footnoteReference w:id="298"/>
      </w:r>
    </w:p>
    <w:p w14:paraId="0394AA73" w14:textId="3B52954F" w:rsidR="00E144A3" w:rsidRDefault="00C319B4" w:rsidP="00E144A3">
      <w:pPr>
        <w:pStyle w:val="BodyText"/>
      </w:pPr>
      <w:r>
        <w:t xml:space="preserve">There was support for increased Kaupapa Māori services. </w:t>
      </w:r>
      <w:r w:rsidR="00F30CC9">
        <w:t>T</w:t>
      </w:r>
      <w:r w:rsidR="00E01DA8">
        <w:t xml:space="preserve">o deliver on Te Tiriti o Waitangi principles, there </w:t>
      </w:r>
      <w:r w:rsidR="00F30CC9">
        <w:t xml:space="preserve">should </w:t>
      </w:r>
      <w:r w:rsidR="00E01DA8">
        <w:t>be further commitment</w:t>
      </w:r>
      <w:r w:rsidR="00CB586F">
        <w:t xml:space="preserve"> to increase the number and funding of </w:t>
      </w:r>
      <w:r w:rsidR="00EA5612">
        <w:t>k</w:t>
      </w:r>
      <w:r w:rsidR="00CB586F">
        <w:t xml:space="preserve">aupapa Māori </w:t>
      </w:r>
      <w:r w:rsidR="00E01DA8">
        <w:t xml:space="preserve">gambling harm reduction </w:t>
      </w:r>
      <w:r w:rsidR="00CB586F">
        <w:t>services</w:t>
      </w:r>
      <w:r w:rsidR="00E01DA8">
        <w:t xml:space="preserve"> (one health and social services submitter</w:t>
      </w:r>
      <w:r w:rsidR="004161F6">
        <w:t>, one service provider</w:t>
      </w:r>
      <w:r w:rsidR="00E01DA8">
        <w:t xml:space="preserve"> and one local government submitter).</w:t>
      </w:r>
      <w:r w:rsidR="00CB586F">
        <w:rPr>
          <w:rStyle w:val="FootnoteReference"/>
        </w:rPr>
        <w:footnoteReference w:id="299"/>
      </w:r>
      <w:r w:rsidR="00E01DA8" w:rsidRPr="00E01DA8">
        <w:t xml:space="preserve"> </w:t>
      </w:r>
      <w:r w:rsidR="00E144A3">
        <w:t xml:space="preserve">The service provider </w:t>
      </w:r>
      <w:r w:rsidR="00A04AB9">
        <w:t xml:space="preserve">also </w:t>
      </w:r>
      <w:r w:rsidR="00E144A3">
        <w:t xml:space="preserve">considered that </w:t>
      </w:r>
      <w:r w:rsidR="00A04AB9">
        <w:t xml:space="preserve">while </w:t>
      </w:r>
      <w:r w:rsidR="00E144A3">
        <w:t>the draft strategy effectively recognised the health inequities that Māori face</w:t>
      </w:r>
      <w:r w:rsidR="008A4EFE">
        <w:t xml:space="preserve">, </w:t>
      </w:r>
      <w:r w:rsidR="00E144A3">
        <w:t>there was a gap between how Te Tiriti would be implemented and actioned, and how inequities would be addressed.</w:t>
      </w:r>
      <w:r w:rsidR="00E144A3">
        <w:rPr>
          <w:rStyle w:val="FootnoteReference"/>
        </w:rPr>
        <w:footnoteReference w:id="300"/>
      </w:r>
      <w:r w:rsidR="00E144A3" w:rsidRPr="00391A39">
        <w:rPr>
          <w:rStyle w:val="FootnoteReference"/>
        </w:rPr>
        <w:t xml:space="preserve"> </w:t>
      </w:r>
      <w:r w:rsidR="00E144A3">
        <w:t xml:space="preserve">This submitter commented that health inequities may also be addressed by established Māori pathways within general services to complement Kaupapa Māori services and </w:t>
      </w:r>
      <w:r w:rsidR="00E144A3">
        <w:lastRenderedPageBreak/>
        <w:t>improved partnership and protection of Māori includes the Ministry’s recognition of indigenous registered bodies for counsellors and social workers - this would help not only benefit by Māori, for Māori services, but such practitioners working outside of Kaupapa Māori services can also help achieve tikanga Māori within general services.</w:t>
      </w:r>
    </w:p>
    <w:p w14:paraId="5E407443" w14:textId="54732868" w:rsidR="00E01DA8" w:rsidRDefault="00E01DA8" w:rsidP="00E01DA8">
      <w:pPr>
        <w:pStyle w:val="BodyText"/>
      </w:pPr>
      <w:r>
        <w:t xml:space="preserve">In addition, one individual encouraged the Ministry to </w:t>
      </w:r>
      <w:r w:rsidR="009D1913">
        <w:t xml:space="preserve">provide </w:t>
      </w:r>
      <w:r w:rsidRPr="00966FE7">
        <w:t>services in rural communities that will engage</w:t>
      </w:r>
      <w:r>
        <w:t>,</w:t>
      </w:r>
      <w:r w:rsidRPr="00966FE7">
        <w:t xml:space="preserve"> thr</w:t>
      </w:r>
      <w:r>
        <w:t>o</w:t>
      </w:r>
      <w:r w:rsidRPr="00966FE7">
        <w:t>u</w:t>
      </w:r>
      <w:r>
        <w:t>gh</w:t>
      </w:r>
      <w:r w:rsidRPr="00966FE7">
        <w:t xml:space="preserve"> their local resources</w:t>
      </w:r>
      <w:r>
        <w:t>,</w:t>
      </w:r>
      <w:r w:rsidRPr="00966FE7">
        <w:t xml:space="preserve"> </w:t>
      </w:r>
      <w:r>
        <w:t>hapū and iwi</w:t>
      </w:r>
      <w:r w:rsidRPr="00966FE7">
        <w:t xml:space="preserve"> to support PMGH programs</w:t>
      </w:r>
      <w:r>
        <w:t>.</w:t>
      </w:r>
      <w:r>
        <w:rPr>
          <w:rStyle w:val="FootnoteReference"/>
        </w:rPr>
        <w:footnoteReference w:id="301"/>
      </w:r>
      <w:r>
        <w:t xml:space="preserve"> </w:t>
      </w:r>
      <w:r w:rsidRPr="00B9317F">
        <w:t xml:space="preserve">Tikanga and Kawa acknowledged as a mana enhancing 'best practice' of delivering either </w:t>
      </w:r>
      <w:r>
        <w:t>h</w:t>
      </w:r>
      <w:r w:rsidRPr="00B9317F">
        <w:t xml:space="preserve">ealth </w:t>
      </w:r>
      <w:r>
        <w:t>p</w:t>
      </w:r>
      <w:r w:rsidRPr="00B9317F">
        <w:t>romotion program</w:t>
      </w:r>
      <w:r>
        <w:t>mes</w:t>
      </w:r>
      <w:r w:rsidRPr="00B9317F">
        <w:t xml:space="preserve"> or </w:t>
      </w:r>
      <w:r>
        <w:t>c</w:t>
      </w:r>
      <w:r w:rsidRPr="00B9317F">
        <w:t>ounselling 'kanohi me te kanohi'</w:t>
      </w:r>
      <w:r>
        <w:t>.</w:t>
      </w:r>
      <w:r>
        <w:rPr>
          <w:rStyle w:val="FootnoteReference"/>
        </w:rPr>
        <w:footnoteReference w:id="302"/>
      </w:r>
    </w:p>
    <w:p w14:paraId="2CB01357" w14:textId="21523AB2" w:rsidR="00AE1C31" w:rsidRPr="002B1834" w:rsidRDefault="00AE1C31" w:rsidP="002B1834">
      <w:pPr>
        <w:pStyle w:val="CV-Heading2"/>
        <w:rPr>
          <w:i/>
          <w:iCs/>
        </w:rPr>
      </w:pPr>
      <w:r w:rsidRPr="002B1834">
        <w:rPr>
          <w:i/>
          <w:iCs/>
        </w:rPr>
        <w:t>Recognition of the impacts of colonisation</w:t>
      </w:r>
    </w:p>
    <w:p w14:paraId="4B013682" w14:textId="196E3001" w:rsidR="004F377B" w:rsidRDefault="004F377B" w:rsidP="004F377B">
      <w:pPr>
        <w:pStyle w:val="BodyText"/>
      </w:pPr>
      <w:r>
        <w:t xml:space="preserve">One service provider commented that although the </w:t>
      </w:r>
      <w:r w:rsidR="00B97BD9">
        <w:t xml:space="preserve">draft </w:t>
      </w:r>
      <w:r>
        <w:t>strategy champion</w:t>
      </w:r>
      <w:r w:rsidR="00A4436A">
        <w:t>ed</w:t>
      </w:r>
      <w:r>
        <w:t xml:space="preserve"> Māori health and the principles of Te Tiriti, there should be more attempts to deconstruct the ongoing impacts of colonisation in the health sector and its effect on the lives of whānau, </w:t>
      </w:r>
      <w:r w:rsidR="00F8381C">
        <w:t>hapū</w:t>
      </w:r>
      <w:r>
        <w:t xml:space="preserve"> and iwi Māori</w:t>
      </w:r>
      <w:r w:rsidR="00ED1798">
        <w:t>. A</w:t>
      </w:r>
      <w:r>
        <w:t xml:space="preserve">n example of colonisation perpetuated </w:t>
      </w:r>
      <w:r w:rsidR="00A4436A">
        <w:t>was</w:t>
      </w:r>
      <w:r>
        <w:t xml:space="preserve"> the continued high density of NCGM among high Māori populations. The</w:t>
      </w:r>
      <w:r w:rsidR="00D05B0D">
        <w:t xml:space="preserve"> submitter encouraged the</w:t>
      </w:r>
      <w:r>
        <w:t xml:space="preserve"> Ministry </w:t>
      </w:r>
      <w:r w:rsidR="00D05B0D">
        <w:t xml:space="preserve">to </w:t>
      </w:r>
      <w:r>
        <w:t xml:space="preserve">look at ways to establish partnerships with whānau, </w:t>
      </w:r>
      <w:r w:rsidR="00F8381C">
        <w:t>hapū</w:t>
      </w:r>
      <w:r>
        <w:t xml:space="preserve"> and iwi, communities and the gambling sector.</w:t>
      </w:r>
      <w:r>
        <w:rPr>
          <w:rStyle w:val="FootnoteReference"/>
        </w:rPr>
        <w:footnoteReference w:id="303"/>
      </w:r>
    </w:p>
    <w:p w14:paraId="3598F52A" w14:textId="475A8C00" w:rsidR="00AE5FFC" w:rsidRPr="002B1834" w:rsidRDefault="00AE5FFC" w:rsidP="002B1834">
      <w:pPr>
        <w:pStyle w:val="CV-Heading2"/>
        <w:rPr>
          <w:i/>
          <w:iCs/>
        </w:rPr>
      </w:pPr>
      <w:r w:rsidRPr="002B1834">
        <w:rPr>
          <w:i/>
          <w:iCs/>
        </w:rPr>
        <w:t>Te Tiriti o Waitangi</w:t>
      </w:r>
    </w:p>
    <w:p w14:paraId="52DF2022" w14:textId="79A1C71F" w:rsidR="004F377B" w:rsidRDefault="004F377B" w:rsidP="004F377B">
      <w:pPr>
        <w:pStyle w:val="BodyText"/>
      </w:pPr>
      <w:r>
        <w:t xml:space="preserve">One government submitter gave some recommendations for Māori involvement in the </w:t>
      </w:r>
      <w:r w:rsidR="00424E19">
        <w:t xml:space="preserve">governance </w:t>
      </w:r>
      <w:r w:rsidR="00C72F33">
        <w:t xml:space="preserve">and implementation </w:t>
      </w:r>
      <w:r w:rsidR="00424E19">
        <w:t xml:space="preserve">of the strategy within the </w:t>
      </w:r>
      <w:r>
        <w:t>context of Te Tiriti o Waitangi:</w:t>
      </w:r>
      <w:r>
        <w:rPr>
          <w:rStyle w:val="FootnoteReference"/>
        </w:rPr>
        <w:footnoteReference w:id="304"/>
      </w:r>
    </w:p>
    <w:p w14:paraId="54E0AB4A" w14:textId="0D9A2F47" w:rsidR="004F377B" w:rsidRDefault="004F377B" w:rsidP="004F377B">
      <w:pPr>
        <w:pStyle w:val="List-BulletLvl1"/>
      </w:pPr>
      <w:r>
        <w:t xml:space="preserve">Māori should be involved in the governance of the strategy </w:t>
      </w:r>
    </w:p>
    <w:p w14:paraId="4A182826" w14:textId="77777777" w:rsidR="004F377B" w:rsidRDefault="004F377B" w:rsidP="004F377B">
      <w:pPr>
        <w:pStyle w:val="List-BulletLvl1"/>
      </w:pPr>
      <w:r>
        <w:t>Māori should be involved in governance of the research stream, and driving research and services to ensure mātauranga Māori is used and applied</w:t>
      </w:r>
    </w:p>
    <w:p w14:paraId="1BC913B9" w14:textId="78E7846E" w:rsidR="004F377B" w:rsidRDefault="00BE7BE4" w:rsidP="004F377B">
      <w:pPr>
        <w:pStyle w:val="List-BulletLvl1"/>
      </w:pPr>
      <w:r>
        <w:t>I</w:t>
      </w:r>
      <w:r w:rsidR="004F377B">
        <w:t>wi, hapū and Māori communities should have the ability to decide the strategy on preventing and minimising gambling harm within their communities, including having strong influence over the reduction of pokies machines in their rohe</w:t>
      </w:r>
    </w:p>
    <w:p w14:paraId="0C06527D" w14:textId="27F0B519" w:rsidR="004F377B" w:rsidRDefault="004F377B" w:rsidP="004F377B">
      <w:pPr>
        <w:pStyle w:val="List-BulletLvl1"/>
      </w:pPr>
      <w:r>
        <w:t>Māori health providers should be supported to develop a Māori workforce that can provide culturally appropriate supports</w:t>
      </w:r>
      <w:r w:rsidR="00180E6E">
        <w:t xml:space="preserve"> and this </w:t>
      </w:r>
      <w:r>
        <w:t xml:space="preserve">workforce should also be trained specifically for youth work </w:t>
      </w:r>
    </w:p>
    <w:p w14:paraId="68BED606" w14:textId="7CBFCAE4" w:rsidR="004F377B" w:rsidRDefault="000E45A4" w:rsidP="004F377B">
      <w:pPr>
        <w:pStyle w:val="List-BulletLvl1"/>
      </w:pPr>
      <w:r>
        <w:t>m</w:t>
      </w:r>
      <w:r w:rsidR="004F377B">
        <w:t xml:space="preserve">ental </w:t>
      </w:r>
      <w:r w:rsidR="0001533F">
        <w:t xml:space="preserve">health services </w:t>
      </w:r>
      <w:r w:rsidR="004F377B">
        <w:t xml:space="preserve">funded through the </w:t>
      </w:r>
      <w:r w:rsidR="0001533F">
        <w:t xml:space="preserve">draft </w:t>
      </w:r>
      <w:r w:rsidR="004F377B">
        <w:t>strategy to treat people with gambling addiction should include Māori providers with long-term contracts and resource to ensure sustainability of services</w:t>
      </w:r>
      <w:r w:rsidR="0075708C">
        <w:t>.</w:t>
      </w:r>
    </w:p>
    <w:p w14:paraId="1CC1DCCD" w14:textId="4F410F7D" w:rsidR="00584F26" w:rsidRDefault="004F377B" w:rsidP="004F377B">
      <w:pPr>
        <w:pStyle w:val="BodyText"/>
      </w:pPr>
      <w:r>
        <w:t xml:space="preserve">A </w:t>
      </w:r>
      <w:r w:rsidR="0075708C">
        <w:t>l</w:t>
      </w:r>
      <w:r>
        <w:t xml:space="preserve">ocal </w:t>
      </w:r>
      <w:r w:rsidR="0075708C">
        <w:t>g</w:t>
      </w:r>
      <w:r>
        <w:t xml:space="preserve">overnment submitter supported the identification of Māori and young people as priority </w:t>
      </w:r>
      <w:r w:rsidR="00E01DA8">
        <w:t>populations but</w:t>
      </w:r>
      <w:r>
        <w:t xml:space="preserve"> queried how the Ministry w</w:t>
      </w:r>
      <w:r w:rsidR="00146C5D">
        <w:t xml:space="preserve">ould </w:t>
      </w:r>
      <w:r>
        <w:t>adequately address the inequities that these groups face in terms of accessing timely and appropriate support to address and minimise gambling harm.</w:t>
      </w:r>
      <w:r>
        <w:rPr>
          <w:rStyle w:val="FootnoteReference"/>
        </w:rPr>
        <w:footnoteReference w:id="305"/>
      </w:r>
    </w:p>
    <w:p w14:paraId="43A66B6D" w14:textId="77777777" w:rsidR="00584F26" w:rsidRDefault="00584F26" w:rsidP="00584F26">
      <w:pPr>
        <w:pStyle w:val="BodyText"/>
      </w:pPr>
      <w:r>
        <w:lastRenderedPageBreak/>
        <w:t>One service provider simply commented that targeted funding for Māori services was a positive step in support of Māori populations.</w:t>
      </w:r>
      <w:r>
        <w:rPr>
          <w:rStyle w:val="FootnoteReference"/>
        </w:rPr>
        <w:footnoteReference w:id="306"/>
      </w:r>
      <w:r>
        <w:t xml:space="preserve"> </w:t>
      </w:r>
    </w:p>
    <w:p w14:paraId="6613A708" w14:textId="77777777" w:rsidR="004F377B" w:rsidRDefault="004F377B" w:rsidP="004F377B">
      <w:pPr>
        <w:pStyle w:val="NumberedHeading3"/>
      </w:pPr>
      <w:bookmarkStart w:id="59" w:name="_Toc88637560"/>
      <w:r>
        <w:t>Pacific populations</w:t>
      </w:r>
      <w:bookmarkEnd w:id="59"/>
    </w:p>
    <w:p w14:paraId="6E3DFA38" w14:textId="1D328BBE" w:rsidR="00E01DA8" w:rsidRDefault="00E01DA8" w:rsidP="004F377B">
      <w:pPr>
        <w:pStyle w:val="BodyText"/>
      </w:pPr>
      <w:r>
        <w:t>Submitters were supportive of the continued focus on Pacific populations</w:t>
      </w:r>
      <w:r w:rsidR="00D24FEA">
        <w:t>,</w:t>
      </w:r>
      <w:r>
        <w:t xml:space="preserve"> but wanted to see </w:t>
      </w:r>
      <w:r w:rsidR="00686C73">
        <w:t xml:space="preserve">better acknowledgement of the diversity of Pacific peoples. </w:t>
      </w:r>
    </w:p>
    <w:p w14:paraId="1D8BAAFD" w14:textId="34A5A878" w:rsidR="00EC17EC" w:rsidRDefault="00203A98" w:rsidP="00203A98">
      <w:pPr>
        <w:pStyle w:val="BodyText"/>
      </w:pPr>
      <w:r>
        <w:t>T</w:t>
      </w:r>
      <w:r w:rsidR="00F41996">
        <w:t>hree</w:t>
      </w:r>
      <w:r w:rsidR="004F377B">
        <w:t xml:space="preserve"> service provider</w:t>
      </w:r>
      <w:r w:rsidR="00736B84">
        <w:t>s</w:t>
      </w:r>
      <w:r w:rsidR="004F377B">
        <w:t xml:space="preserve"> noted that while the Ministry indicated th</w:t>
      </w:r>
      <w:r w:rsidR="00A26304">
        <w:t>at</w:t>
      </w:r>
      <w:r w:rsidR="004F377B">
        <w:t xml:space="preserve"> Pacific people</w:t>
      </w:r>
      <w:r w:rsidR="00686C73">
        <w:t>s were</w:t>
      </w:r>
      <w:r w:rsidR="004F377B">
        <w:t xml:space="preserve"> a priority, it remain</w:t>
      </w:r>
      <w:r w:rsidR="00686C73">
        <w:t xml:space="preserve">ed </w:t>
      </w:r>
      <w:r w:rsidR="004F377B">
        <w:t xml:space="preserve">unclear how the </w:t>
      </w:r>
      <w:r w:rsidR="00736B84">
        <w:t xml:space="preserve">draft </w:t>
      </w:r>
      <w:r w:rsidR="004F377B">
        <w:t>strategy w</w:t>
      </w:r>
      <w:r w:rsidR="00686C73">
        <w:t>ould</w:t>
      </w:r>
      <w:r w:rsidR="004F377B">
        <w:t xml:space="preserve"> specifically work towards improving Pacific outcomes.</w:t>
      </w:r>
      <w:r w:rsidR="004F377B">
        <w:rPr>
          <w:rStyle w:val="FootnoteReference"/>
        </w:rPr>
        <w:footnoteReference w:id="307"/>
      </w:r>
      <w:r w:rsidR="004F377B">
        <w:t xml:space="preserve"> To address inequities for Pacific peoples, systemic barriers need to be addressed at all levels of the health system, including facilitating and encouraging Pacific leadership, particularly in the gambling harm team at the Ministry.</w:t>
      </w:r>
      <w:r w:rsidR="004F377B">
        <w:rPr>
          <w:rStyle w:val="FootnoteReference"/>
        </w:rPr>
        <w:footnoteReference w:id="308"/>
      </w:r>
      <w:r w:rsidR="004F377B">
        <w:t xml:space="preserve"> </w:t>
      </w:r>
    </w:p>
    <w:p w14:paraId="07EA92C6" w14:textId="72F4346A" w:rsidR="00203A98" w:rsidRDefault="00203A98" w:rsidP="00203A98">
      <w:pPr>
        <w:pStyle w:val="BodyText"/>
      </w:pPr>
      <w:r>
        <w:t>One service provider commented that Pacific peoples have distinct worldviews centred on spirituality, culture and family, and must be well understood in order for policy to be effective. Traditional communication, engagement and facilitation within communities is essential.</w:t>
      </w:r>
      <w:r>
        <w:rPr>
          <w:rStyle w:val="FootnoteReference"/>
        </w:rPr>
        <w:footnoteReference w:id="309"/>
      </w:r>
    </w:p>
    <w:p w14:paraId="5BB020D7" w14:textId="6584BC51" w:rsidR="00F41996" w:rsidRDefault="00F41996" w:rsidP="00203A98">
      <w:pPr>
        <w:pStyle w:val="BodyText"/>
      </w:pPr>
      <w:r>
        <w:t>Submitters made specific recommendations to improve services for Pacific peoples:</w:t>
      </w:r>
    </w:p>
    <w:p w14:paraId="1C6AC8AD" w14:textId="2838327A" w:rsidR="00F41996" w:rsidRDefault="00B741BF" w:rsidP="001E32D4">
      <w:pPr>
        <w:pStyle w:val="List-BulletLvl1"/>
      </w:pPr>
      <w:r>
        <w:t>s</w:t>
      </w:r>
      <w:r w:rsidR="003A5376">
        <w:t>tronger</w:t>
      </w:r>
      <w:r w:rsidR="004F377B">
        <w:t xml:space="preserve"> regulation </w:t>
      </w:r>
      <w:r w:rsidR="003F1BA1">
        <w:t xml:space="preserve">(not specified) </w:t>
      </w:r>
      <w:r w:rsidR="00F41996">
        <w:t>to better</w:t>
      </w:r>
      <w:r w:rsidR="004F377B">
        <w:t xml:space="preserve"> protect Pacific people</w:t>
      </w:r>
      <w:r w:rsidR="00CC19B4">
        <w:t>s</w:t>
      </w:r>
      <w:r w:rsidR="004F377B">
        <w:t xml:space="preserve"> from NCGMs and online gambling</w:t>
      </w:r>
      <w:r w:rsidR="00F41996">
        <w:t xml:space="preserve"> (one service provider)</w:t>
      </w:r>
      <w:r w:rsidR="004F377B">
        <w:rPr>
          <w:rStyle w:val="FootnoteReference"/>
        </w:rPr>
        <w:footnoteReference w:id="310"/>
      </w:r>
      <w:r w:rsidR="004F377B">
        <w:t xml:space="preserve"> </w:t>
      </w:r>
    </w:p>
    <w:p w14:paraId="715C0DD3" w14:textId="578C0885" w:rsidR="004F377B" w:rsidRDefault="00B741BF" w:rsidP="001E32D4">
      <w:pPr>
        <w:pStyle w:val="List-BulletLvl1"/>
      </w:pPr>
      <w:r>
        <w:t>e</w:t>
      </w:r>
      <w:r w:rsidR="004E3771">
        <w:t>xtend coverage to</w:t>
      </w:r>
      <w:r w:rsidR="003A5376">
        <w:t xml:space="preserve"> </w:t>
      </w:r>
      <w:r w:rsidR="004F377B">
        <w:t xml:space="preserve">Pacific Island nations, as for many </w:t>
      </w:r>
      <w:r w:rsidR="00CC19B4">
        <w:t>P</w:t>
      </w:r>
      <w:r w:rsidR="004F377B">
        <w:t>acific families, gambling behaviour is normalised back home, and for some, the behaviour continues when they come to Aotearoa</w:t>
      </w:r>
      <w:r w:rsidR="00F41996">
        <w:t xml:space="preserve"> (one service provider)</w:t>
      </w:r>
      <w:r w:rsidR="004F377B">
        <w:rPr>
          <w:rStyle w:val="FootnoteReference"/>
        </w:rPr>
        <w:footnoteReference w:id="311"/>
      </w:r>
    </w:p>
    <w:p w14:paraId="0810FFEB" w14:textId="45EE7E4D" w:rsidR="000445C0" w:rsidRDefault="00B741BF" w:rsidP="004F377B">
      <w:pPr>
        <w:pStyle w:val="List-BulletLvl1"/>
      </w:pPr>
      <w:r>
        <w:t>e</w:t>
      </w:r>
      <w:r w:rsidR="001E723E">
        <w:t xml:space="preserve">nable </w:t>
      </w:r>
      <w:r w:rsidR="004F377B">
        <w:t>Pacific trainers with cultural competence and safety skills and expertise in c</w:t>
      </w:r>
      <w:r w:rsidR="008517FC">
        <w:t xml:space="preserve">linical </w:t>
      </w:r>
      <w:r w:rsidR="004F377B">
        <w:t>and public health, to address the barriers that Pacific people</w:t>
      </w:r>
      <w:r w:rsidR="00CC19B4">
        <w:t>s</w:t>
      </w:r>
      <w:r w:rsidR="004F377B">
        <w:t xml:space="preserve"> face in accessing high-quality health services</w:t>
      </w:r>
      <w:r w:rsidR="000445C0">
        <w:t xml:space="preserve"> (one service provider)</w:t>
      </w:r>
      <w:r w:rsidR="000445C0">
        <w:rPr>
          <w:rStyle w:val="FootnoteReference"/>
        </w:rPr>
        <w:footnoteReference w:id="312"/>
      </w:r>
      <w:r w:rsidR="004F377B">
        <w:t xml:space="preserve"> </w:t>
      </w:r>
    </w:p>
    <w:p w14:paraId="05E4FB8E" w14:textId="773BECA9" w:rsidR="008D345C" w:rsidRDefault="00B741BF" w:rsidP="004F377B">
      <w:pPr>
        <w:pStyle w:val="List-BulletLvl1"/>
      </w:pPr>
      <w:r>
        <w:t>c</w:t>
      </w:r>
      <w:r w:rsidR="003D2896">
        <w:t xml:space="preserve">reate </w:t>
      </w:r>
      <w:r w:rsidR="004F377B">
        <w:t xml:space="preserve">career opportunities for Pacific peoples </w:t>
      </w:r>
      <w:r w:rsidR="003D2896">
        <w:t xml:space="preserve">to </w:t>
      </w:r>
      <w:r w:rsidR="004F377B">
        <w:t xml:space="preserve">undertake studies, paid internships and work in the </w:t>
      </w:r>
      <w:r w:rsidR="00332367">
        <w:t xml:space="preserve">PMGH </w:t>
      </w:r>
      <w:r w:rsidR="004F377B">
        <w:t>space</w:t>
      </w:r>
      <w:r w:rsidR="008D345C">
        <w:t xml:space="preserve"> (one service provider)</w:t>
      </w:r>
      <w:r w:rsidR="004F377B">
        <w:rPr>
          <w:rStyle w:val="FootnoteReference"/>
        </w:rPr>
        <w:footnoteReference w:id="313"/>
      </w:r>
      <w:r w:rsidR="004F377B">
        <w:t xml:space="preserve"> </w:t>
      </w:r>
    </w:p>
    <w:p w14:paraId="3DB34EA4" w14:textId="3FC97AB8" w:rsidR="004F377B" w:rsidRDefault="00B741BF" w:rsidP="004F377B">
      <w:pPr>
        <w:pStyle w:val="List-BulletLvl1"/>
      </w:pPr>
      <w:r>
        <w:t>e</w:t>
      </w:r>
      <w:r w:rsidR="00CB7152">
        <w:t xml:space="preserve">nsure </w:t>
      </w:r>
      <w:r w:rsidR="004F377B">
        <w:t xml:space="preserve">presence of Pacific leadership at all levels of the health system and particularly in the gambling sector </w:t>
      </w:r>
      <w:r w:rsidR="008D345C">
        <w:t>(one service provider).</w:t>
      </w:r>
      <w:r w:rsidR="004F377B">
        <w:rPr>
          <w:rStyle w:val="FootnoteReference"/>
        </w:rPr>
        <w:footnoteReference w:id="314"/>
      </w:r>
      <w:r w:rsidR="004F377B">
        <w:t xml:space="preserve"> </w:t>
      </w:r>
    </w:p>
    <w:p w14:paraId="22DCC60B" w14:textId="77777777" w:rsidR="004F377B" w:rsidRPr="008816E9" w:rsidRDefault="004F377B" w:rsidP="004F377B">
      <w:pPr>
        <w:pStyle w:val="NumberedHeading3"/>
      </w:pPr>
      <w:bookmarkStart w:id="60" w:name="_Toc88637561"/>
      <w:r>
        <w:t>Rangatahi/young people</w:t>
      </w:r>
      <w:bookmarkEnd w:id="60"/>
      <w:r>
        <w:t xml:space="preserve"> </w:t>
      </w:r>
    </w:p>
    <w:p w14:paraId="2FC5766B" w14:textId="4F5CEF7D" w:rsidR="006A362F" w:rsidRDefault="004F377B" w:rsidP="0021247E">
      <w:pPr>
        <w:pStyle w:val="BodyText"/>
      </w:pPr>
      <w:r>
        <w:t xml:space="preserve">There was support for the </w:t>
      </w:r>
      <w:r w:rsidR="007547FD">
        <w:t xml:space="preserve">inclusion </w:t>
      </w:r>
      <w:r>
        <w:t xml:space="preserve">of rangatahi as a priority population (two service providers, one individual and </w:t>
      </w:r>
      <w:r w:rsidR="00506689">
        <w:t xml:space="preserve">one </w:t>
      </w:r>
      <w:r>
        <w:t>health and social services submitter).</w:t>
      </w:r>
      <w:r>
        <w:rPr>
          <w:rStyle w:val="FootnoteReference"/>
        </w:rPr>
        <w:footnoteReference w:id="315"/>
      </w:r>
      <w:r>
        <w:t xml:space="preserve"> One service provider agreed that rangatahi, and more broadly, children of gamblers also experience gambling harm and targeted support is required.</w:t>
      </w:r>
      <w:r>
        <w:rPr>
          <w:rStyle w:val="FootnoteReference"/>
        </w:rPr>
        <w:footnoteReference w:id="316"/>
      </w:r>
      <w:r w:rsidR="006A362F">
        <w:t xml:space="preserve"> Another noted that through focusing prevention efforts earlier, </w:t>
      </w:r>
      <w:r w:rsidR="006A362F">
        <w:lastRenderedPageBreak/>
        <w:t>strengthening protective factors and building resilience among rangatahi, greater impacts and lessened inequities can be achieved (one health and social services submitter)</w:t>
      </w:r>
      <w:r w:rsidR="00EB5986">
        <w:t>.</w:t>
      </w:r>
      <w:r w:rsidR="006A362F">
        <w:rPr>
          <w:rStyle w:val="FootnoteReference"/>
        </w:rPr>
        <w:footnoteReference w:id="317"/>
      </w:r>
    </w:p>
    <w:p w14:paraId="4379EB92" w14:textId="03F45575" w:rsidR="00E9473E" w:rsidRPr="002B1834" w:rsidRDefault="00E9473E" w:rsidP="002B1834">
      <w:pPr>
        <w:pStyle w:val="CV-Heading2"/>
        <w:rPr>
          <w:i/>
          <w:iCs/>
        </w:rPr>
      </w:pPr>
      <w:r w:rsidRPr="002B1834">
        <w:rPr>
          <w:i/>
          <w:iCs/>
        </w:rPr>
        <w:t>Defining rang</w:t>
      </w:r>
      <w:r w:rsidR="00685530" w:rsidRPr="002B1834">
        <w:rPr>
          <w:i/>
          <w:iCs/>
        </w:rPr>
        <w:t>a</w:t>
      </w:r>
      <w:r w:rsidRPr="002B1834">
        <w:rPr>
          <w:i/>
          <w:iCs/>
        </w:rPr>
        <w:t>tahi</w:t>
      </w:r>
    </w:p>
    <w:p w14:paraId="714A36C7" w14:textId="66B18986" w:rsidR="00E9473E" w:rsidRDefault="00E9473E" w:rsidP="00E9473E">
      <w:pPr>
        <w:pStyle w:val="BodyText"/>
      </w:pPr>
      <w:r>
        <w:t>One service provider noted that rangatahi presenting as young as 11 are not captured because they do not meet the Ministry age requirement for gambling support (aged over 13 years old). It suggested that the Ministry revisit this age criteria, and that this impacts Pacific young people in particular.</w:t>
      </w:r>
      <w:r>
        <w:rPr>
          <w:rStyle w:val="FootnoteReference"/>
        </w:rPr>
        <w:footnoteReference w:id="318"/>
      </w:r>
      <w:r>
        <w:t xml:space="preserve"> </w:t>
      </w:r>
    </w:p>
    <w:p w14:paraId="281E79C4" w14:textId="434C0DB4" w:rsidR="00DC0B28" w:rsidRPr="002B1834" w:rsidRDefault="00DC0B28" w:rsidP="002B1834">
      <w:pPr>
        <w:pStyle w:val="CV-Heading2"/>
        <w:rPr>
          <w:i/>
          <w:iCs/>
        </w:rPr>
      </w:pPr>
      <w:r w:rsidRPr="002B1834">
        <w:rPr>
          <w:i/>
          <w:iCs/>
        </w:rPr>
        <w:t>Online gambling</w:t>
      </w:r>
    </w:p>
    <w:p w14:paraId="79B4DAE3" w14:textId="50F30807" w:rsidR="005358E1" w:rsidRDefault="00DC0B28" w:rsidP="0017641D">
      <w:pPr>
        <w:pStyle w:val="BodyText"/>
      </w:pPr>
      <w:r>
        <w:t>C</w:t>
      </w:r>
      <w:r w:rsidR="004F377B">
        <w:t>omments about rangatahi included</w:t>
      </w:r>
      <w:r w:rsidR="005168F1">
        <w:t xml:space="preserve"> a focus on the harm caused to rang</w:t>
      </w:r>
      <w:r w:rsidR="00332367">
        <w:t>a</w:t>
      </w:r>
      <w:r w:rsidR="005168F1">
        <w:t xml:space="preserve">tahi by online gambling/gaming. </w:t>
      </w:r>
      <w:r w:rsidR="005358E1">
        <w:t>One service provider noted that gambling for young people can be seen as a new and exciting activity with the potential to make money - this is further expanded with the availability of online gambling and the ‘gamification’ of gambling (one service provider).</w:t>
      </w:r>
      <w:r w:rsidR="005358E1">
        <w:rPr>
          <w:rStyle w:val="FootnoteReference"/>
        </w:rPr>
        <w:footnoteReference w:id="319"/>
      </w:r>
    </w:p>
    <w:p w14:paraId="66F8AF7F" w14:textId="7594B9C9" w:rsidR="007D35F4" w:rsidRDefault="005168F1" w:rsidP="0021247E">
      <w:pPr>
        <w:pStyle w:val="BodyText"/>
      </w:pPr>
      <w:r>
        <w:t>Three service providers considered that</w:t>
      </w:r>
      <w:r w:rsidR="004F377B">
        <w:t xml:space="preserve"> not enough </w:t>
      </w:r>
      <w:r>
        <w:t>is</w:t>
      </w:r>
      <w:r w:rsidR="004F377B">
        <w:t xml:space="preserve"> done to address the inequalities experienced by rangatahi, particularly in the online gambling and gaming space, where there is a lot of increas</w:t>
      </w:r>
      <w:r w:rsidR="0032780F">
        <w:t>ed</w:t>
      </w:r>
      <w:r w:rsidR="004F377B">
        <w:t xml:space="preserve"> risk for rangatahi in particular (three service providers)</w:t>
      </w:r>
      <w:r w:rsidR="00777298">
        <w:t>.</w:t>
      </w:r>
      <w:r w:rsidR="004F377B">
        <w:rPr>
          <w:rStyle w:val="FootnoteReference"/>
        </w:rPr>
        <w:footnoteReference w:id="320"/>
      </w:r>
      <w:r w:rsidR="004F377B">
        <w:t xml:space="preserve"> </w:t>
      </w:r>
      <w:r w:rsidR="005A2602">
        <w:t>Two other submitters also recognised the impact of o</w:t>
      </w:r>
      <w:r w:rsidR="004F377B">
        <w:t xml:space="preserve">nline gambling </w:t>
      </w:r>
      <w:r w:rsidR="005A2602">
        <w:t xml:space="preserve">as a </w:t>
      </w:r>
      <w:r w:rsidR="004F377B">
        <w:t xml:space="preserve">risk for young people </w:t>
      </w:r>
      <w:r w:rsidR="005A2602">
        <w:t xml:space="preserve">and suggested that </w:t>
      </w:r>
      <w:r w:rsidR="004F377B">
        <w:t>online gambling and gaming need to be better understood with appropriate data available to design and delivery quality interventions, including redesigning service delivery models to methods more suited to rangatahi (e.g.</w:t>
      </w:r>
      <w:r w:rsidR="005B494C">
        <w:t>,</w:t>
      </w:r>
      <w:r w:rsidR="004F377B">
        <w:t xml:space="preserve"> social media) (one service provider and one health and social services submitter)</w:t>
      </w:r>
      <w:r w:rsidR="00274B61">
        <w:t>.</w:t>
      </w:r>
      <w:r w:rsidR="004F377B">
        <w:rPr>
          <w:rStyle w:val="FootnoteReference"/>
        </w:rPr>
        <w:footnoteReference w:id="321"/>
      </w:r>
      <w:r w:rsidR="004F377B">
        <w:t xml:space="preserve"> </w:t>
      </w:r>
    </w:p>
    <w:p w14:paraId="7C0D57F7" w14:textId="7B10607C" w:rsidR="004F377B" w:rsidRPr="002B1834" w:rsidRDefault="00571E81" w:rsidP="002B1834">
      <w:pPr>
        <w:pStyle w:val="CV-Heading2"/>
        <w:rPr>
          <w:i/>
          <w:iCs/>
        </w:rPr>
      </w:pPr>
      <w:r w:rsidRPr="002B1834">
        <w:rPr>
          <w:i/>
          <w:iCs/>
        </w:rPr>
        <w:t>Specifically designed services are needed for rang</w:t>
      </w:r>
      <w:r w:rsidR="00C726F7" w:rsidRPr="002B1834">
        <w:rPr>
          <w:i/>
          <w:iCs/>
        </w:rPr>
        <w:t>a</w:t>
      </w:r>
      <w:r w:rsidRPr="002B1834">
        <w:rPr>
          <w:i/>
          <w:iCs/>
        </w:rPr>
        <w:t>tahi</w:t>
      </w:r>
    </w:p>
    <w:p w14:paraId="48A1C6ED" w14:textId="5428EE64" w:rsidR="004D65DF" w:rsidRDefault="00034E28" w:rsidP="0021247E">
      <w:pPr>
        <w:pStyle w:val="BodyText"/>
      </w:pPr>
      <w:r>
        <w:t xml:space="preserve">One service provider noted that </w:t>
      </w:r>
      <w:r w:rsidR="004F377B">
        <w:t>information about how rangatahi will actually be supported is vague</w:t>
      </w:r>
      <w:r>
        <w:t>.</w:t>
      </w:r>
      <w:r w:rsidR="004F377B">
        <w:rPr>
          <w:rStyle w:val="FootnoteReference"/>
        </w:rPr>
        <w:footnoteReference w:id="322"/>
      </w:r>
      <w:r w:rsidR="004F377B">
        <w:t xml:space="preserve"> </w:t>
      </w:r>
      <w:r>
        <w:t>Other submitters noted that</w:t>
      </w:r>
      <w:r w:rsidR="00892A4E">
        <w:t xml:space="preserve"> there is a need for services to be designed with and for </w:t>
      </w:r>
      <w:r w:rsidR="004F15F2">
        <w:t>rangatahi</w:t>
      </w:r>
      <w:r w:rsidR="00892A4E">
        <w:t>.</w:t>
      </w:r>
      <w:r w:rsidR="00C43239">
        <w:t xml:space="preserve"> </w:t>
      </w:r>
      <w:r w:rsidR="004D65DF">
        <w:t>In particular, services for young people need to be targeted for rangatahi - what works for other groups might not work for the (one service provider).</w:t>
      </w:r>
      <w:r w:rsidR="004D65DF">
        <w:rPr>
          <w:rStyle w:val="FootnoteReference"/>
        </w:rPr>
        <w:footnoteReference w:id="323"/>
      </w:r>
    </w:p>
    <w:p w14:paraId="1096532E" w14:textId="3DBFEAB5" w:rsidR="004F377B" w:rsidRDefault="00C43239" w:rsidP="0017641D">
      <w:pPr>
        <w:pStyle w:val="BodyText"/>
      </w:pPr>
      <w:r>
        <w:t xml:space="preserve">One service provider </w:t>
      </w:r>
      <w:r w:rsidR="00196AB5">
        <w:t xml:space="preserve">and one government </w:t>
      </w:r>
      <w:r w:rsidR="009F2D3C">
        <w:t>submitter</w:t>
      </w:r>
      <w:r>
        <w:t xml:space="preserve"> noted that </w:t>
      </w:r>
      <w:r w:rsidR="004F377B">
        <w:t>the Ministry and service providers need to collaborate with rangatahi themselves to ensure that service delivery is appropriate</w:t>
      </w:r>
      <w:r>
        <w:t>. Coll</w:t>
      </w:r>
      <w:r w:rsidR="004F377B">
        <w:t xml:space="preserve">aboration </w:t>
      </w:r>
      <w:r>
        <w:t xml:space="preserve">would </w:t>
      </w:r>
      <w:r w:rsidR="004F377B">
        <w:t>also involve recognising the dynamic needs of young people, and prevention efforts and campaigns should be developed alongside rangatahi to ensure that messaging is effective (one service provider)</w:t>
      </w:r>
      <w:r>
        <w:t>.</w:t>
      </w:r>
      <w:r w:rsidR="004F377B">
        <w:rPr>
          <w:rStyle w:val="FootnoteReference"/>
        </w:rPr>
        <w:footnoteReference w:id="324"/>
      </w:r>
    </w:p>
    <w:p w14:paraId="2D7046B5" w14:textId="4D7FCBB8" w:rsidR="0097001C" w:rsidRDefault="0097001C" w:rsidP="0017641D">
      <w:pPr>
        <w:pStyle w:val="BodyText"/>
      </w:pPr>
      <w:r>
        <w:t xml:space="preserve">Specific </w:t>
      </w:r>
      <w:r w:rsidR="006129AD">
        <w:t xml:space="preserve">steps and </w:t>
      </w:r>
      <w:r>
        <w:t>services were identified:</w:t>
      </w:r>
    </w:p>
    <w:p w14:paraId="55B139DE" w14:textId="10D50C3E" w:rsidR="006129AD" w:rsidRPr="008816E9" w:rsidRDefault="002B1834" w:rsidP="006129AD">
      <w:pPr>
        <w:pStyle w:val="List-BulletLvl1"/>
      </w:pPr>
      <w:r>
        <w:t>u</w:t>
      </w:r>
      <w:r w:rsidR="006129AD">
        <w:t>nderstanding what gambling harm looks like among rangatahi is essential</w:t>
      </w:r>
      <w:r w:rsidR="007C7A67">
        <w:t>:</w:t>
      </w:r>
      <w:r w:rsidR="006129AD">
        <w:t xml:space="preserve"> this includes focusing more on relevant forms of gambling, such as online gambling </w:t>
      </w:r>
      <w:r w:rsidR="007C7A67">
        <w:t xml:space="preserve">and ensuring that research and services are informed by the voices of rangatahi </w:t>
      </w:r>
      <w:r w:rsidR="007C7A67">
        <w:lastRenderedPageBreak/>
        <w:t xml:space="preserve">including Māori, Asian, Pacific, rainbow, disabled and immigrant communities </w:t>
      </w:r>
      <w:r w:rsidR="006129AD">
        <w:t>(one health and social services submitter</w:t>
      </w:r>
      <w:r w:rsidR="007C7A67">
        <w:t xml:space="preserve">, one </w:t>
      </w:r>
      <w:r w:rsidR="009F2D3C">
        <w:t>government submitter</w:t>
      </w:r>
      <w:r w:rsidR="006129AD">
        <w:t>)</w:t>
      </w:r>
      <w:r w:rsidR="006129AD">
        <w:rPr>
          <w:rStyle w:val="FootnoteReference"/>
        </w:rPr>
        <w:footnoteReference w:id="325"/>
      </w:r>
    </w:p>
    <w:p w14:paraId="3B010739" w14:textId="3405D41E" w:rsidR="0097001C" w:rsidRDefault="002B1834" w:rsidP="0097001C">
      <w:pPr>
        <w:pStyle w:val="List-BulletLvl1"/>
      </w:pPr>
      <w:r>
        <w:t>a</w:t>
      </w:r>
      <w:r w:rsidR="0097001C">
        <w:t xml:space="preserve"> gambling psycho-education and awareness programme introduced in secondary schools to help build Pacific youth capacity and coping skills in particularly around minimising gambling harm (one service provider)</w:t>
      </w:r>
      <w:r w:rsidR="000C68A6">
        <w:t>.</w:t>
      </w:r>
      <w:r w:rsidR="0097001C">
        <w:rPr>
          <w:rStyle w:val="FootnoteReference"/>
        </w:rPr>
        <w:footnoteReference w:id="326"/>
      </w:r>
    </w:p>
    <w:p w14:paraId="5F3B09C9" w14:textId="77777777" w:rsidR="00E9473E" w:rsidRDefault="00E9473E" w:rsidP="00E9473E">
      <w:pPr>
        <w:pStyle w:val="BodyText"/>
      </w:pPr>
      <w:r>
        <w:t>Some specific recommendations from one government submitter were that:</w:t>
      </w:r>
      <w:r>
        <w:rPr>
          <w:rStyle w:val="FootnoteReference"/>
        </w:rPr>
        <w:footnoteReference w:id="327"/>
      </w:r>
    </w:p>
    <w:p w14:paraId="76F34AAB" w14:textId="77777777" w:rsidR="00E9473E" w:rsidRDefault="00E9473E" w:rsidP="00E9473E">
      <w:pPr>
        <w:pStyle w:val="List-BulletLvl1"/>
      </w:pPr>
      <w:r>
        <w:t xml:space="preserve">regulation should be improved to prevent rangatahi from accessing gambling </w:t>
      </w:r>
    </w:p>
    <w:p w14:paraId="17B96EBA" w14:textId="21A4EE77" w:rsidR="00E9473E" w:rsidRDefault="00E9473E" w:rsidP="007C5D47">
      <w:pPr>
        <w:pStyle w:val="List-BulletLvl1"/>
      </w:pPr>
      <w:r>
        <w:t>education should be provided for parents and caregivers of rangatahi at risk of gambling harm.</w:t>
      </w:r>
    </w:p>
    <w:p w14:paraId="4ACEED32" w14:textId="77777777" w:rsidR="004F377B" w:rsidRPr="008816E9" w:rsidRDefault="004F377B" w:rsidP="004F377B">
      <w:pPr>
        <w:pStyle w:val="NumberedHeading3"/>
      </w:pPr>
      <w:bookmarkStart w:id="61" w:name="_Toc88637562"/>
      <w:r>
        <w:t>Submitters considered that other priority populations should be included</w:t>
      </w:r>
      <w:bookmarkEnd w:id="61"/>
      <w:r>
        <w:t xml:space="preserve"> </w:t>
      </w:r>
    </w:p>
    <w:p w14:paraId="7F6E6BC1" w14:textId="5A5895F6" w:rsidR="004F377B" w:rsidRDefault="004F377B" w:rsidP="004F377B">
      <w:pPr>
        <w:pStyle w:val="BodyText"/>
      </w:pPr>
      <w:r>
        <w:t xml:space="preserve">Seven submitters commented that there were other priority populations </w:t>
      </w:r>
      <w:r w:rsidR="00AB2AF0">
        <w:t>that c</w:t>
      </w:r>
      <w:r>
        <w:t>ould be included:</w:t>
      </w:r>
    </w:p>
    <w:p w14:paraId="0C2AA4C6" w14:textId="55B48F4C" w:rsidR="00AD4951" w:rsidRDefault="000C68A6" w:rsidP="004F377B">
      <w:pPr>
        <w:pStyle w:val="List-BulletLvl1"/>
      </w:pPr>
      <w:r>
        <w:t>r</w:t>
      </w:r>
      <w:r w:rsidR="00AD4951">
        <w:t>ecent migrants because they are</w:t>
      </w:r>
      <w:r w:rsidR="00AD4951" w:rsidRPr="00AD4951">
        <w:t xml:space="preserve"> </w:t>
      </w:r>
      <w:r w:rsidR="00AD4951">
        <w:t>particularly vulnerable to gambling, and often do not seek early intervention (one local government submitter and one service provider)</w:t>
      </w:r>
      <w:r w:rsidR="00AD4951">
        <w:rPr>
          <w:rStyle w:val="FootnoteReference"/>
        </w:rPr>
        <w:footnoteReference w:id="328"/>
      </w:r>
    </w:p>
    <w:p w14:paraId="4A28CE16" w14:textId="5E43B645" w:rsidR="004F377B" w:rsidRDefault="003D4DB4" w:rsidP="004F377B">
      <w:pPr>
        <w:pStyle w:val="List-BulletLvl1"/>
      </w:pPr>
      <w:r>
        <w:t>New Zealand European/P</w:t>
      </w:r>
      <w:r w:rsidR="004F377B">
        <w:t xml:space="preserve">akeha </w:t>
      </w:r>
      <w:r>
        <w:t>as they</w:t>
      </w:r>
      <w:r w:rsidR="004F377B">
        <w:t xml:space="preserve"> make up a substantially larger portion of the community</w:t>
      </w:r>
      <w:r>
        <w:t xml:space="preserve"> (one NCGM submitter)</w:t>
      </w:r>
      <w:r w:rsidR="004F377B">
        <w:rPr>
          <w:rStyle w:val="FootnoteReference"/>
        </w:rPr>
        <w:footnoteReference w:id="329"/>
      </w:r>
    </w:p>
    <w:p w14:paraId="1A770F51" w14:textId="560F34EA" w:rsidR="004F377B" w:rsidRPr="008816E9" w:rsidRDefault="000C68A6" w:rsidP="004F377B">
      <w:pPr>
        <w:pStyle w:val="List-BulletLvl1"/>
      </w:pPr>
      <w:r>
        <w:t>p</w:t>
      </w:r>
      <w:r w:rsidR="003D4DB4">
        <w:t xml:space="preserve">eople aged </w:t>
      </w:r>
      <w:r w:rsidR="004F377B">
        <w:t>over 65</w:t>
      </w:r>
      <w:r w:rsidR="003D4DB4">
        <w:t xml:space="preserve"> years</w:t>
      </w:r>
      <w:r w:rsidR="004F377B">
        <w:t xml:space="preserve">, particularly given the impact of COVID-19 lockdowns on this </w:t>
      </w:r>
      <w:r w:rsidR="00AD4951">
        <w:t>population</w:t>
      </w:r>
      <w:r w:rsidR="003D4DB4">
        <w:t xml:space="preserve"> (one service provider)</w:t>
      </w:r>
      <w:r w:rsidR="004F377B">
        <w:rPr>
          <w:rStyle w:val="FootnoteReference"/>
        </w:rPr>
        <w:footnoteReference w:id="330"/>
      </w:r>
    </w:p>
    <w:p w14:paraId="3D0D15F4" w14:textId="2F0FB33B" w:rsidR="00B97F32" w:rsidRDefault="000C68A6" w:rsidP="004F377B">
      <w:pPr>
        <w:pStyle w:val="List-BulletLvl1"/>
      </w:pPr>
      <w:r>
        <w:t>t</w:t>
      </w:r>
      <w:r w:rsidR="00B97F32">
        <w:t>amariki</w:t>
      </w:r>
      <w:r w:rsidR="00B97F32" w:rsidRPr="00B97F32">
        <w:t xml:space="preserve"> </w:t>
      </w:r>
      <w:r w:rsidR="00B97F32">
        <w:t>to prevent intergenerational harm, including in particular, support for mothers who are gamblers, or mothers who are concerned significant others (one health and social services submitter)</w:t>
      </w:r>
      <w:r w:rsidR="00B97F32">
        <w:rPr>
          <w:rStyle w:val="FootnoteReference"/>
        </w:rPr>
        <w:footnoteReference w:id="331"/>
      </w:r>
    </w:p>
    <w:p w14:paraId="7C5FA7E2" w14:textId="786BE2CF" w:rsidR="00B97F32" w:rsidRDefault="000C68A6" w:rsidP="004F377B">
      <w:pPr>
        <w:pStyle w:val="List-BulletLvl1"/>
      </w:pPr>
      <w:r>
        <w:t>p</w:t>
      </w:r>
      <w:r w:rsidR="00B97F32">
        <w:t xml:space="preserve">eople with disabilities because their increased vulnerability to gambling harm was not explicitly </w:t>
      </w:r>
      <w:r w:rsidR="00AE27A7">
        <w:t xml:space="preserve">explained </w:t>
      </w:r>
      <w:r w:rsidR="00B97F32">
        <w:t>enough in the strategy (or the draft service plan) (one health and social services provider)</w:t>
      </w:r>
      <w:r w:rsidR="00B97F32">
        <w:rPr>
          <w:rStyle w:val="FootnoteReference"/>
        </w:rPr>
        <w:footnoteReference w:id="332"/>
      </w:r>
    </w:p>
    <w:p w14:paraId="326C0BF3" w14:textId="02A438C5" w:rsidR="00B97F32" w:rsidRPr="008816E9" w:rsidRDefault="000C68A6" w:rsidP="004F377B">
      <w:pPr>
        <w:pStyle w:val="List-BulletLvl1"/>
      </w:pPr>
      <w:r>
        <w:t>r</w:t>
      </w:r>
      <w:r w:rsidR="00B97F32">
        <w:t>ural populations who may have a different risk profile of needs than urban gamblers, and noted that small towns can miss out on specialised services (one health and social services submitter).</w:t>
      </w:r>
      <w:r w:rsidR="00B97F32">
        <w:rPr>
          <w:rStyle w:val="FootnoteReference"/>
        </w:rPr>
        <w:footnoteReference w:id="333"/>
      </w:r>
    </w:p>
    <w:p w14:paraId="019B13B0" w14:textId="5D6BC298" w:rsidR="004F377B" w:rsidRDefault="00381E99" w:rsidP="0021247E">
      <w:pPr>
        <w:pStyle w:val="BodyText"/>
      </w:pPr>
      <w:r>
        <w:t>O</w:t>
      </w:r>
      <w:r w:rsidR="004F377B">
        <w:t>ne individual</w:t>
      </w:r>
      <w:r w:rsidR="0047775D">
        <w:t xml:space="preserve"> commented that</w:t>
      </w:r>
      <w:r w:rsidR="004F377B">
        <w:t xml:space="preserve"> the </w:t>
      </w:r>
      <w:r>
        <w:t>draft</w:t>
      </w:r>
      <w:r w:rsidR="004F377B">
        <w:t xml:space="preserve"> strategy should focus on all ethnic groups who are harmed by gambling, rather than just Māori, Pacific and Asian</w:t>
      </w:r>
      <w:r w:rsidR="00211FA5">
        <w:t xml:space="preserve"> populations</w:t>
      </w:r>
      <w:r w:rsidR="00601863">
        <w:t>.</w:t>
      </w:r>
      <w:r w:rsidR="004F377B">
        <w:rPr>
          <w:rStyle w:val="FootnoteReference"/>
        </w:rPr>
        <w:footnoteReference w:id="334"/>
      </w:r>
    </w:p>
    <w:p w14:paraId="5731CB35" w14:textId="77777777" w:rsidR="00EE229C" w:rsidRPr="008816E9" w:rsidRDefault="00EE229C" w:rsidP="0021247E">
      <w:pPr>
        <w:pStyle w:val="BodyText"/>
      </w:pPr>
    </w:p>
    <w:p w14:paraId="4ADD8F0D" w14:textId="0CA95DDE" w:rsidR="00B037EB" w:rsidRDefault="00B037EB" w:rsidP="00B037EB">
      <w:pPr>
        <w:pStyle w:val="NumberedHeading3"/>
      </w:pPr>
      <w:bookmarkStart w:id="62" w:name="_Toc88637563"/>
      <w:r>
        <w:lastRenderedPageBreak/>
        <w:t>Key themes from consultation hui</w:t>
      </w:r>
      <w:bookmarkEnd w:id="62"/>
    </w:p>
    <w:tbl>
      <w:tblPr>
        <w:tblStyle w:val="TableGrid"/>
        <w:tblW w:w="0" w:type="auto"/>
        <w:shd w:val="clear" w:color="auto" w:fill="D2D9DE" w:themeFill="text2" w:themeFillTint="33"/>
        <w:tblLook w:val="04A0" w:firstRow="1" w:lastRow="0" w:firstColumn="1" w:lastColumn="0" w:noHBand="0" w:noVBand="1"/>
      </w:tblPr>
      <w:tblGrid>
        <w:gridCol w:w="9061"/>
      </w:tblGrid>
      <w:tr w:rsidR="00607304" w:rsidRPr="00607304" w14:paraId="2B04943D" w14:textId="77777777" w:rsidTr="00A63114">
        <w:tc>
          <w:tcPr>
            <w:tcW w:w="9061" w:type="dxa"/>
            <w:shd w:val="clear" w:color="auto" w:fill="D2D9DE" w:themeFill="text2" w:themeFillTint="33"/>
          </w:tcPr>
          <w:p w14:paraId="392DC22D" w14:textId="6B0F12D0" w:rsidR="00B037EB" w:rsidRPr="00607304" w:rsidRDefault="00B037EB" w:rsidP="00A63114">
            <w:pPr>
              <w:pStyle w:val="BodyText"/>
              <w:jc w:val="center"/>
              <w:rPr>
                <w:b/>
                <w:bCs/>
                <w:color w:val="36424A" w:themeColor="accent5"/>
              </w:rPr>
            </w:pPr>
            <w:r w:rsidRPr="00607304">
              <w:rPr>
                <w:b/>
                <w:bCs/>
                <w:color w:val="36424A" w:themeColor="accent5"/>
              </w:rPr>
              <w:t>Comments from hui on priority populations</w:t>
            </w:r>
          </w:p>
          <w:p w14:paraId="492CAA0B" w14:textId="5B85AEE2" w:rsidR="009B0A52" w:rsidRDefault="00AF6A85" w:rsidP="00477274">
            <w:pPr>
              <w:pStyle w:val="List-BulletLvl1"/>
              <w:rPr>
                <w:color w:val="36424A" w:themeColor="accent5"/>
              </w:rPr>
            </w:pPr>
            <w:r>
              <w:rPr>
                <w:color w:val="36424A" w:themeColor="accent5"/>
              </w:rPr>
              <w:t>Stakeholders at the Māori</w:t>
            </w:r>
            <w:r w:rsidR="002A7F5B">
              <w:rPr>
                <w:color w:val="36424A" w:themeColor="accent5"/>
              </w:rPr>
              <w:t xml:space="preserve"> and Pacific-</w:t>
            </w:r>
            <w:r>
              <w:rPr>
                <w:color w:val="36424A" w:themeColor="accent5"/>
              </w:rPr>
              <w:t xml:space="preserve">focused hui commented that although </w:t>
            </w:r>
            <w:r w:rsidR="002A7F5B">
              <w:rPr>
                <w:color w:val="36424A" w:themeColor="accent5"/>
              </w:rPr>
              <w:t xml:space="preserve">priority populations </w:t>
            </w:r>
            <w:r>
              <w:rPr>
                <w:color w:val="36424A" w:themeColor="accent5"/>
              </w:rPr>
              <w:t>were consulted with on the draft strategy, there was a feeling that they had not been included in the development</w:t>
            </w:r>
            <w:r w:rsidR="00702870">
              <w:rPr>
                <w:color w:val="36424A" w:themeColor="accent5"/>
              </w:rPr>
              <w:t>, and noted the importance of having an indigenous advisory group.</w:t>
            </w:r>
          </w:p>
          <w:p w14:paraId="3E20AF2D" w14:textId="31168D04" w:rsidR="00B037EB" w:rsidRDefault="00477274" w:rsidP="00477274">
            <w:pPr>
              <w:pStyle w:val="List-BulletLvl1"/>
              <w:rPr>
                <w:color w:val="36424A" w:themeColor="accent5"/>
              </w:rPr>
            </w:pPr>
            <w:r w:rsidRPr="00607304">
              <w:rPr>
                <w:color w:val="36424A" w:themeColor="accent5"/>
              </w:rPr>
              <w:t>Stakeholders wanted t</w:t>
            </w:r>
            <w:r w:rsidR="00971E38" w:rsidRPr="00607304">
              <w:rPr>
                <w:color w:val="36424A" w:themeColor="accent5"/>
              </w:rPr>
              <w:t xml:space="preserve">o see more information about what would actually be done to cater for different ethnic communities, particularly within the priority populations of Asian peoples and Pacific peoples. </w:t>
            </w:r>
          </w:p>
          <w:p w14:paraId="100F34EC" w14:textId="18C2F5DE" w:rsidR="00D67724" w:rsidRPr="00607304" w:rsidRDefault="00F56465" w:rsidP="00477274">
            <w:pPr>
              <w:pStyle w:val="List-BulletLvl1"/>
              <w:rPr>
                <w:color w:val="36424A" w:themeColor="accent5"/>
              </w:rPr>
            </w:pPr>
            <w:r>
              <w:rPr>
                <w:color w:val="36424A" w:themeColor="accent5"/>
              </w:rPr>
              <w:t>Stakeholders</w:t>
            </w:r>
            <w:r w:rsidR="00D67724">
              <w:rPr>
                <w:color w:val="36424A" w:themeColor="accent5"/>
              </w:rPr>
              <w:t xml:space="preserve"> wanted to see a detailed action plan for young people to ensure that </w:t>
            </w:r>
            <w:r>
              <w:rPr>
                <w:color w:val="36424A" w:themeColor="accent5"/>
              </w:rPr>
              <w:t xml:space="preserve">future gambling harm would be prevented. </w:t>
            </w:r>
          </w:p>
          <w:p w14:paraId="17813137" w14:textId="77777777" w:rsidR="004409C2" w:rsidRPr="00607304" w:rsidRDefault="004409C2" w:rsidP="00477274">
            <w:pPr>
              <w:pStyle w:val="List-BulletLvl1"/>
              <w:rPr>
                <w:color w:val="36424A" w:themeColor="accent5"/>
              </w:rPr>
            </w:pPr>
            <w:r w:rsidRPr="00607304">
              <w:rPr>
                <w:color w:val="36424A" w:themeColor="accent5"/>
              </w:rPr>
              <w:t>Stakeholders wanted to see more work being done for other priority populations, such as the rainbow community</w:t>
            </w:r>
            <w:r w:rsidR="00E87940" w:rsidRPr="00607304">
              <w:rPr>
                <w:color w:val="36424A" w:themeColor="accent5"/>
              </w:rPr>
              <w:t xml:space="preserve">. </w:t>
            </w:r>
          </w:p>
          <w:p w14:paraId="00348263" w14:textId="069BFE4C" w:rsidR="00E87940" w:rsidRPr="00607304" w:rsidRDefault="00E87940" w:rsidP="00477274">
            <w:pPr>
              <w:pStyle w:val="List-BulletLvl1"/>
              <w:rPr>
                <w:color w:val="36424A" w:themeColor="accent5"/>
              </w:rPr>
            </w:pPr>
            <w:r w:rsidRPr="00607304">
              <w:rPr>
                <w:color w:val="36424A" w:themeColor="accent5"/>
              </w:rPr>
              <w:t xml:space="preserve">Some stakeholders also wanted to see more research and focus on retirees, and noted that there are a high number of people </w:t>
            </w:r>
            <w:r w:rsidR="00AE27A7">
              <w:rPr>
                <w:color w:val="36424A" w:themeColor="accent5"/>
              </w:rPr>
              <w:t>of</w:t>
            </w:r>
            <w:r w:rsidR="00AE27A7" w:rsidRPr="00607304">
              <w:rPr>
                <w:color w:val="36424A" w:themeColor="accent5"/>
              </w:rPr>
              <w:t xml:space="preserve"> </w:t>
            </w:r>
            <w:r w:rsidRPr="00607304">
              <w:rPr>
                <w:color w:val="36424A" w:themeColor="accent5"/>
              </w:rPr>
              <w:t xml:space="preserve">retirement age experiencing gambling harm, particularly during lockdowns, when they are more vulnerable and isolated. </w:t>
            </w:r>
          </w:p>
          <w:p w14:paraId="5CBDF6FF" w14:textId="77777777" w:rsidR="00607304" w:rsidRDefault="00607304" w:rsidP="00477274">
            <w:pPr>
              <w:pStyle w:val="List-BulletLvl1"/>
              <w:rPr>
                <w:color w:val="36424A" w:themeColor="accent5"/>
              </w:rPr>
            </w:pPr>
            <w:r w:rsidRPr="00607304">
              <w:rPr>
                <w:color w:val="36424A" w:themeColor="accent5"/>
              </w:rPr>
              <w:t xml:space="preserve">Stakeholders commented that trusts and societies should also shoulder more of the responsibility for reducing harm in priority populations, and gave the example of Christchurch Casino, where services and industry stakeholders had partnered to reduce harm. </w:t>
            </w:r>
          </w:p>
          <w:p w14:paraId="458C84DE" w14:textId="18E0B629" w:rsidR="00FE5C38" w:rsidRDefault="00A53E95" w:rsidP="00477274">
            <w:pPr>
              <w:pStyle w:val="List-BulletLvl1"/>
              <w:rPr>
                <w:color w:val="36424A" w:themeColor="accent5"/>
              </w:rPr>
            </w:pPr>
            <w:r>
              <w:rPr>
                <w:color w:val="36424A" w:themeColor="accent5"/>
              </w:rPr>
              <w:t>Stakeholders wanted to see specific data on the rates of gambling harm for Pacific against non-Māori and non-Pacific</w:t>
            </w:r>
            <w:r w:rsidR="00AE27A7">
              <w:rPr>
                <w:color w:val="36424A" w:themeColor="accent5"/>
              </w:rPr>
              <w:t xml:space="preserve"> people</w:t>
            </w:r>
            <w:r>
              <w:rPr>
                <w:color w:val="36424A" w:themeColor="accent5"/>
              </w:rPr>
              <w:t xml:space="preserve">, and commented that the data shows non-Pacific (including Māori) as the comparison group, when it is well-recognised that </w:t>
            </w:r>
            <w:r w:rsidR="004028D4">
              <w:rPr>
                <w:color w:val="36424A" w:themeColor="accent5"/>
              </w:rPr>
              <w:t xml:space="preserve">Māori are above Pacific peoples in terms of harm rates. </w:t>
            </w:r>
            <w:r w:rsidR="00D1061B">
              <w:rPr>
                <w:color w:val="36424A" w:themeColor="accent5"/>
              </w:rPr>
              <w:t>Stakeholders were concerned that this presentation of data could p</w:t>
            </w:r>
            <w:r w:rsidR="00FE5C38">
              <w:rPr>
                <w:color w:val="36424A" w:themeColor="accent5"/>
              </w:rPr>
              <w:t>ull the comparison group rate close to Pacific populations and potentially downplay the harm – Pacific groups wanted to see Māori removed from the comparison group so that a true picture of Pacific harm could be observed.</w:t>
            </w:r>
          </w:p>
          <w:p w14:paraId="389269F4" w14:textId="77777777" w:rsidR="00A53E95" w:rsidRDefault="00FE5C38" w:rsidP="00477274">
            <w:pPr>
              <w:pStyle w:val="List-BulletLvl1"/>
              <w:rPr>
                <w:color w:val="36424A" w:themeColor="accent5"/>
              </w:rPr>
            </w:pPr>
            <w:r>
              <w:rPr>
                <w:color w:val="36424A" w:themeColor="accent5"/>
              </w:rPr>
              <w:t xml:space="preserve">Stakeholders noted that the Gambling Helpline was particularly inaccessible to Pacific </w:t>
            </w:r>
            <w:r w:rsidR="00CE4E3E">
              <w:rPr>
                <w:color w:val="36424A" w:themeColor="accent5"/>
              </w:rPr>
              <w:t>populations</w:t>
            </w:r>
            <w:r>
              <w:rPr>
                <w:color w:val="36424A" w:themeColor="accent5"/>
              </w:rPr>
              <w:t xml:space="preserve"> in terms of linguistically and culturally appropriate services.  </w:t>
            </w:r>
          </w:p>
          <w:p w14:paraId="2DBEF5BA" w14:textId="77777777" w:rsidR="00CE4E3E" w:rsidRDefault="00CE4E3E" w:rsidP="00477274">
            <w:pPr>
              <w:pStyle w:val="List-BulletLvl1"/>
              <w:rPr>
                <w:color w:val="36424A" w:themeColor="accent5"/>
              </w:rPr>
            </w:pPr>
            <w:r>
              <w:rPr>
                <w:color w:val="36424A" w:themeColor="accent5"/>
              </w:rPr>
              <w:t xml:space="preserve">Stakeholders wanted to see </w:t>
            </w:r>
            <w:r w:rsidR="006024B2">
              <w:rPr>
                <w:color w:val="36424A" w:themeColor="accent5"/>
              </w:rPr>
              <w:t>dedicated strategies for Pacific peoples and rangatahi.</w:t>
            </w:r>
          </w:p>
          <w:p w14:paraId="33AB10D0" w14:textId="77777777" w:rsidR="006024B2" w:rsidRDefault="006024B2" w:rsidP="00477274">
            <w:pPr>
              <w:pStyle w:val="List-BulletLvl1"/>
              <w:rPr>
                <w:color w:val="36424A" w:themeColor="accent5"/>
              </w:rPr>
            </w:pPr>
            <w:r>
              <w:rPr>
                <w:color w:val="36424A" w:themeColor="accent5"/>
              </w:rPr>
              <w:t>Stakeholders noted that there needed to be more consideration of the languages being used by the Ministry</w:t>
            </w:r>
            <w:r w:rsidR="005E0D69">
              <w:rPr>
                <w:color w:val="36424A" w:themeColor="accent5"/>
              </w:rPr>
              <w:t xml:space="preserve">, particularly for the diversity of Asian and Pacific populations. </w:t>
            </w:r>
          </w:p>
          <w:p w14:paraId="20FBEAD2" w14:textId="77777777" w:rsidR="005E0D69" w:rsidRDefault="005E0D69" w:rsidP="00477274">
            <w:pPr>
              <w:pStyle w:val="List-BulletLvl1"/>
              <w:rPr>
                <w:color w:val="36424A" w:themeColor="accent5"/>
              </w:rPr>
            </w:pPr>
            <w:r>
              <w:rPr>
                <w:color w:val="36424A" w:themeColor="accent5"/>
              </w:rPr>
              <w:t xml:space="preserve">Stakeholders also wanted to see more focus on </w:t>
            </w:r>
            <w:r w:rsidR="009C2137">
              <w:rPr>
                <w:color w:val="36424A" w:themeColor="accent5"/>
              </w:rPr>
              <w:t xml:space="preserve">the specific factors for different populations, for example </w:t>
            </w:r>
            <w:r w:rsidR="00EB443C">
              <w:rPr>
                <w:color w:val="36424A" w:themeColor="accent5"/>
              </w:rPr>
              <w:t xml:space="preserve">in Pacific communities, the main contributors to gambling harm are stigma, poverty, finances and neglect, and a range of different methods, led by Pacific communities, need to be used. </w:t>
            </w:r>
          </w:p>
          <w:p w14:paraId="6A4D39C7" w14:textId="77777777" w:rsidR="00A51DB5" w:rsidRDefault="00C12458" w:rsidP="00477274">
            <w:pPr>
              <w:pStyle w:val="List-BulletLvl1"/>
              <w:rPr>
                <w:color w:val="36424A" w:themeColor="accent5"/>
              </w:rPr>
            </w:pPr>
            <w:r>
              <w:rPr>
                <w:color w:val="36424A" w:themeColor="accent5"/>
              </w:rPr>
              <w:t>Stakeholders noted the importance of addressing gambling behaviours in the Pacific Islands, as behaviours wer</w:t>
            </w:r>
            <w:r w:rsidR="00A51DB5">
              <w:rPr>
                <w:color w:val="36424A" w:themeColor="accent5"/>
              </w:rPr>
              <w:t>e amplified</w:t>
            </w:r>
            <w:r>
              <w:rPr>
                <w:color w:val="36424A" w:themeColor="accent5"/>
              </w:rPr>
              <w:t xml:space="preserve"> once people moved to New Zealand.</w:t>
            </w:r>
          </w:p>
          <w:p w14:paraId="12C0B456" w14:textId="77777777" w:rsidR="00A51DB5" w:rsidRDefault="00A51DB5" w:rsidP="00477274">
            <w:pPr>
              <w:pStyle w:val="List-BulletLvl1"/>
              <w:rPr>
                <w:color w:val="36424A" w:themeColor="accent5"/>
              </w:rPr>
            </w:pPr>
            <w:r>
              <w:rPr>
                <w:color w:val="36424A" w:themeColor="accent5"/>
              </w:rPr>
              <w:lastRenderedPageBreak/>
              <w:t>Stakeholders at the Pacific hui emphasised the need for:</w:t>
            </w:r>
          </w:p>
          <w:p w14:paraId="7E784FAA" w14:textId="77777777" w:rsidR="0064030A" w:rsidRDefault="00A51DB5" w:rsidP="00A51DB5">
            <w:pPr>
              <w:pStyle w:val="List-BulletLvl2"/>
              <w:rPr>
                <w:color w:val="36424A" w:themeColor="accent5"/>
              </w:rPr>
            </w:pPr>
            <w:r>
              <w:rPr>
                <w:color w:val="36424A" w:themeColor="accent5"/>
              </w:rPr>
              <w:t>support for Pacific peoples by Pacific peoples</w:t>
            </w:r>
          </w:p>
          <w:p w14:paraId="1B4DBCCF" w14:textId="31C75F0E" w:rsidR="00C12458" w:rsidRDefault="0064030A" w:rsidP="00A51DB5">
            <w:pPr>
              <w:pStyle w:val="List-BulletLvl2"/>
              <w:rPr>
                <w:color w:val="36424A" w:themeColor="accent5"/>
              </w:rPr>
            </w:pPr>
            <w:r>
              <w:rPr>
                <w:color w:val="36424A" w:themeColor="accent5"/>
              </w:rPr>
              <w:t>culturally appropriate, and culturally-specific services, with a</w:t>
            </w:r>
            <w:r w:rsidR="00C12458" w:rsidRPr="00C75FC3">
              <w:rPr>
                <w:color w:val="36424A" w:themeColor="accent5"/>
              </w:rPr>
              <w:t xml:space="preserve"> </w:t>
            </w:r>
            <w:r>
              <w:rPr>
                <w:color w:val="36424A" w:themeColor="accent5"/>
              </w:rPr>
              <w:t>move away from the collective culture of ‘Pacific’</w:t>
            </w:r>
          </w:p>
          <w:p w14:paraId="76FCFF11" w14:textId="77777777" w:rsidR="0064030A" w:rsidRDefault="0064030A" w:rsidP="00A51DB5">
            <w:pPr>
              <w:pStyle w:val="List-BulletLvl2"/>
              <w:rPr>
                <w:color w:val="36424A" w:themeColor="accent5"/>
              </w:rPr>
            </w:pPr>
            <w:r>
              <w:rPr>
                <w:color w:val="36424A" w:themeColor="accent5"/>
              </w:rPr>
              <w:t>clarity for funding and leadership in the new health sector</w:t>
            </w:r>
          </w:p>
          <w:p w14:paraId="7F04979C" w14:textId="77777777" w:rsidR="00C72F1D" w:rsidRDefault="00C72F1D" w:rsidP="00A51DB5">
            <w:pPr>
              <w:pStyle w:val="List-BulletLvl2"/>
              <w:rPr>
                <w:color w:val="36424A" w:themeColor="accent5"/>
              </w:rPr>
            </w:pPr>
            <w:r>
              <w:rPr>
                <w:color w:val="36424A" w:themeColor="accent5"/>
              </w:rPr>
              <w:t>upskilling and training for Pacific peoples in gambling harm</w:t>
            </w:r>
          </w:p>
          <w:p w14:paraId="22A995AF" w14:textId="77777777" w:rsidR="00C72F1D" w:rsidRDefault="00C72F1D" w:rsidP="00A51DB5">
            <w:pPr>
              <w:pStyle w:val="List-BulletLvl2"/>
              <w:rPr>
                <w:color w:val="36424A" w:themeColor="accent5"/>
              </w:rPr>
            </w:pPr>
            <w:r>
              <w:rPr>
                <w:color w:val="36424A" w:themeColor="accent5"/>
              </w:rPr>
              <w:t>an emphasis on multi-skilled roles, maximising areas like the unregulated workforce</w:t>
            </w:r>
          </w:p>
          <w:p w14:paraId="4D5F6BFA" w14:textId="77777777" w:rsidR="002A7F5B" w:rsidRDefault="002A7F5B" w:rsidP="00A51DB5">
            <w:pPr>
              <w:pStyle w:val="List-BulletLvl2"/>
              <w:rPr>
                <w:color w:val="36424A" w:themeColor="accent5"/>
              </w:rPr>
            </w:pPr>
            <w:r>
              <w:rPr>
                <w:color w:val="36424A" w:themeColor="accent5"/>
              </w:rPr>
              <w:t>micro-credentialling could be used to build up professional skills in Pacific communities that have a lot of other talents (e.g. life experience).</w:t>
            </w:r>
          </w:p>
          <w:p w14:paraId="5B46179C" w14:textId="7EA5A42F" w:rsidR="00602FF4" w:rsidRPr="00C75FC3" w:rsidRDefault="00602FF4" w:rsidP="00CE7581">
            <w:pPr>
              <w:pStyle w:val="List-BulletLvl1"/>
              <w:rPr>
                <w:color w:val="36424A" w:themeColor="accent5"/>
              </w:rPr>
            </w:pPr>
            <w:r>
              <w:rPr>
                <w:color w:val="36424A" w:themeColor="accent5"/>
              </w:rPr>
              <w:t xml:space="preserve">Rangatahi commented on the role of social media as a crucial element when trying to communicate with young people. </w:t>
            </w:r>
            <w:r w:rsidR="00FF56F2">
              <w:rPr>
                <w:color w:val="36424A" w:themeColor="accent5"/>
              </w:rPr>
              <w:t>Stakeholders discussed the use of a large social media campaign to help spread awareness and de-stigmatise problem gambling, and suggested a slogan or catch phrase (e.g. drink driving ads)</w:t>
            </w:r>
            <w:r w:rsidR="00CE7581">
              <w:rPr>
                <w:color w:val="36424A" w:themeColor="accent5"/>
              </w:rPr>
              <w:t>.</w:t>
            </w:r>
          </w:p>
        </w:tc>
      </w:tr>
    </w:tbl>
    <w:p w14:paraId="0284145C" w14:textId="39691678" w:rsidR="004F377B" w:rsidRPr="002C1D36" w:rsidRDefault="00263753" w:rsidP="004F377B">
      <w:pPr>
        <w:pStyle w:val="NumberedHeading2"/>
      </w:pPr>
      <w:bookmarkStart w:id="63" w:name="_Toc88637564"/>
      <w:r>
        <w:lastRenderedPageBreak/>
        <w:t>What needs to change</w:t>
      </w:r>
      <w:bookmarkEnd w:id="63"/>
    </w:p>
    <w:p w14:paraId="200DAF1B" w14:textId="2C2EAEE9" w:rsidR="004F377B" w:rsidRDefault="004F377B" w:rsidP="004F377B">
      <w:pPr>
        <w:pStyle w:val="BodyText"/>
      </w:pPr>
      <w:r>
        <w:t xml:space="preserve">Question </w:t>
      </w:r>
      <w:r w:rsidR="000961C5" w:rsidRPr="00C0237A">
        <w:t>four</w:t>
      </w:r>
      <w:r w:rsidRPr="00C0237A">
        <w:t xml:space="preserve"> asked </w:t>
      </w:r>
      <w:r w:rsidR="00A02397">
        <w:t>stakeholde</w:t>
      </w:r>
      <w:r w:rsidR="00A02397" w:rsidRPr="00C0237A">
        <w:t xml:space="preserve">rs </w:t>
      </w:r>
      <w:r w:rsidR="00A02397">
        <w:t xml:space="preserve">if </w:t>
      </w:r>
      <w:r w:rsidRPr="00C0237A">
        <w:t>they had any comment</w:t>
      </w:r>
      <w:r w:rsidR="00A02397">
        <w:t>s</w:t>
      </w:r>
      <w:r w:rsidRPr="00C0237A">
        <w:t xml:space="preserve"> on ‘what needs to change’. </w:t>
      </w:r>
      <w:r w:rsidR="00983770" w:rsidRPr="00C0237A">
        <w:t>Thirty-nine</w:t>
      </w:r>
      <w:r w:rsidR="00697BF2" w:rsidRPr="00C0237A">
        <w:t xml:space="preserve"> submitters commented </w:t>
      </w:r>
      <w:r w:rsidR="00C0237A">
        <w:t>on question four,</w:t>
      </w:r>
      <w:r w:rsidR="008A0E85" w:rsidRPr="00C0237A">
        <w:t xml:space="preserve"> including</w:t>
      </w:r>
      <w:r w:rsidR="001F6717" w:rsidRPr="00C0237A">
        <w:t xml:space="preserve"> </w:t>
      </w:r>
      <w:r w:rsidR="004C3D00">
        <w:t xml:space="preserve">12 </w:t>
      </w:r>
      <w:r w:rsidR="00B874B4" w:rsidRPr="00C0237A">
        <w:t xml:space="preserve">service providers, </w:t>
      </w:r>
      <w:r w:rsidR="004C3D00">
        <w:t xml:space="preserve">12 </w:t>
      </w:r>
      <w:r w:rsidR="00E9601C" w:rsidRPr="00C0237A">
        <w:t xml:space="preserve">health and social service submitters, </w:t>
      </w:r>
      <w:r w:rsidR="004C3D00">
        <w:t xml:space="preserve">12 </w:t>
      </w:r>
      <w:r w:rsidR="00A61463" w:rsidRPr="00C0237A">
        <w:t>NCGM submitters, one</w:t>
      </w:r>
      <w:r w:rsidR="00C0237A">
        <w:t xml:space="preserve"> government </w:t>
      </w:r>
      <w:r w:rsidR="00A61463" w:rsidRPr="00C0237A">
        <w:t xml:space="preserve">submitter, one local </w:t>
      </w:r>
      <w:r w:rsidR="00C0237A">
        <w:t>g</w:t>
      </w:r>
      <w:r w:rsidR="00A61463" w:rsidRPr="00C0237A">
        <w:t>overnment submitter</w:t>
      </w:r>
      <w:r w:rsidR="00C56258" w:rsidRPr="00C0237A">
        <w:t>, and one gambling industry submitter.</w:t>
      </w:r>
      <w:r w:rsidR="008A0E85" w:rsidRPr="00C0237A">
        <w:rPr>
          <w:rStyle w:val="FootnoteReference"/>
        </w:rPr>
        <w:footnoteReference w:id="335"/>
      </w:r>
      <w:r w:rsidR="00166C7A">
        <w:t xml:space="preserve"> </w:t>
      </w:r>
    </w:p>
    <w:p w14:paraId="472F42FF" w14:textId="2C5FB446" w:rsidR="00716B87" w:rsidRDefault="00716B87" w:rsidP="004F377B">
      <w:pPr>
        <w:pStyle w:val="BodyText"/>
      </w:pPr>
      <w:r>
        <w:t>Comments on matters under ‘what needs to change’ included:</w:t>
      </w:r>
    </w:p>
    <w:p w14:paraId="7FC699C4" w14:textId="77777777" w:rsidR="00453FEB" w:rsidRDefault="00453FEB" w:rsidP="00453FEB">
      <w:pPr>
        <w:pStyle w:val="List-BulletLvl1"/>
      </w:pPr>
      <w:r>
        <w:t>removal of the silos in the addiction space</w:t>
      </w:r>
    </w:p>
    <w:p w14:paraId="2FC14E93" w14:textId="6A739924" w:rsidR="00716B87" w:rsidRDefault="00716B87" w:rsidP="00716B87">
      <w:pPr>
        <w:pStyle w:val="List-BulletLvl1"/>
      </w:pPr>
      <w:r>
        <w:t>better access to and sharing of information</w:t>
      </w:r>
    </w:p>
    <w:p w14:paraId="3C351398" w14:textId="1DD0EB19" w:rsidR="00716B87" w:rsidRDefault="00466055" w:rsidP="00716B87">
      <w:pPr>
        <w:pStyle w:val="List-BulletLvl1"/>
      </w:pPr>
      <w:r>
        <w:t>the need for more research on gambling harm</w:t>
      </w:r>
      <w:r w:rsidR="004A4686">
        <w:t xml:space="preserve"> and more effective use of evidence</w:t>
      </w:r>
    </w:p>
    <w:p w14:paraId="54B9C562" w14:textId="129958D3" w:rsidR="00466055" w:rsidRDefault="00466055" w:rsidP="00716B87">
      <w:pPr>
        <w:pStyle w:val="List-BulletLvl1"/>
      </w:pPr>
      <w:r>
        <w:t xml:space="preserve">the need for more education </w:t>
      </w:r>
    </w:p>
    <w:p w14:paraId="3906FD7C" w14:textId="221EF07D" w:rsidR="00466055" w:rsidRDefault="00FF6A7C" w:rsidP="00716B87">
      <w:pPr>
        <w:pStyle w:val="List-BulletLvl1"/>
      </w:pPr>
      <w:r>
        <w:t>more of a focus on de-stigmatisation</w:t>
      </w:r>
    </w:p>
    <w:p w14:paraId="51261F1C" w14:textId="2B0691C6" w:rsidR="00FF6A7C" w:rsidRDefault="00FF6A7C" w:rsidP="00716B87">
      <w:pPr>
        <w:pStyle w:val="List-BulletLvl1"/>
      </w:pPr>
      <w:r>
        <w:t>opportunities for co-design</w:t>
      </w:r>
    </w:p>
    <w:p w14:paraId="490A5A21" w14:textId="6BFECE5B" w:rsidR="00FF6A7C" w:rsidRDefault="00FF6A7C" w:rsidP="00716B87">
      <w:pPr>
        <w:pStyle w:val="List-BulletLvl1"/>
      </w:pPr>
      <w:r>
        <w:t>development of a peer support workforce</w:t>
      </w:r>
    </w:p>
    <w:p w14:paraId="6CFEA53E" w14:textId="7CD4D4BA" w:rsidR="00FF6A7C" w:rsidRDefault="00970B23" w:rsidP="00716B87">
      <w:pPr>
        <w:pStyle w:val="List-BulletLvl1"/>
      </w:pPr>
      <w:r>
        <w:t xml:space="preserve">stronger </w:t>
      </w:r>
      <w:r w:rsidR="00F563C7">
        <w:t>commitment</w:t>
      </w:r>
      <w:r>
        <w:t xml:space="preserve"> </w:t>
      </w:r>
      <w:r w:rsidR="00F563C7">
        <w:t>t</w:t>
      </w:r>
      <w:r>
        <w:t>o developing a skilled workforce</w:t>
      </w:r>
    </w:p>
    <w:p w14:paraId="362885C1" w14:textId="7DBADA9A" w:rsidR="00970B23" w:rsidRDefault="00D1192B" w:rsidP="00716B87">
      <w:pPr>
        <w:pStyle w:val="List-BulletLvl1"/>
      </w:pPr>
      <w:r>
        <w:t xml:space="preserve">express commitment to supporting </w:t>
      </w:r>
      <w:r w:rsidR="00616DE7">
        <w:t>priority populations</w:t>
      </w:r>
    </w:p>
    <w:p w14:paraId="3E26BDEA" w14:textId="3849E3FB" w:rsidR="0039711F" w:rsidRDefault="00616DE7" w:rsidP="004A4686">
      <w:pPr>
        <w:pStyle w:val="List-BulletLvl1"/>
      </w:pPr>
      <w:r>
        <w:t xml:space="preserve">introduction of targets for </w:t>
      </w:r>
      <w:r w:rsidR="00241541">
        <w:t>service providers</w:t>
      </w:r>
      <w:r w:rsidR="0039711F">
        <w:t xml:space="preserve">. </w:t>
      </w:r>
    </w:p>
    <w:p w14:paraId="6702AB42" w14:textId="16950A5D" w:rsidR="008124D9" w:rsidRPr="002D7377" w:rsidRDefault="008124D9" w:rsidP="008124D9">
      <w:pPr>
        <w:pStyle w:val="BodyText"/>
      </w:pPr>
      <w:r>
        <w:t>Note that much of what was discussed in answer to this question is repeated elsewhere in th</w:t>
      </w:r>
      <w:r w:rsidR="000F5AC8">
        <w:t xml:space="preserve">is document (e.g. research priorities, de-stigmatisation, silos). Content may be repeated here for completeness, and to ensure that all comments </w:t>
      </w:r>
      <w:r w:rsidR="008B15A6">
        <w:t>are</w:t>
      </w:r>
      <w:r w:rsidR="000F5AC8">
        <w:t xml:space="preserve"> fairly </w:t>
      </w:r>
      <w:r w:rsidR="008B15A6">
        <w:t xml:space="preserve">represented. </w:t>
      </w:r>
    </w:p>
    <w:p w14:paraId="480357F2" w14:textId="77777777" w:rsidR="004F377B" w:rsidRDefault="004F377B" w:rsidP="004F377B">
      <w:pPr>
        <w:pStyle w:val="BodyText"/>
      </w:pPr>
      <w:r>
        <w:lastRenderedPageBreak/>
        <w:t>One health and social services submitter strongly agreed with three changes listed in particular:</w:t>
      </w:r>
      <w:r>
        <w:rPr>
          <w:rStyle w:val="FootnoteReference"/>
        </w:rPr>
        <w:footnoteReference w:id="336"/>
      </w:r>
    </w:p>
    <w:p w14:paraId="4351A96E" w14:textId="6ACEAFDC" w:rsidR="004F377B" w:rsidRDefault="004F377B" w:rsidP="004F377B">
      <w:pPr>
        <w:pStyle w:val="List-BulletLvl1"/>
      </w:pPr>
      <w:r>
        <w:t>recogn</w:t>
      </w:r>
      <w:r w:rsidR="00C0237A">
        <w:t>ition of</w:t>
      </w:r>
      <w:r>
        <w:t xml:space="preserve"> specialist skills</w:t>
      </w:r>
    </w:p>
    <w:p w14:paraId="2EDDC045" w14:textId="72DE2484" w:rsidR="004F377B" w:rsidRDefault="00C0237A" w:rsidP="004F377B">
      <w:pPr>
        <w:pStyle w:val="List-BulletLvl1"/>
      </w:pPr>
      <w:r>
        <w:t xml:space="preserve">recognition that </w:t>
      </w:r>
      <w:r w:rsidR="004F377B">
        <w:t>the causes of harmful gambling are complex</w:t>
      </w:r>
    </w:p>
    <w:p w14:paraId="0C25F2B5" w14:textId="2962AE3D" w:rsidR="004F377B" w:rsidRPr="002D7377" w:rsidRDefault="00C0237A" w:rsidP="004F377B">
      <w:pPr>
        <w:pStyle w:val="List-BulletLvl1"/>
      </w:pPr>
      <w:r>
        <w:t xml:space="preserve">a commitment to </w:t>
      </w:r>
      <w:r w:rsidR="004F377B">
        <w:t xml:space="preserve">address gaps in the spectrum of services and supports that are currently provided. </w:t>
      </w:r>
    </w:p>
    <w:p w14:paraId="2C911B65" w14:textId="77777777" w:rsidR="00263753" w:rsidRDefault="00263753" w:rsidP="00263753">
      <w:pPr>
        <w:pStyle w:val="NumberedHeading3"/>
      </w:pPr>
      <w:bookmarkStart w:id="64" w:name="_Toc88637565"/>
      <w:r>
        <w:t>Submitters from all sectors wanted to see silos in the addiction space removed</w:t>
      </w:r>
      <w:bookmarkEnd w:id="64"/>
    </w:p>
    <w:p w14:paraId="55D4B31A" w14:textId="032404D4" w:rsidR="00263753" w:rsidRDefault="00263753" w:rsidP="00263753">
      <w:pPr>
        <w:pStyle w:val="BodyText"/>
      </w:pPr>
      <w:r>
        <w:t xml:space="preserve">NCGM submitters and health and social services submitters expressed strong support for a move away from dedicated gambling and </w:t>
      </w:r>
      <w:r w:rsidR="00AC4A71">
        <w:t xml:space="preserve">towards </w:t>
      </w:r>
      <w:r>
        <w:t xml:space="preserve">addressing of comorbidities. </w:t>
      </w:r>
    </w:p>
    <w:p w14:paraId="5BE7DC3D" w14:textId="77777777" w:rsidR="00263753" w:rsidRDefault="00263753" w:rsidP="00263753">
      <w:pPr>
        <w:pStyle w:val="BodyText"/>
      </w:pPr>
      <w:r>
        <w:t>NCGM submitters strongly supported the consolidation of gambling-related work with other comorbidity issues such as alcohol harm, mental health and budgeting needs, and commented:</w:t>
      </w:r>
    </w:p>
    <w:p w14:paraId="68F8EA4C" w14:textId="77777777" w:rsidR="00263753" w:rsidRDefault="00263753" w:rsidP="00263753">
      <w:pPr>
        <w:pStyle w:val="List-BulletLvl1"/>
      </w:pPr>
      <w:r>
        <w:t>a treatment service that can only deal with one addiction, when comorbidity is so common, is not fit for purpose</w:t>
      </w:r>
      <w:r>
        <w:rPr>
          <w:rStyle w:val="FootnoteReference"/>
        </w:rPr>
        <w:footnoteReference w:id="337"/>
      </w:r>
    </w:p>
    <w:p w14:paraId="30415328" w14:textId="77777777" w:rsidR="00263753" w:rsidRDefault="00263753" w:rsidP="00263753">
      <w:pPr>
        <w:pStyle w:val="List-BulletLvl1"/>
      </w:pPr>
      <w:r>
        <w:t>consolidation of services would provider better outcomes for people with comorbidities, and is also more efficient</w:t>
      </w:r>
      <w:r>
        <w:rPr>
          <w:rStyle w:val="FootnoteReference"/>
        </w:rPr>
        <w:footnoteReference w:id="338"/>
      </w:r>
    </w:p>
    <w:p w14:paraId="551FEE6F" w14:textId="77777777" w:rsidR="00263753" w:rsidRDefault="00263753" w:rsidP="00263753">
      <w:pPr>
        <w:pStyle w:val="List-BulletLvl1"/>
      </w:pPr>
      <w:r>
        <w:t>the problem gambling levy should only fund gambling-related counselling and support, however, the Ministry could develop a fair and workable system which monitors the treatment provided and part-funds a consolidated service in proportion to the gambling work undertaken (legislative change is not required)</w:t>
      </w:r>
      <w:r>
        <w:rPr>
          <w:rStyle w:val="FootnoteReference"/>
        </w:rPr>
        <w:footnoteReference w:id="339"/>
      </w:r>
    </w:p>
    <w:p w14:paraId="450B0E69" w14:textId="77777777" w:rsidR="00263753" w:rsidRDefault="00263753" w:rsidP="00263753">
      <w:pPr>
        <w:pStyle w:val="List-BulletLvl1"/>
      </w:pPr>
      <w:r>
        <w:t>there should be a move away from a technical approach to funding, to an outcome-focused approach</w:t>
      </w:r>
      <w:r>
        <w:rPr>
          <w:rStyle w:val="FootnoteReference"/>
        </w:rPr>
        <w:footnoteReference w:id="340"/>
      </w:r>
    </w:p>
    <w:p w14:paraId="5434B62C" w14:textId="77777777" w:rsidR="00263753" w:rsidRDefault="00263753" w:rsidP="00263753">
      <w:pPr>
        <w:pStyle w:val="List-BulletLvl1"/>
      </w:pPr>
      <w:r>
        <w:t>treatment contracts should be awarded to agencies that can address a range of addictions, with funding allocations made on the basis of a client’s addictions</w:t>
      </w:r>
      <w:r>
        <w:rPr>
          <w:rStyle w:val="FootnoteReference"/>
        </w:rPr>
        <w:footnoteReference w:id="341"/>
      </w:r>
    </w:p>
    <w:p w14:paraId="053DA2A2" w14:textId="77777777" w:rsidR="00263753" w:rsidRDefault="00263753" w:rsidP="00263753">
      <w:pPr>
        <w:pStyle w:val="List-BulletLvl1"/>
      </w:pPr>
      <w:r>
        <w:t>gambling treatment that is currently provided is not a comprehensive, wraparound service, and is largely unavailable for people with work commitments or childcare obligations (no face-to-face services available after hours or for clients who live outside major cities)</w:t>
      </w:r>
      <w:r>
        <w:rPr>
          <w:rStyle w:val="FootnoteReference"/>
        </w:rPr>
        <w:footnoteReference w:id="342"/>
      </w:r>
    </w:p>
    <w:p w14:paraId="2894E2DD" w14:textId="77777777" w:rsidR="00263753" w:rsidRDefault="00263753" w:rsidP="00263753">
      <w:pPr>
        <w:pStyle w:val="List-BulletLvl1"/>
      </w:pPr>
      <w:r>
        <w:t>contracts with existing gambling-only treatment providers need to be wound down, and new contracts entered into with mental health and general addiction services that are able to provide a full range of support, including gambling addiction treatment</w:t>
      </w:r>
      <w:r>
        <w:rPr>
          <w:rStyle w:val="FootnoteReference"/>
        </w:rPr>
        <w:footnoteReference w:id="343"/>
      </w:r>
    </w:p>
    <w:p w14:paraId="72D01318" w14:textId="77777777" w:rsidR="00263753" w:rsidRDefault="00263753" w:rsidP="00263753">
      <w:pPr>
        <w:pStyle w:val="List-BulletLvl1"/>
      </w:pPr>
      <w:r>
        <w:t>consolidation would also enable smaller regions to have gambling services (as part of a range of services available), and eliminate some of the barriers to accessing treatment</w:t>
      </w:r>
      <w:r>
        <w:rPr>
          <w:rStyle w:val="FootnoteReference"/>
        </w:rPr>
        <w:footnoteReference w:id="344"/>
      </w:r>
    </w:p>
    <w:p w14:paraId="3379859E" w14:textId="77777777" w:rsidR="00263753" w:rsidRDefault="00263753" w:rsidP="00263753">
      <w:pPr>
        <w:pStyle w:val="List-BulletLvl1"/>
      </w:pPr>
      <w:r>
        <w:lastRenderedPageBreak/>
        <w:t>moving away from the silo system will also reduce the relapse rate, as comorbidities will be treated as well.</w:t>
      </w:r>
      <w:r>
        <w:rPr>
          <w:rStyle w:val="FootnoteReference"/>
        </w:rPr>
        <w:footnoteReference w:id="345"/>
      </w:r>
      <w:r>
        <w:t xml:space="preserve"> </w:t>
      </w:r>
    </w:p>
    <w:p w14:paraId="5807C8A7" w14:textId="77777777" w:rsidR="00263753" w:rsidRDefault="00263753" w:rsidP="00263753">
      <w:pPr>
        <w:pStyle w:val="BodyText"/>
      </w:pPr>
      <w:r>
        <w:t>In addition, one health and social services submitter commented that silos need to be broken down and integrated care provided to give clients holistic care.</w:t>
      </w:r>
      <w:r>
        <w:rPr>
          <w:rStyle w:val="FootnoteReference"/>
        </w:rPr>
        <w:footnoteReference w:id="346"/>
      </w:r>
    </w:p>
    <w:p w14:paraId="3DA988BB" w14:textId="29775A3D" w:rsidR="00263753" w:rsidRDefault="00263753" w:rsidP="00263753">
      <w:pPr>
        <w:pStyle w:val="BodyText"/>
      </w:pPr>
      <w:r>
        <w:t>Service providers took a different approach to consolidation, commenting that social determinants of health such as employment, education or housing are also important factors to consider when developing an effective strategy to eliminate gambling - the collective nature of public health activities is crucial to success.</w:t>
      </w:r>
      <w:r>
        <w:rPr>
          <w:rStyle w:val="FootnoteReference"/>
        </w:rPr>
        <w:footnoteReference w:id="347"/>
      </w:r>
      <w:r>
        <w:t xml:space="preserve"> One service provider commented that an important reason that the current health system is fragmented is that there is no cooperation between different providers and DHBs. Breaking down silos and ensuring worker participation will require culture shift towards cooperation and away from competition in the health system.</w:t>
      </w:r>
      <w:r>
        <w:rPr>
          <w:rStyle w:val="FootnoteReference"/>
        </w:rPr>
        <w:footnoteReference w:id="348"/>
      </w:r>
      <w:r>
        <w:t xml:space="preserve"> </w:t>
      </w:r>
    </w:p>
    <w:p w14:paraId="2BEF5483" w14:textId="62CDAB94" w:rsidR="00263753" w:rsidRDefault="00263753" w:rsidP="00263753">
      <w:pPr>
        <w:pStyle w:val="BodyText"/>
      </w:pPr>
      <w:r>
        <w:t>One health and social services submitter commented that responses to gambling harm should be coordinated across government, particularly across the mental health and addiction sector, child and youth well-being and family violence sectors.</w:t>
      </w:r>
      <w:r>
        <w:rPr>
          <w:rStyle w:val="FootnoteReference"/>
        </w:rPr>
        <w:footnoteReference w:id="349"/>
      </w:r>
      <w:r>
        <w:t xml:space="preserve"> If equity is a key goal, then the lack of consideration for intersectionality is a concern - clear acknowledgement and complexities should be important, as gambling is often present alongside mental health problems, alcohol and drug abuse and/or family violence.</w:t>
      </w:r>
      <w:r>
        <w:rPr>
          <w:rStyle w:val="FootnoteReference"/>
        </w:rPr>
        <w:footnoteReference w:id="350"/>
      </w:r>
      <w:r w:rsidRPr="0046056E">
        <w:t xml:space="preserve"> </w:t>
      </w:r>
      <w:r>
        <w:t>One health and social services submitter commented that greater action is needed to address the co-occurrence of gambling behaviour and use of alcohol and other drugs.</w:t>
      </w:r>
      <w:r>
        <w:rPr>
          <w:rStyle w:val="FootnoteReference"/>
        </w:rPr>
        <w:footnoteReference w:id="351"/>
      </w:r>
      <w:r>
        <w:t xml:space="preserve"> </w:t>
      </w:r>
    </w:p>
    <w:p w14:paraId="1789F29E" w14:textId="77777777" w:rsidR="00263753" w:rsidRDefault="00263753" w:rsidP="00263753">
      <w:pPr>
        <w:pStyle w:val="BodyText"/>
      </w:pPr>
      <w:r>
        <w:t>One health and social services submitter commented that the key shifts could be strengthened by adopting a life course approach and acknowledging that gambling harm inequities do not exist within a vacuum - communities, whānau and individuals that experience gambling harm often also experience poor health outcomes in other areas and greater inequities related to the broader social determinants of health.</w:t>
      </w:r>
      <w:r>
        <w:rPr>
          <w:rStyle w:val="FootnoteReference"/>
        </w:rPr>
        <w:footnoteReference w:id="352"/>
      </w:r>
      <w:r>
        <w:t xml:space="preserve"> </w:t>
      </w:r>
    </w:p>
    <w:p w14:paraId="222D66C0" w14:textId="073C294E" w:rsidR="00263753" w:rsidRDefault="00263753" w:rsidP="00263753">
      <w:pPr>
        <w:pStyle w:val="BodyText"/>
      </w:pPr>
      <w:r>
        <w:t xml:space="preserve">One health and social services submitter commented that there is little in the strategy that </w:t>
      </w:r>
      <w:r w:rsidR="000F4F82">
        <w:t xml:space="preserve">addresses </w:t>
      </w:r>
      <w:r>
        <w:t>the intersectionality of gambling and alcohol and other drugs.</w:t>
      </w:r>
      <w:r>
        <w:rPr>
          <w:rStyle w:val="FootnoteReference"/>
        </w:rPr>
        <w:footnoteReference w:id="353"/>
      </w:r>
      <w:r>
        <w:t xml:space="preserve"> Interventions need to understand addiction, mental health and substance use, and social determinants of health as contributing drivers to these health outcomes.</w:t>
      </w:r>
      <w:r>
        <w:rPr>
          <w:rStyle w:val="FootnoteReference"/>
        </w:rPr>
        <w:footnoteReference w:id="354"/>
      </w:r>
    </w:p>
    <w:p w14:paraId="42CB94F0" w14:textId="77777777" w:rsidR="00263753" w:rsidRDefault="00263753" w:rsidP="00263753">
      <w:pPr>
        <w:pStyle w:val="BodyText"/>
      </w:pPr>
      <w:r>
        <w:t>One government submitter commented that the levy should be directed more holistically to address harms that result from gambling addictions and recommended that contracts for clinical interventions be adequately flexible to treat the whole person holistically.</w:t>
      </w:r>
      <w:r>
        <w:rPr>
          <w:rStyle w:val="FootnoteReference"/>
        </w:rPr>
        <w:footnoteReference w:id="355"/>
      </w:r>
      <w:r>
        <w:t xml:space="preserve"> </w:t>
      </w:r>
    </w:p>
    <w:p w14:paraId="26DCC2DA" w14:textId="77777777" w:rsidR="004F377B" w:rsidRDefault="004F377B" w:rsidP="004F377B">
      <w:pPr>
        <w:pStyle w:val="NumberedHeading3"/>
      </w:pPr>
      <w:bookmarkStart w:id="65" w:name="_Toc88637566"/>
      <w:r>
        <w:lastRenderedPageBreak/>
        <w:t>Service providers wanted to see better access to and sharing of information</w:t>
      </w:r>
      <w:bookmarkEnd w:id="65"/>
    </w:p>
    <w:p w14:paraId="7E2BE867" w14:textId="37335C7D" w:rsidR="004F377B" w:rsidRDefault="004F377B" w:rsidP="004F377B">
      <w:pPr>
        <w:pStyle w:val="BodyText"/>
      </w:pPr>
      <w:r>
        <w:t>Two service providers agreed that there should be more active and timely sharing of information and evidence from research and evaluations to gain maximum utility from the evidence and noted that in the past most research has not been widely disseminated or used.</w:t>
      </w:r>
      <w:r>
        <w:rPr>
          <w:rStyle w:val="FootnoteReference"/>
        </w:rPr>
        <w:footnoteReference w:id="356"/>
      </w:r>
    </w:p>
    <w:p w14:paraId="757FB4FF" w14:textId="68D04DCF" w:rsidR="004F377B" w:rsidRDefault="004F377B" w:rsidP="004F377B">
      <w:pPr>
        <w:pStyle w:val="BodyText"/>
      </w:pPr>
      <w:r>
        <w:t>A service provider considered that the wider workforce needs to have access to information about specialised organisations such as the Problem Gambling Foundation</w:t>
      </w:r>
      <w:r w:rsidR="000F4F82">
        <w:t>,</w:t>
      </w:r>
      <w:r>
        <w:t xml:space="preserve"> to refer gamblers and their families to for information and advice.</w:t>
      </w:r>
      <w:r>
        <w:rPr>
          <w:rStyle w:val="FootnoteReference"/>
        </w:rPr>
        <w:footnoteReference w:id="357"/>
      </w:r>
    </w:p>
    <w:p w14:paraId="3F4F84F6" w14:textId="54A864D8" w:rsidR="004F377B" w:rsidRDefault="004F377B" w:rsidP="004F377B">
      <w:pPr>
        <w:pStyle w:val="NumberedHeading3"/>
      </w:pPr>
      <w:bookmarkStart w:id="66" w:name="_Toc88637567"/>
      <w:r>
        <w:t>Submitters want</w:t>
      </w:r>
      <w:r w:rsidR="00453FEB">
        <w:t>ed</w:t>
      </w:r>
      <w:r>
        <w:t xml:space="preserve"> to see more research</w:t>
      </w:r>
      <w:bookmarkEnd w:id="66"/>
    </w:p>
    <w:p w14:paraId="68ACA19D" w14:textId="28BFE4B2" w:rsidR="004F377B" w:rsidRDefault="004F377B" w:rsidP="004F377B">
      <w:pPr>
        <w:pStyle w:val="BodyText"/>
      </w:pPr>
      <w:r>
        <w:t>One service provider wondered why ongoing research and evaluation would only be ‘encouraged’ and considered that it should be mandated and funded.</w:t>
      </w:r>
      <w:r>
        <w:rPr>
          <w:rStyle w:val="FootnoteReference"/>
        </w:rPr>
        <w:footnoteReference w:id="358"/>
      </w:r>
      <w:r>
        <w:t xml:space="preserve"> Another service provider commented that there needs to be more research and education around the dangers of gaming in relation to gambling. One health and social services submitter supported the continued investment</w:t>
      </w:r>
      <w:r w:rsidR="000F4F82">
        <w:t xml:space="preserve"> of</w:t>
      </w:r>
      <w:r>
        <w:t xml:space="preserve"> a health promotion programme to raise awareness and educate people about harmful gambling</w:t>
      </w:r>
      <w:r w:rsidR="00EF37AA">
        <w:t xml:space="preserve"> </w:t>
      </w:r>
      <w:r>
        <w:t>- further investment could lift the profile of this messaging.</w:t>
      </w:r>
      <w:r>
        <w:rPr>
          <w:rStyle w:val="FootnoteReference"/>
        </w:rPr>
        <w:footnoteReference w:id="359"/>
      </w:r>
      <w:r>
        <w:t xml:space="preserve"> </w:t>
      </w:r>
    </w:p>
    <w:p w14:paraId="3A89AA8A" w14:textId="5B5BAB23" w:rsidR="008124D9" w:rsidRPr="00AA068B" w:rsidRDefault="008124D9" w:rsidP="008124D9">
      <w:pPr>
        <w:pStyle w:val="BodyText"/>
      </w:pPr>
      <w:r>
        <w:t>One health and social services submitter commented that one area where the Ministry has not ‘been responsive’ is advocating for a national policy on the location and density of NCGMs.</w:t>
      </w:r>
      <w:r>
        <w:rPr>
          <w:rStyle w:val="FootnoteReference"/>
        </w:rPr>
        <w:footnoteReference w:id="360"/>
      </w:r>
      <w:r>
        <w:t xml:space="preserve"> The submitter noted that consideration should be given to national management of NCGM</w:t>
      </w:r>
      <w:r w:rsidR="000F4F82">
        <w:t>s</w:t>
      </w:r>
      <w:r>
        <w:t xml:space="preserve"> so that there is more national consistency and an overall decrease in NCGMs.</w:t>
      </w:r>
      <w:r>
        <w:rPr>
          <w:rStyle w:val="FootnoteReference"/>
        </w:rPr>
        <w:footnoteReference w:id="361"/>
      </w:r>
      <w:r>
        <w:t xml:space="preserve"> </w:t>
      </w:r>
    </w:p>
    <w:p w14:paraId="4E604E2B" w14:textId="77777777" w:rsidR="008124D9" w:rsidRPr="00AA068B" w:rsidRDefault="008124D9" w:rsidP="008124D9">
      <w:pPr>
        <w:pStyle w:val="BodyText"/>
      </w:pPr>
      <w:r>
        <w:t>One service provider agreed with the greater use of evidence to target investment decisions but noted that it is important that evidence is independently obtained and robust.</w:t>
      </w:r>
      <w:r>
        <w:rPr>
          <w:rStyle w:val="FootnoteReference"/>
        </w:rPr>
        <w:footnoteReference w:id="362"/>
      </w:r>
      <w:r>
        <w:t xml:space="preserve"> </w:t>
      </w:r>
    </w:p>
    <w:p w14:paraId="2223287C" w14:textId="331B03C6" w:rsidR="004F377B" w:rsidRDefault="004F377B" w:rsidP="004F377B">
      <w:pPr>
        <w:pStyle w:val="NumberedHeading3"/>
      </w:pPr>
      <w:bookmarkStart w:id="67" w:name="_Toc88637568"/>
      <w:r>
        <w:t>Health and social services</w:t>
      </w:r>
      <w:r w:rsidR="00CE7551">
        <w:t xml:space="preserve"> submitters</w:t>
      </w:r>
      <w:r>
        <w:t xml:space="preserve"> and gambling industry submitters wanted to see more of a focus on de-stigmatisation</w:t>
      </w:r>
      <w:bookmarkEnd w:id="67"/>
    </w:p>
    <w:p w14:paraId="39D4E1AF" w14:textId="2A095554" w:rsidR="004F377B" w:rsidRDefault="004F377B" w:rsidP="004F377B">
      <w:pPr>
        <w:pStyle w:val="BodyText"/>
      </w:pPr>
      <w:r>
        <w:t>One health and social services submitter commented that including gambling as an addiction issue is imperative, as treating i</w:t>
      </w:r>
      <w:r w:rsidR="00C94B2D">
        <w:t>t</w:t>
      </w:r>
      <w:r>
        <w:t xml:space="preserve"> separately has been shown to be unsuccessful.</w:t>
      </w:r>
      <w:r>
        <w:rPr>
          <w:rStyle w:val="FootnoteReference"/>
        </w:rPr>
        <w:footnoteReference w:id="363"/>
      </w:r>
      <w:r>
        <w:t xml:space="preserve"> One health and social services</w:t>
      </w:r>
      <w:r w:rsidR="002668F3">
        <w:t xml:space="preserve"> </w:t>
      </w:r>
      <w:r w:rsidR="00CE7551">
        <w:t>submitter</w:t>
      </w:r>
      <w:r>
        <w:t xml:space="preserve"> agreed with the focus on de-stigmatisation</w:t>
      </w:r>
      <w:r>
        <w:rPr>
          <w:rStyle w:val="FootnoteReference"/>
        </w:rPr>
        <w:footnoteReference w:id="364"/>
      </w:r>
      <w:r>
        <w:t xml:space="preserve"> and another supported a clear focus on reducing stigma related to gambling and gambling harm, as well as a shift towards co</w:t>
      </w:r>
      <w:r w:rsidR="006302EA">
        <w:t>-</w:t>
      </w:r>
      <w:r>
        <w:t>design and putting communities at the centre.</w:t>
      </w:r>
      <w:r>
        <w:rPr>
          <w:rStyle w:val="FootnoteReference"/>
        </w:rPr>
        <w:footnoteReference w:id="365"/>
      </w:r>
      <w:r>
        <w:t xml:space="preserve"> However, one of these submitters noted that there are other barriers (other than stigma) which also need to be understood. </w:t>
      </w:r>
      <w:r>
        <w:rPr>
          <w:rStyle w:val="FootnoteReference"/>
        </w:rPr>
        <w:footnoteReference w:id="366"/>
      </w:r>
    </w:p>
    <w:p w14:paraId="36E2B8BD" w14:textId="575F4419" w:rsidR="004F377B" w:rsidRDefault="004F377B" w:rsidP="004F377B">
      <w:pPr>
        <w:pStyle w:val="BodyText"/>
      </w:pPr>
      <w:r>
        <w:t>One gambling industry submitter considered that further consideration needs to be given to the effect that stigmatisation of general gambling harm participation has on the resulting stigma associated with gambling harm.</w:t>
      </w:r>
      <w:r>
        <w:rPr>
          <w:rStyle w:val="FootnoteReference"/>
        </w:rPr>
        <w:footnoteReference w:id="367"/>
      </w:r>
      <w:r>
        <w:t xml:space="preserve"> This submitter considered that initiatives which may have the </w:t>
      </w:r>
      <w:r>
        <w:lastRenderedPageBreak/>
        <w:t xml:space="preserve">effect of creating general gambling stigmatisation should be avoided, and that </w:t>
      </w:r>
      <w:r w:rsidR="00C94B2D">
        <w:t>‘</w:t>
      </w:r>
      <w:r>
        <w:t>consideration should be given as to how this is positioned</w:t>
      </w:r>
      <w:r w:rsidR="00C94B2D">
        <w:t>’</w:t>
      </w:r>
      <w:r>
        <w:t xml:space="preserve"> throughout the strategy.</w:t>
      </w:r>
      <w:r>
        <w:rPr>
          <w:rStyle w:val="FootnoteReference"/>
        </w:rPr>
        <w:footnoteReference w:id="368"/>
      </w:r>
      <w:r>
        <w:t xml:space="preserve"> </w:t>
      </w:r>
    </w:p>
    <w:p w14:paraId="32D5ED0C" w14:textId="7CC45323" w:rsidR="004F377B" w:rsidRDefault="004F377B" w:rsidP="004F377B">
      <w:pPr>
        <w:pStyle w:val="BodyText"/>
      </w:pPr>
      <w:r>
        <w:t>One NCGM submitter agreed with the focus on de-stigmatisation, but that by limiting the focus of de-stigmatisation to the level of the individual, no further progress will be made in achieving the objective to connect people with problem gambling issues to service providers.</w:t>
      </w:r>
      <w:r>
        <w:rPr>
          <w:rStyle w:val="FootnoteReference"/>
        </w:rPr>
        <w:footnoteReference w:id="369"/>
      </w:r>
    </w:p>
    <w:p w14:paraId="53F3BCA6" w14:textId="78B340CF" w:rsidR="004F377B" w:rsidRDefault="004F377B" w:rsidP="004F377B">
      <w:pPr>
        <w:pStyle w:val="NumberedHeading3"/>
      </w:pPr>
      <w:bookmarkStart w:id="68" w:name="_Toc88637569"/>
      <w:r>
        <w:t>Service providers highlight</w:t>
      </w:r>
      <w:r w:rsidR="000227BC">
        <w:t>ed</w:t>
      </w:r>
      <w:r>
        <w:t xml:space="preserve"> opportunities for co-design</w:t>
      </w:r>
      <w:bookmarkEnd w:id="68"/>
    </w:p>
    <w:p w14:paraId="48991D99" w14:textId="11B35599" w:rsidR="004F377B" w:rsidRDefault="004F377B" w:rsidP="004F377B">
      <w:pPr>
        <w:pStyle w:val="BodyText"/>
      </w:pPr>
      <w:r>
        <w:t>One service provider commented that more effective collaboration across the services is required, and that online gambling self-help and support tools should be co</w:t>
      </w:r>
      <w:r w:rsidR="006302EA">
        <w:t>-</w:t>
      </w:r>
      <w:r>
        <w:t>designed and available within PMGH services.</w:t>
      </w:r>
      <w:r>
        <w:rPr>
          <w:rStyle w:val="FootnoteReference"/>
        </w:rPr>
        <w:footnoteReference w:id="370"/>
      </w:r>
      <w:r>
        <w:t xml:space="preserve"> Another service provider strongly supported the inclusion of the workforce</w:t>
      </w:r>
      <w:r w:rsidR="000C68A6">
        <w:t xml:space="preserve"> </w:t>
      </w:r>
      <w:r>
        <w:t xml:space="preserve">and emphasised that it is crucial to highlight </w:t>
      </w:r>
      <w:r w:rsidR="000C68A6">
        <w:t>that people who gamble</w:t>
      </w:r>
      <w:r>
        <w:t>, family</w:t>
      </w:r>
      <w:r w:rsidR="000C68A6">
        <w:t>,</w:t>
      </w:r>
      <w:r>
        <w:t xml:space="preserve"> and whānau and the workforce are at the centre of any activity that intends to protect against, prevent and eliminate problem gambling.</w:t>
      </w:r>
      <w:r>
        <w:rPr>
          <w:rStyle w:val="FootnoteReference"/>
        </w:rPr>
        <w:footnoteReference w:id="371"/>
      </w:r>
    </w:p>
    <w:p w14:paraId="351142A3" w14:textId="71A2AFD5" w:rsidR="004F377B" w:rsidRDefault="004F377B" w:rsidP="004F377B">
      <w:pPr>
        <w:pStyle w:val="BodyText"/>
      </w:pPr>
      <w:r>
        <w:t>One service provider commented that Māori solutions should have “the same rigour as other ‘pilots’” and that it should be ensured that Māori providers have the freedom to design solutions that work for whānau.</w:t>
      </w:r>
      <w:r>
        <w:rPr>
          <w:rStyle w:val="FootnoteReference"/>
        </w:rPr>
        <w:footnoteReference w:id="372"/>
      </w:r>
    </w:p>
    <w:p w14:paraId="723628B3" w14:textId="77777777" w:rsidR="004F377B" w:rsidRDefault="004F377B" w:rsidP="004F377B">
      <w:pPr>
        <w:pStyle w:val="BodyText"/>
      </w:pPr>
      <w:r>
        <w:t>One service provider commented that creating conditions for community and clinical workers to work more effectively together should involve them all having a collective voice in designing services, ideally across sectors and institutions.</w:t>
      </w:r>
      <w:r>
        <w:rPr>
          <w:rStyle w:val="FootnoteReference"/>
        </w:rPr>
        <w:footnoteReference w:id="373"/>
      </w:r>
      <w:r>
        <w:t xml:space="preserve"> </w:t>
      </w:r>
    </w:p>
    <w:p w14:paraId="65CA11BF" w14:textId="77118AE1" w:rsidR="004F377B" w:rsidRDefault="000227BC" w:rsidP="004F377B">
      <w:pPr>
        <w:pStyle w:val="NumberedHeading3"/>
      </w:pPr>
      <w:bookmarkStart w:id="69" w:name="_Toc88637570"/>
      <w:r>
        <w:t>Submitters supported the d</w:t>
      </w:r>
      <w:r w:rsidR="004F377B">
        <w:t>evelopment of a peer support workforce</w:t>
      </w:r>
      <w:bookmarkEnd w:id="69"/>
    </w:p>
    <w:p w14:paraId="1417BECE" w14:textId="19F00013" w:rsidR="004F377B" w:rsidRDefault="004F377B" w:rsidP="004F377B">
      <w:pPr>
        <w:pStyle w:val="BodyText"/>
      </w:pPr>
      <w:r>
        <w:t>Submitters largely supported the shift to developing the workforce to include peer support</w:t>
      </w:r>
      <w:r w:rsidR="00392FFE">
        <w:t>:</w:t>
      </w:r>
    </w:p>
    <w:p w14:paraId="6DFFA652" w14:textId="1BC4F9DB" w:rsidR="004F377B" w:rsidRDefault="00392FFE" w:rsidP="004F377B">
      <w:pPr>
        <w:pStyle w:val="List-BulletLvl1"/>
      </w:pPr>
      <w:r>
        <w:t>o</w:t>
      </w:r>
      <w:r w:rsidR="004F377B">
        <w:t>ne service provider and one health and social services submitter supported expanding the gambling</w:t>
      </w:r>
      <w:r>
        <w:t xml:space="preserve"> </w:t>
      </w:r>
      <w:r w:rsidR="004F377B">
        <w:t>harm peer support workforce in clinical and public health services, and also urged the Ministry to include increasing the leadership of lived experience</w:t>
      </w:r>
      <w:r w:rsidR="004F377B">
        <w:rPr>
          <w:rStyle w:val="FootnoteReference"/>
        </w:rPr>
        <w:footnoteReference w:id="374"/>
      </w:r>
    </w:p>
    <w:p w14:paraId="039C8E8E" w14:textId="627375E6" w:rsidR="004F377B" w:rsidRDefault="00392FFE" w:rsidP="004F377B">
      <w:pPr>
        <w:pStyle w:val="List-BulletLvl1"/>
      </w:pPr>
      <w:r>
        <w:t>o</w:t>
      </w:r>
      <w:r w:rsidR="004F377B">
        <w:t xml:space="preserve">ne </w:t>
      </w:r>
      <w:r w:rsidR="0010605C">
        <w:t>l</w:t>
      </w:r>
      <w:r w:rsidR="004F377B">
        <w:t xml:space="preserve">ocal </w:t>
      </w:r>
      <w:r w:rsidR="0010605C">
        <w:t>g</w:t>
      </w:r>
      <w:r w:rsidR="004F377B">
        <w:t xml:space="preserve">overnment </w:t>
      </w:r>
      <w:r w:rsidR="003A6A58">
        <w:t xml:space="preserve">submitter </w:t>
      </w:r>
      <w:r w:rsidR="004F377B">
        <w:t>and one health and social services submitter supported the strategic shift to developing the workforce to include peer support from those with lived experience of gambling harm</w:t>
      </w:r>
      <w:r w:rsidR="004F377B">
        <w:rPr>
          <w:rStyle w:val="FootnoteReference"/>
        </w:rPr>
        <w:footnoteReference w:id="375"/>
      </w:r>
    </w:p>
    <w:p w14:paraId="28158D51" w14:textId="25D7DE09" w:rsidR="004F377B" w:rsidRDefault="00392FFE" w:rsidP="004F377B">
      <w:pPr>
        <w:pStyle w:val="List-BulletLvl1"/>
      </w:pPr>
      <w:r>
        <w:t>o</w:t>
      </w:r>
      <w:r w:rsidR="004F377B">
        <w:t>ne service provider welcomed the ability to utilise the available peer support research, which is seen as being able to assist with de-stigmatising the experience of gambling harm</w:t>
      </w:r>
      <w:r w:rsidR="004F377B">
        <w:rPr>
          <w:rStyle w:val="FootnoteReference"/>
        </w:rPr>
        <w:footnoteReference w:id="376"/>
      </w:r>
    </w:p>
    <w:p w14:paraId="5DDB2AF3" w14:textId="40C4A924" w:rsidR="004F377B" w:rsidRDefault="00392FFE" w:rsidP="004F377B">
      <w:pPr>
        <w:pStyle w:val="List-BulletLvl1"/>
      </w:pPr>
      <w:r>
        <w:t>o</w:t>
      </w:r>
      <w:r w:rsidR="004F377B">
        <w:t xml:space="preserve">ne service provider considered that the peer support workforce should be a key focus and should be linked to the proposed scholarship programme - people with </w:t>
      </w:r>
      <w:r w:rsidR="004F377B">
        <w:lastRenderedPageBreak/>
        <w:t>lived experience should be trained and mentored to become leaders in their own communities</w:t>
      </w:r>
      <w:r w:rsidR="004F377B">
        <w:rPr>
          <w:rStyle w:val="FootnoteReference"/>
        </w:rPr>
        <w:footnoteReference w:id="377"/>
      </w:r>
    </w:p>
    <w:p w14:paraId="3C0B93E7" w14:textId="4574DF99" w:rsidR="004F377B" w:rsidRDefault="00C03A6E" w:rsidP="004F377B">
      <w:pPr>
        <w:pStyle w:val="List-BulletLvl1"/>
      </w:pPr>
      <w:r>
        <w:t>o</w:t>
      </w:r>
      <w:r w:rsidR="004F377B">
        <w:t>ne service provider recommended that the development of a lived experience workforce include support for PMGH services to build both consumer advisor and peer worker capacity</w:t>
      </w:r>
      <w:r w:rsidR="004F377B">
        <w:rPr>
          <w:rStyle w:val="FootnoteReference"/>
        </w:rPr>
        <w:footnoteReference w:id="378"/>
      </w:r>
    </w:p>
    <w:p w14:paraId="2335E6C7" w14:textId="5B496884" w:rsidR="004F377B" w:rsidRDefault="00C03A6E" w:rsidP="004F377B">
      <w:pPr>
        <w:pStyle w:val="List-BulletLvl1"/>
      </w:pPr>
      <w:r>
        <w:t>o</w:t>
      </w:r>
      <w:r w:rsidR="004F377B">
        <w:t xml:space="preserve">ne service provider supported funding the Lived Experience Advisory Group to improve lived experience input into Ministry decision-making, </w:t>
      </w:r>
      <w:r w:rsidR="003B7295">
        <w:t>b</w:t>
      </w:r>
      <w:r w:rsidR="004F377B">
        <w:t>ut suggested that further funding be provided to PMGH services to build capacity within existing services to use potential lived experience</w:t>
      </w:r>
      <w:r w:rsidR="004F377B">
        <w:rPr>
          <w:rStyle w:val="FootnoteReference"/>
        </w:rPr>
        <w:footnoteReference w:id="379"/>
      </w:r>
    </w:p>
    <w:p w14:paraId="65E31C4F" w14:textId="431B2FA3" w:rsidR="004F377B" w:rsidRDefault="003B7295" w:rsidP="004F377B">
      <w:pPr>
        <w:pStyle w:val="List-BulletLvl1"/>
      </w:pPr>
      <w:r>
        <w:t>o</w:t>
      </w:r>
      <w:r w:rsidR="004F377B">
        <w:t xml:space="preserve">ne health and social services submitter advocated for the investment in the peer </w:t>
      </w:r>
      <w:r w:rsidR="000C68A6">
        <w:t>workforce:</w:t>
      </w:r>
      <w:r w:rsidR="004F377B">
        <w:t xml:space="preserve"> ideally ethnically balanced, with recognition of lived experience</w:t>
      </w:r>
      <w:r w:rsidR="004F377B">
        <w:rPr>
          <w:rStyle w:val="FootnoteReference"/>
        </w:rPr>
        <w:footnoteReference w:id="380"/>
      </w:r>
    </w:p>
    <w:p w14:paraId="54C1EF7F" w14:textId="606D6CC0" w:rsidR="004F377B" w:rsidRDefault="003B7295" w:rsidP="004F377B">
      <w:pPr>
        <w:pStyle w:val="List-BulletLvl1"/>
      </w:pPr>
      <w:r>
        <w:t>o</w:t>
      </w:r>
      <w:r w:rsidR="004F377B">
        <w:t>ne service provider commented that peer support is important, but there need to be specific raining modules for peer support workers, and professional supervision</w:t>
      </w:r>
      <w:r w:rsidR="004F377B">
        <w:rPr>
          <w:rStyle w:val="FootnoteReference"/>
        </w:rPr>
        <w:footnoteReference w:id="381"/>
      </w:r>
      <w:r w:rsidR="004F377B">
        <w:t xml:space="preserve"> </w:t>
      </w:r>
    </w:p>
    <w:p w14:paraId="2F0DAB16" w14:textId="217BA357" w:rsidR="004F377B" w:rsidRDefault="003B7295" w:rsidP="004F377B">
      <w:pPr>
        <w:pStyle w:val="List-BulletLvl1"/>
      </w:pPr>
      <w:r>
        <w:t>o</w:t>
      </w:r>
      <w:r w:rsidR="004F377B">
        <w:t>ne service provider noted that Pacific people</w:t>
      </w:r>
      <w:r w:rsidR="0010605C">
        <w:t>s</w:t>
      </w:r>
      <w:r w:rsidR="004F377B">
        <w:t xml:space="preserve"> need to be able to fully participate in decisions that determine solutions for Pacific populations- a concern for this submitter was the decision to give leadership for the Peer Support Pilot to a non-Pacific, non-Māori provider</w:t>
      </w:r>
      <w:r w:rsidR="004F377B">
        <w:rPr>
          <w:rStyle w:val="FootnoteReference"/>
        </w:rPr>
        <w:footnoteReference w:id="382"/>
      </w:r>
    </w:p>
    <w:p w14:paraId="3A693D90" w14:textId="70C1F8AE" w:rsidR="004F377B" w:rsidRDefault="003B7295" w:rsidP="004F377B">
      <w:pPr>
        <w:pStyle w:val="List-BulletLvl1"/>
      </w:pPr>
      <w:r>
        <w:t>o</w:t>
      </w:r>
      <w:r w:rsidR="004F377B">
        <w:t>ne health and social services submitter recommended developing lived experience leadership potential and welcomed the provision of targeted scholarships to include people in priority populations and people with lived experience</w:t>
      </w:r>
      <w:r w:rsidR="004F377B">
        <w:rPr>
          <w:rStyle w:val="FootnoteReference"/>
        </w:rPr>
        <w:footnoteReference w:id="383"/>
      </w:r>
    </w:p>
    <w:p w14:paraId="726B9D98" w14:textId="0892DE1F" w:rsidR="004F377B" w:rsidRDefault="003B7295" w:rsidP="004F377B">
      <w:pPr>
        <w:pStyle w:val="List-BulletLvl1"/>
      </w:pPr>
      <w:r>
        <w:t>o</w:t>
      </w:r>
      <w:r w:rsidR="004F377B">
        <w:t>ne health social services wanted the strategy to better address the spectrum of services and supports that are currently provided, particularly in areas of peer support and residential treatment for specific groups</w:t>
      </w:r>
      <w:r w:rsidR="004F377B">
        <w:rPr>
          <w:rStyle w:val="FootnoteReference"/>
        </w:rPr>
        <w:footnoteReference w:id="384"/>
      </w:r>
    </w:p>
    <w:p w14:paraId="2589B9B8" w14:textId="188A9F45" w:rsidR="004F377B" w:rsidRDefault="003B7295" w:rsidP="003F4E5F">
      <w:pPr>
        <w:pStyle w:val="List-BulletLvl1"/>
      </w:pPr>
      <w:r>
        <w:t>o</w:t>
      </w:r>
      <w:r w:rsidR="004F377B">
        <w:t>ne service provider commented that peer support workers and the introduction of lived experience should not substitute or fill the gaps of existing professional workforces</w:t>
      </w:r>
      <w:r w:rsidR="004F377B">
        <w:rPr>
          <w:rStyle w:val="FootnoteReference"/>
        </w:rPr>
        <w:footnoteReference w:id="385"/>
      </w:r>
      <w:r w:rsidR="004F377B">
        <w:t xml:space="preserve"> </w:t>
      </w:r>
    </w:p>
    <w:p w14:paraId="43261A16" w14:textId="100D089E" w:rsidR="00523A7F" w:rsidRDefault="00C915B5" w:rsidP="00523A7F">
      <w:pPr>
        <w:pStyle w:val="List-BulletLvl1"/>
      </w:pPr>
      <w:r>
        <w:t>one</w:t>
      </w:r>
      <w:r w:rsidR="00523A7F">
        <w:t xml:space="preserve"> service provider supported funding for the Lived Experience Advisory Group but suggested additional training for service providers who would be working alongside those with lived experience to keep services accountable, ensure manaaki and provide support so as not to compromise their recovery journey.</w:t>
      </w:r>
      <w:r w:rsidR="00523A7F" w:rsidRPr="00FC2C36">
        <w:rPr>
          <w:rStyle w:val="FootnoteReference"/>
        </w:rPr>
        <w:t xml:space="preserve"> </w:t>
      </w:r>
      <w:r w:rsidR="00523A7F">
        <w:rPr>
          <w:rStyle w:val="FootnoteReference"/>
        </w:rPr>
        <w:footnoteReference w:id="386"/>
      </w:r>
      <w:r w:rsidR="00523A7F">
        <w:t xml:space="preserve"> </w:t>
      </w:r>
    </w:p>
    <w:p w14:paraId="2FA69818" w14:textId="4FA4882D" w:rsidR="004F377B" w:rsidRDefault="004F377B" w:rsidP="004F377B">
      <w:pPr>
        <w:pStyle w:val="NumberedHeading3"/>
      </w:pPr>
      <w:bookmarkStart w:id="70" w:name="_Toc88637571"/>
      <w:r>
        <w:t>Submitters want</w:t>
      </w:r>
      <w:r w:rsidR="000227BC">
        <w:t>ed</w:t>
      </w:r>
      <w:r>
        <w:t xml:space="preserve"> stronger commitment to developing a skilled workforce</w:t>
      </w:r>
      <w:bookmarkEnd w:id="70"/>
    </w:p>
    <w:p w14:paraId="252598CD" w14:textId="3E42D30A" w:rsidR="004F377B" w:rsidRDefault="004F377B" w:rsidP="004F377B">
      <w:pPr>
        <w:pStyle w:val="BodyText"/>
      </w:pPr>
      <w:r>
        <w:t xml:space="preserve">One health and service submitter strongly supported the Ministry’s intention to enable a skilled and culturally responsive workforce and commented that this should include supporting the </w:t>
      </w:r>
      <w:r>
        <w:lastRenderedPageBreak/>
        <w:t>ability for innovations to enable local communities to develop workforces responsive to community need.</w:t>
      </w:r>
      <w:r>
        <w:rPr>
          <w:rStyle w:val="FootnoteReference"/>
        </w:rPr>
        <w:footnoteReference w:id="387"/>
      </w:r>
      <w:r w:rsidRPr="006B4C38">
        <w:t xml:space="preserve"> </w:t>
      </w:r>
      <w:r>
        <w:t>This submitter added that:</w:t>
      </w:r>
      <w:r>
        <w:rPr>
          <w:rStyle w:val="FootnoteReference"/>
        </w:rPr>
        <w:footnoteReference w:id="388"/>
      </w:r>
    </w:p>
    <w:p w14:paraId="2E63C046" w14:textId="77777777" w:rsidR="004F377B" w:rsidRPr="00AE4420" w:rsidRDefault="004F377B" w:rsidP="004F377B">
      <w:pPr>
        <w:pStyle w:val="List-BulletLvl1"/>
      </w:pPr>
      <w:r w:rsidRPr="00AE4420">
        <w:t>as it relates to workforce this strategy should seek to improve access and to make it easier for people to join the problem gambling workforce</w:t>
      </w:r>
    </w:p>
    <w:p w14:paraId="43D40210" w14:textId="77777777" w:rsidR="004F377B" w:rsidRPr="00AE4420" w:rsidRDefault="004F377B" w:rsidP="004F377B">
      <w:pPr>
        <w:pStyle w:val="List-BulletLvl1"/>
      </w:pPr>
      <w:r w:rsidRPr="00AE4420">
        <w:t>the current focus on funding an entirely clinical workforce is not adequately responsive to the needs of different types of problem gamblers, their whānau and communities</w:t>
      </w:r>
    </w:p>
    <w:p w14:paraId="37600857" w14:textId="48AA2E46" w:rsidR="004F377B" w:rsidRPr="00AE4420" w:rsidRDefault="004F377B" w:rsidP="004F377B">
      <w:pPr>
        <w:pStyle w:val="List-BulletLvl1"/>
      </w:pPr>
      <w:r w:rsidRPr="00AE4420">
        <w:t>they supported any intention to build a workforce that is responsive to the needs of whai</w:t>
      </w:r>
      <w:r w:rsidR="006302EA">
        <w:t xml:space="preserve"> </w:t>
      </w:r>
      <w:r w:rsidRPr="00AE4420">
        <w:t>ora and their whānau and is representative of their diversity - this includes the provision of peer support, cultural and support worker positions</w:t>
      </w:r>
    </w:p>
    <w:p w14:paraId="7A2CB3FD" w14:textId="77777777" w:rsidR="004F377B" w:rsidRPr="00AE4420" w:rsidRDefault="004F377B" w:rsidP="004F377B">
      <w:pPr>
        <w:pStyle w:val="List-BulletLvl1"/>
      </w:pPr>
      <w:r w:rsidRPr="00AE4420">
        <w:t>they represented practitioners skilled at delivering addiction competencies, and it was their position that generic counselling skills should not be privileged over the ability to deliver addiction interventions for this group and should be considered when contracting for workforce</w:t>
      </w:r>
    </w:p>
    <w:p w14:paraId="2001EE91" w14:textId="4FD8FD87" w:rsidR="004F377B" w:rsidRPr="00AE4420" w:rsidRDefault="00C0710C" w:rsidP="004F377B">
      <w:pPr>
        <w:pStyle w:val="List-BulletLvl1"/>
      </w:pPr>
      <w:r>
        <w:t>l</w:t>
      </w:r>
      <w:r w:rsidR="004F377B" w:rsidRPr="00AE4420">
        <w:t xml:space="preserve">evel 5 qualifications are useful for </w:t>
      </w:r>
      <w:r>
        <w:t>Continuing Professional Development (</w:t>
      </w:r>
      <w:r w:rsidR="004F377B" w:rsidRPr="00AE4420">
        <w:t>CPD</w:t>
      </w:r>
      <w:r>
        <w:t>)</w:t>
      </w:r>
      <w:r w:rsidR="004F377B" w:rsidRPr="00AE4420">
        <w:t xml:space="preserve"> points, but most current practitioners are already qualified to work in this area</w:t>
      </w:r>
    </w:p>
    <w:p w14:paraId="0529FBAF" w14:textId="77777777" w:rsidR="004F377B" w:rsidRPr="00AE4420" w:rsidRDefault="004F377B" w:rsidP="004F377B">
      <w:pPr>
        <w:pStyle w:val="List-BulletLvl1"/>
      </w:pPr>
      <w:r w:rsidRPr="00AE4420">
        <w:t>the Ministry should consider that those working with problem gambling populations are well-suited to working with people with gaming disorders/addiction and are an important resource</w:t>
      </w:r>
    </w:p>
    <w:p w14:paraId="36A9153B" w14:textId="190CEC1E" w:rsidR="004F377B" w:rsidRPr="00AE4420" w:rsidRDefault="004F377B" w:rsidP="004F377B">
      <w:pPr>
        <w:pStyle w:val="List-BulletLvl1"/>
      </w:pPr>
      <w:r w:rsidRPr="00AE4420">
        <w:t>additional workforce is required to address current and increasing presentations in this area especially those able to work with rangatahi</w:t>
      </w:r>
    </w:p>
    <w:p w14:paraId="0FA05C2B" w14:textId="77777777" w:rsidR="004F377B" w:rsidRPr="00AE4420" w:rsidRDefault="004F377B" w:rsidP="004F377B">
      <w:pPr>
        <w:pStyle w:val="List-BulletLvl1"/>
      </w:pPr>
      <w:r w:rsidRPr="00AE4420">
        <w:t>gaming often introduces young people to gambling and sometimes pornography, so interventions focused on gaming is something that is required in the short-term.</w:t>
      </w:r>
    </w:p>
    <w:p w14:paraId="15FC8809" w14:textId="52830B71" w:rsidR="004F377B" w:rsidRDefault="004F377B" w:rsidP="004F377B">
      <w:pPr>
        <w:pStyle w:val="BodyText"/>
      </w:pPr>
      <w:r>
        <w:t>Two service providers endorsed the change to grow a stronger gambling harm prevention workforce, including improving workforce capacity and capability.</w:t>
      </w:r>
      <w:r>
        <w:rPr>
          <w:rStyle w:val="FootnoteReference"/>
        </w:rPr>
        <w:footnoteReference w:id="389"/>
      </w:r>
      <w:r>
        <w:t xml:space="preserve"> Addiction training should incorporate gambling-specific training and people should be enabled to develop their skills through paid time for training and development and related appropriate funding.</w:t>
      </w:r>
      <w:r>
        <w:rPr>
          <w:rStyle w:val="FootnoteReference"/>
        </w:rPr>
        <w:footnoteReference w:id="390"/>
      </w:r>
      <w:r>
        <w:t xml:space="preserve"> Another service provider commented that </w:t>
      </w:r>
      <w:r w:rsidR="00B1258F">
        <w:t>l</w:t>
      </w:r>
      <w:r>
        <w:t>anguage skills are essential, and the contractual requirement is an important indicator to consider when strengthening service delivery in qualified, registered and cultural workforce alliance.</w:t>
      </w:r>
      <w:r>
        <w:rPr>
          <w:rStyle w:val="FootnoteReference"/>
        </w:rPr>
        <w:footnoteReference w:id="391"/>
      </w:r>
    </w:p>
    <w:p w14:paraId="13FB6D68" w14:textId="77777777" w:rsidR="004F377B" w:rsidRDefault="004F377B" w:rsidP="004F377B">
      <w:pPr>
        <w:pStyle w:val="BodyText"/>
      </w:pPr>
      <w:r>
        <w:t>One NCGM submitter noted that more funding should be allocated to providing workforce development for those working on the front line in venues where the evidence of addiction is present but not always easy to recognise.</w:t>
      </w:r>
      <w:r>
        <w:rPr>
          <w:rStyle w:val="FootnoteReference"/>
        </w:rPr>
        <w:footnoteReference w:id="392"/>
      </w:r>
    </w:p>
    <w:p w14:paraId="654C60EF" w14:textId="7224BAAB" w:rsidR="00263753" w:rsidRDefault="00263753" w:rsidP="004F377B">
      <w:pPr>
        <w:pStyle w:val="BodyText"/>
      </w:pPr>
      <w:r>
        <w:t>One service provider commented that gambling harm could be taught in schools as part of the health and wellbeing curriculum.</w:t>
      </w:r>
      <w:r>
        <w:rPr>
          <w:rStyle w:val="FootnoteReference"/>
        </w:rPr>
        <w:footnoteReference w:id="393"/>
      </w:r>
      <w:r>
        <w:t xml:space="preserve"> </w:t>
      </w:r>
    </w:p>
    <w:p w14:paraId="2FA0E1BC" w14:textId="04FF5BEE" w:rsidR="004F377B" w:rsidRDefault="004F377B" w:rsidP="004F377B">
      <w:pPr>
        <w:pStyle w:val="NumberedHeading3"/>
      </w:pPr>
      <w:bookmarkStart w:id="71" w:name="_Toc88637572"/>
      <w:r>
        <w:lastRenderedPageBreak/>
        <w:t>Submitters want</w:t>
      </w:r>
      <w:r w:rsidR="000227BC">
        <w:t>ed</w:t>
      </w:r>
      <w:r>
        <w:t xml:space="preserve"> to see more </w:t>
      </w:r>
      <w:r w:rsidR="00BC6A2C">
        <w:t xml:space="preserve">explicit </w:t>
      </w:r>
      <w:r>
        <w:t>commitment to suppor</w:t>
      </w:r>
      <w:r w:rsidR="000227BC">
        <w:t>ting</w:t>
      </w:r>
      <w:r>
        <w:t xml:space="preserve"> priority populations</w:t>
      </w:r>
      <w:bookmarkEnd w:id="71"/>
    </w:p>
    <w:p w14:paraId="4A00B08E" w14:textId="77777777" w:rsidR="004F377B" w:rsidRDefault="004F377B" w:rsidP="004F377B">
      <w:pPr>
        <w:pStyle w:val="BodyText"/>
      </w:pPr>
      <w:r>
        <w:t>Submitters were encouraged by the changes to better recognise inequities, but emphasised that these changes should be more clearly committed to by:</w:t>
      </w:r>
    </w:p>
    <w:p w14:paraId="17820776" w14:textId="36C3B888" w:rsidR="004F377B" w:rsidRDefault="004F377B" w:rsidP="004F377B">
      <w:pPr>
        <w:pStyle w:val="List-BulletLvl1"/>
      </w:pPr>
      <w:r>
        <w:t>explicitly considering the complexities and diversity of Pacific people</w:t>
      </w:r>
      <w:r w:rsidR="00FD7D92">
        <w:t>s</w:t>
      </w:r>
      <w:r>
        <w:t xml:space="preserve"> and Asian people</w:t>
      </w:r>
      <w:r w:rsidR="00FD7D92">
        <w:t>s</w:t>
      </w:r>
      <w:r>
        <w:t xml:space="preserve"> (one health and social services submitter)</w:t>
      </w:r>
      <w:r>
        <w:rPr>
          <w:rStyle w:val="FootnoteReference"/>
        </w:rPr>
        <w:footnoteReference w:id="394"/>
      </w:r>
    </w:p>
    <w:p w14:paraId="72650578" w14:textId="77777777" w:rsidR="004F377B" w:rsidRDefault="004F377B" w:rsidP="004F377B">
      <w:pPr>
        <w:pStyle w:val="List-BulletLvl1"/>
      </w:pPr>
      <w:r>
        <w:t>committing to work in true partnership with Māori (one service provider)</w:t>
      </w:r>
      <w:r>
        <w:rPr>
          <w:rStyle w:val="FootnoteReference"/>
        </w:rPr>
        <w:footnoteReference w:id="395"/>
      </w:r>
    </w:p>
    <w:p w14:paraId="288FB100" w14:textId="77777777" w:rsidR="004F377B" w:rsidRDefault="004F377B" w:rsidP="004F377B">
      <w:pPr>
        <w:pStyle w:val="List-BulletLvl1"/>
      </w:pPr>
      <w:r>
        <w:t xml:space="preserve">creating an agency staffed by experts tasked with identifying the appropriate treatment for all addictions, and the appropriate method of delivery, including cultural considerations (two NCGM submitters) </w:t>
      </w:r>
      <w:r>
        <w:rPr>
          <w:rStyle w:val="FootnoteReference"/>
        </w:rPr>
        <w:footnoteReference w:id="396"/>
      </w:r>
    </w:p>
    <w:p w14:paraId="2B860FC3" w14:textId="468F5167" w:rsidR="004F377B" w:rsidRDefault="004F377B" w:rsidP="004F377B">
      <w:pPr>
        <w:pStyle w:val="List-BulletLvl1"/>
      </w:pPr>
      <w:r>
        <w:t>giving Māori and Pacific people</w:t>
      </w:r>
      <w:r w:rsidR="00FD7D92">
        <w:t>s</w:t>
      </w:r>
      <w:r>
        <w:t xml:space="preserve"> the ability to limit access to harmful gambling in their own communities (one health and social services submitter)</w:t>
      </w:r>
      <w:r>
        <w:rPr>
          <w:rStyle w:val="FootnoteReference"/>
        </w:rPr>
        <w:footnoteReference w:id="397"/>
      </w:r>
    </w:p>
    <w:p w14:paraId="51177F9C" w14:textId="77777777" w:rsidR="004F377B" w:rsidRDefault="004F377B" w:rsidP="004F377B">
      <w:pPr>
        <w:pStyle w:val="List-BulletLvl1"/>
      </w:pPr>
      <w:r>
        <w:t>being more specific about the funding for priority populations (one health and social services submitter).</w:t>
      </w:r>
      <w:r>
        <w:rPr>
          <w:rStyle w:val="FootnoteReference"/>
        </w:rPr>
        <w:footnoteReference w:id="398"/>
      </w:r>
    </w:p>
    <w:p w14:paraId="0D87605D" w14:textId="0912FD8D" w:rsidR="004F377B" w:rsidRDefault="004F377B" w:rsidP="004F377B">
      <w:pPr>
        <w:pStyle w:val="NumberedHeading3"/>
      </w:pPr>
      <w:bookmarkStart w:id="72" w:name="_Toc88637573"/>
      <w:r>
        <w:t>NCGM submitters want</w:t>
      </w:r>
      <w:r w:rsidR="000227BC">
        <w:t>ed</w:t>
      </w:r>
      <w:r>
        <w:t xml:space="preserve"> to see the introduction of targets for service providers</w:t>
      </w:r>
      <w:bookmarkEnd w:id="72"/>
    </w:p>
    <w:p w14:paraId="1D88775A" w14:textId="49B248BA" w:rsidR="004F377B" w:rsidRDefault="004F377B" w:rsidP="004F377B">
      <w:pPr>
        <w:pStyle w:val="BodyText"/>
      </w:pPr>
      <w:r>
        <w:t>Eleven NCGM submitters commented that the strategy should include clear targets, and that when allocating levy money, the question should be about how money can be best allocated to achieve the targets.</w:t>
      </w:r>
      <w:r>
        <w:rPr>
          <w:rStyle w:val="FootnoteReference"/>
        </w:rPr>
        <w:footnoteReference w:id="399"/>
      </w:r>
      <w:r>
        <w:t xml:space="preserve"> Targets suggested by NCGM submitters were:</w:t>
      </w:r>
    </w:p>
    <w:p w14:paraId="17576794" w14:textId="085AE15F" w:rsidR="004F377B" w:rsidRDefault="00DA5840" w:rsidP="004F377B">
      <w:pPr>
        <w:pStyle w:val="List-BulletLvl1"/>
      </w:pPr>
      <w:r>
        <w:t>fifty percent</w:t>
      </w:r>
      <w:r w:rsidR="004F377B">
        <w:t xml:space="preserve"> reduction in the relapse rate for persons who identify NCGM as their primary gambling mode</w:t>
      </w:r>
    </w:p>
    <w:p w14:paraId="0F2D4EDE" w14:textId="21849B88" w:rsidR="004F377B" w:rsidRDefault="00DA5840" w:rsidP="004F377B">
      <w:pPr>
        <w:pStyle w:val="List-BulletLvl1"/>
      </w:pPr>
      <w:r>
        <w:t>twenty-five percent</w:t>
      </w:r>
      <w:r w:rsidR="004F377B">
        <w:t xml:space="preserve"> increase in the number of people seeking help</w:t>
      </w:r>
    </w:p>
    <w:p w14:paraId="583753AB" w14:textId="774F75B6" w:rsidR="004F377B" w:rsidRDefault="00DA5840" w:rsidP="004F377B">
      <w:pPr>
        <w:pStyle w:val="List-BulletLvl1"/>
      </w:pPr>
      <w:r>
        <w:t>twenty percent</w:t>
      </w:r>
      <w:r w:rsidR="004F377B">
        <w:t xml:space="preserve"> reduction in the prevalence of harmful gambling among adults </w:t>
      </w:r>
    </w:p>
    <w:p w14:paraId="5D91A9BA" w14:textId="77777777" w:rsidR="004F377B" w:rsidRDefault="004F377B" w:rsidP="004F377B">
      <w:pPr>
        <w:pStyle w:val="List-BulletLvl1"/>
      </w:pPr>
      <w:r>
        <w:t>prioritisation of service providers who can treat comorbidities</w:t>
      </w:r>
    </w:p>
    <w:p w14:paraId="38291FE9" w14:textId="77777777" w:rsidR="004F377B" w:rsidRDefault="004F377B" w:rsidP="004F377B">
      <w:pPr>
        <w:pStyle w:val="List-BulletLvl1"/>
      </w:pPr>
      <w:r>
        <w:t>prioritisation of research projects that look at how to reduce the relapse rate</w:t>
      </w:r>
    </w:p>
    <w:p w14:paraId="1CB9F13B" w14:textId="77777777" w:rsidR="004F377B" w:rsidRDefault="004F377B" w:rsidP="004F377B">
      <w:pPr>
        <w:pStyle w:val="List-BulletLvl1"/>
      </w:pPr>
      <w:r>
        <w:t xml:space="preserve">prioritisation of services and innovation that involve technology to prevent replace </w:t>
      </w:r>
    </w:p>
    <w:p w14:paraId="24683821" w14:textId="579CF484" w:rsidR="004F377B" w:rsidRDefault="004F377B" w:rsidP="004F377B">
      <w:pPr>
        <w:pStyle w:val="List-BulletLvl1"/>
      </w:pPr>
      <w:r>
        <w:t xml:space="preserve">prioritisation of </w:t>
      </w:r>
      <w:r w:rsidR="00DA5840">
        <w:t>p</w:t>
      </w:r>
      <w:r>
        <w:t>rojects that train and support gambling venue staff</w:t>
      </w:r>
    </w:p>
    <w:p w14:paraId="4D3E1FB5" w14:textId="77777777" w:rsidR="004F377B" w:rsidRDefault="004F377B" w:rsidP="004F377B">
      <w:pPr>
        <w:pStyle w:val="List-BulletLvl1"/>
      </w:pPr>
      <w:r>
        <w:t>people that seek face-to-face counselling have their first session in the town nearest to them within 48 hours of the request.</w:t>
      </w:r>
      <w:r>
        <w:rPr>
          <w:rStyle w:val="FootnoteReference"/>
        </w:rPr>
        <w:footnoteReference w:id="400"/>
      </w:r>
    </w:p>
    <w:p w14:paraId="22234018" w14:textId="77777777" w:rsidR="00B037EB" w:rsidRPr="00B037EB" w:rsidRDefault="00B037EB" w:rsidP="00B037EB">
      <w:pPr>
        <w:pStyle w:val="NumberedHeading3"/>
      </w:pPr>
      <w:bookmarkStart w:id="73" w:name="_Toc88637574"/>
      <w:r w:rsidRPr="00B037EB">
        <w:t>Key themes from consultation hui</w:t>
      </w:r>
      <w:bookmarkEnd w:id="73"/>
    </w:p>
    <w:tbl>
      <w:tblPr>
        <w:tblStyle w:val="TableGrid"/>
        <w:tblW w:w="0" w:type="auto"/>
        <w:shd w:val="clear" w:color="auto" w:fill="D2D9DE" w:themeFill="text2" w:themeFillTint="33"/>
        <w:tblLook w:val="04A0" w:firstRow="1" w:lastRow="0" w:firstColumn="1" w:lastColumn="0" w:noHBand="0" w:noVBand="1"/>
      </w:tblPr>
      <w:tblGrid>
        <w:gridCol w:w="9061"/>
      </w:tblGrid>
      <w:tr w:rsidR="00052046" w:rsidRPr="00052046" w14:paraId="64095CBA" w14:textId="77777777" w:rsidTr="00A63114">
        <w:tc>
          <w:tcPr>
            <w:tcW w:w="9061" w:type="dxa"/>
            <w:shd w:val="clear" w:color="auto" w:fill="D2D9DE" w:themeFill="text2" w:themeFillTint="33"/>
          </w:tcPr>
          <w:p w14:paraId="0C8E9C6C" w14:textId="77777777" w:rsidR="00B037EB" w:rsidRPr="000C68A6" w:rsidRDefault="00B037EB" w:rsidP="006B494C">
            <w:pPr>
              <w:pStyle w:val="BodyText"/>
              <w:jc w:val="center"/>
              <w:rPr>
                <w:color w:val="36424A" w:themeColor="accent5"/>
              </w:rPr>
            </w:pPr>
            <w:r w:rsidRPr="000C68A6">
              <w:rPr>
                <w:b/>
                <w:bCs/>
                <w:color w:val="36424A" w:themeColor="accent5"/>
              </w:rPr>
              <w:t xml:space="preserve">Comments from hui on </w:t>
            </w:r>
            <w:r w:rsidR="006B494C" w:rsidRPr="000C68A6">
              <w:rPr>
                <w:b/>
                <w:bCs/>
                <w:color w:val="36424A" w:themeColor="accent5"/>
              </w:rPr>
              <w:t>changes that are needed</w:t>
            </w:r>
            <w:r w:rsidRPr="000C68A6">
              <w:rPr>
                <w:color w:val="36424A" w:themeColor="accent5"/>
              </w:rPr>
              <w:t xml:space="preserve"> </w:t>
            </w:r>
          </w:p>
          <w:p w14:paraId="3C1E6E0A" w14:textId="5E3824BE" w:rsidR="00D25B4F" w:rsidRPr="000C68A6" w:rsidRDefault="00D25B4F" w:rsidP="00A238FE">
            <w:pPr>
              <w:pStyle w:val="List-BulletLvl1"/>
              <w:rPr>
                <w:color w:val="36424A" w:themeColor="accent5"/>
              </w:rPr>
            </w:pPr>
            <w:r w:rsidRPr="000C68A6">
              <w:rPr>
                <w:color w:val="36424A" w:themeColor="accent5"/>
              </w:rPr>
              <w:t>Stakeholders advocated strongly for more holistic service provision</w:t>
            </w:r>
            <w:r w:rsidR="000E288E" w:rsidRPr="000C68A6">
              <w:rPr>
                <w:color w:val="36424A" w:themeColor="accent5"/>
              </w:rPr>
              <w:t xml:space="preserve"> to promote health and wellbeing, particularly with regard to addictions and mental health </w:t>
            </w:r>
            <w:r w:rsidR="000E288E" w:rsidRPr="000C68A6">
              <w:rPr>
                <w:color w:val="36424A" w:themeColor="accent5"/>
              </w:rPr>
              <w:lastRenderedPageBreak/>
              <w:t xml:space="preserve">issues. Stakeholders noted that a lot of people who have issues with gambling have other addictions and mental health issues, and it was seen as important to be able to provide services to people to deal with their health needs more generally. </w:t>
            </w:r>
          </w:p>
          <w:p w14:paraId="45F371D1" w14:textId="77777777" w:rsidR="00A238FE" w:rsidRPr="000C68A6" w:rsidRDefault="00A238FE" w:rsidP="00A238FE">
            <w:pPr>
              <w:pStyle w:val="List-BulletLvl1"/>
              <w:rPr>
                <w:color w:val="36424A" w:themeColor="accent5"/>
              </w:rPr>
            </w:pPr>
            <w:r w:rsidRPr="000C68A6">
              <w:rPr>
                <w:color w:val="36424A" w:themeColor="accent5"/>
              </w:rPr>
              <w:t xml:space="preserve">Stakeholders wanted </w:t>
            </w:r>
            <w:r w:rsidR="006811D7" w:rsidRPr="000C68A6">
              <w:rPr>
                <w:color w:val="36424A" w:themeColor="accent5"/>
              </w:rPr>
              <w:t>the Ministry and DIA to focus</w:t>
            </w:r>
            <w:r w:rsidRPr="000C68A6">
              <w:rPr>
                <w:color w:val="36424A" w:themeColor="accent5"/>
              </w:rPr>
              <w:t xml:space="preserve"> </w:t>
            </w:r>
            <w:r w:rsidR="006811D7" w:rsidRPr="000C68A6">
              <w:rPr>
                <w:color w:val="36424A" w:themeColor="accent5"/>
              </w:rPr>
              <w:t xml:space="preserve">more on co-designing and co-commissioning supports and services with priority populations, particularly </w:t>
            </w:r>
            <w:r w:rsidR="00052046" w:rsidRPr="000C68A6">
              <w:rPr>
                <w:color w:val="36424A" w:themeColor="accent5"/>
              </w:rPr>
              <w:t xml:space="preserve">Māori, and focusing closely on equity and implementation around the country, especially at a grassroots level. </w:t>
            </w:r>
          </w:p>
          <w:p w14:paraId="245ECDC9" w14:textId="443301C1" w:rsidR="009966F0" w:rsidRPr="00052046" w:rsidRDefault="009966F0" w:rsidP="00A238FE">
            <w:pPr>
              <w:pStyle w:val="List-BulletLvl1"/>
              <w:rPr>
                <w:color w:val="36424A" w:themeColor="accent5"/>
              </w:rPr>
            </w:pPr>
            <w:r w:rsidRPr="000C68A6">
              <w:rPr>
                <w:color w:val="36424A" w:themeColor="accent5"/>
              </w:rPr>
              <w:t>Stakeholders with lived experience considered that a more comprehensive approach within drug and alcohol residence services could be adopted to address the manifestation of gambling harm with other addictions.</w:t>
            </w:r>
          </w:p>
        </w:tc>
      </w:tr>
    </w:tbl>
    <w:p w14:paraId="51AACD08" w14:textId="7D50DC60" w:rsidR="00B530F7" w:rsidRDefault="00B530F7" w:rsidP="00B037EB">
      <w:pPr>
        <w:pStyle w:val="BodyText"/>
        <w:rPr>
          <w:sz w:val="28"/>
        </w:rPr>
      </w:pPr>
      <w:r>
        <w:lastRenderedPageBreak/>
        <w:br w:type="page"/>
      </w:r>
    </w:p>
    <w:p w14:paraId="15AE76EF" w14:textId="77777777" w:rsidR="005C4A70" w:rsidRDefault="005C4A70" w:rsidP="005C4A70">
      <w:pPr>
        <w:pStyle w:val="NumberedHeading1"/>
      </w:pPr>
      <w:bookmarkStart w:id="74" w:name="_Toc88637575"/>
      <w:r>
        <w:lastRenderedPageBreak/>
        <w:t>The draft service plan</w:t>
      </w:r>
      <w:bookmarkEnd w:id="74"/>
    </w:p>
    <w:p w14:paraId="61156226" w14:textId="77777777" w:rsidR="005C4A70" w:rsidRPr="0078158A" w:rsidRDefault="005C4A70" w:rsidP="005C4A70">
      <w:pPr>
        <w:pStyle w:val="BodyText"/>
      </w:pPr>
      <w:r>
        <w:t>Section 3 of this report outlines feedback received from submitters on the service plan. It covers:</w:t>
      </w:r>
    </w:p>
    <w:p w14:paraId="0C6335E8" w14:textId="77777777" w:rsidR="005C4A70" w:rsidRDefault="005C4A70" w:rsidP="005C4A70">
      <w:pPr>
        <w:pStyle w:val="List-BulletLvl1"/>
      </w:pPr>
      <w:r>
        <w:t xml:space="preserve">satisfaction (or otherwise) with the direction and overall content of the service plan </w:t>
      </w:r>
    </w:p>
    <w:p w14:paraId="5517C08C" w14:textId="77777777" w:rsidR="005C4A70" w:rsidRDefault="005C4A70" w:rsidP="005C4A70">
      <w:pPr>
        <w:pStyle w:val="List-BulletLvl1"/>
      </w:pPr>
      <w:r>
        <w:t>the proposed funding mix for services and support, and opinions about the proposed new services including:</w:t>
      </w:r>
    </w:p>
    <w:p w14:paraId="0B42AEB4" w14:textId="77777777" w:rsidR="005C4A70" w:rsidRDefault="005C4A70" w:rsidP="005C4A70">
      <w:pPr>
        <w:pStyle w:val="List-BulletLvl2"/>
      </w:pPr>
      <w:r>
        <w:t>the de-stigmatisation initiative</w:t>
      </w:r>
    </w:p>
    <w:p w14:paraId="1834DBD3" w14:textId="3A3B7391" w:rsidR="005C4A70" w:rsidRDefault="005C4A70" w:rsidP="005C4A70">
      <w:pPr>
        <w:pStyle w:val="List-BulletLvl2"/>
      </w:pPr>
      <w:r>
        <w:t>innovations pilots and investments</w:t>
      </w:r>
    </w:p>
    <w:p w14:paraId="3EE1FC7A" w14:textId="77777777" w:rsidR="005C4A70" w:rsidRDefault="005C4A70" w:rsidP="005C4A70">
      <w:pPr>
        <w:pStyle w:val="List-BulletLvl1"/>
      </w:pPr>
      <w:r>
        <w:t xml:space="preserve">the priorities for research and evaluation. </w:t>
      </w:r>
    </w:p>
    <w:p w14:paraId="7E9FB174" w14:textId="0966CC9F" w:rsidR="005C4A70" w:rsidRDefault="005C4A70" w:rsidP="005C4A70">
      <w:pPr>
        <w:pStyle w:val="BodyText"/>
      </w:pPr>
      <w:r>
        <w:t xml:space="preserve">Four questions were asked, all of which included ‘Yes/No’ responses. </w:t>
      </w:r>
      <w:r>
        <w:fldChar w:fldCharType="begin"/>
      </w:r>
      <w:r>
        <w:instrText xml:space="preserve"> REF _Ref86394381 \h </w:instrText>
      </w:r>
      <w:r>
        <w:fldChar w:fldCharType="separate"/>
      </w:r>
      <w:r w:rsidR="00071098">
        <w:t xml:space="preserve">Table </w:t>
      </w:r>
      <w:r w:rsidR="00071098">
        <w:rPr>
          <w:noProof/>
        </w:rPr>
        <w:t>3</w:t>
      </w:r>
      <w:r w:rsidR="00071098">
        <w:t>: Responses to questions about the draft service plan</w:t>
      </w:r>
      <w:r>
        <w:fldChar w:fldCharType="end"/>
      </w:r>
      <w:r>
        <w:t xml:space="preserve"> (below) shows the wording of those questions and the number of submitters who responded, by response. Sometimes the narrative response suggested that support was qualified or conditional, in which case the ‘Yes’ response was altered to ‘Qualified support’. </w:t>
      </w:r>
    </w:p>
    <w:p w14:paraId="4F67A6E0" w14:textId="3772DECB" w:rsidR="005C4A70" w:rsidRDefault="005C4A70" w:rsidP="005C4A70">
      <w:pPr>
        <w:pStyle w:val="BodyText"/>
      </w:pPr>
      <w:r>
        <w:t xml:space="preserve">Responses were received from across the seven sector groups, as detailed in </w:t>
      </w:r>
      <w:r w:rsidR="007D577B">
        <w:fldChar w:fldCharType="begin"/>
      </w:r>
      <w:r w:rsidR="007D577B">
        <w:instrText xml:space="preserve"> REF _Ref87020091 \h </w:instrText>
      </w:r>
      <w:r w:rsidR="007D577B">
        <w:fldChar w:fldCharType="separate"/>
      </w:r>
      <w:r w:rsidR="00071098">
        <w:t xml:space="preserve">Figure </w:t>
      </w:r>
      <w:r w:rsidR="00071098">
        <w:rPr>
          <w:noProof/>
        </w:rPr>
        <w:t>3</w:t>
      </w:r>
      <w:r w:rsidR="007D577B">
        <w:fldChar w:fldCharType="end"/>
      </w:r>
      <w:r w:rsidR="007D577B">
        <w:t xml:space="preserve"> </w:t>
      </w:r>
      <w:r>
        <w:t xml:space="preserve">(overleaf). </w:t>
      </w:r>
    </w:p>
    <w:p w14:paraId="5679C367" w14:textId="64BC4D22" w:rsidR="005C4A70" w:rsidRDefault="005C4A70" w:rsidP="005C4A70">
      <w:pPr>
        <w:pStyle w:val="Caption"/>
      </w:pPr>
      <w:bookmarkStart w:id="75" w:name="_Ref86399141"/>
      <w:bookmarkStart w:id="76" w:name="_Ref86394381"/>
      <w:bookmarkStart w:id="77" w:name="_Toc88637640"/>
      <w:bookmarkStart w:id="78" w:name="_Toc529788355"/>
      <w:r>
        <w:t xml:space="preserve">Table </w:t>
      </w:r>
      <w:r>
        <w:fldChar w:fldCharType="begin"/>
      </w:r>
      <w:r>
        <w:instrText xml:space="preserve"> SEQ Table \* ARABIC </w:instrText>
      </w:r>
      <w:r>
        <w:fldChar w:fldCharType="separate"/>
      </w:r>
      <w:r w:rsidR="00071098">
        <w:rPr>
          <w:noProof/>
        </w:rPr>
        <w:t>3</w:t>
      </w:r>
      <w:r>
        <w:fldChar w:fldCharType="end"/>
      </w:r>
      <w:bookmarkEnd w:id="75"/>
      <w:r>
        <w:t xml:space="preserve">: </w:t>
      </w:r>
      <w:r w:rsidR="00B558AF">
        <w:t>Responses</w:t>
      </w:r>
      <w:r>
        <w:t xml:space="preserve"> to questions about the draft service plan</w:t>
      </w:r>
      <w:bookmarkEnd w:id="76"/>
      <w:bookmarkEnd w:id="77"/>
    </w:p>
    <w:tbl>
      <w:tblPr>
        <w:tblStyle w:val="ACGrey-BasicTable"/>
        <w:tblW w:w="9209" w:type="dxa"/>
        <w:tblLook w:val="04A0" w:firstRow="1" w:lastRow="0" w:firstColumn="1" w:lastColumn="0" w:noHBand="0" w:noVBand="1"/>
      </w:tblPr>
      <w:tblGrid>
        <w:gridCol w:w="5006"/>
        <w:gridCol w:w="980"/>
        <w:gridCol w:w="964"/>
        <w:gridCol w:w="1002"/>
        <w:gridCol w:w="1257"/>
      </w:tblGrid>
      <w:tr w:rsidR="00DD23E4" w:rsidRPr="00A367ED" w14:paraId="74CBE39F" w14:textId="77777777" w:rsidTr="00552FEA">
        <w:trPr>
          <w:cnfStyle w:val="100000000000" w:firstRow="1" w:lastRow="0" w:firstColumn="0" w:lastColumn="0" w:oddVBand="0" w:evenVBand="0" w:oddHBand="0" w:evenHBand="0" w:firstRowFirstColumn="0" w:firstRowLastColumn="0" w:lastRowFirstColumn="0" w:lastRowLastColumn="0"/>
        </w:trPr>
        <w:tc>
          <w:tcPr>
            <w:tcW w:w="5006" w:type="dxa"/>
            <w:hideMark/>
          </w:tcPr>
          <w:p w14:paraId="184A3311" w14:textId="77777777" w:rsidR="005C4A70" w:rsidRPr="00A367ED" w:rsidRDefault="005C4A70" w:rsidP="00A63114">
            <w:pPr>
              <w:pStyle w:val="BodyText"/>
              <w:jc w:val="center"/>
              <w:rPr>
                <w:b/>
                <w:bCs/>
              </w:rPr>
            </w:pPr>
            <w:r w:rsidRPr="00A367ED">
              <w:rPr>
                <w:bCs/>
              </w:rPr>
              <w:t>Question</w:t>
            </w:r>
          </w:p>
        </w:tc>
        <w:tc>
          <w:tcPr>
            <w:tcW w:w="980" w:type="dxa"/>
            <w:hideMark/>
          </w:tcPr>
          <w:p w14:paraId="7195D52F" w14:textId="77777777" w:rsidR="005C4A70" w:rsidRPr="00A367ED" w:rsidRDefault="005C4A70" w:rsidP="00A63114">
            <w:pPr>
              <w:pStyle w:val="BodyText"/>
              <w:ind w:firstLine="122"/>
              <w:jc w:val="center"/>
              <w:rPr>
                <w:b/>
                <w:bCs/>
              </w:rPr>
            </w:pPr>
            <w:r w:rsidRPr="00A367ED">
              <w:rPr>
                <w:bCs/>
              </w:rPr>
              <w:t>Yes</w:t>
            </w:r>
          </w:p>
        </w:tc>
        <w:tc>
          <w:tcPr>
            <w:tcW w:w="964" w:type="dxa"/>
            <w:hideMark/>
          </w:tcPr>
          <w:p w14:paraId="1C206D41" w14:textId="77777777" w:rsidR="005C4A70" w:rsidRPr="00A367ED" w:rsidRDefault="005C4A70" w:rsidP="00A63114">
            <w:pPr>
              <w:pStyle w:val="BodyText"/>
              <w:jc w:val="center"/>
              <w:rPr>
                <w:b/>
                <w:bCs/>
              </w:rPr>
            </w:pPr>
            <w:r w:rsidRPr="00A367ED">
              <w:rPr>
                <w:bCs/>
              </w:rPr>
              <w:t>No</w:t>
            </w:r>
          </w:p>
        </w:tc>
        <w:tc>
          <w:tcPr>
            <w:tcW w:w="1002" w:type="dxa"/>
            <w:hideMark/>
          </w:tcPr>
          <w:p w14:paraId="230C0FC9" w14:textId="77777777" w:rsidR="005C4A70" w:rsidRPr="00A367ED" w:rsidRDefault="005C4A70" w:rsidP="00A63114">
            <w:pPr>
              <w:pStyle w:val="BodyText"/>
              <w:jc w:val="center"/>
              <w:rPr>
                <w:b/>
                <w:bCs/>
              </w:rPr>
            </w:pPr>
            <w:r w:rsidRPr="00A367ED">
              <w:rPr>
                <w:bCs/>
              </w:rPr>
              <w:t>Qualified Support</w:t>
            </w:r>
          </w:p>
        </w:tc>
        <w:tc>
          <w:tcPr>
            <w:tcW w:w="1257" w:type="dxa"/>
          </w:tcPr>
          <w:p w14:paraId="20C65C33" w14:textId="77777777" w:rsidR="005C4A70" w:rsidRPr="00A367ED" w:rsidRDefault="005C4A70" w:rsidP="00A63114">
            <w:pPr>
              <w:pStyle w:val="BodyText"/>
              <w:jc w:val="center"/>
              <w:rPr>
                <w:b/>
                <w:bCs/>
              </w:rPr>
            </w:pPr>
            <w:r w:rsidRPr="00A367ED">
              <w:rPr>
                <w:bCs/>
              </w:rPr>
              <w:t>Total</w:t>
            </w:r>
          </w:p>
        </w:tc>
      </w:tr>
      <w:tr w:rsidR="005C4A70" w:rsidRPr="000F01D7" w14:paraId="27B3BD87" w14:textId="77777777" w:rsidTr="00A63114">
        <w:tc>
          <w:tcPr>
            <w:tcW w:w="5006" w:type="dxa"/>
          </w:tcPr>
          <w:p w14:paraId="4CE83576" w14:textId="77777777" w:rsidR="005C4A70" w:rsidRPr="00182790" w:rsidRDefault="005C4A70" w:rsidP="00A63114">
            <w:pPr>
              <w:pStyle w:val="BodyText"/>
              <w:jc w:val="left"/>
            </w:pPr>
            <w:r>
              <w:t xml:space="preserve">5.  Does the draft service plan adequately cover what it needs to cover, for example, does it include the right types of service and activities? </w:t>
            </w:r>
          </w:p>
        </w:tc>
        <w:tc>
          <w:tcPr>
            <w:tcW w:w="980" w:type="dxa"/>
          </w:tcPr>
          <w:p w14:paraId="0357BC86" w14:textId="77777777" w:rsidR="005C4A70" w:rsidRPr="009E7223" w:rsidRDefault="005C4A70" w:rsidP="00A63114">
            <w:pPr>
              <w:pStyle w:val="BodyText"/>
              <w:ind w:firstLine="122"/>
              <w:jc w:val="center"/>
            </w:pPr>
            <w:r>
              <w:t>12</w:t>
            </w:r>
          </w:p>
        </w:tc>
        <w:tc>
          <w:tcPr>
            <w:tcW w:w="964" w:type="dxa"/>
          </w:tcPr>
          <w:p w14:paraId="57E80D30" w14:textId="77777777" w:rsidR="005C4A70" w:rsidRPr="009E7223" w:rsidRDefault="005C4A70" w:rsidP="00A63114">
            <w:pPr>
              <w:pStyle w:val="BodyText"/>
              <w:ind w:firstLine="122"/>
              <w:jc w:val="center"/>
            </w:pPr>
            <w:r>
              <w:t>15</w:t>
            </w:r>
          </w:p>
        </w:tc>
        <w:tc>
          <w:tcPr>
            <w:tcW w:w="1002" w:type="dxa"/>
          </w:tcPr>
          <w:p w14:paraId="7C4EC03A" w14:textId="77777777" w:rsidR="005C4A70" w:rsidRPr="009E7223" w:rsidRDefault="005C4A70" w:rsidP="00A63114">
            <w:pPr>
              <w:pStyle w:val="BodyText"/>
              <w:ind w:firstLine="117"/>
              <w:jc w:val="center"/>
            </w:pPr>
            <w:r>
              <w:t>4</w:t>
            </w:r>
          </w:p>
        </w:tc>
        <w:tc>
          <w:tcPr>
            <w:tcW w:w="1257" w:type="dxa"/>
          </w:tcPr>
          <w:p w14:paraId="74317072" w14:textId="77777777" w:rsidR="005C4A70" w:rsidRPr="00BE02F6" w:rsidRDefault="005C4A70" w:rsidP="00A63114">
            <w:pPr>
              <w:pStyle w:val="BodyText"/>
              <w:ind w:firstLine="117"/>
              <w:jc w:val="center"/>
              <w:rPr>
                <w:b/>
              </w:rPr>
            </w:pPr>
            <w:r w:rsidRPr="00BE02F6">
              <w:rPr>
                <w:b/>
                <w:bCs/>
              </w:rPr>
              <w:t>3</w:t>
            </w:r>
            <w:r>
              <w:rPr>
                <w:b/>
                <w:bCs/>
              </w:rPr>
              <w:t>1</w:t>
            </w:r>
          </w:p>
        </w:tc>
      </w:tr>
      <w:tr w:rsidR="005C4A70" w:rsidRPr="000F01D7" w14:paraId="0BACE6E7" w14:textId="77777777" w:rsidTr="00A63114">
        <w:tc>
          <w:tcPr>
            <w:tcW w:w="5006" w:type="dxa"/>
          </w:tcPr>
          <w:p w14:paraId="357A9E1D" w14:textId="77777777" w:rsidR="005C4A70" w:rsidRPr="00182790" w:rsidRDefault="005C4A70" w:rsidP="00A63114">
            <w:pPr>
              <w:pStyle w:val="BodyText"/>
              <w:jc w:val="left"/>
            </w:pPr>
            <w:r>
              <w:t>6.  Do you consider the proposed funding mix for services and supports appropriate?</w:t>
            </w:r>
          </w:p>
        </w:tc>
        <w:tc>
          <w:tcPr>
            <w:tcW w:w="980" w:type="dxa"/>
          </w:tcPr>
          <w:p w14:paraId="3C108F9C" w14:textId="77777777" w:rsidR="005C4A70" w:rsidRPr="009E7223" w:rsidRDefault="005C4A70" w:rsidP="00A63114">
            <w:pPr>
              <w:pStyle w:val="BodyText"/>
              <w:ind w:firstLine="122"/>
              <w:jc w:val="center"/>
            </w:pPr>
            <w:r>
              <w:t>10</w:t>
            </w:r>
          </w:p>
        </w:tc>
        <w:tc>
          <w:tcPr>
            <w:tcW w:w="964" w:type="dxa"/>
          </w:tcPr>
          <w:p w14:paraId="62621BAD" w14:textId="77777777" w:rsidR="005C4A70" w:rsidRPr="009E7223" w:rsidRDefault="005C4A70" w:rsidP="00A63114">
            <w:pPr>
              <w:pStyle w:val="BodyText"/>
              <w:ind w:firstLine="122"/>
              <w:jc w:val="center"/>
            </w:pPr>
            <w:r>
              <w:t>7</w:t>
            </w:r>
          </w:p>
        </w:tc>
        <w:tc>
          <w:tcPr>
            <w:tcW w:w="1002" w:type="dxa"/>
          </w:tcPr>
          <w:p w14:paraId="68CCAB0A" w14:textId="77777777" w:rsidR="005C4A70" w:rsidRPr="009E7223" w:rsidRDefault="005C4A70" w:rsidP="00A63114">
            <w:pPr>
              <w:pStyle w:val="BodyText"/>
              <w:ind w:firstLine="117"/>
              <w:jc w:val="center"/>
            </w:pPr>
            <w:r>
              <w:t>4</w:t>
            </w:r>
          </w:p>
        </w:tc>
        <w:tc>
          <w:tcPr>
            <w:tcW w:w="1257" w:type="dxa"/>
          </w:tcPr>
          <w:p w14:paraId="0ECA8DC1" w14:textId="77777777" w:rsidR="005C4A70" w:rsidRPr="00BE02F6" w:rsidRDefault="005C4A70" w:rsidP="00A63114">
            <w:pPr>
              <w:pStyle w:val="BodyText"/>
              <w:ind w:firstLine="117"/>
              <w:jc w:val="center"/>
              <w:rPr>
                <w:b/>
                <w:bCs/>
              </w:rPr>
            </w:pPr>
            <w:r>
              <w:rPr>
                <w:b/>
                <w:bCs/>
              </w:rPr>
              <w:t>21</w:t>
            </w:r>
          </w:p>
        </w:tc>
      </w:tr>
      <w:tr w:rsidR="005C4A70" w:rsidRPr="00BE02F6" w14:paraId="2D0E38EE" w14:textId="77777777" w:rsidTr="00A63114">
        <w:tc>
          <w:tcPr>
            <w:tcW w:w="5006" w:type="dxa"/>
          </w:tcPr>
          <w:p w14:paraId="0322F1D5" w14:textId="77777777" w:rsidR="005C4A70" w:rsidRPr="00182790" w:rsidRDefault="005C4A70" w:rsidP="00A63114">
            <w:pPr>
              <w:pStyle w:val="BodyText"/>
              <w:jc w:val="left"/>
            </w:pPr>
            <w:r>
              <w:t>7.  Do you agree with the proposed new services (including the de-stigmatisation initiative), innovations pilots and investments?</w:t>
            </w:r>
          </w:p>
        </w:tc>
        <w:tc>
          <w:tcPr>
            <w:tcW w:w="980" w:type="dxa"/>
          </w:tcPr>
          <w:p w14:paraId="6EA4178C" w14:textId="77777777" w:rsidR="005C4A70" w:rsidRPr="009E7223" w:rsidRDefault="005C4A70" w:rsidP="00A63114">
            <w:pPr>
              <w:pStyle w:val="BodyText"/>
              <w:ind w:firstLine="122"/>
              <w:jc w:val="center"/>
            </w:pPr>
            <w:r>
              <w:t>11</w:t>
            </w:r>
          </w:p>
        </w:tc>
        <w:tc>
          <w:tcPr>
            <w:tcW w:w="964" w:type="dxa"/>
          </w:tcPr>
          <w:p w14:paraId="28284548" w14:textId="77777777" w:rsidR="005C4A70" w:rsidRPr="009E7223" w:rsidRDefault="005C4A70" w:rsidP="00A63114">
            <w:pPr>
              <w:pStyle w:val="BodyText"/>
              <w:ind w:firstLine="122"/>
              <w:jc w:val="center"/>
            </w:pPr>
            <w:r>
              <w:t>8</w:t>
            </w:r>
          </w:p>
        </w:tc>
        <w:tc>
          <w:tcPr>
            <w:tcW w:w="1002" w:type="dxa"/>
          </w:tcPr>
          <w:p w14:paraId="2BF6A975" w14:textId="77777777" w:rsidR="005C4A70" w:rsidRPr="009E7223" w:rsidRDefault="005C4A70" w:rsidP="00A63114">
            <w:pPr>
              <w:pStyle w:val="BodyText"/>
              <w:ind w:firstLine="117"/>
              <w:jc w:val="center"/>
            </w:pPr>
            <w:r>
              <w:t>12</w:t>
            </w:r>
          </w:p>
        </w:tc>
        <w:tc>
          <w:tcPr>
            <w:tcW w:w="1257" w:type="dxa"/>
          </w:tcPr>
          <w:p w14:paraId="30CFC03A" w14:textId="77777777" w:rsidR="005C4A70" w:rsidRPr="00BE02F6" w:rsidRDefault="005C4A70" w:rsidP="00A63114">
            <w:pPr>
              <w:pStyle w:val="BodyText"/>
              <w:ind w:firstLine="117"/>
              <w:jc w:val="center"/>
              <w:rPr>
                <w:b/>
                <w:bCs/>
              </w:rPr>
            </w:pPr>
            <w:r>
              <w:rPr>
                <w:b/>
                <w:bCs/>
              </w:rPr>
              <w:t>31</w:t>
            </w:r>
          </w:p>
        </w:tc>
      </w:tr>
      <w:tr w:rsidR="005C4A70" w:rsidRPr="00BE02F6" w14:paraId="62B163CC" w14:textId="77777777" w:rsidTr="00A63114">
        <w:tc>
          <w:tcPr>
            <w:tcW w:w="5006" w:type="dxa"/>
          </w:tcPr>
          <w:p w14:paraId="15AABD5C" w14:textId="77777777" w:rsidR="005C4A70" w:rsidRPr="00182790" w:rsidRDefault="005C4A70" w:rsidP="00A63114">
            <w:pPr>
              <w:pStyle w:val="BodyText"/>
              <w:jc w:val="left"/>
            </w:pPr>
            <w:r>
              <w:t>8.  Do you agree with the priorities for research and evaluation that have been outlined in the draft service plan?</w:t>
            </w:r>
          </w:p>
        </w:tc>
        <w:tc>
          <w:tcPr>
            <w:tcW w:w="980" w:type="dxa"/>
          </w:tcPr>
          <w:p w14:paraId="522F1D0E" w14:textId="77777777" w:rsidR="005C4A70" w:rsidRPr="009E7223" w:rsidRDefault="005C4A70" w:rsidP="00A63114">
            <w:pPr>
              <w:pStyle w:val="BodyText"/>
              <w:ind w:firstLine="122"/>
              <w:jc w:val="center"/>
            </w:pPr>
            <w:r>
              <w:t>10</w:t>
            </w:r>
          </w:p>
        </w:tc>
        <w:tc>
          <w:tcPr>
            <w:tcW w:w="964" w:type="dxa"/>
          </w:tcPr>
          <w:p w14:paraId="747A897C" w14:textId="77777777" w:rsidR="005C4A70" w:rsidRPr="009E7223" w:rsidRDefault="005C4A70" w:rsidP="00A63114">
            <w:pPr>
              <w:pStyle w:val="BodyText"/>
              <w:ind w:firstLine="122"/>
              <w:jc w:val="center"/>
            </w:pPr>
            <w:r>
              <w:t>4</w:t>
            </w:r>
          </w:p>
        </w:tc>
        <w:tc>
          <w:tcPr>
            <w:tcW w:w="1002" w:type="dxa"/>
          </w:tcPr>
          <w:p w14:paraId="1BF94D5D" w14:textId="77777777" w:rsidR="005C4A70" w:rsidRPr="009E7223" w:rsidRDefault="005C4A70" w:rsidP="00A63114">
            <w:pPr>
              <w:pStyle w:val="BodyText"/>
              <w:ind w:firstLine="117"/>
              <w:jc w:val="center"/>
            </w:pPr>
            <w:r>
              <w:t>8</w:t>
            </w:r>
          </w:p>
        </w:tc>
        <w:tc>
          <w:tcPr>
            <w:tcW w:w="1257" w:type="dxa"/>
          </w:tcPr>
          <w:p w14:paraId="4619B13E" w14:textId="77777777" w:rsidR="005C4A70" w:rsidRPr="00BE02F6" w:rsidRDefault="005C4A70" w:rsidP="00A63114">
            <w:pPr>
              <w:pStyle w:val="BodyText"/>
              <w:ind w:firstLine="117"/>
              <w:jc w:val="center"/>
              <w:rPr>
                <w:b/>
                <w:bCs/>
              </w:rPr>
            </w:pPr>
            <w:r>
              <w:rPr>
                <w:b/>
                <w:bCs/>
              </w:rPr>
              <w:t>22</w:t>
            </w:r>
          </w:p>
        </w:tc>
      </w:tr>
    </w:tbl>
    <w:p w14:paraId="4A4E85DD" w14:textId="004666D2" w:rsidR="005C4A70" w:rsidRDefault="005C4A70" w:rsidP="005C4A70">
      <w:pPr>
        <w:pStyle w:val="BodyText"/>
      </w:pPr>
      <w:r>
        <w:t xml:space="preserve">Fifty-three submitters commented </w:t>
      </w:r>
      <w:r w:rsidR="00BC6A2C">
        <w:t xml:space="preserve">on </w:t>
      </w:r>
      <w:r>
        <w:t>the draft service plan, including 15 NCGM submitters, 14 service providers, 13 health and social services submitters, four gambling industry submitters, four individuals, two local government submitters, and one government submitter.</w:t>
      </w:r>
      <w:r>
        <w:rPr>
          <w:rStyle w:val="FootnoteReference"/>
        </w:rPr>
        <w:footnoteReference w:id="401"/>
      </w:r>
    </w:p>
    <w:p w14:paraId="417259AF" w14:textId="77777777" w:rsidR="005C4A70" w:rsidRDefault="005C4A70" w:rsidP="005C4A70"/>
    <w:p w14:paraId="672E324D" w14:textId="67EF4D5B" w:rsidR="00B6128E" w:rsidRDefault="00B6128E" w:rsidP="0021247E">
      <w:pPr>
        <w:pStyle w:val="Caption"/>
        <w:keepNext/>
      </w:pPr>
      <w:bookmarkStart w:id="79" w:name="_Ref87020091"/>
      <w:bookmarkStart w:id="80" w:name="_Toc88637645"/>
      <w:r>
        <w:lastRenderedPageBreak/>
        <w:t xml:space="preserve">Figure </w:t>
      </w:r>
      <w:r>
        <w:fldChar w:fldCharType="begin"/>
      </w:r>
      <w:r>
        <w:instrText xml:space="preserve"> SEQ Figure \* ARABIC </w:instrText>
      </w:r>
      <w:r>
        <w:fldChar w:fldCharType="separate"/>
      </w:r>
      <w:r w:rsidR="00071098">
        <w:rPr>
          <w:noProof/>
        </w:rPr>
        <w:t>3</w:t>
      </w:r>
      <w:r>
        <w:fldChar w:fldCharType="end"/>
      </w:r>
      <w:bookmarkEnd w:id="79"/>
      <w:r w:rsidR="000C68A6">
        <w:t xml:space="preserve">: </w:t>
      </w:r>
      <w:r>
        <w:t xml:space="preserve">Number of submitters, by sector, </w:t>
      </w:r>
      <w:r w:rsidR="00B558AF">
        <w:t xml:space="preserve">who commented </w:t>
      </w:r>
      <w:r>
        <w:t>on the draft service plan</w:t>
      </w:r>
      <w:bookmarkEnd w:id="80"/>
    </w:p>
    <w:p w14:paraId="23DE2F47" w14:textId="530B595C" w:rsidR="00690174" w:rsidRDefault="00690174" w:rsidP="005C4A70">
      <w:r>
        <w:rPr>
          <w:noProof/>
        </w:rPr>
        <w:drawing>
          <wp:inline distT="0" distB="0" distL="0" distR="0" wp14:anchorId="757011BC" wp14:editId="60E60536">
            <wp:extent cx="5712460" cy="4814570"/>
            <wp:effectExtent l="0" t="0" r="2540" b="508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rotWithShape="1">
                    <a:blip r:embed="rId17">
                      <a:extLst>
                        <a:ext uri="{28A0092B-C50C-407E-A947-70E740481C1C}">
                          <a14:useLocalDpi xmlns:a14="http://schemas.microsoft.com/office/drawing/2010/main" val="0"/>
                        </a:ext>
                      </a:extLst>
                    </a:blip>
                    <a:srcRect l="827"/>
                    <a:stretch/>
                  </pic:blipFill>
                  <pic:spPr bwMode="auto">
                    <a:xfrm>
                      <a:off x="0" y="0"/>
                      <a:ext cx="5712460" cy="4814570"/>
                    </a:xfrm>
                    <a:prstGeom prst="rect">
                      <a:avLst/>
                    </a:prstGeom>
                    <a:ln>
                      <a:noFill/>
                    </a:ln>
                    <a:extLst>
                      <a:ext uri="{53640926-AAD7-44D8-BBD7-CCE9431645EC}">
                        <a14:shadowObscured xmlns:a14="http://schemas.microsoft.com/office/drawing/2010/main"/>
                      </a:ext>
                    </a:extLst>
                  </pic:spPr>
                </pic:pic>
              </a:graphicData>
            </a:graphic>
          </wp:inline>
        </w:drawing>
      </w:r>
    </w:p>
    <w:p w14:paraId="25E4454F" w14:textId="77777777" w:rsidR="005C4A70" w:rsidRDefault="005C4A70" w:rsidP="005C4A70">
      <w:pPr>
        <w:pStyle w:val="NumberedHeading2"/>
      </w:pPr>
      <w:bookmarkStart w:id="81" w:name="_Toc88637576"/>
      <w:r w:rsidRPr="009E7223">
        <w:t xml:space="preserve">The degree of support for the </w:t>
      </w:r>
      <w:bookmarkEnd w:id="78"/>
      <w:r>
        <w:t>draft</w:t>
      </w:r>
      <w:r w:rsidRPr="009E7223">
        <w:t xml:space="preserve"> </w:t>
      </w:r>
      <w:r>
        <w:t>service plan</w:t>
      </w:r>
      <w:bookmarkEnd w:id="81"/>
    </w:p>
    <w:p w14:paraId="4143BCD1" w14:textId="77777777" w:rsidR="005C4A70" w:rsidRDefault="005C4A70" w:rsidP="005C4A70">
      <w:pPr>
        <w:pStyle w:val="BodyText"/>
      </w:pPr>
      <w:r>
        <w:t xml:space="preserve">Around half (16 out of 31) of the submitters who commented on the draft service plan supported it to some degree. Of those, 12 provided a simple “Yes” answer to Question 5. A further 5 expressed qualified support for the draft service plan (i.e. they supported it, but also commented on how it could be enhanced). </w:t>
      </w:r>
    </w:p>
    <w:p w14:paraId="5EAF84F3" w14:textId="77777777" w:rsidR="005C4A70" w:rsidRDefault="005C4A70" w:rsidP="005C4A70">
      <w:pPr>
        <w:pStyle w:val="BodyText"/>
      </w:pPr>
      <w:r>
        <w:t>Submitters who did not support the draft service plan wanted to see:</w:t>
      </w:r>
    </w:p>
    <w:p w14:paraId="0E8C551E" w14:textId="77777777" w:rsidR="005C4A70" w:rsidRDefault="005C4A70" w:rsidP="005C4A70">
      <w:pPr>
        <w:pStyle w:val="List-BulletLvl1"/>
      </w:pPr>
      <w:r>
        <w:t>more inclusion of culturally appropriate services</w:t>
      </w:r>
    </w:p>
    <w:p w14:paraId="38AA1686" w14:textId="77777777" w:rsidR="005C4A70" w:rsidRDefault="005C4A70" w:rsidP="005C4A70">
      <w:pPr>
        <w:pStyle w:val="List-BulletLvl1"/>
      </w:pPr>
      <w:r>
        <w:t>better and more accessible face-to-face services</w:t>
      </w:r>
    </w:p>
    <w:p w14:paraId="702ED61D" w14:textId="77777777" w:rsidR="005C4A70" w:rsidRDefault="005C4A70" w:rsidP="005C4A70">
      <w:pPr>
        <w:pStyle w:val="List-BulletLvl1"/>
      </w:pPr>
      <w:r>
        <w:t>better performance of the National Gambling Helpline/Homecare Medical</w:t>
      </w:r>
    </w:p>
    <w:p w14:paraId="4FD902A8" w14:textId="77777777" w:rsidR="005C4A70" w:rsidRDefault="005C4A70" w:rsidP="005C4A70">
      <w:pPr>
        <w:pStyle w:val="List-BulletLvl1"/>
      </w:pPr>
      <w:r>
        <w:t xml:space="preserve">services providing longer term support </w:t>
      </w:r>
    </w:p>
    <w:p w14:paraId="5347C511" w14:textId="77777777" w:rsidR="005C4A70" w:rsidRDefault="005C4A70" w:rsidP="005C4A70">
      <w:pPr>
        <w:pStyle w:val="List-BulletLvl1"/>
      </w:pPr>
      <w:r>
        <w:t xml:space="preserve">alternative approaches to the service plan. </w:t>
      </w:r>
    </w:p>
    <w:p w14:paraId="035FF572" w14:textId="77777777" w:rsidR="005C4A70" w:rsidRPr="00E70A41" w:rsidRDefault="005C4A70" w:rsidP="005C4A70">
      <w:pPr>
        <w:pStyle w:val="BodyText"/>
      </w:pPr>
      <w:r>
        <w:t xml:space="preserve">Each of these themes are discussed in the sections below. </w:t>
      </w:r>
    </w:p>
    <w:p w14:paraId="1357C8D8" w14:textId="604A91EE" w:rsidR="005C4A70" w:rsidRDefault="008C4AB1" w:rsidP="005C4A70">
      <w:pPr>
        <w:pStyle w:val="NumberedHeading3"/>
      </w:pPr>
      <w:bookmarkStart w:id="82" w:name="_Toc88637577"/>
      <w:r>
        <w:lastRenderedPageBreak/>
        <w:t>H</w:t>
      </w:r>
      <w:r w:rsidR="005C4A70">
        <w:t>alf of the submitters who commented on the draft service plan supported it to some degree</w:t>
      </w:r>
      <w:bookmarkEnd w:id="82"/>
    </w:p>
    <w:p w14:paraId="63119A6B" w14:textId="77777777" w:rsidR="005C4A70" w:rsidRDefault="005C4A70" w:rsidP="005C4A70">
      <w:pPr>
        <w:pStyle w:val="BodyText"/>
      </w:pPr>
      <w:r w:rsidRPr="00114070">
        <w:t xml:space="preserve">Seven submitters including four service providers, two </w:t>
      </w:r>
      <w:r>
        <w:t>gambling industry</w:t>
      </w:r>
      <w:r w:rsidRPr="00114070">
        <w:t xml:space="preserve"> submitters</w:t>
      </w:r>
      <w:r>
        <w:t xml:space="preserve"> and</w:t>
      </w:r>
      <w:r w:rsidRPr="00114070">
        <w:t xml:space="preserve"> one health and social services submitter offered further comments in support of the </w:t>
      </w:r>
      <w:r>
        <w:t>draft service plan.</w:t>
      </w:r>
      <w:r w:rsidRPr="00114070">
        <w:rPr>
          <w:rStyle w:val="FootnoteReference"/>
        </w:rPr>
        <w:footnoteReference w:id="402"/>
      </w:r>
      <w:r>
        <w:t xml:space="preserve"> The health and social services submitter</w:t>
      </w:r>
      <w:r>
        <w:rPr>
          <w:rStyle w:val="FootnoteReference"/>
        </w:rPr>
        <w:footnoteReference w:id="403"/>
      </w:r>
      <w:r>
        <w:t xml:space="preserve"> and one service provider</w:t>
      </w:r>
      <w:r>
        <w:rPr>
          <w:rStyle w:val="FootnoteReference"/>
        </w:rPr>
        <w:footnoteReference w:id="404"/>
      </w:r>
      <w:r>
        <w:t xml:space="preserve"> supported the service plan in its proposed focus and investments for priority populations, stating the importance of continuing with this progression of change in order to reach and improve health benefits for all. </w:t>
      </w:r>
    </w:p>
    <w:p w14:paraId="355DEA37" w14:textId="77777777" w:rsidR="005C4A70" w:rsidRDefault="005C4A70" w:rsidP="005C4A70">
      <w:pPr>
        <w:pStyle w:val="List-BulletLvl1"/>
        <w:numPr>
          <w:ilvl w:val="0"/>
          <w:numId w:val="0"/>
        </w:numPr>
      </w:pPr>
      <w:r>
        <w:t>One service provider who did not support the draft service plan commented that it was not explicit as to how the Ministry would achieve its commitment to improving service access to all people affected by gambling harm. This provider also stated that they supported continued funding for the National Coordination Service (NCS) but noted that the NCS was not always a key support for PMGH services, as while they provide alerts for significant developments, they do not always do so in a timely manner.</w:t>
      </w:r>
      <w:r>
        <w:rPr>
          <w:rStyle w:val="FootnoteReference"/>
        </w:rPr>
        <w:footnoteReference w:id="405"/>
      </w:r>
    </w:p>
    <w:p w14:paraId="6EEF16AC" w14:textId="77777777" w:rsidR="005C4A70" w:rsidRPr="00B530F7" w:rsidRDefault="005C4A70" w:rsidP="005C4A70">
      <w:pPr>
        <w:pStyle w:val="CV-Heading2"/>
        <w:rPr>
          <w:i/>
          <w:iCs/>
        </w:rPr>
      </w:pPr>
      <w:r>
        <w:rPr>
          <w:i/>
          <w:iCs/>
        </w:rPr>
        <w:t>Submitters expressed</w:t>
      </w:r>
      <w:r w:rsidRPr="00B530F7">
        <w:rPr>
          <w:i/>
          <w:iCs/>
        </w:rPr>
        <w:t xml:space="preserve"> qualified supported for the draft service plan</w:t>
      </w:r>
    </w:p>
    <w:p w14:paraId="6545A464" w14:textId="77777777" w:rsidR="005C4A70" w:rsidRDefault="005C4A70" w:rsidP="005C4A70">
      <w:pPr>
        <w:pStyle w:val="BodyText"/>
      </w:pPr>
      <w:r>
        <w:t>Four submitters expressed qualified support for the draft service plan.</w:t>
      </w:r>
      <w:r>
        <w:rPr>
          <w:rStyle w:val="FootnoteReference"/>
        </w:rPr>
        <w:footnoteReference w:id="406"/>
      </w:r>
      <w:r>
        <w:t xml:space="preserve"> These submitters supported the draft service plan with the following conditions:</w:t>
      </w:r>
    </w:p>
    <w:p w14:paraId="3BC07D59" w14:textId="77777777" w:rsidR="005C4A70" w:rsidRDefault="005C4A70" w:rsidP="00332A5D">
      <w:pPr>
        <w:pStyle w:val="List-BulletLvl1"/>
      </w:pPr>
      <w:r>
        <w:t>the draft service plan would benefit from further information and indication as to which types of technology would be enabled and accessed via the Technology fund (one gambling industry submitter)</w:t>
      </w:r>
      <w:r>
        <w:rPr>
          <w:rStyle w:val="FootnoteReference"/>
        </w:rPr>
        <w:footnoteReference w:id="407"/>
      </w:r>
    </w:p>
    <w:p w14:paraId="6295A42F" w14:textId="77777777" w:rsidR="005C4A70" w:rsidRDefault="005C4A70" w:rsidP="0021247E">
      <w:pPr>
        <w:pStyle w:val="List-BulletLvl1"/>
      </w:pPr>
      <w:r>
        <w:t>Health Improvement Practitioners or Health Coaches could be an access point to seek help for hambling-related harm in primary care settings (one health and social services submitter)</w:t>
      </w:r>
      <w:r>
        <w:rPr>
          <w:rStyle w:val="FootnoteReference"/>
        </w:rPr>
        <w:footnoteReference w:id="408"/>
      </w:r>
      <w:r>
        <w:t xml:space="preserve">  </w:t>
      </w:r>
    </w:p>
    <w:p w14:paraId="21C88BA6" w14:textId="185D1865" w:rsidR="005C4A70" w:rsidRDefault="005C4A70" w:rsidP="0021247E">
      <w:pPr>
        <w:pStyle w:val="List-BulletLvl1"/>
      </w:pPr>
      <w:r>
        <w:t xml:space="preserve">the opportunity to provide clinical intervention services within prisons and youth justice facilities should also come with early identification and interventions to those with gambling problems in Te Whare Whakapiki Wairua and community corrections </w:t>
      </w:r>
      <w:r w:rsidR="00BC6A2C">
        <w:t xml:space="preserve">services </w:t>
      </w:r>
      <w:r>
        <w:t>(one health and social services submitter)</w:t>
      </w:r>
      <w:r>
        <w:rPr>
          <w:rStyle w:val="FootnoteReference"/>
        </w:rPr>
        <w:footnoteReference w:id="409"/>
      </w:r>
      <w:r>
        <w:t xml:space="preserve">  </w:t>
      </w:r>
    </w:p>
    <w:p w14:paraId="25A21A5A" w14:textId="77777777" w:rsidR="005C4A70" w:rsidRDefault="005C4A70" w:rsidP="0021247E">
      <w:pPr>
        <w:pStyle w:val="List-BulletLvl1"/>
      </w:pPr>
      <w:r>
        <w:t>the proposal in the draft service plan to collaborate and co-design with priority population groups and people with lived experience was good but the Ministry should include specific consideration of the action areas in a whānau context, including the involvement of tamariki (one health and social services submitter).</w:t>
      </w:r>
      <w:r>
        <w:rPr>
          <w:rStyle w:val="FootnoteReference"/>
        </w:rPr>
        <w:footnoteReference w:id="410"/>
      </w:r>
    </w:p>
    <w:p w14:paraId="56D9A744" w14:textId="77777777" w:rsidR="005C4A70" w:rsidRPr="00D25295" w:rsidRDefault="005C4A70" w:rsidP="005C4A70">
      <w:pPr>
        <w:pStyle w:val="NumberedHeading3"/>
        <w:autoSpaceDE w:val="0"/>
        <w:autoSpaceDN w:val="0"/>
        <w:adjustRightInd w:val="0"/>
        <w:spacing w:line="269" w:lineRule="auto"/>
        <w:jc w:val="both"/>
      </w:pPr>
      <w:bookmarkStart w:id="83" w:name="_Toc88637578"/>
      <w:r>
        <w:t>Submitters from across sectors wanted to see more culturally appropriate services</w:t>
      </w:r>
      <w:bookmarkEnd w:id="83"/>
      <w:r>
        <w:t xml:space="preserve"> </w:t>
      </w:r>
    </w:p>
    <w:p w14:paraId="76F2BADC" w14:textId="77777777" w:rsidR="005C4A70" w:rsidRDefault="005C4A70" w:rsidP="005C4A70">
      <w:pPr>
        <w:pStyle w:val="BodyText"/>
      </w:pPr>
      <w:r>
        <w:t>Twelve</w:t>
      </w:r>
      <w:r w:rsidRPr="00643C11">
        <w:t xml:space="preserve"> submitters </w:t>
      </w:r>
      <w:r>
        <w:t xml:space="preserve">including six service providers, three health and social services submitters, two individuals and one local government submitter </w:t>
      </w:r>
      <w:r w:rsidRPr="00643C11">
        <w:t xml:space="preserve">commented on the need for more culturally </w:t>
      </w:r>
      <w:r w:rsidRPr="00643C11">
        <w:lastRenderedPageBreak/>
        <w:t>appropriate services</w:t>
      </w:r>
      <w:r>
        <w:t>, including culturally appropriate services for Māori, culturally appropriate peer support and cultural safety in general PMGH services</w:t>
      </w:r>
      <w:r w:rsidRPr="00643C11">
        <w:t>.</w:t>
      </w:r>
      <w:r w:rsidRPr="00643C11">
        <w:rPr>
          <w:rStyle w:val="FootnoteReference"/>
        </w:rPr>
        <w:footnoteReference w:id="411"/>
      </w:r>
      <w:r>
        <w:t xml:space="preserve"> Submitters made the following general comments about culturally appropriate services:</w:t>
      </w:r>
    </w:p>
    <w:p w14:paraId="58F77DFC" w14:textId="77777777" w:rsidR="005C4A70" w:rsidRDefault="005C4A70" w:rsidP="0021247E">
      <w:pPr>
        <w:pStyle w:val="List-BulletLvl1"/>
      </w:pPr>
      <w:r>
        <w:t>in addition to the strategy’s greater investment in culturally appropriate services and approaches, there should be culturally mandated services as first referral options (one health and social services submitter)</w:t>
      </w:r>
      <w:r>
        <w:rPr>
          <w:rStyle w:val="FootnoteReference"/>
        </w:rPr>
        <w:footnoteReference w:id="412"/>
      </w:r>
    </w:p>
    <w:p w14:paraId="29A91453" w14:textId="32CC6108" w:rsidR="005C4A70" w:rsidRDefault="005C4A70" w:rsidP="0021247E">
      <w:pPr>
        <w:pStyle w:val="List-BulletLvl1"/>
      </w:pPr>
      <w:r>
        <w:t xml:space="preserve">there should be specific funding commitments for </w:t>
      </w:r>
      <w:r w:rsidR="00B17E91">
        <w:t>K</w:t>
      </w:r>
      <w:r>
        <w:t>aupapa Māori, Pacific, and Asian services (one health and social services submitter)</w:t>
      </w:r>
      <w:r>
        <w:rPr>
          <w:rStyle w:val="FootnoteReference"/>
        </w:rPr>
        <w:footnoteReference w:id="413"/>
      </w:r>
    </w:p>
    <w:p w14:paraId="567D7D95" w14:textId="77AD77B3" w:rsidR="005C4A70" w:rsidRDefault="005C4A70" w:rsidP="0021247E">
      <w:pPr>
        <w:pStyle w:val="List-BulletLvl1"/>
      </w:pPr>
      <w:r>
        <w:t>a service provider queried what modelling data would be used in the proposal to spread the development of Kaupapa Māori services (one service provider).</w:t>
      </w:r>
      <w:r>
        <w:rPr>
          <w:rStyle w:val="FootnoteReference"/>
        </w:rPr>
        <w:footnoteReference w:id="414"/>
      </w:r>
    </w:p>
    <w:p w14:paraId="27479745" w14:textId="77777777" w:rsidR="005C4A70" w:rsidRPr="004D6308" w:rsidRDefault="005C4A70" w:rsidP="005C4A70">
      <w:pPr>
        <w:pStyle w:val="CV-Heading2"/>
        <w:rPr>
          <w:i/>
          <w:iCs/>
        </w:rPr>
      </w:pPr>
      <w:r>
        <w:rPr>
          <w:i/>
          <w:iCs/>
        </w:rPr>
        <w:t>Submitters wanted to see c</w:t>
      </w:r>
      <w:r w:rsidRPr="004D6308">
        <w:rPr>
          <w:i/>
          <w:iCs/>
        </w:rPr>
        <w:t>ulturally appropriate services for Māori</w:t>
      </w:r>
    </w:p>
    <w:p w14:paraId="0082F941" w14:textId="52F2D0C9" w:rsidR="005C4A70" w:rsidRPr="00D25295" w:rsidRDefault="005C4A70" w:rsidP="005C4A70">
      <w:pPr>
        <w:pStyle w:val="BodyText"/>
      </w:pPr>
      <w:r>
        <w:t>Five submitters commented specifically on the development of culturally appropriate services for M</w:t>
      </w:r>
      <w:r w:rsidR="003758C2">
        <w:t>ā</w:t>
      </w:r>
      <w:r>
        <w:t>ori.</w:t>
      </w:r>
      <w:r>
        <w:rPr>
          <w:rStyle w:val="FootnoteReference"/>
        </w:rPr>
        <w:footnoteReference w:id="415"/>
      </w:r>
    </w:p>
    <w:p w14:paraId="3BA0D528" w14:textId="71DA73E2" w:rsidR="005C4A70" w:rsidRDefault="005C4A70" w:rsidP="005C4A70">
      <w:pPr>
        <w:pStyle w:val="BodyText"/>
      </w:pPr>
      <w:r>
        <w:t>Two service providers, one local government submitter and an individual wanted to ensure that Kaupapa Māori services would be delivered to communities in need first, in alignment with services and support already operating in these areas.</w:t>
      </w:r>
      <w:r>
        <w:rPr>
          <w:rStyle w:val="FootnoteReference"/>
        </w:rPr>
        <w:footnoteReference w:id="416"/>
      </w:r>
      <w:r>
        <w:t xml:space="preserve"> One service provider cited the fact that NCS service utilisation data from Te Matau-a-Maui Hawke’s Bay show around double the pro rata population size, showing a greater need for Kaupapa Māori services in the region and a need for this to be taken into account when allocating FTE to regional services.</w:t>
      </w:r>
      <w:r>
        <w:rPr>
          <w:rStyle w:val="FootnoteReference"/>
        </w:rPr>
        <w:footnoteReference w:id="417"/>
      </w:r>
      <w:r>
        <w:t xml:space="preserve"> One service provider recommended an increased use of alternative support staff such as kaiawhina/mataora as smaller regions face recruitment challenges in recognising these roles despite them playing a vital support role for these communities.</w:t>
      </w:r>
      <w:r>
        <w:rPr>
          <w:rStyle w:val="FootnoteReference"/>
        </w:rPr>
        <w:footnoteReference w:id="418"/>
      </w:r>
      <w:r>
        <w:t xml:space="preserve">  Another service provider called for clearer information about how services and programmes would be implemented to best achieve primary prevention and address inequities, and made some suggestions:</w:t>
      </w:r>
      <w:r>
        <w:rPr>
          <w:rStyle w:val="FootnoteReference"/>
        </w:rPr>
        <w:footnoteReference w:id="419"/>
      </w:r>
    </w:p>
    <w:p w14:paraId="241E2F42" w14:textId="77777777" w:rsidR="005C4A70" w:rsidRDefault="005C4A70" w:rsidP="005C4A70">
      <w:pPr>
        <w:pStyle w:val="BodyText"/>
        <w:ind w:left="720"/>
      </w:pPr>
      <w:r>
        <w:t>“</w:t>
      </w:r>
      <w:r w:rsidRPr="0021247E">
        <w:rPr>
          <w:i/>
        </w:rPr>
        <w:t>For awareness and education programmes, we encourage the Ministry to adopt creative and innovative approaches when working with priority populations. For example, public health activities undertaken with Māori are often in the form of wānanga, which covers a range of Kaupapa and can vary over time. We highlight that there needs to be an acknowledgement of this tikanga which is reflected in the financial support of such culturally appropriate activities. These activities create deeper and more meaningful connections and will ultimately help shift cultural and social norms around gambling</w:t>
      </w:r>
      <w:r>
        <w:t>.”</w:t>
      </w:r>
    </w:p>
    <w:p w14:paraId="3507C01C" w14:textId="77777777" w:rsidR="005C4A70" w:rsidRPr="004D6308" w:rsidRDefault="005C4A70" w:rsidP="005C4A70">
      <w:pPr>
        <w:pStyle w:val="CV-Heading2"/>
        <w:rPr>
          <w:i/>
          <w:iCs/>
        </w:rPr>
      </w:pPr>
      <w:r w:rsidRPr="004D6308">
        <w:rPr>
          <w:i/>
          <w:iCs/>
        </w:rPr>
        <w:t>Submitters wanted to see culturally appropriate peer support services</w:t>
      </w:r>
    </w:p>
    <w:p w14:paraId="0561B071" w14:textId="77777777" w:rsidR="005C4A70" w:rsidRDefault="005C4A70" w:rsidP="005C4A70">
      <w:pPr>
        <w:pStyle w:val="BodyText"/>
      </w:pPr>
      <w:r>
        <w:t>Four submitters, including two service providers and two health and social services submitters commented specifically in support of ensuring peer support services are culturally appropriate:</w:t>
      </w:r>
      <w:r>
        <w:rPr>
          <w:rStyle w:val="FootnoteReference"/>
        </w:rPr>
        <w:footnoteReference w:id="420"/>
      </w:r>
    </w:p>
    <w:p w14:paraId="0FBA905B" w14:textId="77777777" w:rsidR="005C4A70" w:rsidRDefault="005C4A70" w:rsidP="005C4A70">
      <w:pPr>
        <w:pStyle w:val="List-BulletLvl1"/>
      </w:pPr>
      <w:r>
        <w:lastRenderedPageBreak/>
        <w:t>those in the Asian community who experience gambling harm often do so at casino tables rather than NCGMs, so peer support in the context of the Asian community needs to match not only by culture but by gambling mode and setting (one service provider)</w:t>
      </w:r>
      <w:r>
        <w:rPr>
          <w:rStyle w:val="FootnoteReference"/>
        </w:rPr>
        <w:footnoteReference w:id="421"/>
      </w:r>
    </w:p>
    <w:p w14:paraId="0340BA78" w14:textId="4952EAD9" w:rsidR="005C4A70" w:rsidRDefault="005C4A70" w:rsidP="005C4A70">
      <w:pPr>
        <w:pStyle w:val="List-BulletLvl1"/>
      </w:pPr>
      <w:r>
        <w:t xml:space="preserve">the development of the peer support workforce should </w:t>
      </w:r>
      <w:r w:rsidR="002E3BB7">
        <w:t>be extended</w:t>
      </w:r>
      <w:r>
        <w:t xml:space="preserve"> to the development of support workers and cultural support positions (one health and social services submitter)</w:t>
      </w:r>
      <w:r>
        <w:rPr>
          <w:rStyle w:val="FootnoteReference"/>
        </w:rPr>
        <w:footnoteReference w:id="422"/>
      </w:r>
    </w:p>
    <w:p w14:paraId="653E450A" w14:textId="71A39100" w:rsidR="005C4A70" w:rsidRDefault="005C4A70" w:rsidP="005C4A70">
      <w:pPr>
        <w:pStyle w:val="List-BulletLvl1"/>
      </w:pPr>
      <w:r>
        <w:t>there need to be more Māori and Pacific peer support workers within the Peer Support Advisory Group (one service provider)</w:t>
      </w:r>
      <w:r>
        <w:rPr>
          <w:rStyle w:val="FootnoteReference"/>
        </w:rPr>
        <w:footnoteReference w:id="423"/>
      </w:r>
      <w:r>
        <w:t xml:space="preserve"> </w:t>
      </w:r>
    </w:p>
    <w:p w14:paraId="20EB7A5C" w14:textId="77777777" w:rsidR="005C4A70" w:rsidRDefault="005C4A70" w:rsidP="005C4A70">
      <w:pPr>
        <w:pStyle w:val="List-BulletLvl1"/>
      </w:pPr>
      <w:r>
        <w:t>the Ministry should look into funding and creating Peer Support, Consumer Advisor and Family Advisor FTE positions and services across the gambling workforce development space to better support and enhance the care of clients and families affected by gambling harm (one service provider).</w:t>
      </w:r>
      <w:r>
        <w:rPr>
          <w:rStyle w:val="FootnoteReference"/>
        </w:rPr>
        <w:footnoteReference w:id="424"/>
      </w:r>
    </w:p>
    <w:p w14:paraId="04C1F138" w14:textId="77777777" w:rsidR="005C4A70" w:rsidRPr="004D6308" w:rsidRDefault="005C4A70" w:rsidP="005C4A70">
      <w:pPr>
        <w:pStyle w:val="CV-Heading2"/>
        <w:rPr>
          <w:i/>
          <w:iCs/>
        </w:rPr>
      </w:pPr>
      <w:r w:rsidRPr="004D6308">
        <w:rPr>
          <w:i/>
          <w:iCs/>
        </w:rPr>
        <w:t xml:space="preserve">Submitters wanted better support to develop cultural safety in general PMGH services </w:t>
      </w:r>
    </w:p>
    <w:p w14:paraId="1F4FA3FF" w14:textId="77777777" w:rsidR="005C4A70" w:rsidRDefault="005C4A70" w:rsidP="005C4A70">
      <w:pPr>
        <w:pStyle w:val="BodyText"/>
      </w:pPr>
      <w:r>
        <w:t>Four service providers commented on strategies to improve cultural safety in general PMGH services.</w:t>
      </w:r>
      <w:r>
        <w:rPr>
          <w:rStyle w:val="FootnoteReference"/>
        </w:rPr>
        <w:footnoteReference w:id="425"/>
      </w:r>
      <w:r>
        <w:t xml:space="preserve"> </w:t>
      </w:r>
    </w:p>
    <w:p w14:paraId="4D533F62" w14:textId="77777777" w:rsidR="005C4A70" w:rsidRDefault="005C4A70" w:rsidP="005C4A70">
      <w:pPr>
        <w:pStyle w:val="BodyText"/>
      </w:pPr>
      <w:r>
        <w:t>One service provider recommended the Ministry work with service providers to customise their service delivery specifications in order to address the needs of whānau, hapū, iwi and hāpori Māori.</w:t>
      </w:r>
      <w:r>
        <w:rPr>
          <w:rStyle w:val="FootnoteReference"/>
        </w:rPr>
        <w:footnoteReference w:id="426"/>
      </w:r>
      <w:r>
        <w:t xml:space="preserve"> This submitter considered that this would allow for a more targeted approach to minimising and preventing gambling harm, as well as creating a sector that would be more responsive to whānau.</w:t>
      </w:r>
      <w:r>
        <w:rPr>
          <w:rStyle w:val="FootnoteReference"/>
        </w:rPr>
        <w:footnoteReference w:id="427"/>
      </w:r>
      <w:r>
        <w:t xml:space="preserve"> Another service provider commented that advice and feedback between the Ministry and NCS seemed to focus mostly on Māori, Pacific, and Asian services, and stated that while they understood this as part of the broader goal to reduce inequities, general services work with priority populations as well and need support to do so in a culturally appropriate way.</w:t>
      </w:r>
      <w:r>
        <w:rPr>
          <w:rStyle w:val="FootnoteReference"/>
        </w:rPr>
        <w:footnoteReference w:id="428"/>
      </w:r>
      <w:r>
        <w:t xml:space="preserve">   </w:t>
      </w:r>
    </w:p>
    <w:p w14:paraId="0DB372F6" w14:textId="77777777" w:rsidR="005C4A70" w:rsidRPr="00D25295" w:rsidRDefault="005C4A70" w:rsidP="005C4A70">
      <w:pPr>
        <w:pStyle w:val="NumberedHeading3"/>
        <w:autoSpaceDE w:val="0"/>
        <w:autoSpaceDN w:val="0"/>
        <w:adjustRightInd w:val="0"/>
        <w:spacing w:line="269" w:lineRule="auto"/>
        <w:jc w:val="both"/>
      </w:pPr>
      <w:bookmarkStart w:id="84" w:name="_Toc88637579"/>
      <w:r>
        <w:t>Service providers and NCGM submitters agreed that better and more accessible face-to-face support services were needed</w:t>
      </w:r>
      <w:bookmarkEnd w:id="84"/>
    </w:p>
    <w:p w14:paraId="384E1179" w14:textId="77777777" w:rsidR="005C4A70" w:rsidRPr="00B4724C" w:rsidRDefault="005C4A70" w:rsidP="005C4A70">
      <w:pPr>
        <w:pStyle w:val="BodyText"/>
      </w:pPr>
      <w:r>
        <w:t>Eleven</w:t>
      </w:r>
      <w:r w:rsidRPr="00AC488C">
        <w:t xml:space="preserve"> submitters including nine NCGM submitters and two</w:t>
      </w:r>
      <w:r w:rsidRPr="00AC488C">
        <w:rPr>
          <w:rFonts w:ascii="Avenir LT Std 45 Book" w:hAnsi="Avenir LT Std 45 Book" w:cs="Avenir LT Std 45 Book"/>
        </w:rPr>
        <w:t xml:space="preserve"> </w:t>
      </w:r>
      <w:r w:rsidRPr="00AC488C">
        <w:t>service providers discussed the role of face-to-face services in the PMGH sector.</w:t>
      </w:r>
      <w:r w:rsidRPr="00AC488C">
        <w:rPr>
          <w:rStyle w:val="FootnoteReference"/>
          <w:rFonts w:ascii="Avenir LT Std 45 Book" w:hAnsi="Avenir LT Std 45 Book" w:cs="Avenir LT Std 45 Book"/>
        </w:rPr>
        <w:footnoteReference w:id="429"/>
      </w:r>
      <w:r>
        <w:t xml:space="preserve"> </w:t>
      </w:r>
    </w:p>
    <w:p w14:paraId="26011B16" w14:textId="75304174" w:rsidR="005C4A70" w:rsidRPr="00B4724C" w:rsidRDefault="005C4A70" w:rsidP="005C4A70">
      <w:pPr>
        <w:pStyle w:val="BodyText"/>
      </w:pPr>
      <w:r w:rsidRPr="00B4724C">
        <w:t xml:space="preserve">The nine NCGM submitters commented that despite </w:t>
      </w:r>
      <w:r w:rsidR="00764F79">
        <w:t>the funding available (which they considered to be “vast”)</w:t>
      </w:r>
      <w:r w:rsidRPr="00B4724C">
        <w:t xml:space="preserve">, many townships outside of major cities do not have PMGH face-to-face counselling services, and that current PMGH services are either not equipped or </w:t>
      </w:r>
      <w:r>
        <w:t>“</w:t>
      </w:r>
      <w:r w:rsidRPr="00B4724C">
        <w:t>not willing</w:t>
      </w:r>
      <w:r>
        <w:t>”</w:t>
      </w:r>
      <w:r w:rsidRPr="00B4724C">
        <w:t xml:space="preserve"> to travel to clients who cannot come to the office or see clients after hours or on the weekend</w:t>
      </w:r>
      <w:r>
        <w:t>.</w:t>
      </w:r>
      <w:r w:rsidRPr="00E67C4B">
        <w:rPr>
          <w:rStyle w:val="FootnoteReference"/>
        </w:rPr>
        <w:footnoteReference w:id="430"/>
      </w:r>
      <w:r w:rsidRPr="00B4724C">
        <w:t xml:space="preserve"> These submitters </w:t>
      </w:r>
      <w:r>
        <w:t xml:space="preserve">all </w:t>
      </w:r>
      <w:r w:rsidRPr="00B4724C">
        <w:t>cited the fact that GMANZ had made an inquiry with a</w:t>
      </w:r>
      <w:r>
        <w:t xml:space="preserve"> large</w:t>
      </w:r>
      <w:r w:rsidRPr="00B4724C">
        <w:t xml:space="preserve"> service provider as to whether a counsellor could make a 44-minute drive from Hamilton to </w:t>
      </w:r>
      <w:r>
        <w:t>Ō</w:t>
      </w:r>
      <w:r w:rsidRPr="00B4724C">
        <w:t xml:space="preserve">torohanga on the weekend </w:t>
      </w:r>
      <w:r w:rsidRPr="00B4724C">
        <w:lastRenderedPageBreak/>
        <w:t>to see a client but were told the only option they could offer was remote support. These submitters stated that when people reach out for help, they are usually in crisis, and cannot afford to wait till business hours.</w:t>
      </w:r>
      <w:r w:rsidRPr="00E67C4B">
        <w:rPr>
          <w:rStyle w:val="FootnoteReference"/>
        </w:rPr>
        <w:footnoteReference w:id="431"/>
      </w:r>
      <w:r w:rsidRPr="00B4724C">
        <w:t xml:space="preserve"> One </w:t>
      </w:r>
      <w:r>
        <w:t xml:space="preserve">NCGM </w:t>
      </w:r>
      <w:r w:rsidRPr="00B4724C">
        <w:t>submitter</w:t>
      </w:r>
      <w:r>
        <w:t xml:space="preserve"> consider</w:t>
      </w:r>
      <w:r w:rsidRPr="00B4724C">
        <w:t>ed that current services are too complacent and are focused on anti-gambling advocacy rather than treating gambling harm.</w:t>
      </w:r>
      <w:r w:rsidRPr="00E67C4B">
        <w:rPr>
          <w:rStyle w:val="FootnoteReference"/>
        </w:rPr>
        <w:footnoteReference w:id="432"/>
      </w:r>
      <w:r w:rsidRPr="00E67C4B">
        <w:rPr>
          <w:vertAlign w:val="superscript"/>
        </w:rPr>
        <w:t xml:space="preserve"> </w:t>
      </w:r>
      <w:r w:rsidRPr="00B4724C">
        <w:t xml:space="preserve"> </w:t>
      </w:r>
    </w:p>
    <w:p w14:paraId="1378E373" w14:textId="77777777" w:rsidR="005C4A70" w:rsidRPr="00B4724C" w:rsidRDefault="005C4A70" w:rsidP="005C4A70">
      <w:pPr>
        <w:pStyle w:val="BodyText"/>
      </w:pPr>
      <w:r w:rsidRPr="00B4724C">
        <w:t xml:space="preserve">These </w:t>
      </w:r>
      <w:r>
        <w:t xml:space="preserve">NCGM </w:t>
      </w:r>
      <w:r w:rsidRPr="00B4724C">
        <w:t xml:space="preserve">submitters </w:t>
      </w:r>
      <w:r>
        <w:t>suggested the Ministry move away from the current service model and instead have treatment providers reduce set office hours and be on call.</w:t>
      </w:r>
      <w:r w:rsidRPr="00E67C4B">
        <w:rPr>
          <w:rStyle w:val="FootnoteReference"/>
        </w:rPr>
        <w:footnoteReference w:id="433"/>
      </w:r>
      <w:r w:rsidRPr="00E67C4B">
        <w:rPr>
          <w:vertAlign w:val="superscript"/>
        </w:rPr>
        <w:t xml:space="preserve"> </w:t>
      </w:r>
      <w:r>
        <w:t xml:space="preserve"> The NCGM submitters also considered that the Ministry’s contract with these providers should include a requirement to provide counselling afterhours/on weekends and for these providers to be fully mobile.</w:t>
      </w:r>
      <w:r w:rsidRPr="00ED55B4">
        <w:rPr>
          <w:rStyle w:val="FootnoteReference"/>
        </w:rPr>
        <w:t xml:space="preserve"> </w:t>
      </w:r>
      <w:r w:rsidRPr="00E67C4B">
        <w:rPr>
          <w:rStyle w:val="FootnoteReference"/>
        </w:rPr>
        <w:footnoteReference w:id="434"/>
      </w:r>
      <w:r w:rsidRPr="00E67C4B">
        <w:rPr>
          <w:vertAlign w:val="superscript"/>
        </w:rPr>
        <w:t xml:space="preserve"> </w:t>
      </w:r>
      <w:r>
        <w:t xml:space="preserve"> These submitters suggested that now would be the perfect time to negotiate these requirements, given the proposed increase in FTE rates.</w:t>
      </w:r>
      <w:r w:rsidRPr="00E67C4B">
        <w:rPr>
          <w:rStyle w:val="FootnoteReference"/>
        </w:rPr>
        <w:footnoteReference w:id="435"/>
      </w:r>
      <w:r w:rsidRPr="00E67C4B">
        <w:rPr>
          <w:vertAlign w:val="superscript"/>
        </w:rPr>
        <w:t xml:space="preserve"> </w:t>
      </w:r>
      <w:r w:rsidRPr="00B4724C">
        <w:t xml:space="preserve"> </w:t>
      </w:r>
    </w:p>
    <w:p w14:paraId="1FBA7F0F" w14:textId="517BD47E" w:rsidR="005C4A70" w:rsidRDefault="005C4A70" w:rsidP="005C4A70">
      <w:pPr>
        <w:pStyle w:val="BodyText"/>
      </w:pPr>
      <w:r>
        <w:t>Two service providers commented on the need to expand services into the online space.</w:t>
      </w:r>
      <w:r>
        <w:rPr>
          <w:rStyle w:val="FootnoteReference"/>
          <w:rFonts w:ascii="Avenir LT Std 45 Book" w:hAnsi="Avenir LT Std 45 Book" w:cs="Avenir LT Std 45 Book"/>
        </w:rPr>
        <w:footnoteReference w:id="436"/>
      </w:r>
      <w:r>
        <w:t xml:space="preserve"> One service provider raised the changing nature of traditional face-to-face services due to factors such as COVID-19 and an increase in online gambling, stating that this had not been acknowledged in the draft service plan.</w:t>
      </w:r>
      <w:r>
        <w:rPr>
          <w:rStyle w:val="FootnoteReference"/>
          <w:rFonts w:ascii="Avenir LT Std 45 Book" w:hAnsi="Avenir LT Std 45 Book" w:cs="Avenir LT Std 45 Book"/>
        </w:rPr>
        <w:footnoteReference w:id="437"/>
      </w:r>
      <w:r>
        <w:t xml:space="preserve"> This service provider considered that more funding was needed to support and develop online interventions in PMGH services alongside social media marketing and campaigns to introduce and normalise such online interventions.</w:t>
      </w:r>
      <w:r>
        <w:rPr>
          <w:rStyle w:val="FootnoteReference"/>
          <w:rFonts w:ascii="Avenir LT Std 45 Book" w:hAnsi="Avenir LT Std 45 Book" w:cs="Avenir LT Std 45 Book"/>
        </w:rPr>
        <w:footnoteReference w:id="438"/>
      </w:r>
      <w:r>
        <w:t xml:space="preserve"> The other service provider </w:t>
      </w:r>
      <w:r w:rsidRPr="00B4724C">
        <w:t>commented that there need</w:t>
      </w:r>
      <w:r>
        <w:t>ed</w:t>
      </w:r>
      <w:r w:rsidRPr="00B4724C">
        <w:t xml:space="preserve"> to be more self-help groups both face-to-face and accessible online, as tāngata </w:t>
      </w:r>
      <w:r w:rsidR="004F15F2">
        <w:t>whaiora</w:t>
      </w:r>
      <w:r w:rsidRPr="00B4724C">
        <w:t xml:space="preserve"> </w:t>
      </w:r>
      <w:r>
        <w:t>were</w:t>
      </w:r>
      <w:r w:rsidRPr="00B4724C">
        <w:t xml:space="preserve"> accessing online overseas Gamblers Anonymous groups due to the paucity of such forums in New Zealand.</w:t>
      </w:r>
      <w:r>
        <w:rPr>
          <w:rStyle w:val="FootnoteReference"/>
          <w:rFonts w:ascii="Avenir LT Std 45 Book" w:hAnsi="Avenir LT Std 45 Book" w:cs="Avenir LT Std 45 Book"/>
        </w:rPr>
        <w:footnoteReference w:id="439"/>
      </w:r>
      <w:r>
        <w:t xml:space="preserve"> </w:t>
      </w:r>
      <w:r w:rsidRPr="00B4724C">
        <w:t xml:space="preserve"> </w:t>
      </w:r>
    </w:p>
    <w:p w14:paraId="50A9127A" w14:textId="77777777" w:rsidR="005C4A70" w:rsidRPr="00663CAE" w:rsidRDefault="005C4A70" w:rsidP="005C4A70">
      <w:pPr>
        <w:pStyle w:val="CV-Heading2"/>
        <w:rPr>
          <w:i/>
        </w:rPr>
      </w:pPr>
      <w:r>
        <w:rPr>
          <w:i/>
          <w:iCs/>
        </w:rPr>
        <w:t>Gambling industry submitters considered that s</w:t>
      </w:r>
      <w:r w:rsidRPr="002A70D1">
        <w:rPr>
          <w:i/>
          <w:iCs/>
        </w:rPr>
        <w:t>ervice</w:t>
      </w:r>
      <w:r w:rsidRPr="00663CAE">
        <w:rPr>
          <w:i/>
        </w:rPr>
        <w:t xml:space="preserve">s funded by the Ministry need to be held accountable as to whether they are effective </w:t>
      </w:r>
    </w:p>
    <w:p w14:paraId="0136BCB9" w14:textId="77777777" w:rsidR="005C4A70" w:rsidRDefault="005C4A70" w:rsidP="005C4A70">
      <w:pPr>
        <w:pStyle w:val="BodyText"/>
      </w:pPr>
      <w:r>
        <w:t>Two NCGM submitters</w:t>
      </w:r>
      <w:r>
        <w:rPr>
          <w:rStyle w:val="FootnoteReference"/>
        </w:rPr>
        <w:footnoteReference w:id="440"/>
      </w:r>
      <w:r>
        <w:t xml:space="preserve"> and one gambling industry submitter</w:t>
      </w:r>
      <w:r>
        <w:rPr>
          <w:rStyle w:val="FootnoteReference"/>
        </w:rPr>
        <w:footnoteReference w:id="441"/>
      </w:r>
      <w:r>
        <w:t xml:space="preserve"> wanted to see greater transparency around the effectiveness of the services funded in the current and draft service plan. Two of these submitters stated that with the proposed increases in funding, services should be expected to be transparent about the effectiveness of the programmes they are running so as to not be “rewarded for complacency”.</w:t>
      </w:r>
      <w:r>
        <w:rPr>
          <w:rStyle w:val="FootnoteReference"/>
        </w:rPr>
        <w:footnoteReference w:id="442"/>
      </w:r>
      <w:r>
        <w:t xml:space="preserve">  </w:t>
      </w:r>
    </w:p>
    <w:p w14:paraId="2BF2B5FD" w14:textId="77777777" w:rsidR="005C4A70" w:rsidRDefault="005C4A70" w:rsidP="005C4A70">
      <w:pPr>
        <w:pStyle w:val="BodyText"/>
      </w:pPr>
      <w:r>
        <w:t>One NCGM submitter suggested the Ministry regularly monitor services via a quality assessment team, who should test the Gambling Helpline as well as make contact with treatment providers to test the urgency and willingness with which they see to clients at short notice.</w:t>
      </w:r>
      <w:r>
        <w:rPr>
          <w:rStyle w:val="FootnoteReference"/>
        </w:rPr>
        <w:footnoteReference w:id="443"/>
      </w:r>
    </w:p>
    <w:p w14:paraId="193C67E8" w14:textId="77777777" w:rsidR="005C4A70" w:rsidRDefault="005C4A70" w:rsidP="005C4A70">
      <w:pPr>
        <w:pStyle w:val="BodyText"/>
      </w:pPr>
      <w:r>
        <w:t>One service provider noted that there did not seem to be funding for service audits in the draft service plan and queried whether these would still be required.</w:t>
      </w:r>
      <w:r>
        <w:rPr>
          <w:rStyle w:val="FootnoteReference"/>
        </w:rPr>
        <w:footnoteReference w:id="444"/>
      </w:r>
    </w:p>
    <w:p w14:paraId="3D6AE8B7" w14:textId="77777777" w:rsidR="005C4A70" w:rsidRPr="00D25295" w:rsidRDefault="005C4A70" w:rsidP="005C4A70">
      <w:pPr>
        <w:pStyle w:val="NumberedHeading3"/>
        <w:autoSpaceDE w:val="0"/>
        <w:autoSpaceDN w:val="0"/>
        <w:adjustRightInd w:val="0"/>
        <w:spacing w:line="269" w:lineRule="auto"/>
        <w:jc w:val="both"/>
      </w:pPr>
      <w:bookmarkStart w:id="85" w:name="_Toc88637580"/>
      <w:r>
        <w:lastRenderedPageBreak/>
        <w:t>Submitters agreed that the National Gambling Helpline/Homecare Medical was not performing well</w:t>
      </w:r>
      <w:bookmarkEnd w:id="85"/>
    </w:p>
    <w:p w14:paraId="496E83DE" w14:textId="77777777" w:rsidR="005C4A70" w:rsidRDefault="005C4A70" w:rsidP="005C4A70">
      <w:pPr>
        <w:pStyle w:val="BodyText"/>
      </w:pPr>
      <w:r>
        <w:t>Nine</w:t>
      </w:r>
      <w:r w:rsidRPr="00D972B5">
        <w:t xml:space="preserve"> submitters including </w:t>
      </w:r>
      <w:r>
        <w:t>seven</w:t>
      </w:r>
      <w:r w:rsidRPr="00D972B5">
        <w:t xml:space="preserve"> service providers</w:t>
      </w:r>
      <w:r w:rsidRPr="00D972B5">
        <w:rPr>
          <w:rStyle w:val="FootnoteReference"/>
        </w:rPr>
        <w:footnoteReference w:id="445"/>
      </w:r>
      <w:r w:rsidRPr="00D972B5">
        <w:t xml:space="preserve"> and </w:t>
      </w:r>
      <w:r>
        <w:t>two</w:t>
      </w:r>
      <w:r w:rsidRPr="00D972B5">
        <w:t xml:space="preserve"> health and social services submitter</w:t>
      </w:r>
      <w:r>
        <w:t>s</w:t>
      </w:r>
      <w:r w:rsidRPr="00D972B5">
        <w:rPr>
          <w:rStyle w:val="FootnoteReference"/>
        </w:rPr>
        <w:footnoteReference w:id="446"/>
      </w:r>
      <w:r>
        <w:t xml:space="preserve"> raised concerns around the efficacy and cultural competence of and communication with the National Gambling Helpline.</w:t>
      </w:r>
    </w:p>
    <w:p w14:paraId="2FC5B377" w14:textId="77777777" w:rsidR="005C4A70" w:rsidRDefault="005C4A70" w:rsidP="005C4A70">
      <w:pPr>
        <w:pStyle w:val="BodyText"/>
      </w:pPr>
      <w:r>
        <w:t>Four service providers commented on the need for better transparency and communication between the Gambling Helpline and the broader PMGH sector.</w:t>
      </w:r>
      <w:r>
        <w:rPr>
          <w:rStyle w:val="FootnoteReference"/>
        </w:rPr>
        <w:footnoteReference w:id="447"/>
      </w:r>
      <w:r>
        <w:t xml:space="preserve"> Another service provider criticised the Gambling Helpline for its lack of leadership in facilitating communication with the sector and for the lack of participation in PMGH Consultation Hui.</w:t>
      </w:r>
      <w:r>
        <w:rPr>
          <w:rStyle w:val="FootnoteReference"/>
        </w:rPr>
        <w:footnoteReference w:id="448"/>
      </w:r>
      <w:r>
        <w:t xml:space="preserve">  </w:t>
      </w:r>
    </w:p>
    <w:p w14:paraId="4E82B193" w14:textId="77777777" w:rsidR="005C4A70" w:rsidRDefault="005C4A70" w:rsidP="005C4A70">
      <w:pPr>
        <w:pStyle w:val="BodyText"/>
      </w:pPr>
      <w:r>
        <w:t>Two service providers</w:t>
      </w:r>
      <w:r>
        <w:rPr>
          <w:rStyle w:val="FootnoteReference"/>
        </w:rPr>
        <w:footnoteReference w:id="449"/>
      </w:r>
      <w:r>
        <w:t xml:space="preserve"> commented that specialist PMGH services do not receive significant referrals from the helpline, and this was seen by one service provider</w:t>
      </w:r>
      <w:r>
        <w:rPr>
          <w:rStyle w:val="FootnoteReference"/>
        </w:rPr>
        <w:footnoteReference w:id="450"/>
      </w:r>
      <w:r>
        <w:t xml:space="preserve"> as a significant cause of low service utilisation. These two service providers</w:t>
      </w:r>
      <w:r>
        <w:rPr>
          <w:rStyle w:val="FootnoteReference"/>
        </w:rPr>
        <w:footnoteReference w:id="451"/>
      </w:r>
      <w:r>
        <w:t xml:space="preserve"> acknowledged their support for funding for national telehealth services generally, but one service provider</w:t>
      </w:r>
      <w:r>
        <w:rPr>
          <w:rStyle w:val="FootnoteReference"/>
        </w:rPr>
        <w:footnoteReference w:id="452"/>
      </w:r>
      <w:r>
        <w:t xml:space="preserve"> did not agree that the Gambling Helpline was the only service providing information about </w:t>
      </w:r>
      <w:r w:rsidRPr="002D27BD">
        <w:t>self-help, peer-to-peer support options and assessment guides</w:t>
      </w:r>
      <w:r>
        <w:t xml:space="preserve"> or referral and access to intervention services as PMGH services have had to pick this up due to the poor performance of the Gambling Helpline.</w:t>
      </w:r>
      <w:r>
        <w:rPr>
          <w:rStyle w:val="FootnoteReference"/>
        </w:rPr>
        <w:footnoteReference w:id="453"/>
      </w:r>
      <w:r>
        <w:t xml:space="preserve"> </w:t>
      </w:r>
    </w:p>
    <w:p w14:paraId="06E329F9" w14:textId="77777777" w:rsidR="005C4A70" w:rsidRDefault="005C4A70" w:rsidP="005C4A70">
      <w:pPr>
        <w:pStyle w:val="BodyText"/>
      </w:pPr>
      <w:r>
        <w:t>Three service providers</w:t>
      </w:r>
      <w:r>
        <w:rPr>
          <w:rStyle w:val="FootnoteReference"/>
        </w:rPr>
        <w:footnoteReference w:id="454"/>
      </w:r>
      <w:r>
        <w:t xml:space="preserve"> and one health and social services submitter</w:t>
      </w:r>
      <w:r>
        <w:rPr>
          <w:rStyle w:val="FootnoteReference"/>
        </w:rPr>
        <w:footnoteReference w:id="455"/>
      </w:r>
      <w:r>
        <w:t xml:space="preserve"> considered the Gambling Helpline to be a barrier to people experiencing gambling harm from accessing and receiving help when they need it. Two of these submitters referenced feedback from people who had experienced gambling harm and tried to use the Gambling Helpline, with both describing it as less helpful than expected, noting long wait times and/or a lack of connection with the person on the phone.</w:t>
      </w:r>
      <w:r>
        <w:rPr>
          <w:rStyle w:val="FootnoteReference"/>
        </w:rPr>
        <w:footnoteReference w:id="456"/>
      </w:r>
    </w:p>
    <w:p w14:paraId="53CDF991" w14:textId="77777777" w:rsidR="005C4A70" w:rsidRPr="00204275" w:rsidRDefault="005C4A70" w:rsidP="005C4A70">
      <w:pPr>
        <w:pStyle w:val="CV-Heading2"/>
        <w:rPr>
          <w:i/>
          <w:iCs/>
        </w:rPr>
      </w:pPr>
      <w:r>
        <w:rPr>
          <w:i/>
          <w:iCs/>
        </w:rPr>
        <w:t>Service providers were concerned about the c</w:t>
      </w:r>
      <w:r w:rsidRPr="00204275">
        <w:rPr>
          <w:i/>
          <w:iCs/>
        </w:rPr>
        <w:t xml:space="preserve">ultural accessibility of the Gambling Helpline </w:t>
      </w:r>
    </w:p>
    <w:p w14:paraId="1FEC0DCA" w14:textId="77777777" w:rsidR="005C4A70" w:rsidRDefault="005C4A70" w:rsidP="005C4A70">
      <w:pPr>
        <w:pStyle w:val="BodyText"/>
      </w:pPr>
      <w:r>
        <w:t>Four service providers raised issues with the cultural accessibility of the Gambling Helpline for priority populations.</w:t>
      </w:r>
      <w:r>
        <w:rPr>
          <w:rStyle w:val="FootnoteReference"/>
        </w:rPr>
        <w:footnoteReference w:id="457"/>
      </w:r>
      <w:r>
        <w:t xml:space="preserve"> Three of these service providers expressed concerns with the Gambling Helpline’s levels of cultural competency and professional development when dealing with the Pacific community and were concerned further that these issues contribute to barriers and unmet needs for Pacific peoples experiencing gambling harm.</w:t>
      </w:r>
      <w:r>
        <w:rPr>
          <w:rStyle w:val="FootnoteReference"/>
        </w:rPr>
        <w:footnoteReference w:id="458"/>
      </w:r>
      <w:r>
        <w:t xml:space="preserve"> These service providers stated that dedicated Pacific staff for the Pacific Gambling Helpline was essential, while one of these providers suggested outsourcing the Pacific Gambling Helpline to an experienced Pacific service provider.</w:t>
      </w:r>
      <w:r>
        <w:rPr>
          <w:rStyle w:val="FootnoteReference"/>
        </w:rPr>
        <w:footnoteReference w:id="459"/>
      </w:r>
    </w:p>
    <w:p w14:paraId="3DD9B741" w14:textId="77777777" w:rsidR="005C4A70" w:rsidRPr="004E18B4" w:rsidRDefault="005C4A70" w:rsidP="005C4A70">
      <w:pPr>
        <w:pStyle w:val="BodyText"/>
      </w:pPr>
      <w:r>
        <w:t xml:space="preserve">Two service providers raised further issues about the cultural accessibility of the Gambling Helpline with specific reference to the Asian community, especially in terms of language </w:t>
      </w:r>
      <w:r>
        <w:lastRenderedPageBreak/>
        <w:t>barriers.</w:t>
      </w:r>
      <w:r>
        <w:rPr>
          <w:rStyle w:val="FootnoteReference"/>
        </w:rPr>
        <w:footnoteReference w:id="460"/>
      </w:r>
      <w:r>
        <w:t xml:space="preserve"> These service providers wanted to see the Asian helpline extended and funded to be a 24-hour service, as the Asian Helpline is currently taking a comparable amount of annual phone calls as the National Gambling Helpline despite running only as a 9am-8pm service.</w:t>
      </w:r>
      <w:r>
        <w:rPr>
          <w:rStyle w:val="FootnoteReference"/>
        </w:rPr>
        <w:footnoteReference w:id="461"/>
      </w:r>
    </w:p>
    <w:p w14:paraId="64580D48" w14:textId="77777777" w:rsidR="005C4A70" w:rsidRDefault="005C4A70" w:rsidP="005C4A70">
      <w:pPr>
        <w:pStyle w:val="NumberedHeading3"/>
      </w:pPr>
      <w:bookmarkStart w:id="86" w:name="_Toc88637581"/>
      <w:r>
        <w:t>NCGM submitters wanted services to provide longer term support</w:t>
      </w:r>
      <w:bookmarkEnd w:id="86"/>
      <w:r>
        <w:t xml:space="preserve">   </w:t>
      </w:r>
    </w:p>
    <w:p w14:paraId="210266BD" w14:textId="77777777" w:rsidR="005C4A70" w:rsidRDefault="005C4A70" w:rsidP="005C4A70">
      <w:pPr>
        <w:pStyle w:val="BodyText"/>
      </w:pPr>
      <w:r>
        <w:t>Seven NCGM submitters wanted the draft service plan to shift its focus to long term support and treatment.</w:t>
      </w:r>
      <w:r>
        <w:rPr>
          <w:rStyle w:val="FootnoteReference"/>
          <w:rFonts w:ascii="Avenir LT Std 45 Book" w:hAnsi="Avenir LT Std 45 Book" w:cs="Avenir LT Std 45 Book"/>
        </w:rPr>
        <w:footnoteReference w:id="462"/>
      </w:r>
      <w:r>
        <w:t xml:space="preserve"> These submitters cited statistics from</w:t>
      </w:r>
      <w:r w:rsidRPr="00F429B8">
        <w:t xml:space="preserve"> </w:t>
      </w:r>
      <w:r w:rsidRPr="0073009E">
        <w:rPr>
          <w:i/>
          <w:iCs/>
        </w:rPr>
        <w:t>Problem Gambling Intervention Services in New Zealand 2007 Service-user statistics</w:t>
      </w:r>
      <w:r>
        <w:rPr>
          <w:i/>
          <w:iCs/>
        </w:rPr>
        <w:t>:</w:t>
      </w:r>
      <w:r w:rsidRPr="0073009E">
        <w:rPr>
          <w:i/>
          <w:iCs/>
        </w:rPr>
        <w:t xml:space="preserve"> Public Health Intelligence Monitoring Report No. 18</w:t>
      </w:r>
      <w:r>
        <w:t xml:space="preserve"> which they considered to show that gambling harm was not being dealt with appropriately such as low treatment hours, lack of follow up and high relapse rates. Additionally, one health and social services submitter stated that evidence suggested over half of all problem-gambling cases are relapsed, and that these people need to be considered and offered different services when they seek help for relapse.</w:t>
      </w:r>
      <w:r>
        <w:rPr>
          <w:rStyle w:val="FootnoteReference"/>
        </w:rPr>
        <w:footnoteReference w:id="463"/>
      </w:r>
    </w:p>
    <w:p w14:paraId="742C237E" w14:textId="77777777" w:rsidR="005C4A70" w:rsidRPr="005A11A6" w:rsidRDefault="005C4A70" w:rsidP="005C4A70">
      <w:pPr>
        <w:pStyle w:val="BodyText"/>
      </w:pPr>
      <w:r>
        <w:t>These seven NCGM submitters</w:t>
      </w:r>
      <w:r>
        <w:rPr>
          <w:rStyle w:val="FootnoteReference"/>
        </w:rPr>
        <w:footnoteReference w:id="464"/>
      </w:r>
      <w:r>
        <w:t xml:space="preserve"> called for a system reorientated towards providing long term support and treatment:</w:t>
      </w:r>
      <w:r>
        <w:rPr>
          <w:rStyle w:val="FootnoteReference"/>
        </w:rPr>
        <w:footnoteReference w:id="465"/>
      </w:r>
    </w:p>
    <w:p w14:paraId="5C5A99E0" w14:textId="77777777" w:rsidR="005C4A70" w:rsidRPr="003C42D5" w:rsidRDefault="005C4A70" w:rsidP="005C4A70">
      <w:pPr>
        <w:pStyle w:val="BodyText"/>
        <w:ind w:left="720"/>
        <w:rPr>
          <w:i/>
          <w:iCs/>
        </w:rPr>
      </w:pPr>
      <w:r w:rsidRPr="003C42D5">
        <w:rPr>
          <w:i/>
          <w:iCs/>
        </w:rPr>
        <w:t>“To achieve the target of reducing relapse, the MOH should require the treatment providers to take reasonable steps to maintain contact with their clients for a 3-year period. The providers should regularly check in with their clients and provide ongoing support/monitoring. Initially this could include fortnightly visits at the client’s home. Towards the end of the 3-year period, the support could be reduced to a monthly text exchange or phone call.”</w:t>
      </w:r>
    </w:p>
    <w:p w14:paraId="1ACDFF05" w14:textId="77777777" w:rsidR="005C4A70" w:rsidRDefault="005C4A70" w:rsidP="005C4A70">
      <w:pPr>
        <w:pStyle w:val="BodyText"/>
      </w:pPr>
      <w:r>
        <w:t>One NCGM submitter suggested an approach similar to the support Plunket provides after childbirth, with a minimum of eight core visits at a location that best suits the client, followed by ongoing contact/check-ins via informal short visits/phone calls and monthly text messages.</w:t>
      </w:r>
      <w:r>
        <w:rPr>
          <w:rStyle w:val="FootnoteReference"/>
        </w:rPr>
        <w:footnoteReference w:id="466"/>
      </w:r>
    </w:p>
    <w:p w14:paraId="6BBD11B8" w14:textId="77777777" w:rsidR="005C4A70" w:rsidRDefault="005C4A70" w:rsidP="005C4A70">
      <w:pPr>
        <w:pStyle w:val="NumberedHeading3"/>
      </w:pPr>
      <w:bookmarkStart w:id="87" w:name="_Toc88637582"/>
      <w:bookmarkStart w:id="88" w:name="_Toc529788358"/>
      <w:r>
        <w:t>Service providers and health and social services submitters wanted to see more funding for services</w:t>
      </w:r>
      <w:bookmarkEnd w:id="87"/>
    </w:p>
    <w:p w14:paraId="4F5DB4CE" w14:textId="77777777" w:rsidR="005C4A70" w:rsidRDefault="005C4A70" w:rsidP="005C4A70">
      <w:pPr>
        <w:pStyle w:val="BodyText"/>
      </w:pPr>
      <w:r>
        <w:t>Four service providers and one health and social services submitter considered that more funding and investment was needed to actualise the goals of the service plan.</w:t>
      </w:r>
      <w:r>
        <w:rPr>
          <w:rStyle w:val="FootnoteReference"/>
        </w:rPr>
        <w:footnoteReference w:id="467"/>
      </w:r>
      <w:r>
        <w:t xml:space="preserve"> Two of these service providers considered that the increase of $7 million, given that much of this would be re-invested for new services delayed in the current service plan, was insufficient to drive significant change or progress beyond current achievements.</w:t>
      </w:r>
      <w:r>
        <w:rPr>
          <w:rStyle w:val="FootnoteReference"/>
        </w:rPr>
        <w:footnoteReference w:id="468"/>
      </w:r>
      <w:r>
        <w:t xml:space="preserve"> One service provider explained:</w:t>
      </w:r>
      <w:r>
        <w:rPr>
          <w:rStyle w:val="FootnoteReference"/>
        </w:rPr>
        <w:footnoteReference w:id="469"/>
      </w:r>
    </w:p>
    <w:p w14:paraId="58EE3181" w14:textId="77777777" w:rsidR="005C4A70" w:rsidRDefault="005C4A70" w:rsidP="005C4A70">
      <w:pPr>
        <w:pStyle w:val="BodyText"/>
        <w:ind w:left="720"/>
      </w:pPr>
      <w:r>
        <w:t>“</w:t>
      </w:r>
      <w:r w:rsidRPr="0021247E">
        <w:rPr>
          <w:i/>
        </w:rPr>
        <w:t xml:space="preserve">…without significant investment in the whole gambling harm sector, including increased investment in public health services, and relevant, adequate research and development investment, will not produce significant results… We believe, that to bring about significant change, a major increase in local clinical and public health service provision is needed across the board. The level of impact we can achieve as a sector is proportional to the investment in </w:t>
      </w:r>
      <w:r w:rsidRPr="0021247E">
        <w:rPr>
          <w:i/>
        </w:rPr>
        <w:lastRenderedPageBreak/>
        <w:t>preventing and minimising harm – which is less than [five] percent of overall gambling expenditure. Trying to prevent and minimise gambling harm with that proportion of expenditure is like trying to stop a river overflowing its banks with a bucket</w:t>
      </w:r>
      <w:r w:rsidRPr="00E04774">
        <w:t>.</w:t>
      </w:r>
      <w:r>
        <w:t>”</w:t>
      </w:r>
    </w:p>
    <w:p w14:paraId="44EE0691" w14:textId="77777777" w:rsidR="005C4A70" w:rsidRDefault="005C4A70" w:rsidP="005C4A70">
      <w:pPr>
        <w:pStyle w:val="BodyText"/>
      </w:pPr>
      <w:r>
        <w:t>One service provider commented that as a culturally specific provider, they received limited benefits or tangible support from the NCS and often have to fund their own resources and provide extra support for the funded national coordination support in order to navigate the gaps experienced by the Asian community, something not experienced by mainstream services.</w:t>
      </w:r>
      <w:r>
        <w:rPr>
          <w:rStyle w:val="FootnoteReference"/>
        </w:rPr>
        <w:footnoteReference w:id="470"/>
      </w:r>
      <w:r>
        <w:t xml:space="preserve"> </w:t>
      </w:r>
    </w:p>
    <w:p w14:paraId="7A7EC74F" w14:textId="77777777" w:rsidR="005C4A70" w:rsidRDefault="005C4A70" w:rsidP="005C4A70">
      <w:pPr>
        <w:pStyle w:val="NumberedHeading3"/>
        <w:autoSpaceDE w:val="0"/>
        <w:autoSpaceDN w:val="0"/>
        <w:adjustRightInd w:val="0"/>
        <w:spacing w:line="269" w:lineRule="auto"/>
        <w:jc w:val="both"/>
      </w:pPr>
      <w:bookmarkStart w:id="89" w:name="_Toc88637583"/>
      <w:r>
        <w:t>Submitters from across most sectors suggested alternative approaches for the service plan</w:t>
      </w:r>
      <w:bookmarkEnd w:id="89"/>
    </w:p>
    <w:p w14:paraId="6CB10B59" w14:textId="77777777" w:rsidR="005C4A70" w:rsidRDefault="005C4A70" w:rsidP="005C4A70">
      <w:pPr>
        <w:pStyle w:val="BodyText"/>
      </w:pPr>
      <w:r>
        <w:t>Fourteen submitters including six NCGM submitters, four health and social services submitter, two service providers, one local government submitter and one individual offered alternative approaches to the service plan.</w:t>
      </w:r>
      <w:r>
        <w:rPr>
          <w:rStyle w:val="FootnoteReference"/>
        </w:rPr>
        <w:footnoteReference w:id="471"/>
      </w:r>
      <w:r>
        <w:t xml:space="preserve">  </w:t>
      </w:r>
    </w:p>
    <w:p w14:paraId="5F0D33AA" w14:textId="77777777" w:rsidR="005C4A70" w:rsidRPr="00F252C3" w:rsidRDefault="005C4A70" w:rsidP="005C4A70">
      <w:pPr>
        <w:pStyle w:val="CV-Heading2"/>
        <w:rPr>
          <w:i/>
          <w:iCs/>
        </w:rPr>
      </w:pPr>
      <w:r w:rsidRPr="00F252C3">
        <w:rPr>
          <w:i/>
          <w:iCs/>
        </w:rPr>
        <w:t>Health and social services</w:t>
      </w:r>
      <w:r>
        <w:rPr>
          <w:i/>
          <w:iCs/>
        </w:rPr>
        <w:t xml:space="preserve"> submitters</w:t>
      </w:r>
      <w:r w:rsidRPr="00F252C3">
        <w:rPr>
          <w:i/>
          <w:iCs/>
        </w:rPr>
        <w:t xml:space="preserve"> wanted more focus on prevention and the needs of those experiencing gambling harm</w:t>
      </w:r>
    </w:p>
    <w:p w14:paraId="1883F4F9" w14:textId="77777777" w:rsidR="005C4A70" w:rsidRDefault="005C4A70" w:rsidP="005C4A70">
      <w:pPr>
        <w:pStyle w:val="BodyText"/>
      </w:pPr>
      <w:r>
        <w:t>Three health and social services submitters were critical of the focus or approach proposed for the service plan for the following reasons:</w:t>
      </w:r>
      <w:r>
        <w:rPr>
          <w:rStyle w:val="FootnoteReference"/>
        </w:rPr>
        <w:footnoteReference w:id="472"/>
      </w:r>
      <w:r>
        <w:t xml:space="preserve"> </w:t>
      </w:r>
    </w:p>
    <w:p w14:paraId="1959C3BC" w14:textId="77777777" w:rsidR="005C4A70" w:rsidRDefault="005C4A70" w:rsidP="0021247E">
      <w:pPr>
        <w:pStyle w:val="List-BulletLvl1"/>
      </w:pPr>
      <w:r>
        <w:t>there was too much focus on minimising gambling harm, and there needed to be a greater, more balanced focus on prevention</w:t>
      </w:r>
      <w:r>
        <w:rPr>
          <w:rStyle w:val="FootnoteReference"/>
        </w:rPr>
        <w:footnoteReference w:id="473"/>
      </w:r>
    </w:p>
    <w:p w14:paraId="23B6BD85" w14:textId="39B3E707" w:rsidR="005C4A70" w:rsidRDefault="005C4A70" w:rsidP="0021247E">
      <w:pPr>
        <w:pStyle w:val="List-BulletLvl1"/>
      </w:pPr>
      <w:r>
        <w:t>the service plan had too little focus on the needs of gamblers, and supports for psychological effects of gambling were not well described in the service plan</w:t>
      </w:r>
      <w:r>
        <w:rPr>
          <w:rStyle w:val="FootnoteReference"/>
        </w:rPr>
        <w:footnoteReference w:id="474"/>
      </w:r>
      <w:r>
        <w:t xml:space="preserve">  </w:t>
      </w:r>
    </w:p>
    <w:p w14:paraId="34914FF7" w14:textId="77777777" w:rsidR="005C4A70" w:rsidRDefault="005C4A70" w:rsidP="0021247E">
      <w:pPr>
        <w:pStyle w:val="List-BulletLvl1"/>
      </w:pPr>
      <w:r>
        <w:t>the Ministry should support a suite of services in a new approach for those experiencing gambling harm, including:</w:t>
      </w:r>
      <w:r>
        <w:rPr>
          <w:rStyle w:val="FootnoteReference"/>
        </w:rPr>
        <w:footnoteReference w:id="475"/>
      </w:r>
    </w:p>
    <w:p w14:paraId="45B5767F" w14:textId="77777777" w:rsidR="005C4A70" w:rsidRDefault="005C4A70" w:rsidP="005C4A70">
      <w:pPr>
        <w:pStyle w:val="List-BulletLvl2"/>
      </w:pPr>
      <w:r>
        <w:t>residential services for people experiencing moderate to severe harm, with day or evening programmes for people who are maintaining their employment</w:t>
      </w:r>
    </w:p>
    <w:p w14:paraId="5D8FAFB7" w14:textId="5CE7827F" w:rsidR="005C4A70" w:rsidRDefault="005C4A70" w:rsidP="005C4A70">
      <w:pPr>
        <w:pStyle w:val="List-BulletLvl2"/>
      </w:pPr>
      <w:r>
        <w:t>support services for whānau/those impacted by another’s gambling harm</w:t>
      </w:r>
    </w:p>
    <w:p w14:paraId="6C54E78E" w14:textId="77777777" w:rsidR="005C4A70" w:rsidRDefault="005C4A70" w:rsidP="005C4A70">
      <w:pPr>
        <w:pStyle w:val="List-BulletLvl2"/>
      </w:pPr>
      <w:r>
        <w:t>the use of social media to engage and support people experiencing gambling harm, particularly to engage rangatahi, and increasing programmes that focus on awareness of rangatahi issues such as online gaming.</w:t>
      </w:r>
    </w:p>
    <w:p w14:paraId="104417E4" w14:textId="77777777" w:rsidR="005C4A70" w:rsidRPr="002B0E15" w:rsidRDefault="005C4A70" w:rsidP="005C4A70">
      <w:pPr>
        <w:pStyle w:val="CV-Heading2"/>
        <w:rPr>
          <w:i/>
          <w:iCs/>
        </w:rPr>
      </w:pPr>
      <w:r w:rsidRPr="002B0E15">
        <w:rPr>
          <w:i/>
          <w:iCs/>
        </w:rPr>
        <w:t xml:space="preserve">NCGM submitters highlighted the need for better communication between service providers and the NCGM sector </w:t>
      </w:r>
    </w:p>
    <w:p w14:paraId="1F554F7C" w14:textId="77777777" w:rsidR="005C4A70" w:rsidRDefault="005C4A70" w:rsidP="005C4A70">
      <w:pPr>
        <w:pStyle w:val="BodyText"/>
      </w:pPr>
      <w:r>
        <w:t xml:space="preserve">Three NCGM submitters suggested that there needed to be better liaison between service providers and venue staff: </w:t>
      </w:r>
    </w:p>
    <w:p w14:paraId="26D710BB" w14:textId="77777777" w:rsidR="005C4A70" w:rsidRDefault="005C4A70" w:rsidP="005C4A70">
      <w:pPr>
        <w:pStyle w:val="List-BulletLvl1"/>
      </w:pPr>
      <w:r>
        <w:lastRenderedPageBreak/>
        <w:t>treatment providers, with consent of the client, should have an active role in the team that monitors and supports the person</w:t>
      </w:r>
      <w:r>
        <w:rPr>
          <w:rStyle w:val="FootnoteReference"/>
        </w:rPr>
        <w:footnoteReference w:id="476"/>
      </w:r>
      <w:r>
        <w:t xml:space="preserve"> </w:t>
      </w:r>
    </w:p>
    <w:p w14:paraId="23A990C1" w14:textId="77777777" w:rsidR="005C4A70" w:rsidRDefault="005C4A70" w:rsidP="005C4A70">
      <w:pPr>
        <w:pStyle w:val="List-BulletLvl1"/>
      </w:pPr>
      <w:r>
        <w:t>treatment providers could visit venues where the client has been gambling, meet with venue staff and (with client permission) share the client’s status and intended treatment plan so that venue staff could assist with monitoring and enforcement of things like reduced spend or self-exclusion</w:t>
      </w:r>
      <w:r>
        <w:rPr>
          <w:rStyle w:val="FootnoteReference"/>
        </w:rPr>
        <w:footnoteReference w:id="477"/>
      </w:r>
      <w:r>
        <w:t xml:space="preserve"> </w:t>
      </w:r>
    </w:p>
    <w:p w14:paraId="3B230625" w14:textId="77777777" w:rsidR="005C4A70" w:rsidRDefault="005C4A70" w:rsidP="005C4A70">
      <w:pPr>
        <w:pStyle w:val="List-BulletLvl1"/>
      </w:pPr>
      <w:r>
        <w:t>given that venue staff are at the “coalface” of the problem, more investment should be given to those that operate there</w:t>
      </w:r>
      <w:r>
        <w:rPr>
          <w:rStyle w:val="FootnoteReference"/>
        </w:rPr>
        <w:footnoteReference w:id="478"/>
      </w:r>
    </w:p>
    <w:p w14:paraId="49AF7E9A" w14:textId="77777777" w:rsidR="005C4A70" w:rsidRDefault="005C4A70" w:rsidP="005C4A70">
      <w:pPr>
        <w:pStyle w:val="List-BulletLvl1"/>
      </w:pPr>
      <w:r>
        <w:t>funding should be given for third party accredited harm minimisation training, and while venues should not be able to ‘contract out’ of harm minimisation training obligations, training by an accredited provider would be beneficial to the industry.</w:t>
      </w:r>
      <w:r>
        <w:rPr>
          <w:rStyle w:val="FootnoteReference"/>
        </w:rPr>
        <w:footnoteReference w:id="479"/>
      </w:r>
      <w:r>
        <w:t xml:space="preserve"> </w:t>
      </w:r>
    </w:p>
    <w:p w14:paraId="6C98A685" w14:textId="77777777" w:rsidR="005C4A70" w:rsidRDefault="005C4A70" w:rsidP="005C4A70">
      <w:pPr>
        <w:pStyle w:val="BodyText"/>
      </w:pPr>
      <w:r>
        <w:t>On a similar note, one service provider noted that the service plan had moved away from previous focuses on having the health sector work with the industry on fronts such as safer gambling environments, host responsibility and effective screening, and queried whether this was by design or omission.</w:t>
      </w:r>
      <w:r>
        <w:rPr>
          <w:rStyle w:val="FootnoteReference"/>
        </w:rPr>
        <w:footnoteReference w:id="480"/>
      </w:r>
      <w:r>
        <w:t xml:space="preserve">  </w:t>
      </w:r>
    </w:p>
    <w:p w14:paraId="37392E95" w14:textId="77777777" w:rsidR="005C4A70" w:rsidRDefault="005C4A70" w:rsidP="005C4A70">
      <w:pPr>
        <w:pStyle w:val="BodyText"/>
      </w:pPr>
      <w:r>
        <w:t>Two NCGM submitters commented that the use of medical tools to treat gambling harm needs to increase.</w:t>
      </w:r>
      <w:r>
        <w:rPr>
          <w:rStyle w:val="FootnoteReference"/>
        </w:rPr>
        <w:footnoteReference w:id="481"/>
      </w:r>
      <w:r>
        <w:t xml:space="preserve"> These two submitters both suggested the use of Naltrexone, while one submitter stated that treatment providers funded under the service plan do not currently include staff who can prescribe prescription medicines, and that this should change.</w:t>
      </w:r>
      <w:r>
        <w:rPr>
          <w:rStyle w:val="FootnoteReference"/>
        </w:rPr>
        <w:footnoteReference w:id="482"/>
      </w:r>
      <w:r>
        <w:t xml:space="preserve"> </w:t>
      </w:r>
    </w:p>
    <w:p w14:paraId="27BCE41F" w14:textId="77777777" w:rsidR="005C4A70" w:rsidRDefault="005C4A70" w:rsidP="005C4A70">
      <w:pPr>
        <w:pStyle w:val="BodyText"/>
      </w:pPr>
      <w:r>
        <w:t>A local government submitter</w:t>
      </w:r>
      <w:r>
        <w:rPr>
          <w:rStyle w:val="FootnoteReference"/>
        </w:rPr>
        <w:footnoteReference w:id="483"/>
      </w:r>
      <w:r>
        <w:t xml:space="preserve">  and one health and social services submitter</w:t>
      </w:r>
      <w:r>
        <w:rPr>
          <w:rStyle w:val="FootnoteReference"/>
        </w:rPr>
        <w:footnoteReference w:id="484"/>
      </w:r>
      <w:r>
        <w:t xml:space="preserve"> recommended that the proposed and future service plans and allocated budget should be based on modelling for at risk populations and gambling harm data e.g., NCGM rate, gaming machine profits (GMP) spend and service usage, and that FTE rates should be aligned with this modelling.</w:t>
      </w:r>
    </w:p>
    <w:p w14:paraId="14883283" w14:textId="5A6C3F70" w:rsidR="005C4A70" w:rsidRDefault="005C4A70" w:rsidP="000C0403">
      <w:pPr>
        <w:pStyle w:val="NumberedHeading3"/>
      </w:pPr>
      <w:bookmarkStart w:id="90" w:name="_Toc88637584"/>
      <w:r>
        <w:t xml:space="preserve">Key themes from </w:t>
      </w:r>
      <w:r w:rsidR="00F67625">
        <w:t>c</w:t>
      </w:r>
      <w:r>
        <w:t xml:space="preserve">onsultation </w:t>
      </w:r>
      <w:r w:rsidR="00F67625">
        <w:t>h</w:t>
      </w:r>
      <w:r>
        <w:t>ui</w:t>
      </w:r>
      <w:bookmarkEnd w:id="90"/>
      <w:r>
        <w:t xml:space="preserve"> </w:t>
      </w:r>
    </w:p>
    <w:tbl>
      <w:tblPr>
        <w:tblStyle w:val="TableGrid"/>
        <w:tblW w:w="0" w:type="auto"/>
        <w:shd w:val="clear" w:color="auto" w:fill="D2D9DE" w:themeFill="text2" w:themeFillTint="33"/>
        <w:tblLook w:val="04A0" w:firstRow="1" w:lastRow="0" w:firstColumn="1" w:lastColumn="0" w:noHBand="0" w:noVBand="1"/>
      </w:tblPr>
      <w:tblGrid>
        <w:gridCol w:w="9061"/>
      </w:tblGrid>
      <w:tr w:rsidR="006B494C" w:rsidRPr="006B494C" w14:paraId="30E7C299" w14:textId="77777777" w:rsidTr="00A63114">
        <w:tc>
          <w:tcPr>
            <w:tcW w:w="9061" w:type="dxa"/>
            <w:shd w:val="clear" w:color="auto" w:fill="D2D9DE" w:themeFill="text2" w:themeFillTint="33"/>
          </w:tcPr>
          <w:p w14:paraId="48067660" w14:textId="77777777" w:rsidR="005C4A70" w:rsidRPr="006B494C" w:rsidRDefault="005C4A70" w:rsidP="00A63114">
            <w:pPr>
              <w:pStyle w:val="BodyText"/>
              <w:jc w:val="center"/>
              <w:rPr>
                <w:b/>
                <w:bCs/>
                <w:color w:val="36424A" w:themeColor="accent5"/>
              </w:rPr>
            </w:pPr>
            <w:r w:rsidRPr="006B494C">
              <w:rPr>
                <w:b/>
                <w:bCs/>
                <w:color w:val="36424A" w:themeColor="accent5"/>
              </w:rPr>
              <w:t>Comments from hui on the draft service plan</w:t>
            </w:r>
          </w:p>
          <w:p w14:paraId="3AF80FDA" w14:textId="3A147EFE" w:rsidR="005C4A70" w:rsidRPr="006B494C" w:rsidRDefault="008C7CEC" w:rsidP="000C0403">
            <w:pPr>
              <w:pStyle w:val="List-BulletLvl1"/>
              <w:rPr>
                <w:color w:val="36424A" w:themeColor="accent5"/>
              </w:rPr>
            </w:pPr>
            <w:r>
              <w:rPr>
                <w:color w:val="36424A" w:themeColor="accent5"/>
              </w:rPr>
              <w:t>Stakeholders</w:t>
            </w:r>
            <w:r w:rsidR="00B8514F">
              <w:rPr>
                <w:color w:val="36424A" w:themeColor="accent5"/>
              </w:rPr>
              <w:t xml:space="preserve"> raised the</w:t>
            </w:r>
            <w:r w:rsidR="005C4A70" w:rsidRPr="006B494C">
              <w:rPr>
                <w:color w:val="36424A" w:themeColor="accent5"/>
              </w:rPr>
              <w:t xml:space="preserve"> need for culturally appropriate services </w:t>
            </w:r>
            <w:r w:rsidR="00B8514F">
              <w:rPr>
                <w:color w:val="36424A" w:themeColor="accent5"/>
              </w:rPr>
              <w:t xml:space="preserve">for priority populations, </w:t>
            </w:r>
            <w:r w:rsidR="00F951E3">
              <w:rPr>
                <w:color w:val="36424A" w:themeColor="accent5"/>
              </w:rPr>
              <w:t xml:space="preserve">highlighting that people </w:t>
            </w:r>
            <w:r w:rsidR="00DE510B">
              <w:rPr>
                <w:color w:val="36424A" w:themeColor="accent5"/>
              </w:rPr>
              <w:t>experiencing</w:t>
            </w:r>
            <w:r w:rsidR="00F951E3">
              <w:rPr>
                <w:color w:val="36424A" w:themeColor="accent5"/>
              </w:rPr>
              <w:t xml:space="preserve"> harm will be </w:t>
            </w:r>
            <w:r w:rsidR="00DE510B">
              <w:rPr>
                <w:color w:val="36424A" w:themeColor="accent5"/>
              </w:rPr>
              <w:t>reluctant</w:t>
            </w:r>
            <w:r w:rsidR="00F951E3">
              <w:rPr>
                <w:color w:val="36424A" w:themeColor="accent5"/>
              </w:rPr>
              <w:t xml:space="preserve"> to reach out for help if </w:t>
            </w:r>
            <w:r w:rsidR="00DE510B">
              <w:rPr>
                <w:color w:val="36424A" w:themeColor="accent5"/>
              </w:rPr>
              <w:t xml:space="preserve">they think the person, they are talking to does not understand or relate to their cultural context. </w:t>
            </w:r>
            <w:r w:rsidR="005C4A70" w:rsidRPr="006B494C">
              <w:rPr>
                <w:color w:val="36424A" w:themeColor="accent5"/>
              </w:rPr>
              <w:t xml:space="preserve">number of hui but came out particularly strongly in the Pacific </w:t>
            </w:r>
            <w:r w:rsidR="00DC48A9">
              <w:rPr>
                <w:color w:val="36424A" w:themeColor="accent5"/>
              </w:rPr>
              <w:t>, Rangatahi and</w:t>
            </w:r>
            <w:r w:rsidR="005C4A70" w:rsidRPr="006B494C">
              <w:rPr>
                <w:color w:val="36424A" w:themeColor="accent5"/>
              </w:rPr>
              <w:t xml:space="preserve"> Asian</w:t>
            </w:r>
            <w:r w:rsidR="006B494C">
              <w:rPr>
                <w:color w:val="36424A" w:themeColor="accent5"/>
              </w:rPr>
              <w:t>-focused</w:t>
            </w:r>
            <w:r w:rsidR="005C4A70" w:rsidRPr="006B494C">
              <w:rPr>
                <w:color w:val="36424A" w:themeColor="accent5"/>
              </w:rPr>
              <w:t xml:space="preserve"> hui. </w:t>
            </w:r>
          </w:p>
          <w:p w14:paraId="0A00F581" w14:textId="728D2DDD" w:rsidR="001271DD" w:rsidRPr="006B494C" w:rsidRDefault="001271DD" w:rsidP="000C0403">
            <w:pPr>
              <w:pStyle w:val="List-BulletLvl1"/>
              <w:rPr>
                <w:color w:val="36424A" w:themeColor="accent5"/>
              </w:rPr>
            </w:pPr>
            <w:r>
              <w:rPr>
                <w:color w:val="36424A" w:themeColor="accent5"/>
              </w:rPr>
              <w:t>Stakeholders raised issues</w:t>
            </w:r>
            <w:r w:rsidRPr="006B494C">
              <w:rPr>
                <w:color w:val="36424A" w:themeColor="accent5"/>
              </w:rPr>
              <w:t xml:space="preserve"> with, and criticisms of the National Gambling Helpline and Homecare Medical</w:t>
            </w:r>
            <w:r>
              <w:rPr>
                <w:color w:val="36424A" w:themeColor="accent5"/>
              </w:rPr>
              <w:t>, citing a lack of referrals</w:t>
            </w:r>
            <w:r w:rsidR="0031003C">
              <w:rPr>
                <w:color w:val="36424A" w:themeColor="accent5"/>
              </w:rPr>
              <w:t xml:space="preserve">, a lack of cultural competence and general poor performance. These themes </w:t>
            </w:r>
            <w:r w:rsidRPr="006B494C">
              <w:rPr>
                <w:color w:val="36424A" w:themeColor="accent5"/>
              </w:rPr>
              <w:t xml:space="preserve">were particularly strong at Pacific, </w:t>
            </w:r>
            <w:r w:rsidRPr="006B494C">
              <w:rPr>
                <w:color w:val="36424A" w:themeColor="accent5"/>
              </w:rPr>
              <w:lastRenderedPageBreak/>
              <w:t>Asian and Rangatahi hui</w:t>
            </w:r>
            <w:r w:rsidR="0031003C">
              <w:rPr>
                <w:color w:val="36424A" w:themeColor="accent5"/>
              </w:rPr>
              <w:t xml:space="preserve">, where </w:t>
            </w:r>
            <w:r w:rsidR="00BC3FE0">
              <w:rPr>
                <w:color w:val="36424A" w:themeColor="accent5"/>
              </w:rPr>
              <w:t>some stakeholders who had personal</w:t>
            </w:r>
            <w:r w:rsidR="0031003C">
              <w:rPr>
                <w:color w:val="36424A" w:themeColor="accent5"/>
              </w:rPr>
              <w:t xml:space="preserve"> experience using the helpline </w:t>
            </w:r>
            <w:r w:rsidR="00BC3FE0">
              <w:rPr>
                <w:color w:val="36424A" w:themeColor="accent5"/>
              </w:rPr>
              <w:t xml:space="preserve">shared their criticisms and general feedback. </w:t>
            </w:r>
          </w:p>
          <w:p w14:paraId="5984E2E7" w14:textId="4E6EEEBE" w:rsidR="005C4A70" w:rsidRPr="006B494C" w:rsidRDefault="00F60208" w:rsidP="000C0403">
            <w:pPr>
              <w:pStyle w:val="List-BulletLvl1"/>
              <w:rPr>
                <w:color w:val="36424A" w:themeColor="accent5"/>
              </w:rPr>
            </w:pPr>
            <w:r>
              <w:rPr>
                <w:color w:val="36424A" w:themeColor="accent5"/>
              </w:rPr>
              <w:t>Stakeholders called for the</w:t>
            </w:r>
            <w:r w:rsidR="005C4A70" w:rsidRPr="006B494C">
              <w:rPr>
                <w:color w:val="36424A" w:themeColor="accent5"/>
              </w:rPr>
              <w:t xml:space="preserve"> integration of current Māori voices into the Kaupapa </w:t>
            </w:r>
            <w:r>
              <w:rPr>
                <w:color w:val="36424A" w:themeColor="accent5"/>
              </w:rPr>
              <w:t>of this draft service plan, and</w:t>
            </w:r>
            <w:r w:rsidR="005C4A70" w:rsidRPr="006B494C">
              <w:rPr>
                <w:color w:val="36424A" w:themeColor="accent5"/>
              </w:rPr>
              <w:t xml:space="preserve"> implementation of Mātauranga Māori </w:t>
            </w:r>
            <w:r w:rsidR="001271DD">
              <w:rPr>
                <w:color w:val="36424A" w:themeColor="accent5"/>
              </w:rPr>
              <w:t xml:space="preserve">into both the service plan and service provision </w:t>
            </w:r>
            <w:r w:rsidR="005C4A70" w:rsidRPr="006B494C">
              <w:rPr>
                <w:color w:val="36424A" w:themeColor="accent5"/>
              </w:rPr>
              <w:t>was a strong theme at both general and the Māori</w:t>
            </w:r>
            <w:r w:rsidR="001271DD">
              <w:rPr>
                <w:color w:val="36424A" w:themeColor="accent5"/>
              </w:rPr>
              <w:t>-focused</w:t>
            </w:r>
            <w:r w:rsidR="005C4A70" w:rsidRPr="006B494C">
              <w:rPr>
                <w:color w:val="36424A" w:themeColor="accent5"/>
              </w:rPr>
              <w:t xml:space="preserve"> hui. </w:t>
            </w:r>
          </w:p>
          <w:p w14:paraId="2B94FBC7" w14:textId="293F8B8B" w:rsidR="00175135" w:rsidRPr="006B494C" w:rsidRDefault="00175135" w:rsidP="00175135">
            <w:pPr>
              <w:pStyle w:val="List-BulletLvl1"/>
              <w:rPr>
                <w:color w:val="36424A" w:themeColor="accent5"/>
              </w:rPr>
            </w:pPr>
            <w:r>
              <w:rPr>
                <w:color w:val="36424A" w:themeColor="accent5"/>
              </w:rPr>
              <w:t>Stakeholders at the Industry-focused</w:t>
            </w:r>
            <w:r w:rsidRPr="006B494C">
              <w:rPr>
                <w:color w:val="36424A" w:themeColor="accent5"/>
              </w:rPr>
              <w:t xml:space="preserve"> </w:t>
            </w:r>
            <w:r>
              <w:rPr>
                <w:color w:val="36424A" w:themeColor="accent5"/>
              </w:rPr>
              <w:t xml:space="preserve">hui raised the need for </w:t>
            </w:r>
            <w:r w:rsidRPr="006B494C">
              <w:rPr>
                <w:color w:val="36424A" w:themeColor="accent5"/>
              </w:rPr>
              <w:t xml:space="preserve">more well-rounded </w:t>
            </w:r>
            <w:r w:rsidR="005C4A70" w:rsidRPr="006B494C">
              <w:rPr>
                <w:color w:val="36424A" w:themeColor="accent5"/>
              </w:rPr>
              <w:t xml:space="preserve">support </w:t>
            </w:r>
            <w:r w:rsidRPr="006B494C">
              <w:rPr>
                <w:color w:val="36424A" w:themeColor="accent5"/>
              </w:rPr>
              <w:t xml:space="preserve">from service </w:t>
            </w:r>
            <w:r>
              <w:rPr>
                <w:color w:val="36424A" w:themeColor="accent5"/>
              </w:rPr>
              <w:t>providers, particularly in after-hours/weekend support and greater accessibility for people in rural settings.</w:t>
            </w:r>
            <w:r w:rsidRPr="006B494C">
              <w:rPr>
                <w:color w:val="36424A" w:themeColor="accent5"/>
              </w:rPr>
              <w:t xml:space="preserve"> This comment received some push back from service providers who considered they were doing the best they could with the resources available.</w:t>
            </w:r>
          </w:p>
          <w:p w14:paraId="31B528B6" w14:textId="27CBB583" w:rsidR="00175135" w:rsidRPr="00985528" w:rsidRDefault="00175135" w:rsidP="00985528">
            <w:pPr>
              <w:pStyle w:val="List-BulletLvl1"/>
              <w:rPr>
                <w:color w:val="36424A" w:themeColor="accent5"/>
              </w:rPr>
            </w:pPr>
            <w:r>
              <w:rPr>
                <w:color w:val="36424A" w:themeColor="accent5"/>
              </w:rPr>
              <w:t>Stakeholders discussed the</w:t>
            </w:r>
            <w:r w:rsidRPr="006B494C">
              <w:rPr>
                <w:color w:val="36424A" w:themeColor="accent5"/>
              </w:rPr>
              <w:t xml:space="preserve"> partnership between service providers and the industry </w:t>
            </w:r>
            <w:r>
              <w:rPr>
                <w:color w:val="36424A" w:themeColor="accent5"/>
              </w:rPr>
              <w:t>at both the</w:t>
            </w:r>
            <w:r w:rsidRPr="006B494C">
              <w:rPr>
                <w:color w:val="36424A" w:themeColor="accent5"/>
              </w:rPr>
              <w:t xml:space="preserve"> Industry</w:t>
            </w:r>
            <w:r>
              <w:rPr>
                <w:color w:val="36424A" w:themeColor="accent5"/>
              </w:rPr>
              <w:t>-focused</w:t>
            </w:r>
            <w:r w:rsidRPr="006B494C">
              <w:rPr>
                <w:color w:val="36424A" w:themeColor="accent5"/>
              </w:rPr>
              <w:t xml:space="preserve"> and </w:t>
            </w:r>
            <w:r w:rsidR="005C4A70" w:rsidRPr="006B494C">
              <w:rPr>
                <w:color w:val="36424A" w:themeColor="accent5"/>
              </w:rPr>
              <w:t>general hui</w:t>
            </w:r>
            <w:r w:rsidRPr="006B494C">
              <w:rPr>
                <w:color w:val="36424A" w:themeColor="accent5"/>
              </w:rPr>
              <w:t>, with attendees from both parties acknowledging a need for more collaboration.</w:t>
            </w:r>
            <w:r>
              <w:rPr>
                <w:color w:val="36424A" w:themeColor="accent5"/>
              </w:rPr>
              <w:t xml:space="preserve"> Industry stakeholders commented that they were invested in having a limited impact on the communities in which they operate and were keen to work in partnership with service providers; while some service providers iterated it was less about partnership, but about the industry referring as many people experiencing gambling harm as they can.</w:t>
            </w:r>
          </w:p>
          <w:p w14:paraId="0C804BC7" w14:textId="613C4CB2" w:rsidR="005C4A70" w:rsidRPr="006B494C" w:rsidRDefault="00175135" w:rsidP="000C0403">
            <w:pPr>
              <w:pStyle w:val="List-BulletLvl1"/>
              <w:rPr>
                <w:color w:val="36424A" w:themeColor="accent5"/>
              </w:rPr>
            </w:pPr>
            <w:r>
              <w:rPr>
                <w:color w:val="36424A" w:themeColor="accent5"/>
              </w:rPr>
              <w:t>Stakeholders at the general hui</w:t>
            </w:r>
            <w:r w:rsidRPr="006B494C">
              <w:rPr>
                <w:color w:val="36424A" w:themeColor="accent5"/>
              </w:rPr>
              <w:t xml:space="preserve"> </w:t>
            </w:r>
            <w:r>
              <w:rPr>
                <w:color w:val="36424A" w:themeColor="accent5"/>
              </w:rPr>
              <w:t>were supportive of</w:t>
            </w:r>
            <w:r w:rsidR="005C4A70" w:rsidRPr="006B494C">
              <w:rPr>
                <w:color w:val="36424A" w:themeColor="accent5"/>
              </w:rPr>
              <w:t xml:space="preserve"> a mix of clinical and non-clinical staff, e.g., health coaches, to support people experiencing gambling harm. </w:t>
            </w:r>
          </w:p>
        </w:tc>
      </w:tr>
    </w:tbl>
    <w:p w14:paraId="222C4380" w14:textId="77777777" w:rsidR="005C4A70" w:rsidRDefault="005C4A70" w:rsidP="005C4A70">
      <w:pPr>
        <w:pStyle w:val="NumberedHeading2"/>
      </w:pPr>
      <w:bookmarkStart w:id="91" w:name="_Toc88637585"/>
      <w:r w:rsidRPr="009E7223">
        <w:lastRenderedPageBreak/>
        <w:t xml:space="preserve">The degree of support for </w:t>
      </w:r>
      <w:bookmarkEnd w:id="88"/>
      <w:r w:rsidRPr="009E7223">
        <w:t xml:space="preserve">the proposed funding </w:t>
      </w:r>
      <w:r>
        <w:t>mix</w:t>
      </w:r>
      <w:bookmarkEnd w:id="91"/>
    </w:p>
    <w:p w14:paraId="17264411" w14:textId="77777777" w:rsidR="005C4A70" w:rsidRDefault="005C4A70" w:rsidP="005C4A70">
      <w:pPr>
        <w:pStyle w:val="BodyText"/>
      </w:pPr>
      <w:r>
        <w:t>Two-thirds (14 out of 21) of the submitters who commented on the proposed funding mix supported it to some degree. Of those, 10 provided a simple “Yes” answer to Question 6. A further 4 expressed qualified support for the proposed funding mix (i.e. they supported it, but also commented on how it could be enhanced).</w:t>
      </w:r>
    </w:p>
    <w:p w14:paraId="320E0D5A" w14:textId="77777777" w:rsidR="005C4A70" w:rsidRDefault="005C4A70" w:rsidP="005C4A70">
      <w:pPr>
        <w:pStyle w:val="BodyText"/>
      </w:pPr>
      <w:r>
        <w:t>Comments on the proposed funding mix included:</w:t>
      </w:r>
    </w:p>
    <w:p w14:paraId="602312FB" w14:textId="7089E8FB" w:rsidR="005C4A70" w:rsidRDefault="005C4A70" w:rsidP="005C4A70">
      <w:pPr>
        <w:pStyle w:val="List-BulletLvl1"/>
      </w:pPr>
      <w:r>
        <w:t>support for the proposed increase to FTE rates for clinical intervention roles</w:t>
      </w:r>
    </w:p>
    <w:p w14:paraId="3C9C067E" w14:textId="77777777" w:rsidR="005C4A70" w:rsidRDefault="005C4A70" w:rsidP="005C4A70">
      <w:pPr>
        <w:pStyle w:val="List-BulletLvl1"/>
      </w:pPr>
      <w:r>
        <w:t>concern that technology had been overlooked in the funding mix</w:t>
      </w:r>
    </w:p>
    <w:p w14:paraId="48B1EB69" w14:textId="77777777" w:rsidR="005C4A70" w:rsidRDefault="005C4A70" w:rsidP="005C4A70">
      <w:pPr>
        <w:pStyle w:val="List-BulletLvl1"/>
      </w:pPr>
      <w:r>
        <w:t>mixed views on the decrease in research funding</w:t>
      </w:r>
    </w:p>
    <w:p w14:paraId="6CA0FA9A" w14:textId="77777777" w:rsidR="005C4A70" w:rsidRDefault="005C4A70" w:rsidP="005C4A70">
      <w:pPr>
        <w:pStyle w:val="List-BulletLvl1"/>
      </w:pPr>
      <w:r>
        <w:t>concern that the increase in funding was inappropriate if there was to be more of the same</w:t>
      </w:r>
    </w:p>
    <w:p w14:paraId="76BACF84" w14:textId="77777777" w:rsidR="005C4A70" w:rsidRDefault="005C4A70" w:rsidP="005C4A70">
      <w:pPr>
        <w:pStyle w:val="List-BulletLvl1"/>
      </w:pPr>
      <w:r>
        <w:t xml:space="preserve">the need for sustainable funding note based on industry profits. </w:t>
      </w:r>
    </w:p>
    <w:p w14:paraId="67C943AC" w14:textId="77777777" w:rsidR="005C4A70" w:rsidRDefault="005C4A70" w:rsidP="005C4A70">
      <w:pPr>
        <w:pStyle w:val="NumberedHeading3"/>
      </w:pPr>
      <w:bookmarkStart w:id="92" w:name="_Toc88637586"/>
      <w:r>
        <w:t>Two-thirds of the submitters who commented on the proposed funding mix supported it to some degree</w:t>
      </w:r>
      <w:bookmarkEnd w:id="92"/>
    </w:p>
    <w:p w14:paraId="491B0640" w14:textId="77777777" w:rsidR="005C4A70" w:rsidRDefault="005C4A70" w:rsidP="005C4A70">
      <w:pPr>
        <w:pStyle w:val="BodyText"/>
      </w:pPr>
      <w:r>
        <w:t>Seven submitters answered yes and provided further comment in support of the proposed funding mix.</w:t>
      </w:r>
      <w:r>
        <w:rPr>
          <w:rStyle w:val="FootnoteReference"/>
        </w:rPr>
        <w:footnoteReference w:id="485"/>
      </w:r>
      <w:r>
        <w:t xml:space="preserve"> Specific support for the proposed funding mix included support for:</w:t>
      </w:r>
    </w:p>
    <w:p w14:paraId="2CCB91E7" w14:textId="77777777" w:rsidR="005C4A70" w:rsidRDefault="005C4A70" w:rsidP="005C4A70">
      <w:pPr>
        <w:pStyle w:val="List-BulletLvl1"/>
      </w:pPr>
      <w:r>
        <w:lastRenderedPageBreak/>
        <w:t>the funding around clinical and public health services (two service providers, one health and social services submitter and one local government submitter)</w:t>
      </w:r>
      <w:r>
        <w:rPr>
          <w:rStyle w:val="FootnoteReference"/>
        </w:rPr>
        <w:footnoteReference w:id="486"/>
      </w:r>
      <w:r>
        <w:t xml:space="preserve"> </w:t>
      </w:r>
    </w:p>
    <w:p w14:paraId="18A91DCB" w14:textId="77777777" w:rsidR="005C4A70" w:rsidRDefault="005C4A70" w:rsidP="005C4A70">
      <w:pPr>
        <w:pStyle w:val="List-BulletLvl2"/>
      </w:pPr>
      <w:r>
        <w:t>one service provider and one local government submitter commented that this investment reflected the greater intensity and resource required for clinical support compared to community work with groups</w:t>
      </w:r>
      <w:r>
        <w:rPr>
          <w:rStyle w:val="FootnoteReference"/>
        </w:rPr>
        <w:footnoteReference w:id="487"/>
      </w:r>
    </w:p>
    <w:p w14:paraId="2AE8A42D" w14:textId="77777777" w:rsidR="005C4A70" w:rsidRDefault="005C4A70" w:rsidP="005C4A70">
      <w:pPr>
        <w:pStyle w:val="List-BulletLvl1"/>
      </w:pPr>
      <w:r>
        <w:t>the proposal to carry over the $5.6 million of underspend appropriation into the next levy period (one service provider)</w:t>
      </w:r>
      <w:r w:rsidRPr="00642D59">
        <w:rPr>
          <w:rStyle w:val="FootnoteReference"/>
        </w:rPr>
        <w:footnoteReference w:id="488"/>
      </w:r>
    </w:p>
    <w:p w14:paraId="39EF2B5D" w14:textId="439581B6" w:rsidR="005C4A70" w:rsidRDefault="005C4A70" w:rsidP="005C4A70">
      <w:pPr>
        <w:pStyle w:val="List-BulletLvl1"/>
      </w:pPr>
      <w:r>
        <w:t>the adoption of cost-effective harm minimisation tools that would target problem gamblers without having a negative impact on recreational gamblers who are not at risk of harm (one NCGM submitter)</w:t>
      </w:r>
      <w:r>
        <w:rPr>
          <w:rStyle w:val="FootnoteReference"/>
        </w:rPr>
        <w:footnoteReference w:id="489"/>
      </w:r>
    </w:p>
    <w:p w14:paraId="275F6089" w14:textId="77777777" w:rsidR="005C4A70" w:rsidRDefault="005C4A70" w:rsidP="005C4A70">
      <w:pPr>
        <w:pStyle w:val="List-BulletLvl1"/>
      </w:pPr>
      <w:r>
        <w:t>all investment area actions:</w:t>
      </w:r>
    </w:p>
    <w:p w14:paraId="110721C4" w14:textId="77777777" w:rsidR="005C4A70" w:rsidRDefault="005C4A70" w:rsidP="005C4A70">
      <w:pPr>
        <w:pStyle w:val="List-BulletLvl2"/>
      </w:pPr>
      <w:r>
        <w:t xml:space="preserve">the period of 2022/23 to 2024/25 would be challenging and this submitter stated that they would work to update and develop new resources to align with the new strategy and reflect both the submitter’s Te Tiriti dynamic approach as well as the </w:t>
      </w:r>
      <w:r w:rsidRPr="00AB6E16">
        <w:rPr>
          <w:i/>
          <w:iCs/>
        </w:rPr>
        <w:t>Safer Gambling Aotearoa</w:t>
      </w:r>
      <w:r>
        <w:t xml:space="preserve"> campaign (one service provider).</w:t>
      </w:r>
      <w:r>
        <w:rPr>
          <w:rStyle w:val="FootnoteReference"/>
        </w:rPr>
        <w:footnoteReference w:id="490"/>
      </w:r>
    </w:p>
    <w:p w14:paraId="59A7264E" w14:textId="77777777" w:rsidR="005C4A70" w:rsidRPr="00AB6E16" w:rsidRDefault="005C4A70" w:rsidP="005C4A70">
      <w:pPr>
        <w:pStyle w:val="CV-Heading2"/>
        <w:rPr>
          <w:bCs/>
          <w:i/>
        </w:rPr>
      </w:pPr>
      <w:r>
        <w:rPr>
          <w:i/>
          <w:iCs/>
        </w:rPr>
        <w:t>Submitters expressed</w:t>
      </w:r>
      <w:r w:rsidRPr="00AB6E16">
        <w:rPr>
          <w:bCs/>
          <w:i/>
        </w:rPr>
        <w:t xml:space="preserve"> qualified support for the proposed funding mix</w:t>
      </w:r>
    </w:p>
    <w:p w14:paraId="7C7570D3" w14:textId="599DF3F7" w:rsidR="005C4A70" w:rsidRDefault="005C4A70" w:rsidP="005C4A70">
      <w:pPr>
        <w:pStyle w:val="BodyText"/>
      </w:pPr>
      <w:r>
        <w:t>Four service providers expressed qualified support for the proposed funding mix</w:t>
      </w:r>
      <w:r w:rsidR="00CA5CA5">
        <w:t>.</w:t>
      </w:r>
      <w:r>
        <w:rPr>
          <w:rStyle w:val="FootnoteReference"/>
        </w:rPr>
        <w:footnoteReference w:id="491"/>
      </w:r>
      <w:r>
        <w:t xml:space="preserve"> </w:t>
      </w:r>
      <w:r w:rsidR="00F636BD">
        <w:t xml:space="preserve">Qualification </w:t>
      </w:r>
      <w:r w:rsidR="00CA5CA5">
        <w:t xml:space="preserve">centred on </w:t>
      </w:r>
      <w:r w:rsidR="00F636BD">
        <w:t>submitter</w:t>
      </w:r>
      <w:r w:rsidR="004C36B1">
        <w:t>s</w:t>
      </w:r>
      <w:r w:rsidR="00F636BD">
        <w:t xml:space="preserve"> sugges</w:t>
      </w:r>
      <w:r w:rsidR="004C36B1">
        <w:t>ting</w:t>
      </w:r>
      <w:r w:rsidR="00F636BD">
        <w:t xml:space="preserve"> changes to the funding mix</w:t>
      </w:r>
      <w:r w:rsidR="003D5D37">
        <w:t>, with a focus on ensuring that the funding mix better supports equitable outcomes</w:t>
      </w:r>
      <w:r w:rsidR="009B1D4D">
        <w:t>:</w:t>
      </w:r>
    </w:p>
    <w:p w14:paraId="13211750" w14:textId="1BA52433" w:rsidR="005C4A70" w:rsidRDefault="004C36B1" w:rsidP="005C4A70">
      <w:pPr>
        <w:pStyle w:val="List-BulletLvl1"/>
      </w:pPr>
      <w:r>
        <w:t>c</w:t>
      </w:r>
      <w:r w:rsidR="005C4A70">
        <w:t>ulturally appropriate and competent training to be provided to the workforce</w:t>
      </w:r>
      <w:r w:rsidR="00AE649B">
        <w:t xml:space="preserve">: </w:t>
      </w:r>
      <w:r w:rsidR="005C4A70">
        <w:t xml:space="preserve">partnering with organisations </w:t>
      </w:r>
      <w:r w:rsidR="00AE649B">
        <w:t xml:space="preserve">like </w:t>
      </w:r>
      <w:r w:rsidR="005C4A70" w:rsidRPr="00F83523">
        <w:t>Te Wānanga o Aotearoa</w:t>
      </w:r>
      <w:r w:rsidR="005C4A70">
        <w:t xml:space="preserve"> to access the suite or training, expertise and kaitiaki to better guide clinicians around Māori tikanga in their work</w:t>
      </w:r>
      <w:r w:rsidR="00AE649B">
        <w:t xml:space="preserve"> (one service provider)</w:t>
      </w:r>
      <w:r w:rsidR="005C4A70">
        <w:rPr>
          <w:rStyle w:val="FootnoteReference"/>
        </w:rPr>
        <w:footnoteReference w:id="492"/>
      </w:r>
      <w:r w:rsidR="005C4A70">
        <w:t xml:space="preserve"> </w:t>
      </w:r>
    </w:p>
    <w:p w14:paraId="77880F0F" w14:textId="296A675C" w:rsidR="005C4A70" w:rsidRDefault="004C36B1" w:rsidP="005C4A70">
      <w:pPr>
        <w:pStyle w:val="List-BulletLvl1"/>
      </w:pPr>
      <w:r>
        <w:t>f</w:t>
      </w:r>
      <w:r w:rsidR="005C4A70">
        <w:t>unding parity between public health and intervention services</w:t>
      </w:r>
      <w:r w:rsidR="002479BB">
        <w:t>:</w:t>
      </w:r>
      <w:r w:rsidR="005C4A70">
        <w:t xml:space="preserve"> there should be a redirection of funding to both Māori specific clinical and public health services so that the funding mix is proportionate to the burden of harm and the communities impacted by those harms</w:t>
      </w:r>
      <w:r w:rsidR="002479BB">
        <w:t xml:space="preserve"> (one service provider)</w:t>
      </w:r>
      <w:r w:rsidR="005C4A70">
        <w:rPr>
          <w:rStyle w:val="FootnoteReference"/>
        </w:rPr>
        <w:footnoteReference w:id="493"/>
      </w:r>
    </w:p>
    <w:p w14:paraId="39B698BA" w14:textId="0DF9B320" w:rsidR="005C4A70" w:rsidRDefault="004C36B1" w:rsidP="005C4A70">
      <w:pPr>
        <w:pStyle w:val="List-BulletLvl1"/>
      </w:pPr>
      <w:r>
        <w:t>i</w:t>
      </w:r>
      <w:r w:rsidR="005C4A70">
        <w:t>nclude an equity package to provide intervention to reduce inequalities amongst whai</w:t>
      </w:r>
      <w:r w:rsidR="006302EA">
        <w:t xml:space="preserve"> </w:t>
      </w:r>
      <w:r w:rsidR="005C4A70">
        <w:t>ora service users, for example, the provision of mobile phones with six months data to whai</w:t>
      </w:r>
      <w:r w:rsidR="006302EA">
        <w:t xml:space="preserve"> </w:t>
      </w:r>
      <w:r w:rsidR="005C4A70">
        <w:t>ora in need during the latest COVID-19 response</w:t>
      </w:r>
      <w:r>
        <w:t>.</w:t>
      </w:r>
      <w:r w:rsidR="005C4A70">
        <w:t xml:space="preserve"> </w:t>
      </w:r>
      <w:r>
        <w:t>P</w:t>
      </w:r>
      <w:r w:rsidR="005C4A70">
        <w:t>roviders having the flexibility to offer these kinds of interventions would help reduce inequities at a grassroots/community level</w:t>
      </w:r>
      <w:r w:rsidR="002479BB">
        <w:t xml:space="preserve"> (one service provider)</w:t>
      </w:r>
      <w:r w:rsidR="005C4A70">
        <w:rPr>
          <w:rStyle w:val="FootnoteReference"/>
        </w:rPr>
        <w:footnoteReference w:id="494"/>
      </w:r>
      <w:r w:rsidR="005C4A70">
        <w:t xml:space="preserve"> </w:t>
      </w:r>
    </w:p>
    <w:p w14:paraId="6FFA1116" w14:textId="6B62E39F" w:rsidR="003D5D37" w:rsidRDefault="004C36B1" w:rsidP="003D5D37">
      <w:pPr>
        <w:pStyle w:val="List-BulletLvl1"/>
      </w:pPr>
      <w:r>
        <w:lastRenderedPageBreak/>
        <w:t>c</w:t>
      </w:r>
      <w:r w:rsidR="003D5D37">
        <w:t>ontinued funding for the MVE admin</w:t>
      </w:r>
      <w:r>
        <w:t>istration</w:t>
      </w:r>
      <w:r w:rsidR="003D5D37">
        <w:t xml:space="preserve"> service and database but </w:t>
      </w:r>
      <w:r>
        <w:t>queried whether</w:t>
      </w:r>
      <w:r w:rsidR="003D5D37">
        <w:t xml:space="preserve"> the increase in funding cover associated audit and testing costs as well as further technical development and evaluation (one service provider).</w:t>
      </w:r>
      <w:r w:rsidR="003D5D37">
        <w:rPr>
          <w:rStyle w:val="FootnoteReference"/>
        </w:rPr>
        <w:footnoteReference w:id="495"/>
      </w:r>
      <w:r w:rsidR="003D5D37">
        <w:t xml:space="preserve"> </w:t>
      </w:r>
    </w:p>
    <w:p w14:paraId="2D0DEF2A" w14:textId="77777777" w:rsidR="005C4A70" w:rsidRPr="00AC2C4B" w:rsidRDefault="005C4A70" w:rsidP="005C4A70">
      <w:pPr>
        <w:pStyle w:val="NumberedHeading3"/>
        <w:autoSpaceDE w:val="0"/>
        <w:autoSpaceDN w:val="0"/>
        <w:adjustRightInd w:val="0"/>
        <w:spacing w:line="269" w:lineRule="auto"/>
        <w:jc w:val="both"/>
      </w:pPr>
      <w:bookmarkStart w:id="93" w:name="_Toc88637587"/>
      <w:r>
        <w:t>Submitters expressed general support for the proposed increase to FTE rates for clinical intervention roles</w:t>
      </w:r>
      <w:bookmarkEnd w:id="93"/>
      <w:r>
        <w:t xml:space="preserve"> </w:t>
      </w:r>
    </w:p>
    <w:p w14:paraId="0A9CDEB3" w14:textId="77777777" w:rsidR="005C4A70" w:rsidRDefault="005C4A70" w:rsidP="005C4A70">
      <w:pPr>
        <w:pStyle w:val="BodyText"/>
      </w:pPr>
      <w:r>
        <w:t>Thirteen submitters including eight service providers,</w:t>
      </w:r>
      <w:r>
        <w:rPr>
          <w:rStyle w:val="FootnoteReference"/>
        </w:rPr>
        <w:footnoteReference w:id="496"/>
      </w:r>
      <w:r>
        <w:t xml:space="preserve"> two NCGM submitters,</w:t>
      </w:r>
      <w:r>
        <w:rPr>
          <w:rStyle w:val="FootnoteReference"/>
        </w:rPr>
        <w:footnoteReference w:id="497"/>
      </w:r>
      <w:r>
        <w:t xml:space="preserve"> three health and social services submitters</w:t>
      </w:r>
      <w:r>
        <w:rPr>
          <w:rStyle w:val="FootnoteReference"/>
        </w:rPr>
        <w:footnoteReference w:id="498"/>
      </w:r>
      <w:r>
        <w:t xml:space="preserve"> and one local government submitter commented on the proposed increase to FTE rates for clinical intervention roles. </w:t>
      </w:r>
    </w:p>
    <w:p w14:paraId="1D23D90E" w14:textId="1A6072DB" w:rsidR="004B1FFF" w:rsidRDefault="005C4A70" w:rsidP="005C4A70">
      <w:pPr>
        <w:pStyle w:val="BodyText"/>
      </w:pPr>
      <w:r>
        <w:t>Eight submitters supported the increased clinical FTE rates.</w:t>
      </w:r>
      <w:r>
        <w:rPr>
          <w:rStyle w:val="FootnoteReference"/>
        </w:rPr>
        <w:footnoteReference w:id="499"/>
      </w:r>
      <w:r>
        <w:t xml:space="preserve"> </w:t>
      </w:r>
      <w:r w:rsidR="004B1FFF">
        <w:t>Reasons for supporting the increased clinical rates were that the proposed increase</w:t>
      </w:r>
      <w:r w:rsidR="00C62228">
        <w:t xml:space="preserve"> would</w:t>
      </w:r>
      <w:r w:rsidR="004B1FFF">
        <w:t>:</w:t>
      </w:r>
    </w:p>
    <w:p w14:paraId="50F8E7CA" w14:textId="78B6F08B" w:rsidR="00C62228" w:rsidRDefault="005C4A70" w:rsidP="004B1FFF">
      <w:pPr>
        <w:pStyle w:val="List-BulletLvl1"/>
      </w:pPr>
      <w:r>
        <w:t>have a positive impact on recruitment and retention of staff into the PMGH sector</w:t>
      </w:r>
      <w:r w:rsidR="004B1FFF">
        <w:t xml:space="preserve"> (one health and social services submitter and one service provider)</w:t>
      </w:r>
      <w:r>
        <w:rPr>
          <w:rStyle w:val="FootnoteReference"/>
        </w:rPr>
        <w:footnoteReference w:id="500"/>
      </w:r>
      <w:r>
        <w:t xml:space="preserve"> </w:t>
      </w:r>
    </w:p>
    <w:p w14:paraId="3F183499" w14:textId="4BB5C772" w:rsidR="005C4A70" w:rsidRDefault="005C4A70" w:rsidP="0021247E">
      <w:pPr>
        <w:pStyle w:val="List-BulletLvl1"/>
      </w:pPr>
      <w:r>
        <w:t>enable the development of a sustainable and high</w:t>
      </w:r>
      <w:r w:rsidR="001556E2">
        <w:t>-</w:t>
      </w:r>
      <w:r>
        <w:t>quality workforce</w:t>
      </w:r>
      <w:r w:rsidR="00C62228">
        <w:t>, including attracting a high calibre of Asian social workers, especially in Auckland where living costs are high (one service provider)</w:t>
      </w:r>
      <w:r>
        <w:t>.</w:t>
      </w:r>
      <w:r>
        <w:rPr>
          <w:rStyle w:val="FootnoteReference"/>
        </w:rPr>
        <w:footnoteReference w:id="501"/>
      </w:r>
      <w:r>
        <w:t xml:space="preserve"> </w:t>
      </w:r>
    </w:p>
    <w:p w14:paraId="1EA69492" w14:textId="77777777" w:rsidR="005C4A70" w:rsidRDefault="005C4A70" w:rsidP="005C4A70">
      <w:pPr>
        <w:pStyle w:val="BodyText"/>
      </w:pPr>
      <w:r>
        <w:t>One service provider commented that they would prefer to see an increase in the FTE rate for public health staff, as they considered upstream approaches to have a greater impact on preventing and minimising harm in a broader context:</w:t>
      </w:r>
      <w:r>
        <w:rPr>
          <w:rStyle w:val="FootnoteReference"/>
        </w:rPr>
        <w:footnoteReference w:id="502"/>
      </w:r>
    </w:p>
    <w:p w14:paraId="779E6759" w14:textId="22ACFF71" w:rsidR="005C4A70" w:rsidRDefault="005C4A70" w:rsidP="005C4A70">
      <w:pPr>
        <w:pStyle w:val="BodyText"/>
        <w:ind w:left="720"/>
      </w:pPr>
      <w:r>
        <w:t>“</w:t>
      </w:r>
      <w:r w:rsidRPr="0021247E">
        <w:rPr>
          <w:i/>
        </w:rPr>
        <w:t>To effect significant change, we recommend that public health FTE be increased, as it is difficult to achieve impact when we have lone, part-time workers spread thinly across the country. There are currently not enough public health workers to meaningfully support local community action, raise awareness, support safer gambling environments, promote healthy public policy and advocate for effective screening environments to prevent and minimise gambling harm. Pivoting to working with high priority populations alone is not enough to effect change. We also need to develop specialists across certain areas of public health such as policy development, social marketing, and media, to attract younger people, data analysts, researchers, etc</w:t>
      </w:r>
      <w:r w:rsidRPr="001B55CA">
        <w:t>.</w:t>
      </w:r>
      <w:r>
        <w:t>”</w:t>
      </w:r>
    </w:p>
    <w:p w14:paraId="12EFB806" w14:textId="77777777" w:rsidR="005C4A70" w:rsidRPr="00514C4C" w:rsidRDefault="005C4A70" w:rsidP="005C4A70">
      <w:pPr>
        <w:pStyle w:val="CV-Heading2"/>
        <w:rPr>
          <w:i/>
          <w:iCs/>
        </w:rPr>
      </w:pPr>
      <w:r>
        <w:rPr>
          <w:i/>
          <w:iCs/>
        </w:rPr>
        <w:t>Submitters expressed c</w:t>
      </w:r>
      <w:r w:rsidRPr="00514C4C">
        <w:rPr>
          <w:i/>
          <w:iCs/>
        </w:rPr>
        <w:t xml:space="preserve">onditional support for the proposed increase to clinical FTE rates </w:t>
      </w:r>
    </w:p>
    <w:p w14:paraId="117366DE" w14:textId="514CE369" w:rsidR="005C4A70" w:rsidRDefault="005C4A70" w:rsidP="005C4A70">
      <w:pPr>
        <w:pStyle w:val="BodyText"/>
      </w:pPr>
      <w:r>
        <w:t xml:space="preserve">Four submitters </w:t>
      </w:r>
      <w:r w:rsidR="00D43CB5">
        <w:t>(</w:t>
      </w:r>
      <w:r>
        <w:t>two NCGM submitters</w:t>
      </w:r>
      <w:r w:rsidR="00D43CB5">
        <w:t xml:space="preserve">, </w:t>
      </w:r>
      <w:r>
        <w:t>two service providers</w:t>
      </w:r>
      <w:r w:rsidR="00D43CB5">
        <w:t>)</w:t>
      </w:r>
      <w:r>
        <w:t xml:space="preserve"> conditional</w:t>
      </w:r>
      <w:r w:rsidR="008B1590">
        <w:t>ly</w:t>
      </w:r>
      <w:r>
        <w:t xml:space="preserve"> support</w:t>
      </w:r>
      <w:r w:rsidR="008B1590">
        <w:t>ed</w:t>
      </w:r>
      <w:r>
        <w:t xml:space="preserve"> the proposed increase to clinical FTE rates.</w:t>
      </w:r>
      <w:r>
        <w:rPr>
          <w:rStyle w:val="FootnoteReference"/>
        </w:rPr>
        <w:footnoteReference w:id="503"/>
      </w:r>
      <w:r>
        <w:t xml:space="preserve"> </w:t>
      </w:r>
      <w:r w:rsidR="008B1590">
        <w:t xml:space="preserve">The two </w:t>
      </w:r>
      <w:r>
        <w:t>NCGM submitters considered that the proposed FTE rate increase should only move forward if service providers could:</w:t>
      </w:r>
      <w:r>
        <w:rPr>
          <w:rStyle w:val="FootnoteReference"/>
        </w:rPr>
        <w:footnoteReference w:id="504"/>
      </w:r>
    </w:p>
    <w:p w14:paraId="133E1E54" w14:textId="3378AB5C" w:rsidR="005C4A70" w:rsidRDefault="005C4A70" w:rsidP="005C4A70">
      <w:pPr>
        <w:pStyle w:val="List-BulletLvl1"/>
      </w:pPr>
      <w:r>
        <w:t xml:space="preserve">provide face-to face counselling without restriction </w:t>
      </w:r>
      <w:r w:rsidR="008B1590">
        <w:t>(</w:t>
      </w:r>
      <w:r>
        <w:t>e.g., being on call, after hours support, travel</w:t>
      </w:r>
      <w:r w:rsidR="008B1590">
        <w:t>, etc.)</w:t>
      </w:r>
    </w:p>
    <w:p w14:paraId="511E4186" w14:textId="77777777" w:rsidR="005C4A70" w:rsidRDefault="005C4A70" w:rsidP="005C4A70">
      <w:pPr>
        <w:pStyle w:val="List-BulletLvl1"/>
      </w:pPr>
      <w:r>
        <w:lastRenderedPageBreak/>
        <w:t>travel to meet with clients</w:t>
      </w:r>
    </w:p>
    <w:p w14:paraId="10C496B0" w14:textId="0DBD13E1" w:rsidR="005C4A70" w:rsidRDefault="005C4A70" w:rsidP="005C4A70">
      <w:pPr>
        <w:pStyle w:val="List-BulletLvl1"/>
      </w:pPr>
      <w:r>
        <w:t xml:space="preserve">diversify their skillset and treat comorbidities </w:t>
      </w:r>
    </w:p>
    <w:p w14:paraId="60D58BB8" w14:textId="77777777" w:rsidR="005C4A70" w:rsidRDefault="005C4A70" w:rsidP="005C4A70">
      <w:pPr>
        <w:pStyle w:val="List-BulletLvl1"/>
      </w:pPr>
      <w:r>
        <w:t xml:space="preserve">increase their workload to match increased presentations.  </w:t>
      </w:r>
    </w:p>
    <w:p w14:paraId="7B5DEB01" w14:textId="29B06553" w:rsidR="005C4A70" w:rsidRDefault="005C4A70" w:rsidP="005C4A70">
      <w:pPr>
        <w:pStyle w:val="BodyText"/>
      </w:pPr>
      <w:r>
        <w:t>The NCGM submitters commented that if these requirements were not supported, they would object to the increase, as they considered it inappropriate to increase funding to what they considered to be poor-quality services, with decreasing presentations.</w:t>
      </w:r>
      <w:r>
        <w:rPr>
          <w:rStyle w:val="FootnoteReference"/>
        </w:rPr>
        <w:footnoteReference w:id="505"/>
      </w:r>
      <w:r>
        <w:t xml:space="preserve">  </w:t>
      </w:r>
    </w:p>
    <w:p w14:paraId="5D0D8B69" w14:textId="6F2BD8AC" w:rsidR="005C4A70" w:rsidRDefault="005C4A70" w:rsidP="005C4A70">
      <w:pPr>
        <w:pStyle w:val="BodyText"/>
      </w:pPr>
      <w:r>
        <w:t>Two service providers supported the increase but raised concerns about how effectively this would address recruitment and retention of staff in the PMGH sector.</w:t>
      </w:r>
      <w:r>
        <w:rPr>
          <w:rStyle w:val="FootnoteReference"/>
        </w:rPr>
        <w:footnoteReference w:id="506"/>
      </w:r>
      <w:r>
        <w:t xml:space="preserve"> One service provider commented that the proposal ignores pay parity and relativity issues and thus further funding increases are needed.</w:t>
      </w:r>
      <w:r>
        <w:rPr>
          <w:rStyle w:val="FootnoteReference"/>
        </w:rPr>
        <w:footnoteReference w:id="507"/>
      </w:r>
      <w:r>
        <w:t xml:space="preserve"> The other service provider recommended permanent contracts for clinical and public health FTEs as opposed to the current fixed term contracts, as the fixed term contracts leave employees uncertain of long-term employment in the gambling workforce, leading to difficulties with both recruitment and retention.</w:t>
      </w:r>
      <w:r>
        <w:rPr>
          <w:rStyle w:val="FootnoteReference"/>
        </w:rPr>
        <w:footnoteReference w:id="508"/>
      </w:r>
      <w:r>
        <w:t xml:space="preserve">  </w:t>
      </w:r>
    </w:p>
    <w:p w14:paraId="6BAA1355" w14:textId="23BABC4B" w:rsidR="005C4A70" w:rsidRDefault="005C4A70" w:rsidP="005C4A70">
      <w:pPr>
        <w:pStyle w:val="NumberedHeading3"/>
        <w:autoSpaceDE w:val="0"/>
        <w:autoSpaceDN w:val="0"/>
        <w:adjustRightInd w:val="0"/>
        <w:spacing w:line="269" w:lineRule="auto"/>
        <w:jc w:val="both"/>
      </w:pPr>
      <w:bookmarkStart w:id="94" w:name="_Toc88637588"/>
      <w:r>
        <w:t xml:space="preserve">NCGM submitters, service providers and individuals considered that </w:t>
      </w:r>
      <w:r w:rsidR="00D52DB1">
        <w:t xml:space="preserve">more of the proposed funding mix could focus on </w:t>
      </w:r>
      <w:r>
        <w:t xml:space="preserve">technology </w:t>
      </w:r>
      <w:bookmarkEnd w:id="94"/>
    </w:p>
    <w:p w14:paraId="76B49C10" w14:textId="77777777" w:rsidR="005C4A70" w:rsidRDefault="005C4A70" w:rsidP="005C4A70">
      <w:pPr>
        <w:pStyle w:val="BodyText"/>
      </w:pPr>
      <w:r>
        <w:t>Ten submitters including five NCGM submitters, three service providers and two individuals commented on the funding for technology in the proposed funding mix.</w:t>
      </w:r>
      <w:r>
        <w:rPr>
          <w:rStyle w:val="FootnoteReference"/>
        </w:rPr>
        <w:footnoteReference w:id="509"/>
      </w:r>
    </w:p>
    <w:p w14:paraId="09D3F924" w14:textId="77777777" w:rsidR="005C4A70" w:rsidRDefault="005C4A70" w:rsidP="005C4A70">
      <w:pPr>
        <w:pStyle w:val="BodyText"/>
      </w:pPr>
      <w:r>
        <w:t>Three NCGM submitters highlighted the importance of investing in technology to prevent and minimise gambling harm and called on the Ministry to allocate 10 percent of the current budget to fund technology-based harm minimisation initiatives.</w:t>
      </w:r>
      <w:r>
        <w:rPr>
          <w:rStyle w:val="FootnoteReference"/>
        </w:rPr>
        <w:footnoteReference w:id="510"/>
      </w:r>
      <w:r>
        <w:t xml:space="preserve"> These submitters suggested the Ministry fund tools to assist with self-enrolment in multi-venue exclusion, and the monitoring of this exclusion via facial recognition. Two NCGM submitters recommended working with the sector to identify areas that would benefit from the use of Facial Recognition Technology (FRT), and funding venue-based harm minimisation technology to foster industry partnership and improve outcomes.</w:t>
      </w:r>
      <w:r>
        <w:rPr>
          <w:rStyle w:val="FootnoteReference"/>
        </w:rPr>
        <w:footnoteReference w:id="511"/>
      </w:r>
      <w:r>
        <w:t xml:space="preserve"> </w:t>
      </w:r>
    </w:p>
    <w:p w14:paraId="2409A023" w14:textId="77777777" w:rsidR="005C4A70" w:rsidRDefault="005C4A70" w:rsidP="005C4A70">
      <w:pPr>
        <w:pStyle w:val="BodyText"/>
      </w:pPr>
      <w:r>
        <w:t>Service providers and individuals offered other suggestions for funding technology:</w:t>
      </w:r>
    </w:p>
    <w:p w14:paraId="20513230" w14:textId="4BC32AF8" w:rsidR="005C4A70" w:rsidRDefault="00A6338B" w:rsidP="005C4A70">
      <w:pPr>
        <w:pStyle w:val="List-BulletLvl1"/>
      </w:pPr>
      <w:r>
        <w:t>m</w:t>
      </w:r>
      <w:r w:rsidR="005C4A70">
        <w:t>ore funding should be supplied to upgrade the Client Information Collection (CLIC) database, as although the database had not changed in eight years, the sector had moved on considerably and thus adjustment to the data collection categories was necessary (one service provider)</w:t>
      </w:r>
      <w:r w:rsidR="005C4A70">
        <w:rPr>
          <w:rStyle w:val="FootnoteReference"/>
        </w:rPr>
        <w:footnoteReference w:id="512"/>
      </w:r>
      <w:r w:rsidR="005C4A70">
        <w:t xml:space="preserve"> </w:t>
      </w:r>
    </w:p>
    <w:p w14:paraId="65FF1C40" w14:textId="19544EA1" w:rsidR="005C4A70" w:rsidRDefault="00A6338B" w:rsidP="005C4A70">
      <w:pPr>
        <w:pStyle w:val="List-BulletLvl1"/>
      </w:pPr>
      <w:r>
        <w:t>t</w:t>
      </w:r>
      <w:r w:rsidR="00736CE7">
        <w:t>he</w:t>
      </w:r>
      <w:r w:rsidR="005C4A70">
        <w:t xml:space="preserve"> demand for digital services is here now due to the changing landscape of service provision due to COVID-19, and the sector cannot afford to wait another three-year period for appropriate funding to come in (one service provider)</w:t>
      </w:r>
      <w:r w:rsidR="005C4A70">
        <w:rPr>
          <w:rStyle w:val="FootnoteReference"/>
        </w:rPr>
        <w:footnoteReference w:id="513"/>
      </w:r>
      <w:r w:rsidR="005C4A70">
        <w:t xml:space="preserve"> </w:t>
      </w:r>
    </w:p>
    <w:p w14:paraId="06EBA1AA" w14:textId="5259247E" w:rsidR="005C4A70" w:rsidRDefault="00A6338B" w:rsidP="005C4A70">
      <w:pPr>
        <w:pStyle w:val="List-BulletLvl1"/>
      </w:pPr>
      <w:r>
        <w:lastRenderedPageBreak/>
        <w:t>t</w:t>
      </w:r>
      <w:r w:rsidR="005C4A70">
        <w:t>he growth in online gambling shows cause for the development of a New Zealand-based online gambling blocking tool and commented that in theory the Concern database could be expanded to include this function (one service provider)</w:t>
      </w:r>
      <w:r w:rsidR="005C4A70">
        <w:rPr>
          <w:rStyle w:val="FootnoteReference"/>
        </w:rPr>
        <w:footnoteReference w:id="514"/>
      </w:r>
    </w:p>
    <w:p w14:paraId="18A5A524" w14:textId="40D9E3D8" w:rsidR="005C4A70" w:rsidRDefault="00A6338B" w:rsidP="005C4A70">
      <w:pPr>
        <w:pStyle w:val="List-BulletLvl1"/>
      </w:pPr>
      <w:r>
        <w:t>o</w:t>
      </w:r>
      <w:r w:rsidR="005C4A70">
        <w:t>ne service provider collected questions from their community, and one of them was “Is there an opportunity to create a Safer Gambling App?”</w:t>
      </w:r>
      <w:r w:rsidR="005C4A70">
        <w:rPr>
          <w:rStyle w:val="FootnoteReference"/>
        </w:rPr>
        <w:footnoteReference w:id="515"/>
      </w:r>
    </w:p>
    <w:p w14:paraId="25BD1A44" w14:textId="0206A8CB" w:rsidR="005C4A70" w:rsidRDefault="00A6338B" w:rsidP="005C4A70">
      <w:pPr>
        <w:pStyle w:val="List-BulletLvl1"/>
      </w:pPr>
      <w:r>
        <w:t>t</w:t>
      </w:r>
      <w:r w:rsidR="005C4A70">
        <w:t>he funding mix did not include anything towards the development in the use of technology to monitor gambling “live” behaviour (one individual), and</w:t>
      </w:r>
      <w:r w:rsidR="005C4A70">
        <w:rPr>
          <w:rStyle w:val="FootnoteReference"/>
        </w:rPr>
        <w:footnoteReference w:id="516"/>
      </w:r>
    </w:p>
    <w:p w14:paraId="62A5616B" w14:textId="77777777" w:rsidR="005C4A70" w:rsidRDefault="005C4A70" w:rsidP="005C4A70">
      <w:pPr>
        <w:pStyle w:val="List-BulletLvl1"/>
      </w:pPr>
      <w:r>
        <w:t>the current MVE system operates well for those who identify/self-identify as having a problem with NCGMs but relies on busy venue staff to recognise those who should be excluded but may not be regulars at that particular venue, and so facial recognition should be included in every machine - if trusts are expected to pay for this then it would become standardised, and costs would reduce (one individual).</w:t>
      </w:r>
      <w:r>
        <w:rPr>
          <w:rStyle w:val="FootnoteReference"/>
        </w:rPr>
        <w:footnoteReference w:id="517"/>
      </w:r>
      <w:r>
        <w:t xml:space="preserve"> </w:t>
      </w:r>
    </w:p>
    <w:p w14:paraId="7D9720FB" w14:textId="77777777" w:rsidR="005C4A70" w:rsidRDefault="005C4A70" w:rsidP="005C4A70">
      <w:pPr>
        <w:pStyle w:val="NumberedHeading3"/>
        <w:autoSpaceDE w:val="0"/>
        <w:autoSpaceDN w:val="0"/>
        <w:adjustRightInd w:val="0"/>
        <w:spacing w:line="269" w:lineRule="auto"/>
        <w:jc w:val="both"/>
      </w:pPr>
      <w:bookmarkStart w:id="95" w:name="_Toc88637589"/>
      <w:r>
        <w:t>Submitters had mixed views on the decrease in research funding</w:t>
      </w:r>
      <w:bookmarkEnd w:id="95"/>
      <w:r>
        <w:t xml:space="preserve"> </w:t>
      </w:r>
    </w:p>
    <w:p w14:paraId="29D93898" w14:textId="77777777" w:rsidR="005C4A70" w:rsidRDefault="005C4A70" w:rsidP="005C4A70">
      <w:pPr>
        <w:pStyle w:val="BodyText"/>
      </w:pPr>
      <w:r>
        <w:t>Ten submitters, including four service providers, three health and social services submitters, two NCGM submitters and one gambling industry submitter commented on the proposed decrease in research funding.</w:t>
      </w:r>
      <w:r>
        <w:rPr>
          <w:rStyle w:val="FootnoteReference"/>
        </w:rPr>
        <w:footnoteReference w:id="518"/>
      </w:r>
    </w:p>
    <w:p w14:paraId="0D5CD8FE" w14:textId="77777777" w:rsidR="005C4A70" w:rsidRDefault="005C4A70" w:rsidP="005C4A70">
      <w:pPr>
        <w:pStyle w:val="BodyText"/>
      </w:pPr>
      <w:r>
        <w:t>Two service providers and one health and social services submitter commented that research and evaluation were underfunded in this proposed funding mix, noting that that research and evaluation are critical for evidence-based decision making as well as advocacy and public health work in the PMGH space.</w:t>
      </w:r>
      <w:r>
        <w:rPr>
          <w:rStyle w:val="FootnoteReference"/>
        </w:rPr>
        <w:footnoteReference w:id="519"/>
      </w:r>
      <w:r>
        <w:t xml:space="preserve"> One service provider considered that the proposed budget would not allow for any large scale or new longitudinal projects to be conducted, and the reduced level of research funding meant that some initiatives would be implemented without a robust evidence base, thus hindering their effectiveness.</w:t>
      </w:r>
      <w:r>
        <w:rPr>
          <w:rStyle w:val="FootnoteReference"/>
        </w:rPr>
        <w:footnoteReference w:id="520"/>
      </w:r>
      <w:r>
        <w:t xml:space="preserve"> </w:t>
      </w:r>
    </w:p>
    <w:p w14:paraId="3DFD3D79" w14:textId="77777777" w:rsidR="005C4A70" w:rsidRDefault="005C4A70" w:rsidP="005C4A70">
      <w:pPr>
        <w:pStyle w:val="BodyText"/>
      </w:pPr>
      <w:r>
        <w:t>Two NCGM submitters, one health and social services submitter and one service provider supported the proposed decreased investment into research and evaluation.</w:t>
      </w:r>
      <w:r>
        <w:rPr>
          <w:rStyle w:val="FootnoteReference"/>
        </w:rPr>
        <w:footnoteReference w:id="521"/>
      </w:r>
      <w:r>
        <w:t xml:space="preserve"> The two NCGM submitters considered that recent research funded by the Ministry had been of low quality and failed to assist in reducing gambling harm or addressing inequities.</w:t>
      </w:r>
      <w:r>
        <w:rPr>
          <w:rStyle w:val="FootnoteReference"/>
        </w:rPr>
        <w:footnoteReference w:id="522"/>
      </w:r>
      <w:r>
        <w:t xml:space="preserve"> The service provider recommended that funds be reallocated to fund frontline and service delivery in light of delays in procurement due to COVID-19.</w:t>
      </w:r>
      <w:r>
        <w:rPr>
          <w:rStyle w:val="FootnoteReference"/>
        </w:rPr>
        <w:footnoteReference w:id="523"/>
      </w:r>
    </w:p>
    <w:p w14:paraId="372C2373" w14:textId="72F33606" w:rsidR="005C4A70" w:rsidRDefault="005C4A70" w:rsidP="005C4A70">
      <w:pPr>
        <w:pStyle w:val="BodyText"/>
      </w:pPr>
      <w:r>
        <w:t xml:space="preserve">One health and social services submitter raised concerns about </w:t>
      </w:r>
      <w:r w:rsidR="00A6338B">
        <w:t xml:space="preserve">the </w:t>
      </w:r>
      <w:r>
        <w:t>reduction and stated that they did not understand why the underspend could not be boosted into funding for this financial year.</w:t>
      </w:r>
      <w:r>
        <w:rPr>
          <w:rStyle w:val="FootnoteReference"/>
        </w:rPr>
        <w:footnoteReference w:id="524"/>
      </w:r>
      <w:r>
        <w:t xml:space="preserve"> This submitter stated that the proposed reduction in funding and previous underspend indicated that there needed to be clearer direction in research areas. This view was shared by an </w:t>
      </w:r>
      <w:r>
        <w:lastRenderedPageBreak/>
        <w:t>NCGM submitter, who stated that the Ministry should ensure that the funded research was more focused.</w:t>
      </w:r>
      <w:r>
        <w:rPr>
          <w:rStyle w:val="FootnoteReference"/>
        </w:rPr>
        <w:footnoteReference w:id="525"/>
      </w:r>
    </w:p>
    <w:p w14:paraId="3358BA1C" w14:textId="77777777" w:rsidR="005C4A70" w:rsidRDefault="005C4A70" w:rsidP="0047496D">
      <w:pPr>
        <w:pStyle w:val="BodyText"/>
      </w:pPr>
      <w:r>
        <w:t>One service provider commented that while they understood the push from researchers/universities to undertake research to understand the impacts of offshore online gambling, this should not come at the cost of services for people experiencing gambling harm now.</w:t>
      </w:r>
      <w:r>
        <w:rPr>
          <w:rStyle w:val="FootnoteReference"/>
        </w:rPr>
        <w:footnoteReference w:id="526"/>
      </w:r>
      <w:r>
        <w:t xml:space="preserve"> This service provider considered research to be time-consuming and stated that the PMGH sector did not have the luxury of waiting years for verified results to inform service delivery when people are experiencing harm in real time.</w:t>
      </w:r>
      <w:r>
        <w:rPr>
          <w:rStyle w:val="FootnoteReference"/>
        </w:rPr>
        <w:footnoteReference w:id="527"/>
      </w:r>
    </w:p>
    <w:p w14:paraId="6DE89B03" w14:textId="77777777" w:rsidR="005C4A70" w:rsidRDefault="005C4A70" w:rsidP="005C4A70">
      <w:pPr>
        <w:pStyle w:val="BodyText"/>
      </w:pPr>
      <w:r>
        <w:t>In addition, one health and social services submitter recommended that funding for future research not be derived from the gambling industry, in order to ensure that academic integrity is not compromised</w:t>
      </w:r>
      <w:r w:rsidDel="00C979CE">
        <w:t>.</w:t>
      </w:r>
      <w:r>
        <w:rPr>
          <w:rStyle w:val="FootnoteReference"/>
        </w:rPr>
        <w:footnoteReference w:id="528"/>
      </w:r>
      <w:r>
        <w:t xml:space="preserve"> </w:t>
      </w:r>
    </w:p>
    <w:p w14:paraId="40494CB3" w14:textId="4FE5A4C8" w:rsidR="005C7673" w:rsidRDefault="00A1537B" w:rsidP="005C4A70">
      <w:pPr>
        <w:pStyle w:val="BodyText"/>
      </w:pPr>
      <w:r>
        <w:t xml:space="preserve">There is further discussion about research priorities and funding below in Section 3.4. </w:t>
      </w:r>
    </w:p>
    <w:p w14:paraId="0F8FAFF0" w14:textId="77777777" w:rsidR="005C4A70" w:rsidRDefault="005C4A70" w:rsidP="005C4A70">
      <w:pPr>
        <w:pStyle w:val="NumberedHeading3"/>
        <w:autoSpaceDE w:val="0"/>
        <w:autoSpaceDN w:val="0"/>
        <w:adjustRightInd w:val="0"/>
        <w:spacing w:line="269" w:lineRule="auto"/>
        <w:jc w:val="both"/>
      </w:pPr>
      <w:bookmarkStart w:id="96" w:name="_Toc88637590"/>
      <w:r>
        <w:t>Gambling industry submitters considered that the increase in funding was inappropriate if there was to be more of the same</w:t>
      </w:r>
      <w:bookmarkEnd w:id="96"/>
    </w:p>
    <w:p w14:paraId="165D48C1" w14:textId="77777777" w:rsidR="005C4A70" w:rsidRDefault="005C4A70" w:rsidP="005C4A70">
      <w:pPr>
        <w:pStyle w:val="BodyText"/>
      </w:pPr>
      <w:r>
        <w:t>Five NCGM submitters and one gambling industry submitter commented on the increase in funding for services, stating that this increase was inappropriate for numerous reasons.</w:t>
      </w:r>
      <w:r>
        <w:rPr>
          <w:rStyle w:val="FootnoteReference"/>
        </w:rPr>
        <w:footnoteReference w:id="529"/>
      </w:r>
    </w:p>
    <w:p w14:paraId="13BCE14B" w14:textId="77777777" w:rsidR="005C4A70" w:rsidRDefault="005C4A70" w:rsidP="005C4A70">
      <w:pPr>
        <w:pStyle w:val="BodyText"/>
      </w:pPr>
      <w:r>
        <w:t>These submitters cited the following reasons:</w:t>
      </w:r>
      <w:r>
        <w:rPr>
          <w:rStyle w:val="FootnoteReference"/>
        </w:rPr>
        <w:footnoteReference w:id="530"/>
      </w:r>
    </w:p>
    <w:p w14:paraId="501BB12B" w14:textId="77777777" w:rsidR="005C4A70" w:rsidRDefault="005C4A70" w:rsidP="005C4A70">
      <w:pPr>
        <w:pStyle w:val="List-BulletLvl1"/>
      </w:pPr>
      <w:r>
        <w:t>increasing the FTE rates was inconsistent with the public sector wage freeze</w:t>
      </w:r>
    </w:p>
    <w:p w14:paraId="51689DEE" w14:textId="479E35D6" w:rsidR="005C4A70" w:rsidRDefault="005C4A70" w:rsidP="005C4A70">
      <w:pPr>
        <w:pStyle w:val="List-BulletLvl1"/>
      </w:pPr>
      <w:r>
        <w:t>money must be spent on preventing, minimising, treating or reducing harm, not paying existing providers more for office overheads or administration</w:t>
      </w:r>
    </w:p>
    <w:p w14:paraId="357F8F19" w14:textId="77777777" w:rsidR="005C4A70" w:rsidRDefault="005C4A70" w:rsidP="005C4A70">
      <w:pPr>
        <w:pStyle w:val="List-BulletLvl1"/>
      </w:pPr>
      <w:r>
        <w:t>gambling participation and presentations to PMGH services have decreased, indicating a reduced workload for these services, thus making an increase to FTE rates unwarranted.</w:t>
      </w:r>
    </w:p>
    <w:p w14:paraId="79A1918A" w14:textId="77777777" w:rsidR="005C4A70" w:rsidRPr="00D472E2" w:rsidRDefault="005C4A70" w:rsidP="005C4A70">
      <w:pPr>
        <w:pStyle w:val="BodyText"/>
      </w:pPr>
      <w:r>
        <w:t>The gambling industry submitter stated that an increase in cost was to be expected given trends in previous strategies, but the quantum of increase in this service plan was surprising given the significant investment by both the Ministry and the industry towards preventing and minimising harm.</w:t>
      </w:r>
      <w:r>
        <w:rPr>
          <w:rStyle w:val="FootnoteReference"/>
        </w:rPr>
        <w:footnoteReference w:id="531"/>
      </w:r>
      <w:r>
        <w:t xml:space="preserve"> This submitter expected that the Ministry would be able to demonstrate consequential increase in measurable outcomes to reflect this increase in funding.</w:t>
      </w:r>
      <w:r w:rsidRPr="00524754">
        <w:rPr>
          <w:rStyle w:val="FootnoteReference"/>
        </w:rPr>
        <w:t xml:space="preserve"> </w:t>
      </w:r>
      <w:r>
        <w:rPr>
          <w:rStyle w:val="FootnoteReference"/>
        </w:rPr>
        <w:footnoteReference w:id="532"/>
      </w:r>
    </w:p>
    <w:p w14:paraId="465944B5" w14:textId="77777777" w:rsidR="005C4A70" w:rsidRDefault="005C4A70" w:rsidP="005C4A70">
      <w:pPr>
        <w:pStyle w:val="NumberedHeading3"/>
        <w:autoSpaceDE w:val="0"/>
        <w:autoSpaceDN w:val="0"/>
        <w:adjustRightInd w:val="0"/>
        <w:spacing w:line="269" w:lineRule="auto"/>
        <w:jc w:val="both"/>
      </w:pPr>
      <w:bookmarkStart w:id="97" w:name="_Toc88637591"/>
      <w:r>
        <w:t>Submitters considered that there was a need for sustainable funding that was not based on industry profits</w:t>
      </w:r>
      <w:bookmarkEnd w:id="97"/>
      <w:r>
        <w:t xml:space="preserve"> </w:t>
      </w:r>
    </w:p>
    <w:p w14:paraId="69ADAB0B" w14:textId="77777777" w:rsidR="005C4A70" w:rsidRDefault="005C4A70" w:rsidP="005C4A70">
      <w:pPr>
        <w:pStyle w:val="BodyText"/>
      </w:pPr>
      <w:r>
        <w:t>Five submitters including four health and social services submitters and one service provider commented on the need for sustainable funding opportunities and highlighted the need to move away from relying on industry profits.</w:t>
      </w:r>
      <w:r>
        <w:rPr>
          <w:rStyle w:val="FootnoteReference"/>
        </w:rPr>
        <w:footnoteReference w:id="533"/>
      </w:r>
    </w:p>
    <w:p w14:paraId="4687B64A" w14:textId="77777777" w:rsidR="005C4A70" w:rsidRDefault="005C4A70" w:rsidP="005C4A70">
      <w:pPr>
        <w:pStyle w:val="BodyText"/>
      </w:pPr>
      <w:r>
        <w:lastRenderedPageBreak/>
        <w:t>One health and social services submitter commented that existing and new contracts should steer away from 12–18-month terms and accommodate long-term contracts of three to five years, to produce more equitable and positive outcomes for the workforce capability including for whānau they support.</w:t>
      </w:r>
      <w:r>
        <w:rPr>
          <w:rStyle w:val="FootnoteReference"/>
        </w:rPr>
        <w:footnoteReference w:id="534"/>
      </w:r>
    </w:p>
    <w:p w14:paraId="5F6900EF" w14:textId="77777777" w:rsidR="005C4A70" w:rsidRDefault="005C4A70" w:rsidP="005C4A70">
      <w:pPr>
        <w:pStyle w:val="BodyText"/>
      </w:pPr>
      <w:r>
        <w:t>Two health and social services submitters commented that community reliance on funding from the proceeds of gambling was unethical and stated that funds derived from gambling in high deprivation communities are often translated into community assets elsewhere.</w:t>
      </w:r>
      <w:r>
        <w:rPr>
          <w:rStyle w:val="FootnoteReference"/>
        </w:rPr>
        <w:footnoteReference w:id="535"/>
      </w:r>
      <w:r>
        <w:t xml:space="preserve"> One of these submitters commented that an alternative funding solution was needed.</w:t>
      </w:r>
      <w:r>
        <w:rPr>
          <w:rStyle w:val="FootnoteReference"/>
        </w:rPr>
        <w:footnoteReference w:id="536"/>
      </w:r>
      <w:r>
        <w:t xml:space="preserve"> The other health and social services submitter recommended a pathway to introduce sustainable funding opportunities to reduce reliance of community organisations on grants from trusts and societies</w:t>
      </w:r>
      <w:r>
        <w:rPr>
          <w:rStyle w:val="FootnoteReference"/>
        </w:rPr>
        <w:footnoteReference w:id="537"/>
      </w:r>
      <w:r>
        <w:t xml:space="preserve"> This submitter considered there to be significant scope to review the distribution of gaming machine proceeds.</w:t>
      </w:r>
      <w:r>
        <w:rPr>
          <w:rStyle w:val="FootnoteReference"/>
        </w:rPr>
        <w:footnoteReference w:id="538"/>
      </w:r>
    </w:p>
    <w:p w14:paraId="5A55B8AC" w14:textId="77777777" w:rsidR="005C4A70" w:rsidRDefault="005C4A70" w:rsidP="005C4A70">
      <w:pPr>
        <w:pStyle w:val="BodyText"/>
      </w:pPr>
      <w:r>
        <w:t>One health and social services submitter encouraged the provision of secure funding to community grants and sports clubs that are currently funded by money from NCGMs, including a robust review of distribution of NCGMs to ensure stronger regulations, and eliminating NCGMs in high deprivation areas to minimise gambling harm, and ensure that community groups are no longer dependent on funding from money lost to NCGMs by the most vulnerable communities.</w:t>
      </w:r>
      <w:r>
        <w:rPr>
          <w:rStyle w:val="FootnoteReference"/>
        </w:rPr>
        <w:footnoteReference w:id="539"/>
      </w:r>
      <w:r>
        <w:t xml:space="preserve"> One service provider stated that funding across the board needs to increase, and a funding model implemented that ensures organisation sustainability.</w:t>
      </w:r>
      <w:r>
        <w:rPr>
          <w:rStyle w:val="FootnoteReference"/>
        </w:rPr>
        <w:footnoteReference w:id="540"/>
      </w:r>
    </w:p>
    <w:p w14:paraId="259A953F" w14:textId="5DF50B41" w:rsidR="005C4A70" w:rsidRDefault="005C4A70" w:rsidP="000C0403">
      <w:pPr>
        <w:pStyle w:val="NumberedHeading3"/>
      </w:pPr>
      <w:bookmarkStart w:id="98" w:name="_Toc88637592"/>
      <w:r>
        <w:t xml:space="preserve">Key themes from the </w:t>
      </w:r>
      <w:r w:rsidR="00F67625">
        <w:t>c</w:t>
      </w:r>
      <w:r>
        <w:t xml:space="preserve">onsultation </w:t>
      </w:r>
      <w:r w:rsidR="00F67625">
        <w:t>h</w:t>
      </w:r>
      <w:r>
        <w:t>ui</w:t>
      </w:r>
      <w:bookmarkEnd w:id="98"/>
    </w:p>
    <w:tbl>
      <w:tblPr>
        <w:tblStyle w:val="TableGrid"/>
        <w:tblW w:w="0" w:type="auto"/>
        <w:shd w:val="clear" w:color="auto" w:fill="D2D9DE" w:themeFill="text2" w:themeFillTint="33"/>
        <w:tblLook w:val="04A0" w:firstRow="1" w:lastRow="0" w:firstColumn="1" w:lastColumn="0" w:noHBand="0" w:noVBand="1"/>
      </w:tblPr>
      <w:tblGrid>
        <w:gridCol w:w="9061"/>
      </w:tblGrid>
      <w:tr w:rsidR="006B494C" w:rsidRPr="006B494C" w14:paraId="1614F3F9" w14:textId="77777777" w:rsidTr="00A63114">
        <w:tc>
          <w:tcPr>
            <w:tcW w:w="9061" w:type="dxa"/>
            <w:shd w:val="clear" w:color="auto" w:fill="D2D9DE" w:themeFill="text2" w:themeFillTint="33"/>
          </w:tcPr>
          <w:p w14:paraId="365C67E8" w14:textId="77777777" w:rsidR="005C4A70" w:rsidRPr="006B494C" w:rsidRDefault="005C4A70" w:rsidP="00A63114">
            <w:pPr>
              <w:pStyle w:val="BodyText"/>
              <w:jc w:val="center"/>
              <w:rPr>
                <w:b/>
                <w:bCs/>
                <w:color w:val="36424A" w:themeColor="accent5"/>
              </w:rPr>
            </w:pPr>
            <w:r w:rsidRPr="006B494C">
              <w:rPr>
                <w:b/>
                <w:bCs/>
                <w:color w:val="36424A" w:themeColor="accent5"/>
              </w:rPr>
              <w:t>Comments from hui on the proposed funding mix</w:t>
            </w:r>
          </w:p>
          <w:p w14:paraId="120AF6D7" w14:textId="09259C9D" w:rsidR="005C4A70" w:rsidRDefault="00E8118E" w:rsidP="000C0403">
            <w:pPr>
              <w:pStyle w:val="List-BulletLvl1"/>
              <w:rPr>
                <w:color w:val="36424A" w:themeColor="accent5"/>
              </w:rPr>
            </w:pPr>
            <w:r>
              <w:rPr>
                <w:color w:val="36424A" w:themeColor="accent5"/>
              </w:rPr>
              <w:t xml:space="preserve">Stakeholders </w:t>
            </w:r>
            <w:r w:rsidR="00EE667D">
              <w:rPr>
                <w:color w:val="36424A" w:themeColor="accent5"/>
              </w:rPr>
              <w:t>expressed their support for</w:t>
            </w:r>
            <w:r>
              <w:rPr>
                <w:color w:val="36424A" w:themeColor="accent5"/>
              </w:rPr>
              <w:t xml:space="preserve"> the</w:t>
            </w:r>
            <w:r w:rsidR="005C4A70" w:rsidRPr="006B494C">
              <w:rPr>
                <w:color w:val="36424A" w:themeColor="accent5"/>
              </w:rPr>
              <w:t xml:space="preserve"> increase in clinical </w:t>
            </w:r>
            <w:r>
              <w:rPr>
                <w:color w:val="36424A" w:themeColor="accent5"/>
              </w:rPr>
              <w:t>intervention</w:t>
            </w:r>
            <w:r w:rsidR="005C4A70" w:rsidRPr="006B494C">
              <w:rPr>
                <w:color w:val="36424A" w:themeColor="accent5"/>
              </w:rPr>
              <w:t xml:space="preserve"> FTE rates across several hui. </w:t>
            </w:r>
            <w:r w:rsidR="00EE667D">
              <w:rPr>
                <w:color w:val="36424A" w:themeColor="accent5"/>
              </w:rPr>
              <w:t>However, many stakeholders</w:t>
            </w:r>
            <w:r w:rsidR="00A06BB9">
              <w:rPr>
                <w:color w:val="36424A" w:themeColor="accent5"/>
              </w:rPr>
              <w:t xml:space="preserve"> also called for an increase to public health FTE rates</w:t>
            </w:r>
            <w:r w:rsidR="00866980">
              <w:rPr>
                <w:color w:val="36424A" w:themeColor="accent5"/>
              </w:rPr>
              <w:t>. This came out strongly at the Asian-focused hui, where stakeholders iterated that limited public health FTE for Asian communities</w:t>
            </w:r>
            <w:r w:rsidR="00A06BB9">
              <w:rPr>
                <w:color w:val="36424A" w:themeColor="accent5"/>
              </w:rPr>
              <w:t xml:space="preserve"> </w:t>
            </w:r>
            <w:r w:rsidR="009F0BC9">
              <w:rPr>
                <w:color w:val="36424A" w:themeColor="accent5"/>
              </w:rPr>
              <w:t xml:space="preserve">makes it difficult to </w:t>
            </w:r>
            <w:r w:rsidR="000B4C48">
              <w:rPr>
                <w:color w:val="36424A" w:themeColor="accent5"/>
              </w:rPr>
              <w:t>tackle the big issues in the PMGH space</w:t>
            </w:r>
            <w:r w:rsidR="009F0BC9">
              <w:rPr>
                <w:color w:val="36424A" w:themeColor="accent5"/>
              </w:rPr>
              <w:t xml:space="preserve">, especially as public health work in the Asian community looks very different to the general and other priority populations. </w:t>
            </w:r>
          </w:p>
          <w:p w14:paraId="6E7AADF9" w14:textId="3AB471DD" w:rsidR="00607304" w:rsidRPr="006B494C" w:rsidRDefault="00607304" w:rsidP="000C0403">
            <w:pPr>
              <w:pStyle w:val="List-BulletLvl1"/>
              <w:rPr>
                <w:color w:val="36424A" w:themeColor="accent5"/>
              </w:rPr>
            </w:pPr>
            <w:r>
              <w:rPr>
                <w:color w:val="36424A" w:themeColor="accent5"/>
              </w:rPr>
              <w:t xml:space="preserve">Stakeholders emphasised that FTE covers everything from leadership, human resources, supervision, research, monitoring etc., and that nobody gets paid the actual FTE in wages. </w:t>
            </w:r>
          </w:p>
          <w:p w14:paraId="17389544" w14:textId="4CEBC46A" w:rsidR="009207EE" w:rsidRPr="006B494C" w:rsidRDefault="009207EE" w:rsidP="000C0403">
            <w:pPr>
              <w:pStyle w:val="List-BulletLvl1"/>
              <w:rPr>
                <w:color w:val="36424A" w:themeColor="accent5"/>
              </w:rPr>
            </w:pPr>
            <w:r>
              <w:rPr>
                <w:color w:val="36424A" w:themeColor="accent5"/>
              </w:rPr>
              <w:t xml:space="preserve">Stakeholders commented on funding for technology </w:t>
            </w:r>
            <w:r w:rsidR="00CD5029">
              <w:rPr>
                <w:color w:val="36424A" w:themeColor="accent5"/>
              </w:rPr>
              <w:t xml:space="preserve">across a few of the </w:t>
            </w:r>
            <w:r>
              <w:rPr>
                <w:color w:val="36424A" w:themeColor="accent5"/>
              </w:rPr>
              <w:t>hui</w:t>
            </w:r>
            <w:r w:rsidR="00CD5029">
              <w:rPr>
                <w:color w:val="36424A" w:themeColor="accent5"/>
              </w:rPr>
              <w:t>. At the Industry-focused hui, stakeholders wanted to ensure that the technology</w:t>
            </w:r>
            <w:r>
              <w:rPr>
                <w:color w:val="36424A" w:themeColor="accent5"/>
              </w:rPr>
              <w:t xml:space="preserve"> fund </w:t>
            </w:r>
            <w:r w:rsidR="00CD5029">
              <w:rPr>
                <w:color w:val="36424A" w:themeColor="accent5"/>
              </w:rPr>
              <w:t xml:space="preserve">would </w:t>
            </w:r>
            <w:r>
              <w:rPr>
                <w:color w:val="36424A" w:themeColor="accent5"/>
              </w:rPr>
              <w:t xml:space="preserve">only </w:t>
            </w:r>
            <w:r w:rsidR="00CD5029">
              <w:rPr>
                <w:color w:val="36424A" w:themeColor="accent5"/>
              </w:rPr>
              <w:t xml:space="preserve">be used </w:t>
            </w:r>
            <w:r>
              <w:rPr>
                <w:color w:val="36424A" w:themeColor="accent5"/>
              </w:rPr>
              <w:t xml:space="preserve">for harm </w:t>
            </w:r>
            <w:r w:rsidR="00DF2869">
              <w:rPr>
                <w:color w:val="36424A" w:themeColor="accent5"/>
              </w:rPr>
              <w:t>minimisation</w:t>
            </w:r>
            <w:r>
              <w:rPr>
                <w:color w:val="36424A" w:themeColor="accent5"/>
              </w:rPr>
              <w:t xml:space="preserve"> tools </w:t>
            </w:r>
            <w:r w:rsidR="00CD5029">
              <w:rPr>
                <w:color w:val="36424A" w:themeColor="accent5"/>
              </w:rPr>
              <w:t xml:space="preserve">and </w:t>
            </w:r>
            <w:r>
              <w:rPr>
                <w:color w:val="36424A" w:themeColor="accent5"/>
              </w:rPr>
              <w:t xml:space="preserve">not for </w:t>
            </w:r>
            <w:r w:rsidR="00CD5029">
              <w:rPr>
                <w:color w:val="36424A" w:themeColor="accent5"/>
              </w:rPr>
              <w:t>administrative equipment for service providers.</w:t>
            </w:r>
            <w:r>
              <w:rPr>
                <w:color w:val="36424A" w:themeColor="accent5"/>
              </w:rPr>
              <w:t xml:space="preserve"> </w:t>
            </w:r>
            <w:r w:rsidR="00CD5029">
              <w:rPr>
                <w:color w:val="36424A" w:themeColor="accent5"/>
              </w:rPr>
              <w:t xml:space="preserve"> Service providers at general hui alternatively </w:t>
            </w:r>
            <w:r w:rsidR="00DF2869">
              <w:rPr>
                <w:color w:val="36424A" w:themeColor="accent5"/>
              </w:rPr>
              <w:t xml:space="preserve">stated that they did not </w:t>
            </w:r>
            <w:r w:rsidR="00CD5029">
              <w:rPr>
                <w:color w:val="36424A" w:themeColor="accent5"/>
              </w:rPr>
              <w:t>think</w:t>
            </w:r>
            <w:r w:rsidR="00DF2869">
              <w:rPr>
                <w:color w:val="36424A" w:themeColor="accent5"/>
              </w:rPr>
              <w:t xml:space="preserve"> the Industry should receive funding </w:t>
            </w:r>
            <w:r w:rsidR="00EF0CDA">
              <w:rPr>
                <w:color w:val="36424A" w:themeColor="accent5"/>
              </w:rPr>
              <w:t>from the Ministry for facial recognition technology/other venue hardware.</w:t>
            </w:r>
          </w:p>
          <w:p w14:paraId="46BBBC4B" w14:textId="15DFE27D" w:rsidR="004327E7" w:rsidRPr="006B494C" w:rsidRDefault="00DA29D1" w:rsidP="000C0403">
            <w:pPr>
              <w:pStyle w:val="List-BulletLvl1"/>
              <w:rPr>
                <w:color w:val="36424A" w:themeColor="accent5"/>
              </w:rPr>
            </w:pPr>
            <w:r>
              <w:rPr>
                <w:color w:val="36424A" w:themeColor="accent5"/>
              </w:rPr>
              <w:lastRenderedPageBreak/>
              <w:t xml:space="preserve">Stakeholders highlighted the need for more technology focused support, given that </w:t>
            </w:r>
            <w:r w:rsidR="00C51375">
              <w:rPr>
                <w:color w:val="36424A" w:themeColor="accent5"/>
              </w:rPr>
              <w:t>traditional</w:t>
            </w:r>
            <w:r w:rsidR="004327E7">
              <w:rPr>
                <w:color w:val="36424A" w:themeColor="accent5"/>
              </w:rPr>
              <w:t xml:space="preserve"> in</w:t>
            </w:r>
            <w:r w:rsidR="00C51375">
              <w:rPr>
                <w:color w:val="36424A" w:themeColor="accent5"/>
              </w:rPr>
              <w:t>-</w:t>
            </w:r>
            <w:r w:rsidR="004327E7">
              <w:rPr>
                <w:color w:val="36424A" w:themeColor="accent5"/>
              </w:rPr>
              <w:t xml:space="preserve">person </w:t>
            </w:r>
            <w:r w:rsidR="00C51375">
              <w:rPr>
                <w:color w:val="36424A" w:themeColor="accent5"/>
              </w:rPr>
              <w:t>support is not always feasible in current times given the risk of lockdowns, and service providers</w:t>
            </w:r>
            <w:r w:rsidR="004327E7">
              <w:rPr>
                <w:color w:val="36424A" w:themeColor="accent5"/>
              </w:rPr>
              <w:t xml:space="preserve"> need resources</w:t>
            </w:r>
            <w:r w:rsidR="00C51375">
              <w:rPr>
                <w:color w:val="36424A" w:themeColor="accent5"/>
              </w:rPr>
              <w:t xml:space="preserve"> to support this move.</w:t>
            </w:r>
            <w:r w:rsidR="004327E7">
              <w:rPr>
                <w:color w:val="36424A" w:themeColor="accent5"/>
              </w:rPr>
              <w:t xml:space="preserve"> </w:t>
            </w:r>
          </w:p>
          <w:p w14:paraId="23552FBC" w14:textId="55070532" w:rsidR="005C4A70" w:rsidRPr="006B494C" w:rsidRDefault="006E7207" w:rsidP="000C0403">
            <w:pPr>
              <w:pStyle w:val="List-BulletLvl1"/>
              <w:rPr>
                <w:color w:val="36424A" w:themeColor="accent5"/>
              </w:rPr>
            </w:pPr>
            <w:r>
              <w:rPr>
                <w:color w:val="36424A" w:themeColor="accent5"/>
              </w:rPr>
              <w:t>Stakeholders expressed concern across</w:t>
            </w:r>
            <w:r w:rsidR="005C4A70" w:rsidRPr="006B494C">
              <w:rPr>
                <w:color w:val="36424A" w:themeColor="accent5"/>
              </w:rPr>
              <w:t xml:space="preserve"> all hui at the reduction in research </w:t>
            </w:r>
            <w:r w:rsidR="0074366B">
              <w:rPr>
                <w:color w:val="36424A" w:themeColor="accent5"/>
              </w:rPr>
              <w:t>funding</w:t>
            </w:r>
            <w:r w:rsidR="005C4A70" w:rsidRPr="006B494C">
              <w:rPr>
                <w:color w:val="36424A" w:themeColor="accent5"/>
              </w:rPr>
              <w:t>. This was especially prevalent at the Asian</w:t>
            </w:r>
            <w:r w:rsidR="0074366B">
              <w:rPr>
                <w:color w:val="36424A" w:themeColor="accent5"/>
              </w:rPr>
              <w:t>-focused</w:t>
            </w:r>
            <w:r w:rsidR="005C4A70" w:rsidRPr="006B494C">
              <w:rPr>
                <w:color w:val="36424A" w:themeColor="accent5"/>
              </w:rPr>
              <w:t xml:space="preserve"> hui, where attendees were concerned as </w:t>
            </w:r>
            <w:r w:rsidR="0074366B">
              <w:rPr>
                <w:color w:val="36424A" w:themeColor="accent5"/>
              </w:rPr>
              <w:t xml:space="preserve">gambling harm in </w:t>
            </w:r>
            <w:r w:rsidR="005C4A70" w:rsidRPr="006B494C">
              <w:rPr>
                <w:color w:val="36424A" w:themeColor="accent5"/>
              </w:rPr>
              <w:t>the Asian population is already under</w:t>
            </w:r>
            <w:r w:rsidR="0074366B">
              <w:rPr>
                <w:color w:val="36424A" w:themeColor="accent5"/>
              </w:rPr>
              <w:t>-</w:t>
            </w:r>
            <w:r w:rsidR="005C4A70" w:rsidRPr="006B494C">
              <w:rPr>
                <w:color w:val="36424A" w:themeColor="accent5"/>
              </w:rPr>
              <w:t xml:space="preserve">researched in </w:t>
            </w:r>
            <w:r w:rsidR="0074366B">
              <w:rPr>
                <w:color w:val="36424A" w:themeColor="accent5"/>
              </w:rPr>
              <w:t>Aotearoa.</w:t>
            </w:r>
            <w:r w:rsidR="005C4A70" w:rsidRPr="006B494C">
              <w:rPr>
                <w:color w:val="36424A" w:themeColor="accent5"/>
              </w:rPr>
              <w:t xml:space="preserve"> </w:t>
            </w:r>
            <w:r>
              <w:rPr>
                <w:color w:val="36424A" w:themeColor="accent5"/>
              </w:rPr>
              <w:t>At general hui, stakeholders discussed how research</w:t>
            </w:r>
            <w:r w:rsidR="00464243">
              <w:rPr>
                <w:color w:val="36424A" w:themeColor="accent5"/>
              </w:rPr>
              <w:t>, prevalence data and New Zealand specific</w:t>
            </w:r>
            <w:r w:rsidR="008D0DAD">
              <w:rPr>
                <w:color w:val="36424A" w:themeColor="accent5"/>
              </w:rPr>
              <w:t xml:space="preserve"> evidence</w:t>
            </w:r>
            <w:r w:rsidR="00464243">
              <w:rPr>
                <w:color w:val="36424A" w:themeColor="accent5"/>
              </w:rPr>
              <w:t xml:space="preserve"> are</w:t>
            </w:r>
            <w:r>
              <w:rPr>
                <w:color w:val="36424A" w:themeColor="accent5"/>
              </w:rPr>
              <w:t xml:space="preserve"> fundamental </w:t>
            </w:r>
            <w:r w:rsidR="00464243">
              <w:rPr>
                <w:color w:val="36424A" w:themeColor="accent5"/>
              </w:rPr>
              <w:t>in</w:t>
            </w:r>
            <w:r>
              <w:rPr>
                <w:color w:val="36424A" w:themeColor="accent5"/>
              </w:rPr>
              <w:t xml:space="preserve"> supporting policy and service provision in the PMGH space</w:t>
            </w:r>
            <w:r w:rsidR="00464243">
              <w:rPr>
                <w:color w:val="36424A" w:themeColor="accent5"/>
              </w:rPr>
              <w:t xml:space="preserve">. </w:t>
            </w:r>
          </w:p>
        </w:tc>
      </w:tr>
    </w:tbl>
    <w:p w14:paraId="07A3F697" w14:textId="77777777" w:rsidR="005C4A70" w:rsidRDefault="005C4A70" w:rsidP="005C4A70">
      <w:pPr>
        <w:pStyle w:val="NumberedHeading2"/>
      </w:pPr>
      <w:bookmarkStart w:id="99" w:name="_Toc88637593"/>
      <w:r w:rsidRPr="009E7223">
        <w:lastRenderedPageBreak/>
        <w:t xml:space="preserve">The degree of support for </w:t>
      </w:r>
      <w:r>
        <w:t>the proposed new services, innovation pilots and investments</w:t>
      </w:r>
      <w:bookmarkEnd w:id="99"/>
    </w:p>
    <w:p w14:paraId="3837ACB6" w14:textId="05397A36" w:rsidR="005C4A70" w:rsidRDefault="005C4A70" w:rsidP="005C4A70">
      <w:pPr>
        <w:pStyle w:val="BodyText"/>
      </w:pPr>
      <w:r>
        <w:t>Over two-thirds (23 out of 31) of the submitters who commented on the proposed new services, innovation pilots and investments supported them to some degree. Of those, 11 provided a simple “Yes” answer to Question 7. A further 12 expressed qualified support for the proposed new initiatives (i.e.</w:t>
      </w:r>
      <w:r w:rsidR="00C75FC3">
        <w:t>,</w:t>
      </w:r>
      <w:r>
        <w:t xml:space="preserve"> they supported them, but also commented on how they could be enhanced).</w:t>
      </w:r>
    </w:p>
    <w:p w14:paraId="4AE9A240" w14:textId="77777777" w:rsidR="005C4A70" w:rsidRDefault="005C4A70" w:rsidP="005C4A70">
      <w:pPr>
        <w:pStyle w:val="BodyText"/>
      </w:pPr>
      <w:r>
        <w:t>Comments on the proposed new services, innovation pilots and investments included:</w:t>
      </w:r>
    </w:p>
    <w:p w14:paraId="00024CD1" w14:textId="77777777" w:rsidR="005C4A70" w:rsidRDefault="005C4A70" w:rsidP="005C4A70">
      <w:pPr>
        <w:pStyle w:val="List-BulletLvl1"/>
      </w:pPr>
      <w:r>
        <w:t>conditional support for the de-stigmatisation initiative</w:t>
      </w:r>
    </w:p>
    <w:p w14:paraId="7349A00D" w14:textId="4EE25E99" w:rsidR="005C4A70" w:rsidRDefault="005C4A70" w:rsidP="005C4A70">
      <w:pPr>
        <w:pStyle w:val="List-BulletLvl1"/>
      </w:pPr>
      <w:r>
        <w:t>a range of views on the purpose and efficacy of developing an NZQA level 7 qualification</w:t>
      </w:r>
      <w:r w:rsidR="00C75FC3">
        <w:t xml:space="preserve"> </w:t>
      </w:r>
    </w:p>
    <w:p w14:paraId="6A8E006B" w14:textId="095F2CD4" w:rsidR="005C4A70" w:rsidRDefault="005C4A70" w:rsidP="005C4A70">
      <w:pPr>
        <w:pStyle w:val="List-BulletLvl1"/>
      </w:pPr>
      <w:r>
        <w:t>conditional support for scholarship funding</w:t>
      </w:r>
    </w:p>
    <w:p w14:paraId="3F53DEE8" w14:textId="789EFB28" w:rsidR="005C4A70" w:rsidRPr="00E70A41" w:rsidRDefault="005C4A70" w:rsidP="0021247E">
      <w:pPr>
        <w:pStyle w:val="List-BulletLvl1"/>
      </w:pPr>
      <w:r>
        <w:t xml:space="preserve">general support for the innovation pilots. </w:t>
      </w:r>
    </w:p>
    <w:p w14:paraId="0F9B4FD0" w14:textId="77777777" w:rsidR="005C4A70" w:rsidRPr="00B734E3" w:rsidRDefault="005C4A70" w:rsidP="005C4A70">
      <w:pPr>
        <w:pStyle w:val="NumberedHeading3"/>
      </w:pPr>
      <w:bookmarkStart w:id="100" w:name="_Toc88637594"/>
      <w:r>
        <w:t>Over two-thirds of the submitters who commented on the proposed new services, innovation pilots and investments supported them to some degree</w:t>
      </w:r>
      <w:bookmarkEnd w:id="100"/>
    </w:p>
    <w:p w14:paraId="59117328" w14:textId="77777777" w:rsidR="005C4A70" w:rsidRDefault="005C4A70" w:rsidP="005C4A70">
      <w:pPr>
        <w:pStyle w:val="BodyText"/>
      </w:pPr>
      <w:r>
        <w:t>One local government submitter and one health and social services submitter supported the proposed new services, innovation pilots and investments, stating that it would be important to apply the lessons from the pilots in particular to continue to expand approaches to preventing and minimising gambling harm.</w:t>
      </w:r>
      <w:r>
        <w:rPr>
          <w:rStyle w:val="FootnoteReference"/>
        </w:rPr>
        <w:footnoteReference w:id="541"/>
      </w:r>
      <w:r>
        <w:t xml:space="preserve"> Two service providers and one health and social services submitter supported the proposed de-stigmatisation initiative in particular.</w:t>
      </w:r>
      <w:r>
        <w:rPr>
          <w:rStyle w:val="FootnoteReference"/>
        </w:rPr>
        <w:footnoteReference w:id="542"/>
      </w:r>
      <w:r>
        <w:t xml:space="preserve"> </w:t>
      </w:r>
    </w:p>
    <w:p w14:paraId="0D7BA7D7" w14:textId="77777777" w:rsidR="005C4A70" w:rsidRPr="00DE46A7" w:rsidRDefault="005C4A70" w:rsidP="005C4A70">
      <w:pPr>
        <w:pStyle w:val="CV-Heading2"/>
        <w:rPr>
          <w:i/>
          <w:iCs/>
        </w:rPr>
      </w:pPr>
      <w:r>
        <w:rPr>
          <w:i/>
          <w:iCs/>
        </w:rPr>
        <w:t>Submitters expressed q</w:t>
      </w:r>
      <w:r w:rsidRPr="00DE46A7">
        <w:rPr>
          <w:i/>
          <w:iCs/>
        </w:rPr>
        <w:t>ualified support for the proposed new services, innovation pilots and investments</w:t>
      </w:r>
    </w:p>
    <w:p w14:paraId="5BE2A291" w14:textId="3A6C6D0D" w:rsidR="005C4A70" w:rsidRDefault="005C4A70" w:rsidP="005C4A70">
      <w:pPr>
        <w:pStyle w:val="BodyText"/>
      </w:pPr>
      <w:r>
        <w:t>Three service providers and a health and social services submitter made general comments in qualified support of the proposed new services, innovation pilots and investments</w:t>
      </w:r>
      <w:r w:rsidR="00600DBC">
        <w:t>.</w:t>
      </w:r>
      <w:r>
        <w:rPr>
          <w:rStyle w:val="FootnoteReference"/>
        </w:rPr>
        <w:footnoteReference w:id="543"/>
      </w:r>
      <w:r w:rsidR="00600DBC">
        <w:t xml:space="preserve"> They noted that:</w:t>
      </w:r>
      <w:r>
        <w:t xml:space="preserve"> </w:t>
      </w:r>
    </w:p>
    <w:p w14:paraId="20838F1C" w14:textId="77777777" w:rsidR="005C4A70" w:rsidRDefault="005C4A70" w:rsidP="005C4A70">
      <w:pPr>
        <w:pStyle w:val="List-BulletLvl1"/>
      </w:pPr>
      <w:r>
        <w:lastRenderedPageBreak/>
        <w:t>funding opportunities need to be open to the market to enable regional service providers to develop initiatives with their own priority communities (one service provider and one health and social services submitter)</w:t>
      </w:r>
      <w:r>
        <w:rPr>
          <w:rStyle w:val="FootnoteReference"/>
        </w:rPr>
        <w:footnoteReference w:id="544"/>
      </w:r>
    </w:p>
    <w:p w14:paraId="7215F75E" w14:textId="1BB928F6" w:rsidR="005C4A70" w:rsidRDefault="00600DBC" w:rsidP="005C4A70">
      <w:pPr>
        <w:pStyle w:val="List-BulletLvl1"/>
      </w:pPr>
      <w:r>
        <w:t xml:space="preserve">proposed new services need to be developed with </w:t>
      </w:r>
      <w:r w:rsidR="005C4A70">
        <w:t>commitment to work in true partnership with Māori</w:t>
      </w:r>
      <w:r>
        <w:t xml:space="preserve"> (one service provider)</w:t>
      </w:r>
      <w:r w:rsidR="005C4A70">
        <w:rPr>
          <w:rStyle w:val="FootnoteReference"/>
        </w:rPr>
        <w:footnoteReference w:id="545"/>
      </w:r>
    </w:p>
    <w:p w14:paraId="4FBFB4F4" w14:textId="5486269F" w:rsidR="005C4A70" w:rsidRDefault="00C56871" w:rsidP="005C4A70">
      <w:pPr>
        <w:pStyle w:val="List-BulletLvl1"/>
      </w:pPr>
      <w:r>
        <w:t xml:space="preserve">the focus remains </w:t>
      </w:r>
      <w:r w:rsidR="005C4A70">
        <w:t xml:space="preserve">individual </w:t>
      </w:r>
      <w:r>
        <w:t xml:space="preserve">(i.e., </w:t>
      </w:r>
      <w:r w:rsidR="005C4A70">
        <w:t xml:space="preserve">on the </w:t>
      </w:r>
      <w:r w:rsidR="00057CEB">
        <w:t xml:space="preserve">person with a </w:t>
      </w:r>
      <w:r w:rsidR="005C4A70">
        <w:t>problem gambl</w:t>
      </w:r>
      <w:r w:rsidR="00057CEB">
        <w:t>ing behaviou</w:t>
      </w:r>
      <w:r w:rsidR="005C4A70">
        <w:t>r</w:t>
      </w:r>
      <w:r>
        <w:t>)</w:t>
      </w:r>
      <w:r w:rsidR="005C4A70">
        <w:t xml:space="preserve"> rather than a </w:t>
      </w:r>
      <w:r w:rsidR="00E27F5C">
        <w:t xml:space="preserve">broader </w:t>
      </w:r>
      <w:r w:rsidR="005C4A70">
        <w:t>public health approach (one service provider).</w:t>
      </w:r>
      <w:r w:rsidR="005C4A70">
        <w:rPr>
          <w:rStyle w:val="FootnoteReference"/>
        </w:rPr>
        <w:footnoteReference w:id="546"/>
      </w:r>
    </w:p>
    <w:p w14:paraId="088DCC63" w14:textId="77777777" w:rsidR="005C4A70" w:rsidRPr="007540A1" w:rsidRDefault="005C4A70" w:rsidP="005C4A70">
      <w:pPr>
        <w:pStyle w:val="NumberedHeading3"/>
        <w:autoSpaceDE w:val="0"/>
        <w:autoSpaceDN w:val="0"/>
        <w:adjustRightInd w:val="0"/>
        <w:spacing w:line="269" w:lineRule="auto"/>
        <w:jc w:val="both"/>
      </w:pPr>
      <w:bookmarkStart w:id="101" w:name="_Toc88637595"/>
      <w:r>
        <w:t>Service providers and health and social services submitters conditionally supported the de-stigmatisation initiative</w:t>
      </w:r>
      <w:bookmarkEnd w:id="101"/>
      <w:r>
        <w:t xml:space="preserve"> </w:t>
      </w:r>
    </w:p>
    <w:p w14:paraId="42E699FA" w14:textId="2D4E8B9B" w:rsidR="005C4A70" w:rsidRDefault="005C4A70" w:rsidP="005C4A70">
      <w:pPr>
        <w:pStyle w:val="BodyText"/>
      </w:pPr>
      <w:r>
        <w:t>Five submitters including three service providers and two health and social services submitters expressed conditional support for the proposed de-stigmatisation initiative</w:t>
      </w:r>
      <w:r w:rsidR="004670C0">
        <w:t>.</w:t>
      </w:r>
      <w:r>
        <w:rPr>
          <w:rStyle w:val="FootnoteReference"/>
        </w:rPr>
        <w:footnoteReference w:id="547"/>
      </w:r>
      <w:r w:rsidR="004670C0">
        <w:t xml:space="preserve"> Some of the challenges they saw with the de-stigmatisation initiative were</w:t>
      </w:r>
      <w:r w:rsidR="009D4D65">
        <w:t xml:space="preserve"> that</w:t>
      </w:r>
      <w:r w:rsidR="004670C0">
        <w:t>:</w:t>
      </w:r>
    </w:p>
    <w:p w14:paraId="23ADE583" w14:textId="77777777" w:rsidR="005C4A70" w:rsidRDefault="005C4A70" w:rsidP="005C4A70">
      <w:pPr>
        <w:pStyle w:val="List-BulletLvl1"/>
      </w:pPr>
      <w:r>
        <w:t>there should be lived experience leadership to support the de-stigmatisation initiative (one health and social services submitter)</w:t>
      </w:r>
      <w:r>
        <w:rPr>
          <w:rStyle w:val="FootnoteReference"/>
        </w:rPr>
        <w:footnoteReference w:id="548"/>
      </w:r>
    </w:p>
    <w:p w14:paraId="0575CFCA" w14:textId="64A591B7" w:rsidR="005C4A70" w:rsidRDefault="009D4D65" w:rsidP="005C4A70">
      <w:pPr>
        <w:pStyle w:val="List-BulletLvl1"/>
      </w:pPr>
      <w:r>
        <w:t>it</w:t>
      </w:r>
      <w:r w:rsidR="005C4A70">
        <w:t xml:space="preserve"> should be broadened to include other addictions and mental illnesses as different comorbidities often have a compounding effect (one service provider)</w:t>
      </w:r>
      <w:r w:rsidR="005C4A70">
        <w:rPr>
          <w:rStyle w:val="FootnoteReference"/>
        </w:rPr>
        <w:footnoteReference w:id="549"/>
      </w:r>
      <w:r w:rsidR="005C4A70">
        <w:t xml:space="preserve"> </w:t>
      </w:r>
    </w:p>
    <w:p w14:paraId="13B11F80" w14:textId="3DEEB619" w:rsidR="005C4A70" w:rsidRDefault="005C4A70" w:rsidP="005C4A70">
      <w:pPr>
        <w:pStyle w:val="List-BulletLvl1"/>
      </w:pPr>
      <w:r w:rsidRPr="00806C3C">
        <w:t>the</w:t>
      </w:r>
      <w:r>
        <w:t xml:space="preserve"> proposed de-stigmatisation initiative did not reflect a public health approach, but a continued focus on gamblers as individuals with problems, rather than understanding why and how people with gambling problem become stigmatised (one service provider)</w:t>
      </w:r>
      <w:r w:rsidR="00E31F67">
        <w:t>.</w:t>
      </w:r>
      <w:r>
        <w:rPr>
          <w:rStyle w:val="FootnoteReference"/>
        </w:rPr>
        <w:footnoteReference w:id="550"/>
      </w:r>
      <w:r>
        <w:t xml:space="preserve"> </w:t>
      </w:r>
    </w:p>
    <w:p w14:paraId="3DE8A6ED" w14:textId="3BE51670" w:rsidR="007F0E7E" w:rsidRPr="001F309A" w:rsidRDefault="007F0E7E" w:rsidP="001F309A">
      <w:pPr>
        <w:pStyle w:val="CV-Heading2"/>
        <w:rPr>
          <w:i/>
          <w:iCs/>
        </w:rPr>
      </w:pPr>
      <w:r w:rsidRPr="001F309A">
        <w:rPr>
          <w:i/>
          <w:iCs/>
        </w:rPr>
        <w:t>Funding</w:t>
      </w:r>
      <w:r w:rsidR="001F309A">
        <w:rPr>
          <w:i/>
          <w:iCs/>
        </w:rPr>
        <w:t xml:space="preserve"> for the initiative was seen as a potential issue</w:t>
      </w:r>
    </w:p>
    <w:p w14:paraId="0D121DF0" w14:textId="2B38BF8F" w:rsidR="005C4A70" w:rsidRDefault="006A307E" w:rsidP="000B3F94">
      <w:pPr>
        <w:pStyle w:val="BodyText"/>
      </w:pPr>
      <w:r>
        <w:t>Use of funding for this initiative was seen as a potential issue</w:t>
      </w:r>
      <w:r w:rsidR="00387F5F">
        <w:t>, especially in relation to the funding of other services to reduce harm</w:t>
      </w:r>
      <w:r>
        <w:t>. One health and social services submitter considered that funding for grassroots support services would be more effective in generating meaningful change, rather than expensive anti-stigma campaigns.</w:t>
      </w:r>
      <w:r>
        <w:rPr>
          <w:rStyle w:val="FootnoteReference"/>
        </w:rPr>
        <w:footnoteReference w:id="551"/>
      </w:r>
      <w:r>
        <w:t xml:space="preserve"> Funding services was also important for o</w:t>
      </w:r>
      <w:r w:rsidR="005C4A70">
        <w:t>ne service provider</w:t>
      </w:r>
      <w:r>
        <w:t>, who</w:t>
      </w:r>
      <w:r w:rsidR="005C4A70">
        <w:t xml:space="preserve"> commented that while </w:t>
      </w:r>
      <w:r w:rsidR="007F0E7E">
        <w:t xml:space="preserve">it </w:t>
      </w:r>
      <w:r w:rsidR="005C4A70">
        <w:t>supported the increased funding for the new initiatives, the proposed funding for the de-stigmatisation initiative would not be enough to drive significant change.</w:t>
      </w:r>
      <w:r w:rsidR="005C4A70">
        <w:rPr>
          <w:rStyle w:val="FootnoteReference"/>
        </w:rPr>
        <w:footnoteReference w:id="552"/>
      </w:r>
      <w:r w:rsidR="005C4A70">
        <w:t xml:space="preserve"> This submitter </w:t>
      </w:r>
      <w:r w:rsidR="00387F5F">
        <w:t xml:space="preserve">stated </w:t>
      </w:r>
      <w:r w:rsidR="005C4A70">
        <w:t>that it seemed the funding for this initiative would go to Te Hiringa Hauora; the service provider acknowledged that Te Hiringa Hauora provide much-needed national campaigns and resources, but iterated that PMGH services also require increased funding to support this initiative at the local level.</w:t>
      </w:r>
      <w:r w:rsidR="005C4A70">
        <w:rPr>
          <w:rStyle w:val="FootnoteReference"/>
        </w:rPr>
        <w:footnoteReference w:id="553"/>
      </w:r>
    </w:p>
    <w:p w14:paraId="0B1328A7" w14:textId="77777777" w:rsidR="005C4A70" w:rsidRPr="00FD5580" w:rsidRDefault="005C4A70" w:rsidP="005C4A70">
      <w:pPr>
        <w:pStyle w:val="CV-Heading2"/>
        <w:rPr>
          <w:i/>
          <w:iCs/>
        </w:rPr>
      </w:pPr>
      <w:r>
        <w:rPr>
          <w:i/>
          <w:iCs/>
        </w:rPr>
        <w:lastRenderedPageBreak/>
        <w:t>Submitters considered that t</w:t>
      </w:r>
      <w:r w:rsidRPr="00FD5580">
        <w:rPr>
          <w:i/>
          <w:iCs/>
        </w:rPr>
        <w:t xml:space="preserve">he de-stigmatisation initiative must be fit for purpose for priority populations </w:t>
      </w:r>
    </w:p>
    <w:p w14:paraId="28FCA545" w14:textId="3B199D3A" w:rsidR="00EA4649" w:rsidRDefault="005C4A70" w:rsidP="00EA4649">
      <w:pPr>
        <w:pStyle w:val="BodyText"/>
      </w:pPr>
      <w:r>
        <w:t>Two service providers and one health and social services submitter discussed their conditional support in reference to the focus of the de-stigmatisation initiative on priority populations</w:t>
      </w:r>
      <w:r w:rsidR="00C37FA5">
        <w:t>.</w:t>
      </w:r>
      <w:r>
        <w:rPr>
          <w:rStyle w:val="FootnoteReference"/>
        </w:rPr>
        <w:footnoteReference w:id="554"/>
      </w:r>
      <w:r w:rsidR="00C37FA5">
        <w:t xml:space="preserve"> </w:t>
      </w:r>
    </w:p>
    <w:p w14:paraId="58B7BED6" w14:textId="1E2E5CA1" w:rsidR="00EA4649" w:rsidRDefault="00EA4649" w:rsidP="0021247E">
      <w:pPr>
        <w:pStyle w:val="BodyText"/>
      </w:pPr>
      <w:r>
        <w:t>One service provided noted that</w:t>
      </w:r>
      <w:r w:rsidRPr="00EA4649">
        <w:t xml:space="preserve"> </w:t>
      </w:r>
      <w:r>
        <w:t>there should be a balance between investing in initiatives focused on priority populations compared to initiatives for the general population that have increased focus for priority populations.</w:t>
      </w:r>
      <w:r>
        <w:rPr>
          <w:rStyle w:val="FootnoteReference"/>
        </w:rPr>
        <w:footnoteReference w:id="555"/>
      </w:r>
      <w:r>
        <w:t xml:space="preserve"> </w:t>
      </w:r>
      <w:r w:rsidR="00B546BC">
        <w:t xml:space="preserve">Striking the right balance avoids risks </w:t>
      </w:r>
      <w:r>
        <w:t xml:space="preserve">that </w:t>
      </w:r>
      <w:r w:rsidR="00B546BC">
        <w:t xml:space="preserve">non-priority </w:t>
      </w:r>
      <w:r>
        <w:t>populations then see problem gambling as a problem of the</w:t>
      </w:r>
      <w:r w:rsidR="00B546BC">
        <w:t xml:space="preserve"> priority </w:t>
      </w:r>
      <w:r>
        <w:t>populations only, which may have the unintended consequence of increasing stigma and/or discrimination</w:t>
      </w:r>
      <w:r w:rsidR="00B546BC">
        <w:t>.</w:t>
      </w:r>
    </w:p>
    <w:p w14:paraId="4073D16C" w14:textId="6F67D8AD" w:rsidR="005C4A70" w:rsidRDefault="00D103AB" w:rsidP="0021247E">
      <w:pPr>
        <w:pStyle w:val="BodyText"/>
      </w:pPr>
      <w:r>
        <w:t>Conversely, t</w:t>
      </w:r>
      <w:r w:rsidR="00C37FA5">
        <w:t xml:space="preserve">here was </w:t>
      </w:r>
      <w:r>
        <w:t xml:space="preserve">also </w:t>
      </w:r>
      <w:r w:rsidR="00C37FA5">
        <w:t xml:space="preserve">concern that </w:t>
      </w:r>
      <w:r w:rsidR="00EE3F1F">
        <w:t>a single</w:t>
      </w:r>
      <w:r w:rsidR="005C4A70">
        <w:t xml:space="preserve"> national de-stigmatisation campaign for all New Zealanders would potentially not resonate with the identified priority populations (one service provider and one health and social services submitter)</w:t>
      </w:r>
      <w:r w:rsidR="00540FD6">
        <w:t>.</w:t>
      </w:r>
      <w:r w:rsidR="005C4A70">
        <w:rPr>
          <w:rStyle w:val="FootnoteReference"/>
        </w:rPr>
        <w:footnoteReference w:id="556"/>
      </w:r>
      <w:r w:rsidR="00540FD6">
        <w:t xml:space="preserve"> Ways to improve resonance were identified:</w:t>
      </w:r>
    </w:p>
    <w:p w14:paraId="36360044" w14:textId="3984886B" w:rsidR="005C4A70" w:rsidRDefault="00EC343A" w:rsidP="005C4A70">
      <w:pPr>
        <w:pStyle w:val="List-BulletLvl1"/>
      </w:pPr>
      <w:r>
        <w:t>e</w:t>
      </w:r>
      <w:r w:rsidR="00540FD6">
        <w:t xml:space="preserve">nsure </w:t>
      </w:r>
      <w:r w:rsidR="005C4A70">
        <w:t xml:space="preserve">extensive consultation with communities </w:t>
      </w:r>
      <w:r w:rsidR="00540FD6">
        <w:t xml:space="preserve">in </w:t>
      </w:r>
      <w:r w:rsidR="005C4A70">
        <w:t>the identified priority populations to co-design the initiative to be fit for purpose (one health and social services submitter)</w:t>
      </w:r>
      <w:r w:rsidR="005C4A70">
        <w:rPr>
          <w:rStyle w:val="FootnoteReference"/>
        </w:rPr>
        <w:footnoteReference w:id="557"/>
      </w:r>
    </w:p>
    <w:p w14:paraId="497409EC" w14:textId="2C723582" w:rsidR="005C4A70" w:rsidRDefault="00EC343A" w:rsidP="005C4A70">
      <w:pPr>
        <w:pStyle w:val="List-BulletLvl1"/>
      </w:pPr>
      <w:r>
        <w:t>a</w:t>
      </w:r>
      <w:r w:rsidR="005C4A70">
        <w:t>cknowledge that priority populations also access general services</w:t>
      </w:r>
      <w:r w:rsidR="00B672A1">
        <w:t xml:space="preserve"> and </w:t>
      </w:r>
      <w:r w:rsidR="005C4A70">
        <w:t xml:space="preserve">engage with general PMGH services to have more reach and be more effective than the previous </w:t>
      </w:r>
      <w:r w:rsidR="005C4A70" w:rsidRPr="002D6194">
        <w:rPr>
          <w:i/>
          <w:iCs/>
        </w:rPr>
        <w:t>Choice Not Chance/Safer Gambling Aotearoa</w:t>
      </w:r>
      <w:r w:rsidR="005C4A70">
        <w:t xml:space="preserve"> campaigns (one service provider)</w:t>
      </w:r>
      <w:r w:rsidR="005C4A70">
        <w:rPr>
          <w:rStyle w:val="FootnoteReference"/>
        </w:rPr>
        <w:footnoteReference w:id="558"/>
      </w:r>
      <w:r w:rsidR="005C4A70">
        <w:t xml:space="preserve"> </w:t>
      </w:r>
    </w:p>
    <w:p w14:paraId="03AD7D8D" w14:textId="347B7E64" w:rsidR="005C4A70" w:rsidRDefault="00EC343A" w:rsidP="005C4A70">
      <w:pPr>
        <w:pStyle w:val="List-BulletLvl1"/>
      </w:pPr>
      <w:r>
        <w:t>c</w:t>
      </w:r>
      <w:r w:rsidR="005C4A70">
        <w:t>ustomise campaign efforts for each priority population, with the following as potential campaign topics (one service provider):</w:t>
      </w:r>
      <w:r w:rsidR="005C4A70">
        <w:rPr>
          <w:rStyle w:val="FootnoteReference"/>
        </w:rPr>
        <w:footnoteReference w:id="559"/>
      </w:r>
      <w:r w:rsidR="005C4A70">
        <w:t xml:space="preserve"> </w:t>
      </w:r>
    </w:p>
    <w:p w14:paraId="31B64365" w14:textId="3AE2E9AD" w:rsidR="005C4A70" w:rsidRDefault="005C4A70" w:rsidP="005C4A70">
      <w:pPr>
        <w:pStyle w:val="List-BulletLvl2"/>
      </w:pPr>
      <w:r w:rsidRPr="00290A08">
        <w:t>electronic gaming machines design</w:t>
      </w:r>
      <w:r w:rsidR="00E230BA">
        <w:t xml:space="preserve"> that </w:t>
      </w:r>
      <w:r w:rsidRPr="00290A08">
        <w:t>encourage</w:t>
      </w:r>
      <w:r w:rsidR="00E230BA">
        <w:t>s</w:t>
      </w:r>
      <w:r w:rsidRPr="00290A08">
        <w:t xml:space="preserve"> continuous playing</w:t>
      </w:r>
    </w:p>
    <w:p w14:paraId="384443DF" w14:textId="02FF16F2" w:rsidR="005C4A70" w:rsidRDefault="005C4A70" w:rsidP="005C4A70">
      <w:pPr>
        <w:pStyle w:val="List-BulletLvl2"/>
      </w:pPr>
      <w:r w:rsidRPr="00290A08">
        <w:t>the relationship between online gambling</w:t>
      </w:r>
      <w:r w:rsidR="00773208">
        <w:t>/g</w:t>
      </w:r>
      <w:r w:rsidRPr="00290A08">
        <w:t>aming and harms for rangatahi</w:t>
      </w:r>
    </w:p>
    <w:p w14:paraId="2DEC951C" w14:textId="77777777" w:rsidR="005C4A70" w:rsidRDefault="005C4A70" w:rsidP="005C4A70">
      <w:pPr>
        <w:pStyle w:val="List-BulletLvl2"/>
      </w:pPr>
      <w:r w:rsidRPr="00290A08">
        <w:t>de</w:t>
      </w:r>
      <w:r>
        <w:t>-</w:t>
      </w:r>
      <w:r w:rsidRPr="00290A08">
        <w:t xml:space="preserve">colonisation programmes to better understand cultural stigma around gambling to shift mindsets and encourage help-seeking behaviour. </w:t>
      </w:r>
    </w:p>
    <w:p w14:paraId="68211781" w14:textId="77777777" w:rsidR="005C4A70" w:rsidRDefault="005C4A70" w:rsidP="005C4A70">
      <w:pPr>
        <w:pStyle w:val="NumberedHeading3"/>
        <w:autoSpaceDE w:val="0"/>
        <w:autoSpaceDN w:val="0"/>
        <w:adjustRightInd w:val="0"/>
        <w:spacing w:line="269" w:lineRule="auto"/>
        <w:jc w:val="both"/>
      </w:pPr>
      <w:bookmarkStart w:id="102" w:name="_Toc88637596"/>
      <w:r>
        <w:t xml:space="preserve">Submitters expressed a range of views on the </w:t>
      </w:r>
      <w:r w:rsidRPr="006B564E">
        <w:t xml:space="preserve">purpose and efficacy of developing an NZQA </w:t>
      </w:r>
      <w:r>
        <w:t>l</w:t>
      </w:r>
      <w:r w:rsidRPr="006B564E">
        <w:t>evel 7 qualification</w:t>
      </w:r>
      <w:bookmarkEnd w:id="102"/>
    </w:p>
    <w:p w14:paraId="588FA2E1" w14:textId="77777777" w:rsidR="005C4A70" w:rsidRDefault="005C4A70" w:rsidP="005C4A70">
      <w:pPr>
        <w:pStyle w:val="BodyText"/>
      </w:pPr>
      <w:r>
        <w:t>Twenty-one submitters including nine NCGM submitters, eight service providers, three health and social services submitters and one gambling industry submitter had various views on the purpose and efficacy of the proposed NZQA level 7 qualification.</w:t>
      </w:r>
      <w:r>
        <w:rPr>
          <w:rStyle w:val="FootnoteReference"/>
        </w:rPr>
        <w:footnoteReference w:id="560"/>
      </w:r>
    </w:p>
    <w:p w14:paraId="1FDBD044" w14:textId="77777777" w:rsidR="001237FA" w:rsidRDefault="001237FA" w:rsidP="001237FA">
      <w:pPr>
        <w:pStyle w:val="BodyText"/>
      </w:pPr>
      <w:r>
        <w:t>Two service providers and one gambling industry submitter supported the level 7 pathway as it was proposed.</w:t>
      </w:r>
      <w:r>
        <w:rPr>
          <w:rStyle w:val="FootnoteReference"/>
        </w:rPr>
        <w:footnoteReference w:id="561"/>
      </w:r>
      <w:r>
        <w:t xml:space="preserve"> One of these service providers queried what would be done to attract people to these qualifications.</w:t>
      </w:r>
      <w:r>
        <w:rPr>
          <w:rStyle w:val="FootnoteReference"/>
        </w:rPr>
        <w:footnoteReference w:id="562"/>
      </w:r>
      <w:r>
        <w:t xml:space="preserve"> </w:t>
      </w:r>
    </w:p>
    <w:p w14:paraId="1968649D" w14:textId="756C37C5" w:rsidR="005C4A70" w:rsidRDefault="005C4A70" w:rsidP="005C4A70">
      <w:pPr>
        <w:pStyle w:val="BodyText"/>
      </w:pPr>
      <w:r>
        <w:lastRenderedPageBreak/>
        <w:t>Eight NCGM submitters suggested that</w:t>
      </w:r>
      <w:r w:rsidR="00B27328">
        <w:t>,</w:t>
      </w:r>
      <w:r>
        <w:t xml:space="preserve"> in addition to the proposed qualification, funding should be allocated for a new NZQA qualification and harm leader minimisation leadership course</w:t>
      </w:r>
      <w:r w:rsidR="000E3699">
        <w:t xml:space="preserve"> (like </w:t>
      </w:r>
      <w:r>
        <w:t>those proposed and run by Hospitality New Zealand</w:t>
      </w:r>
      <w:r w:rsidR="000E3699">
        <w:t>)</w:t>
      </w:r>
      <w:r>
        <w:t>.</w:t>
      </w:r>
      <w:r>
        <w:rPr>
          <w:rStyle w:val="FootnoteReference"/>
        </w:rPr>
        <w:footnoteReference w:id="563"/>
      </w:r>
      <w:r>
        <w:t xml:space="preserve"> </w:t>
      </w:r>
      <w:r w:rsidR="00E94AF7">
        <w:t xml:space="preserve">Such qualifications </w:t>
      </w:r>
      <w:r>
        <w:t xml:space="preserve">would be aimed at hospitality and society staff and focus on NCGM compliance and operational components alongside harm minimisation and addiction components. Three service providers supported the creation of an entry-level </w:t>
      </w:r>
      <w:r w:rsidR="00EC343A">
        <w:t>g</w:t>
      </w:r>
      <w:r>
        <w:t xml:space="preserve">ambling </w:t>
      </w:r>
      <w:r w:rsidR="00EC343A">
        <w:t>h</w:t>
      </w:r>
      <w:r>
        <w:t>arm qualification (levels 1-4) to help build pathways to and increase the accessibility of the NQZA level 7 qualification.</w:t>
      </w:r>
      <w:r>
        <w:rPr>
          <w:rStyle w:val="FootnoteReference"/>
        </w:rPr>
        <w:footnoteReference w:id="564"/>
      </w:r>
    </w:p>
    <w:p w14:paraId="7814D03E" w14:textId="77777777" w:rsidR="005C4A70" w:rsidRDefault="005C4A70" w:rsidP="005C4A70">
      <w:pPr>
        <w:pStyle w:val="BodyText"/>
      </w:pPr>
      <w:r>
        <w:t>Other views included:</w:t>
      </w:r>
    </w:p>
    <w:p w14:paraId="5185D2A2" w14:textId="77777777" w:rsidR="005C4A70" w:rsidRDefault="005C4A70" w:rsidP="005C4A70">
      <w:pPr>
        <w:pStyle w:val="List-BulletLvl1"/>
      </w:pPr>
      <w:r>
        <w:t>to support those with lived experience moving into leadership roles, provisions for scholarships to attain NZQA qualifications should extend beyond Level 7 (one health and social services submitter)</w:t>
      </w:r>
      <w:r>
        <w:rPr>
          <w:rStyle w:val="FootnoteReference"/>
        </w:rPr>
        <w:footnoteReference w:id="565"/>
      </w:r>
    </w:p>
    <w:p w14:paraId="777CCE97" w14:textId="69B9C881" w:rsidR="005C4A70" w:rsidRDefault="005C4A70" w:rsidP="005C4A70">
      <w:pPr>
        <w:pStyle w:val="List-BulletLvl1"/>
      </w:pPr>
      <w:r>
        <w:t>good treatment providers do not necessarily need a university qualification and so the proposed qualification should be replaced with a programme that enables semi-qualified lived experience mentors to work with, and next to fully qualified persons, including</w:t>
      </w:r>
      <w:r w:rsidR="00EC343A">
        <w:t>:</w:t>
      </w:r>
      <w:r>
        <w:t xml:space="preserve"> </w:t>
      </w:r>
    </w:p>
    <w:p w14:paraId="0A0E653A" w14:textId="60148AF9" w:rsidR="005C4A70" w:rsidRDefault="005C4A70" w:rsidP="005C4A70">
      <w:pPr>
        <w:pStyle w:val="List-BulletLvl2"/>
      </w:pPr>
      <w:r>
        <w:t>training in safety, self-protection,</w:t>
      </w:r>
      <w:r w:rsidR="00EC343A">
        <w:t xml:space="preserve"> and</w:t>
      </w:r>
      <w:r>
        <w:t xml:space="preserve"> basic addiction training</w:t>
      </w:r>
    </w:p>
    <w:p w14:paraId="654E2AF9" w14:textId="6C355406" w:rsidR="005C4A70" w:rsidRDefault="005C4A70" w:rsidP="005C4A70">
      <w:pPr>
        <w:pStyle w:val="List-BulletLvl2"/>
      </w:pPr>
      <w:r>
        <w:t>movement to formal academic qualifications supported by the treatment provider if desired by the individual</w:t>
      </w:r>
      <w:r w:rsidR="00C4650C">
        <w:t xml:space="preserve"> (one NCGM submitter)</w:t>
      </w:r>
      <w:r w:rsidR="00C4650C">
        <w:rPr>
          <w:rStyle w:val="FootnoteReference"/>
        </w:rPr>
        <w:footnoteReference w:id="566"/>
      </w:r>
      <w:r>
        <w:t>.</w:t>
      </w:r>
    </w:p>
    <w:p w14:paraId="02D3888C" w14:textId="77777777" w:rsidR="005C4A70" w:rsidRPr="005B55E6" w:rsidRDefault="005C4A70" w:rsidP="005C4A70">
      <w:pPr>
        <w:pStyle w:val="CV-Heading2"/>
        <w:rPr>
          <w:i/>
          <w:iCs/>
        </w:rPr>
      </w:pPr>
      <w:r w:rsidRPr="005B55E6">
        <w:rPr>
          <w:i/>
          <w:iCs/>
        </w:rPr>
        <w:t>Some submitters que</w:t>
      </w:r>
      <w:r>
        <w:rPr>
          <w:i/>
          <w:iCs/>
        </w:rPr>
        <w:t>stioned</w:t>
      </w:r>
      <w:r w:rsidRPr="005B55E6">
        <w:rPr>
          <w:i/>
          <w:iCs/>
        </w:rPr>
        <w:t xml:space="preserve"> whether setting the qualification at </w:t>
      </w:r>
      <w:r>
        <w:rPr>
          <w:i/>
          <w:iCs/>
        </w:rPr>
        <w:t>l</w:t>
      </w:r>
      <w:r w:rsidRPr="005B55E6">
        <w:rPr>
          <w:i/>
          <w:iCs/>
        </w:rPr>
        <w:t>evel 7 was suitable</w:t>
      </w:r>
    </w:p>
    <w:p w14:paraId="082A2087" w14:textId="788C4A1D" w:rsidR="005C4A70" w:rsidRPr="004F176F" w:rsidRDefault="005C4A70" w:rsidP="005C4A70">
      <w:pPr>
        <w:pStyle w:val="BodyText"/>
      </w:pPr>
      <w:r>
        <w:t xml:space="preserve">Seven NCGM submitters commented that the Ministry should consider whether a level 7 qualification would be a barrier to those </w:t>
      </w:r>
      <w:r w:rsidR="00895037">
        <w:t xml:space="preserve">whom </w:t>
      </w:r>
      <w:r>
        <w:t>the Ministry was trying to target with this initiative and whether there would be high uptake at this level.</w:t>
      </w:r>
      <w:r>
        <w:rPr>
          <w:rStyle w:val="FootnoteReference"/>
        </w:rPr>
        <w:footnoteReference w:id="567"/>
      </w:r>
      <w:r>
        <w:t xml:space="preserve"> One went on to say that few people would be likely to attempt a level 7 qualification, and even fewer would complete or pass.</w:t>
      </w:r>
      <w:r>
        <w:rPr>
          <w:rStyle w:val="FootnoteReference"/>
        </w:rPr>
        <w:footnoteReference w:id="568"/>
      </w:r>
      <w:r>
        <w:t xml:space="preserve"> Another NCGM submitter suggested a level 5 or 6 qualification may have higher uptake and pass/completion rates.</w:t>
      </w:r>
      <w:r>
        <w:rPr>
          <w:rStyle w:val="FootnoteReference"/>
        </w:rPr>
        <w:footnoteReference w:id="569"/>
      </w:r>
    </w:p>
    <w:p w14:paraId="532EA154" w14:textId="3C7C9442" w:rsidR="005C4A70" w:rsidRDefault="005C4A70" w:rsidP="005C4A70">
      <w:pPr>
        <w:pStyle w:val="BodyText"/>
      </w:pPr>
      <w:r>
        <w:t>Two service providers commented that there was ambiguity around how and in what context the proposed qualification would benefit prospective students and raised concerns that this level qualification may create further inequities for priority populations.</w:t>
      </w:r>
      <w:r>
        <w:rPr>
          <w:rStyle w:val="FootnoteReference"/>
        </w:rPr>
        <w:footnoteReference w:id="570"/>
      </w:r>
      <w:r>
        <w:t xml:space="preserve"> One commented that the strategy for training and youth psychosocial program</w:t>
      </w:r>
      <w:r w:rsidR="00EC343A">
        <w:t>me</w:t>
      </w:r>
      <w:r>
        <w:t>s start in school similar to alcohol and other drugs education, and that exposure to these pathways would be best pitched at NCEA level 1.</w:t>
      </w:r>
      <w:r>
        <w:rPr>
          <w:rStyle w:val="FootnoteReference"/>
        </w:rPr>
        <w:footnoteReference w:id="571"/>
      </w:r>
      <w:r>
        <w:t xml:space="preserve"> This service provider stated that the psychosocial education development for Pacific students should be Pacific-led in both design and delivery. </w:t>
      </w:r>
    </w:p>
    <w:p w14:paraId="3EEFEC85" w14:textId="168413AB" w:rsidR="005C4A70" w:rsidRDefault="005C4A70" w:rsidP="005C4A70">
      <w:pPr>
        <w:pStyle w:val="BodyText"/>
      </w:pPr>
      <w:r>
        <w:t>One health and social services submitter commented that a level 5 qualification may be useful for CPD points, as most practitioners are already qualified to work in this area.</w:t>
      </w:r>
      <w:r>
        <w:rPr>
          <w:rStyle w:val="FootnoteReference"/>
        </w:rPr>
        <w:footnoteReference w:id="572"/>
      </w:r>
      <w:r>
        <w:t xml:space="preserve"> However, this submitter still saw it as a useful pathway for </w:t>
      </w:r>
      <w:r w:rsidR="00EC343A">
        <w:t xml:space="preserve">the </w:t>
      </w:r>
      <w:r>
        <w:t xml:space="preserve">peer support, cultural or support worker </w:t>
      </w:r>
      <w:r>
        <w:lastRenderedPageBreak/>
        <w:t>workforce.</w:t>
      </w:r>
      <w:r>
        <w:rPr>
          <w:rStyle w:val="FootnoteReference"/>
        </w:rPr>
        <w:footnoteReference w:id="573"/>
      </w:r>
      <w:r>
        <w:t xml:space="preserve"> This submitter, along with three service providers and another health and social services submitter considered that rather than developing a standalone level 7 qualification on gambling harm and gambling intervention competencies, these should be embedded into current qualifications in the addiction space.</w:t>
      </w:r>
      <w:r>
        <w:rPr>
          <w:rStyle w:val="FootnoteReference"/>
        </w:rPr>
        <w:footnoteReference w:id="574"/>
      </w:r>
    </w:p>
    <w:p w14:paraId="15519325" w14:textId="77777777" w:rsidR="005C4A70" w:rsidRPr="007540A1" w:rsidRDefault="005C4A70" w:rsidP="005C4A70">
      <w:pPr>
        <w:pStyle w:val="NumberedHeading3"/>
        <w:autoSpaceDE w:val="0"/>
        <w:autoSpaceDN w:val="0"/>
        <w:adjustRightInd w:val="0"/>
        <w:spacing w:line="269" w:lineRule="auto"/>
        <w:jc w:val="both"/>
      </w:pPr>
      <w:bookmarkStart w:id="103" w:name="_Toc88637597"/>
      <w:r>
        <w:t>Submitters from all sectors expressed conditional support for scholarship funding</w:t>
      </w:r>
      <w:bookmarkEnd w:id="103"/>
      <w:r>
        <w:t xml:space="preserve"> </w:t>
      </w:r>
    </w:p>
    <w:p w14:paraId="7586AA56" w14:textId="77777777" w:rsidR="005C4A70" w:rsidRDefault="005C4A70" w:rsidP="005C4A70">
      <w:pPr>
        <w:pStyle w:val="BodyText"/>
      </w:pPr>
      <w:r>
        <w:t>Thirteen submitters including six NCGM submitters, four service providers, one health and social services submitter, one gambling industry submitter and one individual commented on the proposed funding for scholarships to enable priority populations to undertake tertiary study to enter the PMGH workforce.</w:t>
      </w:r>
      <w:r>
        <w:rPr>
          <w:rStyle w:val="FootnoteReference"/>
        </w:rPr>
        <w:footnoteReference w:id="575"/>
      </w:r>
    </w:p>
    <w:p w14:paraId="4A41926A" w14:textId="77777777" w:rsidR="005C4A70" w:rsidRDefault="005C4A70" w:rsidP="005C4A70">
      <w:pPr>
        <w:pStyle w:val="BodyText"/>
      </w:pPr>
      <w:r>
        <w:t>One gambling industry submitter and one service provider supported the new scholarships.</w:t>
      </w:r>
      <w:r>
        <w:rPr>
          <w:rStyle w:val="FootnoteReference"/>
        </w:rPr>
        <w:footnoteReference w:id="576"/>
      </w:r>
      <w:r>
        <w:t xml:space="preserve"> </w:t>
      </w:r>
    </w:p>
    <w:p w14:paraId="509AB902" w14:textId="7D6839DE" w:rsidR="005C4A70" w:rsidRDefault="005C4A70" w:rsidP="005C4A70">
      <w:pPr>
        <w:pStyle w:val="BodyText"/>
      </w:pPr>
      <w:r>
        <w:t xml:space="preserve">Two submitters were concerned about uptake. </w:t>
      </w:r>
      <w:r w:rsidDel="00466A99">
        <w:t xml:space="preserve">One </w:t>
      </w:r>
      <w:r>
        <w:t>individual</w:t>
      </w:r>
      <w:r w:rsidDel="00466A99">
        <w:t xml:space="preserve"> </w:t>
      </w:r>
      <w:r>
        <w:t>supported the provision of scholarships focused on priority populations but suggested that this initiative may not be effective as many young people who experience gambling harm do so at the same time that they are studying or choosing a career pathway.</w:t>
      </w:r>
      <w:r>
        <w:rPr>
          <w:rStyle w:val="FootnoteReference"/>
        </w:rPr>
        <w:footnoteReference w:id="577"/>
      </w:r>
      <w:r>
        <w:t xml:space="preserve"> They suggested that rather than ‘sugar-coat’ new initiatives for positive attention, efforts should be focused on listening to the needs of these communities.</w:t>
      </w:r>
      <w:r>
        <w:rPr>
          <w:rStyle w:val="FootnoteReference"/>
        </w:rPr>
        <w:footnoteReference w:id="578"/>
      </w:r>
      <w:r>
        <w:t xml:space="preserve"> One NCGM submitter considered that the scholarship</w:t>
      </w:r>
      <w:r w:rsidR="00EC343A">
        <w:t>s</w:t>
      </w:r>
      <w:r>
        <w:t xml:space="preserve"> would not make a difference, as very few people would take up these scholarships, and of those, very few would go on to work in the gambling workforce.</w:t>
      </w:r>
      <w:r>
        <w:rPr>
          <w:rStyle w:val="FootnoteReference"/>
        </w:rPr>
        <w:footnoteReference w:id="579"/>
      </w:r>
    </w:p>
    <w:p w14:paraId="5AB86D06" w14:textId="77777777" w:rsidR="005C4A70" w:rsidRPr="00A0656D" w:rsidRDefault="005C4A70" w:rsidP="005C4A70">
      <w:pPr>
        <w:pStyle w:val="CV-Heading2"/>
        <w:rPr>
          <w:i/>
          <w:iCs/>
        </w:rPr>
      </w:pPr>
      <w:r w:rsidRPr="00A0656D">
        <w:rPr>
          <w:i/>
          <w:iCs/>
        </w:rPr>
        <w:t>The scholarships should be extended/additional scholarships should be made available</w:t>
      </w:r>
    </w:p>
    <w:p w14:paraId="66488184" w14:textId="376A83B3" w:rsidR="009203EF" w:rsidRDefault="009203EF" w:rsidP="005C4A70">
      <w:pPr>
        <w:pStyle w:val="BodyText"/>
      </w:pPr>
      <w:r>
        <w:t>Extending who could apply for the scholarships was proposed</w:t>
      </w:r>
      <w:r w:rsidR="00C71DEE">
        <w:t xml:space="preserve"> with the following extensions suggesting</w:t>
      </w:r>
      <w:r w:rsidR="00113565">
        <w:t>:</w:t>
      </w:r>
    </w:p>
    <w:p w14:paraId="310A5B0F" w14:textId="24970380" w:rsidR="00C71DEE" w:rsidRDefault="00113565" w:rsidP="0055279C">
      <w:pPr>
        <w:pStyle w:val="List-BulletLvl1"/>
      </w:pPr>
      <w:r>
        <w:t>anyone that would like to provide help for problem gambling, including society and hospitality staff (f</w:t>
      </w:r>
      <w:r w:rsidR="005C4A70">
        <w:t>ive NCGM submitters</w:t>
      </w:r>
      <w:r w:rsidR="00C71DEE">
        <w:t>)</w:t>
      </w:r>
      <w:r w:rsidR="005C4A70">
        <w:rPr>
          <w:rStyle w:val="FootnoteReference"/>
        </w:rPr>
        <w:footnoteReference w:id="580"/>
      </w:r>
    </w:p>
    <w:p w14:paraId="21232CF1" w14:textId="137FC00B" w:rsidR="0015613D" w:rsidRDefault="005C4A70" w:rsidP="00C71DEE">
      <w:pPr>
        <w:pStyle w:val="List-BulletLvl1"/>
      </w:pPr>
      <w:r>
        <w:t xml:space="preserve">existing gambling workforce </w:t>
      </w:r>
      <w:r w:rsidR="0015613D">
        <w:t>(three service providers)</w:t>
      </w:r>
      <w:r w:rsidR="0015613D">
        <w:rPr>
          <w:rStyle w:val="FootnoteReference"/>
        </w:rPr>
        <w:footnoteReference w:id="581"/>
      </w:r>
    </w:p>
    <w:p w14:paraId="3073DF3F" w14:textId="737047E8" w:rsidR="005C4A70" w:rsidRDefault="005C4A70" w:rsidP="0021247E">
      <w:pPr>
        <w:pStyle w:val="List-BulletLvl1"/>
      </w:pPr>
      <w:r>
        <w:t>lived experience Kaimahi in the workforce development area to upskill and develop their knowledge beyond the regional and national training forums</w:t>
      </w:r>
      <w:r w:rsidR="00C71DEE">
        <w:t xml:space="preserve"> (three service providers)</w:t>
      </w:r>
      <w:r>
        <w:rPr>
          <w:rStyle w:val="FootnoteReference"/>
        </w:rPr>
        <w:footnoteReference w:id="582"/>
      </w:r>
    </w:p>
    <w:p w14:paraId="5EC1E0FE" w14:textId="6A5255B4" w:rsidR="0028771D" w:rsidRDefault="0015613D" w:rsidP="00D20624">
      <w:pPr>
        <w:pStyle w:val="List-BulletLvl1"/>
      </w:pPr>
      <w:r>
        <w:t>employers already committed to building the PMGH workforce and who have specific skills to support and mentor scholarship recipients and could provide a way for providers to identify promising staff (o</w:t>
      </w:r>
      <w:r w:rsidR="005C4A70">
        <w:t>ne health and social services submitter</w:t>
      </w:r>
      <w:r>
        <w:t>)</w:t>
      </w:r>
      <w:r w:rsidR="005C4A70">
        <w:rPr>
          <w:rStyle w:val="FootnoteReference"/>
        </w:rPr>
        <w:footnoteReference w:id="583"/>
      </w:r>
    </w:p>
    <w:p w14:paraId="68484CD3" w14:textId="6651908B" w:rsidR="005C4A70" w:rsidRDefault="005C4A70" w:rsidP="0021247E">
      <w:pPr>
        <w:pStyle w:val="List-BulletLvl1"/>
      </w:pPr>
      <w:r>
        <w:lastRenderedPageBreak/>
        <w:t>priority populations should be prioritised in scholarship allocation, but if supply exceeded interest from other population groups, additional scholarships should be allowed and encouraged</w:t>
      </w:r>
      <w:r w:rsidR="0028771D">
        <w:t xml:space="preserve"> (one health and social services submitter)</w:t>
      </w:r>
      <w:r>
        <w:t>.</w:t>
      </w:r>
      <w:r>
        <w:rPr>
          <w:rStyle w:val="FootnoteReference"/>
        </w:rPr>
        <w:footnoteReference w:id="584"/>
      </w:r>
    </w:p>
    <w:p w14:paraId="38B82BCB" w14:textId="77777777" w:rsidR="005C4A70" w:rsidRDefault="005C4A70" w:rsidP="005C4A70">
      <w:pPr>
        <w:pStyle w:val="NumberedHeading3"/>
        <w:autoSpaceDE w:val="0"/>
        <w:autoSpaceDN w:val="0"/>
        <w:adjustRightInd w:val="0"/>
        <w:spacing w:line="269" w:lineRule="auto"/>
        <w:jc w:val="both"/>
      </w:pPr>
      <w:bookmarkStart w:id="104" w:name="_Toc88637598"/>
      <w:r>
        <w:t>Submitters provided general support for the innovation pilots</w:t>
      </w:r>
      <w:bookmarkEnd w:id="104"/>
      <w:r>
        <w:t xml:space="preserve"> </w:t>
      </w:r>
    </w:p>
    <w:p w14:paraId="0C74EF3A" w14:textId="77777777" w:rsidR="005C4A70" w:rsidRDefault="005C4A70" w:rsidP="005C4A70">
      <w:pPr>
        <w:pStyle w:val="BodyText"/>
      </w:pPr>
      <w:r>
        <w:t>Nine submitters including four service providers, three NCGM submitters, one health and social services submitter and one gambling industry submitter commented on the proposed innovation pilots.</w:t>
      </w:r>
      <w:r>
        <w:rPr>
          <w:rStyle w:val="FootnoteReference"/>
        </w:rPr>
        <w:footnoteReference w:id="585"/>
      </w:r>
      <w:r>
        <w:t xml:space="preserve"> Some of these submitters indicated general support for particular pilots:</w:t>
      </w:r>
    </w:p>
    <w:p w14:paraId="7D0A4DCC" w14:textId="405B16FB" w:rsidR="005C4A70" w:rsidRDefault="00EC343A" w:rsidP="005C4A70">
      <w:pPr>
        <w:pStyle w:val="List-BulletLvl1"/>
      </w:pPr>
      <w:r>
        <w:t>t</w:t>
      </w:r>
      <w:r w:rsidR="005C4A70">
        <w:t>he intensive support pilot</w:t>
      </w:r>
      <w:r w:rsidR="006F799D">
        <w:t xml:space="preserve">: </w:t>
      </w:r>
      <w:r w:rsidR="005C4A70">
        <w:t xml:space="preserve">at present there are no contracted residential beds for people where their addiction does not include alcohol and/or other drugs or mental health issues despite the significant benefits this type of programme could have for those experiencing gambling harm, and community organisations could hold a flexi-fund to allow access to the most appropriate service to ensure continuity of care for tangata </w:t>
      </w:r>
      <w:r w:rsidR="004F15F2">
        <w:t>whaiora</w:t>
      </w:r>
      <w:r w:rsidR="005C4A70">
        <w:t xml:space="preserve"> (two service providers)</w:t>
      </w:r>
      <w:r w:rsidR="005C4A70">
        <w:rPr>
          <w:rStyle w:val="FootnoteReference"/>
        </w:rPr>
        <w:footnoteReference w:id="586"/>
      </w:r>
    </w:p>
    <w:p w14:paraId="0F578120" w14:textId="2A087465" w:rsidR="005C4A70" w:rsidRDefault="00EC343A" w:rsidP="005C4A70">
      <w:pPr>
        <w:pStyle w:val="List-BulletLvl1"/>
      </w:pPr>
      <w:r>
        <w:t>t</w:t>
      </w:r>
      <w:r w:rsidR="005C4A70">
        <w:t>he technology pilot, as technology-based innovation generally receives universal support across the PMGH sector (one gambling industry submitter).</w:t>
      </w:r>
      <w:r w:rsidR="005C4A70">
        <w:rPr>
          <w:rStyle w:val="FootnoteReference"/>
        </w:rPr>
        <w:footnoteReference w:id="587"/>
      </w:r>
    </w:p>
    <w:p w14:paraId="2B015F66" w14:textId="77777777" w:rsidR="005C4A70" w:rsidRPr="00F66939" w:rsidRDefault="005C4A70" w:rsidP="005C4A70">
      <w:pPr>
        <w:pStyle w:val="CV-Heading2"/>
        <w:rPr>
          <w:i/>
          <w:iCs/>
        </w:rPr>
      </w:pPr>
      <w:r w:rsidRPr="00F66939">
        <w:rPr>
          <w:i/>
          <w:iCs/>
        </w:rPr>
        <w:t>Two submitters had concerns over the resourcing and implementation of the innovation pilots</w:t>
      </w:r>
    </w:p>
    <w:p w14:paraId="6EB59D6D" w14:textId="77777777" w:rsidR="005C4A70" w:rsidRDefault="005C4A70" w:rsidP="005C4A70">
      <w:pPr>
        <w:pStyle w:val="BodyText"/>
      </w:pPr>
      <w:r>
        <w:t>One health and social services submitter commented that while they supported the concept of the peer support pilot to develop a peer workforce, they had concerns that the model was not meeting the needs of communities.</w:t>
      </w:r>
      <w:r>
        <w:rPr>
          <w:rStyle w:val="FootnoteReference"/>
        </w:rPr>
        <w:footnoteReference w:id="588"/>
      </w:r>
      <w:r>
        <w:t xml:space="preserve"> This submitter considered that the peer support and support workforce should mirror the current alcohol and other drugs workforce structure, and the pilot should be based in a service that offers peer support, clinical treatment, </w:t>
      </w:r>
      <w:r w:rsidRPr="00093FBB">
        <w:t>whānau</w:t>
      </w:r>
      <w:r>
        <w:t xml:space="preserve"> and clinical interventions where possible to allow peer support and clinical teams to build understanding of each other’s Kaupapa.</w:t>
      </w:r>
      <w:r>
        <w:rPr>
          <w:rStyle w:val="FootnoteReference"/>
        </w:rPr>
        <w:footnoteReference w:id="589"/>
      </w:r>
      <w:r>
        <w:t xml:space="preserve"> This submitter commented further, stating that the current model was likely to be under-serving the needs of Kaupapa Māori services significantly, and the funding of cultural support positions was required.</w:t>
      </w:r>
      <w:r>
        <w:rPr>
          <w:rStyle w:val="FootnoteReference"/>
        </w:rPr>
        <w:footnoteReference w:id="590"/>
      </w:r>
    </w:p>
    <w:p w14:paraId="4865427A" w14:textId="77777777" w:rsidR="005C4A70" w:rsidRDefault="005C4A70" w:rsidP="005C4A70">
      <w:pPr>
        <w:pStyle w:val="BodyText"/>
      </w:pPr>
      <w:r>
        <w:t>One service provider was pleased to see the proposed investment into innovation pilots but noted that they did not seem to be adequately resourced – for example, the total budget for the technology pilot across the strategy period was not considered to be enough when taking into account the infrastructure support needed to sustain technological innovations.</w:t>
      </w:r>
      <w:r>
        <w:rPr>
          <w:rStyle w:val="FootnoteReference"/>
        </w:rPr>
        <w:footnoteReference w:id="591"/>
      </w:r>
    </w:p>
    <w:p w14:paraId="6FB4211A" w14:textId="444B5BA7" w:rsidR="005C4A70" w:rsidRDefault="001533B8" w:rsidP="005C4A70">
      <w:pPr>
        <w:pStyle w:val="CV-Heading2"/>
        <w:rPr>
          <w:i/>
          <w:iCs/>
        </w:rPr>
      </w:pPr>
      <w:r>
        <w:rPr>
          <w:i/>
          <w:iCs/>
        </w:rPr>
        <w:t>NCGM</w:t>
      </w:r>
      <w:r w:rsidR="005D6289">
        <w:rPr>
          <w:i/>
          <w:iCs/>
        </w:rPr>
        <w:t xml:space="preserve"> submitters</w:t>
      </w:r>
      <w:r>
        <w:rPr>
          <w:i/>
          <w:iCs/>
        </w:rPr>
        <w:t xml:space="preserve"> and service providers </w:t>
      </w:r>
      <w:r w:rsidR="005D6289">
        <w:rPr>
          <w:i/>
          <w:iCs/>
        </w:rPr>
        <w:t>gave c</w:t>
      </w:r>
      <w:r w:rsidR="005C4A70" w:rsidRPr="00F73C3F">
        <w:rPr>
          <w:i/>
          <w:iCs/>
        </w:rPr>
        <w:t xml:space="preserve">onditional support for pilot programmes to address inequity </w:t>
      </w:r>
    </w:p>
    <w:p w14:paraId="6C66DA07" w14:textId="21660243" w:rsidR="005C4A70" w:rsidRPr="00862637" w:rsidRDefault="005C4A70" w:rsidP="005C4A70">
      <w:pPr>
        <w:pStyle w:val="BodyText"/>
      </w:pPr>
      <w:r>
        <w:t xml:space="preserve">Four NCGM submitters commented that no detail was given as to what was proposed in the equity pilots despite a budget of $1.962 million and suggested that “money should be spent making </w:t>
      </w:r>
      <w:r>
        <w:lastRenderedPageBreak/>
        <w:t>current services fit for purpose (by expanding them to enable comorbidities to be addressed) and by extending their reach”.</w:t>
      </w:r>
      <w:r>
        <w:rPr>
          <w:rStyle w:val="FootnoteReference"/>
        </w:rPr>
        <w:footnoteReference w:id="592"/>
      </w:r>
    </w:p>
    <w:p w14:paraId="40C73AD9" w14:textId="77777777" w:rsidR="005C4A70" w:rsidRDefault="005C4A70" w:rsidP="005C4A70">
      <w:pPr>
        <w:pStyle w:val="BodyText"/>
      </w:pPr>
      <w:r>
        <w:t>Two service providers commented that they supported the pilot to address inequity, but:</w:t>
      </w:r>
    </w:p>
    <w:p w14:paraId="36297DDC" w14:textId="61718753" w:rsidR="005C4A70" w:rsidRDefault="005C4A70" w:rsidP="005C4A70">
      <w:pPr>
        <w:pStyle w:val="List-BulletLvl1"/>
      </w:pPr>
      <w:r>
        <w:t>these pilots should include improvement of client engagement and access to all PMGH services</w:t>
      </w:r>
      <w:r>
        <w:rPr>
          <w:rStyle w:val="FootnoteReference"/>
        </w:rPr>
        <w:footnoteReference w:id="593"/>
      </w:r>
    </w:p>
    <w:p w14:paraId="70CE3164" w14:textId="77777777" w:rsidR="005C4A70" w:rsidRDefault="005C4A70" w:rsidP="005C4A70">
      <w:pPr>
        <w:pStyle w:val="List-BulletLvl1"/>
      </w:pPr>
      <w:r>
        <w:t>it was unclear how funding would be divided between public health and intervention services.</w:t>
      </w:r>
      <w:r>
        <w:rPr>
          <w:rStyle w:val="FootnoteReference"/>
        </w:rPr>
        <w:footnoteReference w:id="594"/>
      </w:r>
    </w:p>
    <w:p w14:paraId="3149CCAE" w14:textId="77777777" w:rsidR="005C4A70" w:rsidRDefault="005C4A70" w:rsidP="005C4A70">
      <w:pPr>
        <w:pStyle w:val="BodyText"/>
      </w:pPr>
      <w:r>
        <w:t xml:space="preserve">One service provider referenced a </w:t>
      </w:r>
      <w:r w:rsidRPr="00C60D43">
        <w:rPr>
          <w:i/>
          <w:iCs/>
        </w:rPr>
        <w:t>Youth 2000</w:t>
      </w:r>
      <w:r>
        <w:t xml:space="preserve"> survey series for East Asian, South Asian, Chinese and Indian students, which highlighted misleading information when grouping these populations together as “Asian”; this provider stated that in order to address the challenges faced by the Asian community in this equity pilot, the nuances and many different cultures and ethnicities covered in the Asian population must be accounted for.</w:t>
      </w:r>
      <w:r>
        <w:rPr>
          <w:rStyle w:val="FootnoteReference"/>
        </w:rPr>
        <w:footnoteReference w:id="595"/>
      </w:r>
    </w:p>
    <w:p w14:paraId="773DF2B8" w14:textId="77777777" w:rsidR="005C4A70" w:rsidRDefault="005C4A70" w:rsidP="005C4A70">
      <w:pPr>
        <w:pStyle w:val="NumberedHeading3"/>
      </w:pPr>
      <w:bookmarkStart w:id="105" w:name="_Toc88637599"/>
      <w:r>
        <w:t>Two NCGM submitters did not support the proposed initiatives</w:t>
      </w:r>
      <w:bookmarkEnd w:id="105"/>
    </w:p>
    <w:p w14:paraId="1E956FF0" w14:textId="34251E76" w:rsidR="005C4A70" w:rsidRPr="008F51FC" w:rsidRDefault="005C4A70" w:rsidP="005C4A70">
      <w:pPr>
        <w:pStyle w:val="BodyText"/>
      </w:pPr>
      <w:r>
        <w:t>Two NCGM submitters did not support the proposed new services, innovation pilots and investments.</w:t>
      </w:r>
      <w:r>
        <w:rPr>
          <w:rStyle w:val="FootnoteReference"/>
        </w:rPr>
        <w:footnoteReference w:id="596"/>
      </w:r>
      <w:r>
        <w:t xml:space="preserve"> One commented that </w:t>
      </w:r>
      <w:r w:rsidR="00B6630A">
        <w:t xml:space="preserve">it </w:t>
      </w:r>
      <w:r>
        <w:t>had no objections to funds being allocated to address inequity but stated that the proposed new services, initiatives and innovation pilots were modest and insufficient to achieve the objectives of the strategy.</w:t>
      </w:r>
      <w:r>
        <w:rPr>
          <w:rStyle w:val="FootnoteReference"/>
        </w:rPr>
        <w:footnoteReference w:id="597"/>
      </w:r>
      <w:r>
        <w:t xml:space="preserve"> The other NCGM submitter commented that the proposed initiatives in the service plan were unlikely to make a difference, and a radical change in focus and entirely new approach was needed.</w:t>
      </w:r>
      <w:r>
        <w:rPr>
          <w:rStyle w:val="FootnoteReference"/>
        </w:rPr>
        <w:footnoteReference w:id="598"/>
      </w:r>
    </w:p>
    <w:p w14:paraId="65F3FDA9" w14:textId="7F61BBB7" w:rsidR="005C4A70" w:rsidRDefault="005C4A70" w:rsidP="000C0403">
      <w:pPr>
        <w:pStyle w:val="NumberedHeading3"/>
      </w:pPr>
      <w:bookmarkStart w:id="106" w:name="_Toc88637600"/>
      <w:r>
        <w:t xml:space="preserve">Key themes from the </w:t>
      </w:r>
      <w:r w:rsidR="00F67625">
        <w:t>c</w:t>
      </w:r>
      <w:r>
        <w:t xml:space="preserve">onsultation </w:t>
      </w:r>
      <w:r w:rsidR="00F67625">
        <w:t>h</w:t>
      </w:r>
      <w:r>
        <w:t>ui</w:t>
      </w:r>
      <w:bookmarkEnd w:id="106"/>
      <w:r>
        <w:t xml:space="preserve"> </w:t>
      </w:r>
    </w:p>
    <w:tbl>
      <w:tblPr>
        <w:tblStyle w:val="TableGrid"/>
        <w:tblW w:w="0" w:type="auto"/>
        <w:shd w:val="clear" w:color="auto" w:fill="D2D9DE" w:themeFill="text2" w:themeFillTint="33"/>
        <w:tblLook w:val="04A0" w:firstRow="1" w:lastRow="0" w:firstColumn="1" w:lastColumn="0" w:noHBand="0" w:noVBand="1"/>
      </w:tblPr>
      <w:tblGrid>
        <w:gridCol w:w="9061"/>
      </w:tblGrid>
      <w:tr w:rsidR="0074366B" w:rsidRPr="0074366B" w14:paraId="2015CDB9" w14:textId="77777777" w:rsidTr="00A63114">
        <w:tc>
          <w:tcPr>
            <w:tcW w:w="9061" w:type="dxa"/>
            <w:shd w:val="clear" w:color="auto" w:fill="D2D9DE" w:themeFill="text2" w:themeFillTint="33"/>
          </w:tcPr>
          <w:p w14:paraId="5C57346E" w14:textId="77777777" w:rsidR="005C4A70" w:rsidRPr="0074366B" w:rsidRDefault="005C4A70" w:rsidP="00A63114">
            <w:pPr>
              <w:pStyle w:val="BodyText"/>
              <w:jc w:val="center"/>
              <w:rPr>
                <w:b/>
                <w:bCs/>
                <w:color w:val="36424A" w:themeColor="accent5"/>
              </w:rPr>
            </w:pPr>
            <w:r w:rsidRPr="0074366B">
              <w:rPr>
                <w:b/>
                <w:bCs/>
                <w:color w:val="36424A" w:themeColor="accent5"/>
              </w:rPr>
              <w:t>Comments from hui on the proposed new services, innovation pilots and investments</w:t>
            </w:r>
          </w:p>
          <w:p w14:paraId="1883395A" w14:textId="5CB13E20" w:rsidR="005C4A70" w:rsidRPr="0074366B" w:rsidRDefault="002A48BB" w:rsidP="000C0403">
            <w:pPr>
              <w:pStyle w:val="List-BulletLvl1"/>
              <w:rPr>
                <w:color w:val="36424A" w:themeColor="accent5"/>
              </w:rPr>
            </w:pPr>
            <w:r>
              <w:rPr>
                <w:color w:val="36424A" w:themeColor="accent5"/>
              </w:rPr>
              <w:t>Stakeholders supported</w:t>
            </w:r>
            <w:r w:rsidR="005C4A70" w:rsidRPr="0074366B">
              <w:rPr>
                <w:color w:val="36424A" w:themeColor="accent5"/>
              </w:rPr>
              <w:t xml:space="preserve"> the peer support pilot at both the lived experience and general hui, as well as </w:t>
            </w:r>
            <w:r w:rsidR="00E22E9E">
              <w:rPr>
                <w:color w:val="36424A" w:themeColor="accent5"/>
              </w:rPr>
              <w:t>expressing</w:t>
            </w:r>
            <w:r w:rsidR="005C4A70" w:rsidRPr="0074366B">
              <w:rPr>
                <w:color w:val="36424A" w:themeColor="accent5"/>
              </w:rPr>
              <w:t xml:space="preserve"> qualified support specifying the need for culturally appropriate peer support services and supervision/safe spaces for these lived experience peers. </w:t>
            </w:r>
          </w:p>
          <w:p w14:paraId="7D3BFFEB" w14:textId="10BEEFB1" w:rsidR="005C4A70" w:rsidRPr="0074366B" w:rsidRDefault="00602DEB" w:rsidP="000C0403">
            <w:pPr>
              <w:pStyle w:val="List-BulletLvl1"/>
              <w:rPr>
                <w:color w:val="36424A" w:themeColor="accent5"/>
              </w:rPr>
            </w:pPr>
            <w:r>
              <w:rPr>
                <w:color w:val="36424A" w:themeColor="accent5"/>
              </w:rPr>
              <w:t xml:space="preserve">Stakeholders generally supported the introduction of </w:t>
            </w:r>
            <w:r w:rsidR="00E22E9E">
              <w:rPr>
                <w:color w:val="36424A" w:themeColor="accent5"/>
              </w:rPr>
              <w:t>scholarships</w:t>
            </w:r>
            <w:r w:rsidR="005C4A70" w:rsidRPr="0074366B">
              <w:rPr>
                <w:color w:val="36424A" w:themeColor="accent5"/>
              </w:rPr>
              <w:t xml:space="preserve"> </w:t>
            </w:r>
            <w:r w:rsidR="000C596E">
              <w:rPr>
                <w:color w:val="36424A" w:themeColor="accent5"/>
              </w:rPr>
              <w:t xml:space="preserve">to support the expansion of the PMGH workforce, but suggested additional </w:t>
            </w:r>
            <w:r w:rsidR="0055319F">
              <w:rPr>
                <w:color w:val="36424A" w:themeColor="accent5"/>
              </w:rPr>
              <w:t>scholarships to</w:t>
            </w:r>
            <w:r w:rsidR="005C4A70" w:rsidRPr="0074366B" w:rsidDel="003B2E8E">
              <w:rPr>
                <w:color w:val="36424A" w:themeColor="accent5"/>
              </w:rPr>
              <w:t xml:space="preserve"> </w:t>
            </w:r>
            <w:r w:rsidR="001E1A0D">
              <w:rPr>
                <w:color w:val="36424A" w:themeColor="accent5"/>
              </w:rPr>
              <w:t>be funded:</w:t>
            </w:r>
          </w:p>
          <w:p w14:paraId="18DBD864" w14:textId="5B6163D3" w:rsidR="00F74BE6" w:rsidRPr="0055279C" w:rsidRDefault="00EC343A" w:rsidP="0017641D">
            <w:pPr>
              <w:pStyle w:val="List-BulletLvl2"/>
              <w:rPr>
                <w:color w:val="36424A" w:themeColor="text2"/>
              </w:rPr>
            </w:pPr>
            <w:r>
              <w:rPr>
                <w:color w:val="36424A" w:themeColor="text2"/>
              </w:rPr>
              <w:t>s</w:t>
            </w:r>
            <w:r w:rsidR="00F74BE6" w:rsidRPr="0055279C">
              <w:rPr>
                <w:color w:val="36424A" w:themeColor="text2"/>
              </w:rPr>
              <w:t>cholarships for Pāk</w:t>
            </w:r>
            <w:r w:rsidR="00B76DE6" w:rsidRPr="0055279C">
              <w:rPr>
                <w:color w:val="36424A" w:themeColor="text2"/>
              </w:rPr>
              <w:t>e</w:t>
            </w:r>
            <w:r w:rsidR="00F74BE6" w:rsidRPr="0055279C">
              <w:rPr>
                <w:color w:val="36424A" w:themeColor="text2"/>
              </w:rPr>
              <w:t>hā/European groups</w:t>
            </w:r>
          </w:p>
          <w:p w14:paraId="02F5489B" w14:textId="39FB0319" w:rsidR="00F74BE6" w:rsidRDefault="00EC343A" w:rsidP="0055279C">
            <w:pPr>
              <w:pStyle w:val="List-BulletLvl2"/>
              <w:rPr>
                <w:color w:val="36424A" w:themeColor="text2"/>
              </w:rPr>
            </w:pPr>
            <w:r>
              <w:rPr>
                <w:color w:val="36424A" w:themeColor="text2"/>
              </w:rPr>
              <w:t>s</w:t>
            </w:r>
            <w:r w:rsidR="001E1A0D">
              <w:rPr>
                <w:color w:val="36424A" w:themeColor="text2"/>
              </w:rPr>
              <w:t xml:space="preserve">cholarships for Level 2-3 qualifications, to target priority populations who may </w:t>
            </w:r>
            <w:r w:rsidR="00862D83">
              <w:rPr>
                <w:color w:val="36424A" w:themeColor="text2"/>
              </w:rPr>
              <w:t>not reach higher levels otherwise</w:t>
            </w:r>
          </w:p>
          <w:p w14:paraId="65EE54F7" w14:textId="6DB2AEA5" w:rsidR="006E53FA" w:rsidRPr="0021247E" w:rsidRDefault="00EC343A" w:rsidP="0055279C">
            <w:pPr>
              <w:pStyle w:val="List-BulletLvl2"/>
              <w:rPr>
                <w:color w:val="36424A" w:themeColor="text2"/>
              </w:rPr>
            </w:pPr>
            <w:r>
              <w:rPr>
                <w:color w:val="36424A" w:themeColor="text2"/>
              </w:rPr>
              <w:t>a</w:t>
            </w:r>
            <w:r w:rsidR="006E53FA">
              <w:rPr>
                <w:color w:val="36424A" w:themeColor="text2"/>
              </w:rPr>
              <w:t xml:space="preserve">dditional funding for apprenticeships rather than </w:t>
            </w:r>
            <w:r w:rsidR="00DE0C69">
              <w:rPr>
                <w:color w:val="36424A" w:themeColor="text2"/>
              </w:rPr>
              <w:t xml:space="preserve">purely academic </w:t>
            </w:r>
            <w:r w:rsidR="008C207D">
              <w:rPr>
                <w:color w:val="36424A" w:themeColor="text2"/>
              </w:rPr>
              <w:t>courses</w:t>
            </w:r>
            <w:r>
              <w:rPr>
                <w:color w:val="36424A" w:themeColor="text2"/>
              </w:rPr>
              <w:t>.</w:t>
            </w:r>
          </w:p>
          <w:p w14:paraId="1AAE281A" w14:textId="07FE21C3" w:rsidR="0014162B" w:rsidRDefault="0014162B" w:rsidP="000C0403">
            <w:pPr>
              <w:pStyle w:val="List-BulletLvl1"/>
              <w:rPr>
                <w:color w:val="36424A" w:themeColor="accent5"/>
              </w:rPr>
            </w:pPr>
            <w:r>
              <w:rPr>
                <w:color w:val="36424A" w:themeColor="accent5"/>
              </w:rPr>
              <w:lastRenderedPageBreak/>
              <w:t xml:space="preserve">Stakeholders </w:t>
            </w:r>
            <w:r w:rsidR="002A48BB">
              <w:rPr>
                <w:color w:val="36424A" w:themeColor="accent5"/>
              </w:rPr>
              <w:t xml:space="preserve">questioned what the de-stigmatisation initiative would look like in a public health </w:t>
            </w:r>
            <w:r w:rsidR="005F539D">
              <w:rPr>
                <w:color w:val="36424A" w:themeColor="accent5"/>
              </w:rPr>
              <w:t>space and</w:t>
            </w:r>
            <w:r w:rsidR="002A48BB">
              <w:rPr>
                <w:color w:val="36424A" w:themeColor="accent5"/>
              </w:rPr>
              <w:t xml:space="preserve"> questioned whether it would be extended to other priority populations. </w:t>
            </w:r>
          </w:p>
          <w:p w14:paraId="01D5CC7E" w14:textId="6F9BAC42" w:rsidR="005C4A70" w:rsidRPr="0074366B" w:rsidRDefault="0078450E" w:rsidP="000C0403">
            <w:pPr>
              <w:pStyle w:val="List-BulletLvl1"/>
              <w:rPr>
                <w:color w:val="36424A" w:themeColor="accent5"/>
              </w:rPr>
            </w:pPr>
            <w:r>
              <w:rPr>
                <w:color w:val="36424A" w:themeColor="accent5"/>
              </w:rPr>
              <w:t>Stakeholders discussed the need</w:t>
            </w:r>
            <w:r w:rsidR="005C4A70" w:rsidRPr="0074366B">
              <w:rPr>
                <w:color w:val="36424A" w:themeColor="accent5"/>
              </w:rPr>
              <w:t xml:space="preserve"> for culturally specific de-stigmatisation initiatives, particularly at the Asian hui. </w:t>
            </w:r>
            <w:r w:rsidR="002C3F56">
              <w:rPr>
                <w:color w:val="36424A" w:themeColor="accent5"/>
              </w:rPr>
              <w:t xml:space="preserve">These stakeholders were concerned that a ‘one-size-fits-all’ campaign would not meet the needs of priority populations. </w:t>
            </w:r>
            <w:r w:rsidR="002C3F56" w:rsidRPr="0074366B" w:rsidDel="002C3F56">
              <w:rPr>
                <w:color w:val="36424A" w:themeColor="accent5"/>
              </w:rPr>
              <w:t xml:space="preserve"> </w:t>
            </w:r>
          </w:p>
          <w:p w14:paraId="0212A377" w14:textId="2543BC41" w:rsidR="005C4A70" w:rsidRPr="008550B6" w:rsidRDefault="00B80016" w:rsidP="008550B6">
            <w:pPr>
              <w:pStyle w:val="List-BulletLvl1"/>
              <w:rPr>
                <w:color w:val="36424A" w:themeColor="accent5"/>
              </w:rPr>
            </w:pPr>
            <w:r>
              <w:rPr>
                <w:color w:val="36424A" w:themeColor="accent5"/>
              </w:rPr>
              <w:t>Stakeholders discussed</w:t>
            </w:r>
            <w:r w:rsidR="005C4A70" w:rsidRPr="0074366B">
              <w:rPr>
                <w:color w:val="36424A" w:themeColor="accent5"/>
              </w:rPr>
              <w:t xml:space="preserve"> whether Level 7 was the appropriate level for a </w:t>
            </w:r>
            <w:r w:rsidR="007354E2">
              <w:rPr>
                <w:color w:val="36424A" w:themeColor="accent5"/>
              </w:rPr>
              <w:t>g</w:t>
            </w:r>
            <w:r w:rsidR="005C4A70" w:rsidRPr="0074366B">
              <w:rPr>
                <w:color w:val="36424A" w:themeColor="accent5"/>
              </w:rPr>
              <w:t>ambling harm qualification across most of the hui, with mixed views across the board.</w:t>
            </w:r>
            <w:r w:rsidR="00E26BB5">
              <w:rPr>
                <w:color w:val="36424A" w:themeColor="accent5"/>
              </w:rPr>
              <w:t xml:space="preserve"> S</w:t>
            </w:r>
            <w:r w:rsidR="00B355E4">
              <w:rPr>
                <w:color w:val="36424A" w:themeColor="accent5"/>
              </w:rPr>
              <w:t>ome s</w:t>
            </w:r>
            <w:r w:rsidR="00E26BB5">
              <w:rPr>
                <w:color w:val="36424A" w:themeColor="accent5"/>
              </w:rPr>
              <w:t xml:space="preserve">takeholders felt that while Level 7 was aspirational, it may be </w:t>
            </w:r>
            <w:r w:rsidR="003E4D17" w:rsidRPr="0017641D">
              <w:rPr>
                <w:color w:val="36424A" w:themeColor="accent5"/>
              </w:rPr>
              <w:t xml:space="preserve">out of reach for many </w:t>
            </w:r>
            <w:r w:rsidR="002A2B27" w:rsidRPr="0017641D">
              <w:rPr>
                <w:color w:val="36424A" w:themeColor="accent5"/>
              </w:rPr>
              <w:t>people and</w:t>
            </w:r>
            <w:r w:rsidR="003E4D17" w:rsidRPr="0017641D">
              <w:rPr>
                <w:color w:val="36424A" w:themeColor="accent5"/>
              </w:rPr>
              <w:t xml:space="preserve"> suggested introducing Level 3 or 4 training. </w:t>
            </w:r>
            <w:r w:rsidR="000D1CAF" w:rsidRPr="0017641D">
              <w:rPr>
                <w:color w:val="36424A" w:themeColor="accent5"/>
              </w:rPr>
              <w:t xml:space="preserve">Level 7 was seen as a barrier in particular for people with lived experience who may not have been brought up in the mainstream education system. </w:t>
            </w:r>
            <w:r w:rsidR="005C4A70" w:rsidRPr="0017641D">
              <w:rPr>
                <w:color w:val="36424A" w:themeColor="accent5"/>
              </w:rPr>
              <w:t xml:space="preserve"> </w:t>
            </w:r>
            <w:r w:rsidR="00E26BB5">
              <w:rPr>
                <w:color w:val="36424A" w:themeColor="accent5"/>
              </w:rPr>
              <w:t xml:space="preserve">Stakeholders at the </w:t>
            </w:r>
            <w:r w:rsidR="000D7DA5">
              <w:rPr>
                <w:color w:val="36424A" w:themeColor="accent5"/>
              </w:rPr>
              <w:t>Lived Experience</w:t>
            </w:r>
            <w:r w:rsidR="00E26BB5">
              <w:rPr>
                <w:color w:val="36424A" w:themeColor="accent5"/>
              </w:rPr>
              <w:t xml:space="preserve"> hui </w:t>
            </w:r>
            <w:r w:rsidR="000D7DA5">
              <w:rPr>
                <w:color w:val="36424A" w:themeColor="accent5"/>
              </w:rPr>
              <w:t xml:space="preserve">also </w:t>
            </w:r>
            <w:r w:rsidR="00E26BB5">
              <w:rPr>
                <w:color w:val="36424A" w:themeColor="accent5"/>
              </w:rPr>
              <w:t xml:space="preserve">suggested </w:t>
            </w:r>
            <w:r w:rsidR="000D7DA5">
              <w:rPr>
                <w:color w:val="36424A" w:themeColor="accent5"/>
              </w:rPr>
              <w:t>bridging courses</w:t>
            </w:r>
            <w:r w:rsidR="00B355E4">
              <w:rPr>
                <w:color w:val="36424A" w:themeColor="accent5"/>
              </w:rPr>
              <w:t>,</w:t>
            </w:r>
            <w:r w:rsidR="000D7DA5">
              <w:rPr>
                <w:color w:val="36424A" w:themeColor="accent5"/>
              </w:rPr>
              <w:t xml:space="preserve"> </w:t>
            </w:r>
            <w:r w:rsidR="005F0350">
              <w:rPr>
                <w:color w:val="36424A" w:themeColor="accent5"/>
              </w:rPr>
              <w:t>particularly for Māori trying to enter the</w:t>
            </w:r>
            <w:r w:rsidR="00B355E4">
              <w:rPr>
                <w:color w:val="36424A" w:themeColor="accent5"/>
              </w:rPr>
              <w:t xml:space="preserve"> PMGH workforce</w:t>
            </w:r>
            <w:r w:rsidR="005F0350">
              <w:rPr>
                <w:color w:val="36424A" w:themeColor="accent5"/>
              </w:rPr>
              <w:t>.</w:t>
            </w:r>
          </w:p>
        </w:tc>
      </w:tr>
    </w:tbl>
    <w:p w14:paraId="375D56D5" w14:textId="274BA677" w:rsidR="005C4A70" w:rsidRDefault="005C4A70" w:rsidP="005C4A70">
      <w:pPr>
        <w:pStyle w:val="NumberedHeading2"/>
      </w:pPr>
      <w:bookmarkStart w:id="107" w:name="_Toc529788363"/>
      <w:bookmarkStart w:id="108" w:name="_Toc88637601"/>
      <w:r w:rsidRPr="009E7223">
        <w:lastRenderedPageBreak/>
        <w:t xml:space="preserve">The degree of support for </w:t>
      </w:r>
      <w:r>
        <w:t>r</w:t>
      </w:r>
      <w:r w:rsidRPr="009E7223">
        <w:t xml:space="preserve">esearch and </w:t>
      </w:r>
      <w:r>
        <w:t>e</w:t>
      </w:r>
      <w:r w:rsidRPr="009E7223">
        <w:t>valuation draft priorities</w:t>
      </w:r>
      <w:bookmarkEnd w:id="107"/>
      <w:bookmarkEnd w:id="108"/>
    </w:p>
    <w:p w14:paraId="2A7A0BB9" w14:textId="5B0533B5" w:rsidR="005C4A70" w:rsidRDefault="005C4A70" w:rsidP="005C4A70">
      <w:pPr>
        <w:pStyle w:val="BodyText"/>
      </w:pPr>
      <w:r>
        <w:t>Most (18 out of 22) submitters who commented on the draft research and evaluation priorities supported them to some degree.</w:t>
      </w:r>
      <w:r w:rsidR="00B4145D">
        <w:rPr>
          <w:rStyle w:val="FootnoteReference"/>
        </w:rPr>
        <w:footnoteReference w:id="599"/>
      </w:r>
      <w:r w:rsidR="00B4145D">
        <w:t xml:space="preserve"> </w:t>
      </w:r>
      <w:r>
        <w:t xml:space="preserve"> Of those, 10 provided a simple “Yes” answer to Question 8. A further </w:t>
      </w:r>
      <w:r w:rsidR="00FB5E2C">
        <w:t>eight</w:t>
      </w:r>
      <w:r>
        <w:t xml:space="preserve"> expressed qualified support for the proposed research and evaluation priorities (i.e.</w:t>
      </w:r>
      <w:r w:rsidR="00FB5E2C">
        <w:t>,</w:t>
      </w:r>
      <w:r>
        <w:t xml:space="preserve"> they supported them, but also commented on how the</w:t>
      </w:r>
      <w:r w:rsidR="00FB5E2C">
        <w:t>se priorities</w:t>
      </w:r>
      <w:r>
        <w:t xml:space="preserve"> could be enhanced).</w:t>
      </w:r>
      <w:r w:rsidR="00575EDA">
        <w:t xml:space="preserve"> </w:t>
      </w:r>
      <w:r>
        <w:t>Comments included suggestions for additional research priorities.</w:t>
      </w:r>
    </w:p>
    <w:p w14:paraId="27208EC0" w14:textId="77777777" w:rsidR="005C4A70" w:rsidRDefault="005C4A70" w:rsidP="005C4A70">
      <w:pPr>
        <w:pStyle w:val="NumberedHeading3"/>
        <w:autoSpaceDE w:val="0"/>
        <w:autoSpaceDN w:val="0"/>
        <w:adjustRightInd w:val="0"/>
        <w:spacing w:line="269" w:lineRule="auto"/>
        <w:jc w:val="both"/>
      </w:pPr>
      <w:bookmarkStart w:id="109" w:name="_Toc88637602"/>
      <w:r>
        <w:t>Most submitters who commented on the research and evaluation draft priorities supported them to some degree</w:t>
      </w:r>
      <w:bookmarkEnd w:id="109"/>
    </w:p>
    <w:p w14:paraId="5913E11B" w14:textId="77777777" w:rsidR="005C4A70" w:rsidRPr="004256C0" w:rsidRDefault="005C4A70" w:rsidP="005C4A70">
      <w:pPr>
        <w:pStyle w:val="CV-Heading2"/>
        <w:rPr>
          <w:i/>
          <w:iCs/>
        </w:rPr>
      </w:pPr>
      <w:r>
        <w:rPr>
          <w:i/>
          <w:iCs/>
        </w:rPr>
        <w:t>Some submitters expressed q</w:t>
      </w:r>
      <w:r w:rsidRPr="004256C0">
        <w:rPr>
          <w:i/>
          <w:iCs/>
        </w:rPr>
        <w:t>ualified support</w:t>
      </w:r>
      <w:r>
        <w:rPr>
          <w:i/>
          <w:iCs/>
        </w:rPr>
        <w:t xml:space="preserve"> for the research and evaluation priorities</w:t>
      </w:r>
    </w:p>
    <w:p w14:paraId="70895A42" w14:textId="3D901CC8" w:rsidR="005C4A70" w:rsidRDefault="005C4A70" w:rsidP="005C4A70">
      <w:pPr>
        <w:pStyle w:val="BodyText"/>
      </w:pPr>
      <w:r>
        <w:t xml:space="preserve">Eight submitters supported the research priorities </w:t>
      </w:r>
      <w:r w:rsidR="00E84CFB">
        <w:t xml:space="preserve">and </w:t>
      </w:r>
      <w:r>
        <w:t>suggested additional research priority areas for the Ministry to consider.</w:t>
      </w:r>
      <w:r>
        <w:rPr>
          <w:rStyle w:val="FootnoteReference"/>
        </w:rPr>
        <w:footnoteReference w:id="600"/>
      </w:r>
      <w:r>
        <w:t xml:space="preserve"> Additional research priorities are summarised in Section 3.4.2 (overleaf). Three service providers had general comments about research and evaluation related issues</w:t>
      </w:r>
      <w:r w:rsidR="00694512">
        <w:t>, raising concerns about:</w:t>
      </w:r>
    </w:p>
    <w:p w14:paraId="49E9AD35" w14:textId="73D73DDE" w:rsidR="00694512" w:rsidRDefault="00694512" w:rsidP="005C4A70">
      <w:pPr>
        <w:pStyle w:val="List-BulletLvl1"/>
      </w:pPr>
      <w:r>
        <w:t xml:space="preserve">access to content: people </w:t>
      </w:r>
      <w:r w:rsidR="005C4A70">
        <w:t>must find relevant and recent research</w:t>
      </w:r>
      <w:r>
        <w:t xml:space="preserve"> and it can be difficult to do this</w:t>
      </w:r>
      <w:r>
        <w:rPr>
          <w:rStyle w:val="FootnoteReference"/>
        </w:rPr>
        <w:footnoteReference w:id="601"/>
      </w:r>
    </w:p>
    <w:p w14:paraId="257EAB71" w14:textId="236D55F3" w:rsidR="00A4588B" w:rsidRDefault="00694512" w:rsidP="005C4A70">
      <w:pPr>
        <w:pStyle w:val="List-BulletLvl1"/>
      </w:pPr>
      <w:r>
        <w:t xml:space="preserve">a need for </w:t>
      </w:r>
      <w:r w:rsidR="005C4A70">
        <w:t>local research</w:t>
      </w:r>
      <w:r w:rsidR="00444581">
        <w:t xml:space="preserve"> and access to research funding</w:t>
      </w:r>
      <w:r>
        <w:t xml:space="preserve">: </w:t>
      </w:r>
    </w:p>
    <w:p w14:paraId="60587A3B" w14:textId="34871F20" w:rsidR="005C4A70" w:rsidRDefault="00694512" w:rsidP="0021247E">
      <w:pPr>
        <w:pStyle w:val="List-BulletLvl2"/>
      </w:pPr>
      <w:r>
        <w:t>topics include</w:t>
      </w:r>
      <w:r w:rsidR="005C4A70">
        <w:t xml:space="preserve"> online gambling, the efficacy of public health interventions for gambling, and socio-economic cost/benefits of gambling to communities to counter industry narratives</w:t>
      </w:r>
      <w:r w:rsidR="005C4A70">
        <w:rPr>
          <w:rStyle w:val="FootnoteReference"/>
        </w:rPr>
        <w:footnoteReference w:id="602"/>
      </w:r>
      <w:r w:rsidR="005C4A70">
        <w:t xml:space="preserve"> </w:t>
      </w:r>
    </w:p>
    <w:p w14:paraId="36C0A823" w14:textId="7D79CEE9" w:rsidR="00A4588B" w:rsidRPr="00FE5A0D" w:rsidRDefault="00A4588B" w:rsidP="0055279C">
      <w:pPr>
        <w:pStyle w:val="List-BulletLvl2"/>
        <w:rPr>
          <w:lang w:val="mi-NZ"/>
        </w:rPr>
      </w:pPr>
      <w:r w:rsidRPr="007E048B">
        <w:t>research deferred from the past levy period must be prioritised, particularly researc</w:t>
      </w:r>
      <w:r w:rsidRPr="00BC1E93">
        <w:t>h into “</w:t>
      </w:r>
      <w:r w:rsidRPr="00FE5A0D">
        <w:t>reducing inequities in gambling harm, including how to address barriers to Māori, Pacific people and Asian people using gambling-</w:t>
      </w:r>
      <w:r w:rsidRPr="00FE5A0D">
        <w:lastRenderedPageBreak/>
        <w:t>harm minimisation services and the evidence for effective gambling harm minimisation service design for these populations”</w:t>
      </w:r>
      <w:r w:rsidRPr="00FE5A0D">
        <w:rPr>
          <w:rStyle w:val="FootnoteReference"/>
        </w:rPr>
        <w:footnoteReference w:id="603"/>
      </w:r>
    </w:p>
    <w:p w14:paraId="20AC95A6" w14:textId="081FB0F0" w:rsidR="00BE424E" w:rsidRPr="00862637" w:rsidRDefault="00BE424E" w:rsidP="0055279C">
      <w:pPr>
        <w:pStyle w:val="List-BulletLvl2"/>
        <w:rPr>
          <w:lang w:val="mi-NZ"/>
        </w:rPr>
      </w:pPr>
      <w:r>
        <w:t>access to research funding: the</w:t>
      </w:r>
      <w:r w:rsidRPr="000A31D4">
        <w:t xml:space="preserve"> </w:t>
      </w:r>
      <w:r>
        <w:t>annual researcher-initiated research round appears to have been removed and topical research priorities change quickly: by only updating these priorities every three years without annual rounds there is risk of missing key research opportunities</w:t>
      </w:r>
      <w:r w:rsidR="00FE5A0D">
        <w:t>.</w:t>
      </w:r>
      <w:r>
        <w:rPr>
          <w:rStyle w:val="FootnoteReference"/>
        </w:rPr>
        <w:footnoteReference w:id="604"/>
      </w:r>
    </w:p>
    <w:p w14:paraId="6B8212A5" w14:textId="77777777" w:rsidR="005C4A70" w:rsidRPr="00A71C5F" w:rsidRDefault="005C4A70" w:rsidP="005C4A70">
      <w:pPr>
        <w:pStyle w:val="CV-Heading2"/>
        <w:rPr>
          <w:i/>
          <w:iCs/>
        </w:rPr>
      </w:pPr>
      <w:r>
        <w:rPr>
          <w:i/>
          <w:iCs/>
        </w:rPr>
        <w:t>Service providers emphasised that research must be c</w:t>
      </w:r>
      <w:r w:rsidRPr="00A71C5F">
        <w:rPr>
          <w:i/>
          <w:iCs/>
        </w:rPr>
        <w:t xml:space="preserve">ulturally safe and inclusive </w:t>
      </w:r>
    </w:p>
    <w:p w14:paraId="78124005" w14:textId="77777777" w:rsidR="005C4A70" w:rsidRDefault="005C4A70" w:rsidP="005C4A70">
      <w:pPr>
        <w:pStyle w:val="BodyText"/>
      </w:pPr>
      <w:r>
        <w:t>Five</w:t>
      </w:r>
      <w:r w:rsidRPr="00FA4322">
        <w:t xml:space="preserve"> service provider</w:t>
      </w:r>
      <w:r>
        <w:t>s</w:t>
      </w:r>
      <w:r w:rsidRPr="00FA4322">
        <w:t xml:space="preserve"> encouraged the Ministry to ensure all research with priority populations includes these groups not only as participants, but as leaders and co-leaders of research to allow for the voices of these populations to be captured and inform the development of appropriate supports.</w:t>
      </w:r>
      <w:r>
        <w:rPr>
          <w:rStyle w:val="FootnoteReference"/>
        </w:rPr>
        <w:footnoteReference w:id="605"/>
      </w:r>
      <w:r>
        <w:t xml:space="preserve"> Three providers specified that research about Pacific people should be undertaken with and led by Pacific people.</w:t>
      </w:r>
      <w:r>
        <w:rPr>
          <w:rStyle w:val="FootnoteReference"/>
        </w:rPr>
        <w:footnoteReference w:id="606"/>
      </w:r>
      <w:r>
        <w:t xml:space="preserve"> Other suggestions to improve cultural safety in research were:</w:t>
      </w:r>
    </w:p>
    <w:p w14:paraId="6F2EF839" w14:textId="21647E3F" w:rsidR="005C4A70" w:rsidRDefault="005C4A70" w:rsidP="005C4A70">
      <w:pPr>
        <w:pStyle w:val="List-BulletLvl1"/>
      </w:pPr>
      <w:r>
        <w:t>encouraging the use of qualitative research methods to aid in cultural responsiveness (two health and social servic</w:t>
      </w:r>
      <w:r w:rsidR="00675160">
        <w:t>es submitter</w:t>
      </w:r>
      <w:r w:rsidR="00B4145D">
        <w:t>s</w:t>
      </w:r>
      <w:r>
        <w:t>)</w:t>
      </w:r>
      <w:r>
        <w:rPr>
          <w:rStyle w:val="FootnoteReference"/>
        </w:rPr>
        <w:footnoteReference w:id="607"/>
      </w:r>
    </w:p>
    <w:p w14:paraId="77F59F03" w14:textId="5CB96A2B" w:rsidR="005C4A70" w:rsidRDefault="005C4A70" w:rsidP="005C4A70">
      <w:pPr>
        <w:pStyle w:val="List-BulletLvl1"/>
      </w:pPr>
      <w:r>
        <w:t>providing support for community led projects, with funding</w:t>
      </w:r>
      <w:r w:rsidR="00723D36">
        <w:t xml:space="preserve"> earmarked for </w:t>
      </w:r>
      <w:r w:rsidRPr="00093FBB">
        <w:t xml:space="preserve">whānau, hapū, iwi and hāpori </w:t>
      </w:r>
      <w:r>
        <w:t>Māori and a</w:t>
      </w:r>
      <w:r w:rsidRPr="00093FBB">
        <w:t xml:space="preserve"> fostering of acceptance of whānau, hapū, iwi and hāpori </w:t>
      </w:r>
      <w:r>
        <w:t>Māori-</w:t>
      </w:r>
      <w:r w:rsidRPr="00093FBB">
        <w:t>centric knowledge, evidence and research</w:t>
      </w:r>
      <w:r>
        <w:t xml:space="preserve"> (one health and social services submitter)</w:t>
      </w:r>
      <w:r>
        <w:rPr>
          <w:rStyle w:val="FootnoteReference"/>
        </w:rPr>
        <w:footnoteReference w:id="608"/>
      </w:r>
    </w:p>
    <w:p w14:paraId="24E21D1E" w14:textId="57A48D7D" w:rsidR="005C4A70" w:rsidRDefault="005C4A70" w:rsidP="005C4A70">
      <w:pPr>
        <w:pStyle w:val="List-BulletLvl1"/>
      </w:pPr>
      <w:r>
        <w:t>targeting research in areas where there were high rates of gambling to ensure data reflects the wider persistent impacts and disadvantages (one health and social services submitter)</w:t>
      </w:r>
      <w:r>
        <w:rPr>
          <w:rStyle w:val="FootnoteReference"/>
        </w:rPr>
        <w:footnoteReference w:id="609"/>
      </w:r>
      <w:r>
        <w:t xml:space="preserve"> </w:t>
      </w:r>
    </w:p>
    <w:p w14:paraId="1183D873" w14:textId="5ED4E613" w:rsidR="005C4A70" w:rsidRPr="00622BC8" w:rsidRDefault="005C4A70" w:rsidP="005C4A70">
      <w:pPr>
        <w:pStyle w:val="List-BulletLvl1"/>
      </w:pPr>
      <w:r>
        <w:t xml:space="preserve">assessing barriers to equitable service access and outcomes for </w:t>
      </w:r>
      <w:r w:rsidR="00033033">
        <w:t>specific population (</w:t>
      </w:r>
      <w:r>
        <w:t>e.g., those in the Asian community who are young and new migrants, and broader subgroups that intersect with the disability community (one service provider).</w:t>
      </w:r>
      <w:r>
        <w:rPr>
          <w:rStyle w:val="FootnoteReference"/>
        </w:rPr>
        <w:footnoteReference w:id="610"/>
      </w:r>
    </w:p>
    <w:p w14:paraId="0A13715F" w14:textId="77777777" w:rsidR="005C4A70" w:rsidRDefault="005C4A70" w:rsidP="005C4A70">
      <w:pPr>
        <w:pStyle w:val="NumberedHeading3"/>
        <w:autoSpaceDE w:val="0"/>
        <w:autoSpaceDN w:val="0"/>
        <w:adjustRightInd w:val="0"/>
        <w:spacing w:line="269" w:lineRule="auto"/>
        <w:jc w:val="both"/>
      </w:pPr>
      <w:bookmarkStart w:id="110" w:name="_Toc88637603"/>
      <w:r>
        <w:t>Submitters from most sectors suggested additional research priorities</w:t>
      </w:r>
      <w:bookmarkEnd w:id="110"/>
      <w:r>
        <w:t xml:space="preserve">  </w:t>
      </w:r>
    </w:p>
    <w:p w14:paraId="26F108D4" w14:textId="77777777" w:rsidR="005C4A70" w:rsidRDefault="005C4A70" w:rsidP="005C4A70">
      <w:pPr>
        <w:pStyle w:val="BodyText"/>
      </w:pPr>
      <w:r>
        <w:t>Eighteen submitters including nine service providers, five health and social services submitters, two NCGM submitters, one government submitter and one individual submitter suggested other or additional research priorities to those proposed.</w:t>
      </w:r>
      <w:r>
        <w:rPr>
          <w:rStyle w:val="FootnoteReference"/>
        </w:rPr>
        <w:footnoteReference w:id="611"/>
      </w:r>
    </w:p>
    <w:p w14:paraId="07EC7327" w14:textId="288B55CC" w:rsidR="005C4A70" w:rsidRPr="000D54D2" w:rsidRDefault="005C4A70" w:rsidP="005C4A70">
      <w:pPr>
        <w:pStyle w:val="CV-Heading2"/>
        <w:rPr>
          <w:i/>
          <w:iCs/>
        </w:rPr>
      </w:pPr>
      <w:r>
        <w:rPr>
          <w:i/>
          <w:iCs/>
        </w:rPr>
        <w:t>Submitters wanted more r</w:t>
      </w:r>
      <w:r w:rsidRPr="000D54D2">
        <w:rPr>
          <w:i/>
          <w:iCs/>
        </w:rPr>
        <w:t xml:space="preserve">esearch into </w:t>
      </w:r>
      <w:r>
        <w:rPr>
          <w:i/>
          <w:iCs/>
        </w:rPr>
        <w:t>NCGMs and</w:t>
      </w:r>
      <w:r w:rsidRPr="000D54D2">
        <w:rPr>
          <w:i/>
          <w:iCs/>
        </w:rPr>
        <w:t xml:space="preserve"> MVEs</w:t>
      </w:r>
    </w:p>
    <w:p w14:paraId="150A533F" w14:textId="77777777" w:rsidR="005C4A70" w:rsidRDefault="005C4A70" w:rsidP="005C4A70">
      <w:pPr>
        <w:pStyle w:val="BodyText"/>
      </w:pPr>
      <w:r>
        <w:t>Submitters wanted to see more research into NCGMs and MVEs, including research into:</w:t>
      </w:r>
    </w:p>
    <w:p w14:paraId="48285494" w14:textId="0467465C" w:rsidR="005C4A70" w:rsidRDefault="005C4A70" w:rsidP="005C4A70">
      <w:pPr>
        <w:pStyle w:val="List-BulletLvl1"/>
      </w:pPr>
      <w:r>
        <w:lastRenderedPageBreak/>
        <w:t>how modifications to NCGMs can reduce the risk of problem gambling (e.g.. stop the machines working after a certain amount of money has been lost on them) (one health and social services submitter)</w:t>
      </w:r>
      <w:r>
        <w:rPr>
          <w:rStyle w:val="FootnoteReference"/>
        </w:rPr>
        <w:footnoteReference w:id="612"/>
      </w:r>
    </w:p>
    <w:p w14:paraId="4E41908D" w14:textId="3E18A2C6" w:rsidR="005C4A70" w:rsidRDefault="005C4A70" w:rsidP="005C4A70">
      <w:pPr>
        <w:pStyle w:val="List-BulletLvl1"/>
      </w:pPr>
      <w:r>
        <w:t>NCGM</w:t>
      </w:r>
      <w:r w:rsidR="00DB7351">
        <w:t xml:space="preserve"> prevalence and use</w:t>
      </w:r>
      <w:r>
        <w:t xml:space="preserve"> at a grassroots level including how to prevent harm (one individual)</w:t>
      </w:r>
      <w:r>
        <w:rPr>
          <w:rStyle w:val="FootnoteReference"/>
        </w:rPr>
        <w:footnoteReference w:id="613"/>
      </w:r>
    </w:p>
    <w:p w14:paraId="44534272" w14:textId="27D29B41" w:rsidR="005C4A70" w:rsidRDefault="005C4A70" w:rsidP="005C4A70">
      <w:pPr>
        <w:pStyle w:val="List-BulletLvl1"/>
      </w:pPr>
      <w:r>
        <w:t xml:space="preserve">the efficacy of MVEs as a harm reduction tool – this submitter stated that they would be willing to facilitate this research on the basis that they consider MVEs to be the most effective treatment intervention for NCGM addicted players, but some providers do not provide this service, despite some tangata </w:t>
      </w:r>
      <w:r w:rsidR="004F15F2">
        <w:t>whaiora</w:t>
      </w:r>
      <w:r>
        <w:t xml:space="preserve"> just wanting MVEs and no further counselling (</w:t>
      </w:r>
      <w:r w:rsidR="00D25480">
        <w:t xml:space="preserve">one </w:t>
      </w:r>
      <w:r>
        <w:t>service provider)</w:t>
      </w:r>
      <w:r>
        <w:rPr>
          <w:rStyle w:val="FootnoteReference"/>
        </w:rPr>
        <w:footnoteReference w:id="614"/>
      </w:r>
    </w:p>
    <w:p w14:paraId="4928E55B" w14:textId="139FAB5B" w:rsidR="005C4A70" w:rsidRDefault="005C4A70" w:rsidP="005C4A70">
      <w:pPr>
        <w:pStyle w:val="List-BulletLvl1"/>
      </w:pPr>
      <w:r>
        <w:t xml:space="preserve">long-term monitoring and reporting on NCGM societies and the </w:t>
      </w:r>
      <w:r w:rsidR="00E04149">
        <w:t>actions and</w:t>
      </w:r>
      <w:r w:rsidR="00B57834">
        <w:t xml:space="preserve"> current performance </w:t>
      </w:r>
      <w:r>
        <w:t>of these societies</w:t>
      </w:r>
      <w:r w:rsidDel="00544CB7">
        <w:t xml:space="preserve"> </w:t>
      </w:r>
      <w:r>
        <w:t>(one NCGM submitter)</w:t>
      </w:r>
      <w:r>
        <w:rPr>
          <w:rStyle w:val="FootnoteReference"/>
        </w:rPr>
        <w:footnoteReference w:id="615"/>
      </w:r>
      <w:r>
        <w:t xml:space="preserve"> </w:t>
      </w:r>
    </w:p>
    <w:p w14:paraId="40F3BB03" w14:textId="77777777" w:rsidR="005C4A70" w:rsidRPr="0027467A" w:rsidRDefault="005C4A70" w:rsidP="005C4A70">
      <w:pPr>
        <w:pStyle w:val="List-BulletLvl1"/>
      </w:pPr>
      <w:r>
        <w:t>research into the concentration of gambling machines and products in socio-economically deprived communities (one health and social services submitter)</w:t>
      </w:r>
      <w:r>
        <w:rPr>
          <w:rStyle w:val="FootnoteReference"/>
        </w:rPr>
        <w:footnoteReference w:id="616"/>
      </w:r>
    </w:p>
    <w:p w14:paraId="615A2B98" w14:textId="578BEE62" w:rsidR="005C4A70" w:rsidRDefault="005C4A70" w:rsidP="005C4A70">
      <w:pPr>
        <w:pStyle w:val="CV-Heading2"/>
        <w:rPr>
          <w:i/>
          <w:iCs/>
        </w:rPr>
      </w:pPr>
      <w:r>
        <w:rPr>
          <w:i/>
          <w:iCs/>
        </w:rPr>
        <w:t>Submitters wanted more research into o</w:t>
      </w:r>
      <w:r w:rsidRPr="00067775">
        <w:rPr>
          <w:i/>
          <w:iCs/>
        </w:rPr>
        <w:t xml:space="preserve">nline gambling and online interventions </w:t>
      </w:r>
    </w:p>
    <w:p w14:paraId="5B474753" w14:textId="77777777" w:rsidR="005C4A70" w:rsidRPr="00067775" w:rsidRDefault="005C4A70" w:rsidP="005C4A70">
      <w:pPr>
        <w:pStyle w:val="BodyText"/>
      </w:pPr>
      <w:r>
        <w:t>There was cross-sector interest in more online gambling and interventions research, including:</w:t>
      </w:r>
    </w:p>
    <w:p w14:paraId="58882493" w14:textId="297B330B" w:rsidR="005C4A70" w:rsidRDefault="005C4A70" w:rsidP="005C4A70">
      <w:pPr>
        <w:pStyle w:val="List-BulletLvl1"/>
      </w:pPr>
      <w:r>
        <w:t>artificial intelligence or algorithms used by the industry to manipulate user behaviour –</w:t>
      </w:r>
      <w:r w:rsidDel="009C63F7">
        <w:t xml:space="preserve"> </w:t>
      </w:r>
      <w:r>
        <w:t>this is a personalised, data-driven strategy to profile users and maximise profit that is inherently harmful to problem gamblers (one service provider)</w:t>
      </w:r>
      <w:r>
        <w:rPr>
          <w:rStyle w:val="FootnoteReference"/>
        </w:rPr>
        <w:footnoteReference w:id="617"/>
      </w:r>
    </w:p>
    <w:p w14:paraId="3D29FF7B" w14:textId="77777777" w:rsidR="005D73CF" w:rsidRDefault="005D73CF" w:rsidP="005C4A70">
      <w:pPr>
        <w:pStyle w:val="List-BulletLvl1"/>
      </w:pPr>
      <w:r>
        <w:t>online gambling:</w:t>
      </w:r>
    </w:p>
    <w:p w14:paraId="79F00B0B" w14:textId="24ADEAF7" w:rsidR="005C4A70" w:rsidRDefault="005C4A70" w:rsidP="0021247E">
      <w:pPr>
        <w:pStyle w:val="List-BulletLvl2"/>
      </w:pPr>
      <w:r>
        <w:t>how to best regulate online gambling (e.g., website bans, regulation of payment methods, and restrictions on ‘paysave cards’) (one service provider)</w:t>
      </w:r>
      <w:r>
        <w:rPr>
          <w:rStyle w:val="FootnoteReference"/>
        </w:rPr>
        <w:footnoteReference w:id="618"/>
      </w:r>
      <w:r>
        <w:t xml:space="preserve"> </w:t>
      </w:r>
    </w:p>
    <w:p w14:paraId="437F0765" w14:textId="77777777" w:rsidR="005D73CF" w:rsidRDefault="005D73CF" w:rsidP="005D73CF">
      <w:pPr>
        <w:pStyle w:val="List-BulletLvl2"/>
      </w:pPr>
      <w:r>
        <w:t>identifying and reducing harms of online gambling-like activities that young people participate in, specifically recognising gaming as a potential problematic gambling behaviour (one government submitter)</w:t>
      </w:r>
      <w:r>
        <w:rPr>
          <w:rStyle w:val="FootnoteReference"/>
        </w:rPr>
        <w:footnoteReference w:id="619"/>
      </w:r>
    </w:p>
    <w:p w14:paraId="3E1FD648" w14:textId="666C6644" w:rsidR="005D73CF" w:rsidRDefault="005D73CF" w:rsidP="0055279C">
      <w:pPr>
        <w:pStyle w:val="List-BulletLvl2"/>
      </w:pPr>
      <w:r>
        <w:t>impact of online gambling product advertisements that encourage gambling and related harm (one health and social services submitter)</w:t>
      </w:r>
      <w:r>
        <w:rPr>
          <w:rStyle w:val="FootnoteReference"/>
        </w:rPr>
        <w:footnoteReference w:id="620"/>
      </w:r>
    </w:p>
    <w:p w14:paraId="08E49791" w14:textId="3F1BD7A1" w:rsidR="005C4A70" w:rsidRDefault="005C4A70" w:rsidP="005C4A70">
      <w:pPr>
        <w:pStyle w:val="List-BulletLvl1"/>
      </w:pPr>
      <w:r>
        <w:t>unregulated offshore online gambling specifically, given the lack of harm minimisation controls in this area (one gambling industry submitter)</w:t>
      </w:r>
      <w:r>
        <w:rPr>
          <w:rStyle w:val="FootnoteReference"/>
        </w:rPr>
        <w:footnoteReference w:id="621"/>
      </w:r>
    </w:p>
    <w:p w14:paraId="46C2B295" w14:textId="489E1EDE" w:rsidR="005C4A70" w:rsidRDefault="005C4A70" w:rsidP="005C4A70">
      <w:pPr>
        <w:pStyle w:val="List-BulletLvl1"/>
      </w:pPr>
      <w:r>
        <w:lastRenderedPageBreak/>
        <w:t>research into</w:t>
      </w:r>
      <w:r w:rsidRPr="001A7320">
        <w:t xml:space="preserve"> effective gambling harm interventions digitally/online considering </w:t>
      </w:r>
      <w:r>
        <w:t>COVID</w:t>
      </w:r>
      <w:r w:rsidRPr="001A7320">
        <w:t>-19 impacts and tele-health</w:t>
      </w:r>
      <w:r>
        <w:t xml:space="preserve"> (one service provider)</w:t>
      </w:r>
      <w:r>
        <w:rPr>
          <w:rStyle w:val="FootnoteReference"/>
        </w:rPr>
        <w:footnoteReference w:id="622"/>
      </w:r>
    </w:p>
    <w:p w14:paraId="3649E575" w14:textId="77777777" w:rsidR="005C4A70" w:rsidRDefault="005C4A70" w:rsidP="005C4A70">
      <w:pPr>
        <w:pStyle w:val="List-BulletLvl1"/>
      </w:pPr>
      <w:r>
        <w:t>assessment of the relationship between gaming and gambling, especially the investigation of “loot boxes” (one health and social services submitter).</w:t>
      </w:r>
      <w:r>
        <w:rPr>
          <w:rStyle w:val="FootnoteReference"/>
        </w:rPr>
        <w:footnoteReference w:id="623"/>
      </w:r>
    </w:p>
    <w:p w14:paraId="4BF47F7D" w14:textId="77777777" w:rsidR="005C4A70" w:rsidRDefault="005C4A70" w:rsidP="005C4A70">
      <w:pPr>
        <w:pStyle w:val="CV-Heading2"/>
        <w:rPr>
          <w:i/>
          <w:iCs/>
        </w:rPr>
      </w:pPr>
      <w:r>
        <w:rPr>
          <w:i/>
          <w:iCs/>
        </w:rPr>
        <w:t>Submitters made o</w:t>
      </w:r>
      <w:r w:rsidRPr="000324A7">
        <w:rPr>
          <w:i/>
          <w:iCs/>
        </w:rPr>
        <w:t>ther suggestions</w:t>
      </w:r>
      <w:r>
        <w:rPr>
          <w:i/>
          <w:iCs/>
        </w:rPr>
        <w:t xml:space="preserve"> for research priorities</w:t>
      </w:r>
    </w:p>
    <w:p w14:paraId="7DCBAAE9" w14:textId="40C80B7F" w:rsidR="005C4A70" w:rsidRPr="009679A8" w:rsidRDefault="005C4A70" w:rsidP="005C4A70">
      <w:pPr>
        <w:pStyle w:val="BodyText"/>
      </w:pPr>
      <w:r>
        <w:t>Submitters made additional suggestions for research and evaluation priorities</w:t>
      </w:r>
      <w:r w:rsidR="00862C42">
        <w:t>. This included research to understand the:</w:t>
      </w:r>
    </w:p>
    <w:p w14:paraId="096897F2" w14:textId="7581AFCA" w:rsidR="005C4A70" w:rsidRDefault="005C4A70" w:rsidP="005C4A70">
      <w:pPr>
        <w:pStyle w:val="List-BulletLvl1"/>
      </w:pPr>
      <w:r>
        <w:t>stigmatisation of problem gambling from both general and specific population perspectives (one service provider)</w:t>
      </w:r>
      <w:r>
        <w:rPr>
          <w:rStyle w:val="FootnoteReference"/>
        </w:rPr>
        <w:footnoteReference w:id="624"/>
      </w:r>
    </w:p>
    <w:p w14:paraId="0C99D697" w14:textId="0D84BFBC" w:rsidR="005C4A70" w:rsidRDefault="005C4A70" w:rsidP="005C4A70">
      <w:pPr>
        <w:pStyle w:val="List-BulletLvl1"/>
      </w:pPr>
      <w:r>
        <w:t xml:space="preserve">effect of loan sharks on financial harm from problem gambling </w:t>
      </w:r>
      <w:r w:rsidR="00F45211">
        <w:t>(</w:t>
      </w:r>
      <w:r>
        <w:t>the effects of which were of particular concern to members of a lived experience group</w:t>
      </w:r>
      <w:r w:rsidR="00F45211">
        <w:t>)</w:t>
      </w:r>
      <w:r>
        <w:t xml:space="preserve"> (one health and social services submitter)</w:t>
      </w:r>
      <w:r>
        <w:rPr>
          <w:rStyle w:val="FootnoteReference"/>
        </w:rPr>
        <w:footnoteReference w:id="625"/>
      </w:r>
    </w:p>
    <w:p w14:paraId="04CA10C3" w14:textId="70D0FFF6" w:rsidR="005C4A70" w:rsidRDefault="00F45211" w:rsidP="005C4A70">
      <w:pPr>
        <w:pStyle w:val="List-BulletLvl1"/>
      </w:pPr>
      <w:r>
        <w:t>effective</w:t>
      </w:r>
      <w:r w:rsidR="005C4A70">
        <w:t xml:space="preserve"> support</w:t>
      </w:r>
      <w:r>
        <w:t>s</w:t>
      </w:r>
      <w:r w:rsidR="005C4A70">
        <w:t xml:space="preserve"> for affected others to make sure services are whānau-inclusive (one health and social services submitter)</w:t>
      </w:r>
      <w:r w:rsidR="005C4A70">
        <w:rPr>
          <w:rStyle w:val="FootnoteReference"/>
        </w:rPr>
        <w:footnoteReference w:id="626"/>
      </w:r>
    </w:p>
    <w:p w14:paraId="56F1BB44" w14:textId="00D6DC4B" w:rsidR="005C4A70" w:rsidRDefault="00F45211" w:rsidP="005C4A70">
      <w:pPr>
        <w:pStyle w:val="List-BulletLvl1"/>
      </w:pPr>
      <w:r>
        <w:t xml:space="preserve">impact of </w:t>
      </w:r>
      <w:r w:rsidR="005C4A70">
        <w:t xml:space="preserve">COVID-19 </w:t>
      </w:r>
      <w:r>
        <w:t xml:space="preserve">on </w:t>
      </w:r>
      <w:r w:rsidR="005C4A70">
        <w:t>gambling trends, practices, culture and the resulting long-term harm and psychosocial impacts (one service provider).</w:t>
      </w:r>
      <w:r w:rsidR="005C4A70">
        <w:rPr>
          <w:rStyle w:val="FootnoteReference"/>
        </w:rPr>
        <w:footnoteReference w:id="627"/>
      </w:r>
    </w:p>
    <w:p w14:paraId="12AA02E9" w14:textId="25A524AB" w:rsidR="005C4A70" w:rsidRDefault="005C4A70" w:rsidP="000C0403">
      <w:pPr>
        <w:pStyle w:val="NumberedHeading3"/>
      </w:pPr>
      <w:bookmarkStart w:id="111" w:name="_Toc88637604"/>
      <w:r>
        <w:t xml:space="preserve">Key themes from </w:t>
      </w:r>
      <w:r w:rsidR="00F67625">
        <w:t>c</w:t>
      </w:r>
      <w:r>
        <w:t xml:space="preserve">onsultation </w:t>
      </w:r>
      <w:r w:rsidR="00F67625">
        <w:t>h</w:t>
      </w:r>
      <w:r>
        <w:t>ui</w:t>
      </w:r>
      <w:bookmarkEnd w:id="111"/>
    </w:p>
    <w:tbl>
      <w:tblPr>
        <w:tblStyle w:val="TableGrid"/>
        <w:tblW w:w="0" w:type="auto"/>
        <w:shd w:val="clear" w:color="auto" w:fill="D2D9DE" w:themeFill="text2" w:themeFillTint="33"/>
        <w:tblLook w:val="04A0" w:firstRow="1" w:lastRow="0" w:firstColumn="1" w:lastColumn="0" w:noHBand="0" w:noVBand="1"/>
      </w:tblPr>
      <w:tblGrid>
        <w:gridCol w:w="9061"/>
      </w:tblGrid>
      <w:tr w:rsidR="007354E2" w:rsidRPr="007354E2" w14:paraId="7F739B75" w14:textId="77777777" w:rsidTr="00A63114">
        <w:tc>
          <w:tcPr>
            <w:tcW w:w="9061" w:type="dxa"/>
            <w:shd w:val="clear" w:color="auto" w:fill="D2D9DE" w:themeFill="text2" w:themeFillTint="33"/>
          </w:tcPr>
          <w:p w14:paraId="1F3E6B01" w14:textId="77777777" w:rsidR="005C4A70" w:rsidRPr="007354E2" w:rsidRDefault="005C4A70" w:rsidP="00A63114">
            <w:pPr>
              <w:pStyle w:val="BodyText"/>
              <w:jc w:val="center"/>
              <w:rPr>
                <w:b/>
                <w:bCs/>
                <w:color w:val="36424A" w:themeColor="accent5"/>
              </w:rPr>
            </w:pPr>
            <w:r w:rsidRPr="007354E2">
              <w:rPr>
                <w:b/>
                <w:bCs/>
                <w:color w:val="36424A" w:themeColor="accent5"/>
              </w:rPr>
              <w:t>Comments from hui on the research and evaluation priorities</w:t>
            </w:r>
          </w:p>
          <w:p w14:paraId="389BCE58" w14:textId="6B4C3164" w:rsidR="005C4A70" w:rsidRPr="007354E2" w:rsidRDefault="00506731" w:rsidP="000C0403">
            <w:pPr>
              <w:pStyle w:val="List-BulletLvl1"/>
              <w:rPr>
                <w:color w:val="36424A" w:themeColor="accent5"/>
              </w:rPr>
            </w:pPr>
            <w:r>
              <w:rPr>
                <w:color w:val="36424A" w:themeColor="accent5"/>
              </w:rPr>
              <w:t>Stakeholders strongly supported more research into online gambling,</w:t>
            </w:r>
            <w:r w:rsidR="005C4A70" w:rsidRPr="007354E2">
              <w:rPr>
                <w:color w:val="36424A" w:themeColor="accent5"/>
              </w:rPr>
              <w:t xml:space="preserve"> particularly the unbundling of different elements of online gambling to capture who </w:t>
            </w:r>
            <w:r w:rsidR="007354E2">
              <w:rPr>
                <w:color w:val="36424A" w:themeColor="accent5"/>
              </w:rPr>
              <w:t>was</w:t>
            </w:r>
            <w:r w:rsidR="005C4A70" w:rsidRPr="007354E2">
              <w:rPr>
                <w:color w:val="36424A" w:themeColor="accent5"/>
              </w:rPr>
              <w:t xml:space="preserve"> experiencing harm and where. This was a strong theme at the general and Asian</w:t>
            </w:r>
            <w:r w:rsidR="007354E2">
              <w:rPr>
                <w:color w:val="36424A" w:themeColor="accent5"/>
              </w:rPr>
              <w:t>-focused</w:t>
            </w:r>
            <w:r w:rsidR="005C4A70" w:rsidRPr="007354E2">
              <w:rPr>
                <w:color w:val="36424A" w:themeColor="accent5"/>
              </w:rPr>
              <w:t xml:space="preserve"> hui. </w:t>
            </w:r>
          </w:p>
          <w:p w14:paraId="4C47DCA9" w14:textId="25B9A5F0" w:rsidR="005C4A70" w:rsidRPr="007354E2" w:rsidRDefault="00506731" w:rsidP="000C0403">
            <w:pPr>
              <w:pStyle w:val="List-BulletLvl1"/>
              <w:rPr>
                <w:color w:val="36424A" w:themeColor="accent5"/>
              </w:rPr>
            </w:pPr>
            <w:r>
              <w:rPr>
                <w:color w:val="36424A" w:themeColor="accent5"/>
              </w:rPr>
              <w:t>Stakeholders supported</w:t>
            </w:r>
            <w:r w:rsidR="005C4A70" w:rsidRPr="007354E2">
              <w:rPr>
                <w:color w:val="36424A" w:themeColor="accent5"/>
              </w:rPr>
              <w:t xml:space="preserve"> research on </w:t>
            </w:r>
            <w:r w:rsidR="007354E2" w:rsidRPr="007354E2">
              <w:rPr>
                <w:color w:val="36424A" w:themeColor="accent5"/>
              </w:rPr>
              <w:t>Pacif</w:t>
            </w:r>
            <w:r w:rsidR="007354E2">
              <w:rPr>
                <w:color w:val="36424A" w:themeColor="accent5"/>
              </w:rPr>
              <w:t>ic populations</w:t>
            </w:r>
            <w:r w:rsidR="005C4A70" w:rsidRPr="007354E2">
              <w:rPr>
                <w:color w:val="36424A" w:themeColor="accent5"/>
              </w:rPr>
              <w:t xml:space="preserve"> to be done by </w:t>
            </w:r>
            <w:r w:rsidR="007354E2">
              <w:rPr>
                <w:color w:val="36424A" w:themeColor="accent5"/>
              </w:rPr>
              <w:t>Pacific peoples</w:t>
            </w:r>
            <w:r w:rsidR="005C4A70" w:rsidRPr="007354E2">
              <w:rPr>
                <w:color w:val="36424A" w:themeColor="accent5"/>
              </w:rPr>
              <w:t xml:space="preserve"> at the Pacific</w:t>
            </w:r>
            <w:r w:rsidR="004D06A5">
              <w:rPr>
                <w:color w:val="36424A" w:themeColor="accent5"/>
              </w:rPr>
              <w:t>-focused</w:t>
            </w:r>
            <w:r w:rsidR="005C4A70" w:rsidRPr="007354E2">
              <w:rPr>
                <w:color w:val="36424A" w:themeColor="accent5"/>
              </w:rPr>
              <w:t xml:space="preserve"> hui.</w:t>
            </w:r>
          </w:p>
          <w:p w14:paraId="7BE91F4D" w14:textId="1FB025A8" w:rsidR="005C4A70" w:rsidRPr="007354E2" w:rsidRDefault="009D788A" w:rsidP="000C0403">
            <w:pPr>
              <w:pStyle w:val="List-BulletLvl1"/>
              <w:rPr>
                <w:color w:val="36424A" w:themeColor="accent5"/>
              </w:rPr>
            </w:pPr>
            <w:r>
              <w:rPr>
                <w:color w:val="36424A" w:themeColor="accent5"/>
              </w:rPr>
              <w:t>Stakeholders</w:t>
            </w:r>
            <w:r w:rsidR="005C4A70" w:rsidRPr="007354E2">
              <w:rPr>
                <w:color w:val="36424A" w:themeColor="accent5"/>
              </w:rPr>
              <w:t xml:space="preserve"> expressed support for alternative research priorities, including:</w:t>
            </w:r>
          </w:p>
          <w:p w14:paraId="3962B9FE" w14:textId="6F0A927A" w:rsidR="005C4A70" w:rsidRPr="007354E2" w:rsidRDefault="004D06A5" w:rsidP="000C0403">
            <w:pPr>
              <w:pStyle w:val="List-BulletLvl2"/>
              <w:rPr>
                <w:color w:val="36424A" w:themeColor="accent5"/>
              </w:rPr>
            </w:pPr>
            <w:r>
              <w:rPr>
                <w:color w:val="36424A" w:themeColor="accent5"/>
              </w:rPr>
              <w:t>g</w:t>
            </w:r>
            <w:r w:rsidR="005C4A70" w:rsidRPr="007354E2">
              <w:rPr>
                <w:color w:val="36424A" w:themeColor="accent5"/>
              </w:rPr>
              <w:t>ambling prevalence in the Rainbow community, considering they are at high risk of experiencing harm from other addictions</w:t>
            </w:r>
          </w:p>
          <w:p w14:paraId="1B862A34" w14:textId="01621D2D" w:rsidR="005C4A70" w:rsidRPr="007354E2" w:rsidRDefault="004D06A5" w:rsidP="000C0403">
            <w:pPr>
              <w:pStyle w:val="List-BulletLvl2"/>
              <w:rPr>
                <w:color w:val="36424A" w:themeColor="accent5"/>
              </w:rPr>
            </w:pPr>
            <w:r>
              <w:rPr>
                <w:color w:val="36424A" w:themeColor="accent5"/>
              </w:rPr>
              <w:t>g</w:t>
            </w:r>
            <w:r w:rsidR="005C4A70" w:rsidRPr="007354E2">
              <w:rPr>
                <w:color w:val="36424A" w:themeColor="accent5"/>
              </w:rPr>
              <w:t xml:space="preserve">ambling harm for senior and elderly populations, due to the ease of online gambling </w:t>
            </w:r>
          </w:p>
          <w:p w14:paraId="3E2EE127" w14:textId="60CF419F" w:rsidR="009D788A" w:rsidRDefault="004D06A5" w:rsidP="000C0403">
            <w:pPr>
              <w:pStyle w:val="List-BulletLvl2"/>
              <w:rPr>
                <w:color w:val="36424A" w:themeColor="accent5"/>
              </w:rPr>
            </w:pPr>
            <w:r>
              <w:rPr>
                <w:color w:val="36424A" w:themeColor="accent5"/>
              </w:rPr>
              <w:t>r</w:t>
            </w:r>
            <w:r w:rsidR="005C4A70" w:rsidRPr="007354E2">
              <w:rPr>
                <w:color w:val="36424A" w:themeColor="accent5"/>
              </w:rPr>
              <w:t xml:space="preserve">egional breakdowns of barriers in accessing services to help </w:t>
            </w:r>
            <w:r>
              <w:rPr>
                <w:color w:val="36424A" w:themeColor="accent5"/>
              </w:rPr>
              <w:t>local government</w:t>
            </w:r>
            <w:r w:rsidR="000F4CD2">
              <w:rPr>
                <w:color w:val="36424A" w:themeColor="accent5"/>
              </w:rPr>
              <w:t xml:space="preserve"> develop </w:t>
            </w:r>
            <w:r w:rsidR="00602DEB">
              <w:rPr>
                <w:color w:val="36424A" w:themeColor="accent5"/>
              </w:rPr>
              <w:t xml:space="preserve">policies </w:t>
            </w:r>
          </w:p>
          <w:p w14:paraId="050DDA12" w14:textId="3B1F2129" w:rsidR="005C4A70" w:rsidRPr="007354E2" w:rsidRDefault="009D788A" w:rsidP="000C0403">
            <w:pPr>
              <w:pStyle w:val="List-BulletLvl2"/>
              <w:rPr>
                <w:color w:val="36424A" w:themeColor="accent5"/>
              </w:rPr>
            </w:pPr>
            <w:r>
              <w:rPr>
                <w:color w:val="36424A" w:themeColor="accent5"/>
              </w:rPr>
              <w:t>priority population monitoring measures for gambling providers and host responsibility</w:t>
            </w:r>
            <w:r w:rsidR="004D06A5">
              <w:rPr>
                <w:color w:val="36424A" w:themeColor="accent5"/>
              </w:rPr>
              <w:t xml:space="preserve">. </w:t>
            </w:r>
            <w:r w:rsidR="005C4A70" w:rsidRPr="007354E2">
              <w:rPr>
                <w:color w:val="36424A" w:themeColor="accent5"/>
              </w:rPr>
              <w:t xml:space="preserve"> </w:t>
            </w:r>
          </w:p>
        </w:tc>
      </w:tr>
    </w:tbl>
    <w:p w14:paraId="5CF04638" w14:textId="06DF9715" w:rsidR="008E6F68" w:rsidRPr="008E6F68" w:rsidRDefault="00132E36" w:rsidP="008E6F68">
      <w:pPr>
        <w:pStyle w:val="NumberedHeading1"/>
      </w:pPr>
      <w:bookmarkStart w:id="112" w:name="_Toc88637605"/>
      <w:bookmarkStart w:id="113" w:name="_Hlk86252890"/>
      <w:r>
        <w:lastRenderedPageBreak/>
        <w:t>Levy and alternate levy weightings</w:t>
      </w:r>
      <w:bookmarkEnd w:id="112"/>
      <w:r>
        <w:t xml:space="preserve"> </w:t>
      </w:r>
    </w:p>
    <w:p w14:paraId="614F5CA8" w14:textId="1E02ACE3" w:rsidR="00FA7BB6" w:rsidRPr="009E7223" w:rsidRDefault="00A55871" w:rsidP="00FA7BB6">
      <w:pPr>
        <w:pStyle w:val="BodyText"/>
      </w:pPr>
      <w:r>
        <w:t xml:space="preserve">Section 4 </w:t>
      </w:r>
      <w:r w:rsidR="00FA7BB6" w:rsidRPr="009E7223">
        <w:t xml:space="preserve">outlines </w:t>
      </w:r>
      <w:r w:rsidR="004A151F">
        <w:t>submitters</w:t>
      </w:r>
      <w:r>
        <w:t>’</w:t>
      </w:r>
      <w:r w:rsidR="00FA7BB6" w:rsidRPr="009E7223">
        <w:t xml:space="preserve"> comment</w:t>
      </w:r>
      <w:r w:rsidR="004A151F">
        <w:t>s</w:t>
      </w:r>
      <w:r w:rsidR="00FA7BB6" w:rsidRPr="009E7223">
        <w:t xml:space="preserve"> on the levy </w:t>
      </w:r>
      <w:r w:rsidR="008D1927">
        <w:t>and levy weightings</w:t>
      </w:r>
      <w:r w:rsidR="00FA7BB6" w:rsidRPr="009E7223">
        <w:t>. It covers:</w:t>
      </w:r>
    </w:p>
    <w:p w14:paraId="3CA27EC9" w14:textId="4959BFD9" w:rsidR="00FA7BB6" w:rsidRPr="009E7223" w:rsidRDefault="006D7B25" w:rsidP="00FA7BB6">
      <w:pPr>
        <w:pStyle w:val="List-BulletLvl1"/>
      </w:pPr>
      <w:r>
        <w:t>t</w:t>
      </w:r>
      <w:r w:rsidR="00FA7BB6" w:rsidRPr="009E7223">
        <w:t>he levy and whether it provides a reasonable way to reflect relative harm</w:t>
      </w:r>
    </w:p>
    <w:p w14:paraId="40E6B21F" w14:textId="3BF5DF3D" w:rsidR="00FA7BB6" w:rsidRPr="009E7223" w:rsidRDefault="006D7B25" w:rsidP="00FA7BB6">
      <w:pPr>
        <w:pStyle w:val="List-BulletLvl1"/>
      </w:pPr>
      <w:r>
        <w:t>p</w:t>
      </w:r>
      <w:r w:rsidR="00FA7BB6" w:rsidRPr="009E7223">
        <w:t>layer expenditure forecasts for each gambling sector</w:t>
      </w:r>
    </w:p>
    <w:p w14:paraId="6D4C2594" w14:textId="4C7AB550" w:rsidR="00FA7BB6" w:rsidRPr="009E7223" w:rsidRDefault="006D7B25" w:rsidP="00FA7BB6">
      <w:pPr>
        <w:pStyle w:val="List-BulletLvl1"/>
      </w:pPr>
      <w:r>
        <w:t>p</w:t>
      </w:r>
      <w:r w:rsidR="00FA7BB6" w:rsidRPr="009E7223">
        <w:t>referred weightings for expenditure and presentations</w:t>
      </w:r>
    </w:p>
    <w:p w14:paraId="1D4A8233" w14:textId="064F8F26" w:rsidR="00FA7BB6" w:rsidRPr="009E7223" w:rsidRDefault="006D7B25" w:rsidP="00FA7BB6">
      <w:pPr>
        <w:pStyle w:val="List-BulletLvl1"/>
      </w:pPr>
      <w:r>
        <w:t>t</w:t>
      </w:r>
      <w:r w:rsidR="00FA7BB6" w:rsidRPr="009E7223">
        <w:t>he estimated draft levy rates for each sector.</w:t>
      </w:r>
    </w:p>
    <w:p w14:paraId="4E719380" w14:textId="2BDF0BFD" w:rsidR="00FA7BB6" w:rsidRPr="009E7223" w:rsidRDefault="00B57CF9" w:rsidP="00FA7BB6">
      <w:pPr>
        <w:pStyle w:val="BodyText"/>
      </w:pPr>
      <w:r w:rsidRPr="00B617CC">
        <w:t>Four</w:t>
      </w:r>
      <w:r w:rsidR="00FA7BB6" w:rsidRPr="009E7223">
        <w:t xml:space="preserve"> questions were asked about the levy, two of which included ‘Yes/No’ responses. </w:t>
      </w:r>
      <w:r w:rsidR="003B0061">
        <w:rPr>
          <w:highlight w:val="yellow"/>
        </w:rPr>
        <w:fldChar w:fldCharType="begin"/>
      </w:r>
      <w:r w:rsidR="003B0061">
        <w:instrText xml:space="preserve"> REF _Ref86375997 \h </w:instrText>
      </w:r>
      <w:r w:rsidR="003B0061">
        <w:rPr>
          <w:highlight w:val="yellow"/>
        </w:rPr>
      </w:r>
      <w:r w:rsidR="003B0061">
        <w:rPr>
          <w:highlight w:val="yellow"/>
        </w:rPr>
        <w:fldChar w:fldCharType="separate"/>
      </w:r>
      <w:r w:rsidR="00071098">
        <w:t xml:space="preserve">Table </w:t>
      </w:r>
      <w:r w:rsidR="00071098">
        <w:rPr>
          <w:noProof/>
        </w:rPr>
        <w:t>4</w:t>
      </w:r>
      <w:r w:rsidR="003B0061">
        <w:rPr>
          <w:highlight w:val="yellow"/>
        </w:rPr>
        <w:fldChar w:fldCharType="end"/>
      </w:r>
      <w:r w:rsidR="00FA7BB6" w:rsidRPr="009E7223">
        <w:t xml:space="preserve"> shows the tally of responses by question.</w:t>
      </w:r>
    </w:p>
    <w:p w14:paraId="5E3294A1" w14:textId="4A6BDF86" w:rsidR="003B0061" w:rsidRPr="009E7223" w:rsidRDefault="003B0061" w:rsidP="003B0061">
      <w:pPr>
        <w:pStyle w:val="Caption"/>
        <w:keepNext/>
      </w:pPr>
      <w:bookmarkStart w:id="114" w:name="_Ref86375997"/>
      <w:bookmarkStart w:id="115" w:name="_Toc88637641"/>
      <w:r>
        <w:t xml:space="preserve">Table </w:t>
      </w:r>
      <w:r>
        <w:fldChar w:fldCharType="begin"/>
      </w:r>
      <w:r>
        <w:instrText xml:space="preserve"> SEQ Table \* ARABIC </w:instrText>
      </w:r>
      <w:r>
        <w:fldChar w:fldCharType="separate"/>
      </w:r>
      <w:r w:rsidR="00071098">
        <w:rPr>
          <w:noProof/>
        </w:rPr>
        <w:t>4</w:t>
      </w:r>
      <w:r>
        <w:fldChar w:fldCharType="end"/>
      </w:r>
      <w:bookmarkEnd w:id="114"/>
      <w:r>
        <w:t>:</w:t>
      </w:r>
      <w:r w:rsidRPr="009E7223">
        <w:t xml:space="preserve"> </w:t>
      </w:r>
      <w:r w:rsidR="00B558AF">
        <w:t>Responses</w:t>
      </w:r>
      <w:r w:rsidRPr="009E7223">
        <w:t xml:space="preserve"> to questions </w:t>
      </w:r>
      <w:r w:rsidR="0067649C">
        <w:t>about</w:t>
      </w:r>
      <w:r w:rsidRPr="009E7223">
        <w:t xml:space="preserve"> the levy</w:t>
      </w:r>
      <w:bookmarkEnd w:id="115"/>
      <w:r w:rsidRPr="009E7223">
        <w:t xml:space="preserve"> </w:t>
      </w:r>
    </w:p>
    <w:tbl>
      <w:tblPr>
        <w:tblStyle w:val="ACGrey-BasicTable"/>
        <w:tblW w:w="9239" w:type="dxa"/>
        <w:tblLayout w:type="fixed"/>
        <w:tblLook w:val="04A0" w:firstRow="1" w:lastRow="0" w:firstColumn="1" w:lastColumn="0" w:noHBand="0" w:noVBand="1"/>
      </w:tblPr>
      <w:tblGrid>
        <w:gridCol w:w="5098"/>
        <w:gridCol w:w="1380"/>
        <w:gridCol w:w="1380"/>
        <w:gridCol w:w="1381"/>
      </w:tblGrid>
      <w:tr w:rsidR="00F60B5D" w:rsidRPr="009E7223" w14:paraId="77AA7FF2" w14:textId="6D904923" w:rsidTr="0034050E">
        <w:trPr>
          <w:cnfStyle w:val="100000000000" w:firstRow="1" w:lastRow="0" w:firstColumn="0" w:lastColumn="0" w:oddVBand="0" w:evenVBand="0" w:oddHBand="0" w:evenHBand="0" w:firstRowFirstColumn="0" w:firstRowLastColumn="0" w:lastRowFirstColumn="0" w:lastRowLastColumn="0"/>
          <w:trHeight w:val="594"/>
        </w:trPr>
        <w:tc>
          <w:tcPr>
            <w:tcW w:w="5098" w:type="dxa"/>
            <w:hideMark/>
          </w:tcPr>
          <w:p w14:paraId="570A3279" w14:textId="77777777" w:rsidR="00591619" w:rsidRPr="00D80BC7" w:rsidRDefault="00591619" w:rsidP="009B4BE1">
            <w:pPr>
              <w:pStyle w:val="BodyText"/>
              <w:jc w:val="left"/>
              <w:rPr>
                <w:b/>
                <w:bCs/>
              </w:rPr>
            </w:pPr>
            <w:r w:rsidRPr="00D80BC7">
              <w:rPr>
                <w:b/>
                <w:bCs/>
              </w:rPr>
              <w:t>Question</w:t>
            </w:r>
          </w:p>
        </w:tc>
        <w:tc>
          <w:tcPr>
            <w:tcW w:w="1380" w:type="dxa"/>
            <w:hideMark/>
          </w:tcPr>
          <w:p w14:paraId="3D3F21C0" w14:textId="77777777" w:rsidR="00591619" w:rsidRPr="00D80BC7" w:rsidRDefault="00591619" w:rsidP="009B4BE1">
            <w:pPr>
              <w:pStyle w:val="BodyText"/>
              <w:jc w:val="center"/>
              <w:rPr>
                <w:b/>
                <w:bCs/>
              </w:rPr>
            </w:pPr>
            <w:r w:rsidRPr="00D80BC7">
              <w:rPr>
                <w:b/>
                <w:bCs/>
              </w:rPr>
              <w:t>Yes</w:t>
            </w:r>
          </w:p>
        </w:tc>
        <w:tc>
          <w:tcPr>
            <w:tcW w:w="1380" w:type="dxa"/>
            <w:hideMark/>
          </w:tcPr>
          <w:p w14:paraId="39FE9BC4" w14:textId="77777777" w:rsidR="00591619" w:rsidRPr="00D80BC7" w:rsidRDefault="00591619" w:rsidP="009B4BE1">
            <w:pPr>
              <w:pStyle w:val="BodyText"/>
              <w:jc w:val="center"/>
              <w:rPr>
                <w:b/>
                <w:bCs/>
              </w:rPr>
            </w:pPr>
            <w:r w:rsidRPr="00D80BC7">
              <w:rPr>
                <w:b/>
                <w:bCs/>
              </w:rPr>
              <w:t>No</w:t>
            </w:r>
          </w:p>
        </w:tc>
        <w:tc>
          <w:tcPr>
            <w:tcW w:w="1381" w:type="dxa"/>
          </w:tcPr>
          <w:p w14:paraId="5352A499" w14:textId="0C61E053" w:rsidR="00591619" w:rsidRPr="00D80BC7" w:rsidRDefault="00591619" w:rsidP="009B4BE1">
            <w:pPr>
              <w:pStyle w:val="BodyText"/>
              <w:jc w:val="center"/>
              <w:rPr>
                <w:b/>
                <w:bCs/>
              </w:rPr>
            </w:pPr>
            <w:r w:rsidRPr="00D80BC7">
              <w:rPr>
                <w:b/>
                <w:bCs/>
              </w:rPr>
              <w:t>Total</w:t>
            </w:r>
          </w:p>
        </w:tc>
      </w:tr>
      <w:tr w:rsidR="00591619" w:rsidRPr="009E7223" w14:paraId="0EDBC49D" w14:textId="2A371C53" w:rsidTr="0034050E">
        <w:trPr>
          <w:trHeight w:val="594"/>
        </w:trPr>
        <w:tc>
          <w:tcPr>
            <w:tcW w:w="5098" w:type="dxa"/>
          </w:tcPr>
          <w:p w14:paraId="62FB6DA2" w14:textId="2CC8D8B1" w:rsidR="00591619" w:rsidRPr="0034050E" w:rsidRDefault="00591619" w:rsidP="0034050E">
            <w:pPr>
              <w:rPr>
                <w:rFonts w:cstheme="majorHAnsi"/>
                <w:color w:val="000000"/>
              </w:rPr>
            </w:pPr>
            <w:r w:rsidRPr="0034050E">
              <w:rPr>
                <w:rFonts w:cstheme="majorHAnsi"/>
                <w:color w:val="000000"/>
              </w:rPr>
              <w:t>9. Are the player expenditure forecasts for each gambling sector (D) realistic?</w:t>
            </w:r>
          </w:p>
        </w:tc>
        <w:tc>
          <w:tcPr>
            <w:tcW w:w="1380" w:type="dxa"/>
          </w:tcPr>
          <w:p w14:paraId="62A9D078" w14:textId="13B5D323" w:rsidR="00591619" w:rsidRPr="009E7223" w:rsidRDefault="00591619" w:rsidP="009B4BE1">
            <w:pPr>
              <w:pStyle w:val="BodyText"/>
              <w:jc w:val="center"/>
            </w:pPr>
            <w:r>
              <w:t>12</w:t>
            </w:r>
          </w:p>
        </w:tc>
        <w:tc>
          <w:tcPr>
            <w:tcW w:w="1380" w:type="dxa"/>
          </w:tcPr>
          <w:p w14:paraId="27AF65A9" w14:textId="4171A388" w:rsidR="00591619" w:rsidRPr="009E7223" w:rsidRDefault="00591619" w:rsidP="009B4BE1">
            <w:pPr>
              <w:pStyle w:val="BodyText"/>
              <w:jc w:val="center"/>
            </w:pPr>
            <w:r>
              <w:t>4</w:t>
            </w:r>
          </w:p>
        </w:tc>
        <w:tc>
          <w:tcPr>
            <w:tcW w:w="1381" w:type="dxa"/>
          </w:tcPr>
          <w:p w14:paraId="1F467685" w14:textId="052FA080" w:rsidR="00591619" w:rsidRPr="0034050E" w:rsidRDefault="0034050E" w:rsidP="009B4BE1">
            <w:pPr>
              <w:pStyle w:val="BodyText"/>
              <w:jc w:val="center"/>
              <w:rPr>
                <w:b/>
                <w:bCs/>
              </w:rPr>
            </w:pPr>
            <w:r w:rsidRPr="0034050E">
              <w:rPr>
                <w:b/>
                <w:bCs/>
              </w:rPr>
              <w:t>16</w:t>
            </w:r>
          </w:p>
        </w:tc>
      </w:tr>
      <w:tr w:rsidR="00591619" w:rsidRPr="009E7223" w14:paraId="62DF29A2" w14:textId="3E2C2AFB" w:rsidTr="00980049">
        <w:trPr>
          <w:trHeight w:val="665"/>
        </w:trPr>
        <w:tc>
          <w:tcPr>
            <w:tcW w:w="5098" w:type="dxa"/>
            <w:hideMark/>
          </w:tcPr>
          <w:p w14:paraId="201261B3" w14:textId="06336052" w:rsidR="00591619" w:rsidRPr="0034050E" w:rsidRDefault="00591619" w:rsidP="0034050E">
            <w:pPr>
              <w:rPr>
                <w:rFonts w:cstheme="majorHAnsi"/>
                <w:color w:val="000000"/>
              </w:rPr>
            </w:pPr>
            <w:r w:rsidRPr="0034050E">
              <w:rPr>
                <w:rFonts w:cstheme="majorHAnsi"/>
                <w:color w:val="000000"/>
              </w:rPr>
              <w:t>10. Are there realistic pairs of expenditure/presentation weightings (W1 and W2) other than those discussed in this consultation document?</w:t>
            </w:r>
          </w:p>
        </w:tc>
        <w:tc>
          <w:tcPr>
            <w:tcW w:w="1380" w:type="dxa"/>
            <w:hideMark/>
          </w:tcPr>
          <w:p w14:paraId="7C3ADF60" w14:textId="654AABD5" w:rsidR="00591619" w:rsidRPr="009E7223" w:rsidRDefault="00591619" w:rsidP="009B4BE1">
            <w:pPr>
              <w:pStyle w:val="BodyText"/>
              <w:jc w:val="center"/>
            </w:pPr>
            <w:r>
              <w:t>13</w:t>
            </w:r>
          </w:p>
        </w:tc>
        <w:tc>
          <w:tcPr>
            <w:tcW w:w="1380" w:type="dxa"/>
            <w:hideMark/>
          </w:tcPr>
          <w:p w14:paraId="79984D6C" w14:textId="656970A0" w:rsidR="00591619" w:rsidRPr="009E7223" w:rsidRDefault="00591619" w:rsidP="009B4BE1">
            <w:pPr>
              <w:pStyle w:val="BodyText"/>
              <w:jc w:val="center"/>
            </w:pPr>
            <w:r>
              <w:t>2</w:t>
            </w:r>
          </w:p>
        </w:tc>
        <w:tc>
          <w:tcPr>
            <w:tcW w:w="1381" w:type="dxa"/>
          </w:tcPr>
          <w:p w14:paraId="3F79B8B9" w14:textId="4E35B408" w:rsidR="00591619" w:rsidRPr="0034050E" w:rsidRDefault="0034050E" w:rsidP="009B4BE1">
            <w:pPr>
              <w:pStyle w:val="BodyText"/>
              <w:jc w:val="center"/>
              <w:rPr>
                <w:b/>
                <w:bCs/>
              </w:rPr>
            </w:pPr>
            <w:r w:rsidRPr="0034050E">
              <w:rPr>
                <w:b/>
                <w:bCs/>
              </w:rPr>
              <w:t>15</w:t>
            </w:r>
          </w:p>
        </w:tc>
      </w:tr>
      <w:tr w:rsidR="00E7272A" w:rsidRPr="009E7223" w14:paraId="2416440F" w14:textId="77777777" w:rsidTr="003C2097">
        <w:trPr>
          <w:trHeight w:val="1344"/>
        </w:trPr>
        <w:tc>
          <w:tcPr>
            <w:tcW w:w="5098" w:type="dxa"/>
          </w:tcPr>
          <w:p w14:paraId="1AAAA798" w14:textId="00456B29" w:rsidR="00E7272A" w:rsidRPr="0034050E" w:rsidRDefault="00E7272A" w:rsidP="00E7272A">
            <w:r w:rsidRPr="00144EE7">
              <w:t xml:space="preserve">11. Which pair of weighting options for W1 and W2 do you prefer, if any, and why? Please keep in mind that the levy weighting options only affect the proportion of levy to be paid by each gambling sector and do not affect the total amount of the levy. </w:t>
            </w:r>
          </w:p>
        </w:tc>
        <w:tc>
          <w:tcPr>
            <w:tcW w:w="2760" w:type="dxa"/>
            <w:gridSpan w:val="2"/>
          </w:tcPr>
          <w:p w14:paraId="42FB9D7D" w14:textId="681D1E94" w:rsidR="00E7272A" w:rsidRDefault="00E7272A" w:rsidP="009B4BE1">
            <w:pPr>
              <w:pStyle w:val="BodyText"/>
              <w:jc w:val="center"/>
            </w:pPr>
            <w:r>
              <w:t>N/A</w:t>
            </w:r>
          </w:p>
        </w:tc>
        <w:tc>
          <w:tcPr>
            <w:tcW w:w="1381" w:type="dxa"/>
          </w:tcPr>
          <w:p w14:paraId="49D5A48B" w14:textId="3405F9F3" w:rsidR="00E7272A" w:rsidRPr="0034050E" w:rsidRDefault="00A436D8" w:rsidP="009B4BE1">
            <w:pPr>
              <w:pStyle w:val="BodyText"/>
              <w:jc w:val="center"/>
              <w:rPr>
                <w:b/>
                <w:bCs/>
              </w:rPr>
            </w:pPr>
            <w:r>
              <w:rPr>
                <w:b/>
                <w:bCs/>
              </w:rPr>
              <w:t>24</w:t>
            </w:r>
          </w:p>
        </w:tc>
      </w:tr>
      <w:tr w:rsidR="00A436D8" w:rsidRPr="009E7223" w14:paraId="0A92D658" w14:textId="77777777" w:rsidTr="002F1746">
        <w:trPr>
          <w:trHeight w:val="665"/>
        </w:trPr>
        <w:tc>
          <w:tcPr>
            <w:tcW w:w="5098" w:type="dxa"/>
          </w:tcPr>
          <w:p w14:paraId="0C5289A0" w14:textId="3C62FF3B" w:rsidR="00A436D8" w:rsidRPr="00A436D8" w:rsidRDefault="00A436D8" w:rsidP="0034050E">
            <w:r>
              <w:t>12. Do you have any comment on the estimated levy rates for each sector, keeping in mind that the levy formula itself is set out in legislation and is not under consideration in this consultation?</w:t>
            </w:r>
          </w:p>
        </w:tc>
        <w:tc>
          <w:tcPr>
            <w:tcW w:w="2760" w:type="dxa"/>
            <w:gridSpan w:val="2"/>
          </w:tcPr>
          <w:p w14:paraId="3A318579" w14:textId="49FD37DF" w:rsidR="00A436D8" w:rsidRDefault="000A6646" w:rsidP="009B4BE1">
            <w:pPr>
              <w:pStyle w:val="BodyText"/>
              <w:jc w:val="center"/>
            </w:pPr>
            <w:r>
              <w:t>N/A</w:t>
            </w:r>
          </w:p>
        </w:tc>
        <w:tc>
          <w:tcPr>
            <w:tcW w:w="1381" w:type="dxa"/>
          </w:tcPr>
          <w:p w14:paraId="18DA5245" w14:textId="273A3ABE" w:rsidR="00A436D8" w:rsidRPr="0034050E" w:rsidRDefault="000A6646" w:rsidP="009B4BE1">
            <w:pPr>
              <w:pStyle w:val="BodyText"/>
              <w:jc w:val="center"/>
              <w:rPr>
                <w:b/>
                <w:bCs/>
              </w:rPr>
            </w:pPr>
            <w:r>
              <w:rPr>
                <w:b/>
                <w:bCs/>
              </w:rPr>
              <w:t>15</w:t>
            </w:r>
          </w:p>
        </w:tc>
      </w:tr>
    </w:tbl>
    <w:p w14:paraId="264D205E" w14:textId="5A265D59" w:rsidR="00FA7BB6" w:rsidRPr="009E7223" w:rsidRDefault="00FA7BB6" w:rsidP="00E10642">
      <w:pPr>
        <w:pStyle w:val="BodyText"/>
      </w:pPr>
      <w:r w:rsidRPr="009E7223">
        <w:t xml:space="preserve">The </w:t>
      </w:r>
      <w:r w:rsidR="009C22D5">
        <w:t>l</w:t>
      </w:r>
      <w:r w:rsidRPr="009E7223">
        <w:t>evy</w:t>
      </w:r>
      <w:r w:rsidRPr="009E7223" w:rsidDel="00D60C51">
        <w:t xml:space="preserve"> </w:t>
      </w:r>
      <w:r w:rsidRPr="009E7223">
        <w:t xml:space="preserve">was addressed at least in part by </w:t>
      </w:r>
      <w:r w:rsidR="000B315E">
        <w:t>34</w:t>
      </w:r>
      <w:r w:rsidRPr="009E7223">
        <w:t xml:space="preserve"> submitters from across the six sector groupings, as illustrated in</w:t>
      </w:r>
      <w:r w:rsidR="007D577B">
        <w:t xml:space="preserve"> </w:t>
      </w:r>
      <w:r w:rsidR="00D52DB1">
        <w:fldChar w:fldCharType="begin"/>
      </w:r>
      <w:r w:rsidR="00D52DB1">
        <w:instrText xml:space="preserve"> REF _Ref88638429 \h </w:instrText>
      </w:r>
      <w:r w:rsidR="00D52DB1">
        <w:fldChar w:fldCharType="separate"/>
      </w:r>
      <w:r w:rsidR="00071098">
        <w:t xml:space="preserve">Figure </w:t>
      </w:r>
      <w:r w:rsidR="00071098">
        <w:rPr>
          <w:noProof/>
        </w:rPr>
        <w:t>4</w:t>
      </w:r>
      <w:r w:rsidR="00D52DB1">
        <w:fldChar w:fldCharType="end"/>
      </w:r>
      <w:r w:rsidR="00D52DB1">
        <w:t xml:space="preserve"> </w:t>
      </w:r>
      <w:r w:rsidR="000B315E">
        <w:t>(overleaf)</w:t>
      </w:r>
      <w:r w:rsidRPr="009E7223">
        <w:t>.</w:t>
      </w:r>
    </w:p>
    <w:p w14:paraId="39E609EA" w14:textId="16385E63" w:rsidR="00B558AF" w:rsidRDefault="00144EE7" w:rsidP="00B558AF">
      <w:pPr>
        <w:pStyle w:val="Caption"/>
      </w:pPr>
      <w:bookmarkStart w:id="116" w:name="_Ref88638429"/>
      <w:bookmarkStart w:id="117" w:name="_Toc88637646"/>
      <w:bookmarkStart w:id="118" w:name="_Ref88638423"/>
      <w:r>
        <w:rPr>
          <w:noProof/>
        </w:rPr>
        <w:lastRenderedPageBreak/>
        <w:drawing>
          <wp:anchor distT="0" distB="0" distL="114300" distR="114300" simplePos="0" relativeHeight="251664896" behindDoc="1" locked="0" layoutInCell="1" allowOverlap="1" wp14:anchorId="1C67A489" wp14:editId="12F30E42">
            <wp:simplePos x="0" y="0"/>
            <wp:positionH relativeFrom="margin">
              <wp:posOffset>0</wp:posOffset>
            </wp:positionH>
            <wp:positionV relativeFrom="paragraph">
              <wp:posOffset>262388</wp:posOffset>
            </wp:positionV>
            <wp:extent cx="5760085" cy="4300220"/>
            <wp:effectExtent l="0" t="0" r="0" b="5080"/>
            <wp:wrapTight wrapText="bothSides">
              <wp:wrapPolygon edited="0">
                <wp:start x="0" y="0"/>
                <wp:lineTo x="0" y="21530"/>
                <wp:lineTo x="21502" y="21530"/>
                <wp:lineTo x="21502" y="0"/>
                <wp:lineTo x="0" y="0"/>
              </wp:wrapPolygon>
            </wp:wrapTight>
            <wp:docPr id="17" name="Picture 17" descr="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eemap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60085" cy="4300220"/>
                    </a:xfrm>
                    <a:prstGeom prst="rect">
                      <a:avLst/>
                    </a:prstGeom>
                  </pic:spPr>
                </pic:pic>
              </a:graphicData>
            </a:graphic>
          </wp:anchor>
        </w:drawing>
      </w:r>
      <w:bookmarkStart w:id="119" w:name="_Toc529788369"/>
      <w:r w:rsidR="00B558AF">
        <w:t xml:space="preserve">Figure </w:t>
      </w:r>
      <w:r w:rsidR="00B558AF">
        <w:fldChar w:fldCharType="begin"/>
      </w:r>
      <w:r w:rsidR="00B558AF">
        <w:instrText xml:space="preserve"> SEQ Figure \* ARABIC </w:instrText>
      </w:r>
      <w:r w:rsidR="00B558AF">
        <w:fldChar w:fldCharType="separate"/>
      </w:r>
      <w:r w:rsidR="00071098">
        <w:rPr>
          <w:noProof/>
        </w:rPr>
        <w:t>4</w:t>
      </w:r>
      <w:r w:rsidR="00B558AF">
        <w:fldChar w:fldCharType="end"/>
      </w:r>
      <w:bookmarkEnd w:id="116"/>
      <w:r w:rsidR="00B558AF">
        <w:t>: Numbers of submitters, by sector, who commented on the levy</w:t>
      </w:r>
      <w:bookmarkEnd w:id="117"/>
      <w:bookmarkEnd w:id="118"/>
    </w:p>
    <w:p w14:paraId="295E2DE3" w14:textId="34910127" w:rsidR="003734B6" w:rsidRDefault="003734B6" w:rsidP="00144EE7">
      <w:pPr>
        <w:pStyle w:val="NumberedHeading2"/>
      </w:pPr>
      <w:bookmarkStart w:id="120" w:name="_Toc88637606"/>
      <w:r w:rsidRPr="009E7223">
        <w:t>The degree of support for player expenditure forecasts</w:t>
      </w:r>
      <w:bookmarkEnd w:id="119"/>
      <w:bookmarkEnd w:id="120"/>
    </w:p>
    <w:p w14:paraId="2BEFCB7C" w14:textId="393AEB61" w:rsidR="003734B6" w:rsidRDefault="003101E3" w:rsidP="00D575CB">
      <w:pPr>
        <w:pStyle w:val="BodyText"/>
      </w:pPr>
      <w:r>
        <w:t>Eight submitters</w:t>
      </w:r>
      <w:r w:rsidR="009F2F01">
        <w:t xml:space="preserve"> </w:t>
      </w:r>
      <w:r w:rsidR="009C22D5">
        <w:t xml:space="preserve">including </w:t>
      </w:r>
      <w:r w:rsidR="00767EF1">
        <w:t xml:space="preserve">three service providers, </w:t>
      </w:r>
      <w:r w:rsidR="00B6534E">
        <w:t xml:space="preserve">two gambling industry submitters, </w:t>
      </w:r>
      <w:r w:rsidR="00B130A9">
        <w:t>one health and social service</w:t>
      </w:r>
      <w:r w:rsidR="00675160">
        <w:t>s</w:t>
      </w:r>
      <w:r w:rsidR="00B130A9">
        <w:t xml:space="preserve"> submitter</w:t>
      </w:r>
      <w:r w:rsidR="00193661">
        <w:t xml:space="preserve">, one </w:t>
      </w:r>
      <w:r w:rsidR="00A12F98">
        <w:t>NCGM submitter</w:t>
      </w:r>
      <w:r w:rsidR="009907EF">
        <w:t>, and an individual</w:t>
      </w:r>
      <w:r w:rsidR="00B3433C">
        <w:t xml:space="preserve"> </w:t>
      </w:r>
      <w:r w:rsidR="0073010B" w:rsidRPr="009E7223">
        <w:t>commented on whether the player expenditure forecasts were realistic</w:t>
      </w:r>
      <w:r w:rsidR="0073010B">
        <w:t>.</w:t>
      </w:r>
      <w:r w:rsidR="00E6493F">
        <w:rPr>
          <w:rStyle w:val="FootnoteReference"/>
        </w:rPr>
        <w:footnoteReference w:id="628"/>
      </w:r>
    </w:p>
    <w:p w14:paraId="6D1E63D6" w14:textId="5B3E1FA2" w:rsidR="003F776F" w:rsidRDefault="00A654F3" w:rsidP="003F776F">
      <w:pPr>
        <w:pStyle w:val="NumberedHeading3"/>
      </w:pPr>
      <w:bookmarkStart w:id="121" w:name="_Toc88637607"/>
      <w:r>
        <w:t>Submitters considered th</w:t>
      </w:r>
      <w:r w:rsidR="00BF3295">
        <w:t>e</w:t>
      </w:r>
      <w:r>
        <w:t xml:space="preserve"> f</w:t>
      </w:r>
      <w:r w:rsidR="00BF3295">
        <w:t>o</w:t>
      </w:r>
      <w:r w:rsidR="00050792">
        <w:t>recasts were unrealistic</w:t>
      </w:r>
      <w:r w:rsidR="00F729A7">
        <w:t xml:space="preserve"> because they did not </w:t>
      </w:r>
      <w:r w:rsidR="007A1D28">
        <w:t xml:space="preserve">include </w:t>
      </w:r>
      <w:r w:rsidR="00783C15">
        <w:t>o</w:t>
      </w:r>
      <w:r w:rsidR="003F776F">
        <w:t>ffshore and online gambling</w:t>
      </w:r>
      <w:bookmarkEnd w:id="121"/>
    </w:p>
    <w:p w14:paraId="41E8F204" w14:textId="1DAE89F1" w:rsidR="003F776F" w:rsidRDefault="003F776F" w:rsidP="003F776F">
      <w:pPr>
        <w:pStyle w:val="BodyText"/>
      </w:pPr>
      <w:r>
        <w:t>Five submitters</w:t>
      </w:r>
      <w:r w:rsidR="003660A4">
        <w:t xml:space="preserve"> </w:t>
      </w:r>
      <w:r>
        <w:t>commented about offshore or online gambling in relation to the expenditure forecasts</w:t>
      </w:r>
      <w:r w:rsidR="000C451C">
        <w:t>. T</w:t>
      </w:r>
      <w:r>
        <w:t>hey broadly considered it necessary to include online gambling expenditure within the forecasts</w:t>
      </w:r>
      <w:r w:rsidR="00E6493F">
        <w:t>.</w:t>
      </w:r>
      <w:r w:rsidR="00E6493F">
        <w:rPr>
          <w:rStyle w:val="FootnoteReference"/>
        </w:rPr>
        <w:footnoteReference w:id="629"/>
      </w:r>
      <w:r>
        <w:t xml:space="preserve"> </w:t>
      </w:r>
    </w:p>
    <w:p w14:paraId="18286639" w14:textId="5869014A" w:rsidR="00D74B92" w:rsidRDefault="00D74B92" w:rsidP="00D74B92">
      <w:pPr>
        <w:pStyle w:val="BodyText"/>
      </w:pPr>
      <w:r>
        <w:t>Three submitters (one service provider</w:t>
      </w:r>
      <w:r w:rsidR="00887BC2">
        <w:t>, one health and social service sector submitter</w:t>
      </w:r>
      <w:r>
        <w:t xml:space="preserve"> and an individual) argued for including offshore and online operators within the sector and the problem gambling levies</w:t>
      </w:r>
      <w:r w:rsidR="00EF4E40">
        <w:t>.</w:t>
      </w:r>
      <w:r w:rsidR="00EF4E40">
        <w:rPr>
          <w:rStyle w:val="FootnoteReference"/>
        </w:rPr>
        <w:footnoteReference w:id="630"/>
      </w:r>
      <w:r>
        <w:t xml:space="preserve"> The local government submitter and individual wrote this was necessary </w:t>
      </w:r>
      <w:r w:rsidR="00CF30E9">
        <w:t>'</w:t>
      </w:r>
      <w:r>
        <w:t>“to fund gambling treatment and research”.</w:t>
      </w:r>
      <w:r w:rsidR="000614A9">
        <w:rPr>
          <w:rStyle w:val="FootnoteReference"/>
        </w:rPr>
        <w:footnoteReference w:id="631"/>
      </w:r>
      <w:r>
        <w:t xml:space="preserve"> The service provider questioned whether there would be any scoping work undertaken during this service plan period to understand the shifting </w:t>
      </w:r>
      <w:r>
        <w:lastRenderedPageBreak/>
        <w:t>gambling environment and presentations associated with online gambling</w:t>
      </w:r>
      <w:r w:rsidR="00570759">
        <w:t>.</w:t>
      </w:r>
      <w:r w:rsidR="00887BC2">
        <w:rPr>
          <w:rStyle w:val="FootnoteReference"/>
        </w:rPr>
        <w:footnoteReference w:id="632"/>
      </w:r>
      <w:r>
        <w:t>. They described increasing presentations “outside the four main forms of gambling” and questioned how this might influence future decisions about the levy</w:t>
      </w:r>
      <w:r w:rsidR="00570759">
        <w:t>.</w:t>
      </w:r>
      <w:r w:rsidR="00F448DE">
        <w:rPr>
          <w:rStyle w:val="FootnoteReference"/>
        </w:rPr>
        <w:footnoteReference w:id="633"/>
      </w:r>
      <w:r>
        <w:t xml:space="preserve"> </w:t>
      </w:r>
    </w:p>
    <w:p w14:paraId="2099653D" w14:textId="4BEEA084" w:rsidR="003F776F" w:rsidRPr="00231AA7" w:rsidRDefault="008C70A0" w:rsidP="003F776F">
      <w:pPr>
        <w:pStyle w:val="BodyText"/>
      </w:pPr>
      <w:r>
        <w:t>One</w:t>
      </w:r>
      <w:r w:rsidR="003F776F">
        <w:t xml:space="preserve"> service provider</w:t>
      </w:r>
      <w:r w:rsidR="00B2162F">
        <w:t xml:space="preserve"> </w:t>
      </w:r>
      <w:r w:rsidR="003F776F">
        <w:t>described the need to include offshore gambling in the dataset, noting the high level of gambling losses, and associated harm, for individuals in this environment.</w:t>
      </w:r>
      <w:r w:rsidR="00B2162F">
        <w:rPr>
          <w:rStyle w:val="FootnoteReference"/>
        </w:rPr>
        <w:footnoteReference w:id="634"/>
      </w:r>
      <w:r w:rsidR="00B2162F">
        <w:t xml:space="preserve"> </w:t>
      </w:r>
      <w:r w:rsidR="003F776F">
        <w:t xml:space="preserve"> Similarly, </w:t>
      </w:r>
      <w:r w:rsidR="0085777E">
        <w:t>a service provider</w:t>
      </w:r>
      <w:r w:rsidR="003F776F">
        <w:rPr>
          <w:lang w:val="mi-NZ"/>
        </w:rPr>
        <w:t xml:space="preserve"> </w:t>
      </w:r>
      <w:r w:rsidR="003F776F">
        <w:t>described the absence of an adequate mechanism to account for expenditure going offshore due to online gambling.</w:t>
      </w:r>
      <w:r w:rsidR="00B2162F">
        <w:rPr>
          <w:rStyle w:val="FootnoteReference"/>
          <w:lang w:val="mi-NZ"/>
        </w:rPr>
        <w:footnoteReference w:id="635"/>
      </w:r>
      <w:r w:rsidR="003F776F">
        <w:t xml:space="preserve"> </w:t>
      </w:r>
    </w:p>
    <w:p w14:paraId="25DF4CEA" w14:textId="70601691" w:rsidR="0031422D" w:rsidRDefault="00A654F3" w:rsidP="0031422D">
      <w:pPr>
        <w:pStyle w:val="NumberedHeading3"/>
        <w:autoSpaceDE w:val="0"/>
        <w:autoSpaceDN w:val="0"/>
        <w:adjustRightInd w:val="0"/>
        <w:spacing w:line="269" w:lineRule="auto"/>
        <w:jc w:val="both"/>
      </w:pPr>
      <w:bookmarkStart w:id="122" w:name="_Toc88637608"/>
      <w:r>
        <w:t>Submitters considered that d</w:t>
      </w:r>
      <w:r w:rsidR="0066370A">
        <w:t>ecrease</w:t>
      </w:r>
      <w:r w:rsidR="002671CA">
        <w:t>d</w:t>
      </w:r>
      <w:r w:rsidR="0066370A">
        <w:t xml:space="preserve"> gambling </w:t>
      </w:r>
      <w:r w:rsidR="00CF0ED0">
        <w:t xml:space="preserve">expenditure </w:t>
      </w:r>
      <w:r w:rsidR="002671CA">
        <w:t>was</w:t>
      </w:r>
      <w:r w:rsidR="00292251">
        <w:t xml:space="preserve"> realistic</w:t>
      </w:r>
      <w:r w:rsidR="002671CA">
        <w:t xml:space="preserve"> </w:t>
      </w:r>
      <w:r w:rsidR="00CF0ED0">
        <w:t xml:space="preserve">given </w:t>
      </w:r>
      <w:r w:rsidR="00BD724E">
        <w:t>C</w:t>
      </w:r>
      <w:r w:rsidR="00B2162F">
        <w:t>OVID</w:t>
      </w:r>
      <w:r w:rsidR="00BD724E">
        <w:t xml:space="preserve">-19 </w:t>
      </w:r>
      <w:r w:rsidR="00363007">
        <w:t>uncertain</w:t>
      </w:r>
      <w:r w:rsidR="006B67A4">
        <w:t xml:space="preserve">ty </w:t>
      </w:r>
      <w:r w:rsidR="00377627">
        <w:t>and restrictions</w:t>
      </w:r>
      <w:bookmarkEnd w:id="122"/>
      <w:r w:rsidR="00377627">
        <w:t xml:space="preserve"> </w:t>
      </w:r>
    </w:p>
    <w:p w14:paraId="67942E82" w14:textId="79A66C0F" w:rsidR="0031422D" w:rsidRDefault="0085777E" w:rsidP="0031422D">
      <w:pPr>
        <w:pStyle w:val="BodyText"/>
        <w:rPr>
          <w:lang w:val="mi-NZ"/>
        </w:rPr>
      </w:pPr>
      <w:r>
        <w:t>One</w:t>
      </w:r>
      <w:r w:rsidR="000A6C46">
        <w:t xml:space="preserve"> </w:t>
      </w:r>
      <w:r>
        <w:t>service provider</w:t>
      </w:r>
      <w:r w:rsidR="00933105">
        <w:t xml:space="preserve"> </w:t>
      </w:r>
      <w:r w:rsidR="00F14FC2">
        <w:rPr>
          <w:lang w:val="mi-NZ"/>
        </w:rPr>
        <w:t xml:space="preserve">described the </w:t>
      </w:r>
      <w:r w:rsidR="00090583">
        <w:rPr>
          <w:lang w:val="mi-NZ"/>
        </w:rPr>
        <w:t xml:space="preserve">decreased </w:t>
      </w:r>
      <w:r w:rsidR="00632287">
        <w:rPr>
          <w:lang w:val="mi-NZ"/>
        </w:rPr>
        <w:t>expenditure</w:t>
      </w:r>
      <w:r w:rsidR="0045236B">
        <w:rPr>
          <w:lang w:val="mi-NZ"/>
        </w:rPr>
        <w:t xml:space="preserve"> </w:t>
      </w:r>
      <w:r w:rsidR="00632287">
        <w:rPr>
          <w:lang w:val="mi-NZ"/>
        </w:rPr>
        <w:t xml:space="preserve">forecasts </w:t>
      </w:r>
      <w:r w:rsidR="0045236B">
        <w:rPr>
          <w:lang w:val="mi-NZ"/>
        </w:rPr>
        <w:t xml:space="preserve">as realistic </w:t>
      </w:r>
      <w:r w:rsidR="00616F85">
        <w:rPr>
          <w:lang w:val="mi-NZ"/>
        </w:rPr>
        <w:t xml:space="preserve">due to </w:t>
      </w:r>
      <w:r w:rsidR="00636182">
        <w:rPr>
          <w:lang w:val="mi-NZ"/>
        </w:rPr>
        <w:t>C</w:t>
      </w:r>
      <w:r w:rsidR="00543B51">
        <w:rPr>
          <w:lang w:val="mi-NZ"/>
        </w:rPr>
        <w:t>OVID</w:t>
      </w:r>
      <w:r w:rsidR="00636182">
        <w:rPr>
          <w:lang w:val="mi-NZ"/>
        </w:rPr>
        <w:t>-19</w:t>
      </w:r>
      <w:r w:rsidR="00C740EC">
        <w:rPr>
          <w:lang w:val="mi-NZ"/>
        </w:rPr>
        <w:t>;</w:t>
      </w:r>
      <w:r w:rsidR="000F6169">
        <w:rPr>
          <w:lang w:val="mi-NZ"/>
        </w:rPr>
        <w:t xml:space="preserve"> however</w:t>
      </w:r>
      <w:r w:rsidR="00C740EC">
        <w:rPr>
          <w:lang w:val="mi-NZ"/>
        </w:rPr>
        <w:t>,</w:t>
      </w:r>
      <w:r w:rsidR="000F6169">
        <w:rPr>
          <w:lang w:val="mi-NZ"/>
        </w:rPr>
        <w:t xml:space="preserve"> they added</w:t>
      </w:r>
      <w:r w:rsidR="00924658">
        <w:rPr>
          <w:lang w:val="mi-NZ"/>
        </w:rPr>
        <w:t xml:space="preserve"> this decrease would </w:t>
      </w:r>
      <w:r w:rsidR="00313B48">
        <w:rPr>
          <w:lang w:val="mi-NZ"/>
        </w:rPr>
        <w:t>“</w:t>
      </w:r>
      <w:r w:rsidR="00924658">
        <w:rPr>
          <w:lang w:val="mi-NZ"/>
        </w:rPr>
        <w:t>lik</w:t>
      </w:r>
      <w:r w:rsidR="00313B48">
        <w:rPr>
          <w:lang w:val="mi-NZ"/>
        </w:rPr>
        <w:t>e</w:t>
      </w:r>
      <w:r w:rsidR="00924658">
        <w:rPr>
          <w:lang w:val="mi-NZ"/>
        </w:rPr>
        <w:t xml:space="preserve">ly be offset </w:t>
      </w:r>
      <w:r w:rsidR="00BD614C">
        <w:rPr>
          <w:lang w:val="mi-NZ"/>
        </w:rPr>
        <w:t xml:space="preserve">by expenditure </w:t>
      </w:r>
      <w:r w:rsidR="00FD6FC5">
        <w:rPr>
          <w:lang w:val="mi-NZ"/>
        </w:rPr>
        <w:t>increas</w:t>
      </w:r>
      <w:r w:rsidR="00277BB5">
        <w:rPr>
          <w:lang w:val="mi-NZ"/>
        </w:rPr>
        <w:t>ing</w:t>
      </w:r>
      <w:r w:rsidR="005935AD">
        <w:rPr>
          <w:lang w:val="mi-NZ"/>
        </w:rPr>
        <w:t xml:space="preserve"> to near-normal levels once restrictions ease</w:t>
      </w:r>
      <w:r w:rsidR="00277BB5">
        <w:rPr>
          <w:lang w:val="mi-NZ"/>
        </w:rPr>
        <w:t>”.</w:t>
      </w:r>
      <w:r w:rsidR="00B2162F">
        <w:rPr>
          <w:rStyle w:val="FootnoteReference"/>
          <w:lang w:val="mi-NZ"/>
        </w:rPr>
        <w:footnoteReference w:id="636"/>
      </w:r>
      <w:r w:rsidR="00B2162F">
        <w:rPr>
          <w:lang w:val="mi-NZ"/>
        </w:rPr>
        <w:t xml:space="preserve"> </w:t>
      </w:r>
      <w:r w:rsidR="00277BB5">
        <w:rPr>
          <w:lang w:val="mi-NZ"/>
        </w:rPr>
        <w:t xml:space="preserve"> </w:t>
      </w:r>
      <w:r w:rsidR="000A6C46">
        <w:rPr>
          <w:lang w:val="mi-NZ"/>
        </w:rPr>
        <w:t>A gambling ind</w:t>
      </w:r>
      <w:r w:rsidR="009B04F3">
        <w:rPr>
          <w:lang w:val="mi-NZ"/>
        </w:rPr>
        <w:t>u</w:t>
      </w:r>
      <w:r w:rsidR="000A6C46">
        <w:rPr>
          <w:lang w:val="mi-NZ"/>
        </w:rPr>
        <w:t>stry submitter</w:t>
      </w:r>
      <w:r w:rsidR="00933105">
        <w:rPr>
          <w:lang w:val="mi-NZ"/>
        </w:rPr>
        <w:t xml:space="preserve"> </w:t>
      </w:r>
      <w:r w:rsidR="000A6C46">
        <w:rPr>
          <w:lang w:val="mi-NZ"/>
        </w:rPr>
        <w:t xml:space="preserve">described the difficulty of predicting expenditure </w:t>
      </w:r>
      <w:r w:rsidR="00432EC3">
        <w:rPr>
          <w:lang w:val="mi-NZ"/>
        </w:rPr>
        <w:t>during the</w:t>
      </w:r>
      <w:r w:rsidR="000A6C46">
        <w:rPr>
          <w:lang w:val="mi-NZ"/>
        </w:rPr>
        <w:t xml:space="preserve"> C</w:t>
      </w:r>
      <w:r w:rsidR="00432EC3">
        <w:rPr>
          <w:lang w:val="mi-NZ"/>
        </w:rPr>
        <w:t>OVID-</w:t>
      </w:r>
      <w:r w:rsidR="000A6C46">
        <w:rPr>
          <w:lang w:val="mi-NZ"/>
        </w:rPr>
        <w:t>19</w:t>
      </w:r>
      <w:r w:rsidR="00432EC3">
        <w:rPr>
          <w:lang w:val="mi-NZ"/>
        </w:rPr>
        <w:t xml:space="preserve"> pandemic, noting </w:t>
      </w:r>
      <w:r w:rsidR="00C740EC">
        <w:rPr>
          <w:lang w:val="mi-NZ"/>
        </w:rPr>
        <w:t>it</w:t>
      </w:r>
      <w:r w:rsidR="00432EC3">
        <w:rPr>
          <w:lang w:val="mi-NZ"/>
        </w:rPr>
        <w:t xml:space="preserve"> had no alternative to the conservative approach advocated for in the discussion document.</w:t>
      </w:r>
      <w:r w:rsidR="00B2162F">
        <w:rPr>
          <w:rStyle w:val="FootnoteReference"/>
          <w:lang w:val="mi-NZ"/>
        </w:rPr>
        <w:footnoteReference w:id="637"/>
      </w:r>
    </w:p>
    <w:p w14:paraId="32B3A43D" w14:textId="313D1663" w:rsidR="00277BB5" w:rsidRPr="0031422D" w:rsidRDefault="00AD1775" w:rsidP="0031422D">
      <w:pPr>
        <w:pStyle w:val="BodyText"/>
      </w:pPr>
      <w:r>
        <w:t xml:space="preserve">One </w:t>
      </w:r>
      <w:r w:rsidR="002B4B48">
        <w:t>NCGM submitter</w:t>
      </w:r>
      <w:r w:rsidR="002173CD">
        <w:t xml:space="preserve"> </w:t>
      </w:r>
      <w:r w:rsidR="004E1572">
        <w:t>considered</w:t>
      </w:r>
      <w:r w:rsidR="001857CD">
        <w:t xml:space="preserve"> the expenditure </w:t>
      </w:r>
      <w:r w:rsidR="0054357C">
        <w:t xml:space="preserve">forecast </w:t>
      </w:r>
      <w:r w:rsidR="004E1572">
        <w:t>to be</w:t>
      </w:r>
      <w:r w:rsidR="00382E6D">
        <w:t xml:space="preserve"> “</w:t>
      </w:r>
      <w:r w:rsidR="0031641F">
        <w:t>a</w:t>
      </w:r>
      <w:r w:rsidR="00956BFB" w:rsidRPr="00956BFB">
        <w:t>s realistic as it can be, all things being considered</w:t>
      </w:r>
      <w:r w:rsidR="002D5E4A">
        <w:t>”.</w:t>
      </w:r>
      <w:r w:rsidR="00933105">
        <w:rPr>
          <w:rStyle w:val="FootnoteReference"/>
        </w:rPr>
        <w:footnoteReference w:id="638"/>
      </w:r>
      <w:r w:rsidR="002D5E4A">
        <w:t xml:space="preserve"> </w:t>
      </w:r>
      <w:r w:rsidR="002B0E5E">
        <w:t xml:space="preserve">They </w:t>
      </w:r>
      <w:r w:rsidR="00C863F1">
        <w:t xml:space="preserve">also </w:t>
      </w:r>
      <w:r w:rsidR="00FF0502">
        <w:t>supported th</w:t>
      </w:r>
      <w:r w:rsidR="004C08BB">
        <w:t>e indication</w:t>
      </w:r>
      <w:r w:rsidR="00933105">
        <w:t xml:space="preserve"> in the draft strategy</w:t>
      </w:r>
      <w:r w:rsidR="004C08BB">
        <w:t xml:space="preserve"> </w:t>
      </w:r>
      <w:r w:rsidR="00B97B0B">
        <w:t>to include live data in the</w:t>
      </w:r>
      <w:r w:rsidR="002B0E5E">
        <w:t xml:space="preserve"> e</w:t>
      </w:r>
      <w:r w:rsidR="006D7228">
        <w:t>xpenditure forecasts</w:t>
      </w:r>
      <w:r w:rsidR="00B97B0B">
        <w:t>.</w:t>
      </w:r>
      <w:r w:rsidR="00933105">
        <w:rPr>
          <w:rStyle w:val="FootnoteReference"/>
        </w:rPr>
        <w:footnoteReference w:id="639"/>
      </w:r>
    </w:p>
    <w:p w14:paraId="15C312EC" w14:textId="379F5681" w:rsidR="006434EC" w:rsidRDefault="00A60426" w:rsidP="00107878">
      <w:pPr>
        <w:pStyle w:val="NumberedHeading3"/>
        <w:autoSpaceDE w:val="0"/>
        <w:autoSpaceDN w:val="0"/>
        <w:adjustRightInd w:val="0"/>
        <w:spacing w:line="269" w:lineRule="auto"/>
        <w:jc w:val="both"/>
      </w:pPr>
      <w:bookmarkStart w:id="123" w:name="_Toc88637609"/>
      <w:r>
        <w:t>Lotto NZ</w:t>
      </w:r>
      <w:r w:rsidR="00A31B02">
        <w:t xml:space="preserve"> suggested </w:t>
      </w:r>
      <w:r w:rsidR="00874526">
        <w:t xml:space="preserve">the Ministry adopt </w:t>
      </w:r>
      <w:r w:rsidR="00D10197">
        <w:t>their</w:t>
      </w:r>
      <w:r w:rsidR="00783FBD">
        <w:t xml:space="preserve"> S</w:t>
      </w:r>
      <w:r w:rsidR="00BF42EA">
        <w:t xml:space="preserve">tatement of </w:t>
      </w:r>
      <w:r w:rsidR="00783FBD">
        <w:t>I</w:t>
      </w:r>
      <w:r w:rsidR="00BF42EA">
        <w:t>ntent</w:t>
      </w:r>
      <w:r w:rsidR="00783FBD">
        <w:t xml:space="preserve"> </w:t>
      </w:r>
      <w:r w:rsidR="00A31B02">
        <w:t>expenditure forecast</w:t>
      </w:r>
      <w:bookmarkEnd w:id="123"/>
    </w:p>
    <w:p w14:paraId="635B2CB5" w14:textId="37189464" w:rsidR="00BD6BE2" w:rsidRPr="00BD6BE2" w:rsidRDefault="00F950A5" w:rsidP="00BD6BE2">
      <w:pPr>
        <w:pStyle w:val="BodyText"/>
      </w:pPr>
      <w:r>
        <w:t>Lotto NZ</w:t>
      </w:r>
      <w:r w:rsidR="00676BC6">
        <w:t xml:space="preserve"> </w:t>
      </w:r>
      <w:r w:rsidR="00DF73D9">
        <w:t xml:space="preserve">argued DIA’s forecasts </w:t>
      </w:r>
      <w:r w:rsidR="00BB5520">
        <w:t>in</w:t>
      </w:r>
      <w:r w:rsidR="00DF73D9">
        <w:t xml:space="preserve"> the consultation document were </w:t>
      </w:r>
      <w:r w:rsidR="00BD6BE2">
        <w:t>“</w:t>
      </w:r>
      <w:r w:rsidR="00BD6BE2" w:rsidRPr="00BD6BE2">
        <w:t>significantly higher than the corresponding values from our 2022-25 Statement of Intent (SOI) prepared earlier this year</w:t>
      </w:r>
      <w:r w:rsidR="00BD6BE2">
        <w:t>”</w:t>
      </w:r>
      <w:r w:rsidR="00676BC6">
        <w:t>.</w:t>
      </w:r>
      <w:r w:rsidR="00676BC6">
        <w:rPr>
          <w:rStyle w:val="FootnoteReference"/>
        </w:rPr>
        <w:footnoteReference w:id="640"/>
      </w:r>
      <w:r w:rsidR="00BD6BE2">
        <w:t xml:space="preserve"> </w:t>
      </w:r>
      <w:r w:rsidR="00947583">
        <w:t>Lo</w:t>
      </w:r>
      <w:r w:rsidR="0062587B">
        <w:t>t</w:t>
      </w:r>
      <w:r w:rsidR="00947583">
        <w:t>t</w:t>
      </w:r>
      <w:r w:rsidR="0062587B">
        <w:t>o</w:t>
      </w:r>
      <w:r w:rsidR="00947583">
        <w:t xml:space="preserve"> NZ </w:t>
      </w:r>
      <w:r w:rsidR="002F7FD6">
        <w:t>argued</w:t>
      </w:r>
      <w:r w:rsidR="00947583">
        <w:t xml:space="preserve"> the </w:t>
      </w:r>
      <w:r w:rsidR="00453A98">
        <w:t xml:space="preserve">stated </w:t>
      </w:r>
      <w:r w:rsidR="008125E0">
        <w:t xml:space="preserve">reason for higher </w:t>
      </w:r>
      <w:r w:rsidR="009108B7">
        <w:t>expenditure in 2019/20</w:t>
      </w:r>
      <w:r w:rsidR="00A07A36">
        <w:t xml:space="preserve"> </w:t>
      </w:r>
      <w:r w:rsidR="00453A98">
        <w:t xml:space="preserve">(growth of online players) </w:t>
      </w:r>
      <w:r w:rsidR="00A07A36">
        <w:t xml:space="preserve">was not </w:t>
      </w:r>
      <w:r w:rsidR="003860CF">
        <w:t>correct and</w:t>
      </w:r>
      <w:r w:rsidR="0062587B">
        <w:t xml:space="preserve"> was instead </w:t>
      </w:r>
      <w:r w:rsidR="00D77614">
        <w:t xml:space="preserve">the result of a </w:t>
      </w:r>
      <w:r w:rsidR="00725B9D">
        <w:t xml:space="preserve">rare </w:t>
      </w:r>
      <w:r w:rsidR="00ED39A3">
        <w:t>Powerball-</w:t>
      </w:r>
      <w:r w:rsidR="00097373">
        <w:t>M</w:t>
      </w:r>
      <w:r w:rsidR="00ED39A3">
        <w:t>ust-be-</w:t>
      </w:r>
      <w:r w:rsidR="00097373">
        <w:t>W</w:t>
      </w:r>
      <w:r w:rsidR="00ED39A3">
        <w:t>on</w:t>
      </w:r>
      <w:r w:rsidR="00097373">
        <w:t xml:space="preserve"> draw.</w:t>
      </w:r>
      <w:r w:rsidR="00A32FFD">
        <w:rPr>
          <w:rStyle w:val="FootnoteReference"/>
        </w:rPr>
        <w:footnoteReference w:id="641"/>
      </w:r>
      <w:r w:rsidR="00097373">
        <w:t xml:space="preserve"> </w:t>
      </w:r>
      <w:r w:rsidR="00287CBD">
        <w:t xml:space="preserve">They suggested </w:t>
      </w:r>
      <w:r w:rsidR="009D3BC5">
        <w:t xml:space="preserve">the Ministry </w:t>
      </w:r>
      <w:r w:rsidR="00480C36">
        <w:t>adopt</w:t>
      </w:r>
      <w:r w:rsidR="00D563AC">
        <w:t xml:space="preserve"> Lotto</w:t>
      </w:r>
      <w:r w:rsidR="00604B7F">
        <w:t xml:space="preserve"> NZ’s SOI forecast</w:t>
      </w:r>
      <w:r w:rsidR="00E070F1">
        <w:t>, which ha</w:t>
      </w:r>
      <w:r w:rsidR="00A70609">
        <w:t>d</w:t>
      </w:r>
      <w:r w:rsidR="00E070F1">
        <w:t xml:space="preserve"> been reviewed by </w:t>
      </w:r>
      <w:r w:rsidR="00BF42EA">
        <w:t xml:space="preserve">the </w:t>
      </w:r>
      <w:r w:rsidR="00E070F1">
        <w:t xml:space="preserve">Treasury </w:t>
      </w:r>
      <w:r w:rsidR="000E128A">
        <w:t>and approved by the Minister of Inter</w:t>
      </w:r>
      <w:r w:rsidR="008A6F70">
        <w:t>nal Affairs.</w:t>
      </w:r>
      <w:r w:rsidR="009B04F3">
        <w:rPr>
          <w:rStyle w:val="FootnoteReference"/>
        </w:rPr>
        <w:footnoteReference w:id="642"/>
      </w:r>
      <w:r w:rsidR="008A6F70">
        <w:t xml:space="preserve"> </w:t>
      </w:r>
      <w:bookmarkStart w:id="124" w:name="_Toc430861753"/>
      <w:bookmarkStart w:id="125" w:name="_Toc529788372"/>
      <w:bookmarkStart w:id="126" w:name="_Toc430861752"/>
    </w:p>
    <w:p w14:paraId="76C98BA9" w14:textId="7106AD9A" w:rsidR="00926288" w:rsidRDefault="00132E36" w:rsidP="00E30B71">
      <w:pPr>
        <w:pStyle w:val="NumberedHeading2"/>
      </w:pPr>
      <w:bookmarkStart w:id="127" w:name="_Toc88637610"/>
      <w:r w:rsidRPr="009E7223">
        <w:t>The degree of support for the various weighting options</w:t>
      </w:r>
      <w:bookmarkEnd w:id="124"/>
      <w:bookmarkEnd w:id="125"/>
      <w:bookmarkEnd w:id="127"/>
    </w:p>
    <w:p w14:paraId="1CD14247" w14:textId="1B2BBC55" w:rsidR="000B5AF9" w:rsidRDefault="009B04F3" w:rsidP="000B5AF9">
      <w:pPr>
        <w:pStyle w:val="BodyText"/>
      </w:pPr>
      <w:r>
        <w:t>Twenty-four</w:t>
      </w:r>
      <w:r w:rsidR="000B5AF9">
        <w:t xml:space="preserve"> submitters </w:t>
      </w:r>
      <w:r w:rsidR="00D848A9">
        <w:t xml:space="preserve">including </w:t>
      </w:r>
      <w:r w:rsidR="000B5AF9">
        <w:t xml:space="preserve">twelve NCGM submitters, four gambling industry submitters, four service providers, two health and social service submitters, one individual, and one </w:t>
      </w:r>
      <w:r w:rsidR="000A2C6B">
        <w:t>l</w:t>
      </w:r>
      <w:r w:rsidR="000B5AF9">
        <w:t xml:space="preserve">ocal </w:t>
      </w:r>
      <w:r w:rsidR="000A2C6B">
        <w:t>g</w:t>
      </w:r>
      <w:r w:rsidR="000B5AF9">
        <w:t>overnment</w:t>
      </w:r>
      <w:r w:rsidR="007C0DDB">
        <w:t xml:space="preserve"> submitter</w:t>
      </w:r>
      <w:r w:rsidR="000B5AF9">
        <w:t xml:space="preserve"> </w:t>
      </w:r>
      <w:r w:rsidR="000B5AF9" w:rsidRPr="009E7223">
        <w:t xml:space="preserve">commented </w:t>
      </w:r>
      <w:r w:rsidR="00786109">
        <w:t xml:space="preserve">on </w:t>
      </w:r>
      <w:r w:rsidR="000B5AF9">
        <w:t>the various weighting options or whether there were any realistic alternatives.</w:t>
      </w:r>
      <w:r>
        <w:rPr>
          <w:rStyle w:val="FootnoteReference"/>
        </w:rPr>
        <w:footnoteReference w:id="643"/>
      </w:r>
    </w:p>
    <w:p w14:paraId="558AEE92" w14:textId="4DB2A77B" w:rsidR="002071D7" w:rsidRPr="000B5AF9" w:rsidRDefault="00BC10EF" w:rsidP="000B5AF9">
      <w:pPr>
        <w:pStyle w:val="BodyText"/>
      </w:pPr>
      <w:r>
        <w:rPr>
          <w:highlight w:val="yellow"/>
        </w:rPr>
        <w:fldChar w:fldCharType="begin"/>
      </w:r>
      <w:r>
        <w:instrText xml:space="preserve"> REF _Ref86402927 \h </w:instrText>
      </w:r>
      <w:r>
        <w:rPr>
          <w:highlight w:val="yellow"/>
        </w:rPr>
      </w:r>
      <w:r>
        <w:rPr>
          <w:highlight w:val="yellow"/>
        </w:rPr>
        <w:fldChar w:fldCharType="separate"/>
      </w:r>
      <w:r w:rsidR="00071098">
        <w:t xml:space="preserve">Table </w:t>
      </w:r>
      <w:r w:rsidR="00071098">
        <w:rPr>
          <w:noProof/>
        </w:rPr>
        <w:t>5</w:t>
      </w:r>
      <w:r>
        <w:rPr>
          <w:highlight w:val="yellow"/>
        </w:rPr>
        <w:fldChar w:fldCharType="end"/>
      </w:r>
      <w:r>
        <w:t xml:space="preserve"> </w:t>
      </w:r>
      <w:r w:rsidR="002071D7">
        <w:t xml:space="preserve">below shows the level of support for each weighting preference. </w:t>
      </w:r>
    </w:p>
    <w:p w14:paraId="7EB02D38" w14:textId="2E9578A2" w:rsidR="00281EAB" w:rsidRDefault="00BC10EF" w:rsidP="00BC10EF">
      <w:pPr>
        <w:pStyle w:val="Caption"/>
      </w:pPr>
      <w:bookmarkStart w:id="128" w:name="_Ref86402927"/>
      <w:bookmarkStart w:id="129" w:name="_Toc88637642"/>
      <w:r>
        <w:lastRenderedPageBreak/>
        <w:t xml:space="preserve">Table </w:t>
      </w:r>
      <w:r>
        <w:fldChar w:fldCharType="begin"/>
      </w:r>
      <w:r>
        <w:instrText xml:space="preserve"> SEQ Table \* ARABIC </w:instrText>
      </w:r>
      <w:r>
        <w:fldChar w:fldCharType="separate"/>
      </w:r>
      <w:r w:rsidR="00071098">
        <w:rPr>
          <w:noProof/>
        </w:rPr>
        <w:t>5</w:t>
      </w:r>
      <w:r>
        <w:fldChar w:fldCharType="end"/>
      </w:r>
      <w:bookmarkEnd w:id="128"/>
      <w:r>
        <w:t xml:space="preserve">: </w:t>
      </w:r>
      <w:r w:rsidRPr="008A38AB">
        <w:t>Level of support for each weighting preference, by number</w:t>
      </w:r>
      <w:r w:rsidR="00B558AF">
        <w:t xml:space="preserve"> of submitters</w:t>
      </w:r>
      <w:bookmarkEnd w:id="129"/>
    </w:p>
    <w:tbl>
      <w:tblPr>
        <w:tblStyle w:val="ACGrey-BasicTable"/>
        <w:tblW w:w="9040" w:type="dxa"/>
        <w:tblLook w:val="04A0" w:firstRow="1" w:lastRow="0" w:firstColumn="1" w:lastColumn="0" w:noHBand="0" w:noVBand="1"/>
      </w:tblPr>
      <w:tblGrid>
        <w:gridCol w:w="1724"/>
        <w:gridCol w:w="1791"/>
        <w:gridCol w:w="1796"/>
        <w:gridCol w:w="1766"/>
        <w:gridCol w:w="1963"/>
      </w:tblGrid>
      <w:tr w:rsidR="00DD23E4" w:rsidRPr="009E7223" w14:paraId="6FDAF519" w14:textId="77777777" w:rsidTr="00BC10EF">
        <w:trPr>
          <w:cnfStyle w:val="100000000000" w:firstRow="1" w:lastRow="0" w:firstColumn="0" w:lastColumn="0" w:oddVBand="0" w:evenVBand="0" w:oddHBand="0" w:evenHBand="0" w:firstRowFirstColumn="0" w:firstRowLastColumn="0" w:lastRowFirstColumn="0" w:lastRowLastColumn="0"/>
          <w:trHeight w:val="764"/>
        </w:trPr>
        <w:tc>
          <w:tcPr>
            <w:tcW w:w="1724" w:type="dxa"/>
          </w:tcPr>
          <w:p w14:paraId="1A675387" w14:textId="09FD3313" w:rsidR="003D78E6" w:rsidRPr="009E7223" w:rsidRDefault="003D78E6" w:rsidP="003D78E6">
            <w:pPr>
              <w:pStyle w:val="BodyText"/>
              <w:jc w:val="center"/>
            </w:pPr>
            <w:r>
              <w:t>5/95</w:t>
            </w:r>
          </w:p>
        </w:tc>
        <w:tc>
          <w:tcPr>
            <w:tcW w:w="1791" w:type="dxa"/>
          </w:tcPr>
          <w:p w14:paraId="08FC23C2" w14:textId="0A0CA877" w:rsidR="003D78E6" w:rsidRPr="009E7223" w:rsidRDefault="003D78E6" w:rsidP="003D78E6">
            <w:pPr>
              <w:pStyle w:val="BodyText"/>
              <w:jc w:val="center"/>
            </w:pPr>
            <w:r>
              <w:t>10/90</w:t>
            </w:r>
          </w:p>
        </w:tc>
        <w:tc>
          <w:tcPr>
            <w:tcW w:w="1796" w:type="dxa"/>
          </w:tcPr>
          <w:p w14:paraId="4BF4886A" w14:textId="22A79F3F" w:rsidR="003D78E6" w:rsidRPr="009E7223" w:rsidRDefault="003D78E6" w:rsidP="003D78E6">
            <w:pPr>
              <w:pStyle w:val="BodyText"/>
              <w:jc w:val="center"/>
            </w:pPr>
            <w:r>
              <w:t>20/80</w:t>
            </w:r>
          </w:p>
        </w:tc>
        <w:tc>
          <w:tcPr>
            <w:tcW w:w="1766" w:type="dxa"/>
            <w:hideMark/>
          </w:tcPr>
          <w:p w14:paraId="7F223A86" w14:textId="52A20AC6" w:rsidR="003D78E6" w:rsidRPr="009E7223" w:rsidRDefault="003D78E6" w:rsidP="003D78E6">
            <w:pPr>
              <w:pStyle w:val="BodyText"/>
              <w:jc w:val="center"/>
            </w:pPr>
            <w:r>
              <w:t>30/70</w:t>
            </w:r>
          </w:p>
        </w:tc>
        <w:tc>
          <w:tcPr>
            <w:tcW w:w="1963" w:type="dxa"/>
            <w:hideMark/>
          </w:tcPr>
          <w:p w14:paraId="5F2C15B9" w14:textId="136FEB73" w:rsidR="003D78E6" w:rsidRPr="009E7223" w:rsidRDefault="003D78E6" w:rsidP="003D78E6">
            <w:pPr>
              <w:pStyle w:val="BodyText"/>
              <w:jc w:val="center"/>
            </w:pPr>
            <w:r>
              <w:t>Other</w:t>
            </w:r>
          </w:p>
        </w:tc>
      </w:tr>
      <w:tr w:rsidR="006C6EDF" w:rsidRPr="009E7223" w14:paraId="58C2108D" w14:textId="77777777" w:rsidTr="00BC10EF">
        <w:trPr>
          <w:trHeight w:val="494"/>
        </w:trPr>
        <w:tc>
          <w:tcPr>
            <w:tcW w:w="1724" w:type="dxa"/>
            <w:hideMark/>
          </w:tcPr>
          <w:p w14:paraId="3DF9A35D" w14:textId="34E3A121" w:rsidR="006C6EDF" w:rsidRPr="009E7223" w:rsidRDefault="00AA453F" w:rsidP="00BB112E">
            <w:pPr>
              <w:pStyle w:val="BodyText"/>
              <w:jc w:val="center"/>
            </w:pPr>
            <w:r>
              <w:t>4</w:t>
            </w:r>
          </w:p>
        </w:tc>
        <w:tc>
          <w:tcPr>
            <w:tcW w:w="1791" w:type="dxa"/>
            <w:hideMark/>
          </w:tcPr>
          <w:p w14:paraId="2CFCF430" w14:textId="2DD64CEB" w:rsidR="006C6EDF" w:rsidRPr="009E7223" w:rsidRDefault="006C6EDF" w:rsidP="00BB112E">
            <w:pPr>
              <w:pStyle w:val="BodyText"/>
              <w:jc w:val="center"/>
            </w:pPr>
            <w:r>
              <w:rPr>
                <w:sz w:val="20"/>
                <w:szCs w:val="20"/>
              </w:rPr>
              <w:t>4</w:t>
            </w:r>
          </w:p>
        </w:tc>
        <w:tc>
          <w:tcPr>
            <w:tcW w:w="1796" w:type="dxa"/>
            <w:hideMark/>
          </w:tcPr>
          <w:p w14:paraId="7F30A143" w14:textId="71B4E854" w:rsidR="006C6EDF" w:rsidRPr="009E7223" w:rsidRDefault="00EA6B70" w:rsidP="00BB112E">
            <w:pPr>
              <w:pStyle w:val="BodyText"/>
              <w:jc w:val="center"/>
            </w:pPr>
            <w:r>
              <w:t>0</w:t>
            </w:r>
          </w:p>
        </w:tc>
        <w:tc>
          <w:tcPr>
            <w:tcW w:w="1766" w:type="dxa"/>
            <w:hideMark/>
          </w:tcPr>
          <w:p w14:paraId="07A780A7" w14:textId="452B636B" w:rsidR="006C6EDF" w:rsidRPr="009E7223" w:rsidRDefault="00EA6B70" w:rsidP="00BB112E">
            <w:pPr>
              <w:pStyle w:val="BodyText"/>
              <w:jc w:val="center"/>
            </w:pPr>
            <w:r>
              <w:t>1</w:t>
            </w:r>
            <w:r w:rsidR="00AA453F">
              <w:t>3</w:t>
            </w:r>
          </w:p>
        </w:tc>
        <w:tc>
          <w:tcPr>
            <w:tcW w:w="1963" w:type="dxa"/>
            <w:hideMark/>
          </w:tcPr>
          <w:p w14:paraId="3FFF3D24" w14:textId="7885E5A2" w:rsidR="006C6EDF" w:rsidRPr="009E7223" w:rsidRDefault="003D78E6" w:rsidP="00BB112E">
            <w:pPr>
              <w:pStyle w:val="BodyText"/>
              <w:jc w:val="center"/>
            </w:pPr>
            <w:r>
              <w:t>3</w:t>
            </w:r>
          </w:p>
        </w:tc>
      </w:tr>
    </w:tbl>
    <w:p w14:paraId="7E2A6D22" w14:textId="53B4B02F" w:rsidR="006F264A" w:rsidRDefault="009B5020" w:rsidP="006F264A">
      <w:pPr>
        <w:pStyle w:val="NumberedHeading3"/>
        <w:autoSpaceDE w:val="0"/>
        <w:autoSpaceDN w:val="0"/>
        <w:adjustRightInd w:val="0"/>
        <w:spacing w:line="269" w:lineRule="auto"/>
        <w:jc w:val="both"/>
      </w:pPr>
      <w:bookmarkStart w:id="130" w:name="_Toc88637611"/>
      <w:r>
        <w:t xml:space="preserve">Submitters supported a </w:t>
      </w:r>
      <w:r w:rsidR="006F264A">
        <w:t>30/70 weighting</w:t>
      </w:r>
      <w:r w:rsidR="003D0593">
        <w:t xml:space="preserve"> </w:t>
      </w:r>
      <w:r w:rsidR="00CB2413">
        <w:t>and</w:t>
      </w:r>
      <w:r w:rsidR="004F1A6E">
        <w:t xml:space="preserve"> almost all NCGM submitters preferred this weighting</w:t>
      </w:r>
      <w:bookmarkEnd w:id="130"/>
    </w:p>
    <w:p w14:paraId="3CA9A2A5" w14:textId="390C1615" w:rsidR="006F264A" w:rsidRDefault="00AA453F" w:rsidP="006F264A">
      <w:pPr>
        <w:pStyle w:val="BodyText"/>
      </w:pPr>
      <w:r>
        <w:t>Thirteen</w:t>
      </w:r>
      <w:r w:rsidR="006F264A">
        <w:t xml:space="preserve"> submitters</w:t>
      </w:r>
      <w:r w:rsidR="002D083D">
        <w:t xml:space="preserve"> including </w:t>
      </w:r>
      <w:r w:rsidR="00F97FD3">
        <w:t>ten</w:t>
      </w:r>
      <w:r w:rsidR="00F667CB">
        <w:t xml:space="preserve"> NCGM submitters</w:t>
      </w:r>
      <w:r w:rsidR="00F97FD3">
        <w:t xml:space="preserve">, </w:t>
      </w:r>
      <w:r>
        <w:t>two</w:t>
      </w:r>
      <w:r w:rsidR="00F667CB">
        <w:t xml:space="preserve"> service provider</w:t>
      </w:r>
      <w:r>
        <w:t>s</w:t>
      </w:r>
      <w:r w:rsidR="00D147AB">
        <w:t xml:space="preserve">, and one </w:t>
      </w:r>
      <w:r w:rsidR="000A2C6B">
        <w:t>l</w:t>
      </w:r>
      <w:r w:rsidR="00D147AB">
        <w:t xml:space="preserve">ocal </w:t>
      </w:r>
      <w:r w:rsidR="000A2C6B">
        <w:t>g</w:t>
      </w:r>
      <w:r w:rsidR="00D147AB">
        <w:t>ov</w:t>
      </w:r>
      <w:r w:rsidR="00AD67D5">
        <w:t>ernment</w:t>
      </w:r>
      <w:r w:rsidR="006F264A">
        <w:t xml:space="preserve"> </w:t>
      </w:r>
      <w:r w:rsidR="003A6A58">
        <w:t xml:space="preserve">submitter </w:t>
      </w:r>
      <w:r w:rsidR="001F4018">
        <w:t>supported</w:t>
      </w:r>
      <w:r w:rsidR="006F264A">
        <w:t xml:space="preserve"> a 30/70 weighting.</w:t>
      </w:r>
      <w:r w:rsidR="00CB2413">
        <w:rPr>
          <w:rStyle w:val="FootnoteReference"/>
        </w:rPr>
        <w:footnoteReference w:id="644"/>
      </w:r>
      <w:r w:rsidR="006F264A">
        <w:t xml:space="preserve"> </w:t>
      </w:r>
      <w:r w:rsidR="001174B4">
        <w:t xml:space="preserve">They noted this was the </w:t>
      </w:r>
      <w:r w:rsidR="007F494F">
        <w:t xml:space="preserve">highest </w:t>
      </w:r>
      <w:r w:rsidR="00786C41">
        <w:t xml:space="preserve">weighting of expenditure being considered. </w:t>
      </w:r>
      <w:r w:rsidR="006C317E">
        <w:t xml:space="preserve">Support was due to </w:t>
      </w:r>
      <w:r w:rsidR="006F264A">
        <w:t xml:space="preserve">the Act’s wide definition of harm and the increasing prevalence of online gambling options. They described presentations as a subjective measure of help-seeking behaviour. </w:t>
      </w:r>
      <w:r w:rsidR="00ED566D">
        <w:t xml:space="preserve">Submitters </w:t>
      </w:r>
      <w:r w:rsidR="00154894">
        <w:t xml:space="preserve">further comments </w:t>
      </w:r>
      <w:r w:rsidR="00921522">
        <w:t>are</w:t>
      </w:r>
      <w:r w:rsidR="00154894">
        <w:t xml:space="preserve"> su</w:t>
      </w:r>
      <w:r w:rsidR="00F53E1A">
        <w:t>mmarised</w:t>
      </w:r>
      <w:r w:rsidR="00154894">
        <w:t xml:space="preserve"> b</w:t>
      </w:r>
      <w:r w:rsidR="008C0383">
        <w:t>elow</w:t>
      </w:r>
      <w:r w:rsidR="00921522">
        <w:t>.</w:t>
      </w:r>
    </w:p>
    <w:p w14:paraId="52D15FFE" w14:textId="4C14B6A8" w:rsidR="006F264A" w:rsidRPr="001F4018" w:rsidRDefault="006F264A" w:rsidP="001F4018">
      <w:pPr>
        <w:pStyle w:val="CV-Heading2"/>
        <w:rPr>
          <w:i/>
          <w:iCs/>
        </w:rPr>
      </w:pPr>
      <w:r w:rsidRPr="001F4018">
        <w:rPr>
          <w:i/>
          <w:iCs/>
        </w:rPr>
        <w:t>30/70 weighting best reflects the Act’s wide definition of harm</w:t>
      </w:r>
    </w:p>
    <w:p w14:paraId="455C7B20" w14:textId="39BA6CFD" w:rsidR="006F264A" w:rsidRDefault="00423C05" w:rsidP="006F264A">
      <w:pPr>
        <w:pStyle w:val="BodyText"/>
      </w:pPr>
      <w:r>
        <w:t>Nine</w:t>
      </w:r>
      <w:r w:rsidR="00B015D6">
        <w:t xml:space="preserve"> submitters</w:t>
      </w:r>
      <w:r w:rsidR="00BC08C3">
        <w:t xml:space="preserve"> </w:t>
      </w:r>
      <w:r w:rsidR="002D083D">
        <w:t xml:space="preserve">including </w:t>
      </w:r>
      <w:r>
        <w:t>eight</w:t>
      </w:r>
      <w:r w:rsidR="00655217">
        <w:t xml:space="preserve"> </w:t>
      </w:r>
      <w:r w:rsidR="0097124C">
        <w:t>NCGM</w:t>
      </w:r>
      <w:r w:rsidR="00256CAB">
        <w:t xml:space="preserve"> submitters</w:t>
      </w:r>
      <w:r w:rsidR="00450EBF">
        <w:t xml:space="preserve"> </w:t>
      </w:r>
      <w:r w:rsidR="00BC08C3">
        <w:t>and</w:t>
      </w:r>
      <w:r w:rsidR="008721F5">
        <w:t xml:space="preserve"> </w:t>
      </w:r>
      <w:r w:rsidR="001F4018">
        <w:t>one</w:t>
      </w:r>
      <w:r w:rsidR="008721F5">
        <w:t xml:space="preserve"> </w:t>
      </w:r>
      <w:r w:rsidR="00170BD7">
        <w:t>l</w:t>
      </w:r>
      <w:r w:rsidR="00655CA3">
        <w:t xml:space="preserve">ocal </w:t>
      </w:r>
      <w:r w:rsidR="00170BD7">
        <w:t>g</w:t>
      </w:r>
      <w:r w:rsidR="00655CA3">
        <w:t>overnment</w:t>
      </w:r>
      <w:r w:rsidR="009B344A">
        <w:t xml:space="preserve"> submitter</w:t>
      </w:r>
      <w:r w:rsidR="001F4018">
        <w:rPr>
          <w:rStyle w:val="FootnoteReference"/>
        </w:rPr>
        <w:footnoteReference w:id="645"/>
      </w:r>
      <w:r w:rsidR="00450EBF">
        <w:t xml:space="preserve"> argued </w:t>
      </w:r>
      <w:r w:rsidR="00C00423">
        <w:t xml:space="preserve">30/70 was the most appropriate weighting </w:t>
      </w:r>
      <w:r w:rsidR="009B5367">
        <w:t xml:space="preserve">given the Act’s wide definition of </w:t>
      </w:r>
      <w:r w:rsidR="00F659A8">
        <w:t>harm</w:t>
      </w:r>
      <w:r w:rsidR="00FA787B">
        <w:t xml:space="preserve">. </w:t>
      </w:r>
      <w:r w:rsidR="009B344A">
        <w:t>It</w:t>
      </w:r>
      <w:r w:rsidR="00B22542" w:rsidDel="009B344A">
        <w:t xml:space="preserve"> </w:t>
      </w:r>
      <w:r w:rsidR="00324D82">
        <w:t>was</w:t>
      </w:r>
      <w:r w:rsidR="00B22542">
        <w:t xml:space="preserve"> appropriate </w:t>
      </w:r>
      <w:r w:rsidR="00996210">
        <w:t xml:space="preserve">that </w:t>
      </w:r>
      <w:r w:rsidR="002B6B5A">
        <w:t xml:space="preserve">high-quality services </w:t>
      </w:r>
      <w:r w:rsidR="009B344A">
        <w:t xml:space="preserve">be </w:t>
      </w:r>
      <w:r w:rsidR="00B32477">
        <w:t xml:space="preserve">readily </w:t>
      </w:r>
      <w:r w:rsidR="002B6B5A">
        <w:t xml:space="preserve">available to </w:t>
      </w:r>
      <w:r w:rsidR="00E427EE">
        <w:t>acute problem gamblers</w:t>
      </w:r>
      <w:r w:rsidR="009B344A">
        <w:t>,</w:t>
      </w:r>
      <w:r w:rsidR="008F6DB4">
        <w:rPr>
          <w:rStyle w:val="FootnoteReference"/>
        </w:rPr>
        <w:footnoteReference w:id="646"/>
      </w:r>
      <w:r w:rsidR="00E427EE">
        <w:t xml:space="preserve"> </w:t>
      </w:r>
      <w:r w:rsidR="00AA3360">
        <w:t>but d</w:t>
      </w:r>
      <w:r w:rsidR="00324D82">
        <w:t>e</w:t>
      </w:r>
      <w:r w:rsidR="00AA3360">
        <w:t xml:space="preserve">scribed the </w:t>
      </w:r>
      <w:r w:rsidR="00C21E24">
        <w:t>levy funding</w:t>
      </w:r>
      <w:r w:rsidR="00AA3360">
        <w:t xml:space="preserve"> </w:t>
      </w:r>
      <w:r w:rsidR="005B431F">
        <w:t xml:space="preserve">as </w:t>
      </w:r>
      <w:r w:rsidR="00324D82">
        <w:t xml:space="preserve">having much wider </w:t>
      </w:r>
      <w:r w:rsidR="005229C3">
        <w:t>ramifications than for just</w:t>
      </w:r>
      <w:r w:rsidR="00D6003C">
        <w:t xml:space="preserve"> </w:t>
      </w:r>
      <w:r w:rsidR="00CD4471">
        <w:t>this</w:t>
      </w:r>
      <w:r w:rsidR="00EB178D">
        <w:t xml:space="preserve"> p</w:t>
      </w:r>
      <w:r w:rsidR="00E849F1">
        <w:t xml:space="preserve">roportion </w:t>
      </w:r>
      <w:r w:rsidR="000114E5">
        <w:t xml:space="preserve">of </w:t>
      </w:r>
      <w:r w:rsidR="006D6319">
        <w:t xml:space="preserve">problem </w:t>
      </w:r>
      <w:r w:rsidR="00CD4471">
        <w:t>gamblers</w:t>
      </w:r>
      <w:r w:rsidR="00251CDB">
        <w:t>.</w:t>
      </w:r>
      <w:r w:rsidR="0048047F">
        <w:rPr>
          <w:rStyle w:val="FootnoteReference"/>
        </w:rPr>
        <w:footnoteReference w:id="647"/>
      </w:r>
      <w:r w:rsidR="00C05830">
        <w:t xml:space="preserve"> </w:t>
      </w:r>
      <w:r w:rsidR="001C53D4">
        <w:t xml:space="preserve">They </w:t>
      </w:r>
      <w:r w:rsidR="00491E13">
        <w:t xml:space="preserve">described </w:t>
      </w:r>
      <w:r w:rsidR="001A2978">
        <w:t xml:space="preserve">presentations as not reflecting </w:t>
      </w:r>
      <w:r w:rsidR="00DA06C9">
        <w:t xml:space="preserve">low and moderate </w:t>
      </w:r>
      <w:r w:rsidR="00C81900">
        <w:t>risk gamblers</w:t>
      </w:r>
      <w:r w:rsidR="00624D66">
        <w:t xml:space="preserve">, </w:t>
      </w:r>
      <w:r w:rsidR="004C26C0">
        <w:t xml:space="preserve">and one submitter </w:t>
      </w:r>
      <w:r w:rsidR="00624D66">
        <w:t>added this “means</w:t>
      </w:r>
      <w:r w:rsidR="00624D66" w:rsidRPr="00624D66">
        <w:t xml:space="preserve"> that the New Zealand Lotteries Commission’s share of the levy is underestimated when a high weighting is placed on the presentation data</w:t>
      </w:r>
      <w:r w:rsidR="00624D66">
        <w:t>”.</w:t>
      </w:r>
      <w:r w:rsidR="004C26C0">
        <w:rPr>
          <w:rStyle w:val="FootnoteReference"/>
        </w:rPr>
        <w:footnoteReference w:id="648"/>
      </w:r>
    </w:p>
    <w:p w14:paraId="5B506354" w14:textId="2C9A10BE" w:rsidR="00F93BBB" w:rsidRDefault="004C26C0" w:rsidP="006F264A">
      <w:pPr>
        <w:pStyle w:val="BodyText"/>
      </w:pPr>
      <w:r>
        <w:t>One NCGM</w:t>
      </w:r>
      <w:r w:rsidR="00B7268C">
        <w:t xml:space="preserve"> submitter</w:t>
      </w:r>
      <w:r w:rsidR="005B09A4">
        <w:t xml:space="preserve"> </w:t>
      </w:r>
      <w:r w:rsidR="004D66A6">
        <w:t xml:space="preserve">noted </w:t>
      </w:r>
      <w:r w:rsidR="003B34E6">
        <w:t>“</w:t>
      </w:r>
      <w:r w:rsidR="00365ED0">
        <w:t>t</w:t>
      </w:r>
      <w:r w:rsidR="003B34E6" w:rsidRPr="003B34E6">
        <w:t>he</w:t>
      </w:r>
      <w:r w:rsidR="004D66A6">
        <w:t xml:space="preserve"> </w:t>
      </w:r>
      <w:r w:rsidR="00D24BAE">
        <w:t xml:space="preserve">Ministry has acknowledged </w:t>
      </w:r>
      <w:r w:rsidR="003B34E6" w:rsidRPr="003B34E6">
        <w:t xml:space="preserve">that </w:t>
      </w:r>
      <w:r w:rsidR="001A5ECF">
        <w:t>it is inappropriate</w:t>
      </w:r>
      <w:r w:rsidR="00D24BAE">
        <w:t xml:space="preserve"> </w:t>
      </w:r>
      <w:r w:rsidR="008D0AEE">
        <w:t xml:space="preserve">to place a high weighting on presentations given the </w:t>
      </w:r>
      <w:r w:rsidR="003B34E6" w:rsidRPr="003B34E6">
        <w:t>wide definition of harm</w:t>
      </w:r>
      <w:r w:rsidR="00E41429">
        <w:t>”</w:t>
      </w:r>
      <w:r w:rsidR="00C00CC6">
        <w:t xml:space="preserve">, </w:t>
      </w:r>
      <w:r w:rsidR="008B0DA3">
        <w:t>citing the 2018 consultation document</w:t>
      </w:r>
      <w:r w:rsidR="00140B0C">
        <w:t>.</w:t>
      </w:r>
      <w:r>
        <w:rPr>
          <w:rStyle w:val="FootnoteReference"/>
        </w:rPr>
        <w:footnoteReference w:id="649"/>
      </w:r>
    </w:p>
    <w:p w14:paraId="2AA29FC0" w14:textId="40D2F28E" w:rsidR="00022A48" w:rsidRDefault="00F227A2" w:rsidP="006F264A">
      <w:pPr>
        <w:pStyle w:val="BodyText"/>
      </w:pPr>
      <w:r>
        <w:t>Three NCGM</w:t>
      </w:r>
      <w:r w:rsidR="005E5111">
        <w:t xml:space="preserve"> submitters</w:t>
      </w:r>
      <w:r w:rsidR="00214BC1">
        <w:t xml:space="preserve"> </w:t>
      </w:r>
      <w:r w:rsidR="001A12E4">
        <w:t xml:space="preserve">added </w:t>
      </w:r>
      <w:r w:rsidR="004C26C0">
        <w:t xml:space="preserve">that </w:t>
      </w:r>
      <w:r w:rsidR="001A12E4">
        <w:t>a</w:t>
      </w:r>
      <w:r w:rsidR="00A511F6">
        <w:t xml:space="preserve"> 30/70 weighting</w:t>
      </w:r>
      <w:r w:rsidR="0058559B">
        <w:t xml:space="preserve"> better reflect</w:t>
      </w:r>
      <w:r w:rsidR="000A26BA">
        <w:t>s</w:t>
      </w:r>
      <w:r w:rsidR="0058559B">
        <w:t xml:space="preserve"> </w:t>
      </w:r>
      <w:r w:rsidR="00BF28CC">
        <w:t>a user pays model</w:t>
      </w:r>
      <w:r w:rsidR="001A12E4">
        <w:t xml:space="preserve"> which the</w:t>
      </w:r>
      <w:r w:rsidR="000A26BA">
        <w:t>y considered appropriate</w:t>
      </w:r>
      <w:r w:rsidR="00393473">
        <w:t xml:space="preserve"> given the wide definition of harm</w:t>
      </w:r>
      <w:r w:rsidR="004F4D57">
        <w:t xml:space="preserve"> and the benefits of the strategy.</w:t>
      </w:r>
      <w:r w:rsidR="004C26C0">
        <w:rPr>
          <w:rStyle w:val="FootnoteReference"/>
        </w:rPr>
        <w:footnoteReference w:id="650"/>
      </w:r>
    </w:p>
    <w:p w14:paraId="043AE16C" w14:textId="77777777" w:rsidR="00A74E3A" w:rsidRPr="00214BC1" w:rsidRDefault="00A74E3A" w:rsidP="00214BC1">
      <w:pPr>
        <w:pStyle w:val="CV-Heading2"/>
        <w:rPr>
          <w:i/>
          <w:iCs/>
        </w:rPr>
      </w:pPr>
      <w:r w:rsidRPr="00214BC1">
        <w:rPr>
          <w:i/>
          <w:iCs/>
        </w:rPr>
        <w:t xml:space="preserve">30/70 weighting is appropriate as help-seeking is not a good indication of the amount of gambling harm </w:t>
      </w:r>
    </w:p>
    <w:p w14:paraId="61E6A853" w14:textId="31592C99" w:rsidR="00A74E3A" w:rsidRDefault="00A74E3A" w:rsidP="00A74E3A">
      <w:pPr>
        <w:pStyle w:val="BodyText"/>
      </w:pPr>
      <w:r>
        <w:t>Eight NCGM submitters</w:t>
      </w:r>
      <w:r w:rsidR="00022A48">
        <w:t>,</w:t>
      </w:r>
      <w:r>
        <w:rPr>
          <w:rStyle w:val="FootnoteReference"/>
        </w:rPr>
        <w:footnoteReference w:id="651"/>
      </w:r>
      <w:r w:rsidR="00022A48">
        <w:t xml:space="preserve"> </w:t>
      </w:r>
      <w:r w:rsidR="003063AB">
        <w:t>two</w:t>
      </w:r>
      <w:r w:rsidR="00022A48">
        <w:t xml:space="preserve"> service provider</w:t>
      </w:r>
      <w:r w:rsidR="003063AB">
        <w:t>s</w:t>
      </w:r>
      <w:r w:rsidR="00022A48">
        <w:rPr>
          <w:rStyle w:val="FootnoteReference"/>
        </w:rPr>
        <w:footnoteReference w:id="652"/>
      </w:r>
      <w:r>
        <w:t xml:space="preserve"> and a </w:t>
      </w:r>
      <w:r w:rsidR="00B7268C">
        <w:t>l</w:t>
      </w:r>
      <w:r>
        <w:t xml:space="preserve">ocal </w:t>
      </w:r>
      <w:r w:rsidR="00B7268C">
        <w:t>g</w:t>
      </w:r>
      <w:r>
        <w:t>overnment</w:t>
      </w:r>
      <w:r w:rsidR="00366FF8">
        <w:t xml:space="preserve"> submitter</w:t>
      </w:r>
      <w:r>
        <w:rPr>
          <w:rStyle w:val="FootnoteReference"/>
        </w:rPr>
        <w:footnoteReference w:id="653"/>
      </w:r>
      <w:r>
        <w:t xml:space="preserve"> argued </w:t>
      </w:r>
      <w:r w:rsidR="00214BC1">
        <w:t xml:space="preserve">that </w:t>
      </w:r>
      <w:r>
        <w:t xml:space="preserve">presentations </w:t>
      </w:r>
      <w:r w:rsidR="00B3539A">
        <w:t xml:space="preserve">are </w:t>
      </w:r>
      <w:r>
        <w:t xml:space="preserve">a subjective measure and the level of help-seeking associated with each mode of gambling does not mean more people are suffering harm from that type of gambling. These submitters described any higher weighting of presentations beyond 30/70 </w:t>
      </w:r>
      <w:r w:rsidR="00B3539A">
        <w:t>as</w:t>
      </w:r>
      <w:r>
        <w:t xml:space="preserve"> inappropriate. </w:t>
      </w:r>
    </w:p>
    <w:p w14:paraId="68D46BEA" w14:textId="04F9E5E8" w:rsidR="00A74E3A" w:rsidRDefault="00A74E3A" w:rsidP="00A74E3A">
      <w:pPr>
        <w:pStyle w:val="BodyText"/>
      </w:pPr>
      <w:r>
        <w:lastRenderedPageBreak/>
        <w:t>Conversely, expenditure was considered less subjective and more easily measurable</w:t>
      </w:r>
      <w:r w:rsidR="00214BC1">
        <w:t>, and</w:t>
      </w:r>
      <w:r>
        <w:t xml:space="preserve"> two NCGM</w:t>
      </w:r>
      <w:r w:rsidR="002E2297">
        <w:t xml:space="preserve"> submitters</w:t>
      </w:r>
      <w:r>
        <w:t xml:space="preserve"> argued it was appropriate to place a larger weighting on expenditure as it can be measured exactly</w:t>
      </w:r>
      <w:r w:rsidR="00214BC1">
        <w:t>.</w:t>
      </w:r>
      <w:r w:rsidR="00214BC1">
        <w:rPr>
          <w:rStyle w:val="FootnoteReference"/>
        </w:rPr>
        <w:footnoteReference w:id="654"/>
      </w:r>
      <w:r>
        <w:t xml:space="preserve"> They added, th</w:t>
      </w:r>
      <w:r w:rsidR="00366FF8">
        <w:t>at</w:t>
      </w:r>
      <w:r>
        <w:t xml:space="preserve"> I</w:t>
      </w:r>
      <w:r w:rsidR="00366FF8">
        <w:t xml:space="preserve">nland </w:t>
      </w:r>
      <w:r>
        <w:t>R</w:t>
      </w:r>
      <w:r w:rsidR="00366FF8">
        <w:t>evenue</w:t>
      </w:r>
      <w:r>
        <w:t xml:space="preserve"> can advise the Ministry of the exact spend </w:t>
      </w:r>
      <w:r w:rsidR="007F04FB">
        <w:t xml:space="preserve">accruing in </w:t>
      </w:r>
      <w:r>
        <w:t>each sector</w:t>
      </w:r>
      <w:r w:rsidR="00214BC1">
        <w:t>.</w:t>
      </w:r>
      <w:r w:rsidR="00214BC1">
        <w:rPr>
          <w:rStyle w:val="FootnoteReference"/>
        </w:rPr>
        <w:footnoteReference w:id="655"/>
      </w:r>
      <w:r>
        <w:t xml:space="preserve"> </w:t>
      </w:r>
    </w:p>
    <w:p w14:paraId="385C0822" w14:textId="77777777" w:rsidR="003063AB" w:rsidRDefault="003063AB" w:rsidP="003063AB">
      <w:pPr>
        <w:pStyle w:val="BodyText"/>
      </w:pPr>
      <w:r>
        <w:t>One service provider agreed with placing greater emphasis on expenditure as this would better represent the harms of gambling.</w:t>
      </w:r>
      <w:r>
        <w:rPr>
          <w:rStyle w:val="FootnoteReference"/>
        </w:rPr>
        <w:footnoteReference w:id="656"/>
      </w:r>
      <w:r>
        <w:t xml:space="preserve"> They argued using presentations as a proxy for gambling harm was not a true public health approach and noted that “it is well accepted that the majority of people harmed by gambling do not present for treatment”. They supported a 30/70 weighting which they described as reflecting the monetary losses to each sector.</w:t>
      </w:r>
      <w:r>
        <w:rPr>
          <w:rStyle w:val="FootnoteReference"/>
        </w:rPr>
        <w:footnoteReference w:id="657"/>
      </w:r>
      <w:r>
        <w:t xml:space="preserve"> </w:t>
      </w:r>
    </w:p>
    <w:p w14:paraId="5AF14A24" w14:textId="51415C61" w:rsidR="00022A48" w:rsidRPr="006F264A" w:rsidRDefault="00022A48" w:rsidP="00022A48">
      <w:pPr>
        <w:pStyle w:val="BodyText"/>
      </w:pPr>
      <w:r>
        <w:t>One service provider, arguing in favour of a 5/95 weighting, considered presentations to be an inaccurate reflection of gambling harm, and described expenditure as providing a better picture of “how much is being spent and which communities may be most affected”. They concluded “</w:t>
      </w:r>
      <w:r w:rsidRPr="00896CBB">
        <w:t>NCGMs are the most harmful form of gambling in New Zealand and expenditure has only been increasing, we argue that a stronger weighting towards expenditure is needed</w:t>
      </w:r>
      <w:r>
        <w:t>”.</w:t>
      </w:r>
      <w:r>
        <w:rPr>
          <w:rStyle w:val="FootnoteReference"/>
        </w:rPr>
        <w:footnoteReference w:id="658"/>
      </w:r>
    </w:p>
    <w:p w14:paraId="324D6060" w14:textId="77777777" w:rsidR="006F264A" w:rsidRPr="00214BC1" w:rsidRDefault="006F264A" w:rsidP="00214BC1">
      <w:pPr>
        <w:pStyle w:val="CV-Heading2"/>
        <w:rPr>
          <w:i/>
          <w:iCs/>
        </w:rPr>
      </w:pPr>
      <w:r w:rsidRPr="00214BC1">
        <w:rPr>
          <w:i/>
          <w:iCs/>
        </w:rPr>
        <w:t xml:space="preserve">30/70 weighting acknowledges that levy funding is used for research and evaluation </w:t>
      </w:r>
    </w:p>
    <w:p w14:paraId="7068F7C2" w14:textId="0F4581C3" w:rsidR="006F264A" w:rsidRPr="00BE6732" w:rsidRDefault="00AA5989" w:rsidP="006F264A">
      <w:pPr>
        <w:pStyle w:val="BodyText"/>
        <w:rPr>
          <w:lang w:val="en-US"/>
        </w:rPr>
      </w:pPr>
      <w:r>
        <w:t>Seven</w:t>
      </w:r>
      <w:r w:rsidR="005051E1">
        <w:t xml:space="preserve"> NCGM</w:t>
      </w:r>
      <w:r w:rsidR="00D6543A">
        <w:t xml:space="preserve"> submitters</w:t>
      </w:r>
      <w:r w:rsidR="00606738">
        <w:t xml:space="preserve"> </w:t>
      </w:r>
      <w:r w:rsidR="00CD7024">
        <w:t xml:space="preserve">considered </w:t>
      </w:r>
      <w:r w:rsidR="003058DB">
        <w:t>a 30/70 weighting</w:t>
      </w:r>
      <w:r w:rsidR="00FD4783">
        <w:t xml:space="preserve"> appropriate </w:t>
      </w:r>
      <w:r w:rsidR="009A06E8">
        <w:t>as it</w:t>
      </w:r>
      <w:r w:rsidR="003058DB">
        <w:t xml:space="preserve"> </w:t>
      </w:r>
      <w:r w:rsidR="001F0039">
        <w:t>would ensure that</w:t>
      </w:r>
      <w:r w:rsidR="003058DB">
        <w:t xml:space="preserve"> </w:t>
      </w:r>
      <w:r w:rsidR="00B671CF">
        <w:t>all gambling sectors contribute</w:t>
      </w:r>
      <w:r w:rsidR="001F0039">
        <w:t>d</w:t>
      </w:r>
      <w:r w:rsidR="00B671CF">
        <w:t xml:space="preserve"> </w:t>
      </w:r>
      <w:r w:rsidR="00777119">
        <w:t xml:space="preserve">to </w:t>
      </w:r>
      <w:r w:rsidR="009A06E8">
        <w:t xml:space="preserve">gambling </w:t>
      </w:r>
      <w:r w:rsidR="00777119">
        <w:t xml:space="preserve">research and evaluation </w:t>
      </w:r>
      <w:r w:rsidR="003058DB">
        <w:t>fund</w:t>
      </w:r>
      <w:r w:rsidR="009E6916">
        <w:t>ed</w:t>
      </w:r>
      <w:r w:rsidR="003058DB">
        <w:t xml:space="preserve"> by </w:t>
      </w:r>
      <w:r w:rsidR="009A06E8">
        <w:t>the levy.</w:t>
      </w:r>
      <w:r w:rsidR="00606738">
        <w:rPr>
          <w:rStyle w:val="FootnoteReference"/>
        </w:rPr>
        <w:footnoteReference w:id="659"/>
      </w:r>
      <w:r w:rsidR="00606738">
        <w:t xml:space="preserve"> </w:t>
      </w:r>
      <w:r w:rsidR="009A06E8">
        <w:t xml:space="preserve"> </w:t>
      </w:r>
    </w:p>
    <w:p w14:paraId="3EBA9CF6" w14:textId="77777777" w:rsidR="006F264A" w:rsidRPr="00606738" w:rsidRDefault="006F264A" w:rsidP="00606738">
      <w:pPr>
        <w:pStyle w:val="CV-Heading2"/>
        <w:rPr>
          <w:i/>
          <w:iCs/>
        </w:rPr>
      </w:pPr>
      <w:r w:rsidRPr="00606738">
        <w:rPr>
          <w:i/>
          <w:iCs/>
        </w:rPr>
        <w:t xml:space="preserve">30/70 weighting is fair given the NCGM sector has no online offering </w:t>
      </w:r>
    </w:p>
    <w:p w14:paraId="05F5B9FA" w14:textId="4B29DB97" w:rsidR="006F264A" w:rsidRDefault="00AD21E3" w:rsidP="006F264A">
      <w:pPr>
        <w:pStyle w:val="BodyText"/>
      </w:pPr>
      <w:r>
        <w:t>Seven</w:t>
      </w:r>
      <w:r w:rsidR="00E3182F">
        <w:t xml:space="preserve"> NCGM</w:t>
      </w:r>
      <w:r w:rsidR="00D6543A">
        <w:t xml:space="preserve"> submitters</w:t>
      </w:r>
      <w:r w:rsidR="00606738">
        <w:t xml:space="preserve"> </w:t>
      </w:r>
      <w:r w:rsidR="00854395">
        <w:t xml:space="preserve">highlighted the </w:t>
      </w:r>
      <w:r w:rsidR="006E1318">
        <w:t xml:space="preserve">seriousness of </w:t>
      </w:r>
      <w:r w:rsidR="005C6C51">
        <w:t xml:space="preserve">online gambling </w:t>
      </w:r>
      <w:r w:rsidR="00220B1B">
        <w:t>issues</w:t>
      </w:r>
      <w:r w:rsidR="00083142">
        <w:t xml:space="preserve"> and </w:t>
      </w:r>
      <w:r w:rsidR="003E2F09">
        <w:t xml:space="preserve">noted </w:t>
      </w:r>
      <w:r w:rsidR="00562770">
        <w:t xml:space="preserve">they were the </w:t>
      </w:r>
      <w:r w:rsidR="00266ACF">
        <w:t>only</w:t>
      </w:r>
      <w:r w:rsidR="00E244D4">
        <w:t xml:space="preserve"> sector</w:t>
      </w:r>
      <w:r w:rsidR="00220B1B">
        <w:t xml:space="preserve"> </w:t>
      </w:r>
      <w:r w:rsidR="00E244D4">
        <w:t>without an online gambling offering.</w:t>
      </w:r>
      <w:r w:rsidR="00606738">
        <w:rPr>
          <w:rStyle w:val="FootnoteReference"/>
        </w:rPr>
        <w:footnoteReference w:id="660"/>
      </w:r>
      <w:r w:rsidR="00606738">
        <w:t xml:space="preserve"> </w:t>
      </w:r>
      <w:r w:rsidR="00E244D4">
        <w:t xml:space="preserve"> They </w:t>
      </w:r>
      <w:r w:rsidR="00E3129F">
        <w:t xml:space="preserve">argued </w:t>
      </w:r>
      <w:r w:rsidR="00B26AC5">
        <w:t>a</w:t>
      </w:r>
      <w:r w:rsidR="00E3129F">
        <w:t xml:space="preserve"> levy weighting sho</w:t>
      </w:r>
      <w:r w:rsidR="00C819F8">
        <w:t xml:space="preserve">uld be chosen </w:t>
      </w:r>
      <w:r w:rsidR="00951E9F">
        <w:t xml:space="preserve">that results in </w:t>
      </w:r>
      <w:r w:rsidR="00C57D31">
        <w:t>providers with online offerings bearing a larger share of the costs</w:t>
      </w:r>
      <w:r w:rsidR="00E244D4">
        <w:t xml:space="preserve"> related to online gambling.</w:t>
      </w:r>
      <w:r w:rsidR="008257D0">
        <w:rPr>
          <w:rStyle w:val="FootnoteReference"/>
        </w:rPr>
        <w:footnoteReference w:id="661"/>
      </w:r>
      <w:r w:rsidR="009556E8">
        <w:t xml:space="preserve"> </w:t>
      </w:r>
    </w:p>
    <w:p w14:paraId="4C1B2567" w14:textId="401E17A6" w:rsidR="00DD1CA1" w:rsidRDefault="00BF1A80" w:rsidP="006F264A">
      <w:pPr>
        <w:pStyle w:val="BodyText"/>
      </w:pPr>
      <w:r>
        <w:t xml:space="preserve">One </w:t>
      </w:r>
      <w:r w:rsidR="0040733B">
        <w:t xml:space="preserve">NCGM </w:t>
      </w:r>
      <w:r w:rsidR="00753D9D">
        <w:t>submitter</w:t>
      </w:r>
      <w:r w:rsidR="00D23AB3">
        <w:t xml:space="preserve"> added </w:t>
      </w:r>
      <w:r w:rsidR="001E3922">
        <w:t xml:space="preserve">that </w:t>
      </w:r>
      <w:r w:rsidR="00CC4116">
        <w:t xml:space="preserve">Lotto could afford to pay the additional levy rates </w:t>
      </w:r>
      <w:r w:rsidR="000D1750">
        <w:t xml:space="preserve">given its </w:t>
      </w:r>
      <w:r w:rsidR="00DD278D">
        <w:t xml:space="preserve">increased annual revenue and </w:t>
      </w:r>
      <w:r w:rsidR="009131D8">
        <w:t>being able to trade during C</w:t>
      </w:r>
      <w:r w:rsidR="001E3922">
        <w:t>OVID-19</w:t>
      </w:r>
      <w:r w:rsidR="009131D8">
        <w:t xml:space="preserve"> lockdowns</w:t>
      </w:r>
      <w:r w:rsidR="000C1231">
        <w:t>.</w:t>
      </w:r>
      <w:r w:rsidR="00476CFF">
        <w:rPr>
          <w:rStyle w:val="FootnoteReference"/>
        </w:rPr>
        <w:footnoteReference w:id="662"/>
      </w:r>
      <w:r w:rsidR="000C1231">
        <w:t xml:space="preserve"> </w:t>
      </w:r>
    </w:p>
    <w:p w14:paraId="2DE7C9C5" w14:textId="77777777" w:rsidR="00A74E3A" w:rsidRPr="001E3922" w:rsidRDefault="00A74E3A" w:rsidP="001E3922">
      <w:pPr>
        <w:pStyle w:val="CV-Heading2"/>
        <w:rPr>
          <w:i/>
          <w:iCs/>
        </w:rPr>
      </w:pPr>
      <w:r w:rsidRPr="001E3922">
        <w:rPr>
          <w:i/>
          <w:iCs/>
        </w:rPr>
        <w:t>30/70 weighting protects against adverse incentives</w:t>
      </w:r>
    </w:p>
    <w:p w14:paraId="30345D4A" w14:textId="62313E59" w:rsidR="00A74E3A" w:rsidRDefault="00A74E3A" w:rsidP="00A74E3A">
      <w:pPr>
        <w:pStyle w:val="BodyText"/>
      </w:pPr>
      <w:r>
        <w:t>Four NCGM submitters</w:t>
      </w:r>
      <w:r w:rsidR="008C5BFA">
        <w:t xml:space="preserve"> </w:t>
      </w:r>
      <w:r>
        <w:t xml:space="preserve">argued </w:t>
      </w:r>
      <w:r w:rsidR="008C5BFA">
        <w:t xml:space="preserve">that </w:t>
      </w:r>
      <w:r>
        <w:t>host staff and gambling organisations should be encouraged to support problem gamblers to seek help.</w:t>
      </w:r>
      <w:r w:rsidR="001E3922">
        <w:rPr>
          <w:rStyle w:val="FootnoteReference"/>
        </w:rPr>
        <w:footnoteReference w:id="663"/>
      </w:r>
      <w:r>
        <w:t xml:space="preserve"> These submitters considered </w:t>
      </w:r>
      <w:r w:rsidR="00341F59">
        <w:t xml:space="preserve">that </w:t>
      </w:r>
      <w:r>
        <w:t>a levy with high presentation weighting financially penalise</w:t>
      </w:r>
      <w:r w:rsidR="00341F59">
        <w:t>d</w:t>
      </w:r>
      <w:r>
        <w:t xml:space="preserve"> diligent gaming societies, punishing </w:t>
      </w:r>
      <w:r w:rsidR="00B0792B">
        <w:t xml:space="preserve">their </w:t>
      </w:r>
      <w:r>
        <w:t>proactive harm-minimisation</w:t>
      </w:r>
      <w:r w:rsidR="00B0792B">
        <w:t xml:space="preserve"> efforts</w:t>
      </w:r>
      <w:r>
        <w:t>.</w:t>
      </w:r>
      <w:r w:rsidR="008C5BFA">
        <w:rPr>
          <w:rStyle w:val="FootnoteReference"/>
        </w:rPr>
        <w:footnoteReference w:id="664"/>
      </w:r>
    </w:p>
    <w:p w14:paraId="25F1727D" w14:textId="59C8D134" w:rsidR="00C237C7" w:rsidRDefault="009B5020" w:rsidP="00C237C7">
      <w:pPr>
        <w:pStyle w:val="NumberedHeading3"/>
        <w:autoSpaceDE w:val="0"/>
        <w:autoSpaceDN w:val="0"/>
        <w:adjustRightInd w:val="0"/>
        <w:spacing w:line="269" w:lineRule="auto"/>
        <w:jc w:val="both"/>
      </w:pPr>
      <w:bookmarkStart w:id="131" w:name="_Toc88637612"/>
      <w:r>
        <w:lastRenderedPageBreak/>
        <w:t>Submitters from across sectors supported</w:t>
      </w:r>
      <w:r w:rsidR="00C237C7">
        <w:t xml:space="preserve"> a 5/95 weighting</w:t>
      </w:r>
      <w:r w:rsidR="00D43A2F">
        <w:t>,</w:t>
      </w:r>
      <w:r w:rsidR="00C237C7">
        <w:t xml:space="preserve"> </w:t>
      </w:r>
      <w:r w:rsidR="009D464B">
        <w:t>so</w:t>
      </w:r>
      <w:r w:rsidR="00C237C7">
        <w:t xml:space="preserve"> the NCGM sector </w:t>
      </w:r>
      <w:r w:rsidR="009D464B">
        <w:t>would</w:t>
      </w:r>
      <w:r w:rsidR="00C237C7">
        <w:t xml:space="preserve"> contribute the most to the </w:t>
      </w:r>
      <w:r w:rsidR="005D53E8">
        <w:t>l</w:t>
      </w:r>
      <w:r w:rsidR="00C237C7">
        <w:t>evy</w:t>
      </w:r>
      <w:bookmarkEnd w:id="131"/>
    </w:p>
    <w:p w14:paraId="3AC1F4AF" w14:textId="548B6364" w:rsidR="00C237C7" w:rsidRDefault="00A444C1" w:rsidP="00C237C7">
      <w:pPr>
        <w:pStyle w:val="BodyText"/>
      </w:pPr>
      <w:r>
        <w:t>Four</w:t>
      </w:r>
      <w:r w:rsidR="00C237C7">
        <w:t xml:space="preserve"> submitters (two health and social service</w:t>
      </w:r>
      <w:r w:rsidR="00675160">
        <w:t>s</w:t>
      </w:r>
      <w:r w:rsidR="00C237C7">
        <w:t xml:space="preserve"> submitters, </w:t>
      </w:r>
      <w:r>
        <w:t xml:space="preserve">one service provider, </w:t>
      </w:r>
      <w:r w:rsidR="00C237C7">
        <w:t>and an individual) preferred a 5/95 weighting.</w:t>
      </w:r>
      <w:r w:rsidR="005D53E8">
        <w:rPr>
          <w:rStyle w:val="FootnoteReference"/>
        </w:rPr>
        <w:footnoteReference w:id="665"/>
      </w:r>
      <w:r w:rsidR="00C237C7">
        <w:t xml:space="preserve"> These submitters argued </w:t>
      </w:r>
      <w:r w:rsidR="005D53E8">
        <w:t xml:space="preserve">that </w:t>
      </w:r>
      <w:r w:rsidR="00C237C7">
        <w:t>the gambling sector which causes the most harm should contribute the most to the levy. Four submitters specified the NCGM sector should have the highest levy payments.</w:t>
      </w:r>
      <w:r w:rsidR="00A97ED5">
        <w:rPr>
          <w:rStyle w:val="FootnoteReference"/>
        </w:rPr>
        <w:footnoteReference w:id="666"/>
      </w:r>
      <w:r w:rsidR="00C237C7">
        <w:t xml:space="preserve"> </w:t>
      </w:r>
    </w:p>
    <w:p w14:paraId="3DD4BE28" w14:textId="1A8E858D" w:rsidR="00C237C7" w:rsidRDefault="00C237C7" w:rsidP="00C237C7">
      <w:pPr>
        <w:pStyle w:val="BodyText"/>
      </w:pPr>
      <w:r>
        <w:t>Three submitters (one service provider, one health and social service</w:t>
      </w:r>
      <w:r w:rsidR="00675160">
        <w:t>s</w:t>
      </w:r>
      <w:r>
        <w:t xml:space="preserve"> submitter, and an individual) described presentations as the more effective proxy for serious gambling harm.</w:t>
      </w:r>
      <w:r w:rsidR="00A97ED5" w:rsidRPr="00A97ED5">
        <w:rPr>
          <w:rStyle w:val="FootnoteReference"/>
        </w:rPr>
        <w:t xml:space="preserve"> </w:t>
      </w:r>
      <w:r w:rsidR="00A97ED5">
        <w:rPr>
          <w:rStyle w:val="FootnoteReference"/>
        </w:rPr>
        <w:footnoteReference w:id="667"/>
      </w:r>
      <w:r>
        <w:t xml:space="preserve"> One service provider described expenditure as </w:t>
      </w:r>
      <w:r w:rsidR="00FB696F">
        <w:t xml:space="preserve">a </w:t>
      </w:r>
      <w:r>
        <w:t>subjective</w:t>
      </w:r>
      <w:r w:rsidR="00FB696F">
        <w:t xml:space="preserve"> measure of harm</w:t>
      </w:r>
      <w:r>
        <w:t>.</w:t>
      </w:r>
      <w:r w:rsidR="00A97ED5">
        <w:rPr>
          <w:rStyle w:val="FootnoteReference"/>
        </w:rPr>
        <w:footnoteReference w:id="668"/>
      </w:r>
      <w:r>
        <w:t xml:space="preserve">  </w:t>
      </w:r>
    </w:p>
    <w:p w14:paraId="258FE38B" w14:textId="01F5B9D8" w:rsidR="00C237C7" w:rsidRDefault="00C237C7" w:rsidP="00C237C7">
      <w:pPr>
        <w:pStyle w:val="BodyText"/>
      </w:pPr>
      <w:r>
        <w:t>A health and social services submitter</w:t>
      </w:r>
      <w:r w:rsidR="00A97ED5">
        <w:t xml:space="preserve"> </w:t>
      </w:r>
      <w:r>
        <w:t>argued that while the levy was no longer fit-for-purpose</w:t>
      </w:r>
      <w:r w:rsidR="002B219C">
        <w:t>,</w:t>
      </w:r>
      <w:r>
        <w:t xml:space="preserve"> </w:t>
      </w:r>
      <w:r w:rsidR="002B219C">
        <w:t>it</w:t>
      </w:r>
      <w:r>
        <w:t xml:space="preserve"> preferred a 5/95 weighting, as evidence suggests the NCGM sector causes the most harm to the most vulnerable communities.</w:t>
      </w:r>
      <w:r w:rsidR="00A97ED5">
        <w:rPr>
          <w:rStyle w:val="FootnoteReference"/>
        </w:rPr>
        <w:footnoteReference w:id="669"/>
      </w:r>
    </w:p>
    <w:p w14:paraId="238CD1A7" w14:textId="56DC8AE4" w:rsidR="003860CF" w:rsidRDefault="00432EC3" w:rsidP="00224754">
      <w:pPr>
        <w:pStyle w:val="NumberedHeading3"/>
        <w:autoSpaceDE w:val="0"/>
        <w:autoSpaceDN w:val="0"/>
        <w:adjustRightInd w:val="0"/>
        <w:spacing w:line="269" w:lineRule="auto"/>
        <w:jc w:val="both"/>
      </w:pPr>
      <w:bookmarkStart w:id="132" w:name="_Toc88637613"/>
      <w:r>
        <w:t>Four gambling</w:t>
      </w:r>
      <w:r w:rsidR="00CB4A3E">
        <w:t xml:space="preserve"> </w:t>
      </w:r>
      <w:r w:rsidR="003519A5">
        <w:t xml:space="preserve">industry </w:t>
      </w:r>
      <w:r>
        <w:t>submitters</w:t>
      </w:r>
      <w:r w:rsidR="00AD3AD3">
        <w:t xml:space="preserve"> advocated for </w:t>
      </w:r>
      <w:r w:rsidR="00224754">
        <w:t>returning to the 10/90 weighting</w:t>
      </w:r>
      <w:bookmarkEnd w:id="132"/>
    </w:p>
    <w:p w14:paraId="14993189" w14:textId="3CB07FD7" w:rsidR="003025DA" w:rsidRDefault="00577E81" w:rsidP="009C1355">
      <w:pPr>
        <w:pStyle w:val="BodyText"/>
      </w:pPr>
      <w:r>
        <w:t>Four</w:t>
      </w:r>
      <w:r w:rsidR="000175C8">
        <w:t xml:space="preserve"> gambling </w:t>
      </w:r>
      <w:r w:rsidR="00CF2352">
        <w:t>industry submitters</w:t>
      </w:r>
      <w:r w:rsidR="003D1568">
        <w:t xml:space="preserve"> </w:t>
      </w:r>
      <w:r w:rsidR="000969DA">
        <w:t>advocated</w:t>
      </w:r>
      <w:r w:rsidR="009A50BD">
        <w:t xml:space="preserve"> for a return to the 10/90 weighting</w:t>
      </w:r>
      <w:r w:rsidR="00D10197">
        <w:t>.</w:t>
      </w:r>
      <w:r w:rsidR="00197645">
        <w:rPr>
          <w:rStyle w:val="FootnoteReference"/>
        </w:rPr>
        <w:footnoteReference w:id="670"/>
      </w:r>
      <w:r w:rsidR="00D10197">
        <w:t xml:space="preserve"> </w:t>
      </w:r>
      <w:r w:rsidR="000C4549">
        <w:t xml:space="preserve">They </w:t>
      </w:r>
      <w:r w:rsidR="00212CEB">
        <w:t>considered</w:t>
      </w:r>
      <w:r w:rsidR="000C4549">
        <w:t xml:space="preserve"> </w:t>
      </w:r>
      <w:r w:rsidR="00424103">
        <w:t xml:space="preserve">presentations a </w:t>
      </w:r>
      <w:r w:rsidR="007618BB">
        <w:t>“</w:t>
      </w:r>
      <w:r w:rsidR="00424103">
        <w:t xml:space="preserve">better proxy of the financial </w:t>
      </w:r>
      <w:r w:rsidR="00C926A3">
        <w:t>costs associated with the strategy”.</w:t>
      </w:r>
      <w:r w:rsidR="000969DA">
        <w:t xml:space="preserve"> One</w:t>
      </w:r>
      <w:r w:rsidR="000969DA" w:rsidRPr="00B13E04">
        <w:t xml:space="preserve"> </w:t>
      </w:r>
      <w:r w:rsidR="000969DA">
        <w:t>argued</w:t>
      </w:r>
      <w:r w:rsidR="00197645">
        <w:t xml:space="preserve"> that</w:t>
      </w:r>
      <w:r w:rsidR="000969DA">
        <w:t xml:space="preserve"> “the purpose of the levy is to allocate proportional funding on the basis of where harm is occurring withing the sector… anything less than a 90</w:t>
      </w:r>
      <w:r w:rsidR="006B2C03">
        <w:t xml:space="preserve"> percent</w:t>
      </w:r>
      <w:r w:rsidR="000969DA">
        <w:t xml:space="preserve"> presentation weighting moves too far from the purpose of the levy”.</w:t>
      </w:r>
      <w:r w:rsidR="00197645">
        <w:rPr>
          <w:rStyle w:val="FootnoteReference"/>
        </w:rPr>
        <w:footnoteReference w:id="671"/>
      </w:r>
      <w:r w:rsidR="000969DA">
        <w:t xml:space="preserve"> </w:t>
      </w:r>
    </w:p>
    <w:p w14:paraId="3461FBED" w14:textId="2F555FF4" w:rsidR="00764D31" w:rsidRDefault="0033301C" w:rsidP="00E71DBD">
      <w:pPr>
        <w:pStyle w:val="BodyText"/>
      </w:pPr>
      <w:r>
        <w:t>One</w:t>
      </w:r>
      <w:r w:rsidR="00432EC3">
        <w:t xml:space="preserve"> gambling industry submitter</w:t>
      </w:r>
      <w:r w:rsidR="00197645">
        <w:t xml:space="preserve"> </w:t>
      </w:r>
      <w:r w:rsidR="0016571C">
        <w:t>argued</w:t>
      </w:r>
      <w:r w:rsidR="00197645">
        <w:t xml:space="preserve"> that</w:t>
      </w:r>
      <w:r w:rsidR="005F6825">
        <w:t xml:space="preserve"> </w:t>
      </w:r>
      <w:r w:rsidR="009C1355">
        <w:t>“</w:t>
      </w:r>
      <w:r w:rsidR="009C1355" w:rsidRPr="009C1355">
        <w:t>the sectors which are the root cause to the problem gambling behaviour should bear the largest proportion of costs associated with the prevention and treatment of that gambling harm</w:t>
      </w:r>
      <w:r w:rsidR="009C1355">
        <w:t>”</w:t>
      </w:r>
      <w:r w:rsidR="00197645">
        <w:t>.</w:t>
      </w:r>
      <w:r w:rsidR="00197645">
        <w:rPr>
          <w:rStyle w:val="FootnoteReference"/>
        </w:rPr>
        <w:footnoteReference w:id="672"/>
      </w:r>
      <w:r w:rsidR="009C1355">
        <w:t xml:space="preserve"> </w:t>
      </w:r>
      <w:r w:rsidR="00577E81">
        <w:t>Two gambling industry submitters</w:t>
      </w:r>
      <w:r w:rsidR="006615C2">
        <w:rPr>
          <w:rStyle w:val="FootnoteReference"/>
        </w:rPr>
        <w:footnoteReference w:id="673"/>
      </w:r>
      <w:r w:rsidR="00B07143">
        <w:t xml:space="preserve"> </w:t>
      </w:r>
      <w:r w:rsidR="005D1826">
        <w:t xml:space="preserve">considered </w:t>
      </w:r>
      <w:r w:rsidR="000859CD">
        <w:t>the casino</w:t>
      </w:r>
      <w:r w:rsidR="009F75C2">
        <w:t xml:space="preserve"> </w:t>
      </w:r>
      <w:r w:rsidR="000859CD">
        <w:t>sector</w:t>
      </w:r>
      <w:r w:rsidR="006203B5">
        <w:t>’</w:t>
      </w:r>
      <w:r w:rsidR="000859CD">
        <w:t xml:space="preserve">s </w:t>
      </w:r>
      <w:r w:rsidR="00835FF9">
        <w:t xml:space="preserve">share of </w:t>
      </w:r>
      <w:r w:rsidR="005D1826">
        <w:t xml:space="preserve">presentations </w:t>
      </w:r>
      <w:r w:rsidR="006203B5">
        <w:t xml:space="preserve">to be </w:t>
      </w:r>
      <w:r w:rsidR="000859CD">
        <w:t>inflated</w:t>
      </w:r>
      <w:r w:rsidR="006203B5">
        <w:t>. O</w:t>
      </w:r>
      <w:r w:rsidR="00577E81">
        <w:t xml:space="preserve">ne wrote </w:t>
      </w:r>
      <w:r w:rsidR="00B07143">
        <w:t>“</w:t>
      </w:r>
      <w:r w:rsidR="00EE2C27" w:rsidRPr="00EE2C27">
        <w:t>‘Casino</w:t>
      </w:r>
      <w:r w:rsidR="006203B5">
        <w:t>-e</w:t>
      </w:r>
      <w:r w:rsidR="00EE2C27" w:rsidRPr="00EE2C27">
        <w:t xml:space="preserve">xcluded patrons are required to undertake a minimum of six counselling sessions before applying to re-enter </w:t>
      </w:r>
      <w:r w:rsidR="008461CF" w:rsidDel="006342CD">
        <w:t>[</w:t>
      </w:r>
      <w:r w:rsidR="00313009">
        <w:t xml:space="preserve">a </w:t>
      </w:r>
      <w:r w:rsidR="008461CF" w:rsidDel="006342CD">
        <w:t>venue</w:t>
      </w:r>
      <w:r w:rsidR="00906BA0">
        <w:t>]</w:t>
      </w:r>
      <w:r w:rsidR="00313009">
        <w:t>.</w:t>
      </w:r>
      <w:r w:rsidR="00EE2C27" w:rsidRPr="00EE2C27">
        <w:t xml:space="preserve"> These six sessions are recorded as six presentations in Ministry statistics instead of one individual or one presentation</w:t>
      </w:r>
      <w:r w:rsidR="00EE2C27">
        <w:t>”.</w:t>
      </w:r>
      <w:r w:rsidR="004B11FD">
        <w:rPr>
          <w:rStyle w:val="FootnoteReference"/>
        </w:rPr>
        <w:footnoteReference w:id="674"/>
      </w:r>
      <w:r w:rsidR="00DB1C90">
        <w:t xml:space="preserve"> </w:t>
      </w:r>
    </w:p>
    <w:p w14:paraId="384EA6BA" w14:textId="6BAE9C9F" w:rsidR="00E71DBD" w:rsidRPr="00E71DBD" w:rsidRDefault="00D27911" w:rsidP="00E71DBD">
      <w:pPr>
        <w:pStyle w:val="BodyText"/>
      </w:pPr>
      <w:r>
        <w:t>One gambling industry submitter</w:t>
      </w:r>
      <w:r w:rsidR="00274EF8">
        <w:t xml:space="preserve"> </w:t>
      </w:r>
      <w:r>
        <w:t xml:space="preserve">detailed their </w:t>
      </w:r>
      <w:r w:rsidR="003F6A6C">
        <w:t>disagreement</w:t>
      </w:r>
      <w:r w:rsidR="007D45F2">
        <w:t xml:space="preserve"> with the </w:t>
      </w:r>
      <w:r w:rsidR="00C748B4">
        <w:t>arguments in favour of a 30/70 weighting</w:t>
      </w:r>
      <w:r>
        <w:t>, writing</w:t>
      </w:r>
      <w:r w:rsidR="00D47558">
        <w:t xml:space="preserve"> “</w:t>
      </w:r>
      <w:r w:rsidR="00E71DBD" w:rsidRPr="00E71DBD">
        <w:t>any shift away from the established 10/90 split was not justified within materials provided in relation to the previous consultation period, and that the 30/70 split ultimately implemented is not consistent with the objectives of the Act, or the object of the levy mechanism</w:t>
      </w:r>
      <w:r w:rsidR="000F5532">
        <w:t>”</w:t>
      </w:r>
      <w:r w:rsidR="002759BD">
        <w:t>.</w:t>
      </w:r>
      <w:r w:rsidR="00274EF8" w:rsidRPr="00274EF8">
        <w:rPr>
          <w:rStyle w:val="FootnoteReference"/>
        </w:rPr>
        <w:t xml:space="preserve"> </w:t>
      </w:r>
      <w:r w:rsidR="00274EF8">
        <w:rPr>
          <w:rStyle w:val="FootnoteReference"/>
        </w:rPr>
        <w:footnoteReference w:id="675"/>
      </w:r>
    </w:p>
    <w:p w14:paraId="65A6CD09" w14:textId="77E0209C" w:rsidR="00AE7642" w:rsidRDefault="00341A02" w:rsidP="003860CF">
      <w:pPr>
        <w:pStyle w:val="BodyText"/>
      </w:pPr>
      <w:r>
        <w:t xml:space="preserve">One </w:t>
      </w:r>
      <w:r w:rsidR="00DB1C90">
        <w:t>gambling industr</w:t>
      </w:r>
      <w:r w:rsidR="00274EF8">
        <w:t>y</w:t>
      </w:r>
      <w:r w:rsidR="00DB1C90">
        <w:t xml:space="preserve"> submitter</w:t>
      </w:r>
      <w:r w:rsidR="00A93206">
        <w:t xml:space="preserve"> </w:t>
      </w:r>
      <w:r w:rsidR="00DB1C90">
        <w:t>argued the casino sector “</w:t>
      </w:r>
      <w:r w:rsidR="00DB1C90" w:rsidRPr="00DB1C90">
        <w:t>may be being penalised for our proactive efficacy in excluding actual and potential problem gamblers</w:t>
      </w:r>
      <w:r w:rsidR="00DB1C90">
        <w:t>”, as a result of identifying problem gamblers earlier and mandating counselling</w:t>
      </w:r>
      <w:r w:rsidR="00274EF8">
        <w:t>.</w:t>
      </w:r>
      <w:r w:rsidR="00274EF8">
        <w:rPr>
          <w:rStyle w:val="FootnoteReference"/>
        </w:rPr>
        <w:footnoteReference w:id="676"/>
      </w:r>
      <w:r w:rsidR="00274EF8">
        <w:t xml:space="preserve"> The submitter added that</w:t>
      </w:r>
      <w:r w:rsidR="00DA5155">
        <w:t xml:space="preserve"> their share of </w:t>
      </w:r>
      <w:r w:rsidR="00DA5155">
        <w:lastRenderedPageBreak/>
        <w:t>the levy is not affected by the different weightings proposed, but any higher weighting for presentations than 10/90 could distort future levy assessments should this change.</w:t>
      </w:r>
      <w:r w:rsidR="00274EF8" w:rsidRPr="00274EF8">
        <w:rPr>
          <w:rStyle w:val="FootnoteReference"/>
        </w:rPr>
        <w:t xml:space="preserve"> </w:t>
      </w:r>
      <w:r w:rsidR="00274EF8">
        <w:rPr>
          <w:rStyle w:val="FootnoteReference"/>
        </w:rPr>
        <w:footnoteReference w:id="677"/>
      </w:r>
    </w:p>
    <w:p w14:paraId="375A0EFD" w14:textId="775B7CDA" w:rsidR="009A2D36" w:rsidRDefault="009B5020" w:rsidP="00140E9D">
      <w:pPr>
        <w:pStyle w:val="NumberedHeading3"/>
        <w:autoSpaceDE w:val="0"/>
        <w:autoSpaceDN w:val="0"/>
        <w:adjustRightInd w:val="0"/>
        <w:spacing w:line="269" w:lineRule="auto"/>
        <w:jc w:val="both"/>
      </w:pPr>
      <w:bookmarkStart w:id="133" w:name="_Toc88637614"/>
      <w:r>
        <w:t>Some submitters supported</w:t>
      </w:r>
      <w:r w:rsidR="00E374BC">
        <w:t xml:space="preserve"> </w:t>
      </w:r>
      <w:r w:rsidR="003C3251">
        <w:t xml:space="preserve">increasing </w:t>
      </w:r>
      <w:r>
        <w:t xml:space="preserve">the </w:t>
      </w:r>
      <w:r w:rsidR="003C3251">
        <w:t>expenditure weighting closer to 50 percent</w:t>
      </w:r>
      <w:bookmarkEnd w:id="133"/>
    </w:p>
    <w:p w14:paraId="1ABF0CD5" w14:textId="1D39149F" w:rsidR="009D715A" w:rsidRDefault="00B220BB" w:rsidP="003860CF">
      <w:pPr>
        <w:pStyle w:val="BodyText"/>
        <w:rPr>
          <w:lang w:val="mi-NZ"/>
        </w:rPr>
      </w:pPr>
      <w:r>
        <w:t>Two submitters</w:t>
      </w:r>
      <w:r w:rsidR="006769F9">
        <w:t xml:space="preserve"> (one </w:t>
      </w:r>
      <w:r w:rsidR="00F96C83">
        <w:t>NCGM</w:t>
      </w:r>
      <w:r w:rsidR="00C6064D">
        <w:t xml:space="preserve"> submitter</w:t>
      </w:r>
      <w:r w:rsidR="00465334">
        <w:t xml:space="preserve"> and </w:t>
      </w:r>
      <w:r w:rsidR="00C32BFD">
        <w:t xml:space="preserve">one </w:t>
      </w:r>
      <w:r w:rsidR="0085777E">
        <w:t>service provider</w:t>
      </w:r>
      <w:r w:rsidR="00465334">
        <w:rPr>
          <w:lang w:val="mi-NZ"/>
        </w:rPr>
        <w:t xml:space="preserve">) </w:t>
      </w:r>
      <w:r w:rsidR="004F0F1B">
        <w:rPr>
          <w:lang w:val="mi-NZ"/>
        </w:rPr>
        <w:t xml:space="preserve">argued </w:t>
      </w:r>
      <w:r w:rsidR="00760C03">
        <w:rPr>
          <w:lang w:val="mi-NZ"/>
        </w:rPr>
        <w:t xml:space="preserve">for </w:t>
      </w:r>
      <w:r w:rsidR="00391D5B">
        <w:rPr>
          <w:lang w:val="mi-NZ"/>
        </w:rPr>
        <w:t>increased weighting of expenditure</w:t>
      </w:r>
      <w:r w:rsidR="003D2A5A">
        <w:rPr>
          <w:lang w:val="mi-NZ"/>
        </w:rPr>
        <w:t>,</w:t>
      </w:r>
      <w:r w:rsidR="00F16E38">
        <w:rPr>
          <w:lang w:val="mi-NZ"/>
        </w:rPr>
        <w:t xml:space="preserve"> </w:t>
      </w:r>
      <w:r w:rsidR="003D2A5A">
        <w:rPr>
          <w:lang w:val="mi-NZ"/>
        </w:rPr>
        <w:t>b</w:t>
      </w:r>
      <w:r w:rsidR="00057750">
        <w:rPr>
          <w:lang w:val="mi-NZ"/>
        </w:rPr>
        <w:t xml:space="preserve">oth submitters advocated for </w:t>
      </w:r>
      <w:r w:rsidR="009D715A">
        <w:rPr>
          <w:lang w:val="mi-NZ"/>
        </w:rPr>
        <w:t>a weighting closer to 50/50.</w:t>
      </w:r>
      <w:r w:rsidR="00B035B1">
        <w:rPr>
          <w:rStyle w:val="FootnoteReference"/>
        </w:rPr>
        <w:footnoteReference w:id="678"/>
      </w:r>
      <w:r w:rsidR="003D2A5A">
        <w:rPr>
          <w:lang w:val="mi-NZ"/>
        </w:rPr>
        <w:t xml:space="preserve"> However, each considered this would </w:t>
      </w:r>
      <w:r w:rsidR="00791964">
        <w:rPr>
          <w:lang w:val="mi-NZ"/>
        </w:rPr>
        <w:t>ach</w:t>
      </w:r>
      <w:r w:rsidR="00292251">
        <w:rPr>
          <w:lang w:val="mi-NZ"/>
        </w:rPr>
        <w:t>ie</w:t>
      </w:r>
      <w:r w:rsidR="00791964">
        <w:rPr>
          <w:lang w:val="mi-NZ"/>
        </w:rPr>
        <w:t>v</w:t>
      </w:r>
      <w:r w:rsidR="00ED7AEC">
        <w:rPr>
          <w:lang w:val="mi-NZ"/>
        </w:rPr>
        <w:t xml:space="preserve">e </w:t>
      </w:r>
      <w:r w:rsidR="00CA6355">
        <w:rPr>
          <w:lang w:val="mi-NZ"/>
        </w:rPr>
        <w:t>different</w:t>
      </w:r>
      <w:r w:rsidR="00F06D89">
        <w:rPr>
          <w:lang w:val="mi-NZ"/>
        </w:rPr>
        <w:t xml:space="preserve"> </w:t>
      </w:r>
      <w:r w:rsidR="00CA6355">
        <w:rPr>
          <w:lang w:val="mi-NZ"/>
        </w:rPr>
        <w:t>results.</w:t>
      </w:r>
    </w:p>
    <w:p w14:paraId="7CEF3BB0" w14:textId="6F8F2F01" w:rsidR="00CF4A65" w:rsidRPr="00CF4A65" w:rsidRDefault="00B7001B" w:rsidP="003860CF">
      <w:pPr>
        <w:pStyle w:val="BodyText"/>
      </w:pPr>
      <w:r>
        <w:t xml:space="preserve">The </w:t>
      </w:r>
      <w:r w:rsidR="0085777E">
        <w:t>service provider</w:t>
      </w:r>
      <w:r w:rsidR="00CF4A65">
        <w:rPr>
          <w:lang w:val="mi-NZ"/>
        </w:rPr>
        <w:t xml:space="preserve"> argued for the NCGM sector to pay a larger proportion of the levy and Lotto/TAB a smaller proportion. Writing “</w:t>
      </w:r>
      <w:r w:rsidR="00CF4A65">
        <w:t>t</w:t>
      </w:r>
      <w:r w:rsidR="00CF4A65" w:rsidRPr="00F476CA">
        <w:t>he amount paid out by the NCGM sector is nowhere near offset by the harm caused by pokie machines</w:t>
      </w:r>
      <w:r w:rsidR="00CF4A65">
        <w:t>”. They argued “there needs to be equal weighting of presentations and expenditure as they are both measures of harm”.</w:t>
      </w:r>
      <w:r w:rsidR="005674EA">
        <w:rPr>
          <w:rStyle w:val="FootnoteReference"/>
        </w:rPr>
        <w:footnoteReference w:id="679"/>
      </w:r>
    </w:p>
    <w:p w14:paraId="0CD10EBA" w14:textId="3949B54B" w:rsidR="00AE7642" w:rsidRPr="00DF40F4" w:rsidRDefault="00BB4A46" w:rsidP="003860CF">
      <w:pPr>
        <w:pStyle w:val="BodyText"/>
        <w:rPr>
          <w:lang w:val="mi-NZ"/>
        </w:rPr>
      </w:pPr>
      <w:r>
        <w:rPr>
          <w:lang w:val="mi-NZ"/>
        </w:rPr>
        <w:t>The NCGM</w:t>
      </w:r>
      <w:r w:rsidR="00740D56">
        <w:rPr>
          <w:lang w:val="mi-NZ"/>
        </w:rPr>
        <w:t xml:space="preserve"> submitter</w:t>
      </w:r>
      <w:r w:rsidR="001775B2">
        <w:rPr>
          <w:lang w:val="mi-NZ"/>
        </w:rPr>
        <w:t xml:space="preserve"> </w:t>
      </w:r>
      <w:r w:rsidR="00E80B18">
        <w:rPr>
          <w:lang w:val="mi-NZ"/>
        </w:rPr>
        <w:t>considered</w:t>
      </w:r>
      <w:r w:rsidR="00627E10">
        <w:rPr>
          <w:lang w:val="mi-NZ"/>
        </w:rPr>
        <w:t xml:space="preserve"> an expenditure weighting closer to 50</w:t>
      </w:r>
      <w:r w:rsidR="005674EA">
        <w:rPr>
          <w:lang w:val="mi-NZ"/>
        </w:rPr>
        <w:t xml:space="preserve"> percent</w:t>
      </w:r>
      <w:r w:rsidR="00627E10">
        <w:rPr>
          <w:lang w:val="mi-NZ"/>
        </w:rPr>
        <w:t xml:space="preserve"> would see all four gambling providers paying a more equal share fo</w:t>
      </w:r>
      <w:r w:rsidR="00101D57">
        <w:rPr>
          <w:lang w:val="mi-NZ"/>
        </w:rPr>
        <w:t>r research and treatment</w:t>
      </w:r>
      <w:r w:rsidR="00D608A8">
        <w:rPr>
          <w:lang w:val="mi-NZ"/>
        </w:rPr>
        <w:t xml:space="preserve"> of onlin</w:t>
      </w:r>
      <w:r w:rsidR="009D715A">
        <w:rPr>
          <w:lang w:val="mi-NZ"/>
        </w:rPr>
        <w:t>e</w:t>
      </w:r>
      <w:r w:rsidR="00D608A8">
        <w:rPr>
          <w:lang w:val="mi-NZ"/>
        </w:rPr>
        <w:t xml:space="preserve"> gambling. </w:t>
      </w:r>
      <w:r w:rsidR="001804B2">
        <w:rPr>
          <w:lang w:val="mi-NZ"/>
        </w:rPr>
        <w:t>They described</w:t>
      </w:r>
      <w:r w:rsidR="00EF0E1A">
        <w:rPr>
          <w:lang w:val="mi-NZ"/>
        </w:rPr>
        <w:t xml:space="preserve"> </w:t>
      </w:r>
      <w:r w:rsidR="00292251">
        <w:rPr>
          <w:lang w:val="mi-NZ"/>
        </w:rPr>
        <w:t xml:space="preserve">a </w:t>
      </w:r>
      <w:r w:rsidR="00DB2254">
        <w:rPr>
          <w:lang w:val="mi-NZ"/>
        </w:rPr>
        <w:t xml:space="preserve">higher </w:t>
      </w:r>
      <w:r w:rsidR="006A2D37">
        <w:rPr>
          <w:lang w:val="mi-NZ"/>
        </w:rPr>
        <w:t xml:space="preserve">weighting </w:t>
      </w:r>
      <w:r w:rsidR="00DB2254">
        <w:rPr>
          <w:lang w:val="mi-NZ"/>
        </w:rPr>
        <w:t xml:space="preserve">of presentations </w:t>
      </w:r>
      <w:r w:rsidR="006A2D37">
        <w:rPr>
          <w:lang w:val="mi-NZ"/>
        </w:rPr>
        <w:t xml:space="preserve">as </w:t>
      </w:r>
      <w:r w:rsidR="00D527C2">
        <w:rPr>
          <w:lang w:val="mi-NZ"/>
        </w:rPr>
        <w:t>being</w:t>
      </w:r>
      <w:r w:rsidR="00623F6B">
        <w:rPr>
          <w:lang w:val="mi-NZ"/>
        </w:rPr>
        <w:t>:</w:t>
      </w:r>
      <w:r w:rsidR="00D527C2">
        <w:rPr>
          <w:lang w:val="mi-NZ"/>
        </w:rPr>
        <w:t xml:space="preserve"> inappropriately subjective</w:t>
      </w:r>
      <w:r w:rsidR="00A71B0E">
        <w:rPr>
          <w:lang w:val="mi-NZ"/>
        </w:rPr>
        <w:t>,</w:t>
      </w:r>
      <w:r w:rsidR="00483C97">
        <w:rPr>
          <w:lang w:val="mi-NZ"/>
        </w:rPr>
        <w:t xml:space="preserve"> </w:t>
      </w:r>
      <w:r w:rsidR="001F374B">
        <w:rPr>
          <w:lang w:val="mi-NZ"/>
        </w:rPr>
        <w:t xml:space="preserve">potentially influenced by </w:t>
      </w:r>
      <w:r w:rsidR="007C6A9F">
        <w:rPr>
          <w:lang w:val="mi-NZ"/>
        </w:rPr>
        <w:t xml:space="preserve">service provider </w:t>
      </w:r>
      <w:r w:rsidR="001F374B">
        <w:rPr>
          <w:lang w:val="mi-NZ"/>
        </w:rPr>
        <w:t>bias</w:t>
      </w:r>
      <w:r w:rsidR="008E38FA">
        <w:rPr>
          <w:lang w:val="mi-NZ"/>
        </w:rPr>
        <w:t xml:space="preserve">es, and </w:t>
      </w:r>
      <w:r w:rsidR="00B9265C">
        <w:rPr>
          <w:lang w:val="mi-NZ"/>
        </w:rPr>
        <w:t xml:space="preserve">as </w:t>
      </w:r>
      <w:r w:rsidR="006A2D37">
        <w:rPr>
          <w:lang w:val="mi-NZ"/>
        </w:rPr>
        <w:t xml:space="preserve">not rewarding venue staff </w:t>
      </w:r>
      <w:r w:rsidR="002038E9">
        <w:rPr>
          <w:lang w:val="mi-NZ"/>
        </w:rPr>
        <w:t>for proactively encouraging players to seek help</w:t>
      </w:r>
      <w:r w:rsidR="00DB2254">
        <w:rPr>
          <w:lang w:val="mi-NZ"/>
        </w:rPr>
        <w:t>.</w:t>
      </w:r>
      <w:r w:rsidR="005674EA">
        <w:rPr>
          <w:rStyle w:val="FootnoteReference"/>
          <w:lang w:val="mi-NZ"/>
        </w:rPr>
        <w:footnoteReference w:id="680"/>
      </w:r>
      <w:r w:rsidR="00DB2254">
        <w:rPr>
          <w:lang w:val="mi-NZ"/>
        </w:rPr>
        <w:t xml:space="preserve"> </w:t>
      </w:r>
    </w:p>
    <w:p w14:paraId="27C13B11" w14:textId="0572A8C2" w:rsidR="00F16289" w:rsidRDefault="00890A21" w:rsidP="00106797">
      <w:pPr>
        <w:pStyle w:val="NumberedHeading3"/>
        <w:autoSpaceDE w:val="0"/>
        <w:autoSpaceDN w:val="0"/>
        <w:adjustRightInd w:val="0"/>
        <w:spacing w:line="269" w:lineRule="auto"/>
        <w:jc w:val="both"/>
      </w:pPr>
      <w:bookmarkStart w:id="134" w:name="_Toc88637615"/>
      <w:r>
        <w:t>One</w:t>
      </w:r>
      <w:r w:rsidR="00F16289">
        <w:t xml:space="preserve"> NCGM</w:t>
      </w:r>
      <w:r>
        <w:t xml:space="preserve"> </w:t>
      </w:r>
      <w:r w:rsidR="008B04CD">
        <w:t xml:space="preserve">submitter </w:t>
      </w:r>
      <w:r>
        <w:t xml:space="preserve">advocated for </w:t>
      </w:r>
      <w:r w:rsidR="00955D56">
        <w:t>a 100/0 weighting</w:t>
      </w:r>
      <w:bookmarkEnd w:id="134"/>
    </w:p>
    <w:p w14:paraId="245E080D" w14:textId="7AAF8129" w:rsidR="002D52EE" w:rsidRPr="002D52EE" w:rsidRDefault="005674EA" w:rsidP="002D52EE">
      <w:pPr>
        <w:pStyle w:val="BodyText"/>
      </w:pPr>
      <w:r>
        <w:t>One</w:t>
      </w:r>
      <w:r w:rsidR="0001641B">
        <w:t xml:space="preserve"> NCGM</w:t>
      </w:r>
      <w:r w:rsidR="00877B1D">
        <w:t xml:space="preserve"> submitter</w:t>
      </w:r>
      <w:r w:rsidR="0072424A">
        <w:t xml:space="preserve"> </w:t>
      </w:r>
      <w:r w:rsidR="00D36CE9">
        <w:t>advocated</w:t>
      </w:r>
      <w:r w:rsidR="00134713">
        <w:t xml:space="preserve"> for a 100</w:t>
      </w:r>
      <w:r w:rsidR="00F87B4A">
        <w:t xml:space="preserve"> percent weighting </w:t>
      </w:r>
      <w:r w:rsidR="00990EC7">
        <w:t>on expenditure</w:t>
      </w:r>
      <w:r w:rsidR="005D1DD5">
        <w:t xml:space="preserve"> </w:t>
      </w:r>
      <w:r w:rsidR="009737BF">
        <w:t xml:space="preserve">alongside </w:t>
      </w:r>
      <w:r w:rsidR="00F93B81">
        <w:t>“</w:t>
      </w:r>
      <w:r w:rsidR="005D1DD5">
        <w:t xml:space="preserve">a directive </w:t>
      </w:r>
      <w:r w:rsidR="00FA578B">
        <w:t>that high</w:t>
      </w:r>
      <w:r w:rsidR="002C529C">
        <w:t xml:space="preserve"> presentation numbers </w:t>
      </w:r>
      <w:r w:rsidR="00C26036">
        <w:t>are seen as a positive</w:t>
      </w:r>
      <w:r w:rsidR="008E0BB1">
        <w:t>, not negative”.</w:t>
      </w:r>
      <w:r>
        <w:rPr>
          <w:rStyle w:val="FootnoteReference"/>
        </w:rPr>
        <w:footnoteReference w:id="681"/>
      </w:r>
      <w:r w:rsidR="008E0BB1">
        <w:t xml:space="preserve"> </w:t>
      </w:r>
      <w:r w:rsidR="007754B0">
        <w:t xml:space="preserve">They </w:t>
      </w:r>
      <w:r w:rsidR="00FD1AEA">
        <w:t>argued</w:t>
      </w:r>
      <w:r w:rsidR="007754B0">
        <w:t xml:space="preserve"> </w:t>
      </w:r>
      <w:r>
        <w:t xml:space="preserve">that </w:t>
      </w:r>
      <w:r w:rsidR="007754B0">
        <w:t xml:space="preserve">each gambling sector should be encouraged to </w:t>
      </w:r>
      <w:r w:rsidR="00056ADD">
        <w:t>increase its presentation numbers</w:t>
      </w:r>
      <w:r w:rsidR="006B2BAB">
        <w:t xml:space="preserve">, and </w:t>
      </w:r>
      <w:r w:rsidR="002D52EE">
        <w:t>“</w:t>
      </w:r>
      <w:r w:rsidR="006B2BAB">
        <w:t>operators</w:t>
      </w:r>
      <w:r w:rsidR="002D52EE" w:rsidRPr="002D52EE">
        <w:t xml:space="preserve"> who show real improvement be rewarded with future regulatory concessions</w:t>
      </w:r>
      <w:r w:rsidR="00C87DE2">
        <w:t>”.</w:t>
      </w:r>
      <w:r>
        <w:rPr>
          <w:rStyle w:val="FootnoteReference"/>
        </w:rPr>
        <w:footnoteReference w:id="682"/>
      </w:r>
    </w:p>
    <w:p w14:paraId="1FA988B2" w14:textId="50C7A256" w:rsidR="009E069E" w:rsidRDefault="00E374BC" w:rsidP="009E069E">
      <w:pPr>
        <w:pStyle w:val="NumberedHeading3"/>
        <w:autoSpaceDE w:val="0"/>
        <w:autoSpaceDN w:val="0"/>
        <w:adjustRightInd w:val="0"/>
        <w:spacing w:line="269" w:lineRule="auto"/>
        <w:jc w:val="both"/>
      </w:pPr>
      <w:bookmarkStart w:id="135" w:name="_Toc88637616"/>
      <w:r>
        <w:t>No</w:t>
      </w:r>
      <w:r w:rsidR="00DF40F4">
        <w:t xml:space="preserve"> submitters supported </w:t>
      </w:r>
      <w:r w:rsidR="00250C91">
        <w:t>the</w:t>
      </w:r>
      <w:r w:rsidR="00DF40F4">
        <w:t xml:space="preserve"> </w:t>
      </w:r>
      <w:r w:rsidR="009E069E">
        <w:t xml:space="preserve">20/80 </w:t>
      </w:r>
      <w:r w:rsidR="00DF40F4">
        <w:t>weighting</w:t>
      </w:r>
      <w:bookmarkEnd w:id="135"/>
    </w:p>
    <w:p w14:paraId="20FD0626" w14:textId="1C87AFB7" w:rsidR="009E069E" w:rsidRPr="003860CF" w:rsidRDefault="009E069E" w:rsidP="003860CF">
      <w:pPr>
        <w:pStyle w:val="BodyText"/>
      </w:pPr>
      <w:r>
        <w:t xml:space="preserve">No submitters </w:t>
      </w:r>
      <w:r w:rsidR="007D118A">
        <w:t xml:space="preserve">supported the 20/80 weighting. </w:t>
      </w:r>
      <w:r>
        <w:t xml:space="preserve"> </w:t>
      </w:r>
    </w:p>
    <w:p w14:paraId="0D517677" w14:textId="77777777" w:rsidR="00931C73" w:rsidRDefault="00931C73" w:rsidP="00931C73">
      <w:pPr>
        <w:pStyle w:val="NumberedHeading3"/>
        <w:autoSpaceDE w:val="0"/>
        <w:autoSpaceDN w:val="0"/>
        <w:adjustRightInd w:val="0"/>
        <w:spacing w:line="269" w:lineRule="auto"/>
        <w:jc w:val="both"/>
      </w:pPr>
      <w:bookmarkStart w:id="136" w:name="_Toc88637617"/>
      <w:bookmarkStart w:id="137" w:name="_Toc529788384"/>
      <w:bookmarkEnd w:id="126"/>
      <w:r>
        <w:t>Some submitters suggested amendments to the levy formula (i.e., that MVEs could be considered as a weighting)</w:t>
      </w:r>
      <w:bookmarkEnd w:id="136"/>
    </w:p>
    <w:p w14:paraId="093A61B1" w14:textId="35295857" w:rsidR="00931C73" w:rsidRPr="003860CF" w:rsidRDefault="00931C73" w:rsidP="00931C73">
      <w:pPr>
        <w:pStyle w:val="BodyText"/>
      </w:pPr>
      <w:r>
        <w:t>Three submitters (one service provider, one health and social service</w:t>
      </w:r>
      <w:r w:rsidR="00AC4D49">
        <w:t>s</w:t>
      </w:r>
      <w:r>
        <w:t xml:space="preserve"> submitter, and an individual) described MVEs as a proxy for harm reduction and argued this could be included as another consideration for the levy weighting.</w:t>
      </w:r>
      <w:r>
        <w:rPr>
          <w:rStyle w:val="FootnoteReference"/>
        </w:rPr>
        <w:footnoteReference w:id="683"/>
      </w:r>
      <w:r>
        <w:t xml:space="preserve"> The service provider added this would be relatively easy to capture and incorporate.</w:t>
      </w:r>
      <w:r>
        <w:rPr>
          <w:rStyle w:val="FootnoteReference"/>
        </w:rPr>
        <w:footnoteReference w:id="684"/>
      </w:r>
      <w:r>
        <w:t xml:space="preserve"> </w:t>
      </w:r>
    </w:p>
    <w:p w14:paraId="719D72EC" w14:textId="0E9A5337" w:rsidR="009B5020" w:rsidRPr="009B5020" w:rsidRDefault="009B5020" w:rsidP="009B5020">
      <w:pPr>
        <w:pStyle w:val="NumberedHeading3"/>
      </w:pPr>
      <w:bookmarkStart w:id="138" w:name="_Toc88637618"/>
      <w:r w:rsidRPr="009B5020">
        <w:lastRenderedPageBreak/>
        <w:t>One service provider argued that the levy should be adjusted to return money taken from gambling to communities</w:t>
      </w:r>
      <w:bookmarkEnd w:id="138"/>
    </w:p>
    <w:p w14:paraId="404EAE29" w14:textId="0E2EDC92" w:rsidR="009B5020" w:rsidRDefault="009B5020" w:rsidP="009B5020">
      <w:pPr>
        <w:spacing w:before="120" w:after="120" w:line="280" w:lineRule="exact"/>
        <w:jc w:val="both"/>
        <w:rPr>
          <w:rFonts w:ascii="Avenir LT Std 45 Book" w:eastAsia="Avenir LT Std 45 Book" w:hAnsi="Avenir LT Std 45 Book" w:cs="Arial"/>
        </w:rPr>
      </w:pPr>
      <w:r>
        <w:rPr>
          <w:rFonts w:ascii="Avenir LT Std 45 Book" w:eastAsia="Avenir LT Std 45 Book" w:hAnsi="Avenir LT Std 45 Book" w:cs="Arial"/>
        </w:rPr>
        <w:t>One service provider and one health and social service</w:t>
      </w:r>
      <w:r w:rsidR="00AC4D49">
        <w:rPr>
          <w:rFonts w:ascii="Avenir LT Std 45 Book" w:eastAsia="Avenir LT Std 45 Book" w:hAnsi="Avenir LT Std 45 Book" w:cs="Arial"/>
        </w:rPr>
        <w:t>s</w:t>
      </w:r>
      <w:r>
        <w:rPr>
          <w:rFonts w:ascii="Avenir LT Std 45 Book" w:eastAsia="Avenir LT Std 45 Book" w:hAnsi="Avenir LT Std 45 Book" w:cs="Arial"/>
        </w:rPr>
        <w:t xml:space="preserve"> submitter argued for adjusting the levy so that “money taken from communities for gambling is returned to those communities to support harm reduction”.</w:t>
      </w:r>
      <w:r>
        <w:rPr>
          <w:rFonts w:ascii="Avenir LT Std 45 Book" w:eastAsia="Avenir LT Std 45 Book" w:hAnsi="Avenir LT Std 45 Book" w:cs="Arial"/>
          <w:vertAlign w:val="superscript"/>
        </w:rPr>
        <w:footnoteReference w:id="685"/>
      </w:r>
      <w:r>
        <w:rPr>
          <w:rFonts w:ascii="Avenir LT Std 45 Book" w:eastAsia="Avenir LT Std 45 Book" w:hAnsi="Avenir LT Std 45 Book" w:cs="Arial"/>
        </w:rPr>
        <w:t xml:space="preserve"> They wrote “this current gambling levy formula miscalculates and underestimates the amount of harm done”. They considered the number of people using services an outdated measure of harm as it ignores the harm done to people who do not seek treatment and described the stigma surrounding seeking help and support for gambling harm as a key area to be addressed.</w:t>
      </w:r>
      <w:r>
        <w:rPr>
          <w:rStyle w:val="FootnoteReference"/>
          <w:rFonts w:ascii="Avenir LT Std 45 Book" w:eastAsia="Avenir LT Std 45 Book" w:hAnsi="Avenir LT Std 45 Book" w:cs="Arial"/>
        </w:rPr>
        <w:footnoteReference w:id="686"/>
      </w:r>
      <w:r>
        <w:rPr>
          <w:rFonts w:ascii="Avenir LT Std 45 Book" w:eastAsia="Avenir LT Std 45 Book" w:hAnsi="Avenir LT Std 45 Book" w:cs="Arial"/>
        </w:rPr>
        <w:t xml:space="preserve"> </w:t>
      </w:r>
    </w:p>
    <w:p w14:paraId="257C406D" w14:textId="77777777" w:rsidR="009B5020" w:rsidRPr="006A7F68" w:rsidRDefault="009B5020" w:rsidP="009B5020">
      <w:pPr>
        <w:pStyle w:val="CV-Heading2"/>
        <w:rPr>
          <w:i/>
          <w:iCs/>
        </w:rPr>
      </w:pPr>
      <w:r w:rsidRPr="006A7F68">
        <w:rPr>
          <w:i/>
          <w:iCs/>
        </w:rPr>
        <w:t xml:space="preserve">Hope for equity and equality in distribution of the levy </w:t>
      </w:r>
    </w:p>
    <w:p w14:paraId="2AC04DCC" w14:textId="77777777" w:rsidR="009B5020" w:rsidRDefault="009B5020" w:rsidP="009B5020">
      <w:pPr>
        <w:spacing w:before="120" w:after="120" w:line="280" w:lineRule="exact"/>
        <w:jc w:val="both"/>
        <w:rPr>
          <w:rFonts w:ascii="Avenir LT Std 45 Book" w:eastAsia="Avenir LT Std 45 Book" w:hAnsi="Avenir LT Std 45 Book" w:cs="Arial"/>
        </w:rPr>
      </w:pPr>
      <w:r>
        <w:rPr>
          <w:rFonts w:ascii="Avenir LT Std 45 Book" w:eastAsia="Avenir LT Std 45 Book" w:hAnsi="Avenir LT Std 45 Book" w:cs="Arial"/>
        </w:rPr>
        <w:t>One service provider recalled the following proverbs in reaction to the levy:</w:t>
      </w:r>
      <w:r>
        <w:rPr>
          <w:rFonts w:ascii="Avenir LT Std 45 Book" w:eastAsia="Avenir LT Std 45 Book" w:hAnsi="Avenir LT Std 45 Book" w:cs="Arial"/>
          <w:vertAlign w:val="superscript"/>
        </w:rPr>
        <w:footnoteReference w:id="687"/>
      </w:r>
    </w:p>
    <w:p w14:paraId="2E75476E" w14:textId="77777777" w:rsidR="009B5020" w:rsidRDefault="009B5020" w:rsidP="009B5020">
      <w:pPr>
        <w:spacing w:before="120" w:after="120" w:line="280" w:lineRule="exact"/>
        <w:ind w:left="720"/>
        <w:jc w:val="both"/>
        <w:rPr>
          <w:rFonts w:ascii="Avenir LT Std 45 Book" w:eastAsia="Avenir LT Std 45 Book" w:hAnsi="Avenir LT Std 45 Book" w:cs="Arial"/>
        </w:rPr>
      </w:pPr>
      <w:r>
        <w:rPr>
          <w:rFonts w:ascii="Avenir LT Std 45 Book" w:eastAsia="Avenir LT Std 45 Book" w:hAnsi="Avenir LT Std 45 Book" w:cs="Arial"/>
        </w:rPr>
        <w:t xml:space="preserve">E tua le fale tele ile faleoo. Even the mighty need others. </w:t>
      </w:r>
    </w:p>
    <w:p w14:paraId="644202E7" w14:textId="77777777" w:rsidR="009B5020" w:rsidRDefault="009B5020" w:rsidP="009B5020">
      <w:pPr>
        <w:spacing w:before="120" w:after="120" w:line="280" w:lineRule="exact"/>
        <w:ind w:left="720"/>
        <w:jc w:val="both"/>
        <w:rPr>
          <w:rFonts w:ascii="Avenir LT Std 45 Book" w:eastAsia="Avenir LT Std 45 Book" w:hAnsi="Avenir LT Std 45 Book" w:cs="Arial"/>
        </w:rPr>
      </w:pPr>
      <w:r>
        <w:rPr>
          <w:rFonts w:ascii="Avenir LT Std 45 Book" w:eastAsia="Avenir LT Std 45 Book" w:hAnsi="Avenir LT Std 45 Book" w:cs="Arial"/>
        </w:rPr>
        <w:t xml:space="preserve">Ole ala ile pule le tautua. The path to leadership is service. </w:t>
      </w:r>
    </w:p>
    <w:p w14:paraId="53763DBF" w14:textId="77777777" w:rsidR="009B5020" w:rsidRDefault="009B5020" w:rsidP="009B5020">
      <w:pPr>
        <w:spacing w:before="120" w:after="120" w:line="280" w:lineRule="exact"/>
        <w:ind w:left="720"/>
        <w:jc w:val="both"/>
        <w:rPr>
          <w:rFonts w:ascii="Avenir LT Std 45 Book" w:eastAsia="Avenir LT Std 45 Book" w:hAnsi="Avenir LT Std 45 Book" w:cs="Arial"/>
        </w:rPr>
      </w:pPr>
      <w:r>
        <w:rPr>
          <w:rFonts w:ascii="Avenir LT Std 45 Book" w:eastAsia="Avenir LT Std 45 Book" w:hAnsi="Avenir LT Std 45 Book" w:cs="Arial"/>
        </w:rPr>
        <w:t>E togi le moa ae uu le afa. Throw the chicken but still hold the string.</w:t>
      </w:r>
    </w:p>
    <w:p w14:paraId="7A2B9C74" w14:textId="31D8CF82" w:rsidR="009B5020" w:rsidRDefault="009B5020" w:rsidP="009B5020">
      <w:pPr>
        <w:spacing w:before="120" w:after="120" w:line="280" w:lineRule="exact"/>
        <w:jc w:val="both"/>
        <w:rPr>
          <w:rFonts w:ascii="Avenir LT Std 45 Book" w:eastAsia="Avenir LT Std 45 Book" w:hAnsi="Avenir LT Std 45 Book" w:cs="Arial"/>
        </w:rPr>
      </w:pPr>
      <w:r>
        <w:rPr>
          <w:rFonts w:ascii="Avenir LT Std 45 Book" w:eastAsia="Avenir LT Std 45 Book" w:hAnsi="Avenir LT Std 45 Book" w:cs="Arial"/>
        </w:rPr>
        <w:t xml:space="preserve">The service provider described the Ministry as the authority of distribution with regards to the levy and advocated for equity and equality in its distribution. They sought further clarification from the Ministry </w:t>
      </w:r>
      <w:r w:rsidR="00B56D86">
        <w:rPr>
          <w:rFonts w:ascii="Avenir LT Std 45 Book" w:eastAsia="Avenir LT Std 45 Book" w:hAnsi="Avenir LT Std 45 Book" w:cs="Arial"/>
        </w:rPr>
        <w:t xml:space="preserve">on </w:t>
      </w:r>
      <w:r>
        <w:rPr>
          <w:rFonts w:ascii="Avenir LT Std 45 Book" w:eastAsia="Avenir LT Std 45 Book" w:hAnsi="Avenir LT Std 45 Book" w:cs="Arial"/>
        </w:rPr>
        <w:t>what the levy, the formula, and the levy distribution would mean in practice for them.</w:t>
      </w:r>
      <w:r w:rsidRPr="006A7F68">
        <w:rPr>
          <w:rFonts w:ascii="Avenir LT Std 45 Book" w:eastAsia="Avenir LT Std 45 Book" w:hAnsi="Avenir LT Std 45 Book" w:cs="Arial"/>
          <w:vertAlign w:val="superscript"/>
        </w:rPr>
        <w:t xml:space="preserve"> </w:t>
      </w:r>
      <w:r>
        <w:rPr>
          <w:rFonts w:ascii="Avenir LT Std 45 Book" w:eastAsia="Avenir LT Std 45 Book" w:hAnsi="Avenir LT Std 45 Book" w:cs="Arial"/>
          <w:vertAlign w:val="superscript"/>
        </w:rPr>
        <w:footnoteReference w:id="688"/>
      </w:r>
      <w:r>
        <w:rPr>
          <w:rFonts w:ascii="Avenir LT Std 45 Book" w:eastAsia="Avenir LT Std 45 Book" w:hAnsi="Avenir LT Std 45 Book" w:cs="Arial"/>
        </w:rPr>
        <w:t xml:space="preserve"> </w:t>
      </w:r>
    </w:p>
    <w:p w14:paraId="761E06B3" w14:textId="78E94AE5" w:rsidR="009B5020" w:rsidRPr="006A7F68" w:rsidRDefault="009B5020" w:rsidP="009B5020">
      <w:pPr>
        <w:pStyle w:val="CV-Heading2"/>
        <w:rPr>
          <w:i/>
          <w:iCs/>
        </w:rPr>
      </w:pPr>
      <w:r w:rsidRPr="006A7F68">
        <w:rPr>
          <w:i/>
          <w:iCs/>
        </w:rPr>
        <w:t xml:space="preserve">To promote long-term harm reduction the Ministry should reconsider how expenditure is determined </w:t>
      </w:r>
    </w:p>
    <w:p w14:paraId="78F3E4E7" w14:textId="6848BC89" w:rsidR="009B5020" w:rsidRDefault="009B5020" w:rsidP="009B5020">
      <w:pPr>
        <w:spacing w:before="120" w:after="120" w:line="280" w:lineRule="exact"/>
        <w:jc w:val="both"/>
        <w:rPr>
          <w:rFonts w:ascii="Avenir LT Std 45 Book" w:eastAsia="Avenir LT Std 45 Book" w:hAnsi="Avenir LT Std 45 Book" w:cs="Arial"/>
          <w:lang w:val="mi-NZ"/>
        </w:rPr>
      </w:pPr>
      <w:r>
        <w:rPr>
          <w:rFonts w:ascii="Avenir LT Std 45 Book" w:eastAsia="Avenir LT Std 45 Book" w:hAnsi="Avenir LT Std 45 Book" w:cs="Arial"/>
          <w:lang w:val="mi-NZ"/>
        </w:rPr>
        <w:t>One health and social services submitter questioned the government on how transformational change could be ach</w:t>
      </w:r>
      <w:r w:rsidR="00B56D86">
        <w:rPr>
          <w:rFonts w:ascii="Avenir LT Std 45 Book" w:eastAsia="Avenir LT Std 45 Book" w:hAnsi="Avenir LT Std 45 Book" w:cs="Arial"/>
          <w:lang w:val="mi-NZ"/>
        </w:rPr>
        <w:t>ie</w:t>
      </w:r>
      <w:r>
        <w:rPr>
          <w:rFonts w:ascii="Avenir LT Std 45 Book" w:eastAsia="Avenir LT Std 45 Book" w:hAnsi="Avenir LT Std 45 Book" w:cs="Arial"/>
          <w:lang w:val="mi-NZ"/>
        </w:rPr>
        <w:t>ved by only spending approximately the same amount on harm prevention.</w:t>
      </w:r>
      <w:r>
        <w:rPr>
          <w:rFonts w:ascii="Avenir LT Std 45 Book" w:eastAsia="Avenir LT Std 45 Book" w:hAnsi="Avenir LT Std 45 Book" w:cs="Arial"/>
          <w:vertAlign w:val="superscript"/>
          <w:lang w:val="mi-NZ"/>
        </w:rPr>
        <w:footnoteReference w:id="689"/>
      </w:r>
      <w:r>
        <w:rPr>
          <w:rFonts w:ascii="Avenir LT Std 45 Book" w:eastAsia="Avenir LT Std 45 Book" w:hAnsi="Avenir LT Std 45 Book" w:cs="Arial"/>
          <w:lang w:val="mi-NZ"/>
        </w:rPr>
        <w:t xml:space="preserve"> They described the need to reconsider how expenditure is determined and argued “it would be more effective for sustainability and long-term harm reduction to have a policy where any over-recovery is retained and under-recovery is added to the following cycle’s levy structure”.</w:t>
      </w:r>
      <w:r>
        <w:rPr>
          <w:rStyle w:val="FootnoteReference"/>
          <w:rFonts w:ascii="Avenir LT Std 45 Book" w:eastAsia="Avenir LT Std 45 Book" w:hAnsi="Avenir LT Std 45 Book" w:cs="Arial"/>
          <w:lang w:val="mi-NZ"/>
        </w:rPr>
        <w:footnoteReference w:id="690"/>
      </w:r>
    </w:p>
    <w:p w14:paraId="3FA17711" w14:textId="28EB21CA" w:rsidR="009B5020" w:rsidRPr="00B07E12" w:rsidRDefault="009B5020" w:rsidP="009B5020">
      <w:pPr>
        <w:pStyle w:val="CV-Heading2"/>
        <w:rPr>
          <w:i/>
          <w:iCs/>
        </w:rPr>
      </w:pPr>
      <w:r w:rsidRPr="00B07E12">
        <w:rPr>
          <w:i/>
          <w:iCs/>
        </w:rPr>
        <w:t xml:space="preserve">The </w:t>
      </w:r>
      <w:r>
        <w:rPr>
          <w:i/>
          <w:iCs/>
        </w:rPr>
        <w:t>M</w:t>
      </w:r>
      <w:r w:rsidRPr="00B07E12">
        <w:rPr>
          <w:i/>
          <w:iCs/>
        </w:rPr>
        <w:t xml:space="preserve">inistry should encourage DIA and other government agencies to review the Act </w:t>
      </w:r>
    </w:p>
    <w:p w14:paraId="30619879" w14:textId="77777777" w:rsidR="009B5020" w:rsidRDefault="009B5020" w:rsidP="009B5020">
      <w:pPr>
        <w:spacing w:before="120" w:after="120" w:line="280" w:lineRule="exact"/>
        <w:jc w:val="both"/>
        <w:rPr>
          <w:rFonts w:ascii="Avenir LT Std 45 Book" w:eastAsia="Avenir LT Std 45 Book" w:hAnsi="Avenir LT Std 45 Book" w:cs="Arial"/>
          <w:lang w:val="mi-NZ"/>
        </w:rPr>
      </w:pPr>
      <w:r>
        <w:rPr>
          <w:rFonts w:ascii="Avenir LT Std 45 Book" w:eastAsia="Avenir LT Std 45 Book" w:hAnsi="Avenir LT Std 45 Book" w:cs="Arial"/>
          <w:lang w:val="mi-NZ"/>
        </w:rPr>
        <w:t>One service provider urged the Ministry to encourage DIA and other government agencies to review the</w:t>
      </w:r>
      <w:r w:rsidDel="00265B2C">
        <w:rPr>
          <w:rFonts w:ascii="Avenir LT Std 45 Book" w:eastAsia="Avenir LT Std 45 Book" w:hAnsi="Avenir LT Std 45 Book" w:cs="Arial"/>
          <w:lang w:val="mi-NZ"/>
        </w:rPr>
        <w:t xml:space="preserve"> </w:t>
      </w:r>
      <w:r>
        <w:rPr>
          <w:rFonts w:ascii="Avenir LT Std 45 Book" w:eastAsia="Avenir LT Std 45 Book" w:hAnsi="Avenir LT Std 45 Book" w:cs="Arial"/>
          <w:lang w:val="mi-NZ"/>
        </w:rPr>
        <w:t>Act to factor online gambling and gaming into the levy formula.</w:t>
      </w:r>
      <w:r>
        <w:rPr>
          <w:rFonts w:ascii="Avenir LT Std 45 Book" w:eastAsia="Avenir LT Std 45 Book" w:hAnsi="Avenir LT Std 45 Book" w:cs="Arial"/>
          <w:vertAlign w:val="superscript"/>
          <w:lang w:val="mi-NZ"/>
        </w:rPr>
        <w:footnoteReference w:id="691"/>
      </w:r>
      <w:r>
        <w:rPr>
          <w:rFonts w:ascii="Avenir LT Std 45 Book" w:eastAsia="Avenir LT Std 45 Book" w:hAnsi="Avenir LT Std 45 Book" w:cs="Arial"/>
          <w:lang w:val="mi-NZ"/>
        </w:rPr>
        <w:t xml:space="preserve"> They described gaming convergence as a growing concern, noting games are not covered under the Act despite gambling products in games being associated with problematic gambling behaviour.</w:t>
      </w:r>
      <w:r>
        <w:rPr>
          <w:rStyle w:val="FootnoteReference"/>
          <w:rFonts w:ascii="Avenir LT Std 45 Book" w:eastAsia="Avenir LT Std 45 Book" w:hAnsi="Avenir LT Std 45 Book" w:cs="Arial"/>
          <w:lang w:val="mi-NZ"/>
        </w:rPr>
        <w:footnoteReference w:id="692"/>
      </w:r>
      <w:r>
        <w:rPr>
          <w:rFonts w:ascii="Avenir LT Std 45 Book" w:eastAsia="Avenir LT Std 45 Book" w:hAnsi="Avenir LT Std 45 Book" w:cs="Arial"/>
          <w:lang w:val="mi-NZ"/>
        </w:rPr>
        <w:t xml:space="preserve">  </w:t>
      </w:r>
    </w:p>
    <w:p w14:paraId="2B2336DF" w14:textId="77777777" w:rsidR="009B5020" w:rsidRPr="004610F6" w:rsidRDefault="009B5020" w:rsidP="009B5020">
      <w:pPr>
        <w:pStyle w:val="CV-Heading2"/>
        <w:rPr>
          <w:i/>
          <w:iCs/>
        </w:rPr>
      </w:pPr>
      <w:r w:rsidRPr="004610F6">
        <w:rPr>
          <w:i/>
          <w:iCs/>
        </w:rPr>
        <w:lastRenderedPageBreak/>
        <w:t>Disaggregated presentation data per sector would illustrate how priority populations are being affected</w:t>
      </w:r>
    </w:p>
    <w:p w14:paraId="00FCC57C" w14:textId="77777777" w:rsidR="009B5020" w:rsidRDefault="009B5020" w:rsidP="009B5020">
      <w:pPr>
        <w:spacing w:before="120" w:after="120" w:line="280" w:lineRule="exact"/>
        <w:jc w:val="both"/>
        <w:rPr>
          <w:rFonts w:ascii="Avenir LT Std 45 Book" w:eastAsia="Avenir LT Std 45 Book" w:hAnsi="Avenir LT Std 45 Book" w:cs="Arial"/>
          <w:lang w:val="mi-NZ"/>
        </w:rPr>
      </w:pPr>
      <w:r>
        <w:rPr>
          <w:rFonts w:ascii="Avenir LT Std 45 Book" w:eastAsia="Avenir LT Std 45 Book" w:hAnsi="Avenir LT Std 45 Book" w:cs="Arial"/>
          <w:lang w:val="mi-NZ"/>
        </w:rPr>
        <w:t>One health and social services submitter wrote:</w:t>
      </w:r>
      <w:r>
        <w:rPr>
          <w:rFonts w:ascii="Avenir LT Std 45 Book" w:eastAsia="Avenir LT Std 45 Book" w:hAnsi="Avenir LT Std 45 Book" w:cs="Arial"/>
          <w:vertAlign w:val="superscript"/>
          <w:lang w:val="mi-NZ"/>
        </w:rPr>
        <w:footnoteReference w:id="693"/>
      </w:r>
    </w:p>
    <w:p w14:paraId="7C30C98F" w14:textId="77777777" w:rsidR="009B5020" w:rsidRPr="00375DAE" w:rsidRDefault="009B5020" w:rsidP="009B5020">
      <w:pPr>
        <w:spacing w:before="120" w:after="120" w:line="280" w:lineRule="exact"/>
        <w:ind w:left="567"/>
        <w:jc w:val="both"/>
        <w:rPr>
          <w:i/>
          <w:iCs/>
          <w:lang w:val="mi-NZ"/>
        </w:rPr>
      </w:pPr>
      <w:r w:rsidRPr="00375DAE">
        <w:rPr>
          <w:rFonts w:ascii="Avenir LT Std 45 Book" w:eastAsia="Avenir LT Std 45 Book" w:hAnsi="Avenir LT Std 45 Book" w:cs="Arial"/>
          <w:i/>
          <w:iCs/>
          <w:lang w:val="mi-NZ"/>
        </w:rPr>
        <w:t>“It would be useful to see estimates of the expenditure against presentation data per sector disaggregated by priority populations. That would allow analysis of how priority populations are being affected and whether presentations are proportional to the amount being spent by that population.”</w:t>
      </w:r>
    </w:p>
    <w:p w14:paraId="76B176E5" w14:textId="77777777" w:rsidR="009B5020" w:rsidRPr="004D529F" w:rsidRDefault="009B5020" w:rsidP="009B5020">
      <w:pPr>
        <w:pStyle w:val="CV-Heading2"/>
        <w:rPr>
          <w:i/>
          <w:iCs/>
        </w:rPr>
      </w:pPr>
      <w:r w:rsidRPr="004D529F">
        <w:rPr>
          <w:i/>
          <w:iCs/>
        </w:rPr>
        <w:t>Lotto, TAB, and SKYCITY should pay extra until online gambling is included in the levy</w:t>
      </w:r>
    </w:p>
    <w:p w14:paraId="112B35FE" w14:textId="5406F86C" w:rsidR="009B5020" w:rsidRDefault="00044B78" w:rsidP="009B5020">
      <w:pPr>
        <w:pStyle w:val="BodyText"/>
      </w:pPr>
      <w:r>
        <w:t>An individual, who did not spec</w:t>
      </w:r>
      <w:r w:rsidR="00BF3295">
        <w:t>ify a weighting preference,</w:t>
      </w:r>
      <w:r w:rsidR="009B5020">
        <w:t xml:space="preserve"> argued that Lotto, TAB, and SKYCITY </w:t>
      </w:r>
      <w:r w:rsidR="00B56D86">
        <w:t xml:space="preserve">should </w:t>
      </w:r>
      <w:r w:rsidR="009B5020">
        <w:t>contribute extra to the levy until online and offshore gambling organisations are made to contribute to the levy.</w:t>
      </w:r>
      <w:r w:rsidR="009B5020">
        <w:rPr>
          <w:rStyle w:val="FootnoteReference"/>
        </w:rPr>
        <w:footnoteReference w:id="694"/>
      </w:r>
      <w:r w:rsidR="009B5020">
        <w:t xml:space="preserve"> </w:t>
      </w:r>
    </w:p>
    <w:p w14:paraId="75D37742" w14:textId="2FDBBA28" w:rsidR="00132E36" w:rsidRDefault="00132E36" w:rsidP="00132E36">
      <w:pPr>
        <w:pStyle w:val="NumberedHeading2"/>
      </w:pPr>
      <w:bookmarkStart w:id="139" w:name="_Toc88637619"/>
      <w:r w:rsidRPr="009E7223">
        <w:t>The degree of support for the levy rates</w:t>
      </w:r>
      <w:bookmarkEnd w:id="137"/>
      <w:bookmarkEnd w:id="139"/>
    </w:p>
    <w:p w14:paraId="1CF3002D" w14:textId="47F5E62C" w:rsidR="004C2DF5" w:rsidRDefault="000B0E5B" w:rsidP="003860CF">
      <w:pPr>
        <w:pStyle w:val="BodyText"/>
      </w:pPr>
      <w:r>
        <w:t>Fifteen submitters</w:t>
      </w:r>
      <w:r w:rsidR="00623F6B">
        <w:t xml:space="preserve"> including </w:t>
      </w:r>
      <w:r w:rsidR="00842E8B">
        <w:t xml:space="preserve">seven service providers, </w:t>
      </w:r>
      <w:r w:rsidR="009F51CB">
        <w:t>four health and social service</w:t>
      </w:r>
      <w:r w:rsidR="00AC4D49">
        <w:t>s</w:t>
      </w:r>
      <w:r w:rsidR="009F51CB">
        <w:t xml:space="preserve"> </w:t>
      </w:r>
      <w:r w:rsidR="00543E93">
        <w:t xml:space="preserve">sector submitters, </w:t>
      </w:r>
      <w:r w:rsidR="002F63EE">
        <w:t>three</w:t>
      </w:r>
      <w:r w:rsidR="004C2DF5">
        <w:t xml:space="preserve"> NCGM submitters, </w:t>
      </w:r>
      <w:r w:rsidR="00543E93">
        <w:t xml:space="preserve">and </w:t>
      </w:r>
      <w:r>
        <w:t>one</w:t>
      </w:r>
      <w:r w:rsidR="004C2DF5">
        <w:t xml:space="preserve"> gambling industry submitters</w:t>
      </w:r>
      <w:r w:rsidR="00CE1B10">
        <w:t xml:space="preserve"> </w:t>
      </w:r>
      <w:r w:rsidR="004C2DF5" w:rsidRPr="009E7223">
        <w:t xml:space="preserve">commented </w:t>
      </w:r>
      <w:r w:rsidR="007D118A">
        <w:t>on</w:t>
      </w:r>
      <w:r w:rsidR="004C2DF5">
        <w:t xml:space="preserve"> the </w:t>
      </w:r>
      <w:r w:rsidR="00110DA0">
        <w:t>proposed levy rates</w:t>
      </w:r>
      <w:r w:rsidR="004C2DF5">
        <w:t>.</w:t>
      </w:r>
      <w:r w:rsidR="007D118A">
        <w:rPr>
          <w:rStyle w:val="FootnoteReference"/>
        </w:rPr>
        <w:footnoteReference w:id="695"/>
      </w:r>
    </w:p>
    <w:p w14:paraId="64271FE5" w14:textId="56ADF36F" w:rsidR="004B7928" w:rsidRDefault="007D118A" w:rsidP="00A0043D">
      <w:pPr>
        <w:pStyle w:val="NumberedHeading3"/>
        <w:autoSpaceDE w:val="0"/>
        <w:autoSpaceDN w:val="0"/>
        <w:adjustRightInd w:val="0"/>
        <w:spacing w:line="269" w:lineRule="auto"/>
        <w:jc w:val="both"/>
      </w:pPr>
      <w:bookmarkStart w:id="140" w:name="_Toc88637620"/>
      <w:r>
        <w:t>There was va</w:t>
      </w:r>
      <w:r w:rsidR="001C1CD9">
        <w:t>rious</w:t>
      </w:r>
      <w:r w:rsidR="00CF5D37">
        <w:t xml:space="preserve"> support for f</w:t>
      </w:r>
      <w:r w:rsidR="000D4D6E">
        <w:t>u</w:t>
      </w:r>
      <w:r w:rsidR="004B7928">
        <w:t xml:space="preserve">rther increases </w:t>
      </w:r>
      <w:r w:rsidR="000D4D6E">
        <w:t>to the levy rate</w:t>
      </w:r>
      <w:r w:rsidR="00C91CC4">
        <w:t xml:space="preserve"> </w:t>
      </w:r>
      <w:r w:rsidR="001C1CD9">
        <w:t>beyond the proposed level</w:t>
      </w:r>
      <w:bookmarkEnd w:id="140"/>
    </w:p>
    <w:p w14:paraId="75827545" w14:textId="7AD037BD" w:rsidR="004629BA" w:rsidRDefault="007D118A" w:rsidP="00A0043D">
      <w:pPr>
        <w:pStyle w:val="BodyText"/>
      </w:pPr>
      <w:r>
        <w:t>Five</w:t>
      </w:r>
      <w:r w:rsidR="008A7F8F">
        <w:t xml:space="preserve"> submitters</w:t>
      </w:r>
      <w:r w:rsidR="004629BA">
        <w:t xml:space="preserve"> (</w:t>
      </w:r>
      <w:r w:rsidR="00277151">
        <w:t>three</w:t>
      </w:r>
      <w:r w:rsidR="004629BA">
        <w:t xml:space="preserve"> </w:t>
      </w:r>
      <w:r w:rsidR="00B8436C">
        <w:t xml:space="preserve">service providers and two </w:t>
      </w:r>
      <w:r w:rsidR="004629BA">
        <w:t>health and social service</w:t>
      </w:r>
      <w:r w:rsidR="00AC4D49">
        <w:t>s</w:t>
      </w:r>
      <w:r w:rsidR="004629BA">
        <w:t xml:space="preserve"> submitters)</w:t>
      </w:r>
      <w:r w:rsidR="008A7F8F">
        <w:t xml:space="preserve"> advocated for further increases to the levy rates</w:t>
      </w:r>
      <w:r w:rsidR="00366795">
        <w:t>.</w:t>
      </w:r>
      <w:r w:rsidR="00366795">
        <w:rPr>
          <w:rStyle w:val="FootnoteReference"/>
        </w:rPr>
        <w:footnoteReference w:id="696"/>
      </w:r>
      <w:r w:rsidR="008A7F8F">
        <w:t xml:space="preserve"> Th</w:t>
      </w:r>
      <w:r w:rsidR="00D1645C">
        <w:t>ey</w:t>
      </w:r>
      <w:r w:rsidR="008A7F8F">
        <w:t xml:space="preserve"> noted support </w:t>
      </w:r>
      <w:r w:rsidR="00073E44">
        <w:t>for</w:t>
      </w:r>
      <w:r w:rsidR="008A7F8F">
        <w:t xml:space="preserve"> the </w:t>
      </w:r>
      <w:r w:rsidR="00C91CC4">
        <w:t>proposed</w:t>
      </w:r>
      <w:r w:rsidR="008A7F8F">
        <w:t xml:space="preserve"> increase but considered it insufficient to recover the cost of developing, managing, and delivering the </w:t>
      </w:r>
      <w:r w:rsidR="00572B4F">
        <w:t>s</w:t>
      </w:r>
      <w:r w:rsidR="008A7F8F">
        <w:t>trategy.</w:t>
      </w:r>
      <w:r w:rsidR="00677C30">
        <w:rPr>
          <w:rStyle w:val="FootnoteReference"/>
        </w:rPr>
        <w:footnoteReference w:id="697"/>
      </w:r>
      <w:r w:rsidR="008A7F8F">
        <w:t xml:space="preserve"> </w:t>
      </w:r>
    </w:p>
    <w:p w14:paraId="0173DEEC" w14:textId="28C34896" w:rsidR="001C1CD9" w:rsidRDefault="001C1CD9" w:rsidP="003860CF">
      <w:pPr>
        <w:pStyle w:val="BodyText"/>
      </w:pPr>
      <w:r>
        <w:t>Two</w:t>
      </w:r>
      <w:r w:rsidR="004629BA">
        <w:t xml:space="preserve"> </w:t>
      </w:r>
      <w:r w:rsidR="007F1A3E">
        <w:t>service providers</w:t>
      </w:r>
      <w:r w:rsidR="00677C30">
        <w:t xml:space="preserve"> </w:t>
      </w:r>
      <w:r w:rsidR="004629BA">
        <w:t>wrote</w:t>
      </w:r>
      <w:r w:rsidR="008A561A">
        <w:t xml:space="preserve"> “</w:t>
      </w:r>
      <w:r w:rsidR="004629BA">
        <w:t>c</w:t>
      </w:r>
      <w:r w:rsidR="008A561A" w:rsidRPr="008A561A">
        <w:t xml:space="preserve">onsidering Māori are over-represented in statistics relating to gambling harm, </w:t>
      </w:r>
      <w:r w:rsidR="004629BA">
        <w:t>we are</w:t>
      </w:r>
      <w:r w:rsidR="008A561A" w:rsidRPr="008A561A">
        <w:t xml:space="preserve"> in support of future redirection of funding to both Māori specific clinical and public health services.</w:t>
      </w:r>
      <w:r w:rsidR="008A561A">
        <w:t>”</w:t>
      </w:r>
      <w:r w:rsidR="00677C30" w:rsidRPr="00677C30">
        <w:rPr>
          <w:rStyle w:val="FootnoteReference"/>
        </w:rPr>
        <w:t xml:space="preserve"> </w:t>
      </w:r>
      <w:r w:rsidR="00677C30">
        <w:rPr>
          <w:rStyle w:val="FootnoteReference"/>
        </w:rPr>
        <w:footnoteReference w:id="698"/>
      </w:r>
      <w:r w:rsidR="008A561A">
        <w:t xml:space="preserve"> </w:t>
      </w:r>
      <w:r>
        <w:t>One</w:t>
      </w:r>
      <w:r w:rsidR="00677C30">
        <w:t xml:space="preserve"> service provider </w:t>
      </w:r>
      <w:r w:rsidR="000D4D6E">
        <w:t>noted the community had</w:t>
      </w:r>
      <w:r w:rsidR="004629BA">
        <w:t xml:space="preserve"> </w:t>
      </w:r>
      <w:r w:rsidR="000D4D6E">
        <w:t xml:space="preserve">questioned whether the Ministry can increase </w:t>
      </w:r>
      <w:r w:rsidR="008A561A">
        <w:t xml:space="preserve">levies on all </w:t>
      </w:r>
      <w:r>
        <w:t xml:space="preserve">four </w:t>
      </w:r>
      <w:r w:rsidR="008A561A">
        <w:t xml:space="preserve">sectors </w:t>
      </w:r>
      <w:r w:rsidR="000D4D6E">
        <w:t xml:space="preserve">and apply more </w:t>
      </w:r>
      <w:r w:rsidR="008A561A">
        <w:t xml:space="preserve">pressure to the </w:t>
      </w:r>
      <w:r w:rsidR="000D4D6E">
        <w:t xml:space="preserve">gambling </w:t>
      </w:r>
      <w:r w:rsidR="008A561A">
        <w:t>sector</w:t>
      </w:r>
      <w:r w:rsidR="000D4D6E">
        <w:t>, as well as what the Ministry’s plans are regarding online gambling and the levies.</w:t>
      </w:r>
      <w:r w:rsidR="00677C30">
        <w:rPr>
          <w:rStyle w:val="FootnoteReference"/>
        </w:rPr>
        <w:footnoteReference w:id="699"/>
      </w:r>
      <w:r w:rsidR="00677C30">
        <w:t xml:space="preserve"> </w:t>
      </w:r>
      <w:r w:rsidR="000D4D6E">
        <w:t xml:space="preserve"> </w:t>
      </w:r>
    </w:p>
    <w:p w14:paraId="30ABED57" w14:textId="1001498C" w:rsidR="008F5238" w:rsidRDefault="007974A6" w:rsidP="003860CF">
      <w:pPr>
        <w:pStyle w:val="BodyText"/>
      </w:pPr>
      <w:r>
        <w:t>One</w:t>
      </w:r>
      <w:r w:rsidR="000D4D6E">
        <w:t xml:space="preserve"> service provider </w:t>
      </w:r>
      <w:r w:rsidR="001C1CD9">
        <w:t xml:space="preserve">described the inequity </w:t>
      </w:r>
      <w:r w:rsidR="008F5238">
        <w:t xml:space="preserve">in </w:t>
      </w:r>
      <w:r w:rsidR="001C1CD9">
        <w:t xml:space="preserve">funding community programmes and sporting </w:t>
      </w:r>
      <w:r w:rsidR="008F5238">
        <w:t>interests through gambling los</w:t>
      </w:r>
      <w:r w:rsidR="003B7B38">
        <w:t>s</w:t>
      </w:r>
      <w:r w:rsidR="008F5238">
        <w:t>es.</w:t>
      </w:r>
      <w:r w:rsidR="00614394" w:rsidRPr="00614394">
        <w:rPr>
          <w:rStyle w:val="FootnoteReference"/>
        </w:rPr>
        <w:t xml:space="preserve"> </w:t>
      </w:r>
      <w:r w:rsidR="00614394">
        <w:rPr>
          <w:rStyle w:val="FootnoteReference"/>
        </w:rPr>
        <w:footnoteReference w:id="700"/>
      </w:r>
      <w:r w:rsidR="008F5238">
        <w:t xml:space="preserve"> They wrote of NCGMs</w:t>
      </w:r>
      <w:r w:rsidR="00614394">
        <w:t>:</w:t>
      </w:r>
    </w:p>
    <w:p w14:paraId="3F987C57" w14:textId="5CD52009" w:rsidR="008F5238" w:rsidRPr="00375DAE" w:rsidRDefault="00614394" w:rsidP="008F5238">
      <w:pPr>
        <w:pStyle w:val="BodyText"/>
        <w:ind w:left="720"/>
        <w:rPr>
          <w:i/>
          <w:iCs/>
        </w:rPr>
      </w:pPr>
      <w:r w:rsidRPr="00375DAE">
        <w:rPr>
          <w:i/>
          <w:iCs/>
        </w:rPr>
        <w:t>“</w:t>
      </w:r>
      <w:r w:rsidR="008F5238" w:rsidRPr="00375DAE">
        <w:rPr>
          <w:i/>
          <w:iCs/>
        </w:rPr>
        <w:t xml:space="preserve">nearly a billion dollars per year is transferred from less than </w:t>
      </w:r>
      <w:r w:rsidR="00A028E8" w:rsidRPr="00375DAE">
        <w:rPr>
          <w:i/>
          <w:iCs/>
        </w:rPr>
        <w:t>three percent</w:t>
      </w:r>
      <w:r w:rsidR="008F5238" w:rsidRPr="00375DAE">
        <w:rPr>
          <w:i/>
          <w:iCs/>
        </w:rPr>
        <w:t xml:space="preserve"> of New Zealanders into the general tax take and to community groups. Many of those community groups are either trying to help with problems that are being exacerbated by the gambling </w:t>
      </w:r>
      <w:r w:rsidR="008F5238" w:rsidRPr="00375DAE">
        <w:rPr>
          <w:i/>
          <w:iCs/>
        </w:rPr>
        <w:lastRenderedPageBreak/>
        <w:t>among the populations with disproportionate gambling problems or to professionally based sports.</w:t>
      </w:r>
      <w:r w:rsidRPr="00375DAE">
        <w:rPr>
          <w:i/>
          <w:iCs/>
        </w:rPr>
        <w:t>”</w:t>
      </w:r>
    </w:p>
    <w:p w14:paraId="6C4CE2AE" w14:textId="6F04898F" w:rsidR="001C1CD9" w:rsidRDefault="008F5238" w:rsidP="003860CF">
      <w:pPr>
        <w:pStyle w:val="BodyText"/>
      </w:pPr>
      <w:r>
        <w:t>T</w:t>
      </w:r>
      <w:r w:rsidR="00614394">
        <w:t>he service provider also</w:t>
      </w:r>
      <w:r>
        <w:t xml:space="preserve"> stated, “t</w:t>
      </w:r>
      <w:r w:rsidRPr="008F5238">
        <w:t>here is an opportunity to begin righting this type of imbalance</w:t>
      </w:r>
      <w:r>
        <w:t xml:space="preserve">” but did not consider the </w:t>
      </w:r>
      <w:r w:rsidR="001D70AA">
        <w:t>t</w:t>
      </w:r>
      <w:r>
        <w:t xml:space="preserve">hree-year service plan to address “the wider issue of dependency on community funding through gambling harm among </w:t>
      </w:r>
      <w:r w:rsidR="001D70AA">
        <w:t>Māori</w:t>
      </w:r>
      <w:r>
        <w:t xml:space="preserve"> and Pacific communities”. They </w:t>
      </w:r>
      <w:r w:rsidR="000D4D6E">
        <w:t>suggested an increase in the levy could support targeted health services and campaigns.</w:t>
      </w:r>
      <w:r w:rsidR="00614394">
        <w:rPr>
          <w:rStyle w:val="FootnoteReference"/>
        </w:rPr>
        <w:footnoteReference w:id="701"/>
      </w:r>
      <w:r w:rsidR="007974A6">
        <w:t xml:space="preserve"> </w:t>
      </w:r>
    </w:p>
    <w:p w14:paraId="49523C24" w14:textId="19D3E681" w:rsidR="000D4D6E" w:rsidRDefault="001C1CD9" w:rsidP="003860CF">
      <w:pPr>
        <w:pStyle w:val="BodyText"/>
      </w:pPr>
      <w:r>
        <w:t>O</w:t>
      </w:r>
      <w:r w:rsidR="007974A6">
        <w:t>ne health and social services submitter</w:t>
      </w:r>
      <w:r w:rsidR="005F21FC">
        <w:t xml:space="preserve"> </w:t>
      </w:r>
      <w:r w:rsidR="007974A6">
        <w:t>was disappointed in the size of the increase given the Governments support of the racing industry.</w:t>
      </w:r>
      <w:r w:rsidR="005F21FC">
        <w:rPr>
          <w:rStyle w:val="FootnoteReference"/>
        </w:rPr>
        <w:footnoteReference w:id="702"/>
      </w:r>
    </w:p>
    <w:p w14:paraId="76F92ABC" w14:textId="466B6D9A" w:rsidR="004B7928" w:rsidRDefault="00D55536" w:rsidP="003860CF">
      <w:pPr>
        <w:pStyle w:val="BodyText"/>
      </w:pPr>
      <w:r>
        <w:t xml:space="preserve">One </w:t>
      </w:r>
      <w:r w:rsidR="00C76638">
        <w:t xml:space="preserve">health and social </w:t>
      </w:r>
      <w:r>
        <w:t>service</w:t>
      </w:r>
      <w:r w:rsidR="00056011">
        <w:t>s</w:t>
      </w:r>
      <w:r>
        <w:t xml:space="preserve"> </w:t>
      </w:r>
      <w:r w:rsidR="00C76638">
        <w:t>submitter</w:t>
      </w:r>
      <w:r w:rsidR="00C91CC4">
        <w:t xml:space="preserve"> argued for increasing th</w:t>
      </w:r>
      <w:r w:rsidR="001C1CD9">
        <w:t xml:space="preserve">e </w:t>
      </w:r>
      <w:r w:rsidR="00C91CC4">
        <w:t>lev</w:t>
      </w:r>
      <w:r w:rsidR="001C1CD9">
        <w:t xml:space="preserve">y rate </w:t>
      </w:r>
      <w:r w:rsidR="00C91CC4">
        <w:t>and contributing some portion of the funding to the wider mental health sector.</w:t>
      </w:r>
      <w:r w:rsidR="00056011">
        <w:rPr>
          <w:rStyle w:val="FootnoteReference"/>
        </w:rPr>
        <w:footnoteReference w:id="703"/>
      </w:r>
      <w:r w:rsidR="00C91CC4">
        <w:t xml:space="preserve"> They noted mental illness and addiction are frequently co-existing conditions. </w:t>
      </w:r>
    </w:p>
    <w:p w14:paraId="43E2699B" w14:textId="7A82CF00" w:rsidR="00E719FC" w:rsidRDefault="0075074F" w:rsidP="00E719FC">
      <w:pPr>
        <w:pStyle w:val="NumberedHeading3"/>
        <w:autoSpaceDE w:val="0"/>
        <w:autoSpaceDN w:val="0"/>
        <w:adjustRightInd w:val="0"/>
        <w:spacing w:line="269" w:lineRule="auto"/>
        <w:jc w:val="both"/>
      </w:pPr>
      <w:bookmarkStart w:id="141" w:name="_Toc88637621"/>
      <w:r>
        <w:t>NCGM</w:t>
      </w:r>
      <w:r w:rsidR="007C004F">
        <w:t xml:space="preserve"> </w:t>
      </w:r>
      <w:r w:rsidR="000106E1">
        <w:t>submitters and a gambling industry submitter</w:t>
      </w:r>
      <w:r w:rsidR="00A93671">
        <w:t xml:space="preserve"> described the</w:t>
      </w:r>
      <w:r w:rsidR="007C004F">
        <w:t xml:space="preserve"> </w:t>
      </w:r>
      <w:r w:rsidR="00A93671">
        <w:t>p</w:t>
      </w:r>
      <w:r w:rsidR="00E719FC">
        <w:t xml:space="preserve">roposed increase </w:t>
      </w:r>
      <w:r w:rsidR="00A93671">
        <w:t>as</w:t>
      </w:r>
      <w:r w:rsidR="00E719FC">
        <w:t xml:space="preserve"> inappropriate unless it results in improved services and results</w:t>
      </w:r>
      <w:bookmarkEnd w:id="141"/>
    </w:p>
    <w:p w14:paraId="5FFA2FB5" w14:textId="42B7A491" w:rsidR="00E719FC" w:rsidRDefault="00E719FC" w:rsidP="00E719FC">
      <w:pPr>
        <w:pStyle w:val="BodyText"/>
      </w:pPr>
      <w:r>
        <w:t>Three NCGM</w:t>
      </w:r>
      <w:r w:rsidR="00E43445">
        <w:t xml:space="preserve"> submitters</w:t>
      </w:r>
      <w:r>
        <w:rPr>
          <w:rStyle w:val="FootnoteReference"/>
        </w:rPr>
        <w:footnoteReference w:id="704"/>
      </w:r>
      <w:r>
        <w:t xml:space="preserve"> and one gambling industry submitter</w:t>
      </w:r>
      <w:r w:rsidR="00056011">
        <w:rPr>
          <w:rStyle w:val="FootnoteReference"/>
        </w:rPr>
        <w:footnoteReference w:id="705"/>
      </w:r>
      <w:r>
        <w:t xml:space="preserve"> argued the increased levy rates were inappropriate if it resulted in ‘more of the same’. The NCGMs described increasing service providers</w:t>
      </w:r>
      <w:r w:rsidR="0003123F">
        <w:t>’</w:t>
      </w:r>
      <w:r>
        <w:t xml:space="preserve"> FTE rates as inappropriate and argued decreasing measures of harm and the broader environment did not warrant an increase.</w:t>
      </w:r>
      <w:r w:rsidR="00056011" w:rsidRPr="00056011">
        <w:rPr>
          <w:rStyle w:val="FootnoteReference"/>
        </w:rPr>
        <w:t xml:space="preserve"> </w:t>
      </w:r>
      <w:r w:rsidR="00056011">
        <w:rPr>
          <w:rStyle w:val="FootnoteReference"/>
        </w:rPr>
        <w:footnoteReference w:id="706"/>
      </w:r>
      <w:r>
        <w:t xml:space="preserve">  </w:t>
      </w:r>
    </w:p>
    <w:p w14:paraId="1C051FC7" w14:textId="6708DBA4" w:rsidR="00E719FC" w:rsidRDefault="00056011" w:rsidP="00E719FC">
      <w:pPr>
        <w:pStyle w:val="BodyText"/>
      </w:pPr>
      <w:r>
        <w:t>One NCGM submitter commented:</w:t>
      </w:r>
      <w:r w:rsidR="008A293D">
        <w:rPr>
          <w:rStyle w:val="FootnoteReference"/>
        </w:rPr>
        <w:footnoteReference w:id="707"/>
      </w:r>
    </w:p>
    <w:p w14:paraId="0BA0D3C9" w14:textId="15BE2893" w:rsidR="00E719FC" w:rsidRDefault="00056011" w:rsidP="00E719FC">
      <w:pPr>
        <w:pStyle w:val="BodyText"/>
        <w:ind w:left="720"/>
      </w:pPr>
      <w:r>
        <w:t>“</w:t>
      </w:r>
      <w:r w:rsidRPr="005808F6">
        <w:rPr>
          <w:i/>
          <w:iCs/>
        </w:rPr>
        <w:t>We are</w:t>
      </w:r>
      <w:r w:rsidR="00E719FC" w:rsidRPr="005808F6">
        <w:rPr>
          <w:i/>
          <w:iCs/>
        </w:rPr>
        <w:t xml:space="preserve"> not opposed to an increased budget if this results in a new, more effective strategy being put in place.  </w:t>
      </w:r>
      <w:r w:rsidRPr="005808F6">
        <w:rPr>
          <w:i/>
          <w:iCs/>
        </w:rPr>
        <w:t>We are</w:t>
      </w:r>
      <w:r w:rsidR="00E719FC" w:rsidRPr="005808F6">
        <w:rPr>
          <w:i/>
          <w:iCs/>
        </w:rPr>
        <w:t>, however, opposed to the funding increase if the bulk of the increase will be used for salary increases for the existing staff (funding the same providers to undertake the same work, during the same hours, in the same narrow geographical areas, which we know has not produced the required results</w:t>
      </w:r>
      <w:r w:rsidR="00E719FC">
        <w:t>).</w:t>
      </w:r>
      <w:r w:rsidR="008A293D">
        <w:t>”</w:t>
      </w:r>
      <w:r w:rsidR="00E719FC">
        <w:t xml:space="preserve">  </w:t>
      </w:r>
    </w:p>
    <w:p w14:paraId="33E98C3A" w14:textId="6C462305" w:rsidR="00E719FC" w:rsidRDefault="008A293D" w:rsidP="00E719FC">
      <w:pPr>
        <w:pStyle w:val="BodyText"/>
      </w:pPr>
      <w:r>
        <w:t>One NCGM submitter</w:t>
      </w:r>
      <w:r w:rsidR="00E719FC">
        <w:t xml:space="preserve"> argued the current environment suggests a reduction in service providers FTE is warranted.</w:t>
      </w:r>
      <w:r>
        <w:rPr>
          <w:rStyle w:val="FootnoteReference"/>
        </w:rPr>
        <w:footnoteReference w:id="708"/>
      </w:r>
      <w:r w:rsidR="00E719FC">
        <w:t xml:space="preserve"> They cited a downward trend in gambling participation, a decrease in presentation numbers accessing Ministry-funded services, and service providers decreased workloads. They considered the increased FTE inconsistent with the directive from the government to freeze public service wages for </w:t>
      </w:r>
      <w:r w:rsidR="00EF3810">
        <w:t xml:space="preserve">three </w:t>
      </w:r>
      <w:r w:rsidR="00E719FC">
        <w:t>years and did not accept that the Ministry has no control over the wages paid to individual treatment providers. They suggested the Ministry could prohibit any new funding from being used to increase wages.</w:t>
      </w:r>
      <w:r>
        <w:rPr>
          <w:rStyle w:val="FootnoteReference"/>
        </w:rPr>
        <w:footnoteReference w:id="709"/>
      </w:r>
      <w:r w:rsidR="00E719FC">
        <w:t xml:space="preserve"> </w:t>
      </w:r>
    </w:p>
    <w:p w14:paraId="21B56E7B" w14:textId="151309BC" w:rsidR="00E719FC" w:rsidRDefault="00E719FC" w:rsidP="00E719FC">
      <w:pPr>
        <w:pStyle w:val="BodyText"/>
      </w:pPr>
      <w:r>
        <w:t>One NCGM</w:t>
      </w:r>
      <w:r w:rsidR="00E43445">
        <w:t xml:space="preserve"> submitter</w:t>
      </w:r>
      <w:r w:rsidR="008A293D">
        <w:t xml:space="preserve"> </w:t>
      </w:r>
      <w:r>
        <w:t>argued for a conservative budget and described the current increases as contrary to all other trends and indicators</w:t>
      </w:r>
      <w:r w:rsidR="008A293D">
        <w:t>.</w:t>
      </w:r>
      <w:r w:rsidR="008A293D">
        <w:rPr>
          <w:rStyle w:val="FootnoteReference"/>
        </w:rPr>
        <w:footnoteReference w:id="710"/>
      </w:r>
      <w:r>
        <w:t xml:space="preserve"> They wrote they would support “highly skilled providers who can address co-morb</w:t>
      </w:r>
      <w:r w:rsidR="00EF3810">
        <w:t>id</w:t>
      </w:r>
      <w:r>
        <w:t>ities being paid an higher FTE rate” but were “</w:t>
      </w:r>
      <w:r w:rsidRPr="00671441">
        <w:t xml:space="preserve">opposed to the current dedicated gambling providers receiving a large increase when their workloads have </w:t>
      </w:r>
      <w:r w:rsidRPr="00671441">
        <w:lastRenderedPageBreak/>
        <w:t>decreased, the amount of time actually spent treating people is very low and has decreased further, and the service provided has not produced the desired results.</w:t>
      </w:r>
      <w:r>
        <w:t>”</w:t>
      </w:r>
      <w:r w:rsidR="00453FF9">
        <w:rPr>
          <w:rStyle w:val="FootnoteReference"/>
        </w:rPr>
        <w:footnoteReference w:id="711"/>
      </w:r>
    </w:p>
    <w:p w14:paraId="485C1D41" w14:textId="2FCE3A9B" w:rsidR="00E719FC" w:rsidRDefault="00E719FC" w:rsidP="00E719FC">
      <w:pPr>
        <w:pStyle w:val="BodyText"/>
      </w:pPr>
      <w:r>
        <w:t>One NCGM</w:t>
      </w:r>
      <w:r w:rsidR="00E43445">
        <w:t xml:space="preserve"> submitter</w:t>
      </w:r>
      <w:r w:rsidR="00B71F5B">
        <w:t xml:space="preserve"> </w:t>
      </w:r>
      <w:r>
        <w:t>described increasing service providers FTE rates without requiring an improved service as a missed opportunity.</w:t>
      </w:r>
      <w:r w:rsidR="00453FF9">
        <w:rPr>
          <w:rStyle w:val="FootnoteReference"/>
        </w:rPr>
        <w:footnoteReference w:id="712"/>
      </w:r>
      <w:r w:rsidR="00453FF9">
        <w:t xml:space="preserve"> </w:t>
      </w:r>
      <w:r>
        <w:t xml:space="preserve"> </w:t>
      </w:r>
    </w:p>
    <w:p w14:paraId="10DB25C7" w14:textId="240E0880" w:rsidR="00E719FC" w:rsidRDefault="003D4570" w:rsidP="00E719FC">
      <w:pPr>
        <w:pStyle w:val="BodyText"/>
      </w:pPr>
      <w:r>
        <w:t>The</w:t>
      </w:r>
      <w:r w:rsidR="00E719FC">
        <w:t xml:space="preserve"> gambling industry submitter</w:t>
      </w:r>
      <w:r w:rsidR="00F014FF">
        <w:t xml:space="preserve"> </w:t>
      </w:r>
      <w:r w:rsidR="00E719FC">
        <w:t xml:space="preserve">argued </w:t>
      </w:r>
      <w:r w:rsidR="00B71F5B">
        <w:t xml:space="preserve">that </w:t>
      </w:r>
      <w:r w:rsidR="00E719FC">
        <w:t>the consultation document shows presentations have decreased</w:t>
      </w:r>
      <w:r w:rsidR="00F014FF">
        <w:t>,</w:t>
      </w:r>
      <w:r w:rsidR="00E719FC">
        <w:t xml:space="preserve"> suggesting previous strategies have made an impact. They noted, given an increased budget they “would reasonably expect a proportionate improvement in the Ministry’s performance”.</w:t>
      </w:r>
      <w:r w:rsidR="00B71F5B" w:rsidRPr="00B71F5B">
        <w:rPr>
          <w:rStyle w:val="FootnoteReference"/>
        </w:rPr>
        <w:t xml:space="preserve"> </w:t>
      </w:r>
      <w:r w:rsidR="00B71F5B">
        <w:rPr>
          <w:rStyle w:val="FootnoteReference"/>
        </w:rPr>
        <w:footnoteReference w:id="713"/>
      </w:r>
    </w:p>
    <w:p w14:paraId="489D1DB1" w14:textId="67F5400B" w:rsidR="004B7928" w:rsidRDefault="00392FF6" w:rsidP="00A0043D">
      <w:pPr>
        <w:pStyle w:val="NumberedHeading3"/>
        <w:autoSpaceDE w:val="0"/>
        <w:autoSpaceDN w:val="0"/>
        <w:adjustRightInd w:val="0"/>
        <w:spacing w:line="269" w:lineRule="auto"/>
        <w:jc w:val="both"/>
      </w:pPr>
      <w:bookmarkStart w:id="142" w:name="_Toc88637622"/>
      <w:r>
        <w:t xml:space="preserve">One service provider </w:t>
      </w:r>
      <w:r w:rsidR="004B5420">
        <w:t>in support of the proposed levy rates</w:t>
      </w:r>
      <w:r>
        <w:t xml:space="preserve"> noted </w:t>
      </w:r>
      <w:r w:rsidR="000059C5">
        <w:t xml:space="preserve">the risk to </w:t>
      </w:r>
      <w:r w:rsidR="00046DD1">
        <w:t>Pacific people</w:t>
      </w:r>
      <w:r w:rsidR="00535502">
        <w:t>s</w:t>
      </w:r>
      <w:r w:rsidR="00046DD1">
        <w:t xml:space="preserve"> </w:t>
      </w:r>
      <w:r w:rsidR="000059C5">
        <w:t xml:space="preserve">from </w:t>
      </w:r>
      <w:r w:rsidR="00B71F5B">
        <w:t>NCGMs</w:t>
      </w:r>
      <w:r w:rsidR="000059C5">
        <w:t xml:space="preserve"> </w:t>
      </w:r>
      <w:r w:rsidR="004F6282">
        <w:t>and the growing harm caused by online gambling</w:t>
      </w:r>
      <w:bookmarkEnd w:id="142"/>
      <w:r w:rsidR="004B5420">
        <w:t xml:space="preserve"> </w:t>
      </w:r>
    </w:p>
    <w:p w14:paraId="67A98D65" w14:textId="71FB1662" w:rsidR="00A0043D" w:rsidRDefault="00492D96" w:rsidP="003860CF">
      <w:pPr>
        <w:pStyle w:val="BodyText"/>
      </w:pPr>
      <w:r>
        <w:t>One service provider supported the proposed levy and highlighted “</w:t>
      </w:r>
      <w:r w:rsidRPr="00492D96">
        <w:t>that for Pacific, Class 4 poses the greatest risk</w:t>
      </w:r>
      <w:r w:rsidR="006F34C4">
        <w:t>”.</w:t>
      </w:r>
      <w:r w:rsidR="00B71F5B" w:rsidRPr="00B71F5B">
        <w:rPr>
          <w:rStyle w:val="FootnoteReference"/>
        </w:rPr>
        <w:t xml:space="preserve"> </w:t>
      </w:r>
      <w:r w:rsidR="00B71F5B">
        <w:rPr>
          <w:rStyle w:val="FootnoteReference"/>
        </w:rPr>
        <w:footnoteReference w:id="714"/>
      </w:r>
      <w:r w:rsidR="006F34C4">
        <w:t xml:space="preserve"> They noted the inability to impose levies on online gambling and gaming </w:t>
      </w:r>
      <w:r w:rsidR="006F34C4" w:rsidRPr="00B71F5B">
        <w:t>businesses despite</w:t>
      </w:r>
      <w:r w:rsidR="006F34C4">
        <w:t xml:space="preserve"> the growing harm caused.</w:t>
      </w:r>
    </w:p>
    <w:p w14:paraId="3FEA25F5" w14:textId="6B37E6DF" w:rsidR="006F34C4" w:rsidRDefault="006F34C4" w:rsidP="003860CF">
      <w:pPr>
        <w:pStyle w:val="BodyText"/>
      </w:pPr>
      <w:r w:rsidRPr="00F724B3">
        <w:t>They suggested “Vote Health could be used to top up the resources needed to provide counselling and public health for overseas online gambling and gaming</w:t>
      </w:r>
      <w:r>
        <w:t>”.</w:t>
      </w:r>
      <w:r w:rsidR="00A544B7">
        <w:rPr>
          <w:rStyle w:val="FootnoteReference"/>
        </w:rPr>
        <w:footnoteReference w:id="715"/>
      </w:r>
    </w:p>
    <w:p w14:paraId="57731286" w14:textId="22AFD077" w:rsidR="00521D3F" w:rsidRDefault="00521D3F" w:rsidP="00521D3F">
      <w:pPr>
        <w:pStyle w:val="NumberedHeading3"/>
      </w:pPr>
      <w:bookmarkStart w:id="143" w:name="_Toc88637623"/>
      <w:r>
        <w:t>Key themes from consultation hui</w:t>
      </w:r>
      <w:bookmarkEnd w:id="143"/>
    </w:p>
    <w:tbl>
      <w:tblPr>
        <w:tblStyle w:val="TableGrid"/>
        <w:tblW w:w="0" w:type="auto"/>
        <w:shd w:val="clear" w:color="auto" w:fill="D2D9DE" w:themeFill="text2" w:themeFillTint="33"/>
        <w:tblLook w:val="04A0" w:firstRow="1" w:lastRow="0" w:firstColumn="1" w:lastColumn="0" w:noHBand="0" w:noVBand="1"/>
      </w:tblPr>
      <w:tblGrid>
        <w:gridCol w:w="9061"/>
      </w:tblGrid>
      <w:tr w:rsidR="004D06A5" w14:paraId="796D53C6" w14:textId="77777777" w:rsidTr="00A63114">
        <w:tc>
          <w:tcPr>
            <w:tcW w:w="9061" w:type="dxa"/>
            <w:shd w:val="clear" w:color="auto" w:fill="D2D9DE" w:themeFill="text2" w:themeFillTint="33"/>
          </w:tcPr>
          <w:bookmarkEnd w:id="113"/>
          <w:p w14:paraId="52869836" w14:textId="4BC10217" w:rsidR="004D06A5" w:rsidRDefault="004D06A5" w:rsidP="00A63114">
            <w:pPr>
              <w:pStyle w:val="BodyText"/>
              <w:jc w:val="center"/>
              <w:rPr>
                <w:b/>
                <w:bCs/>
              </w:rPr>
            </w:pPr>
            <w:r>
              <w:rPr>
                <w:b/>
                <w:bCs/>
              </w:rPr>
              <w:t xml:space="preserve">Comments from hui on the levy and levy </w:t>
            </w:r>
            <w:r w:rsidR="00521D3F">
              <w:rPr>
                <w:b/>
                <w:bCs/>
              </w:rPr>
              <w:t>weightings</w:t>
            </w:r>
          </w:p>
          <w:p w14:paraId="2E95F14C" w14:textId="0B775D69" w:rsidR="00A749B4" w:rsidRDefault="009855BF" w:rsidP="00375DAE">
            <w:pPr>
              <w:pStyle w:val="List-BulletLvl1"/>
            </w:pPr>
            <w:r w:rsidRPr="0055279C">
              <w:t>Stakeh</w:t>
            </w:r>
            <w:r>
              <w:t xml:space="preserve">olders </w:t>
            </w:r>
            <w:r w:rsidR="00BD4D8B">
              <w:t xml:space="preserve">across most of the hui </w:t>
            </w:r>
            <w:r>
              <w:t xml:space="preserve">expressed a desire for the levy to </w:t>
            </w:r>
            <w:r w:rsidR="00BD4D8B">
              <w:t>be</w:t>
            </w:r>
            <w:r>
              <w:t xml:space="preserve"> extended </w:t>
            </w:r>
            <w:r w:rsidR="00BD4D8B">
              <w:t>so that it would</w:t>
            </w:r>
            <w:r>
              <w:t xml:space="preserve"> cover online gambling and gaming. </w:t>
            </w:r>
            <w:r w:rsidR="00C307D9">
              <w:t>Stakeholders highlighted that much of the harm experiencing by gamblers these days is in the online space, and so the Ministry must be forward thinking in how to frame the levy so that online gambling can be taken seriously.</w:t>
            </w:r>
            <w:r>
              <w:t xml:space="preserve"> </w:t>
            </w:r>
            <w:r w:rsidR="00C307D9">
              <w:t xml:space="preserve">Stakeholders at the </w:t>
            </w:r>
            <w:r w:rsidR="00F466CE">
              <w:t>Industry</w:t>
            </w:r>
            <w:r w:rsidR="00C307D9">
              <w:t xml:space="preserve">-focused hui wanted to </w:t>
            </w:r>
            <w:r w:rsidR="00F466CE">
              <w:t>know if the government was or planned to get reimbursement from outside or off-shore gambling agencies and wanted to know how online gamblers are categorised and where their funding is allocated from.</w:t>
            </w:r>
          </w:p>
          <w:p w14:paraId="45A06962" w14:textId="4DEFB773" w:rsidR="00484417" w:rsidRDefault="00F466CE" w:rsidP="00375DAE">
            <w:pPr>
              <w:pStyle w:val="List-BulletLvl1"/>
            </w:pPr>
            <w:r>
              <w:t xml:space="preserve">Stakeholders at the </w:t>
            </w:r>
            <w:r w:rsidR="002F5444">
              <w:t>Industry</w:t>
            </w:r>
            <w:r>
              <w:t>-</w:t>
            </w:r>
            <w:r w:rsidR="004F4EC4">
              <w:t>focused</w:t>
            </w:r>
            <w:r w:rsidR="00684DA6">
              <w:t xml:space="preserve"> hui wanted to know detailed breakdowns of the problem gambling </w:t>
            </w:r>
            <w:r>
              <w:t>levy</w:t>
            </w:r>
            <w:r w:rsidR="00684DA6">
              <w:t xml:space="preserve"> spend and </w:t>
            </w:r>
            <w:r w:rsidR="004F4EC4">
              <w:t xml:space="preserve">stated </w:t>
            </w:r>
            <w:r w:rsidR="00684DA6">
              <w:t xml:space="preserve">that this should be </w:t>
            </w:r>
            <w:r w:rsidR="004F4EC4">
              <w:t xml:space="preserve">readily </w:t>
            </w:r>
            <w:r w:rsidR="00684DA6">
              <w:t xml:space="preserve">available outside of OIA request. </w:t>
            </w:r>
          </w:p>
          <w:p w14:paraId="54E2AC14" w14:textId="31602D10" w:rsidR="00306760" w:rsidRDefault="004F4EC4" w:rsidP="00375DAE">
            <w:pPr>
              <w:pStyle w:val="List-BulletLvl1"/>
            </w:pPr>
            <w:r>
              <w:t xml:space="preserve">Stakeholders </w:t>
            </w:r>
            <w:r w:rsidR="00540917">
              <w:t xml:space="preserve">highlighted that the Ministry needs to be able to show the PMGH sector that the levy spend is being used to appropriately address gambling harm. </w:t>
            </w:r>
          </w:p>
          <w:p w14:paraId="7FABB5E0" w14:textId="51AD9488" w:rsidR="004D06A5" w:rsidRPr="007C1017" w:rsidRDefault="000C3401" w:rsidP="00375DAE">
            <w:pPr>
              <w:pStyle w:val="List-BulletLvl1"/>
            </w:pPr>
            <w:r>
              <w:t xml:space="preserve">Stakeholders at </w:t>
            </w:r>
            <w:r w:rsidR="004F4EC4">
              <w:t>Māori</w:t>
            </w:r>
            <w:r w:rsidR="00E13E05">
              <w:t xml:space="preserve"> hui </w:t>
            </w:r>
            <w:r w:rsidR="004F4EC4">
              <w:t>stated</w:t>
            </w:r>
            <w:r w:rsidR="00E13E05">
              <w:t xml:space="preserve"> that if it </w:t>
            </w:r>
            <w:r w:rsidR="004F4EC4">
              <w:t>is</w:t>
            </w:r>
            <w:r w:rsidR="00E13E05">
              <w:t xml:space="preserve"> </w:t>
            </w:r>
            <w:r w:rsidR="004F4EC4">
              <w:t xml:space="preserve">known that gambling harm is </w:t>
            </w:r>
            <w:r w:rsidR="00E13E05">
              <w:t xml:space="preserve">disproportionately </w:t>
            </w:r>
            <w:r w:rsidR="004F4EC4">
              <w:t>experienced by Māori</w:t>
            </w:r>
            <w:r w:rsidR="00E13E05">
              <w:t xml:space="preserve">, then the levy and levy spending </w:t>
            </w:r>
            <w:r w:rsidR="00A17C49">
              <w:t xml:space="preserve">could </w:t>
            </w:r>
            <w:r w:rsidR="00E13E05">
              <w:t xml:space="preserve">be shaped to address this </w:t>
            </w:r>
            <w:r w:rsidR="004F4EC4">
              <w:t>as having</w:t>
            </w:r>
            <w:r w:rsidR="00E13E05">
              <w:t xml:space="preserve"> generic </w:t>
            </w:r>
            <w:r w:rsidR="004F4EC4">
              <w:t>presentation levels may just reinforce an inequitable response</w:t>
            </w:r>
            <w:r w:rsidR="00E13E05">
              <w:t xml:space="preserve">. </w:t>
            </w:r>
          </w:p>
        </w:tc>
      </w:tr>
    </w:tbl>
    <w:p w14:paraId="06AC7933" w14:textId="77777777" w:rsidR="00541EFD" w:rsidRDefault="0052295B" w:rsidP="0052295B">
      <w:pPr>
        <w:pStyle w:val="NumberedHeading1"/>
      </w:pPr>
      <w:bookmarkStart w:id="144" w:name="_Toc88637624"/>
      <w:r>
        <w:lastRenderedPageBreak/>
        <w:t>Thematic analysis by sector</w:t>
      </w:r>
      <w:bookmarkEnd w:id="144"/>
    </w:p>
    <w:p w14:paraId="4EAE8324" w14:textId="15ADB1E7" w:rsidR="00541EFD" w:rsidRPr="0064217C" w:rsidRDefault="00541EFD" w:rsidP="00541EFD">
      <w:pPr>
        <w:pStyle w:val="BodyText"/>
      </w:pPr>
      <w:r>
        <w:t xml:space="preserve">Section </w:t>
      </w:r>
      <w:r w:rsidR="00AF6CD5">
        <w:t xml:space="preserve">5 </w:t>
      </w:r>
      <w:r w:rsidR="00375DAE">
        <w:t>describes the</w:t>
      </w:r>
      <w:r>
        <w:t xml:space="preserve"> way different sectors addressed the common themes throughout the submissions. </w:t>
      </w:r>
    </w:p>
    <w:p w14:paraId="17E9D6F8" w14:textId="0EA691A0" w:rsidR="00541EFD" w:rsidRDefault="00541EFD" w:rsidP="00541EFD">
      <w:pPr>
        <w:pStyle w:val="NumberedHeading2"/>
        <w:autoSpaceDE/>
        <w:autoSpaceDN/>
        <w:adjustRightInd/>
        <w:spacing w:line="259" w:lineRule="auto"/>
        <w:jc w:val="left"/>
      </w:pPr>
      <w:bookmarkStart w:id="145" w:name="_Toc88637625"/>
      <w:r>
        <w:t xml:space="preserve">The </w:t>
      </w:r>
      <w:r w:rsidR="00B87436">
        <w:t>current s</w:t>
      </w:r>
      <w:r>
        <w:t>trategy was not seen to be working by some submitters</w:t>
      </w:r>
      <w:bookmarkEnd w:id="145"/>
    </w:p>
    <w:p w14:paraId="00E8A83D" w14:textId="1AEFF208" w:rsidR="00541EFD" w:rsidRDefault="00541EFD" w:rsidP="00D94FEE">
      <w:pPr>
        <w:pStyle w:val="Heading3-NOTinTOC"/>
      </w:pPr>
      <w:r>
        <w:t xml:space="preserve">NCGM </w:t>
      </w:r>
      <w:r w:rsidR="00B87436">
        <w:t xml:space="preserve">and gambling industry </w:t>
      </w:r>
      <w:r>
        <w:t>submitters</w:t>
      </w:r>
    </w:p>
    <w:p w14:paraId="788ACBDA" w14:textId="5B446F4F" w:rsidR="00541EFD" w:rsidRDefault="00541EFD" w:rsidP="00541EFD">
      <w:pPr>
        <w:pStyle w:val="BodyText"/>
      </w:pPr>
      <w:r>
        <w:t xml:space="preserve">Eleven NCGM submitters and one other gambling industry submitter strongly considered that the current </w:t>
      </w:r>
      <w:r w:rsidR="00B87436">
        <w:t>strategy was</w:t>
      </w:r>
      <w:r>
        <w:t xml:space="preserve"> not working, as funding ha</w:t>
      </w:r>
      <w:r w:rsidR="00B87436">
        <w:t>d</w:t>
      </w:r>
      <w:r>
        <w:t xml:space="preserve"> been high, and the prevalence of problem gambling ha</w:t>
      </w:r>
      <w:r w:rsidR="00B87436">
        <w:t>d</w:t>
      </w:r>
      <w:r>
        <w:t xml:space="preserve"> not decreased.</w:t>
      </w:r>
      <w:r>
        <w:rPr>
          <w:rStyle w:val="FootnoteReference"/>
        </w:rPr>
        <w:footnoteReference w:id="716"/>
      </w:r>
      <w:r>
        <w:t xml:space="preserve">  </w:t>
      </w:r>
    </w:p>
    <w:p w14:paraId="4CD037D7" w14:textId="0F98A042" w:rsidR="00145340" w:rsidRDefault="00145340" w:rsidP="00541EFD">
      <w:pPr>
        <w:pStyle w:val="NumberedHeading2"/>
        <w:autoSpaceDE/>
        <w:autoSpaceDN/>
        <w:adjustRightInd/>
        <w:spacing w:line="259" w:lineRule="auto"/>
        <w:jc w:val="left"/>
      </w:pPr>
      <w:bookmarkStart w:id="146" w:name="_Toc88637626"/>
      <w:r>
        <w:t xml:space="preserve">Submitters from across all sectors wanted to see more of a focus on </w:t>
      </w:r>
      <w:r w:rsidR="00DD5B6B">
        <w:t>online gambling and gaming</w:t>
      </w:r>
      <w:bookmarkEnd w:id="146"/>
    </w:p>
    <w:p w14:paraId="12B2FD57" w14:textId="0ED176A7" w:rsidR="00042B46" w:rsidRDefault="00042B46" w:rsidP="00042B46">
      <w:pPr>
        <w:pStyle w:val="BodyText"/>
      </w:pPr>
      <w:r>
        <w:t>Submitters from across all secto</w:t>
      </w:r>
      <w:r w:rsidR="000B3F94">
        <w:t>r</w:t>
      </w:r>
      <w:r w:rsidR="00E0732D">
        <w:t>s</w:t>
      </w:r>
      <w:r w:rsidR="000B3F94">
        <w:t xml:space="preserve"> emphasised the growing importance of online gambling, and the growing presence of online gaming with monetary components, such as ‘loot boxes’. </w:t>
      </w:r>
      <w:r w:rsidR="002C3079">
        <w:t xml:space="preserve">All sectors agreed that increased prioritisation of the harms of online gambling was needed. </w:t>
      </w:r>
    </w:p>
    <w:p w14:paraId="1D654170" w14:textId="5EC49553" w:rsidR="00FA7A6C" w:rsidRDefault="00FA7A6C" w:rsidP="00FA7A6C">
      <w:pPr>
        <w:pStyle w:val="Heading3-NOTinTOC"/>
      </w:pPr>
      <w:r>
        <w:t>Service providers</w:t>
      </w:r>
    </w:p>
    <w:p w14:paraId="7C77319E" w14:textId="2F66E8D0" w:rsidR="002C3079" w:rsidRDefault="00D75351" w:rsidP="00D75351">
      <w:pPr>
        <w:pStyle w:val="BodyText"/>
      </w:pPr>
      <w:r>
        <w:t xml:space="preserve">Service providers considered that </w:t>
      </w:r>
      <w:r w:rsidR="002C3079">
        <w:t xml:space="preserve">the </w:t>
      </w:r>
      <w:r>
        <w:t xml:space="preserve">draft </w:t>
      </w:r>
      <w:r w:rsidR="002C3079">
        <w:t>strategy ha</w:t>
      </w:r>
      <w:r>
        <w:t>d</w:t>
      </w:r>
      <w:r w:rsidR="002C3079">
        <w:t xml:space="preserve"> a long way to go before it adequately reflect</w:t>
      </w:r>
      <w:r>
        <w:t>ed</w:t>
      </w:r>
      <w:r w:rsidR="002C3079">
        <w:t xml:space="preserve"> the current environment, particularly in regard to online gambling and electronic gaming</w:t>
      </w:r>
      <w:r>
        <w:t>, where it was noted that details around mitigation were missi</w:t>
      </w:r>
      <w:r w:rsidR="005F5409">
        <w:t>ng.</w:t>
      </w:r>
      <w:r w:rsidR="002C3079">
        <w:rPr>
          <w:rStyle w:val="FootnoteReference"/>
        </w:rPr>
        <w:footnoteReference w:id="717"/>
      </w:r>
      <w:r w:rsidR="006A3518">
        <w:t xml:space="preserve"> Service providers were concerned with the lack of leadership and commented that the strategy needed to show leadership and outline how </w:t>
      </w:r>
      <w:r w:rsidR="00F637EE">
        <w:t>services should navigate the online gambling space.</w:t>
      </w:r>
      <w:r w:rsidR="00F637EE" w:rsidRPr="00F637EE">
        <w:rPr>
          <w:rStyle w:val="FootnoteReference"/>
        </w:rPr>
        <w:t xml:space="preserve"> </w:t>
      </w:r>
      <w:r w:rsidR="00F637EE">
        <w:rPr>
          <w:rStyle w:val="FootnoteReference"/>
        </w:rPr>
        <w:footnoteReference w:id="718"/>
      </w:r>
      <w:r w:rsidR="00F637EE">
        <w:t xml:space="preserve"> </w:t>
      </w:r>
    </w:p>
    <w:p w14:paraId="6018E9C0" w14:textId="0B27F775" w:rsidR="00A81995" w:rsidRDefault="005F5409" w:rsidP="0055279C">
      <w:pPr>
        <w:pStyle w:val="BodyText"/>
      </w:pPr>
      <w:r>
        <w:t>Service providers also considered that online gambling and gaming needed to be more</w:t>
      </w:r>
      <w:r w:rsidR="00377893">
        <w:t xml:space="preserve"> of</w:t>
      </w:r>
      <w:r>
        <w:t xml:space="preserve"> a priority in terms of research, as the sector was reported as struggling to respon</w:t>
      </w:r>
      <w:r w:rsidR="00377893">
        <w:t>d</w:t>
      </w:r>
      <w:r>
        <w:t xml:space="preserve"> with almost no data/information available to support decision-making.</w:t>
      </w:r>
      <w:r w:rsidR="002C3079">
        <w:rPr>
          <w:rStyle w:val="FootnoteReference"/>
        </w:rPr>
        <w:footnoteReference w:id="719"/>
      </w:r>
      <w:r>
        <w:t xml:space="preserve"> S</w:t>
      </w:r>
      <w:r w:rsidR="00A81995">
        <w:t>pecialist services targeted specifically at harm created online need to be created and funded - with the current levy formula, only onshore online gambling provides funds for gambling harm prevention services</w:t>
      </w:r>
      <w:r>
        <w:t>.</w:t>
      </w:r>
      <w:r w:rsidR="00A81995">
        <w:rPr>
          <w:rStyle w:val="FootnoteReference"/>
        </w:rPr>
        <w:footnoteReference w:id="720"/>
      </w:r>
    </w:p>
    <w:p w14:paraId="7D211CB3" w14:textId="60F7FAD0" w:rsidR="002C3079" w:rsidRDefault="00E66BFD" w:rsidP="0055279C">
      <w:pPr>
        <w:pStyle w:val="BodyText"/>
      </w:pPr>
      <w:r>
        <w:t>On service provider commented that o</w:t>
      </w:r>
      <w:r w:rsidR="00A81995">
        <w:t>nline gambling require</w:t>
      </w:r>
      <w:r>
        <w:t>d</w:t>
      </w:r>
      <w:r w:rsidR="00A81995">
        <w:t xml:space="preserve"> the strongest regulation possible - there </w:t>
      </w:r>
      <w:r w:rsidR="00F637EE">
        <w:t>wa</w:t>
      </w:r>
      <w:r w:rsidR="00A81995">
        <w:t>s a concern that online platforms could lead to disproportionate harm for Pacific communities, particularly if the online gambling industry is allowed to grow and freely target Pacific communities</w:t>
      </w:r>
      <w:r w:rsidR="006A3518">
        <w:t>.</w:t>
      </w:r>
      <w:r w:rsidR="00A81995">
        <w:rPr>
          <w:rStyle w:val="FootnoteReference"/>
        </w:rPr>
        <w:footnoteReference w:id="721"/>
      </w:r>
    </w:p>
    <w:p w14:paraId="6AE594AF" w14:textId="2C41789B" w:rsidR="00FA7A6C" w:rsidRDefault="002C3079" w:rsidP="002C3079">
      <w:pPr>
        <w:pStyle w:val="Heading3-NOTinTOC"/>
      </w:pPr>
      <w:r>
        <w:t>Health and social services submitters</w:t>
      </w:r>
    </w:p>
    <w:p w14:paraId="4F539132" w14:textId="46684529" w:rsidR="00F4420D" w:rsidRDefault="00E66BFD" w:rsidP="0018176E">
      <w:pPr>
        <w:pStyle w:val="BodyText"/>
      </w:pPr>
      <w:r>
        <w:t xml:space="preserve">Health and service submitters </w:t>
      </w:r>
      <w:r w:rsidR="0069264D">
        <w:t xml:space="preserve">wanted to see </w:t>
      </w:r>
      <w:r w:rsidR="002C3079">
        <w:t>more work to</w:t>
      </w:r>
      <w:r w:rsidR="002C3079" w:rsidRPr="00126CDF">
        <w:t xml:space="preserve"> assess need for those gambling in the online environment and </w:t>
      </w:r>
      <w:r w:rsidR="002C3079">
        <w:t xml:space="preserve">to understand </w:t>
      </w:r>
      <w:r w:rsidR="002C3079" w:rsidRPr="00126CDF">
        <w:t>rangatahi engaged in gambling</w:t>
      </w:r>
      <w:r w:rsidR="002C3079">
        <w:t>-</w:t>
      </w:r>
      <w:r w:rsidR="002C3079" w:rsidRPr="00126CDF">
        <w:t xml:space="preserve">related behaviours such as </w:t>
      </w:r>
      <w:r w:rsidR="002C3079" w:rsidRPr="00126CDF">
        <w:lastRenderedPageBreak/>
        <w:t>youth gaming</w:t>
      </w:r>
      <w:r w:rsidR="0069264D">
        <w:t>,</w:t>
      </w:r>
      <w:r w:rsidR="002C3079">
        <w:rPr>
          <w:rStyle w:val="FootnoteReference"/>
        </w:rPr>
        <w:footnoteReference w:id="722"/>
      </w:r>
      <w:r w:rsidR="0069264D">
        <w:t xml:space="preserve"> </w:t>
      </w:r>
      <w:r w:rsidR="001A2D04">
        <w:t xml:space="preserve">and </w:t>
      </w:r>
      <w:r w:rsidR="0069264D">
        <w:t xml:space="preserve">clear intention to understand the impact of online gambling and </w:t>
      </w:r>
      <w:r w:rsidR="001A2D04">
        <w:t>its reach</w:t>
      </w:r>
      <w:r w:rsidR="004939CE">
        <w:t>.</w:t>
      </w:r>
      <w:r w:rsidR="001A2D04">
        <w:rPr>
          <w:rStyle w:val="FootnoteReference"/>
        </w:rPr>
        <w:footnoteReference w:id="723"/>
      </w:r>
      <w:r w:rsidR="0031621F">
        <w:t xml:space="preserve"> Health and social service</w:t>
      </w:r>
      <w:r w:rsidR="00AC4D49">
        <w:t>s</w:t>
      </w:r>
      <w:r w:rsidR="0031621F">
        <w:t xml:space="preserve"> submitters also wanted to see regulation that future-proofed and considered the impact of COVID-19, </w:t>
      </w:r>
      <w:r w:rsidR="00A81995">
        <w:t>and in particular the dramatic increase of online gambling during the pandemic – the ease of access in online gambling not only exposes gambling behaviour to tamariki at home but increases risk of child neglect</w:t>
      </w:r>
      <w:r w:rsidR="0018176E">
        <w:t>.</w:t>
      </w:r>
      <w:r w:rsidR="00A81995">
        <w:rPr>
          <w:rStyle w:val="FootnoteReference"/>
        </w:rPr>
        <w:footnoteReference w:id="724"/>
      </w:r>
      <w:r w:rsidR="0018176E">
        <w:t xml:space="preserve"> One health and social services submitter also considered that controls should be put </w:t>
      </w:r>
      <w:r w:rsidR="00F4420D">
        <w:t>on online gambling, including all banks following Kiwibank’s lead and putting voluntary blocks on customer’s access to online gambling sites</w:t>
      </w:r>
      <w:r w:rsidR="0018176E">
        <w:t>.</w:t>
      </w:r>
      <w:r w:rsidR="00F4420D">
        <w:rPr>
          <w:rStyle w:val="FootnoteReference"/>
        </w:rPr>
        <w:footnoteReference w:id="725"/>
      </w:r>
    </w:p>
    <w:p w14:paraId="6ACC9186" w14:textId="7DCCB321" w:rsidR="002C3079" w:rsidRDefault="002C3079" w:rsidP="002C3079">
      <w:pPr>
        <w:pStyle w:val="Heading3-NOTinTOC"/>
      </w:pPr>
      <w:r>
        <w:t>NCGM submitters</w:t>
      </w:r>
    </w:p>
    <w:p w14:paraId="14466BCC" w14:textId="4AAF634C" w:rsidR="00F4420D" w:rsidRDefault="002E3B7F" w:rsidP="002E3B7F">
      <w:pPr>
        <w:pStyle w:val="BodyText"/>
      </w:pPr>
      <w:r>
        <w:t xml:space="preserve">NCGM submitters wanted to see </w:t>
      </w:r>
      <w:r w:rsidR="002C3079">
        <w:t>more work to address the unregulated online gambling industry and the negative effects that this form of gambling has on the wider community</w:t>
      </w:r>
      <w:r>
        <w:t>,</w:t>
      </w:r>
      <w:r w:rsidR="002C3079">
        <w:rPr>
          <w:rStyle w:val="FootnoteReference"/>
        </w:rPr>
        <w:footnoteReference w:id="726"/>
      </w:r>
      <w:r>
        <w:t xml:space="preserve"> and noted that </w:t>
      </w:r>
      <w:r w:rsidR="002C3079">
        <w:t>best practice would ensure that spend and time limits and exclusion orders are not subverted by players gambling online</w:t>
      </w:r>
      <w:r>
        <w:t>.</w:t>
      </w:r>
      <w:r w:rsidR="002C3079">
        <w:rPr>
          <w:rStyle w:val="FootnoteReference"/>
        </w:rPr>
        <w:footnoteReference w:id="727"/>
      </w:r>
      <w:r>
        <w:t xml:space="preserve"> NCGM submitters also considered that d</w:t>
      </w:r>
      <w:r w:rsidR="00F4420D">
        <w:t xml:space="preserve">espite the evidence that online gambling </w:t>
      </w:r>
      <w:r>
        <w:t>wa</w:t>
      </w:r>
      <w:r w:rsidR="00F4420D">
        <w:t>s growing, there d</w:t>
      </w:r>
      <w:r>
        <w:t>id</w:t>
      </w:r>
      <w:r w:rsidR="00F4420D">
        <w:t xml:space="preserve"> not yet seem to be any focus on the identification and support of problem gamblers in this sector</w:t>
      </w:r>
      <w:r>
        <w:t>.</w:t>
      </w:r>
      <w:r w:rsidR="00F4420D">
        <w:rPr>
          <w:rStyle w:val="FootnoteReference"/>
        </w:rPr>
        <w:footnoteReference w:id="728"/>
      </w:r>
    </w:p>
    <w:p w14:paraId="0D44FFE6" w14:textId="4DBD61BC" w:rsidR="002C3079" w:rsidRDefault="002C3079" w:rsidP="002C3079">
      <w:pPr>
        <w:pStyle w:val="Heading3-NOTinTOC"/>
      </w:pPr>
      <w:r>
        <w:t xml:space="preserve">Gambling industry submitters </w:t>
      </w:r>
    </w:p>
    <w:p w14:paraId="4E2D4532" w14:textId="76F5EEB6" w:rsidR="00A81995" w:rsidRDefault="000D4A38" w:rsidP="000D4A38">
      <w:pPr>
        <w:pStyle w:val="BodyText"/>
      </w:pPr>
      <w:r>
        <w:t xml:space="preserve">Gambling industry submitters wanted </w:t>
      </w:r>
      <w:r w:rsidR="002C3079">
        <w:t>increased recognition of the growth of online offshore gambling and the ‘gamblification' of sports and gaming</w:t>
      </w:r>
      <w:r>
        <w:t>,</w:t>
      </w:r>
      <w:r w:rsidR="002C3079">
        <w:rPr>
          <w:rStyle w:val="FootnoteReference"/>
        </w:rPr>
        <w:footnoteReference w:id="729"/>
      </w:r>
      <w:r>
        <w:t xml:space="preserve"> and noted that </w:t>
      </w:r>
      <w:r w:rsidR="002C3079">
        <w:t>online gambling is an area where more could be done as it is a known an</w:t>
      </w:r>
      <w:r w:rsidR="004939CE">
        <w:t>d</w:t>
      </w:r>
      <w:r w:rsidR="002C3079">
        <w:t xml:space="preserve"> increasing risk</w:t>
      </w:r>
      <w:r>
        <w:t>.</w:t>
      </w:r>
      <w:r w:rsidR="002C3079">
        <w:rPr>
          <w:rStyle w:val="FootnoteReference"/>
        </w:rPr>
        <w:footnoteReference w:id="730"/>
      </w:r>
      <w:r>
        <w:t xml:space="preserve"> One gambling industry submitter commented that the</w:t>
      </w:r>
      <w:r w:rsidR="00A81995">
        <w:t xml:space="preserve"> Ministry should actively advocate for regulation of the offshore online casino </w:t>
      </w:r>
      <w:r>
        <w:t>market.</w:t>
      </w:r>
      <w:r w:rsidR="00A81995">
        <w:rPr>
          <w:rStyle w:val="FootnoteReference"/>
        </w:rPr>
        <w:footnoteReference w:id="731"/>
      </w:r>
    </w:p>
    <w:p w14:paraId="4BC089A4" w14:textId="6FDD22EA" w:rsidR="002C3079" w:rsidRDefault="002C3079" w:rsidP="002C3079">
      <w:pPr>
        <w:pStyle w:val="Heading3-NOTinTOC"/>
      </w:pPr>
      <w:r>
        <w:t xml:space="preserve">Local government submitters </w:t>
      </w:r>
    </w:p>
    <w:p w14:paraId="350DE9DB" w14:textId="094AE0E9" w:rsidR="002C3079" w:rsidRDefault="000D4A38" w:rsidP="000D4A38">
      <w:pPr>
        <w:pStyle w:val="BodyText"/>
      </w:pPr>
      <w:r>
        <w:t>Local government submitters agreed that there was</w:t>
      </w:r>
      <w:r w:rsidR="002C3079">
        <w:t xml:space="preserve"> a need to consider how there c</w:t>
      </w:r>
      <w:r>
        <w:t>ould</w:t>
      </w:r>
      <w:r w:rsidR="002C3079">
        <w:t xml:space="preserve"> be better regulatory management of online offshore gambling sites</w:t>
      </w:r>
      <w:r>
        <w:t>.</w:t>
      </w:r>
      <w:r w:rsidR="002C3079">
        <w:rPr>
          <w:rStyle w:val="FootnoteReference"/>
        </w:rPr>
        <w:footnoteReference w:id="732"/>
      </w:r>
    </w:p>
    <w:p w14:paraId="117D575E" w14:textId="060D5387" w:rsidR="002C3079" w:rsidRDefault="002C3079" w:rsidP="002C3079">
      <w:pPr>
        <w:pStyle w:val="Heading3-NOTinTOC"/>
      </w:pPr>
      <w:r>
        <w:t>Government submitter</w:t>
      </w:r>
    </w:p>
    <w:p w14:paraId="04F23D03" w14:textId="36E18330" w:rsidR="002C3079" w:rsidRPr="002C3079" w:rsidRDefault="004A3EAA" w:rsidP="004A3EAA">
      <w:pPr>
        <w:pStyle w:val="BodyText"/>
      </w:pPr>
      <w:r>
        <w:t>The government submitter recommended</w:t>
      </w:r>
      <w:r w:rsidR="002C3079">
        <w:t xml:space="preserve"> that the Ministry work with Māori from a Kaupapa Māori perspective to work with DIA to explore regulation of the emerging technologies that result in gambling harm or addictive behaviours such as in-app purchasing by young people in games and other online platforms, with a view to including them in the definition of gambling and seeking to obtain a lev</w:t>
      </w:r>
      <w:r>
        <w:t>y.</w:t>
      </w:r>
      <w:r w:rsidR="002C3079">
        <w:rPr>
          <w:rStyle w:val="FootnoteReference"/>
        </w:rPr>
        <w:footnoteReference w:id="733"/>
      </w:r>
      <w:r>
        <w:t xml:space="preserve"> This submitter also considered that the s</w:t>
      </w:r>
      <w:r w:rsidR="00F4420D">
        <w:t>trategy need</w:t>
      </w:r>
      <w:r>
        <w:t>ed</w:t>
      </w:r>
      <w:r w:rsidR="00F4420D">
        <w:t xml:space="preserve"> to be more agile and responsive to new emerging harms from technologies that mimic gambling – anything that triggers gambling should fit the definition of what the levy can be spent on, rather than limiting it to activities associated with levy funders</w:t>
      </w:r>
      <w:r>
        <w:t>.</w:t>
      </w:r>
      <w:r w:rsidR="00F4420D">
        <w:rPr>
          <w:rStyle w:val="FootnoteReference"/>
        </w:rPr>
        <w:footnoteReference w:id="734"/>
      </w:r>
    </w:p>
    <w:p w14:paraId="316E1973" w14:textId="1835F162" w:rsidR="002C3079" w:rsidRDefault="002C3079" w:rsidP="002C3079">
      <w:pPr>
        <w:pStyle w:val="Heading3-NOTinTOC"/>
      </w:pPr>
      <w:r>
        <w:lastRenderedPageBreak/>
        <w:t>Individuals</w:t>
      </w:r>
    </w:p>
    <w:p w14:paraId="567A239C" w14:textId="3F155961" w:rsidR="002C3079" w:rsidRDefault="004A3EAA" w:rsidP="004A3EAA">
      <w:pPr>
        <w:pStyle w:val="BodyText"/>
      </w:pPr>
      <w:r>
        <w:t xml:space="preserve">Individuals considered that </w:t>
      </w:r>
      <w:r w:rsidR="002C3079">
        <w:t xml:space="preserve">the approach towards online gambling </w:t>
      </w:r>
      <w:r>
        <w:t>was too slow,</w:t>
      </w:r>
      <w:r w:rsidRPr="004A3EAA">
        <w:rPr>
          <w:rStyle w:val="FootnoteReference"/>
        </w:rPr>
        <w:t xml:space="preserve"> </w:t>
      </w:r>
      <w:r>
        <w:rPr>
          <w:rStyle w:val="FootnoteReference"/>
        </w:rPr>
        <w:footnoteReference w:id="735"/>
      </w:r>
      <w:r>
        <w:t xml:space="preserve"> and that more</w:t>
      </w:r>
      <w:r w:rsidR="002C3079">
        <w:t xml:space="preserve"> discussion </w:t>
      </w:r>
      <w:r>
        <w:t>was</w:t>
      </w:r>
      <w:r w:rsidR="002C3079">
        <w:t xml:space="preserve"> needed about the increasingly blurred lines between online gaming and gambling – loot boxes are only one aspect of the issue, with other aspects of gambling relating to gaming including opportunities for gambling within online </w:t>
      </w:r>
      <w:r>
        <w:t>games</w:t>
      </w:r>
      <w:r w:rsidR="002C3079">
        <w:t>.</w:t>
      </w:r>
      <w:r w:rsidR="002C3079">
        <w:rPr>
          <w:rStyle w:val="FootnoteReference"/>
        </w:rPr>
        <w:footnoteReference w:id="736"/>
      </w:r>
    </w:p>
    <w:p w14:paraId="7FBB6407" w14:textId="4D4B66CA" w:rsidR="00541EFD" w:rsidRDefault="00541EFD" w:rsidP="00541EFD">
      <w:pPr>
        <w:pStyle w:val="NumberedHeading2"/>
        <w:autoSpaceDE/>
        <w:autoSpaceDN/>
        <w:adjustRightInd/>
        <w:spacing w:line="259" w:lineRule="auto"/>
        <w:jc w:val="left"/>
      </w:pPr>
      <w:bookmarkStart w:id="147" w:name="_Toc88637627"/>
      <w:r>
        <w:t xml:space="preserve">Service providers considered that </w:t>
      </w:r>
      <w:r w:rsidR="00584ADD">
        <w:t xml:space="preserve">online </w:t>
      </w:r>
      <w:r>
        <w:t>service provision could be improved</w:t>
      </w:r>
      <w:bookmarkEnd w:id="147"/>
      <w:r>
        <w:t xml:space="preserve"> </w:t>
      </w:r>
    </w:p>
    <w:p w14:paraId="52F95342" w14:textId="77777777" w:rsidR="00541EFD" w:rsidRDefault="00541EFD" w:rsidP="00D94FEE">
      <w:pPr>
        <w:pStyle w:val="Heading3-NOTinTOC"/>
      </w:pPr>
      <w:r>
        <w:t>Service providers</w:t>
      </w:r>
    </w:p>
    <w:p w14:paraId="41FBE86A" w14:textId="3003EA49" w:rsidR="00541EFD" w:rsidRDefault="00541EFD" w:rsidP="00541EFD">
      <w:pPr>
        <w:pStyle w:val="BodyText"/>
      </w:pPr>
      <w:r>
        <w:t xml:space="preserve">Two service providers commented that there </w:t>
      </w:r>
      <w:r w:rsidR="008838C0">
        <w:t>was</w:t>
      </w:r>
      <w:r>
        <w:t xml:space="preserve"> a need to expand services into the online space.</w:t>
      </w:r>
      <w:r>
        <w:rPr>
          <w:rStyle w:val="FootnoteReference"/>
        </w:rPr>
        <w:footnoteReference w:id="737"/>
      </w:r>
      <w:r>
        <w:t xml:space="preserve"> One provider referenced the changing nature of face-to-face services due to COVID-19 and the associated increase in online gambling and stated that this has not been acknowledged in the draft service plan.</w:t>
      </w:r>
      <w:r>
        <w:rPr>
          <w:rStyle w:val="FootnoteReference"/>
        </w:rPr>
        <w:footnoteReference w:id="738"/>
      </w:r>
      <w:r>
        <w:t xml:space="preserve"> The other provider stated that there need to be more self-help groups or forums accessible face-to-face and online in New Zealand as these are scarce and push tangata </w:t>
      </w:r>
      <w:r w:rsidR="004F15F2">
        <w:t>whaiora</w:t>
      </w:r>
      <w:r>
        <w:t xml:space="preserve"> to seek these forums on overseas websites.</w:t>
      </w:r>
      <w:r>
        <w:rPr>
          <w:rStyle w:val="FootnoteReference"/>
        </w:rPr>
        <w:footnoteReference w:id="739"/>
      </w:r>
    </w:p>
    <w:p w14:paraId="4B1B8846" w14:textId="12FF38DF" w:rsidR="00541EFD" w:rsidRDefault="00584ADD" w:rsidP="00541EFD">
      <w:pPr>
        <w:pStyle w:val="NumberedHeading2"/>
        <w:autoSpaceDE/>
        <w:autoSpaceDN/>
        <w:adjustRightInd/>
        <w:spacing w:line="259" w:lineRule="auto"/>
        <w:jc w:val="left"/>
      </w:pPr>
      <w:bookmarkStart w:id="148" w:name="_Toc88637628"/>
      <w:r>
        <w:t>Submitters from across sectors considered that more</w:t>
      </w:r>
      <w:r w:rsidR="00541EFD">
        <w:t xml:space="preserve"> culturally appropriate services are required</w:t>
      </w:r>
      <w:bookmarkEnd w:id="148"/>
      <w:r w:rsidR="00541EFD">
        <w:t xml:space="preserve"> </w:t>
      </w:r>
    </w:p>
    <w:p w14:paraId="7A47B53A" w14:textId="498CF361" w:rsidR="00541EFD" w:rsidRPr="0004130A" w:rsidRDefault="00541EFD" w:rsidP="00541EFD">
      <w:pPr>
        <w:pStyle w:val="BodyText"/>
      </w:pPr>
      <w:r>
        <w:t>Service providers, health and social services submitters, individuals and a local government submitter all considered that culturally appropriate services were required for Māori, Pacific</w:t>
      </w:r>
      <w:r w:rsidR="00606E86">
        <w:t>,</w:t>
      </w:r>
      <w:r>
        <w:t xml:space="preserve"> and Asian population groups. </w:t>
      </w:r>
    </w:p>
    <w:p w14:paraId="2C005D12" w14:textId="77777777" w:rsidR="00541EFD" w:rsidRDefault="00541EFD" w:rsidP="00D94FEE">
      <w:pPr>
        <w:pStyle w:val="Heading3-NOTinTOC"/>
      </w:pPr>
      <w:r>
        <w:t>Service providers</w:t>
      </w:r>
    </w:p>
    <w:p w14:paraId="24FF3DB4" w14:textId="21A57537" w:rsidR="00541EFD" w:rsidRPr="00FD1340" w:rsidRDefault="00541EFD" w:rsidP="00541EFD">
      <w:pPr>
        <w:pStyle w:val="BodyText"/>
      </w:pPr>
      <w:r>
        <w:t xml:space="preserve">Nine service providers considered that more culturally appropriate services </w:t>
      </w:r>
      <w:r w:rsidR="007110A6">
        <w:t>were</w:t>
      </w:r>
      <w:r>
        <w:t xml:space="preserve"> required for Māori, Pacific</w:t>
      </w:r>
      <w:r w:rsidR="00606E86">
        <w:t>,</w:t>
      </w:r>
      <w:r>
        <w:t xml:space="preserve"> and Asian population groups.</w:t>
      </w:r>
      <w:r>
        <w:rPr>
          <w:rStyle w:val="FootnoteReference"/>
        </w:rPr>
        <w:footnoteReference w:id="740"/>
      </w:r>
    </w:p>
    <w:p w14:paraId="6EEEE4C6" w14:textId="7E1373B5" w:rsidR="00541EFD" w:rsidRPr="00FD1340" w:rsidRDefault="00541EFD" w:rsidP="00541EFD">
      <w:pPr>
        <w:pStyle w:val="BodyText"/>
      </w:pPr>
      <w:r>
        <w:t xml:space="preserve">Four of these service providers specified issues with the </w:t>
      </w:r>
      <w:r w:rsidR="004939CE">
        <w:t>n</w:t>
      </w:r>
      <w:r>
        <w:t>ational Gambling Helpline for Pacific people and Asian communities.</w:t>
      </w:r>
      <w:r>
        <w:rPr>
          <w:rStyle w:val="FootnoteReference"/>
        </w:rPr>
        <w:footnoteReference w:id="741"/>
      </w:r>
      <w:r>
        <w:t xml:space="preserve"> Two submitters called for the Asian </w:t>
      </w:r>
      <w:r w:rsidR="004939CE">
        <w:t>H</w:t>
      </w:r>
      <w:r>
        <w:t>elpline run by Asian Family Services to be extended so it could run as a 24/7 service, while the other two highlighted that having dedicated Pacific staff for the Pacific helpline is essential.</w:t>
      </w:r>
      <w:r>
        <w:rPr>
          <w:rStyle w:val="FootnoteReference"/>
        </w:rPr>
        <w:footnoteReference w:id="742"/>
      </w:r>
    </w:p>
    <w:p w14:paraId="5DCB7D95" w14:textId="77777777" w:rsidR="00541EFD" w:rsidRPr="00FD1340" w:rsidRDefault="00541EFD" w:rsidP="00541EFD">
      <w:pPr>
        <w:pStyle w:val="BodyText"/>
      </w:pPr>
      <w:r>
        <w:t>Four service providers considered that more work should be done to ensure that general PMGH service providers are equipped to offer culturally appropriate services, as priority populations often access general services as well as culturally specific ones.</w:t>
      </w:r>
      <w:r>
        <w:rPr>
          <w:rStyle w:val="FootnoteReference"/>
        </w:rPr>
        <w:footnoteReference w:id="743"/>
      </w:r>
      <w:r>
        <w:t xml:space="preserve"> </w:t>
      </w:r>
    </w:p>
    <w:p w14:paraId="629DAE7E" w14:textId="77777777" w:rsidR="00541EFD" w:rsidRDefault="00541EFD" w:rsidP="00541EFD">
      <w:pPr>
        <w:pStyle w:val="BodyText"/>
      </w:pPr>
      <w:r>
        <w:lastRenderedPageBreak/>
        <w:t xml:space="preserve">Three service providers commented on the need for more Kaupapa Māori services and support of alternative support staff in the form of </w:t>
      </w:r>
      <w:r w:rsidRPr="008F2C58">
        <w:t>kaiawhina/mataora</w:t>
      </w:r>
      <w:r>
        <w:t xml:space="preserve"> or Māori approaches to treatment such as </w:t>
      </w:r>
      <w:r w:rsidRPr="004E0670">
        <w:t>of wānanga</w:t>
      </w:r>
      <w:r>
        <w:t>.</w:t>
      </w:r>
      <w:r>
        <w:rPr>
          <w:rStyle w:val="FootnoteReference"/>
        </w:rPr>
        <w:footnoteReference w:id="744"/>
      </w:r>
    </w:p>
    <w:p w14:paraId="563C1128" w14:textId="77777777" w:rsidR="00541EFD" w:rsidRPr="00FD1340" w:rsidRDefault="00541EFD" w:rsidP="00541EFD">
      <w:pPr>
        <w:pStyle w:val="BodyText"/>
      </w:pPr>
      <w:r>
        <w:t>Two service providers stated that it was important to integrate culturally specific and per support services.</w:t>
      </w:r>
      <w:r>
        <w:rPr>
          <w:rStyle w:val="FootnoteReference"/>
        </w:rPr>
        <w:footnoteReference w:id="745"/>
      </w:r>
    </w:p>
    <w:p w14:paraId="596B0F42" w14:textId="77777777" w:rsidR="00541EFD" w:rsidRDefault="00541EFD" w:rsidP="00D94FEE">
      <w:pPr>
        <w:pStyle w:val="Heading3-NOTinTOC"/>
      </w:pPr>
      <w:r>
        <w:t>Health and social services submitters</w:t>
      </w:r>
    </w:p>
    <w:p w14:paraId="7B354E1C" w14:textId="77777777" w:rsidR="00541EFD" w:rsidRPr="00D6734B" w:rsidRDefault="00541EFD" w:rsidP="00541EFD">
      <w:pPr>
        <w:pStyle w:val="BodyText"/>
      </w:pPr>
      <w:r>
        <w:t>Four health and social services submitters commented on the need for culturally appropriate services.</w:t>
      </w:r>
      <w:r>
        <w:rPr>
          <w:rStyle w:val="FootnoteReference"/>
        </w:rPr>
        <w:footnoteReference w:id="746"/>
      </w:r>
    </w:p>
    <w:p w14:paraId="6EBA7784" w14:textId="77777777" w:rsidR="00C95A37" w:rsidRPr="00D6734B" w:rsidRDefault="00C95A37" w:rsidP="00C95A37">
      <w:pPr>
        <w:pStyle w:val="BodyText"/>
      </w:pPr>
      <w:r>
        <w:t>Two submitters stated that the Ministry should ensure there is a culturally appropriate peer support workforce.</w:t>
      </w:r>
      <w:r>
        <w:rPr>
          <w:rStyle w:val="FootnoteReference"/>
        </w:rPr>
        <w:footnoteReference w:id="747"/>
      </w:r>
    </w:p>
    <w:p w14:paraId="47028108" w14:textId="77777777" w:rsidR="00541EFD" w:rsidRDefault="00541EFD" w:rsidP="00541EFD">
      <w:pPr>
        <w:pStyle w:val="BodyText"/>
      </w:pPr>
      <w:r>
        <w:t xml:space="preserve">One of these submitters called for specific funding commitments for </w:t>
      </w:r>
      <w:r w:rsidRPr="00D30C36">
        <w:t>Kaupapa Māori, Pacific, and Asian services</w:t>
      </w:r>
      <w:r>
        <w:t>, and another called for culturally mandated services as first referral options.</w:t>
      </w:r>
      <w:r>
        <w:rPr>
          <w:rStyle w:val="FootnoteReference"/>
        </w:rPr>
        <w:footnoteReference w:id="748"/>
      </w:r>
    </w:p>
    <w:p w14:paraId="5E2ED6D5" w14:textId="77777777" w:rsidR="00541EFD" w:rsidRDefault="00541EFD" w:rsidP="00D94FEE">
      <w:pPr>
        <w:pStyle w:val="Heading3-NOTinTOC"/>
      </w:pPr>
      <w:r>
        <w:t>Individual submitters</w:t>
      </w:r>
    </w:p>
    <w:p w14:paraId="45F49B7F" w14:textId="77777777" w:rsidR="00541EFD" w:rsidRPr="00987D45" w:rsidRDefault="00541EFD" w:rsidP="00541EFD">
      <w:pPr>
        <w:pStyle w:val="BodyText"/>
      </w:pPr>
      <w:r>
        <w:t>Two individual submitters supported more culturally appropriate services.</w:t>
      </w:r>
      <w:r>
        <w:rPr>
          <w:rStyle w:val="FootnoteReference"/>
        </w:rPr>
        <w:footnoteReference w:id="749"/>
      </w:r>
      <w:r>
        <w:t xml:space="preserve"> One of these submitters stated that consideration should be given to tikanga practices relative to iwi and hapū regions as Māori in isolated communities know their own and thus should be supported in what they do with their community.</w:t>
      </w:r>
      <w:r>
        <w:rPr>
          <w:rStyle w:val="FootnoteReference"/>
        </w:rPr>
        <w:footnoteReference w:id="750"/>
      </w:r>
    </w:p>
    <w:p w14:paraId="24B5A2C5" w14:textId="23481323" w:rsidR="00145340" w:rsidRDefault="00145340" w:rsidP="00541EFD">
      <w:pPr>
        <w:pStyle w:val="NumberedHeading2"/>
        <w:autoSpaceDE/>
        <w:autoSpaceDN/>
        <w:adjustRightInd/>
        <w:spacing w:line="259" w:lineRule="auto"/>
        <w:jc w:val="left"/>
      </w:pPr>
      <w:bookmarkStart w:id="149" w:name="_Toc88637629"/>
      <w:r>
        <w:t>NCGM submitters wanted to see a complete overhaul of service provision</w:t>
      </w:r>
      <w:bookmarkEnd w:id="149"/>
    </w:p>
    <w:p w14:paraId="29764C4A" w14:textId="77777777" w:rsidR="00145340" w:rsidRDefault="00145340" w:rsidP="00D94FEE">
      <w:pPr>
        <w:pStyle w:val="Heading3-NOTinTOC"/>
      </w:pPr>
      <w:r>
        <w:t>NCGM submitters</w:t>
      </w:r>
    </w:p>
    <w:p w14:paraId="3A597F03" w14:textId="442563A2" w:rsidR="00145340" w:rsidRPr="00C4137A" w:rsidRDefault="00145340" w:rsidP="00145340">
      <w:pPr>
        <w:pStyle w:val="BodyText"/>
      </w:pPr>
      <w:r>
        <w:t>NCGM submitters wan</w:t>
      </w:r>
      <w:r w:rsidR="00C95A37">
        <w:t>ted to see</w:t>
      </w:r>
      <w:r>
        <w:t xml:space="preserve"> an overhaul of service provision, including targets for service providers, and integration of addiction service</w:t>
      </w:r>
      <w:r w:rsidR="004939CE">
        <w:t>s</w:t>
      </w:r>
      <w:r>
        <w:t>. Eleven NCGM sector submitters commented that the strategy should include clear targets which should be considered during the allocation of levy money.</w:t>
      </w:r>
      <w:r w:rsidRPr="00EF7075">
        <w:rPr>
          <w:rStyle w:val="FootnoteReference"/>
        </w:rPr>
        <w:t xml:space="preserve"> </w:t>
      </w:r>
      <w:r>
        <w:rPr>
          <w:rStyle w:val="FootnoteReference"/>
        </w:rPr>
        <w:footnoteReference w:id="751"/>
      </w:r>
    </w:p>
    <w:p w14:paraId="166A5E8C" w14:textId="77777777" w:rsidR="00145340" w:rsidRDefault="00145340" w:rsidP="00145340">
      <w:pPr>
        <w:pStyle w:val="BodyText"/>
      </w:pPr>
      <w:r>
        <w:t>Ten NCGM submitters commented on the need for more accessible face-to-face counselling and longer-term support.</w:t>
      </w:r>
      <w:r>
        <w:rPr>
          <w:rStyle w:val="FootnoteReference"/>
        </w:rPr>
        <w:footnoteReference w:id="752"/>
      </w:r>
    </w:p>
    <w:p w14:paraId="09B9ED24" w14:textId="38BCFAE9" w:rsidR="00145340" w:rsidRDefault="00145340" w:rsidP="00145340">
      <w:pPr>
        <w:pStyle w:val="BodyText"/>
      </w:pPr>
      <w:r>
        <w:t xml:space="preserve">Nine of these NCGM sector submitters were critical of current PMGH service providers and stated that </w:t>
      </w:r>
      <w:r w:rsidR="00764F79">
        <w:t>despite the funding available</w:t>
      </w:r>
      <w:r>
        <w:t>, current providers are not equipped or willing to travel to clients who cannot come to the office or see clients after hours/on weekends.</w:t>
      </w:r>
      <w:r>
        <w:rPr>
          <w:rStyle w:val="FootnoteReference"/>
        </w:rPr>
        <w:footnoteReference w:id="753"/>
      </w:r>
      <w:r>
        <w:t xml:space="preserve"> These submitters stated that the Ministry must move away from funding services in set geographical areas Monday to </w:t>
      </w:r>
      <w:r>
        <w:lastRenderedPageBreak/>
        <w:t>Friday 9am-5pm, and instead require providers to be on call, provide afterhours and weekend support and travel to clients if necessary.</w:t>
      </w:r>
      <w:r>
        <w:rPr>
          <w:rStyle w:val="FootnoteReference"/>
        </w:rPr>
        <w:footnoteReference w:id="754"/>
      </w:r>
    </w:p>
    <w:p w14:paraId="3CCB2E1C" w14:textId="77777777" w:rsidR="00145340" w:rsidRPr="00F109FF" w:rsidRDefault="00145340" w:rsidP="00145340">
      <w:pPr>
        <w:pStyle w:val="BodyText"/>
      </w:pPr>
      <w:r>
        <w:t>Seven of these NCGM sector submitters wanted the draft service plan to shift focus to long term treatment and support models and stated that the Ministry should require service providers to take reasonable steps to maintain contact with client for a three-year period.</w:t>
      </w:r>
      <w:r>
        <w:rPr>
          <w:rStyle w:val="FootnoteReference"/>
        </w:rPr>
        <w:footnoteReference w:id="755"/>
      </w:r>
      <w:r>
        <w:t xml:space="preserve"> These submitters stated that statistics show most clients receive less than 10 hours of support in total which is insufficient to prevent relapse.</w:t>
      </w:r>
      <w:r>
        <w:rPr>
          <w:rStyle w:val="FootnoteReference"/>
        </w:rPr>
        <w:footnoteReference w:id="756"/>
      </w:r>
    </w:p>
    <w:p w14:paraId="53FE231D" w14:textId="411D864A" w:rsidR="00541EFD" w:rsidRDefault="00541EFD" w:rsidP="00541EFD">
      <w:pPr>
        <w:pStyle w:val="NumberedHeading2"/>
        <w:autoSpaceDE/>
        <w:autoSpaceDN/>
        <w:adjustRightInd/>
        <w:spacing w:line="259" w:lineRule="auto"/>
        <w:jc w:val="left"/>
      </w:pPr>
      <w:bookmarkStart w:id="150" w:name="_Toc88637630"/>
      <w:r>
        <w:t>NCGM sector submitters thought increased funding was inappropriate, while other submitters thought it would not be enough</w:t>
      </w:r>
      <w:bookmarkEnd w:id="150"/>
    </w:p>
    <w:p w14:paraId="5795F06B" w14:textId="71DE3BD6" w:rsidR="00541EFD" w:rsidRPr="00E70D31" w:rsidRDefault="00541EFD" w:rsidP="00541EFD">
      <w:pPr>
        <w:pStyle w:val="BodyText"/>
      </w:pPr>
      <w:r>
        <w:t xml:space="preserve">NCGM sector submitters, service providers, health and social services sector submitters and a gambling industry submitter had mixed views on the increase in funding </w:t>
      </w:r>
      <w:r w:rsidR="004939CE">
        <w:t xml:space="preserve">proposed </w:t>
      </w:r>
      <w:r>
        <w:t xml:space="preserve">in the draft service plan. </w:t>
      </w:r>
    </w:p>
    <w:p w14:paraId="66FA8CE1" w14:textId="77777777" w:rsidR="005021A8" w:rsidRDefault="005021A8" w:rsidP="00D94FEE">
      <w:pPr>
        <w:pStyle w:val="Heading3-NOTinTOC"/>
      </w:pPr>
      <w:r>
        <w:t>Service providers</w:t>
      </w:r>
    </w:p>
    <w:p w14:paraId="34FB8BD9" w14:textId="77777777" w:rsidR="005021A8" w:rsidRDefault="005021A8" w:rsidP="005021A8">
      <w:pPr>
        <w:pStyle w:val="BodyText"/>
      </w:pPr>
      <w:r>
        <w:t>Four service providers considered more funding and investment was needed to actualise the goals of the draft service plan, as current investments were insufficient to drive real change.</w:t>
      </w:r>
      <w:r>
        <w:rPr>
          <w:rStyle w:val="FootnoteReference"/>
        </w:rPr>
        <w:footnoteReference w:id="757"/>
      </w:r>
      <w:r>
        <w:t xml:space="preserve"> One service provider commented that as a culturally specific service, they received limited support from the NCS and often had to fund their own culturally specific resources, meaning they were unfairly burdened compared to mainstream services.</w:t>
      </w:r>
      <w:r>
        <w:rPr>
          <w:rStyle w:val="FootnoteReference"/>
        </w:rPr>
        <w:footnoteReference w:id="758"/>
      </w:r>
    </w:p>
    <w:p w14:paraId="45F4ABFB" w14:textId="77777777" w:rsidR="005021A8" w:rsidRDefault="005021A8" w:rsidP="00D94FEE">
      <w:pPr>
        <w:pStyle w:val="Heading3-NOTinTOC"/>
      </w:pPr>
      <w:r>
        <w:t>Health and social services submitters</w:t>
      </w:r>
    </w:p>
    <w:p w14:paraId="56769319" w14:textId="77777777" w:rsidR="005021A8" w:rsidRPr="001D1D84" w:rsidRDefault="005021A8" w:rsidP="005021A8">
      <w:pPr>
        <w:pStyle w:val="BodyText"/>
      </w:pPr>
      <w:r>
        <w:t>One health and social services submitter considered that more investment was necessary to achieve set outcomes if society was serious about equity and public health approached to gambling harm prevention and minimisation.</w:t>
      </w:r>
      <w:r>
        <w:rPr>
          <w:rStyle w:val="FootnoteReference"/>
        </w:rPr>
        <w:footnoteReference w:id="759"/>
      </w:r>
      <w:r>
        <w:t xml:space="preserve">  </w:t>
      </w:r>
    </w:p>
    <w:p w14:paraId="2E350D64" w14:textId="77777777" w:rsidR="00541EFD" w:rsidRDefault="00541EFD" w:rsidP="00D94FEE">
      <w:pPr>
        <w:pStyle w:val="Heading3-NOTinTOC"/>
      </w:pPr>
      <w:r>
        <w:t>NCGM submitters</w:t>
      </w:r>
    </w:p>
    <w:p w14:paraId="444F8AF9" w14:textId="6B5DD262" w:rsidR="00541EFD" w:rsidRPr="003E458C" w:rsidRDefault="00541EFD" w:rsidP="00541EFD">
      <w:pPr>
        <w:pStyle w:val="BodyText"/>
      </w:pPr>
      <w:r w:rsidRPr="003E458C">
        <w:t xml:space="preserve">Five NCGM sector submitters considered the increase in funding </w:t>
      </w:r>
      <w:r>
        <w:t>unwarranted for the following reasons</w:t>
      </w:r>
      <w:r w:rsidRPr="003E458C">
        <w:t>:</w:t>
      </w:r>
      <w:r w:rsidR="00D74F90">
        <w:rPr>
          <w:rStyle w:val="FootnoteReference"/>
        </w:rPr>
        <w:footnoteReference w:id="760"/>
      </w:r>
    </w:p>
    <w:p w14:paraId="3A933D89" w14:textId="77777777" w:rsidR="00541EFD" w:rsidRPr="003E458C" w:rsidRDefault="00541EFD" w:rsidP="00EA3029">
      <w:pPr>
        <w:pStyle w:val="List-BulletLvl1"/>
      </w:pPr>
      <w:r>
        <w:t>i</w:t>
      </w:r>
      <w:r w:rsidRPr="003E458C">
        <w:t>ncreasing the FTE rates is inconsistent with the government wage freeze</w:t>
      </w:r>
    </w:p>
    <w:p w14:paraId="3DAC8AC2" w14:textId="77777777" w:rsidR="00541EFD" w:rsidRPr="003E458C" w:rsidRDefault="00541EFD" w:rsidP="00EA3029">
      <w:pPr>
        <w:pStyle w:val="List-BulletLvl1"/>
      </w:pPr>
      <w:r>
        <w:t>m</w:t>
      </w:r>
      <w:r w:rsidRPr="003E458C">
        <w:t>oney must be spent on preventing, minimising, treating or reducing harm, not paying existing providers more for office overheads or administration</w:t>
      </w:r>
    </w:p>
    <w:p w14:paraId="1F541416" w14:textId="77777777" w:rsidR="00541EFD" w:rsidRDefault="00541EFD" w:rsidP="00EA3029">
      <w:pPr>
        <w:pStyle w:val="List-BulletLvl1"/>
      </w:pPr>
      <w:r>
        <w:t>g</w:t>
      </w:r>
      <w:r w:rsidRPr="003E458C">
        <w:t>ambling participation and presentations to PMGH services have decreased, indicating a reduced workload for these services, thus making an increase to FTE rates unwarranted</w:t>
      </w:r>
      <w:r>
        <w:t>.</w:t>
      </w:r>
    </w:p>
    <w:p w14:paraId="77936123" w14:textId="77777777" w:rsidR="00541EFD" w:rsidRDefault="00541EFD" w:rsidP="00D94FEE">
      <w:pPr>
        <w:pStyle w:val="Heading3-NOTinTOC"/>
      </w:pPr>
      <w:r>
        <w:lastRenderedPageBreak/>
        <w:t>Gambling industry</w:t>
      </w:r>
    </w:p>
    <w:p w14:paraId="6C02710D" w14:textId="77777777" w:rsidR="00541EFD" w:rsidRPr="000305D5" w:rsidRDefault="00541EFD" w:rsidP="00541EFD">
      <w:pPr>
        <w:pStyle w:val="BodyText"/>
      </w:pPr>
      <w:r>
        <w:t>One gambling industry submitter commented that while they expected an increase in funding given trends in previous strategies, the size of this increase was surprising given the significant past investment from both the Ministry and the industry.</w:t>
      </w:r>
      <w:r>
        <w:rPr>
          <w:rStyle w:val="FootnoteReference"/>
        </w:rPr>
        <w:footnoteReference w:id="761"/>
      </w:r>
    </w:p>
    <w:p w14:paraId="22055B12" w14:textId="2EBF5248" w:rsidR="00541EFD" w:rsidRDefault="004F5788" w:rsidP="00541EFD">
      <w:pPr>
        <w:pStyle w:val="NumberedHeading2"/>
        <w:autoSpaceDE/>
        <w:autoSpaceDN/>
        <w:adjustRightInd/>
        <w:spacing w:line="259" w:lineRule="auto"/>
        <w:jc w:val="left"/>
      </w:pPr>
      <w:bookmarkStart w:id="151" w:name="_Toc88637631"/>
      <w:r>
        <w:t>Submitters expressed a r</w:t>
      </w:r>
      <w:r w:rsidR="00541EFD">
        <w:t>ange of views on the proposed new services, innovation pilots and investments</w:t>
      </w:r>
      <w:bookmarkEnd w:id="151"/>
    </w:p>
    <w:p w14:paraId="428398FB" w14:textId="77777777" w:rsidR="00541EFD" w:rsidRPr="00533DC3" w:rsidRDefault="00541EFD" w:rsidP="00541EFD">
      <w:pPr>
        <w:pStyle w:val="BodyText"/>
      </w:pPr>
      <w:r>
        <w:t xml:space="preserve">NCGM submitters, service providers, health and social services submitters and gambling industry submitters had varying opinions on the proposed new services, innovation pilots and investments. </w:t>
      </w:r>
    </w:p>
    <w:p w14:paraId="738F3088" w14:textId="77777777" w:rsidR="005021A8" w:rsidRDefault="005021A8" w:rsidP="00D94FEE">
      <w:pPr>
        <w:pStyle w:val="Heading3-NOTinTOC"/>
      </w:pPr>
      <w:r>
        <w:t>Service providers</w:t>
      </w:r>
    </w:p>
    <w:p w14:paraId="5745CB50" w14:textId="231C5810" w:rsidR="005021A8" w:rsidRDefault="005021A8" w:rsidP="005021A8">
      <w:pPr>
        <w:pStyle w:val="BodyText"/>
      </w:pPr>
      <w:r>
        <w:t xml:space="preserve">Two service providers commented that there was ambiguity around how and in what context the proposed </w:t>
      </w:r>
      <w:r w:rsidR="00D53ABB">
        <w:t xml:space="preserve">NZQA level 7 </w:t>
      </w:r>
      <w:r>
        <w:t xml:space="preserve">qualification would benefit prospective students and raised concerns that this level qualification </w:t>
      </w:r>
      <w:r w:rsidR="00D53ABB">
        <w:t xml:space="preserve">level </w:t>
      </w:r>
      <w:r>
        <w:t>may create further inequities for priority populations.</w:t>
      </w:r>
      <w:r>
        <w:rPr>
          <w:rStyle w:val="FootnoteReference"/>
        </w:rPr>
        <w:footnoteReference w:id="762"/>
      </w:r>
      <w:r>
        <w:t xml:space="preserve"> Three service providers supported the creation of an entry-level </w:t>
      </w:r>
      <w:r w:rsidR="00D53ABB">
        <w:t>g</w:t>
      </w:r>
      <w:r>
        <w:t xml:space="preserve">ambling </w:t>
      </w:r>
      <w:r w:rsidR="00D53ABB">
        <w:t>h</w:t>
      </w:r>
      <w:r>
        <w:t>arm qualification (levels 1-4) to help build pathway to and increase the accessibility of the level 7 qualification.</w:t>
      </w:r>
      <w:r>
        <w:rPr>
          <w:rStyle w:val="FootnoteReference"/>
        </w:rPr>
        <w:footnoteReference w:id="763"/>
      </w:r>
    </w:p>
    <w:p w14:paraId="2B95AA49" w14:textId="77777777" w:rsidR="005021A8" w:rsidRDefault="005021A8" w:rsidP="005021A8">
      <w:pPr>
        <w:pStyle w:val="BodyText"/>
      </w:pPr>
      <w:r>
        <w:t>Three service providers considered that rather than developing a standalone level 7 qualification on gambling harm and gambling intervention competencies, these should be embedded into current qualifications in the addiction space.</w:t>
      </w:r>
      <w:r>
        <w:rPr>
          <w:rStyle w:val="FootnoteReference"/>
        </w:rPr>
        <w:footnoteReference w:id="764"/>
      </w:r>
    </w:p>
    <w:p w14:paraId="27B26D6A" w14:textId="116B1556" w:rsidR="005021A8" w:rsidRPr="00981360" w:rsidRDefault="005021A8" w:rsidP="005021A8">
      <w:pPr>
        <w:pStyle w:val="BodyText"/>
      </w:pPr>
      <w:r>
        <w:t>Three service providers commented that additional scholarships should be made available for the existing gambling workforce as well as lived experience Kaimahi to upskill and develop their knowledge beyond the regional and national training forums.</w:t>
      </w:r>
      <w:r>
        <w:rPr>
          <w:rStyle w:val="FootnoteReference"/>
        </w:rPr>
        <w:footnoteReference w:id="765"/>
      </w:r>
    </w:p>
    <w:p w14:paraId="031C4C82" w14:textId="77777777" w:rsidR="005021A8" w:rsidRDefault="005021A8" w:rsidP="005021A8">
      <w:pPr>
        <w:pStyle w:val="BodyText"/>
      </w:pPr>
      <w:r>
        <w:t>Two service providers supported the intensive support pilot, stating that at present there are no contracted residential beds for people where their addiction does not include alcohol and/or other drugs or mental health issues despite the significant benefits this type of programme could have for those experiencing gambling harm.</w:t>
      </w:r>
      <w:r>
        <w:rPr>
          <w:rStyle w:val="FootnoteReference"/>
        </w:rPr>
        <w:footnoteReference w:id="766"/>
      </w:r>
      <w:r>
        <w:t xml:space="preserve"> </w:t>
      </w:r>
    </w:p>
    <w:p w14:paraId="6FAFD843" w14:textId="77777777" w:rsidR="005021A8" w:rsidRDefault="005021A8" w:rsidP="005021A8">
      <w:pPr>
        <w:pStyle w:val="BodyText"/>
      </w:pPr>
      <w:r>
        <w:t>One service provider stated that they were delighted to see the proposed investment into innovation pilots but noted that they do not seem to be adequately resourced – for example, the total budget for the technology pilot across the strategy period was not enough when considering the infrastructure support needed to sustain technological innovations.</w:t>
      </w:r>
      <w:r>
        <w:rPr>
          <w:rStyle w:val="FootnoteReference"/>
        </w:rPr>
        <w:footnoteReference w:id="767"/>
      </w:r>
      <w:r>
        <w:t xml:space="preserve"> Another service provider commented that while they supported the pilots to address inequity, it was unclear how funding will be divided between public health and intervention services.</w:t>
      </w:r>
      <w:r>
        <w:rPr>
          <w:rStyle w:val="FootnoteReference"/>
        </w:rPr>
        <w:footnoteReference w:id="768"/>
      </w:r>
    </w:p>
    <w:p w14:paraId="480875A8" w14:textId="2BAAB1CB" w:rsidR="005021A8" w:rsidRDefault="005021A8" w:rsidP="005021A8">
      <w:pPr>
        <w:pStyle w:val="BodyText"/>
      </w:pPr>
      <w:r>
        <w:t>One service provider stated that in order to address the challenges faced by the Asian community in this equity pilot, the nuances and many different cultures and ethnicities covered in the Asian population must be accounted for</w:t>
      </w:r>
      <w:r w:rsidR="00D53ABB">
        <w:t xml:space="preserve"> in these equity pilots</w:t>
      </w:r>
      <w:r>
        <w:t>.</w:t>
      </w:r>
      <w:r>
        <w:rPr>
          <w:rStyle w:val="FootnoteReference"/>
        </w:rPr>
        <w:footnoteReference w:id="769"/>
      </w:r>
    </w:p>
    <w:p w14:paraId="4BD10B59" w14:textId="77777777" w:rsidR="005021A8" w:rsidRDefault="005021A8" w:rsidP="00D94FEE">
      <w:pPr>
        <w:pStyle w:val="Heading3-NOTinTOC"/>
      </w:pPr>
      <w:r>
        <w:lastRenderedPageBreak/>
        <w:t>Health and social services submitters</w:t>
      </w:r>
    </w:p>
    <w:p w14:paraId="2DAD358B" w14:textId="77777777" w:rsidR="005021A8" w:rsidRDefault="005021A8" w:rsidP="005021A8">
      <w:pPr>
        <w:pStyle w:val="BodyText"/>
      </w:pPr>
      <w:r>
        <w:t>One health and social services submitter recommended lived experience leadership to support the de-stigmatisation initiative. This submitter also suggested that funding for grassroots support services is more effective in generating meaningful change, rather than expensive anti-stigma campaigns.</w:t>
      </w:r>
      <w:r>
        <w:rPr>
          <w:rStyle w:val="FootnoteReference"/>
        </w:rPr>
        <w:footnoteReference w:id="770"/>
      </w:r>
    </w:p>
    <w:p w14:paraId="68EBD1A9" w14:textId="77777777" w:rsidR="005021A8" w:rsidRDefault="005021A8" w:rsidP="005021A8">
      <w:pPr>
        <w:pStyle w:val="BodyText"/>
      </w:pPr>
      <w:r>
        <w:t>One health and social services submitter referenced a comment regarding those with lived experience moving into leadership roles, and considered that to support this vision, provisions for scholarships to attain NZQA qualifications should extend beyond level 7.</w:t>
      </w:r>
      <w:r>
        <w:rPr>
          <w:rStyle w:val="FootnoteReference"/>
        </w:rPr>
        <w:footnoteReference w:id="771"/>
      </w:r>
    </w:p>
    <w:p w14:paraId="39D73B21" w14:textId="3F61A103" w:rsidR="005021A8" w:rsidRDefault="005021A8" w:rsidP="005021A8">
      <w:pPr>
        <w:pStyle w:val="BodyText"/>
      </w:pPr>
      <w:r>
        <w:t>One health and social services submitter commented that a level 5 qualification may be a useful pathway for peer support, cultural or support worker workforce.</w:t>
      </w:r>
      <w:r>
        <w:rPr>
          <w:rStyle w:val="FootnoteReference"/>
        </w:rPr>
        <w:footnoteReference w:id="772"/>
      </w:r>
      <w:r>
        <w:t xml:space="preserve"> This submitter and another health and social services submitter considered that rather than developing a standalone level 7 qualification on gambling harm and gambling intervention competencies, these should be embedded into current qualifications in the addiction space.</w:t>
      </w:r>
      <w:r>
        <w:rPr>
          <w:rStyle w:val="FootnoteReference"/>
        </w:rPr>
        <w:footnoteReference w:id="773"/>
      </w:r>
    </w:p>
    <w:p w14:paraId="110428B3" w14:textId="77777777" w:rsidR="005021A8" w:rsidRPr="00B8736C" w:rsidRDefault="005021A8" w:rsidP="005021A8">
      <w:pPr>
        <w:pStyle w:val="BodyText"/>
      </w:pPr>
      <w:r>
        <w:t>One health and social services submitter commented that while they were supportive of scholarships as a way to build the workforce, these scholarships should be attached to employers already committed to building the PMGH workforce and who have specific skills to support and mentor scholarship recipients and could provide a way for providers to identify promising staff. This submitter also considered that priority populations should be privileged in scholarship allocation, but if supply exceeded interest from other population groups, then this should be allowed and encouraged.</w:t>
      </w:r>
      <w:r>
        <w:rPr>
          <w:rStyle w:val="FootnoteReference"/>
        </w:rPr>
        <w:footnoteReference w:id="774"/>
      </w:r>
    </w:p>
    <w:p w14:paraId="4D90AE0C" w14:textId="77777777" w:rsidR="00541EFD" w:rsidRDefault="00541EFD" w:rsidP="00D94FEE">
      <w:pPr>
        <w:pStyle w:val="Heading3-NOTinTOC"/>
      </w:pPr>
      <w:r>
        <w:t>NCGM submitters</w:t>
      </w:r>
    </w:p>
    <w:p w14:paraId="4271EC88" w14:textId="77777777" w:rsidR="00541EFD" w:rsidRDefault="00541EFD" w:rsidP="00541EFD">
      <w:pPr>
        <w:pStyle w:val="BodyText"/>
      </w:pPr>
      <w:r>
        <w:t>Eight NCGM submitters suggested that additional to the proposed qualification, funding should be allocated for a new NZQA qualification and harm leader minimisation leadership course, such as those proposed and run by Hospitality New Zealand.</w:t>
      </w:r>
      <w:r>
        <w:rPr>
          <w:rStyle w:val="FootnoteReference"/>
        </w:rPr>
        <w:footnoteReference w:id="775"/>
      </w:r>
      <w:r>
        <w:t xml:space="preserve">  </w:t>
      </w:r>
    </w:p>
    <w:p w14:paraId="278C0602" w14:textId="77777777" w:rsidR="00541EFD" w:rsidRDefault="00541EFD" w:rsidP="00541EFD">
      <w:pPr>
        <w:pStyle w:val="BodyText"/>
      </w:pPr>
      <w:r>
        <w:t>Seven NCGM submitters commented that the Ministry should consider whether a level 7 qualification would be a barrier to those the Ministry is trying to target with this initiative and whether there would be high uptake at this level.</w:t>
      </w:r>
      <w:r>
        <w:rPr>
          <w:rStyle w:val="FootnoteReference"/>
        </w:rPr>
        <w:footnoteReference w:id="776"/>
      </w:r>
      <w:r>
        <w:t xml:space="preserve"> One NCGM submitter went on to say that few people would be likely to attempt a level 7 qualification, and even fewer would complete or pass.</w:t>
      </w:r>
      <w:r>
        <w:rPr>
          <w:rStyle w:val="FootnoteReference"/>
        </w:rPr>
        <w:footnoteReference w:id="777"/>
      </w:r>
      <w:r>
        <w:t xml:space="preserve"> Another NCGM submitter suggested a level 5 or 6 qualification may have higher uptake and pass/completion rates.</w:t>
      </w:r>
      <w:r>
        <w:rPr>
          <w:rStyle w:val="FootnoteReference"/>
        </w:rPr>
        <w:footnoteReference w:id="778"/>
      </w:r>
    </w:p>
    <w:p w14:paraId="41CF4415" w14:textId="77777777" w:rsidR="00541EFD" w:rsidRDefault="00541EFD" w:rsidP="00541EFD">
      <w:pPr>
        <w:pStyle w:val="BodyText"/>
      </w:pPr>
      <w:r>
        <w:t>Five NCGM submitters supported the new scholarships aimed at priority populations but suggested that access to scholarships should be extended to anyone that would like to provide help for problem gambling, including society and hospitality staff.</w:t>
      </w:r>
      <w:r>
        <w:rPr>
          <w:rStyle w:val="FootnoteReference"/>
        </w:rPr>
        <w:footnoteReference w:id="779"/>
      </w:r>
    </w:p>
    <w:p w14:paraId="4773ACCD" w14:textId="541E4E92" w:rsidR="00541EFD" w:rsidRPr="00CF1DD6" w:rsidRDefault="00541EFD" w:rsidP="00541EFD">
      <w:pPr>
        <w:pStyle w:val="BodyText"/>
      </w:pPr>
      <w:r>
        <w:lastRenderedPageBreak/>
        <w:t xml:space="preserve">Four NCGM submitters commented that no detail </w:t>
      </w:r>
      <w:r w:rsidR="001237A8">
        <w:t>was given as to what was proposed</w:t>
      </w:r>
      <w:r>
        <w:t xml:space="preserve"> in the equity pilots despite a budget of $1.962 million, and suggested an alternative use for this budget.</w:t>
      </w:r>
      <w:r>
        <w:rPr>
          <w:rStyle w:val="FootnoteReference"/>
        </w:rPr>
        <w:footnoteReference w:id="780"/>
      </w:r>
    </w:p>
    <w:p w14:paraId="2BB2D941" w14:textId="77777777" w:rsidR="00541EFD" w:rsidRDefault="00541EFD" w:rsidP="00D94FEE">
      <w:pPr>
        <w:pStyle w:val="Heading3-NOTinTOC"/>
      </w:pPr>
      <w:r>
        <w:t>Gambling industry</w:t>
      </w:r>
    </w:p>
    <w:p w14:paraId="074567E3" w14:textId="791F3B9E" w:rsidR="00541EFD" w:rsidRDefault="00541EFD" w:rsidP="00541EFD">
      <w:pPr>
        <w:pStyle w:val="BodyText"/>
      </w:pPr>
      <w:r>
        <w:t xml:space="preserve">One gambling industry submitter supported the level 7 pathway as proposed, </w:t>
      </w:r>
      <w:r w:rsidR="00495BFA">
        <w:t xml:space="preserve">expressed </w:t>
      </w:r>
      <w:r>
        <w:t>broad support for new scholarships and supported the technology pilot in particular, stating that technology-based innovation generally receives universal support across the PMGH sector.</w:t>
      </w:r>
      <w:r>
        <w:rPr>
          <w:rStyle w:val="FootnoteReference"/>
        </w:rPr>
        <w:footnoteReference w:id="781"/>
      </w:r>
    </w:p>
    <w:p w14:paraId="0CAF17B4" w14:textId="7B229417" w:rsidR="00541EFD" w:rsidRDefault="004F5788" w:rsidP="00541EFD">
      <w:pPr>
        <w:pStyle w:val="NumberedHeading2"/>
        <w:autoSpaceDE/>
        <w:autoSpaceDN/>
        <w:adjustRightInd/>
        <w:spacing w:line="259" w:lineRule="auto"/>
        <w:jc w:val="left"/>
      </w:pPr>
      <w:bookmarkStart w:id="152" w:name="_Toc88637632"/>
      <w:r>
        <w:t xml:space="preserve">Submitters from across all sectors </w:t>
      </w:r>
      <w:r w:rsidR="00FF0EF1">
        <w:t>generally supported the proposed r</w:t>
      </w:r>
      <w:r w:rsidR="00541EFD">
        <w:t>esearch priorities</w:t>
      </w:r>
      <w:bookmarkEnd w:id="152"/>
    </w:p>
    <w:p w14:paraId="342D1C9F" w14:textId="3589AA1B" w:rsidR="00541EFD" w:rsidRPr="009D2231" w:rsidRDefault="00541EFD" w:rsidP="00541EFD">
      <w:pPr>
        <w:pStyle w:val="BodyText"/>
      </w:pPr>
      <w:r w:rsidRPr="009D2231">
        <w:t>NCGM sector submitters, service providers, health and social services submitters</w:t>
      </w:r>
      <w:r>
        <w:t>, an individual</w:t>
      </w:r>
      <w:r w:rsidRPr="009D2231">
        <w:t xml:space="preserve"> and </w:t>
      </w:r>
      <w:r>
        <w:t xml:space="preserve">an </w:t>
      </w:r>
      <w:r w:rsidR="0089257F">
        <w:t>gambling ind</w:t>
      </w:r>
      <w:r w:rsidR="009F1B2E">
        <w:t>ust</w:t>
      </w:r>
      <w:r w:rsidR="0089257F">
        <w:t>ry</w:t>
      </w:r>
      <w:r w:rsidRPr="009D2231">
        <w:t xml:space="preserve"> submitter </w:t>
      </w:r>
      <w:r>
        <w:t xml:space="preserve">generally agreed with </w:t>
      </w:r>
      <w:r w:rsidR="00A70138">
        <w:t xml:space="preserve">the Ministry’s </w:t>
      </w:r>
      <w:r>
        <w:t>research priorities but made other suggestions.</w:t>
      </w:r>
    </w:p>
    <w:p w14:paraId="41AFDD7F" w14:textId="77777777" w:rsidR="00541EFD" w:rsidRDefault="00541EFD" w:rsidP="00D94FEE">
      <w:pPr>
        <w:pStyle w:val="Heading3-NOTinTOC"/>
      </w:pPr>
      <w:r>
        <w:t>Service providers</w:t>
      </w:r>
    </w:p>
    <w:p w14:paraId="26297C10" w14:textId="77777777" w:rsidR="004C6910" w:rsidRPr="00841474" w:rsidRDefault="004C6910" w:rsidP="004C6910">
      <w:pPr>
        <w:pStyle w:val="BodyText"/>
      </w:pPr>
      <w:r>
        <w:t>Nine service providers suggested additional research priorities across NCGMs, MVEs, online gambling and online interventions as well as research into the effects of COVID-19, to understand gambling stigma.</w:t>
      </w:r>
      <w:r>
        <w:rPr>
          <w:rStyle w:val="FootnoteReference"/>
        </w:rPr>
        <w:footnoteReference w:id="782"/>
      </w:r>
    </w:p>
    <w:p w14:paraId="12D133E5" w14:textId="6E0B6B75" w:rsidR="00541EFD" w:rsidRDefault="00541EFD" w:rsidP="00541EFD">
      <w:pPr>
        <w:pStyle w:val="BodyText"/>
      </w:pPr>
      <w:r>
        <w:t>Five</w:t>
      </w:r>
      <w:r w:rsidRPr="00FA4322">
        <w:t xml:space="preserve"> service provider</w:t>
      </w:r>
      <w:r>
        <w:t>s</w:t>
      </w:r>
      <w:r w:rsidRPr="00FA4322">
        <w:t xml:space="preserve"> encouraged the Ministry to ensure all research with priority populations includes these groups not only as participants, but as leaders and co-leaders of research to allow for the voices of these populations to be captured and inform the development of appropriate supports.</w:t>
      </w:r>
      <w:r>
        <w:rPr>
          <w:rStyle w:val="FootnoteReference"/>
        </w:rPr>
        <w:footnoteReference w:id="783"/>
      </w:r>
      <w:r>
        <w:t xml:space="preserve"> Three providers specified that research on Pacific </w:t>
      </w:r>
      <w:r w:rsidR="009F1B2E">
        <w:t>populations</w:t>
      </w:r>
      <w:r>
        <w:t xml:space="preserve"> should be undertaken with and led by Pacific peoples.</w:t>
      </w:r>
      <w:r>
        <w:rPr>
          <w:rStyle w:val="FootnoteReference"/>
        </w:rPr>
        <w:footnoteReference w:id="784"/>
      </w:r>
      <w:r>
        <w:t xml:space="preserve"> One other service provider commented that there needed to be support for community led projects, with funding, and a</w:t>
      </w:r>
      <w:r w:rsidRPr="00093FBB">
        <w:t xml:space="preserve"> fostering of acceptance of whānau, hapū, iwi and hāpori Māori centric knowledge, evidence and research.</w:t>
      </w:r>
      <w:r>
        <w:rPr>
          <w:rStyle w:val="FootnoteReference"/>
        </w:rPr>
        <w:footnoteReference w:id="785"/>
      </w:r>
      <w:r>
        <w:t xml:space="preserve"> Two service providers supported qualitative research methods to aid in cultural responsiveness.</w:t>
      </w:r>
      <w:r>
        <w:rPr>
          <w:rStyle w:val="FootnoteReference"/>
        </w:rPr>
        <w:footnoteReference w:id="786"/>
      </w:r>
    </w:p>
    <w:p w14:paraId="7EC09B19" w14:textId="77777777" w:rsidR="00541EFD" w:rsidRDefault="00541EFD" w:rsidP="00541EFD">
      <w:pPr>
        <w:pStyle w:val="BodyText"/>
      </w:pPr>
      <w:r>
        <w:t>One service provider suggested that in future the Ministry may assess barriers to equitable service access and outcomes for subgroups e.g., those in the Asian community who are young and new migrants, and broader subgroups that intersect with the disability community.</w:t>
      </w:r>
      <w:r>
        <w:rPr>
          <w:rStyle w:val="FootnoteReference"/>
        </w:rPr>
        <w:footnoteReference w:id="787"/>
      </w:r>
    </w:p>
    <w:p w14:paraId="3E0B1627" w14:textId="77777777" w:rsidR="00541EFD" w:rsidRPr="00622BC8" w:rsidRDefault="00541EFD" w:rsidP="00541EFD">
      <w:pPr>
        <w:pStyle w:val="List-BulletLvl1"/>
        <w:numPr>
          <w:ilvl w:val="0"/>
          <w:numId w:val="0"/>
        </w:numPr>
      </w:pPr>
      <w:r>
        <w:t>One service provider noted that the</w:t>
      </w:r>
      <w:r w:rsidRPr="000A31D4">
        <w:t xml:space="preserve"> </w:t>
      </w:r>
      <w:r>
        <w:t>annual researcher-initiated research round appears to have been removed, and while the Ministry’s research priorities are commendable and currently topical, research priorities change quickly and by only updating these priorities every three years without annual rounds there is risk of missing key research opportunities.</w:t>
      </w:r>
      <w:r>
        <w:rPr>
          <w:rStyle w:val="FootnoteReference"/>
        </w:rPr>
        <w:footnoteReference w:id="788"/>
      </w:r>
    </w:p>
    <w:p w14:paraId="14A2DA8C" w14:textId="77777777" w:rsidR="005021A8" w:rsidRPr="00841474" w:rsidRDefault="005021A8" w:rsidP="00D94FEE">
      <w:pPr>
        <w:pStyle w:val="Heading3-NOTinTOC"/>
      </w:pPr>
      <w:r>
        <w:lastRenderedPageBreak/>
        <w:t>Health and social services submitters</w:t>
      </w:r>
    </w:p>
    <w:p w14:paraId="46A6E1C2" w14:textId="77777777" w:rsidR="005021A8" w:rsidRDefault="005021A8" w:rsidP="005021A8">
      <w:pPr>
        <w:pStyle w:val="BodyText"/>
      </w:pPr>
      <w:r>
        <w:t>Five health and social services submitters offered additional research priorities across NCGMs, MVEs, online gambling and online interventions as well as research into the effect of loan sharks and what support works for affected others.</w:t>
      </w:r>
      <w:r>
        <w:rPr>
          <w:rStyle w:val="FootnoteReference"/>
        </w:rPr>
        <w:footnoteReference w:id="789"/>
      </w:r>
    </w:p>
    <w:p w14:paraId="0B2FB276" w14:textId="77777777" w:rsidR="005021A8" w:rsidRDefault="005021A8" w:rsidP="005021A8">
      <w:pPr>
        <w:pStyle w:val="BodyText"/>
      </w:pPr>
      <w:r>
        <w:t>One health and social services submitter encouraged research and evaluation to be targeted in areas where there were high rates of gambling to ensure data reflects the wider persistent impacts and disadvantages</w:t>
      </w:r>
      <w:r w:rsidRPr="00A81F4F">
        <w:t>.</w:t>
      </w:r>
      <w:r>
        <w:rPr>
          <w:rStyle w:val="FootnoteReference"/>
        </w:rPr>
        <w:footnoteReference w:id="790"/>
      </w:r>
    </w:p>
    <w:p w14:paraId="066717B7" w14:textId="604D325C" w:rsidR="00541EFD" w:rsidRDefault="00541EFD" w:rsidP="00D94FEE">
      <w:pPr>
        <w:pStyle w:val="Heading3-NOTinTOC"/>
      </w:pPr>
      <w:r>
        <w:t>NCGM submitter</w:t>
      </w:r>
    </w:p>
    <w:p w14:paraId="3C057051" w14:textId="6A1ABB28" w:rsidR="00541EFD" w:rsidRDefault="00541EFD" w:rsidP="00541EFD">
      <w:pPr>
        <w:pStyle w:val="List-BulletLvl1"/>
        <w:numPr>
          <w:ilvl w:val="0"/>
          <w:numId w:val="0"/>
        </w:numPr>
      </w:pPr>
      <w:r>
        <w:t>One NCGM submitter expressed concerns that research underpinning Ministry strategies lack</w:t>
      </w:r>
      <w:r w:rsidR="00C31257">
        <w:t>ed</w:t>
      </w:r>
      <w:r>
        <w:t xml:space="preserve"> long-term monitoring and reporting on NCGM societies and stated that the actions of these societies are largely ignored in research.  This submitter called for better consultation with the NCGM sector, as well as research into the effectiveness of service providers alongside the NCGM sector to assess current performance.</w:t>
      </w:r>
      <w:r>
        <w:rPr>
          <w:rStyle w:val="FootnoteReference"/>
        </w:rPr>
        <w:footnoteReference w:id="791"/>
      </w:r>
    </w:p>
    <w:p w14:paraId="1D60E482" w14:textId="77777777" w:rsidR="005021A8" w:rsidRDefault="005021A8" w:rsidP="00D94FEE">
      <w:pPr>
        <w:pStyle w:val="Heading3-NOTinTOC"/>
      </w:pPr>
      <w:r>
        <w:t>Gambling industry</w:t>
      </w:r>
    </w:p>
    <w:p w14:paraId="292AFF68" w14:textId="77777777" w:rsidR="005021A8" w:rsidRPr="00C129DE" w:rsidRDefault="005021A8" w:rsidP="005021A8">
      <w:pPr>
        <w:pStyle w:val="List-BulletLvl1"/>
        <w:numPr>
          <w:ilvl w:val="0"/>
          <w:numId w:val="0"/>
        </w:numPr>
      </w:pPr>
      <w:r>
        <w:t>One gambling industry submitter commented that dedicated research, data collection and evaluation was required into unregulated offshore online gambling specifically, given the lack of harm minimisation controls in this area.</w:t>
      </w:r>
      <w:r>
        <w:rPr>
          <w:rStyle w:val="FootnoteReference"/>
        </w:rPr>
        <w:footnoteReference w:id="792"/>
      </w:r>
    </w:p>
    <w:p w14:paraId="37B2AD0A" w14:textId="77777777" w:rsidR="00541EFD" w:rsidRDefault="00541EFD" w:rsidP="00D94FEE">
      <w:pPr>
        <w:pStyle w:val="Heading3-NOTinTOC"/>
      </w:pPr>
      <w:r>
        <w:t>Individual</w:t>
      </w:r>
    </w:p>
    <w:p w14:paraId="5CA53BC3" w14:textId="265CE867" w:rsidR="00541EFD" w:rsidRPr="00E56E22" w:rsidRDefault="00541EFD" w:rsidP="00541EFD">
      <w:pPr>
        <w:pStyle w:val="List-BulletLvl1"/>
        <w:numPr>
          <w:ilvl w:val="0"/>
          <w:numId w:val="0"/>
        </w:numPr>
      </w:pPr>
      <w:r>
        <w:t xml:space="preserve">One individual submitter commented that there </w:t>
      </w:r>
      <w:r w:rsidR="00C31257">
        <w:t>was</w:t>
      </w:r>
      <w:r>
        <w:t xml:space="preserve"> a need for more effective research at a grassroots level, suggesting that researchers regularly cite NCGMs as the most harmful gambling product, but a researcher </w:t>
      </w:r>
      <w:r w:rsidR="00FB5D6B">
        <w:t>had never visited</w:t>
      </w:r>
      <w:r>
        <w:t xml:space="preserve"> a venue to understand the workings of one.</w:t>
      </w:r>
      <w:r>
        <w:rPr>
          <w:rStyle w:val="FootnoteReference"/>
        </w:rPr>
        <w:footnoteReference w:id="793"/>
      </w:r>
      <w:r>
        <w:t xml:space="preserve"> </w:t>
      </w:r>
    </w:p>
    <w:p w14:paraId="33E15937" w14:textId="24E9E606" w:rsidR="00541EFD" w:rsidRPr="00821EFB" w:rsidRDefault="00FF0EF1" w:rsidP="00541EFD">
      <w:pPr>
        <w:pStyle w:val="NumberedHeading2"/>
        <w:autoSpaceDE/>
        <w:autoSpaceDN/>
        <w:adjustRightInd/>
        <w:spacing w:line="259" w:lineRule="auto"/>
        <w:jc w:val="left"/>
      </w:pPr>
      <w:bookmarkStart w:id="153" w:name="_Toc88637633"/>
      <w:r>
        <w:t>Submitters had differing views</w:t>
      </w:r>
      <w:r w:rsidR="004C2172">
        <w:t xml:space="preserve"> on</w:t>
      </w:r>
      <w:r w:rsidR="00541EFD" w:rsidRPr="00821EFB">
        <w:t xml:space="preserve"> the levy and expenditure</w:t>
      </w:r>
      <w:bookmarkEnd w:id="153"/>
    </w:p>
    <w:p w14:paraId="315EEBC3" w14:textId="77777777" w:rsidR="005021A8" w:rsidRPr="0051482E" w:rsidRDefault="005021A8" w:rsidP="00D94FEE">
      <w:pPr>
        <w:pStyle w:val="Heading3-NOTinTOC"/>
      </w:pPr>
      <w:r>
        <w:t>Service providers</w:t>
      </w:r>
    </w:p>
    <w:p w14:paraId="218762B2" w14:textId="554C6CEA" w:rsidR="005021A8" w:rsidRDefault="005021A8" w:rsidP="005021A8">
      <w:pPr>
        <w:pStyle w:val="BodyText"/>
      </w:pPr>
      <w:r>
        <w:t>Relatively few service providers</w:t>
      </w:r>
      <w:r>
        <w:rPr>
          <w:rStyle w:val="FootnoteReference"/>
        </w:rPr>
        <w:footnoteReference w:id="794"/>
      </w:r>
      <w:r>
        <w:t xml:space="preserve"> commented </w:t>
      </w:r>
      <w:r w:rsidR="003B36E8">
        <w:t xml:space="preserve">to </w:t>
      </w:r>
      <w:r>
        <w:t>support a levy weighting. Those that did supported different options but almost all argued the NCGM sector should contribute the most to the levy.</w:t>
      </w:r>
      <w:r>
        <w:rPr>
          <w:rStyle w:val="FootnoteReference"/>
        </w:rPr>
        <w:footnoteReference w:id="795"/>
      </w:r>
    </w:p>
    <w:p w14:paraId="61E20BBF" w14:textId="77777777" w:rsidR="005021A8" w:rsidRDefault="005021A8" w:rsidP="005021A8">
      <w:pPr>
        <w:pStyle w:val="BodyText"/>
      </w:pPr>
      <w:r>
        <w:t>Service providers supported the proposed increase in the levy rate, and many noted the need for further increases beyond this to fully ‘recover the cost of developing, managing, and delivering the integrated problem gambling strategy’.</w:t>
      </w:r>
      <w:r>
        <w:rPr>
          <w:rStyle w:val="FootnoteReference"/>
        </w:rPr>
        <w:footnoteReference w:id="796"/>
      </w:r>
      <w:r>
        <w:t xml:space="preserve"> These service providers further discussed the need for targeted health services in relation to the levy. </w:t>
      </w:r>
    </w:p>
    <w:p w14:paraId="0B2B805C" w14:textId="77777777" w:rsidR="005021A8" w:rsidRDefault="005021A8" w:rsidP="00D94FEE">
      <w:pPr>
        <w:pStyle w:val="Heading3-NOTinTOC"/>
      </w:pPr>
      <w:r>
        <w:lastRenderedPageBreak/>
        <w:t>Health and social service submitters</w:t>
      </w:r>
    </w:p>
    <w:p w14:paraId="1EE7F51B" w14:textId="77777777" w:rsidR="005021A8" w:rsidRPr="007954BD" w:rsidRDefault="005021A8" w:rsidP="005021A8">
      <w:pPr>
        <w:pStyle w:val="BodyText"/>
      </w:pPr>
      <w:r>
        <w:t>Five h</w:t>
      </w:r>
      <w:r w:rsidRPr="007954BD">
        <w:t xml:space="preserve">ealth and social service submitters </w:t>
      </w:r>
      <w:r>
        <w:t>commented regarding the levy</w:t>
      </w:r>
      <w:r w:rsidRPr="007954BD">
        <w:t xml:space="preserve"> </w:t>
      </w:r>
      <w:r>
        <w:t>weighting and proposed rates.</w:t>
      </w:r>
      <w:r>
        <w:rPr>
          <w:rStyle w:val="FootnoteReference"/>
        </w:rPr>
        <w:footnoteReference w:id="797"/>
      </w:r>
      <w:r>
        <w:t xml:space="preserve"> Comments included:</w:t>
      </w:r>
    </w:p>
    <w:p w14:paraId="43B2E2AD" w14:textId="77777777" w:rsidR="005021A8" w:rsidRDefault="005021A8" w:rsidP="005021A8">
      <w:pPr>
        <w:pStyle w:val="List-BulletLvl1"/>
      </w:pPr>
      <w:r>
        <w:t>further increases to the levy rate beyond proposed levels are needed</w:t>
      </w:r>
      <w:r>
        <w:rPr>
          <w:rStyle w:val="FootnoteReference"/>
        </w:rPr>
        <w:footnoteReference w:id="798"/>
      </w:r>
    </w:p>
    <w:p w14:paraId="40AEE6D5" w14:textId="77777777" w:rsidR="005021A8" w:rsidRPr="007954BD" w:rsidRDefault="005021A8" w:rsidP="005021A8">
      <w:pPr>
        <w:pStyle w:val="List-BulletLvl1"/>
      </w:pPr>
      <w:r>
        <w:t>NCGMs are the most harmful form of gambling and should contribute the most to the levy</w:t>
      </w:r>
      <w:r>
        <w:rPr>
          <w:rStyle w:val="FootnoteReference"/>
        </w:rPr>
        <w:footnoteReference w:id="799"/>
      </w:r>
    </w:p>
    <w:p w14:paraId="10DA4702" w14:textId="77777777" w:rsidR="005021A8" w:rsidRPr="007954BD" w:rsidRDefault="005021A8" w:rsidP="005021A8">
      <w:pPr>
        <w:pStyle w:val="List-BulletLvl1"/>
      </w:pPr>
      <w:r>
        <w:t>the levy is no longer fit-for-purpose</w:t>
      </w:r>
      <w:r>
        <w:rPr>
          <w:rStyle w:val="FootnoteReference"/>
        </w:rPr>
        <w:footnoteReference w:id="800"/>
      </w:r>
    </w:p>
    <w:p w14:paraId="20E2D219" w14:textId="77777777" w:rsidR="005021A8" w:rsidRPr="000C4D39" w:rsidRDefault="005021A8" w:rsidP="005021A8">
      <w:pPr>
        <w:pStyle w:val="List-BulletLvl1"/>
      </w:pPr>
      <w:r>
        <w:t>exclusions (MVEs) could be used as a proxy for harm.</w:t>
      </w:r>
      <w:r>
        <w:rPr>
          <w:rStyle w:val="FootnoteReference"/>
        </w:rPr>
        <w:footnoteReference w:id="801"/>
      </w:r>
    </w:p>
    <w:p w14:paraId="67286ACB" w14:textId="77777777" w:rsidR="00541EFD" w:rsidRDefault="00541EFD" w:rsidP="00D94FEE">
      <w:pPr>
        <w:pStyle w:val="Heading3-NOTinTOC"/>
      </w:pPr>
      <w:r>
        <w:t>NCGM submitters</w:t>
      </w:r>
    </w:p>
    <w:p w14:paraId="1495E975" w14:textId="77777777" w:rsidR="00541EFD" w:rsidRDefault="00541EFD" w:rsidP="00541EFD">
      <w:pPr>
        <w:pStyle w:val="BodyText"/>
      </w:pPr>
      <w:r>
        <w:t>Ten NCGM submitters favoured a 30/70 levy weighting.</w:t>
      </w:r>
      <w:r>
        <w:rPr>
          <w:rStyle w:val="FootnoteReference"/>
        </w:rPr>
        <w:footnoteReference w:id="802"/>
      </w:r>
      <w:r>
        <w:t xml:space="preserve"> They argued a 30/70 weighting would:</w:t>
      </w:r>
    </w:p>
    <w:p w14:paraId="5629DCB5" w14:textId="77777777" w:rsidR="00541EFD" w:rsidRDefault="00541EFD" w:rsidP="00541EFD">
      <w:pPr>
        <w:pStyle w:val="List-BulletLvl1"/>
      </w:pPr>
      <w:r>
        <w:t>reflect the Act’s wide definition of harm</w:t>
      </w:r>
      <w:r>
        <w:rPr>
          <w:rStyle w:val="FootnoteReference"/>
        </w:rPr>
        <w:footnoteReference w:id="803"/>
      </w:r>
    </w:p>
    <w:p w14:paraId="1F04F63B" w14:textId="77777777" w:rsidR="00541EFD" w:rsidRDefault="00541EFD" w:rsidP="00541EFD">
      <w:pPr>
        <w:pStyle w:val="List-BulletLvl1"/>
      </w:pPr>
      <w:r>
        <w:t>recognise help-seeking is not a good indication of gambling harm</w:t>
      </w:r>
      <w:r>
        <w:rPr>
          <w:rStyle w:val="FootnoteReference"/>
        </w:rPr>
        <w:footnoteReference w:id="804"/>
      </w:r>
    </w:p>
    <w:p w14:paraId="1C66ED2F" w14:textId="77777777" w:rsidR="00541EFD" w:rsidRDefault="00541EFD" w:rsidP="00541EFD">
      <w:pPr>
        <w:pStyle w:val="List-BulletLvl1"/>
      </w:pPr>
      <w:r>
        <w:t>acknowledge that levy funding is used for research and evaluation</w:t>
      </w:r>
      <w:r>
        <w:rPr>
          <w:rStyle w:val="FootnoteReference"/>
        </w:rPr>
        <w:footnoteReference w:id="805"/>
      </w:r>
    </w:p>
    <w:p w14:paraId="33A5DCF2" w14:textId="77777777" w:rsidR="00541EFD" w:rsidRDefault="00541EFD" w:rsidP="00541EFD">
      <w:pPr>
        <w:pStyle w:val="List-BulletLvl1"/>
      </w:pPr>
      <w:r>
        <w:t>recognise the NCGM sector has no online offering</w:t>
      </w:r>
      <w:r>
        <w:rPr>
          <w:rStyle w:val="FootnoteReference"/>
        </w:rPr>
        <w:footnoteReference w:id="806"/>
      </w:r>
    </w:p>
    <w:p w14:paraId="7D1A0494" w14:textId="77777777" w:rsidR="00541EFD" w:rsidRDefault="00541EFD" w:rsidP="00541EFD">
      <w:pPr>
        <w:pStyle w:val="List-BulletLvl1"/>
      </w:pPr>
      <w:r>
        <w:t>protect against adverse incentives</w:t>
      </w:r>
      <w:r>
        <w:rPr>
          <w:rStyle w:val="FootnoteReference"/>
        </w:rPr>
        <w:footnoteReference w:id="807"/>
      </w:r>
    </w:p>
    <w:p w14:paraId="6A2EABB5" w14:textId="77777777" w:rsidR="00541EFD" w:rsidRDefault="00541EFD" w:rsidP="00541EFD">
      <w:pPr>
        <w:pStyle w:val="List-BulletLvl1"/>
      </w:pPr>
      <w:r>
        <w:t>and recognise indicators of harm show reduced levels of harm.</w:t>
      </w:r>
      <w:r>
        <w:rPr>
          <w:rStyle w:val="FootnoteReference"/>
        </w:rPr>
        <w:footnoteReference w:id="808"/>
      </w:r>
    </w:p>
    <w:p w14:paraId="1B7E2808" w14:textId="5806857A" w:rsidR="00541EFD" w:rsidRDefault="00541EFD" w:rsidP="001300AC">
      <w:pPr>
        <w:pStyle w:val="BodyText"/>
      </w:pPr>
      <w:r>
        <w:t xml:space="preserve">Two NCGM submitters did not support a 30/70 weighting </w:t>
      </w:r>
      <w:r w:rsidR="00C31257">
        <w:t xml:space="preserve">and </w:t>
      </w:r>
      <w:r>
        <w:t>suggested further increasing the weighting towards expenditure,</w:t>
      </w:r>
      <w:r>
        <w:rPr>
          <w:rStyle w:val="FootnoteReference"/>
        </w:rPr>
        <w:footnoteReference w:id="809"/>
      </w:r>
      <w:r>
        <w:t xml:space="preserve"> </w:t>
      </w:r>
      <w:r w:rsidR="00DC4A65">
        <w:t>with</w:t>
      </w:r>
      <w:r w:rsidR="00F61673">
        <w:t xml:space="preserve"> one suggesting</w:t>
      </w:r>
      <w:r>
        <w:t xml:space="preserve"> a 100 percent expenditure weighting.</w:t>
      </w:r>
      <w:r>
        <w:rPr>
          <w:rStyle w:val="FootnoteReference"/>
        </w:rPr>
        <w:footnoteReference w:id="810"/>
      </w:r>
    </w:p>
    <w:p w14:paraId="51D27640" w14:textId="5877257A" w:rsidR="00541EFD" w:rsidRDefault="00541EFD" w:rsidP="001300AC">
      <w:pPr>
        <w:pStyle w:val="BodyText"/>
      </w:pPr>
      <w:r>
        <w:t>Three NCGM submitters considered an increase in the levy rate to be inappropriate if it result</w:t>
      </w:r>
      <w:r w:rsidR="00F61673">
        <w:t>ed</w:t>
      </w:r>
      <w:r>
        <w:t xml:space="preserve"> in ‘more of the same’.</w:t>
      </w:r>
      <w:r>
        <w:rPr>
          <w:rStyle w:val="FootnoteReference"/>
        </w:rPr>
        <w:footnoteReference w:id="811"/>
      </w:r>
      <w:r>
        <w:t xml:space="preserve"> They did not support increasing the FTE rate of existing individual providers for their work, which they described as having not achieved the desired results. </w:t>
      </w:r>
    </w:p>
    <w:p w14:paraId="7CC23086" w14:textId="77777777" w:rsidR="00541EFD" w:rsidRPr="0051482E" w:rsidRDefault="00541EFD" w:rsidP="00D94FEE">
      <w:pPr>
        <w:pStyle w:val="Heading3-NOTinTOC"/>
      </w:pPr>
      <w:r>
        <w:t>Gambling industry submitters</w:t>
      </w:r>
    </w:p>
    <w:p w14:paraId="40CC6EC7" w14:textId="6FFB415E" w:rsidR="00541EFD" w:rsidRDefault="003B36E8" w:rsidP="001300AC">
      <w:pPr>
        <w:pStyle w:val="BodyText"/>
      </w:pPr>
      <w:r>
        <w:t>Some g</w:t>
      </w:r>
      <w:r w:rsidR="00541EFD">
        <w:t>ambling industry submitters supported a return to the 10/90 levy weighting.</w:t>
      </w:r>
      <w:r w:rsidR="00541EFD">
        <w:rPr>
          <w:rStyle w:val="FootnoteReference"/>
        </w:rPr>
        <w:footnoteReference w:id="812"/>
      </w:r>
      <w:r w:rsidR="00541EFD">
        <w:t xml:space="preserve"> They considered the shift to a 30/70 weighting as part of the previous strategy unjustified</w:t>
      </w:r>
      <w:r w:rsidR="00541EFD">
        <w:rPr>
          <w:rStyle w:val="FootnoteReference"/>
        </w:rPr>
        <w:footnoteReference w:id="813"/>
      </w:r>
      <w:r w:rsidR="00541EFD">
        <w:t xml:space="preserve"> and argued the sectors which are the root cause to problem gambling </w:t>
      </w:r>
      <w:r w:rsidR="00541EFD" w:rsidRPr="001300AC">
        <w:t>should</w:t>
      </w:r>
      <w:r w:rsidR="00541EFD">
        <w:t xml:space="preserve"> bear the largest proportion of </w:t>
      </w:r>
      <w:r w:rsidR="00541EFD">
        <w:lastRenderedPageBreak/>
        <w:t>the costs of the strategy.</w:t>
      </w:r>
      <w:r w:rsidR="00541EFD">
        <w:rPr>
          <w:rStyle w:val="FootnoteReference"/>
        </w:rPr>
        <w:footnoteReference w:id="814"/>
      </w:r>
      <w:r w:rsidR="00541EFD">
        <w:t xml:space="preserve"> They considered a 10/90 weighting would best reflect the purpose of the levy.</w:t>
      </w:r>
      <w:r w:rsidR="00541EFD">
        <w:rPr>
          <w:rStyle w:val="FootnoteReference"/>
        </w:rPr>
        <w:footnoteReference w:id="815"/>
      </w:r>
    </w:p>
    <w:p w14:paraId="1EBDD9F7" w14:textId="77777777" w:rsidR="00D94FEE" w:rsidRDefault="00D94FEE">
      <w:pPr>
        <w:rPr>
          <w:rFonts w:asciiTheme="majorHAnsi" w:hAnsiTheme="majorHAnsi"/>
          <w:b/>
          <w:caps/>
          <w:color w:val="36424A" w:themeColor="text2"/>
          <w:sz w:val="28"/>
        </w:rPr>
      </w:pPr>
      <w:r>
        <w:br w:type="page"/>
      </w:r>
    </w:p>
    <w:p w14:paraId="2FF28367" w14:textId="5A15D93F" w:rsidR="001A5872" w:rsidRDefault="001A5872" w:rsidP="000973B3">
      <w:pPr>
        <w:pStyle w:val="NumberedHeading1"/>
      </w:pPr>
      <w:bookmarkStart w:id="154" w:name="_Toc88637634"/>
      <w:r>
        <w:lastRenderedPageBreak/>
        <w:t>Stories of lived experience</w:t>
      </w:r>
      <w:bookmarkEnd w:id="154"/>
    </w:p>
    <w:p w14:paraId="586C66E8" w14:textId="7F1011FD" w:rsidR="001A5872" w:rsidRPr="001A5872" w:rsidRDefault="00A2759A" w:rsidP="0055279C">
      <w:pPr>
        <w:pStyle w:val="BodyText"/>
      </w:pPr>
      <w:r>
        <w:t>Some submitters</w:t>
      </w:r>
      <w:r w:rsidR="001A5872">
        <w:t xml:space="preserve"> gave specific examples of lived experience, either of their own gambling harm, or that of their whānau or clients. Some of these stories are summarised below. </w:t>
      </w:r>
    </w:p>
    <w:p w14:paraId="6F605948" w14:textId="0B27B1C5" w:rsidR="001A5872" w:rsidRDefault="00ED6FAA" w:rsidP="0017641D">
      <w:pPr>
        <w:pStyle w:val="Heading3-NOTinTOC"/>
      </w:pPr>
      <w:r>
        <w:t>Personal li</w:t>
      </w:r>
      <w:r w:rsidR="001A5872">
        <w:t>ved experience stories</w:t>
      </w:r>
    </w:p>
    <w:p w14:paraId="5E4E1E28" w14:textId="41DB6224" w:rsidR="001A5872" w:rsidRPr="0012170F" w:rsidRDefault="009A334D" w:rsidP="0012170F">
      <w:pPr>
        <w:pStyle w:val="List-BulletLvl1"/>
      </w:pPr>
      <w:r w:rsidRPr="0012170F">
        <w:t>A</w:t>
      </w:r>
      <w:r w:rsidR="001A5872" w:rsidRPr="0012170F">
        <w:t xml:space="preserve"> case of problem gambling in China. A trillion-dollar gambling corporation was sued by the mother of a young man who became addicted to online gambling after playing games online and ended up burning down his grandma’s apartment after his mother refused to give him more money to gamble with. </w:t>
      </w:r>
    </w:p>
    <w:p w14:paraId="0F134C07" w14:textId="395AA264" w:rsidR="00ED6FAA" w:rsidRPr="0012170F" w:rsidRDefault="009A334D" w:rsidP="0012170F">
      <w:pPr>
        <w:pStyle w:val="List-BulletLvl1"/>
      </w:pPr>
      <w:r w:rsidRPr="0012170F">
        <w:t>I</w:t>
      </w:r>
      <w:r w:rsidR="001A5872" w:rsidRPr="0012170F">
        <w:t xml:space="preserve">nternet gaming </w:t>
      </w:r>
      <w:r w:rsidR="00ED6FAA" w:rsidRPr="0012170F">
        <w:t>wa</w:t>
      </w:r>
      <w:r w:rsidR="001A5872" w:rsidRPr="0012170F">
        <w:t xml:space="preserve">s particularly dangerous for </w:t>
      </w:r>
      <w:r w:rsidR="0042556B" w:rsidRPr="0012170F">
        <w:t xml:space="preserve">children, especially </w:t>
      </w:r>
      <w:r w:rsidR="001A5872" w:rsidRPr="0012170F">
        <w:t xml:space="preserve">young boys. </w:t>
      </w:r>
      <w:r w:rsidR="00ED6FAA" w:rsidRPr="0012170F">
        <w:t>Addiction is created</w:t>
      </w:r>
      <w:r w:rsidR="001A5872" w:rsidRPr="0012170F">
        <w:t xml:space="preserve"> deliberately by teams of professionals, psychologists, and software experts to design addictive games for profit. </w:t>
      </w:r>
    </w:p>
    <w:p w14:paraId="58AB8E1B" w14:textId="62E36C54" w:rsidR="00ED6FAA" w:rsidRPr="0012170F" w:rsidRDefault="002F6065" w:rsidP="0012170F">
      <w:pPr>
        <w:pStyle w:val="List-BulletLvl1"/>
      </w:pPr>
      <w:r w:rsidRPr="0012170F">
        <w:t xml:space="preserve">A story of </w:t>
      </w:r>
      <w:r w:rsidR="00ED6FAA" w:rsidRPr="0012170F">
        <w:t>lived experience of gambling harm</w:t>
      </w:r>
      <w:r w:rsidRPr="0012170F">
        <w:t xml:space="preserve"> </w:t>
      </w:r>
      <w:r w:rsidR="00ED6FAA" w:rsidRPr="0012170F">
        <w:t xml:space="preserve">that began overseas and continued when the </w:t>
      </w:r>
      <w:r w:rsidRPr="0012170F">
        <w:t>person</w:t>
      </w:r>
      <w:r w:rsidR="00ED6FAA" w:rsidRPr="0012170F">
        <w:t xml:space="preserve"> came to New Zealand and started investing and trading cryptocurrencies. After few months, the </w:t>
      </w:r>
      <w:r w:rsidRPr="0012170F">
        <w:t xml:space="preserve">person </w:t>
      </w:r>
      <w:r w:rsidR="00ED6FAA" w:rsidRPr="0012170F">
        <w:t xml:space="preserve">could not gain control and highlighted how in these spaces there are often stories of people becoming billionaires through trading and investment. </w:t>
      </w:r>
      <w:r w:rsidR="0093523C" w:rsidRPr="0012170F">
        <w:t>The person</w:t>
      </w:r>
      <w:r w:rsidR="00ED6FAA" w:rsidRPr="0012170F">
        <w:t xml:space="preserve"> almost lost everything due to the addiction and became seriously depressed. The </w:t>
      </w:r>
      <w:r w:rsidR="003125CE" w:rsidRPr="0012170F">
        <w:t xml:space="preserve">person was </w:t>
      </w:r>
      <w:r w:rsidR="00ED6FAA" w:rsidRPr="0012170F">
        <w:t xml:space="preserve">referred to </w:t>
      </w:r>
      <w:r w:rsidR="003B36E8">
        <w:t xml:space="preserve">gambling harm </w:t>
      </w:r>
      <w:r w:rsidR="00ED6FAA" w:rsidRPr="0012170F">
        <w:t xml:space="preserve">services by a GP. </w:t>
      </w:r>
    </w:p>
    <w:p w14:paraId="6A020173" w14:textId="49C8C6AF" w:rsidR="00ED6FAA" w:rsidRPr="0012170F" w:rsidRDefault="00713AEE" w:rsidP="0012170F">
      <w:pPr>
        <w:pStyle w:val="List-BulletLvl1"/>
      </w:pPr>
      <w:r w:rsidRPr="0012170F">
        <w:t>T</w:t>
      </w:r>
      <w:r w:rsidR="00ED6FAA" w:rsidRPr="0012170F">
        <w:t xml:space="preserve">he damage of exposure to online casinos and gambling, highlighting that NCGMs have a limit of $2.50 per bet, whereas online pokies have no limit whatsoever. This </w:t>
      </w:r>
      <w:r w:rsidR="00C60904" w:rsidRPr="0012170F">
        <w:t>person</w:t>
      </w:r>
      <w:r w:rsidR="00ED6FAA" w:rsidRPr="0012170F">
        <w:t xml:space="preserve"> explained that gambling harm is a big problem for migrants in particular, who come into the culture in New Zealand where gambling is legal and lose their jobs, fall into debt and have to run away. </w:t>
      </w:r>
    </w:p>
    <w:p w14:paraId="6E0476B2" w14:textId="74A022E3" w:rsidR="00ED6FAA" w:rsidRDefault="00ED6FAA" w:rsidP="0055279C">
      <w:pPr>
        <w:pStyle w:val="Heading3-NOTinTOC"/>
      </w:pPr>
      <w:r>
        <w:t>Whānau lived experience stories</w:t>
      </w:r>
    </w:p>
    <w:p w14:paraId="5B9259BA" w14:textId="1C3077EE" w:rsidR="001A5872" w:rsidRPr="00467332" w:rsidRDefault="001A5872" w:rsidP="0055279C">
      <w:pPr>
        <w:pStyle w:val="List-BulletLvl1"/>
        <w:rPr>
          <w:b/>
          <w:bCs/>
        </w:rPr>
      </w:pPr>
      <w:r>
        <w:t xml:space="preserve">A member of the stakeholder’s family had a gambling problem which affected both of their wellbeing. The </w:t>
      </w:r>
      <w:r w:rsidR="000364AB">
        <w:t xml:space="preserve">person </w:t>
      </w:r>
      <w:r>
        <w:t xml:space="preserve">shared that counselling helped them learn how to better communicate with each other, change their lifestyle and set small goals. </w:t>
      </w:r>
    </w:p>
    <w:p w14:paraId="5F7E86D9" w14:textId="2B62181D" w:rsidR="001A5872" w:rsidRDefault="001A5872" w:rsidP="0055279C">
      <w:pPr>
        <w:pStyle w:val="List-BulletLvl1"/>
      </w:pPr>
      <w:r>
        <w:t xml:space="preserve">Another </w:t>
      </w:r>
      <w:r w:rsidR="000364AB">
        <w:t xml:space="preserve">person </w:t>
      </w:r>
      <w:r>
        <w:t xml:space="preserve">shared </w:t>
      </w:r>
      <w:r w:rsidR="000364AB">
        <w:t>a</w:t>
      </w:r>
      <w:r>
        <w:t xml:space="preserve"> family experience of problem gambling, explaining that there was a lack of support in the family regarding intergenerational gambling harm. This </w:t>
      </w:r>
      <w:r w:rsidR="00401820">
        <w:t xml:space="preserve">person </w:t>
      </w:r>
      <w:r>
        <w:t xml:space="preserve">raised the importance of destigmatising gambling harm and mental health support.  </w:t>
      </w:r>
    </w:p>
    <w:p w14:paraId="6FCDE4C2" w14:textId="558CE392" w:rsidR="00ED6FAA" w:rsidRPr="00B53872" w:rsidRDefault="00ED6FAA" w:rsidP="0055279C">
      <w:pPr>
        <w:pStyle w:val="Heading3-NOTinTOC"/>
      </w:pPr>
      <w:r>
        <w:t>Client lived experience stories</w:t>
      </w:r>
    </w:p>
    <w:p w14:paraId="136DB913" w14:textId="63F9AF8C" w:rsidR="001A5872" w:rsidRPr="00D21E67" w:rsidRDefault="001A5872" w:rsidP="0055279C">
      <w:pPr>
        <w:pStyle w:val="List-BulletLvl1"/>
        <w:rPr>
          <w:b/>
          <w:bCs/>
        </w:rPr>
      </w:pPr>
      <w:r>
        <w:t>A</w:t>
      </w:r>
      <w:r w:rsidR="00BD5C8A">
        <w:t xml:space="preserve"> </w:t>
      </w:r>
      <w:r w:rsidR="00401820">
        <w:t>person</w:t>
      </w:r>
      <w:r>
        <w:t xml:space="preserve"> shared a story of a client </w:t>
      </w:r>
      <w:r w:rsidR="003B36E8">
        <w:t xml:space="preserve">who </w:t>
      </w:r>
      <w:r>
        <w:t xml:space="preserve">used to go to casinos before COVID-19 but had since moved to gambling online and found that on one </w:t>
      </w:r>
      <w:r w:rsidR="003B36E8">
        <w:t xml:space="preserve">gambling </w:t>
      </w:r>
      <w:r>
        <w:t xml:space="preserve">app, over 35 different ads popped up for </w:t>
      </w:r>
      <w:r w:rsidR="004224CA">
        <w:t xml:space="preserve">other </w:t>
      </w:r>
      <w:r>
        <w:t xml:space="preserve">gambling apps. The client highlighted how even if they deleted the app, they would always download it later. The client explained that counselling had helped them to see gambling as harmful and wanted to highlight how online gambling is a big risk for gambling harm in the Asian community. </w:t>
      </w:r>
    </w:p>
    <w:p w14:paraId="7361C413" w14:textId="630A257B" w:rsidR="001A5872" w:rsidRDefault="001A5872" w:rsidP="0055279C">
      <w:pPr>
        <w:pStyle w:val="List-BulletLvl1"/>
      </w:pPr>
      <w:r>
        <w:t xml:space="preserve">Another </w:t>
      </w:r>
      <w:r w:rsidR="00280029">
        <w:t xml:space="preserve">person </w:t>
      </w:r>
      <w:r>
        <w:t>shared a client lived experience story. The</w:t>
      </w:r>
      <w:r w:rsidR="00280029">
        <w:t xml:space="preserve">y </w:t>
      </w:r>
      <w:r>
        <w:t xml:space="preserve">highlighted the need for support for the Fijian Indian community in particular and called for a forum for those with lived experience to share their stories and learn from their peers. In this </w:t>
      </w:r>
      <w:r>
        <w:lastRenderedPageBreak/>
        <w:t xml:space="preserve">stakeholder’s experience as a counsellor, client numbers from the South Asian community were increasing, and there was a need to understand the culture and family system where there are many expectations of being without flaws, of academic excellence etc, and of family duties. Indian problem gamblers were seen as more likely to self-stigmatise, and latest SkyCity data showed that many self-exclusions were in the Indian population. </w:t>
      </w:r>
    </w:p>
    <w:p w14:paraId="205B6DF9" w14:textId="77777777" w:rsidR="006A798F" w:rsidRDefault="006A798F" w:rsidP="0055279C">
      <w:pPr>
        <w:pStyle w:val="BodyText"/>
      </w:pPr>
      <w:r>
        <w:t xml:space="preserve">Additional client comments included: </w:t>
      </w:r>
    </w:p>
    <w:p w14:paraId="4187B31C" w14:textId="57F0EA6C" w:rsidR="006A798F" w:rsidRDefault="001A5872" w:rsidP="0055279C">
      <w:pPr>
        <w:pStyle w:val="List-BulletLvl1"/>
      </w:pPr>
      <w:r>
        <w:t>following self-exclusion from venues and COVID-19, a client turned to online gambling as an alternative method but found they could not control their usage</w:t>
      </w:r>
    </w:p>
    <w:p w14:paraId="7FD085B3" w14:textId="174CCCDB" w:rsidR="006A798F" w:rsidRDefault="006A798F" w:rsidP="0055279C">
      <w:pPr>
        <w:pStyle w:val="List-BulletLvl1"/>
      </w:pPr>
      <w:r>
        <w:t xml:space="preserve">a client had </w:t>
      </w:r>
      <w:r w:rsidR="001A5872">
        <w:t xml:space="preserve">lost all of their money through their gambling problem and </w:t>
      </w:r>
      <w:r w:rsidR="00143383">
        <w:t>had</w:t>
      </w:r>
      <w:r w:rsidR="001A5872">
        <w:t xml:space="preserve"> presented to a GP, but the GP did not intervene</w:t>
      </w:r>
    </w:p>
    <w:p w14:paraId="084DD444" w14:textId="77777777" w:rsidR="006A798F" w:rsidRDefault="006A798F" w:rsidP="0055279C">
      <w:pPr>
        <w:pStyle w:val="List-BulletLvl1"/>
      </w:pPr>
      <w:r>
        <w:t>a client</w:t>
      </w:r>
      <w:r w:rsidR="001A5872">
        <w:t xml:space="preserve"> did not want to ask for help for their family member’s addiction, and so cut off peer ties and ties with extended family due to shame and stigma</w:t>
      </w:r>
    </w:p>
    <w:p w14:paraId="302A7BD6" w14:textId="77777777" w:rsidR="006A798F" w:rsidRDefault="006A798F" w:rsidP="0055279C">
      <w:pPr>
        <w:pStyle w:val="List-BulletLvl1"/>
      </w:pPr>
      <w:r>
        <w:t>a</w:t>
      </w:r>
      <w:r w:rsidR="001A5872">
        <w:t xml:space="preserve"> client wished they had been educated about gambling harm before or while in New Zealand</w:t>
      </w:r>
    </w:p>
    <w:p w14:paraId="7D0F6F03" w14:textId="72221A7A" w:rsidR="001A5872" w:rsidRPr="008F489D" w:rsidRDefault="000E4B8C" w:rsidP="0055279C">
      <w:pPr>
        <w:pStyle w:val="List-BulletLvl1"/>
      </w:pPr>
      <w:r>
        <w:t xml:space="preserve">a </w:t>
      </w:r>
      <w:r w:rsidR="001A5872">
        <w:t xml:space="preserve">client highlighted the importance of having support available in your own language. </w:t>
      </w:r>
    </w:p>
    <w:p w14:paraId="085CE8EC" w14:textId="55918DA4" w:rsidR="001A5872" w:rsidRDefault="001A5872">
      <w:r>
        <w:br w:type="page"/>
      </w:r>
    </w:p>
    <w:p w14:paraId="6215DDCC" w14:textId="69D012A0" w:rsidR="00D522F9" w:rsidRDefault="00D522F9" w:rsidP="00D522F9">
      <w:pPr>
        <w:pStyle w:val="NumberedHeading1"/>
      </w:pPr>
      <w:bookmarkStart w:id="155" w:name="_Toc88637635"/>
      <w:r>
        <w:lastRenderedPageBreak/>
        <w:t>Other issues raised by submitters</w:t>
      </w:r>
      <w:bookmarkEnd w:id="155"/>
    </w:p>
    <w:p w14:paraId="7BEACD39" w14:textId="6883D16F" w:rsidR="00D522F9" w:rsidRDefault="00AF6CD5" w:rsidP="00D522F9">
      <w:pPr>
        <w:pStyle w:val="BodyText"/>
      </w:pPr>
      <w:r>
        <w:rPr>
          <w:iCs/>
        </w:rPr>
        <w:t>Section 7</w:t>
      </w:r>
      <w:r w:rsidR="00FE0331" w:rsidDel="001C01DE">
        <w:t xml:space="preserve"> </w:t>
      </w:r>
      <w:r w:rsidR="00D522F9">
        <w:t xml:space="preserve">outlines issues raised by submitters that did not directly relate to the </w:t>
      </w:r>
      <w:r w:rsidR="00FE0331">
        <w:t xml:space="preserve">draft </w:t>
      </w:r>
      <w:r w:rsidR="00D522F9">
        <w:t xml:space="preserve">strategic plan, the </w:t>
      </w:r>
      <w:r w:rsidR="00FE0331">
        <w:t xml:space="preserve">draft </w:t>
      </w:r>
      <w:r w:rsidR="00D522F9">
        <w:t xml:space="preserve">service plan or the </w:t>
      </w:r>
      <w:r w:rsidR="00FE0331">
        <w:t xml:space="preserve">proposed </w:t>
      </w:r>
      <w:r w:rsidR="00D522F9">
        <w:t xml:space="preserve">levy. These issues are relevant to the policy or legislative settings for preventing and minimising gambling harm and are included here for completeness. </w:t>
      </w:r>
    </w:p>
    <w:p w14:paraId="79CFF60B" w14:textId="7AE37136" w:rsidR="00D522F9" w:rsidRDefault="00D522F9" w:rsidP="00D522F9">
      <w:pPr>
        <w:pStyle w:val="Heading3-NOTinTOC"/>
      </w:pPr>
      <w:r>
        <w:t>Submitters’ role in the gambling industry</w:t>
      </w:r>
    </w:p>
    <w:p w14:paraId="3A1F0B64" w14:textId="77777777" w:rsidR="00D522F9" w:rsidRDefault="00D522F9" w:rsidP="0021247E">
      <w:pPr>
        <w:pStyle w:val="BodyText"/>
      </w:pPr>
      <w:r>
        <w:t>Nine submissions included details about their role in the gambling industry including client experiences and case studies or information about gambling in their area</w:t>
      </w:r>
      <w:r w:rsidDel="00D64AE4">
        <w:t>.</w:t>
      </w:r>
      <w:r>
        <w:rPr>
          <w:rStyle w:val="FootnoteReference"/>
        </w:rPr>
        <w:footnoteReference w:id="816"/>
      </w:r>
    </w:p>
    <w:p w14:paraId="5404DDDC" w14:textId="77777777" w:rsidR="00D522F9" w:rsidRDefault="00D522F9" w:rsidP="00D522F9">
      <w:pPr>
        <w:pStyle w:val="Heading3-NOTinTOC"/>
      </w:pPr>
      <w:r>
        <w:t>Legislation</w:t>
      </w:r>
    </w:p>
    <w:p w14:paraId="75D454F5" w14:textId="05DB7E76" w:rsidR="00D522F9" w:rsidRDefault="00D522F9" w:rsidP="0021247E">
      <w:pPr>
        <w:pStyle w:val="BodyText"/>
      </w:pPr>
      <w:r>
        <w:t>Six submissions expressed concerns about the Act or the need for increased regulation (particularly of NCGM</w:t>
      </w:r>
      <w:r w:rsidR="00143383">
        <w:t>s</w:t>
      </w:r>
      <w:r>
        <w:t xml:space="preserve"> and online gambling)</w:t>
      </w:r>
      <w:r w:rsidDel="00D64AE4">
        <w:t>.</w:t>
      </w:r>
      <w:r>
        <w:rPr>
          <w:rStyle w:val="FootnoteReference"/>
        </w:rPr>
        <w:footnoteReference w:id="817"/>
      </w:r>
      <w:r w:rsidR="00F26986">
        <w:t xml:space="preserve"> Content relevant to the draft strategy is included in </w:t>
      </w:r>
      <w:r w:rsidR="00095F74" w:rsidRPr="0055279C">
        <w:rPr>
          <w:i/>
          <w:iCs/>
        </w:rPr>
        <w:t>section 2</w:t>
      </w:r>
      <w:r w:rsidR="00095F74">
        <w:t xml:space="preserve"> and </w:t>
      </w:r>
      <w:r w:rsidR="00095F74" w:rsidRPr="0055279C">
        <w:rPr>
          <w:i/>
          <w:iCs/>
        </w:rPr>
        <w:t>section 3</w:t>
      </w:r>
      <w:r w:rsidR="00F26986">
        <w:t>.</w:t>
      </w:r>
      <w:r w:rsidR="00095F74">
        <w:t xml:space="preserve"> Other comments included</w:t>
      </w:r>
      <w:r w:rsidR="00535DA4">
        <w:t xml:space="preserve"> that f</w:t>
      </w:r>
      <w:r>
        <w:t xml:space="preserve">ive </w:t>
      </w:r>
      <w:r w:rsidR="00535DA4">
        <w:t xml:space="preserve">submitters </w:t>
      </w:r>
      <w:r>
        <w:t>wanted to see strengthened host responsibility regulation</w:t>
      </w:r>
      <w:r w:rsidDel="00D64AE4">
        <w:t>.</w:t>
      </w:r>
      <w:r>
        <w:rPr>
          <w:rStyle w:val="FootnoteReference"/>
        </w:rPr>
        <w:footnoteReference w:id="818"/>
      </w:r>
      <w:r w:rsidR="00535DA4">
        <w:t xml:space="preserve"> </w:t>
      </w:r>
      <w:r>
        <w:t xml:space="preserve">One </w:t>
      </w:r>
      <w:r w:rsidR="00535DA4">
        <w:t xml:space="preserve">submitter </w:t>
      </w:r>
      <w:r>
        <w:t>wanted to see advertising and promotion of the benefits and rewards of gambling minimised</w:t>
      </w:r>
      <w:r w:rsidDel="00F00C29">
        <w:t>.</w:t>
      </w:r>
      <w:r>
        <w:rPr>
          <w:rStyle w:val="FootnoteReference"/>
        </w:rPr>
        <w:footnoteReference w:id="819"/>
      </w:r>
      <w:r>
        <w:t xml:space="preserve"> </w:t>
      </w:r>
    </w:p>
    <w:p w14:paraId="6DCC3A9B" w14:textId="2A32A906" w:rsidR="00D522F9" w:rsidRDefault="00D522F9" w:rsidP="00D522F9">
      <w:pPr>
        <w:pStyle w:val="Heading3-NOTinTOC"/>
      </w:pPr>
      <w:r>
        <w:t xml:space="preserve">Development of the </w:t>
      </w:r>
      <w:r w:rsidR="00C439E6">
        <w:t>s</w:t>
      </w:r>
      <w:r>
        <w:t>trategy to date</w:t>
      </w:r>
    </w:p>
    <w:p w14:paraId="258EF71C" w14:textId="57440CC8" w:rsidR="00D522F9" w:rsidRDefault="00D522F9" w:rsidP="0021247E">
      <w:pPr>
        <w:pStyle w:val="BodyText"/>
      </w:pPr>
      <w:r w:rsidDel="00D64AE4">
        <w:t>F</w:t>
      </w:r>
      <w:r>
        <w:t xml:space="preserve">ive submissions expressed concern with the process used to </w:t>
      </w:r>
      <w:r w:rsidR="001221D7">
        <w:t xml:space="preserve">develop </w:t>
      </w:r>
      <w:r>
        <w:t xml:space="preserve">the </w:t>
      </w:r>
      <w:r w:rsidR="001221D7">
        <w:t>draft</w:t>
      </w:r>
      <w:r>
        <w:t xml:space="preserve"> strategy, and specifically the lack of co-design with communities during the drafting process of the consultation document</w:t>
      </w:r>
      <w:r w:rsidDel="00D64AE4">
        <w:t>.</w:t>
      </w:r>
      <w:r>
        <w:rPr>
          <w:rStyle w:val="FootnoteReference"/>
        </w:rPr>
        <w:footnoteReference w:id="820"/>
      </w:r>
      <w:r w:rsidR="001221D7">
        <w:t xml:space="preserve"> </w:t>
      </w:r>
      <w:r>
        <w:t>One submission critiqued aspects of the Needs Assessment, such as using outdated expenditure data, which was seen to undervalue the total expenditure in relation to offshore online sports betting</w:t>
      </w:r>
      <w:r w:rsidDel="00C979CE">
        <w:t>.</w:t>
      </w:r>
      <w:r>
        <w:rPr>
          <w:rStyle w:val="FootnoteReference"/>
        </w:rPr>
        <w:footnoteReference w:id="821"/>
      </w:r>
      <w:r w:rsidR="00AB596E">
        <w:t xml:space="preserve"> </w:t>
      </w:r>
      <w:r w:rsidDel="00D64AE4">
        <w:t>O</w:t>
      </w:r>
      <w:r>
        <w:t xml:space="preserve">ne submission noted that the </w:t>
      </w:r>
      <w:r w:rsidDel="00D64AE4">
        <w:t xml:space="preserve">draft </w:t>
      </w:r>
      <w:r>
        <w:t>strategy on the Ministry’s website did not include versions in a range of accessible formats</w:t>
      </w:r>
      <w:r w:rsidDel="00D64AE4">
        <w:t>.</w:t>
      </w:r>
      <w:r>
        <w:rPr>
          <w:rStyle w:val="FootnoteReference"/>
        </w:rPr>
        <w:footnoteReference w:id="822"/>
      </w:r>
      <w:r w:rsidR="002F26B5">
        <w:t xml:space="preserve"> </w:t>
      </w:r>
      <w:r>
        <w:t>One submission expressed concern that some industry groups m</w:t>
      </w:r>
      <w:r w:rsidR="00BF41A9">
        <w:t>a</w:t>
      </w:r>
      <w:r>
        <w:t>y use power to try and undermine the change of direction</w:t>
      </w:r>
      <w:r w:rsidDel="00C979CE">
        <w:t>.</w:t>
      </w:r>
      <w:r>
        <w:rPr>
          <w:rStyle w:val="FootnoteReference"/>
        </w:rPr>
        <w:footnoteReference w:id="823"/>
      </w:r>
    </w:p>
    <w:p w14:paraId="78AAC163" w14:textId="77777777" w:rsidR="00D522F9" w:rsidRDefault="00D522F9" w:rsidP="00D522F9">
      <w:pPr>
        <w:pStyle w:val="Heading3-NOTinTOC"/>
      </w:pPr>
      <w:r>
        <w:t>Information about comorbidities</w:t>
      </w:r>
    </w:p>
    <w:p w14:paraId="511DD752" w14:textId="3021700F" w:rsidR="00D522F9" w:rsidRDefault="00D522F9" w:rsidP="0021247E">
      <w:pPr>
        <w:pStyle w:val="BodyText"/>
      </w:pPr>
      <w:r w:rsidDel="00D64AE4">
        <w:t>T</w:t>
      </w:r>
      <w:r>
        <w:t>wo submissions provided detailed statistics about gambling comorbidities</w:t>
      </w:r>
      <w:r w:rsidDel="00D64AE4">
        <w:t>.</w:t>
      </w:r>
      <w:r>
        <w:rPr>
          <w:rStyle w:val="FootnoteReference"/>
        </w:rPr>
        <w:footnoteReference w:id="824"/>
      </w:r>
      <w:r w:rsidR="00BF41A9">
        <w:t xml:space="preserve"> </w:t>
      </w:r>
      <w:r w:rsidDel="00D64AE4">
        <w:t>O</w:t>
      </w:r>
      <w:r>
        <w:t>ne submission noted gambling co-factors, particularly gangs, drugs, and alcohol abuse</w:t>
      </w:r>
      <w:r w:rsidDel="00D64AE4">
        <w:t>.</w:t>
      </w:r>
      <w:r>
        <w:rPr>
          <w:rStyle w:val="FootnoteReference"/>
        </w:rPr>
        <w:footnoteReference w:id="825"/>
      </w:r>
      <w:r w:rsidR="00BF41A9">
        <w:t xml:space="preserve"> </w:t>
      </w:r>
      <w:r>
        <w:t xml:space="preserve">One </w:t>
      </w:r>
      <w:r w:rsidRPr="0028282D">
        <w:t>submi</w:t>
      </w:r>
      <w:r>
        <w:t>ssion, when comment</w:t>
      </w:r>
      <w:r w:rsidR="00BF41A9">
        <w:t>ing</w:t>
      </w:r>
      <w:r>
        <w:t xml:space="preserve"> on de-stigmatisation, provided a detailed example of the approach taken to the provisioning of alcohol in terms of de-stigmatisation</w:t>
      </w:r>
      <w:r w:rsidDel="000D5635">
        <w:t>.</w:t>
      </w:r>
      <w:r>
        <w:rPr>
          <w:rStyle w:val="FootnoteReference"/>
        </w:rPr>
        <w:footnoteReference w:id="826"/>
      </w:r>
    </w:p>
    <w:p w14:paraId="00DA4E5E" w14:textId="77777777" w:rsidR="00D522F9" w:rsidRDefault="00D522F9" w:rsidP="00D522F9">
      <w:pPr>
        <w:pStyle w:val="Heading3-NOTinTOC"/>
      </w:pPr>
      <w:r>
        <w:t>Other comments about gambling in Aotearoa</w:t>
      </w:r>
    </w:p>
    <w:p w14:paraId="2431874B" w14:textId="1AC1C392" w:rsidR="00162BE6" w:rsidRDefault="00162BE6" w:rsidP="00162BE6">
      <w:pPr>
        <w:pStyle w:val="BodyText"/>
      </w:pPr>
      <w:r>
        <w:t>A range of comments about gambling in general were made. These are summarised below.</w:t>
      </w:r>
    </w:p>
    <w:p w14:paraId="51FD1D00" w14:textId="53B9605A" w:rsidR="00D522F9" w:rsidRDefault="00D522F9" w:rsidP="00602FF4">
      <w:pPr>
        <w:pStyle w:val="List-BulletLvl1"/>
      </w:pPr>
      <w:r w:rsidDel="00D64AE4">
        <w:lastRenderedPageBreak/>
        <w:t>T</w:t>
      </w:r>
      <w:r>
        <w:t xml:space="preserve">hree </w:t>
      </w:r>
      <w:r w:rsidR="00773F1A">
        <w:t xml:space="preserve">gambling industry </w:t>
      </w:r>
      <w:r>
        <w:t>submissions argued that gambling should be seen as having a net positive wellbeing benefit for society</w:t>
      </w:r>
      <w:r w:rsidDel="00D64AE4">
        <w:t>.</w:t>
      </w:r>
      <w:r>
        <w:rPr>
          <w:rStyle w:val="FootnoteReference"/>
        </w:rPr>
        <w:footnoteReference w:id="827"/>
      </w:r>
    </w:p>
    <w:p w14:paraId="764E7352" w14:textId="77777777" w:rsidR="00D522F9" w:rsidRPr="005377E6" w:rsidRDefault="00D522F9" w:rsidP="00632195">
      <w:pPr>
        <w:pStyle w:val="List-BulletLvl1"/>
      </w:pPr>
      <w:r>
        <w:t>One submission stated that d</w:t>
      </w:r>
      <w:r w:rsidRPr="005377E6">
        <w:t xml:space="preserve">ata needs to be disaggregated by </w:t>
      </w:r>
      <w:r>
        <w:t xml:space="preserve">disability to </w:t>
      </w:r>
      <w:r w:rsidRPr="005377E6">
        <w:t>align with the government’s commitment to providing data that is disaggregated by disability</w:t>
      </w:r>
      <w:r w:rsidRPr="005377E6" w:rsidDel="00F00C29">
        <w:t>.</w:t>
      </w:r>
      <w:r>
        <w:rPr>
          <w:rStyle w:val="FootnoteReference"/>
        </w:rPr>
        <w:footnoteReference w:id="828"/>
      </w:r>
    </w:p>
    <w:p w14:paraId="3AAB12CA" w14:textId="77777777" w:rsidR="00D522F9" w:rsidRDefault="00D522F9" w:rsidP="00D522F9">
      <w:pPr>
        <w:pStyle w:val="List-BulletLvl1"/>
      </w:pPr>
      <w:r>
        <w:t>One submission called for consistency in healthy gambling policy across local government, as well as measures to see how effective NCGM policies have been (e.g., sinking lid, capping, relocation)</w:t>
      </w:r>
      <w:r w:rsidDel="00C979CE">
        <w:t>.</w:t>
      </w:r>
      <w:r>
        <w:rPr>
          <w:rStyle w:val="FootnoteReference"/>
        </w:rPr>
        <w:footnoteReference w:id="829"/>
      </w:r>
    </w:p>
    <w:p w14:paraId="4FFCAEEA" w14:textId="77777777" w:rsidR="00D522F9" w:rsidRPr="00B242B5" w:rsidRDefault="00D522F9" w:rsidP="00D522F9">
      <w:pPr>
        <w:pStyle w:val="List-BulletLvl1"/>
      </w:pPr>
      <w:r w:rsidDel="00C979CE">
        <w:t>O</w:t>
      </w:r>
      <w:r>
        <w:t>ne submission considered the proposed strategy “suggests if you are ‘Pakeha’ you are unable to work with other ethnicities’</w:t>
      </w:r>
      <w:r w:rsidDel="00C979CE">
        <w:t>.</w:t>
      </w:r>
      <w:r>
        <w:rPr>
          <w:rStyle w:val="FootnoteReference"/>
        </w:rPr>
        <w:footnoteReference w:id="830"/>
      </w:r>
    </w:p>
    <w:p w14:paraId="2BCF378D" w14:textId="77777777" w:rsidR="00D522F9" w:rsidRDefault="00D522F9" w:rsidP="00D522F9">
      <w:pPr>
        <w:pStyle w:val="List-BulletLvl1"/>
      </w:pPr>
      <w:r>
        <w:t>One submission requested the addition of a reduction of the density of NCGMs in the communities most affected by gambling harm</w:t>
      </w:r>
      <w:r w:rsidDel="00F00C29">
        <w:t>.</w:t>
      </w:r>
      <w:r>
        <w:rPr>
          <w:rStyle w:val="FootnoteReference"/>
        </w:rPr>
        <w:footnoteReference w:id="831"/>
      </w:r>
    </w:p>
    <w:tbl>
      <w:tblPr>
        <w:tblStyle w:val="TableGrid"/>
        <w:tblW w:w="0" w:type="auto"/>
        <w:shd w:val="clear" w:color="auto" w:fill="D2D9DE" w:themeFill="accent3" w:themeFillTint="33"/>
        <w:tblLook w:val="04A0" w:firstRow="1" w:lastRow="0" w:firstColumn="1" w:lastColumn="0" w:noHBand="0" w:noVBand="1"/>
      </w:tblPr>
      <w:tblGrid>
        <w:gridCol w:w="9061"/>
      </w:tblGrid>
      <w:tr w:rsidR="00773F1A" w:rsidRPr="00773F1A" w14:paraId="59EFEEB5" w14:textId="77777777" w:rsidTr="009A7D7E">
        <w:trPr>
          <w:trHeight w:val="983"/>
        </w:trPr>
        <w:tc>
          <w:tcPr>
            <w:tcW w:w="9061" w:type="dxa"/>
            <w:shd w:val="clear" w:color="auto" w:fill="D2D9DE" w:themeFill="accent3" w:themeFillTint="33"/>
          </w:tcPr>
          <w:p w14:paraId="59CA4FEA" w14:textId="77777777" w:rsidR="00773F1A" w:rsidRPr="009A7D7E" w:rsidRDefault="00773F1A" w:rsidP="009A7D7E">
            <w:pPr>
              <w:pStyle w:val="BodyText"/>
              <w:jc w:val="center"/>
              <w:rPr>
                <w:b/>
                <w:bCs/>
                <w:color w:val="36424A" w:themeColor="accent5"/>
              </w:rPr>
            </w:pPr>
            <w:r w:rsidRPr="009A7D7E">
              <w:rPr>
                <w:b/>
                <w:bCs/>
                <w:color w:val="36424A" w:themeColor="accent5"/>
              </w:rPr>
              <w:t>Other issues raised by stakeholders at consultation hui</w:t>
            </w:r>
          </w:p>
          <w:p w14:paraId="749A45A1" w14:textId="77777777" w:rsidR="00773F1A" w:rsidRPr="00773F1A" w:rsidRDefault="00773F1A" w:rsidP="009451E3">
            <w:pPr>
              <w:pStyle w:val="BodyText"/>
              <w:rPr>
                <w:color w:val="36424A" w:themeColor="accent5"/>
              </w:rPr>
            </w:pPr>
            <w:r w:rsidRPr="00773F1A">
              <w:rPr>
                <w:color w:val="36424A" w:themeColor="accent5"/>
              </w:rPr>
              <w:t xml:space="preserve">Discussions at the consultation hui were wide-ranging and covered a number of issues that were relevant to gambling harm generally, but did not fall under the draft strategy, or are not controlled by the Ministry. </w:t>
            </w:r>
          </w:p>
          <w:p w14:paraId="5D6E3A4E" w14:textId="77777777" w:rsidR="00773F1A" w:rsidRPr="00773F1A" w:rsidRDefault="00773F1A" w:rsidP="009451E3">
            <w:pPr>
              <w:pStyle w:val="CV-Heading2"/>
              <w:rPr>
                <w:i/>
                <w:iCs/>
                <w:color w:val="36424A" w:themeColor="accent5"/>
              </w:rPr>
            </w:pPr>
            <w:r w:rsidRPr="00773F1A">
              <w:rPr>
                <w:i/>
                <w:iCs/>
                <w:color w:val="36424A" w:themeColor="accent5"/>
              </w:rPr>
              <w:t>Legislation changes</w:t>
            </w:r>
          </w:p>
          <w:p w14:paraId="37E05014" w14:textId="785BB9FB" w:rsidR="00773F1A" w:rsidRPr="00773F1A" w:rsidRDefault="00773F1A" w:rsidP="009451E3">
            <w:pPr>
              <w:pStyle w:val="BodyText"/>
              <w:rPr>
                <w:color w:val="36424A" w:themeColor="accent5"/>
              </w:rPr>
            </w:pPr>
            <w:r w:rsidRPr="00773F1A">
              <w:rPr>
                <w:color w:val="36424A" w:themeColor="accent5"/>
              </w:rPr>
              <w:t xml:space="preserve">Participants asked whether there would be any consideration of a review of the Act, and particularly addressing local government processes for gambling policy to meet the needs of Māori. </w:t>
            </w:r>
          </w:p>
          <w:p w14:paraId="336CCF7B" w14:textId="77777777" w:rsidR="00773F1A" w:rsidRPr="00773F1A" w:rsidRDefault="00773F1A" w:rsidP="009451E3">
            <w:pPr>
              <w:pStyle w:val="CV-Heading2"/>
              <w:rPr>
                <w:i/>
                <w:iCs/>
                <w:color w:val="36424A" w:themeColor="accent5"/>
              </w:rPr>
            </w:pPr>
            <w:r w:rsidRPr="00773F1A">
              <w:rPr>
                <w:i/>
                <w:iCs/>
                <w:color w:val="36424A" w:themeColor="accent5"/>
              </w:rPr>
              <w:t>NCGM prevalence</w:t>
            </w:r>
          </w:p>
          <w:p w14:paraId="70606EB5" w14:textId="77777777" w:rsidR="00773F1A" w:rsidRPr="00773F1A" w:rsidRDefault="00773F1A" w:rsidP="009451E3">
            <w:pPr>
              <w:pStyle w:val="BodyText"/>
              <w:rPr>
                <w:color w:val="36424A" w:themeColor="accent5"/>
              </w:rPr>
            </w:pPr>
            <w:r w:rsidRPr="00773F1A">
              <w:rPr>
                <w:color w:val="36424A" w:themeColor="accent5"/>
              </w:rPr>
              <w:t>Participants were concerned about the number of NCGMs, particularly in poorer communities, and considered that local government also has a role to play in controlling NCGM and TAB gambling. People were particularly concerned about ‘sinking lid’ policies, and considered that there needed to be a significant policy change to get numbers down. Participants also questioned why NCGMs were still allowed to be designed in a way that attracted spending (i.e. flashing lights, colours etc.).</w:t>
            </w:r>
          </w:p>
          <w:p w14:paraId="0F5ABC9A" w14:textId="77777777" w:rsidR="00773F1A" w:rsidRPr="00773F1A" w:rsidRDefault="00773F1A" w:rsidP="009451E3">
            <w:pPr>
              <w:pStyle w:val="CV-Heading2"/>
              <w:rPr>
                <w:i/>
                <w:iCs/>
                <w:color w:val="36424A" w:themeColor="accent5"/>
              </w:rPr>
            </w:pPr>
            <w:r w:rsidRPr="00773F1A">
              <w:rPr>
                <w:i/>
                <w:iCs/>
                <w:color w:val="36424A" w:themeColor="accent5"/>
              </w:rPr>
              <w:t xml:space="preserve">Online gambling </w:t>
            </w:r>
          </w:p>
          <w:p w14:paraId="2973C8ED" w14:textId="71FADCE0" w:rsidR="00773F1A" w:rsidRPr="00773F1A" w:rsidRDefault="00773F1A" w:rsidP="00773F1A">
            <w:pPr>
              <w:pStyle w:val="BodyText"/>
              <w:rPr>
                <w:color w:val="36424A" w:themeColor="accent5"/>
              </w:rPr>
            </w:pPr>
            <w:r w:rsidRPr="00773F1A">
              <w:rPr>
                <w:color w:val="36424A" w:themeColor="accent5"/>
              </w:rPr>
              <w:t xml:space="preserve">Participants expressed interest in the future regulation of online gambling, and in the Bill being developed by DIA to enable regulated New Zealand providers to move into the online space. They were concerned that this Bill was potentially heading in the wrong direction, and that DIA should be focused instead on reducing or banning online gambling and gaming. Participants at the general hui considered that restrictions for online advertising should be stronger for TAB and Lotto. In addition, they questioned how online gambling data (from overseas websites was </w:t>
            </w:r>
            <w:r w:rsidRPr="00773F1A">
              <w:rPr>
                <w:color w:val="36424A" w:themeColor="accent5"/>
              </w:rPr>
              <w:lastRenderedPageBreak/>
              <w:t>collected), particularly with respect to online gambling trending upwards due to COVID-19 lockdowns.</w:t>
            </w:r>
          </w:p>
        </w:tc>
      </w:tr>
    </w:tbl>
    <w:p w14:paraId="25C6CA6C" w14:textId="77777777" w:rsidR="00D522F9" w:rsidRDefault="00D522F9" w:rsidP="00D522F9">
      <w:pPr>
        <w:pStyle w:val="BodyText"/>
      </w:pPr>
      <w:r>
        <w:lastRenderedPageBreak/>
        <w:br w:type="page"/>
      </w:r>
    </w:p>
    <w:p w14:paraId="4B9FEEB9" w14:textId="2781198C" w:rsidR="002836DD" w:rsidRDefault="007345E9" w:rsidP="007345E9">
      <w:pPr>
        <w:pStyle w:val="Heading1"/>
      </w:pPr>
      <w:bookmarkStart w:id="156" w:name="_Toc88637636"/>
      <w:r>
        <w:lastRenderedPageBreak/>
        <w:t xml:space="preserve">Appendix </w:t>
      </w:r>
      <w:r w:rsidR="003908B6">
        <w:t>A</w:t>
      </w:r>
      <w:r>
        <w:t xml:space="preserve">: </w:t>
      </w:r>
      <w:r w:rsidR="002970F3">
        <w:t>L</w:t>
      </w:r>
      <w:r w:rsidR="00132E36">
        <w:t>ist of submitters</w:t>
      </w:r>
      <w:bookmarkEnd w:id="156"/>
    </w:p>
    <w:p w14:paraId="068B2DF7" w14:textId="52B62E1A" w:rsidR="00F74434" w:rsidRDefault="003908B6" w:rsidP="003908B6">
      <w:pPr>
        <w:pStyle w:val="Heading2-NOTinTOC"/>
      </w:pPr>
      <w:r>
        <w:t>List of submitters</w:t>
      </w:r>
      <w:r w:rsidR="00CB5557">
        <w:t>, sorted by submitter unique ID</w:t>
      </w:r>
    </w:p>
    <w:tbl>
      <w:tblPr>
        <w:tblW w:w="9209" w:type="dxa"/>
        <w:tblLook w:val="04A0" w:firstRow="1" w:lastRow="0" w:firstColumn="1" w:lastColumn="0" w:noHBand="0" w:noVBand="1"/>
      </w:tblPr>
      <w:tblGrid>
        <w:gridCol w:w="453"/>
        <w:gridCol w:w="3793"/>
        <w:gridCol w:w="576"/>
        <w:gridCol w:w="568"/>
        <w:gridCol w:w="3819"/>
      </w:tblGrid>
      <w:tr w:rsidR="007C5180" w:rsidRPr="007C5180" w14:paraId="2A7722A7" w14:textId="1A9263C6" w:rsidTr="00530A90">
        <w:trPr>
          <w:trHeight w:val="290"/>
        </w:trPr>
        <w:tc>
          <w:tcPr>
            <w:tcW w:w="453" w:type="dxa"/>
            <w:noWrap/>
            <w:hideMark/>
          </w:tcPr>
          <w:p w14:paraId="4AA20F28" w14:textId="77777777" w:rsidR="007C5180" w:rsidRPr="00FE6B7C" w:rsidRDefault="007C5180" w:rsidP="00FE6B7C">
            <w:pPr>
              <w:pStyle w:val="BodyText"/>
              <w:spacing w:before="0" w:after="0"/>
              <w:rPr>
                <w:b/>
                <w:sz w:val="20"/>
                <w:szCs w:val="20"/>
              </w:rPr>
            </w:pPr>
            <w:r w:rsidRPr="00FE6B7C">
              <w:rPr>
                <w:b/>
                <w:sz w:val="20"/>
                <w:szCs w:val="20"/>
              </w:rPr>
              <w:t>1</w:t>
            </w:r>
          </w:p>
        </w:tc>
        <w:tc>
          <w:tcPr>
            <w:tcW w:w="3795" w:type="dxa"/>
            <w:hideMark/>
          </w:tcPr>
          <w:p w14:paraId="462C3EEF" w14:textId="0A44E5C9" w:rsidR="007C5180" w:rsidRPr="007C5180" w:rsidRDefault="00FE6B7C" w:rsidP="00FE6B7C">
            <w:pPr>
              <w:pStyle w:val="BodyText"/>
              <w:spacing w:before="0" w:after="0"/>
              <w:jc w:val="left"/>
              <w:rPr>
                <w:sz w:val="20"/>
                <w:szCs w:val="20"/>
              </w:rPr>
            </w:pPr>
            <w:r w:rsidRPr="007C5180">
              <w:rPr>
                <w:sz w:val="20"/>
                <w:szCs w:val="20"/>
              </w:rPr>
              <w:t>I</w:t>
            </w:r>
            <w:r>
              <w:rPr>
                <w:sz w:val="20"/>
                <w:szCs w:val="20"/>
              </w:rPr>
              <w:t>ndividual</w:t>
            </w:r>
          </w:p>
        </w:tc>
        <w:tc>
          <w:tcPr>
            <w:tcW w:w="576" w:type="dxa"/>
          </w:tcPr>
          <w:p w14:paraId="3610BB53" w14:textId="77777777" w:rsidR="00FE6B7C" w:rsidRPr="007C5180" w:rsidRDefault="00FE6B7C" w:rsidP="00FE6B7C">
            <w:pPr>
              <w:pStyle w:val="BodyText"/>
              <w:spacing w:before="0" w:after="0"/>
              <w:rPr>
                <w:sz w:val="20"/>
                <w:szCs w:val="20"/>
              </w:rPr>
            </w:pPr>
          </w:p>
        </w:tc>
        <w:tc>
          <w:tcPr>
            <w:tcW w:w="564" w:type="dxa"/>
          </w:tcPr>
          <w:p w14:paraId="671708AF" w14:textId="7C9829B2" w:rsidR="007C5180" w:rsidRPr="00530A90" w:rsidRDefault="007C5180" w:rsidP="00FE6B7C">
            <w:pPr>
              <w:pStyle w:val="BodyText"/>
              <w:spacing w:before="0" w:after="0"/>
              <w:rPr>
                <w:b/>
                <w:sz w:val="20"/>
                <w:szCs w:val="20"/>
              </w:rPr>
            </w:pPr>
            <w:r w:rsidRPr="00530A90">
              <w:rPr>
                <w:b/>
                <w:sz w:val="20"/>
                <w:szCs w:val="20"/>
              </w:rPr>
              <w:t>36</w:t>
            </w:r>
          </w:p>
        </w:tc>
        <w:tc>
          <w:tcPr>
            <w:tcW w:w="3821" w:type="dxa"/>
          </w:tcPr>
          <w:p w14:paraId="7D0A6071" w14:textId="74849935" w:rsidR="007C5180" w:rsidRPr="007C5180" w:rsidRDefault="007C5180" w:rsidP="00FE6B7C">
            <w:pPr>
              <w:pStyle w:val="BodyText"/>
              <w:spacing w:before="0" w:after="0"/>
              <w:jc w:val="left"/>
              <w:rPr>
                <w:sz w:val="20"/>
                <w:szCs w:val="20"/>
              </w:rPr>
            </w:pPr>
            <w:r w:rsidRPr="007C5180">
              <w:rPr>
                <w:sz w:val="20"/>
                <w:szCs w:val="20"/>
              </w:rPr>
              <w:t>SkyCity</w:t>
            </w:r>
          </w:p>
        </w:tc>
      </w:tr>
      <w:tr w:rsidR="007C5180" w:rsidRPr="007C5180" w14:paraId="73E56900" w14:textId="2C8C26CE" w:rsidTr="00530A90">
        <w:trPr>
          <w:trHeight w:val="290"/>
        </w:trPr>
        <w:tc>
          <w:tcPr>
            <w:tcW w:w="453" w:type="dxa"/>
            <w:noWrap/>
            <w:hideMark/>
          </w:tcPr>
          <w:p w14:paraId="3779339D" w14:textId="77777777" w:rsidR="007C5180" w:rsidRPr="00FE6B7C" w:rsidRDefault="007C5180" w:rsidP="00FE6B7C">
            <w:pPr>
              <w:pStyle w:val="BodyText"/>
              <w:spacing w:before="0" w:after="0"/>
              <w:rPr>
                <w:b/>
                <w:sz w:val="20"/>
                <w:szCs w:val="20"/>
              </w:rPr>
            </w:pPr>
            <w:r w:rsidRPr="00FE6B7C">
              <w:rPr>
                <w:b/>
                <w:sz w:val="20"/>
                <w:szCs w:val="20"/>
              </w:rPr>
              <w:t>2</w:t>
            </w:r>
          </w:p>
        </w:tc>
        <w:tc>
          <w:tcPr>
            <w:tcW w:w="3795" w:type="dxa"/>
            <w:hideMark/>
          </w:tcPr>
          <w:p w14:paraId="3FBDEACC" w14:textId="77777777" w:rsidR="007C5180" w:rsidRPr="007C5180" w:rsidRDefault="007C5180" w:rsidP="00FE6B7C">
            <w:pPr>
              <w:pStyle w:val="BodyText"/>
              <w:spacing w:before="0" w:after="0"/>
              <w:jc w:val="left"/>
              <w:rPr>
                <w:sz w:val="20"/>
                <w:szCs w:val="20"/>
              </w:rPr>
            </w:pPr>
            <w:r w:rsidRPr="007C5180">
              <w:rPr>
                <w:sz w:val="20"/>
                <w:szCs w:val="20"/>
              </w:rPr>
              <w:t>New Zealand Medical Association (NZMA)</w:t>
            </w:r>
          </w:p>
        </w:tc>
        <w:tc>
          <w:tcPr>
            <w:tcW w:w="576" w:type="dxa"/>
          </w:tcPr>
          <w:p w14:paraId="6DF04C86" w14:textId="77777777" w:rsidR="00FE6B7C" w:rsidRPr="007C5180" w:rsidRDefault="00FE6B7C" w:rsidP="00FE6B7C">
            <w:pPr>
              <w:pStyle w:val="BodyText"/>
              <w:spacing w:before="0" w:after="0"/>
              <w:rPr>
                <w:sz w:val="20"/>
                <w:szCs w:val="20"/>
              </w:rPr>
            </w:pPr>
          </w:p>
        </w:tc>
        <w:tc>
          <w:tcPr>
            <w:tcW w:w="564" w:type="dxa"/>
          </w:tcPr>
          <w:p w14:paraId="535DC4A2" w14:textId="1DF676B9" w:rsidR="007C5180" w:rsidRPr="00530A90" w:rsidRDefault="007C5180" w:rsidP="00FE6B7C">
            <w:pPr>
              <w:pStyle w:val="BodyText"/>
              <w:spacing w:before="0" w:after="0"/>
              <w:rPr>
                <w:b/>
                <w:sz w:val="20"/>
                <w:szCs w:val="20"/>
              </w:rPr>
            </w:pPr>
            <w:r w:rsidRPr="00530A90">
              <w:rPr>
                <w:b/>
                <w:sz w:val="20"/>
                <w:szCs w:val="20"/>
              </w:rPr>
              <w:t>37</w:t>
            </w:r>
          </w:p>
        </w:tc>
        <w:tc>
          <w:tcPr>
            <w:tcW w:w="3821" w:type="dxa"/>
          </w:tcPr>
          <w:p w14:paraId="17B96D0D" w14:textId="1335636A" w:rsidR="007C5180" w:rsidRPr="007C5180" w:rsidRDefault="007C5180" w:rsidP="00FE6B7C">
            <w:pPr>
              <w:pStyle w:val="BodyText"/>
              <w:spacing w:before="0" w:after="0"/>
              <w:jc w:val="left"/>
              <w:rPr>
                <w:sz w:val="20"/>
                <w:szCs w:val="20"/>
              </w:rPr>
            </w:pPr>
            <w:r w:rsidRPr="007C5180">
              <w:rPr>
                <w:sz w:val="20"/>
                <w:szCs w:val="20"/>
              </w:rPr>
              <w:t xml:space="preserve">Whānau Āwhina Plunket </w:t>
            </w:r>
          </w:p>
        </w:tc>
      </w:tr>
      <w:tr w:rsidR="007C5180" w:rsidRPr="007C5180" w14:paraId="012A8BF8" w14:textId="72A7DFA1" w:rsidTr="00530A90">
        <w:trPr>
          <w:trHeight w:val="290"/>
        </w:trPr>
        <w:tc>
          <w:tcPr>
            <w:tcW w:w="453" w:type="dxa"/>
            <w:noWrap/>
            <w:hideMark/>
          </w:tcPr>
          <w:p w14:paraId="42FA1D7C" w14:textId="77777777" w:rsidR="007C5180" w:rsidRPr="00FE6B7C" w:rsidRDefault="007C5180" w:rsidP="00FE6B7C">
            <w:pPr>
              <w:pStyle w:val="BodyText"/>
              <w:spacing w:before="0" w:after="0"/>
              <w:rPr>
                <w:b/>
                <w:sz w:val="20"/>
                <w:szCs w:val="20"/>
              </w:rPr>
            </w:pPr>
            <w:r w:rsidRPr="00FE6B7C">
              <w:rPr>
                <w:b/>
                <w:sz w:val="20"/>
                <w:szCs w:val="20"/>
              </w:rPr>
              <w:t>3</w:t>
            </w:r>
          </w:p>
        </w:tc>
        <w:tc>
          <w:tcPr>
            <w:tcW w:w="3795" w:type="dxa"/>
            <w:hideMark/>
          </w:tcPr>
          <w:p w14:paraId="1049FAE3" w14:textId="77777777" w:rsidR="007C5180" w:rsidRPr="007C5180" w:rsidRDefault="007C5180" w:rsidP="00FE6B7C">
            <w:pPr>
              <w:pStyle w:val="BodyText"/>
              <w:spacing w:before="0" w:after="0"/>
              <w:jc w:val="left"/>
              <w:rPr>
                <w:sz w:val="20"/>
                <w:szCs w:val="20"/>
              </w:rPr>
            </w:pPr>
            <w:r w:rsidRPr="007C5180">
              <w:rPr>
                <w:sz w:val="20"/>
                <w:szCs w:val="20"/>
              </w:rPr>
              <w:t>Four Winds Foundation</w:t>
            </w:r>
          </w:p>
        </w:tc>
        <w:tc>
          <w:tcPr>
            <w:tcW w:w="576" w:type="dxa"/>
          </w:tcPr>
          <w:p w14:paraId="1DFA8638" w14:textId="77777777" w:rsidR="00FE6B7C" w:rsidRPr="007C5180" w:rsidRDefault="00FE6B7C" w:rsidP="00FE6B7C">
            <w:pPr>
              <w:pStyle w:val="BodyText"/>
              <w:spacing w:before="0" w:after="0"/>
              <w:rPr>
                <w:sz w:val="20"/>
                <w:szCs w:val="20"/>
              </w:rPr>
            </w:pPr>
          </w:p>
        </w:tc>
        <w:tc>
          <w:tcPr>
            <w:tcW w:w="564" w:type="dxa"/>
          </w:tcPr>
          <w:p w14:paraId="641112C3" w14:textId="02338293" w:rsidR="007C5180" w:rsidRPr="00530A90" w:rsidRDefault="007C5180" w:rsidP="00FE6B7C">
            <w:pPr>
              <w:pStyle w:val="BodyText"/>
              <w:spacing w:before="0" w:after="0"/>
              <w:rPr>
                <w:b/>
                <w:sz w:val="20"/>
                <w:szCs w:val="20"/>
              </w:rPr>
            </w:pPr>
            <w:r w:rsidRPr="00530A90">
              <w:rPr>
                <w:b/>
                <w:sz w:val="20"/>
                <w:szCs w:val="20"/>
              </w:rPr>
              <w:t>38</w:t>
            </w:r>
          </w:p>
        </w:tc>
        <w:tc>
          <w:tcPr>
            <w:tcW w:w="3821" w:type="dxa"/>
          </w:tcPr>
          <w:p w14:paraId="2D3B24E4" w14:textId="0D24E333" w:rsidR="007C5180" w:rsidRPr="007C5180" w:rsidRDefault="007C5180" w:rsidP="00FE6B7C">
            <w:pPr>
              <w:pStyle w:val="BodyText"/>
              <w:spacing w:before="0" w:after="0"/>
              <w:jc w:val="left"/>
              <w:rPr>
                <w:sz w:val="20"/>
                <w:szCs w:val="20"/>
              </w:rPr>
            </w:pPr>
            <w:r w:rsidRPr="007C5180">
              <w:rPr>
                <w:sz w:val="20"/>
                <w:szCs w:val="20"/>
              </w:rPr>
              <w:t>Lion Foundation</w:t>
            </w:r>
          </w:p>
        </w:tc>
      </w:tr>
      <w:tr w:rsidR="007C5180" w:rsidRPr="007C5180" w14:paraId="6E75B63E" w14:textId="4625A331" w:rsidTr="00530A90">
        <w:trPr>
          <w:trHeight w:val="290"/>
        </w:trPr>
        <w:tc>
          <w:tcPr>
            <w:tcW w:w="453" w:type="dxa"/>
            <w:noWrap/>
            <w:hideMark/>
          </w:tcPr>
          <w:p w14:paraId="584850BB" w14:textId="77777777" w:rsidR="007C5180" w:rsidRPr="00FE6B7C" w:rsidRDefault="007C5180" w:rsidP="00FE6B7C">
            <w:pPr>
              <w:pStyle w:val="BodyText"/>
              <w:spacing w:before="0" w:after="0"/>
              <w:rPr>
                <w:b/>
                <w:sz w:val="20"/>
                <w:szCs w:val="20"/>
              </w:rPr>
            </w:pPr>
            <w:r w:rsidRPr="00FE6B7C">
              <w:rPr>
                <w:b/>
                <w:sz w:val="20"/>
                <w:szCs w:val="20"/>
              </w:rPr>
              <w:t>4</w:t>
            </w:r>
          </w:p>
        </w:tc>
        <w:tc>
          <w:tcPr>
            <w:tcW w:w="3795" w:type="dxa"/>
            <w:hideMark/>
          </w:tcPr>
          <w:p w14:paraId="694DF325" w14:textId="77777777" w:rsidR="007C5180" w:rsidRPr="007C5180" w:rsidRDefault="007C5180" w:rsidP="00FE6B7C">
            <w:pPr>
              <w:pStyle w:val="BodyText"/>
              <w:spacing w:before="0" w:after="0"/>
              <w:jc w:val="left"/>
              <w:rPr>
                <w:sz w:val="20"/>
                <w:szCs w:val="20"/>
              </w:rPr>
            </w:pPr>
            <w:r w:rsidRPr="007C5180">
              <w:rPr>
                <w:sz w:val="20"/>
                <w:szCs w:val="20"/>
              </w:rPr>
              <w:t>Air Rescue and Community Services</w:t>
            </w:r>
          </w:p>
        </w:tc>
        <w:tc>
          <w:tcPr>
            <w:tcW w:w="576" w:type="dxa"/>
          </w:tcPr>
          <w:p w14:paraId="1CA64BA3" w14:textId="77777777" w:rsidR="00FE6B7C" w:rsidRPr="007C5180" w:rsidRDefault="00FE6B7C" w:rsidP="00FE6B7C">
            <w:pPr>
              <w:pStyle w:val="BodyText"/>
              <w:spacing w:before="0" w:after="0"/>
              <w:rPr>
                <w:sz w:val="20"/>
                <w:szCs w:val="20"/>
              </w:rPr>
            </w:pPr>
          </w:p>
        </w:tc>
        <w:tc>
          <w:tcPr>
            <w:tcW w:w="564" w:type="dxa"/>
          </w:tcPr>
          <w:p w14:paraId="0E3E6A02" w14:textId="5B2CCBEF" w:rsidR="007C5180" w:rsidRPr="00530A90" w:rsidRDefault="007C5180" w:rsidP="00FE6B7C">
            <w:pPr>
              <w:pStyle w:val="BodyText"/>
              <w:spacing w:before="0" w:after="0"/>
              <w:rPr>
                <w:b/>
                <w:sz w:val="20"/>
                <w:szCs w:val="20"/>
              </w:rPr>
            </w:pPr>
            <w:r w:rsidRPr="00530A90">
              <w:rPr>
                <w:b/>
                <w:sz w:val="20"/>
                <w:szCs w:val="20"/>
              </w:rPr>
              <w:t>39</w:t>
            </w:r>
          </w:p>
        </w:tc>
        <w:tc>
          <w:tcPr>
            <w:tcW w:w="3821" w:type="dxa"/>
          </w:tcPr>
          <w:p w14:paraId="2CF26F63" w14:textId="4F8C4466" w:rsidR="007C5180" w:rsidRPr="007C5180" w:rsidRDefault="00FE6B7C" w:rsidP="00FE6B7C">
            <w:pPr>
              <w:pStyle w:val="BodyText"/>
              <w:spacing w:before="0" w:after="0"/>
              <w:jc w:val="left"/>
              <w:rPr>
                <w:sz w:val="20"/>
                <w:szCs w:val="20"/>
              </w:rPr>
            </w:pPr>
            <w:r w:rsidRPr="007C5180">
              <w:rPr>
                <w:sz w:val="20"/>
                <w:szCs w:val="20"/>
              </w:rPr>
              <w:t>Te Hiringa Hauora</w:t>
            </w:r>
          </w:p>
        </w:tc>
      </w:tr>
      <w:tr w:rsidR="007C5180" w:rsidRPr="007C5180" w14:paraId="031263D9" w14:textId="30A99921" w:rsidTr="00530A90">
        <w:trPr>
          <w:trHeight w:val="290"/>
        </w:trPr>
        <w:tc>
          <w:tcPr>
            <w:tcW w:w="453" w:type="dxa"/>
            <w:noWrap/>
            <w:hideMark/>
          </w:tcPr>
          <w:p w14:paraId="34DD66A1" w14:textId="77777777" w:rsidR="007C5180" w:rsidRPr="00FE6B7C" w:rsidRDefault="007C5180" w:rsidP="00FE6B7C">
            <w:pPr>
              <w:pStyle w:val="BodyText"/>
              <w:spacing w:before="0" w:after="0"/>
              <w:rPr>
                <w:b/>
                <w:sz w:val="20"/>
                <w:szCs w:val="20"/>
              </w:rPr>
            </w:pPr>
            <w:r w:rsidRPr="00FE6B7C">
              <w:rPr>
                <w:b/>
                <w:sz w:val="20"/>
                <w:szCs w:val="20"/>
              </w:rPr>
              <w:t>5</w:t>
            </w:r>
          </w:p>
        </w:tc>
        <w:tc>
          <w:tcPr>
            <w:tcW w:w="3795" w:type="dxa"/>
            <w:hideMark/>
          </w:tcPr>
          <w:p w14:paraId="2CB6FCF1" w14:textId="640B801C" w:rsidR="007C5180" w:rsidRPr="007C5180" w:rsidRDefault="00FE6B7C" w:rsidP="00FE6B7C">
            <w:pPr>
              <w:pStyle w:val="BodyText"/>
              <w:spacing w:before="0" w:after="0"/>
              <w:jc w:val="left"/>
              <w:rPr>
                <w:sz w:val="20"/>
                <w:szCs w:val="20"/>
              </w:rPr>
            </w:pPr>
            <w:r w:rsidRPr="007C5180">
              <w:rPr>
                <w:sz w:val="20"/>
                <w:szCs w:val="20"/>
              </w:rPr>
              <w:t>GMANZ</w:t>
            </w:r>
          </w:p>
        </w:tc>
        <w:tc>
          <w:tcPr>
            <w:tcW w:w="576" w:type="dxa"/>
          </w:tcPr>
          <w:p w14:paraId="60FACB62" w14:textId="77777777" w:rsidR="00FE6B7C" w:rsidRPr="007C5180" w:rsidRDefault="00FE6B7C" w:rsidP="00FE6B7C">
            <w:pPr>
              <w:pStyle w:val="BodyText"/>
              <w:spacing w:before="0" w:after="0"/>
              <w:rPr>
                <w:sz w:val="20"/>
                <w:szCs w:val="20"/>
              </w:rPr>
            </w:pPr>
          </w:p>
        </w:tc>
        <w:tc>
          <w:tcPr>
            <w:tcW w:w="564" w:type="dxa"/>
          </w:tcPr>
          <w:p w14:paraId="0F9BB5FE" w14:textId="51C0F86D" w:rsidR="007C5180" w:rsidRPr="00530A90" w:rsidRDefault="007C5180" w:rsidP="00FE6B7C">
            <w:pPr>
              <w:pStyle w:val="BodyText"/>
              <w:spacing w:before="0" w:after="0"/>
              <w:rPr>
                <w:b/>
                <w:sz w:val="20"/>
                <w:szCs w:val="20"/>
              </w:rPr>
            </w:pPr>
            <w:r w:rsidRPr="00530A90">
              <w:rPr>
                <w:b/>
                <w:sz w:val="20"/>
                <w:szCs w:val="20"/>
              </w:rPr>
              <w:t>40</w:t>
            </w:r>
          </w:p>
        </w:tc>
        <w:tc>
          <w:tcPr>
            <w:tcW w:w="3821" w:type="dxa"/>
          </w:tcPr>
          <w:p w14:paraId="75644FAA" w14:textId="7307518D" w:rsidR="007C5180" w:rsidRPr="007C5180" w:rsidRDefault="007C5180" w:rsidP="00FE6B7C">
            <w:pPr>
              <w:pStyle w:val="BodyText"/>
              <w:spacing w:before="0" w:after="0"/>
              <w:jc w:val="left"/>
              <w:rPr>
                <w:sz w:val="20"/>
                <w:szCs w:val="20"/>
              </w:rPr>
            </w:pPr>
            <w:r w:rsidRPr="007C5180">
              <w:rPr>
                <w:sz w:val="20"/>
                <w:szCs w:val="20"/>
              </w:rPr>
              <w:t>New Zealand Community Trust (NZCT)</w:t>
            </w:r>
          </w:p>
        </w:tc>
      </w:tr>
      <w:tr w:rsidR="007C5180" w:rsidRPr="007C5180" w14:paraId="6B1C1E44" w14:textId="5843E12D" w:rsidTr="00530A90">
        <w:trPr>
          <w:trHeight w:val="290"/>
        </w:trPr>
        <w:tc>
          <w:tcPr>
            <w:tcW w:w="453" w:type="dxa"/>
            <w:noWrap/>
            <w:hideMark/>
          </w:tcPr>
          <w:p w14:paraId="738D3B71" w14:textId="77777777" w:rsidR="007C5180" w:rsidRPr="00FE6B7C" w:rsidRDefault="007C5180" w:rsidP="00FE6B7C">
            <w:pPr>
              <w:pStyle w:val="BodyText"/>
              <w:spacing w:before="0" w:after="0"/>
              <w:rPr>
                <w:b/>
                <w:sz w:val="20"/>
                <w:szCs w:val="20"/>
              </w:rPr>
            </w:pPr>
            <w:r w:rsidRPr="00FE6B7C">
              <w:rPr>
                <w:b/>
                <w:sz w:val="20"/>
                <w:szCs w:val="20"/>
              </w:rPr>
              <w:t>6</w:t>
            </w:r>
          </w:p>
        </w:tc>
        <w:tc>
          <w:tcPr>
            <w:tcW w:w="3795" w:type="dxa"/>
            <w:hideMark/>
          </w:tcPr>
          <w:p w14:paraId="0C2E666D" w14:textId="77777777" w:rsidR="007C5180" w:rsidRPr="007C5180" w:rsidRDefault="007C5180" w:rsidP="00FE6B7C">
            <w:pPr>
              <w:pStyle w:val="BodyText"/>
              <w:spacing w:before="0" w:after="0"/>
              <w:jc w:val="left"/>
              <w:rPr>
                <w:sz w:val="20"/>
                <w:szCs w:val="20"/>
              </w:rPr>
            </w:pPr>
            <w:r w:rsidRPr="007C5180">
              <w:rPr>
                <w:sz w:val="20"/>
                <w:szCs w:val="20"/>
              </w:rPr>
              <w:t>Addiction Advice and Assessment Services (AAAS)</w:t>
            </w:r>
          </w:p>
        </w:tc>
        <w:tc>
          <w:tcPr>
            <w:tcW w:w="576" w:type="dxa"/>
          </w:tcPr>
          <w:p w14:paraId="1E40B864" w14:textId="77777777" w:rsidR="00FE6B7C" w:rsidRPr="007C5180" w:rsidRDefault="00FE6B7C" w:rsidP="00FE6B7C">
            <w:pPr>
              <w:pStyle w:val="BodyText"/>
              <w:spacing w:before="0" w:after="0"/>
              <w:rPr>
                <w:sz w:val="20"/>
                <w:szCs w:val="20"/>
              </w:rPr>
            </w:pPr>
          </w:p>
        </w:tc>
        <w:tc>
          <w:tcPr>
            <w:tcW w:w="564" w:type="dxa"/>
          </w:tcPr>
          <w:p w14:paraId="77552461" w14:textId="7AD073E6" w:rsidR="007C5180" w:rsidRPr="00530A90" w:rsidRDefault="007C5180" w:rsidP="00FE6B7C">
            <w:pPr>
              <w:pStyle w:val="BodyText"/>
              <w:spacing w:before="0" w:after="0"/>
              <w:rPr>
                <w:b/>
                <w:sz w:val="20"/>
                <w:szCs w:val="20"/>
              </w:rPr>
            </w:pPr>
            <w:r w:rsidRPr="00530A90">
              <w:rPr>
                <w:b/>
                <w:sz w:val="20"/>
                <w:szCs w:val="20"/>
              </w:rPr>
              <w:t>41</w:t>
            </w:r>
          </w:p>
        </w:tc>
        <w:tc>
          <w:tcPr>
            <w:tcW w:w="3821" w:type="dxa"/>
          </w:tcPr>
          <w:p w14:paraId="3F226A2B" w14:textId="29FB2B21" w:rsidR="007C5180" w:rsidRPr="007C5180" w:rsidRDefault="007C5180" w:rsidP="00FE6B7C">
            <w:pPr>
              <w:pStyle w:val="BodyText"/>
              <w:spacing w:before="0" w:after="0"/>
              <w:jc w:val="left"/>
              <w:rPr>
                <w:sz w:val="20"/>
                <w:szCs w:val="20"/>
              </w:rPr>
            </w:pPr>
            <w:r w:rsidRPr="007C5180">
              <w:rPr>
                <w:sz w:val="20"/>
                <w:szCs w:val="20"/>
              </w:rPr>
              <w:t>Hāpai te Hauora</w:t>
            </w:r>
          </w:p>
        </w:tc>
      </w:tr>
      <w:tr w:rsidR="007C5180" w:rsidRPr="007C5180" w14:paraId="050D5A2F" w14:textId="766E1E4F" w:rsidTr="00530A90">
        <w:trPr>
          <w:trHeight w:val="290"/>
        </w:trPr>
        <w:tc>
          <w:tcPr>
            <w:tcW w:w="453" w:type="dxa"/>
            <w:noWrap/>
            <w:hideMark/>
          </w:tcPr>
          <w:p w14:paraId="30C1F929" w14:textId="77777777" w:rsidR="007C5180" w:rsidRPr="00FE6B7C" w:rsidRDefault="007C5180" w:rsidP="00FE6B7C">
            <w:pPr>
              <w:pStyle w:val="BodyText"/>
              <w:spacing w:before="0" w:after="0"/>
              <w:rPr>
                <w:b/>
                <w:sz w:val="20"/>
                <w:szCs w:val="20"/>
              </w:rPr>
            </w:pPr>
            <w:r w:rsidRPr="00FE6B7C">
              <w:rPr>
                <w:b/>
                <w:sz w:val="20"/>
                <w:szCs w:val="20"/>
              </w:rPr>
              <w:t>7</w:t>
            </w:r>
          </w:p>
        </w:tc>
        <w:tc>
          <w:tcPr>
            <w:tcW w:w="3795" w:type="dxa"/>
            <w:hideMark/>
          </w:tcPr>
          <w:p w14:paraId="1C806773" w14:textId="77777777" w:rsidR="007C5180" w:rsidRPr="007C5180" w:rsidRDefault="007C5180" w:rsidP="00FE6B7C">
            <w:pPr>
              <w:pStyle w:val="BodyText"/>
              <w:spacing w:before="0" w:after="0"/>
              <w:jc w:val="left"/>
              <w:rPr>
                <w:sz w:val="20"/>
                <w:szCs w:val="20"/>
              </w:rPr>
            </w:pPr>
            <w:r w:rsidRPr="007C5180">
              <w:rPr>
                <w:sz w:val="20"/>
                <w:szCs w:val="20"/>
              </w:rPr>
              <w:t>Te Rangihaeata Oranga Trust</w:t>
            </w:r>
          </w:p>
        </w:tc>
        <w:tc>
          <w:tcPr>
            <w:tcW w:w="576" w:type="dxa"/>
          </w:tcPr>
          <w:p w14:paraId="22F9D787" w14:textId="77777777" w:rsidR="00FE6B7C" w:rsidRPr="007C5180" w:rsidRDefault="00FE6B7C" w:rsidP="00FE6B7C">
            <w:pPr>
              <w:pStyle w:val="BodyText"/>
              <w:spacing w:before="0" w:after="0"/>
              <w:rPr>
                <w:sz w:val="20"/>
                <w:szCs w:val="20"/>
              </w:rPr>
            </w:pPr>
          </w:p>
        </w:tc>
        <w:tc>
          <w:tcPr>
            <w:tcW w:w="564" w:type="dxa"/>
          </w:tcPr>
          <w:p w14:paraId="0D9278BE" w14:textId="23B24C1C" w:rsidR="007C5180" w:rsidRPr="00530A90" w:rsidRDefault="007C5180" w:rsidP="00FE6B7C">
            <w:pPr>
              <w:pStyle w:val="BodyText"/>
              <w:spacing w:before="0" w:after="0"/>
              <w:rPr>
                <w:b/>
                <w:sz w:val="20"/>
                <w:szCs w:val="20"/>
              </w:rPr>
            </w:pPr>
            <w:r w:rsidRPr="00530A90">
              <w:rPr>
                <w:b/>
                <w:sz w:val="20"/>
                <w:szCs w:val="20"/>
              </w:rPr>
              <w:t>42</w:t>
            </w:r>
          </w:p>
        </w:tc>
        <w:tc>
          <w:tcPr>
            <w:tcW w:w="3821" w:type="dxa"/>
          </w:tcPr>
          <w:p w14:paraId="798DBA33" w14:textId="0A1E8DB7" w:rsidR="007C5180" w:rsidRPr="007C5180" w:rsidRDefault="007C5180" w:rsidP="00FE6B7C">
            <w:pPr>
              <w:pStyle w:val="BodyText"/>
              <w:spacing w:before="0" w:after="0"/>
              <w:jc w:val="left"/>
              <w:rPr>
                <w:sz w:val="20"/>
                <w:szCs w:val="20"/>
              </w:rPr>
            </w:pPr>
            <w:r w:rsidRPr="007C5180">
              <w:rPr>
                <w:sz w:val="20"/>
                <w:szCs w:val="20"/>
              </w:rPr>
              <w:t>TAB NZ</w:t>
            </w:r>
          </w:p>
        </w:tc>
      </w:tr>
      <w:tr w:rsidR="007C5180" w:rsidRPr="007C5180" w14:paraId="4A3976AB" w14:textId="6F796692" w:rsidTr="00530A90">
        <w:trPr>
          <w:trHeight w:val="290"/>
        </w:trPr>
        <w:tc>
          <w:tcPr>
            <w:tcW w:w="453" w:type="dxa"/>
            <w:noWrap/>
            <w:hideMark/>
          </w:tcPr>
          <w:p w14:paraId="6C496169" w14:textId="77777777" w:rsidR="007C5180" w:rsidRPr="00FE6B7C" w:rsidRDefault="007C5180" w:rsidP="00FE6B7C">
            <w:pPr>
              <w:pStyle w:val="BodyText"/>
              <w:spacing w:before="0" w:after="0"/>
              <w:rPr>
                <w:b/>
                <w:sz w:val="20"/>
                <w:szCs w:val="20"/>
              </w:rPr>
            </w:pPr>
            <w:r w:rsidRPr="00FE6B7C">
              <w:rPr>
                <w:b/>
                <w:sz w:val="20"/>
                <w:szCs w:val="20"/>
              </w:rPr>
              <w:t>8</w:t>
            </w:r>
          </w:p>
        </w:tc>
        <w:tc>
          <w:tcPr>
            <w:tcW w:w="3795" w:type="dxa"/>
            <w:hideMark/>
          </w:tcPr>
          <w:p w14:paraId="562AFD04" w14:textId="77777777" w:rsidR="007C5180" w:rsidRPr="007C5180" w:rsidRDefault="007C5180" w:rsidP="00FE6B7C">
            <w:pPr>
              <w:pStyle w:val="BodyText"/>
              <w:spacing w:before="0" w:after="0"/>
              <w:jc w:val="left"/>
              <w:rPr>
                <w:sz w:val="20"/>
                <w:szCs w:val="20"/>
              </w:rPr>
            </w:pPr>
            <w:r w:rsidRPr="007C5180">
              <w:rPr>
                <w:sz w:val="20"/>
                <w:szCs w:val="20"/>
              </w:rPr>
              <w:t xml:space="preserve">Advisory Group Lived Experience </w:t>
            </w:r>
          </w:p>
        </w:tc>
        <w:tc>
          <w:tcPr>
            <w:tcW w:w="576" w:type="dxa"/>
          </w:tcPr>
          <w:p w14:paraId="012773B8" w14:textId="77777777" w:rsidR="00FE6B7C" w:rsidRPr="007C5180" w:rsidRDefault="00FE6B7C" w:rsidP="00FE6B7C">
            <w:pPr>
              <w:pStyle w:val="BodyText"/>
              <w:spacing w:before="0" w:after="0"/>
              <w:rPr>
                <w:sz w:val="20"/>
                <w:szCs w:val="20"/>
              </w:rPr>
            </w:pPr>
          </w:p>
        </w:tc>
        <w:tc>
          <w:tcPr>
            <w:tcW w:w="564" w:type="dxa"/>
          </w:tcPr>
          <w:p w14:paraId="1C37B0D9" w14:textId="512F5A28" w:rsidR="007C5180" w:rsidRPr="00530A90" w:rsidRDefault="007C5180" w:rsidP="00FE6B7C">
            <w:pPr>
              <w:pStyle w:val="BodyText"/>
              <w:spacing w:before="0" w:after="0"/>
              <w:rPr>
                <w:b/>
                <w:sz w:val="20"/>
                <w:szCs w:val="20"/>
              </w:rPr>
            </w:pPr>
            <w:r w:rsidRPr="00530A90">
              <w:rPr>
                <w:b/>
                <w:sz w:val="20"/>
                <w:szCs w:val="20"/>
              </w:rPr>
              <w:t>43</w:t>
            </w:r>
          </w:p>
        </w:tc>
        <w:tc>
          <w:tcPr>
            <w:tcW w:w="3821" w:type="dxa"/>
          </w:tcPr>
          <w:p w14:paraId="1F60E919" w14:textId="20A27E9C" w:rsidR="007C5180" w:rsidRPr="007C5180" w:rsidRDefault="007C5180" w:rsidP="00FE6B7C">
            <w:pPr>
              <w:pStyle w:val="BodyText"/>
              <w:spacing w:before="0" w:after="0"/>
              <w:jc w:val="left"/>
              <w:rPr>
                <w:sz w:val="20"/>
                <w:szCs w:val="20"/>
              </w:rPr>
            </w:pPr>
            <w:r w:rsidRPr="007C5180">
              <w:rPr>
                <w:sz w:val="20"/>
                <w:szCs w:val="20"/>
              </w:rPr>
              <w:t>ILT Foundation</w:t>
            </w:r>
          </w:p>
        </w:tc>
      </w:tr>
      <w:tr w:rsidR="007C5180" w:rsidRPr="007C5180" w14:paraId="3825E871" w14:textId="25E91114" w:rsidTr="00530A90">
        <w:trPr>
          <w:trHeight w:val="290"/>
        </w:trPr>
        <w:tc>
          <w:tcPr>
            <w:tcW w:w="453" w:type="dxa"/>
            <w:noWrap/>
            <w:hideMark/>
          </w:tcPr>
          <w:p w14:paraId="198A4D66" w14:textId="77777777" w:rsidR="007C5180" w:rsidRPr="00FE6B7C" w:rsidRDefault="007C5180" w:rsidP="00FE6B7C">
            <w:pPr>
              <w:pStyle w:val="BodyText"/>
              <w:spacing w:before="0" w:after="0"/>
              <w:rPr>
                <w:b/>
                <w:sz w:val="20"/>
                <w:szCs w:val="20"/>
              </w:rPr>
            </w:pPr>
            <w:r w:rsidRPr="00FE6B7C">
              <w:rPr>
                <w:b/>
                <w:sz w:val="20"/>
                <w:szCs w:val="20"/>
              </w:rPr>
              <w:t>9</w:t>
            </w:r>
          </w:p>
        </w:tc>
        <w:tc>
          <w:tcPr>
            <w:tcW w:w="3795" w:type="dxa"/>
            <w:hideMark/>
          </w:tcPr>
          <w:p w14:paraId="69C7FC46" w14:textId="77777777" w:rsidR="007C5180" w:rsidRPr="007C5180" w:rsidRDefault="007C5180" w:rsidP="00FE6B7C">
            <w:pPr>
              <w:pStyle w:val="BodyText"/>
              <w:spacing w:before="0" w:after="0"/>
              <w:jc w:val="left"/>
              <w:rPr>
                <w:sz w:val="20"/>
                <w:szCs w:val="20"/>
              </w:rPr>
            </w:pPr>
            <w:r w:rsidRPr="007C5180">
              <w:rPr>
                <w:sz w:val="20"/>
                <w:szCs w:val="20"/>
              </w:rPr>
              <w:t>AUT Gambling and Addictions Research Centre</w:t>
            </w:r>
          </w:p>
        </w:tc>
        <w:tc>
          <w:tcPr>
            <w:tcW w:w="576" w:type="dxa"/>
          </w:tcPr>
          <w:p w14:paraId="6B2453ED" w14:textId="77777777" w:rsidR="00FE6B7C" w:rsidRPr="007C5180" w:rsidRDefault="00FE6B7C" w:rsidP="00FE6B7C">
            <w:pPr>
              <w:pStyle w:val="BodyText"/>
              <w:spacing w:before="0" w:after="0"/>
              <w:rPr>
                <w:sz w:val="20"/>
                <w:szCs w:val="20"/>
              </w:rPr>
            </w:pPr>
          </w:p>
        </w:tc>
        <w:tc>
          <w:tcPr>
            <w:tcW w:w="564" w:type="dxa"/>
          </w:tcPr>
          <w:p w14:paraId="495F0484" w14:textId="14DFE47E" w:rsidR="007C5180" w:rsidRPr="00530A90" w:rsidRDefault="007C5180" w:rsidP="00FE6B7C">
            <w:pPr>
              <w:pStyle w:val="BodyText"/>
              <w:spacing w:before="0" w:after="0"/>
              <w:rPr>
                <w:b/>
                <w:sz w:val="20"/>
                <w:szCs w:val="20"/>
              </w:rPr>
            </w:pPr>
            <w:r w:rsidRPr="00530A90">
              <w:rPr>
                <w:b/>
                <w:sz w:val="20"/>
                <w:szCs w:val="20"/>
              </w:rPr>
              <w:t>44</w:t>
            </w:r>
          </w:p>
        </w:tc>
        <w:tc>
          <w:tcPr>
            <w:tcW w:w="3821" w:type="dxa"/>
          </w:tcPr>
          <w:p w14:paraId="7940E655" w14:textId="6C4D63A1" w:rsidR="007C5180" w:rsidRPr="007C5180" w:rsidRDefault="007C5180" w:rsidP="00FE6B7C">
            <w:pPr>
              <w:pStyle w:val="BodyText"/>
              <w:spacing w:before="0" w:after="0"/>
              <w:jc w:val="left"/>
              <w:rPr>
                <w:sz w:val="20"/>
                <w:szCs w:val="20"/>
              </w:rPr>
            </w:pPr>
            <w:r w:rsidRPr="007C5180">
              <w:rPr>
                <w:sz w:val="20"/>
                <w:szCs w:val="20"/>
              </w:rPr>
              <w:t>Aotearoa Gaming Trust</w:t>
            </w:r>
          </w:p>
        </w:tc>
      </w:tr>
      <w:tr w:rsidR="007C5180" w:rsidRPr="007C5180" w14:paraId="79E931EF" w14:textId="57195BE5" w:rsidTr="00530A90">
        <w:trPr>
          <w:trHeight w:val="290"/>
        </w:trPr>
        <w:tc>
          <w:tcPr>
            <w:tcW w:w="453" w:type="dxa"/>
            <w:noWrap/>
            <w:hideMark/>
          </w:tcPr>
          <w:p w14:paraId="2152F6D1" w14:textId="77777777" w:rsidR="007C5180" w:rsidRPr="00FE6B7C" w:rsidRDefault="007C5180" w:rsidP="00FE6B7C">
            <w:pPr>
              <w:pStyle w:val="BodyText"/>
              <w:spacing w:before="0" w:after="0"/>
              <w:rPr>
                <w:b/>
                <w:sz w:val="20"/>
                <w:szCs w:val="20"/>
              </w:rPr>
            </w:pPr>
            <w:r w:rsidRPr="00FE6B7C">
              <w:rPr>
                <w:b/>
                <w:sz w:val="20"/>
                <w:szCs w:val="20"/>
              </w:rPr>
              <w:t>10</w:t>
            </w:r>
          </w:p>
        </w:tc>
        <w:tc>
          <w:tcPr>
            <w:tcW w:w="3795" w:type="dxa"/>
            <w:hideMark/>
          </w:tcPr>
          <w:p w14:paraId="06D37982" w14:textId="77777777" w:rsidR="007C5180" w:rsidRPr="007C5180" w:rsidRDefault="007C5180" w:rsidP="00FE6B7C">
            <w:pPr>
              <w:pStyle w:val="BodyText"/>
              <w:spacing w:before="0" w:after="0"/>
              <w:jc w:val="left"/>
              <w:rPr>
                <w:sz w:val="20"/>
                <w:szCs w:val="20"/>
              </w:rPr>
            </w:pPr>
            <w:r w:rsidRPr="007C5180">
              <w:rPr>
                <w:sz w:val="20"/>
                <w:szCs w:val="20"/>
              </w:rPr>
              <w:t>First Light Community Foundation</w:t>
            </w:r>
          </w:p>
        </w:tc>
        <w:tc>
          <w:tcPr>
            <w:tcW w:w="576" w:type="dxa"/>
          </w:tcPr>
          <w:p w14:paraId="2DF3D227" w14:textId="77777777" w:rsidR="00FE6B7C" w:rsidRPr="007C5180" w:rsidRDefault="00FE6B7C" w:rsidP="00FE6B7C">
            <w:pPr>
              <w:pStyle w:val="BodyText"/>
              <w:spacing w:before="0" w:after="0"/>
              <w:rPr>
                <w:sz w:val="20"/>
                <w:szCs w:val="20"/>
              </w:rPr>
            </w:pPr>
          </w:p>
        </w:tc>
        <w:tc>
          <w:tcPr>
            <w:tcW w:w="564" w:type="dxa"/>
          </w:tcPr>
          <w:p w14:paraId="7899A1D1" w14:textId="6FF3F79E" w:rsidR="007C5180" w:rsidRPr="00530A90" w:rsidRDefault="007C5180" w:rsidP="00FE6B7C">
            <w:pPr>
              <w:pStyle w:val="BodyText"/>
              <w:spacing w:before="0" w:after="0"/>
              <w:rPr>
                <w:b/>
                <w:sz w:val="20"/>
                <w:szCs w:val="20"/>
              </w:rPr>
            </w:pPr>
            <w:r w:rsidRPr="00530A90">
              <w:rPr>
                <w:b/>
                <w:sz w:val="20"/>
                <w:szCs w:val="20"/>
              </w:rPr>
              <w:t>45</w:t>
            </w:r>
          </w:p>
        </w:tc>
        <w:tc>
          <w:tcPr>
            <w:tcW w:w="3821" w:type="dxa"/>
          </w:tcPr>
          <w:p w14:paraId="02E74739" w14:textId="7D6F6A65" w:rsidR="007C5180" w:rsidRPr="007C5180" w:rsidRDefault="007C5180" w:rsidP="00FE6B7C">
            <w:pPr>
              <w:pStyle w:val="BodyText"/>
              <w:spacing w:before="0" w:after="0"/>
              <w:jc w:val="left"/>
              <w:rPr>
                <w:sz w:val="20"/>
                <w:szCs w:val="20"/>
              </w:rPr>
            </w:pPr>
            <w:r w:rsidRPr="007C5180">
              <w:rPr>
                <w:sz w:val="20"/>
                <w:szCs w:val="20"/>
              </w:rPr>
              <w:t>Midcentral DHB</w:t>
            </w:r>
          </w:p>
        </w:tc>
      </w:tr>
      <w:tr w:rsidR="007C5180" w:rsidRPr="007C5180" w14:paraId="2B9F14A5" w14:textId="0316D873" w:rsidTr="00530A90">
        <w:trPr>
          <w:trHeight w:val="290"/>
        </w:trPr>
        <w:tc>
          <w:tcPr>
            <w:tcW w:w="453" w:type="dxa"/>
            <w:noWrap/>
            <w:hideMark/>
          </w:tcPr>
          <w:p w14:paraId="022DA97F" w14:textId="77777777" w:rsidR="007C5180" w:rsidRPr="00FE6B7C" w:rsidRDefault="007C5180" w:rsidP="00FE6B7C">
            <w:pPr>
              <w:pStyle w:val="BodyText"/>
              <w:spacing w:before="0" w:after="0"/>
              <w:rPr>
                <w:b/>
                <w:sz w:val="20"/>
                <w:szCs w:val="20"/>
              </w:rPr>
            </w:pPr>
            <w:r w:rsidRPr="00FE6B7C">
              <w:rPr>
                <w:b/>
                <w:sz w:val="20"/>
                <w:szCs w:val="20"/>
              </w:rPr>
              <w:t>11</w:t>
            </w:r>
          </w:p>
        </w:tc>
        <w:tc>
          <w:tcPr>
            <w:tcW w:w="3795" w:type="dxa"/>
            <w:hideMark/>
          </w:tcPr>
          <w:p w14:paraId="2CCC106E" w14:textId="77777777" w:rsidR="007C5180" w:rsidRPr="007C5180" w:rsidRDefault="007C5180" w:rsidP="00FE6B7C">
            <w:pPr>
              <w:pStyle w:val="BodyText"/>
              <w:spacing w:before="0" w:after="0"/>
              <w:jc w:val="left"/>
              <w:rPr>
                <w:sz w:val="20"/>
                <w:szCs w:val="20"/>
              </w:rPr>
            </w:pPr>
            <w:r w:rsidRPr="007C5180">
              <w:rPr>
                <w:sz w:val="20"/>
                <w:szCs w:val="20"/>
              </w:rPr>
              <w:t>Nelson Marlborough Health</w:t>
            </w:r>
          </w:p>
        </w:tc>
        <w:tc>
          <w:tcPr>
            <w:tcW w:w="576" w:type="dxa"/>
          </w:tcPr>
          <w:p w14:paraId="506503C5" w14:textId="77777777" w:rsidR="00FE6B7C" w:rsidRPr="007C5180" w:rsidRDefault="00FE6B7C" w:rsidP="00FE6B7C">
            <w:pPr>
              <w:pStyle w:val="BodyText"/>
              <w:spacing w:before="0" w:after="0"/>
              <w:rPr>
                <w:sz w:val="20"/>
                <w:szCs w:val="20"/>
              </w:rPr>
            </w:pPr>
          </w:p>
        </w:tc>
        <w:tc>
          <w:tcPr>
            <w:tcW w:w="564" w:type="dxa"/>
          </w:tcPr>
          <w:p w14:paraId="16A85FE2" w14:textId="3651AA97" w:rsidR="007C5180" w:rsidRPr="00530A90" w:rsidRDefault="007C5180" w:rsidP="00FE6B7C">
            <w:pPr>
              <w:pStyle w:val="BodyText"/>
              <w:spacing w:before="0" w:after="0"/>
              <w:rPr>
                <w:b/>
                <w:sz w:val="20"/>
                <w:szCs w:val="20"/>
              </w:rPr>
            </w:pPr>
            <w:r w:rsidRPr="00530A90">
              <w:rPr>
                <w:b/>
                <w:sz w:val="20"/>
                <w:szCs w:val="20"/>
              </w:rPr>
              <w:t>46</w:t>
            </w:r>
          </w:p>
        </w:tc>
        <w:tc>
          <w:tcPr>
            <w:tcW w:w="3821" w:type="dxa"/>
          </w:tcPr>
          <w:p w14:paraId="1E7A7079" w14:textId="760A2D1B" w:rsidR="007C5180" w:rsidRPr="007C5180" w:rsidRDefault="007C5180" w:rsidP="00FE6B7C">
            <w:pPr>
              <w:pStyle w:val="BodyText"/>
              <w:spacing w:before="0" w:after="0"/>
              <w:jc w:val="left"/>
              <w:rPr>
                <w:sz w:val="20"/>
                <w:szCs w:val="20"/>
              </w:rPr>
            </w:pPr>
            <w:r w:rsidRPr="007C5180">
              <w:rPr>
                <w:sz w:val="20"/>
                <w:szCs w:val="20"/>
              </w:rPr>
              <w:t xml:space="preserve">Taeaomanino Trust    </w:t>
            </w:r>
          </w:p>
        </w:tc>
      </w:tr>
      <w:tr w:rsidR="007C5180" w:rsidRPr="007C5180" w14:paraId="14F55E9B" w14:textId="4EEC091B" w:rsidTr="00530A90">
        <w:trPr>
          <w:trHeight w:val="290"/>
        </w:trPr>
        <w:tc>
          <w:tcPr>
            <w:tcW w:w="453" w:type="dxa"/>
            <w:noWrap/>
            <w:hideMark/>
          </w:tcPr>
          <w:p w14:paraId="10E7CFC4" w14:textId="77777777" w:rsidR="007C5180" w:rsidRPr="00FE6B7C" w:rsidRDefault="007C5180" w:rsidP="00FE6B7C">
            <w:pPr>
              <w:pStyle w:val="BodyText"/>
              <w:spacing w:before="0" w:after="0"/>
              <w:rPr>
                <w:b/>
                <w:sz w:val="20"/>
                <w:szCs w:val="20"/>
              </w:rPr>
            </w:pPr>
            <w:r w:rsidRPr="00FE6B7C">
              <w:rPr>
                <w:b/>
                <w:sz w:val="20"/>
                <w:szCs w:val="20"/>
              </w:rPr>
              <w:t>12</w:t>
            </w:r>
          </w:p>
        </w:tc>
        <w:tc>
          <w:tcPr>
            <w:tcW w:w="3795" w:type="dxa"/>
            <w:hideMark/>
          </w:tcPr>
          <w:p w14:paraId="281A532B" w14:textId="77777777" w:rsidR="007C5180" w:rsidRPr="007C5180" w:rsidRDefault="007C5180" w:rsidP="00FE6B7C">
            <w:pPr>
              <w:pStyle w:val="BodyText"/>
              <w:spacing w:before="0" w:after="0"/>
              <w:jc w:val="left"/>
              <w:rPr>
                <w:sz w:val="20"/>
                <w:szCs w:val="20"/>
              </w:rPr>
            </w:pPr>
            <w:r w:rsidRPr="007C5180">
              <w:rPr>
                <w:sz w:val="20"/>
                <w:szCs w:val="20"/>
              </w:rPr>
              <w:t>Ōpōtiki District Council</w:t>
            </w:r>
          </w:p>
        </w:tc>
        <w:tc>
          <w:tcPr>
            <w:tcW w:w="576" w:type="dxa"/>
          </w:tcPr>
          <w:p w14:paraId="6F35A8C6" w14:textId="77777777" w:rsidR="00FE6B7C" w:rsidRPr="007C5180" w:rsidRDefault="00FE6B7C" w:rsidP="00FE6B7C">
            <w:pPr>
              <w:pStyle w:val="BodyText"/>
              <w:spacing w:before="0" w:after="0"/>
              <w:rPr>
                <w:sz w:val="20"/>
                <w:szCs w:val="20"/>
              </w:rPr>
            </w:pPr>
          </w:p>
        </w:tc>
        <w:tc>
          <w:tcPr>
            <w:tcW w:w="564" w:type="dxa"/>
          </w:tcPr>
          <w:p w14:paraId="5189E224" w14:textId="7F71653B" w:rsidR="007C5180" w:rsidRPr="00530A90" w:rsidRDefault="007C5180" w:rsidP="00FE6B7C">
            <w:pPr>
              <w:pStyle w:val="BodyText"/>
              <w:spacing w:before="0" w:after="0"/>
              <w:rPr>
                <w:b/>
                <w:sz w:val="20"/>
                <w:szCs w:val="20"/>
              </w:rPr>
            </w:pPr>
            <w:r w:rsidRPr="00530A90">
              <w:rPr>
                <w:b/>
                <w:sz w:val="20"/>
                <w:szCs w:val="20"/>
              </w:rPr>
              <w:t>47</w:t>
            </w:r>
          </w:p>
        </w:tc>
        <w:tc>
          <w:tcPr>
            <w:tcW w:w="3821" w:type="dxa"/>
          </w:tcPr>
          <w:p w14:paraId="502638BC" w14:textId="46F4227C" w:rsidR="007C5180" w:rsidRPr="007C5180" w:rsidRDefault="00FE6B7C" w:rsidP="00FE6B7C">
            <w:pPr>
              <w:pStyle w:val="BodyText"/>
              <w:spacing w:before="0" w:after="0"/>
              <w:jc w:val="left"/>
              <w:rPr>
                <w:sz w:val="20"/>
                <w:szCs w:val="20"/>
              </w:rPr>
            </w:pPr>
            <w:r w:rsidRPr="007C5180">
              <w:rPr>
                <w:sz w:val="20"/>
                <w:szCs w:val="20"/>
              </w:rPr>
              <w:t>Tu</w:t>
            </w:r>
            <w:r w:rsidR="006D6154">
              <w:rPr>
                <w:sz w:val="20"/>
                <w:szCs w:val="20"/>
              </w:rPr>
              <w:t>p</w:t>
            </w:r>
            <w:r w:rsidRPr="007C5180">
              <w:rPr>
                <w:sz w:val="20"/>
                <w:szCs w:val="20"/>
              </w:rPr>
              <w:t xml:space="preserve">u </w:t>
            </w:r>
            <w:r w:rsidR="00530A90">
              <w:rPr>
                <w:sz w:val="20"/>
                <w:szCs w:val="20"/>
              </w:rPr>
              <w:t>Services</w:t>
            </w:r>
          </w:p>
        </w:tc>
      </w:tr>
      <w:tr w:rsidR="007C5180" w:rsidRPr="007C5180" w14:paraId="75A7A22B" w14:textId="131AA6F7" w:rsidTr="00530A90">
        <w:trPr>
          <w:trHeight w:val="290"/>
        </w:trPr>
        <w:tc>
          <w:tcPr>
            <w:tcW w:w="453" w:type="dxa"/>
            <w:noWrap/>
            <w:hideMark/>
          </w:tcPr>
          <w:p w14:paraId="243B2CD0" w14:textId="77777777" w:rsidR="007C5180" w:rsidRPr="00FE6B7C" w:rsidRDefault="007C5180" w:rsidP="00FE6B7C">
            <w:pPr>
              <w:pStyle w:val="BodyText"/>
              <w:spacing w:before="0" w:after="0"/>
              <w:rPr>
                <w:b/>
                <w:sz w:val="20"/>
                <w:szCs w:val="20"/>
              </w:rPr>
            </w:pPr>
            <w:r w:rsidRPr="00FE6B7C">
              <w:rPr>
                <w:b/>
                <w:sz w:val="20"/>
                <w:szCs w:val="20"/>
              </w:rPr>
              <w:t>13</w:t>
            </w:r>
          </w:p>
        </w:tc>
        <w:tc>
          <w:tcPr>
            <w:tcW w:w="3795" w:type="dxa"/>
            <w:hideMark/>
          </w:tcPr>
          <w:p w14:paraId="0D32EC80" w14:textId="77777777" w:rsidR="007C5180" w:rsidRPr="007C5180" w:rsidRDefault="007C5180" w:rsidP="00FE6B7C">
            <w:pPr>
              <w:pStyle w:val="BodyText"/>
              <w:spacing w:before="0" w:after="0"/>
              <w:jc w:val="left"/>
              <w:rPr>
                <w:sz w:val="20"/>
                <w:szCs w:val="20"/>
              </w:rPr>
            </w:pPr>
            <w:r w:rsidRPr="007C5180">
              <w:rPr>
                <w:sz w:val="20"/>
                <w:szCs w:val="20"/>
              </w:rPr>
              <w:t>Asian Family Services</w:t>
            </w:r>
          </w:p>
        </w:tc>
        <w:tc>
          <w:tcPr>
            <w:tcW w:w="576" w:type="dxa"/>
          </w:tcPr>
          <w:p w14:paraId="70C7DDBD" w14:textId="77777777" w:rsidR="00FE6B7C" w:rsidRPr="007C5180" w:rsidRDefault="00FE6B7C" w:rsidP="00FE6B7C">
            <w:pPr>
              <w:pStyle w:val="BodyText"/>
              <w:spacing w:before="0" w:after="0"/>
              <w:rPr>
                <w:sz w:val="20"/>
                <w:szCs w:val="20"/>
              </w:rPr>
            </w:pPr>
          </w:p>
        </w:tc>
        <w:tc>
          <w:tcPr>
            <w:tcW w:w="564" w:type="dxa"/>
          </w:tcPr>
          <w:p w14:paraId="301E467A" w14:textId="548610B7" w:rsidR="007C5180" w:rsidRPr="00530A90" w:rsidRDefault="007C5180" w:rsidP="00FE6B7C">
            <w:pPr>
              <w:pStyle w:val="BodyText"/>
              <w:spacing w:before="0" w:after="0"/>
              <w:rPr>
                <w:b/>
                <w:sz w:val="20"/>
                <w:szCs w:val="20"/>
              </w:rPr>
            </w:pPr>
            <w:r w:rsidRPr="00530A90">
              <w:rPr>
                <w:b/>
                <w:sz w:val="20"/>
                <w:szCs w:val="20"/>
              </w:rPr>
              <w:t>48</w:t>
            </w:r>
          </w:p>
        </w:tc>
        <w:tc>
          <w:tcPr>
            <w:tcW w:w="3821" w:type="dxa"/>
          </w:tcPr>
          <w:p w14:paraId="00841399" w14:textId="363C30EC" w:rsidR="007C5180" w:rsidRPr="007C5180" w:rsidRDefault="007C5180" w:rsidP="00FE6B7C">
            <w:pPr>
              <w:pStyle w:val="BodyText"/>
              <w:spacing w:before="0" w:after="0"/>
              <w:jc w:val="left"/>
              <w:rPr>
                <w:sz w:val="20"/>
                <w:szCs w:val="20"/>
              </w:rPr>
            </w:pPr>
            <w:r w:rsidRPr="007C5180">
              <w:rPr>
                <w:sz w:val="20"/>
                <w:szCs w:val="20"/>
              </w:rPr>
              <w:t>Mental Health and Wellbeing Commission</w:t>
            </w:r>
          </w:p>
        </w:tc>
      </w:tr>
      <w:tr w:rsidR="007C5180" w:rsidRPr="007C5180" w14:paraId="3BA3EC94" w14:textId="3CBDF008" w:rsidTr="00530A90">
        <w:trPr>
          <w:trHeight w:val="290"/>
        </w:trPr>
        <w:tc>
          <w:tcPr>
            <w:tcW w:w="453" w:type="dxa"/>
            <w:noWrap/>
            <w:hideMark/>
          </w:tcPr>
          <w:p w14:paraId="3B054A40" w14:textId="77777777" w:rsidR="007C5180" w:rsidRPr="00FE6B7C" w:rsidRDefault="007C5180" w:rsidP="00FE6B7C">
            <w:pPr>
              <w:pStyle w:val="BodyText"/>
              <w:spacing w:before="0" w:after="0"/>
              <w:rPr>
                <w:b/>
                <w:sz w:val="20"/>
                <w:szCs w:val="20"/>
              </w:rPr>
            </w:pPr>
            <w:r w:rsidRPr="00FE6B7C">
              <w:rPr>
                <w:b/>
                <w:sz w:val="20"/>
                <w:szCs w:val="20"/>
              </w:rPr>
              <w:t>14</w:t>
            </w:r>
          </w:p>
        </w:tc>
        <w:tc>
          <w:tcPr>
            <w:tcW w:w="3795" w:type="dxa"/>
            <w:hideMark/>
          </w:tcPr>
          <w:p w14:paraId="54FE5230" w14:textId="77777777" w:rsidR="007C5180" w:rsidRPr="007C5180" w:rsidRDefault="007C5180" w:rsidP="00FE6B7C">
            <w:pPr>
              <w:pStyle w:val="BodyText"/>
              <w:spacing w:before="0" w:after="0"/>
              <w:jc w:val="left"/>
              <w:rPr>
                <w:sz w:val="20"/>
                <w:szCs w:val="20"/>
              </w:rPr>
            </w:pPr>
            <w:r w:rsidRPr="007C5180">
              <w:rPr>
                <w:sz w:val="20"/>
                <w:szCs w:val="20"/>
              </w:rPr>
              <w:t>INDIVIDUAL</w:t>
            </w:r>
          </w:p>
        </w:tc>
        <w:tc>
          <w:tcPr>
            <w:tcW w:w="576" w:type="dxa"/>
          </w:tcPr>
          <w:p w14:paraId="70DD8AFB" w14:textId="77777777" w:rsidR="00FE6B7C" w:rsidRPr="007C5180" w:rsidRDefault="00FE6B7C" w:rsidP="00FE6B7C">
            <w:pPr>
              <w:pStyle w:val="BodyText"/>
              <w:spacing w:before="0" w:after="0"/>
              <w:rPr>
                <w:sz w:val="20"/>
                <w:szCs w:val="20"/>
              </w:rPr>
            </w:pPr>
          </w:p>
        </w:tc>
        <w:tc>
          <w:tcPr>
            <w:tcW w:w="564" w:type="dxa"/>
          </w:tcPr>
          <w:p w14:paraId="13A6EE4D" w14:textId="3E2D8B8D" w:rsidR="007C5180" w:rsidRPr="00530A90" w:rsidRDefault="007C5180" w:rsidP="00FE6B7C">
            <w:pPr>
              <w:pStyle w:val="BodyText"/>
              <w:spacing w:before="0" w:after="0"/>
              <w:rPr>
                <w:b/>
                <w:sz w:val="20"/>
                <w:szCs w:val="20"/>
              </w:rPr>
            </w:pPr>
            <w:r w:rsidRPr="00530A90">
              <w:rPr>
                <w:b/>
                <w:sz w:val="20"/>
                <w:szCs w:val="20"/>
              </w:rPr>
              <w:t>49</w:t>
            </w:r>
          </w:p>
        </w:tc>
        <w:tc>
          <w:tcPr>
            <w:tcW w:w="3821" w:type="dxa"/>
          </w:tcPr>
          <w:p w14:paraId="5DAE3507" w14:textId="744F7470" w:rsidR="007C5180" w:rsidRPr="007C5180" w:rsidRDefault="007C5180" w:rsidP="00FE6B7C">
            <w:pPr>
              <w:pStyle w:val="BodyText"/>
              <w:spacing w:before="0" w:after="0"/>
              <w:jc w:val="left"/>
              <w:rPr>
                <w:sz w:val="20"/>
                <w:szCs w:val="20"/>
              </w:rPr>
            </w:pPr>
            <w:r w:rsidRPr="007C5180">
              <w:rPr>
                <w:sz w:val="20"/>
                <w:szCs w:val="20"/>
              </w:rPr>
              <w:t>Royal Australasian College of Physicians</w:t>
            </w:r>
          </w:p>
        </w:tc>
      </w:tr>
      <w:tr w:rsidR="007C5180" w:rsidRPr="007C5180" w14:paraId="1E3A4D0D" w14:textId="7BC25E98" w:rsidTr="00530A90">
        <w:trPr>
          <w:trHeight w:val="290"/>
        </w:trPr>
        <w:tc>
          <w:tcPr>
            <w:tcW w:w="453" w:type="dxa"/>
            <w:noWrap/>
            <w:hideMark/>
          </w:tcPr>
          <w:p w14:paraId="1AB7CE3F" w14:textId="77777777" w:rsidR="007C5180" w:rsidRPr="00FE6B7C" w:rsidRDefault="007C5180" w:rsidP="00FE6B7C">
            <w:pPr>
              <w:pStyle w:val="BodyText"/>
              <w:spacing w:before="0" w:after="0"/>
              <w:rPr>
                <w:b/>
                <w:sz w:val="20"/>
                <w:szCs w:val="20"/>
              </w:rPr>
            </w:pPr>
            <w:r w:rsidRPr="00FE6B7C">
              <w:rPr>
                <w:b/>
                <w:sz w:val="20"/>
                <w:szCs w:val="20"/>
              </w:rPr>
              <w:t>15</w:t>
            </w:r>
          </w:p>
        </w:tc>
        <w:tc>
          <w:tcPr>
            <w:tcW w:w="3795" w:type="dxa"/>
            <w:hideMark/>
          </w:tcPr>
          <w:p w14:paraId="1870109E" w14:textId="77777777" w:rsidR="007C5180" w:rsidRPr="007C5180" w:rsidRDefault="007C5180" w:rsidP="00FE6B7C">
            <w:pPr>
              <w:pStyle w:val="BodyText"/>
              <w:spacing w:before="0" w:after="0"/>
              <w:jc w:val="left"/>
              <w:rPr>
                <w:sz w:val="20"/>
                <w:szCs w:val="20"/>
              </w:rPr>
            </w:pPr>
            <w:r w:rsidRPr="007C5180">
              <w:rPr>
                <w:sz w:val="20"/>
                <w:szCs w:val="20"/>
              </w:rPr>
              <w:t>Christchurch City Council</w:t>
            </w:r>
          </w:p>
        </w:tc>
        <w:tc>
          <w:tcPr>
            <w:tcW w:w="576" w:type="dxa"/>
          </w:tcPr>
          <w:p w14:paraId="3663DB08" w14:textId="77777777" w:rsidR="00FE6B7C" w:rsidRPr="007C5180" w:rsidRDefault="00FE6B7C" w:rsidP="00FE6B7C">
            <w:pPr>
              <w:pStyle w:val="BodyText"/>
              <w:spacing w:before="0" w:after="0"/>
              <w:rPr>
                <w:sz w:val="20"/>
                <w:szCs w:val="20"/>
              </w:rPr>
            </w:pPr>
          </w:p>
        </w:tc>
        <w:tc>
          <w:tcPr>
            <w:tcW w:w="564" w:type="dxa"/>
          </w:tcPr>
          <w:p w14:paraId="02F60728" w14:textId="2732F330" w:rsidR="007C5180" w:rsidRPr="00530A90" w:rsidRDefault="007C5180" w:rsidP="00FE6B7C">
            <w:pPr>
              <w:pStyle w:val="BodyText"/>
              <w:spacing w:before="0" w:after="0"/>
              <w:rPr>
                <w:b/>
                <w:sz w:val="20"/>
                <w:szCs w:val="20"/>
              </w:rPr>
            </w:pPr>
            <w:r w:rsidRPr="00530A90">
              <w:rPr>
                <w:b/>
                <w:sz w:val="20"/>
                <w:szCs w:val="20"/>
              </w:rPr>
              <w:t>50</w:t>
            </w:r>
          </w:p>
        </w:tc>
        <w:tc>
          <w:tcPr>
            <w:tcW w:w="3821" w:type="dxa"/>
          </w:tcPr>
          <w:p w14:paraId="6AB3D85D" w14:textId="68A82DB6" w:rsidR="007C5180" w:rsidRPr="007C5180" w:rsidRDefault="007C5180" w:rsidP="00FE6B7C">
            <w:pPr>
              <w:pStyle w:val="BodyText"/>
              <w:spacing w:before="0" w:after="0"/>
              <w:jc w:val="left"/>
              <w:rPr>
                <w:sz w:val="20"/>
                <w:szCs w:val="20"/>
              </w:rPr>
            </w:pPr>
            <w:r w:rsidRPr="007C5180">
              <w:rPr>
                <w:sz w:val="20"/>
                <w:szCs w:val="20"/>
              </w:rPr>
              <w:t>Tui Ora</w:t>
            </w:r>
          </w:p>
        </w:tc>
      </w:tr>
      <w:tr w:rsidR="007C5180" w:rsidRPr="007C5180" w14:paraId="0434FC38" w14:textId="7AFA0983" w:rsidTr="00530A90">
        <w:trPr>
          <w:trHeight w:val="290"/>
        </w:trPr>
        <w:tc>
          <w:tcPr>
            <w:tcW w:w="453" w:type="dxa"/>
            <w:noWrap/>
            <w:hideMark/>
          </w:tcPr>
          <w:p w14:paraId="3DAAA26C" w14:textId="77777777" w:rsidR="007C5180" w:rsidRPr="00FE6B7C" w:rsidRDefault="007C5180" w:rsidP="00FE6B7C">
            <w:pPr>
              <w:pStyle w:val="BodyText"/>
              <w:spacing w:before="0" w:after="0"/>
              <w:rPr>
                <w:b/>
                <w:sz w:val="20"/>
                <w:szCs w:val="20"/>
              </w:rPr>
            </w:pPr>
            <w:r w:rsidRPr="00FE6B7C">
              <w:rPr>
                <w:b/>
                <w:sz w:val="20"/>
                <w:szCs w:val="20"/>
              </w:rPr>
              <w:t>16</w:t>
            </w:r>
          </w:p>
        </w:tc>
        <w:tc>
          <w:tcPr>
            <w:tcW w:w="3795" w:type="dxa"/>
            <w:hideMark/>
          </w:tcPr>
          <w:p w14:paraId="5625D3A3" w14:textId="77777777" w:rsidR="007C5180" w:rsidRPr="007C5180" w:rsidRDefault="007C5180" w:rsidP="00FE6B7C">
            <w:pPr>
              <w:pStyle w:val="BodyText"/>
              <w:spacing w:before="0" w:after="0"/>
              <w:jc w:val="left"/>
              <w:rPr>
                <w:sz w:val="20"/>
                <w:szCs w:val="20"/>
              </w:rPr>
            </w:pPr>
            <w:r w:rsidRPr="007C5180">
              <w:rPr>
                <w:sz w:val="20"/>
                <w:szCs w:val="20"/>
              </w:rPr>
              <w:t>INDIVIDUAL</w:t>
            </w:r>
          </w:p>
        </w:tc>
        <w:tc>
          <w:tcPr>
            <w:tcW w:w="576" w:type="dxa"/>
          </w:tcPr>
          <w:p w14:paraId="6A4CB094" w14:textId="77777777" w:rsidR="00FE6B7C" w:rsidRPr="007C5180" w:rsidRDefault="00FE6B7C" w:rsidP="00FE6B7C">
            <w:pPr>
              <w:pStyle w:val="BodyText"/>
              <w:spacing w:before="0" w:after="0"/>
              <w:rPr>
                <w:sz w:val="20"/>
                <w:szCs w:val="20"/>
              </w:rPr>
            </w:pPr>
          </w:p>
        </w:tc>
        <w:tc>
          <w:tcPr>
            <w:tcW w:w="564" w:type="dxa"/>
          </w:tcPr>
          <w:p w14:paraId="0CF40D33" w14:textId="16EE7E94" w:rsidR="007C5180" w:rsidRPr="00530A90" w:rsidRDefault="007C5180" w:rsidP="00FE6B7C">
            <w:pPr>
              <w:pStyle w:val="BodyText"/>
              <w:spacing w:before="0" w:after="0"/>
              <w:rPr>
                <w:b/>
                <w:sz w:val="20"/>
                <w:szCs w:val="20"/>
              </w:rPr>
            </w:pPr>
            <w:r w:rsidRPr="00530A90">
              <w:rPr>
                <w:b/>
                <w:sz w:val="20"/>
                <w:szCs w:val="20"/>
              </w:rPr>
              <w:t>51</w:t>
            </w:r>
          </w:p>
        </w:tc>
        <w:tc>
          <w:tcPr>
            <w:tcW w:w="3821" w:type="dxa"/>
          </w:tcPr>
          <w:p w14:paraId="654BD196" w14:textId="567AB6FA" w:rsidR="007C5180" w:rsidRPr="007C5180" w:rsidRDefault="007C5180" w:rsidP="00FE6B7C">
            <w:pPr>
              <w:pStyle w:val="BodyText"/>
              <w:spacing w:before="0" w:after="0"/>
              <w:jc w:val="left"/>
              <w:rPr>
                <w:sz w:val="20"/>
                <w:szCs w:val="20"/>
              </w:rPr>
            </w:pPr>
            <w:r w:rsidRPr="007C5180">
              <w:rPr>
                <w:sz w:val="20"/>
                <w:szCs w:val="20"/>
              </w:rPr>
              <w:t>Grassroots Trust</w:t>
            </w:r>
          </w:p>
        </w:tc>
      </w:tr>
      <w:tr w:rsidR="007C5180" w:rsidRPr="007C5180" w14:paraId="12120859" w14:textId="34EBAC2F" w:rsidTr="00530A90">
        <w:trPr>
          <w:trHeight w:val="290"/>
        </w:trPr>
        <w:tc>
          <w:tcPr>
            <w:tcW w:w="453" w:type="dxa"/>
            <w:noWrap/>
            <w:hideMark/>
          </w:tcPr>
          <w:p w14:paraId="7FBCA850" w14:textId="77777777" w:rsidR="007C5180" w:rsidRPr="00FE6B7C" w:rsidRDefault="007C5180" w:rsidP="00FE6B7C">
            <w:pPr>
              <w:pStyle w:val="BodyText"/>
              <w:spacing w:before="0" w:after="0"/>
              <w:rPr>
                <w:b/>
                <w:sz w:val="20"/>
                <w:szCs w:val="20"/>
              </w:rPr>
            </w:pPr>
            <w:r w:rsidRPr="00FE6B7C">
              <w:rPr>
                <w:b/>
                <w:sz w:val="20"/>
                <w:szCs w:val="20"/>
              </w:rPr>
              <w:t>17</w:t>
            </w:r>
          </w:p>
        </w:tc>
        <w:tc>
          <w:tcPr>
            <w:tcW w:w="3795" w:type="dxa"/>
            <w:hideMark/>
          </w:tcPr>
          <w:p w14:paraId="0391F935" w14:textId="77777777" w:rsidR="007C5180" w:rsidRPr="007C5180" w:rsidRDefault="007C5180" w:rsidP="00FE6B7C">
            <w:pPr>
              <w:pStyle w:val="BodyText"/>
              <w:spacing w:before="0" w:after="0"/>
              <w:jc w:val="left"/>
              <w:rPr>
                <w:sz w:val="20"/>
                <w:szCs w:val="20"/>
              </w:rPr>
            </w:pPr>
            <w:r w:rsidRPr="007C5180">
              <w:rPr>
                <w:sz w:val="20"/>
                <w:szCs w:val="20"/>
              </w:rPr>
              <w:t>BlueSky Community Trust</w:t>
            </w:r>
          </w:p>
        </w:tc>
        <w:tc>
          <w:tcPr>
            <w:tcW w:w="576" w:type="dxa"/>
          </w:tcPr>
          <w:p w14:paraId="5A9DB027" w14:textId="77777777" w:rsidR="00FE6B7C" w:rsidRPr="007C5180" w:rsidRDefault="00FE6B7C" w:rsidP="00FE6B7C">
            <w:pPr>
              <w:pStyle w:val="BodyText"/>
              <w:spacing w:before="0" w:after="0"/>
              <w:rPr>
                <w:sz w:val="20"/>
                <w:szCs w:val="20"/>
              </w:rPr>
            </w:pPr>
          </w:p>
        </w:tc>
        <w:tc>
          <w:tcPr>
            <w:tcW w:w="564" w:type="dxa"/>
          </w:tcPr>
          <w:p w14:paraId="66ABA3EB" w14:textId="3CCA6C0A" w:rsidR="007C5180" w:rsidRPr="00530A90" w:rsidRDefault="007C5180" w:rsidP="00FE6B7C">
            <w:pPr>
              <w:pStyle w:val="BodyText"/>
              <w:spacing w:before="0" w:after="0"/>
              <w:rPr>
                <w:b/>
                <w:sz w:val="20"/>
                <w:szCs w:val="20"/>
              </w:rPr>
            </w:pPr>
            <w:r w:rsidRPr="00530A90">
              <w:rPr>
                <w:b/>
                <w:sz w:val="20"/>
                <w:szCs w:val="20"/>
              </w:rPr>
              <w:t>52</w:t>
            </w:r>
          </w:p>
        </w:tc>
        <w:tc>
          <w:tcPr>
            <w:tcW w:w="3821" w:type="dxa"/>
          </w:tcPr>
          <w:p w14:paraId="50395200" w14:textId="0AA26057" w:rsidR="007C5180" w:rsidRPr="007C5180" w:rsidRDefault="007C5180" w:rsidP="00FE6B7C">
            <w:pPr>
              <w:pStyle w:val="BodyText"/>
              <w:spacing w:before="0" w:after="0"/>
              <w:jc w:val="left"/>
              <w:rPr>
                <w:sz w:val="20"/>
                <w:szCs w:val="20"/>
              </w:rPr>
            </w:pPr>
            <w:r w:rsidRPr="007C5180">
              <w:rPr>
                <w:sz w:val="20"/>
                <w:szCs w:val="20"/>
              </w:rPr>
              <w:t xml:space="preserve">Addiction Nurses Branch of Te Ao Māramatanga </w:t>
            </w:r>
          </w:p>
        </w:tc>
      </w:tr>
      <w:tr w:rsidR="007C5180" w:rsidRPr="007C5180" w14:paraId="509A2536" w14:textId="038E97D3" w:rsidTr="00530A90">
        <w:trPr>
          <w:trHeight w:val="290"/>
        </w:trPr>
        <w:tc>
          <w:tcPr>
            <w:tcW w:w="453" w:type="dxa"/>
            <w:noWrap/>
            <w:hideMark/>
          </w:tcPr>
          <w:p w14:paraId="58D70A9C" w14:textId="77777777" w:rsidR="007C5180" w:rsidRPr="00FE6B7C" w:rsidRDefault="007C5180" w:rsidP="00FE6B7C">
            <w:pPr>
              <w:pStyle w:val="BodyText"/>
              <w:spacing w:before="0" w:after="0"/>
              <w:rPr>
                <w:b/>
                <w:sz w:val="20"/>
                <w:szCs w:val="20"/>
              </w:rPr>
            </w:pPr>
            <w:r w:rsidRPr="00FE6B7C">
              <w:rPr>
                <w:b/>
                <w:sz w:val="20"/>
                <w:szCs w:val="20"/>
              </w:rPr>
              <w:t>18</w:t>
            </w:r>
          </w:p>
        </w:tc>
        <w:tc>
          <w:tcPr>
            <w:tcW w:w="3795" w:type="dxa"/>
            <w:hideMark/>
          </w:tcPr>
          <w:p w14:paraId="4CBED910" w14:textId="77777777" w:rsidR="007C5180" w:rsidRPr="007C5180" w:rsidRDefault="007C5180" w:rsidP="00FE6B7C">
            <w:pPr>
              <w:pStyle w:val="BodyText"/>
              <w:spacing w:before="0" w:after="0"/>
              <w:jc w:val="left"/>
              <w:rPr>
                <w:sz w:val="20"/>
                <w:szCs w:val="20"/>
              </w:rPr>
            </w:pPr>
            <w:r w:rsidRPr="007C5180">
              <w:rPr>
                <w:sz w:val="20"/>
                <w:szCs w:val="20"/>
              </w:rPr>
              <w:t>The Salvation Army Oasis</w:t>
            </w:r>
          </w:p>
        </w:tc>
        <w:tc>
          <w:tcPr>
            <w:tcW w:w="576" w:type="dxa"/>
          </w:tcPr>
          <w:p w14:paraId="7805A982" w14:textId="77777777" w:rsidR="00FE6B7C" w:rsidRPr="007C5180" w:rsidRDefault="00FE6B7C" w:rsidP="00FE6B7C">
            <w:pPr>
              <w:pStyle w:val="BodyText"/>
              <w:spacing w:before="0" w:after="0"/>
              <w:rPr>
                <w:sz w:val="20"/>
                <w:szCs w:val="20"/>
              </w:rPr>
            </w:pPr>
          </w:p>
        </w:tc>
        <w:tc>
          <w:tcPr>
            <w:tcW w:w="564" w:type="dxa"/>
          </w:tcPr>
          <w:p w14:paraId="05D72DD7" w14:textId="4DEEBA64" w:rsidR="007C5180" w:rsidRPr="00530A90" w:rsidRDefault="007C5180" w:rsidP="00FE6B7C">
            <w:pPr>
              <w:pStyle w:val="BodyText"/>
              <w:spacing w:before="0" w:after="0"/>
              <w:rPr>
                <w:b/>
                <w:sz w:val="20"/>
                <w:szCs w:val="20"/>
              </w:rPr>
            </w:pPr>
            <w:r w:rsidRPr="00530A90">
              <w:rPr>
                <w:b/>
                <w:sz w:val="20"/>
                <w:szCs w:val="20"/>
              </w:rPr>
              <w:t>53</w:t>
            </w:r>
          </w:p>
        </w:tc>
        <w:tc>
          <w:tcPr>
            <w:tcW w:w="3821" w:type="dxa"/>
          </w:tcPr>
          <w:p w14:paraId="1063294F" w14:textId="5E7DB6BE" w:rsidR="007C5180" w:rsidRPr="007C5180" w:rsidRDefault="006D6154" w:rsidP="00FE6B7C">
            <w:pPr>
              <w:pStyle w:val="BodyText"/>
              <w:spacing w:before="0" w:after="0"/>
              <w:jc w:val="left"/>
              <w:rPr>
                <w:sz w:val="20"/>
                <w:szCs w:val="20"/>
              </w:rPr>
            </w:pPr>
            <w:r>
              <w:rPr>
                <w:sz w:val="20"/>
                <w:szCs w:val="20"/>
              </w:rPr>
              <w:t>RNZCGP</w:t>
            </w:r>
          </w:p>
        </w:tc>
      </w:tr>
      <w:tr w:rsidR="007C5180" w:rsidRPr="007C5180" w14:paraId="7BD857AB" w14:textId="395DEAE8" w:rsidTr="00530A90">
        <w:trPr>
          <w:trHeight w:val="290"/>
        </w:trPr>
        <w:tc>
          <w:tcPr>
            <w:tcW w:w="453" w:type="dxa"/>
            <w:noWrap/>
            <w:hideMark/>
          </w:tcPr>
          <w:p w14:paraId="44925FC2" w14:textId="77777777" w:rsidR="007C5180" w:rsidRPr="00FE6B7C" w:rsidRDefault="007C5180" w:rsidP="00FE6B7C">
            <w:pPr>
              <w:pStyle w:val="BodyText"/>
              <w:spacing w:before="0" w:after="0"/>
              <w:rPr>
                <w:b/>
                <w:sz w:val="20"/>
                <w:szCs w:val="20"/>
              </w:rPr>
            </w:pPr>
            <w:r w:rsidRPr="00FE6B7C">
              <w:rPr>
                <w:b/>
                <w:sz w:val="20"/>
                <w:szCs w:val="20"/>
              </w:rPr>
              <w:t>19</w:t>
            </w:r>
          </w:p>
        </w:tc>
        <w:tc>
          <w:tcPr>
            <w:tcW w:w="3795" w:type="dxa"/>
            <w:hideMark/>
          </w:tcPr>
          <w:p w14:paraId="3E7078D5" w14:textId="77777777" w:rsidR="007C5180" w:rsidRPr="007C5180" w:rsidRDefault="007C5180" w:rsidP="00FE6B7C">
            <w:pPr>
              <w:pStyle w:val="BodyText"/>
              <w:spacing w:before="0" w:after="0"/>
              <w:jc w:val="left"/>
              <w:rPr>
                <w:sz w:val="20"/>
                <w:szCs w:val="20"/>
              </w:rPr>
            </w:pPr>
            <w:r w:rsidRPr="007C5180">
              <w:rPr>
                <w:sz w:val="20"/>
                <w:szCs w:val="20"/>
              </w:rPr>
              <w:t>One Foundation</w:t>
            </w:r>
          </w:p>
        </w:tc>
        <w:tc>
          <w:tcPr>
            <w:tcW w:w="576" w:type="dxa"/>
          </w:tcPr>
          <w:p w14:paraId="14F25255" w14:textId="77777777" w:rsidR="00FE6B7C" w:rsidRPr="007C5180" w:rsidRDefault="00FE6B7C" w:rsidP="00FE6B7C">
            <w:pPr>
              <w:pStyle w:val="BodyText"/>
              <w:spacing w:before="0" w:after="0"/>
              <w:rPr>
                <w:sz w:val="20"/>
                <w:szCs w:val="20"/>
              </w:rPr>
            </w:pPr>
          </w:p>
        </w:tc>
        <w:tc>
          <w:tcPr>
            <w:tcW w:w="564" w:type="dxa"/>
          </w:tcPr>
          <w:p w14:paraId="6F87E08E" w14:textId="4DC133C1" w:rsidR="007C5180" w:rsidRPr="00530A90" w:rsidRDefault="007C5180" w:rsidP="00FE6B7C">
            <w:pPr>
              <w:pStyle w:val="BodyText"/>
              <w:spacing w:before="0" w:after="0"/>
              <w:rPr>
                <w:b/>
                <w:sz w:val="20"/>
                <w:szCs w:val="20"/>
              </w:rPr>
            </w:pPr>
            <w:r w:rsidRPr="00530A90">
              <w:rPr>
                <w:b/>
                <w:sz w:val="20"/>
                <w:szCs w:val="20"/>
              </w:rPr>
              <w:t>54</w:t>
            </w:r>
          </w:p>
        </w:tc>
        <w:tc>
          <w:tcPr>
            <w:tcW w:w="3821" w:type="dxa"/>
          </w:tcPr>
          <w:p w14:paraId="630985D2" w14:textId="07EB5DBD" w:rsidR="007C5180" w:rsidRPr="007C5180" w:rsidRDefault="007C5180" w:rsidP="00FE6B7C">
            <w:pPr>
              <w:pStyle w:val="BodyText"/>
              <w:spacing w:before="0" w:after="0"/>
              <w:jc w:val="left"/>
              <w:rPr>
                <w:sz w:val="20"/>
                <w:szCs w:val="20"/>
              </w:rPr>
            </w:pPr>
            <w:r w:rsidRPr="007C5180">
              <w:rPr>
                <w:sz w:val="20"/>
                <w:szCs w:val="20"/>
              </w:rPr>
              <w:t>Nga Manga Puriri</w:t>
            </w:r>
          </w:p>
        </w:tc>
      </w:tr>
      <w:tr w:rsidR="007C5180" w:rsidRPr="007C5180" w14:paraId="4B539EB0" w14:textId="32609D30" w:rsidTr="00530A90">
        <w:trPr>
          <w:trHeight w:val="290"/>
        </w:trPr>
        <w:tc>
          <w:tcPr>
            <w:tcW w:w="453" w:type="dxa"/>
            <w:noWrap/>
            <w:hideMark/>
          </w:tcPr>
          <w:p w14:paraId="35A84896" w14:textId="77777777" w:rsidR="007C5180" w:rsidRPr="00FE6B7C" w:rsidRDefault="007C5180" w:rsidP="00FE6B7C">
            <w:pPr>
              <w:pStyle w:val="BodyText"/>
              <w:spacing w:before="0" w:after="0"/>
              <w:rPr>
                <w:b/>
                <w:sz w:val="20"/>
                <w:szCs w:val="20"/>
              </w:rPr>
            </w:pPr>
            <w:r w:rsidRPr="00FE6B7C">
              <w:rPr>
                <w:b/>
                <w:sz w:val="20"/>
                <w:szCs w:val="20"/>
              </w:rPr>
              <w:t>20</w:t>
            </w:r>
          </w:p>
        </w:tc>
        <w:tc>
          <w:tcPr>
            <w:tcW w:w="3795" w:type="dxa"/>
            <w:hideMark/>
          </w:tcPr>
          <w:p w14:paraId="13F579F0" w14:textId="77777777" w:rsidR="007C5180" w:rsidRPr="007C5180" w:rsidRDefault="007C5180" w:rsidP="00FE6B7C">
            <w:pPr>
              <w:pStyle w:val="BodyText"/>
              <w:spacing w:before="0" w:after="0"/>
              <w:jc w:val="left"/>
              <w:rPr>
                <w:sz w:val="20"/>
                <w:szCs w:val="20"/>
              </w:rPr>
            </w:pPr>
            <w:r w:rsidRPr="007C5180">
              <w:rPr>
                <w:sz w:val="20"/>
                <w:szCs w:val="20"/>
              </w:rPr>
              <w:t>COMS Systems Limited</w:t>
            </w:r>
          </w:p>
        </w:tc>
        <w:tc>
          <w:tcPr>
            <w:tcW w:w="576" w:type="dxa"/>
          </w:tcPr>
          <w:p w14:paraId="79A8FEBB" w14:textId="77777777" w:rsidR="00FE6B7C" w:rsidRPr="007C5180" w:rsidRDefault="00FE6B7C" w:rsidP="00FE6B7C">
            <w:pPr>
              <w:pStyle w:val="BodyText"/>
              <w:spacing w:before="0" w:after="0"/>
              <w:rPr>
                <w:sz w:val="20"/>
                <w:szCs w:val="20"/>
              </w:rPr>
            </w:pPr>
          </w:p>
        </w:tc>
        <w:tc>
          <w:tcPr>
            <w:tcW w:w="564" w:type="dxa"/>
          </w:tcPr>
          <w:p w14:paraId="5E8DBC5C" w14:textId="6B77E157" w:rsidR="007C5180" w:rsidRPr="00530A90" w:rsidRDefault="007C5180" w:rsidP="00FE6B7C">
            <w:pPr>
              <w:pStyle w:val="BodyText"/>
              <w:spacing w:before="0" w:after="0"/>
              <w:rPr>
                <w:b/>
                <w:sz w:val="20"/>
                <w:szCs w:val="20"/>
              </w:rPr>
            </w:pPr>
            <w:r w:rsidRPr="00530A90">
              <w:rPr>
                <w:b/>
                <w:sz w:val="20"/>
                <w:szCs w:val="20"/>
              </w:rPr>
              <w:t>55</w:t>
            </w:r>
          </w:p>
        </w:tc>
        <w:tc>
          <w:tcPr>
            <w:tcW w:w="3821" w:type="dxa"/>
          </w:tcPr>
          <w:p w14:paraId="3F7AF63B" w14:textId="710CC3F5" w:rsidR="007C5180" w:rsidRPr="007C5180" w:rsidRDefault="007C5180" w:rsidP="00FE6B7C">
            <w:pPr>
              <w:pStyle w:val="BodyText"/>
              <w:spacing w:before="0" w:after="0"/>
              <w:jc w:val="left"/>
              <w:rPr>
                <w:sz w:val="20"/>
                <w:szCs w:val="20"/>
              </w:rPr>
            </w:pPr>
            <w:r w:rsidRPr="007C5180">
              <w:rPr>
                <w:sz w:val="20"/>
                <w:szCs w:val="20"/>
              </w:rPr>
              <w:t>Office Of The Children's Commissioner</w:t>
            </w:r>
          </w:p>
        </w:tc>
      </w:tr>
      <w:tr w:rsidR="007C5180" w:rsidRPr="007C5180" w14:paraId="09CA174A" w14:textId="1B6777AE" w:rsidTr="00530A90">
        <w:trPr>
          <w:trHeight w:val="290"/>
        </w:trPr>
        <w:tc>
          <w:tcPr>
            <w:tcW w:w="453" w:type="dxa"/>
            <w:noWrap/>
            <w:hideMark/>
          </w:tcPr>
          <w:p w14:paraId="61FBB01C" w14:textId="77777777" w:rsidR="007C5180" w:rsidRPr="00FE6B7C" w:rsidRDefault="007C5180" w:rsidP="00FE6B7C">
            <w:pPr>
              <w:pStyle w:val="BodyText"/>
              <w:spacing w:before="0" w:after="0"/>
              <w:rPr>
                <w:b/>
                <w:sz w:val="20"/>
                <w:szCs w:val="20"/>
              </w:rPr>
            </w:pPr>
            <w:r w:rsidRPr="00FE6B7C">
              <w:rPr>
                <w:b/>
                <w:sz w:val="20"/>
                <w:szCs w:val="20"/>
              </w:rPr>
              <w:t>21</w:t>
            </w:r>
          </w:p>
        </w:tc>
        <w:tc>
          <w:tcPr>
            <w:tcW w:w="3795" w:type="dxa"/>
            <w:hideMark/>
          </w:tcPr>
          <w:p w14:paraId="0FA00AC6" w14:textId="77777777" w:rsidR="007C5180" w:rsidRPr="007C5180" w:rsidRDefault="007C5180" w:rsidP="00FE6B7C">
            <w:pPr>
              <w:pStyle w:val="BodyText"/>
              <w:spacing w:before="0" w:after="0"/>
              <w:jc w:val="left"/>
              <w:rPr>
                <w:sz w:val="20"/>
                <w:szCs w:val="20"/>
              </w:rPr>
            </w:pPr>
            <w:r w:rsidRPr="007C5180">
              <w:rPr>
                <w:sz w:val="20"/>
                <w:szCs w:val="20"/>
              </w:rPr>
              <w:t>Hospitality NZ</w:t>
            </w:r>
          </w:p>
        </w:tc>
        <w:tc>
          <w:tcPr>
            <w:tcW w:w="576" w:type="dxa"/>
          </w:tcPr>
          <w:p w14:paraId="5C7F73E0" w14:textId="77777777" w:rsidR="00FE6B7C" w:rsidRPr="007C5180" w:rsidRDefault="00FE6B7C" w:rsidP="00FE6B7C">
            <w:pPr>
              <w:pStyle w:val="BodyText"/>
              <w:spacing w:before="0" w:after="0"/>
              <w:rPr>
                <w:sz w:val="20"/>
                <w:szCs w:val="20"/>
              </w:rPr>
            </w:pPr>
          </w:p>
        </w:tc>
        <w:tc>
          <w:tcPr>
            <w:tcW w:w="564" w:type="dxa"/>
          </w:tcPr>
          <w:p w14:paraId="6419734C" w14:textId="11C689DD" w:rsidR="007C5180" w:rsidRPr="00530A90" w:rsidRDefault="007C5180" w:rsidP="00FE6B7C">
            <w:pPr>
              <w:pStyle w:val="BodyText"/>
              <w:spacing w:before="0" w:after="0"/>
              <w:rPr>
                <w:b/>
                <w:sz w:val="20"/>
                <w:szCs w:val="20"/>
              </w:rPr>
            </w:pPr>
            <w:r w:rsidRPr="00530A90">
              <w:rPr>
                <w:b/>
                <w:sz w:val="20"/>
                <w:szCs w:val="20"/>
              </w:rPr>
              <w:t>C01</w:t>
            </w:r>
          </w:p>
        </w:tc>
        <w:tc>
          <w:tcPr>
            <w:tcW w:w="3821" w:type="dxa"/>
          </w:tcPr>
          <w:p w14:paraId="6B6712B1" w14:textId="08A3A081" w:rsidR="007C5180" w:rsidRPr="007C5180" w:rsidRDefault="007C5180" w:rsidP="00FE6B7C">
            <w:pPr>
              <w:pStyle w:val="BodyText"/>
              <w:spacing w:before="0" w:after="0"/>
              <w:jc w:val="left"/>
              <w:rPr>
                <w:sz w:val="20"/>
                <w:szCs w:val="20"/>
              </w:rPr>
            </w:pPr>
            <w:r w:rsidRPr="007C5180">
              <w:rPr>
                <w:sz w:val="20"/>
                <w:szCs w:val="20"/>
              </w:rPr>
              <w:t>Petone Working Men's Club</w:t>
            </w:r>
          </w:p>
        </w:tc>
      </w:tr>
      <w:tr w:rsidR="007C5180" w:rsidRPr="007C5180" w14:paraId="23FBFDD7" w14:textId="793FC202" w:rsidTr="00530A90">
        <w:trPr>
          <w:trHeight w:val="290"/>
        </w:trPr>
        <w:tc>
          <w:tcPr>
            <w:tcW w:w="453" w:type="dxa"/>
            <w:noWrap/>
            <w:hideMark/>
          </w:tcPr>
          <w:p w14:paraId="28EC1EB1" w14:textId="77777777" w:rsidR="007C5180" w:rsidRPr="00FE6B7C" w:rsidRDefault="007C5180" w:rsidP="00FE6B7C">
            <w:pPr>
              <w:pStyle w:val="BodyText"/>
              <w:spacing w:before="0" w:after="0"/>
              <w:rPr>
                <w:b/>
                <w:sz w:val="20"/>
                <w:szCs w:val="20"/>
              </w:rPr>
            </w:pPr>
            <w:r w:rsidRPr="00FE6B7C">
              <w:rPr>
                <w:b/>
                <w:sz w:val="20"/>
                <w:szCs w:val="20"/>
              </w:rPr>
              <w:t>22</w:t>
            </w:r>
          </w:p>
        </w:tc>
        <w:tc>
          <w:tcPr>
            <w:tcW w:w="3795" w:type="dxa"/>
            <w:hideMark/>
          </w:tcPr>
          <w:p w14:paraId="0562379C" w14:textId="77777777" w:rsidR="007C5180" w:rsidRPr="007C5180" w:rsidRDefault="007C5180" w:rsidP="00FE6B7C">
            <w:pPr>
              <w:pStyle w:val="BodyText"/>
              <w:spacing w:before="0" w:after="0"/>
              <w:jc w:val="left"/>
              <w:rPr>
                <w:sz w:val="20"/>
                <w:szCs w:val="20"/>
              </w:rPr>
            </w:pPr>
            <w:r w:rsidRPr="007C5180">
              <w:rPr>
                <w:sz w:val="20"/>
                <w:szCs w:val="20"/>
              </w:rPr>
              <w:t>Akarana Community Trust</w:t>
            </w:r>
          </w:p>
        </w:tc>
        <w:tc>
          <w:tcPr>
            <w:tcW w:w="576" w:type="dxa"/>
          </w:tcPr>
          <w:p w14:paraId="1AE14B1F" w14:textId="77777777" w:rsidR="00FE6B7C" w:rsidRPr="007C5180" w:rsidRDefault="00FE6B7C" w:rsidP="00FE6B7C">
            <w:pPr>
              <w:pStyle w:val="BodyText"/>
              <w:spacing w:before="0" w:after="0"/>
              <w:rPr>
                <w:sz w:val="20"/>
                <w:szCs w:val="20"/>
              </w:rPr>
            </w:pPr>
          </w:p>
        </w:tc>
        <w:tc>
          <w:tcPr>
            <w:tcW w:w="564" w:type="dxa"/>
          </w:tcPr>
          <w:p w14:paraId="7D8EAD33" w14:textId="085137B4" w:rsidR="007C5180" w:rsidRPr="00530A90" w:rsidRDefault="007C5180" w:rsidP="00FE6B7C">
            <w:pPr>
              <w:pStyle w:val="BodyText"/>
              <w:spacing w:before="0" w:after="0"/>
              <w:rPr>
                <w:b/>
                <w:sz w:val="20"/>
                <w:szCs w:val="20"/>
              </w:rPr>
            </w:pPr>
            <w:r w:rsidRPr="00530A90">
              <w:rPr>
                <w:b/>
                <w:sz w:val="20"/>
                <w:szCs w:val="20"/>
              </w:rPr>
              <w:t>C02</w:t>
            </w:r>
          </w:p>
        </w:tc>
        <w:tc>
          <w:tcPr>
            <w:tcW w:w="3821" w:type="dxa"/>
          </w:tcPr>
          <w:p w14:paraId="1E02C1E9" w14:textId="2ED2A8C4" w:rsidR="007C5180" w:rsidRPr="007C5180" w:rsidRDefault="007C5180" w:rsidP="00FE6B7C">
            <w:pPr>
              <w:pStyle w:val="BodyText"/>
              <w:spacing w:before="0" w:after="0"/>
              <w:jc w:val="left"/>
              <w:rPr>
                <w:sz w:val="20"/>
                <w:szCs w:val="20"/>
              </w:rPr>
            </w:pPr>
            <w:r w:rsidRPr="007C5180">
              <w:rPr>
                <w:sz w:val="20"/>
                <w:szCs w:val="20"/>
              </w:rPr>
              <w:t>Stronger Waitaki - Community Development Support</w:t>
            </w:r>
          </w:p>
        </w:tc>
      </w:tr>
      <w:tr w:rsidR="007C5180" w:rsidRPr="007C5180" w14:paraId="4064D881" w14:textId="58D610D0" w:rsidTr="00530A90">
        <w:trPr>
          <w:trHeight w:val="290"/>
        </w:trPr>
        <w:tc>
          <w:tcPr>
            <w:tcW w:w="453" w:type="dxa"/>
            <w:noWrap/>
            <w:hideMark/>
          </w:tcPr>
          <w:p w14:paraId="1545F45B" w14:textId="77777777" w:rsidR="007C5180" w:rsidRPr="00FE6B7C" w:rsidRDefault="007C5180" w:rsidP="00FE6B7C">
            <w:pPr>
              <w:pStyle w:val="BodyText"/>
              <w:spacing w:before="0" w:after="0"/>
              <w:rPr>
                <w:b/>
                <w:sz w:val="20"/>
                <w:szCs w:val="20"/>
              </w:rPr>
            </w:pPr>
            <w:r w:rsidRPr="00FE6B7C">
              <w:rPr>
                <w:b/>
                <w:sz w:val="20"/>
                <w:szCs w:val="20"/>
              </w:rPr>
              <w:t>23</w:t>
            </w:r>
          </w:p>
        </w:tc>
        <w:tc>
          <w:tcPr>
            <w:tcW w:w="3795" w:type="dxa"/>
            <w:hideMark/>
          </w:tcPr>
          <w:p w14:paraId="37BBF2F8" w14:textId="77777777" w:rsidR="007C5180" w:rsidRPr="007C5180" w:rsidRDefault="007C5180" w:rsidP="00FE6B7C">
            <w:pPr>
              <w:pStyle w:val="BodyText"/>
              <w:spacing w:before="0" w:after="0"/>
              <w:jc w:val="left"/>
              <w:rPr>
                <w:sz w:val="20"/>
                <w:szCs w:val="20"/>
              </w:rPr>
            </w:pPr>
            <w:r w:rsidRPr="007C5180">
              <w:rPr>
                <w:sz w:val="20"/>
                <w:szCs w:val="20"/>
              </w:rPr>
              <w:t>New Zealand Council Of Christian Social Services (NZCCSS)</w:t>
            </w:r>
          </w:p>
        </w:tc>
        <w:tc>
          <w:tcPr>
            <w:tcW w:w="576" w:type="dxa"/>
          </w:tcPr>
          <w:p w14:paraId="0C99ECEE" w14:textId="77777777" w:rsidR="00FE6B7C" w:rsidRPr="007C5180" w:rsidRDefault="00FE6B7C" w:rsidP="00FE6B7C">
            <w:pPr>
              <w:pStyle w:val="BodyText"/>
              <w:spacing w:before="0" w:after="0"/>
              <w:rPr>
                <w:sz w:val="20"/>
                <w:szCs w:val="20"/>
              </w:rPr>
            </w:pPr>
          </w:p>
        </w:tc>
        <w:tc>
          <w:tcPr>
            <w:tcW w:w="564" w:type="dxa"/>
          </w:tcPr>
          <w:p w14:paraId="34B46E0D" w14:textId="62A13FC4" w:rsidR="007C5180" w:rsidRPr="00530A90" w:rsidRDefault="007C5180" w:rsidP="00FE6B7C">
            <w:pPr>
              <w:pStyle w:val="BodyText"/>
              <w:spacing w:before="0" w:after="0"/>
              <w:rPr>
                <w:b/>
                <w:sz w:val="20"/>
                <w:szCs w:val="20"/>
              </w:rPr>
            </w:pPr>
            <w:r w:rsidRPr="00530A90">
              <w:rPr>
                <w:b/>
                <w:sz w:val="20"/>
                <w:szCs w:val="20"/>
              </w:rPr>
              <w:t>C03</w:t>
            </w:r>
          </w:p>
        </w:tc>
        <w:tc>
          <w:tcPr>
            <w:tcW w:w="3821" w:type="dxa"/>
          </w:tcPr>
          <w:p w14:paraId="274FDB06" w14:textId="3A585BF9" w:rsidR="007C5180" w:rsidRPr="007C5180" w:rsidRDefault="00FE6B7C" w:rsidP="00FE6B7C">
            <w:pPr>
              <w:pStyle w:val="BodyText"/>
              <w:spacing w:before="0" w:after="0"/>
              <w:jc w:val="left"/>
              <w:rPr>
                <w:sz w:val="20"/>
                <w:szCs w:val="20"/>
              </w:rPr>
            </w:pPr>
            <w:r w:rsidRPr="007C5180">
              <w:rPr>
                <w:sz w:val="20"/>
                <w:szCs w:val="20"/>
              </w:rPr>
              <w:t>I</w:t>
            </w:r>
            <w:r w:rsidR="006D6154">
              <w:rPr>
                <w:sz w:val="20"/>
                <w:szCs w:val="20"/>
              </w:rPr>
              <w:t>ndividual</w:t>
            </w:r>
          </w:p>
        </w:tc>
      </w:tr>
      <w:tr w:rsidR="007C5180" w:rsidRPr="007C5180" w14:paraId="12C3FF5B" w14:textId="28B55DD2" w:rsidTr="00530A90">
        <w:trPr>
          <w:trHeight w:val="290"/>
        </w:trPr>
        <w:tc>
          <w:tcPr>
            <w:tcW w:w="453" w:type="dxa"/>
            <w:noWrap/>
            <w:hideMark/>
          </w:tcPr>
          <w:p w14:paraId="77D2A07B" w14:textId="77777777" w:rsidR="007C5180" w:rsidRPr="00FE6B7C" w:rsidRDefault="007C5180" w:rsidP="00FE6B7C">
            <w:pPr>
              <w:pStyle w:val="BodyText"/>
              <w:spacing w:before="0" w:after="0"/>
              <w:rPr>
                <w:b/>
                <w:sz w:val="20"/>
                <w:szCs w:val="20"/>
              </w:rPr>
            </w:pPr>
            <w:r w:rsidRPr="00FE6B7C">
              <w:rPr>
                <w:b/>
                <w:sz w:val="20"/>
                <w:szCs w:val="20"/>
              </w:rPr>
              <w:t>24</w:t>
            </w:r>
          </w:p>
        </w:tc>
        <w:tc>
          <w:tcPr>
            <w:tcW w:w="3795" w:type="dxa"/>
            <w:hideMark/>
          </w:tcPr>
          <w:p w14:paraId="666383CB" w14:textId="77777777" w:rsidR="007C5180" w:rsidRPr="007C5180" w:rsidRDefault="007C5180" w:rsidP="00FE6B7C">
            <w:pPr>
              <w:pStyle w:val="BodyText"/>
              <w:spacing w:before="0" w:after="0"/>
              <w:jc w:val="left"/>
              <w:rPr>
                <w:sz w:val="20"/>
                <w:szCs w:val="20"/>
              </w:rPr>
            </w:pPr>
            <w:r w:rsidRPr="007C5180">
              <w:rPr>
                <w:sz w:val="20"/>
                <w:szCs w:val="20"/>
              </w:rPr>
              <w:t>The Southern District Health Board (Southern DHB)</w:t>
            </w:r>
          </w:p>
        </w:tc>
        <w:tc>
          <w:tcPr>
            <w:tcW w:w="576" w:type="dxa"/>
          </w:tcPr>
          <w:p w14:paraId="7202BAE8" w14:textId="77777777" w:rsidR="00FE6B7C" w:rsidRPr="007C5180" w:rsidRDefault="00FE6B7C" w:rsidP="00FE6B7C">
            <w:pPr>
              <w:pStyle w:val="BodyText"/>
              <w:spacing w:before="0" w:after="0"/>
              <w:rPr>
                <w:sz w:val="20"/>
                <w:szCs w:val="20"/>
              </w:rPr>
            </w:pPr>
          </w:p>
        </w:tc>
        <w:tc>
          <w:tcPr>
            <w:tcW w:w="564" w:type="dxa"/>
          </w:tcPr>
          <w:p w14:paraId="09D8B697" w14:textId="3EFDB55F" w:rsidR="007C5180" w:rsidRPr="00530A90" w:rsidRDefault="007C5180" w:rsidP="00FE6B7C">
            <w:pPr>
              <w:pStyle w:val="BodyText"/>
              <w:spacing w:before="0" w:after="0"/>
              <w:rPr>
                <w:b/>
                <w:sz w:val="20"/>
                <w:szCs w:val="20"/>
              </w:rPr>
            </w:pPr>
            <w:r w:rsidRPr="00530A90">
              <w:rPr>
                <w:b/>
                <w:sz w:val="20"/>
                <w:szCs w:val="20"/>
              </w:rPr>
              <w:t>C04</w:t>
            </w:r>
          </w:p>
        </w:tc>
        <w:tc>
          <w:tcPr>
            <w:tcW w:w="3821" w:type="dxa"/>
          </w:tcPr>
          <w:p w14:paraId="50DD1176" w14:textId="0258324B" w:rsidR="007C5180" w:rsidRPr="007C5180" w:rsidRDefault="007C5180" w:rsidP="00FE6B7C">
            <w:pPr>
              <w:pStyle w:val="BodyText"/>
              <w:spacing w:before="0" w:after="0"/>
              <w:jc w:val="left"/>
              <w:rPr>
                <w:sz w:val="20"/>
                <w:szCs w:val="20"/>
              </w:rPr>
            </w:pPr>
            <w:r w:rsidRPr="007C5180">
              <w:rPr>
                <w:sz w:val="20"/>
                <w:szCs w:val="20"/>
              </w:rPr>
              <w:t>Tōpūtanga Tapuhi Kaitiaki o Aotearoa, New Zealand Nurses Organisation (NZNO</w:t>
            </w:r>
            <w:r w:rsidR="00FE6B7C" w:rsidRPr="007C5180">
              <w:rPr>
                <w:sz w:val="20"/>
                <w:szCs w:val="20"/>
              </w:rPr>
              <w:t>)</w:t>
            </w:r>
          </w:p>
        </w:tc>
      </w:tr>
      <w:tr w:rsidR="007C5180" w:rsidRPr="007C5180" w14:paraId="0A49189E" w14:textId="666F2116" w:rsidTr="00530A90">
        <w:trPr>
          <w:trHeight w:val="290"/>
        </w:trPr>
        <w:tc>
          <w:tcPr>
            <w:tcW w:w="453" w:type="dxa"/>
            <w:noWrap/>
            <w:hideMark/>
          </w:tcPr>
          <w:p w14:paraId="0427FC29" w14:textId="77777777" w:rsidR="007C5180" w:rsidRPr="00FE6B7C" w:rsidRDefault="007C5180" w:rsidP="00FE6B7C">
            <w:pPr>
              <w:pStyle w:val="BodyText"/>
              <w:spacing w:before="0" w:after="0"/>
              <w:rPr>
                <w:b/>
                <w:sz w:val="20"/>
                <w:szCs w:val="20"/>
              </w:rPr>
            </w:pPr>
            <w:r w:rsidRPr="00FE6B7C">
              <w:rPr>
                <w:b/>
                <w:sz w:val="20"/>
                <w:szCs w:val="20"/>
              </w:rPr>
              <w:t>25</w:t>
            </w:r>
          </w:p>
        </w:tc>
        <w:tc>
          <w:tcPr>
            <w:tcW w:w="3795" w:type="dxa"/>
            <w:hideMark/>
          </w:tcPr>
          <w:p w14:paraId="0D0169EB" w14:textId="77777777" w:rsidR="007C5180" w:rsidRPr="007C5180" w:rsidRDefault="007C5180" w:rsidP="00FE6B7C">
            <w:pPr>
              <w:pStyle w:val="BodyText"/>
              <w:spacing w:before="0" w:after="0"/>
              <w:jc w:val="left"/>
              <w:rPr>
                <w:sz w:val="20"/>
                <w:szCs w:val="20"/>
              </w:rPr>
            </w:pPr>
            <w:r w:rsidRPr="007C5180">
              <w:rPr>
                <w:sz w:val="20"/>
                <w:szCs w:val="20"/>
              </w:rPr>
              <w:t>Odyssey</w:t>
            </w:r>
          </w:p>
        </w:tc>
        <w:tc>
          <w:tcPr>
            <w:tcW w:w="576" w:type="dxa"/>
          </w:tcPr>
          <w:p w14:paraId="3A9C39AA" w14:textId="77777777" w:rsidR="00FE6B7C" w:rsidRPr="007C5180" w:rsidRDefault="00FE6B7C" w:rsidP="00FE6B7C">
            <w:pPr>
              <w:pStyle w:val="BodyText"/>
              <w:spacing w:before="0" w:after="0"/>
              <w:rPr>
                <w:sz w:val="20"/>
                <w:szCs w:val="20"/>
              </w:rPr>
            </w:pPr>
          </w:p>
        </w:tc>
        <w:tc>
          <w:tcPr>
            <w:tcW w:w="564" w:type="dxa"/>
          </w:tcPr>
          <w:p w14:paraId="78037EE8" w14:textId="45578868" w:rsidR="007C5180" w:rsidRPr="00530A90" w:rsidRDefault="007C5180" w:rsidP="00FE6B7C">
            <w:pPr>
              <w:pStyle w:val="BodyText"/>
              <w:spacing w:before="0" w:after="0"/>
              <w:rPr>
                <w:b/>
                <w:sz w:val="20"/>
                <w:szCs w:val="20"/>
              </w:rPr>
            </w:pPr>
            <w:r w:rsidRPr="00530A90">
              <w:rPr>
                <w:b/>
                <w:sz w:val="20"/>
                <w:szCs w:val="20"/>
              </w:rPr>
              <w:t>C05</w:t>
            </w:r>
          </w:p>
        </w:tc>
        <w:tc>
          <w:tcPr>
            <w:tcW w:w="3821" w:type="dxa"/>
          </w:tcPr>
          <w:p w14:paraId="5055350A" w14:textId="4A18CEC7" w:rsidR="007C5180" w:rsidRPr="007C5180" w:rsidRDefault="007C5180" w:rsidP="00FE6B7C">
            <w:pPr>
              <w:pStyle w:val="BodyText"/>
              <w:spacing w:before="0" w:after="0"/>
              <w:jc w:val="left"/>
              <w:rPr>
                <w:sz w:val="20"/>
                <w:szCs w:val="20"/>
              </w:rPr>
            </w:pPr>
            <w:r w:rsidRPr="007C5180">
              <w:rPr>
                <w:sz w:val="20"/>
                <w:szCs w:val="20"/>
              </w:rPr>
              <w:t>Group: Safer Napier Strategic Group</w:t>
            </w:r>
          </w:p>
        </w:tc>
      </w:tr>
      <w:tr w:rsidR="007C5180" w:rsidRPr="007C5180" w14:paraId="5BB7BA90" w14:textId="3E0C7308" w:rsidTr="00530A90">
        <w:trPr>
          <w:trHeight w:val="290"/>
        </w:trPr>
        <w:tc>
          <w:tcPr>
            <w:tcW w:w="453" w:type="dxa"/>
            <w:noWrap/>
            <w:hideMark/>
          </w:tcPr>
          <w:p w14:paraId="31421A60" w14:textId="77777777" w:rsidR="007C5180" w:rsidRPr="00FE6B7C" w:rsidRDefault="007C5180" w:rsidP="00FE6B7C">
            <w:pPr>
              <w:pStyle w:val="BodyText"/>
              <w:spacing w:before="0" w:after="0"/>
              <w:rPr>
                <w:b/>
                <w:sz w:val="20"/>
                <w:szCs w:val="20"/>
              </w:rPr>
            </w:pPr>
            <w:r w:rsidRPr="00FE6B7C">
              <w:rPr>
                <w:b/>
                <w:sz w:val="20"/>
                <w:szCs w:val="20"/>
              </w:rPr>
              <w:t>26</w:t>
            </w:r>
          </w:p>
        </w:tc>
        <w:tc>
          <w:tcPr>
            <w:tcW w:w="3795" w:type="dxa"/>
            <w:hideMark/>
          </w:tcPr>
          <w:p w14:paraId="4FFA9876" w14:textId="77777777" w:rsidR="007C5180" w:rsidRPr="007C5180" w:rsidRDefault="007C5180" w:rsidP="00FE6B7C">
            <w:pPr>
              <w:pStyle w:val="BodyText"/>
              <w:spacing w:before="0" w:after="0"/>
              <w:jc w:val="left"/>
              <w:rPr>
                <w:sz w:val="20"/>
                <w:szCs w:val="20"/>
              </w:rPr>
            </w:pPr>
            <w:r w:rsidRPr="007C5180">
              <w:rPr>
                <w:sz w:val="20"/>
                <w:szCs w:val="20"/>
              </w:rPr>
              <w:t>Dragon Community Trust</w:t>
            </w:r>
          </w:p>
        </w:tc>
        <w:tc>
          <w:tcPr>
            <w:tcW w:w="576" w:type="dxa"/>
          </w:tcPr>
          <w:p w14:paraId="25DE5E55" w14:textId="77777777" w:rsidR="00FE6B7C" w:rsidRPr="007C5180" w:rsidRDefault="00FE6B7C" w:rsidP="00FE6B7C">
            <w:pPr>
              <w:pStyle w:val="BodyText"/>
              <w:spacing w:before="0" w:after="0"/>
              <w:rPr>
                <w:sz w:val="20"/>
                <w:szCs w:val="20"/>
              </w:rPr>
            </w:pPr>
          </w:p>
        </w:tc>
        <w:tc>
          <w:tcPr>
            <w:tcW w:w="564" w:type="dxa"/>
          </w:tcPr>
          <w:p w14:paraId="57275A17" w14:textId="34C18FB2" w:rsidR="007C5180" w:rsidRPr="00530A90" w:rsidRDefault="007C5180" w:rsidP="00FE6B7C">
            <w:pPr>
              <w:pStyle w:val="BodyText"/>
              <w:spacing w:before="0" w:after="0"/>
              <w:rPr>
                <w:b/>
                <w:sz w:val="20"/>
                <w:szCs w:val="20"/>
              </w:rPr>
            </w:pPr>
            <w:r w:rsidRPr="00530A90">
              <w:rPr>
                <w:b/>
                <w:sz w:val="20"/>
                <w:szCs w:val="20"/>
              </w:rPr>
              <w:t>C06</w:t>
            </w:r>
          </w:p>
        </w:tc>
        <w:tc>
          <w:tcPr>
            <w:tcW w:w="3821" w:type="dxa"/>
          </w:tcPr>
          <w:p w14:paraId="7EA5E041" w14:textId="00B26C9F" w:rsidR="007C5180" w:rsidRPr="007C5180" w:rsidRDefault="007C5180" w:rsidP="00FE6B7C">
            <w:pPr>
              <w:pStyle w:val="BodyText"/>
              <w:spacing w:before="0" w:after="0"/>
              <w:jc w:val="left"/>
              <w:rPr>
                <w:sz w:val="20"/>
                <w:szCs w:val="20"/>
              </w:rPr>
            </w:pPr>
            <w:r w:rsidRPr="007C5180">
              <w:rPr>
                <w:sz w:val="20"/>
                <w:szCs w:val="20"/>
              </w:rPr>
              <w:t>INDIVIDUALS</w:t>
            </w:r>
          </w:p>
        </w:tc>
      </w:tr>
      <w:tr w:rsidR="007C5180" w:rsidRPr="007C5180" w14:paraId="720EB681" w14:textId="7E0FC80F" w:rsidTr="00530A90">
        <w:trPr>
          <w:trHeight w:val="290"/>
        </w:trPr>
        <w:tc>
          <w:tcPr>
            <w:tcW w:w="453" w:type="dxa"/>
            <w:noWrap/>
            <w:hideMark/>
          </w:tcPr>
          <w:p w14:paraId="327CFC08" w14:textId="77777777" w:rsidR="007C5180" w:rsidRPr="00FE6B7C" w:rsidRDefault="007C5180" w:rsidP="00FE6B7C">
            <w:pPr>
              <w:pStyle w:val="BodyText"/>
              <w:spacing w:before="0" w:after="0"/>
              <w:rPr>
                <w:b/>
                <w:sz w:val="20"/>
                <w:szCs w:val="20"/>
              </w:rPr>
            </w:pPr>
            <w:r w:rsidRPr="00FE6B7C">
              <w:rPr>
                <w:b/>
                <w:sz w:val="20"/>
                <w:szCs w:val="20"/>
              </w:rPr>
              <w:t>27</w:t>
            </w:r>
          </w:p>
        </w:tc>
        <w:tc>
          <w:tcPr>
            <w:tcW w:w="3795" w:type="dxa"/>
            <w:hideMark/>
          </w:tcPr>
          <w:p w14:paraId="7FDD90F3" w14:textId="121A5E7D" w:rsidR="007C5180" w:rsidRPr="007C5180" w:rsidRDefault="00FE6B7C" w:rsidP="00FE6B7C">
            <w:pPr>
              <w:pStyle w:val="BodyText"/>
              <w:spacing w:before="0" w:after="0"/>
              <w:jc w:val="left"/>
              <w:rPr>
                <w:sz w:val="20"/>
                <w:szCs w:val="20"/>
              </w:rPr>
            </w:pPr>
            <w:r w:rsidRPr="007C5180">
              <w:rPr>
                <w:sz w:val="20"/>
                <w:szCs w:val="20"/>
              </w:rPr>
              <w:t xml:space="preserve">PGF Group </w:t>
            </w:r>
          </w:p>
        </w:tc>
        <w:tc>
          <w:tcPr>
            <w:tcW w:w="576" w:type="dxa"/>
          </w:tcPr>
          <w:p w14:paraId="70BEF5A9" w14:textId="77777777" w:rsidR="00FE6B7C" w:rsidRPr="007C5180" w:rsidRDefault="00FE6B7C" w:rsidP="00FE6B7C">
            <w:pPr>
              <w:pStyle w:val="BodyText"/>
              <w:spacing w:before="0" w:after="0"/>
              <w:rPr>
                <w:sz w:val="20"/>
                <w:szCs w:val="20"/>
              </w:rPr>
            </w:pPr>
          </w:p>
        </w:tc>
        <w:tc>
          <w:tcPr>
            <w:tcW w:w="564" w:type="dxa"/>
          </w:tcPr>
          <w:p w14:paraId="340F3EA7" w14:textId="57FDB1C7" w:rsidR="007C5180" w:rsidRPr="00530A90" w:rsidRDefault="007C5180" w:rsidP="00FE6B7C">
            <w:pPr>
              <w:pStyle w:val="BodyText"/>
              <w:spacing w:before="0" w:after="0"/>
              <w:rPr>
                <w:b/>
                <w:sz w:val="20"/>
                <w:szCs w:val="20"/>
              </w:rPr>
            </w:pPr>
            <w:r w:rsidRPr="00530A90">
              <w:rPr>
                <w:b/>
                <w:sz w:val="20"/>
                <w:szCs w:val="20"/>
              </w:rPr>
              <w:t>C07</w:t>
            </w:r>
          </w:p>
        </w:tc>
        <w:tc>
          <w:tcPr>
            <w:tcW w:w="3821" w:type="dxa"/>
          </w:tcPr>
          <w:p w14:paraId="3E7AEF25" w14:textId="3A9A0AF7" w:rsidR="007C5180" w:rsidRPr="007C5180" w:rsidRDefault="007C5180" w:rsidP="00FE6B7C">
            <w:pPr>
              <w:pStyle w:val="BodyText"/>
              <w:spacing w:before="0" w:after="0"/>
              <w:jc w:val="left"/>
              <w:rPr>
                <w:sz w:val="20"/>
                <w:szCs w:val="20"/>
              </w:rPr>
            </w:pPr>
            <w:r w:rsidRPr="007C5180">
              <w:rPr>
                <w:sz w:val="20"/>
                <w:szCs w:val="20"/>
              </w:rPr>
              <w:t>Ngā Tai o te Awa</w:t>
            </w:r>
          </w:p>
        </w:tc>
      </w:tr>
      <w:tr w:rsidR="007C5180" w:rsidRPr="007C5180" w14:paraId="374B10E9" w14:textId="0E48F808" w:rsidTr="00530A90">
        <w:trPr>
          <w:trHeight w:val="290"/>
        </w:trPr>
        <w:tc>
          <w:tcPr>
            <w:tcW w:w="453" w:type="dxa"/>
            <w:noWrap/>
            <w:hideMark/>
          </w:tcPr>
          <w:p w14:paraId="397C795C" w14:textId="77777777" w:rsidR="007C5180" w:rsidRPr="00FE6B7C" w:rsidRDefault="007C5180" w:rsidP="00FE6B7C">
            <w:pPr>
              <w:pStyle w:val="BodyText"/>
              <w:spacing w:before="0" w:after="0"/>
              <w:rPr>
                <w:b/>
                <w:sz w:val="20"/>
                <w:szCs w:val="20"/>
              </w:rPr>
            </w:pPr>
            <w:r w:rsidRPr="00FE6B7C">
              <w:rPr>
                <w:b/>
                <w:sz w:val="20"/>
                <w:szCs w:val="20"/>
              </w:rPr>
              <w:t>28</w:t>
            </w:r>
          </w:p>
        </w:tc>
        <w:tc>
          <w:tcPr>
            <w:tcW w:w="3795" w:type="dxa"/>
            <w:hideMark/>
          </w:tcPr>
          <w:p w14:paraId="77489A0E" w14:textId="18A7AAFE" w:rsidR="007C5180" w:rsidRPr="007C5180" w:rsidRDefault="007C5180" w:rsidP="00FE6B7C">
            <w:pPr>
              <w:pStyle w:val="BodyText"/>
              <w:spacing w:before="0" w:after="0"/>
              <w:jc w:val="left"/>
              <w:rPr>
                <w:sz w:val="20"/>
                <w:szCs w:val="20"/>
              </w:rPr>
            </w:pPr>
            <w:r w:rsidRPr="007C5180">
              <w:rPr>
                <w:sz w:val="20"/>
                <w:szCs w:val="20"/>
              </w:rPr>
              <w:t>Public Service Association (PSA)</w:t>
            </w:r>
          </w:p>
        </w:tc>
        <w:tc>
          <w:tcPr>
            <w:tcW w:w="576" w:type="dxa"/>
          </w:tcPr>
          <w:p w14:paraId="70D186D7" w14:textId="77777777" w:rsidR="00FE6B7C" w:rsidRPr="007C5180" w:rsidRDefault="00FE6B7C" w:rsidP="00FE6B7C">
            <w:pPr>
              <w:pStyle w:val="BodyText"/>
              <w:spacing w:before="0" w:after="0"/>
              <w:rPr>
                <w:sz w:val="20"/>
                <w:szCs w:val="20"/>
              </w:rPr>
            </w:pPr>
          </w:p>
        </w:tc>
        <w:tc>
          <w:tcPr>
            <w:tcW w:w="564" w:type="dxa"/>
          </w:tcPr>
          <w:p w14:paraId="0BF79524" w14:textId="42A38BB5" w:rsidR="007C5180" w:rsidRPr="00530A90" w:rsidRDefault="007C5180" w:rsidP="00FE6B7C">
            <w:pPr>
              <w:pStyle w:val="BodyText"/>
              <w:spacing w:before="0" w:after="0"/>
              <w:rPr>
                <w:b/>
                <w:sz w:val="20"/>
                <w:szCs w:val="20"/>
              </w:rPr>
            </w:pPr>
            <w:r w:rsidRPr="00530A90">
              <w:rPr>
                <w:b/>
                <w:sz w:val="20"/>
                <w:szCs w:val="20"/>
              </w:rPr>
              <w:t>C08</w:t>
            </w:r>
          </w:p>
        </w:tc>
        <w:tc>
          <w:tcPr>
            <w:tcW w:w="3821" w:type="dxa"/>
          </w:tcPr>
          <w:p w14:paraId="20601024" w14:textId="65CDE7D9" w:rsidR="007C5180" w:rsidRPr="007C5180" w:rsidRDefault="00FE6B7C" w:rsidP="00FE6B7C">
            <w:pPr>
              <w:pStyle w:val="BodyText"/>
              <w:spacing w:before="0" w:after="0"/>
              <w:jc w:val="left"/>
              <w:rPr>
                <w:sz w:val="20"/>
                <w:szCs w:val="20"/>
              </w:rPr>
            </w:pPr>
            <w:r w:rsidRPr="007C5180">
              <w:rPr>
                <w:sz w:val="20"/>
                <w:szCs w:val="20"/>
              </w:rPr>
              <w:t>Dapaanz</w:t>
            </w:r>
          </w:p>
        </w:tc>
      </w:tr>
      <w:tr w:rsidR="007C5180" w:rsidRPr="007C5180" w14:paraId="255C9709" w14:textId="47360392" w:rsidTr="00530A90">
        <w:trPr>
          <w:trHeight w:val="290"/>
        </w:trPr>
        <w:tc>
          <w:tcPr>
            <w:tcW w:w="453" w:type="dxa"/>
            <w:noWrap/>
            <w:hideMark/>
          </w:tcPr>
          <w:p w14:paraId="55D47E01" w14:textId="77777777" w:rsidR="007C5180" w:rsidRPr="00FE6B7C" w:rsidRDefault="007C5180" w:rsidP="00FE6B7C">
            <w:pPr>
              <w:pStyle w:val="BodyText"/>
              <w:spacing w:before="0" w:after="0"/>
              <w:rPr>
                <w:b/>
                <w:sz w:val="20"/>
                <w:szCs w:val="20"/>
              </w:rPr>
            </w:pPr>
            <w:r w:rsidRPr="00FE6B7C">
              <w:rPr>
                <w:b/>
                <w:sz w:val="20"/>
                <w:szCs w:val="20"/>
              </w:rPr>
              <w:t>29</w:t>
            </w:r>
          </w:p>
        </w:tc>
        <w:tc>
          <w:tcPr>
            <w:tcW w:w="3795" w:type="dxa"/>
            <w:hideMark/>
          </w:tcPr>
          <w:p w14:paraId="53F2D184" w14:textId="77777777" w:rsidR="007C5180" w:rsidRPr="007C5180" w:rsidRDefault="007C5180" w:rsidP="00FE6B7C">
            <w:pPr>
              <w:pStyle w:val="BodyText"/>
              <w:spacing w:before="0" w:after="0"/>
              <w:jc w:val="left"/>
              <w:rPr>
                <w:sz w:val="20"/>
                <w:szCs w:val="20"/>
              </w:rPr>
            </w:pPr>
            <w:r w:rsidRPr="007C5180">
              <w:rPr>
                <w:sz w:val="20"/>
                <w:szCs w:val="20"/>
              </w:rPr>
              <w:t>Mapu Maia</w:t>
            </w:r>
          </w:p>
        </w:tc>
        <w:tc>
          <w:tcPr>
            <w:tcW w:w="576" w:type="dxa"/>
          </w:tcPr>
          <w:p w14:paraId="5DEAA902" w14:textId="77777777" w:rsidR="00FE6B7C" w:rsidRPr="007C5180" w:rsidRDefault="00FE6B7C" w:rsidP="00FE6B7C">
            <w:pPr>
              <w:pStyle w:val="BodyText"/>
              <w:spacing w:before="0" w:after="0"/>
              <w:rPr>
                <w:sz w:val="20"/>
                <w:szCs w:val="20"/>
              </w:rPr>
            </w:pPr>
          </w:p>
        </w:tc>
        <w:tc>
          <w:tcPr>
            <w:tcW w:w="564" w:type="dxa"/>
          </w:tcPr>
          <w:p w14:paraId="6C8C4434" w14:textId="2DDF82CC" w:rsidR="007C5180" w:rsidRPr="00530A90" w:rsidRDefault="007C5180" w:rsidP="00FE6B7C">
            <w:pPr>
              <w:pStyle w:val="BodyText"/>
              <w:spacing w:before="0" w:after="0"/>
              <w:rPr>
                <w:b/>
                <w:sz w:val="20"/>
                <w:szCs w:val="20"/>
              </w:rPr>
            </w:pPr>
            <w:r w:rsidRPr="00530A90">
              <w:rPr>
                <w:b/>
                <w:sz w:val="20"/>
                <w:szCs w:val="20"/>
              </w:rPr>
              <w:t>C09</w:t>
            </w:r>
          </w:p>
        </w:tc>
        <w:tc>
          <w:tcPr>
            <w:tcW w:w="3821" w:type="dxa"/>
          </w:tcPr>
          <w:p w14:paraId="7E33CD3B" w14:textId="520D6112" w:rsidR="007C5180" w:rsidRPr="007C5180" w:rsidRDefault="00FE6B7C" w:rsidP="00FE6B7C">
            <w:pPr>
              <w:pStyle w:val="BodyText"/>
              <w:spacing w:before="0" w:after="0"/>
              <w:jc w:val="left"/>
              <w:rPr>
                <w:sz w:val="20"/>
                <w:szCs w:val="20"/>
              </w:rPr>
            </w:pPr>
            <w:r w:rsidRPr="007C5180">
              <w:rPr>
                <w:sz w:val="20"/>
                <w:szCs w:val="20"/>
              </w:rPr>
              <w:t>I</w:t>
            </w:r>
            <w:r w:rsidR="00112DA7">
              <w:rPr>
                <w:sz w:val="20"/>
                <w:szCs w:val="20"/>
              </w:rPr>
              <w:t>ndividual</w:t>
            </w:r>
          </w:p>
        </w:tc>
      </w:tr>
      <w:tr w:rsidR="007C5180" w:rsidRPr="007C5180" w14:paraId="5F8FD6E0" w14:textId="0441930B" w:rsidTr="00530A90">
        <w:trPr>
          <w:trHeight w:val="290"/>
        </w:trPr>
        <w:tc>
          <w:tcPr>
            <w:tcW w:w="453" w:type="dxa"/>
            <w:noWrap/>
            <w:hideMark/>
          </w:tcPr>
          <w:p w14:paraId="7E57F9E3" w14:textId="77777777" w:rsidR="007C5180" w:rsidRPr="00FE6B7C" w:rsidRDefault="007C5180" w:rsidP="00FE6B7C">
            <w:pPr>
              <w:pStyle w:val="BodyText"/>
              <w:spacing w:before="0" w:after="0"/>
              <w:rPr>
                <w:b/>
                <w:sz w:val="20"/>
                <w:szCs w:val="20"/>
              </w:rPr>
            </w:pPr>
            <w:r w:rsidRPr="00FE6B7C">
              <w:rPr>
                <w:b/>
                <w:sz w:val="20"/>
                <w:szCs w:val="20"/>
              </w:rPr>
              <w:t>31</w:t>
            </w:r>
          </w:p>
        </w:tc>
        <w:tc>
          <w:tcPr>
            <w:tcW w:w="3795" w:type="dxa"/>
            <w:hideMark/>
          </w:tcPr>
          <w:p w14:paraId="101A648B" w14:textId="77777777" w:rsidR="007C5180" w:rsidRPr="007C5180" w:rsidRDefault="007C5180" w:rsidP="00FE6B7C">
            <w:pPr>
              <w:pStyle w:val="BodyText"/>
              <w:spacing w:before="0" w:after="0"/>
              <w:jc w:val="left"/>
              <w:rPr>
                <w:sz w:val="20"/>
                <w:szCs w:val="20"/>
              </w:rPr>
            </w:pPr>
            <w:r w:rsidRPr="007C5180">
              <w:rPr>
                <w:sz w:val="20"/>
                <w:szCs w:val="20"/>
              </w:rPr>
              <w:t>Lotto NZ</w:t>
            </w:r>
          </w:p>
        </w:tc>
        <w:tc>
          <w:tcPr>
            <w:tcW w:w="576" w:type="dxa"/>
          </w:tcPr>
          <w:p w14:paraId="1ACBFC3B" w14:textId="77777777" w:rsidR="00FE6B7C" w:rsidRPr="007C5180" w:rsidRDefault="00FE6B7C" w:rsidP="00FE6B7C">
            <w:pPr>
              <w:pStyle w:val="BodyText"/>
              <w:spacing w:before="0" w:after="0"/>
              <w:rPr>
                <w:sz w:val="20"/>
                <w:szCs w:val="20"/>
              </w:rPr>
            </w:pPr>
          </w:p>
        </w:tc>
        <w:tc>
          <w:tcPr>
            <w:tcW w:w="564" w:type="dxa"/>
          </w:tcPr>
          <w:p w14:paraId="47531044" w14:textId="77777777" w:rsidR="007C5180" w:rsidRPr="00530A90" w:rsidRDefault="007C5180" w:rsidP="00FE6B7C">
            <w:pPr>
              <w:pStyle w:val="BodyText"/>
              <w:spacing w:before="0" w:after="0"/>
              <w:rPr>
                <w:b/>
                <w:sz w:val="20"/>
                <w:szCs w:val="20"/>
              </w:rPr>
            </w:pPr>
          </w:p>
        </w:tc>
        <w:tc>
          <w:tcPr>
            <w:tcW w:w="3821" w:type="dxa"/>
          </w:tcPr>
          <w:p w14:paraId="62B2ADBD" w14:textId="77777777" w:rsidR="007C5180" w:rsidRPr="007C5180" w:rsidRDefault="007C5180" w:rsidP="00FE6B7C">
            <w:pPr>
              <w:pStyle w:val="BodyText"/>
              <w:spacing w:before="0" w:after="0"/>
              <w:jc w:val="left"/>
              <w:rPr>
                <w:sz w:val="20"/>
                <w:szCs w:val="20"/>
              </w:rPr>
            </w:pPr>
          </w:p>
        </w:tc>
      </w:tr>
      <w:tr w:rsidR="007C5180" w:rsidRPr="007C5180" w14:paraId="31CCC1AD" w14:textId="013E335A" w:rsidTr="00530A90">
        <w:trPr>
          <w:trHeight w:val="290"/>
        </w:trPr>
        <w:tc>
          <w:tcPr>
            <w:tcW w:w="453" w:type="dxa"/>
            <w:noWrap/>
            <w:hideMark/>
          </w:tcPr>
          <w:p w14:paraId="2C3339ED" w14:textId="77777777" w:rsidR="007C5180" w:rsidRPr="00FE6B7C" w:rsidRDefault="007C5180" w:rsidP="00FE6B7C">
            <w:pPr>
              <w:pStyle w:val="BodyText"/>
              <w:spacing w:before="0" w:after="0"/>
              <w:rPr>
                <w:b/>
                <w:sz w:val="20"/>
                <w:szCs w:val="20"/>
              </w:rPr>
            </w:pPr>
            <w:r w:rsidRPr="00FE6B7C">
              <w:rPr>
                <w:b/>
                <w:sz w:val="20"/>
                <w:szCs w:val="20"/>
              </w:rPr>
              <w:t>32</w:t>
            </w:r>
          </w:p>
        </w:tc>
        <w:tc>
          <w:tcPr>
            <w:tcW w:w="3795" w:type="dxa"/>
            <w:hideMark/>
          </w:tcPr>
          <w:p w14:paraId="4441F7D0" w14:textId="77777777" w:rsidR="007C5180" w:rsidRPr="007C5180" w:rsidRDefault="007C5180" w:rsidP="00FE6B7C">
            <w:pPr>
              <w:pStyle w:val="BodyText"/>
              <w:spacing w:before="0" w:after="0"/>
              <w:jc w:val="left"/>
              <w:rPr>
                <w:sz w:val="20"/>
                <w:szCs w:val="20"/>
              </w:rPr>
            </w:pPr>
            <w:r w:rsidRPr="007C5180">
              <w:rPr>
                <w:sz w:val="20"/>
                <w:szCs w:val="20"/>
              </w:rPr>
              <w:t>Kiwi Gaming Foundation Ltd</w:t>
            </w:r>
          </w:p>
        </w:tc>
        <w:tc>
          <w:tcPr>
            <w:tcW w:w="576" w:type="dxa"/>
          </w:tcPr>
          <w:p w14:paraId="6E90935E" w14:textId="77777777" w:rsidR="00FE6B7C" w:rsidRPr="007C5180" w:rsidRDefault="00FE6B7C" w:rsidP="00FE6B7C">
            <w:pPr>
              <w:pStyle w:val="BodyText"/>
              <w:spacing w:before="0" w:after="0"/>
              <w:rPr>
                <w:sz w:val="20"/>
                <w:szCs w:val="20"/>
              </w:rPr>
            </w:pPr>
          </w:p>
        </w:tc>
        <w:tc>
          <w:tcPr>
            <w:tcW w:w="564" w:type="dxa"/>
          </w:tcPr>
          <w:p w14:paraId="606D1369" w14:textId="77777777" w:rsidR="007C5180" w:rsidRPr="00530A90" w:rsidRDefault="007C5180" w:rsidP="00FE6B7C">
            <w:pPr>
              <w:pStyle w:val="BodyText"/>
              <w:spacing w:before="0" w:after="0"/>
              <w:rPr>
                <w:b/>
                <w:sz w:val="20"/>
                <w:szCs w:val="20"/>
              </w:rPr>
            </w:pPr>
          </w:p>
        </w:tc>
        <w:tc>
          <w:tcPr>
            <w:tcW w:w="3821" w:type="dxa"/>
          </w:tcPr>
          <w:p w14:paraId="4A44AE1B" w14:textId="77777777" w:rsidR="007C5180" w:rsidRPr="007C5180" w:rsidRDefault="007C5180" w:rsidP="00FE6B7C">
            <w:pPr>
              <w:pStyle w:val="BodyText"/>
              <w:spacing w:before="0" w:after="0"/>
              <w:jc w:val="left"/>
              <w:rPr>
                <w:sz w:val="20"/>
                <w:szCs w:val="20"/>
              </w:rPr>
            </w:pPr>
          </w:p>
        </w:tc>
      </w:tr>
      <w:tr w:rsidR="007C5180" w:rsidRPr="007C5180" w14:paraId="6673C90F" w14:textId="74891323" w:rsidTr="00530A90">
        <w:trPr>
          <w:trHeight w:val="290"/>
        </w:trPr>
        <w:tc>
          <w:tcPr>
            <w:tcW w:w="453" w:type="dxa"/>
            <w:noWrap/>
            <w:hideMark/>
          </w:tcPr>
          <w:p w14:paraId="172EDEE5" w14:textId="77777777" w:rsidR="007C5180" w:rsidRPr="00FE6B7C" w:rsidRDefault="007C5180" w:rsidP="00FE6B7C">
            <w:pPr>
              <w:pStyle w:val="BodyText"/>
              <w:spacing w:before="0" w:after="0"/>
              <w:rPr>
                <w:b/>
                <w:sz w:val="20"/>
                <w:szCs w:val="20"/>
              </w:rPr>
            </w:pPr>
            <w:r w:rsidRPr="00FE6B7C">
              <w:rPr>
                <w:b/>
                <w:sz w:val="20"/>
                <w:szCs w:val="20"/>
              </w:rPr>
              <w:t>33</w:t>
            </w:r>
          </w:p>
        </w:tc>
        <w:tc>
          <w:tcPr>
            <w:tcW w:w="3795" w:type="dxa"/>
            <w:hideMark/>
          </w:tcPr>
          <w:p w14:paraId="7C29B0E2" w14:textId="77777777" w:rsidR="007C5180" w:rsidRPr="007C5180" w:rsidRDefault="007C5180" w:rsidP="00FE6B7C">
            <w:pPr>
              <w:pStyle w:val="BodyText"/>
              <w:spacing w:before="0" w:after="0"/>
              <w:jc w:val="left"/>
              <w:rPr>
                <w:sz w:val="20"/>
                <w:szCs w:val="20"/>
              </w:rPr>
            </w:pPr>
            <w:r w:rsidRPr="007C5180">
              <w:rPr>
                <w:sz w:val="20"/>
                <w:szCs w:val="20"/>
              </w:rPr>
              <w:t>Platform Charitable Trust</w:t>
            </w:r>
          </w:p>
        </w:tc>
        <w:tc>
          <w:tcPr>
            <w:tcW w:w="576" w:type="dxa"/>
          </w:tcPr>
          <w:p w14:paraId="50306B27" w14:textId="77777777" w:rsidR="00FE6B7C" w:rsidRPr="007C5180" w:rsidRDefault="00FE6B7C" w:rsidP="00FE6B7C">
            <w:pPr>
              <w:pStyle w:val="BodyText"/>
              <w:spacing w:before="0" w:after="0"/>
              <w:rPr>
                <w:sz w:val="20"/>
                <w:szCs w:val="20"/>
              </w:rPr>
            </w:pPr>
          </w:p>
        </w:tc>
        <w:tc>
          <w:tcPr>
            <w:tcW w:w="564" w:type="dxa"/>
          </w:tcPr>
          <w:p w14:paraId="5B2D0FCD" w14:textId="77777777" w:rsidR="007C5180" w:rsidRPr="00530A90" w:rsidRDefault="007C5180" w:rsidP="00FE6B7C">
            <w:pPr>
              <w:pStyle w:val="BodyText"/>
              <w:spacing w:before="0" w:after="0"/>
              <w:rPr>
                <w:b/>
                <w:sz w:val="20"/>
                <w:szCs w:val="20"/>
              </w:rPr>
            </w:pPr>
          </w:p>
        </w:tc>
        <w:tc>
          <w:tcPr>
            <w:tcW w:w="3821" w:type="dxa"/>
          </w:tcPr>
          <w:p w14:paraId="49B00B3E" w14:textId="77777777" w:rsidR="007C5180" w:rsidRPr="007C5180" w:rsidRDefault="007C5180" w:rsidP="00FE6B7C">
            <w:pPr>
              <w:pStyle w:val="BodyText"/>
              <w:spacing w:before="0" w:after="0"/>
              <w:jc w:val="left"/>
              <w:rPr>
                <w:sz w:val="20"/>
                <w:szCs w:val="20"/>
              </w:rPr>
            </w:pPr>
          </w:p>
        </w:tc>
      </w:tr>
      <w:tr w:rsidR="007C5180" w:rsidRPr="007C5180" w14:paraId="094FAED4" w14:textId="011572E7" w:rsidTr="00530A90">
        <w:trPr>
          <w:trHeight w:val="290"/>
        </w:trPr>
        <w:tc>
          <w:tcPr>
            <w:tcW w:w="453" w:type="dxa"/>
            <w:noWrap/>
            <w:hideMark/>
          </w:tcPr>
          <w:p w14:paraId="02F52124" w14:textId="77777777" w:rsidR="007C5180" w:rsidRPr="00FE6B7C" w:rsidRDefault="007C5180" w:rsidP="00FE6B7C">
            <w:pPr>
              <w:pStyle w:val="BodyText"/>
              <w:spacing w:before="0" w:after="0"/>
              <w:rPr>
                <w:b/>
                <w:sz w:val="20"/>
                <w:szCs w:val="20"/>
              </w:rPr>
            </w:pPr>
            <w:r w:rsidRPr="00FE6B7C">
              <w:rPr>
                <w:b/>
                <w:sz w:val="20"/>
                <w:szCs w:val="20"/>
              </w:rPr>
              <w:t>34</w:t>
            </w:r>
          </w:p>
        </w:tc>
        <w:tc>
          <w:tcPr>
            <w:tcW w:w="3795" w:type="dxa"/>
            <w:hideMark/>
          </w:tcPr>
          <w:p w14:paraId="110509A5" w14:textId="77777777" w:rsidR="007C5180" w:rsidRPr="007C5180" w:rsidRDefault="007C5180" w:rsidP="00FE6B7C">
            <w:pPr>
              <w:pStyle w:val="BodyText"/>
              <w:spacing w:before="0" w:after="0"/>
              <w:jc w:val="left"/>
              <w:rPr>
                <w:sz w:val="20"/>
                <w:szCs w:val="20"/>
              </w:rPr>
            </w:pPr>
            <w:r w:rsidRPr="007C5180">
              <w:rPr>
                <w:sz w:val="20"/>
                <w:szCs w:val="20"/>
              </w:rPr>
              <w:t>Hauora Tairāwhiti</w:t>
            </w:r>
          </w:p>
        </w:tc>
        <w:tc>
          <w:tcPr>
            <w:tcW w:w="576" w:type="dxa"/>
          </w:tcPr>
          <w:p w14:paraId="52EAD3F5" w14:textId="77777777" w:rsidR="00FE6B7C" w:rsidRPr="007C5180" w:rsidRDefault="00FE6B7C" w:rsidP="00FE6B7C">
            <w:pPr>
              <w:pStyle w:val="BodyText"/>
              <w:spacing w:before="0" w:after="0"/>
              <w:rPr>
                <w:sz w:val="20"/>
                <w:szCs w:val="20"/>
              </w:rPr>
            </w:pPr>
          </w:p>
        </w:tc>
        <w:tc>
          <w:tcPr>
            <w:tcW w:w="564" w:type="dxa"/>
          </w:tcPr>
          <w:p w14:paraId="0BD9BAB4" w14:textId="77777777" w:rsidR="007C5180" w:rsidRPr="00530A90" w:rsidRDefault="007C5180" w:rsidP="00FE6B7C">
            <w:pPr>
              <w:pStyle w:val="BodyText"/>
              <w:spacing w:before="0" w:after="0"/>
              <w:rPr>
                <w:b/>
                <w:sz w:val="20"/>
                <w:szCs w:val="20"/>
              </w:rPr>
            </w:pPr>
          </w:p>
        </w:tc>
        <w:tc>
          <w:tcPr>
            <w:tcW w:w="3821" w:type="dxa"/>
          </w:tcPr>
          <w:p w14:paraId="2EE5B866" w14:textId="77777777" w:rsidR="007C5180" w:rsidRPr="007C5180" w:rsidRDefault="007C5180" w:rsidP="00FE6B7C">
            <w:pPr>
              <w:pStyle w:val="BodyText"/>
              <w:spacing w:before="0" w:after="0"/>
              <w:jc w:val="left"/>
              <w:rPr>
                <w:sz w:val="20"/>
                <w:szCs w:val="20"/>
              </w:rPr>
            </w:pPr>
          </w:p>
        </w:tc>
      </w:tr>
      <w:tr w:rsidR="007C5180" w:rsidRPr="007C5180" w14:paraId="7A724263" w14:textId="691C80A5" w:rsidTr="00530A90">
        <w:trPr>
          <w:trHeight w:val="290"/>
        </w:trPr>
        <w:tc>
          <w:tcPr>
            <w:tcW w:w="453" w:type="dxa"/>
            <w:noWrap/>
            <w:hideMark/>
          </w:tcPr>
          <w:p w14:paraId="50F2A1C1" w14:textId="77777777" w:rsidR="007C5180" w:rsidRPr="00FE6B7C" w:rsidRDefault="007C5180" w:rsidP="00FE6B7C">
            <w:pPr>
              <w:pStyle w:val="BodyText"/>
              <w:spacing w:before="0" w:after="0"/>
              <w:rPr>
                <w:b/>
                <w:sz w:val="20"/>
                <w:szCs w:val="20"/>
              </w:rPr>
            </w:pPr>
            <w:r w:rsidRPr="00FE6B7C">
              <w:rPr>
                <w:b/>
                <w:sz w:val="20"/>
                <w:szCs w:val="20"/>
              </w:rPr>
              <w:t>35</w:t>
            </w:r>
          </w:p>
        </w:tc>
        <w:tc>
          <w:tcPr>
            <w:tcW w:w="3795" w:type="dxa"/>
            <w:hideMark/>
          </w:tcPr>
          <w:p w14:paraId="07343F6F" w14:textId="77777777" w:rsidR="007C5180" w:rsidRPr="007C5180" w:rsidRDefault="007C5180" w:rsidP="00FE6B7C">
            <w:pPr>
              <w:pStyle w:val="BodyText"/>
              <w:spacing w:before="0" w:after="0"/>
              <w:jc w:val="left"/>
              <w:rPr>
                <w:sz w:val="20"/>
                <w:szCs w:val="20"/>
              </w:rPr>
            </w:pPr>
            <w:r w:rsidRPr="007C5180">
              <w:rPr>
                <w:sz w:val="20"/>
                <w:szCs w:val="20"/>
              </w:rPr>
              <w:t>Hawke's Bay District Health Board</w:t>
            </w:r>
          </w:p>
        </w:tc>
        <w:tc>
          <w:tcPr>
            <w:tcW w:w="576" w:type="dxa"/>
          </w:tcPr>
          <w:p w14:paraId="6A936F2B" w14:textId="77777777" w:rsidR="00FE6B7C" w:rsidRPr="007C5180" w:rsidRDefault="00FE6B7C" w:rsidP="00FE6B7C">
            <w:pPr>
              <w:pStyle w:val="BodyText"/>
              <w:spacing w:before="0" w:after="0"/>
              <w:rPr>
                <w:sz w:val="20"/>
                <w:szCs w:val="20"/>
              </w:rPr>
            </w:pPr>
          </w:p>
        </w:tc>
        <w:tc>
          <w:tcPr>
            <w:tcW w:w="564" w:type="dxa"/>
          </w:tcPr>
          <w:p w14:paraId="35F428EC" w14:textId="77777777" w:rsidR="007C5180" w:rsidRPr="00530A90" w:rsidRDefault="007C5180" w:rsidP="00FE6B7C">
            <w:pPr>
              <w:pStyle w:val="BodyText"/>
              <w:spacing w:before="0" w:after="0"/>
              <w:rPr>
                <w:b/>
                <w:sz w:val="20"/>
                <w:szCs w:val="20"/>
              </w:rPr>
            </w:pPr>
          </w:p>
        </w:tc>
        <w:tc>
          <w:tcPr>
            <w:tcW w:w="3821" w:type="dxa"/>
          </w:tcPr>
          <w:p w14:paraId="0580368D" w14:textId="77777777" w:rsidR="007C5180" w:rsidRPr="007C5180" w:rsidRDefault="007C5180" w:rsidP="00FE6B7C">
            <w:pPr>
              <w:pStyle w:val="BodyText"/>
              <w:spacing w:before="0" w:after="0"/>
              <w:jc w:val="left"/>
              <w:rPr>
                <w:sz w:val="20"/>
                <w:szCs w:val="20"/>
              </w:rPr>
            </w:pPr>
          </w:p>
        </w:tc>
      </w:tr>
    </w:tbl>
    <w:p w14:paraId="274AE047" w14:textId="27683AB5" w:rsidR="003908B6" w:rsidRDefault="00CB5557" w:rsidP="003908B6">
      <w:pPr>
        <w:pStyle w:val="Heading2-NOTinTOC"/>
      </w:pPr>
      <w:r>
        <w:lastRenderedPageBreak/>
        <w:t>List of submitters, sorted alphabetically</w:t>
      </w:r>
    </w:p>
    <w:tbl>
      <w:tblPr>
        <w:tblW w:w="9209" w:type="dxa"/>
        <w:tblLook w:val="04A0" w:firstRow="1" w:lastRow="0" w:firstColumn="1" w:lastColumn="0" w:noHBand="0" w:noVBand="1"/>
      </w:tblPr>
      <w:tblGrid>
        <w:gridCol w:w="569"/>
        <w:gridCol w:w="3749"/>
        <w:gridCol w:w="569"/>
        <w:gridCol w:w="568"/>
        <w:gridCol w:w="3754"/>
      </w:tblGrid>
      <w:tr w:rsidR="00590581" w:rsidRPr="007C5180" w14:paraId="20A22151" w14:textId="77777777" w:rsidTr="00590581">
        <w:trPr>
          <w:trHeight w:val="290"/>
        </w:trPr>
        <w:tc>
          <w:tcPr>
            <w:tcW w:w="569" w:type="dxa"/>
            <w:noWrap/>
            <w:hideMark/>
          </w:tcPr>
          <w:p w14:paraId="2274B6F9" w14:textId="77777777" w:rsidR="00590581" w:rsidRPr="00FE6B7C" w:rsidRDefault="00590581" w:rsidP="00590581">
            <w:pPr>
              <w:pStyle w:val="BodyText"/>
              <w:spacing w:before="0" w:after="0"/>
              <w:rPr>
                <w:b/>
                <w:bCs/>
                <w:sz w:val="20"/>
                <w:szCs w:val="20"/>
              </w:rPr>
            </w:pPr>
            <w:r w:rsidRPr="00FE6B7C">
              <w:rPr>
                <w:b/>
                <w:bCs/>
                <w:sz w:val="20"/>
                <w:szCs w:val="20"/>
              </w:rPr>
              <w:t>6</w:t>
            </w:r>
          </w:p>
        </w:tc>
        <w:tc>
          <w:tcPr>
            <w:tcW w:w="3749" w:type="dxa"/>
            <w:hideMark/>
          </w:tcPr>
          <w:p w14:paraId="729C3663" w14:textId="77777777" w:rsidR="00590581" w:rsidRPr="007C5180" w:rsidRDefault="00590581" w:rsidP="00590581">
            <w:pPr>
              <w:pStyle w:val="BodyText"/>
              <w:spacing w:before="0" w:after="0"/>
              <w:jc w:val="left"/>
              <w:rPr>
                <w:sz w:val="20"/>
                <w:szCs w:val="20"/>
              </w:rPr>
            </w:pPr>
            <w:r w:rsidRPr="007C5180">
              <w:rPr>
                <w:sz w:val="20"/>
                <w:szCs w:val="20"/>
              </w:rPr>
              <w:t>Addiction Advice and Assessment Services (AAAS)</w:t>
            </w:r>
          </w:p>
        </w:tc>
        <w:tc>
          <w:tcPr>
            <w:tcW w:w="569" w:type="dxa"/>
          </w:tcPr>
          <w:p w14:paraId="6DDF5C30" w14:textId="77777777" w:rsidR="00590581" w:rsidRPr="007C5180" w:rsidRDefault="00590581" w:rsidP="00590581">
            <w:pPr>
              <w:pStyle w:val="BodyText"/>
              <w:spacing w:before="0" w:after="0"/>
              <w:rPr>
                <w:sz w:val="20"/>
                <w:szCs w:val="20"/>
              </w:rPr>
            </w:pPr>
          </w:p>
        </w:tc>
        <w:tc>
          <w:tcPr>
            <w:tcW w:w="568" w:type="dxa"/>
          </w:tcPr>
          <w:p w14:paraId="2CE090C1" w14:textId="3AF2DCE0" w:rsidR="00590581" w:rsidRPr="00530A90" w:rsidRDefault="00590581" w:rsidP="00590581">
            <w:pPr>
              <w:pStyle w:val="BodyText"/>
              <w:spacing w:before="0" w:after="0"/>
              <w:rPr>
                <w:b/>
                <w:bCs/>
                <w:sz w:val="20"/>
                <w:szCs w:val="20"/>
              </w:rPr>
            </w:pPr>
            <w:r w:rsidRPr="00530A90">
              <w:rPr>
                <w:b/>
                <w:bCs/>
                <w:sz w:val="20"/>
                <w:szCs w:val="20"/>
              </w:rPr>
              <w:t>48</w:t>
            </w:r>
          </w:p>
        </w:tc>
        <w:tc>
          <w:tcPr>
            <w:tcW w:w="3754" w:type="dxa"/>
          </w:tcPr>
          <w:p w14:paraId="3E1E0492" w14:textId="1210574B" w:rsidR="00590581" w:rsidRPr="007C5180" w:rsidRDefault="00590581" w:rsidP="00590581">
            <w:pPr>
              <w:pStyle w:val="BodyText"/>
              <w:spacing w:before="0" w:after="0"/>
              <w:jc w:val="left"/>
              <w:rPr>
                <w:sz w:val="20"/>
                <w:szCs w:val="20"/>
              </w:rPr>
            </w:pPr>
            <w:r w:rsidRPr="007C5180">
              <w:rPr>
                <w:sz w:val="20"/>
                <w:szCs w:val="20"/>
              </w:rPr>
              <w:t>Mental Health and Wellbeing Commission</w:t>
            </w:r>
          </w:p>
        </w:tc>
      </w:tr>
      <w:tr w:rsidR="00590581" w:rsidRPr="007C5180" w14:paraId="42F99043" w14:textId="77777777" w:rsidTr="00590581">
        <w:trPr>
          <w:trHeight w:val="290"/>
        </w:trPr>
        <w:tc>
          <w:tcPr>
            <w:tcW w:w="569" w:type="dxa"/>
            <w:noWrap/>
          </w:tcPr>
          <w:p w14:paraId="06E4F6D2" w14:textId="77777777" w:rsidR="00590581" w:rsidRPr="00530A90" w:rsidRDefault="00590581" w:rsidP="00590581">
            <w:pPr>
              <w:pStyle w:val="BodyText"/>
              <w:spacing w:before="0" w:after="0"/>
              <w:rPr>
                <w:b/>
                <w:bCs/>
                <w:sz w:val="20"/>
                <w:szCs w:val="20"/>
              </w:rPr>
            </w:pPr>
            <w:r w:rsidRPr="00530A90">
              <w:rPr>
                <w:b/>
                <w:bCs/>
                <w:sz w:val="20"/>
                <w:szCs w:val="20"/>
              </w:rPr>
              <w:t>52</w:t>
            </w:r>
          </w:p>
        </w:tc>
        <w:tc>
          <w:tcPr>
            <w:tcW w:w="3749" w:type="dxa"/>
          </w:tcPr>
          <w:p w14:paraId="18DD9A54" w14:textId="77777777" w:rsidR="00590581" w:rsidRPr="007C5180" w:rsidRDefault="00590581" w:rsidP="00590581">
            <w:pPr>
              <w:pStyle w:val="BodyText"/>
              <w:spacing w:before="0" w:after="0"/>
              <w:jc w:val="left"/>
              <w:rPr>
                <w:sz w:val="20"/>
                <w:szCs w:val="20"/>
              </w:rPr>
            </w:pPr>
            <w:r w:rsidRPr="007C5180">
              <w:rPr>
                <w:sz w:val="20"/>
                <w:szCs w:val="20"/>
              </w:rPr>
              <w:t xml:space="preserve">Addiction Nurses Branch of Te Ao Māramatanga </w:t>
            </w:r>
          </w:p>
        </w:tc>
        <w:tc>
          <w:tcPr>
            <w:tcW w:w="569" w:type="dxa"/>
          </w:tcPr>
          <w:p w14:paraId="0876394C" w14:textId="77777777" w:rsidR="00590581" w:rsidRPr="007C5180" w:rsidRDefault="00590581" w:rsidP="00590581">
            <w:pPr>
              <w:pStyle w:val="BodyText"/>
              <w:spacing w:before="0" w:after="0"/>
              <w:rPr>
                <w:sz w:val="20"/>
                <w:szCs w:val="20"/>
              </w:rPr>
            </w:pPr>
          </w:p>
        </w:tc>
        <w:tc>
          <w:tcPr>
            <w:tcW w:w="568" w:type="dxa"/>
          </w:tcPr>
          <w:p w14:paraId="3A80D59A" w14:textId="17F18A87" w:rsidR="00590581" w:rsidRPr="00530A90" w:rsidRDefault="00590581" w:rsidP="00590581">
            <w:pPr>
              <w:pStyle w:val="BodyText"/>
              <w:spacing w:before="0" w:after="0"/>
              <w:rPr>
                <w:b/>
                <w:bCs/>
                <w:sz w:val="20"/>
                <w:szCs w:val="20"/>
              </w:rPr>
            </w:pPr>
            <w:r w:rsidRPr="00530A90">
              <w:rPr>
                <w:b/>
                <w:bCs/>
                <w:sz w:val="20"/>
                <w:szCs w:val="20"/>
              </w:rPr>
              <w:t>45</w:t>
            </w:r>
          </w:p>
        </w:tc>
        <w:tc>
          <w:tcPr>
            <w:tcW w:w="3754" w:type="dxa"/>
          </w:tcPr>
          <w:p w14:paraId="7B8F493D" w14:textId="285C0BF3" w:rsidR="00590581" w:rsidRPr="007C5180" w:rsidRDefault="00590581" w:rsidP="00590581">
            <w:pPr>
              <w:pStyle w:val="BodyText"/>
              <w:spacing w:before="0" w:after="0"/>
              <w:jc w:val="left"/>
              <w:rPr>
                <w:sz w:val="20"/>
                <w:szCs w:val="20"/>
              </w:rPr>
            </w:pPr>
            <w:r w:rsidRPr="007C5180">
              <w:rPr>
                <w:sz w:val="20"/>
                <w:szCs w:val="20"/>
              </w:rPr>
              <w:t>Midcentral DHB</w:t>
            </w:r>
          </w:p>
        </w:tc>
      </w:tr>
      <w:tr w:rsidR="00590581" w:rsidRPr="007C5180" w14:paraId="1F924EFE" w14:textId="77777777" w:rsidTr="00590581">
        <w:trPr>
          <w:trHeight w:val="290"/>
        </w:trPr>
        <w:tc>
          <w:tcPr>
            <w:tcW w:w="569" w:type="dxa"/>
            <w:noWrap/>
            <w:hideMark/>
          </w:tcPr>
          <w:p w14:paraId="7B2031C7" w14:textId="77777777" w:rsidR="00590581" w:rsidRPr="00FE6B7C" w:rsidRDefault="00590581" w:rsidP="00590581">
            <w:pPr>
              <w:pStyle w:val="BodyText"/>
              <w:spacing w:before="0" w:after="0"/>
              <w:rPr>
                <w:b/>
                <w:bCs/>
                <w:sz w:val="20"/>
                <w:szCs w:val="20"/>
              </w:rPr>
            </w:pPr>
            <w:r w:rsidRPr="00FE6B7C">
              <w:rPr>
                <w:b/>
                <w:bCs/>
                <w:sz w:val="20"/>
                <w:szCs w:val="20"/>
              </w:rPr>
              <w:t>8</w:t>
            </w:r>
          </w:p>
        </w:tc>
        <w:tc>
          <w:tcPr>
            <w:tcW w:w="3749" w:type="dxa"/>
            <w:hideMark/>
          </w:tcPr>
          <w:p w14:paraId="1D229E86" w14:textId="77777777" w:rsidR="00590581" w:rsidRPr="007C5180" w:rsidRDefault="00590581" w:rsidP="00590581">
            <w:pPr>
              <w:pStyle w:val="BodyText"/>
              <w:spacing w:before="0" w:after="0"/>
              <w:jc w:val="left"/>
              <w:rPr>
                <w:sz w:val="20"/>
                <w:szCs w:val="20"/>
              </w:rPr>
            </w:pPr>
            <w:r w:rsidRPr="007C5180">
              <w:rPr>
                <w:sz w:val="20"/>
                <w:szCs w:val="20"/>
              </w:rPr>
              <w:t xml:space="preserve">Advisory Group Lived Experience </w:t>
            </w:r>
          </w:p>
        </w:tc>
        <w:tc>
          <w:tcPr>
            <w:tcW w:w="569" w:type="dxa"/>
          </w:tcPr>
          <w:p w14:paraId="54283EA4" w14:textId="77777777" w:rsidR="00590581" w:rsidRPr="007C5180" w:rsidRDefault="00590581" w:rsidP="00590581">
            <w:pPr>
              <w:pStyle w:val="BodyText"/>
              <w:spacing w:before="0" w:after="0"/>
              <w:rPr>
                <w:sz w:val="20"/>
                <w:szCs w:val="20"/>
              </w:rPr>
            </w:pPr>
          </w:p>
        </w:tc>
        <w:tc>
          <w:tcPr>
            <w:tcW w:w="568" w:type="dxa"/>
          </w:tcPr>
          <w:p w14:paraId="26F7E9C1" w14:textId="6E4337E0" w:rsidR="00590581" w:rsidRPr="00530A90" w:rsidRDefault="00590581" w:rsidP="00590581">
            <w:pPr>
              <w:pStyle w:val="BodyText"/>
              <w:spacing w:before="0" w:after="0"/>
              <w:rPr>
                <w:b/>
                <w:bCs/>
                <w:sz w:val="20"/>
                <w:szCs w:val="20"/>
              </w:rPr>
            </w:pPr>
            <w:r w:rsidRPr="00FE6B7C">
              <w:rPr>
                <w:b/>
                <w:bCs/>
                <w:sz w:val="20"/>
                <w:szCs w:val="20"/>
              </w:rPr>
              <w:t>11</w:t>
            </w:r>
          </w:p>
        </w:tc>
        <w:tc>
          <w:tcPr>
            <w:tcW w:w="3754" w:type="dxa"/>
          </w:tcPr>
          <w:p w14:paraId="0FCF523B" w14:textId="23C37AF9" w:rsidR="00590581" w:rsidRPr="007C5180" w:rsidRDefault="00590581" w:rsidP="00590581">
            <w:pPr>
              <w:pStyle w:val="BodyText"/>
              <w:spacing w:before="0" w:after="0"/>
              <w:jc w:val="left"/>
              <w:rPr>
                <w:sz w:val="20"/>
                <w:szCs w:val="20"/>
              </w:rPr>
            </w:pPr>
            <w:r w:rsidRPr="007C5180">
              <w:rPr>
                <w:sz w:val="20"/>
                <w:szCs w:val="20"/>
              </w:rPr>
              <w:t>Nelson Marlborough Health</w:t>
            </w:r>
          </w:p>
        </w:tc>
      </w:tr>
      <w:tr w:rsidR="00590581" w:rsidRPr="007C5180" w14:paraId="73C056CB" w14:textId="77777777" w:rsidTr="00590581">
        <w:trPr>
          <w:trHeight w:val="290"/>
        </w:trPr>
        <w:tc>
          <w:tcPr>
            <w:tcW w:w="569" w:type="dxa"/>
            <w:noWrap/>
            <w:hideMark/>
          </w:tcPr>
          <w:p w14:paraId="4AED2A88" w14:textId="77777777" w:rsidR="00590581" w:rsidRPr="00FE6B7C" w:rsidRDefault="00590581" w:rsidP="00590581">
            <w:pPr>
              <w:pStyle w:val="BodyText"/>
              <w:spacing w:before="0" w:after="0"/>
              <w:rPr>
                <w:b/>
                <w:bCs/>
                <w:sz w:val="20"/>
                <w:szCs w:val="20"/>
              </w:rPr>
            </w:pPr>
            <w:r w:rsidRPr="00FE6B7C">
              <w:rPr>
                <w:b/>
                <w:bCs/>
                <w:sz w:val="20"/>
                <w:szCs w:val="20"/>
              </w:rPr>
              <w:t>4</w:t>
            </w:r>
          </w:p>
        </w:tc>
        <w:tc>
          <w:tcPr>
            <w:tcW w:w="3749" w:type="dxa"/>
            <w:hideMark/>
          </w:tcPr>
          <w:p w14:paraId="07858F75" w14:textId="77777777" w:rsidR="00590581" w:rsidRPr="007C5180" w:rsidRDefault="00590581" w:rsidP="00590581">
            <w:pPr>
              <w:pStyle w:val="BodyText"/>
              <w:spacing w:before="0" w:after="0"/>
              <w:jc w:val="left"/>
              <w:rPr>
                <w:sz w:val="20"/>
                <w:szCs w:val="20"/>
              </w:rPr>
            </w:pPr>
            <w:r w:rsidRPr="007C5180">
              <w:rPr>
                <w:sz w:val="20"/>
                <w:szCs w:val="20"/>
              </w:rPr>
              <w:t>Air Rescue and Community Services</w:t>
            </w:r>
          </w:p>
        </w:tc>
        <w:tc>
          <w:tcPr>
            <w:tcW w:w="569" w:type="dxa"/>
          </w:tcPr>
          <w:p w14:paraId="29DD2C22" w14:textId="77777777" w:rsidR="00590581" w:rsidRPr="007C5180" w:rsidRDefault="00590581" w:rsidP="00590581">
            <w:pPr>
              <w:pStyle w:val="BodyText"/>
              <w:spacing w:before="0" w:after="0"/>
              <w:rPr>
                <w:sz w:val="20"/>
                <w:szCs w:val="20"/>
              </w:rPr>
            </w:pPr>
          </w:p>
        </w:tc>
        <w:tc>
          <w:tcPr>
            <w:tcW w:w="568" w:type="dxa"/>
          </w:tcPr>
          <w:p w14:paraId="24F2E9C6" w14:textId="1D5159D5" w:rsidR="00590581" w:rsidRPr="00530A90" w:rsidRDefault="00590581" w:rsidP="00590581">
            <w:pPr>
              <w:pStyle w:val="BodyText"/>
              <w:spacing w:before="0" w:after="0"/>
              <w:rPr>
                <w:b/>
                <w:bCs/>
                <w:sz w:val="20"/>
                <w:szCs w:val="20"/>
              </w:rPr>
            </w:pPr>
            <w:r w:rsidRPr="00530A90">
              <w:rPr>
                <w:b/>
                <w:bCs/>
                <w:sz w:val="20"/>
                <w:szCs w:val="20"/>
              </w:rPr>
              <w:t>40</w:t>
            </w:r>
          </w:p>
        </w:tc>
        <w:tc>
          <w:tcPr>
            <w:tcW w:w="3754" w:type="dxa"/>
          </w:tcPr>
          <w:p w14:paraId="15FF071B" w14:textId="54EFFCC5" w:rsidR="00590581" w:rsidRPr="007C5180" w:rsidRDefault="00590581" w:rsidP="00590581">
            <w:pPr>
              <w:pStyle w:val="BodyText"/>
              <w:spacing w:before="0" w:after="0"/>
              <w:jc w:val="left"/>
              <w:rPr>
                <w:sz w:val="20"/>
                <w:szCs w:val="20"/>
              </w:rPr>
            </w:pPr>
            <w:r w:rsidRPr="007C5180">
              <w:rPr>
                <w:sz w:val="20"/>
                <w:szCs w:val="20"/>
              </w:rPr>
              <w:t>New Zealand Community Trust (NZCT)</w:t>
            </w:r>
          </w:p>
        </w:tc>
      </w:tr>
      <w:tr w:rsidR="00590581" w:rsidRPr="007C5180" w14:paraId="4B0CCA8A" w14:textId="77777777" w:rsidTr="00590581">
        <w:trPr>
          <w:trHeight w:val="290"/>
        </w:trPr>
        <w:tc>
          <w:tcPr>
            <w:tcW w:w="569" w:type="dxa"/>
            <w:noWrap/>
            <w:hideMark/>
          </w:tcPr>
          <w:p w14:paraId="34CEAE98" w14:textId="77777777" w:rsidR="00590581" w:rsidRPr="00FE6B7C" w:rsidRDefault="00590581" w:rsidP="00590581">
            <w:pPr>
              <w:pStyle w:val="BodyText"/>
              <w:spacing w:before="0" w:after="0"/>
              <w:rPr>
                <w:b/>
                <w:bCs/>
                <w:sz w:val="20"/>
                <w:szCs w:val="20"/>
              </w:rPr>
            </w:pPr>
            <w:r w:rsidRPr="00FE6B7C">
              <w:rPr>
                <w:b/>
                <w:bCs/>
                <w:sz w:val="20"/>
                <w:szCs w:val="20"/>
              </w:rPr>
              <w:t>22</w:t>
            </w:r>
          </w:p>
        </w:tc>
        <w:tc>
          <w:tcPr>
            <w:tcW w:w="3749" w:type="dxa"/>
            <w:hideMark/>
          </w:tcPr>
          <w:p w14:paraId="780CD901" w14:textId="77777777" w:rsidR="00590581" w:rsidRPr="007C5180" w:rsidRDefault="00590581" w:rsidP="00590581">
            <w:pPr>
              <w:pStyle w:val="BodyText"/>
              <w:spacing w:before="0" w:after="0"/>
              <w:jc w:val="left"/>
              <w:rPr>
                <w:sz w:val="20"/>
                <w:szCs w:val="20"/>
              </w:rPr>
            </w:pPr>
            <w:r w:rsidRPr="007C5180">
              <w:rPr>
                <w:sz w:val="20"/>
                <w:szCs w:val="20"/>
              </w:rPr>
              <w:t>Akarana Community Trust</w:t>
            </w:r>
          </w:p>
        </w:tc>
        <w:tc>
          <w:tcPr>
            <w:tcW w:w="569" w:type="dxa"/>
          </w:tcPr>
          <w:p w14:paraId="1FEDE8C3" w14:textId="77777777" w:rsidR="00590581" w:rsidRPr="007C5180" w:rsidRDefault="00590581" w:rsidP="00590581">
            <w:pPr>
              <w:pStyle w:val="BodyText"/>
              <w:spacing w:before="0" w:after="0"/>
              <w:rPr>
                <w:sz w:val="20"/>
                <w:szCs w:val="20"/>
              </w:rPr>
            </w:pPr>
          </w:p>
        </w:tc>
        <w:tc>
          <w:tcPr>
            <w:tcW w:w="568" w:type="dxa"/>
          </w:tcPr>
          <w:p w14:paraId="05073BD0" w14:textId="15C0FAD8" w:rsidR="00590581" w:rsidRPr="00530A90" w:rsidRDefault="00590581" w:rsidP="00590581">
            <w:pPr>
              <w:pStyle w:val="BodyText"/>
              <w:spacing w:before="0" w:after="0"/>
              <w:rPr>
                <w:b/>
                <w:bCs/>
                <w:sz w:val="20"/>
                <w:szCs w:val="20"/>
              </w:rPr>
            </w:pPr>
            <w:r w:rsidRPr="00FE6B7C">
              <w:rPr>
                <w:b/>
                <w:bCs/>
                <w:sz w:val="20"/>
                <w:szCs w:val="20"/>
              </w:rPr>
              <w:t>23</w:t>
            </w:r>
          </w:p>
        </w:tc>
        <w:tc>
          <w:tcPr>
            <w:tcW w:w="3754" w:type="dxa"/>
          </w:tcPr>
          <w:p w14:paraId="018E4C2B" w14:textId="2763EBD0" w:rsidR="00590581" w:rsidRPr="007C5180" w:rsidRDefault="00590581" w:rsidP="00590581">
            <w:pPr>
              <w:pStyle w:val="BodyText"/>
              <w:spacing w:before="0" w:after="0"/>
              <w:jc w:val="left"/>
              <w:rPr>
                <w:sz w:val="20"/>
                <w:szCs w:val="20"/>
              </w:rPr>
            </w:pPr>
            <w:r w:rsidRPr="007C5180">
              <w:rPr>
                <w:sz w:val="20"/>
                <w:szCs w:val="20"/>
              </w:rPr>
              <w:t>New Zealand Council Of Christian Social Services (NZCCSS)</w:t>
            </w:r>
          </w:p>
        </w:tc>
      </w:tr>
      <w:tr w:rsidR="00590581" w:rsidRPr="007C5180" w14:paraId="28BCF6E7" w14:textId="77777777" w:rsidTr="00590581">
        <w:trPr>
          <w:trHeight w:val="290"/>
        </w:trPr>
        <w:tc>
          <w:tcPr>
            <w:tcW w:w="569" w:type="dxa"/>
            <w:noWrap/>
          </w:tcPr>
          <w:p w14:paraId="44C2DD76" w14:textId="77777777" w:rsidR="00590581" w:rsidRPr="00530A90" w:rsidRDefault="00590581" w:rsidP="00590581">
            <w:pPr>
              <w:pStyle w:val="BodyText"/>
              <w:spacing w:before="0" w:after="0"/>
              <w:rPr>
                <w:b/>
                <w:bCs/>
                <w:sz w:val="20"/>
                <w:szCs w:val="20"/>
              </w:rPr>
            </w:pPr>
            <w:r w:rsidRPr="00530A90">
              <w:rPr>
                <w:b/>
                <w:bCs/>
                <w:sz w:val="20"/>
                <w:szCs w:val="20"/>
              </w:rPr>
              <w:t>44</w:t>
            </w:r>
          </w:p>
        </w:tc>
        <w:tc>
          <w:tcPr>
            <w:tcW w:w="3749" w:type="dxa"/>
          </w:tcPr>
          <w:p w14:paraId="02B6C832" w14:textId="77777777" w:rsidR="00590581" w:rsidRPr="007C5180" w:rsidRDefault="00590581" w:rsidP="00590581">
            <w:pPr>
              <w:pStyle w:val="BodyText"/>
              <w:spacing w:before="0" w:after="0"/>
              <w:jc w:val="left"/>
              <w:rPr>
                <w:sz w:val="20"/>
                <w:szCs w:val="20"/>
              </w:rPr>
            </w:pPr>
            <w:r w:rsidRPr="007C5180">
              <w:rPr>
                <w:sz w:val="20"/>
                <w:szCs w:val="20"/>
              </w:rPr>
              <w:t>Aotearoa Gaming Trust</w:t>
            </w:r>
          </w:p>
        </w:tc>
        <w:tc>
          <w:tcPr>
            <w:tcW w:w="569" w:type="dxa"/>
          </w:tcPr>
          <w:p w14:paraId="392ACEDA" w14:textId="77777777" w:rsidR="00590581" w:rsidRPr="007C5180" w:rsidRDefault="00590581" w:rsidP="00590581">
            <w:pPr>
              <w:pStyle w:val="BodyText"/>
              <w:spacing w:before="0" w:after="0"/>
              <w:rPr>
                <w:sz w:val="20"/>
                <w:szCs w:val="20"/>
              </w:rPr>
            </w:pPr>
          </w:p>
        </w:tc>
        <w:tc>
          <w:tcPr>
            <w:tcW w:w="568" w:type="dxa"/>
          </w:tcPr>
          <w:p w14:paraId="3A4E4CE0" w14:textId="3F5A5F02" w:rsidR="00590581" w:rsidRPr="00530A90" w:rsidRDefault="00590581" w:rsidP="00590581">
            <w:pPr>
              <w:pStyle w:val="BodyText"/>
              <w:spacing w:before="0" w:after="0"/>
              <w:rPr>
                <w:b/>
                <w:bCs/>
                <w:sz w:val="20"/>
                <w:szCs w:val="20"/>
              </w:rPr>
            </w:pPr>
            <w:r w:rsidRPr="00FE6B7C">
              <w:rPr>
                <w:b/>
                <w:bCs/>
                <w:sz w:val="20"/>
                <w:szCs w:val="20"/>
              </w:rPr>
              <w:t>2</w:t>
            </w:r>
          </w:p>
        </w:tc>
        <w:tc>
          <w:tcPr>
            <w:tcW w:w="3754" w:type="dxa"/>
          </w:tcPr>
          <w:p w14:paraId="68E80963" w14:textId="08FB9E68" w:rsidR="00590581" w:rsidRPr="007C5180" w:rsidRDefault="00590581" w:rsidP="00590581">
            <w:pPr>
              <w:pStyle w:val="BodyText"/>
              <w:spacing w:before="0" w:after="0"/>
              <w:jc w:val="left"/>
              <w:rPr>
                <w:sz w:val="20"/>
                <w:szCs w:val="20"/>
              </w:rPr>
            </w:pPr>
            <w:r w:rsidRPr="007C5180">
              <w:rPr>
                <w:sz w:val="20"/>
                <w:szCs w:val="20"/>
              </w:rPr>
              <w:t>New Zealand Medical Association (NZMA)</w:t>
            </w:r>
          </w:p>
        </w:tc>
      </w:tr>
      <w:tr w:rsidR="00590581" w:rsidRPr="007C5180" w14:paraId="7DC5A4F6" w14:textId="77777777" w:rsidTr="00590581">
        <w:trPr>
          <w:trHeight w:val="290"/>
        </w:trPr>
        <w:tc>
          <w:tcPr>
            <w:tcW w:w="569" w:type="dxa"/>
            <w:noWrap/>
            <w:hideMark/>
          </w:tcPr>
          <w:p w14:paraId="7458D0E2" w14:textId="77777777" w:rsidR="00590581" w:rsidRPr="00FE6B7C" w:rsidRDefault="00590581" w:rsidP="00590581">
            <w:pPr>
              <w:pStyle w:val="BodyText"/>
              <w:spacing w:before="0" w:after="0"/>
              <w:rPr>
                <w:b/>
                <w:bCs/>
                <w:sz w:val="20"/>
                <w:szCs w:val="20"/>
              </w:rPr>
            </w:pPr>
            <w:r w:rsidRPr="00FE6B7C">
              <w:rPr>
                <w:b/>
                <w:bCs/>
                <w:sz w:val="20"/>
                <w:szCs w:val="20"/>
              </w:rPr>
              <w:t>13</w:t>
            </w:r>
          </w:p>
        </w:tc>
        <w:tc>
          <w:tcPr>
            <w:tcW w:w="3749" w:type="dxa"/>
            <w:hideMark/>
          </w:tcPr>
          <w:p w14:paraId="0E526D8F" w14:textId="77777777" w:rsidR="00590581" w:rsidRPr="007C5180" w:rsidRDefault="00590581" w:rsidP="00590581">
            <w:pPr>
              <w:pStyle w:val="BodyText"/>
              <w:spacing w:before="0" w:after="0"/>
              <w:jc w:val="left"/>
              <w:rPr>
                <w:sz w:val="20"/>
                <w:szCs w:val="20"/>
              </w:rPr>
            </w:pPr>
            <w:r w:rsidRPr="007C5180">
              <w:rPr>
                <w:sz w:val="20"/>
                <w:szCs w:val="20"/>
              </w:rPr>
              <w:t>Asian Family Services</w:t>
            </w:r>
          </w:p>
        </w:tc>
        <w:tc>
          <w:tcPr>
            <w:tcW w:w="569" w:type="dxa"/>
          </w:tcPr>
          <w:p w14:paraId="0B41B961" w14:textId="77777777" w:rsidR="00590581" w:rsidRPr="007C5180" w:rsidRDefault="00590581" w:rsidP="00590581">
            <w:pPr>
              <w:pStyle w:val="BodyText"/>
              <w:spacing w:before="0" w:after="0"/>
              <w:rPr>
                <w:sz w:val="20"/>
                <w:szCs w:val="20"/>
              </w:rPr>
            </w:pPr>
          </w:p>
        </w:tc>
        <w:tc>
          <w:tcPr>
            <w:tcW w:w="568" w:type="dxa"/>
          </w:tcPr>
          <w:p w14:paraId="73717B14" w14:textId="37F8A49E" w:rsidR="00590581" w:rsidRPr="00530A90" w:rsidRDefault="00590581" w:rsidP="00590581">
            <w:pPr>
              <w:pStyle w:val="BodyText"/>
              <w:spacing w:before="0" w:after="0"/>
              <w:rPr>
                <w:b/>
                <w:bCs/>
                <w:sz w:val="20"/>
                <w:szCs w:val="20"/>
              </w:rPr>
            </w:pPr>
            <w:r w:rsidRPr="00530A90">
              <w:rPr>
                <w:b/>
                <w:bCs/>
                <w:sz w:val="20"/>
                <w:szCs w:val="20"/>
              </w:rPr>
              <w:t>54</w:t>
            </w:r>
          </w:p>
        </w:tc>
        <w:tc>
          <w:tcPr>
            <w:tcW w:w="3754" w:type="dxa"/>
          </w:tcPr>
          <w:p w14:paraId="638B9AFC" w14:textId="58D01B03" w:rsidR="00590581" w:rsidRPr="007C5180" w:rsidRDefault="00590581" w:rsidP="00590581">
            <w:pPr>
              <w:pStyle w:val="BodyText"/>
              <w:spacing w:before="0" w:after="0"/>
              <w:jc w:val="left"/>
              <w:rPr>
                <w:sz w:val="20"/>
                <w:szCs w:val="20"/>
              </w:rPr>
            </w:pPr>
            <w:r w:rsidRPr="007C5180">
              <w:rPr>
                <w:sz w:val="20"/>
                <w:szCs w:val="20"/>
              </w:rPr>
              <w:t>Nga Manga Puriri</w:t>
            </w:r>
          </w:p>
        </w:tc>
      </w:tr>
      <w:tr w:rsidR="00590581" w:rsidRPr="007C5180" w14:paraId="5FA75423" w14:textId="77777777" w:rsidTr="00590581">
        <w:trPr>
          <w:trHeight w:val="290"/>
        </w:trPr>
        <w:tc>
          <w:tcPr>
            <w:tcW w:w="569" w:type="dxa"/>
            <w:noWrap/>
            <w:hideMark/>
          </w:tcPr>
          <w:p w14:paraId="22567565" w14:textId="77777777" w:rsidR="00590581" w:rsidRPr="00FE6B7C" w:rsidRDefault="00590581" w:rsidP="00590581">
            <w:pPr>
              <w:pStyle w:val="BodyText"/>
              <w:spacing w:before="0" w:after="0"/>
              <w:rPr>
                <w:b/>
                <w:bCs/>
                <w:sz w:val="20"/>
                <w:szCs w:val="20"/>
              </w:rPr>
            </w:pPr>
            <w:r w:rsidRPr="00FE6B7C">
              <w:rPr>
                <w:b/>
                <w:bCs/>
                <w:sz w:val="20"/>
                <w:szCs w:val="20"/>
              </w:rPr>
              <w:t>9</w:t>
            </w:r>
          </w:p>
        </w:tc>
        <w:tc>
          <w:tcPr>
            <w:tcW w:w="3749" w:type="dxa"/>
            <w:hideMark/>
          </w:tcPr>
          <w:p w14:paraId="69E25943" w14:textId="77777777" w:rsidR="00590581" w:rsidRPr="007C5180" w:rsidRDefault="00590581" w:rsidP="00590581">
            <w:pPr>
              <w:pStyle w:val="BodyText"/>
              <w:spacing w:before="0" w:after="0"/>
              <w:jc w:val="left"/>
              <w:rPr>
                <w:sz w:val="20"/>
                <w:szCs w:val="20"/>
              </w:rPr>
            </w:pPr>
            <w:r w:rsidRPr="007C5180">
              <w:rPr>
                <w:sz w:val="20"/>
                <w:szCs w:val="20"/>
              </w:rPr>
              <w:t>AUT Gambling and Addictions Research Centre</w:t>
            </w:r>
          </w:p>
        </w:tc>
        <w:tc>
          <w:tcPr>
            <w:tcW w:w="569" w:type="dxa"/>
          </w:tcPr>
          <w:p w14:paraId="2B875AAC" w14:textId="77777777" w:rsidR="00590581" w:rsidRPr="007C5180" w:rsidRDefault="00590581" w:rsidP="00590581">
            <w:pPr>
              <w:pStyle w:val="BodyText"/>
              <w:spacing w:before="0" w:after="0"/>
              <w:rPr>
                <w:sz w:val="20"/>
                <w:szCs w:val="20"/>
              </w:rPr>
            </w:pPr>
          </w:p>
        </w:tc>
        <w:tc>
          <w:tcPr>
            <w:tcW w:w="568" w:type="dxa"/>
          </w:tcPr>
          <w:p w14:paraId="02AE5194" w14:textId="42A92538" w:rsidR="00590581" w:rsidRPr="00530A90" w:rsidRDefault="00590581" w:rsidP="00590581">
            <w:pPr>
              <w:pStyle w:val="BodyText"/>
              <w:spacing w:before="0" w:after="0"/>
              <w:rPr>
                <w:b/>
                <w:bCs/>
                <w:sz w:val="20"/>
                <w:szCs w:val="20"/>
              </w:rPr>
            </w:pPr>
            <w:r w:rsidRPr="00530A90">
              <w:rPr>
                <w:b/>
                <w:bCs/>
                <w:sz w:val="20"/>
                <w:szCs w:val="20"/>
              </w:rPr>
              <w:t>C07</w:t>
            </w:r>
          </w:p>
        </w:tc>
        <w:tc>
          <w:tcPr>
            <w:tcW w:w="3754" w:type="dxa"/>
          </w:tcPr>
          <w:p w14:paraId="747C4D1D" w14:textId="6E05BB18" w:rsidR="00590581" w:rsidRPr="007C5180" w:rsidRDefault="00590581" w:rsidP="00590581">
            <w:pPr>
              <w:pStyle w:val="BodyText"/>
              <w:spacing w:before="0" w:after="0"/>
              <w:jc w:val="left"/>
              <w:rPr>
                <w:sz w:val="20"/>
                <w:szCs w:val="20"/>
              </w:rPr>
            </w:pPr>
            <w:r w:rsidRPr="007C5180">
              <w:rPr>
                <w:sz w:val="20"/>
                <w:szCs w:val="20"/>
              </w:rPr>
              <w:t>Ngā Tai o te Awa</w:t>
            </w:r>
          </w:p>
        </w:tc>
      </w:tr>
      <w:tr w:rsidR="00590581" w:rsidRPr="007C5180" w14:paraId="2C453ED1" w14:textId="77777777" w:rsidTr="00590581">
        <w:trPr>
          <w:trHeight w:val="290"/>
        </w:trPr>
        <w:tc>
          <w:tcPr>
            <w:tcW w:w="569" w:type="dxa"/>
            <w:noWrap/>
            <w:hideMark/>
          </w:tcPr>
          <w:p w14:paraId="3153A433" w14:textId="77777777" w:rsidR="00590581" w:rsidRPr="00FE6B7C" w:rsidRDefault="00590581" w:rsidP="00590581">
            <w:pPr>
              <w:pStyle w:val="BodyText"/>
              <w:spacing w:before="0" w:after="0"/>
              <w:rPr>
                <w:b/>
                <w:bCs/>
                <w:sz w:val="20"/>
                <w:szCs w:val="20"/>
              </w:rPr>
            </w:pPr>
            <w:r w:rsidRPr="00FE6B7C">
              <w:rPr>
                <w:b/>
                <w:bCs/>
                <w:sz w:val="20"/>
                <w:szCs w:val="20"/>
              </w:rPr>
              <w:t>17</w:t>
            </w:r>
          </w:p>
        </w:tc>
        <w:tc>
          <w:tcPr>
            <w:tcW w:w="3749" w:type="dxa"/>
            <w:hideMark/>
          </w:tcPr>
          <w:p w14:paraId="70CEF810" w14:textId="77777777" w:rsidR="00590581" w:rsidRPr="007C5180" w:rsidRDefault="00590581" w:rsidP="00590581">
            <w:pPr>
              <w:pStyle w:val="BodyText"/>
              <w:spacing w:before="0" w:after="0"/>
              <w:jc w:val="left"/>
              <w:rPr>
                <w:sz w:val="20"/>
                <w:szCs w:val="20"/>
              </w:rPr>
            </w:pPr>
            <w:r w:rsidRPr="007C5180">
              <w:rPr>
                <w:sz w:val="20"/>
                <w:szCs w:val="20"/>
              </w:rPr>
              <w:t>BlueSky Community Trust</w:t>
            </w:r>
          </w:p>
        </w:tc>
        <w:tc>
          <w:tcPr>
            <w:tcW w:w="569" w:type="dxa"/>
          </w:tcPr>
          <w:p w14:paraId="4F0F7F37" w14:textId="77777777" w:rsidR="00590581" w:rsidRPr="007C5180" w:rsidRDefault="00590581" w:rsidP="00590581">
            <w:pPr>
              <w:pStyle w:val="BodyText"/>
              <w:spacing w:before="0" w:after="0"/>
              <w:rPr>
                <w:sz w:val="20"/>
                <w:szCs w:val="20"/>
              </w:rPr>
            </w:pPr>
          </w:p>
        </w:tc>
        <w:tc>
          <w:tcPr>
            <w:tcW w:w="568" w:type="dxa"/>
          </w:tcPr>
          <w:p w14:paraId="20902F22" w14:textId="6CE77B2E" w:rsidR="00590581" w:rsidRPr="00530A90" w:rsidRDefault="00590581" w:rsidP="00590581">
            <w:pPr>
              <w:pStyle w:val="BodyText"/>
              <w:spacing w:before="0" w:after="0"/>
              <w:rPr>
                <w:b/>
                <w:bCs/>
                <w:sz w:val="20"/>
                <w:szCs w:val="20"/>
              </w:rPr>
            </w:pPr>
            <w:r w:rsidRPr="00FE6B7C">
              <w:rPr>
                <w:b/>
                <w:bCs/>
                <w:sz w:val="20"/>
                <w:szCs w:val="20"/>
              </w:rPr>
              <w:t>25</w:t>
            </w:r>
          </w:p>
        </w:tc>
        <w:tc>
          <w:tcPr>
            <w:tcW w:w="3754" w:type="dxa"/>
          </w:tcPr>
          <w:p w14:paraId="566CF022" w14:textId="076D9078" w:rsidR="00590581" w:rsidRPr="007C5180" w:rsidRDefault="00590581" w:rsidP="00590581">
            <w:pPr>
              <w:pStyle w:val="BodyText"/>
              <w:spacing w:before="0" w:after="0"/>
              <w:jc w:val="left"/>
              <w:rPr>
                <w:sz w:val="20"/>
                <w:szCs w:val="20"/>
              </w:rPr>
            </w:pPr>
            <w:r w:rsidRPr="007C5180">
              <w:rPr>
                <w:sz w:val="20"/>
                <w:szCs w:val="20"/>
              </w:rPr>
              <w:t>Odyssey</w:t>
            </w:r>
          </w:p>
        </w:tc>
      </w:tr>
      <w:tr w:rsidR="00590581" w:rsidRPr="007C5180" w14:paraId="26133A50" w14:textId="77777777" w:rsidTr="00590581">
        <w:trPr>
          <w:trHeight w:val="290"/>
        </w:trPr>
        <w:tc>
          <w:tcPr>
            <w:tcW w:w="569" w:type="dxa"/>
            <w:noWrap/>
            <w:hideMark/>
          </w:tcPr>
          <w:p w14:paraId="77879211" w14:textId="77777777" w:rsidR="00590581" w:rsidRPr="00FE6B7C" w:rsidRDefault="00590581" w:rsidP="00590581">
            <w:pPr>
              <w:pStyle w:val="BodyText"/>
              <w:spacing w:before="0" w:after="0"/>
              <w:rPr>
                <w:b/>
                <w:bCs/>
                <w:sz w:val="20"/>
                <w:szCs w:val="20"/>
              </w:rPr>
            </w:pPr>
            <w:r w:rsidRPr="00FE6B7C">
              <w:rPr>
                <w:b/>
                <w:bCs/>
                <w:sz w:val="20"/>
                <w:szCs w:val="20"/>
              </w:rPr>
              <w:t>15</w:t>
            </w:r>
          </w:p>
        </w:tc>
        <w:tc>
          <w:tcPr>
            <w:tcW w:w="3749" w:type="dxa"/>
            <w:hideMark/>
          </w:tcPr>
          <w:p w14:paraId="26FB9495" w14:textId="77777777" w:rsidR="00590581" w:rsidRPr="007C5180" w:rsidRDefault="00590581" w:rsidP="00590581">
            <w:pPr>
              <w:pStyle w:val="BodyText"/>
              <w:spacing w:before="0" w:after="0"/>
              <w:jc w:val="left"/>
              <w:rPr>
                <w:sz w:val="20"/>
                <w:szCs w:val="20"/>
              </w:rPr>
            </w:pPr>
            <w:r w:rsidRPr="007C5180">
              <w:rPr>
                <w:sz w:val="20"/>
                <w:szCs w:val="20"/>
              </w:rPr>
              <w:t>Christchurch City Council</w:t>
            </w:r>
          </w:p>
        </w:tc>
        <w:tc>
          <w:tcPr>
            <w:tcW w:w="569" w:type="dxa"/>
          </w:tcPr>
          <w:p w14:paraId="1C7FDC17" w14:textId="77777777" w:rsidR="00590581" w:rsidRPr="007C5180" w:rsidRDefault="00590581" w:rsidP="00590581">
            <w:pPr>
              <w:pStyle w:val="BodyText"/>
              <w:spacing w:before="0" w:after="0"/>
              <w:rPr>
                <w:sz w:val="20"/>
                <w:szCs w:val="20"/>
              </w:rPr>
            </w:pPr>
          </w:p>
        </w:tc>
        <w:tc>
          <w:tcPr>
            <w:tcW w:w="568" w:type="dxa"/>
          </w:tcPr>
          <w:p w14:paraId="702B2E87" w14:textId="114C0FB5" w:rsidR="00590581" w:rsidRPr="00530A90" w:rsidRDefault="00590581" w:rsidP="00590581">
            <w:pPr>
              <w:pStyle w:val="BodyText"/>
              <w:spacing w:before="0" w:after="0"/>
              <w:rPr>
                <w:b/>
                <w:bCs/>
                <w:sz w:val="20"/>
                <w:szCs w:val="20"/>
              </w:rPr>
            </w:pPr>
            <w:r w:rsidRPr="00530A90">
              <w:rPr>
                <w:b/>
                <w:bCs/>
                <w:sz w:val="20"/>
                <w:szCs w:val="20"/>
              </w:rPr>
              <w:t>55</w:t>
            </w:r>
          </w:p>
        </w:tc>
        <w:tc>
          <w:tcPr>
            <w:tcW w:w="3754" w:type="dxa"/>
          </w:tcPr>
          <w:p w14:paraId="43A4D885" w14:textId="2E034A81" w:rsidR="00590581" w:rsidRPr="007C5180" w:rsidRDefault="00590581" w:rsidP="00590581">
            <w:pPr>
              <w:pStyle w:val="BodyText"/>
              <w:spacing w:before="0" w:after="0"/>
              <w:jc w:val="left"/>
              <w:rPr>
                <w:sz w:val="20"/>
                <w:szCs w:val="20"/>
              </w:rPr>
            </w:pPr>
            <w:r w:rsidRPr="007C5180">
              <w:rPr>
                <w:sz w:val="20"/>
                <w:szCs w:val="20"/>
              </w:rPr>
              <w:t>Office Of The Children's Commissioner</w:t>
            </w:r>
          </w:p>
        </w:tc>
      </w:tr>
      <w:tr w:rsidR="00590581" w:rsidRPr="007C5180" w14:paraId="18D713E3" w14:textId="77777777" w:rsidTr="00590581">
        <w:trPr>
          <w:trHeight w:val="290"/>
        </w:trPr>
        <w:tc>
          <w:tcPr>
            <w:tcW w:w="569" w:type="dxa"/>
            <w:noWrap/>
            <w:hideMark/>
          </w:tcPr>
          <w:p w14:paraId="4AB0DA4A" w14:textId="77777777" w:rsidR="00590581" w:rsidRPr="00FE6B7C" w:rsidRDefault="00590581" w:rsidP="00590581">
            <w:pPr>
              <w:pStyle w:val="BodyText"/>
              <w:spacing w:before="0" w:after="0"/>
              <w:rPr>
                <w:b/>
                <w:bCs/>
                <w:sz w:val="20"/>
                <w:szCs w:val="20"/>
              </w:rPr>
            </w:pPr>
            <w:r w:rsidRPr="00FE6B7C">
              <w:rPr>
                <w:b/>
                <w:bCs/>
                <w:sz w:val="20"/>
                <w:szCs w:val="20"/>
              </w:rPr>
              <w:t>20</w:t>
            </w:r>
          </w:p>
        </w:tc>
        <w:tc>
          <w:tcPr>
            <w:tcW w:w="3749" w:type="dxa"/>
            <w:hideMark/>
          </w:tcPr>
          <w:p w14:paraId="7DB330CE" w14:textId="77777777" w:rsidR="00590581" w:rsidRPr="007C5180" w:rsidRDefault="00590581" w:rsidP="00590581">
            <w:pPr>
              <w:pStyle w:val="BodyText"/>
              <w:spacing w:before="0" w:after="0"/>
              <w:jc w:val="left"/>
              <w:rPr>
                <w:sz w:val="20"/>
                <w:szCs w:val="20"/>
              </w:rPr>
            </w:pPr>
            <w:r w:rsidRPr="007C5180">
              <w:rPr>
                <w:sz w:val="20"/>
                <w:szCs w:val="20"/>
              </w:rPr>
              <w:t>COMS Systems Limited</w:t>
            </w:r>
          </w:p>
        </w:tc>
        <w:tc>
          <w:tcPr>
            <w:tcW w:w="569" w:type="dxa"/>
          </w:tcPr>
          <w:p w14:paraId="5E644C90" w14:textId="77777777" w:rsidR="00590581" w:rsidRPr="007C5180" w:rsidRDefault="00590581" w:rsidP="00590581">
            <w:pPr>
              <w:pStyle w:val="BodyText"/>
              <w:spacing w:before="0" w:after="0"/>
              <w:rPr>
                <w:sz w:val="20"/>
                <w:szCs w:val="20"/>
              </w:rPr>
            </w:pPr>
          </w:p>
        </w:tc>
        <w:tc>
          <w:tcPr>
            <w:tcW w:w="568" w:type="dxa"/>
          </w:tcPr>
          <w:p w14:paraId="48DA28B9" w14:textId="4F4DEFBC" w:rsidR="00590581" w:rsidRPr="00530A90" w:rsidRDefault="00590581" w:rsidP="00590581">
            <w:pPr>
              <w:pStyle w:val="BodyText"/>
              <w:spacing w:before="0" w:after="0"/>
              <w:rPr>
                <w:b/>
                <w:bCs/>
                <w:sz w:val="20"/>
                <w:szCs w:val="20"/>
              </w:rPr>
            </w:pPr>
            <w:r w:rsidRPr="00FE6B7C">
              <w:rPr>
                <w:b/>
                <w:bCs/>
                <w:sz w:val="20"/>
                <w:szCs w:val="20"/>
              </w:rPr>
              <w:t>19</w:t>
            </w:r>
          </w:p>
        </w:tc>
        <w:tc>
          <w:tcPr>
            <w:tcW w:w="3754" w:type="dxa"/>
          </w:tcPr>
          <w:p w14:paraId="74591712" w14:textId="7BF2D3F6" w:rsidR="00590581" w:rsidRPr="007C5180" w:rsidRDefault="00590581" w:rsidP="00590581">
            <w:pPr>
              <w:pStyle w:val="BodyText"/>
              <w:spacing w:before="0" w:after="0"/>
              <w:jc w:val="left"/>
              <w:rPr>
                <w:sz w:val="20"/>
                <w:szCs w:val="20"/>
              </w:rPr>
            </w:pPr>
            <w:r w:rsidRPr="007C5180">
              <w:rPr>
                <w:sz w:val="20"/>
                <w:szCs w:val="20"/>
              </w:rPr>
              <w:t>One Foundation</w:t>
            </w:r>
          </w:p>
        </w:tc>
      </w:tr>
      <w:tr w:rsidR="00590581" w:rsidRPr="007C5180" w14:paraId="14BF8F73" w14:textId="77777777" w:rsidTr="00590581">
        <w:trPr>
          <w:trHeight w:val="290"/>
        </w:trPr>
        <w:tc>
          <w:tcPr>
            <w:tcW w:w="569" w:type="dxa"/>
            <w:noWrap/>
          </w:tcPr>
          <w:p w14:paraId="0E22B92B" w14:textId="77777777" w:rsidR="00590581" w:rsidRPr="00530A90" w:rsidRDefault="00590581" w:rsidP="00590581">
            <w:pPr>
              <w:pStyle w:val="BodyText"/>
              <w:spacing w:before="0" w:after="0"/>
              <w:rPr>
                <w:b/>
                <w:bCs/>
                <w:sz w:val="20"/>
                <w:szCs w:val="20"/>
              </w:rPr>
            </w:pPr>
            <w:r w:rsidRPr="00530A90">
              <w:rPr>
                <w:b/>
                <w:bCs/>
                <w:sz w:val="20"/>
                <w:szCs w:val="20"/>
              </w:rPr>
              <w:t>C08</w:t>
            </w:r>
          </w:p>
        </w:tc>
        <w:tc>
          <w:tcPr>
            <w:tcW w:w="3749" w:type="dxa"/>
          </w:tcPr>
          <w:p w14:paraId="652667F5" w14:textId="77777777" w:rsidR="00590581" w:rsidRPr="007C5180" w:rsidRDefault="00590581" w:rsidP="00590581">
            <w:pPr>
              <w:pStyle w:val="BodyText"/>
              <w:spacing w:before="0" w:after="0"/>
              <w:jc w:val="left"/>
              <w:rPr>
                <w:sz w:val="20"/>
                <w:szCs w:val="20"/>
              </w:rPr>
            </w:pPr>
            <w:r w:rsidRPr="007C5180">
              <w:rPr>
                <w:sz w:val="20"/>
                <w:szCs w:val="20"/>
              </w:rPr>
              <w:t>Dapaanz</w:t>
            </w:r>
          </w:p>
        </w:tc>
        <w:tc>
          <w:tcPr>
            <w:tcW w:w="569" w:type="dxa"/>
          </w:tcPr>
          <w:p w14:paraId="0D6F0AD5" w14:textId="77777777" w:rsidR="00590581" w:rsidRPr="007C5180" w:rsidRDefault="00590581" w:rsidP="00590581">
            <w:pPr>
              <w:pStyle w:val="BodyText"/>
              <w:spacing w:before="0" w:after="0"/>
              <w:rPr>
                <w:sz w:val="20"/>
                <w:szCs w:val="20"/>
              </w:rPr>
            </w:pPr>
          </w:p>
        </w:tc>
        <w:tc>
          <w:tcPr>
            <w:tcW w:w="568" w:type="dxa"/>
          </w:tcPr>
          <w:p w14:paraId="77FF4546" w14:textId="2DBA8E50" w:rsidR="00590581" w:rsidRPr="00530A90" w:rsidRDefault="00590581" w:rsidP="00590581">
            <w:pPr>
              <w:pStyle w:val="BodyText"/>
              <w:spacing w:before="0" w:after="0"/>
              <w:rPr>
                <w:b/>
                <w:bCs/>
                <w:sz w:val="20"/>
                <w:szCs w:val="20"/>
              </w:rPr>
            </w:pPr>
            <w:r w:rsidRPr="00FE6B7C">
              <w:rPr>
                <w:b/>
                <w:bCs/>
                <w:sz w:val="20"/>
                <w:szCs w:val="20"/>
              </w:rPr>
              <w:t>12</w:t>
            </w:r>
          </w:p>
        </w:tc>
        <w:tc>
          <w:tcPr>
            <w:tcW w:w="3754" w:type="dxa"/>
          </w:tcPr>
          <w:p w14:paraId="17117B9A" w14:textId="68F255F9" w:rsidR="00590581" w:rsidRPr="007C5180" w:rsidRDefault="00590581" w:rsidP="00590581">
            <w:pPr>
              <w:pStyle w:val="BodyText"/>
              <w:spacing w:before="0" w:after="0"/>
              <w:jc w:val="left"/>
              <w:rPr>
                <w:sz w:val="20"/>
                <w:szCs w:val="20"/>
              </w:rPr>
            </w:pPr>
            <w:r w:rsidRPr="007C5180">
              <w:rPr>
                <w:sz w:val="20"/>
                <w:szCs w:val="20"/>
              </w:rPr>
              <w:t>Ōpōtiki District Council</w:t>
            </w:r>
          </w:p>
        </w:tc>
      </w:tr>
      <w:tr w:rsidR="00590581" w:rsidRPr="007C5180" w14:paraId="6DEC0C61" w14:textId="77777777" w:rsidTr="00590581">
        <w:trPr>
          <w:trHeight w:val="290"/>
        </w:trPr>
        <w:tc>
          <w:tcPr>
            <w:tcW w:w="569" w:type="dxa"/>
            <w:noWrap/>
            <w:hideMark/>
          </w:tcPr>
          <w:p w14:paraId="13EEF3B7" w14:textId="77777777" w:rsidR="00590581" w:rsidRPr="00FE6B7C" w:rsidRDefault="00590581" w:rsidP="00590581">
            <w:pPr>
              <w:pStyle w:val="BodyText"/>
              <w:spacing w:before="0" w:after="0"/>
              <w:rPr>
                <w:b/>
                <w:bCs/>
                <w:sz w:val="20"/>
                <w:szCs w:val="20"/>
              </w:rPr>
            </w:pPr>
            <w:r w:rsidRPr="00FE6B7C">
              <w:rPr>
                <w:b/>
                <w:bCs/>
                <w:sz w:val="20"/>
                <w:szCs w:val="20"/>
              </w:rPr>
              <w:t>26</w:t>
            </w:r>
          </w:p>
        </w:tc>
        <w:tc>
          <w:tcPr>
            <w:tcW w:w="3749" w:type="dxa"/>
            <w:hideMark/>
          </w:tcPr>
          <w:p w14:paraId="51086B27" w14:textId="77777777" w:rsidR="00590581" w:rsidRPr="007C5180" w:rsidRDefault="00590581" w:rsidP="00590581">
            <w:pPr>
              <w:pStyle w:val="BodyText"/>
              <w:spacing w:before="0" w:after="0"/>
              <w:jc w:val="left"/>
              <w:rPr>
                <w:sz w:val="20"/>
                <w:szCs w:val="20"/>
              </w:rPr>
            </w:pPr>
            <w:r w:rsidRPr="007C5180">
              <w:rPr>
                <w:sz w:val="20"/>
                <w:szCs w:val="20"/>
              </w:rPr>
              <w:t>Dragon Community Trust</w:t>
            </w:r>
          </w:p>
        </w:tc>
        <w:tc>
          <w:tcPr>
            <w:tcW w:w="569" w:type="dxa"/>
          </w:tcPr>
          <w:p w14:paraId="4B038F6F" w14:textId="77777777" w:rsidR="00590581" w:rsidRPr="007C5180" w:rsidRDefault="00590581" w:rsidP="00590581">
            <w:pPr>
              <w:pStyle w:val="BodyText"/>
              <w:spacing w:before="0" w:after="0"/>
              <w:rPr>
                <w:sz w:val="20"/>
                <w:szCs w:val="20"/>
              </w:rPr>
            </w:pPr>
          </w:p>
        </w:tc>
        <w:tc>
          <w:tcPr>
            <w:tcW w:w="568" w:type="dxa"/>
          </w:tcPr>
          <w:p w14:paraId="62A26E1D" w14:textId="33D9132A" w:rsidR="00590581" w:rsidRPr="00530A90" w:rsidRDefault="00590581" w:rsidP="00590581">
            <w:pPr>
              <w:pStyle w:val="BodyText"/>
              <w:spacing w:before="0" w:after="0"/>
              <w:rPr>
                <w:b/>
                <w:bCs/>
                <w:sz w:val="20"/>
                <w:szCs w:val="20"/>
              </w:rPr>
            </w:pPr>
            <w:r w:rsidRPr="00530A90">
              <w:rPr>
                <w:b/>
                <w:bCs/>
                <w:sz w:val="20"/>
                <w:szCs w:val="20"/>
              </w:rPr>
              <w:t>C01</w:t>
            </w:r>
          </w:p>
        </w:tc>
        <w:tc>
          <w:tcPr>
            <w:tcW w:w="3754" w:type="dxa"/>
          </w:tcPr>
          <w:p w14:paraId="0C6731BE" w14:textId="29C106B4" w:rsidR="00590581" w:rsidRPr="007C5180" w:rsidRDefault="00590581" w:rsidP="00590581">
            <w:pPr>
              <w:pStyle w:val="BodyText"/>
              <w:spacing w:before="0" w:after="0"/>
              <w:jc w:val="left"/>
              <w:rPr>
                <w:sz w:val="20"/>
                <w:szCs w:val="20"/>
              </w:rPr>
            </w:pPr>
            <w:r w:rsidRPr="007C5180">
              <w:rPr>
                <w:sz w:val="20"/>
                <w:szCs w:val="20"/>
              </w:rPr>
              <w:t>Petone Working Men's Club</w:t>
            </w:r>
          </w:p>
        </w:tc>
      </w:tr>
      <w:tr w:rsidR="00590581" w:rsidRPr="007C5180" w14:paraId="77C53B67" w14:textId="77777777" w:rsidTr="00590581">
        <w:trPr>
          <w:trHeight w:val="290"/>
        </w:trPr>
        <w:tc>
          <w:tcPr>
            <w:tcW w:w="569" w:type="dxa"/>
            <w:noWrap/>
            <w:hideMark/>
          </w:tcPr>
          <w:p w14:paraId="13A3D496" w14:textId="77777777" w:rsidR="00590581" w:rsidRPr="00FE6B7C" w:rsidRDefault="00590581" w:rsidP="00590581">
            <w:pPr>
              <w:pStyle w:val="BodyText"/>
              <w:spacing w:before="0" w:after="0"/>
              <w:rPr>
                <w:b/>
                <w:bCs/>
                <w:sz w:val="20"/>
                <w:szCs w:val="20"/>
              </w:rPr>
            </w:pPr>
            <w:r w:rsidRPr="00FE6B7C">
              <w:rPr>
                <w:b/>
                <w:bCs/>
                <w:sz w:val="20"/>
                <w:szCs w:val="20"/>
              </w:rPr>
              <w:t>10</w:t>
            </w:r>
          </w:p>
        </w:tc>
        <w:tc>
          <w:tcPr>
            <w:tcW w:w="3749" w:type="dxa"/>
            <w:hideMark/>
          </w:tcPr>
          <w:p w14:paraId="0F1F2EF9" w14:textId="77777777" w:rsidR="00590581" w:rsidRPr="007C5180" w:rsidRDefault="00590581" w:rsidP="00590581">
            <w:pPr>
              <w:pStyle w:val="BodyText"/>
              <w:spacing w:before="0" w:after="0"/>
              <w:jc w:val="left"/>
              <w:rPr>
                <w:sz w:val="20"/>
                <w:szCs w:val="20"/>
              </w:rPr>
            </w:pPr>
            <w:r w:rsidRPr="007C5180">
              <w:rPr>
                <w:sz w:val="20"/>
                <w:szCs w:val="20"/>
              </w:rPr>
              <w:t>First Light Community Foundation</w:t>
            </w:r>
          </w:p>
        </w:tc>
        <w:tc>
          <w:tcPr>
            <w:tcW w:w="569" w:type="dxa"/>
          </w:tcPr>
          <w:p w14:paraId="3A59CDF0" w14:textId="77777777" w:rsidR="00590581" w:rsidRPr="007C5180" w:rsidRDefault="00590581" w:rsidP="00590581">
            <w:pPr>
              <w:pStyle w:val="BodyText"/>
              <w:spacing w:before="0" w:after="0"/>
              <w:rPr>
                <w:sz w:val="20"/>
                <w:szCs w:val="20"/>
              </w:rPr>
            </w:pPr>
          </w:p>
        </w:tc>
        <w:tc>
          <w:tcPr>
            <w:tcW w:w="568" w:type="dxa"/>
          </w:tcPr>
          <w:p w14:paraId="223E54F8" w14:textId="6D2AF610" w:rsidR="00590581" w:rsidRPr="00530A90" w:rsidRDefault="00590581" w:rsidP="00590581">
            <w:pPr>
              <w:pStyle w:val="BodyText"/>
              <w:spacing w:before="0" w:after="0"/>
              <w:rPr>
                <w:b/>
                <w:bCs/>
                <w:sz w:val="20"/>
                <w:szCs w:val="20"/>
              </w:rPr>
            </w:pPr>
            <w:r w:rsidRPr="00FE6B7C">
              <w:rPr>
                <w:b/>
                <w:bCs/>
                <w:sz w:val="20"/>
                <w:szCs w:val="20"/>
              </w:rPr>
              <w:t>27</w:t>
            </w:r>
          </w:p>
        </w:tc>
        <w:tc>
          <w:tcPr>
            <w:tcW w:w="3754" w:type="dxa"/>
          </w:tcPr>
          <w:p w14:paraId="4C4E6D55" w14:textId="242EB961" w:rsidR="00590581" w:rsidRPr="007C5180" w:rsidRDefault="00590581" w:rsidP="00590581">
            <w:pPr>
              <w:pStyle w:val="BodyText"/>
              <w:spacing w:before="0" w:after="0"/>
              <w:jc w:val="left"/>
              <w:rPr>
                <w:sz w:val="20"/>
                <w:szCs w:val="20"/>
              </w:rPr>
            </w:pPr>
            <w:r w:rsidRPr="007C5180">
              <w:rPr>
                <w:sz w:val="20"/>
                <w:szCs w:val="20"/>
              </w:rPr>
              <w:t xml:space="preserve">PGF Group </w:t>
            </w:r>
          </w:p>
        </w:tc>
      </w:tr>
      <w:tr w:rsidR="00590581" w:rsidRPr="007C5180" w14:paraId="0D58F80D" w14:textId="77777777" w:rsidTr="00590581">
        <w:trPr>
          <w:trHeight w:val="290"/>
        </w:trPr>
        <w:tc>
          <w:tcPr>
            <w:tcW w:w="569" w:type="dxa"/>
            <w:noWrap/>
            <w:hideMark/>
          </w:tcPr>
          <w:p w14:paraId="6484E357" w14:textId="77777777" w:rsidR="00590581" w:rsidRPr="00FE6B7C" w:rsidRDefault="00590581" w:rsidP="00590581">
            <w:pPr>
              <w:pStyle w:val="BodyText"/>
              <w:spacing w:before="0" w:after="0"/>
              <w:rPr>
                <w:b/>
                <w:bCs/>
                <w:sz w:val="20"/>
                <w:szCs w:val="20"/>
              </w:rPr>
            </w:pPr>
            <w:r w:rsidRPr="00FE6B7C">
              <w:rPr>
                <w:b/>
                <w:bCs/>
                <w:sz w:val="20"/>
                <w:szCs w:val="20"/>
              </w:rPr>
              <w:t>3</w:t>
            </w:r>
          </w:p>
        </w:tc>
        <w:tc>
          <w:tcPr>
            <w:tcW w:w="3749" w:type="dxa"/>
            <w:hideMark/>
          </w:tcPr>
          <w:p w14:paraId="5912636F" w14:textId="77777777" w:rsidR="00590581" w:rsidRPr="007C5180" w:rsidRDefault="00590581" w:rsidP="00590581">
            <w:pPr>
              <w:pStyle w:val="BodyText"/>
              <w:spacing w:before="0" w:after="0"/>
              <w:jc w:val="left"/>
              <w:rPr>
                <w:sz w:val="20"/>
                <w:szCs w:val="20"/>
              </w:rPr>
            </w:pPr>
            <w:r w:rsidRPr="007C5180">
              <w:rPr>
                <w:sz w:val="20"/>
                <w:szCs w:val="20"/>
              </w:rPr>
              <w:t>Four Winds Foundation</w:t>
            </w:r>
          </w:p>
        </w:tc>
        <w:tc>
          <w:tcPr>
            <w:tcW w:w="569" w:type="dxa"/>
          </w:tcPr>
          <w:p w14:paraId="317D8991" w14:textId="77777777" w:rsidR="00590581" w:rsidRPr="007C5180" w:rsidRDefault="00590581" w:rsidP="00590581">
            <w:pPr>
              <w:pStyle w:val="BodyText"/>
              <w:spacing w:before="0" w:after="0"/>
              <w:rPr>
                <w:sz w:val="20"/>
                <w:szCs w:val="20"/>
              </w:rPr>
            </w:pPr>
          </w:p>
        </w:tc>
        <w:tc>
          <w:tcPr>
            <w:tcW w:w="568" w:type="dxa"/>
          </w:tcPr>
          <w:p w14:paraId="38135D43" w14:textId="2F8A7191" w:rsidR="00590581" w:rsidRPr="00530A90" w:rsidRDefault="00590581" w:rsidP="00590581">
            <w:pPr>
              <w:pStyle w:val="BodyText"/>
              <w:spacing w:before="0" w:after="0"/>
              <w:rPr>
                <w:b/>
                <w:bCs/>
                <w:sz w:val="20"/>
                <w:szCs w:val="20"/>
              </w:rPr>
            </w:pPr>
            <w:r w:rsidRPr="00FE6B7C">
              <w:rPr>
                <w:b/>
                <w:bCs/>
                <w:sz w:val="20"/>
                <w:szCs w:val="20"/>
              </w:rPr>
              <w:t>33</w:t>
            </w:r>
          </w:p>
        </w:tc>
        <w:tc>
          <w:tcPr>
            <w:tcW w:w="3754" w:type="dxa"/>
          </w:tcPr>
          <w:p w14:paraId="59EDA828" w14:textId="6D338B69" w:rsidR="00590581" w:rsidRPr="007C5180" w:rsidRDefault="00590581" w:rsidP="00590581">
            <w:pPr>
              <w:pStyle w:val="BodyText"/>
              <w:spacing w:before="0" w:after="0"/>
              <w:jc w:val="left"/>
              <w:rPr>
                <w:sz w:val="20"/>
                <w:szCs w:val="20"/>
              </w:rPr>
            </w:pPr>
            <w:r w:rsidRPr="007C5180">
              <w:rPr>
                <w:sz w:val="20"/>
                <w:szCs w:val="20"/>
              </w:rPr>
              <w:t>Platform Charitable Trust</w:t>
            </w:r>
          </w:p>
        </w:tc>
      </w:tr>
      <w:tr w:rsidR="00590581" w:rsidRPr="007C5180" w14:paraId="62C93233" w14:textId="77777777" w:rsidTr="00590581">
        <w:trPr>
          <w:trHeight w:val="290"/>
        </w:trPr>
        <w:tc>
          <w:tcPr>
            <w:tcW w:w="569" w:type="dxa"/>
            <w:noWrap/>
            <w:hideMark/>
          </w:tcPr>
          <w:p w14:paraId="2930C551" w14:textId="77777777" w:rsidR="00590581" w:rsidRPr="00FE6B7C" w:rsidRDefault="00590581" w:rsidP="00590581">
            <w:pPr>
              <w:pStyle w:val="BodyText"/>
              <w:spacing w:before="0" w:after="0"/>
              <w:rPr>
                <w:b/>
                <w:bCs/>
                <w:sz w:val="20"/>
                <w:szCs w:val="20"/>
              </w:rPr>
            </w:pPr>
            <w:r w:rsidRPr="00FE6B7C">
              <w:rPr>
                <w:b/>
                <w:bCs/>
                <w:sz w:val="20"/>
                <w:szCs w:val="20"/>
              </w:rPr>
              <w:t>5</w:t>
            </w:r>
          </w:p>
        </w:tc>
        <w:tc>
          <w:tcPr>
            <w:tcW w:w="3749" w:type="dxa"/>
            <w:hideMark/>
          </w:tcPr>
          <w:p w14:paraId="4F0E8FEA" w14:textId="77777777" w:rsidR="00590581" w:rsidRPr="007C5180" w:rsidRDefault="00590581" w:rsidP="00590581">
            <w:pPr>
              <w:pStyle w:val="BodyText"/>
              <w:spacing w:before="0" w:after="0"/>
              <w:jc w:val="left"/>
              <w:rPr>
                <w:sz w:val="20"/>
                <w:szCs w:val="20"/>
              </w:rPr>
            </w:pPr>
            <w:r w:rsidRPr="007C5180">
              <w:rPr>
                <w:sz w:val="20"/>
                <w:szCs w:val="20"/>
              </w:rPr>
              <w:t>GMANZ</w:t>
            </w:r>
          </w:p>
        </w:tc>
        <w:tc>
          <w:tcPr>
            <w:tcW w:w="569" w:type="dxa"/>
          </w:tcPr>
          <w:p w14:paraId="7CB3D587" w14:textId="77777777" w:rsidR="00590581" w:rsidRPr="007C5180" w:rsidRDefault="00590581" w:rsidP="00590581">
            <w:pPr>
              <w:pStyle w:val="BodyText"/>
              <w:spacing w:before="0" w:after="0"/>
              <w:rPr>
                <w:sz w:val="20"/>
                <w:szCs w:val="20"/>
              </w:rPr>
            </w:pPr>
          </w:p>
        </w:tc>
        <w:tc>
          <w:tcPr>
            <w:tcW w:w="568" w:type="dxa"/>
          </w:tcPr>
          <w:p w14:paraId="1A138DDD" w14:textId="6D781CC6" w:rsidR="00590581" w:rsidRPr="00530A90" w:rsidRDefault="00590581" w:rsidP="00590581">
            <w:pPr>
              <w:pStyle w:val="BodyText"/>
              <w:spacing w:before="0" w:after="0"/>
              <w:rPr>
                <w:b/>
                <w:bCs/>
                <w:sz w:val="20"/>
                <w:szCs w:val="20"/>
              </w:rPr>
            </w:pPr>
            <w:r w:rsidRPr="00FE6B7C">
              <w:rPr>
                <w:b/>
                <w:bCs/>
                <w:sz w:val="20"/>
                <w:szCs w:val="20"/>
              </w:rPr>
              <w:t>28</w:t>
            </w:r>
          </w:p>
        </w:tc>
        <w:tc>
          <w:tcPr>
            <w:tcW w:w="3754" w:type="dxa"/>
          </w:tcPr>
          <w:p w14:paraId="7B360776" w14:textId="33F4CBD8" w:rsidR="00590581" w:rsidRPr="007C5180" w:rsidRDefault="00590581" w:rsidP="00590581">
            <w:pPr>
              <w:pStyle w:val="BodyText"/>
              <w:spacing w:before="0" w:after="0"/>
              <w:jc w:val="left"/>
              <w:rPr>
                <w:sz w:val="20"/>
                <w:szCs w:val="20"/>
              </w:rPr>
            </w:pPr>
            <w:r w:rsidRPr="007C5180">
              <w:rPr>
                <w:sz w:val="20"/>
                <w:szCs w:val="20"/>
              </w:rPr>
              <w:t>Public Service Association (PSA)</w:t>
            </w:r>
          </w:p>
        </w:tc>
      </w:tr>
      <w:tr w:rsidR="00590581" w:rsidRPr="007C5180" w14:paraId="694C0999" w14:textId="77777777" w:rsidTr="00590581">
        <w:trPr>
          <w:trHeight w:val="290"/>
        </w:trPr>
        <w:tc>
          <w:tcPr>
            <w:tcW w:w="569" w:type="dxa"/>
            <w:noWrap/>
          </w:tcPr>
          <w:p w14:paraId="5B97C3F0" w14:textId="77777777" w:rsidR="00590581" w:rsidRPr="00530A90" w:rsidRDefault="00590581" w:rsidP="00590581">
            <w:pPr>
              <w:pStyle w:val="BodyText"/>
              <w:spacing w:before="0" w:after="0"/>
              <w:rPr>
                <w:b/>
                <w:bCs/>
                <w:sz w:val="20"/>
                <w:szCs w:val="20"/>
              </w:rPr>
            </w:pPr>
            <w:r w:rsidRPr="00530A90">
              <w:rPr>
                <w:b/>
                <w:bCs/>
                <w:sz w:val="20"/>
                <w:szCs w:val="20"/>
              </w:rPr>
              <w:t>51</w:t>
            </w:r>
          </w:p>
        </w:tc>
        <w:tc>
          <w:tcPr>
            <w:tcW w:w="3749" w:type="dxa"/>
          </w:tcPr>
          <w:p w14:paraId="6844C03A" w14:textId="77777777" w:rsidR="00590581" w:rsidRPr="007C5180" w:rsidRDefault="00590581" w:rsidP="00590581">
            <w:pPr>
              <w:pStyle w:val="BodyText"/>
              <w:spacing w:before="0" w:after="0"/>
              <w:jc w:val="left"/>
              <w:rPr>
                <w:sz w:val="20"/>
                <w:szCs w:val="20"/>
              </w:rPr>
            </w:pPr>
            <w:r w:rsidRPr="007C5180">
              <w:rPr>
                <w:sz w:val="20"/>
                <w:szCs w:val="20"/>
              </w:rPr>
              <w:t>Grassroots Trust</w:t>
            </w:r>
          </w:p>
        </w:tc>
        <w:tc>
          <w:tcPr>
            <w:tcW w:w="569" w:type="dxa"/>
          </w:tcPr>
          <w:p w14:paraId="308F5C72" w14:textId="77777777" w:rsidR="00590581" w:rsidRPr="007C5180" w:rsidRDefault="00590581" w:rsidP="00590581">
            <w:pPr>
              <w:pStyle w:val="BodyText"/>
              <w:spacing w:before="0" w:after="0"/>
              <w:rPr>
                <w:sz w:val="20"/>
                <w:szCs w:val="20"/>
              </w:rPr>
            </w:pPr>
          </w:p>
        </w:tc>
        <w:tc>
          <w:tcPr>
            <w:tcW w:w="568" w:type="dxa"/>
          </w:tcPr>
          <w:p w14:paraId="06DA400F" w14:textId="513CF74F" w:rsidR="00590581" w:rsidRPr="00530A90" w:rsidRDefault="00590581" w:rsidP="00590581">
            <w:pPr>
              <w:pStyle w:val="BodyText"/>
              <w:spacing w:before="0" w:after="0"/>
              <w:rPr>
                <w:b/>
                <w:bCs/>
                <w:sz w:val="20"/>
                <w:szCs w:val="20"/>
              </w:rPr>
            </w:pPr>
            <w:r w:rsidRPr="00530A90">
              <w:rPr>
                <w:b/>
                <w:bCs/>
                <w:sz w:val="20"/>
                <w:szCs w:val="20"/>
              </w:rPr>
              <w:t>53</w:t>
            </w:r>
          </w:p>
        </w:tc>
        <w:tc>
          <w:tcPr>
            <w:tcW w:w="3754" w:type="dxa"/>
          </w:tcPr>
          <w:p w14:paraId="7DD82D3A" w14:textId="2AE8635F" w:rsidR="00590581" w:rsidRPr="007C5180" w:rsidRDefault="00590581" w:rsidP="00590581">
            <w:pPr>
              <w:pStyle w:val="BodyText"/>
              <w:spacing w:before="0" w:after="0"/>
              <w:jc w:val="left"/>
              <w:rPr>
                <w:sz w:val="20"/>
                <w:szCs w:val="20"/>
              </w:rPr>
            </w:pPr>
            <w:r>
              <w:rPr>
                <w:sz w:val="20"/>
                <w:szCs w:val="20"/>
              </w:rPr>
              <w:t>RNZCGP</w:t>
            </w:r>
          </w:p>
        </w:tc>
      </w:tr>
      <w:tr w:rsidR="00590581" w:rsidRPr="007C5180" w14:paraId="1808AD95" w14:textId="77777777" w:rsidTr="00590581">
        <w:trPr>
          <w:trHeight w:val="290"/>
        </w:trPr>
        <w:tc>
          <w:tcPr>
            <w:tcW w:w="569" w:type="dxa"/>
            <w:noWrap/>
          </w:tcPr>
          <w:p w14:paraId="2519126B" w14:textId="77777777" w:rsidR="00590581" w:rsidRPr="00530A90" w:rsidRDefault="00590581" w:rsidP="00590581">
            <w:pPr>
              <w:pStyle w:val="BodyText"/>
              <w:spacing w:before="0" w:after="0"/>
              <w:rPr>
                <w:b/>
                <w:bCs/>
                <w:sz w:val="20"/>
                <w:szCs w:val="20"/>
              </w:rPr>
            </w:pPr>
            <w:r w:rsidRPr="00530A90">
              <w:rPr>
                <w:b/>
                <w:bCs/>
                <w:sz w:val="20"/>
                <w:szCs w:val="20"/>
              </w:rPr>
              <w:t>C05</w:t>
            </w:r>
          </w:p>
        </w:tc>
        <w:tc>
          <w:tcPr>
            <w:tcW w:w="3749" w:type="dxa"/>
          </w:tcPr>
          <w:p w14:paraId="4DE4528F" w14:textId="77777777" w:rsidR="00590581" w:rsidRPr="007C5180" w:rsidRDefault="00590581" w:rsidP="00590581">
            <w:pPr>
              <w:pStyle w:val="BodyText"/>
              <w:spacing w:before="0" w:after="0"/>
              <w:jc w:val="left"/>
              <w:rPr>
                <w:sz w:val="20"/>
                <w:szCs w:val="20"/>
              </w:rPr>
            </w:pPr>
            <w:r w:rsidRPr="007C5180">
              <w:rPr>
                <w:sz w:val="20"/>
                <w:szCs w:val="20"/>
              </w:rPr>
              <w:t>Group: Safer Napier Strategic Group</w:t>
            </w:r>
          </w:p>
        </w:tc>
        <w:tc>
          <w:tcPr>
            <w:tcW w:w="569" w:type="dxa"/>
          </w:tcPr>
          <w:p w14:paraId="4B4020EC" w14:textId="77777777" w:rsidR="00590581" w:rsidRPr="007C5180" w:rsidRDefault="00590581" w:rsidP="00590581">
            <w:pPr>
              <w:pStyle w:val="BodyText"/>
              <w:spacing w:before="0" w:after="0"/>
              <w:rPr>
                <w:sz w:val="20"/>
                <w:szCs w:val="20"/>
              </w:rPr>
            </w:pPr>
          </w:p>
        </w:tc>
        <w:tc>
          <w:tcPr>
            <w:tcW w:w="568" w:type="dxa"/>
          </w:tcPr>
          <w:p w14:paraId="763BE9EE" w14:textId="30390CE7" w:rsidR="00590581" w:rsidRPr="00530A90" w:rsidRDefault="00590581" w:rsidP="00590581">
            <w:pPr>
              <w:pStyle w:val="BodyText"/>
              <w:spacing w:before="0" w:after="0"/>
              <w:rPr>
                <w:b/>
                <w:bCs/>
                <w:sz w:val="20"/>
                <w:szCs w:val="20"/>
              </w:rPr>
            </w:pPr>
            <w:r w:rsidRPr="00530A90">
              <w:rPr>
                <w:b/>
                <w:bCs/>
                <w:sz w:val="20"/>
                <w:szCs w:val="20"/>
              </w:rPr>
              <w:t>49</w:t>
            </w:r>
          </w:p>
        </w:tc>
        <w:tc>
          <w:tcPr>
            <w:tcW w:w="3754" w:type="dxa"/>
          </w:tcPr>
          <w:p w14:paraId="738A3463" w14:textId="17B0C825" w:rsidR="00590581" w:rsidRPr="007C5180" w:rsidRDefault="00590581" w:rsidP="00590581">
            <w:pPr>
              <w:pStyle w:val="BodyText"/>
              <w:spacing w:before="0" w:after="0"/>
              <w:jc w:val="left"/>
              <w:rPr>
                <w:sz w:val="20"/>
                <w:szCs w:val="20"/>
              </w:rPr>
            </w:pPr>
            <w:r w:rsidRPr="007C5180">
              <w:rPr>
                <w:sz w:val="20"/>
                <w:szCs w:val="20"/>
              </w:rPr>
              <w:t>Royal Australasian College of Physicians</w:t>
            </w:r>
          </w:p>
        </w:tc>
      </w:tr>
      <w:tr w:rsidR="00590581" w:rsidRPr="007C5180" w14:paraId="1B0F4F68" w14:textId="77777777" w:rsidTr="00590581">
        <w:trPr>
          <w:trHeight w:val="290"/>
        </w:trPr>
        <w:tc>
          <w:tcPr>
            <w:tcW w:w="569" w:type="dxa"/>
            <w:noWrap/>
          </w:tcPr>
          <w:p w14:paraId="1FF7EB19" w14:textId="77777777" w:rsidR="00590581" w:rsidRPr="00FE6B7C" w:rsidRDefault="00590581" w:rsidP="00590581">
            <w:pPr>
              <w:pStyle w:val="BodyText"/>
              <w:spacing w:before="0" w:after="0"/>
              <w:rPr>
                <w:b/>
                <w:bCs/>
                <w:sz w:val="20"/>
                <w:szCs w:val="20"/>
              </w:rPr>
            </w:pPr>
            <w:r w:rsidRPr="00530A90">
              <w:rPr>
                <w:b/>
                <w:bCs/>
                <w:sz w:val="20"/>
                <w:szCs w:val="20"/>
              </w:rPr>
              <w:t>41</w:t>
            </w:r>
          </w:p>
        </w:tc>
        <w:tc>
          <w:tcPr>
            <w:tcW w:w="3749" w:type="dxa"/>
          </w:tcPr>
          <w:p w14:paraId="0502D9E1" w14:textId="77777777" w:rsidR="00590581" w:rsidRPr="007C5180" w:rsidRDefault="00590581" w:rsidP="00590581">
            <w:pPr>
              <w:pStyle w:val="BodyText"/>
              <w:spacing w:before="0" w:after="0"/>
              <w:jc w:val="left"/>
              <w:rPr>
                <w:sz w:val="20"/>
                <w:szCs w:val="20"/>
              </w:rPr>
            </w:pPr>
            <w:r w:rsidRPr="007C5180">
              <w:rPr>
                <w:sz w:val="20"/>
                <w:szCs w:val="20"/>
              </w:rPr>
              <w:t>Hāpai te Hauora</w:t>
            </w:r>
          </w:p>
        </w:tc>
        <w:tc>
          <w:tcPr>
            <w:tcW w:w="569" w:type="dxa"/>
          </w:tcPr>
          <w:p w14:paraId="596D3E44" w14:textId="77777777" w:rsidR="00590581" w:rsidRPr="007C5180" w:rsidRDefault="00590581" w:rsidP="00590581">
            <w:pPr>
              <w:pStyle w:val="BodyText"/>
              <w:spacing w:before="0" w:after="0"/>
              <w:rPr>
                <w:sz w:val="20"/>
                <w:szCs w:val="20"/>
              </w:rPr>
            </w:pPr>
          </w:p>
        </w:tc>
        <w:tc>
          <w:tcPr>
            <w:tcW w:w="568" w:type="dxa"/>
          </w:tcPr>
          <w:p w14:paraId="4EFA9304" w14:textId="73FAFF31" w:rsidR="00590581" w:rsidRPr="00530A90" w:rsidRDefault="00590581" w:rsidP="00590581">
            <w:pPr>
              <w:pStyle w:val="BodyText"/>
              <w:spacing w:before="0" w:after="0"/>
              <w:rPr>
                <w:b/>
                <w:bCs/>
                <w:sz w:val="20"/>
                <w:szCs w:val="20"/>
              </w:rPr>
            </w:pPr>
            <w:r w:rsidRPr="00530A90">
              <w:rPr>
                <w:b/>
                <w:bCs/>
                <w:sz w:val="20"/>
                <w:szCs w:val="20"/>
              </w:rPr>
              <w:t>36</w:t>
            </w:r>
          </w:p>
        </w:tc>
        <w:tc>
          <w:tcPr>
            <w:tcW w:w="3754" w:type="dxa"/>
          </w:tcPr>
          <w:p w14:paraId="7DE6D1E6" w14:textId="7F1CED23" w:rsidR="00590581" w:rsidRPr="007C5180" w:rsidRDefault="00590581" w:rsidP="00590581">
            <w:pPr>
              <w:pStyle w:val="BodyText"/>
              <w:spacing w:before="0" w:after="0"/>
              <w:jc w:val="left"/>
              <w:rPr>
                <w:sz w:val="20"/>
                <w:szCs w:val="20"/>
              </w:rPr>
            </w:pPr>
            <w:r w:rsidRPr="007C5180">
              <w:rPr>
                <w:sz w:val="20"/>
                <w:szCs w:val="20"/>
              </w:rPr>
              <w:t>SkyCity</w:t>
            </w:r>
          </w:p>
        </w:tc>
      </w:tr>
      <w:tr w:rsidR="00590581" w:rsidRPr="007C5180" w14:paraId="4DAE18FC" w14:textId="77777777" w:rsidTr="00590581">
        <w:trPr>
          <w:trHeight w:val="290"/>
        </w:trPr>
        <w:tc>
          <w:tcPr>
            <w:tcW w:w="569" w:type="dxa"/>
            <w:noWrap/>
            <w:hideMark/>
          </w:tcPr>
          <w:p w14:paraId="3565FD28" w14:textId="77777777" w:rsidR="00590581" w:rsidRPr="00FE6B7C" w:rsidRDefault="00590581" w:rsidP="00590581">
            <w:pPr>
              <w:pStyle w:val="BodyText"/>
              <w:spacing w:before="0" w:after="0"/>
              <w:rPr>
                <w:b/>
                <w:bCs/>
                <w:sz w:val="20"/>
                <w:szCs w:val="20"/>
              </w:rPr>
            </w:pPr>
            <w:r w:rsidRPr="00FE6B7C">
              <w:rPr>
                <w:b/>
                <w:bCs/>
                <w:sz w:val="20"/>
                <w:szCs w:val="20"/>
              </w:rPr>
              <w:t>34</w:t>
            </w:r>
          </w:p>
        </w:tc>
        <w:tc>
          <w:tcPr>
            <w:tcW w:w="3749" w:type="dxa"/>
            <w:hideMark/>
          </w:tcPr>
          <w:p w14:paraId="24ADC019" w14:textId="77777777" w:rsidR="00590581" w:rsidRPr="007C5180" w:rsidRDefault="00590581" w:rsidP="00590581">
            <w:pPr>
              <w:pStyle w:val="BodyText"/>
              <w:spacing w:before="0" w:after="0"/>
              <w:jc w:val="left"/>
              <w:rPr>
                <w:sz w:val="20"/>
                <w:szCs w:val="20"/>
              </w:rPr>
            </w:pPr>
            <w:r w:rsidRPr="007C5180">
              <w:rPr>
                <w:sz w:val="20"/>
                <w:szCs w:val="20"/>
              </w:rPr>
              <w:t>Hauora Tairāwhiti</w:t>
            </w:r>
          </w:p>
        </w:tc>
        <w:tc>
          <w:tcPr>
            <w:tcW w:w="569" w:type="dxa"/>
          </w:tcPr>
          <w:p w14:paraId="38AF4D62" w14:textId="77777777" w:rsidR="00590581" w:rsidRPr="007C5180" w:rsidRDefault="00590581" w:rsidP="00590581">
            <w:pPr>
              <w:pStyle w:val="BodyText"/>
              <w:spacing w:before="0" w:after="0"/>
              <w:rPr>
                <w:sz w:val="20"/>
                <w:szCs w:val="20"/>
              </w:rPr>
            </w:pPr>
          </w:p>
        </w:tc>
        <w:tc>
          <w:tcPr>
            <w:tcW w:w="568" w:type="dxa"/>
          </w:tcPr>
          <w:p w14:paraId="38387B53" w14:textId="13C25F1D" w:rsidR="00590581" w:rsidRPr="00530A90" w:rsidRDefault="00590581" w:rsidP="00590581">
            <w:pPr>
              <w:pStyle w:val="BodyText"/>
              <w:spacing w:before="0" w:after="0"/>
              <w:rPr>
                <w:b/>
                <w:bCs/>
                <w:sz w:val="20"/>
                <w:szCs w:val="20"/>
              </w:rPr>
            </w:pPr>
            <w:r w:rsidRPr="00530A90">
              <w:rPr>
                <w:b/>
                <w:bCs/>
                <w:sz w:val="20"/>
                <w:szCs w:val="20"/>
              </w:rPr>
              <w:t>C02</w:t>
            </w:r>
          </w:p>
        </w:tc>
        <w:tc>
          <w:tcPr>
            <w:tcW w:w="3754" w:type="dxa"/>
          </w:tcPr>
          <w:p w14:paraId="69DFE702" w14:textId="22C797B4" w:rsidR="00590581" w:rsidRPr="007C5180" w:rsidRDefault="00590581" w:rsidP="00590581">
            <w:pPr>
              <w:pStyle w:val="BodyText"/>
              <w:spacing w:before="0" w:after="0"/>
              <w:jc w:val="left"/>
              <w:rPr>
                <w:sz w:val="20"/>
                <w:szCs w:val="20"/>
              </w:rPr>
            </w:pPr>
            <w:r w:rsidRPr="007C5180">
              <w:rPr>
                <w:sz w:val="20"/>
                <w:szCs w:val="20"/>
              </w:rPr>
              <w:t>Stronger Waitaki - Community Development Support</w:t>
            </w:r>
          </w:p>
        </w:tc>
      </w:tr>
      <w:tr w:rsidR="00590581" w:rsidRPr="007C5180" w14:paraId="63BA4896" w14:textId="77777777" w:rsidTr="00590581">
        <w:trPr>
          <w:trHeight w:val="290"/>
        </w:trPr>
        <w:tc>
          <w:tcPr>
            <w:tcW w:w="569" w:type="dxa"/>
            <w:noWrap/>
            <w:hideMark/>
          </w:tcPr>
          <w:p w14:paraId="2B014C8C" w14:textId="77777777" w:rsidR="00590581" w:rsidRPr="00FE6B7C" w:rsidRDefault="00590581" w:rsidP="00590581">
            <w:pPr>
              <w:pStyle w:val="BodyText"/>
              <w:spacing w:before="0" w:after="0"/>
              <w:rPr>
                <w:b/>
                <w:bCs/>
                <w:sz w:val="20"/>
                <w:szCs w:val="20"/>
              </w:rPr>
            </w:pPr>
            <w:r w:rsidRPr="00FE6B7C">
              <w:rPr>
                <w:b/>
                <w:bCs/>
                <w:sz w:val="20"/>
                <w:szCs w:val="20"/>
              </w:rPr>
              <w:t>35</w:t>
            </w:r>
          </w:p>
        </w:tc>
        <w:tc>
          <w:tcPr>
            <w:tcW w:w="3749" w:type="dxa"/>
            <w:hideMark/>
          </w:tcPr>
          <w:p w14:paraId="6BE257E5" w14:textId="77777777" w:rsidR="00590581" w:rsidRPr="007C5180" w:rsidRDefault="00590581" w:rsidP="00590581">
            <w:pPr>
              <w:pStyle w:val="BodyText"/>
              <w:spacing w:before="0" w:after="0"/>
              <w:jc w:val="left"/>
              <w:rPr>
                <w:sz w:val="20"/>
                <w:szCs w:val="20"/>
              </w:rPr>
            </w:pPr>
            <w:r w:rsidRPr="007C5180">
              <w:rPr>
                <w:sz w:val="20"/>
                <w:szCs w:val="20"/>
              </w:rPr>
              <w:t>Hawke's Bay District Health Board</w:t>
            </w:r>
          </w:p>
        </w:tc>
        <w:tc>
          <w:tcPr>
            <w:tcW w:w="569" w:type="dxa"/>
          </w:tcPr>
          <w:p w14:paraId="6552DF81" w14:textId="77777777" w:rsidR="00590581" w:rsidRPr="007C5180" w:rsidRDefault="00590581" w:rsidP="00590581">
            <w:pPr>
              <w:pStyle w:val="BodyText"/>
              <w:spacing w:before="0" w:after="0"/>
              <w:rPr>
                <w:sz w:val="20"/>
                <w:szCs w:val="20"/>
              </w:rPr>
            </w:pPr>
          </w:p>
        </w:tc>
        <w:tc>
          <w:tcPr>
            <w:tcW w:w="568" w:type="dxa"/>
          </w:tcPr>
          <w:p w14:paraId="375546AF" w14:textId="5E13A8C2" w:rsidR="00590581" w:rsidRPr="00530A90" w:rsidRDefault="00590581" w:rsidP="00590581">
            <w:pPr>
              <w:pStyle w:val="BodyText"/>
              <w:spacing w:before="0" w:after="0"/>
              <w:rPr>
                <w:b/>
                <w:bCs/>
                <w:sz w:val="20"/>
                <w:szCs w:val="20"/>
              </w:rPr>
            </w:pPr>
            <w:r w:rsidRPr="00530A90">
              <w:rPr>
                <w:b/>
                <w:bCs/>
                <w:sz w:val="20"/>
                <w:szCs w:val="20"/>
              </w:rPr>
              <w:t>42</w:t>
            </w:r>
          </w:p>
        </w:tc>
        <w:tc>
          <w:tcPr>
            <w:tcW w:w="3754" w:type="dxa"/>
          </w:tcPr>
          <w:p w14:paraId="5D8573DA" w14:textId="333E088C" w:rsidR="00590581" w:rsidRPr="007C5180" w:rsidRDefault="00590581" w:rsidP="00590581">
            <w:pPr>
              <w:pStyle w:val="BodyText"/>
              <w:spacing w:before="0" w:after="0"/>
              <w:jc w:val="left"/>
              <w:rPr>
                <w:sz w:val="20"/>
                <w:szCs w:val="20"/>
              </w:rPr>
            </w:pPr>
            <w:r w:rsidRPr="007C5180">
              <w:rPr>
                <w:sz w:val="20"/>
                <w:szCs w:val="20"/>
              </w:rPr>
              <w:t>TAB NZ</w:t>
            </w:r>
          </w:p>
        </w:tc>
      </w:tr>
      <w:tr w:rsidR="00590581" w:rsidRPr="007C5180" w14:paraId="590A8E39" w14:textId="77777777" w:rsidTr="00590581">
        <w:trPr>
          <w:trHeight w:val="290"/>
        </w:trPr>
        <w:tc>
          <w:tcPr>
            <w:tcW w:w="569" w:type="dxa"/>
            <w:noWrap/>
            <w:hideMark/>
          </w:tcPr>
          <w:p w14:paraId="7C7F8CE3" w14:textId="77777777" w:rsidR="00590581" w:rsidRPr="00FE6B7C" w:rsidRDefault="00590581" w:rsidP="00590581">
            <w:pPr>
              <w:pStyle w:val="BodyText"/>
              <w:spacing w:before="0" w:after="0"/>
              <w:rPr>
                <w:b/>
                <w:bCs/>
                <w:sz w:val="20"/>
                <w:szCs w:val="20"/>
              </w:rPr>
            </w:pPr>
            <w:r w:rsidRPr="00FE6B7C">
              <w:rPr>
                <w:b/>
                <w:bCs/>
                <w:sz w:val="20"/>
                <w:szCs w:val="20"/>
              </w:rPr>
              <w:t>21</w:t>
            </w:r>
          </w:p>
        </w:tc>
        <w:tc>
          <w:tcPr>
            <w:tcW w:w="3749" w:type="dxa"/>
            <w:hideMark/>
          </w:tcPr>
          <w:p w14:paraId="444CDDF8" w14:textId="77777777" w:rsidR="00590581" w:rsidRPr="007C5180" w:rsidRDefault="00590581" w:rsidP="00590581">
            <w:pPr>
              <w:pStyle w:val="BodyText"/>
              <w:spacing w:before="0" w:after="0"/>
              <w:jc w:val="left"/>
              <w:rPr>
                <w:sz w:val="20"/>
                <w:szCs w:val="20"/>
              </w:rPr>
            </w:pPr>
            <w:r w:rsidRPr="007C5180">
              <w:rPr>
                <w:sz w:val="20"/>
                <w:szCs w:val="20"/>
              </w:rPr>
              <w:t>Hospitality NZ</w:t>
            </w:r>
          </w:p>
        </w:tc>
        <w:tc>
          <w:tcPr>
            <w:tcW w:w="569" w:type="dxa"/>
          </w:tcPr>
          <w:p w14:paraId="53EC5686" w14:textId="77777777" w:rsidR="00590581" w:rsidRPr="007C5180" w:rsidRDefault="00590581" w:rsidP="00590581">
            <w:pPr>
              <w:pStyle w:val="BodyText"/>
              <w:spacing w:before="0" w:after="0"/>
              <w:rPr>
                <w:sz w:val="20"/>
                <w:szCs w:val="20"/>
              </w:rPr>
            </w:pPr>
          </w:p>
        </w:tc>
        <w:tc>
          <w:tcPr>
            <w:tcW w:w="568" w:type="dxa"/>
          </w:tcPr>
          <w:p w14:paraId="2CC02DF2" w14:textId="6DDAB62D" w:rsidR="00590581" w:rsidRPr="00530A90" w:rsidRDefault="00590581" w:rsidP="00590581">
            <w:pPr>
              <w:pStyle w:val="BodyText"/>
              <w:spacing w:before="0" w:after="0"/>
              <w:rPr>
                <w:b/>
                <w:bCs/>
                <w:sz w:val="20"/>
                <w:szCs w:val="20"/>
              </w:rPr>
            </w:pPr>
            <w:r w:rsidRPr="00530A90">
              <w:rPr>
                <w:b/>
                <w:bCs/>
                <w:sz w:val="20"/>
                <w:szCs w:val="20"/>
              </w:rPr>
              <w:t>46</w:t>
            </w:r>
          </w:p>
        </w:tc>
        <w:tc>
          <w:tcPr>
            <w:tcW w:w="3754" w:type="dxa"/>
          </w:tcPr>
          <w:p w14:paraId="63AF5987" w14:textId="7A8BDBF3" w:rsidR="00590581" w:rsidRPr="007C5180" w:rsidRDefault="00590581" w:rsidP="00590581">
            <w:pPr>
              <w:pStyle w:val="BodyText"/>
              <w:spacing w:before="0" w:after="0"/>
              <w:jc w:val="left"/>
              <w:rPr>
                <w:sz w:val="20"/>
                <w:szCs w:val="20"/>
              </w:rPr>
            </w:pPr>
            <w:r w:rsidRPr="007C5180">
              <w:rPr>
                <w:sz w:val="20"/>
                <w:szCs w:val="20"/>
              </w:rPr>
              <w:t xml:space="preserve">Taeaomanino Trust    </w:t>
            </w:r>
          </w:p>
        </w:tc>
      </w:tr>
      <w:tr w:rsidR="00590581" w:rsidRPr="007C5180" w14:paraId="1C990A4E" w14:textId="77777777" w:rsidTr="00590581">
        <w:trPr>
          <w:trHeight w:val="290"/>
        </w:trPr>
        <w:tc>
          <w:tcPr>
            <w:tcW w:w="569" w:type="dxa"/>
            <w:noWrap/>
          </w:tcPr>
          <w:p w14:paraId="04FEF60E" w14:textId="77777777" w:rsidR="00590581" w:rsidRPr="00FE6B7C" w:rsidRDefault="00590581" w:rsidP="00590581">
            <w:pPr>
              <w:pStyle w:val="BodyText"/>
              <w:spacing w:before="0" w:after="0"/>
              <w:rPr>
                <w:b/>
                <w:bCs/>
                <w:sz w:val="20"/>
                <w:szCs w:val="20"/>
              </w:rPr>
            </w:pPr>
            <w:r w:rsidRPr="00530A90">
              <w:rPr>
                <w:b/>
                <w:bCs/>
                <w:sz w:val="20"/>
                <w:szCs w:val="20"/>
              </w:rPr>
              <w:t>43</w:t>
            </w:r>
          </w:p>
        </w:tc>
        <w:tc>
          <w:tcPr>
            <w:tcW w:w="3749" w:type="dxa"/>
          </w:tcPr>
          <w:p w14:paraId="4432264A" w14:textId="77777777" w:rsidR="00590581" w:rsidRPr="007C5180" w:rsidRDefault="00590581" w:rsidP="00590581">
            <w:pPr>
              <w:pStyle w:val="BodyText"/>
              <w:spacing w:before="0" w:after="0"/>
              <w:jc w:val="left"/>
              <w:rPr>
                <w:sz w:val="20"/>
                <w:szCs w:val="20"/>
              </w:rPr>
            </w:pPr>
            <w:r w:rsidRPr="007C5180">
              <w:rPr>
                <w:sz w:val="20"/>
                <w:szCs w:val="20"/>
              </w:rPr>
              <w:t>ILT Foundation</w:t>
            </w:r>
          </w:p>
        </w:tc>
        <w:tc>
          <w:tcPr>
            <w:tcW w:w="569" w:type="dxa"/>
          </w:tcPr>
          <w:p w14:paraId="52F3CF5B" w14:textId="77777777" w:rsidR="00590581" w:rsidRPr="007C5180" w:rsidRDefault="00590581" w:rsidP="00590581">
            <w:pPr>
              <w:pStyle w:val="BodyText"/>
              <w:spacing w:before="0" w:after="0"/>
              <w:rPr>
                <w:sz w:val="20"/>
                <w:szCs w:val="20"/>
              </w:rPr>
            </w:pPr>
          </w:p>
        </w:tc>
        <w:tc>
          <w:tcPr>
            <w:tcW w:w="568" w:type="dxa"/>
          </w:tcPr>
          <w:p w14:paraId="6E66B42B" w14:textId="6281E001" w:rsidR="00590581" w:rsidRPr="00530A90" w:rsidRDefault="00590581" w:rsidP="00590581">
            <w:pPr>
              <w:pStyle w:val="BodyText"/>
              <w:spacing w:before="0" w:after="0"/>
              <w:rPr>
                <w:b/>
                <w:bCs/>
                <w:sz w:val="20"/>
                <w:szCs w:val="20"/>
              </w:rPr>
            </w:pPr>
            <w:r w:rsidRPr="00530A90">
              <w:rPr>
                <w:b/>
                <w:bCs/>
                <w:sz w:val="20"/>
                <w:szCs w:val="20"/>
              </w:rPr>
              <w:t>39</w:t>
            </w:r>
          </w:p>
        </w:tc>
        <w:tc>
          <w:tcPr>
            <w:tcW w:w="3754" w:type="dxa"/>
          </w:tcPr>
          <w:p w14:paraId="751AB4DA" w14:textId="2B7B6167" w:rsidR="00590581" w:rsidRPr="007C5180" w:rsidRDefault="00590581" w:rsidP="00590581">
            <w:pPr>
              <w:pStyle w:val="BodyText"/>
              <w:spacing w:before="0" w:after="0"/>
              <w:jc w:val="left"/>
              <w:rPr>
                <w:sz w:val="20"/>
                <w:szCs w:val="20"/>
              </w:rPr>
            </w:pPr>
            <w:r w:rsidRPr="007C5180">
              <w:rPr>
                <w:sz w:val="20"/>
                <w:szCs w:val="20"/>
              </w:rPr>
              <w:t>Te Hiringa Hauora</w:t>
            </w:r>
          </w:p>
        </w:tc>
      </w:tr>
      <w:tr w:rsidR="00590581" w:rsidRPr="007C5180" w14:paraId="207019E4" w14:textId="77777777" w:rsidTr="00590581">
        <w:trPr>
          <w:trHeight w:val="290"/>
        </w:trPr>
        <w:tc>
          <w:tcPr>
            <w:tcW w:w="569" w:type="dxa"/>
            <w:noWrap/>
            <w:hideMark/>
          </w:tcPr>
          <w:p w14:paraId="362D1699" w14:textId="77777777" w:rsidR="00590581" w:rsidRPr="00FE6B7C" w:rsidRDefault="00590581" w:rsidP="00590581">
            <w:pPr>
              <w:pStyle w:val="BodyText"/>
              <w:spacing w:before="0" w:after="0"/>
              <w:rPr>
                <w:b/>
                <w:bCs/>
                <w:sz w:val="20"/>
                <w:szCs w:val="20"/>
              </w:rPr>
            </w:pPr>
            <w:r w:rsidRPr="00FE6B7C">
              <w:rPr>
                <w:b/>
                <w:bCs/>
                <w:sz w:val="20"/>
                <w:szCs w:val="20"/>
              </w:rPr>
              <w:t>1</w:t>
            </w:r>
          </w:p>
        </w:tc>
        <w:tc>
          <w:tcPr>
            <w:tcW w:w="3749" w:type="dxa"/>
            <w:hideMark/>
          </w:tcPr>
          <w:p w14:paraId="7AC8B143" w14:textId="77777777"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004554B3" w14:textId="77777777" w:rsidR="00590581" w:rsidRPr="007C5180" w:rsidRDefault="00590581" w:rsidP="00590581">
            <w:pPr>
              <w:pStyle w:val="BodyText"/>
              <w:spacing w:before="0" w:after="0"/>
              <w:rPr>
                <w:sz w:val="20"/>
                <w:szCs w:val="20"/>
              </w:rPr>
            </w:pPr>
          </w:p>
        </w:tc>
        <w:tc>
          <w:tcPr>
            <w:tcW w:w="568" w:type="dxa"/>
          </w:tcPr>
          <w:p w14:paraId="7ECF0627" w14:textId="37547A7E" w:rsidR="00590581" w:rsidRPr="00530A90" w:rsidRDefault="00590581" w:rsidP="00590581">
            <w:pPr>
              <w:pStyle w:val="BodyText"/>
              <w:spacing w:before="0" w:after="0"/>
              <w:rPr>
                <w:b/>
                <w:bCs/>
                <w:sz w:val="20"/>
                <w:szCs w:val="20"/>
              </w:rPr>
            </w:pPr>
            <w:r w:rsidRPr="00FE6B7C">
              <w:rPr>
                <w:b/>
                <w:bCs/>
                <w:sz w:val="20"/>
                <w:szCs w:val="20"/>
              </w:rPr>
              <w:t>7</w:t>
            </w:r>
          </w:p>
        </w:tc>
        <w:tc>
          <w:tcPr>
            <w:tcW w:w="3754" w:type="dxa"/>
          </w:tcPr>
          <w:p w14:paraId="672C1009" w14:textId="3EEC17F4" w:rsidR="00590581" w:rsidRPr="007C5180" w:rsidRDefault="00590581" w:rsidP="00590581">
            <w:pPr>
              <w:pStyle w:val="BodyText"/>
              <w:spacing w:before="0" w:after="0"/>
              <w:jc w:val="left"/>
              <w:rPr>
                <w:sz w:val="20"/>
                <w:szCs w:val="20"/>
              </w:rPr>
            </w:pPr>
            <w:r w:rsidRPr="007C5180">
              <w:rPr>
                <w:sz w:val="20"/>
                <w:szCs w:val="20"/>
              </w:rPr>
              <w:t>Te Rangihaeata Oranga Trust</w:t>
            </w:r>
          </w:p>
        </w:tc>
      </w:tr>
      <w:tr w:rsidR="00590581" w:rsidRPr="007C5180" w14:paraId="6F7A44EF" w14:textId="77777777" w:rsidTr="00590581">
        <w:trPr>
          <w:trHeight w:val="290"/>
        </w:trPr>
        <w:tc>
          <w:tcPr>
            <w:tcW w:w="569" w:type="dxa"/>
            <w:noWrap/>
            <w:hideMark/>
          </w:tcPr>
          <w:p w14:paraId="079DF388" w14:textId="77777777" w:rsidR="00590581" w:rsidRPr="00FE6B7C" w:rsidRDefault="00590581" w:rsidP="00590581">
            <w:pPr>
              <w:pStyle w:val="BodyText"/>
              <w:spacing w:before="0" w:after="0"/>
              <w:rPr>
                <w:b/>
                <w:bCs/>
                <w:sz w:val="20"/>
                <w:szCs w:val="20"/>
              </w:rPr>
            </w:pPr>
            <w:r w:rsidRPr="00FE6B7C">
              <w:rPr>
                <w:b/>
                <w:bCs/>
                <w:sz w:val="20"/>
                <w:szCs w:val="20"/>
              </w:rPr>
              <w:t>14</w:t>
            </w:r>
          </w:p>
        </w:tc>
        <w:tc>
          <w:tcPr>
            <w:tcW w:w="3749" w:type="dxa"/>
            <w:hideMark/>
          </w:tcPr>
          <w:p w14:paraId="5194689E" w14:textId="22F51449"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457E68CA" w14:textId="77777777" w:rsidR="00590581" w:rsidRPr="007C5180" w:rsidRDefault="00590581" w:rsidP="00590581">
            <w:pPr>
              <w:pStyle w:val="BodyText"/>
              <w:spacing w:before="0" w:after="0"/>
              <w:rPr>
                <w:sz w:val="20"/>
                <w:szCs w:val="20"/>
              </w:rPr>
            </w:pPr>
          </w:p>
        </w:tc>
        <w:tc>
          <w:tcPr>
            <w:tcW w:w="568" w:type="dxa"/>
          </w:tcPr>
          <w:p w14:paraId="1D86DCBC" w14:textId="025FBFDD" w:rsidR="00590581" w:rsidRPr="00530A90" w:rsidRDefault="00590581" w:rsidP="00590581">
            <w:pPr>
              <w:pStyle w:val="BodyText"/>
              <w:spacing w:before="0" w:after="0"/>
              <w:rPr>
                <w:b/>
                <w:bCs/>
                <w:sz w:val="20"/>
                <w:szCs w:val="20"/>
              </w:rPr>
            </w:pPr>
            <w:r w:rsidRPr="00FE6B7C">
              <w:rPr>
                <w:b/>
                <w:bCs/>
                <w:sz w:val="20"/>
                <w:szCs w:val="20"/>
              </w:rPr>
              <w:t>18</w:t>
            </w:r>
          </w:p>
        </w:tc>
        <w:tc>
          <w:tcPr>
            <w:tcW w:w="3754" w:type="dxa"/>
          </w:tcPr>
          <w:p w14:paraId="59CED97C" w14:textId="2E503B0E" w:rsidR="00590581" w:rsidRPr="007C5180" w:rsidRDefault="00590581" w:rsidP="00590581">
            <w:pPr>
              <w:pStyle w:val="BodyText"/>
              <w:spacing w:before="0" w:after="0"/>
              <w:jc w:val="left"/>
              <w:rPr>
                <w:sz w:val="20"/>
                <w:szCs w:val="20"/>
              </w:rPr>
            </w:pPr>
            <w:r w:rsidRPr="007C5180">
              <w:rPr>
                <w:sz w:val="20"/>
                <w:szCs w:val="20"/>
              </w:rPr>
              <w:t>The Salvation Army Oasis</w:t>
            </w:r>
          </w:p>
        </w:tc>
      </w:tr>
      <w:tr w:rsidR="00590581" w:rsidRPr="007C5180" w14:paraId="49FD9B93" w14:textId="77777777" w:rsidTr="00590581">
        <w:trPr>
          <w:trHeight w:val="290"/>
        </w:trPr>
        <w:tc>
          <w:tcPr>
            <w:tcW w:w="569" w:type="dxa"/>
            <w:noWrap/>
            <w:hideMark/>
          </w:tcPr>
          <w:p w14:paraId="40B36B54" w14:textId="77777777" w:rsidR="00590581" w:rsidRPr="00FE6B7C" w:rsidRDefault="00590581" w:rsidP="00590581">
            <w:pPr>
              <w:pStyle w:val="BodyText"/>
              <w:spacing w:before="0" w:after="0"/>
              <w:rPr>
                <w:b/>
                <w:bCs/>
                <w:sz w:val="20"/>
                <w:szCs w:val="20"/>
              </w:rPr>
            </w:pPr>
            <w:r w:rsidRPr="00FE6B7C">
              <w:rPr>
                <w:b/>
                <w:bCs/>
                <w:sz w:val="20"/>
                <w:szCs w:val="20"/>
              </w:rPr>
              <w:t>16</w:t>
            </w:r>
          </w:p>
        </w:tc>
        <w:tc>
          <w:tcPr>
            <w:tcW w:w="3749" w:type="dxa"/>
            <w:hideMark/>
          </w:tcPr>
          <w:p w14:paraId="3E293B93" w14:textId="09B1BD99"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4EDF49DF" w14:textId="77777777" w:rsidR="00590581" w:rsidRPr="007C5180" w:rsidRDefault="00590581" w:rsidP="00590581">
            <w:pPr>
              <w:pStyle w:val="BodyText"/>
              <w:spacing w:before="0" w:after="0"/>
              <w:rPr>
                <w:sz w:val="20"/>
                <w:szCs w:val="20"/>
              </w:rPr>
            </w:pPr>
          </w:p>
        </w:tc>
        <w:tc>
          <w:tcPr>
            <w:tcW w:w="568" w:type="dxa"/>
          </w:tcPr>
          <w:p w14:paraId="6721D730" w14:textId="56F663A6" w:rsidR="00590581" w:rsidRPr="00530A90" w:rsidRDefault="00590581" w:rsidP="00590581">
            <w:pPr>
              <w:pStyle w:val="BodyText"/>
              <w:spacing w:before="0" w:after="0"/>
              <w:rPr>
                <w:b/>
                <w:bCs/>
                <w:sz w:val="20"/>
                <w:szCs w:val="20"/>
              </w:rPr>
            </w:pPr>
            <w:r w:rsidRPr="00FE6B7C">
              <w:rPr>
                <w:b/>
                <w:bCs/>
                <w:sz w:val="20"/>
                <w:szCs w:val="20"/>
              </w:rPr>
              <w:t>24</w:t>
            </w:r>
          </w:p>
        </w:tc>
        <w:tc>
          <w:tcPr>
            <w:tcW w:w="3754" w:type="dxa"/>
          </w:tcPr>
          <w:p w14:paraId="18492ADA" w14:textId="4559C6CC" w:rsidR="00590581" w:rsidRPr="007C5180" w:rsidRDefault="00590581" w:rsidP="00590581">
            <w:pPr>
              <w:pStyle w:val="BodyText"/>
              <w:spacing w:before="0" w:after="0"/>
              <w:jc w:val="left"/>
              <w:rPr>
                <w:sz w:val="20"/>
                <w:szCs w:val="20"/>
              </w:rPr>
            </w:pPr>
            <w:r w:rsidRPr="007C5180">
              <w:rPr>
                <w:sz w:val="20"/>
                <w:szCs w:val="20"/>
              </w:rPr>
              <w:t>The Southern District Health Board (Southern DHB)</w:t>
            </w:r>
          </w:p>
        </w:tc>
      </w:tr>
      <w:tr w:rsidR="00590581" w:rsidRPr="007C5180" w14:paraId="4FFC6E8A" w14:textId="77777777" w:rsidTr="00590581">
        <w:trPr>
          <w:trHeight w:val="290"/>
        </w:trPr>
        <w:tc>
          <w:tcPr>
            <w:tcW w:w="569" w:type="dxa"/>
            <w:noWrap/>
          </w:tcPr>
          <w:p w14:paraId="214640F4" w14:textId="77777777" w:rsidR="00590581" w:rsidRPr="00530A90" w:rsidRDefault="00590581" w:rsidP="00590581">
            <w:pPr>
              <w:pStyle w:val="BodyText"/>
              <w:spacing w:before="0" w:after="0"/>
              <w:rPr>
                <w:b/>
                <w:bCs/>
                <w:sz w:val="20"/>
                <w:szCs w:val="20"/>
              </w:rPr>
            </w:pPr>
            <w:r w:rsidRPr="00530A90">
              <w:rPr>
                <w:b/>
                <w:bCs/>
                <w:sz w:val="20"/>
                <w:szCs w:val="20"/>
              </w:rPr>
              <w:t>C03</w:t>
            </w:r>
          </w:p>
        </w:tc>
        <w:tc>
          <w:tcPr>
            <w:tcW w:w="3749" w:type="dxa"/>
          </w:tcPr>
          <w:p w14:paraId="1F368F5C" w14:textId="77777777"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0B26712D" w14:textId="77777777" w:rsidR="00590581" w:rsidRPr="007C5180" w:rsidRDefault="00590581" w:rsidP="00590581">
            <w:pPr>
              <w:pStyle w:val="BodyText"/>
              <w:spacing w:before="0" w:after="0"/>
              <w:rPr>
                <w:sz w:val="20"/>
                <w:szCs w:val="20"/>
              </w:rPr>
            </w:pPr>
          </w:p>
        </w:tc>
        <w:tc>
          <w:tcPr>
            <w:tcW w:w="568" w:type="dxa"/>
          </w:tcPr>
          <w:p w14:paraId="5CD07A07" w14:textId="202C64BE" w:rsidR="00590581" w:rsidRPr="00530A90" w:rsidRDefault="00590581" w:rsidP="00590581">
            <w:pPr>
              <w:pStyle w:val="BodyText"/>
              <w:spacing w:before="0" w:after="0"/>
              <w:rPr>
                <w:b/>
                <w:bCs/>
                <w:sz w:val="20"/>
                <w:szCs w:val="20"/>
              </w:rPr>
            </w:pPr>
            <w:r w:rsidRPr="00530A90">
              <w:rPr>
                <w:b/>
                <w:bCs/>
                <w:sz w:val="20"/>
                <w:szCs w:val="20"/>
              </w:rPr>
              <w:t>C04</w:t>
            </w:r>
          </w:p>
        </w:tc>
        <w:tc>
          <w:tcPr>
            <w:tcW w:w="3754" w:type="dxa"/>
          </w:tcPr>
          <w:p w14:paraId="44E63E9A" w14:textId="62217E53" w:rsidR="00590581" w:rsidRPr="007C5180" w:rsidRDefault="00590581" w:rsidP="00590581">
            <w:pPr>
              <w:pStyle w:val="BodyText"/>
              <w:spacing w:before="0" w:after="0"/>
              <w:jc w:val="left"/>
              <w:rPr>
                <w:sz w:val="20"/>
                <w:szCs w:val="20"/>
              </w:rPr>
            </w:pPr>
            <w:r w:rsidRPr="007C5180">
              <w:rPr>
                <w:sz w:val="20"/>
                <w:szCs w:val="20"/>
              </w:rPr>
              <w:t>Tōpūtanga Tapuhi Kaitiaki o Aotearoa, New Zealand Nurses Organisation (NZNO)</w:t>
            </w:r>
          </w:p>
        </w:tc>
      </w:tr>
      <w:tr w:rsidR="00590581" w:rsidRPr="007C5180" w14:paraId="454E1C10" w14:textId="77777777" w:rsidTr="00590581">
        <w:trPr>
          <w:trHeight w:val="290"/>
        </w:trPr>
        <w:tc>
          <w:tcPr>
            <w:tcW w:w="569" w:type="dxa"/>
            <w:noWrap/>
          </w:tcPr>
          <w:p w14:paraId="222980BF" w14:textId="77777777" w:rsidR="00590581" w:rsidRPr="00530A90" w:rsidRDefault="00590581" w:rsidP="00590581">
            <w:pPr>
              <w:pStyle w:val="BodyText"/>
              <w:spacing w:before="0" w:after="0"/>
              <w:rPr>
                <w:b/>
                <w:bCs/>
                <w:sz w:val="20"/>
                <w:szCs w:val="20"/>
              </w:rPr>
            </w:pPr>
            <w:r w:rsidRPr="00530A90">
              <w:rPr>
                <w:b/>
                <w:bCs/>
                <w:sz w:val="20"/>
                <w:szCs w:val="20"/>
              </w:rPr>
              <w:t>C09</w:t>
            </w:r>
          </w:p>
        </w:tc>
        <w:tc>
          <w:tcPr>
            <w:tcW w:w="3749" w:type="dxa"/>
          </w:tcPr>
          <w:p w14:paraId="2D3CE658" w14:textId="77777777"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145D9856" w14:textId="77777777" w:rsidR="00590581" w:rsidRPr="007C5180" w:rsidRDefault="00590581" w:rsidP="00590581">
            <w:pPr>
              <w:pStyle w:val="BodyText"/>
              <w:spacing w:before="0" w:after="0"/>
              <w:rPr>
                <w:sz w:val="20"/>
                <w:szCs w:val="20"/>
              </w:rPr>
            </w:pPr>
          </w:p>
        </w:tc>
        <w:tc>
          <w:tcPr>
            <w:tcW w:w="568" w:type="dxa"/>
          </w:tcPr>
          <w:p w14:paraId="65A9D0F7" w14:textId="39F823EC" w:rsidR="00590581" w:rsidRPr="00530A90" w:rsidRDefault="00590581" w:rsidP="00590581">
            <w:pPr>
              <w:pStyle w:val="BodyText"/>
              <w:spacing w:before="0" w:after="0"/>
              <w:rPr>
                <w:b/>
                <w:bCs/>
                <w:sz w:val="20"/>
                <w:szCs w:val="20"/>
              </w:rPr>
            </w:pPr>
            <w:r w:rsidRPr="00530A90">
              <w:rPr>
                <w:b/>
                <w:bCs/>
                <w:sz w:val="20"/>
                <w:szCs w:val="20"/>
              </w:rPr>
              <w:t>50</w:t>
            </w:r>
          </w:p>
        </w:tc>
        <w:tc>
          <w:tcPr>
            <w:tcW w:w="3754" w:type="dxa"/>
          </w:tcPr>
          <w:p w14:paraId="3EC276A3" w14:textId="7F86F28B" w:rsidR="00590581" w:rsidRPr="007C5180" w:rsidRDefault="00590581" w:rsidP="00590581">
            <w:pPr>
              <w:pStyle w:val="BodyText"/>
              <w:spacing w:before="0" w:after="0"/>
              <w:jc w:val="left"/>
              <w:rPr>
                <w:sz w:val="20"/>
                <w:szCs w:val="20"/>
              </w:rPr>
            </w:pPr>
            <w:r w:rsidRPr="007C5180">
              <w:rPr>
                <w:sz w:val="20"/>
                <w:szCs w:val="20"/>
              </w:rPr>
              <w:t>Tui Ora</w:t>
            </w:r>
          </w:p>
        </w:tc>
      </w:tr>
      <w:tr w:rsidR="00590581" w:rsidRPr="007C5180" w14:paraId="251BF414" w14:textId="77777777" w:rsidTr="00590581">
        <w:trPr>
          <w:trHeight w:val="290"/>
        </w:trPr>
        <w:tc>
          <w:tcPr>
            <w:tcW w:w="569" w:type="dxa"/>
            <w:noWrap/>
          </w:tcPr>
          <w:p w14:paraId="60976B46" w14:textId="77777777" w:rsidR="00590581" w:rsidRPr="00530A90" w:rsidRDefault="00590581" w:rsidP="00590581">
            <w:pPr>
              <w:pStyle w:val="BodyText"/>
              <w:spacing w:before="0" w:after="0"/>
              <w:rPr>
                <w:b/>
                <w:bCs/>
                <w:sz w:val="20"/>
                <w:szCs w:val="20"/>
              </w:rPr>
            </w:pPr>
            <w:r w:rsidRPr="00530A90">
              <w:rPr>
                <w:b/>
                <w:bCs/>
                <w:sz w:val="20"/>
                <w:szCs w:val="20"/>
              </w:rPr>
              <w:t>C06</w:t>
            </w:r>
          </w:p>
        </w:tc>
        <w:tc>
          <w:tcPr>
            <w:tcW w:w="3749" w:type="dxa"/>
          </w:tcPr>
          <w:p w14:paraId="2BFB57FD" w14:textId="70EA7106" w:rsidR="00590581" w:rsidRPr="007C5180" w:rsidRDefault="00590581" w:rsidP="00590581">
            <w:pPr>
              <w:pStyle w:val="BodyText"/>
              <w:spacing w:before="0" w:after="0"/>
              <w:jc w:val="left"/>
              <w:rPr>
                <w:sz w:val="20"/>
                <w:szCs w:val="20"/>
              </w:rPr>
            </w:pPr>
            <w:r w:rsidRPr="007C5180">
              <w:rPr>
                <w:sz w:val="20"/>
                <w:szCs w:val="20"/>
              </w:rPr>
              <w:t>I</w:t>
            </w:r>
            <w:r>
              <w:rPr>
                <w:sz w:val="20"/>
                <w:szCs w:val="20"/>
              </w:rPr>
              <w:t>ndividual</w:t>
            </w:r>
          </w:p>
        </w:tc>
        <w:tc>
          <w:tcPr>
            <w:tcW w:w="569" w:type="dxa"/>
          </w:tcPr>
          <w:p w14:paraId="646B4C8A" w14:textId="77777777" w:rsidR="00590581" w:rsidRPr="007C5180" w:rsidRDefault="00590581" w:rsidP="00590581">
            <w:pPr>
              <w:pStyle w:val="BodyText"/>
              <w:spacing w:before="0" w:after="0"/>
              <w:rPr>
                <w:sz w:val="20"/>
                <w:szCs w:val="20"/>
              </w:rPr>
            </w:pPr>
          </w:p>
        </w:tc>
        <w:tc>
          <w:tcPr>
            <w:tcW w:w="568" w:type="dxa"/>
          </w:tcPr>
          <w:p w14:paraId="03643CDA" w14:textId="7713A838" w:rsidR="00590581" w:rsidRPr="00530A90" w:rsidRDefault="00590581" w:rsidP="00590581">
            <w:pPr>
              <w:pStyle w:val="BodyText"/>
              <w:spacing w:before="0" w:after="0"/>
              <w:rPr>
                <w:b/>
                <w:bCs/>
                <w:sz w:val="20"/>
                <w:szCs w:val="20"/>
              </w:rPr>
            </w:pPr>
            <w:r w:rsidRPr="00530A90">
              <w:rPr>
                <w:b/>
                <w:bCs/>
                <w:sz w:val="20"/>
                <w:szCs w:val="20"/>
              </w:rPr>
              <w:t>47</w:t>
            </w:r>
          </w:p>
        </w:tc>
        <w:tc>
          <w:tcPr>
            <w:tcW w:w="3754" w:type="dxa"/>
          </w:tcPr>
          <w:p w14:paraId="377F2E32" w14:textId="48295192" w:rsidR="00590581" w:rsidRPr="007C5180" w:rsidRDefault="00590581" w:rsidP="00590581">
            <w:pPr>
              <w:pStyle w:val="BodyText"/>
              <w:spacing w:before="0" w:after="0"/>
              <w:jc w:val="left"/>
              <w:rPr>
                <w:sz w:val="20"/>
                <w:szCs w:val="20"/>
              </w:rPr>
            </w:pPr>
            <w:r w:rsidRPr="007C5180">
              <w:rPr>
                <w:sz w:val="20"/>
                <w:szCs w:val="20"/>
              </w:rPr>
              <w:t>Tu</w:t>
            </w:r>
            <w:r>
              <w:rPr>
                <w:sz w:val="20"/>
                <w:szCs w:val="20"/>
              </w:rPr>
              <w:t>p</w:t>
            </w:r>
            <w:r w:rsidRPr="007C5180">
              <w:rPr>
                <w:sz w:val="20"/>
                <w:szCs w:val="20"/>
              </w:rPr>
              <w:t xml:space="preserve">u </w:t>
            </w:r>
            <w:r>
              <w:rPr>
                <w:sz w:val="20"/>
                <w:szCs w:val="20"/>
              </w:rPr>
              <w:t>Services</w:t>
            </w:r>
          </w:p>
        </w:tc>
      </w:tr>
      <w:tr w:rsidR="00590581" w:rsidRPr="007C5180" w14:paraId="4F6A80E7" w14:textId="77777777" w:rsidTr="00590581">
        <w:trPr>
          <w:trHeight w:val="290"/>
        </w:trPr>
        <w:tc>
          <w:tcPr>
            <w:tcW w:w="569" w:type="dxa"/>
            <w:noWrap/>
            <w:hideMark/>
          </w:tcPr>
          <w:p w14:paraId="3C6F7AC8" w14:textId="77777777" w:rsidR="00590581" w:rsidRPr="00FE6B7C" w:rsidRDefault="00590581" w:rsidP="00590581">
            <w:pPr>
              <w:pStyle w:val="BodyText"/>
              <w:spacing w:before="0" w:after="0"/>
              <w:rPr>
                <w:b/>
                <w:bCs/>
                <w:sz w:val="20"/>
                <w:szCs w:val="20"/>
              </w:rPr>
            </w:pPr>
            <w:r w:rsidRPr="00FE6B7C">
              <w:rPr>
                <w:b/>
                <w:bCs/>
                <w:sz w:val="20"/>
                <w:szCs w:val="20"/>
              </w:rPr>
              <w:t>32</w:t>
            </w:r>
          </w:p>
        </w:tc>
        <w:tc>
          <w:tcPr>
            <w:tcW w:w="3749" w:type="dxa"/>
            <w:hideMark/>
          </w:tcPr>
          <w:p w14:paraId="1BC62A7E" w14:textId="77777777" w:rsidR="00590581" w:rsidRPr="007C5180" w:rsidRDefault="00590581" w:rsidP="00590581">
            <w:pPr>
              <w:pStyle w:val="BodyText"/>
              <w:spacing w:before="0" w:after="0"/>
              <w:jc w:val="left"/>
              <w:rPr>
                <w:sz w:val="20"/>
                <w:szCs w:val="20"/>
              </w:rPr>
            </w:pPr>
            <w:r w:rsidRPr="007C5180">
              <w:rPr>
                <w:sz w:val="20"/>
                <w:szCs w:val="20"/>
              </w:rPr>
              <w:t>Kiwi Gaming Foundation Ltd</w:t>
            </w:r>
          </w:p>
        </w:tc>
        <w:tc>
          <w:tcPr>
            <w:tcW w:w="569" w:type="dxa"/>
          </w:tcPr>
          <w:p w14:paraId="1C58E377" w14:textId="77777777" w:rsidR="00590581" w:rsidRPr="007C5180" w:rsidRDefault="00590581" w:rsidP="00590581">
            <w:pPr>
              <w:pStyle w:val="BodyText"/>
              <w:spacing w:before="0" w:after="0"/>
              <w:rPr>
                <w:sz w:val="20"/>
                <w:szCs w:val="20"/>
              </w:rPr>
            </w:pPr>
          </w:p>
        </w:tc>
        <w:tc>
          <w:tcPr>
            <w:tcW w:w="568" w:type="dxa"/>
          </w:tcPr>
          <w:p w14:paraId="191B0ED8" w14:textId="742B3729" w:rsidR="00590581" w:rsidRPr="00530A90" w:rsidRDefault="00590581" w:rsidP="00590581">
            <w:pPr>
              <w:pStyle w:val="BodyText"/>
              <w:spacing w:before="0" w:after="0"/>
              <w:rPr>
                <w:b/>
                <w:bCs/>
                <w:sz w:val="20"/>
                <w:szCs w:val="20"/>
              </w:rPr>
            </w:pPr>
            <w:r w:rsidRPr="00530A90">
              <w:rPr>
                <w:b/>
                <w:bCs/>
                <w:sz w:val="20"/>
                <w:szCs w:val="20"/>
              </w:rPr>
              <w:t>37</w:t>
            </w:r>
          </w:p>
        </w:tc>
        <w:tc>
          <w:tcPr>
            <w:tcW w:w="3754" w:type="dxa"/>
          </w:tcPr>
          <w:p w14:paraId="3E153A4D" w14:textId="38F01A07" w:rsidR="00590581" w:rsidRPr="007C5180" w:rsidRDefault="00590581" w:rsidP="00590581">
            <w:pPr>
              <w:pStyle w:val="BodyText"/>
              <w:spacing w:before="0" w:after="0"/>
              <w:jc w:val="left"/>
              <w:rPr>
                <w:sz w:val="20"/>
                <w:szCs w:val="20"/>
              </w:rPr>
            </w:pPr>
            <w:r w:rsidRPr="007C5180">
              <w:rPr>
                <w:sz w:val="20"/>
                <w:szCs w:val="20"/>
              </w:rPr>
              <w:t xml:space="preserve">Whānau Āwhina Plunket </w:t>
            </w:r>
          </w:p>
        </w:tc>
      </w:tr>
      <w:tr w:rsidR="00590581" w:rsidRPr="007C5180" w14:paraId="0C288797" w14:textId="77777777" w:rsidTr="00590581">
        <w:trPr>
          <w:trHeight w:val="290"/>
        </w:trPr>
        <w:tc>
          <w:tcPr>
            <w:tcW w:w="569" w:type="dxa"/>
            <w:noWrap/>
          </w:tcPr>
          <w:p w14:paraId="43DFEB18" w14:textId="77777777" w:rsidR="00590581" w:rsidRPr="00FE6B7C" w:rsidRDefault="00590581" w:rsidP="00590581">
            <w:pPr>
              <w:pStyle w:val="BodyText"/>
              <w:spacing w:before="0" w:after="0"/>
              <w:rPr>
                <w:b/>
                <w:bCs/>
                <w:sz w:val="20"/>
                <w:szCs w:val="20"/>
              </w:rPr>
            </w:pPr>
            <w:r w:rsidRPr="00530A90">
              <w:rPr>
                <w:b/>
                <w:bCs/>
                <w:sz w:val="20"/>
                <w:szCs w:val="20"/>
              </w:rPr>
              <w:t>38</w:t>
            </w:r>
          </w:p>
        </w:tc>
        <w:tc>
          <w:tcPr>
            <w:tcW w:w="3749" w:type="dxa"/>
          </w:tcPr>
          <w:p w14:paraId="004AD502" w14:textId="77777777" w:rsidR="00590581" w:rsidRPr="007C5180" w:rsidRDefault="00590581" w:rsidP="00590581">
            <w:pPr>
              <w:pStyle w:val="BodyText"/>
              <w:spacing w:before="0" w:after="0"/>
              <w:jc w:val="left"/>
              <w:rPr>
                <w:sz w:val="20"/>
                <w:szCs w:val="20"/>
              </w:rPr>
            </w:pPr>
            <w:r w:rsidRPr="007C5180">
              <w:rPr>
                <w:sz w:val="20"/>
                <w:szCs w:val="20"/>
              </w:rPr>
              <w:t>Lion Foundation</w:t>
            </w:r>
          </w:p>
        </w:tc>
        <w:tc>
          <w:tcPr>
            <w:tcW w:w="569" w:type="dxa"/>
          </w:tcPr>
          <w:p w14:paraId="51DA66AC" w14:textId="77777777" w:rsidR="00590581" w:rsidRPr="007C5180" w:rsidRDefault="00590581" w:rsidP="00590581">
            <w:pPr>
              <w:pStyle w:val="BodyText"/>
              <w:spacing w:before="0" w:after="0"/>
              <w:rPr>
                <w:sz w:val="20"/>
                <w:szCs w:val="20"/>
              </w:rPr>
            </w:pPr>
          </w:p>
        </w:tc>
        <w:tc>
          <w:tcPr>
            <w:tcW w:w="568" w:type="dxa"/>
          </w:tcPr>
          <w:p w14:paraId="42A1B020" w14:textId="77777777" w:rsidR="00590581" w:rsidRPr="00530A90" w:rsidRDefault="00590581" w:rsidP="00590581">
            <w:pPr>
              <w:pStyle w:val="BodyText"/>
              <w:spacing w:before="0" w:after="0"/>
              <w:rPr>
                <w:b/>
                <w:bCs/>
                <w:sz w:val="20"/>
                <w:szCs w:val="20"/>
              </w:rPr>
            </w:pPr>
          </w:p>
        </w:tc>
        <w:tc>
          <w:tcPr>
            <w:tcW w:w="3754" w:type="dxa"/>
          </w:tcPr>
          <w:p w14:paraId="4FEE831B" w14:textId="77777777" w:rsidR="00590581" w:rsidRPr="007C5180" w:rsidRDefault="00590581" w:rsidP="00590581">
            <w:pPr>
              <w:pStyle w:val="BodyText"/>
              <w:spacing w:before="0" w:after="0"/>
              <w:jc w:val="left"/>
              <w:rPr>
                <w:sz w:val="20"/>
                <w:szCs w:val="20"/>
              </w:rPr>
            </w:pPr>
          </w:p>
        </w:tc>
      </w:tr>
      <w:tr w:rsidR="00590581" w:rsidRPr="007C5180" w14:paraId="7D21AB01" w14:textId="77777777" w:rsidTr="00590581">
        <w:trPr>
          <w:trHeight w:val="290"/>
        </w:trPr>
        <w:tc>
          <w:tcPr>
            <w:tcW w:w="569" w:type="dxa"/>
            <w:noWrap/>
            <w:hideMark/>
          </w:tcPr>
          <w:p w14:paraId="09E66B19" w14:textId="77777777" w:rsidR="00590581" w:rsidRPr="00FE6B7C" w:rsidRDefault="00590581" w:rsidP="00590581">
            <w:pPr>
              <w:pStyle w:val="BodyText"/>
              <w:spacing w:before="0" w:after="0"/>
              <w:rPr>
                <w:b/>
                <w:bCs/>
                <w:sz w:val="20"/>
                <w:szCs w:val="20"/>
              </w:rPr>
            </w:pPr>
            <w:r w:rsidRPr="00FE6B7C">
              <w:rPr>
                <w:b/>
                <w:bCs/>
                <w:sz w:val="20"/>
                <w:szCs w:val="20"/>
              </w:rPr>
              <w:t>31</w:t>
            </w:r>
          </w:p>
        </w:tc>
        <w:tc>
          <w:tcPr>
            <w:tcW w:w="3749" w:type="dxa"/>
            <w:hideMark/>
          </w:tcPr>
          <w:p w14:paraId="67A75D3F" w14:textId="77777777" w:rsidR="00590581" w:rsidRPr="007C5180" w:rsidRDefault="00590581" w:rsidP="00590581">
            <w:pPr>
              <w:pStyle w:val="BodyText"/>
              <w:spacing w:before="0" w:after="0"/>
              <w:jc w:val="left"/>
              <w:rPr>
                <w:sz w:val="20"/>
                <w:szCs w:val="20"/>
              </w:rPr>
            </w:pPr>
            <w:r w:rsidRPr="007C5180">
              <w:rPr>
                <w:sz w:val="20"/>
                <w:szCs w:val="20"/>
              </w:rPr>
              <w:t>Lotto NZ</w:t>
            </w:r>
          </w:p>
        </w:tc>
        <w:tc>
          <w:tcPr>
            <w:tcW w:w="569" w:type="dxa"/>
          </w:tcPr>
          <w:p w14:paraId="1AB11873" w14:textId="77777777" w:rsidR="00590581" w:rsidRPr="007C5180" w:rsidRDefault="00590581" w:rsidP="00590581">
            <w:pPr>
              <w:pStyle w:val="BodyText"/>
              <w:spacing w:before="0" w:after="0"/>
              <w:rPr>
                <w:sz w:val="20"/>
                <w:szCs w:val="20"/>
              </w:rPr>
            </w:pPr>
          </w:p>
        </w:tc>
        <w:tc>
          <w:tcPr>
            <w:tcW w:w="568" w:type="dxa"/>
          </w:tcPr>
          <w:p w14:paraId="1703B019" w14:textId="77777777" w:rsidR="00590581" w:rsidRPr="00530A90" w:rsidRDefault="00590581" w:rsidP="00590581">
            <w:pPr>
              <w:pStyle w:val="BodyText"/>
              <w:spacing w:before="0" w:after="0"/>
              <w:rPr>
                <w:b/>
                <w:bCs/>
                <w:sz w:val="20"/>
                <w:szCs w:val="20"/>
              </w:rPr>
            </w:pPr>
          </w:p>
        </w:tc>
        <w:tc>
          <w:tcPr>
            <w:tcW w:w="3754" w:type="dxa"/>
          </w:tcPr>
          <w:p w14:paraId="03876B07" w14:textId="77777777" w:rsidR="00590581" w:rsidRPr="007C5180" w:rsidRDefault="00590581" w:rsidP="00590581">
            <w:pPr>
              <w:pStyle w:val="BodyText"/>
              <w:spacing w:before="0" w:after="0"/>
              <w:jc w:val="left"/>
              <w:rPr>
                <w:sz w:val="20"/>
                <w:szCs w:val="20"/>
              </w:rPr>
            </w:pPr>
          </w:p>
        </w:tc>
      </w:tr>
      <w:tr w:rsidR="00590581" w:rsidRPr="007C5180" w14:paraId="4922672F" w14:textId="77777777" w:rsidTr="00590581">
        <w:trPr>
          <w:trHeight w:val="290"/>
        </w:trPr>
        <w:tc>
          <w:tcPr>
            <w:tcW w:w="569" w:type="dxa"/>
            <w:noWrap/>
            <w:hideMark/>
          </w:tcPr>
          <w:p w14:paraId="0FAA3FCD" w14:textId="77777777" w:rsidR="00590581" w:rsidRPr="00FE6B7C" w:rsidRDefault="00590581" w:rsidP="00590581">
            <w:pPr>
              <w:pStyle w:val="BodyText"/>
              <w:spacing w:before="0" w:after="0"/>
              <w:rPr>
                <w:b/>
                <w:bCs/>
                <w:sz w:val="20"/>
                <w:szCs w:val="20"/>
              </w:rPr>
            </w:pPr>
            <w:r w:rsidRPr="00FE6B7C">
              <w:rPr>
                <w:b/>
                <w:bCs/>
                <w:sz w:val="20"/>
                <w:szCs w:val="20"/>
              </w:rPr>
              <w:t>29</w:t>
            </w:r>
          </w:p>
        </w:tc>
        <w:tc>
          <w:tcPr>
            <w:tcW w:w="3749" w:type="dxa"/>
            <w:hideMark/>
          </w:tcPr>
          <w:p w14:paraId="115E4775" w14:textId="77777777" w:rsidR="00590581" w:rsidRPr="007C5180" w:rsidRDefault="00590581" w:rsidP="00590581">
            <w:pPr>
              <w:pStyle w:val="BodyText"/>
              <w:spacing w:before="0" w:after="0"/>
              <w:jc w:val="left"/>
              <w:rPr>
                <w:sz w:val="20"/>
                <w:szCs w:val="20"/>
              </w:rPr>
            </w:pPr>
            <w:r w:rsidRPr="007C5180">
              <w:rPr>
                <w:sz w:val="20"/>
                <w:szCs w:val="20"/>
              </w:rPr>
              <w:t>Mapu Maia</w:t>
            </w:r>
          </w:p>
        </w:tc>
        <w:tc>
          <w:tcPr>
            <w:tcW w:w="569" w:type="dxa"/>
          </w:tcPr>
          <w:p w14:paraId="68E81EE1" w14:textId="77777777" w:rsidR="00590581" w:rsidRPr="007C5180" w:rsidRDefault="00590581" w:rsidP="00590581">
            <w:pPr>
              <w:pStyle w:val="BodyText"/>
              <w:spacing w:before="0" w:after="0"/>
              <w:rPr>
                <w:sz w:val="20"/>
                <w:szCs w:val="20"/>
              </w:rPr>
            </w:pPr>
          </w:p>
        </w:tc>
        <w:tc>
          <w:tcPr>
            <w:tcW w:w="568" w:type="dxa"/>
          </w:tcPr>
          <w:p w14:paraId="2BF5939A" w14:textId="77777777" w:rsidR="00590581" w:rsidRPr="00530A90" w:rsidRDefault="00590581" w:rsidP="00590581">
            <w:pPr>
              <w:pStyle w:val="BodyText"/>
              <w:spacing w:before="0" w:after="0"/>
              <w:rPr>
                <w:b/>
                <w:bCs/>
                <w:sz w:val="20"/>
                <w:szCs w:val="20"/>
              </w:rPr>
            </w:pPr>
          </w:p>
        </w:tc>
        <w:tc>
          <w:tcPr>
            <w:tcW w:w="3754" w:type="dxa"/>
          </w:tcPr>
          <w:p w14:paraId="072C4A13" w14:textId="77777777" w:rsidR="00590581" w:rsidRPr="007C5180" w:rsidRDefault="00590581" w:rsidP="00590581">
            <w:pPr>
              <w:pStyle w:val="BodyText"/>
              <w:spacing w:before="0" w:after="0"/>
              <w:jc w:val="left"/>
              <w:rPr>
                <w:sz w:val="20"/>
                <w:szCs w:val="20"/>
              </w:rPr>
            </w:pPr>
          </w:p>
        </w:tc>
      </w:tr>
      <w:tr w:rsidR="00590581" w:rsidRPr="007C5180" w14:paraId="467E70C3" w14:textId="77777777" w:rsidTr="00590581">
        <w:trPr>
          <w:trHeight w:val="290"/>
        </w:trPr>
        <w:tc>
          <w:tcPr>
            <w:tcW w:w="569" w:type="dxa"/>
            <w:noWrap/>
          </w:tcPr>
          <w:p w14:paraId="47DD5D53" w14:textId="0F335061" w:rsidR="00590581" w:rsidRPr="00530A90" w:rsidRDefault="00590581" w:rsidP="00590581">
            <w:pPr>
              <w:pStyle w:val="BodyText"/>
              <w:spacing w:before="0" w:after="0"/>
              <w:rPr>
                <w:b/>
                <w:bCs/>
                <w:sz w:val="20"/>
                <w:szCs w:val="20"/>
              </w:rPr>
            </w:pPr>
          </w:p>
        </w:tc>
        <w:tc>
          <w:tcPr>
            <w:tcW w:w="3749" w:type="dxa"/>
          </w:tcPr>
          <w:p w14:paraId="12521E89" w14:textId="0A12D2F2" w:rsidR="00590581" w:rsidRPr="007C5180" w:rsidRDefault="00590581" w:rsidP="00590581">
            <w:pPr>
              <w:pStyle w:val="BodyText"/>
              <w:spacing w:before="0" w:after="0"/>
              <w:jc w:val="left"/>
              <w:rPr>
                <w:sz w:val="20"/>
                <w:szCs w:val="20"/>
              </w:rPr>
            </w:pPr>
          </w:p>
        </w:tc>
        <w:tc>
          <w:tcPr>
            <w:tcW w:w="569" w:type="dxa"/>
          </w:tcPr>
          <w:p w14:paraId="736A1807" w14:textId="77777777" w:rsidR="00590581" w:rsidRPr="007C5180" w:rsidRDefault="00590581" w:rsidP="00590581">
            <w:pPr>
              <w:pStyle w:val="BodyText"/>
              <w:spacing w:before="0" w:after="0"/>
              <w:rPr>
                <w:sz w:val="20"/>
                <w:szCs w:val="20"/>
              </w:rPr>
            </w:pPr>
          </w:p>
        </w:tc>
        <w:tc>
          <w:tcPr>
            <w:tcW w:w="568" w:type="dxa"/>
          </w:tcPr>
          <w:p w14:paraId="4828AF77" w14:textId="77777777" w:rsidR="00590581" w:rsidRPr="00530A90" w:rsidRDefault="00590581" w:rsidP="00590581">
            <w:pPr>
              <w:pStyle w:val="BodyText"/>
              <w:spacing w:before="0" w:after="0"/>
              <w:rPr>
                <w:b/>
                <w:bCs/>
                <w:sz w:val="20"/>
                <w:szCs w:val="20"/>
              </w:rPr>
            </w:pPr>
          </w:p>
        </w:tc>
        <w:tc>
          <w:tcPr>
            <w:tcW w:w="3754" w:type="dxa"/>
          </w:tcPr>
          <w:p w14:paraId="5BE049DC" w14:textId="77777777" w:rsidR="00590581" w:rsidRPr="007C5180" w:rsidRDefault="00590581" w:rsidP="00590581">
            <w:pPr>
              <w:pStyle w:val="BodyText"/>
              <w:spacing w:before="0" w:after="0"/>
              <w:jc w:val="left"/>
              <w:rPr>
                <w:sz w:val="20"/>
                <w:szCs w:val="20"/>
              </w:rPr>
            </w:pPr>
          </w:p>
        </w:tc>
      </w:tr>
      <w:tr w:rsidR="00590581" w:rsidRPr="007C5180" w14:paraId="6F5DD0C6" w14:textId="77777777" w:rsidTr="00590581">
        <w:trPr>
          <w:trHeight w:val="290"/>
        </w:trPr>
        <w:tc>
          <w:tcPr>
            <w:tcW w:w="569" w:type="dxa"/>
            <w:noWrap/>
          </w:tcPr>
          <w:p w14:paraId="7BB8BBA2" w14:textId="00F87287" w:rsidR="00590581" w:rsidRPr="00530A90" w:rsidRDefault="00590581" w:rsidP="00590581">
            <w:pPr>
              <w:pStyle w:val="BodyText"/>
              <w:spacing w:before="0" w:after="0"/>
              <w:rPr>
                <w:b/>
                <w:bCs/>
                <w:sz w:val="20"/>
                <w:szCs w:val="20"/>
              </w:rPr>
            </w:pPr>
          </w:p>
        </w:tc>
        <w:tc>
          <w:tcPr>
            <w:tcW w:w="3749" w:type="dxa"/>
          </w:tcPr>
          <w:p w14:paraId="79032B09" w14:textId="3E9F5123" w:rsidR="00590581" w:rsidRPr="007C5180" w:rsidRDefault="00590581" w:rsidP="00590581">
            <w:pPr>
              <w:pStyle w:val="BodyText"/>
              <w:spacing w:before="0" w:after="0"/>
              <w:jc w:val="left"/>
              <w:rPr>
                <w:sz w:val="20"/>
                <w:szCs w:val="20"/>
              </w:rPr>
            </w:pPr>
          </w:p>
        </w:tc>
        <w:tc>
          <w:tcPr>
            <w:tcW w:w="569" w:type="dxa"/>
          </w:tcPr>
          <w:p w14:paraId="0996FBC6" w14:textId="77777777" w:rsidR="00590581" w:rsidRPr="007C5180" w:rsidRDefault="00590581" w:rsidP="00590581">
            <w:pPr>
              <w:pStyle w:val="BodyText"/>
              <w:spacing w:before="0" w:after="0"/>
              <w:rPr>
                <w:sz w:val="20"/>
                <w:szCs w:val="20"/>
              </w:rPr>
            </w:pPr>
          </w:p>
        </w:tc>
        <w:tc>
          <w:tcPr>
            <w:tcW w:w="568" w:type="dxa"/>
          </w:tcPr>
          <w:p w14:paraId="00458605" w14:textId="77777777" w:rsidR="00590581" w:rsidRPr="00530A90" w:rsidRDefault="00590581" w:rsidP="00590581">
            <w:pPr>
              <w:pStyle w:val="BodyText"/>
              <w:spacing w:before="0" w:after="0"/>
              <w:rPr>
                <w:b/>
                <w:bCs/>
                <w:sz w:val="20"/>
                <w:szCs w:val="20"/>
              </w:rPr>
            </w:pPr>
          </w:p>
        </w:tc>
        <w:tc>
          <w:tcPr>
            <w:tcW w:w="3754" w:type="dxa"/>
          </w:tcPr>
          <w:p w14:paraId="06330BF1" w14:textId="77777777" w:rsidR="00590581" w:rsidRPr="007C5180" w:rsidRDefault="00590581" w:rsidP="00590581">
            <w:pPr>
              <w:pStyle w:val="BodyText"/>
              <w:spacing w:before="0" w:after="0"/>
              <w:jc w:val="left"/>
              <w:rPr>
                <w:sz w:val="20"/>
                <w:szCs w:val="20"/>
              </w:rPr>
            </w:pPr>
          </w:p>
        </w:tc>
      </w:tr>
      <w:tr w:rsidR="00590581" w:rsidRPr="007C5180" w14:paraId="676711C2" w14:textId="77777777" w:rsidTr="00590581">
        <w:trPr>
          <w:trHeight w:val="290"/>
        </w:trPr>
        <w:tc>
          <w:tcPr>
            <w:tcW w:w="569" w:type="dxa"/>
            <w:noWrap/>
          </w:tcPr>
          <w:p w14:paraId="7D1F3B4A" w14:textId="14A42F24" w:rsidR="00590581" w:rsidRPr="00FE6B7C" w:rsidRDefault="00590581" w:rsidP="00590581">
            <w:pPr>
              <w:pStyle w:val="BodyText"/>
              <w:spacing w:before="0" w:after="0"/>
              <w:rPr>
                <w:b/>
                <w:bCs/>
                <w:sz w:val="20"/>
                <w:szCs w:val="20"/>
              </w:rPr>
            </w:pPr>
          </w:p>
        </w:tc>
        <w:tc>
          <w:tcPr>
            <w:tcW w:w="3749" w:type="dxa"/>
          </w:tcPr>
          <w:p w14:paraId="32328D94" w14:textId="564E4B1B" w:rsidR="00590581" w:rsidRPr="007C5180" w:rsidRDefault="00590581" w:rsidP="00590581">
            <w:pPr>
              <w:pStyle w:val="BodyText"/>
              <w:spacing w:before="0" w:after="0"/>
              <w:jc w:val="left"/>
              <w:rPr>
                <w:sz w:val="20"/>
                <w:szCs w:val="20"/>
              </w:rPr>
            </w:pPr>
          </w:p>
        </w:tc>
        <w:tc>
          <w:tcPr>
            <w:tcW w:w="569" w:type="dxa"/>
          </w:tcPr>
          <w:p w14:paraId="586E3ECE" w14:textId="77777777" w:rsidR="00590581" w:rsidRPr="007C5180" w:rsidRDefault="00590581" w:rsidP="00590581">
            <w:pPr>
              <w:pStyle w:val="BodyText"/>
              <w:spacing w:before="0" w:after="0"/>
              <w:rPr>
                <w:sz w:val="20"/>
                <w:szCs w:val="20"/>
              </w:rPr>
            </w:pPr>
          </w:p>
        </w:tc>
        <w:tc>
          <w:tcPr>
            <w:tcW w:w="568" w:type="dxa"/>
          </w:tcPr>
          <w:p w14:paraId="186C4F16" w14:textId="77777777" w:rsidR="00590581" w:rsidRPr="00530A90" w:rsidRDefault="00590581" w:rsidP="00590581">
            <w:pPr>
              <w:pStyle w:val="BodyText"/>
              <w:spacing w:before="0" w:after="0"/>
              <w:rPr>
                <w:b/>
                <w:bCs/>
                <w:sz w:val="20"/>
                <w:szCs w:val="20"/>
              </w:rPr>
            </w:pPr>
          </w:p>
        </w:tc>
        <w:tc>
          <w:tcPr>
            <w:tcW w:w="3754" w:type="dxa"/>
          </w:tcPr>
          <w:p w14:paraId="0E22C833" w14:textId="77777777" w:rsidR="00590581" w:rsidRPr="007C5180" w:rsidRDefault="00590581" w:rsidP="00590581">
            <w:pPr>
              <w:pStyle w:val="BodyText"/>
              <w:spacing w:before="0" w:after="0"/>
              <w:jc w:val="left"/>
              <w:rPr>
                <w:sz w:val="20"/>
                <w:szCs w:val="20"/>
              </w:rPr>
            </w:pPr>
          </w:p>
        </w:tc>
      </w:tr>
    </w:tbl>
    <w:p w14:paraId="2EA643F9" w14:textId="7A1B91AE" w:rsidR="00132E36" w:rsidRPr="00132E36" w:rsidRDefault="00132E36" w:rsidP="00132E36">
      <w:pPr>
        <w:pStyle w:val="Heading1"/>
      </w:pPr>
      <w:bookmarkStart w:id="157" w:name="_Toc88637637"/>
      <w:r>
        <w:lastRenderedPageBreak/>
        <w:t>Appendix B: Consultation questions</w:t>
      </w:r>
      <w:bookmarkEnd w:id="157"/>
    </w:p>
    <w:p w14:paraId="032DEE29" w14:textId="3A593530" w:rsidR="003908B6" w:rsidRDefault="003908B6" w:rsidP="003908B6">
      <w:pPr>
        <w:pStyle w:val="Heading2-NOTinTOC"/>
      </w:pPr>
      <w:r>
        <w:t>Proposed strategic</w:t>
      </w:r>
      <w:r w:rsidR="00B4530F">
        <w:t xml:space="preserve"> plan</w:t>
      </w:r>
    </w:p>
    <w:p w14:paraId="1416495A" w14:textId="77777777" w:rsidR="003908B6" w:rsidRDefault="003908B6" w:rsidP="00D65D53">
      <w:pPr>
        <w:pStyle w:val="List-AlphanumericLvl1"/>
        <w:numPr>
          <w:ilvl w:val="0"/>
          <w:numId w:val="15"/>
        </w:numPr>
      </w:pPr>
      <w:r>
        <w:t xml:space="preserve">Do you agree with the proposed strategi goal, objective and action areas? </w:t>
      </w:r>
    </w:p>
    <w:p w14:paraId="3608CCDA" w14:textId="77777777" w:rsidR="003908B6" w:rsidRDefault="003908B6" w:rsidP="003908B6">
      <w:pPr>
        <w:pStyle w:val="List-AlphanumericLvl1"/>
      </w:pPr>
      <w:r>
        <w:t xml:space="preserve">Does the draft strategic plan adequately reflect changes in the gambling environment? </w:t>
      </w:r>
    </w:p>
    <w:p w14:paraId="0AA798CC" w14:textId="77777777" w:rsidR="003908B6" w:rsidRDefault="003908B6" w:rsidP="003908B6">
      <w:pPr>
        <w:pStyle w:val="List-AlphanumericLvl1"/>
      </w:pPr>
      <w:r>
        <w:t xml:space="preserve">Do you have any comments to make on the priority populations including how we will address inequities? </w:t>
      </w:r>
    </w:p>
    <w:p w14:paraId="5A9D762A" w14:textId="07E756E1" w:rsidR="003908B6" w:rsidRPr="008F21EB" w:rsidRDefault="003908B6" w:rsidP="003908B6">
      <w:pPr>
        <w:pStyle w:val="List-AlphanumericLvl1"/>
      </w:pPr>
      <w:r>
        <w:t xml:space="preserve">Do you have any comment to make on the matters covered under ‘what </w:t>
      </w:r>
      <w:r w:rsidR="00444FEB">
        <w:t>needs</w:t>
      </w:r>
      <w:r>
        <w:t xml:space="preserve"> to change’?</w:t>
      </w:r>
    </w:p>
    <w:p w14:paraId="65CB21F7" w14:textId="77777777" w:rsidR="003908B6" w:rsidRDefault="003908B6" w:rsidP="003908B6">
      <w:pPr>
        <w:pStyle w:val="Heading2-NOTinTOC"/>
      </w:pPr>
      <w:r>
        <w:t>Draft service plan</w:t>
      </w:r>
    </w:p>
    <w:p w14:paraId="3CE2F279" w14:textId="77777777" w:rsidR="003908B6" w:rsidRDefault="003908B6" w:rsidP="003908B6">
      <w:pPr>
        <w:pStyle w:val="List-AlphanumericLvl1"/>
      </w:pPr>
      <w:r>
        <w:t xml:space="preserve">Does the draft service plan adequately cover what it needs to cover, for example, does it include the right types of services and activities? </w:t>
      </w:r>
    </w:p>
    <w:p w14:paraId="697CDB74" w14:textId="77777777" w:rsidR="003908B6" w:rsidRDefault="003908B6" w:rsidP="003908B6">
      <w:pPr>
        <w:pStyle w:val="List-AlphanumericLvl1"/>
      </w:pPr>
      <w:r>
        <w:t>Do you consider the proposed funding mix for services and supports appropriate?</w:t>
      </w:r>
    </w:p>
    <w:p w14:paraId="75FBE6A0" w14:textId="77777777" w:rsidR="003908B6" w:rsidRDefault="003908B6" w:rsidP="003908B6">
      <w:pPr>
        <w:pStyle w:val="List-AlphanumericLvl1"/>
      </w:pPr>
      <w:r>
        <w:t xml:space="preserve">Do you agree with the proposed new services (including the de-stigmatisation initiative), innovations pilots and investments? </w:t>
      </w:r>
    </w:p>
    <w:p w14:paraId="5BCB8122" w14:textId="77777777" w:rsidR="003908B6" w:rsidRDefault="003908B6" w:rsidP="003908B6">
      <w:pPr>
        <w:pStyle w:val="List-AlphanumericLvl1"/>
      </w:pPr>
      <w:r>
        <w:t xml:space="preserve">Do you agree with the priorities for research and evaluation that have been outlined? </w:t>
      </w:r>
    </w:p>
    <w:p w14:paraId="2925DCAE" w14:textId="77777777" w:rsidR="003908B6" w:rsidRDefault="003908B6" w:rsidP="003908B6">
      <w:pPr>
        <w:pStyle w:val="Heading2-NOTinTOC"/>
      </w:pPr>
      <w:r>
        <w:t>Problem gambling levy</w:t>
      </w:r>
    </w:p>
    <w:p w14:paraId="2C8FC532" w14:textId="77777777" w:rsidR="003908B6" w:rsidRDefault="003908B6" w:rsidP="003908B6">
      <w:pPr>
        <w:pStyle w:val="List-AlphanumericLvl1"/>
      </w:pPr>
      <w:r>
        <w:t xml:space="preserve">Are the player expenditure forecasts for each gambling sector (D) realistic? </w:t>
      </w:r>
    </w:p>
    <w:p w14:paraId="228CDBAB" w14:textId="77777777" w:rsidR="003908B6" w:rsidRDefault="003908B6" w:rsidP="003908B6">
      <w:pPr>
        <w:pStyle w:val="List-AlphanumericLvl1"/>
      </w:pPr>
      <w:r>
        <w:t xml:space="preserve">Are there realistic pairs of expenditure/presentation weightings (W1 and W2) other than those discussed in this consultation document? </w:t>
      </w:r>
    </w:p>
    <w:p w14:paraId="10D3F40F" w14:textId="77777777" w:rsidR="003908B6" w:rsidRDefault="003908B6" w:rsidP="003908B6">
      <w:pPr>
        <w:pStyle w:val="List-AlphanumericLvl1"/>
      </w:pPr>
      <w:r>
        <w:t xml:space="preserve">Which pair of weighting options for W1 and W2 do you prefer, if any, and why? Please keep in mind that the levy weighting options only affect the proportion of levy to be paid by each gambling sector and do not affect the total amount of the levy. </w:t>
      </w:r>
    </w:p>
    <w:p w14:paraId="2E469B1F" w14:textId="77777777" w:rsidR="003908B6" w:rsidRDefault="003908B6" w:rsidP="003908B6">
      <w:pPr>
        <w:pStyle w:val="List-AlphanumericLvl1"/>
      </w:pPr>
      <w:r>
        <w:t xml:space="preserve">Do you have any comment on the estimated rates for each sector, keeping in mind that the levy formula itself is set out in legislation and is not under consideration this consultation? </w:t>
      </w:r>
    </w:p>
    <w:p w14:paraId="65B9CC86" w14:textId="77777777" w:rsidR="003908B6" w:rsidRDefault="003908B6" w:rsidP="003908B6">
      <w:pPr>
        <w:pStyle w:val="Heading2-NOTinTOC"/>
      </w:pPr>
      <w:r>
        <w:t xml:space="preserve">Anything else? </w:t>
      </w:r>
    </w:p>
    <w:p w14:paraId="23E82FD6" w14:textId="77777777" w:rsidR="003908B6" w:rsidRPr="00942E93" w:rsidRDefault="003908B6" w:rsidP="003908B6">
      <w:pPr>
        <w:pStyle w:val="List-AlphanumericLvl1"/>
      </w:pPr>
      <w:r>
        <w:t xml:space="preserve">Is there anything else you would like to tell us about the draft strategy or preventing and minimising gambling harm more generally? </w:t>
      </w:r>
    </w:p>
    <w:p w14:paraId="06080A77" w14:textId="4D6EB0F1" w:rsidR="009A0EC0" w:rsidRPr="009A0EC0" w:rsidRDefault="009A0EC0" w:rsidP="00D67BD7"/>
    <w:sectPr w:rsidR="009A0EC0" w:rsidRPr="009A0EC0" w:rsidSect="009A0EC0">
      <w:footerReference w:type="even" r:id="rId19"/>
      <w:footerReference w:type="default" r:id="rId20"/>
      <w:pgSz w:w="11907" w:h="16839" w:code="9"/>
      <w:pgMar w:top="1418" w:right="1418" w:bottom="1418" w:left="1418" w:header="96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4723" w14:textId="77777777" w:rsidR="004D7373" w:rsidRDefault="004D7373" w:rsidP="005839ED">
      <w:r>
        <w:separator/>
      </w:r>
    </w:p>
    <w:p w14:paraId="57B902F3" w14:textId="77777777" w:rsidR="004D7373" w:rsidRDefault="004D7373"/>
  </w:endnote>
  <w:endnote w:type="continuationSeparator" w:id="0">
    <w:p w14:paraId="40361D4C" w14:textId="77777777" w:rsidR="004D7373" w:rsidRDefault="004D7373" w:rsidP="005839ED">
      <w:r>
        <w:continuationSeparator/>
      </w:r>
    </w:p>
    <w:p w14:paraId="770EB643" w14:textId="77777777" w:rsidR="004D7373" w:rsidRDefault="004D7373"/>
  </w:endnote>
  <w:endnote w:type="continuationNotice" w:id="1">
    <w:p w14:paraId="7C54EBEE" w14:textId="77777777" w:rsidR="004D7373" w:rsidRDefault="004D7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45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359E" w14:textId="77777777" w:rsidR="004C4E01" w:rsidRDefault="004C4E01" w:rsidP="00EC2A6D">
    <w:pPr>
      <w:pStyle w:val="Footer"/>
    </w:pPr>
  </w:p>
  <w:p w14:paraId="1F0DD534" w14:textId="77777777" w:rsidR="004C4E01" w:rsidRPr="00EC2A6D" w:rsidRDefault="004C4E01"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sidR="000E7132">
      <w:rPr>
        <w:noProof/>
      </w:rPr>
      <w:t>4</w:t>
    </w:r>
    <w:r w:rsidRPr="00724798">
      <w:fldChar w:fldCharType="end"/>
    </w:r>
    <w:r w:rsidRPr="00724798">
      <w:rPr>
        <w:noProof/>
        <w:lang w:eastAsia="en-NZ"/>
      </w:rPr>
      <w:drawing>
        <wp:anchor distT="0" distB="0" distL="114300" distR="114300" simplePos="0" relativeHeight="251657216" behindDoc="1" locked="1" layoutInCell="1" allowOverlap="1" wp14:anchorId="170DEAA7" wp14:editId="1AE47F4E">
          <wp:simplePos x="0" y="0"/>
          <wp:positionH relativeFrom="page">
            <wp:posOffset>3060700</wp:posOffset>
          </wp:positionH>
          <wp:positionV relativeFrom="bottomMargin">
            <wp:posOffset>360045</wp:posOffset>
          </wp:positionV>
          <wp:extent cx="1443600" cy="327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5CDB" w14:textId="77777777" w:rsidR="004C4E01" w:rsidRDefault="004C4E01" w:rsidP="00D553C1">
    <w:pPr>
      <w:pStyle w:val="Footer"/>
    </w:pPr>
  </w:p>
  <w:p w14:paraId="56BB0005" w14:textId="32381AE5" w:rsidR="004C4E01" w:rsidRPr="00E17DEB" w:rsidRDefault="004C4E01" w:rsidP="00D553C1">
    <w:pPr>
      <w:pStyle w:val="Footer-OddPage"/>
      <w:pBdr>
        <w:top w:val="single" w:sz="4" w:space="1" w:color="77B800" w:themeColor="background2"/>
      </w:pBdr>
    </w:pPr>
    <w:r>
      <w:tab/>
    </w:r>
    <w:r w:rsidR="00B95088">
      <w:rPr>
        <w:i/>
        <w:iCs/>
      </w:rPr>
      <w:t>Allen + Clarke</w:t>
    </w:r>
    <w:r w:rsidR="00096C49">
      <w:rPr>
        <w:i/>
        <w:iCs/>
      </w:rPr>
      <w:t xml:space="preserve"> </w:t>
    </w:r>
    <w:r w:rsidR="00B95088">
      <w:t>Submissions Analysis</w:t>
    </w:r>
    <w:r w:rsidR="00132E36">
      <w:t xml:space="preserve"> </w:t>
    </w:r>
    <w:r>
      <w:tab/>
    </w:r>
    <w:r w:rsidRPr="00E17DEB">
      <w:fldChar w:fldCharType="begin"/>
    </w:r>
    <w:r w:rsidRPr="00E17DEB">
      <w:instrText xml:space="preserve"> PAGE  \* Arabic  \* MERGEFORMAT </w:instrText>
    </w:r>
    <w:r w:rsidRPr="00E17DEB">
      <w:fldChar w:fldCharType="separate"/>
    </w:r>
    <w:r w:rsidR="000E7132">
      <w:rPr>
        <w:noProof/>
      </w:rPr>
      <w:t>5</w:t>
    </w:r>
    <w:r w:rsidRPr="00E17D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9807" w14:textId="77777777" w:rsidR="004D7373" w:rsidRDefault="004D7373" w:rsidP="005839ED">
      <w:r>
        <w:separator/>
      </w:r>
    </w:p>
  </w:footnote>
  <w:footnote w:type="continuationSeparator" w:id="0">
    <w:p w14:paraId="382A6D7B" w14:textId="77777777" w:rsidR="004D7373" w:rsidRDefault="004D7373" w:rsidP="005839ED">
      <w:r>
        <w:continuationSeparator/>
      </w:r>
    </w:p>
    <w:p w14:paraId="4EB6E737" w14:textId="77777777" w:rsidR="004D7373" w:rsidRDefault="004D7373"/>
  </w:footnote>
  <w:footnote w:type="continuationNotice" w:id="1">
    <w:p w14:paraId="45CCFCC6" w14:textId="77777777" w:rsidR="004D7373" w:rsidRDefault="004D7373">
      <w:pPr>
        <w:spacing w:after="0" w:line="240" w:lineRule="auto"/>
      </w:pPr>
    </w:p>
  </w:footnote>
  <w:footnote w:id="2">
    <w:p w14:paraId="3E94B4E4" w14:textId="33B06E2D" w:rsidR="00D27439" w:rsidRPr="008B459D" w:rsidRDefault="00D27439">
      <w:pPr>
        <w:pStyle w:val="FootnoteText"/>
        <w:rPr>
          <w:sz w:val="16"/>
          <w:szCs w:val="16"/>
        </w:rPr>
      </w:pPr>
      <w:r w:rsidRPr="008B459D">
        <w:rPr>
          <w:rStyle w:val="FootnoteReference"/>
          <w:sz w:val="16"/>
          <w:szCs w:val="16"/>
        </w:rPr>
        <w:footnoteRef/>
      </w:r>
      <w:r w:rsidRPr="008B459D">
        <w:rPr>
          <w:sz w:val="16"/>
          <w:szCs w:val="16"/>
        </w:rPr>
        <w:t xml:space="preserve"> </w:t>
      </w:r>
      <w:hyperlink r:id="rId1" w:history="1">
        <w:r w:rsidRPr="008B459D">
          <w:rPr>
            <w:rStyle w:val="Hyperlink"/>
            <w:sz w:val="16"/>
            <w:szCs w:val="16"/>
          </w:rPr>
          <w:t>https://www.health.govt.nz/publication/strategy-prevent-and-minimise-gambling-harm-2019-20-2021-22-proposals-document</w:t>
        </w:r>
      </w:hyperlink>
      <w:r w:rsidRPr="008B459D">
        <w:rPr>
          <w:sz w:val="16"/>
          <w:szCs w:val="16"/>
        </w:rPr>
        <w:t xml:space="preserve">. </w:t>
      </w:r>
    </w:p>
  </w:footnote>
  <w:footnote w:id="3">
    <w:p w14:paraId="40B9A7D9" w14:textId="26A27DD1" w:rsidR="00B7221E" w:rsidRPr="008B459D" w:rsidRDefault="00B7221E">
      <w:pPr>
        <w:pStyle w:val="FootnoteText"/>
        <w:rPr>
          <w:sz w:val="16"/>
          <w:szCs w:val="16"/>
        </w:rPr>
      </w:pPr>
      <w:r w:rsidRPr="008B459D">
        <w:rPr>
          <w:rStyle w:val="FootnoteReference"/>
          <w:sz w:val="16"/>
          <w:szCs w:val="16"/>
        </w:rPr>
        <w:footnoteRef/>
      </w:r>
      <w:r w:rsidRPr="008B459D">
        <w:rPr>
          <w:sz w:val="16"/>
          <w:szCs w:val="16"/>
        </w:rPr>
        <w:t xml:space="preserve"> 6,7,8,9,13,18,25,27,29,34,41,46,47,50,54,C07.</w:t>
      </w:r>
    </w:p>
  </w:footnote>
  <w:footnote w:id="4">
    <w:p w14:paraId="0436F575" w14:textId="07D6FA94" w:rsidR="00513417" w:rsidRPr="008B459D" w:rsidRDefault="00513417" w:rsidP="00513417">
      <w:pPr>
        <w:pStyle w:val="FootnoteText"/>
        <w:rPr>
          <w:sz w:val="16"/>
          <w:szCs w:val="16"/>
        </w:rPr>
      </w:pPr>
      <w:r w:rsidRPr="008B459D">
        <w:rPr>
          <w:rStyle w:val="FootnoteReference"/>
          <w:sz w:val="16"/>
          <w:szCs w:val="16"/>
        </w:rPr>
        <w:footnoteRef/>
      </w:r>
      <w:r w:rsidRPr="008B459D">
        <w:rPr>
          <w:sz w:val="16"/>
          <w:szCs w:val="16"/>
        </w:rPr>
        <w:t xml:space="preserve"> Also known as Class 4 electronic gaming machines</w:t>
      </w:r>
      <w:r w:rsidR="003C4A47" w:rsidRPr="008B459D">
        <w:rPr>
          <w:sz w:val="16"/>
          <w:szCs w:val="16"/>
        </w:rPr>
        <w:t xml:space="preserve"> or ‘po</w:t>
      </w:r>
      <w:r w:rsidR="00DF1C43" w:rsidRPr="008B459D">
        <w:rPr>
          <w:sz w:val="16"/>
          <w:szCs w:val="16"/>
        </w:rPr>
        <w:t>kies’</w:t>
      </w:r>
      <w:r w:rsidRPr="008B459D">
        <w:rPr>
          <w:sz w:val="16"/>
          <w:szCs w:val="16"/>
        </w:rPr>
        <w:t xml:space="preserve">- referred to as NCGM throughout this report. </w:t>
      </w:r>
    </w:p>
  </w:footnote>
  <w:footnote w:id="5">
    <w:p w14:paraId="4B73303E" w14:textId="77777777" w:rsidR="00513417" w:rsidRPr="008B459D" w:rsidRDefault="00513417" w:rsidP="00513417">
      <w:pPr>
        <w:pStyle w:val="FootnoteText"/>
        <w:rPr>
          <w:sz w:val="16"/>
          <w:szCs w:val="16"/>
        </w:rPr>
      </w:pPr>
      <w:r w:rsidRPr="008B459D">
        <w:rPr>
          <w:rStyle w:val="FootnoteReference"/>
          <w:sz w:val="16"/>
          <w:szCs w:val="16"/>
        </w:rPr>
        <w:footnoteRef/>
      </w:r>
      <w:r w:rsidRPr="008B459D">
        <w:rPr>
          <w:sz w:val="16"/>
          <w:szCs w:val="16"/>
        </w:rPr>
        <w:t xml:space="preserve"> 3,4,5,10,17,19,21,22,26,32,38,40,43,44,51,C01.</w:t>
      </w:r>
    </w:p>
  </w:footnote>
  <w:footnote w:id="6">
    <w:p w14:paraId="3F8353EA" w14:textId="1D81210A" w:rsidR="00EB6641" w:rsidRPr="008B459D" w:rsidRDefault="00EB6641">
      <w:pPr>
        <w:pStyle w:val="FootnoteText"/>
        <w:rPr>
          <w:sz w:val="16"/>
          <w:szCs w:val="16"/>
        </w:rPr>
      </w:pPr>
      <w:r w:rsidRPr="008B459D">
        <w:rPr>
          <w:rStyle w:val="FootnoteReference"/>
          <w:sz w:val="16"/>
          <w:szCs w:val="16"/>
        </w:rPr>
        <w:footnoteRef/>
      </w:r>
      <w:r w:rsidRPr="008B459D">
        <w:rPr>
          <w:sz w:val="16"/>
          <w:szCs w:val="16"/>
        </w:rPr>
        <w:t xml:space="preserve"> 02,11,</w:t>
      </w:r>
      <w:r w:rsidR="00EF7481" w:rsidRPr="008B459D">
        <w:rPr>
          <w:sz w:val="16"/>
          <w:szCs w:val="16"/>
        </w:rPr>
        <w:t>23,24,28,33,35,37,39,45,48,49,52,</w:t>
      </w:r>
      <w:r w:rsidR="00C05269">
        <w:rPr>
          <w:sz w:val="16"/>
          <w:szCs w:val="16"/>
        </w:rPr>
        <w:t>5</w:t>
      </w:r>
      <w:r w:rsidR="009525B1">
        <w:rPr>
          <w:sz w:val="16"/>
          <w:szCs w:val="16"/>
        </w:rPr>
        <w:t>3</w:t>
      </w:r>
      <w:r w:rsidR="00EF7481" w:rsidRPr="008B459D">
        <w:rPr>
          <w:sz w:val="16"/>
          <w:szCs w:val="16"/>
        </w:rPr>
        <w:t>,C04,C08.</w:t>
      </w:r>
    </w:p>
  </w:footnote>
  <w:footnote w:id="7">
    <w:p w14:paraId="304D75D3" w14:textId="1E5543C8" w:rsidR="00523C01" w:rsidRPr="008B459D" w:rsidRDefault="00523C01">
      <w:pPr>
        <w:pStyle w:val="FootnoteText"/>
        <w:rPr>
          <w:sz w:val="16"/>
          <w:szCs w:val="16"/>
        </w:rPr>
      </w:pPr>
      <w:r w:rsidRPr="008B459D">
        <w:rPr>
          <w:rStyle w:val="FootnoteReference"/>
          <w:sz w:val="16"/>
          <w:szCs w:val="16"/>
        </w:rPr>
        <w:footnoteRef/>
      </w:r>
      <w:r w:rsidRPr="008B459D">
        <w:rPr>
          <w:sz w:val="16"/>
          <w:szCs w:val="16"/>
        </w:rPr>
        <w:t xml:space="preserve"> 20,30,31,36,42.</w:t>
      </w:r>
    </w:p>
  </w:footnote>
  <w:footnote w:id="8">
    <w:p w14:paraId="3F5C781B" w14:textId="0BCB165E" w:rsidR="00883D4F" w:rsidRPr="008B459D" w:rsidRDefault="00883D4F">
      <w:pPr>
        <w:pStyle w:val="FootnoteText"/>
        <w:rPr>
          <w:sz w:val="16"/>
          <w:szCs w:val="16"/>
        </w:rPr>
      </w:pPr>
      <w:r w:rsidRPr="008B459D">
        <w:rPr>
          <w:rStyle w:val="FootnoteReference"/>
          <w:sz w:val="16"/>
          <w:szCs w:val="16"/>
        </w:rPr>
        <w:footnoteRef/>
      </w:r>
      <w:r w:rsidRPr="008B459D">
        <w:rPr>
          <w:sz w:val="16"/>
          <w:szCs w:val="16"/>
        </w:rPr>
        <w:t xml:space="preserve"> 12,15,C02,C05.</w:t>
      </w:r>
    </w:p>
  </w:footnote>
  <w:footnote w:id="9">
    <w:p w14:paraId="0B8BDDAE" w14:textId="272E182F" w:rsidR="00DC23AE" w:rsidRPr="008B459D" w:rsidRDefault="00DC23AE">
      <w:pPr>
        <w:pStyle w:val="FootnoteText"/>
        <w:rPr>
          <w:sz w:val="16"/>
          <w:szCs w:val="16"/>
        </w:rPr>
      </w:pPr>
      <w:r w:rsidRPr="008B459D">
        <w:rPr>
          <w:rStyle w:val="FootnoteReference"/>
          <w:sz w:val="16"/>
          <w:szCs w:val="16"/>
        </w:rPr>
        <w:footnoteRef/>
      </w:r>
      <w:r w:rsidRPr="008B459D">
        <w:rPr>
          <w:sz w:val="16"/>
          <w:szCs w:val="16"/>
        </w:rPr>
        <w:t xml:space="preserve"> 55.</w:t>
      </w:r>
    </w:p>
  </w:footnote>
  <w:footnote w:id="10">
    <w:p w14:paraId="629873E1" w14:textId="574E9131" w:rsidR="00EE744F" w:rsidRPr="008B459D" w:rsidRDefault="00EE744F">
      <w:pPr>
        <w:pStyle w:val="FootnoteText"/>
        <w:rPr>
          <w:sz w:val="16"/>
          <w:szCs w:val="16"/>
        </w:rPr>
      </w:pPr>
      <w:r w:rsidRPr="008B459D">
        <w:rPr>
          <w:rStyle w:val="FootnoteReference"/>
          <w:sz w:val="16"/>
          <w:szCs w:val="16"/>
        </w:rPr>
        <w:footnoteRef/>
      </w:r>
      <w:r w:rsidRPr="008B459D">
        <w:rPr>
          <w:sz w:val="16"/>
          <w:szCs w:val="16"/>
        </w:rPr>
        <w:t xml:space="preserve"> </w:t>
      </w:r>
      <w:r w:rsidR="00C003B5" w:rsidRPr="008B459D">
        <w:rPr>
          <w:sz w:val="16"/>
          <w:szCs w:val="16"/>
        </w:rPr>
        <w:t>01,14,16,</w:t>
      </w:r>
      <w:r w:rsidR="00FF740E" w:rsidRPr="008B459D">
        <w:rPr>
          <w:sz w:val="16"/>
          <w:szCs w:val="16"/>
        </w:rPr>
        <w:t>C04,C0</w:t>
      </w:r>
      <w:r w:rsidR="001A7E66" w:rsidRPr="008B459D">
        <w:rPr>
          <w:sz w:val="16"/>
          <w:szCs w:val="16"/>
        </w:rPr>
        <w:t>6</w:t>
      </w:r>
      <w:r w:rsidR="00513417" w:rsidRPr="008B459D">
        <w:rPr>
          <w:sz w:val="16"/>
          <w:szCs w:val="16"/>
        </w:rPr>
        <w:t>,C09</w:t>
      </w:r>
      <w:r w:rsidR="00FF740E" w:rsidRPr="008B459D">
        <w:rPr>
          <w:sz w:val="16"/>
          <w:szCs w:val="16"/>
        </w:rPr>
        <w:t xml:space="preserve">. </w:t>
      </w:r>
    </w:p>
  </w:footnote>
  <w:footnote w:id="11">
    <w:p w14:paraId="3B0C3114" w14:textId="63FB7DF5" w:rsidR="0024393C" w:rsidRPr="008B459D" w:rsidRDefault="0024393C">
      <w:pPr>
        <w:pStyle w:val="FootnoteText"/>
        <w:rPr>
          <w:sz w:val="16"/>
          <w:szCs w:val="16"/>
        </w:rPr>
      </w:pPr>
      <w:r w:rsidRPr="008B459D">
        <w:rPr>
          <w:rStyle w:val="FootnoteReference"/>
          <w:sz w:val="16"/>
          <w:szCs w:val="16"/>
        </w:rPr>
        <w:footnoteRef/>
      </w:r>
      <w:r w:rsidRPr="008B459D">
        <w:rPr>
          <w:sz w:val="16"/>
          <w:szCs w:val="16"/>
        </w:rPr>
        <w:t xml:space="preserve"> </w:t>
      </w:r>
      <w:r w:rsidR="00695B02" w:rsidRPr="008B459D">
        <w:rPr>
          <w:sz w:val="16"/>
          <w:szCs w:val="16"/>
        </w:rPr>
        <w:t>Gambling</w:t>
      </w:r>
      <w:r w:rsidRPr="008B459D">
        <w:rPr>
          <w:sz w:val="16"/>
          <w:szCs w:val="16"/>
        </w:rPr>
        <w:t xml:space="preserve"> Act 2003, s </w:t>
      </w:r>
      <w:r w:rsidR="00695B02" w:rsidRPr="008B459D">
        <w:rPr>
          <w:sz w:val="16"/>
          <w:szCs w:val="16"/>
        </w:rPr>
        <w:t>317.</w:t>
      </w:r>
    </w:p>
  </w:footnote>
  <w:footnote w:id="12">
    <w:p w14:paraId="4145D3FA" w14:textId="5CD7ACF1" w:rsidR="00C67364" w:rsidRPr="008B459D" w:rsidRDefault="00C67364">
      <w:pPr>
        <w:pStyle w:val="FootnoteText"/>
        <w:rPr>
          <w:sz w:val="16"/>
          <w:szCs w:val="16"/>
        </w:rPr>
      </w:pPr>
      <w:r w:rsidRPr="008B459D">
        <w:rPr>
          <w:rStyle w:val="FootnoteReference"/>
          <w:sz w:val="16"/>
          <w:szCs w:val="16"/>
        </w:rPr>
        <w:footnoteRef/>
      </w:r>
      <w:r w:rsidR="007A51C7" w:rsidRPr="008B459D">
        <w:rPr>
          <w:sz w:val="16"/>
          <w:szCs w:val="16"/>
        </w:rPr>
        <w:t>02</w:t>
      </w:r>
      <w:r w:rsidR="00316FEB" w:rsidRPr="008B459D">
        <w:rPr>
          <w:sz w:val="16"/>
          <w:szCs w:val="16"/>
        </w:rPr>
        <w:t>,</w:t>
      </w:r>
      <w:r w:rsidR="00D635BE" w:rsidRPr="008B459D">
        <w:rPr>
          <w:sz w:val="16"/>
          <w:szCs w:val="16"/>
        </w:rPr>
        <w:t>0</w:t>
      </w:r>
      <w:r w:rsidR="00316FEB" w:rsidRPr="008B459D">
        <w:rPr>
          <w:sz w:val="16"/>
          <w:szCs w:val="16"/>
        </w:rPr>
        <w:t>3,</w:t>
      </w:r>
      <w:r w:rsidR="00D635BE" w:rsidRPr="008B459D">
        <w:rPr>
          <w:sz w:val="16"/>
          <w:szCs w:val="16"/>
        </w:rPr>
        <w:t>0</w:t>
      </w:r>
      <w:r w:rsidR="00316FEB" w:rsidRPr="008B459D">
        <w:rPr>
          <w:sz w:val="16"/>
          <w:szCs w:val="16"/>
        </w:rPr>
        <w:t>4,</w:t>
      </w:r>
      <w:r w:rsidR="00D635BE" w:rsidRPr="008B459D">
        <w:rPr>
          <w:sz w:val="16"/>
          <w:szCs w:val="16"/>
        </w:rPr>
        <w:t>0</w:t>
      </w:r>
      <w:r w:rsidR="00316FEB" w:rsidRPr="008B459D">
        <w:rPr>
          <w:sz w:val="16"/>
          <w:szCs w:val="16"/>
        </w:rPr>
        <w:t>5,</w:t>
      </w:r>
      <w:r w:rsidR="00D635BE" w:rsidRPr="008B459D">
        <w:rPr>
          <w:sz w:val="16"/>
          <w:szCs w:val="16"/>
        </w:rPr>
        <w:t>0</w:t>
      </w:r>
      <w:r w:rsidR="00316FEB" w:rsidRPr="008B459D">
        <w:rPr>
          <w:sz w:val="16"/>
          <w:szCs w:val="16"/>
        </w:rPr>
        <w:t>6,</w:t>
      </w:r>
      <w:r w:rsidR="00D635BE" w:rsidRPr="008B459D">
        <w:rPr>
          <w:sz w:val="16"/>
          <w:szCs w:val="16"/>
        </w:rPr>
        <w:t>0</w:t>
      </w:r>
      <w:r w:rsidR="00316FEB" w:rsidRPr="008B459D">
        <w:rPr>
          <w:sz w:val="16"/>
          <w:szCs w:val="16"/>
        </w:rPr>
        <w:t>7,</w:t>
      </w:r>
      <w:r w:rsidR="00D635BE" w:rsidRPr="008B459D">
        <w:rPr>
          <w:sz w:val="16"/>
          <w:szCs w:val="16"/>
        </w:rPr>
        <w:t>0</w:t>
      </w:r>
      <w:r w:rsidR="00316FEB" w:rsidRPr="008B459D">
        <w:rPr>
          <w:sz w:val="16"/>
          <w:szCs w:val="16"/>
        </w:rPr>
        <w:t>8,</w:t>
      </w:r>
      <w:r w:rsidR="00D635BE" w:rsidRPr="008B459D">
        <w:rPr>
          <w:sz w:val="16"/>
          <w:szCs w:val="16"/>
        </w:rPr>
        <w:t>0</w:t>
      </w:r>
      <w:r w:rsidR="00316FEB" w:rsidRPr="008B459D">
        <w:rPr>
          <w:sz w:val="16"/>
          <w:szCs w:val="16"/>
        </w:rPr>
        <w:t>9,10,11,12,13,15,17,18,19,20</w:t>
      </w:r>
      <w:r w:rsidR="006C3D5B" w:rsidRPr="008B459D">
        <w:rPr>
          <w:sz w:val="16"/>
          <w:szCs w:val="16"/>
        </w:rPr>
        <w:t>,21,22,23,24,25</w:t>
      </w:r>
      <w:r w:rsidR="00956C86" w:rsidRPr="008B459D">
        <w:rPr>
          <w:sz w:val="16"/>
          <w:szCs w:val="16"/>
        </w:rPr>
        <w:t>,26,27,28,29,30,31,32,33,34,35,36,37,38,39,40,41,42,43,44,45,46,47,48,49,50,51,52,53</w:t>
      </w:r>
      <w:r w:rsidR="005B201F" w:rsidRPr="008B459D">
        <w:rPr>
          <w:sz w:val="16"/>
          <w:szCs w:val="16"/>
        </w:rPr>
        <w:t>,54,55,</w:t>
      </w:r>
      <w:r w:rsidR="00D635BE" w:rsidRPr="008B459D">
        <w:rPr>
          <w:sz w:val="16"/>
          <w:szCs w:val="16"/>
        </w:rPr>
        <w:t>C01,02,C04,C05,C07,C08.</w:t>
      </w:r>
    </w:p>
  </w:footnote>
  <w:footnote w:id="13">
    <w:p w14:paraId="56FBD2D3" w14:textId="3D7E9089" w:rsidR="00C67364" w:rsidRPr="008B459D" w:rsidRDefault="00C67364">
      <w:pPr>
        <w:pStyle w:val="FootnoteText"/>
        <w:rPr>
          <w:sz w:val="16"/>
          <w:szCs w:val="16"/>
        </w:rPr>
      </w:pPr>
      <w:r w:rsidRPr="008B459D">
        <w:rPr>
          <w:rStyle w:val="FootnoteReference"/>
          <w:sz w:val="16"/>
          <w:szCs w:val="16"/>
        </w:rPr>
        <w:footnoteRef/>
      </w:r>
      <w:r w:rsidRPr="008B459D">
        <w:rPr>
          <w:sz w:val="16"/>
          <w:szCs w:val="16"/>
        </w:rPr>
        <w:t xml:space="preserve"> </w:t>
      </w:r>
      <w:r w:rsidR="00D635BE" w:rsidRPr="008B459D">
        <w:rPr>
          <w:sz w:val="16"/>
          <w:szCs w:val="16"/>
        </w:rPr>
        <w:t>0</w:t>
      </w:r>
      <w:r w:rsidR="00630D33" w:rsidRPr="008B459D">
        <w:rPr>
          <w:sz w:val="16"/>
          <w:szCs w:val="16"/>
        </w:rPr>
        <w:t>1,</w:t>
      </w:r>
      <w:r w:rsidR="00EE7FF0" w:rsidRPr="008B459D">
        <w:rPr>
          <w:sz w:val="16"/>
          <w:szCs w:val="16"/>
        </w:rPr>
        <w:t>14,</w:t>
      </w:r>
      <w:r w:rsidR="00630D33" w:rsidRPr="008B459D">
        <w:rPr>
          <w:sz w:val="16"/>
          <w:szCs w:val="16"/>
        </w:rPr>
        <w:t>16,C03,C06,C09</w:t>
      </w:r>
      <w:r w:rsidR="00D635BE" w:rsidRPr="008B459D">
        <w:rPr>
          <w:sz w:val="16"/>
          <w:szCs w:val="16"/>
        </w:rPr>
        <w:t>.</w:t>
      </w:r>
      <w:r w:rsidRPr="008B459D">
        <w:rPr>
          <w:sz w:val="16"/>
          <w:szCs w:val="16"/>
        </w:rPr>
        <w:t xml:space="preserve"> </w:t>
      </w:r>
    </w:p>
  </w:footnote>
  <w:footnote w:id="14">
    <w:p w14:paraId="7CC206F3" w14:textId="2AE5712C" w:rsidR="00346D8E" w:rsidRPr="008B459D" w:rsidRDefault="00346D8E" w:rsidP="00346D8E">
      <w:pPr>
        <w:pStyle w:val="FootnoteText"/>
        <w:rPr>
          <w:sz w:val="16"/>
          <w:szCs w:val="16"/>
        </w:rPr>
      </w:pPr>
      <w:r w:rsidRPr="008B459D">
        <w:rPr>
          <w:rStyle w:val="FootnoteReference"/>
          <w:sz w:val="16"/>
          <w:szCs w:val="16"/>
        </w:rPr>
        <w:footnoteRef/>
      </w:r>
      <w:r w:rsidRPr="008B459D">
        <w:rPr>
          <w:sz w:val="16"/>
          <w:szCs w:val="16"/>
        </w:rPr>
        <w:t xml:space="preserve"> </w:t>
      </w:r>
      <w:r w:rsidR="00576912" w:rsidRPr="008B459D">
        <w:rPr>
          <w:sz w:val="16"/>
          <w:szCs w:val="16"/>
        </w:rPr>
        <w:t>0</w:t>
      </w:r>
      <w:r w:rsidRPr="008B459D">
        <w:rPr>
          <w:sz w:val="16"/>
          <w:szCs w:val="16"/>
        </w:rPr>
        <w:t>1,</w:t>
      </w:r>
      <w:r w:rsidR="00576912" w:rsidRPr="008B459D">
        <w:rPr>
          <w:sz w:val="16"/>
          <w:szCs w:val="16"/>
        </w:rPr>
        <w:t>0</w:t>
      </w:r>
      <w:r w:rsidRPr="008B459D">
        <w:rPr>
          <w:sz w:val="16"/>
          <w:szCs w:val="16"/>
        </w:rPr>
        <w:t>7,13,16,28,29,37,41,46,</w:t>
      </w:r>
      <w:r w:rsidR="00576912" w:rsidRPr="008B459D">
        <w:rPr>
          <w:sz w:val="16"/>
          <w:szCs w:val="16"/>
        </w:rPr>
        <w:t>4</w:t>
      </w:r>
      <w:r w:rsidRPr="008B459D">
        <w:rPr>
          <w:sz w:val="16"/>
          <w:szCs w:val="16"/>
        </w:rPr>
        <w:t>7,50,54,55,C01,C02,C03,C04,C05,C06,C07,C09.</w:t>
      </w:r>
    </w:p>
  </w:footnote>
  <w:footnote w:id="15">
    <w:p w14:paraId="30C399BE" w14:textId="3D6E19B4" w:rsidR="00301A27" w:rsidRPr="008B459D" w:rsidRDefault="00301A27">
      <w:pPr>
        <w:pStyle w:val="FootnoteText"/>
        <w:rPr>
          <w:sz w:val="16"/>
          <w:szCs w:val="16"/>
        </w:rPr>
      </w:pPr>
      <w:r w:rsidRPr="008B459D">
        <w:rPr>
          <w:rStyle w:val="FootnoteReference"/>
          <w:sz w:val="16"/>
          <w:szCs w:val="16"/>
        </w:rPr>
        <w:footnoteRef/>
      </w:r>
      <w:r w:rsidRPr="008B459D">
        <w:rPr>
          <w:sz w:val="16"/>
          <w:szCs w:val="16"/>
        </w:rPr>
        <w:t xml:space="preserve"> </w:t>
      </w:r>
      <w:r w:rsidR="00576912" w:rsidRPr="008B459D">
        <w:rPr>
          <w:sz w:val="16"/>
          <w:szCs w:val="16"/>
        </w:rPr>
        <w:t>0</w:t>
      </w:r>
      <w:r w:rsidRPr="008B459D">
        <w:rPr>
          <w:sz w:val="16"/>
          <w:szCs w:val="16"/>
        </w:rPr>
        <w:t>7,41,50,54,C06,C07.</w:t>
      </w:r>
    </w:p>
  </w:footnote>
  <w:footnote w:id="16">
    <w:p w14:paraId="7580E169" w14:textId="43DCE6E2" w:rsidR="00301A27" w:rsidRPr="008B459D" w:rsidRDefault="00301A27">
      <w:pPr>
        <w:pStyle w:val="FootnoteText"/>
        <w:rPr>
          <w:sz w:val="16"/>
          <w:szCs w:val="16"/>
        </w:rPr>
      </w:pPr>
      <w:r w:rsidRPr="008B459D">
        <w:rPr>
          <w:rStyle w:val="FootnoteReference"/>
          <w:sz w:val="16"/>
          <w:szCs w:val="16"/>
        </w:rPr>
        <w:footnoteRef/>
      </w:r>
      <w:r w:rsidRPr="008B459D">
        <w:rPr>
          <w:sz w:val="16"/>
          <w:szCs w:val="16"/>
        </w:rPr>
        <w:t xml:space="preserve"> </w:t>
      </w:r>
      <w:r w:rsidR="00576912" w:rsidRPr="008B459D">
        <w:rPr>
          <w:sz w:val="16"/>
          <w:szCs w:val="16"/>
        </w:rPr>
        <w:t>0</w:t>
      </w:r>
      <w:r w:rsidRPr="008B459D">
        <w:rPr>
          <w:sz w:val="16"/>
          <w:szCs w:val="16"/>
        </w:rPr>
        <w:t>1,28,37,55,C02.</w:t>
      </w:r>
    </w:p>
  </w:footnote>
  <w:footnote w:id="17">
    <w:p w14:paraId="37222330" w14:textId="1F10AB23" w:rsidR="00301A27" w:rsidRPr="008B459D" w:rsidRDefault="00301A27">
      <w:pPr>
        <w:pStyle w:val="FootnoteText"/>
        <w:rPr>
          <w:sz w:val="16"/>
          <w:szCs w:val="16"/>
        </w:rPr>
      </w:pPr>
      <w:r w:rsidRPr="008B459D">
        <w:rPr>
          <w:rStyle w:val="FootnoteReference"/>
          <w:sz w:val="16"/>
          <w:szCs w:val="16"/>
        </w:rPr>
        <w:footnoteRef/>
      </w:r>
      <w:r w:rsidRPr="008B459D">
        <w:rPr>
          <w:sz w:val="16"/>
          <w:szCs w:val="16"/>
        </w:rPr>
        <w:t xml:space="preserve"> 29,46</w:t>
      </w:r>
      <w:r w:rsidR="00A6319A" w:rsidRPr="008B459D">
        <w:rPr>
          <w:sz w:val="16"/>
          <w:szCs w:val="16"/>
        </w:rPr>
        <w:t>,</w:t>
      </w:r>
      <w:r w:rsidRPr="008B459D">
        <w:rPr>
          <w:sz w:val="16"/>
          <w:szCs w:val="16"/>
        </w:rPr>
        <w:t>47.</w:t>
      </w:r>
    </w:p>
  </w:footnote>
  <w:footnote w:id="18">
    <w:p w14:paraId="5D42B0FD" w14:textId="77777777" w:rsidR="00301A27" w:rsidRPr="008B459D" w:rsidRDefault="00301A27">
      <w:pPr>
        <w:pStyle w:val="FootnoteText"/>
        <w:rPr>
          <w:sz w:val="16"/>
          <w:szCs w:val="16"/>
        </w:rPr>
      </w:pPr>
      <w:r w:rsidRPr="008B459D">
        <w:rPr>
          <w:rStyle w:val="FootnoteReference"/>
          <w:sz w:val="16"/>
          <w:szCs w:val="16"/>
        </w:rPr>
        <w:footnoteRef/>
      </w:r>
      <w:r w:rsidRPr="008B459D">
        <w:rPr>
          <w:sz w:val="16"/>
          <w:szCs w:val="16"/>
        </w:rPr>
        <w:t xml:space="preserve"> 16,C01.</w:t>
      </w:r>
    </w:p>
  </w:footnote>
  <w:footnote w:id="19">
    <w:p w14:paraId="2E373259" w14:textId="71B740C9" w:rsidR="00B20ACF" w:rsidRPr="008B459D" w:rsidRDefault="00B20ACF">
      <w:pPr>
        <w:pStyle w:val="FootnoteText"/>
        <w:rPr>
          <w:sz w:val="16"/>
          <w:szCs w:val="16"/>
        </w:rPr>
      </w:pPr>
      <w:r w:rsidRPr="008B459D">
        <w:rPr>
          <w:rStyle w:val="FootnoteReference"/>
          <w:sz w:val="16"/>
          <w:szCs w:val="16"/>
        </w:rPr>
        <w:footnoteRef/>
      </w:r>
      <w:r w:rsidRPr="008B459D">
        <w:rPr>
          <w:sz w:val="16"/>
          <w:szCs w:val="16"/>
        </w:rPr>
        <w:t xml:space="preserve"> 13. </w:t>
      </w:r>
    </w:p>
  </w:footnote>
  <w:footnote w:id="20">
    <w:p w14:paraId="24AF1F9F" w14:textId="2FFDC939" w:rsidR="00C862B5" w:rsidRPr="008B459D" w:rsidRDefault="00C862B5">
      <w:pPr>
        <w:pStyle w:val="FootnoteText"/>
        <w:rPr>
          <w:sz w:val="16"/>
          <w:szCs w:val="16"/>
        </w:rPr>
      </w:pPr>
      <w:r w:rsidRPr="008B459D">
        <w:rPr>
          <w:rStyle w:val="FootnoteReference"/>
          <w:sz w:val="16"/>
          <w:szCs w:val="16"/>
        </w:rPr>
        <w:footnoteRef/>
      </w:r>
      <w:r w:rsidRPr="008B459D">
        <w:rPr>
          <w:sz w:val="16"/>
          <w:szCs w:val="16"/>
        </w:rPr>
        <w:t xml:space="preserve"> C03.</w:t>
      </w:r>
    </w:p>
  </w:footnote>
  <w:footnote w:id="21">
    <w:p w14:paraId="787F5905" w14:textId="5D5D5CEB" w:rsidR="00C862B5" w:rsidRPr="008B459D" w:rsidRDefault="00C862B5">
      <w:pPr>
        <w:pStyle w:val="FootnoteText"/>
        <w:rPr>
          <w:sz w:val="16"/>
          <w:szCs w:val="16"/>
        </w:rPr>
      </w:pPr>
      <w:r w:rsidRPr="008B459D">
        <w:rPr>
          <w:rStyle w:val="FootnoteReference"/>
          <w:sz w:val="16"/>
          <w:szCs w:val="16"/>
        </w:rPr>
        <w:footnoteRef/>
      </w:r>
      <w:r w:rsidRPr="008B459D">
        <w:rPr>
          <w:sz w:val="16"/>
          <w:szCs w:val="16"/>
        </w:rPr>
        <w:t xml:space="preserve"> C04. </w:t>
      </w:r>
    </w:p>
  </w:footnote>
  <w:footnote w:id="22">
    <w:p w14:paraId="7A9889BD" w14:textId="1EAB7152" w:rsidR="006A4FD3" w:rsidRPr="008B459D" w:rsidRDefault="006A4FD3">
      <w:pPr>
        <w:pStyle w:val="FootnoteText"/>
        <w:rPr>
          <w:sz w:val="16"/>
          <w:szCs w:val="16"/>
        </w:rPr>
      </w:pPr>
      <w:r w:rsidRPr="008B459D">
        <w:rPr>
          <w:rStyle w:val="FootnoteReference"/>
          <w:sz w:val="16"/>
          <w:szCs w:val="16"/>
        </w:rPr>
        <w:footnoteRef/>
      </w:r>
      <w:r w:rsidR="00DE51A9" w:rsidRPr="008B459D">
        <w:rPr>
          <w:sz w:val="16"/>
          <w:szCs w:val="16"/>
        </w:rPr>
        <w:t xml:space="preserve"> C09.</w:t>
      </w:r>
    </w:p>
  </w:footnote>
  <w:footnote w:id="23">
    <w:p w14:paraId="00B1789F" w14:textId="7DF205CB" w:rsidR="00301A27" w:rsidRPr="008B459D" w:rsidRDefault="00301A27">
      <w:pPr>
        <w:pStyle w:val="FootnoteText"/>
        <w:rPr>
          <w:sz w:val="16"/>
          <w:szCs w:val="16"/>
        </w:rPr>
      </w:pPr>
      <w:r w:rsidRPr="008B459D">
        <w:rPr>
          <w:rStyle w:val="FootnoteReference"/>
          <w:sz w:val="16"/>
          <w:szCs w:val="16"/>
        </w:rPr>
        <w:footnoteRef/>
      </w:r>
      <w:r w:rsidR="00DE51A9" w:rsidRPr="008B459D">
        <w:rPr>
          <w:sz w:val="16"/>
          <w:szCs w:val="16"/>
        </w:rPr>
        <w:t xml:space="preserve"> C05.</w:t>
      </w:r>
    </w:p>
  </w:footnote>
  <w:footnote w:id="24">
    <w:p w14:paraId="1DFECFAD" w14:textId="77777777" w:rsidR="00F95ABF" w:rsidRPr="008B459D" w:rsidRDefault="00F95ABF" w:rsidP="00F95ABF">
      <w:pPr>
        <w:pStyle w:val="FootnoteText"/>
        <w:rPr>
          <w:rFonts w:cstheme="majorHAnsi"/>
          <w:sz w:val="16"/>
          <w:szCs w:val="16"/>
        </w:rPr>
      </w:pPr>
      <w:r w:rsidRPr="008B459D">
        <w:rPr>
          <w:rStyle w:val="FootnoteReference"/>
          <w:rFonts w:cstheme="majorHAnsi"/>
          <w:sz w:val="16"/>
          <w:szCs w:val="16"/>
        </w:rPr>
        <w:footnoteRef/>
      </w:r>
      <w:r w:rsidRPr="008B459D">
        <w:rPr>
          <w:rFonts w:cstheme="majorHAnsi"/>
          <w:sz w:val="16"/>
          <w:szCs w:val="16"/>
        </w:rPr>
        <w:t xml:space="preserve"> 05.</w:t>
      </w:r>
    </w:p>
  </w:footnote>
  <w:footnote w:id="25">
    <w:p w14:paraId="3BF7FD1C" w14:textId="110EE9DE" w:rsidR="002059E2" w:rsidRPr="008B459D" w:rsidRDefault="002059E2">
      <w:pPr>
        <w:pStyle w:val="FootnoteText"/>
        <w:rPr>
          <w:sz w:val="16"/>
          <w:szCs w:val="16"/>
        </w:rPr>
      </w:pPr>
      <w:r w:rsidRPr="008B459D">
        <w:rPr>
          <w:rStyle w:val="FootnoteReference"/>
          <w:sz w:val="16"/>
          <w:szCs w:val="16"/>
        </w:rPr>
        <w:footnoteRef/>
      </w:r>
      <w:r w:rsidR="00511CAC" w:rsidRPr="008B459D">
        <w:rPr>
          <w:sz w:val="16"/>
          <w:szCs w:val="16"/>
        </w:rPr>
        <w:t>03,04,10,17,19,21,22,32,38,40,51.</w:t>
      </w:r>
    </w:p>
  </w:footnote>
  <w:footnote w:id="26">
    <w:p w14:paraId="4CC8C477" w14:textId="6EFC94D0" w:rsidR="001B3561" w:rsidRPr="008B459D" w:rsidRDefault="001B3561">
      <w:pPr>
        <w:pStyle w:val="FootnoteText"/>
        <w:rPr>
          <w:sz w:val="16"/>
          <w:szCs w:val="16"/>
        </w:rPr>
      </w:pPr>
      <w:r w:rsidRPr="008B459D">
        <w:rPr>
          <w:rStyle w:val="FootnoteReference"/>
          <w:sz w:val="16"/>
          <w:szCs w:val="16"/>
        </w:rPr>
        <w:footnoteRef/>
      </w:r>
      <w:r w:rsidRPr="008B459D">
        <w:rPr>
          <w:sz w:val="16"/>
          <w:szCs w:val="16"/>
        </w:rPr>
        <w:t xml:space="preserve"> 43,44.</w:t>
      </w:r>
    </w:p>
  </w:footnote>
  <w:footnote w:id="27">
    <w:p w14:paraId="0A606F2A" w14:textId="680792DA" w:rsidR="00971117" w:rsidRPr="008B459D" w:rsidRDefault="00971117">
      <w:pPr>
        <w:pStyle w:val="FootnoteText"/>
        <w:rPr>
          <w:sz w:val="16"/>
          <w:szCs w:val="16"/>
        </w:rPr>
      </w:pPr>
      <w:r w:rsidRPr="008B459D">
        <w:rPr>
          <w:rStyle w:val="FootnoteReference"/>
          <w:sz w:val="16"/>
          <w:szCs w:val="16"/>
        </w:rPr>
        <w:footnoteRef/>
      </w:r>
      <w:r w:rsidRPr="008B459D">
        <w:rPr>
          <w:sz w:val="16"/>
          <w:szCs w:val="16"/>
        </w:rPr>
        <w:t xml:space="preserve"> 34,50.</w:t>
      </w:r>
    </w:p>
  </w:footnote>
  <w:footnote w:id="28">
    <w:p w14:paraId="02F95CC5" w14:textId="08920AD0" w:rsidR="00074722" w:rsidRPr="008B459D" w:rsidRDefault="00074722">
      <w:pPr>
        <w:pStyle w:val="FootnoteText"/>
        <w:rPr>
          <w:sz w:val="16"/>
          <w:szCs w:val="16"/>
        </w:rPr>
      </w:pPr>
      <w:r w:rsidRPr="008B459D">
        <w:rPr>
          <w:rStyle w:val="FootnoteReference"/>
          <w:sz w:val="16"/>
          <w:szCs w:val="16"/>
        </w:rPr>
        <w:footnoteRef/>
      </w:r>
      <w:r w:rsidRPr="008B459D">
        <w:rPr>
          <w:sz w:val="16"/>
          <w:szCs w:val="16"/>
        </w:rPr>
        <w:t xml:space="preserve"> 35</w:t>
      </w:r>
    </w:p>
  </w:footnote>
  <w:footnote w:id="29">
    <w:p w14:paraId="1D57AA1F" w14:textId="53C6C708" w:rsidR="00074722" w:rsidRPr="008B459D" w:rsidRDefault="00074722">
      <w:pPr>
        <w:pStyle w:val="FootnoteText"/>
        <w:rPr>
          <w:sz w:val="16"/>
          <w:szCs w:val="16"/>
        </w:rPr>
      </w:pPr>
      <w:r w:rsidRPr="008B459D">
        <w:rPr>
          <w:rStyle w:val="FootnoteReference"/>
          <w:sz w:val="16"/>
          <w:szCs w:val="16"/>
        </w:rPr>
        <w:footnoteRef/>
      </w:r>
      <w:r w:rsidRPr="008B459D">
        <w:rPr>
          <w:sz w:val="16"/>
          <w:szCs w:val="16"/>
        </w:rPr>
        <w:t xml:space="preserve"> C05.</w:t>
      </w:r>
    </w:p>
  </w:footnote>
  <w:footnote w:id="30">
    <w:p w14:paraId="37852F76" w14:textId="5FC8808A" w:rsidR="00D17E2D" w:rsidRPr="008B459D" w:rsidRDefault="00D17E2D">
      <w:pPr>
        <w:pStyle w:val="FootnoteText"/>
        <w:rPr>
          <w:sz w:val="16"/>
          <w:szCs w:val="16"/>
        </w:rPr>
      </w:pPr>
      <w:r w:rsidRPr="008B459D">
        <w:rPr>
          <w:rStyle w:val="FootnoteReference"/>
          <w:sz w:val="16"/>
          <w:szCs w:val="16"/>
        </w:rPr>
        <w:footnoteRef/>
      </w:r>
      <w:r w:rsidRPr="008B459D">
        <w:rPr>
          <w:sz w:val="16"/>
          <w:szCs w:val="16"/>
        </w:rPr>
        <w:t xml:space="preserve"> 27.</w:t>
      </w:r>
    </w:p>
  </w:footnote>
  <w:footnote w:id="31">
    <w:p w14:paraId="58AD09A4" w14:textId="7A90B01C" w:rsidR="00007BA7" w:rsidRPr="008B459D" w:rsidRDefault="00007BA7">
      <w:pPr>
        <w:pStyle w:val="FootnoteText"/>
        <w:rPr>
          <w:sz w:val="16"/>
          <w:szCs w:val="16"/>
        </w:rPr>
      </w:pPr>
      <w:r w:rsidRPr="008B459D">
        <w:rPr>
          <w:rStyle w:val="FootnoteReference"/>
          <w:sz w:val="16"/>
          <w:szCs w:val="16"/>
        </w:rPr>
        <w:footnoteRef/>
      </w:r>
      <w:r w:rsidRPr="008B459D">
        <w:rPr>
          <w:sz w:val="16"/>
          <w:szCs w:val="16"/>
        </w:rPr>
        <w:t xml:space="preserve"> 29,</w:t>
      </w:r>
    </w:p>
  </w:footnote>
  <w:footnote w:id="32">
    <w:p w14:paraId="2BD87640" w14:textId="6C7508CC" w:rsidR="004635D9" w:rsidRPr="008B459D" w:rsidRDefault="004635D9">
      <w:pPr>
        <w:pStyle w:val="FootnoteText"/>
        <w:rPr>
          <w:sz w:val="16"/>
          <w:szCs w:val="16"/>
        </w:rPr>
      </w:pPr>
      <w:r w:rsidRPr="008B459D">
        <w:rPr>
          <w:rStyle w:val="FootnoteReference"/>
          <w:sz w:val="16"/>
          <w:szCs w:val="16"/>
        </w:rPr>
        <w:footnoteRef/>
      </w:r>
      <w:r w:rsidRPr="008B459D">
        <w:rPr>
          <w:sz w:val="16"/>
          <w:szCs w:val="16"/>
        </w:rPr>
        <w:t xml:space="preserve"> 13.</w:t>
      </w:r>
    </w:p>
  </w:footnote>
  <w:footnote w:id="33">
    <w:p w14:paraId="6A952546" w14:textId="56B26B02" w:rsidR="002C3090" w:rsidRPr="008B459D" w:rsidRDefault="002C3090" w:rsidP="002C3090">
      <w:pPr>
        <w:pStyle w:val="FootnoteText"/>
        <w:rPr>
          <w:sz w:val="16"/>
          <w:szCs w:val="16"/>
        </w:rPr>
      </w:pPr>
      <w:r w:rsidRPr="008B459D">
        <w:rPr>
          <w:rStyle w:val="FootnoteReference"/>
          <w:sz w:val="16"/>
          <w:szCs w:val="16"/>
        </w:rPr>
        <w:footnoteRef/>
      </w:r>
      <w:r w:rsidRPr="008B459D">
        <w:rPr>
          <w:sz w:val="16"/>
          <w:szCs w:val="16"/>
        </w:rPr>
        <w:t>01,02,03,04,05,06,07,08,09,10,11,12,13,15,16,17,18,19,20,21,22,23,24,25,27,28,29,30,31,32,33,34,35,36,37,38,39,40,41,42,43,44,</w:t>
      </w:r>
      <w:r w:rsidR="00EE6C8A" w:rsidRPr="008B459D">
        <w:rPr>
          <w:sz w:val="16"/>
          <w:szCs w:val="16"/>
        </w:rPr>
        <w:t>45</w:t>
      </w:r>
      <w:r w:rsidRPr="008B459D">
        <w:rPr>
          <w:sz w:val="16"/>
          <w:szCs w:val="16"/>
        </w:rPr>
        <w:t>,46,47,48,49,50,51,52,53,54,55,C01,C02,C03,C04,C05,C06,C07,C08,C09.</w:t>
      </w:r>
    </w:p>
  </w:footnote>
  <w:footnote w:id="34">
    <w:p w14:paraId="316F3108" w14:textId="4F063580" w:rsidR="00FD6D3F" w:rsidRPr="008B459D" w:rsidRDefault="00FD6D3F" w:rsidP="00FD6D3F">
      <w:pPr>
        <w:pStyle w:val="FootnoteText"/>
        <w:rPr>
          <w:sz w:val="16"/>
          <w:szCs w:val="16"/>
        </w:rPr>
      </w:pPr>
      <w:r w:rsidRPr="008B459D">
        <w:rPr>
          <w:rStyle w:val="FootnoteReference"/>
          <w:sz w:val="16"/>
          <w:szCs w:val="16"/>
        </w:rPr>
        <w:footnoteRef/>
      </w:r>
      <w:r w:rsidRPr="008B459D">
        <w:rPr>
          <w:sz w:val="16"/>
          <w:szCs w:val="16"/>
        </w:rPr>
        <w:t xml:space="preserve"> </w:t>
      </w:r>
      <w:r w:rsidR="00763C59">
        <w:rPr>
          <w:sz w:val="16"/>
          <w:szCs w:val="16"/>
        </w:rPr>
        <w:t>0</w:t>
      </w:r>
      <w:r w:rsidRPr="008B459D">
        <w:rPr>
          <w:sz w:val="16"/>
          <w:szCs w:val="16"/>
        </w:rPr>
        <w:t>2,</w:t>
      </w:r>
      <w:r w:rsidR="00763C59">
        <w:rPr>
          <w:sz w:val="16"/>
          <w:szCs w:val="16"/>
        </w:rPr>
        <w:t>0</w:t>
      </w:r>
      <w:r w:rsidRPr="008B459D">
        <w:rPr>
          <w:sz w:val="16"/>
          <w:szCs w:val="16"/>
        </w:rPr>
        <w:t>8,</w:t>
      </w:r>
      <w:r w:rsidR="00763C59">
        <w:rPr>
          <w:sz w:val="16"/>
          <w:szCs w:val="16"/>
        </w:rPr>
        <w:t>0</w:t>
      </w:r>
      <w:r w:rsidRPr="008B459D">
        <w:rPr>
          <w:sz w:val="16"/>
          <w:szCs w:val="16"/>
        </w:rPr>
        <w:t>9,11,12,13,15,16,18,23,24,27,30,31,33,37,,39,41,42,48,49,50,52,53,54,C01,C02,C04,C05,C07,C08.</w:t>
      </w:r>
    </w:p>
  </w:footnote>
  <w:footnote w:id="35">
    <w:p w14:paraId="1AB96307" w14:textId="5F90FB44"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w:t>
      </w:r>
      <w:r w:rsidR="00CD714F" w:rsidRPr="008B459D">
        <w:rPr>
          <w:sz w:val="16"/>
          <w:szCs w:val="16"/>
        </w:rPr>
        <w:t>0</w:t>
      </w:r>
      <w:r w:rsidRPr="008B459D">
        <w:rPr>
          <w:sz w:val="16"/>
          <w:szCs w:val="16"/>
        </w:rPr>
        <w:t>2,11,23,24,33,37,39,48,49,52,53,C04,C08.</w:t>
      </w:r>
    </w:p>
  </w:footnote>
  <w:footnote w:id="36">
    <w:p w14:paraId="5518CDDF" w14:textId="2C8B364B"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w:t>
      </w:r>
      <w:r w:rsidR="00CD714F" w:rsidRPr="008B459D">
        <w:rPr>
          <w:sz w:val="16"/>
          <w:szCs w:val="16"/>
        </w:rPr>
        <w:t>0</w:t>
      </w:r>
      <w:r w:rsidRPr="008B459D">
        <w:rPr>
          <w:sz w:val="16"/>
          <w:szCs w:val="16"/>
        </w:rPr>
        <w:t>8,</w:t>
      </w:r>
      <w:r w:rsidR="00CD714F" w:rsidRPr="008B459D">
        <w:rPr>
          <w:sz w:val="16"/>
          <w:szCs w:val="16"/>
        </w:rPr>
        <w:t>0</w:t>
      </w:r>
      <w:r w:rsidRPr="008B459D">
        <w:rPr>
          <w:sz w:val="16"/>
          <w:szCs w:val="16"/>
        </w:rPr>
        <w:t>9,13,18,27,41,</w:t>
      </w:r>
      <w:r w:rsidR="00DC7005" w:rsidRPr="008B459D">
        <w:rPr>
          <w:sz w:val="16"/>
          <w:szCs w:val="16"/>
        </w:rPr>
        <w:t>47,</w:t>
      </w:r>
      <w:r w:rsidRPr="008B459D">
        <w:rPr>
          <w:sz w:val="16"/>
          <w:szCs w:val="16"/>
        </w:rPr>
        <w:t>50,54,C07.</w:t>
      </w:r>
    </w:p>
  </w:footnote>
  <w:footnote w:id="37">
    <w:p w14:paraId="339EC50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12,15,C02,C05</w:t>
      </w:r>
    </w:p>
  </w:footnote>
  <w:footnote w:id="38">
    <w:p w14:paraId="6CFA197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30,31,42.</w:t>
      </w:r>
    </w:p>
  </w:footnote>
  <w:footnote w:id="39">
    <w:p w14:paraId="51AF448A"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16</w:t>
      </w:r>
    </w:p>
  </w:footnote>
  <w:footnote w:id="40">
    <w:p w14:paraId="4BE5546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C01</w:t>
      </w:r>
    </w:p>
  </w:footnote>
  <w:footnote w:id="41">
    <w:p w14:paraId="37E3A6F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11,16,18,23,24,27,37,39,42,49,52.</w:t>
      </w:r>
    </w:p>
  </w:footnote>
  <w:footnote w:id="42">
    <w:p w14:paraId="7EA3676C" w14:textId="77777777" w:rsidR="00E36392" w:rsidRPr="008B459D" w:rsidRDefault="00E36392" w:rsidP="00E36392">
      <w:pPr>
        <w:pStyle w:val="FootnoteText"/>
        <w:rPr>
          <w:sz w:val="16"/>
          <w:szCs w:val="16"/>
        </w:rPr>
      </w:pPr>
      <w:r w:rsidRPr="008B459D">
        <w:rPr>
          <w:rStyle w:val="FootnoteReference"/>
          <w:sz w:val="16"/>
          <w:szCs w:val="16"/>
        </w:rPr>
        <w:footnoteRef/>
      </w:r>
      <w:r w:rsidRPr="008B459D">
        <w:rPr>
          <w:sz w:val="16"/>
          <w:szCs w:val="16"/>
        </w:rPr>
        <w:t xml:space="preserve"> 13,34,37,C04.</w:t>
      </w:r>
    </w:p>
  </w:footnote>
  <w:footnote w:id="43">
    <w:p w14:paraId="578B22CE" w14:textId="77777777" w:rsidR="00E878EE" w:rsidRPr="008B459D" w:rsidRDefault="00E878EE" w:rsidP="00E878EE">
      <w:pPr>
        <w:pStyle w:val="FootnoteText"/>
        <w:rPr>
          <w:sz w:val="16"/>
          <w:szCs w:val="16"/>
        </w:rPr>
      </w:pPr>
      <w:r w:rsidRPr="008B459D">
        <w:rPr>
          <w:rStyle w:val="FootnoteReference"/>
          <w:sz w:val="16"/>
          <w:szCs w:val="16"/>
        </w:rPr>
        <w:footnoteRef/>
      </w:r>
      <w:r w:rsidRPr="008B459D">
        <w:rPr>
          <w:sz w:val="16"/>
          <w:szCs w:val="16"/>
        </w:rPr>
        <w:t xml:space="preserve"> 16,30. </w:t>
      </w:r>
    </w:p>
  </w:footnote>
  <w:footnote w:id="44">
    <w:p w14:paraId="338950B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15. </w:t>
      </w:r>
    </w:p>
  </w:footnote>
  <w:footnote w:id="45">
    <w:p w14:paraId="35EB119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08,16,18,42,48,49,C03,C04.</w:t>
      </w:r>
    </w:p>
  </w:footnote>
  <w:footnote w:id="46">
    <w:p w14:paraId="44132D27" w14:textId="77777777" w:rsidR="00F36E9B" w:rsidRPr="008B459D" w:rsidRDefault="00F36E9B" w:rsidP="00F36E9B">
      <w:pPr>
        <w:pStyle w:val="FootnoteText"/>
        <w:rPr>
          <w:sz w:val="16"/>
          <w:szCs w:val="16"/>
        </w:rPr>
      </w:pPr>
      <w:r w:rsidRPr="008B459D">
        <w:rPr>
          <w:rStyle w:val="FootnoteReference"/>
          <w:sz w:val="16"/>
          <w:szCs w:val="16"/>
        </w:rPr>
        <w:footnoteRef/>
      </w:r>
      <w:r w:rsidRPr="008B459D">
        <w:rPr>
          <w:sz w:val="16"/>
          <w:szCs w:val="16"/>
        </w:rPr>
        <w:t xml:space="preserve"> 11. </w:t>
      </w:r>
    </w:p>
  </w:footnote>
  <w:footnote w:id="47">
    <w:p w14:paraId="74AF439F" w14:textId="77777777" w:rsidR="002E0BAC" w:rsidRPr="008B459D" w:rsidRDefault="002E0BAC" w:rsidP="002E0BAC">
      <w:pPr>
        <w:pStyle w:val="FootnoteText"/>
        <w:rPr>
          <w:sz w:val="16"/>
          <w:szCs w:val="16"/>
        </w:rPr>
      </w:pPr>
      <w:r w:rsidRPr="008B459D">
        <w:rPr>
          <w:rStyle w:val="FootnoteReference"/>
          <w:sz w:val="16"/>
          <w:szCs w:val="16"/>
        </w:rPr>
        <w:footnoteRef/>
      </w:r>
      <w:r w:rsidRPr="008B459D">
        <w:rPr>
          <w:sz w:val="16"/>
          <w:szCs w:val="16"/>
        </w:rPr>
        <w:t xml:space="preserve"> 11. </w:t>
      </w:r>
    </w:p>
  </w:footnote>
  <w:footnote w:id="48">
    <w:p w14:paraId="160DB64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24,48.</w:t>
      </w:r>
    </w:p>
  </w:footnote>
  <w:footnote w:id="49">
    <w:p w14:paraId="6AA6C1F0" w14:textId="06AFFBEB" w:rsidR="000A49D1" w:rsidRPr="008B459D" w:rsidRDefault="000A49D1" w:rsidP="000A49D1">
      <w:pPr>
        <w:pStyle w:val="FootnoteText"/>
        <w:rPr>
          <w:sz w:val="16"/>
          <w:szCs w:val="16"/>
        </w:rPr>
      </w:pPr>
      <w:r w:rsidRPr="008B459D">
        <w:rPr>
          <w:rStyle w:val="FootnoteReference"/>
          <w:sz w:val="16"/>
          <w:szCs w:val="16"/>
        </w:rPr>
        <w:footnoteRef/>
      </w:r>
      <w:r w:rsidRPr="008B459D">
        <w:rPr>
          <w:sz w:val="16"/>
          <w:szCs w:val="16"/>
        </w:rPr>
        <w:t xml:space="preserve"> 11</w:t>
      </w:r>
      <w:r w:rsidR="00154E1B" w:rsidRPr="008B459D">
        <w:rPr>
          <w:sz w:val="16"/>
          <w:szCs w:val="16"/>
        </w:rPr>
        <w:t>,54</w:t>
      </w:r>
      <w:r w:rsidRPr="008B459D">
        <w:rPr>
          <w:sz w:val="16"/>
          <w:szCs w:val="16"/>
        </w:rPr>
        <w:t xml:space="preserve">. </w:t>
      </w:r>
    </w:p>
  </w:footnote>
  <w:footnote w:id="50">
    <w:p w14:paraId="2986BA7B" w14:textId="77777777" w:rsidR="000A49D1" w:rsidRPr="008B459D" w:rsidRDefault="000A49D1" w:rsidP="000A49D1">
      <w:pPr>
        <w:pStyle w:val="FootnoteText"/>
        <w:rPr>
          <w:sz w:val="16"/>
          <w:szCs w:val="16"/>
        </w:rPr>
      </w:pPr>
      <w:r w:rsidRPr="008B459D">
        <w:rPr>
          <w:rStyle w:val="FootnoteReference"/>
          <w:sz w:val="16"/>
          <w:szCs w:val="16"/>
        </w:rPr>
        <w:footnoteRef/>
      </w:r>
      <w:r w:rsidRPr="008B459D">
        <w:rPr>
          <w:sz w:val="16"/>
          <w:szCs w:val="16"/>
        </w:rPr>
        <w:t xml:space="preserve"> 23.</w:t>
      </w:r>
    </w:p>
  </w:footnote>
  <w:footnote w:id="51">
    <w:p w14:paraId="1FB01888" w14:textId="77777777" w:rsidR="004D04FD" w:rsidRPr="008B459D" w:rsidRDefault="004D04FD" w:rsidP="004F377B">
      <w:pPr>
        <w:pStyle w:val="FootnoteText"/>
        <w:rPr>
          <w:sz w:val="16"/>
          <w:szCs w:val="16"/>
        </w:rPr>
      </w:pPr>
    </w:p>
  </w:footnote>
  <w:footnote w:id="52">
    <w:p w14:paraId="4A35993A" w14:textId="77777777" w:rsidR="004D04FD" w:rsidRPr="008B459D" w:rsidRDefault="004D04FD" w:rsidP="004F377B">
      <w:pPr>
        <w:pStyle w:val="FootnoteText"/>
        <w:rPr>
          <w:sz w:val="16"/>
          <w:szCs w:val="16"/>
        </w:rPr>
      </w:pPr>
      <w:r w:rsidRPr="008B459D">
        <w:rPr>
          <w:rStyle w:val="FootnoteReference"/>
          <w:sz w:val="16"/>
          <w:szCs w:val="16"/>
        </w:rPr>
        <w:footnoteRef/>
      </w:r>
      <w:r w:rsidRPr="008B459D">
        <w:rPr>
          <w:sz w:val="16"/>
          <w:szCs w:val="16"/>
        </w:rPr>
        <w:t xml:space="preserve"> 54.</w:t>
      </w:r>
    </w:p>
  </w:footnote>
  <w:footnote w:id="53">
    <w:p w14:paraId="7FB2CB7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54.</w:t>
      </w:r>
    </w:p>
  </w:footnote>
  <w:footnote w:id="54">
    <w:p w14:paraId="0935603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52.</w:t>
      </w:r>
    </w:p>
  </w:footnote>
  <w:footnote w:id="55">
    <w:p w14:paraId="77AC017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51.</w:t>
      </w:r>
    </w:p>
  </w:footnote>
  <w:footnote w:id="56">
    <w:p w14:paraId="1CC26B3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03,04,05,10,17,19,20,21,22,32,40,51. </w:t>
      </w:r>
    </w:p>
  </w:footnote>
  <w:footnote w:id="57">
    <w:p w14:paraId="6996C24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03,19,40. </w:t>
      </w:r>
    </w:p>
  </w:footnote>
  <w:footnote w:id="58">
    <w:p w14:paraId="57A77C8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17. </w:t>
      </w:r>
    </w:p>
  </w:footnote>
  <w:footnote w:id="59">
    <w:p w14:paraId="4F61080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43.</w:t>
      </w:r>
    </w:p>
  </w:footnote>
  <w:footnote w:id="60">
    <w:p w14:paraId="2B732424" w14:textId="63316D19" w:rsidR="009C1A59" w:rsidRPr="008B459D" w:rsidRDefault="009C1A59">
      <w:pPr>
        <w:pStyle w:val="FootnoteText"/>
        <w:rPr>
          <w:sz w:val="16"/>
          <w:szCs w:val="16"/>
        </w:rPr>
      </w:pPr>
      <w:r w:rsidRPr="008B459D">
        <w:rPr>
          <w:rStyle w:val="FootnoteReference"/>
          <w:sz w:val="16"/>
          <w:szCs w:val="16"/>
        </w:rPr>
        <w:footnoteRef/>
      </w:r>
      <w:r w:rsidRPr="008B459D">
        <w:rPr>
          <w:sz w:val="16"/>
          <w:szCs w:val="16"/>
        </w:rPr>
        <w:t xml:space="preserve"> 18.</w:t>
      </w:r>
    </w:p>
  </w:footnote>
  <w:footnote w:id="61">
    <w:p w14:paraId="3E45C903" w14:textId="2E4FDD06" w:rsidR="009C1A59" w:rsidRPr="008B459D" w:rsidRDefault="009C1A59">
      <w:pPr>
        <w:pStyle w:val="FootnoteText"/>
        <w:rPr>
          <w:sz w:val="16"/>
          <w:szCs w:val="16"/>
        </w:rPr>
      </w:pPr>
      <w:r w:rsidRPr="008B459D">
        <w:rPr>
          <w:rStyle w:val="FootnoteReference"/>
          <w:sz w:val="16"/>
          <w:szCs w:val="16"/>
        </w:rPr>
        <w:footnoteRef/>
      </w:r>
      <w:r w:rsidRPr="008B459D">
        <w:rPr>
          <w:sz w:val="16"/>
          <w:szCs w:val="16"/>
        </w:rPr>
        <w:t xml:space="preserve"> 5,21,38,40,51.</w:t>
      </w:r>
    </w:p>
  </w:footnote>
  <w:footnote w:id="62">
    <w:p w14:paraId="4DAAE49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05,40.</w:t>
      </w:r>
    </w:p>
  </w:footnote>
  <w:footnote w:id="63">
    <w:p w14:paraId="30116CB2" w14:textId="27169F1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05</w:t>
      </w:r>
      <w:r w:rsidR="00F319E3" w:rsidRPr="008B459D">
        <w:rPr>
          <w:sz w:val="16"/>
          <w:szCs w:val="16"/>
        </w:rPr>
        <w:t>,</w:t>
      </w:r>
      <w:r w:rsidR="00C4617E" w:rsidRPr="008B459D">
        <w:rPr>
          <w:sz w:val="16"/>
          <w:szCs w:val="16"/>
        </w:rPr>
        <w:t>21,51</w:t>
      </w:r>
      <w:r w:rsidRPr="008B459D">
        <w:rPr>
          <w:sz w:val="16"/>
          <w:szCs w:val="16"/>
        </w:rPr>
        <w:t>.</w:t>
      </w:r>
    </w:p>
  </w:footnote>
  <w:footnote w:id="64">
    <w:p w14:paraId="2783C6B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19.</w:t>
      </w:r>
    </w:p>
  </w:footnote>
  <w:footnote w:id="65">
    <w:p w14:paraId="056A994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20.</w:t>
      </w:r>
    </w:p>
  </w:footnote>
  <w:footnote w:id="66">
    <w:p w14:paraId="6EB9F6EA"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54.</w:t>
      </w:r>
    </w:p>
  </w:footnote>
  <w:footnote w:id="67">
    <w:p w14:paraId="6F426458"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54.</w:t>
      </w:r>
    </w:p>
  </w:footnote>
  <w:footnote w:id="68">
    <w:p w14:paraId="61106F30"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02,09,24. </w:t>
      </w:r>
    </w:p>
  </w:footnote>
  <w:footnote w:id="69">
    <w:p w14:paraId="4E8681F1"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02. </w:t>
      </w:r>
    </w:p>
  </w:footnote>
  <w:footnote w:id="70">
    <w:p w14:paraId="1933DDE9"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19. </w:t>
      </w:r>
    </w:p>
  </w:footnote>
  <w:footnote w:id="71">
    <w:p w14:paraId="75D4E193"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38.</w:t>
      </w:r>
    </w:p>
  </w:footnote>
  <w:footnote w:id="72">
    <w:p w14:paraId="02DEAB82"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38. </w:t>
      </w:r>
    </w:p>
  </w:footnote>
  <w:footnote w:id="73">
    <w:p w14:paraId="33664B4E" w14:textId="77777777" w:rsidR="006252B1" w:rsidRPr="008B459D" w:rsidRDefault="006252B1" w:rsidP="006252B1">
      <w:pPr>
        <w:pStyle w:val="FootnoteText"/>
        <w:rPr>
          <w:sz w:val="16"/>
          <w:szCs w:val="16"/>
        </w:rPr>
      </w:pPr>
      <w:r w:rsidRPr="008B459D">
        <w:rPr>
          <w:rStyle w:val="FootnoteReference"/>
          <w:sz w:val="16"/>
          <w:szCs w:val="16"/>
        </w:rPr>
        <w:footnoteRef/>
      </w:r>
      <w:r w:rsidRPr="008B459D">
        <w:rPr>
          <w:sz w:val="16"/>
          <w:szCs w:val="16"/>
        </w:rPr>
        <w:t xml:space="preserve"> C09.</w:t>
      </w:r>
    </w:p>
  </w:footnote>
  <w:footnote w:id="74">
    <w:p w14:paraId="6587AB0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33.</w:t>
      </w:r>
    </w:p>
  </w:footnote>
  <w:footnote w:id="75">
    <w:p w14:paraId="5C686169" w14:textId="77777777" w:rsidR="00B22A65" w:rsidRPr="008B459D" w:rsidRDefault="00B22A65" w:rsidP="00B22A65">
      <w:pPr>
        <w:pStyle w:val="FootnoteText"/>
        <w:rPr>
          <w:sz w:val="16"/>
          <w:szCs w:val="16"/>
        </w:rPr>
      </w:pPr>
      <w:r w:rsidRPr="008B459D">
        <w:rPr>
          <w:rStyle w:val="FootnoteReference"/>
          <w:sz w:val="16"/>
          <w:szCs w:val="16"/>
        </w:rPr>
        <w:footnoteRef/>
      </w:r>
      <w:r w:rsidRPr="008B459D">
        <w:rPr>
          <w:sz w:val="16"/>
          <w:szCs w:val="16"/>
        </w:rPr>
        <w:t xml:space="preserve"> 06.</w:t>
      </w:r>
    </w:p>
  </w:footnote>
  <w:footnote w:id="76">
    <w:p w14:paraId="2B6DEB1D" w14:textId="77777777" w:rsidR="00B22A65" w:rsidRPr="008B459D" w:rsidRDefault="00B22A65" w:rsidP="00B22A65">
      <w:pPr>
        <w:pStyle w:val="FootnoteText"/>
        <w:rPr>
          <w:sz w:val="16"/>
          <w:szCs w:val="16"/>
        </w:rPr>
      </w:pPr>
      <w:r w:rsidRPr="008B459D">
        <w:rPr>
          <w:rStyle w:val="FootnoteReference"/>
          <w:sz w:val="16"/>
          <w:szCs w:val="16"/>
        </w:rPr>
        <w:footnoteRef/>
      </w:r>
      <w:r w:rsidRPr="008B459D">
        <w:rPr>
          <w:sz w:val="16"/>
          <w:szCs w:val="16"/>
        </w:rPr>
        <w:t xml:space="preserve"> 06. </w:t>
      </w:r>
    </w:p>
  </w:footnote>
  <w:footnote w:id="77">
    <w:p w14:paraId="28A6CA3C" w14:textId="1D9B96CF" w:rsidR="008B459D" w:rsidRPr="008B459D" w:rsidRDefault="008B459D">
      <w:pPr>
        <w:pStyle w:val="FootnoteText"/>
        <w:rPr>
          <w:sz w:val="16"/>
          <w:szCs w:val="16"/>
        </w:rPr>
      </w:pPr>
      <w:r w:rsidRPr="008B459D">
        <w:rPr>
          <w:rStyle w:val="FootnoteReference"/>
          <w:sz w:val="16"/>
          <w:szCs w:val="16"/>
        </w:rPr>
        <w:footnoteRef/>
      </w:r>
      <w:r w:rsidRPr="008B459D">
        <w:rPr>
          <w:sz w:val="16"/>
          <w:szCs w:val="16"/>
        </w:rPr>
        <w:t xml:space="preserve"> 27.</w:t>
      </w:r>
    </w:p>
  </w:footnote>
  <w:footnote w:id="78">
    <w:p w14:paraId="7E5C1B39" w14:textId="6A3480B4" w:rsidR="008B459D" w:rsidRPr="008B459D" w:rsidRDefault="008B459D">
      <w:pPr>
        <w:pStyle w:val="FootnoteText"/>
        <w:rPr>
          <w:sz w:val="16"/>
          <w:szCs w:val="16"/>
        </w:rPr>
      </w:pPr>
      <w:r w:rsidRPr="008B459D">
        <w:rPr>
          <w:rStyle w:val="FootnoteReference"/>
          <w:sz w:val="16"/>
          <w:szCs w:val="16"/>
        </w:rPr>
        <w:footnoteRef/>
      </w:r>
      <w:r w:rsidRPr="008B459D">
        <w:rPr>
          <w:sz w:val="16"/>
          <w:szCs w:val="16"/>
        </w:rPr>
        <w:t xml:space="preserve"> 27.</w:t>
      </w:r>
    </w:p>
  </w:footnote>
  <w:footnote w:id="79">
    <w:p w14:paraId="6750D4D1" w14:textId="3ECB87E3" w:rsidR="00662AC1" w:rsidRPr="008B459D" w:rsidRDefault="00662AC1">
      <w:pPr>
        <w:pStyle w:val="FootnoteText"/>
        <w:rPr>
          <w:sz w:val="16"/>
          <w:szCs w:val="16"/>
        </w:rPr>
      </w:pPr>
      <w:r w:rsidRPr="008B459D">
        <w:rPr>
          <w:rStyle w:val="FootnoteReference"/>
          <w:sz w:val="16"/>
          <w:szCs w:val="16"/>
        </w:rPr>
        <w:footnoteRef/>
      </w:r>
      <w:r w:rsidRPr="008B459D">
        <w:rPr>
          <w:sz w:val="16"/>
          <w:szCs w:val="16"/>
        </w:rPr>
        <w:t xml:space="preserve"> Note that this comment </w:t>
      </w:r>
      <w:r w:rsidR="00907480" w:rsidRPr="008B459D">
        <w:rPr>
          <w:sz w:val="16"/>
          <w:szCs w:val="16"/>
        </w:rPr>
        <w:t xml:space="preserve">went against the general consensus, as outlined in Section 2.1.1. </w:t>
      </w:r>
    </w:p>
  </w:footnote>
  <w:footnote w:id="80">
    <w:p w14:paraId="78254610" w14:textId="77777777" w:rsidR="00B66B6D" w:rsidRPr="008B459D" w:rsidRDefault="00B66B6D" w:rsidP="00B66B6D">
      <w:pPr>
        <w:pStyle w:val="FootnoteText"/>
        <w:rPr>
          <w:sz w:val="16"/>
          <w:szCs w:val="16"/>
        </w:rPr>
      </w:pPr>
      <w:r w:rsidRPr="008B459D">
        <w:rPr>
          <w:rStyle w:val="FootnoteReference"/>
          <w:sz w:val="16"/>
          <w:szCs w:val="16"/>
        </w:rPr>
        <w:footnoteRef/>
      </w:r>
      <w:r w:rsidRPr="008B459D">
        <w:rPr>
          <w:sz w:val="16"/>
          <w:szCs w:val="16"/>
        </w:rPr>
        <w:t xml:space="preserve"> 09.</w:t>
      </w:r>
    </w:p>
  </w:footnote>
  <w:footnote w:id="81">
    <w:p w14:paraId="48FDCBD9" w14:textId="77777777" w:rsidR="00B66B6D" w:rsidRPr="008B459D" w:rsidRDefault="00B66B6D" w:rsidP="00B66B6D">
      <w:pPr>
        <w:pStyle w:val="FootnoteText"/>
        <w:rPr>
          <w:sz w:val="16"/>
          <w:szCs w:val="16"/>
        </w:rPr>
      </w:pPr>
      <w:r w:rsidRPr="008B459D">
        <w:rPr>
          <w:rStyle w:val="FootnoteReference"/>
          <w:sz w:val="16"/>
          <w:szCs w:val="16"/>
        </w:rPr>
        <w:footnoteRef/>
      </w:r>
      <w:r w:rsidRPr="008B459D">
        <w:rPr>
          <w:sz w:val="16"/>
          <w:szCs w:val="16"/>
        </w:rPr>
        <w:t xml:space="preserve"> 09.</w:t>
      </w:r>
    </w:p>
  </w:footnote>
  <w:footnote w:id="82">
    <w:p w14:paraId="20B95B7A"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15,C09.</w:t>
      </w:r>
    </w:p>
  </w:footnote>
  <w:footnote w:id="83">
    <w:p w14:paraId="01F71DA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17.</w:t>
      </w:r>
    </w:p>
  </w:footnote>
  <w:footnote w:id="84">
    <w:p w14:paraId="003A653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85">
    <w:p w14:paraId="4378B29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15,45.</w:t>
      </w:r>
    </w:p>
  </w:footnote>
  <w:footnote w:id="86">
    <w:p w14:paraId="0868B4C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18,49.</w:t>
      </w:r>
    </w:p>
  </w:footnote>
  <w:footnote w:id="87">
    <w:p w14:paraId="33EC39A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w:t>
      </w:r>
    </w:p>
  </w:footnote>
  <w:footnote w:id="88">
    <w:p w14:paraId="086C326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29,45. </w:t>
      </w:r>
    </w:p>
  </w:footnote>
  <w:footnote w:id="89">
    <w:p w14:paraId="39D578F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90">
    <w:p w14:paraId="4D8FAC9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05,40. </w:t>
      </w:r>
    </w:p>
  </w:footnote>
  <w:footnote w:id="91">
    <w:p w14:paraId="1BDD3AE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 </w:t>
      </w:r>
    </w:p>
  </w:footnote>
  <w:footnote w:id="92">
    <w:p w14:paraId="1128A6A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 </w:t>
      </w:r>
    </w:p>
  </w:footnote>
  <w:footnote w:id="93">
    <w:p w14:paraId="5F8E112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 </w:t>
      </w:r>
    </w:p>
  </w:footnote>
  <w:footnote w:id="94">
    <w:p w14:paraId="3874F65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23.</w:t>
      </w:r>
    </w:p>
  </w:footnote>
  <w:footnote w:id="95">
    <w:p w14:paraId="7A1BEF3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w:t>
      </w:r>
    </w:p>
  </w:footnote>
  <w:footnote w:id="96">
    <w:p w14:paraId="1CB5E82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08.</w:t>
      </w:r>
    </w:p>
  </w:footnote>
  <w:footnote w:id="97">
    <w:p w14:paraId="0997F6B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w:t>
      </w:r>
    </w:p>
  </w:footnote>
  <w:footnote w:id="98">
    <w:p w14:paraId="2F1F1F4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w:t>
      </w:r>
    </w:p>
  </w:footnote>
  <w:footnote w:id="99">
    <w:p w14:paraId="57FEE4B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23.</w:t>
      </w:r>
    </w:p>
  </w:footnote>
  <w:footnote w:id="100">
    <w:p w14:paraId="2CA61BEE" w14:textId="77777777" w:rsidR="0055135B" w:rsidRPr="008B459D" w:rsidRDefault="0055135B" w:rsidP="0055135B">
      <w:pPr>
        <w:pStyle w:val="FootnoteText"/>
        <w:rPr>
          <w:sz w:val="16"/>
          <w:szCs w:val="16"/>
        </w:rPr>
      </w:pPr>
      <w:r w:rsidRPr="008B459D">
        <w:rPr>
          <w:rStyle w:val="FootnoteReference"/>
          <w:sz w:val="16"/>
          <w:szCs w:val="16"/>
        </w:rPr>
        <w:footnoteRef/>
      </w:r>
      <w:r w:rsidRPr="008B459D">
        <w:rPr>
          <w:sz w:val="16"/>
          <w:szCs w:val="16"/>
        </w:rPr>
        <w:t xml:space="preserve"> 41.</w:t>
      </w:r>
    </w:p>
  </w:footnote>
  <w:footnote w:id="101">
    <w:p w14:paraId="68993418" w14:textId="687AEDA8"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07</w:t>
      </w:r>
      <w:r w:rsidR="004854B1">
        <w:rPr>
          <w:sz w:val="16"/>
          <w:szCs w:val="16"/>
        </w:rPr>
        <w:t>&lt;35</w:t>
      </w:r>
      <w:r w:rsidRPr="008B459D">
        <w:rPr>
          <w:sz w:val="16"/>
          <w:szCs w:val="16"/>
        </w:rPr>
        <w:t xml:space="preserve">. </w:t>
      </w:r>
    </w:p>
  </w:footnote>
  <w:footnote w:id="102">
    <w:p w14:paraId="75DC94F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 </w:t>
      </w:r>
    </w:p>
  </w:footnote>
  <w:footnote w:id="103">
    <w:p w14:paraId="69F8A46B"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15.</w:t>
      </w:r>
    </w:p>
  </w:footnote>
  <w:footnote w:id="104">
    <w:p w14:paraId="02C883D4"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A ‘SMART’ goal is one which is Specific, Measurable, Achievable, Realistic and Time-bound.</w:t>
      </w:r>
    </w:p>
  </w:footnote>
  <w:footnote w:id="105">
    <w:p w14:paraId="6175FF28"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02.</w:t>
      </w:r>
    </w:p>
  </w:footnote>
  <w:footnote w:id="106">
    <w:p w14:paraId="2202A7A5"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18.</w:t>
      </w:r>
    </w:p>
  </w:footnote>
  <w:footnote w:id="107">
    <w:p w14:paraId="5AE62527"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27. </w:t>
      </w:r>
    </w:p>
  </w:footnote>
  <w:footnote w:id="108">
    <w:p w14:paraId="421990EA" w14:textId="0019353C" w:rsidR="00410C60" w:rsidRPr="008B459D" w:rsidRDefault="00410C60">
      <w:pPr>
        <w:pStyle w:val="FootnoteText"/>
        <w:rPr>
          <w:sz w:val="16"/>
          <w:szCs w:val="16"/>
        </w:rPr>
      </w:pPr>
      <w:r w:rsidRPr="008B459D">
        <w:rPr>
          <w:rStyle w:val="FootnoteReference"/>
          <w:sz w:val="16"/>
          <w:szCs w:val="16"/>
        </w:rPr>
        <w:footnoteRef/>
      </w:r>
      <w:r w:rsidRPr="008B459D">
        <w:rPr>
          <w:sz w:val="16"/>
          <w:szCs w:val="16"/>
        </w:rPr>
        <w:t xml:space="preserve"> 13. </w:t>
      </w:r>
    </w:p>
  </w:footnote>
  <w:footnote w:id="109">
    <w:p w14:paraId="6CEB0B84" w14:textId="77777777" w:rsidR="007F220D" w:rsidRPr="008B459D" w:rsidRDefault="007F220D" w:rsidP="007F220D">
      <w:pPr>
        <w:pStyle w:val="FootnoteText"/>
        <w:rPr>
          <w:sz w:val="16"/>
          <w:szCs w:val="16"/>
        </w:rPr>
      </w:pPr>
      <w:r w:rsidRPr="008B459D">
        <w:rPr>
          <w:rStyle w:val="FootnoteReference"/>
          <w:sz w:val="16"/>
          <w:szCs w:val="16"/>
        </w:rPr>
        <w:footnoteRef/>
      </w:r>
      <w:r w:rsidRPr="008B459D">
        <w:rPr>
          <w:sz w:val="16"/>
          <w:szCs w:val="16"/>
        </w:rPr>
        <w:t xml:space="preserve"> C05</w:t>
      </w:r>
    </w:p>
  </w:footnote>
  <w:footnote w:id="110">
    <w:p w14:paraId="2F9F6B41" w14:textId="77777777" w:rsidR="0093080C" w:rsidRPr="008B459D" w:rsidRDefault="0093080C" w:rsidP="0093080C">
      <w:pPr>
        <w:pStyle w:val="FootnoteText"/>
        <w:rPr>
          <w:sz w:val="16"/>
          <w:szCs w:val="16"/>
        </w:rPr>
      </w:pPr>
      <w:r w:rsidRPr="008B459D">
        <w:rPr>
          <w:rStyle w:val="FootnoteReference"/>
          <w:sz w:val="16"/>
          <w:szCs w:val="16"/>
        </w:rPr>
        <w:footnoteRef/>
      </w:r>
      <w:r w:rsidRPr="008B459D">
        <w:rPr>
          <w:sz w:val="16"/>
          <w:szCs w:val="16"/>
        </w:rPr>
        <w:t xml:space="preserve"> 34,50. </w:t>
      </w:r>
    </w:p>
  </w:footnote>
  <w:footnote w:id="111">
    <w:p w14:paraId="11E262E7" w14:textId="77777777" w:rsidR="0093080C" w:rsidRPr="008B459D" w:rsidRDefault="0093080C" w:rsidP="0093080C">
      <w:pPr>
        <w:pStyle w:val="FootnoteText"/>
        <w:rPr>
          <w:sz w:val="16"/>
          <w:szCs w:val="16"/>
        </w:rPr>
      </w:pPr>
      <w:r w:rsidRPr="008B459D">
        <w:rPr>
          <w:rStyle w:val="FootnoteReference"/>
          <w:sz w:val="16"/>
          <w:szCs w:val="16"/>
        </w:rPr>
        <w:footnoteRef/>
      </w:r>
      <w:r w:rsidRPr="008B459D">
        <w:rPr>
          <w:sz w:val="16"/>
          <w:szCs w:val="16"/>
        </w:rPr>
        <w:t xml:space="preserve"> 18.</w:t>
      </w:r>
    </w:p>
  </w:footnote>
  <w:footnote w:id="112">
    <w:p w14:paraId="34F8EA92" w14:textId="77777777" w:rsidR="0093080C" w:rsidRPr="008B459D" w:rsidRDefault="0093080C" w:rsidP="0093080C">
      <w:pPr>
        <w:pStyle w:val="FootnoteText"/>
        <w:rPr>
          <w:sz w:val="16"/>
          <w:szCs w:val="16"/>
        </w:rPr>
      </w:pPr>
      <w:r w:rsidRPr="008B459D">
        <w:rPr>
          <w:rStyle w:val="FootnoteReference"/>
          <w:sz w:val="16"/>
          <w:szCs w:val="16"/>
        </w:rPr>
        <w:footnoteRef/>
      </w:r>
      <w:r w:rsidRPr="008B459D">
        <w:rPr>
          <w:sz w:val="16"/>
          <w:szCs w:val="16"/>
        </w:rPr>
        <w:t xml:space="preserve"> 23. </w:t>
      </w:r>
    </w:p>
  </w:footnote>
  <w:footnote w:id="113">
    <w:p w14:paraId="4C4BB4C9" w14:textId="77777777" w:rsidR="0093080C" w:rsidRPr="008B459D" w:rsidRDefault="0093080C" w:rsidP="0093080C">
      <w:pPr>
        <w:pStyle w:val="FootnoteText"/>
        <w:rPr>
          <w:sz w:val="16"/>
          <w:szCs w:val="16"/>
        </w:rPr>
      </w:pPr>
      <w:r w:rsidRPr="008B459D">
        <w:rPr>
          <w:rStyle w:val="FootnoteReference"/>
          <w:sz w:val="16"/>
          <w:szCs w:val="16"/>
        </w:rPr>
        <w:footnoteRef/>
      </w:r>
      <w:r w:rsidRPr="008B459D">
        <w:rPr>
          <w:sz w:val="16"/>
          <w:szCs w:val="16"/>
        </w:rPr>
        <w:t xml:space="preserve"> 49.</w:t>
      </w:r>
    </w:p>
  </w:footnote>
  <w:footnote w:id="114">
    <w:p w14:paraId="0F636361" w14:textId="77777777" w:rsidR="0093080C" w:rsidRPr="008B459D" w:rsidRDefault="0093080C" w:rsidP="0093080C">
      <w:pPr>
        <w:pStyle w:val="FootnoteText"/>
        <w:rPr>
          <w:sz w:val="16"/>
          <w:szCs w:val="16"/>
        </w:rPr>
      </w:pPr>
      <w:r w:rsidRPr="008B459D">
        <w:rPr>
          <w:rStyle w:val="FootnoteReference"/>
          <w:sz w:val="16"/>
          <w:szCs w:val="16"/>
        </w:rPr>
        <w:footnoteRef/>
      </w:r>
      <w:r w:rsidRPr="008B459D">
        <w:rPr>
          <w:sz w:val="16"/>
          <w:szCs w:val="16"/>
        </w:rPr>
        <w:t xml:space="preserve"> 47.</w:t>
      </w:r>
    </w:p>
  </w:footnote>
  <w:footnote w:id="115">
    <w:p w14:paraId="349D9029"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34,50. </w:t>
      </w:r>
    </w:p>
  </w:footnote>
  <w:footnote w:id="116">
    <w:p w14:paraId="1BB04FC9"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18.</w:t>
      </w:r>
    </w:p>
  </w:footnote>
  <w:footnote w:id="117">
    <w:p w14:paraId="55F19228"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50.</w:t>
      </w:r>
    </w:p>
  </w:footnote>
  <w:footnote w:id="118">
    <w:p w14:paraId="2F80F4F4"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27,29,33,47. </w:t>
      </w:r>
    </w:p>
  </w:footnote>
  <w:footnote w:id="119">
    <w:p w14:paraId="0142081D" w14:textId="77777777" w:rsidR="003A13C0" w:rsidRPr="008B459D" w:rsidRDefault="003A13C0" w:rsidP="003A13C0">
      <w:pPr>
        <w:pStyle w:val="FootnoteText"/>
        <w:rPr>
          <w:sz w:val="16"/>
          <w:szCs w:val="16"/>
        </w:rPr>
      </w:pPr>
      <w:r w:rsidRPr="008B459D">
        <w:rPr>
          <w:rStyle w:val="FootnoteReference"/>
          <w:sz w:val="16"/>
          <w:szCs w:val="16"/>
        </w:rPr>
        <w:footnoteRef/>
      </w:r>
      <w:r w:rsidRPr="008B459D">
        <w:rPr>
          <w:sz w:val="16"/>
          <w:szCs w:val="16"/>
        </w:rPr>
        <w:t xml:space="preserve"> 27,29,47.</w:t>
      </w:r>
    </w:p>
  </w:footnote>
  <w:footnote w:id="120">
    <w:p w14:paraId="041F0E9C" w14:textId="77777777" w:rsidR="00CE547F" w:rsidRPr="008B459D" w:rsidRDefault="00CE547F" w:rsidP="00CE547F">
      <w:pPr>
        <w:pStyle w:val="FootnoteText"/>
        <w:rPr>
          <w:sz w:val="16"/>
          <w:szCs w:val="16"/>
        </w:rPr>
      </w:pPr>
      <w:r w:rsidRPr="008B459D">
        <w:rPr>
          <w:rStyle w:val="FootnoteReference"/>
          <w:sz w:val="16"/>
          <w:szCs w:val="16"/>
        </w:rPr>
        <w:footnoteRef/>
      </w:r>
      <w:r w:rsidRPr="008B459D">
        <w:rPr>
          <w:sz w:val="16"/>
          <w:szCs w:val="16"/>
        </w:rPr>
        <w:t xml:space="preserve"> 47,50.</w:t>
      </w:r>
    </w:p>
  </w:footnote>
  <w:footnote w:id="121">
    <w:p w14:paraId="0242F998" w14:textId="64D7726E" w:rsidR="0001740F" w:rsidRPr="008B459D" w:rsidRDefault="0001740F" w:rsidP="0001740F">
      <w:pPr>
        <w:pStyle w:val="FootnoteText"/>
        <w:rPr>
          <w:sz w:val="16"/>
          <w:szCs w:val="16"/>
        </w:rPr>
      </w:pPr>
      <w:r w:rsidRPr="008B459D">
        <w:rPr>
          <w:rStyle w:val="FootnoteReference"/>
          <w:sz w:val="16"/>
          <w:szCs w:val="16"/>
        </w:rPr>
        <w:footnoteRef/>
      </w:r>
      <w:r w:rsidRPr="008B459D">
        <w:rPr>
          <w:sz w:val="16"/>
          <w:szCs w:val="16"/>
        </w:rPr>
        <w:t xml:space="preserve"> 05,21,32,38,40,51.</w:t>
      </w:r>
    </w:p>
  </w:footnote>
  <w:footnote w:id="122">
    <w:p w14:paraId="53673F79" w14:textId="4E444CAC" w:rsidR="00B86E60" w:rsidRPr="008B459D" w:rsidRDefault="00B86E60" w:rsidP="00B86E60">
      <w:pPr>
        <w:pStyle w:val="FootnoteText"/>
        <w:rPr>
          <w:sz w:val="16"/>
          <w:szCs w:val="16"/>
        </w:rPr>
      </w:pPr>
      <w:r w:rsidRPr="008B459D">
        <w:rPr>
          <w:rStyle w:val="FootnoteReference"/>
          <w:sz w:val="16"/>
          <w:szCs w:val="16"/>
        </w:rPr>
        <w:footnoteRef/>
      </w:r>
      <w:r w:rsidRPr="008B459D">
        <w:rPr>
          <w:sz w:val="16"/>
          <w:szCs w:val="16"/>
        </w:rPr>
        <w:t xml:space="preserve"> 23,37</w:t>
      </w:r>
      <w:r w:rsidR="00CE547F" w:rsidRPr="008B459D">
        <w:rPr>
          <w:sz w:val="16"/>
          <w:szCs w:val="16"/>
        </w:rPr>
        <w:t>,52</w:t>
      </w:r>
      <w:r w:rsidRPr="008B459D">
        <w:rPr>
          <w:sz w:val="16"/>
          <w:szCs w:val="16"/>
        </w:rPr>
        <w:t xml:space="preserve">. </w:t>
      </w:r>
    </w:p>
  </w:footnote>
  <w:footnote w:id="123">
    <w:p w14:paraId="7CA6F1E4" w14:textId="77777777" w:rsidR="006A2DFD" w:rsidRPr="008B459D" w:rsidRDefault="006A2DFD" w:rsidP="006A2DFD">
      <w:pPr>
        <w:pStyle w:val="FootnoteText"/>
        <w:rPr>
          <w:sz w:val="16"/>
          <w:szCs w:val="16"/>
        </w:rPr>
      </w:pPr>
      <w:r w:rsidRPr="008B459D">
        <w:rPr>
          <w:rStyle w:val="FootnoteReference"/>
          <w:sz w:val="16"/>
          <w:szCs w:val="16"/>
        </w:rPr>
        <w:footnoteRef/>
      </w:r>
      <w:r w:rsidRPr="008B459D">
        <w:rPr>
          <w:sz w:val="16"/>
          <w:szCs w:val="16"/>
        </w:rPr>
        <w:t xml:space="preserve"> 51.</w:t>
      </w:r>
    </w:p>
  </w:footnote>
  <w:footnote w:id="124">
    <w:p w14:paraId="5E225C4F" w14:textId="1335B2F6" w:rsidR="0001740F" w:rsidRPr="008B459D" w:rsidRDefault="0001740F" w:rsidP="0001740F">
      <w:pPr>
        <w:pStyle w:val="FootnoteText"/>
        <w:rPr>
          <w:sz w:val="16"/>
          <w:szCs w:val="16"/>
        </w:rPr>
      </w:pPr>
      <w:r w:rsidRPr="008B459D">
        <w:rPr>
          <w:rStyle w:val="FootnoteReference"/>
          <w:sz w:val="16"/>
          <w:szCs w:val="16"/>
        </w:rPr>
        <w:footnoteRef/>
      </w:r>
      <w:r w:rsidRPr="008B459D">
        <w:rPr>
          <w:sz w:val="16"/>
          <w:szCs w:val="16"/>
        </w:rPr>
        <w:t xml:space="preserve"> 05,21,</w:t>
      </w:r>
      <w:r w:rsidR="00B86E60" w:rsidRPr="008B459D">
        <w:rPr>
          <w:sz w:val="16"/>
          <w:szCs w:val="16"/>
        </w:rPr>
        <w:t>40,</w:t>
      </w:r>
      <w:r w:rsidRPr="008B459D">
        <w:rPr>
          <w:sz w:val="16"/>
          <w:szCs w:val="16"/>
        </w:rPr>
        <w:t>51.</w:t>
      </w:r>
    </w:p>
  </w:footnote>
  <w:footnote w:id="125">
    <w:p w14:paraId="7F82799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126">
    <w:p w14:paraId="26BE9CA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36. </w:t>
      </w:r>
    </w:p>
  </w:footnote>
  <w:footnote w:id="127">
    <w:p w14:paraId="1E6F95F8" w14:textId="7277726F" w:rsidR="001C7A0A" w:rsidRPr="008B459D" w:rsidRDefault="001C7A0A">
      <w:pPr>
        <w:pStyle w:val="FootnoteText"/>
        <w:rPr>
          <w:sz w:val="16"/>
          <w:szCs w:val="16"/>
        </w:rPr>
      </w:pPr>
      <w:r w:rsidRPr="008B459D">
        <w:rPr>
          <w:rStyle w:val="FootnoteReference"/>
          <w:sz w:val="16"/>
          <w:szCs w:val="16"/>
        </w:rPr>
        <w:footnoteRef/>
      </w:r>
      <w:r w:rsidRPr="008B459D">
        <w:rPr>
          <w:sz w:val="16"/>
          <w:szCs w:val="16"/>
        </w:rPr>
        <w:t xml:space="preserve"> 02,06,09,11,13,15,18,23,24,27,31,34,37,38,39,41,42,44,47,48,49,50,51,52,C06,C09</w:t>
      </w:r>
      <w:r w:rsidR="00686B05" w:rsidRPr="008B459D">
        <w:rPr>
          <w:sz w:val="16"/>
          <w:szCs w:val="16"/>
        </w:rPr>
        <w:t>.</w:t>
      </w:r>
    </w:p>
  </w:footnote>
  <w:footnote w:id="128">
    <w:p w14:paraId="5AE86DA4"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09.</w:t>
      </w:r>
    </w:p>
  </w:footnote>
  <w:footnote w:id="129">
    <w:p w14:paraId="5252C31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130">
    <w:p w14:paraId="4C13F54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w:t>
      </w:r>
    </w:p>
  </w:footnote>
  <w:footnote w:id="131">
    <w:p w14:paraId="3D2C50ED" w14:textId="77777777" w:rsidR="00805366" w:rsidRPr="008B459D" w:rsidRDefault="00805366" w:rsidP="00805366">
      <w:pPr>
        <w:pStyle w:val="FootnoteText"/>
        <w:rPr>
          <w:sz w:val="16"/>
          <w:szCs w:val="16"/>
        </w:rPr>
      </w:pPr>
      <w:r w:rsidRPr="008B459D">
        <w:rPr>
          <w:rStyle w:val="FootnoteReference"/>
          <w:sz w:val="16"/>
          <w:szCs w:val="16"/>
        </w:rPr>
        <w:footnoteRef/>
      </w:r>
      <w:r w:rsidRPr="008B459D">
        <w:rPr>
          <w:sz w:val="16"/>
          <w:szCs w:val="16"/>
        </w:rPr>
        <w:t xml:space="preserve"> C09.</w:t>
      </w:r>
    </w:p>
  </w:footnote>
  <w:footnote w:id="132">
    <w:p w14:paraId="34B61C3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133">
    <w:p w14:paraId="4964EE8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134">
    <w:p w14:paraId="38141F2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02.</w:t>
      </w:r>
    </w:p>
  </w:footnote>
  <w:footnote w:id="135">
    <w:p w14:paraId="76FD17F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w:t>
      </w:r>
    </w:p>
  </w:footnote>
  <w:footnote w:id="136">
    <w:p w14:paraId="668CC93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w:t>
      </w:r>
    </w:p>
  </w:footnote>
  <w:footnote w:id="137">
    <w:p w14:paraId="42108AF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w:t>
      </w:r>
    </w:p>
  </w:footnote>
  <w:footnote w:id="138">
    <w:p w14:paraId="0FAFF7D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w:t>
      </w:r>
    </w:p>
  </w:footnote>
  <w:footnote w:id="139">
    <w:p w14:paraId="6CC4430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p>
  </w:footnote>
  <w:footnote w:id="140">
    <w:p w14:paraId="3094EE80" w14:textId="3780B7CC" w:rsidR="00C71BBE" w:rsidRPr="008B459D" w:rsidRDefault="00C71BBE">
      <w:pPr>
        <w:pStyle w:val="FootnoteText"/>
        <w:rPr>
          <w:sz w:val="16"/>
          <w:szCs w:val="16"/>
          <w:lang w:val="mi-NZ"/>
        </w:rPr>
      </w:pPr>
      <w:r w:rsidRPr="008B459D">
        <w:rPr>
          <w:rStyle w:val="FootnoteReference"/>
          <w:sz w:val="16"/>
          <w:szCs w:val="16"/>
        </w:rPr>
        <w:footnoteRef/>
      </w:r>
      <w:r w:rsidRPr="008B459D">
        <w:rPr>
          <w:sz w:val="16"/>
          <w:szCs w:val="16"/>
        </w:rPr>
        <w:t xml:space="preserve"> </w:t>
      </w:r>
      <w:r w:rsidR="00C156AB" w:rsidRPr="008B459D">
        <w:rPr>
          <w:sz w:val="16"/>
          <w:szCs w:val="16"/>
        </w:rPr>
        <w:t>06,18,23,27,34,37,38,41,47,48,49,50.</w:t>
      </w:r>
    </w:p>
  </w:footnote>
  <w:footnote w:id="141">
    <w:p w14:paraId="5B437EA5" w14:textId="77777777" w:rsidR="003229C2" w:rsidRPr="008B459D" w:rsidRDefault="003229C2" w:rsidP="003229C2">
      <w:pPr>
        <w:pStyle w:val="FootnoteText"/>
        <w:rPr>
          <w:sz w:val="16"/>
          <w:szCs w:val="16"/>
        </w:rPr>
      </w:pPr>
      <w:r w:rsidRPr="008B459D">
        <w:rPr>
          <w:rStyle w:val="FootnoteReference"/>
          <w:sz w:val="16"/>
          <w:szCs w:val="16"/>
        </w:rPr>
        <w:footnoteRef/>
      </w:r>
      <w:r w:rsidRPr="008B459D">
        <w:rPr>
          <w:sz w:val="16"/>
          <w:szCs w:val="16"/>
        </w:rPr>
        <w:t xml:space="preserve"> 34.</w:t>
      </w:r>
    </w:p>
  </w:footnote>
  <w:footnote w:id="142">
    <w:p w14:paraId="447FE464" w14:textId="77777777" w:rsidR="0030379D" w:rsidRPr="008B459D" w:rsidRDefault="0030379D" w:rsidP="0030379D">
      <w:pPr>
        <w:pStyle w:val="FootnoteText"/>
        <w:rPr>
          <w:sz w:val="16"/>
          <w:szCs w:val="16"/>
        </w:rPr>
      </w:pPr>
      <w:r w:rsidRPr="008B459D">
        <w:rPr>
          <w:rStyle w:val="FootnoteReference"/>
          <w:sz w:val="16"/>
          <w:szCs w:val="16"/>
        </w:rPr>
        <w:footnoteRef/>
      </w:r>
      <w:r w:rsidRPr="008B459D">
        <w:rPr>
          <w:sz w:val="16"/>
          <w:szCs w:val="16"/>
        </w:rPr>
        <w:t xml:space="preserve"> 34,50.</w:t>
      </w:r>
    </w:p>
  </w:footnote>
  <w:footnote w:id="143">
    <w:p w14:paraId="4DE904B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47.</w:t>
      </w:r>
    </w:p>
  </w:footnote>
  <w:footnote w:id="144">
    <w:p w14:paraId="76348456" w14:textId="5E42CEE4" w:rsidR="00D428BA" w:rsidRPr="008B459D" w:rsidRDefault="00D428BA" w:rsidP="00D428BA">
      <w:pPr>
        <w:pStyle w:val="FootnoteText"/>
        <w:rPr>
          <w:sz w:val="16"/>
          <w:szCs w:val="16"/>
        </w:rPr>
      </w:pPr>
      <w:r w:rsidRPr="008B459D">
        <w:rPr>
          <w:rStyle w:val="FootnoteReference"/>
          <w:sz w:val="16"/>
          <w:szCs w:val="16"/>
        </w:rPr>
        <w:footnoteRef/>
      </w:r>
      <w:r w:rsidRPr="008B459D">
        <w:rPr>
          <w:sz w:val="16"/>
          <w:szCs w:val="16"/>
        </w:rPr>
        <w:t xml:space="preserve"> 37</w:t>
      </w:r>
      <w:r w:rsidR="000201D6" w:rsidRPr="008B459D">
        <w:rPr>
          <w:sz w:val="16"/>
          <w:szCs w:val="16"/>
        </w:rPr>
        <w:t>,38</w:t>
      </w:r>
      <w:r w:rsidRPr="008B459D">
        <w:rPr>
          <w:sz w:val="16"/>
          <w:szCs w:val="16"/>
        </w:rPr>
        <w:t>.</w:t>
      </w:r>
    </w:p>
  </w:footnote>
  <w:footnote w:id="145">
    <w:p w14:paraId="53C2EE1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06.</w:t>
      </w:r>
    </w:p>
  </w:footnote>
  <w:footnote w:id="146">
    <w:p w14:paraId="41CE0053" w14:textId="1FA6E1A4" w:rsidR="00B018F2" w:rsidRPr="008B459D" w:rsidRDefault="00B018F2" w:rsidP="00B018F2">
      <w:pPr>
        <w:pStyle w:val="FootnoteText"/>
        <w:rPr>
          <w:sz w:val="16"/>
          <w:szCs w:val="16"/>
        </w:rPr>
      </w:pPr>
      <w:r w:rsidRPr="008B459D">
        <w:rPr>
          <w:rStyle w:val="FootnoteReference"/>
          <w:sz w:val="16"/>
          <w:szCs w:val="16"/>
        </w:rPr>
        <w:footnoteRef/>
      </w:r>
      <w:r w:rsidRPr="008B459D">
        <w:rPr>
          <w:sz w:val="16"/>
          <w:szCs w:val="16"/>
        </w:rPr>
        <w:t xml:space="preserve"> 18</w:t>
      </w:r>
      <w:r w:rsidR="003A66F1" w:rsidRPr="008B459D">
        <w:rPr>
          <w:sz w:val="16"/>
          <w:szCs w:val="16"/>
        </w:rPr>
        <w:t>,23,27</w:t>
      </w:r>
      <w:r w:rsidR="00F909DB" w:rsidRPr="008B459D">
        <w:rPr>
          <w:sz w:val="16"/>
          <w:szCs w:val="16"/>
        </w:rPr>
        <w:t>,48</w:t>
      </w:r>
      <w:r w:rsidRPr="008B459D">
        <w:rPr>
          <w:sz w:val="16"/>
          <w:szCs w:val="16"/>
        </w:rPr>
        <w:t>.</w:t>
      </w:r>
    </w:p>
  </w:footnote>
  <w:footnote w:id="147">
    <w:p w14:paraId="2FC010D7" w14:textId="77777777" w:rsidR="005069B5" w:rsidRPr="008B459D" w:rsidRDefault="005069B5" w:rsidP="005069B5">
      <w:pPr>
        <w:pStyle w:val="FootnoteText"/>
        <w:rPr>
          <w:sz w:val="16"/>
          <w:szCs w:val="16"/>
        </w:rPr>
      </w:pPr>
      <w:r w:rsidRPr="008B459D">
        <w:rPr>
          <w:rStyle w:val="FootnoteReference"/>
          <w:sz w:val="16"/>
          <w:szCs w:val="16"/>
        </w:rPr>
        <w:footnoteRef/>
      </w:r>
      <w:r w:rsidRPr="008B459D">
        <w:rPr>
          <w:sz w:val="16"/>
          <w:szCs w:val="16"/>
        </w:rPr>
        <w:t xml:space="preserve"> 48.</w:t>
      </w:r>
    </w:p>
  </w:footnote>
  <w:footnote w:id="148">
    <w:p w14:paraId="30AD0662" w14:textId="77777777" w:rsidR="00C32438" w:rsidRPr="008B459D" w:rsidRDefault="00C32438" w:rsidP="00C32438">
      <w:pPr>
        <w:pStyle w:val="FootnoteText"/>
        <w:rPr>
          <w:sz w:val="16"/>
          <w:szCs w:val="16"/>
        </w:rPr>
      </w:pPr>
      <w:r w:rsidRPr="008B459D">
        <w:rPr>
          <w:rStyle w:val="FootnoteReference"/>
          <w:sz w:val="16"/>
          <w:szCs w:val="16"/>
        </w:rPr>
        <w:footnoteRef/>
      </w:r>
      <w:r w:rsidRPr="008B459D">
        <w:rPr>
          <w:sz w:val="16"/>
          <w:szCs w:val="16"/>
        </w:rPr>
        <w:t xml:space="preserve"> 06.</w:t>
      </w:r>
    </w:p>
  </w:footnote>
  <w:footnote w:id="149">
    <w:p w14:paraId="441EBEF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38.</w:t>
      </w:r>
    </w:p>
  </w:footnote>
  <w:footnote w:id="150">
    <w:p w14:paraId="6A9185F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38.</w:t>
      </w:r>
    </w:p>
  </w:footnote>
  <w:footnote w:id="151">
    <w:p w14:paraId="6BCC317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38.</w:t>
      </w:r>
    </w:p>
  </w:footnote>
  <w:footnote w:id="152">
    <w:p w14:paraId="13925D94"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38.</w:t>
      </w:r>
    </w:p>
  </w:footnote>
  <w:footnote w:id="153">
    <w:p w14:paraId="711CA4D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154">
    <w:p w14:paraId="72ECE78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155">
    <w:p w14:paraId="1C7C351D" w14:textId="77777777" w:rsidR="009146AD" w:rsidRPr="008B459D" w:rsidRDefault="009146AD" w:rsidP="009146AD">
      <w:pPr>
        <w:pStyle w:val="FootnoteText"/>
        <w:rPr>
          <w:sz w:val="16"/>
          <w:szCs w:val="16"/>
          <w:lang w:val="mi-NZ"/>
        </w:rPr>
      </w:pPr>
      <w:r w:rsidRPr="008B459D">
        <w:rPr>
          <w:rStyle w:val="FootnoteReference"/>
          <w:sz w:val="16"/>
          <w:szCs w:val="16"/>
        </w:rPr>
        <w:footnoteRef/>
      </w:r>
      <w:r w:rsidRPr="008B459D">
        <w:rPr>
          <w:sz w:val="16"/>
          <w:szCs w:val="16"/>
        </w:rPr>
        <w:t xml:space="preserve"> 06,11,13,18,23,24,27,28,33,34,37,39,41,42,48,49,50.</w:t>
      </w:r>
    </w:p>
  </w:footnote>
  <w:footnote w:id="156">
    <w:p w14:paraId="2E3407BD" w14:textId="77777777" w:rsidR="001B149F" w:rsidRPr="008B459D" w:rsidRDefault="001B149F" w:rsidP="001B149F">
      <w:pPr>
        <w:pStyle w:val="FootnoteText"/>
        <w:rPr>
          <w:sz w:val="16"/>
          <w:szCs w:val="16"/>
        </w:rPr>
      </w:pPr>
      <w:r w:rsidRPr="008B459D">
        <w:rPr>
          <w:rStyle w:val="FootnoteReference"/>
          <w:sz w:val="16"/>
          <w:szCs w:val="16"/>
        </w:rPr>
        <w:footnoteRef/>
      </w:r>
      <w:r w:rsidRPr="008B459D">
        <w:rPr>
          <w:sz w:val="16"/>
          <w:szCs w:val="16"/>
        </w:rPr>
        <w:t xml:space="preserve"> 24. </w:t>
      </w:r>
    </w:p>
  </w:footnote>
  <w:footnote w:id="157">
    <w:p w14:paraId="1D19B9C0" w14:textId="77777777" w:rsidR="001B149F" w:rsidRPr="008B459D" w:rsidRDefault="001B149F" w:rsidP="001B149F">
      <w:pPr>
        <w:pStyle w:val="FootnoteText"/>
        <w:rPr>
          <w:sz w:val="16"/>
          <w:szCs w:val="16"/>
        </w:rPr>
      </w:pPr>
      <w:r w:rsidRPr="008B459D">
        <w:rPr>
          <w:rStyle w:val="FootnoteReference"/>
          <w:sz w:val="16"/>
          <w:szCs w:val="16"/>
        </w:rPr>
        <w:footnoteRef/>
      </w:r>
      <w:r w:rsidRPr="008B459D">
        <w:rPr>
          <w:sz w:val="16"/>
          <w:szCs w:val="16"/>
        </w:rPr>
        <w:t xml:space="preserve"> 24.</w:t>
      </w:r>
    </w:p>
  </w:footnote>
  <w:footnote w:id="158">
    <w:p w14:paraId="3203BB24" w14:textId="77777777" w:rsidR="001B149F" w:rsidRPr="008B459D" w:rsidRDefault="001B149F" w:rsidP="001B149F">
      <w:pPr>
        <w:pStyle w:val="FootnoteText"/>
        <w:rPr>
          <w:sz w:val="16"/>
          <w:szCs w:val="16"/>
        </w:rPr>
      </w:pPr>
      <w:r w:rsidRPr="008B459D">
        <w:rPr>
          <w:rStyle w:val="FootnoteReference"/>
          <w:sz w:val="16"/>
          <w:szCs w:val="16"/>
        </w:rPr>
        <w:footnoteRef/>
      </w:r>
      <w:r w:rsidRPr="008B459D">
        <w:rPr>
          <w:sz w:val="16"/>
          <w:szCs w:val="16"/>
        </w:rPr>
        <w:t xml:space="preserve"> 23. </w:t>
      </w:r>
    </w:p>
  </w:footnote>
  <w:footnote w:id="159">
    <w:p w14:paraId="516B028E" w14:textId="57BA7DF6" w:rsidR="001C7326" w:rsidRPr="008B459D" w:rsidRDefault="001C7326" w:rsidP="001C7326">
      <w:pPr>
        <w:pStyle w:val="FootnoteText"/>
        <w:rPr>
          <w:sz w:val="16"/>
          <w:szCs w:val="16"/>
        </w:rPr>
      </w:pPr>
      <w:r w:rsidRPr="008B459D">
        <w:rPr>
          <w:rStyle w:val="FootnoteReference"/>
          <w:sz w:val="16"/>
          <w:szCs w:val="16"/>
        </w:rPr>
        <w:footnoteRef/>
      </w:r>
      <w:r w:rsidRPr="008B459D">
        <w:rPr>
          <w:sz w:val="16"/>
          <w:szCs w:val="16"/>
        </w:rPr>
        <w:t xml:space="preserve"> 18</w:t>
      </w:r>
      <w:r w:rsidR="003F4E1F" w:rsidRPr="008B459D">
        <w:rPr>
          <w:sz w:val="16"/>
          <w:szCs w:val="16"/>
        </w:rPr>
        <w:t>,</w:t>
      </w:r>
      <w:r w:rsidRPr="008B459D">
        <w:rPr>
          <w:sz w:val="16"/>
          <w:szCs w:val="16"/>
        </w:rPr>
        <w:t>23.</w:t>
      </w:r>
    </w:p>
  </w:footnote>
  <w:footnote w:id="160">
    <w:p w14:paraId="5174EFEA" w14:textId="77777777" w:rsidR="00497642" w:rsidRPr="008B459D" w:rsidRDefault="00497642" w:rsidP="00497642">
      <w:pPr>
        <w:pStyle w:val="FootnoteText"/>
        <w:rPr>
          <w:sz w:val="16"/>
          <w:szCs w:val="16"/>
        </w:rPr>
      </w:pPr>
      <w:r w:rsidRPr="008B459D">
        <w:rPr>
          <w:rStyle w:val="FootnoteReference"/>
          <w:sz w:val="16"/>
          <w:szCs w:val="16"/>
        </w:rPr>
        <w:footnoteRef/>
      </w:r>
      <w:r w:rsidRPr="008B459D">
        <w:rPr>
          <w:sz w:val="16"/>
          <w:szCs w:val="16"/>
        </w:rPr>
        <w:t xml:space="preserve"> 18.</w:t>
      </w:r>
    </w:p>
  </w:footnote>
  <w:footnote w:id="161">
    <w:p w14:paraId="73FDA80F" w14:textId="77777777" w:rsidR="00984CB4" w:rsidRPr="008B459D" w:rsidRDefault="00984CB4" w:rsidP="00984CB4">
      <w:pPr>
        <w:pStyle w:val="FootnoteText"/>
        <w:rPr>
          <w:sz w:val="16"/>
          <w:szCs w:val="16"/>
        </w:rPr>
      </w:pPr>
      <w:r w:rsidRPr="008B459D">
        <w:rPr>
          <w:rStyle w:val="FootnoteReference"/>
          <w:sz w:val="16"/>
          <w:szCs w:val="16"/>
        </w:rPr>
        <w:footnoteRef/>
      </w:r>
      <w:r w:rsidRPr="008B459D">
        <w:rPr>
          <w:sz w:val="16"/>
          <w:szCs w:val="16"/>
        </w:rPr>
        <w:t xml:space="preserve"> 34,50. </w:t>
      </w:r>
    </w:p>
  </w:footnote>
  <w:footnote w:id="162">
    <w:p w14:paraId="0331DD88" w14:textId="77777777" w:rsidR="00984CB4" w:rsidRPr="008B459D" w:rsidRDefault="00984CB4" w:rsidP="00984CB4">
      <w:pPr>
        <w:pStyle w:val="FootnoteText"/>
        <w:rPr>
          <w:sz w:val="16"/>
          <w:szCs w:val="16"/>
        </w:rPr>
      </w:pPr>
      <w:r w:rsidRPr="008B459D">
        <w:rPr>
          <w:rStyle w:val="FootnoteReference"/>
          <w:sz w:val="16"/>
          <w:szCs w:val="16"/>
        </w:rPr>
        <w:footnoteRef/>
      </w:r>
      <w:r w:rsidRPr="008B459D">
        <w:rPr>
          <w:sz w:val="16"/>
          <w:szCs w:val="16"/>
        </w:rPr>
        <w:t xml:space="preserve"> 41.</w:t>
      </w:r>
    </w:p>
  </w:footnote>
  <w:footnote w:id="163">
    <w:p w14:paraId="36BEDCB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06.</w:t>
      </w:r>
    </w:p>
  </w:footnote>
  <w:footnote w:id="164">
    <w:p w14:paraId="06ABE94E" w14:textId="77777777" w:rsidR="00EB2F97" w:rsidRPr="008B459D" w:rsidRDefault="00EB2F97" w:rsidP="00EB2F97">
      <w:pPr>
        <w:pStyle w:val="FootnoteText"/>
        <w:rPr>
          <w:sz w:val="16"/>
          <w:szCs w:val="16"/>
        </w:rPr>
      </w:pPr>
      <w:r w:rsidRPr="008B459D">
        <w:rPr>
          <w:rStyle w:val="FootnoteReference"/>
          <w:sz w:val="16"/>
          <w:szCs w:val="16"/>
        </w:rPr>
        <w:footnoteRef/>
      </w:r>
      <w:r w:rsidRPr="008B459D">
        <w:rPr>
          <w:sz w:val="16"/>
          <w:szCs w:val="16"/>
        </w:rPr>
        <w:t xml:space="preserve"> 13.</w:t>
      </w:r>
    </w:p>
  </w:footnote>
  <w:footnote w:id="165">
    <w:p w14:paraId="59A9EC45" w14:textId="77777777" w:rsidR="000700CA" w:rsidRPr="008B459D" w:rsidRDefault="000700CA" w:rsidP="000700CA">
      <w:pPr>
        <w:pStyle w:val="FootnoteText"/>
        <w:rPr>
          <w:sz w:val="16"/>
          <w:szCs w:val="16"/>
        </w:rPr>
      </w:pPr>
      <w:r w:rsidRPr="008B459D">
        <w:rPr>
          <w:rStyle w:val="FootnoteReference"/>
          <w:sz w:val="16"/>
          <w:szCs w:val="16"/>
        </w:rPr>
        <w:footnoteRef/>
      </w:r>
      <w:r w:rsidRPr="008B459D">
        <w:rPr>
          <w:sz w:val="16"/>
          <w:szCs w:val="16"/>
        </w:rPr>
        <w:t xml:space="preserve"> 37.</w:t>
      </w:r>
    </w:p>
  </w:footnote>
  <w:footnote w:id="166">
    <w:p w14:paraId="6B2B9AA7" w14:textId="77777777" w:rsidR="00D80492" w:rsidRPr="008B459D" w:rsidRDefault="00D80492" w:rsidP="00D80492">
      <w:pPr>
        <w:pStyle w:val="FootnoteText"/>
        <w:rPr>
          <w:sz w:val="16"/>
          <w:szCs w:val="16"/>
        </w:rPr>
      </w:pPr>
      <w:r w:rsidRPr="008B459D">
        <w:rPr>
          <w:rStyle w:val="FootnoteReference"/>
          <w:sz w:val="16"/>
          <w:szCs w:val="16"/>
        </w:rPr>
        <w:footnoteRef/>
      </w:r>
      <w:r w:rsidRPr="008B459D">
        <w:rPr>
          <w:sz w:val="16"/>
          <w:szCs w:val="16"/>
        </w:rPr>
        <w:t xml:space="preserve"> 42. </w:t>
      </w:r>
    </w:p>
  </w:footnote>
  <w:footnote w:id="167">
    <w:p w14:paraId="02D8E060" w14:textId="77777777" w:rsidR="00D80492" w:rsidRPr="008B459D" w:rsidRDefault="00D80492" w:rsidP="00D80492">
      <w:pPr>
        <w:pStyle w:val="FootnoteText"/>
        <w:rPr>
          <w:sz w:val="16"/>
          <w:szCs w:val="16"/>
        </w:rPr>
      </w:pPr>
      <w:r w:rsidRPr="008B459D">
        <w:rPr>
          <w:rStyle w:val="FootnoteReference"/>
          <w:sz w:val="16"/>
          <w:szCs w:val="16"/>
        </w:rPr>
        <w:footnoteRef/>
      </w:r>
      <w:r w:rsidRPr="008B459D">
        <w:rPr>
          <w:sz w:val="16"/>
          <w:szCs w:val="16"/>
        </w:rPr>
        <w:t xml:space="preserve"> 42.</w:t>
      </w:r>
    </w:p>
  </w:footnote>
  <w:footnote w:id="168">
    <w:p w14:paraId="48B4521B" w14:textId="77777777" w:rsidR="00497642" w:rsidRPr="008B459D" w:rsidRDefault="00497642" w:rsidP="00497642">
      <w:pPr>
        <w:pStyle w:val="FootnoteText"/>
        <w:rPr>
          <w:sz w:val="16"/>
          <w:szCs w:val="16"/>
        </w:rPr>
      </w:pPr>
      <w:r w:rsidRPr="008B459D">
        <w:rPr>
          <w:rStyle w:val="FootnoteReference"/>
          <w:sz w:val="16"/>
          <w:szCs w:val="16"/>
        </w:rPr>
        <w:footnoteRef/>
      </w:r>
      <w:r w:rsidRPr="008B459D">
        <w:rPr>
          <w:sz w:val="16"/>
          <w:szCs w:val="16"/>
        </w:rPr>
        <w:t xml:space="preserve"> 18. </w:t>
      </w:r>
    </w:p>
  </w:footnote>
  <w:footnote w:id="169">
    <w:p w14:paraId="3B8F9942" w14:textId="77777777" w:rsidR="00870943" w:rsidRPr="008B459D" w:rsidRDefault="00870943" w:rsidP="00870943">
      <w:pPr>
        <w:pStyle w:val="FootnoteText"/>
        <w:rPr>
          <w:sz w:val="16"/>
          <w:szCs w:val="16"/>
        </w:rPr>
      </w:pPr>
      <w:r w:rsidRPr="008B459D">
        <w:rPr>
          <w:rStyle w:val="FootnoteReference"/>
          <w:sz w:val="16"/>
          <w:szCs w:val="16"/>
        </w:rPr>
        <w:footnoteRef/>
      </w:r>
      <w:r w:rsidRPr="008B459D">
        <w:rPr>
          <w:sz w:val="16"/>
          <w:szCs w:val="16"/>
        </w:rPr>
        <w:t xml:space="preserve"> 27.</w:t>
      </w:r>
    </w:p>
  </w:footnote>
  <w:footnote w:id="170">
    <w:p w14:paraId="28C6A0BD" w14:textId="77777777" w:rsidR="000E7A20" w:rsidRPr="008B459D" w:rsidRDefault="000E7A20" w:rsidP="000E7A20">
      <w:pPr>
        <w:pStyle w:val="FootnoteText"/>
        <w:rPr>
          <w:sz w:val="16"/>
          <w:szCs w:val="16"/>
        </w:rPr>
      </w:pPr>
      <w:r w:rsidRPr="008B459D">
        <w:rPr>
          <w:rStyle w:val="FootnoteReference"/>
          <w:sz w:val="16"/>
          <w:szCs w:val="16"/>
        </w:rPr>
        <w:footnoteRef/>
      </w:r>
      <w:r w:rsidRPr="008B459D">
        <w:rPr>
          <w:sz w:val="16"/>
          <w:szCs w:val="16"/>
        </w:rPr>
        <w:t xml:space="preserve"> 27.</w:t>
      </w:r>
    </w:p>
  </w:footnote>
  <w:footnote w:id="171">
    <w:p w14:paraId="1C427766" w14:textId="77777777" w:rsidR="00307B45" w:rsidRPr="008B459D" w:rsidRDefault="00307B45" w:rsidP="00307B45">
      <w:pPr>
        <w:pStyle w:val="FootnoteText"/>
        <w:rPr>
          <w:sz w:val="16"/>
          <w:szCs w:val="16"/>
        </w:rPr>
      </w:pPr>
      <w:r w:rsidRPr="008B459D">
        <w:rPr>
          <w:rStyle w:val="FootnoteReference"/>
          <w:sz w:val="16"/>
          <w:szCs w:val="16"/>
        </w:rPr>
        <w:footnoteRef/>
      </w:r>
      <w:r w:rsidRPr="008B459D">
        <w:rPr>
          <w:sz w:val="16"/>
          <w:szCs w:val="16"/>
        </w:rPr>
        <w:t xml:space="preserve"> 27.</w:t>
      </w:r>
    </w:p>
  </w:footnote>
  <w:footnote w:id="172">
    <w:p w14:paraId="69B22742" w14:textId="77777777" w:rsidR="00D2755F" w:rsidRPr="008B459D" w:rsidRDefault="00D2755F" w:rsidP="00D2755F">
      <w:pPr>
        <w:pStyle w:val="FootnoteText"/>
        <w:rPr>
          <w:sz w:val="16"/>
          <w:szCs w:val="16"/>
        </w:rPr>
      </w:pPr>
      <w:r w:rsidRPr="008B459D">
        <w:rPr>
          <w:rStyle w:val="FootnoteReference"/>
          <w:sz w:val="16"/>
          <w:szCs w:val="16"/>
        </w:rPr>
        <w:footnoteRef/>
      </w:r>
      <w:r w:rsidRPr="008B459D">
        <w:rPr>
          <w:sz w:val="16"/>
          <w:szCs w:val="16"/>
        </w:rPr>
        <w:t xml:space="preserve"> 34. </w:t>
      </w:r>
    </w:p>
  </w:footnote>
  <w:footnote w:id="173">
    <w:p w14:paraId="20685E27" w14:textId="77777777" w:rsidR="00D2755F" w:rsidRPr="008B459D" w:rsidRDefault="00D2755F" w:rsidP="00D2755F">
      <w:pPr>
        <w:pStyle w:val="FootnoteText"/>
        <w:rPr>
          <w:sz w:val="16"/>
          <w:szCs w:val="16"/>
        </w:rPr>
      </w:pPr>
      <w:r w:rsidRPr="008B459D">
        <w:rPr>
          <w:rStyle w:val="FootnoteReference"/>
          <w:sz w:val="16"/>
          <w:szCs w:val="16"/>
        </w:rPr>
        <w:footnoteRef/>
      </w:r>
      <w:r w:rsidRPr="008B459D">
        <w:rPr>
          <w:sz w:val="16"/>
          <w:szCs w:val="16"/>
        </w:rPr>
        <w:t xml:space="preserve"> 37.</w:t>
      </w:r>
    </w:p>
  </w:footnote>
  <w:footnote w:id="174">
    <w:p w14:paraId="06F0408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11.</w:t>
      </w:r>
    </w:p>
  </w:footnote>
  <w:footnote w:id="175">
    <w:p w14:paraId="49E7D0DC" w14:textId="1AD020A9"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11</w:t>
      </w:r>
      <w:r w:rsidR="00970574" w:rsidRPr="008B459D">
        <w:rPr>
          <w:sz w:val="16"/>
          <w:szCs w:val="16"/>
        </w:rPr>
        <w:t>,18</w:t>
      </w:r>
      <w:r w:rsidR="00007D1E" w:rsidRPr="008B459D">
        <w:rPr>
          <w:sz w:val="16"/>
          <w:szCs w:val="16"/>
        </w:rPr>
        <w:t>,27</w:t>
      </w:r>
      <w:r w:rsidRPr="008B459D">
        <w:rPr>
          <w:sz w:val="16"/>
          <w:szCs w:val="16"/>
        </w:rPr>
        <w:t>.</w:t>
      </w:r>
    </w:p>
  </w:footnote>
  <w:footnote w:id="176">
    <w:p w14:paraId="7E8CF426" w14:textId="77777777" w:rsidR="001B149F" w:rsidRPr="008B459D" w:rsidRDefault="001B149F" w:rsidP="001B149F">
      <w:pPr>
        <w:pStyle w:val="FootnoteText"/>
        <w:rPr>
          <w:sz w:val="16"/>
          <w:szCs w:val="16"/>
        </w:rPr>
      </w:pPr>
      <w:r w:rsidRPr="008B459D">
        <w:rPr>
          <w:rStyle w:val="FootnoteReference"/>
          <w:sz w:val="16"/>
          <w:szCs w:val="16"/>
        </w:rPr>
        <w:footnoteRef/>
      </w:r>
      <w:r w:rsidRPr="008B459D">
        <w:rPr>
          <w:sz w:val="16"/>
          <w:szCs w:val="16"/>
        </w:rPr>
        <w:t xml:space="preserve"> 49.</w:t>
      </w:r>
    </w:p>
  </w:footnote>
  <w:footnote w:id="177">
    <w:p w14:paraId="007F4C1F" w14:textId="77777777" w:rsidR="001B149F" w:rsidRPr="008B459D" w:rsidRDefault="001B149F" w:rsidP="001B149F">
      <w:pPr>
        <w:pStyle w:val="FootnoteText"/>
        <w:rPr>
          <w:sz w:val="16"/>
          <w:szCs w:val="16"/>
        </w:rPr>
      </w:pPr>
      <w:r w:rsidRPr="008B459D">
        <w:rPr>
          <w:rStyle w:val="FootnoteReference"/>
          <w:sz w:val="16"/>
          <w:szCs w:val="16"/>
        </w:rPr>
        <w:footnoteRef/>
      </w:r>
      <w:r w:rsidRPr="008B459D">
        <w:rPr>
          <w:sz w:val="16"/>
          <w:szCs w:val="16"/>
        </w:rPr>
        <w:t xml:space="preserve"> 49.</w:t>
      </w:r>
    </w:p>
  </w:footnote>
  <w:footnote w:id="178">
    <w:p w14:paraId="2E273035" w14:textId="77777777" w:rsidR="00401546" w:rsidRPr="008B459D" w:rsidRDefault="00401546" w:rsidP="00401546">
      <w:pPr>
        <w:pStyle w:val="FootnoteText"/>
        <w:rPr>
          <w:sz w:val="16"/>
          <w:szCs w:val="16"/>
          <w:lang w:val="mi-NZ"/>
        </w:rPr>
      </w:pPr>
      <w:r w:rsidRPr="008B459D">
        <w:rPr>
          <w:rStyle w:val="FootnoteReference"/>
          <w:sz w:val="16"/>
          <w:szCs w:val="16"/>
        </w:rPr>
        <w:footnoteRef/>
      </w:r>
      <w:r w:rsidRPr="008B459D">
        <w:rPr>
          <w:sz w:val="16"/>
          <w:szCs w:val="16"/>
        </w:rPr>
        <w:t xml:space="preserve"> 06,11,15,18,23,27,31,34,37,39,41,42,44,48,49,50.</w:t>
      </w:r>
    </w:p>
  </w:footnote>
  <w:footnote w:id="179">
    <w:p w14:paraId="66F3089E" w14:textId="77777777" w:rsidR="00C07F49" w:rsidRPr="008B459D" w:rsidRDefault="00C07F49" w:rsidP="00C07F49">
      <w:pPr>
        <w:pStyle w:val="FootnoteText"/>
        <w:rPr>
          <w:sz w:val="16"/>
          <w:szCs w:val="16"/>
        </w:rPr>
      </w:pPr>
      <w:r w:rsidRPr="008B459D">
        <w:rPr>
          <w:rStyle w:val="FootnoteReference"/>
          <w:sz w:val="16"/>
          <w:szCs w:val="16"/>
        </w:rPr>
        <w:footnoteRef/>
      </w:r>
      <w:r w:rsidRPr="008B459D">
        <w:rPr>
          <w:sz w:val="16"/>
          <w:szCs w:val="16"/>
        </w:rPr>
        <w:t xml:space="preserve"> 31. </w:t>
      </w:r>
    </w:p>
  </w:footnote>
  <w:footnote w:id="180">
    <w:p w14:paraId="01BBAEE1" w14:textId="77777777" w:rsidR="00BD2FD9" w:rsidRPr="008B459D" w:rsidRDefault="00BD2FD9" w:rsidP="00BD2FD9">
      <w:pPr>
        <w:pStyle w:val="FootnoteText"/>
        <w:rPr>
          <w:sz w:val="16"/>
          <w:szCs w:val="16"/>
        </w:rPr>
      </w:pPr>
      <w:r w:rsidRPr="008B459D">
        <w:rPr>
          <w:rStyle w:val="FootnoteReference"/>
          <w:sz w:val="16"/>
          <w:szCs w:val="16"/>
        </w:rPr>
        <w:footnoteRef/>
      </w:r>
      <w:r w:rsidRPr="008B459D">
        <w:rPr>
          <w:sz w:val="16"/>
          <w:szCs w:val="16"/>
        </w:rPr>
        <w:t xml:space="preserve"> 18.</w:t>
      </w:r>
    </w:p>
  </w:footnote>
  <w:footnote w:id="181">
    <w:p w14:paraId="2FD45FC7" w14:textId="77777777" w:rsidR="00E5611C" w:rsidRPr="008B459D" w:rsidRDefault="00E5611C" w:rsidP="00E5611C">
      <w:pPr>
        <w:pStyle w:val="FootnoteText"/>
        <w:rPr>
          <w:sz w:val="16"/>
          <w:szCs w:val="16"/>
        </w:rPr>
      </w:pPr>
      <w:r w:rsidRPr="008B459D">
        <w:rPr>
          <w:rStyle w:val="FootnoteReference"/>
          <w:sz w:val="16"/>
          <w:szCs w:val="16"/>
        </w:rPr>
        <w:footnoteRef/>
      </w:r>
      <w:r w:rsidRPr="008B459D">
        <w:rPr>
          <w:sz w:val="16"/>
          <w:szCs w:val="16"/>
        </w:rPr>
        <w:t xml:space="preserve"> 50.</w:t>
      </w:r>
    </w:p>
  </w:footnote>
  <w:footnote w:id="182">
    <w:p w14:paraId="74C0316C" w14:textId="77777777" w:rsidR="006903E7" w:rsidRPr="008B459D" w:rsidRDefault="006903E7" w:rsidP="006903E7">
      <w:pPr>
        <w:pStyle w:val="FootnoteText"/>
        <w:rPr>
          <w:sz w:val="16"/>
          <w:szCs w:val="16"/>
        </w:rPr>
      </w:pPr>
      <w:r w:rsidRPr="008B459D">
        <w:rPr>
          <w:rStyle w:val="FootnoteReference"/>
          <w:sz w:val="16"/>
          <w:szCs w:val="16"/>
        </w:rPr>
        <w:footnoteRef/>
      </w:r>
      <w:r w:rsidRPr="008B459D">
        <w:rPr>
          <w:sz w:val="16"/>
          <w:szCs w:val="16"/>
        </w:rPr>
        <w:t xml:space="preserve"> 11. </w:t>
      </w:r>
    </w:p>
  </w:footnote>
  <w:footnote w:id="183">
    <w:p w14:paraId="2FA7083E" w14:textId="77777777" w:rsidR="00C07F49" w:rsidRPr="008B459D" w:rsidRDefault="00C07F49" w:rsidP="00C07F49">
      <w:pPr>
        <w:pStyle w:val="FootnoteText"/>
        <w:rPr>
          <w:sz w:val="16"/>
          <w:szCs w:val="16"/>
        </w:rPr>
      </w:pPr>
      <w:r w:rsidRPr="008B459D">
        <w:rPr>
          <w:rStyle w:val="FootnoteReference"/>
          <w:sz w:val="16"/>
          <w:szCs w:val="16"/>
        </w:rPr>
        <w:footnoteRef/>
      </w:r>
      <w:r w:rsidRPr="008B459D">
        <w:rPr>
          <w:sz w:val="16"/>
          <w:szCs w:val="16"/>
        </w:rPr>
        <w:t xml:space="preserve"> 23. </w:t>
      </w:r>
    </w:p>
  </w:footnote>
  <w:footnote w:id="184">
    <w:p w14:paraId="35F400C0" w14:textId="77777777" w:rsidR="00C07F49" w:rsidRPr="008B459D" w:rsidRDefault="00C07F49" w:rsidP="00C07F49">
      <w:pPr>
        <w:pStyle w:val="FootnoteText"/>
        <w:rPr>
          <w:sz w:val="16"/>
          <w:szCs w:val="16"/>
        </w:rPr>
      </w:pPr>
      <w:r w:rsidRPr="008B459D">
        <w:rPr>
          <w:rStyle w:val="FootnoteReference"/>
          <w:sz w:val="16"/>
          <w:szCs w:val="16"/>
        </w:rPr>
        <w:footnoteRef/>
      </w:r>
      <w:r w:rsidRPr="008B459D">
        <w:rPr>
          <w:sz w:val="16"/>
          <w:szCs w:val="16"/>
        </w:rPr>
        <w:t xml:space="preserve"> 27.</w:t>
      </w:r>
    </w:p>
  </w:footnote>
  <w:footnote w:id="185">
    <w:p w14:paraId="45AD9709" w14:textId="77777777" w:rsidR="009533FF" w:rsidRPr="008B459D" w:rsidRDefault="009533FF" w:rsidP="009533FF">
      <w:pPr>
        <w:pStyle w:val="FootnoteText"/>
        <w:rPr>
          <w:sz w:val="16"/>
          <w:szCs w:val="16"/>
        </w:rPr>
      </w:pPr>
      <w:r w:rsidRPr="008B459D">
        <w:rPr>
          <w:rStyle w:val="FootnoteReference"/>
          <w:sz w:val="16"/>
          <w:szCs w:val="16"/>
        </w:rPr>
        <w:footnoteRef/>
      </w:r>
      <w:r w:rsidRPr="008B459D">
        <w:rPr>
          <w:sz w:val="16"/>
          <w:szCs w:val="16"/>
        </w:rPr>
        <w:t xml:space="preserve"> 18. </w:t>
      </w:r>
    </w:p>
  </w:footnote>
  <w:footnote w:id="186">
    <w:p w14:paraId="5093C3B3" w14:textId="77777777" w:rsidR="00E5611C" w:rsidRPr="008B459D" w:rsidRDefault="00E5611C" w:rsidP="00E5611C">
      <w:pPr>
        <w:pStyle w:val="FootnoteText"/>
        <w:rPr>
          <w:sz w:val="16"/>
          <w:szCs w:val="16"/>
        </w:rPr>
      </w:pPr>
      <w:r w:rsidRPr="008B459D">
        <w:rPr>
          <w:rStyle w:val="FootnoteReference"/>
          <w:sz w:val="16"/>
          <w:szCs w:val="16"/>
        </w:rPr>
        <w:footnoteRef/>
      </w:r>
      <w:r w:rsidRPr="008B459D">
        <w:rPr>
          <w:sz w:val="16"/>
          <w:szCs w:val="16"/>
        </w:rPr>
        <w:t xml:space="preserve"> 34,50. </w:t>
      </w:r>
    </w:p>
  </w:footnote>
  <w:footnote w:id="187">
    <w:p w14:paraId="2E7B9D60" w14:textId="77777777" w:rsidR="00D31342" w:rsidRPr="008B459D" w:rsidRDefault="00D31342" w:rsidP="00D31342">
      <w:pPr>
        <w:pStyle w:val="FootnoteText"/>
        <w:rPr>
          <w:sz w:val="16"/>
          <w:szCs w:val="16"/>
        </w:rPr>
      </w:pPr>
      <w:r w:rsidRPr="008B459D">
        <w:rPr>
          <w:rStyle w:val="FootnoteReference"/>
          <w:sz w:val="16"/>
          <w:szCs w:val="16"/>
        </w:rPr>
        <w:footnoteRef/>
      </w:r>
      <w:r w:rsidRPr="008B459D">
        <w:rPr>
          <w:sz w:val="16"/>
          <w:szCs w:val="16"/>
        </w:rPr>
        <w:t xml:space="preserve"> 15.</w:t>
      </w:r>
    </w:p>
  </w:footnote>
  <w:footnote w:id="188">
    <w:p w14:paraId="54806F89" w14:textId="77777777" w:rsidR="00007D1E" w:rsidRPr="008B459D" w:rsidRDefault="00007D1E" w:rsidP="00007D1E">
      <w:pPr>
        <w:pStyle w:val="FootnoteText"/>
        <w:rPr>
          <w:sz w:val="16"/>
          <w:szCs w:val="16"/>
        </w:rPr>
      </w:pPr>
      <w:r w:rsidRPr="008B459D">
        <w:rPr>
          <w:rStyle w:val="FootnoteReference"/>
          <w:sz w:val="16"/>
          <w:szCs w:val="16"/>
        </w:rPr>
        <w:footnoteRef/>
      </w:r>
      <w:r w:rsidRPr="008B459D">
        <w:rPr>
          <w:sz w:val="16"/>
          <w:szCs w:val="16"/>
        </w:rPr>
        <w:t xml:space="preserve"> 39.</w:t>
      </w:r>
    </w:p>
  </w:footnote>
  <w:footnote w:id="189">
    <w:p w14:paraId="69B350F7" w14:textId="77777777" w:rsidR="00007D1E" w:rsidRPr="008B459D" w:rsidRDefault="00007D1E" w:rsidP="00007D1E">
      <w:pPr>
        <w:pStyle w:val="FootnoteText"/>
        <w:rPr>
          <w:sz w:val="16"/>
          <w:szCs w:val="16"/>
        </w:rPr>
      </w:pPr>
      <w:r w:rsidRPr="008B459D">
        <w:rPr>
          <w:rStyle w:val="FootnoteReference"/>
          <w:sz w:val="16"/>
          <w:szCs w:val="16"/>
        </w:rPr>
        <w:footnoteRef/>
      </w:r>
      <w:r w:rsidRPr="008B459D">
        <w:rPr>
          <w:sz w:val="16"/>
          <w:szCs w:val="16"/>
        </w:rPr>
        <w:t xml:space="preserve"> 41.</w:t>
      </w:r>
    </w:p>
  </w:footnote>
  <w:footnote w:id="190">
    <w:p w14:paraId="36FEF180" w14:textId="77777777" w:rsidR="00007D1E" w:rsidRPr="008B459D" w:rsidRDefault="00007D1E" w:rsidP="00007D1E">
      <w:pPr>
        <w:pStyle w:val="FootnoteText"/>
        <w:rPr>
          <w:sz w:val="16"/>
          <w:szCs w:val="16"/>
        </w:rPr>
      </w:pPr>
      <w:r w:rsidRPr="008B459D">
        <w:rPr>
          <w:rStyle w:val="FootnoteReference"/>
          <w:sz w:val="16"/>
          <w:szCs w:val="16"/>
        </w:rPr>
        <w:footnoteRef/>
      </w:r>
      <w:r w:rsidRPr="008B459D">
        <w:rPr>
          <w:sz w:val="16"/>
          <w:szCs w:val="16"/>
        </w:rPr>
        <w:t xml:space="preserve"> 48.</w:t>
      </w:r>
    </w:p>
  </w:footnote>
  <w:footnote w:id="191">
    <w:p w14:paraId="6D044256" w14:textId="77777777" w:rsidR="001305FD" w:rsidRPr="008B459D" w:rsidRDefault="001305FD" w:rsidP="001305FD">
      <w:pPr>
        <w:pStyle w:val="FootnoteText"/>
        <w:rPr>
          <w:sz w:val="16"/>
          <w:szCs w:val="16"/>
        </w:rPr>
      </w:pPr>
      <w:r w:rsidRPr="008B459D">
        <w:rPr>
          <w:rStyle w:val="FootnoteReference"/>
          <w:sz w:val="16"/>
          <w:szCs w:val="16"/>
        </w:rPr>
        <w:footnoteRef/>
      </w:r>
      <w:r w:rsidRPr="008B459D">
        <w:rPr>
          <w:sz w:val="16"/>
          <w:szCs w:val="16"/>
        </w:rPr>
        <w:t xml:space="preserve"> 37.</w:t>
      </w:r>
    </w:p>
  </w:footnote>
  <w:footnote w:id="192">
    <w:p w14:paraId="6CF35C5A"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193">
    <w:p w14:paraId="4F2AD12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w:t>
      </w:r>
    </w:p>
  </w:footnote>
  <w:footnote w:id="194">
    <w:p w14:paraId="38A65A6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 </w:t>
      </w:r>
    </w:p>
  </w:footnote>
  <w:footnote w:id="195">
    <w:p w14:paraId="60E5D7D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w:t>
      </w:r>
    </w:p>
  </w:footnote>
  <w:footnote w:id="196">
    <w:p w14:paraId="6C96FB9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w:t>
      </w:r>
    </w:p>
  </w:footnote>
  <w:footnote w:id="197">
    <w:p w14:paraId="44134F5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49.</w:t>
      </w:r>
    </w:p>
  </w:footnote>
  <w:footnote w:id="198">
    <w:p w14:paraId="2F8D6E57" w14:textId="0B21D457" w:rsidR="00BC09C0" w:rsidRPr="008B459D" w:rsidRDefault="00BC09C0">
      <w:pPr>
        <w:pStyle w:val="FootnoteText"/>
        <w:rPr>
          <w:sz w:val="16"/>
          <w:szCs w:val="16"/>
          <w:lang w:val="mi-NZ"/>
        </w:rPr>
      </w:pPr>
      <w:r w:rsidRPr="008B459D">
        <w:rPr>
          <w:rStyle w:val="FootnoteReference"/>
          <w:sz w:val="16"/>
          <w:szCs w:val="16"/>
        </w:rPr>
        <w:footnoteRef/>
      </w:r>
      <w:r w:rsidRPr="008B459D">
        <w:rPr>
          <w:sz w:val="16"/>
          <w:szCs w:val="16"/>
        </w:rPr>
        <w:t xml:space="preserve"> </w:t>
      </w:r>
      <w:r w:rsidR="004B3770" w:rsidRPr="008B459D">
        <w:rPr>
          <w:sz w:val="16"/>
          <w:szCs w:val="16"/>
        </w:rPr>
        <w:t>06,15,18,23,24,27,34,37,39,41,44,48,49,50,52,C06.</w:t>
      </w:r>
    </w:p>
  </w:footnote>
  <w:footnote w:id="199">
    <w:p w14:paraId="17DC82E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52.</w:t>
      </w:r>
    </w:p>
  </w:footnote>
  <w:footnote w:id="200">
    <w:p w14:paraId="3714E3B3" w14:textId="77777777" w:rsidR="00CC3056" w:rsidRPr="008B459D" w:rsidRDefault="00CC3056" w:rsidP="00CC3056">
      <w:pPr>
        <w:pStyle w:val="FootnoteText"/>
        <w:rPr>
          <w:sz w:val="16"/>
          <w:szCs w:val="16"/>
        </w:rPr>
      </w:pPr>
      <w:r w:rsidRPr="008B459D">
        <w:rPr>
          <w:rStyle w:val="FootnoteReference"/>
          <w:sz w:val="16"/>
          <w:szCs w:val="16"/>
        </w:rPr>
        <w:footnoteRef/>
      </w:r>
      <w:r w:rsidRPr="008B459D">
        <w:rPr>
          <w:sz w:val="16"/>
          <w:szCs w:val="16"/>
        </w:rPr>
        <w:t xml:space="preserve"> 27.</w:t>
      </w:r>
    </w:p>
  </w:footnote>
  <w:footnote w:id="201">
    <w:p w14:paraId="7DD5F102" w14:textId="77777777" w:rsidR="00CB6A04" w:rsidRPr="008B459D" w:rsidRDefault="00CB6A04" w:rsidP="00CB6A04">
      <w:pPr>
        <w:pStyle w:val="FootnoteText"/>
        <w:rPr>
          <w:sz w:val="16"/>
          <w:szCs w:val="16"/>
        </w:rPr>
      </w:pPr>
      <w:r w:rsidRPr="008B459D">
        <w:rPr>
          <w:rStyle w:val="FootnoteReference"/>
          <w:sz w:val="16"/>
          <w:szCs w:val="16"/>
        </w:rPr>
        <w:footnoteRef/>
      </w:r>
      <w:r w:rsidRPr="008B459D">
        <w:rPr>
          <w:sz w:val="16"/>
          <w:szCs w:val="16"/>
        </w:rPr>
        <w:t xml:space="preserve"> 15.</w:t>
      </w:r>
    </w:p>
  </w:footnote>
  <w:footnote w:id="202">
    <w:p w14:paraId="5FB71422" w14:textId="77777777" w:rsidR="00785C23" w:rsidRPr="008B459D" w:rsidRDefault="00785C23" w:rsidP="00785C23">
      <w:pPr>
        <w:pStyle w:val="FootnoteText"/>
        <w:rPr>
          <w:sz w:val="16"/>
          <w:szCs w:val="16"/>
        </w:rPr>
      </w:pPr>
      <w:r w:rsidRPr="008B459D">
        <w:rPr>
          <w:rStyle w:val="FootnoteReference"/>
          <w:sz w:val="16"/>
          <w:szCs w:val="16"/>
        </w:rPr>
        <w:footnoteRef/>
      </w:r>
      <w:r w:rsidRPr="008B459D">
        <w:rPr>
          <w:sz w:val="16"/>
          <w:szCs w:val="16"/>
        </w:rPr>
        <w:t xml:space="preserve"> 39. </w:t>
      </w:r>
    </w:p>
  </w:footnote>
  <w:footnote w:id="203">
    <w:p w14:paraId="53CB8B9F" w14:textId="77777777" w:rsidR="00785C23" w:rsidRPr="008B459D" w:rsidRDefault="00785C23" w:rsidP="00785C23">
      <w:pPr>
        <w:pStyle w:val="FootnoteText"/>
        <w:rPr>
          <w:sz w:val="16"/>
          <w:szCs w:val="16"/>
        </w:rPr>
      </w:pPr>
      <w:r w:rsidRPr="008B459D">
        <w:rPr>
          <w:rStyle w:val="FootnoteReference"/>
          <w:sz w:val="16"/>
          <w:szCs w:val="16"/>
        </w:rPr>
        <w:footnoteRef/>
      </w:r>
      <w:r w:rsidRPr="008B459D">
        <w:rPr>
          <w:sz w:val="16"/>
          <w:szCs w:val="16"/>
        </w:rPr>
        <w:t xml:space="preserve"> C06.</w:t>
      </w:r>
    </w:p>
  </w:footnote>
  <w:footnote w:id="204">
    <w:p w14:paraId="6DB62291" w14:textId="77777777" w:rsidR="00CC3056" w:rsidRPr="008B459D" w:rsidRDefault="00CC3056" w:rsidP="00CC3056">
      <w:pPr>
        <w:pStyle w:val="FootnoteText"/>
        <w:rPr>
          <w:sz w:val="16"/>
          <w:szCs w:val="16"/>
        </w:rPr>
      </w:pPr>
      <w:r w:rsidRPr="008B459D">
        <w:rPr>
          <w:rStyle w:val="FootnoteReference"/>
          <w:sz w:val="16"/>
          <w:szCs w:val="16"/>
        </w:rPr>
        <w:footnoteRef/>
      </w:r>
      <w:r w:rsidRPr="008B459D">
        <w:rPr>
          <w:sz w:val="16"/>
          <w:szCs w:val="16"/>
        </w:rPr>
        <w:t xml:space="preserve"> 18. </w:t>
      </w:r>
    </w:p>
  </w:footnote>
  <w:footnote w:id="205">
    <w:p w14:paraId="01332A01" w14:textId="77777777" w:rsidR="00CC3056" w:rsidRPr="008B459D" w:rsidRDefault="00CC3056" w:rsidP="00CC3056">
      <w:pPr>
        <w:pStyle w:val="FootnoteText"/>
        <w:rPr>
          <w:sz w:val="16"/>
          <w:szCs w:val="16"/>
        </w:rPr>
      </w:pPr>
      <w:r w:rsidRPr="008B459D">
        <w:rPr>
          <w:rStyle w:val="FootnoteReference"/>
          <w:sz w:val="16"/>
          <w:szCs w:val="16"/>
        </w:rPr>
        <w:footnoteRef/>
      </w:r>
      <w:r w:rsidRPr="008B459D">
        <w:rPr>
          <w:sz w:val="16"/>
          <w:szCs w:val="16"/>
        </w:rPr>
        <w:t xml:space="preserve"> 41. </w:t>
      </w:r>
    </w:p>
  </w:footnote>
  <w:footnote w:id="206">
    <w:p w14:paraId="30FDE1FF"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24. </w:t>
      </w:r>
    </w:p>
  </w:footnote>
  <w:footnote w:id="207">
    <w:p w14:paraId="34E50CED"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34,50. </w:t>
      </w:r>
    </w:p>
  </w:footnote>
  <w:footnote w:id="208">
    <w:p w14:paraId="522DC0E7"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37.</w:t>
      </w:r>
    </w:p>
  </w:footnote>
  <w:footnote w:id="209">
    <w:p w14:paraId="404E51D5"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48.</w:t>
      </w:r>
    </w:p>
  </w:footnote>
  <w:footnote w:id="210">
    <w:p w14:paraId="17A63225"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49.</w:t>
      </w:r>
    </w:p>
  </w:footnote>
  <w:footnote w:id="211">
    <w:p w14:paraId="28B2257D"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06. </w:t>
      </w:r>
    </w:p>
  </w:footnote>
  <w:footnote w:id="212">
    <w:p w14:paraId="55550367"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06. </w:t>
      </w:r>
    </w:p>
  </w:footnote>
  <w:footnote w:id="213">
    <w:p w14:paraId="39705BD6" w14:textId="77777777" w:rsidR="007C58FA" w:rsidRPr="008B459D" w:rsidRDefault="007C58FA" w:rsidP="007C58FA">
      <w:pPr>
        <w:pStyle w:val="FootnoteText"/>
        <w:rPr>
          <w:sz w:val="16"/>
          <w:szCs w:val="16"/>
        </w:rPr>
      </w:pPr>
      <w:r w:rsidRPr="008B459D">
        <w:rPr>
          <w:rStyle w:val="FootnoteReference"/>
          <w:sz w:val="16"/>
          <w:szCs w:val="16"/>
        </w:rPr>
        <w:footnoteRef/>
      </w:r>
      <w:r w:rsidRPr="008B459D">
        <w:rPr>
          <w:sz w:val="16"/>
          <w:szCs w:val="16"/>
        </w:rPr>
        <w:t xml:space="preserve"> 06.</w:t>
      </w:r>
    </w:p>
  </w:footnote>
  <w:footnote w:id="214">
    <w:p w14:paraId="3119A9A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w:t>
      </w:r>
    </w:p>
  </w:footnote>
  <w:footnote w:id="215">
    <w:p w14:paraId="5C99B30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16.</w:t>
      </w:r>
    </w:p>
  </w:footnote>
  <w:footnote w:id="216">
    <w:p w14:paraId="0F7531B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43.</w:t>
      </w:r>
    </w:p>
  </w:footnote>
  <w:footnote w:id="217">
    <w:p w14:paraId="1DFFFE3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C04.</w:t>
      </w:r>
    </w:p>
  </w:footnote>
  <w:footnote w:id="218">
    <w:p w14:paraId="00C920B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06. </w:t>
      </w:r>
    </w:p>
  </w:footnote>
  <w:footnote w:id="219">
    <w:p w14:paraId="3EF8A29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01,06,12,16,18,19,25,29,30,33,35,36,37,41,42,43,45,55,C01,C04,C07,C08,C09.</w:t>
      </w:r>
    </w:p>
  </w:footnote>
  <w:footnote w:id="220">
    <w:p w14:paraId="63821E5F" w14:textId="43EB0129"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w:t>
      </w:r>
      <w:r w:rsidR="003049D2" w:rsidRPr="008B459D">
        <w:rPr>
          <w:sz w:val="16"/>
          <w:szCs w:val="16"/>
        </w:rPr>
        <w:t>25,30,</w:t>
      </w:r>
      <w:r w:rsidRPr="008B459D">
        <w:rPr>
          <w:sz w:val="16"/>
          <w:szCs w:val="16"/>
        </w:rPr>
        <w:t>42</w:t>
      </w:r>
      <w:r w:rsidR="006F752E" w:rsidRPr="008B459D">
        <w:rPr>
          <w:sz w:val="16"/>
          <w:szCs w:val="16"/>
        </w:rPr>
        <w:t>,C07</w:t>
      </w:r>
      <w:r w:rsidRPr="008B459D">
        <w:rPr>
          <w:sz w:val="16"/>
          <w:szCs w:val="16"/>
        </w:rPr>
        <w:t>.</w:t>
      </w:r>
    </w:p>
  </w:footnote>
  <w:footnote w:id="221">
    <w:p w14:paraId="11D40B9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C01.</w:t>
      </w:r>
    </w:p>
  </w:footnote>
  <w:footnote w:id="222">
    <w:p w14:paraId="0ECC601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35.</w:t>
      </w:r>
    </w:p>
  </w:footnote>
  <w:footnote w:id="223">
    <w:p w14:paraId="230C1B5F" w14:textId="77777777" w:rsidR="007F68B5" w:rsidRPr="008B459D" w:rsidRDefault="007F68B5" w:rsidP="007F68B5">
      <w:pPr>
        <w:pStyle w:val="FootnoteText"/>
        <w:rPr>
          <w:sz w:val="16"/>
          <w:szCs w:val="16"/>
        </w:rPr>
      </w:pPr>
      <w:r w:rsidRPr="008B459D">
        <w:rPr>
          <w:rStyle w:val="FootnoteReference"/>
          <w:sz w:val="16"/>
          <w:szCs w:val="16"/>
        </w:rPr>
        <w:footnoteRef/>
      </w:r>
      <w:r w:rsidRPr="008B459D">
        <w:rPr>
          <w:sz w:val="16"/>
          <w:szCs w:val="16"/>
        </w:rPr>
        <w:t xml:space="preserve"> C09. </w:t>
      </w:r>
    </w:p>
  </w:footnote>
  <w:footnote w:id="224">
    <w:p w14:paraId="4B7B20C7" w14:textId="77777777" w:rsidR="006047F6" w:rsidRPr="008B459D" w:rsidRDefault="006047F6" w:rsidP="006047F6">
      <w:pPr>
        <w:pStyle w:val="FootnoteText"/>
        <w:rPr>
          <w:sz w:val="16"/>
          <w:szCs w:val="16"/>
        </w:rPr>
      </w:pPr>
      <w:r w:rsidRPr="008B459D">
        <w:rPr>
          <w:rStyle w:val="FootnoteReference"/>
          <w:sz w:val="16"/>
          <w:szCs w:val="16"/>
        </w:rPr>
        <w:footnoteRef/>
      </w:r>
      <w:r w:rsidRPr="008B459D">
        <w:rPr>
          <w:sz w:val="16"/>
          <w:szCs w:val="16"/>
        </w:rPr>
        <w:t xml:space="preserve"> 19.</w:t>
      </w:r>
    </w:p>
  </w:footnote>
  <w:footnote w:id="225">
    <w:p w14:paraId="3BB3AA00" w14:textId="77777777" w:rsidR="009347F0" w:rsidRPr="008B459D" w:rsidRDefault="009347F0" w:rsidP="009347F0">
      <w:pPr>
        <w:pStyle w:val="FootnoteText"/>
        <w:rPr>
          <w:sz w:val="16"/>
          <w:szCs w:val="16"/>
        </w:rPr>
      </w:pPr>
      <w:r w:rsidRPr="008B459D">
        <w:rPr>
          <w:rStyle w:val="FootnoteReference"/>
          <w:sz w:val="16"/>
          <w:szCs w:val="16"/>
        </w:rPr>
        <w:footnoteRef/>
      </w:r>
      <w:r w:rsidRPr="008B459D">
        <w:rPr>
          <w:sz w:val="16"/>
          <w:szCs w:val="16"/>
        </w:rPr>
        <w:t xml:space="preserve"> 33.</w:t>
      </w:r>
    </w:p>
  </w:footnote>
  <w:footnote w:id="226">
    <w:p w14:paraId="2BC3215F" w14:textId="77777777" w:rsidR="001D17C8" w:rsidRPr="008B459D" w:rsidRDefault="001D17C8" w:rsidP="001D17C8">
      <w:pPr>
        <w:pStyle w:val="FootnoteText"/>
        <w:rPr>
          <w:sz w:val="16"/>
          <w:szCs w:val="16"/>
        </w:rPr>
      </w:pPr>
      <w:r w:rsidRPr="008B459D">
        <w:rPr>
          <w:rStyle w:val="FootnoteReference"/>
          <w:sz w:val="16"/>
          <w:szCs w:val="16"/>
        </w:rPr>
        <w:footnoteRef/>
      </w:r>
      <w:r w:rsidRPr="008B459D">
        <w:rPr>
          <w:sz w:val="16"/>
          <w:szCs w:val="16"/>
        </w:rPr>
        <w:t xml:space="preserve"> 01. </w:t>
      </w:r>
    </w:p>
  </w:footnote>
  <w:footnote w:id="227">
    <w:p w14:paraId="5190195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55.</w:t>
      </w:r>
    </w:p>
  </w:footnote>
  <w:footnote w:id="228">
    <w:p w14:paraId="62B85214"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C08.</w:t>
      </w:r>
    </w:p>
  </w:footnote>
  <w:footnote w:id="229">
    <w:p w14:paraId="57A1C62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230">
    <w:p w14:paraId="551F212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25.</w:t>
      </w:r>
    </w:p>
  </w:footnote>
  <w:footnote w:id="231">
    <w:p w14:paraId="055C75A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29.</w:t>
      </w:r>
    </w:p>
  </w:footnote>
  <w:footnote w:id="232">
    <w:p w14:paraId="0F66739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233">
    <w:p w14:paraId="59B96FC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234">
    <w:p w14:paraId="3A015B6A"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43.</w:t>
      </w:r>
    </w:p>
  </w:footnote>
  <w:footnote w:id="235">
    <w:p w14:paraId="611CC79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45.</w:t>
      </w:r>
    </w:p>
  </w:footnote>
  <w:footnote w:id="236">
    <w:p w14:paraId="28222D7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55.</w:t>
      </w:r>
    </w:p>
  </w:footnote>
  <w:footnote w:id="237">
    <w:p w14:paraId="5C0E123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238">
    <w:p w14:paraId="22DD10E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30.</w:t>
      </w:r>
    </w:p>
  </w:footnote>
  <w:footnote w:id="239">
    <w:p w14:paraId="140AAC38" w14:textId="21E90029"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w:t>
      </w:r>
      <w:r w:rsidR="00525F7A" w:rsidRPr="008B459D">
        <w:rPr>
          <w:sz w:val="16"/>
          <w:szCs w:val="16"/>
        </w:rPr>
        <w:t>12,</w:t>
      </w:r>
      <w:r w:rsidRPr="008B459D">
        <w:rPr>
          <w:sz w:val="16"/>
          <w:szCs w:val="16"/>
        </w:rPr>
        <w:t>42.</w:t>
      </w:r>
    </w:p>
  </w:footnote>
  <w:footnote w:id="240">
    <w:p w14:paraId="0385DD8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w:t>
      </w:r>
    </w:p>
  </w:footnote>
  <w:footnote w:id="241">
    <w:p w14:paraId="37894610" w14:textId="77777777" w:rsidR="000874EF" w:rsidRPr="008B459D" w:rsidRDefault="000874EF" w:rsidP="000874EF">
      <w:pPr>
        <w:pStyle w:val="FootnoteText"/>
        <w:rPr>
          <w:sz w:val="16"/>
          <w:szCs w:val="16"/>
        </w:rPr>
      </w:pPr>
      <w:r w:rsidRPr="008B459D">
        <w:rPr>
          <w:rStyle w:val="FootnoteReference"/>
          <w:sz w:val="16"/>
          <w:szCs w:val="16"/>
        </w:rPr>
        <w:footnoteRef/>
      </w:r>
      <w:r w:rsidRPr="008B459D">
        <w:rPr>
          <w:sz w:val="16"/>
          <w:szCs w:val="16"/>
        </w:rPr>
        <w:t xml:space="preserve"> 36.</w:t>
      </w:r>
    </w:p>
  </w:footnote>
  <w:footnote w:id="242">
    <w:p w14:paraId="3C82C6D6" w14:textId="77777777" w:rsidR="00E96DE9" w:rsidRPr="008B459D" w:rsidRDefault="00E96DE9" w:rsidP="00E96DE9">
      <w:pPr>
        <w:pStyle w:val="FootnoteText"/>
        <w:rPr>
          <w:sz w:val="16"/>
          <w:szCs w:val="16"/>
        </w:rPr>
      </w:pPr>
      <w:r w:rsidRPr="008B459D">
        <w:rPr>
          <w:rStyle w:val="FootnoteReference"/>
          <w:sz w:val="16"/>
          <w:szCs w:val="16"/>
        </w:rPr>
        <w:footnoteRef/>
      </w:r>
      <w:r w:rsidRPr="008B459D">
        <w:rPr>
          <w:sz w:val="16"/>
          <w:szCs w:val="16"/>
        </w:rPr>
        <w:t xml:space="preserve"> 51.</w:t>
      </w:r>
    </w:p>
  </w:footnote>
  <w:footnote w:id="243">
    <w:p w14:paraId="0012C85A" w14:textId="77777777" w:rsidR="00E96DE9" w:rsidRPr="008B459D" w:rsidRDefault="00E96DE9" w:rsidP="00E96DE9">
      <w:pPr>
        <w:pStyle w:val="FootnoteText"/>
        <w:rPr>
          <w:sz w:val="16"/>
          <w:szCs w:val="16"/>
        </w:rPr>
      </w:pPr>
      <w:r w:rsidRPr="008B459D">
        <w:rPr>
          <w:rStyle w:val="FootnoteReference"/>
          <w:sz w:val="16"/>
          <w:szCs w:val="16"/>
        </w:rPr>
        <w:footnoteRef/>
      </w:r>
      <w:r w:rsidRPr="008B459D">
        <w:rPr>
          <w:sz w:val="16"/>
          <w:szCs w:val="16"/>
        </w:rPr>
        <w:t xml:space="preserve"> 29.</w:t>
      </w:r>
    </w:p>
  </w:footnote>
  <w:footnote w:id="244">
    <w:p w14:paraId="6B9CD88B" w14:textId="77777777" w:rsidR="00E96DE9" w:rsidRPr="008B459D" w:rsidRDefault="00E96DE9" w:rsidP="00E96DE9">
      <w:pPr>
        <w:pStyle w:val="FootnoteText"/>
        <w:rPr>
          <w:sz w:val="16"/>
          <w:szCs w:val="16"/>
        </w:rPr>
      </w:pPr>
      <w:r w:rsidRPr="008B459D">
        <w:rPr>
          <w:rStyle w:val="FootnoteReference"/>
          <w:sz w:val="16"/>
          <w:szCs w:val="16"/>
        </w:rPr>
        <w:footnoteRef/>
      </w:r>
      <w:r w:rsidRPr="008B459D">
        <w:rPr>
          <w:sz w:val="16"/>
          <w:szCs w:val="16"/>
        </w:rPr>
        <w:t xml:space="preserve"> 47.</w:t>
      </w:r>
    </w:p>
  </w:footnote>
  <w:footnote w:id="245">
    <w:p w14:paraId="009CF2A2" w14:textId="77777777" w:rsidR="00E869B7" w:rsidRPr="008B459D" w:rsidRDefault="00E869B7" w:rsidP="00E869B7">
      <w:pPr>
        <w:pStyle w:val="FootnoteText"/>
        <w:rPr>
          <w:sz w:val="16"/>
          <w:szCs w:val="16"/>
        </w:rPr>
      </w:pPr>
      <w:r w:rsidRPr="008B459D">
        <w:rPr>
          <w:rStyle w:val="FootnoteReference"/>
          <w:sz w:val="16"/>
          <w:szCs w:val="16"/>
        </w:rPr>
        <w:footnoteRef/>
      </w:r>
      <w:r w:rsidRPr="008B459D">
        <w:rPr>
          <w:sz w:val="16"/>
          <w:szCs w:val="16"/>
        </w:rPr>
        <w:t xml:space="preserve"> 21,40,51.</w:t>
      </w:r>
    </w:p>
  </w:footnote>
  <w:footnote w:id="246">
    <w:p w14:paraId="2014E90D" w14:textId="77777777" w:rsidR="00E869B7" w:rsidRPr="008B459D" w:rsidRDefault="00E869B7" w:rsidP="00E869B7">
      <w:pPr>
        <w:pStyle w:val="FootnoteText"/>
        <w:rPr>
          <w:sz w:val="16"/>
          <w:szCs w:val="16"/>
        </w:rPr>
      </w:pPr>
      <w:r w:rsidRPr="008B459D">
        <w:rPr>
          <w:rStyle w:val="FootnoteReference"/>
          <w:sz w:val="16"/>
          <w:szCs w:val="16"/>
        </w:rPr>
        <w:footnoteRef/>
      </w:r>
      <w:r w:rsidRPr="008B459D">
        <w:rPr>
          <w:sz w:val="16"/>
          <w:szCs w:val="16"/>
        </w:rPr>
        <w:t xml:space="preserve"> 21,51. </w:t>
      </w:r>
    </w:p>
  </w:footnote>
  <w:footnote w:id="247">
    <w:p w14:paraId="2B216697" w14:textId="77777777" w:rsidR="00E869B7" w:rsidRPr="008B459D" w:rsidRDefault="00E869B7" w:rsidP="00E869B7">
      <w:pPr>
        <w:pStyle w:val="FootnoteText"/>
        <w:rPr>
          <w:sz w:val="16"/>
          <w:szCs w:val="16"/>
        </w:rPr>
      </w:pPr>
      <w:r w:rsidRPr="008B459D">
        <w:rPr>
          <w:rStyle w:val="FootnoteReference"/>
          <w:sz w:val="16"/>
          <w:szCs w:val="16"/>
        </w:rPr>
        <w:footnoteRef/>
      </w:r>
      <w:r w:rsidRPr="008B459D">
        <w:rPr>
          <w:sz w:val="16"/>
          <w:szCs w:val="16"/>
        </w:rPr>
        <w:t xml:space="preserve"> 04,05,20,32,40,51. </w:t>
      </w:r>
    </w:p>
  </w:footnote>
  <w:footnote w:id="248">
    <w:p w14:paraId="217CD0C5" w14:textId="77777777" w:rsidR="00DA2C54" w:rsidRPr="008B459D" w:rsidRDefault="00DA2C54" w:rsidP="00DA2C54">
      <w:pPr>
        <w:pStyle w:val="FootnoteText"/>
        <w:rPr>
          <w:sz w:val="16"/>
          <w:szCs w:val="16"/>
        </w:rPr>
      </w:pPr>
      <w:r w:rsidRPr="008B459D">
        <w:rPr>
          <w:rStyle w:val="FootnoteReference"/>
          <w:sz w:val="16"/>
          <w:szCs w:val="16"/>
        </w:rPr>
        <w:footnoteRef/>
      </w:r>
      <w:r w:rsidRPr="008B459D">
        <w:rPr>
          <w:sz w:val="16"/>
          <w:szCs w:val="16"/>
        </w:rPr>
        <w:t xml:space="preserve"> 51.</w:t>
      </w:r>
    </w:p>
  </w:footnote>
  <w:footnote w:id="249">
    <w:p w14:paraId="4906B65B" w14:textId="77777777" w:rsidR="00495AA5" w:rsidRPr="008B459D" w:rsidRDefault="00495AA5" w:rsidP="00495AA5">
      <w:pPr>
        <w:pStyle w:val="FootnoteText"/>
        <w:rPr>
          <w:sz w:val="16"/>
          <w:szCs w:val="16"/>
        </w:rPr>
      </w:pPr>
      <w:r w:rsidRPr="008B459D">
        <w:rPr>
          <w:rStyle w:val="FootnoteReference"/>
          <w:sz w:val="16"/>
          <w:szCs w:val="16"/>
        </w:rPr>
        <w:footnoteRef/>
      </w:r>
      <w:r w:rsidRPr="008B459D">
        <w:rPr>
          <w:sz w:val="16"/>
          <w:szCs w:val="16"/>
        </w:rPr>
        <w:t xml:space="preserve"> C09.</w:t>
      </w:r>
    </w:p>
  </w:footnote>
  <w:footnote w:id="250">
    <w:p w14:paraId="07C8F77D" w14:textId="77777777" w:rsidR="00495AA5" w:rsidRPr="008B459D" w:rsidRDefault="00495AA5" w:rsidP="00495AA5">
      <w:pPr>
        <w:pStyle w:val="FootnoteText"/>
        <w:rPr>
          <w:sz w:val="16"/>
          <w:szCs w:val="16"/>
        </w:rPr>
      </w:pPr>
      <w:r w:rsidRPr="008B459D">
        <w:rPr>
          <w:rStyle w:val="FootnoteReference"/>
          <w:sz w:val="16"/>
          <w:szCs w:val="16"/>
        </w:rPr>
        <w:footnoteRef/>
      </w:r>
      <w:r w:rsidRPr="008B459D">
        <w:rPr>
          <w:sz w:val="16"/>
          <w:szCs w:val="16"/>
        </w:rPr>
        <w:t xml:space="preserve"> 19. </w:t>
      </w:r>
    </w:p>
  </w:footnote>
  <w:footnote w:id="251">
    <w:p w14:paraId="606615A9" w14:textId="77777777" w:rsidR="00660E81" w:rsidRPr="008B459D" w:rsidRDefault="00660E81" w:rsidP="00660E81">
      <w:pPr>
        <w:pStyle w:val="FootnoteText"/>
        <w:rPr>
          <w:sz w:val="16"/>
          <w:szCs w:val="16"/>
        </w:rPr>
      </w:pPr>
      <w:r w:rsidRPr="008B459D">
        <w:rPr>
          <w:rStyle w:val="FootnoteReference"/>
          <w:sz w:val="16"/>
          <w:szCs w:val="16"/>
        </w:rPr>
        <w:footnoteRef/>
      </w:r>
      <w:r w:rsidRPr="008B459D">
        <w:rPr>
          <w:sz w:val="16"/>
          <w:szCs w:val="16"/>
        </w:rPr>
        <w:t xml:space="preserve"> 03,04,10,20,21,22,51. </w:t>
      </w:r>
    </w:p>
  </w:footnote>
  <w:footnote w:id="252">
    <w:p w14:paraId="1AE76129" w14:textId="77777777" w:rsidR="00495AA5" w:rsidRPr="008B459D" w:rsidRDefault="00495AA5" w:rsidP="00495AA5">
      <w:pPr>
        <w:pStyle w:val="FootnoteText"/>
        <w:rPr>
          <w:sz w:val="16"/>
          <w:szCs w:val="16"/>
        </w:rPr>
      </w:pPr>
      <w:r w:rsidRPr="008B459D">
        <w:rPr>
          <w:rStyle w:val="FootnoteReference"/>
          <w:sz w:val="16"/>
          <w:szCs w:val="16"/>
        </w:rPr>
        <w:footnoteRef/>
      </w:r>
      <w:r w:rsidRPr="008B459D">
        <w:rPr>
          <w:sz w:val="16"/>
          <w:szCs w:val="16"/>
        </w:rPr>
        <w:t xml:space="preserve"> 10. </w:t>
      </w:r>
    </w:p>
  </w:footnote>
  <w:footnote w:id="253">
    <w:p w14:paraId="574F6BC9" w14:textId="77777777" w:rsidR="000355D1" w:rsidRPr="008B459D" w:rsidRDefault="000355D1" w:rsidP="000355D1">
      <w:pPr>
        <w:pStyle w:val="FootnoteText"/>
        <w:rPr>
          <w:sz w:val="16"/>
          <w:szCs w:val="16"/>
        </w:rPr>
      </w:pPr>
      <w:r w:rsidRPr="008B459D">
        <w:rPr>
          <w:rStyle w:val="FootnoteReference"/>
          <w:sz w:val="16"/>
          <w:szCs w:val="16"/>
        </w:rPr>
        <w:footnoteRef/>
      </w:r>
      <w:r w:rsidRPr="008B459D">
        <w:rPr>
          <w:sz w:val="16"/>
          <w:szCs w:val="16"/>
        </w:rPr>
        <w:t xml:space="preserve"> 10,19,20,22,32.</w:t>
      </w:r>
    </w:p>
  </w:footnote>
  <w:footnote w:id="254">
    <w:p w14:paraId="380C2AC4" w14:textId="77777777" w:rsidR="00495AA5" w:rsidRPr="008B459D" w:rsidRDefault="00495AA5" w:rsidP="00495AA5">
      <w:pPr>
        <w:pStyle w:val="FootnoteText"/>
        <w:rPr>
          <w:sz w:val="16"/>
          <w:szCs w:val="16"/>
        </w:rPr>
      </w:pPr>
      <w:r w:rsidRPr="008B459D">
        <w:rPr>
          <w:rStyle w:val="FootnoteReference"/>
          <w:sz w:val="16"/>
          <w:szCs w:val="16"/>
        </w:rPr>
        <w:footnoteRef/>
      </w:r>
      <w:r w:rsidRPr="008B459D">
        <w:rPr>
          <w:sz w:val="16"/>
          <w:szCs w:val="16"/>
        </w:rPr>
        <w:t xml:space="preserve"> 38.</w:t>
      </w:r>
    </w:p>
  </w:footnote>
  <w:footnote w:id="255">
    <w:p w14:paraId="74523922" w14:textId="77777777" w:rsidR="00AA4469" w:rsidRPr="008B459D" w:rsidRDefault="00AA4469" w:rsidP="00AA4469">
      <w:pPr>
        <w:pStyle w:val="FootnoteText"/>
        <w:rPr>
          <w:sz w:val="16"/>
          <w:szCs w:val="16"/>
        </w:rPr>
      </w:pPr>
      <w:r w:rsidRPr="008B459D">
        <w:rPr>
          <w:rStyle w:val="FootnoteReference"/>
          <w:sz w:val="16"/>
          <w:szCs w:val="16"/>
        </w:rPr>
        <w:footnoteRef/>
      </w:r>
      <w:r w:rsidRPr="008B459D">
        <w:rPr>
          <w:sz w:val="16"/>
          <w:szCs w:val="16"/>
        </w:rPr>
        <w:t xml:space="preserve"> 20,38,40.</w:t>
      </w:r>
    </w:p>
  </w:footnote>
  <w:footnote w:id="256">
    <w:p w14:paraId="28E5291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04. </w:t>
      </w:r>
    </w:p>
  </w:footnote>
  <w:footnote w:id="257">
    <w:p w14:paraId="7A6707D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12. </w:t>
      </w:r>
    </w:p>
  </w:footnote>
  <w:footnote w:id="258">
    <w:p w14:paraId="5DA58A5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25,33. </w:t>
      </w:r>
    </w:p>
  </w:footnote>
  <w:footnote w:id="259">
    <w:p w14:paraId="32B827F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19. </w:t>
      </w:r>
    </w:p>
  </w:footnote>
  <w:footnote w:id="260">
    <w:p w14:paraId="5DE1B65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19.</w:t>
      </w:r>
    </w:p>
  </w:footnote>
  <w:footnote w:id="261">
    <w:p w14:paraId="371E489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C04.</w:t>
      </w:r>
    </w:p>
  </w:footnote>
  <w:footnote w:id="262">
    <w:p w14:paraId="1FD34F74"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263">
    <w:p w14:paraId="089BC80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264">
    <w:p w14:paraId="5B55281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 </w:t>
      </w:r>
    </w:p>
  </w:footnote>
  <w:footnote w:id="265">
    <w:p w14:paraId="6CF067C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 </w:t>
      </w:r>
    </w:p>
  </w:footnote>
  <w:footnote w:id="266">
    <w:p w14:paraId="5DCB151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46.</w:t>
      </w:r>
    </w:p>
  </w:footnote>
  <w:footnote w:id="267">
    <w:p w14:paraId="52F3EEB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05.</w:t>
      </w:r>
    </w:p>
  </w:footnote>
  <w:footnote w:id="268">
    <w:p w14:paraId="731AA00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 </w:t>
      </w:r>
    </w:p>
  </w:footnote>
  <w:footnote w:id="269">
    <w:p w14:paraId="5F79FE7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 </w:t>
      </w:r>
    </w:p>
  </w:footnote>
  <w:footnote w:id="270">
    <w:p w14:paraId="5167A4C5" w14:textId="07400D97" w:rsidR="001F35A9" w:rsidRPr="008B459D" w:rsidRDefault="001F35A9">
      <w:pPr>
        <w:pStyle w:val="FootnoteText"/>
        <w:rPr>
          <w:sz w:val="16"/>
          <w:szCs w:val="16"/>
          <w:lang w:val="mi-NZ"/>
        </w:rPr>
      </w:pPr>
      <w:r w:rsidRPr="008B459D">
        <w:rPr>
          <w:rStyle w:val="FootnoteReference"/>
          <w:sz w:val="16"/>
          <w:szCs w:val="16"/>
        </w:rPr>
        <w:footnoteRef/>
      </w:r>
      <w:r w:rsidRPr="008B459D">
        <w:rPr>
          <w:sz w:val="16"/>
          <w:szCs w:val="16"/>
        </w:rPr>
        <w:t>01,06,08,09,11,12,13,15,16,18,24,25,27,28,29,31,33,35,37,39,41,43,45,46,47,48,55,C01,C02,C04,C05,C06,C07,C09.</w:t>
      </w:r>
    </w:p>
  </w:footnote>
  <w:footnote w:id="271">
    <w:p w14:paraId="5D50EE10" w14:textId="2E529AA1" w:rsidR="006F2F58" w:rsidRPr="008B459D" w:rsidRDefault="006F2F58" w:rsidP="006F2F58">
      <w:pPr>
        <w:pStyle w:val="FootnoteText"/>
        <w:rPr>
          <w:sz w:val="16"/>
          <w:szCs w:val="16"/>
        </w:rPr>
      </w:pPr>
      <w:r w:rsidRPr="008B459D">
        <w:rPr>
          <w:rStyle w:val="FootnoteReference"/>
          <w:sz w:val="16"/>
          <w:szCs w:val="16"/>
        </w:rPr>
        <w:footnoteRef/>
      </w:r>
      <w:r w:rsidRPr="008B459D">
        <w:rPr>
          <w:sz w:val="16"/>
          <w:szCs w:val="16"/>
        </w:rPr>
        <w:t xml:space="preserve"> 09,</w:t>
      </w:r>
      <w:r w:rsidR="00AC524A" w:rsidRPr="008B459D">
        <w:rPr>
          <w:sz w:val="16"/>
          <w:szCs w:val="16"/>
        </w:rPr>
        <w:t>11,</w:t>
      </w:r>
      <w:r w:rsidR="007F16F7" w:rsidRPr="008B459D">
        <w:rPr>
          <w:sz w:val="16"/>
          <w:szCs w:val="16"/>
        </w:rPr>
        <w:t>13,</w:t>
      </w:r>
      <w:r w:rsidRPr="008B459D">
        <w:rPr>
          <w:sz w:val="16"/>
          <w:szCs w:val="16"/>
        </w:rPr>
        <w:t>27,31,37,39,43.</w:t>
      </w:r>
    </w:p>
  </w:footnote>
  <w:footnote w:id="272">
    <w:p w14:paraId="6622FD0E" w14:textId="61A2514A"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w:t>
      </w:r>
      <w:r w:rsidR="00810085" w:rsidRPr="008B459D">
        <w:rPr>
          <w:sz w:val="16"/>
          <w:szCs w:val="16"/>
        </w:rPr>
        <w:t>25,33,</w:t>
      </w:r>
      <w:r w:rsidRPr="008B459D">
        <w:rPr>
          <w:sz w:val="16"/>
          <w:szCs w:val="16"/>
        </w:rPr>
        <w:t>C04.</w:t>
      </w:r>
    </w:p>
  </w:footnote>
  <w:footnote w:id="273">
    <w:p w14:paraId="22E8F92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274">
    <w:p w14:paraId="5EABBA1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24. </w:t>
      </w:r>
    </w:p>
  </w:footnote>
  <w:footnote w:id="275">
    <w:p w14:paraId="406E9ED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33.</w:t>
      </w:r>
    </w:p>
  </w:footnote>
  <w:footnote w:id="276">
    <w:p w14:paraId="6ECF8CA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p>
  </w:footnote>
  <w:footnote w:id="277">
    <w:p w14:paraId="2B5466A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29.</w:t>
      </w:r>
    </w:p>
  </w:footnote>
  <w:footnote w:id="278">
    <w:p w14:paraId="5FF3935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15.</w:t>
      </w:r>
    </w:p>
  </w:footnote>
  <w:footnote w:id="279">
    <w:p w14:paraId="6B1A161A" w14:textId="77777777" w:rsidR="00172087" w:rsidRPr="008B459D" w:rsidRDefault="00172087" w:rsidP="00172087">
      <w:pPr>
        <w:pStyle w:val="FootnoteText"/>
        <w:rPr>
          <w:sz w:val="16"/>
          <w:szCs w:val="16"/>
        </w:rPr>
      </w:pPr>
      <w:r w:rsidRPr="008B459D">
        <w:rPr>
          <w:rStyle w:val="FootnoteReference"/>
          <w:sz w:val="16"/>
          <w:szCs w:val="16"/>
        </w:rPr>
        <w:footnoteRef/>
      </w:r>
      <w:r w:rsidRPr="008B459D">
        <w:rPr>
          <w:sz w:val="16"/>
          <w:szCs w:val="16"/>
        </w:rPr>
        <w:t xml:space="preserve"> C09.</w:t>
      </w:r>
    </w:p>
  </w:footnote>
  <w:footnote w:id="280">
    <w:p w14:paraId="06E40822" w14:textId="77777777" w:rsidR="00172087" w:rsidRPr="008B459D" w:rsidRDefault="00172087" w:rsidP="00172087">
      <w:pPr>
        <w:pStyle w:val="FootnoteText"/>
        <w:rPr>
          <w:sz w:val="16"/>
          <w:szCs w:val="16"/>
        </w:rPr>
      </w:pPr>
      <w:r w:rsidRPr="008B459D">
        <w:rPr>
          <w:rStyle w:val="FootnoteReference"/>
          <w:sz w:val="16"/>
          <w:szCs w:val="16"/>
        </w:rPr>
        <w:footnoteRef/>
      </w:r>
      <w:r w:rsidRPr="008B459D">
        <w:rPr>
          <w:sz w:val="16"/>
          <w:szCs w:val="16"/>
        </w:rPr>
        <w:t xml:space="preserve"> C09.</w:t>
      </w:r>
    </w:p>
  </w:footnote>
  <w:footnote w:id="281">
    <w:p w14:paraId="584C1264" w14:textId="77777777" w:rsidR="00C7386C" w:rsidRPr="008B459D" w:rsidRDefault="00C7386C" w:rsidP="00C7386C">
      <w:pPr>
        <w:pStyle w:val="FootnoteText"/>
        <w:rPr>
          <w:sz w:val="16"/>
          <w:szCs w:val="16"/>
        </w:rPr>
      </w:pPr>
      <w:r w:rsidRPr="008B459D">
        <w:rPr>
          <w:rStyle w:val="FootnoteReference"/>
          <w:sz w:val="16"/>
          <w:szCs w:val="16"/>
        </w:rPr>
        <w:footnoteRef/>
      </w:r>
      <w:r w:rsidRPr="008B459D">
        <w:rPr>
          <w:sz w:val="16"/>
          <w:szCs w:val="16"/>
        </w:rPr>
        <w:t xml:space="preserve"> 25,33. </w:t>
      </w:r>
    </w:p>
  </w:footnote>
  <w:footnote w:id="282">
    <w:p w14:paraId="1E68A66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C02.</w:t>
      </w:r>
    </w:p>
  </w:footnote>
  <w:footnote w:id="283">
    <w:p w14:paraId="2FC3CA6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C06.</w:t>
      </w:r>
    </w:p>
  </w:footnote>
  <w:footnote w:id="284">
    <w:p w14:paraId="20B07A19" w14:textId="77777777" w:rsidR="00CB26E5" w:rsidRPr="008B459D" w:rsidRDefault="00CB26E5" w:rsidP="00CB26E5">
      <w:pPr>
        <w:pStyle w:val="FootnoteText"/>
        <w:rPr>
          <w:sz w:val="16"/>
          <w:szCs w:val="16"/>
        </w:rPr>
      </w:pPr>
      <w:r w:rsidRPr="008B459D">
        <w:rPr>
          <w:rStyle w:val="FootnoteReference"/>
          <w:sz w:val="16"/>
          <w:szCs w:val="16"/>
        </w:rPr>
        <w:footnoteRef/>
      </w:r>
      <w:r w:rsidRPr="008B459D">
        <w:rPr>
          <w:sz w:val="16"/>
          <w:szCs w:val="16"/>
        </w:rPr>
        <w:t xml:space="preserve"> 24.</w:t>
      </w:r>
    </w:p>
  </w:footnote>
  <w:footnote w:id="285">
    <w:p w14:paraId="6595358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11.</w:t>
      </w:r>
    </w:p>
  </w:footnote>
  <w:footnote w:id="286">
    <w:p w14:paraId="23261B3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287">
    <w:p w14:paraId="07EDD07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18,37.</w:t>
      </w:r>
    </w:p>
  </w:footnote>
  <w:footnote w:id="288">
    <w:p w14:paraId="4963186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06.</w:t>
      </w:r>
    </w:p>
  </w:footnote>
  <w:footnote w:id="289">
    <w:p w14:paraId="79AC29F1" w14:textId="5F8BC0C8"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13</w:t>
      </w:r>
      <w:r w:rsidR="00E847C6" w:rsidRPr="008B459D">
        <w:rPr>
          <w:sz w:val="16"/>
          <w:szCs w:val="16"/>
        </w:rPr>
        <w:t>,27</w:t>
      </w:r>
      <w:r w:rsidRPr="008B459D">
        <w:rPr>
          <w:sz w:val="16"/>
          <w:szCs w:val="16"/>
        </w:rPr>
        <w:t>.</w:t>
      </w:r>
    </w:p>
  </w:footnote>
  <w:footnote w:id="290">
    <w:p w14:paraId="3E73E0DF" w14:textId="77777777" w:rsidR="000C2081" w:rsidRPr="008B459D" w:rsidRDefault="000C2081" w:rsidP="000C2081">
      <w:pPr>
        <w:pStyle w:val="FootnoteText"/>
        <w:rPr>
          <w:sz w:val="16"/>
          <w:szCs w:val="16"/>
        </w:rPr>
      </w:pPr>
      <w:r w:rsidRPr="008B459D">
        <w:rPr>
          <w:rStyle w:val="FootnoteReference"/>
          <w:sz w:val="16"/>
          <w:szCs w:val="16"/>
        </w:rPr>
        <w:footnoteRef/>
      </w:r>
      <w:r w:rsidRPr="008B459D">
        <w:rPr>
          <w:sz w:val="16"/>
          <w:szCs w:val="16"/>
        </w:rPr>
        <w:t xml:space="preserve"> 33.</w:t>
      </w:r>
    </w:p>
  </w:footnote>
  <w:footnote w:id="291">
    <w:p w14:paraId="5CD1EC6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13.</w:t>
      </w:r>
    </w:p>
  </w:footnote>
  <w:footnote w:id="292">
    <w:p w14:paraId="7C67DE6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13. </w:t>
      </w:r>
    </w:p>
  </w:footnote>
  <w:footnote w:id="293">
    <w:p w14:paraId="427C2788" w14:textId="77777777" w:rsidR="00BF3A4B" w:rsidRPr="008B459D" w:rsidRDefault="00BF3A4B" w:rsidP="00BF3A4B">
      <w:pPr>
        <w:pStyle w:val="FootnoteText"/>
        <w:rPr>
          <w:sz w:val="16"/>
          <w:szCs w:val="16"/>
        </w:rPr>
      </w:pPr>
      <w:r w:rsidRPr="008B459D">
        <w:rPr>
          <w:rStyle w:val="FootnoteReference"/>
          <w:sz w:val="16"/>
          <w:szCs w:val="16"/>
        </w:rPr>
        <w:footnoteRef/>
      </w:r>
      <w:r w:rsidRPr="008B459D">
        <w:rPr>
          <w:sz w:val="16"/>
          <w:szCs w:val="16"/>
        </w:rPr>
        <w:t xml:space="preserve"> 37. </w:t>
      </w:r>
    </w:p>
  </w:footnote>
  <w:footnote w:id="294">
    <w:p w14:paraId="37CBCFD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13. </w:t>
      </w:r>
    </w:p>
  </w:footnote>
  <w:footnote w:id="295">
    <w:p w14:paraId="06439327" w14:textId="77777777" w:rsidR="007B2378" w:rsidRPr="008B459D" w:rsidRDefault="007B2378" w:rsidP="007B2378">
      <w:pPr>
        <w:pStyle w:val="FootnoteText"/>
        <w:rPr>
          <w:sz w:val="16"/>
          <w:szCs w:val="16"/>
        </w:rPr>
      </w:pPr>
      <w:r w:rsidRPr="008B459D">
        <w:rPr>
          <w:rStyle w:val="FootnoteReference"/>
          <w:sz w:val="16"/>
          <w:szCs w:val="16"/>
        </w:rPr>
        <w:footnoteRef/>
      </w:r>
      <w:r w:rsidRPr="008B459D">
        <w:rPr>
          <w:sz w:val="16"/>
          <w:szCs w:val="16"/>
        </w:rPr>
        <w:t xml:space="preserve"> 13. </w:t>
      </w:r>
    </w:p>
  </w:footnote>
  <w:footnote w:id="296">
    <w:p w14:paraId="19362A9F" w14:textId="77777777" w:rsidR="005D3A8E" w:rsidRPr="008B459D" w:rsidRDefault="005D3A8E" w:rsidP="005D3A8E">
      <w:pPr>
        <w:pStyle w:val="FootnoteText"/>
        <w:rPr>
          <w:sz w:val="16"/>
          <w:szCs w:val="16"/>
        </w:rPr>
      </w:pPr>
      <w:r w:rsidRPr="008B459D">
        <w:rPr>
          <w:rStyle w:val="FootnoteReference"/>
          <w:sz w:val="16"/>
          <w:szCs w:val="16"/>
        </w:rPr>
        <w:footnoteRef/>
      </w:r>
      <w:r w:rsidRPr="008B459D">
        <w:rPr>
          <w:sz w:val="16"/>
          <w:szCs w:val="16"/>
        </w:rPr>
        <w:t xml:space="preserve"> 37.</w:t>
      </w:r>
    </w:p>
  </w:footnote>
  <w:footnote w:id="297">
    <w:p w14:paraId="1DB873DD" w14:textId="77777777" w:rsidR="00A4436A" w:rsidRPr="008B459D" w:rsidRDefault="00A4436A" w:rsidP="00A4436A">
      <w:pPr>
        <w:pStyle w:val="FootnoteText"/>
        <w:rPr>
          <w:sz w:val="16"/>
          <w:szCs w:val="16"/>
        </w:rPr>
      </w:pPr>
      <w:r w:rsidRPr="008B459D">
        <w:rPr>
          <w:rStyle w:val="FootnoteReference"/>
          <w:sz w:val="16"/>
          <w:szCs w:val="16"/>
        </w:rPr>
        <w:footnoteRef/>
      </w:r>
      <w:r w:rsidRPr="008B459D">
        <w:rPr>
          <w:sz w:val="16"/>
          <w:szCs w:val="16"/>
        </w:rPr>
        <w:t xml:space="preserve"> C04.</w:t>
      </w:r>
    </w:p>
  </w:footnote>
  <w:footnote w:id="298">
    <w:p w14:paraId="336D3EFA" w14:textId="647D47DE" w:rsidR="00E01DA8" w:rsidRPr="008B459D" w:rsidRDefault="00E01DA8">
      <w:pPr>
        <w:pStyle w:val="FootnoteText"/>
        <w:rPr>
          <w:sz w:val="16"/>
          <w:szCs w:val="16"/>
        </w:rPr>
      </w:pPr>
      <w:r w:rsidRPr="008B459D">
        <w:rPr>
          <w:rStyle w:val="FootnoteReference"/>
          <w:sz w:val="16"/>
          <w:szCs w:val="16"/>
        </w:rPr>
        <w:footnoteRef/>
      </w:r>
      <w:r w:rsidRPr="008B459D">
        <w:rPr>
          <w:sz w:val="16"/>
          <w:szCs w:val="16"/>
        </w:rPr>
        <w:t xml:space="preserve"> C06. </w:t>
      </w:r>
    </w:p>
  </w:footnote>
  <w:footnote w:id="299">
    <w:p w14:paraId="0FA94E1A" w14:textId="4BA779BF" w:rsidR="00CB586F" w:rsidRPr="008B459D" w:rsidRDefault="00CB586F" w:rsidP="00CB586F">
      <w:pPr>
        <w:pStyle w:val="FootnoteText"/>
        <w:rPr>
          <w:sz w:val="16"/>
          <w:szCs w:val="16"/>
        </w:rPr>
      </w:pPr>
      <w:r w:rsidRPr="008B459D">
        <w:rPr>
          <w:rStyle w:val="FootnoteReference"/>
          <w:sz w:val="16"/>
          <w:szCs w:val="16"/>
        </w:rPr>
        <w:footnoteRef/>
      </w:r>
      <w:r w:rsidRPr="008B459D">
        <w:rPr>
          <w:sz w:val="16"/>
          <w:szCs w:val="16"/>
        </w:rPr>
        <w:t xml:space="preserve"> </w:t>
      </w:r>
      <w:r w:rsidR="00E144A3" w:rsidRPr="008B459D">
        <w:rPr>
          <w:sz w:val="16"/>
          <w:szCs w:val="16"/>
        </w:rPr>
        <w:t>27,</w:t>
      </w:r>
      <w:r w:rsidRPr="008B459D">
        <w:rPr>
          <w:sz w:val="16"/>
          <w:szCs w:val="16"/>
        </w:rPr>
        <w:t>35</w:t>
      </w:r>
      <w:r w:rsidR="00E01DA8" w:rsidRPr="008B459D">
        <w:rPr>
          <w:sz w:val="16"/>
          <w:szCs w:val="16"/>
        </w:rPr>
        <w:t>,C05</w:t>
      </w:r>
      <w:r w:rsidRPr="008B459D">
        <w:rPr>
          <w:sz w:val="16"/>
          <w:szCs w:val="16"/>
        </w:rPr>
        <w:t xml:space="preserve">. </w:t>
      </w:r>
    </w:p>
  </w:footnote>
  <w:footnote w:id="300">
    <w:p w14:paraId="4B7B5581" w14:textId="77777777" w:rsidR="00E144A3" w:rsidRPr="008B459D" w:rsidRDefault="00E144A3" w:rsidP="00E144A3">
      <w:pPr>
        <w:pStyle w:val="FootnoteText"/>
        <w:rPr>
          <w:sz w:val="16"/>
          <w:szCs w:val="16"/>
        </w:rPr>
      </w:pPr>
      <w:r w:rsidRPr="008B459D">
        <w:rPr>
          <w:rStyle w:val="FootnoteReference"/>
          <w:sz w:val="16"/>
          <w:szCs w:val="16"/>
        </w:rPr>
        <w:footnoteRef/>
      </w:r>
      <w:r w:rsidRPr="008B459D">
        <w:rPr>
          <w:sz w:val="16"/>
          <w:szCs w:val="16"/>
        </w:rPr>
        <w:t xml:space="preserve"> 27.</w:t>
      </w:r>
    </w:p>
  </w:footnote>
  <w:footnote w:id="301">
    <w:p w14:paraId="0D8C097F" w14:textId="77777777" w:rsidR="00E01DA8" w:rsidRPr="008B459D" w:rsidRDefault="00E01DA8" w:rsidP="00E01DA8">
      <w:pPr>
        <w:pStyle w:val="FootnoteText"/>
        <w:rPr>
          <w:sz w:val="16"/>
          <w:szCs w:val="16"/>
        </w:rPr>
      </w:pPr>
      <w:r w:rsidRPr="008B459D">
        <w:rPr>
          <w:rStyle w:val="FootnoteReference"/>
          <w:sz w:val="16"/>
          <w:szCs w:val="16"/>
        </w:rPr>
        <w:footnoteRef/>
      </w:r>
      <w:r w:rsidRPr="008B459D">
        <w:rPr>
          <w:sz w:val="16"/>
          <w:szCs w:val="16"/>
        </w:rPr>
        <w:t xml:space="preserve"> C06.</w:t>
      </w:r>
    </w:p>
  </w:footnote>
  <w:footnote w:id="302">
    <w:p w14:paraId="5054FDEA" w14:textId="77777777" w:rsidR="00E01DA8" w:rsidRPr="008B459D" w:rsidRDefault="00E01DA8" w:rsidP="00E01DA8">
      <w:pPr>
        <w:pStyle w:val="FootnoteText"/>
        <w:rPr>
          <w:sz w:val="16"/>
          <w:szCs w:val="16"/>
        </w:rPr>
      </w:pPr>
      <w:r w:rsidRPr="008B459D">
        <w:rPr>
          <w:rStyle w:val="FootnoteReference"/>
          <w:sz w:val="16"/>
          <w:szCs w:val="16"/>
        </w:rPr>
        <w:footnoteRef/>
      </w:r>
      <w:r w:rsidRPr="008B459D">
        <w:rPr>
          <w:sz w:val="16"/>
          <w:szCs w:val="16"/>
        </w:rPr>
        <w:t xml:space="preserve"> C06.</w:t>
      </w:r>
    </w:p>
  </w:footnote>
  <w:footnote w:id="303">
    <w:p w14:paraId="574B56F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304">
    <w:p w14:paraId="1686E8B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55.</w:t>
      </w:r>
    </w:p>
  </w:footnote>
  <w:footnote w:id="305">
    <w:p w14:paraId="509ABC0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12. </w:t>
      </w:r>
    </w:p>
  </w:footnote>
  <w:footnote w:id="306">
    <w:p w14:paraId="62741D92" w14:textId="77777777" w:rsidR="00584F26" w:rsidRPr="008B459D" w:rsidRDefault="00584F26" w:rsidP="00584F26">
      <w:pPr>
        <w:pStyle w:val="FootnoteText"/>
        <w:rPr>
          <w:sz w:val="16"/>
          <w:szCs w:val="16"/>
        </w:rPr>
      </w:pPr>
      <w:r w:rsidRPr="008B459D">
        <w:rPr>
          <w:rStyle w:val="FootnoteReference"/>
          <w:sz w:val="16"/>
          <w:szCs w:val="16"/>
        </w:rPr>
        <w:footnoteRef/>
      </w:r>
      <w:r w:rsidRPr="008B459D">
        <w:rPr>
          <w:sz w:val="16"/>
          <w:szCs w:val="16"/>
        </w:rPr>
        <w:t xml:space="preserve"> C07. </w:t>
      </w:r>
    </w:p>
  </w:footnote>
  <w:footnote w:id="307">
    <w:p w14:paraId="6ADA3FA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 </w:t>
      </w:r>
    </w:p>
  </w:footnote>
  <w:footnote w:id="308">
    <w:p w14:paraId="51C7BFF4" w14:textId="43AC3061"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27,29. </w:t>
      </w:r>
      <w:r w:rsidR="00E9473E" w:rsidRPr="008B459D">
        <w:rPr>
          <w:sz w:val="16"/>
          <w:szCs w:val="16"/>
        </w:rPr>
        <w:t>/</w:t>
      </w:r>
    </w:p>
  </w:footnote>
  <w:footnote w:id="309">
    <w:p w14:paraId="18211A7B" w14:textId="77777777" w:rsidR="00203A98" w:rsidRPr="008B459D" w:rsidRDefault="00203A98" w:rsidP="00203A98">
      <w:pPr>
        <w:pStyle w:val="FootnoteText"/>
        <w:rPr>
          <w:sz w:val="16"/>
          <w:szCs w:val="16"/>
        </w:rPr>
      </w:pPr>
      <w:r w:rsidRPr="008B459D">
        <w:rPr>
          <w:rStyle w:val="FootnoteReference"/>
          <w:sz w:val="16"/>
          <w:szCs w:val="16"/>
        </w:rPr>
        <w:footnoteRef/>
      </w:r>
      <w:r w:rsidRPr="008B459D">
        <w:rPr>
          <w:sz w:val="16"/>
          <w:szCs w:val="16"/>
        </w:rPr>
        <w:t xml:space="preserve"> 46. </w:t>
      </w:r>
    </w:p>
  </w:footnote>
  <w:footnote w:id="310">
    <w:p w14:paraId="49DFAF4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p>
  </w:footnote>
  <w:footnote w:id="311">
    <w:p w14:paraId="0405129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29.</w:t>
      </w:r>
    </w:p>
  </w:footnote>
  <w:footnote w:id="312">
    <w:p w14:paraId="73CF5A08" w14:textId="3D3EB669" w:rsidR="000445C0" w:rsidRPr="008B459D" w:rsidRDefault="000445C0">
      <w:pPr>
        <w:pStyle w:val="FootnoteText"/>
        <w:rPr>
          <w:sz w:val="16"/>
          <w:szCs w:val="16"/>
        </w:rPr>
      </w:pPr>
      <w:r w:rsidRPr="008B459D">
        <w:rPr>
          <w:rStyle w:val="FootnoteReference"/>
          <w:sz w:val="16"/>
          <w:szCs w:val="16"/>
        </w:rPr>
        <w:footnoteRef/>
      </w:r>
      <w:r w:rsidRPr="008B459D">
        <w:rPr>
          <w:sz w:val="16"/>
          <w:szCs w:val="16"/>
        </w:rPr>
        <w:t xml:space="preserve"> 29. </w:t>
      </w:r>
    </w:p>
  </w:footnote>
  <w:footnote w:id="313">
    <w:p w14:paraId="194FF25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47.</w:t>
      </w:r>
    </w:p>
  </w:footnote>
  <w:footnote w:id="314">
    <w:p w14:paraId="239CC39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47. </w:t>
      </w:r>
    </w:p>
  </w:footnote>
  <w:footnote w:id="315">
    <w:p w14:paraId="50088C3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01,27,29,37.</w:t>
      </w:r>
    </w:p>
  </w:footnote>
  <w:footnote w:id="316">
    <w:p w14:paraId="72F7E654"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p>
  </w:footnote>
  <w:footnote w:id="317">
    <w:p w14:paraId="0F6E796B" w14:textId="77777777" w:rsidR="006A362F" w:rsidRPr="008B459D" w:rsidRDefault="006A362F" w:rsidP="006A362F">
      <w:pPr>
        <w:pStyle w:val="FootnoteText"/>
        <w:rPr>
          <w:sz w:val="16"/>
          <w:szCs w:val="16"/>
        </w:rPr>
      </w:pPr>
      <w:r w:rsidRPr="008B459D">
        <w:rPr>
          <w:rStyle w:val="FootnoteReference"/>
          <w:sz w:val="16"/>
          <w:szCs w:val="16"/>
        </w:rPr>
        <w:footnoteRef/>
      </w:r>
      <w:r w:rsidRPr="008B459D">
        <w:rPr>
          <w:sz w:val="16"/>
          <w:szCs w:val="16"/>
        </w:rPr>
        <w:t xml:space="preserve"> 39.</w:t>
      </w:r>
    </w:p>
  </w:footnote>
  <w:footnote w:id="318">
    <w:p w14:paraId="59FA00F5" w14:textId="77777777" w:rsidR="00E9473E" w:rsidRPr="008B459D" w:rsidRDefault="00E9473E" w:rsidP="00E9473E">
      <w:pPr>
        <w:pStyle w:val="FootnoteText"/>
        <w:rPr>
          <w:sz w:val="16"/>
          <w:szCs w:val="16"/>
        </w:rPr>
      </w:pPr>
      <w:r w:rsidRPr="008B459D">
        <w:rPr>
          <w:rStyle w:val="FootnoteReference"/>
          <w:sz w:val="16"/>
          <w:szCs w:val="16"/>
        </w:rPr>
        <w:footnoteRef/>
      </w:r>
      <w:r w:rsidRPr="008B459D">
        <w:rPr>
          <w:sz w:val="16"/>
          <w:szCs w:val="16"/>
        </w:rPr>
        <w:t xml:space="preserve"> 47. </w:t>
      </w:r>
    </w:p>
  </w:footnote>
  <w:footnote w:id="319">
    <w:p w14:paraId="0AA174A9" w14:textId="77777777" w:rsidR="005358E1" w:rsidRPr="008B459D" w:rsidRDefault="005358E1" w:rsidP="005358E1">
      <w:pPr>
        <w:pStyle w:val="FootnoteText"/>
        <w:rPr>
          <w:sz w:val="16"/>
          <w:szCs w:val="16"/>
        </w:rPr>
      </w:pPr>
      <w:r w:rsidRPr="008B459D">
        <w:rPr>
          <w:rStyle w:val="FootnoteReference"/>
          <w:sz w:val="16"/>
          <w:szCs w:val="16"/>
        </w:rPr>
        <w:footnoteRef/>
      </w:r>
      <w:r w:rsidRPr="008B459D">
        <w:rPr>
          <w:sz w:val="16"/>
          <w:szCs w:val="16"/>
        </w:rPr>
        <w:t xml:space="preserve"> 28.</w:t>
      </w:r>
    </w:p>
  </w:footnote>
  <w:footnote w:id="320">
    <w:p w14:paraId="2B4C283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C07,27,28.</w:t>
      </w:r>
    </w:p>
  </w:footnote>
  <w:footnote w:id="321">
    <w:p w14:paraId="23B0929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18,48.</w:t>
      </w:r>
    </w:p>
  </w:footnote>
  <w:footnote w:id="322">
    <w:p w14:paraId="47F469F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p>
  </w:footnote>
  <w:footnote w:id="323">
    <w:p w14:paraId="015960B2" w14:textId="77777777" w:rsidR="004D65DF" w:rsidRPr="008B459D" w:rsidRDefault="004D65DF" w:rsidP="004D65DF">
      <w:pPr>
        <w:pStyle w:val="FootnoteText"/>
        <w:rPr>
          <w:sz w:val="16"/>
          <w:szCs w:val="16"/>
        </w:rPr>
      </w:pPr>
      <w:r w:rsidRPr="008B459D">
        <w:rPr>
          <w:rStyle w:val="FootnoteReference"/>
          <w:sz w:val="16"/>
          <w:szCs w:val="16"/>
        </w:rPr>
        <w:footnoteRef/>
      </w:r>
      <w:r w:rsidRPr="008B459D">
        <w:rPr>
          <w:sz w:val="16"/>
          <w:szCs w:val="16"/>
        </w:rPr>
        <w:t xml:space="preserve"> 28.</w:t>
      </w:r>
    </w:p>
  </w:footnote>
  <w:footnote w:id="324">
    <w:p w14:paraId="06914082" w14:textId="74E5124F"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27</w:t>
      </w:r>
      <w:r w:rsidR="00CF1EBA" w:rsidRPr="008B459D">
        <w:rPr>
          <w:sz w:val="16"/>
          <w:szCs w:val="16"/>
        </w:rPr>
        <w:t>,55</w:t>
      </w:r>
      <w:r w:rsidRPr="008B459D">
        <w:rPr>
          <w:sz w:val="16"/>
          <w:szCs w:val="16"/>
        </w:rPr>
        <w:t xml:space="preserve">. </w:t>
      </w:r>
    </w:p>
  </w:footnote>
  <w:footnote w:id="325">
    <w:p w14:paraId="0B05E207" w14:textId="3FC2546C" w:rsidR="006129AD" w:rsidRPr="008B459D" w:rsidRDefault="006129AD" w:rsidP="006129AD">
      <w:pPr>
        <w:pStyle w:val="FootnoteText"/>
        <w:rPr>
          <w:sz w:val="16"/>
          <w:szCs w:val="16"/>
        </w:rPr>
      </w:pPr>
      <w:r w:rsidRPr="008B459D">
        <w:rPr>
          <w:rStyle w:val="FootnoteReference"/>
          <w:sz w:val="16"/>
          <w:szCs w:val="16"/>
        </w:rPr>
        <w:footnoteRef/>
      </w:r>
      <w:r w:rsidRPr="008B459D">
        <w:rPr>
          <w:sz w:val="16"/>
          <w:szCs w:val="16"/>
        </w:rPr>
        <w:t xml:space="preserve"> 39</w:t>
      </w:r>
      <w:r w:rsidR="007C7A67" w:rsidRPr="008B459D">
        <w:rPr>
          <w:sz w:val="16"/>
          <w:szCs w:val="16"/>
        </w:rPr>
        <w:t>,55</w:t>
      </w:r>
      <w:r w:rsidRPr="008B459D">
        <w:rPr>
          <w:sz w:val="16"/>
          <w:szCs w:val="16"/>
        </w:rPr>
        <w:t>.</w:t>
      </w:r>
    </w:p>
  </w:footnote>
  <w:footnote w:id="326">
    <w:p w14:paraId="317EDAA4" w14:textId="77777777" w:rsidR="0097001C" w:rsidRPr="008B459D" w:rsidRDefault="0097001C" w:rsidP="0097001C">
      <w:pPr>
        <w:pStyle w:val="FootnoteText"/>
        <w:rPr>
          <w:sz w:val="16"/>
          <w:szCs w:val="16"/>
        </w:rPr>
      </w:pPr>
      <w:r w:rsidRPr="008B459D">
        <w:rPr>
          <w:rStyle w:val="FootnoteReference"/>
          <w:sz w:val="16"/>
          <w:szCs w:val="16"/>
        </w:rPr>
        <w:footnoteRef/>
      </w:r>
      <w:r w:rsidRPr="008B459D">
        <w:rPr>
          <w:sz w:val="16"/>
          <w:szCs w:val="16"/>
        </w:rPr>
        <w:t xml:space="preserve"> 47. </w:t>
      </w:r>
    </w:p>
  </w:footnote>
  <w:footnote w:id="327">
    <w:p w14:paraId="4006793E" w14:textId="77777777" w:rsidR="00E9473E" w:rsidRPr="008B459D" w:rsidRDefault="00E9473E" w:rsidP="00E9473E">
      <w:pPr>
        <w:pStyle w:val="FootnoteText"/>
        <w:rPr>
          <w:sz w:val="16"/>
          <w:szCs w:val="16"/>
        </w:rPr>
      </w:pPr>
      <w:r w:rsidRPr="008B459D">
        <w:rPr>
          <w:rStyle w:val="FootnoteReference"/>
          <w:sz w:val="16"/>
          <w:szCs w:val="16"/>
        </w:rPr>
        <w:footnoteRef/>
      </w:r>
      <w:r w:rsidRPr="008B459D">
        <w:rPr>
          <w:sz w:val="16"/>
          <w:szCs w:val="16"/>
        </w:rPr>
        <w:t xml:space="preserve"> 55.</w:t>
      </w:r>
    </w:p>
  </w:footnote>
  <w:footnote w:id="328">
    <w:p w14:paraId="15F3A99D" w14:textId="77777777" w:rsidR="00AD4951" w:rsidRPr="008B459D" w:rsidRDefault="00AD4951" w:rsidP="00AD4951">
      <w:pPr>
        <w:pStyle w:val="FootnoteText"/>
        <w:rPr>
          <w:sz w:val="16"/>
          <w:szCs w:val="16"/>
        </w:rPr>
      </w:pPr>
      <w:r w:rsidRPr="008B459D">
        <w:rPr>
          <w:rStyle w:val="FootnoteReference"/>
          <w:sz w:val="16"/>
          <w:szCs w:val="16"/>
        </w:rPr>
        <w:footnoteRef/>
      </w:r>
      <w:r w:rsidRPr="008B459D">
        <w:rPr>
          <w:sz w:val="16"/>
          <w:szCs w:val="16"/>
        </w:rPr>
        <w:t xml:space="preserve"> 15,18. </w:t>
      </w:r>
    </w:p>
  </w:footnote>
  <w:footnote w:id="329">
    <w:p w14:paraId="58EEC0D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C01. </w:t>
      </w:r>
    </w:p>
  </w:footnote>
  <w:footnote w:id="330">
    <w:p w14:paraId="5A6A06F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08. </w:t>
      </w:r>
    </w:p>
  </w:footnote>
  <w:footnote w:id="331">
    <w:p w14:paraId="078C2EEE" w14:textId="77777777" w:rsidR="00B97F32" w:rsidRPr="008B459D" w:rsidRDefault="00B97F32" w:rsidP="00B97F32">
      <w:pPr>
        <w:pStyle w:val="FootnoteText"/>
        <w:rPr>
          <w:sz w:val="16"/>
          <w:szCs w:val="16"/>
        </w:rPr>
      </w:pPr>
      <w:r w:rsidRPr="008B459D">
        <w:rPr>
          <w:rStyle w:val="FootnoteReference"/>
          <w:sz w:val="16"/>
          <w:szCs w:val="16"/>
        </w:rPr>
        <w:footnoteRef/>
      </w:r>
      <w:r w:rsidRPr="008B459D">
        <w:rPr>
          <w:sz w:val="16"/>
          <w:szCs w:val="16"/>
        </w:rPr>
        <w:t xml:space="preserve"> 37.</w:t>
      </w:r>
    </w:p>
  </w:footnote>
  <w:footnote w:id="332">
    <w:p w14:paraId="404DA5FF" w14:textId="77777777" w:rsidR="00B97F32" w:rsidRPr="008B459D" w:rsidRDefault="00B97F32" w:rsidP="00B97F32">
      <w:pPr>
        <w:pStyle w:val="FootnoteText"/>
        <w:rPr>
          <w:sz w:val="16"/>
          <w:szCs w:val="16"/>
        </w:rPr>
      </w:pPr>
      <w:r w:rsidRPr="008B459D">
        <w:rPr>
          <w:rStyle w:val="FootnoteReference"/>
          <w:sz w:val="16"/>
          <w:szCs w:val="16"/>
        </w:rPr>
        <w:footnoteRef/>
      </w:r>
      <w:r w:rsidRPr="008B459D">
        <w:rPr>
          <w:sz w:val="16"/>
          <w:szCs w:val="16"/>
        </w:rPr>
        <w:t xml:space="preserve"> 37.</w:t>
      </w:r>
    </w:p>
  </w:footnote>
  <w:footnote w:id="333">
    <w:p w14:paraId="154E4D1B" w14:textId="77777777" w:rsidR="00B97F32" w:rsidRPr="008B459D" w:rsidRDefault="00B97F32" w:rsidP="00B97F32">
      <w:pPr>
        <w:pStyle w:val="FootnoteText"/>
        <w:rPr>
          <w:sz w:val="16"/>
          <w:szCs w:val="16"/>
        </w:rPr>
      </w:pPr>
      <w:r w:rsidRPr="008B459D">
        <w:rPr>
          <w:rStyle w:val="FootnoteReference"/>
          <w:sz w:val="16"/>
          <w:szCs w:val="16"/>
        </w:rPr>
        <w:footnoteRef/>
      </w:r>
      <w:r w:rsidRPr="008B459D">
        <w:rPr>
          <w:sz w:val="16"/>
          <w:szCs w:val="16"/>
        </w:rPr>
        <w:t xml:space="preserve"> 45.</w:t>
      </w:r>
    </w:p>
  </w:footnote>
  <w:footnote w:id="334">
    <w:p w14:paraId="0900E2F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16. </w:t>
      </w:r>
    </w:p>
  </w:footnote>
  <w:footnote w:id="335">
    <w:p w14:paraId="1B76EB6A" w14:textId="39BE371B" w:rsidR="008A0E85" w:rsidRPr="008B459D" w:rsidRDefault="008A0E85">
      <w:pPr>
        <w:pStyle w:val="FootnoteText"/>
        <w:rPr>
          <w:sz w:val="16"/>
          <w:szCs w:val="16"/>
          <w:lang w:val="mi-NZ"/>
        </w:rPr>
      </w:pPr>
      <w:r w:rsidRPr="008B459D">
        <w:rPr>
          <w:rStyle w:val="FootnoteReference"/>
          <w:sz w:val="16"/>
          <w:szCs w:val="16"/>
        </w:rPr>
        <w:footnoteRef/>
      </w:r>
      <w:r w:rsidRPr="008B459D">
        <w:rPr>
          <w:sz w:val="16"/>
          <w:szCs w:val="16"/>
        </w:rPr>
        <w:t>03,</w:t>
      </w:r>
      <w:r w:rsidR="004F4419" w:rsidRPr="008B459D">
        <w:rPr>
          <w:sz w:val="16"/>
          <w:szCs w:val="16"/>
        </w:rPr>
        <w:t>/</w:t>
      </w:r>
      <w:r w:rsidRPr="008B459D">
        <w:rPr>
          <w:sz w:val="16"/>
          <w:szCs w:val="16"/>
        </w:rPr>
        <w:t>04,05,07,08,09,10,11,13,17,18,19,21,24,25,27,28,29,32,34,35,37,38,39,40,41,42,43,44,45,46,48,49,51,52,55,C04,C05,C08.</w:t>
      </w:r>
    </w:p>
  </w:footnote>
  <w:footnote w:id="336">
    <w:p w14:paraId="57A5BCD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52. </w:t>
      </w:r>
    </w:p>
  </w:footnote>
  <w:footnote w:id="337">
    <w:p w14:paraId="171D9614"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05,10,19,32,51.</w:t>
      </w:r>
    </w:p>
  </w:footnote>
  <w:footnote w:id="338">
    <w:p w14:paraId="65133D67"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03,05,10,19,40,43,44,51. </w:t>
      </w:r>
    </w:p>
  </w:footnote>
  <w:footnote w:id="339">
    <w:p w14:paraId="2E2784D7"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03,04,05,21,40,44,51. </w:t>
      </w:r>
    </w:p>
  </w:footnote>
  <w:footnote w:id="340">
    <w:p w14:paraId="3D1FFF93"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05,51.</w:t>
      </w:r>
    </w:p>
  </w:footnote>
  <w:footnote w:id="341">
    <w:p w14:paraId="0F9C9195"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05,10,19,32,51. </w:t>
      </w:r>
    </w:p>
  </w:footnote>
  <w:footnote w:id="342">
    <w:p w14:paraId="0489B92E"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04.</w:t>
      </w:r>
    </w:p>
  </w:footnote>
  <w:footnote w:id="343">
    <w:p w14:paraId="3291C818"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04,05,10,51. </w:t>
      </w:r>
    </w:p>
  </w:footnote>
  <w:footnote w:id="344">
    <w:p w14:paraId="1DB604E8"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05,21,44,51. </w:t>
      </w:r>
    </w:p>
  </w:footnote>
  <w:footnote w:id="345">
    <w:p w14:paraId="6AE6F6FE"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05,10,21,51.</w:t>
      </w:r>
    </w:p>
  </w:footnote>
  <w:footnote w:id="346">
    <w:p w14:paraId="399E6FC0"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52. </w:t>
      </w:r>
    </w:p>
  </w:footnote>
  <w:footnote w:id="347">
    <w:p w14:paraId="0E31EDCC"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28.</w:t>
      </w:r>
    </w:p>
  </w:footnote>
  <w:footnote w:id="348">
    <w:p w14:paraId="2C7C64CE"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28.</w:t>
      </w:r>
    </w:p>
  </w:footnote>
  <w:footnote w:id="349">
    <w:p w14:paraId="3B34076E"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37. </w:t>
      </w:r>
    </w:p>
  </w:footnote>
  <w:footnote w:id="350">
    <w:p w14:paraId="560DE392"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37.</w:t>
      </w:r>
    </w:p>
  </w:footnote>
  <w:footnote w:id="351">
    <w:p w14:paraId="6DE0455B"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49.</w:t>
      </w:r>
    </w:p>
  </w:footnote>
  <w:footnote w:id="352">
    <w:p w14:paraId="4FD1B4C9"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39,49.</w:t>
      </w:r>
    </w:p>
  </w:footnote>
  <w:footnote w:id="353">
    <w:p w14:paraId="3B115F42"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49.</w:t>
      </w:r>
    </w:p>
  </w:footnote>
  <w:footnote w:id="354">
    <w:p w14:paraId="24803175"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49.</w:t>
      </w:r>
    </w:p>
  </w:footnote>
  <w:footnote w:id="355">
    <w:p w14:paraId="64F61E1C"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55.</w:t>
      </w:r>
    </w:p>
  </w:footnote>
  <w:footnote w:id="356">
    <w:p w14:paraId="0C4B3B7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07,09.</w:t>
      </w:r>
    </w:p>
  </w:footnote>
  <w:footnote w:id="357">
    <w:p w14:paraId="3D33E04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w:t>
      </w:r>
    </w:p>
  </w:footnote>
  <w:footnote w:id="358">
    <w:p w14:paraId="0A30AEA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09.</w:t>
      </w:r>
    </w:p>
  </w:footnote>
  <w:footnote w:id="359">
    <w:p w14:paraId="08AA38B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11. </w:t>
      </w:r>
    </w:p>
  </w:footnote>
  <w:footnote w:id="360">
    <w:p w14:paraId="26AC188E" w14:textId="77777777" w:rsidR="008124D9" w:rsidRPr="008B459D" w:rsidRDefault="008124D9" w:rsidP="008124D9">
      <w:pPr>
        <w:pStyle w:val="FootnoteText"/>
        <w:rPr>
          <w:sz w:val="16"/>
          <w:szCs w:val="16"/>
        </w:rPr>
      </w:pPr>
      <w:r w:rsidRPr="008B459D">
        <w:rPr>
          <w:rStyle w:val="FootnoteReference"/>
          <w:sz w:val="16"/>
          <w:szCs w:val="16"/>
        </w:rPr>
        <w:footnoteRef/>
      </w:r>
      <w:r w:rsidRPr="008B459D">
        <w:rPr>
          <w:sz w:val="16"/>
          <w:szCs w:val="16"/>
        </w:rPr>
        <w:t xml:space="preserve"> 11.</w:t>
      </w:r>
    </w:p>
  </w:footnote>
  <w:footnote w:id="361">
    <w:p w14:paraId="3336BD41" w14:textId="77777777" w:rsidR="008124D9" w:rsidRPr="008B459D" w:rsidRDefault="008124D9" w:rsidP="008124D9">
      <w:pPr>
        <w:pStyle w:val="FootnoteText"/>
        <w:rPr>
          <w:sz w:val="16"/>
          <w:szCs w:val="16"/>
        </w:rPr>
      </w:pPr>
      <w:r w:rsidRPr="008B459D">
        <w:rPr>
          <w:rStyle w:val="FootnoteReference"/>
          <w:sz w:val="16"/>
          <w:szCs w:val="16"/>
        </w:rPr>
        <w:footnoteRef/>
      </w:r>
      <w:r w:rsidRPr="008B459D">
        <w:rPr>
          <w:sz w:val="16"/>
          <w:szCs w:val="16"/>
        </w:rPr>
        <w:t xml:space="preserve"> 11.</w:t>
      </w:r>
    </w:p>
  </w:footnote>
  <w:footnote w:id="362">
    <w:p w14:paraId="56072CE5" w14:textId="77777777" w:rsidR="008124D9" w:rsidRPr="008B459D" w:rsidRDefault="008124D9" w:rsidP="008124D9">
      <w:pPr>
        <w:pStyle w:val="FootnoteText"/>
        <w:rPr>
          <w:sz w:val="16"/>
          <w:szCs w:val="16"/>
        </w:rPr>
      </w:pPr>
      <w:r w:rsidRPr="008B459D">
        <w:rPr>
          <w:rStyle w:val="FootnoteReference"/>
          <w:sz w:val="16"/>
          <w:szCs w:val="16"/>
        </w:rPr>
        <w:footnoteRef/>
      </w:r>
      <w:r w:rsidRPr="008B459D">
        <w:rPr>
          <w:sz w:val="16"/>
          <w:szCs w:val="16"/>
        </w:rPr>
        <w:t xml:space="preserve"> 09. </w:t>
      </w:r>
    </w:p>
  </w:footnote>
  <w:footnote w:id="363">
    <w:p w14:paraId="247B357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24. </w:t>
      </w:r>
    </w:p>
  </w:footnote>
  <w:footnote w:id="364">
    <w:p w14:paraId="25BF9D7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365">
    <w:p w14:paraId="430848F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39. </w:t>
      </w:r>
    </w:p>
  </w:footnote>
  <w:footnote w:id="366">
    <w:p w14:paraId="2FE37C0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 </w:t>
      </w:r>
    </w:p>
  </w:footnote>
  <w:footnote w:id="367">
    <w:p w14:paraId="4518F12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368">
    <w:p w14:paraId="68E8473F"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42. </w:t>
      </w:r>
    </w:p>
  </w:footnote>
  <w:footnote w:id="369">
    <w:p w14:paraId="3202332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44.</w:t>
      </w:r>
    </w:p>
  </w:footnote>
  <w:footnote w:id="370">
    <w:p w14:paraId="1971FF6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371">
    <w:p w14:paraId="45607CF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w:t>
      </w:r>
    </w:p>
  </w:footnote>
  <w:footnote w:id="372">
    <w:p w14:paraId="21A617EC"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 </w:t>
      </w:r>
    </w:p>
  </w:footnote>
  <w:footnote w:id="373">
    <w:p w14:paraId="7BF0819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 </w:t>
      </w:r>
    </w:p>
  </w:footnote>
  <w:footnote w:id="374">
    <w:p w14:paraId="008540D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13,48. </w:t>
      </w:r>
    </w:p>
  </w:footnote>
  <w:footnote w:id="375">
    <w:p w14:paraId="1316040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35,C05. </w:t>
      </w:r>
    </w:p>
  </w:footnote>
  <w:footnote w:id="376">
    <w:p w14:paraId="4EA62F2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C08.</w:t>
      </w:r>
    </w:p>
  </w:footnote>
  <w:footnote w:id="377">
    <w:p w14:paraId="586CCF7D"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08.</w:t>
      </w:r>
    </w:p>
  </w:footnote>
  <w:footnote w:id="378">
    <w:p w14:paraId="6160D369"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w:t>
      </w:r>
    </w:p>
  </w:footnote>
  <w:footnote w:id="379">
    <w:p w14:paraId="5A9B5DA7"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18. </w:t>
      </w:r>
    </w:p>
  </w:footnote>
  <w:footnote w:id="380">
    <w:p w14:paraId="1564A8D6"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24.</w:t>
      </w:r>
    </w:p>
  </w:footnote>
  <w:footnote w:id="381">
    <w:p w14:paraId="51ADD31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25. </w:t>
      </w:r>
    </w:p>
  </w:footnote>
  <w:footnote w:id="382">
    <w:p w14:paraId="1486E4E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29.</w:t>
      </w:r>
    </w:p>
  </w:footnote>
  <w:footnote w:id="383">
    <w:p w14:paraId="1609495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w:t>
      </w:r>
    </w:p>
  </w:footnote>
  <w:footnote w:id="384">
    <w:p w14:paraId="7D4E6D82"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52.</w:t>
      </w:r>
    </w:p>
  </w:footnote>
  <w:footnote w:id="385">
    <w:p w14:paraId="44CC003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 </w:t>
      </w:r>
    </w:p>
  </w:footnote>
  <w:footnote w:id="386">
    <w:p w14:paraId="12EA177B" w14:textId="77777777" w:rsidR="00523A7F" w:rsidRPr="008B459D" w:rsidRDefault="00523A7F" w:rsidP="00523A7F">
      <w:pPr>
        <w:pStyle w:val="FootnoteText"/>
        <w:rPr>
          <w:sz w:val="16"/>
          <w:szCs w:val="16"/>
        </w:rPr>
      </w:pPr>
      <w:r w:rsidRPr="008B459D">
        <w:rPr>
          <w:rStyle w:val="FootnoteReference"/>
          <w:sz w:val="16"/>
          <w:szCs w:val="16"/>
        </w:rPr>
        <w:footnoteRef/>
      </w:r>
      <w:r w:rsidRPr="008B459D">
        <w:rPr>
          <w:sz w:val="16"/>
          <w:szCs w:val="16"/>
        </w:rPr>
        <w:t xml:space="preserve"> 27.</w:t>
      </w:r>
    </w:p>
  </w:footnote>
  <w:footnote w:id="387">
    <w:p w14:paraId="613074A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C04. </w:t>
      </w:r>
    </w:p>
  </w:footnote>
  <w:footnote w:id="388">
    <w:p w14:paraId="1AF6FEA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C04.</w:t>
      </w:r>
    </w:p>
  </w:footnote>
  <w:footnote w:id="389">
    <w:p w14:paraId="109364E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25,28.</w:t>
      </w:r>
    </w:p>
  </w:footnote>
  <w:footnote w:id="390">
    <w:p w14:paraId="01926915"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28.</w:t>
      </w:r>
    </w:p>
  </w:footnote>
  <w:footnote w:id="391">
    <w:p w14:paraId="68D5ED7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46.</w:t>
      </w:r>
    </w:p>
  </w:footnote>
  <w:footnote w:id="392">
    <w:p w14:paraId="7204003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43.</w:t>
      </w:r>
    </w:p>
  </w:footnote>
  <w:footnote w:id="393">
    <w:p w14:paraId="712B6F34" w14:textId="77777777" w:rsidR="00263753" w:rsidRPr="008B459D" w:rsidRDefault="00263753" w:rsidP="00263753">
      <w:pPr>
        <w:pStyle w:val="FootnoteText"/>
        <w:rPr>
          <w:sz w:val="16"/>
          <w:szCs w:val="16"/>
        </w:rPr>
      </w:pPr>
      <w:r w:rsidRPr="008B459D">
        <w:rPr>
          <w:rStyle w:val="FootnoteReference"/>
          <w:sz w:val="16"/>
          <w:szCs w:val="16"/>
        </w:rPr>
        <w:footnoteRef/>
      </w:r>
      <w:r w:rsidRPr="008B459D">
        <w:rPr>
          <w:sz w:val="16"/>
          <w:szCs w:val="16"/>
        </w:rPr>
        <w:t xml:space="preserve"> 34. </w:t>
      </w:r>
    </w:p>
  </w:footnote>
  <w:footnote w:id="394">
    <w:p w14:paraId="1E8836D0"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37.</w:t>
      </w:r>
    </w:p>
  </w:footnote>
  <w:footnote w:id="395">
    <w:p w14:paraId="6AAB8953"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41.</w:t>
      </w:r>
    </w:p>
  </w:footnote>
  <w:footnote w:id="396">
    <w:p w14:paraId="51C02518"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43,44.</w:t>
      </w:r>
    </w:p>
  </w:footnote>
  <w:footnote w:id="397">
    <w:p w14:paraId="535BF1CB"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45. </w:t>
      </w:r>
    </w:p>
  </w:footnote>
  <w:footnote w:id="398">
    <w:p w14:paraId="0957DE0E"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48.</w:t>
      </w:r>
    </w:p>
  </w:footnote>
  <w:footnote w:id="399">
    <w:p w14:paraId="0AEE6261"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03,04,05,10,17,21,32,38,40,43,51.</w:t>
      </w:r>
    </w:p>
  </w:footnote>
  <w:footnote w:id="400">
    <w:p w14:paraId="7640EBEA" w14:textId="77777777" w:rsidR="004F377B" w:rsidRPr="008B459D" w:rsidRDefault="004F377B" w:rsidP="004F377B">
      <w:pPr>
        <w:pStyle w:val="FootnoteText"/>
        <w:rPr>
          <w:sz w:val="16"/>
          <w:szCs w:val="16"/>
        </w:rPr>
      </w:pPr>
      <w:r w:rsidRPr="008B459D">
        <w:rPr>
          <w:rStyle w:val="FootnoteReference"/>
          <w:sz w:val="16"/>
          <w:szCs w:val="16"/>
        </w:rPr>
        <w:footnoteRef/>
      </w:r>
      <w:r w:rsidRPr="008B459D">
        <w:rPr>
          <w:sz w:val="16"/>
          <w:szCs w:val="16"/>
        </w:rPr>
        <w:t xml:space="preserve"> 03,04,05,10,17,21,32,38,40,43,51.</w:t>
      </w:r>
    </w:p>
  </w:footnote>
  <w:footnote w:id="401">
    <w:p w14:paraId="0E74E2F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03,04,05,07,08,09,10,11,12,13,16,17,18,19,21,22,23,24,25,26,27,29,30,31,32,32,34,35,36,37,38,39,40,41,42,43,44,45,46,47,48,49,50,51,52,55,C03,C04,C05,C06,C07,C08,C09.</w:t>
      </w:r>
    </w:p>
  </w:footnote>
  <w:footnote w:id="402">
    <w:p w14:paraId="4343B8F0"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27,33,36,39,42,50,C04.</w:t>
      </w:r>
    </w:p>
  </w:footnote>
  <w:footnote w:id="403">
    <w:p w14:paraId="181AA668"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C04.</w:t>
      </w:r>
    </w:p>
  </w:footnote>
  <w:footnote w:id="404">
    <w:p w14:paraId="516EA7BE"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39.</w:t>
      </w:r>
    </w:p>
  </w:footnote>
  <w:footnote w:id="405">
    <w:p w14:paraId="1D25F433"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406">
    <w:p w14:paraId="541609A4"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37,42,48,52.</w:t>
      </w:r>
    </w:p>
  </w:footnote>
  <w:footnote w:id="407">
    <w:p w14:paraId="6C7CAC7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42.</w:t>
      </w:r>
    </w:p>
  </w:footnote>
  <w:footnote w:id="408">
    <w:p w14:paraId="05F26EC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409">
    <w:p w14:paraId="408FF49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52.</w:t>
      </w:r>
    </w:p>
  </w:footnote>
  <w:footnote w:id="410">
    <w:p w14:paraId="6DA76F8A"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37.</w:t>
      </w:r>
    </w:p>
  </w:footnote>
  <w:footnote w:id="411">
    <w:p w14:paraId="4B6EF8CB"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07,12,13,18,27,34,41,48,52,C03,C04,C06.</w:t>
      </w:r>
    </w:p>
  </w:footnote>
  <w:footnote w:id="412">
    <w:p w14:paraId="7B4B60B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C04.</w:t>
      </w:r>
    </w:p>
  </w:footnote>
  <w:footnote w:id="413">
    <w:p w14:paraId="15CACFB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414">
    <w:p w14:paraId="2090250F"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07.</w:t>
      </w:r>
    </w:p>
  </w:footnote>
  <w:footnote w:id="415">
    <w:p w14:paraId="54EA680C"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07,12,27,34,C06.</w:t>
      </w:r>
    </w:p>
  </w:footnote>
  <w:footnote w:id="416">
    <w:p w14:paraId="3FA665A8"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07,12,34,C06.</w:t>
      </w:r>
    </w:p>
  </w:footnote>
  <w:footnote w:id="417">
    <w:p w14:paraId="6D96BAF1"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07.</w:t>
      </w:r>
    </w:p>
  </w:footnote>
  <w:footnote w:id="418">
    <w:p w14:paraId="4A8E9262"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34.</w:t>
      </w:r>
    </w:p>
  </w:footnote>
  <w:footnote w:id="419">
    <w:p w14:paraId="5A92838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w:t>
      </w:r>
    </w:p>
  </w:footnote>
  <w:footnote w:id="420">
    <w:p w14:paraId="41CDC324"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13,47,52,C08.</w:t>
      </w:r>
    </w:p>
  </w:footnote>
  <w:footnote w:id="421">
    <w:p w14:paraId="0DC40CC7"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13.</w:t>
      </w:r>
    </w:p>
  </w:footnote>
  <w:footnote w:id="422">
    <w:p w14:paraId="352AF9D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423">
    <w:p w14:paraId="4CBECAB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47.</w:t>
      </w:r>
    </w:p>
  </w:footnote>
  <w:footnote w:id="424">
    <w:p w14:paraId="4E740874"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47.</w:t>
      </w:r>
    </w:p>
  </w:footnote>
  <w:footnote w:id="425">
    <w:p w14:paraId="54751D8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18,32,33,34.</w:t>
      </w:r>
    </w:p>
  </w:footnote>
  <w:footnote w:id="426">
    <w:p w14:paraId="2BFAF0F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41.</w:t>
      </w:r>
    </w:p>
  </w:footnote>
  <w:footnote w:id="427">
    <w:p w14:paraId="54FB895A"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41.</w:t>
      </w:r>
    </w:p>
  </w:footnote>
  <w:footnote w:id="428">
    <w:p w14:paraId="50D1161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429">
    <w:p w14:paraId="004851E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04,05,10,17,18,19,21,22,25,40,51.</w:t>
      </w:r>
    </w:p>
  </w:footnote>
  <w:footnote w:id="430">
    <w:p w14:paraId="717A1E6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04,05,10,17,19,21,22,40,51.</w:t>
      </w:r>
    </w:p>
  </w:footnote>
  <w:footnote w:id="431">
    <w:p w14:paraId="74EDEE7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04,05,10,17,19,21,22,40,51.</w:t>
      </w:r>
    </w:p>
  </w:footnote>
  <w:footnote w:id="432">
    <w:p w14:paraId="66E28D11"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17.</w:t>
      </w:r>
    </w:p>
  </w:footnote>
  <w:footnote w:id="433">
    <w:p w14:paraId="1C4AC1C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04,05,10,17,19,21,22,40,51.</w:t>
      </w:r>
    </w:p>
  </w:footnote>
  <w:footnote w:id="434">
    <w:p w14:paraId="7AF8F21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04,05,10,17,19,21,22,40,51.</w:t>
      </w:r>
    </w:p>
  </w:footnote>
  <w:footnote w:id="435">
    <w:p w14:paraId="3B6D4848"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04,05,10,17,19,21,22,40,51.</w:t>
      </w:r>
    </w:p>
  </w:footnote>
  <w:footnote w:id="436">
    <w:p w14:paraId="6A7AD4D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18,25.</w:t>
      </w:r>
    </w:p>
  </w:footnote>
  <w:footnote w:id="437">
    <w:p w14:paraId="0543F80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438">
    <w:p w14:paraId="1B8FCA31"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439">
    <w:p w14:paraId="764C6781"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25.</w:t>
      </w:r>
    </w:p>
  </w:footnote>
  <w:footnote w:id="440">
    <w:p w14:paraId="6C2BB86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17,32.</w:t>
      </w:r>
    </w:p>
  </w:footnote>
  <w:footnote w:id="441">
    <w:p w14:paraId="644EEB1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36.</w:t>
      </w:r>
    </w:p>
  </w:footnote>
  <w:footnote w:id="442">
    <w:p w14:paraId="429E9652"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17,36.</w:t>
      </w:r>
    </w:p>
  </w:footnote>
  <w:footnote w:id="443">
    <w:p w14:paraId="58F99903"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32.</w:t>
      </w:r>
    </w:p>
  </w:footnote>
  <w:footnote w:id="444">
    <w:p w14:paraId="7A6FDE0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445">
    <w:p w14:paraId="30A5BFD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07,13,18,27,29,33,47.</w:t>
      </w:r>
    </w:p>
  </w:footnote>
  <w:footnote w:id="446">
    <w:p w14:paraId="61BE249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45,</w:t>
      </w:r>
      <w:r w:rsidRPr="008B459D">
        <w:rPr>
          <w:sz w:val="16"/>
          <w:szCs w:val="16"/>
          <w:lang w:val="en-GB"/>
        </w:rPr>
        <w:t>48.</w:t>
      </w:r>
    </w:p>
  </w:footnote>
  <w:footnote w:id="447">
    <w:p w14:paraId="568E0A7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07,13,</w:t>
      </w:r>
      <w:r w:rsidRPr="008B459D">
        <w:rPr>
          <w:sz w:val="16"/>
          <w:szCs w:val="16"/>
          <w:lang w:val="en-GB"/>
        </w:rPr>
        <w:t>18,27.</w:t>
      </w:r>
    </w:p>
  </w:footnote>
  <w:footnote w:id="448">
    <w:p w14:paraId="2233989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w:t>
      </w:r>
    </w:p>
  </w:footnote>
  <w:footnote w:id="449">
    <w:p w14:paraId="3071EF9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w:t>
      </w:r>
      <w:r w:rsidRPr="008B459D">
        <w:rPr>
          <w:sz w:val="16"/>
          <w:szCs w:val="16"/>
          <w:lang w:val="en-GB"/>
        </w:rPr>
        <w:t>18.</w:t>
      </w:r>
    </w:p>
  </w:footnote>
  <w:footnote w:id="450">
    <w:p w14:paraId="1E021F32"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451">
    <w:p w14:paraId="52738DB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07,18.</w:t>
      </w:r>
    </w:p>
  </w:footnote>
  <w:footnote w:id="452">
    <w:p w14:paraId="36117DE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453">
    <w:p w14:paraId="5818C703"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454">
    <w:p w14:paraId="499796BB"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13,29,47.</w:t>
      </w:r>
    </w:p>
  </w:footnote>
  <w:footnote w:id="455">
    <w:p w14:paraId="577E5933"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456">
    <w:p w14:paraId="2530EE7E"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13,48.</w:t>
      </w:r>
    </w:p>
  </w:footnote>
  <w:footnote w:id="457">
    <w:p w14:paraId="613A2001"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13,29,33,47.</w:t>
      </w:r>
    </w:p>
  </w:footnote>
  <w:footnote w:id="458">
    <w:p w14:paraId="0DEAA41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29,47,33.</w:t>
      </w:r>
    </w:p>
  </w:footnote>
  <w:footnote w:id="459">
    <w:p w14:paraId="7DA635D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29.</w:t>
      </w:r>
    </w:p>
  </w:footnote>
  <w:footnote w:id="460">
    <w:p w14:paraId="6C6C3C04"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13,33.</w:t>
      </w:r>
    </w:p>
  </w:footnote>
  <w:footnote w:id="461">
    <w:p w14:paraId="0F47473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13,33.</w:t>
      </w:r>
    </w:p>
  </w:footnote>
  <w:footnote w:id="462">
    <w:p w14:paraId="3C84A44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05,19,21,22,32,40,51.</w:t>
      </w:r>
    </w:p>
  </w:footnote>
  <w:footnote w:id="463">
    <w:p w14:paraId="479F560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45.</w:t>
      </w:r>
    </w:p>
  </w:footnote>
  <w:footnote w:id="464">
    <w:p w14:paraId="46B4AF73"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05,19,21,22,32,40,51.</w:t>
      </w:r>
    </w:p>
  </w:footnote>
  <w:footnote w:id="465">
    <w:p w14:paraId="1CBBA53F"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05.</w:t>
      </w:r>
    </w:p>
  </w:footnote>
  <w:footnote w:id="466">
    <w:p w14:paraId="65BF2CE3"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19.</w:t>
      </w:r>
    </w:p>
  </w:footnote>
  <w:footnote w:id="467">
    <w:p w14:paraId="7229F9D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09,13,18,23,25.</w:t>
      </w:r>
    </w:p>
  </w:footnote>
  <w:footnote w:id="468">
    <w:p w14:paraId="4F62DD9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09,18.</w:t>
      </w:r>
    </w:p>
  </w:footnote>
  <w:footnote w:id="469">
    <w:p w14:paraId="1EDAAE2A"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470">
    <w:p w14:paraId="4658345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w:t>
      </w:r>
    </w:p>
  </w:footnote>
  <w:footnote w:id="471">
    <w:p w14:paraId="40DD829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16,17,19,21,22,25,26,35,37,38,41,45,48,51,C05.</w:t>
      </w:r>
    </w:p>
  </w:footnote>
  <w:footnote w:id="472">
    <w:p w14:paraId="0CE8AF0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25,37,48.</w:t>
      </w:r>
    </w:p>
  </w:footnote>
  <w:footnote w:id="473">
    <w:p w14:paraId="558F9242"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37.</w:t>
      </w:r>
    </w:p>
  </w:footnote>
  <w:footnote w:id="474">
    <w:p w14:paraId="7FEACB55"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48.</w:t>
      </w:r>
    </w:p>
  </w:footnote>
  <w:footnote w:id="475">
    <w:p w14:paraId="6D878884"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25.</w:t>
      </w:r>
    </w:p>
  </w:footnote>
  <w:footnote w:id="476">
    <w:p w14:paraId="038D2DE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19,21.</w:t>
      </w:r>
    </w:p>
  </w:footnote>
  <w:footnote w:id="477">
    <w:p w14:paraId="5A27042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19.</w:t>
      </w:r>
    </w:p>
  </w:footnote>
  <w:footnote w:id="478">
    <w:p w14:paraId="25D75B6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38.</w:t>
      </w:r>
    </w:p>
  </w:footnote>
  <w:footnote w:id="479">
    <w:p w14:paraId="51DB703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38.</w:t>
      </w:r>
    </w:p>
  </w:footnote>
  <w:footnote w:id="480">
    <w:p w14:paraId="6A6BCA7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481">
    <w:p w14:paraId="4443EA36"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17,19.</w:t>
      </w:r>
    </w:p>
  </w:footnote>
  <w:footnote w:id="482">
    <w:p w14:paraId="7C7CFA6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19.</w:t>
      </w:r>
    </w:p>
  </w:footnote>
  <w:footnote w:id="483">
    <w:p w14:paraId="619FF526"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C05.</w:t>
      </w:r>
    </w:p>
  </w:footnote>
  <w:footnote w:id="484">
    <w:p w14:paraId="508C8CA5"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35.</w:t>
      </w:r>
    </w:p>
  </w:footnote>
  <w:footnote w:id="485">
    <w:p w14:paraId="001FCB6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07,26,31,35,39,50,C05.</w:t>
      </w:r>
    </w:p>
  </w:footnote>
  <w:footnote w:id="486">
    <w:p w14:paraId="5ECBE2D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07,18,35,C05.</w:t>
      </w:r>
    </w:p>
  </w:footnote>
  <w:footnote w:id="487">
    <w:p w14:paraId="4EC9846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07,C05.</w:t>
      </w:r>
    </w:p>
  </w:footnote>
  <w:footnote w:id="488">
    <w:p w14:paraId="23E9642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50.</w:t>
      </w:r>
    </w:p>
  </w:footnote>
  <w:footnote w:id="489">
    <w:p w14:paraId="4BB3BB8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26.</w:t>
      </w:r>
    </w:p>
  </w:footnote>
  <w:footnote w:id="490">
    <w:p w14:paraId="492E0CF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39.</w:t>
      </w:r>
    </w:p>
  </w:footnote>
  <w:footnote w:id="491">
    <w:p w14:paraId="06B39721"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07,18,</w:t>
      </w:r>
      <w:r w:rsidRPr="008B459D">
        <w:rPr>
          <w:sz w:val="16"/>
          <w:szCs w:val="16"/>
          <w:lang w:val="en-GB"/>
        </w:rPr>
        <w:t>27,41.</w:t>
      </w:r>
    </w:p>
  </w:footnote>
  <w:footnote w:id="492">
    <w:p w14:paraId="1173C78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w:t>
      </w:r>
    </w:p>
  </w:footnote>
  <w:footnote w:id="493">
    <w:p w14:paraId="21BB33DB"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494">
    <w:p w14:paraId="25C124E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w:t>
      </w:r>
    </w:p>
  </w:footnote>
  <w:footnote w:id="495">
    <w:p w14:paraId="676E6616" w14:textId="77777777" w:rsidR="003D5D37" w:rsidRPr="008B459D" w:rsidRDefault="003D5D37" w:rsidP="003D5D37">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496">
    <w:p w14:paraId="7DB1DC0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08,13,18,25,27,29,47.</w:t>
      </w:r>
    </w:p>
  </w:footnote>
  <w:footnote w:id="497">
    <w:p w14:paraId="2B51F8A4"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10,32.</w:t>
      </w:r>
    </w:p>
  </w:footnote>
  <w:footnote w:id="498">
    <w:p w14:paraId="02BC832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35,39,52.</w:t>
      </w:r>
    </w:p>
  </w:footnote>
  <w:footnote w:id="499">
    <w:p w14:paraId="1500EF6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08,13,27,29,35,39,52,C05.</w:t>
      </w:r>
    </w:p>
  </w:footnote>
  <w:footnote w:id="500">
    <w:p w14:paraId="5FEDE42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08,13.</w:t>
      </w:r>
    </w:p>
  </w:footnote>
  <w:footnote w:id="501">
    <w:p w14:paraId="44571F9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13.</w:t>
      </w:r>
    </w:p>
  </w:footnote>
  <w:footnote w:id="502">
    <w:p w14:paraId="740D324D"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18.</w:t>
      </w:r>
    </w:p>
  </w:footnote>
  <w:footnote w:id="503">
    <w:p w14:paraId="394FA950"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10,25,32,47.</w:t>
      </w:r>
    </w:p>
  </w:footnote>
  <w:footnote w:id="504">
    <w:p w14:paraId="401F26E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10,32.</w:t>
      </w:r>
    </w:p>
  </w:footnote>
  <w:footnote w:id="505">
    <w:p w14:paraId="062502CE"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10,32.</w:t>
      </w:r>
    </w:p>
  </w:footnote>
  <w:footnote w:id="506">
    <w:p w14:paraId="54E94ED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25,47.</w:t>
      </w:r>
    </w:p>
  </w:footnote>
  <w:footnote w:id="507">
    <w:p w14:paraId="15832657"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25.</w:t>
      </w:r>
    </w:p>
  </w:footnote>
  <w:footnote w:id="508">
    <w:p w14:paraId="636297F8"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47.</w:t>
      </w:r>
    </w:p>
  </w:footnote>
  <w:footnote w:id="509">
    <w:p w14:paraId="586CE00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17,18,22,26,33,37,40,51,</w:t>
      </w:r>
      <w:r w:rsidRPr="008B459D">
        <w:rPr>
          <w:sz w:val="16"/>
          <w:szCs w:val="16"/>
          <w:lang w:val="en-GB"/>
        </w:rPr>
        <w:t>C03,C09.</w:t>
      </w:r>
    </w:p>
  </w:footnote>
  <w:footnote w:id="510">
    <w:p w14:paraId="63DC668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17,22,26.</w:t>
      </w:r>
    </w:p>
  </w:footnote>
  <w:footnote w:id="511">
    <w:p w14:paraId="19573DE4"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40,51. </w:t>
      </w:r>
    </w:p>
  </w:footnote>
  <w:footnote w:id="512">
    <w:p w14:paraId="42EE014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513">
    <w:p w14:paraId="3FB5175B"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33.</w:t>
      </w:r>
    </w:p>
  </w:footnote>
  <w:footnote w:id="514">
    <w:p w14:paraId="214DC7D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18.</w:t>
      </w:r>
    </w:p>
  </w:footnote>
  <w:footnote w:id="515">
    <w:p w14:paraId="3FF93FE7"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50.</w:t>
      </w:r>
    </w:p>
  </w:footnote>
  <w:footnote w:id="516">
    <w:p w14:paraId="581559DB"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C09.</w:t>
      </w:r>
    </w:p>
  </w:footnote>
  <w:footnote w:id="517">
    <w:p w14:paraId="462517B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C03.</w:t>
      </w:r>
    </w:p>
  </w:footnote>
  <w:footnote w:id="518">
    <w:p w14:paraId="180B128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05,09,11,25,27,31,37,39,47,51.</w:t>
      </w:r>
    </w:p>
  </w:footnote>
  <w:footnote w:id="519">
    <w:p w14:paraId="7BD1CEF4"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09,27,</w:t>
      </w:r>
      <w:r w:rsidRPr="008B459D">
        <w:rPr>
          <w:sz w:val="16"/>
          <w:szCs w:val="16"/>
          <w:lang w:val="en-GB"/>
        </w:rPr>
        <w:t>39.</w:t>
      </w:r>
    </w:p>
  </w:footnote>
  <w:footnote w:id="520">
    <w:p w14:paraId="3AFD5CA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521">
    <w:p w14:paraId="24D84FC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05,35,47,51.</w:t>
      </w:r>
    </w:p>
  </w:footnote>
  <w:footnote w:id="522">
    <w:p w14:paraId="197A633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05,51.</w:t>
      </w:r>
    </w:p>
  </w:footnote>
  <w:footnote w:id="523">
    <w:p w14:paraId="073CCC2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47.</w:t>
      </w:r>
    </w:p>
  </w:footnote>
  <w:footnote w:id="524">
    <w:p w14:paraId="4270131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37.</w:t>
      </w:r>
    </w:p>
  </w:footnote>
  <w:footnote w:id="525">
    <w:p w14:paraId="60981711"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05.</w:t>
      </w:r>
    </w:p>
  </w:footnote>
  <w:footnote w:id="526">
    <w:p w14:paraId="45B9C13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25.</w:t>
      </w:r>
    </w:p>
  </w:footnote>
  <w:footnote w:id="527">
    <w:p w14:paraId="023727B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25.</w:t>
      </w:r>
    </w:p>
  </w:footnote>
  <w:footnote w:id="528">
    <w:p w14:paraId="18FC4AB0"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11.</w:t>
      </w:r>
    </w:p>
  </w:footnote>
  <w:footnote w:id="529">
    <w:p w14:paraId="21CA114B"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05,21,30,38,40,51.</w:t>
      </w:r>
    </w:p>
  </w:footnote>
  <w:footnote w:id="530">
    <w:p w14:paraId="60061C12"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05,21,38,40,51.</w:t>
      </w:r>
    </w:p>
  </w:footnote>
  <w:footnote w:id="531">
    <w:p w14:paraId="656FD6B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30</w:t>
      </w:r>
    </w:p>
  </w:footnote>
  <w:footnote w:id="532">
    <w:p w14:paraId="0E8D5E89"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30</w:t>
      </w:r>
    </w:p>
  </w:footnote>
  <w:footnote w:id="533">
    <w:p w14:paraId="607073C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24,25,37,49,C04.</w:t>
      </w:r>
    </w:p>
  </w:footnote>
  <w:footnote w:id="534">
    <w:p w14:paraId="55157F9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C04.</w:t>
      </w:r>
    </w:p>
  </w:footnote>
  <w:footnote w:id="535">
    <w:p w14:paraId="34CD955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24,49.</w:t>
      </w:r>
    </w:p>
  </w:footnote>
  <w:footnote w:id="536">
    <w:p w14:paraId="4DE6BBE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24.</w:t>
      </w:r>
    </w:p>
  </w:footnote>
  <w:footnote w:id="537">
    <w:p w14:paraId="27C3D84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49.</w:t>
      </w:r>
    </w:p>
  </w:footnote>
  <w:footnote w:id="538">
    <w:p w14:paraId="1F4CCE3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49.</w:t>
      </w:r>
    </w:p>
  </w:footnote>
  <w:footnote w:id="539">
    <w:p w14:paraId="60901D8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37.</w:t>
      </w:r>
    </w:p>
  </w:footnote>
  <w:footnote w:id="540">
    <w:p w14:paraId="13CA709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25.</w:t>
      </w:r>
    </w:p>
  </w:footnote>
  <w:footnote w:id="541">
    <w:p w14:paraId="3BC281D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35,</w:t>
      </w:r>
      <w:r w:rsidRPr="008B459D">
        <w:rPr>
          <w:sz w:val="16"/>
          <w:szCs w:val="16"/>
          <w:lang w:val="en-GB"/>
        </w:rPr>
        <w:t>C05.</w:t>
      </w:r>
    </w:p>
  </w:footnote>
  <w:footnote w:id="542">
    <w:p w14:paraId="2FFCDB3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13,33,C04.</w:t>
      </w:r>
    </w:p>
  </w:footnote>
  <w:footnote w:id="543">
    <w:p w14:paraId="1271D3D3"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07,35,41.</w:t>
      </w:r>
    </w:p>
  </w:footnote>
  <w:footnote w:id="544">
    <w:p w14:paraId="33D8042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07,35</w:t>
      </w:r>
      <w:r w:rsidRPr="008B459D">
        <w:rPr>
          <w:sz w:val="16"/>
          <w:szCs w:val="16"/>
          <w:lang w:val="en-GB"/>
        </w:rPr>
        <w:t>.</w:t>
      </w:r>
    </w:p>
  </w:footnote>
  <w:footnote w:id="545">
    <w:p w14:paraId="0123C5A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546">
    <w:p w14:paraId="546252B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547">
    <w:p w14:paraId="5B0BEF0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09,18,39,48,</w:t>
      </w:r>
      <w:r w:rsidRPr="008B459D">
        <w:rPr>
          <w:sz w:val="16"/>
          <w:szCs w:val="16"/>
          <w:lang w:val="en-GB"/>
        </w:rPr>
        <w:t>C07.</w:t>
      </w:r>
    </w:p>
  </w:footnote>
  <w:footnote w:id="548">
    <w:p w14:paraId="73DEB05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549">
    <w:p w14:paraId="0579CC9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C07.</w:t>
      </w:r>
    </w:p>
  </w:footnote>
  <w:footnote w:id="550">
    <w:p w14:paraId="2CAAC69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551">
    <w:p w14:paraId="07B8E73A" w14:textId="77777777" w:rsidR="006A307E" w:rsidRPr="008B459D" w:rsidRDefault="006A307E" w:rsidP="006A307E">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552">
    <w:p w14:paraId="2E90C9B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553">
    <w:p w14:paraId="039698C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554">
    <w:p w14:paraId="436F6EA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09,18,39.</w:t>
      </w:r>
    </w:p>
  </w:footnote>
  <w:footnote w:id="555">
    <w:p w14:paraId="6BFC5A02" w14:textId="77777777" w:rsidR="00EA4649" w:rsidRPr="008B459D" w:rsidRDefault="00EA4649" w:rsidP="00EA4649">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556">
    <w:p w14:paraId="24F488C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09,</w:t>
      </w:r>
      <w:r w:rsidRPr="008B459D">
        <w:rPr>
          <w:sz w:val="16"/>
          <w:szCs w:val="16"/>
          <w:lang w:val="en-GB"/>
        </w:rPr>
        <w:t>39.</w:t>
      </w:r>
    </w:p>
  </w:footnote>
  <w:footnote w:id="557">
    <w:p w14:paraId="54313102"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39.</w:t>
      </w:r>
    </w:p>
  </w:footnote>
  <w:footnote w:id="558">
    <w:p w14:paraId="5F9019D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18.</w:t>
      </w:r>
    </w:p>
  </w:footnote>
  <w:footnote w:id="559">
    <w:p w14:paraId="363D534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18</w:t>
      </w:r>
      <w:r w:rsidRPr="008B459D">
        <w:rPr>
          <w:sz w:val="16"/>
          <w:szCs w:val="16"/>
          <w:lang w:val="en-GB"/>
        </w:rPr>
        <w:t>.</w:t>
      </w:r>
    </w:p>
  </w:footnote>
  <w:footnote w:id="560">
    <w:p w14:paraId="69AFDD3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03,04,05,08,10,13,18,19,21,27,29,34,38,39,40,42,46,50,51,C08.</w:t>
      </w:r>
    </w:p>
  </w:footnote>
  <w:footnote w:id="561">
    <w:p w14:paraId="4ED179B9" w14:textId="77777777" w:rsidR="001237FA" w:rsidRPr="008B459D" w:rsidRDefault="001237FA" w:rsidP="001237FA">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18,42.</w:t>
      </w:r>
    </w:p>
  </w:footnote>
  <w:footnote w:id="562">
    <w:p w14:paraId="55379C50" w14:textId="77777777" w:rsidR="001237FA" w:rsidRPr="008B459D" w:rsidRDefault="001237FA" w:rsidP="001237FA">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08.</w:t>
      </w:r>
    </w:p>
  </w:footnote>
  <w:footnote w:id="563">
    <w:p w14:paraId="1AC7A4A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03,05,10,19,21,38,40,51.</w:t>
      </w:r>
    </w:p>
  </w:footnote>
  <w:footnote w:id="564">
    <w:p w14:paraId="7804BB0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34,37,50.</w:t>
      </w:r>
    </w:p>
  </w:footnote>
  <w:footnote w:id="565">
    <w:p w14:paraId="67F4C0D0"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48.</w:t>
      </w:r>
    </w:p>
  </w:footnote>
  <w:footnote w:id="566">
    <w:p w14:paraId="54E5540D" w14:textId="77777777" w:rsidR="00C4650C" w:rsidRPr="008B459D" w:rsidRDefault="00C4650C" w:rsidP="00C4650C">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19.</w:t>
      </w:r>
    </w:p>
  </w:footnote>
  <w:footnote w:id="567">
    <w:p w14:paraId="145D31A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03,04,05,10,21,51.</w:t>
      </w:r>
    </w:p>
  </w:footnote>
  <w:footnote w:id="568">
    <w:p w14:paraId="5646BD9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04.</w:t>
      </w:r>
    </w:p>
  </w:footnote>
  <w:footnote w:id="569">
    <w:p w14:paraId="72E52A1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w:t>
      </w:r>
    </w:p>
  </w:footnote>
  <w:footnote w:id="570">
    <w:p w14:paraId="5C8CB06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27,29.</w:t>
      </w:r>
    </w:p>
  </w:footnote>
  <w:footnote w:id="571">
    <w:p w14:paraId="1C598AB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29.</w:t>
      </w:r>
    </w:p>
  </w:footnote>
  <w:footnote w:id="572">
    <w:p w14:paraId="322C242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73">
    <w:p w14:paraId="62743F3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74">
    <w:p w14:paraId="20AAFB2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13,27,29,</w:t>
      </w:r>
      <w:r w:rsidRPr="008B459D">
        <w:rPr>
          <w:sz w:val="16"/>
          <w:szCs w:val="16"/>
          <w:lang w:val="en-GB"/>
        </w:rPr>
        <w:t>39,C08.</w:t>
      </w:r>
    </w:p>
  </w:footnote>
  <w:footnote w:id="575">
    <w:p w14:paraId="5A71C18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03,04,05,13,16,21,32,34,42,47,50,51,</w:t>
      </w:r>
      <w:r w:rsidRPr="008B459D">
        <w:rPr>
          <w:sz w:val="16"/>
          <w:szCs w:val="16"/>
          <w:lang w:val="en-GB"/>
        </w:rPr>
        <w:t>C08.</w:t>
      </w:r>
    </w:p>
  </w:footnote>
  <w:footnote w:id="576">
    <w:p w14:paraId="591A91B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13,42.</w:t>
      </w:r>
    </w:p>
  </w:footnote>
  <w:footnote w:id="577">
    <w:p w14:paraId="6B54F75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16.</w:t>
      </w:r>
    </w:p>
  </w:footnote>
  <w:footnote w:id="578">
    <w:p w14:paraId="35A29B7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16.</w:t>
      </w:r>
    </w:p>
  </w:footnote>
  <w:footnote w:id="579">
    <w:p w14:paraId="3A33785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04.</w:t>
      </w:r>
    </w:p>
  </w:footnote>
  <w:footnote w:id="580">
    <w:p w14:paraId="639CF72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03,05,21,32,51.</w:t>
      </w:r>
    </w:p>
  </w:footnote>
  <w:footnote w:id="581">
    <w:p w14:paraId="40F1BDE9" w14:textId="77777777" w:rsidR="0015613D" w:rsidRPr="008B459D" w:rsidRDefault="0015613D" w:rsidP="0015613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34,47,50.</w:t>
      </w:r>
    </w:p>
  </w:footnote>
  <w:footnote w:id="582">
    <w:p w14:paraId="17C2609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34,47,50.</w:t>
      </w:r>
    </w:p>
  </w:footnote>
  <w:footnote w:id="583">
    <w:p w14:paraId="16FF8CDF"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84">
    <w:p w14:paraId="64CBF39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85">
    <w:p w14:paraId="7F4CEAF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05,13,18,21,25,27,41,42,51,C08.</w:t>
      </w:r>
    </w:p>
  </w:footnote>
  <w:footnote w:id="586">
    <w:p w14:paraId="44DF7414"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25,33.</w:t>
      </w:r>
    </w:p>
  </w:footnote>
  <w:footnote w:id="587">
    <w:p w14:paraId="4B74F576"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42.</w:t>
      </w:r>
    </w:p>
  </w:footnote>
  <w:footnote w:id="588">
    <w:p w14:paraId="60F993A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89">
    <w:p w14:paraId="61A3053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90">
    <w:p w14:paraId="460C5072" w14:textId="77777777" w:rsidR="005C4A70" w:rsidRPr="008B459D" w:rsidRDefault="005C4A70" w:rsidP="005C4A70">
      <w:pPr>
        <w:rPr>
          <w:sz w:val="16"/>
          <w:szCs w:val="16"/>
        </w:rPr>
      </w:pPr>
    </w:p>
    <w:p w14:paraId="6176FF1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591">
    <w:p w14:paraId="2D25728C"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13.</w:t>
      </w:r>
    </w:p>
  </w:footnote>
  <w:footnote w:id="592">
    <w:p w14:paraId="10A8202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05,21,40,51.</w:t>
      </w:r>
    </w:p>
  </w:footnote>
  <w:footnote w:id="593">
    <w:p w14:paraId="1CE55F7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18.</w:t>
      </w:r>
    </w:p>
  </w:footnote>
  <w:footnote w:id="594">
    <w:p w14:paraId="268C2B0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w:t>
      </w:r>
    </w:p>
  </w:footnote>
  <w:footnote w:id="595">
    <w:p w14:paraId="6A5B7A5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13.</w:t>
      </w:r>
    </w:p>
  </w:footnote>
  <w:footnote w:id="596">
    <w:p w14:paraId="52724549" w14:textId="77777777" w:rsidR="005C4A70" w:rsidRPr="008B459D" w:rsidRDefault="005C4A70" w:rsidP="005C4A70">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10,51.</w:t>
      </w:r>
    </w:p>
  </w:footnote>
  <w:footnote w:id="597">
    <w:p w14:paraId="04D8D2E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10.</w:t>
      </w:r>
    </w:p>
  </w:footnote>
  <w:footnote w:id="598">
    <w:p w14:paraId="0D1F58B6" w14:textId="77777777" w:rsidR="005C4A70" w:rsidRPr="008B459D" w:rsidRDefault="005C4A70" w:rsidP="005C4A70">
      <w:pPr>
        <w:pStyle w:val="FootnoteText"/>
        <w:rPr>
          <w:sz w:val="16"/>
          <w:szCs w:val="16"/>
        </w:rPr>
      </w:pPr>
      <w:r w:rsidRPr="008B459D">
        <w:rPr>
          <w:rStyle w:val="FootnoteReference"/>
          <w:sz w:val="16"/>
          <w:szCs w:val="16"/>
        </w:rPr>
        <w:footnoteRef/>
      </w:r>
      <w:r w:rsidRPr="008B459D">
        <w:rPr>
          <w:sz w:val="16"/>
          <w:szCs w:val="16"/>
        </w:rPr>
        <w:t xml:space="preserve"> 51.</w:t>
      </w:r>
    </w:p>
  </w:footnote>
  <w:footnote w:id="599">
    <w:p w14:paraId="091AE1D5" w14:textId="77777777" w:rsidR="00B4145D" w:rsidRPr="008B459D" w:rsidRDefault="00B4145D" w:rsidP="00B4145D">
      <w:pPr>
        <w:pStyle w:val="FootnoteText"/>
        <w:rPr>
          <w:sz w:val="16"/>
          <w:szCs w:val="16"/>
          <w:lang w:val="en-GB"/>
        </w:rPr>
      </w:pPr>
      <w:r w:rsidRPr="008B459D">
        <w:rPr>
          <w:rStyle w:val="FootnoteReference"/>
          <w:sz w:val="16"/>
          <w:szCs w:val="16"/>
        </w:rPr>
        <w:footnoteRef/>
      </w:r>
      <w:r w:rsidRPr="008B459D">
        <w:rPr>
          <w:sz w:val="16"/>
          <w:szCs w:val="16"/>
        </w:rPr>
        <w:t xml:space="preserve"> 07,09,12,13,16,18,27,31,35,37,39,41,52,C01C02,C05,C06,C09.</w:t>
      </w:r>
    </w:p>
  </w:footnote>
  <w:footnote w:id="600">
    <w:p w14:paraId="01EDFD7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07,09,13,18,27,31,37,41.</w:t>
      </w:r>
    </w:p>
  </w:footnote>
  <w:footnote w:id="601">
    <w:p w14:paraId="5A84E124" w14:textId="77777777" w:rsidR="00694512" w:rsidRPr="008B459D" w:rsidRDefault="00694512" w:rsidP="00694512">
      <w:pPr>
        <w:pStyle w:val="FootnoteText"/>
        <w:rPr>
          <w:sz w:val="16"/>
          <w:szCs w:val="16"/>
          <w:lang w:val="en-GB"/>
        </w:rPr>
      </w:pPr>
      <w:r w:rsidRPr="008B459D">
        <w:rPr>
          <w:rStyle w:val="FootnoteReference"/>
          <w:sz w:val="16"/>
          <w:szCs w:val="16"/>
        </w:rPr>
        <w:footnoteRef/>
      </w:r>
      <w:r w:rsidRPr="008B459D">
        <w:rPr>
          <w:sz w:val="16"/>
          <w:szCs w:val="16"/>
        </w:rPr>
        <w:t xml:space="preserve"> 18.</w:t>
      </w:r>
    </w:p>
  </w:footnote>
  <w:footnote w:id="602">
    <w:p w14:paraId="2222581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18.</w:t>
      </w:r>
    </w:p>
  </w:footnote>
  <w:footnote w:id="603">
    <w:p w14:paraId="17FF110C" w14:textId="77777777" w:rsidR="00A4588B" w:rsidRPr="008B459D" w:rsidRDefault="00A4588B" w:rsidP="00A4588B">
      <w:pPr>
        <w:pStyle w:val="FootnoteText"/>
        <w:rPr>
          <w:sz w:val="16"/>
          <w:szCs w:val="16"/>
          <w:lang w:val="en-GB"/>
        </w:rPr>
      </w:pPr>
      <w:r w:rsidRPr="008B459D">
        <w:rPr>
          <w:rStyle w:val="FootnoteReference"/>
          <w:sz w:val="16"/>
          <w:szCs w:val="16"/>
        </w:rPr>
        <w:footnoteRef/>
      </w:r>
      <w:r w:rsidRPr="008B459D">
        <w:rPr>
          <w:sz w:val="16"/>
          <w:szCs w:val="16"/>
        </w:rPr>
        <w:t xml:space="preserve"> 41.</w:t>
      </w:r>
    </w:p>
  </w:footnote>
  <w:footnote w:id="604">
    <w:p w14:paraId="47E7A750" w14:textId="77777777" w:rsidR="00BE424E" w:rsidRPr="008B459D" w:rsidRDefault="00BE424E" w:rsidP="00BE424E">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605">
    <w:p w14:paraId="76F2B3F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27,29,41,46,47.</w:t>
      </w:r>
    </w:p>
  </w:footnote>
  <w:footnote w:id="606">
    <w:p w14:paraId="57EDE690"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29,46,47.</w:t>
      </w:r>
    </w:p>
  </w:footnote>
  <w:footnote w:id="607">
    <w:p w14:paraId="5CB2FD3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27, 41.</w:t>
      </w:r>
    </w:p>
  </w:footnote>
  <w:footnote w:id="608">
    <w:p w14:paraId="59A8740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609">
    <w:p w14:paraId="2E781CF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C04.</w:t>
      </w:r>
    </w:p>
  </w:footnote>
  <w:footnote w:id="610">
    <w:p w14:paraId="50FC033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13.</w:t>
      </w:r>
    </w:p>
  </w:footnote>
  <w:footnote w:id="611">
    <w:p w14:paraId="6F13A2B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07,09,13,23,27,29,37,40,41,44,45,46,47,48,52,55,</w:t>
      </w:r>
      <w:r w:rsidRPr="008B459D">
        <w:rPr>
          <w:sz w:val="16"/>
          <w:szCs w:val="16"/>
          <w:lang w:val="en-GB"/>
        </w:rPr>
        <w:t>C07,C09.</w:t>
      </w:r>
    </w:p>
  </w:footnote>
  <w:footnote w:id="612">
    <w:p w14:paraId="5F55B1C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45.</w:t>
      </w:r>
    </w:p>
  </w:footnote>
  <w:footnote w:id="613">
    <w:p w14:paraId="7592DA37"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C09.</w:t>
      </w:r>
    </w:p>
  </w:footnote>
  <w:footnote w:id="614">
    <w:p w14:paraId="1DCA5A8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07.</w:t>
      </w:r>
    </w:p>
  </w:footnote>
  <w:footnote w:id="615">
    <w:p w14:paraId="76FFD245"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44</w:t>
      </w:r>
    </w:p>
  </w:footnote>
  <w:footnote w:id="616">
    <w:p w14:paraId="4F328A1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23.</w:t>
      </w:r>
    </w:p>
  </w:footnote>
  <w:footnote w:id="617">
    <w:p w14:paraId="60E96DD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w:t>
      </w:r>
    </w:p>
  </w:footnote>
  <w:footnote w:id="618">
    <w:p w14:paraId="76280C93"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C07.</w:t>
      </w:r>
    </w:p>
  </w:footnote>
  <w:footnote w:id="619">
    <w:p w14:paraId="7B4B9251" w14:textId="77777777" w:rsidR="005D73CF" w:rsidRPr="008B459D" w:rsidRDefault="005D73CF" w:rsidP="005D73CF">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55.</w:t>
      </w:r>
    </w:p>
  </w:footnote>
  <w:footnote w:id="620">
    <w:p w14:paraId="679C1DEF" w14:textId="77777777" w:rsidR="005D73CF" w:rsidRPr="008B459D" w:rsidRDefault="005D73CF" w:rsidP="005D73CF">
      <w:pPr>
        <w:pStyle w:val="FootnoteText"/>
        <w:rPr>
          <w:sz w:val="16"/>
          <w:szCs w:val="16"/>
          <w:lang w:val="en-GB"/>
        </w:rPr>
      </w:pPr>
      <w:r w:rsidRPr="008B459D">
        <w:rPr>
          <w:rStyle w:val="FootnoteReference"/>
          <w:sz w:val="16"/>
          <w:szCs w:val="16"/>
        </w:rPr>
        <w:footnoteRef/>
      </w:r>
      <w:r w:rsidRPr="008B459D">
        <w:rPr>
          <w:sz w:val="16"/>
          <w:szCs w:val="16"/>
        </w:rPr>
        <w:t xml:space="preserve"> 52.</w:t>
      </w:r>
    </w:p>
  </w:footnote>
  <w:footnote w:id="621">
    <w:p w14:paraId="79774F12"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31.</w:t>
      </w:r>
    </w:p>
  </w:footnote>
  <w:footnote w:id="622">
    <w:p w14:paraId="3EAFB7E8"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47.</w:t>
      </w:r>
    </w:p>
  </w:footnote>
  <w:footnote w:id="623">
    <w:p w14:paraId="762F1419"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624">
    <w:p w14:paraId="0722F49A"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625">
    <w:p w14:paraId="630E729D"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48.</w:t>
      </w:r>
    </w:p>
  </w:footnote>
  <w:footnote w:id="626">
    <w:p w14:paraId="3C4FD37E"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627">
    <w:p w14:paraId="5D71562C" w14:textId="77777777" w:rsidR="005C4A70" w:rsidRPr="008B459D" w:rsidRDefault="005C4A70" w:rsidP="005C4A70">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628">
    <w:p w14:paraId="6B0E7479" w14:textId="77777777" w:rsidR="00E6493F" w:rsidRPr="008B459D" w:rsidRDefault="00E6493F" w:rsidP="00E6493F">
      <w:pPr>
        <w:pStyle w:val="FootnoteText"/>
        <w:rPr>
          <w:sz w:val="16"/>
          <w:szCs w:val="16"/>
        </w:rPr>
      </w:pPr>
      <w:r w:rsidRPr="008B459D">
        <w:rPr>
          <w:rStyle w:val="FootnoteReference"/>
          <w:sz w:val="16"/>
          <w:szCs w:val="16"/>
        </w:rPr>
        <w:footnoteRef/>
      </w:r>
      <w:r w:rsidRPr="008B459D">
        <w:rPr>
          <w:sz w:val="16"/>
          <w:szCs w:val="16"/>
        </w:rPr>
        <w:t xml:space="preserve"> 07,18,30,31,35,41,C01,C06.</w:t>
      </w:r>
    </w:p>
  </w:footnote>
  <w:footnote w:id="629">
    <w:p w14:paraId="4EA59BAF" w14:textId="77777777" w:rsidR="00E6493F" w:rsidRPr="008B459D" w:rsidRDefault="00E6493F" w:rsidP="00E6493F">
      <w:pPr>
        <w:pStyle w:val="FootnoteText"/>
        <w:rPr>
          <w:sz w:val="16"/>
          <w:szCs w:val="16"/>
        </w:rPr>
      </w:pPr>
      <w:r w:rsidRPr="008B459D">
        <w:rPr>
          <w:rStyle w:val="FootnoteReference"/>
          <w:sz w:val="16"/>
          <w:szCs w:val="16"/>
        </w:rPr>
        <w:footnoteRef/>
      </w:r>
      <w:r w:rsidRPr="008B459D">
        <w:rPr>
          <w:sz w:val="16"/>
          <w:szCs w:val="16"/>
        </w:rPr>
        <w:t xml:space="preserve"> 07,18,35,41,C06.</w:t>
      </w:r>
    </w:p>
  </w:footnote>
  <w:footnote w:id="630">
    <w:p w14:paraId="12861333" w14:textId="77777777" w:rsidR="00EF4E40" w:rsidRPr="008B459D" w:rsidRDefault="00EF4E40" w:rsidP="00EF4E40">
      <w:pPr>
        <w:pStyle w:val="FootnoteText"/>
        <w:rPr>
          <w:sz w:val="16"/>
          <w:szCs w:val="16"/>
        </w:rPr>
      </w:pPr>
      <w:r w:rsidRPr="008B459D">
        <w:rPr>
          <w:rStyle w:val="FootnoteReference"/>
          <w:sz w:val="16"/>
          <w:szCs w:val="16"/>
        </w:rPr>
        <w:footnoteRef/>
      </w:r>
      <w:r w:rsidRPr="008B459D">
        <w:rPr>
          <w:sz w:val="16"/>
          <w:szCs w:val="16"/>
        </w:rPr>
        <w:t xml:space="preserve"> 18,35,C06.</w:t>
      </w:r>
    </w:p>
  </w:footnote>
  <w:footnote w:id="631">
    <w:p w14:paraId="03E82211" w14:textId="06F00025" w:rsidR="000614A9" w:rsidRPr="008B459D" w:rsidRDefault="000614A9">
      <w:pPr>
        <w:pStyle w:val="FootnoteText"/>
        <w:rPr>
          <w:sz w:val="16"/>
          <w:szCs w:val="16"/>
        </w:rPr>
      </w:pPr>
      <w:r w:rsidRPr="008B459D">
        <w:rPr>
          <w:rStyle w:val="FootnoteReference"/>
          <w:sz w:val="16"/>
          <w:szCs w:val="16"/>
        </w:rPr>
        <w:footnoteRef/>
      </w:r>
      <w:r w:rsidRPr="008B459D">
        <w:rPr>
          <w:sz w:val="16"/>
          <w:szCs w:val="16"/>
        </w:rPr>
        <w:t xml:space="preserve"> C06.</w:t>
      </w:r>
    </w:p>
  </w:footnote>
  <w:footnote w:id="632">
    <w:p w14:paraId="1DC82577" w14:textId="3F5CB319" w:rsidR="00887BC2" w:rsidRPr="008B459D" w:rsidRDefault="00887BC2">
      <w:pPr>
        <w:pStyle w:val="FootnoteText"/>
        <w:rPr>
          <w:sz w:val="16"/>
          <w:szCs w:val="16"/>
        </w:rPr>
      </w:pPr>
      <w:r w:rsidRPr="008B459D">
        <w:rPr>
          <w:rStyle w:val="FootnoteReference"/>
          <w:sz w:val="16"/>
          <w:szCs w:val="16"/>
        </w:rPr>
        <w:footnoteRef/>
      </w:r>
      <w:r w:rsidRPr="008B459D">
        <w:rPr>
          <w:sz w:val="16"/>
          <w:szCs w:val="16"/>
        </w:rPr>
        <w:t xml:space="preserve"> 18.</w:t>
      </w:r>
    </w:p>
  </w:footnote>
  <w:footnote w:id="633">
    <w:p w14:paraId="3E0AAE66" w14:textId="4489E274" w:rsidR="00F448DE" w:rsidRPr="008B459D" w:rsidRDefault="00F448DE">
      <w:pPr>
        <w:pStyle w:val="FootnoteText"/>
        <w:rPr>
          <w:sz w:val="16"/>
          <w:szCs w:val="16"/>
          <w:lang w:val="mi-NZ"/>
        </w:rPr>
      </w:pPr>
      <w:r w:rsidRPr="008B459D">
        <w:rPr>
          <w:rStyle w:val="FootnoteReference"/>
          <w:sz w:val="16"/>
          <w:szCs w:val="16"/>
        </w:rPr>
        <w:footnoteRef/>
      </w:r>
      <w:r w:rsidRPr="008B459D">
        <w:rPr>
          <w:sz w:val="16"/>
          <w:szCs w:val="16"/>
        </w:rPr>
        <w:t xml:space="preserve"> 18.</w:t>
      </w:r>
    </w:p>
  </w:footnote>
  <w:footnote w:id="634">
    <w:p w14:paraId="4944AE21" w14:textId="77777777" w:rsidR="00B2162F" w:rsidRPr="008B459D" w:rsidRDefault="00B2162F" w:rsidP="00B2162F">
      <w:pPr>
        <w:pStyle w:val="FootnoteText"/>
        <w:rPr>
          <w:sz w:val="16"/>
          <w:szCs w:val="16"/>
        </w:rPr>
      </w:pPr>
      <w:r w:rsidRPr="008B459D">
        <w:rPr>
          <w:rStyle w:val="FootnoteReference"/>
          <w:sz w:val="16"/>
          <w:szCs w:val="16"/>
        </w:rPr>
        <w:footnoteRef/>
      </w:r>
      <w:r w:rsidRPr="008B459D">
        <w:rPr>
          <w:sz w:val="16"/>
          <w:szCs w:val="16"/>
        </w:rPr>
        <w:t xml:space="preserve"> 07.</w:t>
      </w:r>
    </w:p>
  </w:footnote>
  <w:footnote w:id="635">
    <w:p w14:paraId="40F6002F" w14:textId="77777777" w:rsidR="00B2162F" w:rsidRPr="008B459D" w:rsidRDefault="00B2162F" w:rsidP="00B2162F">
      <w:pPr>
        <w:pStyle w:val="FootnoteText"/>
        <w:rPr>
          <w:sz w:val="16"/>
          <w:szCs w:val="16"/>
        </w:rPr>
      </w:pPr>
      <w:r w:rsidRPr="008B459D">
        <w:rPr>
          <w:rStyle w:val="FootnoteReference"/>
          <w:sz w:val="16"/>
          <w:szCs w:val="16"/>
        </w:rPr>
        <w:footnoteRef/>
      </w:r>
      <w:r w:rsidRPr="008B459D">
        <w:rPr>
          <w:sz w:val="16"/>
          <w:szCs w:val="16"/>
        </w:rPr>
        <w:t xml:space="preserve"> 41.</w:t>
      </w:r>
    </w:p>
  </w:footnote>
  <w:footnote w:id="636">
    <w:p w14:paraId="03161D9B" w14:textId="77777777" w:rsidR="00B2162F" w:rsidRPr="008B459D" w:rsidRDefault="00B2162F" w:rsidP="00B2162F">
      <w:pPr>
        <w:pStyle w:val="FootnoteText"/>
        <w:rPr>
          <w:sz w:val="16"/>
          <w:szCs w:val="16"/>
          <w:lang w:val="mi-NZ"/>
        </w:rPr>
      </w:pPr>
      <w:r w:rsidRPr="008B459D">
        <w:rPr>
          <w:rStyle w:val="FootnoteReference"/>
          <w:sz w:val="16"/>
          <w:szCs w:val="16"/>
        </w:rPr>
        <w:footnoteRef/>
      </w:r>
      <w:r w:rsidRPr="008B459D">
        <w:rPr>
          <w:sz w:val="16"/>
          <w:szCs w:val="16"/>
        </w:rPr>
        <w:t xml:space="preserve"> 41.</w:t>
      </w:r>
    </w:p>
  </w:footnote>
  <w:footnote w:id="637">
    <w:p w14:paraId="49E00F69" w14:textId="77777777" w:rsidR="00B2162F" w:rsidRPr="008B459D" w:rsidRDefault="00B2162F" w:rsidP="00B2162F">
      <w:pPr>
        <w:pStyle w:val="FootnoteText"/>
        <w:rPr>
          <w:sz w:val="16"/>
          <w:szCs w:val="16"/>
        </w:rPr>
      </w:pPr>
      <w:r w:rsidRPr="008B459D">
        <w:rPr>
          <w:rStyle w:val="FootnoteReference"/>
          <w:sz w:val="16"/>
          <w:szCs w:val="16"/>
        </w:rPr>
        <w:footnoteRef/>
      </w:r>
      <w:r w:rsidRPr="008B459D">
        <w:rPr>
          <w:sz w:val="16"/>
          <w:szCs w:val="16"/>
        </w:rPr>
        <w:t xml:space="preserve"> 30.</w:t>
      </w:r>
    </w:p>
  </w:footnote>
  <w:footnote w:id="638">
    <w:p w14:paraId="68B9BE56" w14:textId="77777777" w:rsidR="00933105" w:rsidRPr="008B459D" w:rsidRDefault="00933105" w:rsidP="00933105">
      <w:pPr>
        <w:pStyle w:val="FootnoteText"/>
        <w:rPr>
          <w:sz w:val="16"/>
          <w:szCs w:val="16"/>
        </w:rPr>
      </w:pPr>
      <w:r w:rsidRPr="008B459D">
        <w:rPr>
          <w:rStyle w:val="FootnoteReference"/>
          <w:sz w:val="16"/>
          <w:szCs w:val="16"/>
        </w:rPr>
        <w:footnoteRef/>
      </w:r>
      <w:r w:rsidRPr="008B459D">
        <w:rPr>
          <w:sz w:val="16"/>
          <w:szCs w:val="16"/>
        </w:rPr>
        <w:t xml:space="preserve"> C01.</w:t>
      </w:r>
    </w:p>
  </w:footnote>
  <w:footnote w:id="639">
    <w:p w14:paraId="0BBA6AAE" w14:textId="77777777" w:rsidR="00933105" w:rsidRPr="008B459D" w:rsidRDefault="00933105" w:rsidP="00933105">
      <w:pPr>
        <w:pStyle w:val="FootnoteText"/>
        <w:rPr>
          <w:sz w:val="16"/>
          <w:szCs w:val="16"/>
        </w:rPr>
      </w:pPr>
      <w:r w:rsidRPr="008B459D">
        <w:rPr>
          <w:rStyle w:val="FootnoteReference"/>
          <w:sz w:val="16"/>
          <w:szCs w:val="16"/>
        </w:rPr>
        <w:footnoteRef/>
      </w:r>
      <w:r w:rsidRPr="008B459D">
        <w:rPr>
          <w:sz w:val="16"/>
          <w:szCs w:val="16"/>
        </w:rPr>
        <w:t xml:space="preserve"> C01.</w:t>
      </w:r>
    </w:p>
  </w:footnote>
  <w:footnote w:id="640">
    <w:p w14:paraId="05E336C2" w14:textId="77777777" w:rsidR="00676BC6" w:rsidRPr="008B459D" w:rsidRDefault="00676BC6" w:rsidP="00676BC6">
      <w:pPr>
        <w:pStyle w:val="FootnoteText"/>
        <w:rPr>
          <w:sz w:val="16"/>
          <w:szCs w:val="16"/>
        </w:rPr>
      </w:pPr>
      <w:r w:rsidRPr="008B459D">
        <w:rPr>
          <w:rStyle w:val="FootnoteReference"/>
          <w:sz w:val="16"/>
          <w:szCs w:val="16"/>
        </w:rPr>
        <w:footnoteRef/>
      </w:r>
      <w:r w:rsidRPr="008B459D">
        <w:rPr>
          <w:sz w:val="16"/>
          <w:szCs w:val="16"/>
        </w:rPr>
        <w:t xml:space="preserve"> 31.</w:t>
      </w:r>
    </w:p>
  </w:footnote>
  <w:footnote w:id="641">
    <w:p w14:paraId="1C49BE82" w14:textId="4F25CA9E" w:rsidR="00A32FFD" w:rsidRPr="008B459D" w:rsidRDefault="00A32FFD">
      <w:pPr>
        <w:pStyle w:val="FootnoteText"/>
        <w:rPr>
          <w:sz w:val="16"/>
          <w:szCs w:val="16"/>
        </w:rPr>
      </w:pPr>
      <w:r w:rsidRPr="008B459D">
        <w:rPr>
          <w:rStyle w:val="FootnoteReference"/>
          <w:sz w:val="16"/>
          <w:szCs w:val="16"/>
        </w:rPr>
        <w:footnoteRef/>
      </w:r>
      <w:r w:rsidRPr="008B459D">
        <w:rPr>
          <w:sz w:val="16"/>
          <w:szCs w:val="16"/>
        </w:rPr>
        <w:t xml:space="preserve"> 31.</w:t>
      </w:r>
    </w:p>
  </w:footnote>
  <w:footnote w:id="642">
    <w:p w14:paraId="3591B0D7" w14:textId="3EBD5F70" w:rsidR="009B04F3" w:rsidRPr="008B459D" w:rsidRDefault="009B04F3">
      <w:pPr>
        <w:pStyle w:val="FootnoteText"/>
        <w:rPr>
          <w:sz w:val="16"/>
          <w:szCs w:val="16"/>
        </w:rPr>
      </w:pPr>
      <w:r w:rsidRPr="008B459D">
        <w:rPr>
          <w:rStyle w:val="FootnoteReference"/>
          <w:sz w:val="16"/>
          <w:szCs w:val="16"/>
        </w:rPr>
        <w:footnoteRef/>
      </w:r>
      <w:r w:rsidRPr="008B459D">
        <w:rPr>
          <w:sz w:val="16"/>
          <w:szCs w:val="16"/>
        </w:rPr>
        <w:t xml:space="preserve"> 31.</w:t>
      </w:r>
    </w:p>
  </w:footnote>
  <w:footnote w:id="643">
    <w:p w14:paraId="5A8CB240" w14:textId="77777777" w:rsidR="009B04F3" w:rsidRPr="008B459D" w:rsidRDefault="009B04F3" w:rsidP="009B04F3">
      <w:pPr>
        <w:pStyle w:val="FootnoteText"/>
        <w:rPr>
          <w:sz w:val="16"/>
          <w:szCs w:val="16"/>
        </w:rPr>
      </w:pPr>
      <w:r w:rsidRPr="008B459D">
        <w:rPr>
          <w:rStyle w:val="FootnoteReference"/>
          <w:sz w:val="16"/>
          <w:szCs w:val="16"/>
        </w:rPr>
        <w:footnoteRef/>
      </w:r>
      <w:r w:rsidRPr="008B459D">
        <w:rPr>
          <w:sz w:val="16"/>
          <w:szCs w:val="16"/>
        </w:rPr>
        <w:t xml:space="preserve"> 03,04,05,07,09,10,15,17,22,26,27,30,31,32,33,35,36,38,40,41,42,51,C01,C06.</w:t>
      </w:r>
    </w:p>
  </w:footnote>
  <w:footnote w:id="644">
    <w:p w14:paraId="7C1AD523" w14:textId="203C3625" w:rsidR="00CB2413" w:rsidRPr="008B459D" w:rsidRDefault="00CB2413" w:rsidP="00CB2413">
      <w:pPr>
        <w:pStyle w:val="FootnoteText"/>
        <w:rPr>
          <w:sz w:val="16"/>
          <w:szCs w:val="16"/>
          <w:lang w:val="en-US"/>
        </w:rPr>
      </w:pPr>
      <w:r w:rsidRPr="008B459D">
        <w:rPr>
          <w:rStyle w:val="FootnoteReference"/>
          <w:sz w:val="16"/>
          <w:szCs w:val="16"/>
        </w:rPr>
        <w:footnoteRef/>
      </w:r>
      <w:r w:rsidRPr="008B459D">
        <w:rPr>
          <w:sz w:val="16"/>
          <w:szCs w:val="16"/>
        </w:rPr>
        <w:t xml:space="preserve"> 03,04,05,09,15,22,26,</w:t>
      </w:r>
      <w:r w:rsidR="00AA453F">
        <w:rPr>
          <w:sz w:val="16"/>
          <w:szCs w:val="16"/>
        </w:rPr>
        <w:t>27,</w:t>
      </w:r>
      <w:r w:rsidRPr="008B459D">
        <w:rPr>
          <w:sz w:val="16"/>
          <w:szCs w:val="16"/>
        </w:rPr>
        <w:t>32,38,40,5</w:t>
      </w:r>
      <w:r w:rsidRPr="008B459D">
        <w:rPr>
          <w:sz w:val="16"/>
          <w:szCs w:val="16"/>
          <w:lang w:val="en-US"/>
        </w:rPr>
        <w:t>1,</w:t>
      </w:r>
      <w:r w:rsidRPr="008B459D">
        <w:rPr>
          <w:sz w:val="16"/>
          <w:szCs w:val="16"/>
        </w:rPr>
        <w:t>C01.</w:t>
      </w:r>
    </w:p>
  </w:footnote>
  <w:footnote w:id="645">
    <w:p w14:paraId="2E204C42" w14:textId="77777777" w:rsidR="001F4018" w:rsidRPr="008B459D" w:rsidRDefault="001F4018" w:rsidP="001F4018">
      <w:pPr>
        <w:pStyle w:val="FootnoteText"/>
        <w:rPr>
          <w:sz w:val="16"/>
          <w:szCs w:val="16"/>
          <w:lang w:val="en-US"/>
        </w:rPr>
      </w:pPr>
      <w:r w:rsidRPr="008B459D">
        <w:rPr>
          <w:rStyle w:val="FootnoteReference"/>
          <w:sz w:val="16"/>
          <w:szCs w:val="16"/>
        </w:rPr>
        <w:footnoteRef/>
      </w:r>
      <w:r w:rsidRPr="008B459D">
        <w:rPr>
          <w:sz w:val="16"/>
          <w:szCs w:val="16"/>
        </w:rPr>
        <w:t xml:space="preserve"> 03,04,05,15,22,26,32,38,51.</w:t>
      </w:r>
    </w:p>
  </w:footnote>
  <w:footnote w:id="646">
    <w:p w14:paraId="1A2C1B86" w14:textId="689E15B5" w:rsidR="008F6DB4" w:rsidRPr="00022A48" w:rsidRDefault="008F6DB4">
      <w:pPr>
        <w:pStyle w:val="FootnoteText"/>
        <w:rPr>
          <w:sz w:val="16"/>
          <w:szCs w:val="16"/>
          <w:lang w:val="en-US"/>
        </w:rPr>
      </w:pPr>
      <w:r w:rsidRPr="008B459D">
        <w:rPr>
          <w:rStyle w:val="FootnoteReference"/>
          <w:sz w:val="16"/>
          <w:szCs w:val="16"/>
        </w:rPr>
        <w:footnoteRef/>
      </w:r>
      <w:r w:rsidRPr="008B459D">
        <w:rPr>
          <w:sz w:val="16"/>
          <w:szCs w:val="16"/>
        </w:rPr>
        <w:t xml:space="preserve"> </w:t>
      </w:r>
      <w:r w:rsidR="0048047F" w:rsidRPr="00022A48">
        <w:rPr>
          <w:sz w:val="16"/>
          <w:szCs w:val="16"/>
        </w:rPr>
        <w:t>05,51</w:t>
      </w:r>
      <w:r w:rsidR="00DC2AB1" w:rsidRPr="00022A48">
        <w:rPr>
          <w:sz w:val="16"/>
          <w:szCs w:val="16"/>
        </w:rPr>
        <w:t>.</w:t>
      </w:r>
    </w:p>
  </w:footnote>
  <w:footnote w:id="647">
    <w:p w14:paraId="2928A4F2" w14:textId="13B3BA4A" w:rsidR="0048047F" w:rsidRPr="00022A48" w:rsidRDefault="0048047F">
      <w:pPr>
        <w:pStyle w:val="FootnoteText"/>
        <w:rPr>
          <w:sz w:val="16"/>
          <w:szCs w:val="16"/>
          <w:lang w:val="en-US"/>
        </w:rPr>
      </w:pPr>
      <w:r w:rsidRPr="00022A48">
        <w:rPr>
          <w:rStyle w:val="FootnoteReference"/>
          <w:sz w:val="16"/>
          <w:szCs w:val="16"/>
        </w:rPr>
        <w:footnoteRef/>
      </w:r>
      <w:r w:rsidRPr="00022A48">
        <w:rPr>
          <w:sz w:val="16"/>
          <w:szCs w:val="16"/>
        </w:rPr>
        <w:t xml:space="preserve"> </w:t>
      </w:r>
      <w:r w:rsidR="00D931AC" w:rsidRPr="00022A48">
        <w:rPr>
          <w:sz w:val="16"/>
          <w:szCs w:val="16"/>
          <w:lang w:val="en-US"/>
        </w:rPr>
        <w:t>05,22,26,</w:t>
      </w:r>
      <w:r w:rsidR="00C77ADE" w:rsidRPr="00022A48">
        <w:rPr>
          <w:sz w:val="16"/>
          <w:szCs w:val="16"/>
          <w:lang w:val="en-US"/>
        </w:rPr>
        <w:t>40,</w:t>
      </w:r>
      <w:r w:rsidR="00D931AC" w:rsidRPr="00022A48">
        <w:rPr>
          <w:sz w:val="16"/>
          <w:szCs w:val="16"/>
          <w:lang w:val="en-US"/>
        </w:rPr>
        <w:t>51</w:t>
      </w:r>
      <w:r w:rsidR="00DC2AB1" w:rsidRPr="00022A48">
        <w:rPr>
          <w:sz w:val="16"/>
          <w:szCs w:val="16"/>
          <w:lang w:val="en-US"/>
        </w:rPr>
        <w:t>.</w:t>
      </w:r>
    </w:p>
  </w:footnote>
  <w:footnote w:id="648">
    <w:p w14:paraId="4E27B29B" w14:textId="7D952B38" w:rsidR="004C26C0" w:rsidRPr="00022A48" w:rsidRDefault="004C26C0">
      <w:pPr>
        <w:pStyle w:val="FootnoteText"/>
        <w:rPr>
          <w:sz w:val="16"/>
          <w:szCs w:val="16"/>
        </w:rPr>
      </w:pPr>
      <w:r w:rsidRPr="00022A48">
        <w:rPr>
          <w:rStyle w:val="FootnoteReference"/>
          <w:sz w:val="16"/>
          <w:szCs w:val="16"/>
        </w:rPr>
        <w:footnoteRef/>
      </w:r>
      <w:r w:rsidRPr="00022A48">
        <w:rPr>
          <w:sz w:val="16"/>
          <w:szCs w:val="16"/>
        </w:rPr>
        <w:t xml:space="preserve"> 05. </w:t>
      </w:r>
    </w:p>
  </w:footnote>
  <w:footnote w:id="649">
    <w:p w14:paraId="777AD85A" w14:textId="373DBCB6" w:rsidR="004C26C0" w:rsidRPr="00022A48" w:rsidRDefault="004C26C0">
      <w:pPr>
        <w:pStyle w:val="FootnoteText"/>
        <w:rPr>
          <w:sz w:val="16"/>
          <w:szCs w:val="16"/>
        </w:rPr>
      </w:pPr>
      <w:r w:rsidRPr="00022A48">
        <w:rPr>
          <w:rStyle w:val="FootnoteReference"/>
          <w:sz w:val="16"/>
          <w:szCs w:val="16"/>
        </w:rPr>
        <w:footnoteRef/>
      </w:r>
      <w:r w:rsidRPr="00022A48">
        <w:rPr>
          <w:sz w:val="16"/>
          <w:szCs w:val="16"/>
        </w:rPr>
        <w:t xml:space="preserve"> 05. </w:t>
      </w:r>
    </w:p>
  </w:footnote>
  <w:footnote w:id="650">
    <w:p w14:paraId="161954BB" w14:textId="77777777" w:rsidR="004C26C0" w:rsidRPr="00022A48" w:rsidRDefault="004C26C0" w:rsidP="004C26C0">
      <w:pPr>
        <w:pStyle w:val="FootnoteText"/>
        <w:rPr>
          <w:sz w:val="16"/>
          <w:szCs w:val="16"/>
          <w:lang w:val="en-US"/>
        </w:rPr>
      </w:pPr>
      <w:r w:rsidRPr="00022A48">
        <w:rPr>
          <w:rStyle w:val="FootnoteReference"/>
          <w:sz w:val="16"/>
          <w:szCs w:val="16"/>
        </w:rPr>
        <w:footnoteRef/>
      </w:r>
      <w:r w:rsidRPr="00022A48">
        <w:rPr>
          <w:sz w:val="16"/>
          <w:szCs w:val="16"/>
        </w:rPr>
        <w:t xml:space="preserve"> </w:t>
      </w:r>
      <w:r w:rsidRPr="00022A48">
        <w:rPr>
          <w:sz w:val="16"/>
          <w:szCs w:val="16"/>
          <w:lang w:val="en-US"/>
        </w:rPr>
        <w:t>03,05,51.</w:t>
      </w:r>
    </w:p>
  </w:footnote>
  <w:footnote w:id="651">
    <w:p w14:paraId="383CE233" w14:textId="77777777" w:rsidR="00A74E3A" w:rsidRPr="00022A48" w:rsidRDefault="00A74E3A" w:rsidP="00A74E3A">
      <w:pPr>
        <w:pStyle w:val="FootnoteText"/>
        <w:rPr>
          <w:sz w:val="16"/>
          <w:szCs w:val="16"/>
          <w:lang w:val="en-US"/>
        </w:rPr>
      </w:pPr>
      <w:r w:rsidRPr="00022A48">
        <w:rPr>
          <w:rStyle w:val="FootnoteReference"/>
          <w:sz w:val="16"/>
          <w:szCs w:val="16"/>
        </w:rPr>
        <w:footnoteRef/>
      </w:r>
      <w:r w:rsidRPr="00022A48">
        <w:rPr>
          <w:sz w:val="16"/>
          <w:szCs w:val="16"/>
        </w:rPr>
        <w:t xml:space="preserve"> 03,05,22,26,32,38,40,51.</w:t>
      </w:r>
    </w:p>
  </w:footnote>
  <w:footnote w:id="652">
    <w:p w14:paraId="4E25C0FE" w14:textId="77688CFF" w:rsidR="00022A48" w:rsidRDefault="00022A48">
      <w:pPr>
        <w:pStyle w:val="FootnoteText"/>
      </w:pPr>
      <w:r w:rsidRPr="00022A48">
        <w:rPr>
          <w:rStyle w:val="FootnoteReference"/>
          <w:sz w:val="16"/>
          <w:szCs w:val="16"/>
        </w:rPr>
        <w:footnoteRef/>
      </w:r>
      <w:r w:rsidRPr="00022A48">
        <w:rPr>
          <w:sz w:val="16"/>
          <w:szCs w:val="16"/>
        </w:rPr>
        <w:t xml:space="preserve"> </w:t>
      </w:r>
      <w:r w:rsidR="003063AB">
        <w:rPr>
          <w:sz w:val="16"/>
          <w:szCs w:val="16"/>
        </w:rPr>
        <w:t>09,</w:t>
      </w:r>
      <w:r w:rsidRPr="00022A48">
        <w:rPr>
          <w:sz w:val="16"/>
          <w:szCs w:val="16"/>
        </w:rPr>
        <w:t>27.</w:t>
      </w:r>
      <w:r>
        <w:t xml:space="preserve"> </w:t>
      </w:r>
    </w:p>
  </w:footnote>
  <w:footnote w:id="653">
    <w:p w14:paraId="12BE917A" w14:textId="77777777" w:rsidR="00A74E3A" w:rsidRPr="008B459D" w:rsidRDefault="00A74E3A" w:rsidP="00A74E3A">
      <w:pPr>
        <w:pStyle w:val="FootnoteText"/>
        <w:rPr>
          <w:sz w:val="16"/>
          <w:szCs w:val="16"/>
        </w:rPr>
      </w:pPr>
      <w:r w:rsidRPr="008B459D">
        <w:rPr>
          <w:rStyle w:val="FootnoteReference"/>
          <w:sz w:val="16"/>
          <w:szCs w:val="16"/>
        </w:rPr>
        <w:footnoteRef/>
      </w:r>
      <w:r w:rsidRPr="008B459D">
        <w:rPr>
          <w:sz w:val="16"/>
          <w:szCs w:val="16"/>
        </w:rPr>
        <w:t xml:space="preserve"> 15.</w:t>
      </w:r>
    </w:p>
  </w:footnote>
  <w:footnote w:id="654">
    <w:p w14:paraId="0BF37AF8" w14:textId="77777777" w:rsidR="00214BC1" w:rsidRPr="008B459D" w:rsidRDefault="00214BC1" w:rsidP="00214BC1">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04,22.</w:t>
      </w:r>
    </w:p>
  </w:footnote>
  <w:footnote w:id="655">
    <w:p w14:paraId="61D887DF" w14:textId="77777777" w:rsidR="00214BC1" w:rsidRPr="008B459D" w:rsidRDefault="00214BC1" w:rsidP="00214BC1">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04,22.</w:t>
      </w:r>
    </w:p>
  </w:footnote>
  <w:footnote w:id="656">
    <w:p w14:paraId="3DB0D612" w14:textId="77777777" w:rsidR="003063AB" w:rsidRPr="008B459D" w:rsidRDefault="003063AB" w:rsidP="003063AB">
      <w:pPr>
        <w:pStyle w:val="FootnoteText"/>
        <w:rPr>
          <w:sz w:val="16"/>
          <w:szCs w:val="16"/>
        </w:rPr>
      </w:pPr>
      <w:r w:rsidRPr="008B459D">
        <w:rPr>
          <w:rStyle w:val="FootnoteReference"/>
          <w:sz w:val="16"/>
          <w:szCs w:val="16"/>
        </w:rPr>
        <w:footnoteRef/>
      </w:r>
      <w:r w:rsidRPr="008B459D">
        <w:rPr>
          <w:sz w:val="16"/>
          <w:szCs w:val="16"/>
        </w:rPr>
        <w:t xml:space="preserve"> 09.</w:t>
      </w:r>
    </w:p>
  </w:footnote>
  <w:footnote w:id="657">
    <w:p w14:paraId="44114296" w14:textId="77777777" w:rsidR="003063AB" w:rsidRPr="008B459D" w:rsidRDefault="003063AB" w:rsidP="003063AB">
      <w:pPr>
        <w:pStyle w:val="FootnoteText"/>
        <w:rPr>
          <w:sz w:val="16"/>
          <w:szCs w:val="16"/>
        </w:rPr>
      </w:pPr>
      <w:r w:rsidRPr="008B459D">
        <w:rPr>
          <w:rStyle w:val="FootnoteReference"/>
          <w:sz w:val="16"/>
          <w:szCs w:val="16"/>
        </w:rPr>
        <w:footnoteRef/>
      </w:r>
      <w:r w:rsidRPr="008B459D">
        <w:rPr>
          <w:sz w:val="16"/>
          <w:szCs w:val="16"/>
        </w:rPr>
        <w:t xml:space="preserve"> 09.</w:t>
      </w:r>
    </w:p>
  </w:footnote>
  <w:footnote w:id="658">
    <w:p w14:paraId="75B63FDC" w14:textId="77777777" w:rsidR="00022A48" w:rsidRPr="008B459D" w:rsidRDefault="00022A48" w:rsidP="00022A48">
      <w:pPr>
        <w:pStyle w:val="FootnoteText"/>
        <w:rPr>
          <w:sz w:val="16"/>
          <w:szCs w:val="16"/>
        </w:rPr>
      </w:pPr>
      <w:r w:rsidRPr="008B459D">
        <w:rPr>
          <w:rStyle w:val="FootnoteReference"/>
          <w:sz w:val="16"/>
          <w:szCs w:val="16"/>
        </w:rPr>
        <w:footnoteRef/>
      </w:r>
      <w:r w:rsidRPr="008B459D">
        <w:rPr>
          <w:sz w:val="16"/>
          <w:szCs w:val="16"/>
        </w:rPr>
        <w:t xml:space="preserve"> 27.</w:t>
      </w:r>
    </w:p>
  </w:footnote>
  <w:footnote w:id="659">
    <w:p w14:paraId="7418835B" w14:textId="77777777" w:rsidR="00606738" w:rsidRPr="008B459D" w:rsidRDefault="00606738" w:rsidP="00606738">
      <w:pPr>
        <w:pStyle w:val="FootnoteText"/>
        <w:rPr>
          <w:sz w:val="16"/>
          <w:szCs w:val="16"/>
          <w:lang w:val="en-US"/>
        </w:rPr>
      </w:pPr>
      <w:r w:rsidRPr="008B459D">
        <w:rPr>
          <w:rStyle w:val="FootnoteReference"/>
          <w:sz w:val="16"/>
          <w:szCs w:val="16"/>
        </w:rPr>
        <w:footnoteRef/>
      </w:r>
      <w:r w:rsidRPr="008B459D">
        <w:rPr>
          <w:sz w:val="16"/>
          <w:szCs w:val="16"/>
        </w:rPr>
        <w:t xml:space="preserve"> 03,04,05,</w:t>
      </w:r>
      <w:r w:rsidRPr="008B459D">
        <w:rPr>
          <w:sz w:val="16"/>
          <w:szCs w:val="16"/>
          <w:lang w:val="en-US"/>
        </w:rPr>
        <w:t>22,26,32,51.</w:t>
      </w:r>
    </w:p>
  </w:footnote>
  <w:footnote w:id="660">
    <w:p w14:paraId="2DDB2961" w14:textId="651F4084" w:rsidR="00606738" w:rsidRPr="008B459D" w:rsidRDefault="00606738" w:rsidP="00606738">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04,05,26,32,38,51</w:t>
      </w:r>
      <w:r w:rsidR="0009325E" w:rsidRPr="008B459D">
        <w:rPr>
          <w:sz w:val="16"/>
          <w:szCs w:val="16"/>
          <w:lang w:val="en-US"/>
        </w:rPr>
        <w:t>,C01</w:t>
      </w:r>
      <w:r w:rsidRPr="008B459D">
        <w:rPr>
          <w:sz w:val="16"/>
          <w:szCs w:val="16"/>
          <w:lang w:val="en-US"/>
        </w:rPr>
        <w:t>.</w:t>
      </w:r>
    </w:p>
  </w:footnote>
  <w:footnote w:id="661">
    <w:p w14:paraId="1C2DB7E5" w14:textId="49557A32" w:rsidR="008257D0" w:rsidRPr="008B459D" w:rsidRDefault="008257D0" w:rsidP="008257D0">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04,05,26,32,38,51</w:t>
      </w:r>
      <w:r w:rsidR="0009325E" w:rsidRPr="008B459D">
        <w:rPr>
          <w:sz w:val="16"/>
          <w:szCs w:val="16"/>
          <w:lang w:val="en-US"/>
        </w:rPr>
        <w:t>,C01</w:t>
      </w:r>
      <w:r w:rsidRPr="008B459D">
        <w:rPr>
          <w:sz w:val="16"/>
          <w:szCs w:val="16"/>
          <w:lang w:val="en-US"/>
        </w:rPr>
        <w:t>.</w:t>
      </w:r>
    </w:p>
  </w:footnote>
  <w:footnote w:id="662">
    <w:p w14:paraId="10DF6A14" w14:textId="19C3391E" w:rsidR="00476CFF" w:rsidRPr="008B459D" w:rsidRDefault="00476CFF" w:rsidP="00476CFF">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C0</w:t>
      </w:r>
      <w:r w:rsidR="00196FD9" w:rsidRPr="008B459D">
        <w:rPr>
          <w:sz w:val="16"/>
          <w:szCs w:val="16"/>
          <w:lang w:val="mi-NZ"/>
        </w:rPr>
        <w:t>1.</w:t>
      </w:r>
    </w:p>
  </w:footnote>
  <w:footnote w:id="663">
    <w:p w14:paraId="7420D62D" w14:textId="77777777" w:rsidR="001E3922" w:rsidRPr="008B459D" w:rsidRDefault="001E3922" w:rsidP="001E3922">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05,26,32,51.</w:t>
      </w:r>
    </w:p>
  </w:footnote>
  <w:footnote w:id="664">
    <w:p w14:paraId="69998778" w14:textId="77777777" w:rsidR="008C5BFA" w:rsidRPr="008B459D" w:rsidRDefault="008C5BFA" w:rsidP="008C5BFA">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05,26,32,51.</w:t>
      </w:r>
    </w:p>
  </w:footnote>
  <w:footnote w:id="665">
    <w:p w14:paraId="437D104A" w14:textId="09EFA830" w:rsidR="005D53E8" w:rsidRPr="008B459D" w:rsidRDefault="005D53E8" w:rsidP="005D53E8">
      <w:pPr>
        <w:pStyle w:val="FootnoteText"/>
        <w:rPr>
          <w:sz w:val="16"/>
          <w:szCs w:val="16"/>
          <w:lang w:val="en-US"/>
        </w:rPr>
      </w:pPr>
      <w:r w:rsidRPr="008B459D">
        <w:rPr>
          <w:rStyle w:val="FootnoteReference"/>
          <w:sz w:val="16"/>
          <w:szCs w:val="16"/>
        </w:rPr>
        <w:footnoteRef/>
      </w:r>
      <w:r w:rsidRPr="008B459D">
        <w:rPr>
          <w:sz w:val="16"/>
          <w:szCs w:val="16"/>
        </w:rPr>
        <w:t xml:space="preserve"> 07,33,35,C06.</w:t>
      </w:r>
    </w:p>
  </w:footnote>
  <w:footnote w:id="666">
    <w:p w14:paraId="26AA010D" w14:textId="4C7A353F" w:rsidR="00A97ED5" w:rsidRPr="008B459D" w:rsidRDefault="00A97ED5" w:rsidP="00A97ED5">
      <w:pPr>
        <w:pStyle w:val="FootnoteText"/>
        <w:rPr>
          <w:sz w:val="16"/>
          <w:szCs w:val="16"/>
        </w:rPr>
      </w:pPr>
      <w:r w:rsidRPr="008B459D">
        <w:rPr>
          <w:rStyle w:val="FootnoteReference"/>
          <w:sz w:val="16"/>
          <w:szCs w:val="16"/>
        </w:rPr>
        <w:footnoteRef/>
      </w:r>
      <w:r w:rsidRPr="008B459D">
        <w:rPr>
          <w:sz w:val="16"/>
          <w:szCs w:val="16"/>
        </w:rPr>
        <w:t xml:space="preserve"> 33,35,C06.</w:t>
      </w:r>
    </w:p>
  </w:footnote>
  <w:footnote w:id="667">
    <w:p w14:paraId="5B96F698" w14:textId="77777777" w:rsidR="00A97ED5" w:rsidRPr="008B459D" w:rsidRDefault="00A97ED5" w:rsidP="00A97ED5">
      <w:pPr>
        <w:pStyle w:val="FootnoteText"/>
        <w:rPr>
          <w:sz w:val="16"/>
          <w:szCs w:val="16"/>
          <w:lang w:val="en-US"/>
        </w:rPr>
      </w:pPr>
      <w:r w:rsidRPr="008B459D">
        <w:rPr>
          <w:rStyle w:val="FootnoteReference"/>
          <w:sz w:val="16"/>
          <w:szCs w:val="16"/>
        </w:rPr>
        <w:footnoteRef/>
      </w:r>
      <w:r w:rsidRPr="008B459D">
        <w:rPr>
          <w:sz w:val="16"/>
          <w:szCs w:val="16"/>
        </w:rPr>
        <w:t xml:space="preserve"> 07,35,C06.</w:t>
      </w:r>
    </w:p>
  </w:footnote>
  <w:footnote w:id="668">
    <w:p w14:paraId="4E50F1CC" w14:textId="77777777" w:rsidR="00A97ED5" w:rsidRPr="008B459D" w:rsidRDefault="00A97ED5" w:rsidP="00A97ED5">
      <w:pPr>
        <w:pStyle w:val="FootnoteText"/>
        <w:rPr>
          <w:sz w:val="16"/>
          <w:szCs w:val="16"/>
        </w:rPr>
      </w:pPr>
      <w:r w:rsidRPr="008B459D">
        <w:rPr>
          <w:rStyle w:val="FootnoteReference"/>
          <w:sz w:val="16"/>
          <w:szCs w:val="16"/>
        </w:rPr>
        <w:footnoteRef/>
      </w:r>
      <w:r w:rsidRPr="008B459D">
        <w:rPr>
          <w:sz w:val="16"/>
          <w:szCs w:val="16"/>
        </w:rPr>
        <w:t xml:space="preserve"> 07.</w:t>
      </w:r>
    </w:p>
  </w:footnote>
  <w:footnote w:id="669">
    <w:p w14:paraId="7207613B" w14:textId="77777777" w:rsidR="00A97ED5" w:rsidRPr="008B459D" w:rsidRDefault="00A97ED5" w:rsidP="00A97ED5">
      <w:pPr>
        <w:pStyle w:val="FootnoteText"/>
        <w:rPr>
          <w:sz w:val="16"/>
          <w:szCs w:val="16"/>
          <w:lang w:val="en-US"/>
        </w:rPr>
      </w:pPr>
      <w:r w:rsidRPr="008B459D">
        <w:rPr>
          <w:rStyle w:val="FootnoteReference"/>
          <w:sz w:val="16"/>
          <w:szCs w:val="16"/>
        </w:rPr>
        <w:footnoteRef/>
      </w:r>
      <w:r w:rsidRPr="008B459D">
        <w:rPr>
          <w:sz w:val="16"/>
          <w:szCs w:val="16"/>
        </w:rPr>
        <w:t xml:space="preserve"> 33</w:t>
      </w:r>
    </w:p>
  </w:footnote>
  <w:footnote w:id="670">
    <w:p w14:paraId="5AE1C9A6" w14:textId="77777777" w:rsidR="00197645" w:rsidRPr="008B459D" w:rsidRDefault="00197645" w:rsidP="00197645">
      <w:pPr>
        <w:pStyle w:val="FootnoteText"/>
        <w:rPr>
          <w:sz w:val="16"/>
          <w:szCs w:val="16"/>
          <w:lang w:val="en-US"/>
        </w:rPr>
      </w:pPr>
      <w:r w:rsidRPr="008B459D">
        <w:rPr>
          <w:rStyle w:val="FootnoteReference"/>
          <w:sz w:val="16"/>
          <w:szCs w:val="16"/>
        </w:rPr>
        <w:footnoteRef/>
      </w:r>
      <w:r w:rsidRPr="008B459D">
        <w:rPr>
          <w:sz w:val="16"/>
          <w:szCs w:val="16"/>
        </w:rPr>
        <w:t xml:space="preserve"> 30,31,36,</w:t>
      </w:r>
      <w:r w:rsidRPr="008B459D">
        <w:rPr>
          <w:sz w:val="16"/>
          <w:szCs w:val="16"/>
          <w:lang w:val="en-US"/>
        </w:rPr>
        <w:t>42.</w:t>
      </w:r>
    </w:p>
  </w:footnote>
  <w:footnote w:id="671">
    <w:p w14:paraId="751A56B1" w14:textId="77777777" w:rsidR="00197645" w:rsidRPr="008B459D" w:rsidRDefault="00197645" w:rsidP="00197645">
      <w:pPr>
        <w:pStyle w:val="FootnoteText"/>
        <w:rPr>
          <w:sz w:val="16"/>
          <w:szCs w:val="16"/>
        </w:rPr>
      </w:pPr>
      <w:r w:rsidRPr="008B459D">
        <w:rPr>
          <w:rStyle w:val="FootnoteReference"/>
          <w:sz w:val="16"/>
          <w:szCs w:val="16"/>
        </w:rPr>
        <w:footnoteRef/>
      </w:r>
      <w:r w:rsidRPr="008B459D">
        <w:rPr>
          <w:sz w:val="16"/>
          <w:szCs w:val="16"/>
        </w:rPr>
        <w:t xml:space="preserve"> 42.</w:t>
      </w:r>
    </w:p>
  </w:footnote>
  <w:footnote w:id="672">
    <w:p w14:paraId="48EF11DD" w14:textId="77777777" w:rsidR="00197645" w:rsidRPr="008B459D" w:rsidRDefault="00197645" w:rsidP="00197645">
      <w:pPr>
        <w:pStyle w:val="FootnoteText"/>
        <w:rPr>
          <w:sz w:val="16"/>
          <w:szCs w:val="16"/>
        </w:rPr>
      </w:pPr>
      <w:r w:rsidRPr="008B459D">
        <w:rPr>
          <w:rStyle w:val="FootnoteReference"/>
          <w:sz w:val="16"/>
          <w:szCs w:val="16"/>
        </w:rPr>
        <w:footnoteRef/>
      </w:r>
      <w:r w:rsidRPr="008B459D">
        <w:rPr>
          <w:sz w:val="16"/>
          <w:szCs w:val="16"/>
        </w:rPr>
        <w:t xml:space="preserve"> 36.</w:t>
      </w:r>
    </w:p>
  </w:footnote>
  <w:footnote w:id="673">
    <w:p w14:paraId="6966AFC7" w14:textId="402A3A5B" w:rsidR="006615C2" w:rsidRPr="008B459D" w:rsidRDefault="006615C2">
      <w:pPr>
        <w:pStyle w:val="FootnoteText"/>
        <w:rPr>
          <w:sz w:val="16"/>
          <w:szCs w:val="16"/>
        </w:rPr>
      </w:pPr>
      <w:r w:rsidRPr="008B459D">
        <w:rPr>
          <w:rStyle w:val="FootnoteReference"/>
          <w:sz w:val="16"/>
          <w:szCs w:val="16"/>
        </w:rPr>
        <w:footnoteRef/>
      </w:r>
      <w:r w:rsidRPr="008B459D">
        <w:rPr>
          <w:sz w:val="16"/>
          <w:szCs w:val="16"/>
        </w:rPr>
        <w:t xml:space="preserve"> </w:t>
      </w:r>
      <w:r w:rsidR="003F6A6C" w:rsidRPr="008B459D">
        <w:rPr>
          <w:sz w:val="16"/>
          <w:szCs w:val="16"/>
        </w:rPr>
        <w:t>30,36.</w:t>
      </w:r>
    </w:p>
  </w:footnote>
  <w:footnote w:id="674">
    <w:p w14:paraId="5B2B63C1" w14:textId="3812A701" w:rsidR="004B11FD" w:rsidRPr="008B459D" w:rsidRDefault="004B11FD">
      <w:pPr>
        <w:pStyle w:val="FootnoteText"/>
        <w:rPr>
          <w:sz w:val="16"/>
          <w:szCs w:val="16"/>
        </w:rPr>
      </w:pPr>
      <w:r w:rsidRPr="008B459D">
        <w:rPr>
          <w:rStyle w:val="FootnoteReference"/>
          <w:sz w:val="16"/>
          <w:szCs w:val="16"/>
        </w:rPr>
        <w:footnoteRef/>
      </w:r>
      <w:r w:rsidRPr="008B459D">
        <w:rPr>
          <w:sz w:val="16"/>
          <w:szCs w:val="16"/>
        </w:rPr>
        <w:t xml:space="preserve"> </w:t>
      </w:r>
      <w:r w:rsidR="00274EF8" w:rsidRPr="008B459D">
        <w:rPr>
          <w:sz w:val="16"/>
          <w:szCs w:val="16"/>
        </w:rPr>
        <w:t>36.</w:t>
      </w:r>
    </w:p>
  </w:footnote>
  <w:footnote w:id="675">
    <w:p w14:paraId="468658ED" w14:textId="77777777" w:rsidR="00274EF8" w:rsidRPr="008B459D" w:rsidRDefault="00274EF8" w:rsidP="00274EF8">
      <w:pPr>
        <w:pStyle w:val="FootnoteText"/>
        <w:rPr>
          <w:sz w:val="16"/>
          <w:szCs w:val="16"/>
        </w:rPr>
      </w:pPr>
      <w:r w:rsidRPr="008B459D">
        <w:rPr>
          <w:rStyle w:val="FootnoteReference"/>
          <w:sz w:val="16"/>
          <w:szCs w:val="16"/>
        </w:rPr>
        <w:footnoteRef/>
      </w:r>
      <w:r w:rsidRPr="008B459D">
        <w:rPr>
          <w:sz w:val="16"/>
          <w:szCs w:val="16"/>
        </w:rPr>
        <w:t xml:space="preserve"> 42.</w:t>
      </w:r>
    </w:p>
  </w:footnote>
  <w:footnote w:id="676">
    <w:p w14:paraId="25B92E74" w14:textId="77777777" w:rsidR="00274EF8" w:rsidRPr="008B459D" w:rsidRDefault="00274EF8" w:rsidP="00274EF8">
      <w:pPr>
        <w:pStyle w:val="FootnoteText"/>
        <w:rPr>
          <w:sz w:val="16"/>
          <w:szCs w:val="16"/>
        </w:rPr>
      </w:pPr>
      <w:r w:rsidRPr="008B459D">
        <w:rPr>
          <w:rStyle w:val="FootnoteReference"/>
          <w:sz w:val="16"/>
          <w:szCs w:val="16"/>
        </w:rPr>
        <w:footnoteRef/>
      </w:r>
      <w:r w:rsidRPr="008B459D">
        <w:rPr>
          <w:sz w:val="16"/>
          <w:szCs w:val="16"/>
        </w:rPr>
        <w:t xml:space="preserve"> 30.</w:t>
      </w:r>
    </w:p>
  </w:footnote>
  <w:footnote w:id="677">
    <w:p w14:paraId="34F96C32" w14:textId="77777777" w:rsidR="00274EF8" w:rsidRPr="008B459D" w:rsidRDefault="00274EF8" w:rsidP="00274EF8">
      <w:pPr>
        <w:pStyle w:val="FootnoteText"/>
        <w:rPr>
          <w:sz w:val="16"/>
          <w:szCs w:val="16"/>
        </w:rPr>
      </w:pPr>
      <w:r w:rsidRPr="008B459D">
        <w:rPr>
          <w:rStyle w:val="FootnoteReference"/>
          <w:sz w:val="16"/>
          <w:szCs w:val="16"/>
        </w:rPr>
        <w:footnoteRef/>
      </w:r>
      <w:r w:rsidRPr="008B459D">
        <w:rPr>
          <w:sz w:val="16"/>
          <w:szCs w:val="16"/>
        </w:rPr>
        <w:t xml:space="preserve"> 30.</w:t>
      </w:r>
    </w:p>
  </w:footnote>
  <w:footnote w:id="678">
    <w:p w14:paraId="50850AA1" w14:textId="77777777" w:rsidR="00B035B1" w:rsidRPr="008B459D" w:rsidRDefault="00B035B1" w:rsidP="00B035B1">
      <w:pPr>
        <w:pStyle w:val="FootnoteText"/>
        <w:rPr>
          <w:sz w:val="16"/>
          <w:szCs w:val="16"/>
        </w:rPr>
      </w:pPr>
      <w:r w:rsidRPr="008B459D">
        <w:rPr>
          <w:rStyle w:val="FootnoteReference"/>
          <w:sz w:val="16"/>
          <w:szCs w:val="16"/>
        </w:rPr>
        <w:footnoteRef/>
      </w:r>
      <w:r w:rsidRPr="008B459D">
        <w:rPr>
          <w:sz w:val="16"/>
          <w:szCs w:val="16"/>
        </w:rPr>
        <w:t xml:space="preserve"> 10,41.</w:t>
      </w:r>
    </w:p>
  </w:footnote>
  <w:footnote w:id="679">
    <w:p w14:paraId="5C291174" w14:textId="380F29BE" w:rsidR="005674EA" w:rsidRPr="008B459D" w:rsidRDefault="005674EA">
      <w:pPr>
        <w:pStyle w:val="FootnoteText"/>
        <w:rPr>
          <w:sz w:val="16"/>
          <w:szCs w:val="16"/>
        </w:rPr>
      </w:pPr>
      <w:r w:rsidRPr="008B459D">
        <w:rPr>
          <w:rStyle w:val="FootnoteReference"/>
          <w:sz w:val="16"/>
          <w:szCs w:val="16"/>
        </w:rPr>
        <w:footnoteRef/>
      </w:r>
      <w:r w:rsidRPr="008B459D">
        <w:rPr>
          <w:sz w:val="16"/>
          <w:szCs w:val="16"/>
        </w:rPr>
        <w:t xml:space="preserve"> 41.</w:t>
      </w:r>
    </w:p>
  </w:footnote>
  <w:footnote w:id="680">
    <w:p w14:paraId="53B8DD7D" w14:textId="77777777" w:rsidR="005674EA" w:rsidRPr="008B459D" w:rsidRDefault="005674EA" w:rsidP="005674EA">
      <w:pPr>
        <w:pStyle w:val="FootnoteText"/>
        <w:rPr>
          <w:sz w:val="16"/>
          <w:szCs w:val="16"/>
          <w:lang w:val="en-US"/>
        </w:rPr>
      </w:pPr>
      <w:r w:rsidRPr="008B459D">
        <w:rPr>
          <w:rStyle w:val="FootnoteReference"/>
          <w:sz w:val="16"/>
          <w:szCs w:val="16"/>
        </w:rPr>
        <w:footnoteRef/>
      </w:r>
      <w:r w:rsidRPr="008B459D">
        <w:rPr>
          <w:sz w:val="16"/>
          <w:szCs w:val="16"/>
        </w:rPr>
        <w:t xml:space="preserve"> 10.</w:t>
      </w:r>
    </w:p>
  </w:footnote>
  <w:footnote w:id="681">
    <w:p w14:paraId="7406BE6A" w14:textId="77777777" w:rsidR="005674EA" w:rsidRPr="008B459D" w:rsidRDefault="005674EA" w:rsidP="005674EA">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en-US"/>
        </w:rPr>
        <w:t>17.</w:t>
      </w:r>
    </w:p>
  </w:footnote>
  <w:footnote w:id="682">
    <w:p w14:paraId="43CB2AFC" w14:textId="0EF85A62" w:rsidR="005674EA" w:rsidRPr="008B459D" w:rsidRDefault="005674EA">
      <w:pPr>
        <w:pStyle w:val="FootnoteText"/>
        <w:rPr>
          <w:sz w:val="16"/>
          <w:szCs w:val="16"/>
        </w:rPr>
      </w:pPr>
      <w:r w:rsidRPr="008B459D">
        <w:rPr>
          <w:rStyle w:val="FootnoteReference"/>
          <w:sz w:val="16"/>
          <w:szCs w:val="16"/>
        </w:rPr>
        <w:footnoteRef/>
      </w:r>
      <w:r w:rsidRPr="008B459D">
        <w:rPr>
          <w:sz w:val="16"/>
          <w:szCs w:val="16"/>
        </w:rPr>
        <w:t xml:space="preserve"> </w:t>
      </w:r>
      <w:r w:rsidR="007D57F7" w:rsidRPr="008B459D">
        <w:rPr>
          <w:sz w:val="16"/>
          <w:szCs w:val="16"/>
        </w:rPr>
        <w:t>17.</w:t>
      </w:r>
    </w:p>
  </w:footnote>
  <w:footnote w:id="683">
    <w:p w14:paraId="00201B51" w14:textId="77777777" w:rsidR="00931C73" w:rsidRPr="008B459D" w:rsidRDefault="00931C73" w:rsidP="00931C73">
      <w:pPr>
        <w:pStyle w:val="FootnoteText"/>
        <w:rPr>
          <w:sz w:val="16"/>
          <w:szCs w:val="16"/>
        </w:rPr>
      </w:pPr>
      <w:r w:rsidRPr="008B459D">
        <w:rPr>
          <w:rStyle w:val="FootnoteReference"/>
          <w:sz w:val="16"/>
          <w:szCs w:val="16"/>
        </w:rPr>
        <w:footnoteRef/>
      </w:r>
      <w:r w:rsidRPr="008B459D">
        <w:rPr>
          <w:sz w:val="16"/>
          <w:szCs w:val="16"/>
        </w:rPr>
        <w:t xml:space="preserve"> 07, 35, C06.</w:t>
      </w:r>
    </w:p>
  </w:footnote>
  <w:footnote w:id="684">
    <w:p w14:paraId="6AC4A78C" w14:textId="77777777" w:rsidR="00931C73" w:rsidRPr="008B459D" w:rsidRDefault="00931C73" w:rsidP="00931C73">
      <w:pPr>
        <w:pStyle w:val="FootnoteText"/>
        <w:rPr>
          <w:sz w:val="16"/>
          <w:szCs w:val="16"/>
        </w:rPr>
      </w:pPr>
      <w:r w:rsidRPr="008B459D">
        <w:rPr>
          <w:rStyle w:val="FootnoteReference"/>
          <w:sz w:val="16"/>
          <w:szCs w:val="16"/>
        </w:rPr>
        <w:footnoteRef/>
      </w:r>
      <w:r w:rsidRPr="008B459D">
        <w:rPr>
          <w:sz w:val="16"/>
          <w:szCs w:val="16"/>
        </w:rPr>
        <w:t xml:space="preserve"> 07.</w:t>
      </w:r>
    </w:p>
  </w:footnote>
  <w:footnote w:id="685">
    <w:p w14:paraId="10D47380"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25,33.</w:t>
      </w:r>
    </w:p>
  </w:footnote>
  <w:footnote w:id="686">
    <w:p w14:paraId="415FBD48"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25,33. </w:t>
      </w:r>
    </w:p>
  </w:footnote>
  <w:footnote w:id="687">
    <w:p w14:paraId="10ED4D73"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46.</w:t>
      </w:r>
    </w:p>
  </w:footnote>
  <w:footnote w:id="688">
    <w:p w14:paraId="7AC0E388"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46.</w:t>
      </w:r>
    </w:p>
  </w:footnote>
  <w:footnote w:id="689">
    <w:p w14:paraId="54E5BF6F"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48.</w:t>
      </w:r>
    </w:p>
  </w:footnote>
  <w:footnote w:id="690">
    <w:p w14:paraId="0CEDD5E0"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27.</w:t>
      </w:r>
    </w:p>
  </w:footnote>
  <w:footnote w:id="691">
    <w:p w14:paraId="1B32AFF8"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27.</w:t>
      </w:r>
    </w:p>
  </w:footnote>
  <w:footnote w:id="692">
    <w:p w14:paraId="02957C6A"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27.</w:t>
      </w:r>
    </w:p>
  </w:footnote>
  <w:footnote w:id="693">
    <w:p w14:paraId="3BD28E47" w14:textId="77777777"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48.</w:t>
      </w:r>
    </w:p>
  </w:footnote>
  <w:footnote w:id="694">
    <w:p w14:paraId="17A9143D" w14:textId="22672893" w:rsidR="009B5020" w:rsidRPr="008B459D" w:rsidRDefault="009B5020" w:rsidP="009B5020">
      <w:pPr>
        <w:pStyle w:val="FootnoteText"/>
        <w:rPr>
          <w:sz w:val="16"/>
          <w:szCs w:val="16"/>
        </w:rPr>
      </w:pPr>
      <w:r w:rsidRPr="008B459D">
        <w:rPr>
          <w:rStyle w:val="FootnoteReference"/>
          <w:sz w:val="16"/>
          <w:szCs w:val="16"/>
        </w:rPr>
        <w:footnoteRef/>
      </w:r>
      <w:r w:rsidRPr="008B459D">
        <w:rPr>
          <w:sz w:val="16"/>
          <w:szCs w:val="16"/>
        </w:rPr>
        <w:t xml:space="preserve"> </w:t>
      </w:r>
      <w:r w:rsidR="00BF3295" w:rsidRPr="008B459D">
        <w:rPr>
          <w:sz w:val="16"/>
          <w:szCs w:val="16"/>
        </w:rPr>
        <w:t>C</w:t>
      </w:r>
      <w:r w:rsidR="00FE17E8" w:rsidRPr="008B459D">
        <w:rPr>
          <w:sz w:val="16"/>
          <w:szCs w:val="16"/>
        </w:rPr>
        <w:t>09</w:t>
      </w:r>
      <w:r w:rsidRPr="008B459D">
        <w:rPr>
          <w:sz w:val="16"/>
          <w:szCs w:val="16"/>
        </w:rPr>
        <w:t xml:space="preserve">. </w:t>
      </w:r>
    </w:p>
  </w:footnote>
  <w:footnote w:id="695">
    <w:p w14:paraId="6C029226" w14:textId="77777777" w:rsidR="007D118A" w:rsidRPr="008B459D" w:rsidRDefault="007D118A" w:rsidP="007D118A">
      <w:pPr>
        <w:pStyle w:val="FootnoteText"/>
        <w:rPr>
          <w:sz w:val="16"/>
          <w:szCs w:val="16"/>
        </w:rPr>
      </w:pPr>
      <w:r w:rsidRPr="008B459D">
        <w:rPr>
          <w:rStyle w:val="FootnoteReference"/>
          <w:sz w:val="16"/>
          <w:szCs w:val="16"/>
        </w:rPr>
        <w:footnoteRef/>
      </w:r>
      <w:r w:rsidRPr="008B459D">
        <w:rPr>
          <w:sz w:val="16"/>
          <w:szCs w:val="16"/>
        </w:rPr>
        <w:t xml:space="preserve"> 02,03,04,05,13,25,27,29,33,34,36,46,48,50,C08.</w:t>
      </w:r>
    </w:p>
  </w:footnote>
  <w:footnote w:id="696">
    <w:p w14:paraId="622FF3F1" w14:textId="77777777" w:rsidR="00366795" w:rsidRPr="008B459D" w:rsidRDefault="00366795" w:rsidP="00366795">
      <w:pPr>
        <w:pStyle w:val="FootnoteText"/>
        <w:rPr>
          <w:sz w:val="16"/>
          <w:szCs w:val="16"/>
        </w:rPr>
      </w:pPr>
      <w:r w:rsidRPr="008B459D">
        <w:rPr>
          <w:rStyle w:val="FootnoteReference"/>
          <w:sz w:val="16"/>
          <w:szCs w:val="16"/>
        </w:rPr>
        <w:footnoteRef/>
      </w:r>
      <w:r w:rsidRPr="008B459D">
        <w:rPr>
          <w:sz w:val="16"/>
          <w:szCs w:val="16"/>
        </w:rPr>
        <w:t xml:space="preserve"> 02,13,34,50,C08.</w:t>
      </w:r>
    </w:p>
  </w:footnote>
  <w:footnote w:id="697">
    <w:p w14:paraId="2134DF7B" w14:textId="77777777" w:rsidR="00677C30" w:rsidRPr="008B459D" w:rsidRDefault="00677C30" w:rsidP="00677C30">
      <w:pPr>
        <w:pStyle w:val="FootnoteText"/>
        <w:rPr>
          <w:sz w:val="16"/>
          <w:szCs w:val="16"/>
        </w:rPr>
      </w:pPr>
      <w:r w:rsidRPr="008B459D">
        <w:rPr>
          <w:rStyle w:val="FootnoteReference"/>
          <w:sz w:val="16"/>
          <w:szCs w:val="16"/>
        </w:rPr>
        <w:footnoteRef/>
      </w:r>
      <w:r w:rsidRPr="008B459D">
        <w:rPr>
          <w:sz w:val="16"/>
          <w:szCs w:val="16"/>
        </w:rPr>
        <w:t xml:space="preserve"> 30.</w:t>
      </w:r>
    </w:p>
  </w:footnote>
  <w:footnote w:id="698">
    <w:p w14:paraId="71C74D89" w14:textId="77777777" w:rsidR="00677C30" w:rsidRPr="008B459D" w:rsidRDefault="00677C30" w:rsidP="00677C30">
      <w:pPr>
        <w:pStyle w:val="FootnoteText"/>
        <w:rPr>
          <w:sz w:val="16"/>
          <w:szCs w:val="16"/>
        </w:rPr>
      </w:pPr>
      <w:r w:rsidRPr="008B459D">
        <w:rPr>
          <w:rStyle w:val="FootnoteReference"/>
          <w:sz w:val="16"/>
          <w:szCs w:val="16"/>
        </w:rPr>
        <w:footnoteRef/>
      </w:r>
      <w:r w:rsidRPr="008B459D">
        <w:rPr>
          <w:sz w:val="16"/>
          <w:szCs w:val="16"/>
        </w:rPr>
        <w:t xml:space="preserve"> 34,50.</w:t>
      </w:r>
    </w:p>
  </w:footnote>
  <w:footnote w:id="699">
    <w:p w14:paraId="26B14255" w14:textId="77777777" w:rsidR="00677C30" w:rsidRPr="008B459D" w:rsidRDefault="00677C30" w:rsidP="00677C30">
      <w:pPr>
        <w:pStyle w:val="FootnoteText"/>
        <w:rPr>
          <w:sz w:val="16"/>
          <w:szCs w:val="16"/>
        </w:rPr>
      </w:pPr>
      <w:r w:rsidRPr="008B459D">
        <w:rPr>
          <w:rStyle w:val="FootnoteReference"/>
          <w:sz w:val="16"/>
          <w:szCs w:val="16"/>
        </w:rPr>
        <w:footnoteRef/>
      </w:r>
      <w:r w:rsidRPr="008B459D">
        <w:rPr>
          <w:sz w:val="16"/>
          <w:szCs w:val="16"/>
        </w:rPr>
        <w:t xml:space="preserve"> 50.</w:t>
      </w:r>
    </w:p>
  </w:footnote>
  <w:footnote w:id="700">
    <w:p w14:paraId="7BDD3C70" w14:textId="77777777" w:rsidR="00614394" w:rsidRPr="008B459D" w:rsidRDefault="00614394" w:rsidP="00614394">
      <w:pPr>
        <w:pStyle w:val="FootnoteText"/>
        <w:rPr>
          <w:sz w:val="16"/>
          <w:szCs w:val="16"/>
        </w:rPr>
      </w:pPr>
      <w:r w:rsidRPr="008B459D">
        <w:rPr>
          <w:rStyle w:val="FootnoteReference"/>
          <w:sz w:val="16"/>
          <w:szCs w:val="16"/>
        </w:rPr>
        <w:footnoteRef/>
      </w:r>
      <w:r w:rsidRPr="008B459D">
        <w:rPr>
          <w:sz w:val="16"/>
          <w:szCs w:val="16"/>
        </w:rPr>
        <w:t xml:space="preserve"> 13.</w:t>
      </w:r>
    </w:p>
  </w:footnote>
  <w:footnote w:id="701">
    <w:p w14:paraId="4781C4E6" w14:textId="77777777" w:rsidR="00614394" w:rsidRPr="008B459D" w:rsidRDefault="00614394" w:rsidP="00614394">
      <w:pPr>
        <w:pStyle w:val="FootnoteText"/>
        <w:rPr>
          <w:sz w:val="16"/>
          <w:szCs w:val="16"/>
        </w:rPr>
      </w:pPr>
      <w:r w:rsidRPr="008B459D">
        <w:rPr>
          <w:rStyle w:val="FootnoteReference"/>
          <w:sz w:val="16"/>
          <w:szCs w:val="16"/>
        </w:rPr>
        <w:footnoteRef/>
      </w:r>
      <w:r w:rsidRPr="008B459D">
        <w:rPr>
          <w:sz w:val="16"/>
          <w:szCs w:val="16"/>
        </w:rPr>
        <w:t xml:space="preserve"> 13.</w:t>
      </w:r>
    </w:p>
  </w:footnote>
  <w:footnote w:id="702">
    <w:p w14:paraId="7DE1FAF6" w14:textId="77777777" w:rsidR="005F21FC" w:rsidRPr="008B459D" w:rsidRDefault="005F21FC" w:rsidP="005F21FC">
      <w:pPr>
        <w:pStyle w:val="FootnoteText"/>
        <w:rPr>
          <w:sz w:val="16"/>
          <w:szCs w:val="16"/>
        </w:rPr>
      </w:pPr>
      <w:r w:rsidRPr="008B459D">
        <w:rPr>
          <w:rStyle w:val="FootnoteReference"/>
          <w:sz w:val="16"/>
          <w:szCs w:val="16"/>
        </w:rPr>
        <w:footnoteRef/>
      </w:r>
      <w:r w:rsidRPr="008B459D">
        <w:rPr>
          <w:sz w:val="16"/>
          <w:szCs w:val="16"/>
        </w:rPr>
        <w:t xml:space="preserve"> 02.</w:t>
      </w:r>
    </w:p>
  </w:footnote>
  <w:footnote w:id="703">
    <w:p w14:paraId="784445A1" w14:textId="77777777" w:rsidR="00056011" w:rsidRPr="008B459D" w:rsidRDefault="00056011" w:rsidP="00056011">
      <w:pPr>
        <w:pStyle w:val="FootnoteText"/>
        <w:rPr>
          <w:sz w:val="16"/>
          <w:szCs w:val="16"/>
        </w:rPr>
      </w:pPr>
      <w:r w:rsidRPr="008B459D">
        <w:rPr>
          <w:rStyle w:val="FootnoteReference"/>
          <w:sz w:val="16"/>
          <w:szCs w:val="16"/>
        </w:rPr>
        <w:footnoteRef/>
      </w:r>
      <w:r w:rsidRPr="008B459D">
        <w:rPr>
          <w:sz w:val="16"/>
          <w:szCs w:val="16"/>
        </w:rPr>
        <w:t xml:space="preserve"> C08.</w:t>
      </w:r>
    </w:p>
  </w:footnote>
  <w:footnote w:id="704">
    <w:p w14:paraId="68EA0A30" w14:textId="55C3BDC2" w:rsidR="00E719FC" w:rsidRPr="008B459D" w:rsidRDefault="00E719FC" w:rsidP="00E719FC">
      <w:pPr>
        <w:pStyle w:val="FootnoteText"/>
        <w:rPr>
          <w:sz w:val="16"/>
          <w:szCs w:val="16"/>
        </w:rPr>
      </w:pPr>
      <w:r w:rsidRPr="008B459D">
        <w:rPr>
          <w:rStyle w:val="FootnoteReference"/>
          <w:sz w:val="16"/>
          <w:szCs w:val="16"/>
        </w:rPr>
        <w:footnoteRef/>
      </w:r>
      <w:r w:rsidRPr="008B459D">
        <w:rPr>
          <w:sz w:val="16"/>
          <w:szCs w:val="16"/>
        </w:rPr>
        <w:t xml:space="preserve"> 03,04,05.</w:t>
      </w:r>
    </w:p>
  </w:footnote>
  <w:footnote w:id="705">
    <w:p w14:paraId="0EEB1F5F" w14:textId="65BB5101" w:rsidR="00056011" w:rsidRPr="008B459D" w:rsidRDefault="00056011">
      <w:pPr>
        <w:pStyle w:val="FootnoteText"/>
        <w:rPr>
          <w:sz w:val="16"/>
          <w:szCs w:val="16"/>
        </w:rPr>
      </w:pPr>
      <w:r w:rsidRPr="008B459D">
        <w:rPr>
          <w:rStyle w:val="FootnoteReference"/>
          <w:sz w:val="16"/>
          <w:szCs w:val="16"/>
        </w:rPr>
        <w:footnoteRef/>
      </w:r>
      <w:r w:rsidRPr="008B459D">
        <w:rPr>
          <w:sz w:val="16"/>
          <w:szCs w:val="16"/>
        </w:rPr>
        <w:t xml:space="preserve"> 36.</w:t>
      </w:r>
    </w:p>
  </w:footnote>
  <w:footnote w:id="706">
    <w:p w14:paraId="24525D9E" w14:textId="77777777" w:rsidR="00056011" w:rsidRPr="008B459D" w:rsidRDefault="00056011" w:rsidP="00056011">
      <w:pPr>
        <w:pStyle w:val="FootnoteText"/>
        <w:rPr>
          <w:sz w:val="16"/>
          <w:szCs w:val="16"/>
        </w:rPr>
      </w:pPr>
      <w:r w:rsidRPr="008B459D">
        <w:rPr>
          <w:rStyle w:val="FootnoteReference"/>
          <w:sz w:val="16"/>
          <w:szCs w:val="16"/>
        </w:rPr>
        <w:footnoteRef/>
      </w:r>
      <w:r w:rsidRPr="008B459D">
        <w:rPr>
          <w:sz w:val="16"/>
          <w:szCs w:val="16"/>
        </w:rPr>
        <w:t xml:space="preserve"> 03,04,05.</w:t>
      </w:r>
    </w:p>
  </w:footnote>
  <w:footnote w:id="707">
    <w:p w14:paraId="59DF1E5C" w14:textId="6AD76E22" w:rsidR="008A293D" w:rsidRPr="008B459D" w:rsidRDefault="008A293D">
      <w:pPr>
        <w:pStyle w:val="FootnoteText"/>
        <w:rPr>
          <w:sz w:val="16"/>
          <w:szCs w:val="16"/>
        </w:rPr>
      </w:pPr>
      <w:r w:rsidRPr="008B459D">
        <w:rPr>
          <w:rStyle w:val="FootnoteReference"/>
          <w:sz w:val="16"/>
          <w:szCs w:val="16"/>
        </w:rPr>
        <w:footnoteRef/>
      </w:r>
      <w:r w:rsidRPr="008B459D">
        <w:rPr>
          <w:sz w:val="16"/>
          <w:szCs w:val="16"/>
        </w:rPr>
        <w:t xml:space="preserve"> 05. </w:t>
      </w:r>
    </w:p>
  </w:footnote>
  <w:footnote w:id="708">
    <w:p w14:paraId="49CD644A" w14:textId="4211D1D0" w:rsidR="008A293D" w:rsidRPr="008B459D" w:rsidRDefault="008A293D">
      <w:pPr>
        <w:pStyle w:val="FootnoteText"/>
        <w:rPr>
          <w:sz w:val="16"/>
          <w:szCs w:val="16"/>
        </w:rPr>
      </w:pPr>
      <w:r w:rsidRPr="008B459D">
        <w:rPr>
          <w:rStyle w:val="FootnoteReference"/>
          <w:sz w:val="16"/>
          <w:szCs w:val="16"/>
        </w:rPr>
        <w:footnoteRef/>
      </w:r>
      <w:r w:rsidRPr="008B459D">
        <w:rPr>
          <w:sz w:val="16"/>
          <w:szCs w:val="16"/>
        </w:rPr>
        <w:t xml:space="preserve"> 05. </w:t>
      </w:r>
    </w:p>
  </w:footnote>
  <w:footnote w:id="709">
    <w:p w14:paraId="76286D5C" w14:textId="7C807B72" w:rsidR="008A293D" w:rsidRPr="008B459D" w:rsidRDefault="008A293D">
      <w:pPr>
        <w:pStyle w:val="FootnoteText"/>
        <w:rPr>
          <w:sz w:val="16"/>
          <w:szCs w:val="16"/>
        </w:rPr>
      </w:pPr>
      <w:r w:rsidRPr="008B459D">
        <w:rPr>
          <w:rStyle w:val="FootnoteReference"/>
          <w:sz w:val="16"/>
          <w:szCs w:val="16"/>
        </w:rPr>
        <w:footnoteRef/>
      </w:r>
      <w:r w:rsidRPr="008B459D">
        <w:rPr>
          <w:sz w:val="16"/>
          <w:szCs w:val="16"/>
        </w:rPr>
        <w:t xml:space="preserve"> 05.</w:t>
      </w:r>
    </w:p>
  </w:footnote>
  <w:footnote w:id="710">
    <w:p w14:paraId="4EEDF3EA" w14:textId="77777777" w:rsidR="008A293D" w:rsidRPr="008B459D" w:rsidRDefault="008A293D" w:rsidP="008A293D">
      <w:pPr>
        <w:pStyle w:val="FootnoteText"/>
        <w:rPr>
          <w:sz w:val="16"/>
          <w:szCs w:val="16"/>
        </w:rPr>
      </w:pPr>
      <w:r w:rsidRPr="008B459D">
        <w:rPr>
          <w:rStyle w:val="FootnoteReference"/>
          <w:sz w:val="16"/>
          <w:szCs w:val="16"/>
        </w:rPr>
        <w:footnoteRef/>
      </w:r>
      <w:r w:rsidRPr="008B459D">
        <w:rPr>
          <w:sz w:val="16"/>
          <w:szCs w:val="16"/>
        </w:rPr>
        <w:t xml:space="preserve"> 03.</w:t>
      </w:r>
    </w:p>
  </w:footnote>
  <w:footnote w:id="711">
    <w:p w14:paraId="48B6F384" w14:textId="77777777" w:rsidR="00453FF9" w:rsidRPr="008B459D" w:rsidRDefault="00453FF9" w:rsidP="00453FF9">
      <w:pPr>
        <w:pStyle w:val="FootnoteText"/>
        <w:rPr>
          <w:sz w:val="16"/>
          <w:szCs w:val="16"/>
        </w:rPr>
      </w:pPr>
      <w:r w:rsidRPr="008B459D">
        <w:rPr>
          <w:rStyle w:val="FootnoteReference"/>
          <w:sz w:val="16"/>
          <w:szCs w:val="16"/>
        </w:rPr>
        <w:footnoteRef/>
      </w:r>
      <w:r w:rsidRPr="008B459D">
        <w:rPr>
          <w:sz w:val="16"/>
          <w:szCs w:val="16"/>
        </w:rPr>
        <w:t xml:space="preserve"> 03.</w:t>
      </w:r>
    </w:p>
  </w:footnote>
  <w:footnote w:id="712">
    <w:p w14:paraId="0252A224" w14:textId="77777777" w:rsidR="00453FF9" w:rsidRPr="008B459D" w:rsidRDefault="00453FF9" w:rsidP="00453FF9">
      <w:pPr>
        <w:pStyle w:val="FootnoteText"/>
        <w:rPr>
          <w:sz w:val="16"/>
          <w:szCs w:val="16"/>
        </w:rPr>
      </w:pPr>
      <w:r w:rsidRPr="008B459D">
        <w:rPr>
          <w:rStyle w:val="FootnoteReference"/>
          <w:sz w:val="16"/>
          <w:szCs w:val="16"/>
        </w:rPr>
        <w:footnoteRef/>
      </w:r>
      <w:r w:rsidRPr="008B459D">
        <w:rPr>
          <w:sz w:val="16"/>
          <w:szCs w:val="16"/>
        </w:rPr>
        <w:t xml:space="preserve"> 04.</w:t>
      </w:r>
    </w:p>
  </w:footnote>
  <w:footnote w:id="713">
    <w:p w14:paraId="5DC288A0" w14:textId="77777777" w:rsidR="00B71F5B" w:rsidRPr="008B459D" w:rsidRDefault="00B71F5B" w:rsidP="00B71F5B">
      <w:pPr>
        <w:pStyle w:val="FootnoteText"/>
        <w:rPr>
          <w:sz w:val="16"/>
          <w:szCs w:val="16"/>
        </w:rPr>
      </w:pPr>
      <w:r w:rsidRPr="008B459D">
        <w:rPr>
          <w:rStyle w:val="FootnoteReference"/>
          <w:sz w:val="16"/>
          <w:szCs w:val="16"/>
        </w:rPr>
        <w:footnoteRef/>
      </w:r>
      <w:r w:rsidRPr="008B459D">
        <w:rPr>
          <w:sz w:val="16"/>
          <w:szCs w:val="16"/>
        </w:rPr>
        <w:t xml:space="preserve"> 36.</w:t>
      </w:r>
    </w:p>
  </w:footnote>
  <w:footnote w:id="714">
    <w:p w14:paraId="28F24984" w14:textId="77777777" w:rsidR="00B71F5B" w:rsidRPr="008B459D" w:rsidRDefault="00B71F5B" w:rsidP="00B71F5B">
      <w:pPr>
        <w:pStyle w:val="FootnoteText"/>
        <w:rPr>
          <w:sz w:val="16"/>
          <w:szCs w:val="16"/>
        </w:rPr>
      </w:pPr>
      <w:r w:rsidRPr="008B459D">
        <w:rPr>
          <w:rStyle w:val="FootnoteReference"/>
          <w:sz w:val="16"/>
          <w:szCs w:val="16"/>
        </w:rPr>
        <w:footnoteRef/>
      </w:r>
      <w:r w:rsidRPr="008B459D">
        <w:rPr>
          <w:sz w:val="16"/>
          <w:szCs w:val="16"/>
        </w:rPr>
        <w:t xml:space="preserve"> 29.</w:t>
      </w:r>
    </w:p>
  </w:footnote>
  <w:footnote w:id="715">
    <w:p w14:paraId="5AA0F4DE" w14:textId="753EBFB7" w:rsidR="00A544B7" w:rsidRPr="008B459D" w:rsidRDefault="00A544B7">
      <w:pPr>
        <w:pStyle w:val="FootnoteText"/>
        <w:rPr>
          <w:sz w:val="16"/>
          <w:szCs w:val="16"/>
        </w:rPr>
      </w:pPr>
      <w:r w:rsidRPr="008B459D">
        <w:rPr>
          <w:rStyle w:val="FootnoteReference"/>
          <w:sz w:val="16"/>
          <w:szCs w:val="16"/>
        </w:rPr>
        <w:footnoteRef/>
      </w:r>
      <w:r w:rsidRPr="008B459D">
        <w:rPr>
          <w:sz w:val="16"/>
          <w:szCs w:val="16"/>
        </w:rPr>
        <w:t xml:space="preserve"> 29.</w:t>
      </w:r>
    </w:p>
  </w:footnote>
  <w:footnote w:id="716">
    <w:p w14:paraId="2170562A" w14:textId="77777777" w:rsidR="00541EFD" w:rsidRPr="008B459D" w:rsidRDefault="00541EFD" w:rsidP="00541EFD">
      <w:pPr>
        <w:pStyle w:val="FootnoteText"/>
        <w:rPr>
          <w:sz w:val="16"/>
          <w:szCs w:val="16"/>
        </w:rPr>
      </w:pPr>
      <w:r w:rsidRPr="008B459D">
        <w:rPr>
          <w:rStyle w:val="FootnoteReference"/>
          <w:sz w:val="16"/>
          <w:szCs w:val="16"/>
        </w:rPr>
        <w:footnoteRef/>
      </w:r>
      <w:r w:rsidRPr="008B459D">
        <w:rPr>
          <w:sz w:val="16"/>
          <w:szCs w:val="16"/>
        </w:rPr>
        <w:t xml:space="preserve"> 03,04,05,10,17,19,20,21,22,32,40,51. </w:t>
      </w:r>
    </w:p>
  </w:footnote>
  <w:footnote w:id="717">
    <w:p w14:paraId="03B77390" w14:textId="73FFBE5A"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w:t>
      </w:r>
      <w:r w:rsidR="005F5409" w:rsidRPr="008B459D">
        <w:rPr>
          <w:sz w:val="16"/>
          <w:szCs w:val="16"/>
        </w:rPr>
        <w:t>18,</w:t>
      </w:r>
      <w:r w:rsidRPr="008B459D">
        <w:rPr>
          <w:sz w:val="16"/>
          <w:szCs w:val="16"/>
        </w:rPr>
        <w:t>C07.</w:t>
      </w:r>
    </w:p>
  </w:footnote>
  <w:footnote w:id="718">
    <w:p w14:paraId="73305684" w14:textId="77777777" w:rsidR="00F637EE" w:rsidRPr="008B459D" w:rsidRDefault="00F637EE" w:rsidP="00F637EE">
      <w:pPr>
        <w:pStyle w:val="FootnoteText"/>
        <w:rPr>
          <w:sz w:val="16"/>
          <w:szCs w:val="16"/>
        </w:rPr>
      </w:pPr>
      <w:r w:rsidRPr="008B459D">
        <w:rPr>
          <w:rStyle w:val="FootnoteReference"/>
          <w:sz w:val="16"/>
          <w:szCs w:val="16"/>
        </w:rPr>
        <w:footnoteRef/>
      </w:r>
      <w:r w:rsidRPr="008B459D">
        <w:rPr>
          <w:sz w:val="16"/>
          <w:szCs w:val="16"/>
        </w:rPr>
        <w:t xml:space="preserve"> 41.</w:t>
      </w:r>
    </w:p>
  </w:footnote>
  <w:footnote w:id="719">
    <w:p w14:paraId="3D88999E"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18.</w:t>
      </w:r>
    </w:p>
  </w:footnote>
  <w:footnote w:id="720">
    <w:p w14:paraId="36CC4AE2" w14:textId="77777777" w:rsidR="00A81995" w:rsidRPr="008B459D" w:rsidRDefault="00A81995" w:rsidP="00A81995">
      <w:pPr>
        <w:pStyle w:val="FootnoteText"/>
        <w:rPr>
          <w:sz w:val="16"/>
          <w:szCs w:val="16"/>
        </w:rPr>
      </w:pPr>
      <w:r w:rsidRPr="008B459D">
        <w:rPr>
          <w:rStyle w:val="FootnoteReference"/>
          <w:sz w:val="16"/>
          <w:szCs w:val="16"/>
        </w:rPr>
        <w:footnoteRef/>
      </w:r>
      <w:r w:rsidRPr="008B459D">
        <w:rPr>
          <w:sz w:val="16"/>
          <w:szCs w:val="16"/>
        </w:rPr>
        <w:t xml:space="preserve"> 25.</w:t>
      </w:r>
    </w:p>
  </w:footnote>
  <w:footnote w:id="721">
    <w:p w14:paraId="03AF6EC7" w14:textId="77777777" w:rsidR="00A81995" w:rsidRPr="008B459D" w:rsidRDefault="00A81995" w:rsidP="00A81995">
      <w:pPr>
        <w:pStyle w:val="FootnoteText"/>
        <w:rPr>
          <w:sz w:val="16"/>
          <w:szCs w:val="16"/>
        </w:rPr>
      </w:pPr>
      <w:r w:rsidRPr="008B459D">
        <w:rPr>
          <w:rStyle w:val="FootnoteReference"/>
          <w:sz w:val="16"/>
          <w:szCs w:val="16"/>
        </w:rPr>
        <w:footnoteRef/>
      </w:r>
      <w:r w:rsidRPr="008B459D">
        <w:rPr>
          <w:sz w:val="16"/>
          <w:szCs w:val="16"/>
        </w:rPr>
        <w:t xml:space="preserve"> 29.</w:t>
      </w:r>
    </w:p>
  </w:footnote>
  <w:footnote w:id="722">
    <w:p w14:paraId="46F9C12E"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35.</w:t>
      </w:r>
    </w:p>
  </w:footnote>
  <w:footnote w:id="723">
    <w:p w14:paraId="02618753" w14:textId="77777777" w:rsidR="001A2D04" w:rsidRPr="008B459D" w:rsidRDefault="001A2D04" w:rsidP="001A2D04">
      <w:pPr>
        <w:pStyle w:val="FootnoteText"/>
        <w:rPr>
          <w:sz w:val="16"/>
          <w:szCs w:val="16"/>
        </w:rPr>
      </w:pPr>
      <w:r w:rsidRPr="008B459D">
        <w:rPr>
          <w:rStyle w:val="FootnoteReference"/>
          <w:sz w:val="16"/>
          <w:szCs w:val="16"/>
        </w:rPr>
        <w:footnoteRef/>
      </w:r>
      <w:r w:rsidRPr="008B459D">
        <w:rPr>
          <w:sz w:val="16"/>
          <w:szCs w:val="16"/>
        </w:rPr>
        <w:t xml:space="preserve"> C08.</w:t>
      </w:r>
    </w:p>
  </w:footnote>
  <w:footnote w:id="724">
    <w:p w14:paraId="7B0B0B6A" w14:textId="77777777" w:rsidR="00A81995" w:rsidRPr="008B459D" w:rsidRDefault="00A81995" w:rsidP="00A81995">
      <w:pPr>
        <w:pStyle w:val="FootnoteText"/>
        <w:rPr>
          <w:sz w:val="16"/>
          <w:szCs w:val="16"/>
        </w:rPr>
      </w:pPr>
      <w:r w:rsidRPr="008B459D">
        <w:rPr>
          <w:rStyle w:val="FootnoteReference"/>
          <w:sz w:val="16"/>
          <w:szCs w:val="16"/>
        </w:rPr>
        <w:footnoteRef/>
      </w:r>
      <w:r w:rsidRPr="008B459D">
        <w:rPr>
          <w:sz w:val="16"/>
          <w:szCs w:val="16"/>
        </w:rPr>
        <w:t xml:space="preserve"> 37.</w:t>
      </w:r>
    </w:p>
  </w:footnote>
  <w:footnote w:id="725">
    <w:p w14:paraId="53F61749" w14:textId="77777777" w:rsidR="00F4420D" w:rsidRPr="008B459D" w:rsidRDefault="00F4420D" w:rsidP="00F4420D">
      <w:pPr>
        <w:pStyle w:val="FootnoteText"/>
        <w:rPr>
          <w:sz w:val="16"/>
          <w:szCs w:val="16"/>
        </w:rPr>
      </w:pPr>
      <w:r w:rsidRPr="008B459D">
        <w:rPr>
          <w:rStyle w:val="FootnoteReference"/>
          <w:sz w:val="16"/>
          <w:szCs w:val="16"/>
        </w:rPr>
        <w:footnoteRef/>
      </w:r>
      <w:r w:rsidRPr="008B459D">
        <w:rPr>
          <w:sz w:val="16"/>
          <w:szCs w:val="16"/>
        </w:rPr>
        <w:t xml:space="preserve"> 45.</w:t>
      </w:r>
    </w:p>
  </w:footnote>
  <w:footnote w:id="726">
    <w:p w14:paraId="3741A284"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C01.</w:t>
      </w:r>
    </w:p>
  </w:footnote>
  <w:footnote w:id="727">
    <w:p w14:paraId="3E1EC64F"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19.</w:t>
      </w:r>
    </w:p>
  </w:footnote>
  <w:footnote w:id="728">
    <w:p w14:paraId="6CA234C4" w14:textId="77777777" w:rsidR="00F4420D" w:rsidRPr="008B459D" w:rsidRDefault="00F4420D" w:rsidP="00F4420D">
      <w:pPr>
        <w:pStyle w:val="FootnoteText"/>
        <w:rPr>
          <w:sz w:val="16"/>
          <w:szCs w:val="16"/>
        </w:rPr>
      </w:pPr>
      <w:r w:rsidRPr="008B459D">
        <w:rPr>
          <w:rStyle w:val="FootnoteReference"/>
          <w:sz w:val="16"/>
          <w:szCs w:val="16"/>
        </w:rPr>
        <w:footnoteRef/>
      </w:r>
      <w:r w:rsidRPr="008B459D">
        <w:rPr>
          <w:sz w:val="16"/>
          <w:szCs w:val="16"/>
        </w:rPr>
        <w:t xml:space="preserve"> 43.</w:t>
      </w:r>
    </w:p>
  </w:footnote>
  <w:footnote w:id="729">
    <w:p w14:paraId="3F5BE2ED"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42.</w:t>
      </w:r>
    </w:p>
  </w:footnote>
  <w:footnote w:id="730">
    <w:p w14:paraId="6FF6AC90"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30.</w:t>
      </w:r>
    </w:p>
  </w:footnote>
  <w:footnote w:id="731">
    <w:p w14:paraId="3D6D8F03" w14:textId="77777777" w:rsidR="00A81995" w:rsidRPr="008B459D" w:rsidRDefault="00A81995" w:rsidP="00A81995">
      <w:pPr>
        <w:pStyle w:val="FootnoteText"/>
        <w:rPr>
          <w:sz w:val="16"/>
          <w:szCs w:val="16"/>
        </w:rPr>
      </w:pPr>
      <w:r w:rsidRPr="008B459D">
        <w:rPr>
          <w:rStyle w:val="FootnoteReference"/>
          <w:sz w:val="16"/>
          <w:szCs w:val="16"/>
        </w:rPr>
        <w:footnoteRef/>
      </w:r>
      <w:r w:rsidRPr="008B459D">
        <w:rPr>
          <w:sz w:val="16"/>
          <w:szCs w:val="16"/>
        </w:rPr>
        <w:t xml:space="preserve"> 36.</w:t>
      </w:r>
    </w:p>
  </w:footnote>
  <w:footnote w:id="732">
    <w:p w14:paraId="060361DD"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12.</w:t>
      </w:r>
    </w:p>
  </w:footnote>
  <w:footnote w:id="733">
    <w:p w14:paraId="1EE38E1F"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55.</w:t>
      </w:r>
    </w:p>
  </w:footnote>
  <w:footnote w:id="734">
    <w:p w14:paraId="73CE8CB3" w14:textId="77777777" w:rsidR="00F4420D" w:rsidRPr="008B459D" w:rsidRDefault="00F4420D" w:rsidP="00F4420D">
      <w:pPr>
        <w:pStyle w:val="FootnoteText"/>
        <w:rPr>
          <w:sz w:val="16"/>
          <w:szCs w:val="16"/>
        </w:rPr>
      </w:pPr>
      <w:r w:rsidRPr="008B459D">
        <w:rPr>
          <w:rStyle w:val="FootnoteReference"/>
          <w:sz w:val="16"/>
          <w:szCs w:val="16"/>
        </w:rPr>
        <w:footnoteRef/>
      </w:r>
      <w:r w:rsidRPr="008B459D">
        <w:rPr>
          <w:sz w:val="16"/>
          <w:szCs w:val="16"/>
        </w:rPr>
        <w:t xml:space="preserve"> 55.</w:t>
      </w:r>
    </w:p>
  </w:footnote>
  <w:footnote w:id="735">
    <w:p w14:paraId="3621827E" w14:textId="77777777" w:rsidR="004A3EAA" w:rsidRPr="008B459D" w:rsidRDefault="004A3EAA" w:rsidP="004A3EAA">
      <w:pPr>
        <w:pStyle w:val="FootnoteText"/>
        <w:rPr>
          <w:sz w:val="16"/>
          <w:szCs w:val="16"/>
        </w:rPr>
      </w:pPr>
      <w:r w:rsidRPr="008B459D">
        <w:rPr>
          <w:rStyle w:val="FootnoteReference"/>
          <w:sz w:val="16"/>
          <w:szCs w:val="16"/>
        </w:rPr>
        <w:footnoteRef/>
      </w:r>
      <w:r w:rsidRPr="008B459D">
        <w:rPr>
          <w:sz w:val="16"/>
          <w:szCs w:val="16"/>
        </w:rPr>
        <w:t xml:space="preserve"> C09. </w:t>
      </w:r>
    </w:p>
  </w:footnote>
  <w:footnote w:id="736">
    <w:p w14:paraId="06712277" w14:textId="77777777" w:rsidR="002C3079" w:rsidRPr="008B459D" w:rsidRDefault="002C3079" w:rsidP="002C3079">
      <w:pPr>
        <w:pStyle w:val="FootnoteText"/>
        <w:rPr>
          <w:sz w:val="16"/>
          <w:szCs w:val="16"/>
        </w:rPr>
      </w:pPr>
      <w:r w:rsidRPr="008B459D">
        <w:rPr>
          <w:rStyle w:val="FootnoteReference"/>
          <w:sz w:val="16"/>
          <w:szCs w:val="16"/>
        </w:rPr>
        <w:footnoteRef/>
      </w:r>
      <w:r w:rsidRPr="008B459D">
        <w:rPr>
          <w:sz w:val="16"/>
          <w:szCs w:val="16"/>
        </w:rPr>
        <w:t xml:space="preserve"> 01. </w:t>
      </w:r>
    </w:p>
  </w:footnote>
  <w:footnote w:id="737">
    <w:p w14:paraId="6DA645DF"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18,25.</w:t>
      </w:r>
    </w:p>
  </w:footnote>
  <w:footnote w:id="738">
    <w:p w14:paraId="1ED37A31"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18.</w:t>
      </w:r>
    </w:p>
  </w:footnote>
  <w:footnote w:id="739">
    <w:p w14:paraId="32037F25"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25.</w:t>
      </w:r>
    </w:p>
  </w:footnote>
  <w:footnote w:id="740">
    <w:p w14:paraId="7676583B"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07,13,18,27,29,33,34,41,47.</w:t>
      </w:r>
    </w:p>
  </w:footnote>
  <w:footnote w:id="741">
    <w:p w14:paraId="3523CCCA"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13,29,33,47.</w:t>
      </w:r>
    </w:p>
  </w:footnote>
  <w:footnote w:id="742">
    <w:p w14:paraId="397436E0"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13,29,33,47.</w:t>
      </w:r>
    </w:p>
  </w:footnote>
  <w:footnote w:id="743">
    <w:p w14:paraId="3A6A12E1"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18,32,33,34.</w:t>
      </w:r>
    </w:p>
  </w:footnote>
  <w:footnote w:id="744">
    <w:p w14:paraId="126323F9"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07,</w:t>
      </w:r>
      <w:r w:rsidRPr="008B459D">
        <w:rPr>
          <w:sz w:val="16"/>
          <w:szCs w:val="16"/>
          <w:lang w:val="en-GB"/>
        </w:rPr>
        <w:t>27,34.</w:t>
      </w:r>
    </w:p>
  </w:footnote>
  <w:footnote w:id="745">
    <w:p w14:paraId="0067BFF5"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13,47.</w:t>
      </w:r>
    </w:p>
  </w:footnote>
  <w:footnote w:id="746">
    <w:p w14:paraId="273BCBD5"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48,52,C04,C08.</w:t>
      </w:r>
    </w:p>
  </w:footnote>
  <w:footnote w:id="747">
    <w:p w14:paraId="0288039C" w14:textId="77777777" w:rsidR="00C95A37" w:rsidRPr="008B459D" w:rsidRDefault="00C95A37" w:rsidP="00C95A37">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 xml:space="preserve">52,C08. </w:t>
      </w:r>
    </w:p>
  </w:footnote>
  <w:footnote w:id="748">
    <w:p w14:paraId="3C077C34"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48,C04.</w:t>
      </w:r>
    </w:p>
  </w:footnote>
  <w:footnote w:id="749">
    <w:p w14:paraId="2CDA59B6"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C03,C06.</w:t>
      </w:r>
    </w:p>
  </w:footnote>
  <w:footnote w:id="750">
    <w:p w14:paraId="4FB07601"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C03.</w:t>
      </w:r>
    </w:p>
  </w:footnote>
  <w:footnote w:id="751">
    <w:p w14:paraId="033F4466" w14:textId="77777777" w:rsidR="00145340" w:rsidRPr="008B459D" w:rsidRDefault="00145340" w:rsidP="00145340">
      <w:pPr>
        <w:pStyle w:val="FootnoteText"/>
        <w:rPr>
          <w:sz w:val="16"/>
          <w:szCs w:val="16"/>
        </w:rPr>
      </w:pPr>
      <w:r w:rsidRPr="008B459D">
        <w:rPr>
          <w:rStyle w:val="FootnoteReference"/>
          <w:sz w:val="16"/>
          <w:szCs w:val="16"/>
        </w:rPr>
        <w:footnoteRef/>
      </w:r>
      <w:r w:rsidRPr="008B459D">
        <w:rPr>
          <w:sz w:val="16"/>
          <w:szCs w:val="16"/>
        </w:rPr>
        <w:t xml:space="preserve"> 03,04,05,10,17,21,32,38,40,43,51.</w:t>
      </w:r>
    </w:p>
  </w:footnote>
  <w:footnote w:id="752">
    <w:p w14:paraId="2D2FBA0C" w14:textId="77777777" w:rsidR="00145340" w:rsidRPr="008B459D" w:rsidRDefault="00145340" w:rsidP="00145340">
      <w:pPr>
        <w:pStyle w:val="FootnoteText"/>
        <w:rPr>
          <w:sz w:val="16"/>
          <w:szCs w:val="16"/>
          <w:lang w:val="en-GB"/>
        </w:rPr>
      </w:pPr>
      <w:r w:rsidRPr="008B459D">
        <w:rPr>
          <w:rStyle w:val="FootnoteReference"/>
          <w:sz w:val="16"/>
          <w:szCs w:val="16"/>
        </w:rPr>
        <w:footnoteRef/>
      </w:r>
      <w:r w:rsidRPr="008B459D">
        <w:rPr>
          <w:sz w:val="16"/>
          <w:szCs w:val="16"/>
        </w:rPr>
        <w:t xml:space="preserve"> 04,05,10,17,19,21,22,32,40,51.</w:t>
      </w:r>
    </w:p>
  </w:footnote>
  <w:footnote w:id="753">
    <w:p w14:paraId="1B0132A9" w14:textId="12F53C00" w:rsidR="00145340" w:rsidRPr="008B459D" w:rsidRDefault="00145340" w:rsidP="00145340">
      <w:pPr>
        <w:pStyle w:val="FootnoteText"/>
        <w:rPr>
          <w:sz w:val="16"/>
          <w:szCs w:val="16"/>
          <w:lang w:val="en-GB"/>
        </w:rPr>
      </w:pPr>
      <w:r w:rsidRPr="008B459D">
        <w:rPr>
          <w:rStyle w:val="FootnoteReference"/>
          <w:sz w:val="16"/>
          <w:szCs w:val="16"/>
        </w:rPr>
        <w:footnoteRef/>
      </w:r>
      <w:r w:rsidRPr="008B459D">
        <w:rPr>
          <w:sz w:val="16"/>
          <w:szCs w:val="16"/>
        </w:rPr>
        <w:t xml:space="preserve"> </w:t>
      </w:r>
      <w:r w:rsidR="001C50DD" w:rsidRPr="008B459D">
        <w:rPr>
          <w:sz w:val="16"/>
          <w:szCs w:val="16"/>
        </w:rPr>
        <w:t>05,21,</w:t>
      </w:r>
      <w:r w:rsidR="00F04DDC" w:rsidRPr="008B459D">
        <w:rPr>
          <w:sz w:val="16"/>
          <w:szCs w:val="16"/>
        </w:rPr>
        <w:t>38,</w:t>
      </w:r>
      <w:r w:rsidR="001C50DD" w:rsidRPr="008B459D">
        <w:rPr>
          <w:sz w:val="16"/>
          <w:szCs w:val="16"/>
        </w:rPr>
        <w:t>40,51.</w:t>
      </w:r>
    </w:p>
  </w:footnote>
  <w:footnote w:id="754">
    <w:p w14:paraId="18012EC6" w14:textId="77777777" w:rsidR="00145340" w:rsidRPr="008B459D" w:rsidRDefault="00145340" w:rsidP="00145340">
      <w:pPr>
        <w:pStyle w:val="FootnoteText"/>
        <w:rPr>
          <w:sz w:val="16"/>
          <w:szCs w:val="16"/>
          <w:lang w:val="en-GB"/>
        </w:rPr>
      </w:pPr>
      <w:r w:rsidRPr="008B459D">
        <w:rPr>
          <w:rStyle w:val="FootnoteReference"/>
          <w:sz w:val="16"/>
          <w:szCs w:val="16"/>
        </w:rPr>
        <w:footnoteRef/>
      </w:r>
      <w:r w:rsidRPr="008B459D">
        <w:rPr>
          <w:sz w:val="16"/>
          <w:szCs w:val="16"/>
        </w:rPr>
        <w:t xml:space="preserve"> 04,05,10,17,18,19,21,22,25,40,51.</w:t>
      </w:r>
    </w:p>
  </w:footnote>
  <w:footnote w:id="755">
    <w:p w14:paraId="006C304F" w14:textId="77777777" w:rsidR="00145340" w:rsidRPr="008B459D" w:rsidRDefault="00145340" w:rsidP="00145340">
      <w:pPr>
        <w:pStyle w:val="FootnoteText"/>
        <w:rPr>
          <w:sz w:val="16"/>
          <w:szCs w:val="16"/>
          <w:lang w:val="en-GB"/>
        </w:rPr>
      </w:pPr>
      <w:r w:rsidRPr="008B459D">
        <w:rPr>
          <w:rStyle w:val="FootnoteReference"/>
          <w:sz w:val="16"/>
          <w:szCs w:val="16"/>
        </w:rPr>
        <w:footnoteRef/>
      </w:r>
      <w:r w:rsidRPr="008B459D">
        <w:rPr>
          <w:sz w:val="16"/>
          <w:szCs w:val="16"/>
        </w:rPr>
        <w:t xml:space="preserve"> 04,05,10,17,18,19,21,22,25,40,51.</w:t>
      </w:r>
    </w:p>
  </w:footnote>
  <w:footnote w:id="756">
    <w:p w14:paraId="5185FA06" w14:textId="77777777" w:rsidR="00145340" w:rsidRPr="008B459D" w:rsidRDefault="00145340" w:rsidP="00145340">
      <w:pPr>
        <w:pStyle w:val="FootnoteText"/>
        <w:rPr>
          <w:sz w:val="16"/>
          <w:szCs w:val="16"/>
          <w:lang w:val="en-GB"/>
        </w:rPr>
      </w:pPr>
      <w:r w:rsidRPr="008B459D">
        <w:rPr>
          <w:rStyle w:val="FootnoteReference"/>
          <w:sz w:val="16"/>
          <w:szCs w:val="16"/>
        </w:rPr>
        <w:footnoteRef/>
      </w:r>
      <w:r w:rsidRPr="008B459D">
        <w:rPr>
          <w:sz w:val="16"/>
          <w:szCs w:val="16"/>
        </w:rPr>
        <w:t xml:space="preserve"> 05,19,21,22,32,40,51.</w:t>
      </w:r>
    </w:p>
  </w:footnote>
  <w:footnote w:id="757">
    <w:p w14:paraId="3130E431"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09,13,18,23,25.</w:t>
      </w:r>
    </w:p>
  </w:footnote>
  <w:footnote w:id="758">
    <w:p w14:paraId="3BAEF5E8"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13.</w:t>
      </w:r>
    </w:p>
  </w:footnote>
  <w:footnote w:id="759">
    <w:p w14:paraId="1DF61AE6"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23.</w:t>
      </w:r>
    </w:p>
  </w:footnote>
  <w:footnote w:id="760">
    <w:p w14:paraId="095CF071" w14:textId="514B490B" w:rsidR="00D74F90" w:rsidRPr="008B459D" w:rsidRDefault="00D74F90">
      <w:pPr>
        <w:pStyle w:val="FootnoteText"/>
        <w:rPr>
          <w:sz w:val="16"/>
          <w:szCs w:val="16"/>
        </w:rPr>
      </w:pPr>
      <w:r w:rsidRPr="008B459D">
        <w:rPr>
          <w:rStyle w:val="FootnoteReference"/>
          <w:sz w:val="16"/>
          <w:szCs w:val="16"/>
        </w:rPr>
        <w:footnoteRef/>
      </w:r>
      <w:r w:rsidRPr="008B459D">
        <w:rPr>
          <w:sz w:val="16"/>
          <w:szCs w:val="16"/>
        </w:rPr>
        <w:t xml:space="preserve"> </w:t>
      </w:r>
      <w:r w:rsidR="00214FF9" w:rsidRPr="008B459D">
        <w:rPr>
          <w:sz w:val="16"/>
          <w:szCs w:val="16"/>
        </w:rPr>
        <w:t>05,21,38,40,51.</w:t>
      </w:r>
    </w:p>
  </w:footnote>
  <w:footnote w:id="761">
    <w:p w14:paraId="3FABEADE"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30.</w:t>
      </w:r>
    </w:p>
  </w:footnote>
  <w:footnote w:id="762">
    <w:p w14:paraId="07968D6B"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27,29.</w:t>
      </w:r>
    </w:p>
  </w:footnote>
  <w:footnote w:id="763">
    <w:p w14:paraId="35BBFE1D"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34,37,50</w:t>
      </w:r>
    </w:p>
  </w:footnote>
  <w:footnote w:id="764">
    <w:p w14:paraId="081079E0"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13,27,29.</w:t>
      </w:r>
    </w:p>
  </w:footnote>
  <w:footnote w:id="765">
    <w:p w14:paraId="7B2049F5"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34,47,50.</w:t>
      </w:r>
    </w:p>
  </w:footnote>
  <w:footnote w:id="766">
    <w:p w14:paraId="20C23610"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25,33.</w:t>
      </w:r>
    </w:p>
  </w:footnote>
  <w:footnote w:id="767">
    <w:p w14:paraId="55A0D99B"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w:t>
      </w:r>
    </w:p>
  </w:footnote>
  <w:footnote w:id="768">
    <w:p w14:paraId="16C8E854"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w:t>
      </w:r>
    </w:p>
  </w:footnote>
  <w:footnote w:id="769">
    <w:p w14:paraId="348589E6"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13.</w:t>
      </w:r>
    </w:p>
  </w:footnote>
  <w:footnote w:id="770">
    <w:p w14:paraId="679A07FB"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48.</w:t>
      </w:r>
    </w:p>
  </w:footnote>
  <w:footnote w:id="771">
    <w:p w14:paraId="1B3127CA" w14:textId="77777777" w:rsidR="005021A8" w:rsidRPr="008B459D" w:rsidRDefault="005021A8" w:rsidP="005021A8">
      <w:pPr>
        <w:pStyle w:val="FootnoteText"/>
        <w:rPr>
          <w:sz w:val="16"/>
          <w:szCs w:val="16"/>
        </w:rPr>
      </w:pPr>
      <w:r w:rsidRPr="008B459D">
        <w:rPr>
          <w:rStyle w:val="FootnoteReference"/>
          <w:sz w:val="16"/>
          <w:szCs w:val="16"/>
        </w:rPr>
        <w:footnoteRef/>
      </w:r>
      <w:r w:rsidRPr="008B459D">
        <w:rPr>
          <w:sz w:val="16"/>
          <w:szCs w:val="16"/>
        </w:rPr>
        <w:t xml:space="preserve"> 48.</w:t>
      </w:r>
    </w:p>
  </w:footnote>
  <w:footnote w:id="772">
    <w:p w14:paraId="47D030AC"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773">
    <w:p w14:paraId="18E80A7B"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13,27,29,</w:t>
      </w:r>
      <w:r w:rsidRPr="008B459D">
        <w:rPr>
          <w:sz w:val="16"/>
          <w:szCs w:val="16"/>
          <w:lang w:val="en-GB"/>
        </w:rPr>
        <w:t>39,C08.</w:t>
      </w:r>
    </w:p>
  </w:footnote>
  <w:footnote w:id="774">
    <w:p w14:paraId="18E6DBEA"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C08.</w:t>
      </w:r>
    </w:p>
  </w:footnote>
  <w:footnote w:id="775">
    <w:p w14:paraId="62B9D082"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03,05,10,19,21,38,40,51.</w:t>
      </w:r>
    </w:p>
  </w:footnote>
  <w:footnote w:id="776">
    <w:p w14:paraId="0D810656"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03,04,05,10,21,51.</w:t>
      </w:r>
    </w:p>
  </w:footnote>
  <w:footnote w:id="777">
    <w:p w14:paraId="29DCD56E"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04.</w:t>
      </w:r>
    </w:p>
  </w:footnote>
  <w:footnote w:id="778">
    <w:p w14:paraId="17F49BAE"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w:t>
      </w:r>
    </w:p>
  </w:footnote>
  <w:footnote w:id="779">
    <w:p w14:paraId="1E0516F6"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03,05,21,32,51.</w:t>
      </w:r>
    </w:p>
  </w:footnote>
  <w:footnote w:id="780">
    <w:p w14:paraId="444EB069"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05,21,40,51.</w:t>
      </w:r>
    </w:p>
  </w:footnote>
  <w:footnote w:id="781">
    <w:p w14:paraId="16937BD3"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42.</w:t>
      </w:r>
    </w:p>
  </w:footnote>
  <w:footnote w:id="782">
    <w:p w14:paraId="20892E22" w14:textId="77777777" w:rsidR="004C6910" w:rsidRPr="008B459D" w:rsidRDefault="004C6910" w:rsidP="004C6910">
      <w:pPr>
        <w:pStyle w:val="FootnoteText"/>
        <w:rPr>
          <w:sz w:val="16"/>
          <w:szCs w:val="16"/>
          <w:lang w:val="en-GB"/>
        </w:rPr>
      </w:pPr>
      <w:r w:rsidRPr="008B459D">
        <w:rPr>
          <w:rStyle w:val="FootnoteReference"/>
          <w:sz w:val="16"/>
          <w:szCs w:val="16"/>
        </w:rPr>
        <w:footnoteRef/>
      </w:r>
      <w:r w:rsidRPr="008B459D">
        <w:rPr>
          <w:sz w:val="16"/>
          <w:szCs w:val="16"/>
        </w:rPr>
        <w:t xml:space="preserve"> 07,09,13,27,29 ,41,46,47,C07.</w:t>
      </w:r>
    </w:p>
  </w:footnote>
  <w:footnote w:id="783">
    <w:p w14:paraId="33020ADF"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27,29,41,46,47.</w:t>
      </w:r>
    </w:p>
  </w:footnote>
  <w:footnote w:id="784">
    <w:p w14:paraId="7067CFD8"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29,46,47.</w:t>
      </w:r>
    </w:p>
  </w:footnote>
  <w:footnote w:id="785">
    <w:p w14:paraId="599D9292"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41.</w:t>
      </w:r>
    </w:p>
  </w:footnote>
  <w:footnote w:id="786">
    <w:p w14:paraId="0D0CC3AF"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27, 41.</w:t>
      </w:r>
    </w:p>
  </w:footnote>
  <w:footnote w:id="787">
    <w:p w14:paraId="3DBBBF7B"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13.</w:t>
      </w:r>
    </w:p>
  </w:footnote>
  <w:footnote w:id="788">
    <w:p w14:paraId="66ADA048"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09.</w:t>
      </w:r>
    </w:p>
  </w:footnote>
  <w:footnote w:id="789">
    <w:p w14:paraId="3FDE0A52"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23,37,45,48,52,</w:t>
      </w:r>
    </w:p>
  </w:footnote>
  <w:footnote w:id="790">
    <w:p w14:paraId="443EC122"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C04.</w:t>
      </w:r>
    </w:p>
  </w:footnote>
  <w:footnote w:id="791">
    <w:p w14:paraId="258A1B7D"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44</w:t>
      </w:r>
    </w:p>
  </w:footnote>
  <w:footnote w:id="792">
    <w:p w14:paraId="71950AC0" w14:textId="77777777" w:rsidR="005021A8" w:rsidRPr="008B459D" w:rsidRDefault="005021A8" w:rsidP="005021A8">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31.</w:t>
      </w:r>
    </w:p>
  </w:footnote>
  <w:footnote w:id="793">
    <w:p w14:paraId="3E4D46CE" w14:textId="77777777" w:rsidR="00541EFD" w:rsidRPr="008B459D" w:rsidRDefault="00541EFD" w:rsidP="00541EFD">
      <w:pPr>
        <w:pStyle w:val="FootnoteText"/>
        <w:rPr>
          <w:sz w:val="16"/>
          <w:szCs w:val="16"/>
          <w:lang w:val="en-GB"/>
        </w:rPr>
      </w:pPr>
      <w:r w:rsidRPr="008B459D">
        <w:rPr>
          <w:rStyle w:val="FootnoteReference"/>
          <w:sz w:val="16"/>
          <w:szCs w:val="16"/>
        </w:rPr>
        <w:footnoteRef/>
      </w:r>
      <w:r w:rsidRPr="008B459D">
        <w:rPr>
          <w:sz w:val="16"/>
          <w:szCs w:val="16"/>
        </w:rPr>
        <w:t xml:space="preserve"> C09.</w:t>
      </w:r>
    </w:p>
  </w:footnote>
  <w:footnote w:id="794">
    <w:p w14:paraId="37E98A5C" w14:textId="77777777" w:rsidR="005021A8" w:rsidRPr="008B459D" w:rsidRDefault="005021A8" w:rsidP="005021A8">
      <w:pPr>
        <w:pStyle w:val="FootnoteText"/>
        <w:rPr>
          <w:sz w:val="16"/>
          <w:szCs w:val="16"/>
          <w:lang w:val="en-US"/>
        </w:rPr>
      </w:pPr>
      <w:r w:rsidRPr="008B459D">
        <w:rPr>
          <w:rStyle w:val="FootnoteReference"/>
          <w:sz w:val="16"/>
          <w:szCs w:val="16"/>
        </w:rPr>
        <w:footnoteRef/>
      </w:r>
      <w:r w:rsidRPr="008B459D">
        <w:rPr>
          <w:sz w:val="16"/>
          <w:szCs w:val="16"/>
        </w:rPr>
        <w:t xml:space="preserve"> 07,09,27,41.</w:t>
      </w:r>
    </w:p>
  </w:footnote>
  <w:footnote w:id="795">
    <w:p w14:paraId="156DBB73" w14:textId="77777777" w:rsidR="005021A8" w:rsidRPr="008B459D" w:rsidRDefault="005021A8" w:rsidP="005021A8">
      <w:pPr>
        <w:pStyle w:val="FootnoteText"/>
        <w:rPr>
          <w:sz w:val="16"/>
          <w:szCs w:val="16"/>
          <w:lang w:val="mi-NZ"/>
        </w:rPr>
      </w:pPr>
      <w:r w:rsidRPr="008B459D">
        <w:rPr>
          <w:rStyle w:val="FootnoteReference"/>
          <w:sz w:val="16"/>
          <w:szCs w:val="16"/>
        </w:rPr>
        <w:footnoteRef/>
      </w:r>
      <w:r w:rsidRPr="008B459D">
        <w:rPr>
          <w:sz w:val="16"/>
          <w:szCs w:val="16"/>
        </w:rPr>
        <w:t xml:space="preserve"> 07,27,41.</w:t>
      </w:r>
    </w:p>
  </w:footnote>
  <w:footnote w:id="796">
    <w:p w14:paraId="2DBCDDF4" w14:textId="77777777" w:rsidR="005021A8" w:rsidRPr="008B459D" w:rsidRDefault="005021A8" w:rsidP="005021A8">
      <w:pPr>
        <w:pStyle w:val="FootnoteText"/>
        <w:rPr>
          <w:sz w:val="16"/>
          <w:szCs w:val="16"/>
          <w:lang w:val="mi-NZ"/>
        </w:rPr>
      </w:pPr>
      <w:r w:rsidRPr="008B459D">
        <w:rPr>
          <w:rStyle w:val="FootnoteReference"/>
          <w:sz w:val="16"/>
          <w:szCs w:val="16"/>
        </w:rPr>
        <w:footnoteRef/>
      </w:r>
      <w:r w:rsidRPr="008B459D">
        <w:rPr>
          <w:sz w:val="16"/>
          <w:szCs w:val="16"/>
        </w:rPr>
        <w:t xml:space="preserve"> 13,</w:t>
      </w:r>
      <w:r w:rsidRPr="008B459D">
        <w:rPr>
          <w:sz w:val="16"/>
          <w:szCs w:val="16"/>
          <w:lang w:val="mi-NZ"/>
        </w:rPr>
        <w:t>34,50.</w:t>
      </w:r>
    </w:p>
  </w:footnote>
  <w:footnote w:id="797">
    <w:p w14:paraId="32A44F8A" w14:textId="77777777" w:rsidR="005021A8" w:rsidRPr="008B459D" w:rsidRDefault="005021A8" w:rsidP="005021A8">
      <w:pPr>
        <w:pStyle w:val="FootnoteText"/>
        <w:rPr>
          <w:sz w:val="16"/>
          <w:szCs w:val="16"/>
          <w:lang w:val="mi-NZ"/>
        </w:rPr>
      </w:pPr>
      <w:r w:rsidRPr="008B459D">
        <w:rPr>
          <w:rStyle w:val="FootnoteReference"/>
          <w:sz w:val="16"/>
          <w:szCs w:val="16"/>
        </w:rPr>
        <w:footnoteRef/>
      </w:r>
      <w:r w:rsidRPr="008B459D">
        <w:rPr>
          <w:sz w:val="16"/>
          <w:szCs w:val="16"/>
        </w:rPr>
        <w:t xml:space="preserve"> 02,33,48,55,C08.</w:t>
      </w:r>
    </w:p>
  </w:footnote>
  <w:footnote w:id="798">
    <w:p w14:paraId="648C2EAF" w14:textId="77777777" w:rsidR="005021A8" w:rsidRPr="008B459D" w:rsidRDefault="005021A8" w:rsidP="005021A8">
      <w:pPr>
        <w:pStyle w:val="FootnoteText"/>
        <w:rPr>
          <w:sz w:val="16"/>
          <w:szCs w:val="16"/>
          <w:lang w:val="en-US"/>
        </w:rPr>
      </w:pPr>
      <w:r w:rsidRPr="008B459D">
        <w:rPr>
          <w:rStyle w:val="FootnoteReference"/>
          <w:sz w:val="16"/>
          <w:szCs w:val="16"/>
        </w:rPr>
        <w:footnoteRef/>
      </w:r>
      <w:r w:rsidRPr="008B459D">
        <w:rPr>
          <w:sz w:val="16"/>
          <w:szCs w:val="16"/>
        </w:rPr>
        <w:t xml:space="preserve"> 34,C08.</w:t>
      </w:r>
    </w:p>
  </w:footnote>
  <w:footnote w:id="799">
    <w:p w14:paraId="70E7C956" w14:textId="77777777" w:rsidR="005021A8" w:rsidRPr="008B459D" w:rsidRDefault="005021A8" w:rsidP="005021A8">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33,</w:t>
      </w:r>
    </w:p>
  </w:footnote>
  <w:footnote w:id="800">
    <w:p w14:paraId="0723D950" w14:textId="77777777" w:rsidR="005021A8" w:rsidRPr="008B459D" w:rsidRDefault="005021A8" w:rsidP="005021A8">
      <w:pPr>
        <w:pStyle w:val="FootnoteText"/>
        <w:rPr>
          <w:sz w:val="16"/>
          <w:szCs w:val="16"/>
          <w:lang w:val="en-US"/>
        </w:rPr>
      </w:pPr>
      <w:r w:rsidRPr="008B459D">
        <w:rPr>
          <w:rStyle w:val="FootnoteReference"/>
          <w:sz w:val="16"/>
          <w:szCs w:val="16"/>
        </w:rPr>
        <w:footnoteRef/>
      </w:r>
      <w:r w:rsidRPr="008B459D">
        <w:rPr>
          <w:sz w:val="16"/>
          <w:szCs w:val="16"/>
        </w:rPr>
        <w:t xml:space="preserve"> 33.</w:t>
      </w:r>
    </w:p>
  </w:footnote>
  <w:footnote w:id="801">
    <w:p w14:paraId="0554894A" w14:textId="77777777" w:rsidR="005021A8" w:rsidRPr="008B459D" w:rsidRDefault="005021A8" w:rsidP="005021A8">
      <w:pPr>
        <w:pStyle w:val="FootnoteText"/>
        <w:rPr>
          <w:sz w:val="16"/>
          <w:szCs w:val="16"/>
          <w:lang w:val="en-US"/>
        </w:rPr>
      </w:pPr>
      <w:r w:rsidRPr="008B459D">
        <w:rPr>
          <w:rStyle w:val="FootnoteReference"/>
          <w:sz w:val="16"/>
          <w:szCs w:val="16"/>
        </w:rPr>
        <w:footnoteRef/>
      </w:r>
      <w:r w:rsidRPr="008B459D">
        <w:rPr>
          <w:sz w:val="16"/>
          <w:szCs w:val="16"/>
        </w:rPr>
        <w:t xml:space="preserve"> 35.</w:t>
      </w:r>
    </w:p>
  </w:footnote>
  <w:footnote w:id="802">
    <w:p w14:paraId="1BEE46EF"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03,04,05,22,26,32,38,40,5</w:t>
      </w:r>
      <w:r w:rsidRPr="008B459D">
        <w:rPr>
          <w:sz w:val="16"/>
          <w:szCs w:val="16"/>
          <w:lang w:val="en-US"/>
        </w:rPr>
        <w:t>1,</w:t>
      </w:r>
      <w:r w:rsidRPr="008B459D">
        <w:rPr>
          <w:sz w:val="16"/>
          <w:szCs w:val="16"/>
        </w:rPr>
        <w:t>C01.</w:t>
      </w:r>
    </w:p>
  </w:footnote>
  <w:footnote w:id="803">
    <w:p w14:paraId="1F240E07"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03,04,05,15,22,26,32,38,51.</w:t>
      </w:r>
    </w:p>
  </w:footnote>
  <w:footnote w:id="804">
    <w:p w14:paraId="453AD5CB"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03,05,22,26,32,38,40,51.</w:t>
      </w:r>
    </w:p>
  </w:footnote>
  <w:footnote w:id="805">
    <w:p w14:paraId="7D28AFDF"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03,04,05,</w:t>
      </w:r>
      <w:r w:rsidRPr="008B459D">
        <w:rPr>
          <w:sz w:val="16"/>
          <w:szCs w:val="16"/>
          <w:lang w:val="en-US"/>
        </w:rPr>
        <w:t>22,26,32,51.</w:t>
      </w:r>
    </w:p>
  </w:footnote>
  <w:footnote w:id="806">
    <w:p w14:paraId="1CF00A21"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04,05,26,32,38,51.</w:t>
      </w:r>
    </w:p>
  </w:footnote>
  <w:footnote w:id="807">
    <w:p w14:paraId="3FC1613D"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en-US"/>
        </w:rPr>
        <w:t>05,26,32,51.</w:t>
      </w:r>
    </w:p>
  </w:footnote>
  <w:footnote w:id="808">
    <w:p w14:paraId="78BC4569"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03,04,05.</w:t>
      </w:r>
    </w:p>
  </w:footnote>
  <w:footnote w:id="809">
    <w:p w14:paraId="69BFCEB1"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w:t>
      </w:r>
      <w:r w:rsidRPr="008B459D">
        <w:rPr>
          <w:sz w:val="16"/>
          <w:szCs w:val="16"/>
          <w:lang w:val="mi-NZ"/>
        </w:rPr>
        <w:t>10,17.</w:t>
      </w:r>
    </w:p>
  </w:footnote>
  <w:footnote w:id="810">
    <w:p w14:paraId="7E695EBF"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17.</w:t>
      </w:r>
    </w:p>
  </w:footnote>
  <w:footnote w:id="811">
    <w:p w14:paraId="2B64CEA8" w14:textId="77777777" w:rsidR="00541EFD" w:rsidRPr="008B459D" w:rsidRDefault="00541EFD" w:rsidP="00541EFD">
      <w:pPr>
        <w:pStyle w:val="FootnoteText"/>
        <w:rPr>
          <w:sz w:val="16"/>
          <w:szCs w:val="16"/>
          <w:lang w:val="mi-NZ"/>
        </w:rPr>
      </w:pPr>
      <w:r w:rsidRPr="008B459D">
        <w:rPr>
          <w:rStyle w:val="FootnoteReference"/>
          <w:sz w:val="16"/>
          <w:szCs w:val="16"/>
        </w:rPr>
        <w:footnoteRef/>
      </w:r>
      <w:r w:rsidRPr="008B459D">
        <w:rPr>
          <w:sz w:val="16"/>
          <w:szCs w:val="16"/>
        </w:rPr>
        <w:t xml:space="preserve"> 03,04,05.</w:t>
      </w:r>
    </w:p>
  </w:footnote>
  <w:footnote w:id="812">
    <w:p w14:paraId="617F2B9F"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30,31,36,42.</w:t>
      </w:r>
    </w:p>
  </w:footnote>
  <w:footnote w:id="813">
    <w:p w14:paraId="66B9657A"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31,42.</w:t>
      </w:r>
    </w:p>
  </w:footnote>
  <w:footnote w:id="814">
    <w:p w14:paraId="7176D6AE"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31,</w:t>
      </w:r>
      <w:r w:rsidRPr="008B459D">
        <w:rPr>
          <w:sz w:val="16"/>
          <w:szCs w:val="16"/>
          <w:lang w:val="en-US"/>
        </w:rPr>
        <w:t>36.</w:t>
      </w:r>
    </w:p>
  </w:footnote>
  <w:footnote w:id="815">
    <w:p w14:paraId="7716B77C" w14:textId="77777777" w:rsidR="00541EFD" w:rsidRPr="008B459D" w:rsidRDefault="00541EFD" w:rsidP="00541EFD">
      <w:pPr>
        <w:pStyle w:val="FootnoteText"/>
        <w:rPr>
          <w:sz w:val="16"/>
          <w:szCs w:val="16"/>
          <w:lang w:val="en-US"/>
        </w:rPr>
      </w:pPr>
      <w:r w:rsidRPr="008B459D">
        <w:rPr>
          <w:rStyle w:val="FootnoteReference"/>
          <w:sz w:val="16"/>
          <w:szCs w:val="16"/>
        </w:rPr>
        <w:footnoteRef/>
      </w:r>
      <w:r w:rsidRPr="008B459D">
        <w:rPr>
          <w:sz w:val="16"/>
          <w:szCs w:val="16"/>
        </w:rPr>
        <w:t xml:space="preserve"> </w:t>
      </w:r>
      <w:r w:rsidRPr="008B459D">
        <w:rPr>
          <w:sz w:val="16"/>
          <w:szCs w:val="16"/>
          <w:lang w:val="en-US"/>
        </w:rPr>
        <w:t>30,31,42.</w:t>
      </w:r>
    </w:p>
  </w:footnote>
  <w:footnote w:id="816">
    <w:p w14:paraId="56506647"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12,13,15,18,28,39,46,49,C04.</w:t>
      </w:r>
    </w:p>
  </w:footnote>
  <w:footnote w:id="817">
    <w:p w14:paraId="657091D9"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18,23,27,34,42,50.</w:t>
      </w:r>
    </w:p>
  </w:footnote>
  <w:footnote w:id="818">
    <w:p w14:paraId="2A982CCA"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11,15,27,37.</w:t>
      </w:r>
    </w:p>
  </w:footnote>
  <w:footnote w:id="819">
    <w:p w14:paraId="2AFB1DFF"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49. </w:t>
      </w:r>
    </w:p>
  </w:footnote>
  <w:footnote w:id="820">
    <w:p w14:paraId="7EBA8697"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05,08,18,41,51.</w:t>
      </w:r>
    </w:p>
  </w:footnote>
  <w:footnote w:id="821">
    <w:p w14:paraId="54CA4F95"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42.</w:t>
      </w:r>
    </w:p>
  </w:footnote>
  <w:footnote w:id="822">
    <w:p w14:paraId="705BE35D"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48.</w:t>
      </w:r>
    </w:p>
  </w:footnote>
  <w:footnote w:id="823">
    <w:p w14:paraId="102E57A1"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18.</w:t>
      </w:r>
    </w:p>
  </w:footnote>
  <w:footnote w:id="824">
    <w:p w14:paraId="5CE4843E"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05,51.</w:t>
      </w:r>
    </w:p>
  </w:footnote>
  <w:footnote w:id="825">
    <w:p w14:paraId="45B226AC"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28.</w:t>
      </w:r>
    </w:p>
  </w:footnote>
  <w:footnote w:id="826">
    <w:p w14:paraId="5E8280C1"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44.</w:t>
      </w:r>
    </w:p>
  </w:footnote>
  <w:footnote w:id="827">
    <w:p w14:paraId="4F925802"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05,38,51.</w:t>
      </w:r>
    </w:p>
  </w:footnote>
  <w:footnote w:id="828">
    <w:p w14:paraId="3C473425" w14:textId="77777777" w:rsidR="00D522F9" w:rsidRPr="008B459D" w:rsidRDefault="00D522F9" w:rsidP="00D522F9">
      <w:pPr>
        <w:pStyle w:val="FootnoteText"/>
        <w:rPr>
          <w:sz w:val="16"/>
          <w:szCs w:val="16"/>
          <w:lang w:val="en-GB"/>
        </w:rPr>
      </w:pPr>
      <w:r w:rsidRPr="008B459D">
        <w:rPr>
          <w:rStyle w:val="FootnoteReference"/>
          <w:sz w:val="16"/>
          <w:szCs w:val="16"/>
        </w:rPr>
        <w:footnoteRef/>
      </w:r>
      <w:r w:rsidRPr="008B459D">
        <w:rPr>
          <w:sz w:val="16"/>
          <w:szCs w:val="16"/>
        </w:rPr>
        <w:t xml:space="preserve"> 48.</w:t>
      </w:r>
    </w:p>
  </w:footnote>
  <w:footnote w:id="829">
    <w:p w14:paraId="12A84D1B" w14:textId="77777777" w:rsidR="00D522F9" w:rsidRPr="008B459D" w:rsidRDefault="00D522F9" w:rsidP="00D522F9">
      <w:pPr>
        <w:pStyle w:val="FootnoteText"/>
        <w:rPr>
          <w:sz w:val="16"/>
          <w:szCs w:val="16"/>
          <w:lang w:val="en-GB"/>
        </w:rPr>
      </w:pPr>
      <w:r w:rsidRPr="008B459D">
        <w:rPr>
          <w:rStyle w:val="FootnoteReference"/>
          <w:sz w:val="16"/>
          <w:szCs w:val="16"/>
        </w:rPr>
        <w:footnoteRef/>
      </w:r>
      <w:r w:rsidRPr="008B459D">
        <w:rPr>
          <w:sz w:val="16"/>
          <w:szCs w:val="16"/>
        </w:rPr>
        <w:t xml:space="preserve"> </w:t>
      </w:r>
      <w:r w:rsidRPr="008B459D">
        <w:rPr>
          <w:sz w:val="16"/>
          <w:szCs w:val="16"/>
          <w:lang w:val="en-GB"/>
        </w:rPr>
        <w:t>24.</w:t>
      </w:r>
    </w:p>
  </w:footnote>
  <w:footnote w:id="830">
    <w:p w14:paraId="5DA2BA3B"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06.</w:t>
      </w:r>
    </w:p>
  </w:footnote>
  <w:footnote w:id="831">
    <w:p w14:paraId="46CF56D4" w14:textId="77777777" w:rsidR="00D522F9" w:rsidRPr="008B459D" w:rsidRDefault="00D522F9" w:rsidP="00D522F9">
      <w:pPr>
        <w:pStyle w:val="FootnoteText"/>
        <w:rPr>
          <w:sz w:val="16"/>
          <w:szCs w:val="16"/>
        </w:rPr>
      </w:pPr>
      <w:r w:rsidRPr="008B459D">
        <w:rPr>
          <w:rStyle w:val="FootnoteReference"/>
          <w:sz w:val="16"/>
          <w:szCs w:val="16"/>
        </w:rPr>
        <w:footnoteRef/>
      </w:r>
      <w:r w:rsidRPr="008B459D">
        <w:rPr>
          <w:sz w:val="16"/>
          <w:szCs w:val="16"/>
        </w:rPr>
        <w:t xml:space="preserve"> 49.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0EA"/>
    <w:multiLevelType w:val="hybridMultilevel"/>
    <w:tmpl w:val="7E94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B74B4"/>
    <w:multiLevelType w:val="hybridMultilevel"/>
    <w:tmpl w:val="FA58C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1B4E34"/>
    <w:multiLevelType w:val="hybridMultilevel"/>
    <w:tmpl w:val="D14E21D0"/>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6A10AA"/>
    <w:multiLevelType w:val="hybridMultilevel"/>
    <w:tmpl w:val="E1341504"/>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Avenir LT Std 45 Book" w:hAnsi="Avenir LT Std 45 Book" w:cs="Avenir LT Std 45 Book" w:hint="default"/>
      </w:rPr>
    </w:lvl>
    <w:lvl w:ilvl="2" w:tplc="14090005" w:tentative="1">
      <w:start w:val="1"/>
      <w:numFmt w:val="bullet"/>
      <w:lvlText w:val=""/>
      <w:lvlJc w:val="left"/>
      <w:pPr>
        <w:ind w:left="2160" w:hanging="360"/>
      </w:pPr>
      <w:rPr>
        <w:rFonts w:ascii="Avenir LT Std 45 Book" w:hAnsi="Avenir LT Std 45 Book"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Avenir LT Std 45 Book" w:hAnsi="Avenir LT Std 45 Book" w:cs="Avenir LT Std 45 Book" w:hint="default"/>
      </w:rPr>
    </w:lvl>
    <w:lvl w:ilvl="5" w:tplc="14090005" w:tentative="1">
      <w:start w:val="1"/>
      <w:numFmt w:val="bullet"/>
      <w:lvlText w:val=""/>
      <w:lvlJc w:val="left"/>
      <w:pPr>
        <w:ind w:left="4320" w:hanging="360"/>
      </w:pPr>
      <w:rPr>
        <w:rFonts w:ascii="Avenir LT Std 45 Book" w:hAnsi="Avenir LT Std 45 Book"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Avenir LT Std 45 Book" w:hAnsi="Avenir LT Std 45 Book" w:cs="Avenir LT Std 45 Book" w:hint="default"/>
      </w:rPr>
    </w:lvl>
    <w:lvl w:ilvl="8" w:tplc="14090005" w:tentative="1">
      <w:start w:val="1"/>
      <w:numFmt w:val="bullet"/>
      <w:lvlText w:val=""/>
      <w:lvlJc w:val="left"/>
      <w:pPr>
        <w:ind w:left="6480" w:hanging="360"/>
      </w:pPr>
      <w:rPr>
        <w:rFonts w:ascii="Avenir LT Std 45 Book" w:hAnsi="Avenir LT Std 45 Book" w:hint="default"/>
      </w:rPr>
    </w:lvl>
  </w:abstractNum>
  <w:abstractNum w:abstractNumId="4" w15:restartNumberingAfterBreak="0">
    <w:nsid w:val="0F695E7D"/>
    <w:multiLevelType w:val="hybridMultilevel"/>
    <w:tmpl w:val="6972A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A9627D"/>
    <w:multiLevelType w:val="hybridMultilevel"/>
    <w:tmpl w:val="3A24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B526A2"/>
    <w:multiLevelType w:val="hybridMultilevel"/>
    <w:tmpl w:val="6B2E2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FB2CF6"/>
    <w:multiLevelType w:val="multilevel"/>
    <w:tmpl w:val="11847172"/>
    <w:lvl w:ilvl="0">
      <w:start w:val="1"/>
      <w:numFmt w:val="decimal"/>
      <w:lvlText w:val="%1."/>
      <w:lvlJc w:val="left"/>
      <w:pPr>
        <w:ind w:left="851" w:hanging="567"/>
      </w:pPr>
      <w:rPr>
        <w:rFonts w:hint="default"/>
        <w:color w:val="36424A" w:themeColor="text2"/>
        <w:sz w:val="22"/>
      </w:rPr>
    </w:lvl>
    <w:lvl w:ilvl="1">
      <w:start w:val="1"/>
      <w:numFmt w:val="bullet"/>
      <w:lvlText w:val="-"/>
      <w:lvlJc w:val="left"/>
      <w:pPr>
        <w:ind w:left="1418" w:hanging="567"/>
      </w:pPr>
      <w:rPr>
        <w:rFonts w:ascii="Avenir LT Std 45 Book" w:hAnsi="Avenir LT Std 45 Book" w:hint="default"/>
        <w:color w:val="36424A" w:themeColor="text2"/>
        <w:sz w:val="24"/>
      </w:rPr>
    </w:lvl>
    <w:lvl w:ilvl="2">
      <w:start w:val="1"/>
      <w:numFmt w:val="bullet"/>
      <w:lvlText w:val=""/>
      <w:lvlJc w:val="left"/>
      <w:pPr>
        <w:ind w:left="1985" w:hanging="567"/>
      </w:pPr>
      <w:rPr>
        <w:rFonts w:ascii="Arial" w:hAnsi="Aria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8" w15:restartNumberingAfterBreak="0">
    <w:nsid w:val="18ED7453"/>
    <w:multiLevelType w:val="hybridMultilevel"/>
    <w:tmpl w:val="FF26EC24"/>
    <w:lvl w:ilvl="0" w:tplc="E7FC73F2">
      <w:start w:val="1"/>
      <w:numFmt w:val="bullet"/>
      <w:pStyle w:val="Table-bullet"/>
      <w:lvlText w:val=""/>
      <w:lvlJc w:val="left"/>
      <w:pPr>
        <w:ind w:left="720" w:hanging="360"/>
      </w:pPr>
      <w:rPr>
        <w:rFonts w:ascii="Arial" w:hAnsi="Arial" w:hint="default"/>
      </w:rPr>
    </w:lvl>
    <w:lvl w:ilvl="1" w:tplc="F1EEEB36">
      <w:numFmt w:val="bullet"/>
      <w:lvlText w:val="•"/>
      <w:lvlJc w:val="left"/>
      <w:pPr>
        <w:ind w:left="1800" w:hanging="720"/>
      </w:pPr>
      <w:rPr>
        <w:rFonts w:ascii="Avenir LT Std 45 Book" w:eastAsiaTheme="minorHAnsi" w:hAnsi="Avenir LT Std 45 Book" w:cstheme="minorBidi" w:hint="default"/>
      </w:rPr>
    </w:lvl>
    <w:lvl w:ilvl="2" w:tplc="04090005" w:tentative="1">
      <w:start w:val="1"/>
      <w:numFmt w:val="bullet"/>
      <w:lvlText w:val=""/>
      <w:lvlJc w:val="left"/>
      <w:pPr>
        <w:ind w:left="2160" w:hanging="360"/>
      </w:pPr>
      <w:rPr>
        <w:rFonts w:ascii="Avenir LT Std 45 Book" w:hAnsi="Avenir LT Std 45 Book"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Avenir LT Std 45 Book" w:hAnsi="Avenir LT Std 45 Book" w:cs="Avenir LT Std 45 Book" w:hint="default"/>
      </w:rPr>
    </w:lvl>
    <w:lvl w:ilvl="5" w:tplc="04090005" w:tentative="1">
      <w:start w:val="1"/>
      <w:numFmt w:val="bullet"/>
      <w:lvlText w:val=""/>
      <w:lvlJc w:val="left"/>
      <w:pPr>
        <w:ind w:left="4320" w:hanging="360"/>
      </w:pPr>
      <w:rPr>
        <w:rFonts w:ascii="Avenir LT Std 45 Book" w:hAnsi="Avenir LT Std 45 Book"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Avenir LT Std 45 Book" w:hAnsi="Avenir LT Std 45 Book" w:cs="Avenir LT Std 45 Book" w:hint="default"/>
      </w:rPr>
    </w:lvl>
    <w:lvl w:ilvl="8" w:tplc="04090005" w:tentative="1">
      <w:start w:val="1"/>
      <w:numFmt w:val="bullet"/>
      <w:lvlText w:val=""/>
      <w:lvlJc w:val="left"/>
      <w:pPr>
        <w:ind w:left="6480" w:hanging="360"/>
      </w:pPr>
      <w:rPr>
        <w:rFonts w:ascii="Avenir LT Std 45 Book" w:hAnsi="Avenir LT Std 45 Book" w:hint="default"/>
      </w:rPr>
    </w:lvl>
  </w:abstractNum>
  <w:abstractNum w:abstractNumId="9" w15:restartNumberingAfterBreak="0">
    <w:nsid w:val="1D614923"/>
    <w:multiLevelType w:val="hybridMultilevel"/>
    <w:tmpl w:val="00B6BDE2"/>
    <w:lvl w:ilvl="0" w:tplc="14090001">
      <w:start w:val="1"/>
      <w:numFmt w:val="bullet"/>
      <w:lvlText w:val=""/>
      <w:lvlJc w:val="left"/>
      <w:pPr>
        <w:ind w:left="765" w:hanging="360"/>
      </w:pPr>
      <w:rPr>
        <w:rFonts w:ascii="Arial" w:hAnsi="Arial" w:hint="default"/>
      </w:rPr>
    </w:lvl>
    <w:lvl w:ilvl="1" w:tplc="14090003" w:tentative="1">
      <w:start w:val="1"/>
      <w:numFmt w:val="bullet"/>
      <w:lvlText w:val="o"/>
      <w:lvlJc w:val="left"/>
      <w:pPr>
        <w:ind w:left="1485" w:hanging="360"/>
      </w:pPr>
      <w:rPr>
        <w:rFonts w:ascii="Avenir LT Std 45 Book" w:hAnsi="Avenir LT Std 45 Book" w:cs="Avenir LT Std 45 Book" w:hint="default"/>
      </w:rPr>
    </w:lvl>
    <w:lvl w:ilvl="2" w:tplc="14090005" w:tentative="1">
      <w:start w:val="1"/>
      <w:numFmt w:val="bullet"/>
      <w:lvlText w:val=""/>
      <w:lvlJc w:val="left"/>
      <w:pPr>
        <w:ind w:left="2205" w:hanging="360"/>
      </w:pPr>
      <w:rPr>
        <w:rFonts w:ascii="Avenir LT Std 45 Book" w:hAnsi="Avenir LT Std 45 Book" w:hint="default"/>
      </w:rPr>
    </w:lvl>
    <w:lvl w:ilvl="3" w:tplc="14090001" w:tentative="1">
      <w:start w:val="1"/>
      <w:numFmt w:val="bullet"/>
      <w:lvlText w:val=""/>
      <w:lvlJc w:val="left"/>
      <w:pPr>
        <w:ind w:left="2925" w:hanging="360"/>
      </w:pPr>
      <w:rPr>
        <w:rFonts w:ascii="Arial" w:hAnsi="Arial" w:hint="default"/>
      </w:rPr>
    </w:lvl>
    <w:lvl w:ilvl="4" w:tplc="14090003" w:tentative="1">
      <w:start w:val="1"/>
      <w:numFmt w:val="bullet"/>
      <w:lvlText w:val="o"/>
      <w:lvlJc w:val="left"/>
      <w:pPr>
        <w:ind w:left="3645" w:hanging="360"/>
      </w:pPr>
      <w:rPr>
        <w:rFonts w:ascii="Avenir LT Std 45 Book" w:hAnsi="Avenir LT Std 45 Book" w:cs="Avenir LT Std 45 Book" w:hint="default"/>
      </w:rPr>
    </w:lvl>
    <w:lvl w:ilvl="5" w:tplc="14090005" w:tentative="1">
      <w:start w:val="1"/>
      <w:numFmt w:val="bullet"/>
      <w:lvlText w:val=""/>
      <w:lvlJc w:val="left"/>
      <w:pPr>
        <w:ind w:left="4365" w:hanging="360"/>
      </w:pPr>
      <w:rPr>
        <w:rFonts w:ascii="Avenir LT Std 45 Book" w:hAnsi="Avenir LT Std 45 Book" w:hint="default"/>
      </w:rPr>
    </w:lvl>
    <w:lvl w:ilvl="6" w:tplc="14090001" w:tentative="1">
      <w:start w:val="1"/>
      <w:numFmt w:val="bullet"/>
      <w:lvlText w:val=""/>
      <w:lvlJc w:val="left"/>
      <w:pPr>
        <w:ind w:left="5085" w:hanging="360"/>
      </w:pPr>
      <w:rPr>
        <w:rFonts w:ascii="Arial" w:hAnsi="Arial" w:hint="default"/>
      </w:rPr>
    </w:lvl>
    <w:lvl w:ilvl="7" w:tplc="14090003" w:tentative="1">
      <w:start w:val="1"/>
      <w:numFmt w:val="bullet"/>
      <w:lvlText w:val="o"/>
      <w:lvlJc w:val="left"/>
      <w:pPr>
        <w:ind w:left="5805" w:hanging="360"/>
      </w:pPr>
      <w:rPr>
        <w:rFonts w:ascii="Avenir LT Std 45 Book" w:hAnsi="Avenir LT Std 45 Book" w:cs="Avenir LT Std 45 Book" w:hint="default"/>
      </w:rPr>
    </w:lvl>
    <w:lvl w:ilvl="8" w:tplc="14090005" w:tentative="1">
      <w:start w:val="1"/>
      <w:numFmt w:val="bullet"/>
      <w:lvlText w:val=""/>
      <w:lvlJc w:val="left"/>
      <w:pPr>
        <w:ind w:left="6525" w:hanging="360"/>
      </w:pPr>
      <w:rPr>
        <w:rFonts w:ascii="Avenir LT Std 45 Book" w:hAnsi="Avenir LT Std 45 Book" w:hint="default"/>
      </w:rPr>
    </w:lvl>
  </w:abstractNum>
  <w:abstractNum w:abstractNumId="10" w15:restartNumberingAfterBreak="0">
    <w:nsid w:val="22EC7272"/>
    <w:multiLevelType w:val="multilevel"/>
    <w:tmpl w:val="28BE77F2"/>
    <w:lvl w:ilvl="0">
      <w:start w:val="1"/>
      <w:numFmt w:val="decimal"/>
      <w:pStyle w:val="List-AlphanumericLvl1"/>
      <w:lvlText w:val="%1."/>
      <w:lvlJc w:val="left"/>
      <w:pPr>
        <w:ind w:left="1134"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70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269"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36" w:hanging="567"/>
      </w:pPr>
      <w:rPr>
        <w:rFonts w:hint="default"/>
      </w:rPr>
    </w:lvl>
    <w:lvl w:ilvl="4">
      <w:start w:val="1"/>
      <w:numFmt w:val="lowerLetter"/>
      <w:lvlText w:val="(%5)"/>
      <w:lvlJc w:val="left"/>
      <w:pPr>
        <w:ind w:left="3403" w:hanging="567"/>
      </w:pPr>
      <w:rPr>
        <w:rFonts w:hint="default"/>
      </w:rPr>
    </w:lvl>
    <w:lvl w:ilvl="5">
      <w:start w:val="1"/>
      <w:numFmt w:val="lowerRoman"/>
      <w:lvlText w:val="(%6)"/>
      <w:lvlJc w:val="left"/>
      <w:pPr>
        <w:ind w:left="3970" w:hanging="567"/>
      </w:pPr>
      <w:rPr>
        <w:rFonts w:hint="default"/>
      </w:rPr>
    </w:lvl>
    <w:lvl w:ilvl="6">
      <w:start w:val="1"/>
      <w:numFmt w:val="decimal"/>
      <w:lvlText w:val="%7."/>
      <w:lvlJc w:val="left"/>
      <w:pPr>
        <w:ind w:left="4537" w:hanging="567"/>
      </w:pPr>
      <w:rPr>
        <w:rFonts w:hint="default"/>
      </w:rPr>
    </w:lvl>
    <w:lvl w:ilvl="7">
      <w:start w:val="1"/>
      <w:numFmt w:val="lowerLetter"/>
      <w:lvlText w:val="%8."/>
      <w:lvlJc w:val="left"/>
      <w:pPr>
        <w:ind w:left="5104" w:hanging="567"/>
      </w:pPr>
      <w:rPr>
        <w:rFonts w:hint="default"/>
      </w:rPr>
    </w:lvl>
    <w:lvl w:ilvl="8">
      <w:start w:val="1"/>
      <w:numFmt w:val="lowerRoman"/>
      <w:lvlText w:val="%9."/>
      <w:lvlJc w:val="left"/>
      <w:pPr>
        <w:ind w:left="5671" w:hanging="567"/>
      </w:pPr>
      <w:rPr>
        <w:rFonts w:hint="default"/>
      </w:rPr>
    </w:lvl>
  </w:abstractNum>
  <w:abstractNum w:abstractNumId="11" w15:restartNumberingAfterBreak="0">
    <w:nsid w:val="2659692F"/>
    <w:multiLevelType w:val="hybridMultilevel"/>
    <w:tmpl w:val="2068A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27FE65B1"/>
    <w:multiLevelType w:val="hybridMultilevel"/>
    <w:tmpl w:val="2402A4E6"/>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F90F7D"/>
    <w:multiLevelType w:val="hybridMultilevel"/>
    <w:tmpl w:val="C114A5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92A8A"/>
    <w:multiLevelType w:val="hybridMultilevel"/>
    <w:tmpl w:val="445E48C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35024D1E"/>
    <w:multiLevelType w:val="hybridMultilevel"/>
    <w:tmpl w:val="6CA675D6"/>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B66D16"/>
    <w:multiLevelType w:val="hybridMultilevel"/>
    <w:tmpl w:val="4ABEAFA2"/>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857EAC"/>
    <w:multiLevelType w:val="hybridMultilevel"/>
    <w:tmpl w:val="D186B4BA"/>
    <w:lvl w:ilvl="0" w:tplc="14090001">
      <w:start w:val="1"/>
      <w:numFmt w:val="bullet"/>
      <w:lvlText w:val=""/>
      <w:lvlJc w:val="left"/>
      <w:pPr>
        <w:ind w:left="720" w:hanging="360"/>
      </w:pPr>
      <w:rPr>
        <w:rFonts w:ascii="Arial" w:hAnsi="Arial" w:hint="default"/>
      </w:rPr>
    </w:lvl>
    <w:lvl w:ilvl="1" w:tplc="14090003">
      <w:start w:val="1"/>
      <w:numFmt w:val="bullet"/>
      <w:lvlText w:val="o"/>
      <w:lvlJc w:val="left"/>
      <w:pPr>
        <w:ind w:left="1440" w:hanging="360"/>
      </w:pPr>
      <w:rPr>
        <w:rFonts w:ascii="Avenir LT Std 45 Book" w:hAnsi="Avenir LT Std 45 Book" w:cs="Avenir LT Std 45 Book" w:hint="default"/>
      </w:rPr>
    </w:lvl>
    <w:lvl w:ilvl="2" w:tplc="14090005" w:tentative="1">
      <w:start w:val="1"/>
      <w:numFmt w:val="bullet"/>
      <w:lvlText w:val=""/>
      <w:lvlJc w:val="left"/>
      <w:pPr>
        <w:ind w:left="2160" w:hanging="360"/>
      </w:pPr>
      <w:rPr>
        <w:rFonts w:ascii="Avenir LT Std 45 Book" w:hAnsi="Avenir LT Std 45 Book"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Avenir LT Std 45 Book" w:hAnsi="Avenir LT Std 45 Book" w:cs="Avenir LT Std 45 Book" w:hint="default"/>
      </w:rPr>
    </w:lvl>
    <w:lvl w:ilvl="5" w:tplc="14090005" w:tentative="1">
      <w:start w:val="1"/>
      <w:numFmt w:val="bullet"/>
      <w:lvlText w:val=""/>
      <w:lvlJc w:val="left"/>
      <w:pPr>
        <w:ind w:left="4320" w:hanging="360"/>
      </w:pPr>
      <w:rPr>
        <w:rFonts w:ascii="Avenir LT Std 45 Book" w:hAnsi="Avenir LT Std 45 Book"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Avenir LT Std 45 Book" w:hAnsi="Avenir LT Std 45 Book" w:cs="Avenir LT Std 45 Book" w:hint="default"/>
      </w:rPr>
    </w:lvl>
    <w:lvl w:ilvl="8" w:tplc="14090005" w:tentative="1">
      <w:start w:val="1"/>
      <w:numFmt w:val="bullet"/>
      <w:lvlText w:val=""/>
      <w:lvlJc w:val="left"/>
      <w:pPr>
        <w:ind w:left="6480" w:hanging="360"/>
      </w:pPr>
      <w:rPr>
        <w:rFonts w:ascii="Avenir LT Std 45 Book" w:hAnsi="Avenir LT Std 45 Book" w:hint="default"/>
      </w:rPr>
    </w:lvl>
  </w:abstractNum>
  <w:abstractNum w:abstractNumId="20" w15:restartNumberingAfterBreak="0">
    <w:nsid w:val="41FE69F6"/>
    <w:multiLevelType w:val="hybridMultilevel"/>
    <w:tmpl w:val="173E116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7C5720"/>
    <w:multiLevelType w:val="hybridMultilevel"/>
    <w:tmpl w:val="40128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E171C0"/>
    <w:multiLevelType w:val="hybridMultilevel"/>
    <w:tmpl w:val="6B90F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561D71"/>
    <w:multiLevelType w:val="hybridMultilevel"/>
    <w:tmpl w:val="39480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B23272"/>
    <w:multiLevelType w:val="hybridMultilevel"/>
    <w:tmpl w:val="E04C8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E5522F"/>
    <w:multiLevelType w:val="hybridMultilevel"/>
    <w:tmpl w:val="1D98A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6E0996"/>
    <w:multiLevelType w:val="multilevel"/>
    <w:tmpl w:val="A1AA7E8A"/>
    <w:lvl w:ilvl="0">
      <w:start w:val="1"/>
      <w:numFmt w:val="bullet"/>
      <w:pStyle w:val="List-BulletLvl1"/>
      <w:lvlText w:val=""/>
      <w:lvlJc w:val="left"/>
      <w:pPr>
        <w:ind w:left="1287" w:hanging="567"/>
      </w:pPr>
      <w:rPr>
        <w:rFonts w:ascii="Symbol" w:hAnsi="Symbol" w:hint="default"/>
        <w:color w:val="36424A" w:themeColor="text2"/>
        <w:sz w:val="22"/>
      </w:rPr>
    </w:lvl>
    <w:lvl w:ilvl="1">
      <w:start w:val="1"/>
      <w:numFmt w:val="bullet"/>
      <w:pStyle w:val="List-BulletLvl2"/>
      <w:lvlText w:val="-"/>
      <w:lvlJc w:val="left"/>
      <w:pPr>
        <w:ind w:left="1854" w:hanging="567"/>
      </w:pPr>
      <w:rPr>
        <w:rFonts w:ascii="Avenir LT Std 45 Book" w:hAnsi="Avenir LT Std 45 Book" w:hint="default"/>
        <w:color w:val="36424A" w:themeColor="text2"/>
        <w:sz w:val="24"/>
      </w:rPr>
    </w:lvl>
    <w:lvl w:ilvl="2">
      <w:start w:val="1"/>
      <w:numFmt w:val="bullet"/>
      <w:pStyle w:val="List-BulletLvl3"/>
      <w:lvlText w:val=""/>
      <w:lvlJc w:val="left"/>
      <w:pPr>
        <w:ind w:left="2421" w:hanging="567"/>
      </w:pPr>
      <w:rPr>
        <w:rFonts w:ascii="Arial" w:hAnsi="Arial" w:hint="default"/>
        <w:color w:val="36424A" w:themeColor="text2"/>
        <w:sz w:val="18"/>
      </w:rPr>
    </w:lvl>
    <w:lvl w:ilvl="3">
      <w:start w:val="1"/>
      <w:numFmt w:val="decimal"/>
      <w:lvlText w:val="(%4)"/>
      <w:lvlJc w:val="left"/>
      <w:pPr>
        <w:ind w:left="2988" w:hanging="567"/>
      </w:pPr>
      <w:rPr>
        <w:rFonts w:hint="default"/>
      </w:rPr>
    </w:lvl>
    <w:lvl w:ilvl="4">
      <w:start w:val="1"/>
      <w:numFmt w:val="lowerLetter"/>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28" w15:restartNumberingAfterBreak="0">
    <w:nsid w:val="528048DE"/>
    <w:multiLevelType w:val="hybridMultilevel"/>
    <w:tmpl w:val="6E0ADB94"/>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Avenir LT Std 45 Book" w:hAnsi="Avenir LT Std 45 Book" w:cs="Avenir LT Std 45 Book" w:hint="default"/>
      </w:rPr>
    </w:lvl>
    <w:lvl w:ilvl="2" w:tplc="14090005" w:tentative="1">
      <w:start w:val="1"/>
      <w:numFmt w:val="bullet"/>
      <w:lvlText w:val=""/>
      <w:lvlJc w:val="left"/>
      <w:pPr>
        <w:ind w:left="2160" w:hanging="360"/>
      </w:pPr>
      <w:rPr>
        <w:rFonts w:ascii="Avenir LT Std 45 Book" w:hAnsi="Avenir LT Std 45 Book"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Avenir LT Std 45 Book" w:hAnsi="Avenir LT Std 45 Book" w:cs="Avenir LT Std 45 Book" w:hint="default"/>
      </w:rPr>
    </w:lvl>
    <w:lvl w:ilvl="5" w:tplc="14090005" w:tentative="1">
      <w:start w:val="1"/>
      <w:numFmt w:val="bullet"/>
      <w:lvlText w:val=""/>
      <w:lvlJc w:val="left"/>
      <w:pPr>
        <w:ind w:left="4320" w:hanging="360"/>
      </w:pPr>
      <w:rPr>
        <w:rFonts w:ascii="Avenir LT Std 45 Book" w:hAnsi="Avenir LT Std 45 Book"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Avenir LT Std 45 Book" w:hAnsi="Avenir LT Std 45 Book" w:cs="Avenir LT Std 45 Book" w:hint="default"/>
      </w:rPr>
    </w:lvl>
    <w:lvl w:ilvl="8" w:tplc="14090005" w:tentative="1">
      <w:start w:val="1"/>
      <w:numFmt w:val="bullet"/>
      <w:lvlText w:val=""/>
      <w:lvlJc w:val="left"/>
      <w:pPr>
        <w:ind w:left="6480" w:hanging="360"/>
      </w:pPr>
      <w:rPr>
        <w:rFonts w:ascii="Avenir LT Std 45 Book" w:hAnsi="Avenir LT Std 45 Book" w:hint="default"/>
      </w:rPr>
    </w:lvl>
  </w:abstractNum>
  <w:abstractNum w:abstractNumId="29" w15:restartNumberingAfterBreak="0">
    <w:nsid w:val="552A6949"/>
    <w:multiLevelType w:val="hybridMultilevel"/>
    <w:tmpl w:val="EA00B110"/>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877208"/>
    <w:multiLevelType w:val="hybridMultilevel"/>
    <w:tmpl w:val="D80C06B2"/>
    <w:lvl w:ilvl="0" w:tplc="14090001">
      <w:start w:val="1"/>
      <w:numFmt w:val="bullet"/>
      <w:lvlText w:val=""/>
      <w:lvlJc w:val="left"/>
      <w:pPr>
        <w:ind w:left="720" w:hanging="360"/>
      </w:pPr>
      <w:rPr>
        <w:rFonts w:ascii="Arial" w:hAnsi="Arial" w:hint="default"/>
      </w:rPr>
    </w:lvl>
    <w:lvl w:ilvl="1" w:tplc="6BE80622">
      <w:start w:val="1"/>
      <w:numFmt w:val="bullet"/>
      <w:lvlText w:val="-"/>
      <w:lvlJc w:val="left"/>
      <w:pPr>
        <w:ind w:left="1440" w:hanging="360"/>
      </w:pPr>
      <w:rPr>
        <w:rFonts w:ascii="Avenir LT Std 45 Book" w:hAnsi="Avenir LT Std 45 Book" w:hint="default"/>
        <w:color w:val="36424A" w:themeColor="text2"/>
      </w:rPr>
    </w:lvl>
    <w:lvl w:ilvl="2" w:tplc="14090005" w:tentative="1">
      <w:start w:val="1"/>
      <w:numFmt w:val="bullet"/>
      <w:lvlText w:val=""/>
      <w:lvlJc w:val="left"/>
      <w:pPr>
        <w:ind w:left="2160" w:hanging="360"/>
      </w:pPr>
      <w:rPr>
        <w:rFonts w:ascii="Avenir LT Std 45 Book" w:hAnsi="Avenir LT Std 45 Book"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Avenir LT Std 45 Book" w:hAnsi="Avenir LT Std 45 Book" w:cs="Avenir LT Std 45 Book" w:hint="default"/>
      </w:rPr>
    </w:lvl>
    <w:lvl w:ilvl="5" w:tplc="14090005" w:tentative="1">
      <w:start w:val="1"/>
      <w:numFmt w:val="bullet"/>
      <w:lvlText w:val=""/>
      <w:lvlJc w:val="left"/>
      <w:pPr>
        <w:ind w:left="4320" w:hanging="360"/>
      </w:pPr>
      <w:rPr>
        <w:rFonts w:ascii="Avenir LT Std 45 Book" w:hAnsi="Avenir LT Std 45 Book"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Avenir LT Std 45 Book" w:hAnsi="Avenir LT Std 45 Book" w:cs="Avenir LT Std 45 Book" w:hint="default"/>
      </w:rPr>
    </w:lvl>
    <w:lvl w:ilvl="8" w:tplc="14090005" w:tentative="1">
      <w:start w:val="1"/>
      <w:numFmt w:val="bullet"/>
      <w:lvlText w:val=""/>
      <w:lvlJc w:val="left"/>
      <w:pPr>
        <w:ind w:left="6480" w:hanging="360"/>
      </w:pPr>
      <w:rPr>
        <w:rFonts w:ascii="Avenir LT Std 45 Book" w:hAnsi="Avenir LT Std 45 Book" w:hint="default"/>
      </w:rPr>
    </w:lvl>
  </w:abstractNum>
  <w:abstractNum w:abstractNumId="31" w15:restartNumberingAfterBreak="0">
    <w:nsid w:val="5AEE365B"/>
    <w:multiLevelType w:val="hybridMultilevel"/>
    <w:tmpl w:val="858A9BDA"/>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730234"/>
    <w:multiLevelType w:val="hybridMultilevel"/>
    <w:tmpl w:val="ACDAA8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1095730"/>
    <w:multiLevelType w:val="hybridMultilevel"/>
    <w:tmpl w:val="20F0FAF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4" w15:restartNumberingAfterBreak="0">
    <w:nsid w:val="6198493D"/>
    <w:multiLevelType w:val="hybridMultilevel"/>
    <w:tmpl w:val="CAE65E30"/>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5350115"/>
    <w:multiLevelType w:val="hybridMultilevel"/>
    <w:tmpl w:val="3266EC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62C7690"/>
    <w:multiLevelType w:val="hybridMultilevel"/>
    <w:tmpl w:val="826E2300"/>
    <w:lvl w:ilvl="0" w:tplc="14090001">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Avenir LT Std 45 Book" w:hAnsi="Avenir LT Std 45 Book" w:cs="Avenir LT Std 45 Book" w:hint="default"/>
      </w:rPr>
    </w:lvl>
    <w:lvl w:ilvl="2" w:tplc="14090005" w:tentative="1">
      <w:start w:val="1"/>
      <w:numFmt w:val="bullet"/>
      <w:lvlText w:val=""/>
      <w:lvlJc w:val="left"/>
      <w:pPr>
        <w:ind w:left="2160" w:hanging="360"/>
      </w:pPr>
      <w:rPr>
        <w:rFonts w:ascii="Avenir LT Std 45 Book" w:hAnsi="Avenir LT Std 45 Book" w:hint="default"/>
      </w:rPr>
    </w:lvl>
    <w:lvl w:ilvl="3" w:tplc="14090001" w:tentative="1">
      <w:start w:val="1"/>
      <w:numFmt w:val="bullet"/>
      <w:lvlText w:val=""/>
      <w:lvlJc w:val="left"/>
      <w:pPr>
        <w:ind w:left="2880" w:hanging="360"/>
      </w:pPr>
      <w:rPr>
        <w:rFonts w:ascii="Arial" w:hAnsi="Arial" w:hint="default"/>
      </w:rPr>
    </w:lvl>
    <w:lvl w:ilvl="4" w:tplc="14090003" w:tentative="1">
      <w:start w:val="1"/>
      <w:numFmt w:val="bullet"/>
      <w:lvlText w:val="o"/>
      <w:lvlJc w:val="left"/>
      <w:pPr>
        <w:ind w:left="3600" w:hanging="360"/>
      </w:pPr>
      <w:rPr>
        <w:rFonts w:ascii="Avenir LT Std 45 Book" w:hAnsi="Avenir LT Std 45 Book" w:cs="Avenir LT Std 45 Book" w:hint="default"/>
      </w:rPr>
    </w:lvl>
    <w:lvl w:ilvl="5" w:tplc="14090005" w:tentative="1">
      <w:start w:val="1"/>
      <w:numFmt w:val="bullet"/>
      <w:lvlText w:val=""/>
      <w:lvlJc w:val="left"/>
      <w:pPr>
        <w:ind w:left="4320" w:hanging="360"/>
      </w:pPr>
      <w:rPr>
        <w:rFonts w:ascii="Avenir LT Std 45 Book" w:hAnsi="Avenir LT Std 45 Book" w:hint="default"/>
      </w:rPr>
    </w:lvl>
    <w:lvl w:ilvl="6" w:tplc="14090001" w:tentative="1">
      <w:start w:val="1"/>
      <w:numFmt w:val="bullet"/>
      <w:lvlText w:val=""/>
      <w:lvlJc w:val="left"/>
      <w:pPr>
        <w:ind w:left="5040" w:hanging="360"/>
      </w:pPr>
      <w:rPr>
        <w:rFonts w:ascii="Arial" w:hAnsi="Arial" w:hint="default"/>
      </w:rPr>
    </w:lvl>
    <w:lvl w:ilvl="7" w:tplc="14090003" w:tentative="1">
      <w:start w:val="1"/>
      <w:numFmt w:val="bullet"/>
      <w:lvlText w:val="o"/>
      <w:lvlJc w:val="left"/>
      <w:pPr>
        <w:ind w:left="5760" w:hanging="360"/>
      </w:pPr>
      <w:rPr>
        <w:rFonts w:ascii="Avenir LT Std 45 Book" w:hAnsi="Avenir LT Std 45 Book" w:cs="Avenir LT Std 45 Book" w:hint="default"/>
      </w:rPr>
    </w:lvl>
    <w:lvl w:ilvl="8" w:tplc="14090005" w:tentative="1">
      <w:start w:val="1"/>
      <w:numFmt w:val="bullet"/>
      <w:lvlText w:val=""/>
      <w:lvlJc w:val="left"/>
      <w:pPr>
        <w:ind w:left="6480" w:hanging="360"/>
      </w:pPr>
      <w:rPr>
        <w:rFonts w:ascii="Avenir LT Std 45 Book" w:hAnsi="Avenir LT Std 45 Book" w:hint="default"/>
      </w:rPr>
    </w:lvl>
  </w:abstractNum>
  <w:abstractNum w:abstractNumId="37" w15:restartNumberingAfterBreak="0">
    <w:nsid w:val="6AA93635"/>
    <w:multiLevelType w:val="hybridMultilevel"/>
    <w:tmpl w:val="7FCAE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D1340D0"/>
    <w:multiLevelType w:val="hybridMultilevel"/>
    <w:tmpl w:val="4E5C6F26"/>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E1235A"/>
    <w:multiLevelType w:val="hybridMultilevel"/>
    <w:tmpl w:val="F9944A24"/>
    <w:lvl w:ilvl="0" w:tplc="284C3D06">
      <w:numFmt w:val="bullet"/>
      <w:lvlText w:val="•"/>
      <w:lvlJc w:val="left"/>
      <w:pPr>
        <w:ind w:left="930" w:hanging="57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C60E3D"/>
    <w:multiLevelType w:val="hybridMultilevel"/>
    <w:tmpl w:val="E25A24C0"/>
    <w:lvl w:ilvl="0" w:tplc="14090001">
      <w:start w:val="1"/>
      <w:numFmt w:val="bullet"/>
      <w:lvlText w:val=""/>
      <w:lvlJc w:val="left"/>
      <w:pPr>
        <w:ind w:left="770" w:hanging="360"/>
      </w:pPr>
      <w:rPr>
        <w:rFonts w:ascii="Arial" w:hAnsi="Arial" w:hint="default"/>
      </w:rPr>
    </w:lvl>
    <w:lvl w:ilvl="1" w:tplc="14090003" w:tentative="1">
      <w:start w:val="1"/>
      <w:numFmt w:val="bullet"/>
      <w:lvlText w:val="o"/>
      <w:lvlJc w:val="left"/>
      <w:pPr>
        <w:ind w:left="1490" w:hanging="360"/>
      </w:pPr>
      <w:rPr>
        <w:rFonts w:ascii="Avenir LT Std 45 Book" w:hAnsi="Avenir LT Std 45 Book" w:cs="Avenir LT Std 45 Book" w:hint="default"/>
      </w:rPr>
    </w:lvl>
    <w:lvl w:ilvl="2" w:tplc="14090005" w:tentative="1">
      <w:start w:val="1"/>
      <w:numFmt w:val="bullet"/>
      <w:lvlText w:val=""/>
      <w:lvlJc w:val="left"/>
      <w:pPr>
        <w:ind w:left="2210" w:hanging="360"/>
      </w:pPr>
      <w:rPr>
        <w:rFonts w:ascii="Avenir LT Std 45 Book" w:hAnsi="Avenir LT Std 45 Book" w:hint="default"/>
      </w:rPr>
    </w:lvl>
    <w:lvl w:ilvl="3" w:tplc="14090001" w:tentative="1">
      <w:start w:val="1"/>
      <w:numFmt w:val="bullet"/>
      <w:lvlText w:val=""/>
      <w:lvlJc w:val="left"/>
      <w:pPr>
        <w:ind w:left="2930" w:hanging="360"/>
      </w:pPr>
      <w:rPr>
        <w:rFonts w:ascii="Arial" w:hAnsi="Arial" w:hint="default"/>
      </w:rPr>
    </w:lvl>
    <w:lvl w:ilvl="4" w:tplc="14090003" w:tentative="1">
      <w:start w:val="1"/>
      <w:numFmt w:val="bullet"/>
      <w:lvlText w:val="o"/>
      <w:lvlJc w:val="left"/>
      <w:pPr>
        <w:ind w:left="3650" w:hanging="360"/>
      </w:pPr>
      <w:rPr>
        <w:rFonts w:ascii="Avenir LT Std 45 Book" w:hAnsi="Avenir LT Std 45 Book" w:cs="Avenir LT Std 45 Book" w:hint="default"/>
      </w:rPr>
    </w:lvl>
    <w:lvl w:ilvl="5" w:tplc="14090005" w:tentative="1">
      <w:start w:val="1"/>
      <w:numFmt w:val="bullet"/>
      <w:lvlText w:val=""/>
      <w:lvlJc w:val="left"/>
      <w:pPr>
        <w:ind w:left="4370" w:hanging="360"/>
      </w:pPr>
      <w:rPr>
        <w:rFonts w:ascii="Avenir LT Std 45 Book" w:hAnsi="Avenir LT Std 45 Book" w:hint="default"/>
      </w:rPr>
    </w:lvl>
    <w:lvl w:ilvl="6" w:tplc="14090001" w:tentative="1">
      <w:start w:val="1"/>
      <w:numFmt w:val="bullet"/>
      <w:lvlText w:val=""/>
      <w:lvlJc w:val="left"/>
      <w:pPr>
        <w:ind w:left="5090" w:hanging="360"/>
      </w:pPr>
      <w:rPr>
        <w:rFonts w:ascii="Arial" w:hAnsi="Arial" w:hint="default"/>
      </w:rPr>
    </w:lvl>
    <w:lvl w:ilvl="7" w:tplc="14090003" w:tentative="1">
      <w:start w:val="1"/>
      <w:numFmt w:val="bullet"/>
      <w:lvlText w:val="o"/>
      <w:lvlJc w:val="left"/>
      <w:pPr>
        <w:ind w:left="5810" w:hanging="360"/>
      </w:pPr>
      <w:rPr>
        <w:rFonts w:ascii="Avenir LT Std 45 Book" w:hAnsi="Avenir LT Std 45 Book" w:cs="Avenir LT Std 45 Book" w:hint="default"/>
      </w:rPr>
    </w:lvl>
    <w:lvl w:ilvl="8" w:tplc="14090005" w:tentative="1">
      <w:start w:val="1"/>
      <w:numFmt w:val="bullet"/>
      <w:lvlText w:val=""/>
      <w:lvlJc w:val="left"/>
      <w:pPr>
        <w:ind w:left="6530" w:hanging="360"/>
      </w:pPr>
      <w:rPr>
        <w:rFonts w:ascii="Avenir LT Std 45 Book" w:hAnsi="Avenir LT Std 45 Book" w:hint="default"/>
      </w:rPr>
    </w:lvl>
  </w:abstractNum>
  <w:abstractNum w:abstractNumId="41" w15:restartNumberingAfterBreak="0">
    <w:nsid w:val="760164EF"/>
    <w:multiLevelType w:val="hybridMultilevel"/>
    <w:tmpl w:val="EE6AF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95B776D"/>
    <w:multiLevelType w:val="hybridMultilevel"/>
    <w:tmpl w:val="638A0FF4"/>
    <w:lvl w:ilvl="0" w:tplc="C61CC438">
      <w:start w:val="1"/>
      <w:numFmt w:val="bullet"/>
      <w:pStyle w:val="ListBullet3"/>
      <w:lvlText w:val=""/>
      <w:lvlJc w:val="left"/>
      <w:pPr>
        <w:ind w:left="1920" w:hanging="360"/>
      </w:pPr>
      <w:rPr>
        <w:rFonts w:ascii="Arial" w:hAnsi="Arial" w:hint="default"/>
        <w:color w:val="36424A" w:themeColor="text2"/>
        <w:sz w:val="18"/>
      </w:rPr>
    </w:lvl>
    <w:lvl w:ilvl="1" w:tplc="42CCDA4C">
      <w:start w:val="1"/>
      <w:numFmt w:val="bullet"/>
      <w:lvlText w:val="o"/>
      <w:lvlJc w:val="left"/>
      <w:pPr>
        <w:ind w:left="2640" w:hanging="360"/>
      </w:pPr>
      <w:rPr>
        <w:rFonts w:ascii="Avenir LT Std 45 Book" w:hAnsi="Avenir LT Std 45 Book" w:cs="Avenir LT Std 45 Book" w:hint="default"/>
      </w:rPr>
    </w:lvl>
    <w:lvl w:ilvl="2" w:tplc="DE422694">
      <w:start w:val="1"/>
      <w:numFmt w:val="bullet"/>
      <w:lvlText w:val="•"/>
      <w:lvlJc w:val="left"/>
      <w:pPr>
        <w:ind w:left="3360" w:hanging="360"/>
      </w:pPr>
      <w:rPr>
        <w:rFonts w:ascii="Avenir LT Std 45 Book" w:hAnsi="Avenir LT Std 45 Book" w:hint="default"/>
        <w:color w:val="36424A" w:themeColor="text2"/>
      </w:rPr>
    </w:lvl>
    <w:lvl w:ilvl="3" w:tplc="04090001" w:tentative="1">
      <w:start w:val="1"/>
      <w:numFmt w:val="bullet"/>
      <w:lvlText w:val=""/>
      <w:lvlJc w:val="left"/>
      <w:pPr>
        <w:ind w:left="4080" w:hanging="360"/>
      </w:pPr>
      <w:rPr>
        <w:rFonts w:ascii="Arial" w:hAnsi="Arial" w:hint="default"/>
      </w:rPr>
    </w:lvl>
    <w:lvl w:ilvl="4" w:tplc="04090003" w:tentative="1">
      <w:start w:val="1"/>
      <w:numFmt w:val="bullet"/>
      <w:lvlText w:val="o"/>
      <w:lvlJc w:val="left"/>
      <w:pPr>
        <w:ind w:left="4800" w:hanging="360"/>
      </w:pPr>
      <w:rPr>
        <w:rFonts w:ascii="Avenir LT Std 45 Book" w:hAnsi="Avenir LT Std 45 Book" w:cs="Avenir LT Std 45 Book" w:hint="default"/>
      </w:rPr>
    </w:lvl>
    <w:lvl w:ilvl="5" w:tplc="04090005" w:tentative="1">
      <w:start w:val="1"/>
      <w:numFmt w:val="bullet"/>
      <w:lvlText w:val=""/>
      <w:lvlJc w:val="left"/>
      <w:pPr>
        <w:ind w:left="5520" w:hanging="360"/>
      </w:pPr>
      <w:rPr>
        <w:rFonts w:ascii="Avenir LT Std 45 Book" w:hAnsi="Avenir LT Std 45 Book" w:hint="default"/>
      </w:rPr>
    </w:lvl>
    <w:lvl w:ilvl="6" w:tplc="04090001" w:tentative="1">
      <w:start w:val="1"/>
      <w:numFmt w:val="bullet"/>
      <w:lvlText w:val=""/>
      <w:lvlJc w:val="left"/>
      <w:pPr>
        <w:ind w:left="6240" w:hanging="360"/>
      </w:pPr>
      <w:rPr>
        <w:rFonts w:ascii="Arial" w:hAnsi="Arial" w:hint="default"/>
      </w:rPr>
    </w:lvl>
    <w:lvl w:ilvl="7" w:tplc="04090003" w:tentative="1">
      <w:start w:val="1"/>
      <w:numFmt w:val="bullet"/>
      <w:lvlText w:val="o"/>
      <w:lvlJc w:val="left"/>
      <w:pPr>
        <w:ind w:left="6960" w:hanging="360"/>
      </w:pPr>
      <w:rPr>
        <w:rFonts w:ascii="Avenir LT Std 45 Book" w:hAnsi="Avenir LT Std 45 Book" w:cs="Avenir LT Std 45 Book" w:hint="default"/>
      </w:rPr>
    </w:lvl>
    <w:lvl w:ilvl="8" w:tplc="04090005" w:tentative="1">
      <w:start w:val="1"/>
      <w:numFmt w:val="bullet"/>
      <w:lvlText w:val=""/>
      <w:lvlJc w:val="left"/>
      <w:pPr>
        <w:ind w:left="7680" w:hanging="360"/>
      </w:pPr>
      <w:rPr>
        <w:rFonts w:ascii="Avenir LT Std 45 Book" w:hAnsi="Avenir LT Std 45 Book" w:hint="default"/>
      </w:rPr>
    </w:lvl>
  </w:abstractNum>
  <w:abstractNum w:abstractNumId="43" w15:restartNumberingAfterBreak="0">
    <w:nsid w:val="7B111E89"/>
    <w:multiLevelType w:val="hybridMultilevel"/>
    <w:tmpl w:val="101694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42"/>
  </w:num>
  <w:num w:numId="5">
    <w:abstractNumId w:val="27"/>
  </w:num>
  <w:num w:numId="6">
    <w:abstractNumId w:val="27"/>
  </w:num>
  <w:num w:numId="7">
    <w:abstractNumId w:val="10"/>
  </w:num>
  <w:num w:numId="8">
    <w:abstractNumId w:val="19"/>
  </w:num>
  <w:num w:numId="9">
    <w:abstractNumId w:val="9"/>
  </w:num>
  <w:num w:numId="10">
    <w:abstractNumId w:val="40"/>
  </w:num>
  <w:num w:numId="11">
    <w:abstractNumId w:val="36"/>
  </w:num>
  <w:num w:numId="12">
    <w:abstractNumId w:val="3"/>
  </w:num>
  <w:num w:numId="13">
    <w:abstractNumId w:val="28"/>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
  </w:num>
  <w:num w:numId="19">
    <w:abstractNumId w:val="37"/>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5"/>
  </w:num>
  <w:num w:numId="32">
    <w:abstractNumId w:val="31"/>
  </w:num>
  <w:num w:numId="33">
    <w:abstractNumId w:val="39"/>
  </w:num>
  <w:num w:numId="34">
    <w:abstractNumId w:val="17"/>
  </w:num>
  <w:num w:numId="35">
    <w:abstractNumId w:val="34"/>
  </w:num>
  <w:num w:numId="36">
    <w:abstractNumId w:val="38"/>
  </w:num>
  <w:num w:numId="37">
    <w:abstractNumId w:val="13"/>
  </w:num>
  <w:num w:numId="38">
    <w:abstractNumId w:val="18"/>
  </w:num>
  <w:num w:numId="39">
    <w:abstractNumId w:val="2"/>
  </w:num>
  <w:num w:numId="40">
    <w:abstractNumId w:val="29"/>
  </w:num>
  <w:num w:numId="41">
    <w:abstractNumId w:val="26"/>
  </w:num>
  <w:num w:numId="42">
    <w:abstractNumId w:val="16"/>
  </w:num>
  <w:num w:numId="4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0"/>
  </w:num>
  <w:num w:numId="46">
    <w:abstractNumId w:val="6"/>
  </w:num>
  <w:num w:numId="47">
    <w:abstractNumId w:val="35"/>
  </w:num>
  <w:num w:numId="48">
    <w:abstractNumId w:val="5"/>
  </w:num>
  <w:num w:numId="49">
    <w:abstractNumId w:val="41"/>
  </w:num>
  <w:num w:numId="50">
    <w:abstractNumId w:val="14"/>
  </w:num>
  <w:num w:numId="51">
    <w:abstractNumId w:val="33"/>
  </w:num>
  <w:num w:numId="52">
    <w:abstractNumId w:val="23"/>
  </w:num>
  <w:num w:numId="53">
    <w:abstractNumId w:val="32"/>
  </w:num>
  <w:num w:numId="54">
    <w:abstractNumId w:val="20"/>
  </w:num>
  <w:num w:numId="55">
    <w:abstractNumId w:val="43"/>
  </w:num>
  <w:num w:numId="5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36"/>
    <w:rsid w:val="000001B0"/>
    <w:rsid w:val="000001C2"/>
    <w:rsid w:val="000002BE"/>
    <w:rsid w:val="00000955"/>
    <w:rsid w:val="00000983"/>
    <w:rsid w:val="00000F05"/>
    <w:rsid w:val="00000FB1"/>
    <w:rsid w:val="00001060"/>
    <w:rsid w:val="0000144B"/>
    <w:rsid w:val="000014E8"/>
    <w:rsid w:val="0000165B"/>
    <w:rsid w:val="00001721"/>
    <w:rsid w:val="00001769"/>
    <w:rsid w:val="00001CA8"/>
    <w:rsid w:val="00002276"/>
    <w:rsid w:val="0000233F"/>
    <w:rsid w:val="0000256C"/>
    <w:rsid w:val="000027F9"/>
    <w:rsid w:val="00002AC3"/>
    <w:rsid w:val="00002CFB"/>
    <w:rsid w:val="00002F85"/>
    <w:rsid w:val="000030DE"/>
    <w:rsid w:val="000032DA"/>
    <w:rsid w:val="0000347B"/>
    <w:rsid w:val="0000357B"/>
    <w:rsid w:val="0000358F"/>
    <w:rsid w:val="0000366E"/>
    <w:rsid w:val="00003732"/>
    <w:rsid w:val="0000379D"/>
    <w:rsid w:val="00003B8B"/>
    <w:rsid w:val="00003BED"/>
    <w:rsid w:val="00003C45"/>
    <w:rsid w:val="000040A7"/>
    <w:rsid w:val="000040B4"/>
    <w:rsid w:val="0000411C"/>
    <w:rsid w:val="00004209"/>
    <w:rsid w:val="000045A9"/>
    <w:rsid w:val="000046EA"/>
    <w:rsid w:val="0000483E"/>
    <w:rsid w:val="000049E9"/>
    <w:rsid w:val="00004B73"/>
    <w:rsid w:val="00004DBE"/>
    <w:rsid w:val="00004E65"/>
    <w:rsid w:val="00004F95"/>
    <w:rsid w:val="000059C5"/>
    <w:rsid w:val="00005C03"/>
    <w:rsid w:val="00005C1E"/>
    <w:rsid w:val="00005D3B"/>
    <w:rsid w:val="000061F8"/>
    <w:rsid w:val="0000626C"/>
    <w:rsid w:val="00006B30"/>
    <w:rsid w:val="00006B88"/>
    <w:rsid w:val="000070BC"/>
    <w:rsid w:val="00007155"/>
    <w:rsid w:val="00007543"/>
    <w:rsid w:val="0000790D"/>
    <w:rsid w:val="00007BA7"/>
    <w:rsid w:val="00007C72"/>
    <w:rsid w:val="00007D1E"/>
    <w:rsid w:val="00010026"/>
    <w:rsid w:val="0001040F"/>
    <w:rsid w:val="000104D6"/>
    <w:rsid w:val="000106E1"/>
    <w:rsid w:val="0001072F"/>
    <w:rsid w:val="00010B1C"/>
    <w:rsid w:val="00010CDA"/>
    <w:rsid w:val="000114E5"/>
    <w:rsid w:val="00011722"/>
    <w:rsid w:val="00011C40"/>
    <w:rsid w:val="00011D92"/>
    <w:rsid w:val="00012140"/>
    <w:rsid w:val="00012367"/>
    <w:rsid w:val="0001265C"/>
    <w:rsid w:val="00012799"/>
    <w:rsid w:val="00012A84"/>
    <w:rsid w:val="0001315D"/>
    <w:rsid w:val="00013476"/>
    <w:rsid w:val="000135B8"/>
    <w:rsid w:val="00013837"/>
    <w:rsid w:val="00013AB4"/>
    <w:rsid w:val="00013C3F"/>
    <w:rsid w:val="00013C7B"/>
    <w:rsid w:val="00014212"/>
    <w:rsid w:val="00014258"/>
    <w:rsid w:val="000142D8"/>
    <w:rsid w:val="000142E8"/>
    <w:rsid w:val="00014495"/>
    <w:rsid w:val="00014798"/>
    <w:rsid w:val="00014CBE"/>
    <w:rsid w:val="00014D0D"/>
    <w:rsid w:val="00014F33"/>
    <w:rsid w:val="00014FF5"/>
    <w:rsid w:val="00015271"/>
    <w:rsid w:val="0001533F"/>
    <w:rsid w:val="00015365"/>
    <w:rsid w:val="0001537E"/>
    <w:rsid w:val="000155D7"/>
    <w:rsid w:val="000156BD"/>
    <w:rsid w:val="00015C2B"/>
    <w:rsid w:val="00015D5C"/>
    <w:rsid w:val="00015E2A"/>
    <w:rsid w:val="00015E77"/>
    <w:rsid w:val="00015FDC"/>
    <w:rsid w:val="0001641B"/>
    <w:rsid w:val="00016856"/>
    <w:rsid w:val="00016927"/>
    <w:rsid w:val="00016952"/>
    <w:rsid w:val="00016B5B"/>
    <w:rsid w:val="00016F57"/>
    <w:rsid w:val="000172A3"/>
    <w:rsid w:val="0001740F"/>
    <w:rsid w:val="00017422"/>
    <w:rsid w:val="0001757D"/>
    <w:rsid w:val="000175C8"/>
    <w:rsid w:val="00017660"/>
    <w:rsid w:val="000178EE"/>
    <w:rsid w:val="00017F40"/>
    <w:rsid w:val="00017FD2"/>
    <w:rsid w:val="000201D6"/>
    <w:rsid w:val="00020737"/>
    <w:rsid w:val="00020869"/>
    <w:rsid w:val="000209E9"/>
    <w:rsid w:val="00020B40"/>
    <w:rsid w:val="00020BE4"/>
    <w:rsid w:val="00020C3D"/>
    <w:rsid w:val="00020D30"/>
    <w:rsid w:val="00020F69"/>
    <w:rsid w:val="000214BA"/>
    <w:rsid w:val="00021978"/>
    <w:rsid w:val="00021ABA"/>
    <w:rsid w:val="00022030"/>
    <w:rsid w:val="00022311"/>
    <w:rsid w:val="000224AB"/>
    <w:rsid w:val="0002253A"/>
    <w:rsid w:val="000227BC"/>
    <w:rsid w:val="000227FF"/>
    <w:rsid w:val="00022A48"/>
    <w:rsid w:val="00022B42"/>
    <w:rsid w:val="00022C05"/>
    <w:rsid w:val="00022C5A"/>
    <w:rsid w:val="00022CF1"/>
    <w:rsid w:val="00022EDB"/>
    <w:rsid w:val="00023B8F"/>
    <w:rsid w:val="00023EE4"/>
    <w:rsid w:val="00024188"/>
    <w:rsid w:val="00024225"/>
    <w:rsid w:val="000244E9"/>
    <w:rsid w:val="0002451A"/>
    <w:rsid w:val="000246E3"/>
    <w:rsid w:val="00024AF2"/>
    <w:rsid w:val="00024C38"/>
    <w:rsid w:val="00024CDF"/>
    <w:rsid w:val="00024E99"/>
    <w:rsid w:val="0002512D"/>
    <w:rsid w:val="000251DB"/>
    <w:rsid w:val="000252C9"/>
    <w:rsid w:val="0002540B"/>
    <w:rsid w:val="00025C18"/>
    <w:rsid w:val="00025CA2"/>
    <w:rsid w:val="00025F64"/>
    <w:rsid w:val="00026067"/>
    <w:rsid w:val="0002606B"/>
    <w:rsid w:val="00026477"/>
    <w:rsid w:val="00026542"/>
    <w:rsid w:val="00026566"/>
    <w:rsid w:val="000265AF"/>
    <w:rsid w:val="00026863"/>
    <w:rsid w:val="0002688A"/>
    <w:rsid w:val="000268BF"/>
    <w:rsid w:val="00026B13"/>
    <w:rsid w:val="0002709E"/>
    <w:rsid w:val="000271B0"/>
    <w:rsid w:val="00027447"/>
    <w:rsid w:val="0002749B"/>
    <w:rsid w:val="00027576"/>
    <w:rsid w:val="00027678"/>
    <w:rsid w:val="00027722"/>
    <w:rsid w:val="00027D6C"/>
    <w:rsid w:val="00030146"/>
    <w:rsid w:val="00030255"/>
    <w:rsid w:val="00030398"/>
    <w:rsid w:val="00030697"/>
    <w:rsid w:val="000306D7"/>
    <w:rsid w:val="0003074B"/>
    <w:rsid w:val="000307EA"/>
    <w:rsid w:val="00030BE7"/>
    <w:rsid w:val="00030C7D"/>
    <w:rsid w:val="00030F1D"/>
    <w:rsid w:val="00030F54"/>
    <w:rsid w:val="00030FF3"/>
    <w:rsid w:val="00031150"/>
    <w:rsid w:val="0003123F"/>
    <w:rsid w:val="000313D1"/>
    <w:rsid w:val="00031478"/>
    <w:rsid w:val="0003157B"/>
    <w:rsid w:val="00031709"/>
    <w:rsid w:val="00031A49"/>
    <w:rsid w:val="00031BDC"/>
    <w:rsid w:val="00031E23"/>
    <w:rsid w:val="00031F4C"/>
    <w:rsid w:val="00031F6C"/>
    <w:rsid w:val="00031F6F"/>
    <w:rsid w:val="00031FA4"/>
    <w:rsid w:val="0003247D"/>
    <w:rsid w:val="000324A7"/>
    <w:rsid w:val="00032505"/>
    <w:rsid w:val="00032599"/>
    <w:rsid w:val="000326FB"/>
    <w:rsid w:val="000328FE"/>
    <w:rsid w:val="00032BFB"/>
    <w:rsid w:val="00032FB9"/>
    <w:rsid w:val="00033033"/>
    <w:rsid w:val="00033221"/>
    <w:rsid w:val="000334BB"/>
    <w:rsid w:val="0003383A"/>
    <w:rsid w:val="00033B20"/>
    <w:rsid w:val="00033E14"/>
    <w:rsid w:val="00033FE7"/>
    <w:rsid w:val="000341E3"/>
    <w:rsid w:val="000341E9"/>
    <w:rsid w:val="000344A7"/>
    <w:rsid w:val="00034698"/>
    <w:rsid w:val="00034B98"/>
    <w:rsid w:val="00034E28"/>
    <w:rsid w:val="00034E99"/>
    <w:rsid w:val="0003519F"/>
    <w:rsid w:val="00035297"/>
    <w:rsid w:val="000352D9"/>
    <w:rsid w:val="000355D1"/>
    <w:rsid w:val="0003564E"/>
    <w:rsid w:val="000356E0"/>
    <w:rsid w:val="000356EE"/>
    <w:rsid w:val="00035776"/>
    <w:rsid w:val="000357EF"/>
    <w:rsid w:val="00035B2F"/>
    <w:rsid w:val="00035E88"/>
    <w:rsid w:val="00035EFD"/>
    <w:rsid w:val="00036123"/>
    <w:rsid w:val="0003613B"/>
    <w:rsid w:val="00036208"/>
    <w:rsid w:val="000364AB"/>
    <w:rsid w:val="000365BA"/>
    <w:rsid w:val="000366C7"/>
    <w:rsid w:val="00036DBB"/>
    <w:rsid w:val="00036FB6"/>
    <w:rsid w:val="0003735C"/>
    <w:rsid w:val="000374B3"/>
    <w:rsid w:val="000375B2"/>
    <w:rsid w:val="00037856"/>
    <w:rsid w:val="000379BB"/>
    <w:rsid w:val="00037F22"/>
    <w:rsid w:val="00040492"/>
    <w:rsid w:val="000407F8"/>
    <w:rsid w:val="00040A6F"/>
    <w:rsid w:val="00040AEA"/>
    <w:rsid w:val="00040D08"/>
    <w:rsid w:val="00040E8F"/>
    <w:rsid w:val="00040FFE"/>
    <w:rsid w:val="00041075"/>
    <w:rsid w:val="00041748"/>
    <w:rsid w:val="00041A25"/>
    <w:rsid w:val="00041A2D"/>
    <w:rsid w:val="00041BDE"/>
    <w:rsid w:val="00041C5E"/>
    <w:rsid w:val="00041F20"/>
    <w:rsid w:val="00041FBC"/>
    <w:rsid w:val="000420E3"/>
    <w:rsid w:val="00042480"/>
    <w:rsid w:val="0004249D"/>
    <w:rsid w:val="00042864"/>
    <w:rsid w:val="000429F7"/>
    <w:rsid w:val="00042B46"/>
    <w:rsid w:val="00042C25"/>
    <w:rsid w:val="00042CB2"/>
    <w:rsid w:val="00042F4B"/>
    <w:rsid w:val="00043207"/>
    <w:rsid w:val="00043448"/>
    <w:rsid w:val="000434E4"/>
    <w:rsid w:val="00043563"/>
    <w:rsid w:val="00043627"/>
    <w:rsid w:val="00043807"/>
    <w:rsid w:val="00044395"/>
    <w:rsid w:val="000443A8"/>
    <w:rsid w:val="0004445C"/>
    <w:rsid w:val="0004455E"/>
    <w:rsid w:val="000445C0"/>
    <w:rsid w:val="0004490D"/>
    <w:rsid w:val="00044934"/>
    <w:rsid w:val="00044A77"/>
    <w:rsid w:val="00044B78"/>
    <w:rsid w:val="00044C4C"/>
    <w:rsid w:val="00044EBC"/>
    <w:rsid w:val="000453FD"/>
    <w:rsid w:val="00045423"/>
    <w:rsid w:val="00045498"/>
    <w:rsid w:val="00045850"/>
    <w:rsid w:val="000458B8"/>
    <w:rsid w:val="00045A51"/>
    <w:rsid w:val="00045A7A"/>
    <w:rsid w:val="000462DA"/>
    <w:rsid w:val="00046399"/>
    <w:rsid w:val="000464C7"/>
    <w:rsid w:val="0004691F"/>
    <w:rsid w:val="00046942"/>
    <w:rsid w:val="00046A59"/>
    <w:rsid w:val="00046C4B"/>
    <w:rsid w:val="00046DD1"/>
    <w:rsid w:val="00046E3B"/>
    <w:rsid w:val="00047039"/>
    <w:rsid w:val="00047317"/>
    <w:rsid w:val="00047679"/>
    <w:rsid w:val="000477CE"/>
    <w:rsid w:val="000479A6"/>
    <w:rsid w:val="000479D1"/>
    <w:rsid w:val="00047A85"/>
    <w:rsid w:val="00047B65"/>
    <w:rsid w:val="00050201"/>
    <w:rsid w:val="0005020B"/>
    <w:rsid w:val="00050792"/>
    <w:rsid w:val="00050AFF"/>
    <w:rsid w:val="00050B8E"/>
    <w:rsid w:val="00050BC0"/>
    <w:rsid w:val="00050D2B"/>
    <w:rsid w:val="000510B6"/>
    <w:rsid w:val="000513AB"/>
    <w:rsid w:val="0005188E"/>
    <w:rsid w:val="0005191E"/>
    <w:rsid w:val="00051AA6"/>
    <w:rsid w:val="00051AEC"/>
    <w:rsid w:val="00051D71"/>
    <w:rsid w:val="00052046"/>
    <w:rsid w:val="00052368"/>
    <w:rsid w:val="000523EA"/>
    <w:rsid w:val="00052409"/>
    <w:rsid w:val="00052678"/>
    <w:rsid w:val="00052774"/>
    <w:rsid w:val="000527C5"/>
    <w:rsid w:val="0005291B"/>
    <w:rsid w:val="00052B21"/>
    <w:rsid w:val="00052C58"/>
    <w:rsid w:val="00052CC4"/>
    <w:rsid w:val="00052E7E"/>
    <w:rsid w:val="00052FEA"/>
    <w:rsid w:val="000531FF"/>
    <w:rsid w:val="00053238"/>
    <w:rsid w:val="000534ED"/>
    <w:rsid w:val="0005358A"/>
    <w:rsid w:val="00053C12"/>
    <w:rsid w:val="00053F5F"/>
    <w:rsid w:val="00053F86"/>
    <w:rsid w:val="0005400C"/>
    <w:rsid w:val="000541BE"/>
    <w:rsid w:val="000543CC"/>
    <w:rsid w:val="000543E4"/>
    <w:rsid w:val="0005451D"/>
    <w:rsid w:val="00054603"/>
    <w:rsid w:val="0005467B"/>
    <w:rsid w:val="00054B5E"/>
    <w:rsid w:val="00054C8A"/>
    <w:rsid w:val="00054D6B"/>
    <w:rsid w:val="00054EEA"/>
    <w:rsid w:val="00055090"/>
    <w:rsid w:val="000551BB"/>
    <w:rsid w:val="00055769"/>
    <w:rsid w:val="00055924"/>
    <w:rsid w:val="00055B35"/>
    <w:rsid w:val="00055C6F"/>
    <w:rsid w:val="00055E7A"/>
    <w:rsid w:val="00056011"/>
    <w:rsid w:val="00056030"/>
    <w:rsid w:val="00056042"/>
    <w:rsid w:val="000560C0"/>
    <w:rsid w:val="000562D1"/>
    <w:rsid w:val="00056825"/>
    <w:rsid w:val="00056ADD"/>
    <w:rsid w:val="00056B67"/>
    <w:rsid w:val="00056BDB"/>
    <w:rsid w:val="00056CE8"/>
    <w:rsid w:val="00056D38"/>
    <w:rsid w:val="00056D8B"/>
    <w:rsid w:val="00057094"/>
    <w:rsid w:val="000575E6"/>
    <w:rsid w:val="00057699"/>
    <w:rsid w:val="00057750"/>
    <w:rsid w:val="000577F9"/>
    <w:rsid w:val="0005783F"/>
    <w:rsid w:val="0005794F"/>
    <w:rsid w:val="00057A82"/>
    <w:rsid w:val="00057CEB"/>
    <w:rsid w:val="00057EC6"/>
    <w:rsid w:val="00057FB1"/>
    <w:rsid w:val="000600B8"/>
    <w:rsid w:val="00060194"/>
    <w:rsid w:val="0006060E"/>
    <w:rsid w:val="0006094B"/>
    <w:rsid w:val="00060AC0"/>
    <w:rsid w:val="00060EDE"/>
    <w:rsid w:val="00061021"/>
    <w:rsid w:val="00061150"/>
    <w:rsid w:val="00061366"/>
    <w:rsid w:val="0006136A"/>
    <w:rsid w:val="000613D9"/>
    <w:rsid w:val="000614A9"/>
    <w:rsid w:val="00061512"/>
    <w:rsid w:val="000617A8"/>
    <w:rsid w:val="00061C5D"/>
    <w:rsid w:val="00061EAB"/>
    <w:rsid w:val="00062033"/>
    <w:rsid w:val="00062276"/>
    <w:rsid w:val="0006240E"/>
    <w:rsid w:val="00062425"/>
    <w:rsid w:val="00062524"/>
    <w:rsid w:val="00062559"/>
    <w:rsid w:val="00062621"/>
    <w:rsid w:val="00062625"/>
    <w:rsid w:val="0006292D"/>
    <w:rsid w:val="00062F6F"/>
    <w:rsid w:val="0006340D"/>
    <w:rsid w:val="00063417"/>
    <w:rsid w:val="000635D2"/>
    <w:rsid w:val="000638B7"/>
    <w:rsid w:val="00063902"/>
    <w:rsid w:val="00063DF8"/>
    <w:rsid w:val="00063F59"/>
    <w:rsid w:val="0006439D"/>
    <w:rsid w:val="00064600"/>
    <w:rsid w:val="0006466E"/>
    <w:rsid w:val="00064950"/>
    <w:rsid w:val="00064E7D"/>
    <w:rsid w:val="00065199"/>
    <w:rsid w:val="00065304"/>
    <w:rsid w:val="0006538E"/>
    <w:rsid w:val="0006557A"/>
    <w:rsid w:val="00065709"/>
    <w:rsid w:val="0006587B"/>
    <w:rsid w:val="000659DE"/>
    <w:rsid w:val="00065B81"/>
    <w:rsid w:val="00065CC7"/>
    <w:rsid w:val="00065D07"/>
    <w:rsid w:val="00066538"/>
    <w:rsid w:val="00066606"/>
    <w:rsid w:val="00066EE3"/>
    <w:rsid w:val="00066F38"/>
    <w:rsid w:val="000673C2"/>
    <w:rsid w:val="000674B5"/>
    <w:rsid w:val="00067655"/>
    <w:rsid w:val="00067775"/>
    <w:rsid w:val="0006797C"/>
    <w:rsid w:val="000679E1"/>
    <w:rsid w:val="00067A15"/>
    <w:rsid w:val="00067CA7"/>
    <w:rsid w:val="00067CD1"/>
    <w:rsid w:val="00067D5E"/>
    <w:rsid w:val="000700CA"/>
    <w:rsid w:val="00070169"/>
    <w:rsid w:val="00070365"/>
    <w:rsid w:val="000705E7"/>
    <w:rsid w:val="00070650"/>
    <w:rsid w:val="00070820"/>
    <w:rsid w:val="00070968"/>
    <w:rsid w:val="00070A4E"/>
    <w:rsid w:val="00070ABD"/>
    <w:rsid w:val="00070AD0"/>
    <w:rsid w:val="00070B1D"/>
    <w:rsid w:val="00070B3E"/>
    <w:rsid w:val="00070DA0"/>
    <w:rsid w:val="00071098"/>
    <w:rsid w:val="000711E8"/>
    <w:rsid w:val="000717B8"/>
    <w:rsid w:val="00071A33"/>
    <w:rsid w:val="00071A56"/>
    <w:rsid w:val="00071BF6"/>
    <w:rsid w:val="00071DB9"/>
    <w:rsid w:val="00071FBD"/>
    <w:rsid w:val="0007218E"/>
    <w:rsid w:val="00072583"/>
    <w:rsid w:val="000727C8"/>
    <w:rsid w:val="0007285F"/>
    <w:rsid w:val="00072D91"/>
    <w:rsid w:val="00072E2C"/>
    <w:rsid w:val="000732FB"/>
    <w:rsid w:val="000735D3"/>
    <w:rsid w:val="0007382A"/>
    <w:rsid w:val="0007385F"/>
    <w:rsid w:val="000738A8"/>
    <w:rsid w:val="00073A69"/>
    <w:rsid w:val="00073B84"/>
    <w:rsid w:val="00073D18"/>
    <w:rsid w:val="00073E44"/>
    <w:rsid w:val="00074321"/>
    <w:rsid w:val="00074722"/>
    <w:rsid w:val="00074B12"/>
    <w:rsid w:val="00074CFC"/>
    <w:rsid w:val="00074D0F"/>
    <w:rsid w:val="00074F42"/>
    <w:rsid w:val="00075197"/>
    <w:rsid w:val="00075210"/>
    <w:rsid w:val="00075C59"/>
    <w:rsid w:val="00075D97"/>
    <w:rsid w:val="00076039"/>
    <w:rsid w:val="00076327"/>
    <w:rsid w:val="00076336"/>
    <w:rsid w:val="00076599"/>
    <w:rsid w:val="0007662F"/>
    <w:rsid w:val="00076C86"/>
    <w:rsid w:val="00076D0C"/>
    <w:rsid w:val="00076DF9"/>
    <w:rsid w:val="000770F1"/>
    <w:rsid w:val="000775BD"/>
    <w:rsid w:val="00077BF6"/>
    <w:rsid w:val="00077F57"/>
    <w:rsid w:val="0008002F"/>
    <w:rsid w:val="00080360"/>
    <w:rsid w:val="0008043D"/>
    <w:rsid w:val="0008044E"/>
    <w:rsid w:val="000804C3"/>
    <w:rsid w:val="000804C5"/>
    <w:rsid w:val="000805AA"/>
    <w:rsid w:val="000806B5"/>
    <w:rsid w:val="00080898"/>
    <w:rsid w:val="000808E7"/>
    <w:rsid w:val="00080C60"/>
    <w:rsid w:val="00080D65"/>
    <w:rsid w:val="00080ECA"/>
    <w:rsid w:val="00080F74"/>
    <w:rsid w:val="00081017"/>
    <w:rsid w:val="000811AC"/>
    <w:rsid w:val="0008185F"/>
    <w:rsid w:val="00081B3A"/>
    <w:rsid w:val="000822DD"/>
    <w:rsid w:val="00082431"/>
    <w:rsid w:val="00083142"/>
    <w:rsid w:val="000833F1"/>
    <w:rsid w:val="000835F7"/>
    <w:rsid w:val="000837A1"/>
    <w:rsid w:val="000837E9"/>
    <w:rsid w:val="000838A9"/>
    <w:rsid w:val="00083BCD"/>
    <w:rsid w:val="00083C63"/>
    <w:rsid w:val="00083E2E"/>
    <w:rsid w:val="00083F9F"/>
    <w:rsid w:val="000843A5"/>
    <w:rsid w:val="000844DF"/>
    <w:rsid w:val="00084500"/>
    <w:rsid w:val="00084CFA"/>
    <w:rsid w:val="00084F67"/>
    <w:rsid w:val="000850A6"/>
    <w:rsid w:val="0008531D"/>
    <w:rsid w:val="00085368"/>
    <w:rsid w:val="0008543C"/>
    <w:rsid w:val="00085847"/>
    <w:rsid w:val="00085871"/>
    <w:rsid w:val="000859CD"/>
    <w:rsid w:val="00085A23"/>
    <w:rsid w:val="00085C28"/>
    <w:rsid w:val="00085C8A"/>
    <w:rsid w:val="00085D4E"/>
    <w:rsid w:val="000862A4"/>
    <w:rsid w:val="00086481"/>
    <w:rsid w:val="000868DE"/>
    <w:rsid w:val="000869B8"/>
    <w:rsid w:val="00086B71"/>
    <w:rsid w:val="00086BBA"/>
    <w:rsid w:val="00086BE1"/>
    <w:rsid w:val="00086EF5"/>
    <w:rsid w:val="00086EFD"/>
    <w:rsid w:val="000874EF"/>
    <w:rsid w:val="0008767E"/>
    <w:rsid w:val="00087803"/>
    <w:rsid w:val="00087B24"/>
    <w:rsid w:val="00087F52"/>
    <w:rsid w:val="00087F69"/>
    <w:rsid w:val="00090437"/>
    <w:rsid w:val="00090491"/>
    <w:rsid w:val="00090536"/>
    <w:rsid w:val="00090583"/>
    <w:rsid w:val="00090901"/>
    <w:rsid w:val="00090A6B"/>
    <w:rsid w:val="00090A77"/>
    <w:rsid w:val="00090F7E"/>
    <w:rsid w:val="00090F80"/>
    <w:rsid w:val="00091200"/>
    <w:rsid w:val="0009123C"/>
    <w:rsid w:val="000915A9"/>
    <w:rsid w:val="00091614"/>
    <w:rsid w:val="00091735"/>
    <w:rsid w:val="00091958"/>
    <w:rsid w:val="00091A2A"/>
    <w:rsid w:val="00091A71"/>
    <w:rsid w:val="00091A8E"/>
    <w:rsid w:val="00091B26"/>
    <w:rsid w:val="00091B99"/>
    <w:rsid w:val="00091C3E"/>
    <w:rsid w:val="00091E69"/>
    <w:rsid w:val="00092336"/>
    <w:rsid w:val="000928E0"/>
    <w:rsid w:val="00092E06"/>
    <w:rsid w:val="00093223"/>
    <w:rsid w:val="0009325E"/>
    <w:rsid w:val="000935F8"/>
    <w:rsid w:val="00093683"/>
    <w:rsid w:val="00093764"/>
    <w:rsid w:val="00093B8A"/>
    <w:rsid w:val="00093FBB"/>
    <w:rsid w:val="000945E0"/>
    <w:rsid w:val="000945EE"/>
    <w:rsid w:val="000946EF"/>
    <w:rsid w:val="0009476C"/>
    <w:rsid w:val="000948A5"/>
    <w:rsid w:val="000949B4"/>
    <w:rsid w:val="00094C90"/>
    <w:rsid w:val="0009511B"/>
    <w:rsid w:val="00095337"/>
    <w:rsid w:val="00095638"/>
    <w:rsid w:val="00095F74"/>
    <w:rsid w:val="000961C5"/>
    <w:rsid w:val="00096268"/>
    <w:rsid w:val="0009641C"/>
    <w:rsid w:val="000968A5"/>
    <w:rsid w:val="000969DA"/>
    <w:rsid w:val="00096B9E"/>
    <w:rsid w:val="00096C49"/>
    <w:rsid w:val="000972E2"/>
    <w:rsid w:val="00097373"/>
    <w:rsid w:val="000973B3"/>
    <w:rsid w:val="00097420"/>
    <w:rsid w:val="00097562"/>
    <w:rsid w:val="00097D9B"/>
    <w:rsid w:val="00097E40"/>
    <w:rsid w:val="00097FE8"/>
    <w:rsid w:val="000A0242"/>
    <w:rsid w:val="000A066D"/>
    <w:rsid w:val="000A085D"/>
    <w:rsid w:val="000A08D5"/>
    <w:rsid w:val="000A0B2A"/>
    <w:rsid w:val="000A0E5D"/>
    <w:rsid w:val="000A10D5"/>
    <w:rsid w:val="000A1156"/>
    <w:rsid w:val="000A1346"/>
    <w:rsid w:val="000A1399"/>
    <w:rsid w:val="000A1779"/>
    <w:rsid w:val="000A1839"/>
    <w:rsid w:val="000A19B4"/>
    <w:rsid w:val="000A19BB"/>
    <w:rsid w:val="000A1A0A"/>
    <w:rsid w:val="000A1C15"/>
    <w:rsid w:val="000A1D24"/>
    <w:rsid w:val="000A2071"/>
    <w:rsid w:val="000A2134"/>
    <w:rsid w:val="000A2320"/>
    <w:rsid w:val="000A26BA"/>
    <w:rsid w:val="000A2C6B"/>
    <w:rsid w:val="000A2E83"/>
    <w:rsid w:val="000A2FA0"/>
    <w:rsid w:val="000A3062"/>
    <w:rsid w:val="000A30FD"/>
    <w:rsid w:val="000A31D4"/>
    <w:rsid w:val="000A360C"/>
    <w:rsid w:val="000A3645"/>
    <w:rsid w:val="000A36B5"/>
    <w:rsid w:val="000A387B"/>
    <w:rsid w:val="000A38B8"/>
    <w:rsid w:val="000A3D22"/>
    <w:rsid w:val="000A3D4A"/>
    <w:rsid w:val="000A3D5F"/>
    <w:rsid w:val="000A3E74"/>
    <w:rsid w:val="000A3F57"/>
    <w:rsid w:val="000A41CF"/>
    <w:rsid w:val="000A441F"/>
    <w:rsid w:val="000A4458"/>
    <w:rsid w:val="000A49D1"/>
    <w:rsid w:val="000A4DFF"/>
    <w:rsid w:val="000A5013"/>
    <w:rsid w:val="000A5039"/>
    <w:rsid w:val="000A52D3"/>
    <w:rsid w:val="000A5552"/>
    <w:rsid w:val="000A5584"/>
    <w:rsid w:val="000A5D58"/>
    <w:rsid w:val="000A5F57"/>
    <w:rsid w:val="000A6275"/>
    <w:rsid w:val="000A6399"/>
    <w:rsid w:val="000A640E"/>
    <w:rsid w:val="000A653B"/>
    <w:rsid w:val="000A65F9"/>
    <w:rsid w:val="000A6608"/>
    <w:rsid w:val="000A6646"/>
    <w:rsid w:val="000A67F1"/>
    <w:rsid w:val="000A6A19"/>
    <w:rsid w:val="000A6C46"/>
    <w:rsid w:val="000A7437"/>
    <w:rsid w:val="000A756D"/>
    <w:rsid w:val="000A75F6"/>
    <w:rsid w:val="000A7619"/>
    <w:rsid w:val="000A787C"/>
    <w:rsid w:val="000A796E"/>
    <w:rsid w:val="000A7AE0"/>
    <w:rsid w:val="000A7AED"/>
    <w:rsid w:val="000B002A"/>
    <w:rsid w:val="000B01CF"/>
    <w:rsid w:val="000B0383"/>
    <w:rsid w:val="000B0927"/>
    <w:rsid w:val="000B09FA"/>
    <w:rsid w:val="000B0E5B"/>
    <w:rsid w:val="000B10D7"/>
    <w:rsid w:val="000B1268"/>
    <w:rsid w:val="000B12FF"/>
    <w:rsid w:val="000B146D"/>
    <w:rsid w:val="000B1510"/>
    <w:rsid w:val="000B15AA"/>
    <w:rsid w:val="000B165E"/>
    <w:rsid w:val="000B1704"/>
    <w:rsid w:val="000B1713"/>
    <w:rsid w:val="000B2111"/>
    <w:rsid w:val="000B212E"/>
    <w:rsid w:val="000B2760"/>
    <w:rsid w:val="000B27A9"/>
    <w:rsid w:val="000B28D8"/>
    <w:rsid w:val="000B2A90"/>
    <w:rsid w:val="000B2AEB"/>
    <w:rsid w:val="000B2AFF"/>
    <w:rsid w:val="000B2D64"/>
    <w:rsid w:val="000B313C"/>
    <w:rsid w:val="000B315E"/>
    <w:rsid w:val="000B3408"/>
    <w:rsid w:val="000B3451"/>
    <w:rsid w:val="000B379A"/>
    <w:rsid w:val="000B3A1C"/>
    <w:rsid w:val="000B3CBF"/>
    <w:rsid w:val="000B3F94"/>
    <w:rsid w:val="000B40BF"/>
    <w:rsid w:val="000B42BD"/>
    <w:rsid w:val="000B4564"/>
    <w:rsid w:val="000B4721"/>
    <w:rsid w:val="000B4BAF"/>
    <w:rsid w:val="000B4C48"/>
    <w:rsid w:val="000B4FD1"/>
    <w:rsid w:val="000B5103"/>
    <w:rsid w:val="000B5276"/>
    <w:rsid w:val="000B54F7"/>
    <w:rsid w:val="000B5650"/>
    <w:rsid w:val="000B58C2"/>
    <w:rsid w:val="000B5AF9"/>
    <w:rsid w:val="000B5B17"/>
    <w:rsid w:val="000B5EEE"/>
    <w:rsid w:val="000B5F76"/>
    <w:rsid w:val="000B6619"/>
    <w:rsid w:val="000B698F"/>
    <w:rsid w:val="000B6A60"/>
    <w:rsid w:val="000B6D2A"/>
    <w:rsid w:val="000B7166"/>
    <w:rsid w:val="000B7230"/>
    <w:rsid w:val="000B72AB"/>
    <w:rsid w:val="000B75E4"/>
    <w:rsid w:val="000B774C"/>
    <w:rsid w:val="000B7B45"/>
    <w:rsid w:val="000B7C52"/>
    <w:rsid w:val="000C0094"/>
    <w:rsid w:val="000C03FC"/>
    <w:rsid w:val="000C0403"/>
    <w:rsid w:val="000C054B"/>
    <w:rsid w:val="000C0563"/>
    <w:rsid w:val="000C06FD"/>
    <w:rsid w:val="000C08B4"/>
    <w:rsid w:val="000C0B87"/>
    <w:rsid w:val="000C0E68"/>
    <w:rsid w:val="000C108E"/>
    <w:rsid w:val="000C1231"/>
    <w:rsid w:val="000C13D8"/>
    <w:rsid w:val="000C14B7"/>
    <w:rsid w:val="000C17C3"/>
    <w:rsid w:val="000C181C"/>
    <w:rsid w:val="000C1CEA"/>
    <w:rsid w:val="000C2081"/>
    <w:rsid w:val="000C2213"/>
    <w:rsid w:val="000C24A8"/>
    <w:rsid w:val="000C24B0"/>
    <w:rsid w:val="000C25C3"/>
    <w:rsid w:val="000C25EC"/>
    <w:rsid w:val="000C2840"/>
    <w:rsid w:val="000C2B98"/>
    <w:rsid w:val="000C2D5C"/>
    <w:rsid w:val="000C313A"/>
    <w:rsid w:val="000C315B"/>
    <w:rsid w:val="000C31A9"/>
    <w:rsid w:val="000C321E"/>
    <w:rsid w:val="000C3401"/>
    <w:rsid w:val="000C3498"/>
    <w:rsid w:val="000C3630"/>
    <w:rsid w:val="000C3A18"/>
    <w:rsid w:val="000C3A31"/>
    <w:rsid w:val="000C4086"/>
    <w:rsid w:val="000C4140"/>
    <w:rsid w:val="000C4265"/>
    <w:rsid w:val="000C448C"/>
    <w:rsid w:val="000C44D2"/>
    <w:rsid w:val="000C44E4"/>
    <w:rsid w:val="000C451C"/>
    <w:rsid w:val="000C4549"/>
    <w:rsid w:val="000C45D2"/>
    <w:rsid w:val="000C47A0"/>
    <w:rsid w:val="000C4D6B"/>
    <w:rsid w:val="000C531D"/>
    <w:rsid w:val="000C58E0"/>
    <w:rsid w:val="000C5905"/>
    <w:rsid w:val="000C596E"/>
    <w:rsid w:val="000C5A6D"/>
    <w:rsid w:val="000C5A7A"/>
    <w:rsid w:val="000C5C88"/>
    <w:rsid w:val="000C5C98"/>
    <w:rsid w:val="000C5F68"/>
    <w:rsid w:val="000C67BB"/>
    <w:rsid w:val="000C68A6"/>
    <w:rsid w:val="000C6AAC"/>
    <w:rsid w:val="000C6D09"/>
    <w:rsid w:val="000C6E98"/>
    <w:rsid w:val="000C71AA"/>
    <w:rsid w:val="000C7EF8"/>
    <w:rsid w:val="000C7F10"/>
    <w:rsid w:val="000D013B"/>
    <w:rsid w:val="000D02CC"/>
    <w:rsid w:val="000D09F7"/>
    <w:rsid w:val="000D0AC9"/>
    <w:rsid w:val="000D0C52"/>
    <w:rsid w:val="000D0D3B"/>
    <w:rsid w:val="000D107A"/>
    <w:rsid w:val="000D13AF"/>
    <w:rsid w:val="000D1450"/>
    <w:rsid w:val="000D1583"/>
    <w:rsid w:val="000D1587"/>
    <w:rsid w:val="000D15D7"/>
    <w:rsid w:val="000D16A0"/>
    <w:rsid w:val="000D1750"/>
    <w:rsid w:val="000D192F"/>
    <w:rsid w:val="000D1B5D"/>
    <w:rsid w:val="000D1CAF"/>
    <w:rsid w:val="000D1D1C"/>
    <w:rsid w:val="000D1E37"/>
    <w:rsid w:val="000D1E3E"/>
    <w:rsid w:val="000D2067"/>
    <w:rsid w:val="000D232B"/>
    <w:rsid w:val="000D234E"/>
    <w:rsid w:val="000D25E4"/>
    <w:rsid w:val="000D28C4"/>
    <w:rsid w:val="000D293B"/>
    <w:rsid w:val="000D2A39"/>
    <w:rsid w:val="000D2ABD"/>
    <w:rsid w:val="000D2D0C"/>
    <w:rsid w:val="000D3048"/>
    <w:rsid w:val="000D3185"/>
    <w:rsid w:val="000D32E3"/>
    <w:rsid w:val="000D33E0"/>
    <w:rsid w:val="000D3601"/>
    <w:rsid w:val="000D3C81"/>
    <w:rsid w:val="000D42D6"/>
    <w:rsid w:val="000D42E7"/>
    <w:rsid w:val="000D441A"/>
    <w:rsid w:val="000D47B6"/>
    <w:rsid w:val="000D47D4"/>
    <w:rsid w:val="000D4913"/>
    <w:rsid w:val="000D4A38"/>
    <w:rsid w:val="000D4B4A"/>
    <w:rsid w:val="000D4D6E"/>
    <w:rsid w:val="000D4FA7"/>
    <w:rsid w:val="000D5481"/>
    <w:rsid w:val="000D54D2"/>
    <w:rsid w:val="000D5635"/>
    <w:rsid w:val="000D5736"/>
    <w:rsid w:val="000D5C46"/>
    <w:rsid w:val="000D5D14"/>
    <w:rsid w:val="000D63A8"/>
    <w:rsid w:val="000D6581"/>
    <w:rsid w:val="000D684E"/>
    <w:rsid w:val="000D6A28"/>
    <w:rsid w:val="000D6A84"/>
    <w:rsid w:val="000D6E54"/>
    <w:rsid w:val="000D70F1"/>
    <w:rsid w:val="000D71F6"/>
    <w:rsid w:val="000D72DE"/>
    <w:rsid w:val="000D732A"/>
    <w:rsid w:val="000D7367"/>
    <w:rsid w:val="000D741C"/>
    <w:rsid w:val="000D75F7"/>
    <w:rsid w:val="000D7754"/>
    <w:rsid w:val="000D7874"/>
    <w:rsid w:val="000D7DA5"/>
    <w:rsid w:val="000D7E6B"/>
    <w:rsid w:val="000D7FC6"/>
    <w:rsid w:val="000E00C3"/>
    <w:rsid w:val="000E07E6"/>
    <w:rsid w:val="000E086C"/>
    <w:rsid w:val="000E08E5"/>
    <w:rsid w:val="000E0968"/>
    <w:rsid w:val="000E0CB5"/>
    <w:rsid w:val="000E0FE0"/>
    <w:rsid w:val="000E1123"/>
    <w:rsid w:val="000E128A"/>
    <w:rsid w:val="000E15BB"/>
    <w:rsid w:val="000E16BB"/>
    <w:rsid w:val="000E16D3"/>
    <w:rsid w:val="000E173E"/>
    <w:rsid w:val="000E1853"/>
    <w:rsid w:val="000E19EB"/>
    <w:rsid w:val="000E1B78"/>
    <w:rsid w:val="000E1D01"/>
    <w:rsid w:val="000E1F3B"/>
    <w:rsid w:val="000E1FC5"/>
    <w:rsid w:val="000E2078"/>
    <w:rsid w:val="000E22BF"/>
    <w:rsid w:val="000E23E8"/>
    <w:rsid w:val="000E2872"/>
    <w:rsid w:val="000E288E"/>
    <w:rsid w:val="000E2C52"/>
    <w:rsid w:val="000E2D4C"/>
    <w:rsid w:val="000E3551"/>
    <w:rsid w:val="000E3699"/>
    <w:rsid w:val="000E377B"/>
    <w:rsid w:val="000E3B08"/>
    <w:rsid w:val="000E45A4"/>
    <w:rsid w:val="000E45D4"/>
    <w:rsid w:val="000E48F4"/>
    <w:rsid w:val="000E4A00"/>
    <w:rsid w:val="000E4B8C"/>
    <w:rsid w:val="000E4F7B"/>
    <w:rsid w:val="000E4FBD"/>
    <w:rsid w:val="000E5059"/>
    <w:rsid w:val="000E51FD"/>
    <w:rsid w:val="000E52BD"/>
    <w:rsid w:val="000E55CC"/>
    <w:rsid w:val="000E56FD"/>
    <w:rsid w:val="000E57AB"/>
    <w:rsid w:val="000E5806"/>
    <w:rsid w:val="000E58FB"/>
    <w:rsid w:val="000E5913"/>
    <w:rsid w:val="000E59F2"/>
    <w:rsid w:val="000E5CB2"/>
    <w:rsid w:val="000E5DF8"/>
    <w:rsid w:val="000E5EB5"/>
    <w:rsid w:val="000E5EF1"/>
    <w:rsid w:val="000E5F0D"/>
    <w:rsid w:val="000E62BB"/>
    <w:rsid w:val="000E63DD"/>
    <w:rsid w:val="000E6ACB"/>
    <w:rsid w:val="000E6E3C"/>
    <w:rsid w:val="000E6F25"/>
    <w:rsid w:val="000E7132"/>
    <w:rsid w:val="000E71BC"/>
    <w:rsid w:val="000E74FB"/>
    <w:rsid w:val="000E75B4"/>
    <w:rsid w:val="000E76F7"/>
    <w:rsid w:val="000E770C"/>
    <w:rsid w:val="000E7711"/>
    <w:rsid w:val="000E78C1"/>
    <w:rsid w:val="000E78DE"/>
    <w:rsid w:val="000E795D"/>
    <w:rsid w:val="000E7A20"/>
    <w:rsid w:val="000E7BD9"/>
    <w:rsid w:val="000E7E54"/>
    <w:rsid w:val="000E7E6B"/>
    <w:rsid w:val="000E7E6F"/>
    <w:rsid w:val="000E7F66"/>
    <w:rsid w:val="000F01D7"/>
    <w:rsid w:val="000F0266"/>
    <w:rsid w:val="000F0319"/>
    <w:rsid w:val="000F0A94"/>
    <w:rsid w:val="000F0D64"/>
    <w:rsid w:val="000F0F17"/>
    <w:rsid w:val="000F108F"/>
    <w:rsid w:val="000F11CB"/>
    <w:rsid w:val="000F1237"/>
    <w:rsid w:val="000F1349"/>
    <w:rsid w:val="000F1372"/>
    <w:rsid w:val="000F15DA"/>
    <w:rsid w:val="000F15F6"/>
    <w:rsid w:val="000F1603"/>
    <w:rsid w:val="000F19BC"/>
    <w:rsid w:val="000F1D2F"/>
    <w:rsid w:val="000F1D82"/>
    <w:rsid w:val="000F1F3C"/>
    <w:rsid w:val="000F20D3"/>
    <w:rsid w:val="000F21E1"/>
    <w:rsid w:val="000F23D0"/>
    <w:rsid w:val="000F263F"/>
    <w:rsid w:val="000F2728"/>
    <w:rsid w:val="000F2D2C"/>
    <w:rsid w:val="000F2E74"/>
    <w:rsid w:val="000F3219"/>
    <w:rsid w:val="000F409D"/>
    <w:rsid w:val="000F462C"/>
    <w:rsid w:val="000F4768"/>
    <w:rsid w:val="000F48A8"/>
    <w:rsid w:val="000F48CF"/>
    <w:rsid w:val="000F498C"/>
    <w:rsid w:val="000F4BB9"/>
    <w:rsid w:val="000F4BBC"/>
    <w:rsid w:val="000F4CD2"/>
    <w:rsid w:val="000F4D19"/>
    <w:rsid w:val="000F4D7F"/>
    <w:rsid w:val="000F4EA3"/>
    <w:rsid w:val="000F4F82"/>
    <w:rsid w:val="000F51DC"/>
    <w:rsid w:val="000F52DB"/>
    <w:rsid w:val="000F53A3"/>
    <w:rsid w:val="000F5532"/>
    <w:rsid w:val="000F55E6"/>
    <w:rsid w:val="000F5AC8"/>
    <w:rsid w:val="000F5C74"/>
    <w:rsid w:val="000F5E4A"/>
    <w:rsid w:val="000F6018"/>
    <w:rsid w:val="000F60CB"/>
    <w:rsid w:val="000F60D1"/>
    <w:rsid w:val="000F6169"/>
    <w:rsid w:val="000F6581"/>
    <w:rsid w:val="000F6647"/>
    <w:rsid w:val="000F66FE"/>
    <w:rsid w:val="000F68D3"/>
    <w:rsid w:val="000F6C46"/>
    <w:rsid w:val="000F6E44"/>
    <w:rsid w:val="000F6EB1"/>
    <w:rsid w:val="000F6F1A"/>
    <w:rsid w:val="000F70F2"/>
    <w:rsid w:val="000F724A"/>
    <w:rsid w:val="000F73B6"/>
    <w:rsid w:val="000F7611"/>
    <w:rsid w:val="000F7671"/>
    <w:rsid w:val="000F76B8"/>
    <w:rsid w:val="001002F0"/>
    <w:rsid w:val="001003AE"/>
    <w:rsid w:val="001004C8"/>
    <w:rsid w:val="00100A1F"/>
    <w:rsid w:val="00100C20"/>
    <w:rsid w:val="00100C50"/>
    <w:rsid w:val="00100CDE"/>
    <w:rsid w:val="00100D1E"/>
    <w:rsid w:val="00100E50"/>
    <w:rsid w:val="001013C1"/>
    <w:rsid w:val="0010140A"/>
    <w:rsid w:val="001015AB"/>
    <w:rsid w:val="00101606"/>
    <w:rsid w:val="001016B5"/>
    <w:rsid w:val="001018A6"/>
    <w:rsid w:val="00101C85"/>
    <w:rsid w:val="00101D57"/>
    <w:rsid w:val="00101FDA"/>
    <w:rsid w:val="00102164"/>
    <w:rsid w:val="001021B0"/>
    <w:rsid w:val="00102201"/>
    <w:rsid w:val="00102207"/>
    <w:rsid w:val="0010282E"/>
    <w:rsid w:val="00102A42"/>
    <w:rsid w:val="00102B75"/>
    <w:rsid w:val="00103161"/>
    <w:rsid w:val="001032FB"/>
    <w:rsid w:val="00103336"/>
    <w:rsid w:val="0010383E"/>
    <w:rsid w:val="00103C0C"/>
    <w:rsid w:val="00103C4B"/>
    <w:rsid w:val="00103E2A"/>
    <w:rsid w:val="00104343"/>
    <w:rsid w:val="001044B9"/>
    <w:rsid w:val="00104ABC"/>
    <w:rsid w:val="00104B51"/>
    <w:rsid w:val="00104DEF"/>
    <w:rsid w:val="00104E13"/>
    <w:rsid w:val="00104F5F"/>
    <w:rsid w:val="00104FFF"/>
    <w:rsid w:val="00105225"/>
    <w:rsid w:val="0010539F"/>
    <w:rsid w:val="00105994"/>
    <w:rsid w:val="00105F7F"/>
    <w:rsid w:val="0010605C"/>
    <w:rsid w:val="001060B3"/>
    <w:rsid w:val="001062AA"/>
    <w:rsid w:val="001063BE"/>
    <w:rsid w:val="00106433"/>
    <w:rsid w:val="00106502"/>
    <w:rsid w:val="00106797"/>
    <w:rsid w:val="00106899"/>
    <w:rsid w:val="00106A4A"/>
    <w:rsid w:val="00106AFA"/>
    <w:rsid w:val="00106B1D"/>
    <w:rsid w:val="00106BB9"/>
    <w:rsid w:val="00106E43"/>
    <w:rsid w:val="00106F45"/>
    <w:rsid w:val="0010712D"/>
    <w:rsid w:val="00107132"/>
    <w:rsid w:val="00107172"/>
    <w:rsid w:val="0010741B"/>
    <w:rsid w:val="00107685"/>
    <w:rsid w:val="00107730"/>
    <w:rsid w:val="00107878"/>
    <w:rsid w:val="00107968"/>
    <w:rsid w:val="001100FB"/>
    <w:rsid w:val="0011022B"/>
    <w:rsid w:val="001105AC"/>
    <w:rsid w:val="00110864"/>
    <w:rsid w:val="001108BC"/>
    <w:rsid w:val="00110961"/>
    <w:rsid w:val="00110DA0"/>
    <w:rsid w:val="00110ECB"/>
    <w:rsid w:val="00111205"/>
    <w:rsid w:val="00111498"/>
    <w:rsid w:val="00111723"/>
    <w:rsid w:val="00111AA9"/>
    <w:rsid w:val="00111B3E"/>
    <w:rsid w:val="00111CEC"/>
    <w:rsid w:val="00111F6D"/>
    <w:rsid w:val="00112AE6"/>
    <w:rsid w:val="00112B44"/>
    <w:rsid w:val="00112BE5"/>
    <w:rsid w:val="00112DA7"/>
    <w:rsid w:val="00112F10"/>
    <w:rsid w:val="001133FB"/>
    <w:rsid w:val="00113565"/>
    <w:rsid w:val="00113621"/>
    <w:rsid w:val="00113656"/>
    <w:rsid w:val="00113B5F"/>
    <w:rsid w:val="00113CAC"/>
    <w:rsid w:val="00114070"/>
    <w:rsid w:val="001140C2"/>
    <w:rsid w:val="00114142"/>
    <w:rsid w:val="001142D4"/>
    <w:rsid w:val="00114726"/>
    <w:rsid w:val="001147ED"/>
    <w:rsid w:val="00114817"/>
    <w:rsid w:val="0011499D"/>
    <w:rsid w:val="0011499F"/>
    <w:rsid w:val="00114ACB"/>
    <w:rsid w:val="00114ADD"/>
    <w:rsid w:val="001156D7"/>
    <w:rsid w:val="001157E8"/>
    <w:rsid w:val="0011588A"/>
    <w:rsid w:val="00115D60"/>
    <w:rsid w:val="00116094"/>
    <w:rsid w:val="001161A4"/>
    <w:rsid w:val="001161D8"/>
    <w:rsid w:val="0011625C"/>
    <w:rsid w:val="001162C5"/>
    <w:rsid w:val="00116630"/>
    <w:rsid w:val="00116A13"/>
    <w:rsid w:val="00116AA2"/>
    <w:rsid w:val="00116D3F"/>
    <w:rsid w:val="00116D91"/>
    <w:rsid w:val="001174B4"/>
    <w:rsid w:val="001175EB"/>
    <w:rsid w:val="001176D7"/>
    <w:rsid w:val="00117A28"/>
    <w:rsid w:val="00117B76"/>
    <w:rsid w:val="00117E95"/>
    <w:rsid w:val="0012013C"/>
    <w:rsid w:val="00120365"/>
    <w:rsid w:val="0012062A"/>
    <w:rsid w:val="0012067F"/>
    <w:rsid w:val="00120C7A"/>
    <w:rsid w:val="00120D87"/>
    <w:rsid w:val="00120EA7"/>
    <w:rsid w:val="001210DC"/>
    <w:rsid w:val="00121520"/>
    <w:rsid w:val="00121572"/>
    <w:rsid w:val="0012170F"/>
    <w:rsid w:val="0012173F"/>
    <w:rsid w:val="001217F4"/>
    <w:rsid w:val="00121839"/>
    <w:rsid w:val="00121841"/>
    <w:rsid w:val="00121A35"/>
    <w:rsid w:val="00121F99"/>
    <w:rsid w:val="001221D7"/>
    <w:rsid w:val="00122443"/>
    <w:rsid w:val="0012271E"/>
    <w:rsid w:val="001227C2"/>
    <w:rsid w:val="00122CFE"/>
    <w:rsid w:val="00122E57"/>
    <w:rsid w:val="00122F0F"/>
    <w:rsid w:val="0012323F"/>
    <w:rsid w:val="0012327F"/>
    <w:rsid w:val="0012335D"/>
    <w:rsid w:val="00123742"/>
    <w:rsid w:val="001237A8"/>
    <w:rsid w:val="001237FA"/>
    <w:rsid w:val="001238E5"/>
    <w:rsid w:val="00123905"/>
    <w:rsid w:val="00123955"/>
    <w:rsid w:val="00123AAA"/>
    <w:rsid w:val="00123C41"/>
    <w:rsid w:val="0012405E"/>
    <w:rsid w:val="0012416F"/>
    <w:rsid w:val="00124216"/>
    <w:rsid w:val="0012427D"/>
    <w:rsid w:val="001243DE"/>
    <w:rsid w:val="001246C7"/>
    <w:rsid w:val="00124A3E"/>
    <w:rsid w:val="00124E04"/>
    <w:rsid w:val="00124FB6"/>
    <w:rsid w:val="00124FED"/>
    <w:rsid w:val="00124FFE"/>
    <w:rsid w:val="0012534B"/>
    <w:rsid w:val="001253DD"/>
    <w:rsid w:val="00125B0C"/>
    <w:rsid w:val="00125B3A"/>
    <w:rsid w:val="00125CEF"/>
    <w:rsid w:val="00126261"/>
    <w:rsid w:val="0012687C"/>
    <w:rsid w:val="00126B5F"/>
    <w:rsid w:val="00126BC9"/>
    <w:rsid w:val="00126CDF"/>
    <w:rsid w:val="00126F2C"/>
    <w:rsid w:val="00127139"/>
    <w:rsid w:val="001271DD"/>
    <w:rsid w:val="001274A6"/>
    <w:rsid w:val="0012750A"/>
    <w:rsid w:val="00127E41"/>
    <w:rsid w:val="001300AC"/>
    <w:rsid w:val="0013039C"/>
    <w:rsid w:val="00130504"/>
    <w:rsid w:val="001305FD"/>
    <w:rsid w:val="00130629"/>
    <w:rsid w:val="00130CE8"/>
    <w:rsid w:val="00130DEF"/>
    <w:rsid w:val="00130F54"/>
    <w:rsid w:val="00131233"/>
    <w:rsid w:val="0013131B"/>
    <w:rsid w:val="0013166D"/>
    <w:rsid w:val="00131AB8"/>
    <w:rsid w:val="00131B34"/>
    <w:rsid w:val="00131EC7"/>
    <w:rsid w:val="00131F20"/>
    <w:rsid w:val="00132071"/>
    <w:rsid w:val="001321B6"/>
    <w:rsid w:val="0013266B"/>
    <w:rsid w:val="001326DE"/>
    <w:rsid w:val="0013280E"/>
    <w:rsid w:val="00132B55"/>
    <w:rsid w:val="00132B9E"/>
    <w:rsid w:val="00132C9C"/>
    <w:rsid w:val="00132E36"/>
    <w:rsid w:val="00133079"/>
    <w:rsid w:val="001330DD"/>
    <w:rsid w:val="00133142"/>
    <w:rsid w:val="001334A4"/>
    <w:rsid w:val="001334F3"/>
    <w:rsid w:val="00133551"/>
    <w:rsid w:val="00133785"/>
    <w:rsid w:val="00133A72"/>
    <w:rsid w:val="00133D7C"/>
    <w:rsid w:val="00133E36"/>
    <w:rsid w:val="00134339"/>
    <w:rsid w:val="00134475"/>
    <w:rsid w:val="00134713"/>
    <w:rsid w:val="0013486A"/>
    <w:rsid w:val="001349C5"/>
    <w:rsid w:val="00134A04"/>
    <w:rsid w:val="00134A62"/>
    <w:rsid w:val="00134C34"/>
    <w:rsid w:val="00134E4D"/>
    <w:rsid w:val="00135122"/>
    <w:rsid w:val="0013524B"/>
    <w:rsid w:val="00135274"/>
    <w:rsid w:val="001356FB"/>
    <w:rsid w:val="00135915"/>
    <w:rsid w:val="0013594A"/>
    <w:rsid w:val="00135FBC"/>
    <w:rsid w:val="00136072"/>
    <w:rsid w:val="00136175"/>
    <w:rsid w:val="00136471"/>
    <w:rsid w:val="001364C3"/>
    <w:rsid w:val="0013673F"/>
    <w:rsid w:val="00136ECE"/>
    <w:rsid w:val="0013719B"/>
    <w:rsid w:val="0013732B"/>
    <w:rsid w:val="001373CA"/>
    <w:rsid w:val="0013776E"/>
    <w:rsid w:val="0013787C"/>
    <w:rsid w:val="0013789A"/>
    <w:rsid w:val="001378AB"/>
    <w:rsid w:val="001378BB"/>
    <w:rsid w:val="00137D7F"/>
    <w:rsid w:val="00137E84"/>
    <w:rsid w:val="0014019C"/>
    <w:rsid w:val="001403FD"/>
    <w:rsid w:val="00140525"/>
    <w:rsid w:val="00140A57"/>
    <w:rsid w:val="00140B0C"/>
    <w:rsid w:val="00140CEB"/>
    <w:rsid w:val="00140E75"/>
    <w:rsid w:val="00140E9D"/>
    <w:rsid w:val="00140FD1"/>
    <w:rsid w:val="0014162B"/>
    <w:rsid w:val="001417AA"/>
    <w:rsid w:val="00141CDF"/>
    <w:rsid w:val="00141E32"/>
    <w:rsid w:val="0014216E"/>
    <w:rsid w:val="0014245C"/>
    <w:rsid w:val="001427E4"/>
    <w:rsid w:val="00142981"/>
    <w:rsid w:val="001429A8"/>
    <w:rsid w:val="00142AFB"/>
    <w:rsid w:val="00142B7D"/>
    <w:rsid w:val="00142C96"/>
    <w:rsid w:val="00143074"/>
    <w:rsid w:val="00143255"/>
    <w:rsid w:val="00143383"/>
    <w:rsid w:val="0014348F"/>
    <w:rsid w:val="0014356E"/>
    <w:rsid w:val="0014369B"/>
    <w:rsid w:val="001436C8"/>
    <w:rsid w:val="00143B97"/>
    <w:rsid w:val="00143C70"/>
    <w:rsid w:val="00143DB2"/>
    <w:rsid w:val="00143E46"/>
    <w:rsid w:val="00143F63"/>
    <w:rsid w:val="00143F9B"/>
    <w:rsid w:val="0014407D"/>
    <w:rsid w:val="00144107"/>
    <w:rsid w:val="0014478E"/>
    <w:rsid w:val="00144ABA"/>
    <w:rsid w:val="00144B67"/>
    <w:rsid w:val="00144EE7"/>
    <w:rsid w:val="0014506C"/>
    <w:rsid w:val="001452FA"/>
    <w:rsid w:val="00145340"/>
    <w:rsid w:val="0014558D"/>
    <w:rsid w:val="001458ED"/>
    <w:rsid w:val="00145999"/>
    <w:rsid w:val="00145A4A"/>
    <w:rsid w:val="00145C99"/>
    <w:rsid w:val="00145CED"/>
    <w:rsid w:val="00145D35"/>
    <w:rsid w:val="00146144"/>
    <w:rsid w:val="0014625B"/>
    <w:rsid w:val="001462F5"/>
    <w:rsid w:val="001465BC"/>
    <w:rsid w:val="0014669D"/>
    <w:rsid w:val="001467EF"/>
    <w:rsid w:val="0014684A"/>
    <w:rsid w:val="00146C5D"/>
    <w:rsid w:val="00146E64"/>
    <w:rsid w:val="00147137"/>
    <w:rsid w:val="00147150"/>
    <w:rsid w:val="001472BA"/>
    <w:rsid w:val="001472C4"/>
    <w:rsid w:val="00147333"/>
    <w:rsid w:val="0014778C"/>
    <w:rsid w:val="00147BD4"/>
    <w:rsid w:val="00147DB4"/>
    <w:rsid w:val="001500AE"/>
    <w:rsid w:val="001500E4"/>
    <w:rsid w:val="00150291"/>
    <w:rsid w:val="001502AA"/>
    <w:rsid w:val="0015032C"/>
    <w:rsid w:val="0015033E"/>
    <w:rsid w:val="00150343"/>
    <w:rsid w:val="0015038F"/>
    <w:rsid w:val="001503B4"/>
    <w:rsid w:val="001503EB"/>
    <w:rsid w:val="00150457"/>
    <w:rsid w:val="0015054B"/>
    <w:rsid w:val="001505B0"/>
    <w:rsid w:val="001506C4"/>
    <w:rsid w:val="00150CF9"/>
    <w:rsid w:val="00150D94"/>
    <w:rsid w:val="00150E30"/>
    <w:rsid w:val="00150E7F"/>
    <w:rsid w:val="00150F19"/>
    <w:rsid w:val="00151392"/>
    <w:rsid w:val="001518DF"/>
    <w:rsid w:val="00151968"/>
    <w:rsid w:val="00151A9F"/>
    <w:rsid w:val="00151FE3"/>
    <w:rsid w:val="00152102"/>
    <w:rsid w:val="00152547"/>
    <w:rsid w:val="0015275F"/>
    <w:rsid w:val="0015291A"/>
    <w:rsid w:val="00152B9E"/>
    <w:rsid w:val="00152E1B"/>
    <w:rsid w:val="001530FD"/>
    <w:rsid w:val="00153225"/>
    <w:rsid w:val="00153251"/>
    <w:rsid w:val="001533B8"/>
    <w:rsid w:val="001537D8"/>
    <w:rsid w:val="00153830"/>
    <w:rsid w:val="00153895"/>
    <w:rsid w:val="00153A60"/>
    <w:rsid w:val="00153B7D"/>
    <w:rsid w:val="00153D3A"/>
    <w:rsid w:val="00153D77"/>
    <w:rsid w:val="00154077"/>
    <w:rsid w:val="001541B5"/>
    <w:rsid w:val="00154245"/>
    <w:rsid w:val="00154395"/>
    <w:rsid w:val="00154582"/>
    <w:rsid w:val="0015466A"/>
    <w:rsid w:val="00154894"/>
    <w:rsid w:val="001549C3"/>
    <w:rsid w:val="00154B4B"/>
    <w:rsid w:val="00154E1B"/>
    <w:rsid w:val="001552A3"/>
    <w:rsid w:val="00155445"/>
    <w:rsid w:val="0015549B"/>
    <w:rsid w:val="001556E2"/>
    <w:rsid w:val="00155957"/>
    <w:rsid w:val="00155B39"/>
    <w:rsid w:val="00155BBC"/>
    <w:rsid w:val="00155C3B"/>
    <w:rsid w:val="00155D2A"/>
    <w:rsid w:val="00155DCF"/>
    <w:rsid w:val="00155E8B"/>
    <w:rsid w:val="00155FB9"/>
    <w:rsid w:val="0015613D"/>
    <w:rsid w:val="00156401"/>
    <w:rsid w:val="00156772"/>
    <w:rsid w:val="00156C3F"/>
    <w:rsid w:val="0015700D"/>
    <w:rsid w:val="0015726E"/>
    <w:rsid w:val="00157294"/>
    <w:rsid w:val="00157441"/>
    <w:rsid w:val="001575A3"/>
    <w:rsid w:val="0015766A"/>
    <w:rsid w:val="001577EE"/>
    <w:rsid w:val="0015785C"/>
    <w:rsid w:val="00157989"/>
    <w:rsid w:val="00157C11"/>
    <w:rsid w:val="00157C95"/>
    <w:rsid w:val="00157CDF"/>
    <w:rsid w:val="001600AD"/>
    <w:rsid w:val="00160146"/>
    <w:rsid w:val="00160271"/>
    <w:rsid w:val="00160446"/>
    <w:rsid w:val="001608A5"/>
    <w:rsid w:val="00160A57"/>
    <w:rsid w:val="00160C76"/>
    <w:rsid w:val="00160C92"/>
    <w:rsid w:val="00160CD7"/>
    <w:rsid w:val="00160E33"/>
    <w:rsid w:val="00160EA4"/>
    <w:rsid w:val="00161291"/>
    <w:rsid w:val="00161464"/>
    <w:rsid w:val="0016182E"/>
    <w:rsid w:val="00161AA2"/>
    <w:rsid w:val="00161C1A"/>
    <w:rsid w:val="00161D0C"/>
    <w:rsid w:val="00161D85"/>
    <w:rsid w:val="00161EE1"/>
    <w:rsid w:val="00161FB9"/>
    <w:rsid w:val="001620C5"/>
    <w:rsid w:val="00162411"/>
    <w:rsid w:val="001625AB"/>
    <w:rsid w:val="0016262C"/>
    <w:rsid w:val="0016276C"/>
    <w:rsid w:val="00162940"/>
    <w:rsid w:val="00162A6F"/>
    <w:rsid w:val="00162BE6"/>
    <w:rsid w:val="00162FC3"/>
    <w:rsid w:val="0016309D"/>
    <w:rsid w:val="001630DD"/>
    <w:rsid w:val="00163391"/>
    <w:rsid w:val="00163624"/>
    <w:rsid w:val="001638C1"/>
    <w:rsid w:val="001638E1"/>
    <w:rsid w:val="00163B39"/>
    <w:rsid w:val="00163BDC"/>
    <w:rsid w:val="00163CCB"/>
    <w:rsid w:val="00163FAF"/>
    <w:rsid w:val="001640F9"/>
    <w:rsid w:val="00164444"/>
    <w:rsid w:val="0016449D"/>
    <w:rsid w:val="001645A0"/>
    <w:rsid w:val="00164617"/>
    <w:rsid w:val="0016505C"/>
    <w:rsid w:val="001651BF"/>
    <w:rsid w:val="0016552E"/>
    <w:rsid w:val="0016559A"/>
    <w:rsid w:val="001656C6"/>
    <w:rsid w:val="0016571C"/>
    <w:rsid w:val="001657BE"/>
    <w:rsid w:val="00165C27"/>
    <w:rsid w:val="00166258"/>
    <w:rsid w:val="0016639D"/>
    <w:rsid w:val="0016673B"/>
    <w:rsid w:val="0016678C"/>
    <w:rsid w:val="00166A99"/>
    <w:rsid w:val="00166B12"/>
    <w:rsid w:val="00166BF5"/>
    <w:rsid w:val="00166C7A"/>
    <w:rsid w:val="00166D13"/>
    <w:rsid w:val="00166D8A"/>
    <w:rsid w:val="00166E10"/>
    <w:rsid w:val="00166EF4"/>
    <w:rsid w:val="001672AA"/>
    <w:rsid w:val="00167DFA"/>
    <w:rsid w:val="0017012D"/>
    <w:rsid w:val="0017047E"/>
    <w:rsid w:val="001706D4"/>
    <w:rsid w:val="00170A1F"/>
    <w:rsid w:val="00170A80"/>
    <w:rsid w:val="00170BD7"/>
    <w:rsid w:val="00170CD0"/>
    <w:rsid w:val="00170F36"/>
    <w:rsid w:val="00171007"/>
    <w:rsid w:val="0017169F"/>
    <w:rsid w:val="00171AA3"/>
    <w:rsid w:val="00171D00"/>
    <w:rsid w:val="00172087"/>
    <w:rsid w:val="001721CD"/>
    <w:rsid w:val="001722EE"/>
    <w:rsid w:val="00172495"/>
    <w:rsid w:val="001724C2"/>
    <w:rsid w:val="0017254A"/>
    <w:rsid w:val="0017271C"/>
    <w:rsid w:val="00172C45"/>
    <w:rsid w:val="00172C6A"/>
    <w:rsid w:val="00172EBB"/>
    <w:rsid w:val="001730E7"/>
    <w:rsid w:val="00173436"/>
    <w:rsid w:val="00173832"/>
    <w:rsid w:val="001738B1"/>
    <w:rsid w:val="00173A8D"/>
    <w:rsid w:val="00173BBB"/>
    <w:rsid w:val="00173E8F"/>
    <w:rsid w:val="0017437D"/>
    <w:rsid w:val="001743F3"/>
    <w:rsid w:val="001745F2"/>
    <w:rsid w:val="00174786"/>
    <w:rsid w:val="00174D72"/>
    <w:rsid w:val="00175135"/>
    <w:rsid w:val="00175180"/>
    <w:rsid w:val="001751FA"/>
    <w:rsid w:val="00175275"/>
    <w:rsid w:val="00175375"/>
    <w:rsid w:val="00175760"/>
    <w:rsid w:val="001758D9"/>
    <w:rsid w:val="00175A70"/>
    <w:rsid w:val="00175ADE"/>
    <w:rsid w:val="00175E2D"/>
    <w:rsid w:val="00175E83"/>
    <w:rsid w:val="00175F4C"/>
    <w:rsid w:val="00175FBD"/>
    <w:rsid w:val="0017641D"/>
    <w:rsid w:val="00176A78"/>
    <w:rsid w:val="00176A92"/>
    <w:rsid w:val="00176B1E"/>
    <w:rsid w:val="0017725C"/>
    <w:rsid w:val="0017744D"/>
    <w:rsid w:val="001775B2"/>
    <w:rsid w:val="0017781B"/>
    <w:rsid w:val="00177E31"/>
    <w:rsid w:val="001804B2"/>
    <w:rsid w:val="00180744"/>
    <w:rsid w:val="00180B88"/>
    <w:rsid w:val="00180C2C"/>
    <w:rsid w:val="00180C9F"/>
    <w:rsid w:val="00180D72"/>
    <w:rsid w:val="00180E25"/>
    <w:rsid w:val="00180E6E"/>
    <w:rsid w:val="00180EA0"/>
    <w:rsid w:val="0018134F"/>
    <w:rsid w:val="001814CD"/>
    <w:rsid w:val="0018154A"/>
    <w:rsid w:val="0018176E"/>
    <w:rsid w:val="00181783"/>
    <w:rsid w:val="0018186E"/>
    <w:rsid w:val="00181CE6"/>
    <w:rsid w:val="0018217A"/>
    <w:rsid w:val="00182771"/>
    <w:rsid w:val="00182790"/>
    <w:rsid w:val="00182B1B"/>
    <w:rsid w:val="00182BC2"/>
    <w:rsid w:val="00182C32"/>
    <w:rsid w:val="00182F13"/>
    <w:rsid w:val="00183165"/>
    <w:rsid w:val="00183215"/>
    <w:rsid w:val="00183287"/>
    <w:rsid w:val="0018367C"/>
    <w:rsid w:val="00183A83"/>
    <w:rsid w:val="00183E20"/>
    <w:rsid w:val="00183E36"/>
    <w:rsid w:val="00183FE4"/>
    <w:rsid w:val="00184009"/>
    <w:rsid w:val="0018416B"/>
    <w:rsid w:val="001841B3"/>
    <w:rsid w:val="001844DA"/>
    <w:rsid w:val="0018467C"/>
    <w:rsid w:val="00184B7B"/>
    <w:rsid w:val="00184C11"/>
    <w:rsid w:val="00184C67"/>
    <w:rsid w:val="00184D98"/>
    <w:rsid w:val="00184DB5"/>
    <w:rsid w:val="001850C6"/>
    <w:rsid w:val="00185309"/>
    <w:rsid w:val="0018535D"/>
    <w:rsid w:val="00185507"/>
    <w:rsid w:val="001857CD"/>
    <w:rsid w:val="00185AF6"/>
    <w:rsid w:val="00185B58"/>
    <w:rsid w:val="00185C02"/>
    <w:rsid w:val="0018617A"/>
    <w:rsid w:val="0018626F"/>
    <w:rsid w:val="001865B5"/>
    <w:rsid w:val="001866DF"/>
    <w:rsid w:val="00186D4C"/>
    <w:rsid w:val="00186FEE"/>
    <w:rsid w:val="0018707F"/>
    <w:rsid w:val="0018729C"/>
    <w:rsid w:val="001872DB"/>
    <w:rsid w:val="0018778E"/>
    <w:rsid w:val="00187790"/>
    <w:rsid w:val="00187AE9"/>
    <w:rsid w:val="00187BFF"/>
    <w:rsid w:val="00187E25"/>
    <w:rsid w:val="00187EED"/>
    <w:rsid w:val="001901D0"/>
    <w:rsid w:val="001903FC"/>
    <w:rsid w:val="00190583"/>
    <w:rsid w:val="00190705"/>
    <w:rsid w:val="0019085F"/>
    <w:rsid w:val="001908D9"/>
    <w:rsid w:val="00190B00"/>
    <w:rsid w:val="00190D26"/>
    <w:rsid w:val="00190FE2"/>
    <w:rsid w:val="001910CC"/>
    <w:rsid w:val="001910ED"/>
    <w:rsid w:val="0019147B"/>
    <w:rsid w:val="001915CF"/>
    <w:rsid w:val="0019163B"/>
    <w:rsid w:val="00191AE6"/>
    <w:rsid w:val="00191D12"/>
    <w:rsid w:val="00191E0B"/>
    <w:rsid w:val="00191EA5"/>
    <w:rsid w:val="0019219B"/>
    <w:rsid w:val="00192770"/>
    <w:rsid w:val="00192CD9"/>
    <w:rsid w:val="00192D7D"/>
    <w:rsid w:val="00192E42"/>
    <w:rsid w:val="00192F54"/>
    <w:rsid w:val="00193114"/>
    <w:rsid w:val="001931AD"/>
    <w:rsid w:val="00193275"/>
    <w:rsid w:val="00193661"/>
    <w:rsid w:val="0019390B"/>
    <w:rsid w:val="00193A1D"/>
    <w:rsid w:val="00193C56"/>
    <w:rsid w:val="00193C69"/>
    <w:rsid w:val="00193CC9"/>
    <w:rsid w:val="00193E24"/>
    <w:rsid w:val="00193E4C"/>
    <w:rsid w:val="00194025"/>
    <w:rsid w:val="001942F1"/>
    <w:rsid w:val="001944C2"/>
    <w:rsid w:val="001948FB"/>
    <w:rsid w:val="00194A21"/>
    <w:rsid w:val="00194E78"/>
    <w:rsid w:val="00194F35"/>
    <w:rsid w:val="00195203"/>
    <w:rsid w:val="001954C6"/>
    <w:rsid w:val="00195768"/>
    <w:rsid w:val="00195C1A"/>
    <w:rsid w:val="00195C94"/>
    <w:rsid w:val="00195CF2"/>
    <w:rsid w:val="00195E1F"/>
    <w:rsid w:val="00196527"/>
    <w:rsid w:val="00196530"/>
    <w:rsid w:val="0019687E"/>
    <w:rsid w:val="0019696F"/>
    <w:rsid w:val="00196AB5"/>
    <w:rsid w:val="00196CC5"/>
    <w:rsid w:val="00196D97"/>
    <w:rsid w:val="00196F41"/>
    <w:rsid w:val="00196FD9"/>
    <w:rsid w:val="0019746E"/>
    <w:rsid w:val="0019754B"/>
    <w:rsid w:val="00197645"/>
    <w:rsid w:val="00197F28"/>
    <w:rsid w:val="00197F5C"/>
    <w:rsid w:val="001A06B4"/>
    <w:rsid w:val="001A0880"/>
    <w:rsid w:val="001A08E9"/>
    <w:rsid w:val="001A0AEC"/>
    <w:rsid w:val="001A10D9"/>
    <w:rsid w:val="001A1173"/>
    <w:rsid w:val="001A1271"/>
    <w:rsid w:val="001A12E4"/>
    <w:rsid w:val="001A1352"/>
    <w:rsid w:val="001A137A"/>
    <w:rsid w:val="001A1669"/>
    <w:rsid w:val="001A1673"/>
    <w:rsid w:val="001A1729"/>
    <w:rsid w:val="001A1763"/>
    <w:rsid w:val="001A1821"/>
    <w:rsid w:val="001A1A63"/>
    <w:rsid w:val="001A1AEB"/>
    <w:rsid w:val="001A213A"/>
    <w:rsid w:val="001A247D"/>
    <w:rsid w:val="001A255D"/>
    <w:rsid w:val="001A270B"/>
    <w:rsid w:val="001A27D5"/>
    <w:rsid w:val="001A2828"/>
    <w:rsid w:val="001A28B1"/>
    <w:rsid w:val="001A2978"/>
    <w:rsid w:val="001A2BA9"/>
    <w:rsid w:val="001A2D04"/>
    <w:rsid w:val="001A2E32"/>
    <w:rsid w:val="001A2ECD"/>
    <w:rsid w:val="001A2FE6"/>
    <w:rsid w:val="001A3396"/>
    <w:rsid w:val="001A37FB"/>
    <w:rsid w:val="001A3822"/>
    <w:rsid w:val="001A3BCA"/>
    <w:rsid w:val="001A3D89"/>
    <w:rsid w:val="001A4501"/>
    <w:rsid w:val="001A4720"/>
    <w:rsid w:val="001A498D"/>
    <w:rsid w:val="001A4C2E"/>
    <w:rsid w:val="001A4D03"/>
    <w:rsid w:val="001A4DEA"/>
    <w:rsid w:val="001A4E40"/>
    <w:rsid w:val="001A4F9D"/>
    <w:rsid w:val="001A4FF3"/>
    <w:rsid w:val="001A51CA"/>
    <w:rsid w:val="001A5872"/>
    <w:rsid w:val="001A5933"/>
    <w:rsid w:val="001A5A14"/>
    <w:rsid w:val="001A5DF1"/>
    <w:rsid w:val="001A5E9B"/>
    <w:rsid w:val="001A5ECF"/>
    <w:rsid w:val="001A60B2"/>
    <w:rsid w:val="001A61BF"/>
    <w:rsid w:val="001A6254"/>
    <w:rsid w:val="001A643E"/>
    <w:rsid w:val="001A64FB"/>
    <w:rsid w:val="001A6A00"/>
    <w:rsid w:val="001A6A6F"/>
    <w:rsid w:val="001A6C50"/>
    <w:rsid w:val="001A6F7F"/>
    <w:rsid w:val="001A6FAD"/>
    <w:rsid w:val="001A71B2"/>
    <w:rsid w:val="001A7320"/>
    <w:rsid w:val="001A744F"/>
    <w:rsid w:val="001A7472"/>
    <w:rsid w:val="001A7A4F"/>
    <w:rsid w:val="001A7A65"/>
    <w:rsid w:val="001A7CC9"/>
    <w:rsid w:val="001A7D3A"/>
    <w:rsid w:val="001A7E66"/>
    <w:rsid w:val="001B0252"/>
    <w:rsid w:val="001B04C9"/>
    <w:rsid w:val="001B061A"/>
    <w:rsid w:val="001B09DA"/>
    <w:rsid w:val="001B0A5A"/>
    <w:rsid w:val="001B114E"/>
    <w:rsid w:val="001B127F"/>
    <w:rsid w:val="001B149F"/>
    <w:rsid w:val="001B156C"/>
    <w:rsid w:val="001B1644"/>
    <w:rsid w:val="001B2094"/>
    <w:rsid w:val="001B2520"/>
    <w:rsid w:val="001B25A6"/>
    <w:rsid w:val="001B26EF"/>
    <w:rsid w:val="001B2811"/>
    <w:rsid w:val="001B2BE7"/>
    <w:rsid w:val="001B2CF5"/>
    <w:rsid w:val="001B3561"/>
    <w:rsid w:val="001B3C3D"/>
    <w:rsid w:val="001B3FAC"/>
    <w:rsid w:val="001B3FE8"/>
    <w:rsid w:val="001B4261"/>
    <w:rsid w:val="001B42AC"/>
    <w:rsid w:val="001B4473"/>
    <w:rsid w:val="001B48E2"/>
    <w:rsid w:val="001B4A8A"/>
    <w:rsid w:val="001B4AF6"/>
    <w:rsid w:val="001B4B15"/>
    <w:rsid w:val="001B4D8F"/>
    <w:rsid w:val="001B4F04"/>
    <w:rsid w:val="001B50E0"/>
    <w:rsid w:val="001B512D"/>
    <w:rsid w:val="001B5150"/>
    <w:rsid w:val="001B5466"/>
    <w:rsid w:val="001B55CA"/>
    <w:rsid w:val="001B5A66"/>
    <w:rsid w:val="001B60C7"/>
    <w:rsid w:val="001B6292"/>
    <w:rsid w:val="001B6300"/>
    <w:rsid w:val="001B648F"/>
    <w:rsid w:val="001B65C1"/>
    <w:rsid w:val="001B6633"/>
    <w:rsid w:val="001B6739"/>
    <w:rsid w:val="001B67B0"/>
    <w:rsid w:val="001B67C0"/>
    <w:rsid w:val="001B6905"/>
    <w:rsid w:val="001B6A7D"/>
    <w:rsid w:val="001B6DF2"/>
    <w:rsid w:val="001B6FC4"/>
    <w:rsid w:val="001B7640"/>
    <w:rsid w:val="001B787C"/>
    <w:rsid w:val="001B7A94"/>
    <w:rsid w:val="001B7B8B"/>
    <w:rsid w:val="001B7D52"/>
    <w:rsid w:val="001B7DCD"/>
    <w:rsid w:val="001B7E58"/>
    <w:rsid w:val="001B7FB6"/>
    <w:rsid w:val="001B7FBA"/>
    <w:rsid w:val="001C0070"/>
    <w:rsid w:val="001C01DE"/>
    <w:rsid w:val="001C03B0"/>
    <w:rsid w:val="001C0501"/>
    <w:rsid w:val="001C0608"/>
    <w:rsid w:val="001C06D5"/>
    <w:rsid w:val="001C1540"/>
    <w:rsid w:val="001C1B28"/>
    <w:rsid w:val="001C1BBD"/>
    <w:rsid w:val="001C1C39"/>
    <w:rsid w:val="001C1CD9"/>
    <w:rsid w:val="001C1EC5"/>
    <w:rsid w:val="001C1F7B"/>
    <w:rsid w:val="001C2600"/>
    <w:rsid w:val="001C2662"/>
    <w:rsid w:val="001C2E1D"/>
    <w:rsid w:val="001C2F90"/>
    <w:rsid w:val="001C3235"/>
    <w:rsid w:val="001C3329"/>
    <w:rsid w:val="001C3649"/>
    <w:rsid w:val="001C3667"/>
    <w:rsid w:val="001C374F"/>
    <w:rsid w:val="001C38B0"/>
    <w:rsid w:val="001C3B58"/>
    <w:rsid w:val="001C3B9F"/>
    <w:rsid w:val="001C3DF9"/>
    <w:rsid w:val="001C3EC9"/>
    <w:rsid w:val="001C4176"/>
    <w:rsid w:val="001C439E"/>
    <w:rsid w:val="001C4492"/>
    <w:rsid w:val="001C45F8"/>
    <w:rsid w:val="001C46B7"/>
    <w:rsid w:val="001C50DD"/>
    <w:rsid w:val="001C50F4"/>
    <w:rsid w:val="001C53D4"/>
    <w:rsid w:val="001C550D"/>
    <w:rsid w:val="001C55B4"/>
    <w:rsid w:val="001C5DEB"/>
    <w:rsid w:val="001C5E15"/>
    <w:rsid w:val="001C6082"/>
    <w:rsid w:val="001C651C"/>
    <w:rsid w:val="001C657F"/>
    <w:rsid w:val="001C663D"/>
    <w:rsid w:val="001C6744"/>
    <w:rsid w:val="001C684D"/>
    <w:rsid w:val="001C6CB3"/>
    <w:rsid w:val="001C7326"/>
    <w:rsid w:val="001C7730"/>
    <w:rsid w:val="001C78BF"/>
    <w:rsid w:val="001C79B1"/>
    <w:rsid w:val="001C7A0A"/>
    <w:rsid w:val="001C7CB1"/>
    <w:rsid w:val="001C7DEB"/>
    <w:rsid w:val="001D0105"/>
    <w:rsid w:val="001D0130"/>
    <w:rsid w:val="001D0176"/>
    <w:rsid w:val="001D0192"/>
    <w:rsid w:val="001D019B"/>
    <w:rsid w:val="001D023B"/>
    <w:rsid w:val="001D025F"/>
    <w:rsid w:val="001D06DB"/>
    <w:rsid w:val="001D0827"/>
    <w:rsid w:val="001D0A43"/>
    <w:rsid w:val="001D0BB4"/>
    <w:rsid w:val="001D0BFB"/>
    <w:rsid w:val="001D0D04"/>
    <w:rsid w:val="001D0DA8"/>
    <w:rsid w:val="001D0E8D"/>
    <w:rsid w:val="001D10C5"/>
    <w:rsid w:val="001D1331"/>
    <w:rsid w:val="001D138B"/>
    <w:rsid w:val="001D17C8"/>
    <w:rsid w:val="001D19E2"/>
    <w:rsid w:val="001D1F3A"/>
    <w:rsid w:val="001D1F9B"/>
    <w:rsid w:val="001D1FA2"/>
    <w:rsid w:val="001D206F"/>
    <w:rsid w:val="001D20D7"/>
    <w:rsid w:val="001D20E4"/>
    <w:rsid w:val="001D22A3"/>
    <w:rsid w:val="001D2340"/>
    <w:rsid w:val="001D236A"/>
    <w:rsid w:val="001D24F5"/>
    <w:rsid w:val="001D25D7"/>
    <w:rsid w:val="001D27C9"/>
    <w:rsid w:val="001D280F"/>
    <w:rsid w:val="001D2811"/>
    <w:rsid w:val="001D295B"/>
    <w:rsid w:val="001D29D5"/>
    <w:rsid w:val="001D2D36"/>
    <w:rsid w:val="001D2FEA"/>
    <w:rsid w:val="001D2FF9"/>
    <w:rsid w:val="001D30C5"/>
    <w:rsid w:val="001D32DF"/>
    <w:rsid w:val="001D391C"/>
    <w:rsid w:val="001D3C63"/>
    <w:rsid w:val="001D40D4"/>
    <w:rsid w:val="001D4278"/>
    <w:rsid w:val="001D46AE"/>
    <w:rsid w:val="001D4C5E"/>
    <w:rsid w:val="001D4FDD"/>
    <w:rsid w:val="001D5212"/>
    <w:rsid w:val="001D528A"/>
    <w:rsid w:val="001D543B"/>
    <w:rsid w:val="001D5477"/>
    <w:rsid w:val="001D564F"/>
    <w:rsid w:val="001D5734"/>
    <w:rsid w:val="001D58CB"/>
    <w:rsid w:val="001D5B07"/>
    <w:rsid w:val="001D5B13"/>
    <w:rsid w:val="001D5D12"/>
    <w:rsid w:val="001D6327"/>
    <w:rsid w:val="001D646C"/>
    <w:rsid w:val="001D65D3"/>
    <w:rsid w:val="001D68E2"/>
    <w:rsid w:val="001D69CF"/>
    <w:rsid w:val="001D69DE"/>
    <w:rsid w:val="001D6A7A"/>
    <w:rsid w:val="001D70AA"/>
    <w:rsid w:val="001D77C0"/>
    <w:rsid w:val="001D7D0D"/>
    <w:rsid w:val="001D7DD0"/>
    <w:rsid w:val="001E00CB"/>
    <w:rsid w:val="001E03FD"/>
    <w:rsid w:val="001E0740"/>
    <w:rsid w:val="001E0A29"/>
    <w:rsid w:val="001E0A63"/>
    <w:rsid w:val="001E0B17"/>
    <w:rsid w:val="001E0BD7"/>
    <w:rsid w:val="001E0C81"/>
    <w:rsid w:val="001E0FE2"/>
    <w:rsid w:val="001E13B5"/>
    <w:rsid w:val="001E13F8"/>
    <w:rsid w:val="001E1A0D"/>
    <w:rsid w:val="001E1A39"/>
    <w:rsid w:val="001E1A93"/>
    <w:rsid w:val="001E1D6C"/>
    <w:rsid w:val="001E1E5B"/>
    <w:rsid w:val="001E1F67"/>
    <w:rsid w:val="001E26E6"/>
    <w:rsid w:val="001E2700"/>
    <w:rsid w:val="001E296A"/>
    <w:rsid w:val="001E2B8F"/>
    <w:rsid w:val="001E2E5B"/>
    <w:rsid w:val="001E2E89"/>
    <w:rsid w:val="001E2EF9"/>
    <w:rsid w:val="001E32D4"/>
    <w:rsid w:val="001E34E6"/>
    <w:rsid w:val="001E37D1"/>
    <w:rsid w:val="001E3922"/>
    <w:rsid w:val="001E44A1"/>
    <w:rsid w:val="001E47B2"/>
    <w:rsid w:val="001E4F96"/>
    <w:rsid w:val="001E52EA"/>
    <w:rsid w:val="001E5515"/>
    <w:rsid w:val="001E57F2"/>
    <w:rsid w:val="001E57F4"/>
    <w:rsid w:val="001E5E00"/>
    <w:rsid w:val="001E6176"/>
    <w:rsid w:val="001E624F"/>
    <w:rsid w:val="001E6487"/>
    <w:rsid w:val="001E6589"/>
    <w:rsid w:val="001E6661"/>
    <w:rsid w:val="001E6A2C"/>
    <w:rsid w:val="001E6A90"/>
    <w:rsid w:val="001E6CF7"/>
    <w:rsid w:val="001E6DED"/>
    <w:rsid w:val="001E6EA0"/>
    <w:rsid w:val="001E71B0"/>
    <w:rsid w:val="001E723E"/>
    <w:rsid w:val="001E731E"/>
    <w:rsid w:val="001E7392"/>
    <w:rsid w:val="001E785D"/>
    <w:rsid w:val="001E7900"/>
    <w:rsid w:val="001E7AC3"/>
    <w:rsid w:val="001E7F2E"/>
    <w:rsid w:val="001F0039"/>
    <w:rsid w:val="001F0457"/>
    <w:rsid w:val="001F05CA"/>
    <w:rsid w:val="001F0896"/>
    <w:rsid w:val="001F08EA"/>
    <w:rsid w:val="001F1251"/>
    <w:rsid w:val="001F1359"/>
    <w:rsid w:val="001F153A"/>
    <w:rsid w:val="001F1819"/>
    <w:rsid w:val="001F18AC"/>
    <w:rsid w:val="001F18AE"/>
    <w:rsid w:val="001F18CA"/>
    <w:rsid w:val="001F1A4A"/>
    <w:rsid w:val="001F1AB9"/>
    <w:rsid w:val="001F1B19"/>
    <w:rsid w:val="001F1CA8"/>
    <w:rsid w:val="001F1F45"/>
    <w:rsid w:val="001F1FA5"/>
    <w:rsid w:val="001F229A"/>
    <w:rsid w:val="001F26E2"/>
    <w:rsid w:val="001F2889"/>
    <w:rsid w:val="001F2BF3"/>
    <w:rsid w:val="001F2D3C"/>
    <w:rsid w:val="001F2E81"/>
    <w:rsid w:val="001F2EEC"/>
    <w:rsid w:val="001F309A"/>
    <w:rsid w:val="001F34D6"/>
    <w:rsid w:val="001F35A9"/>
    <w:rsid w:val="001F374B"/>
    <w:rsid w:val="001F3AA7"/>
    <w:rsid w:val="001F3F93"/>
    <w:rsid w:val="001F4018"/>
    <w:rsid w:val="001F4303"/>
    <w:rsid w:val="001F4741"/>
    <w:rsid w:val="001F4843"/>
    <w:rsid w:val="001F489B"/>
    <w:rsid w:val="001F4AAE"/>
    <w:rsid w:val="001F4BDC"/>
    <w:rsid w:val="001F4C0F"/>
    <w:rsid w:val="001F4D30"/>
    <w:rsid w:val="001F5236"/>
    <w:rsid w:val="001F54E9"/>
    <w:rsid w:val="001F562B"/>
    <w:rsid w:val="001F571D"/>
    <w:rsid w:val="001F5F3F"/>
    <w:rsid w:val="001F645D"/>
    <w:rsid w:val="001F6717"/>
    <w:rsid w:val="001F6BE2"/>
    <w:rsid w:val="001F7227"/>
    <w:rsid w:val="001F7583"/>
    <w:rsid w:val="001F76E7"/>
    <w:rsid w:val="001F7A5E"/>
    <w:rsid w:val="001F7CD5"/>
    <w:rsid w:val="001F7F2A"/>
    <w:rsid w:val="00200139"/>
    <w:rsid w:val="002002BA"/>
    <w:rsid w:val="00200422"/>
    <w:rsid w:val="002006ED"/>
    <w:rsid w:val="002007BD"/>
    <w:rsid w:val="002009E9"/>
    <w:rsid w:val="00200B0A"/>
    <w:rsid w:val="00200D2E"/>
    <w:rsid w:val="00200DB2"/>
    <w:rsid w:val="002012AA"/>
    <w:rsid w:val="00201386"/>
    <w:rsid w:val="002017EE"/>
    <w:rsid w:val="00201A16"/>
    <w:rsid w:val="00201A69"/>
    <w:rsid w:val="0020206F"/>
    <w:rsid w:val="00202128"/>
    <w:rsid w:val="0020217B"/>
    <w:rsid w:val="002023E6"/>
    <w:rsid w:val="00202585"/>
    <w:rsid w:val="00202840"/>
    <w:rsid w:val="00202A6B"/>
    <w:rsid w:val="00202AB4"/>
    <w:rsid w:val="00202D11"/>
    <w:rsid w:val="00202D73"/>
    <w:rsid w:val="00203024"/>
    <w:rsid w:val="002032FB"/>
    <w:rsid w:val="00203441"/>
    <w:rsid w:val="0020368E"/>
    <w:rsid w:val="002038E9"/>
    <w:rsid w:val="00203A98"/>
    <w:rsid w:val="00203C9C"/>
    <w:rsid w:val="00203F35"/>
    <w:rsid w:val="0020422F"/>
    <w:rsid w:val="00204275"/>
    <w:rsid w:val="002042AF"/>
    <w:rsid w:val="002042D9"/>
    <w:rsid w:val="002048B6"/>
    <w:rsid w:val="002056D4"/>
    <w:rsid w:val="00205783"/>
    <w:rsid w:val="002058AF"/>
    <w:rsid w:val="002059E2"/>
    <w:rsid w:val="00205FCE"/>
    <w:rsid w:val="002060E7"/>
    <w:rsid w:val="0020615D"/>
    <w:rsid w:val="0020659F"/>
    <w:rsid w:val="00206A6C"/>
    <w:rsid w:val="002071D7"/>
    <w:rsid w:val="00207688"/>
    <w:rsid w:val="00207760"/>
    <w:rsid w:val="00207916"/>
    <w:rsid w:val="00207A48"/>
    <w:rsid w:val="00207A7B"/>
    <w:rsid w:val="00207ACF"/>
    <w:rsid w:val="00207DFA"/>
    <w:rsid w:val="00210106"/>
    <w:rsid w:val="002103FE"/>
    <w:rsid w:val="00210DE1"/>
    <w:rsid w:val="00210E03"/>
    <w:rsid w:val="002112B9"/>
    <w:rsid w:val="00211351"/>
    <w:rsid w:val="00211D41"/>
    <w:rsid w:val="00211E9E"/>
    <w:rsid w:val="00211F23"/>
    <w:rsid w:val="00211F80"/>
    <w:rsid w:val="00211FA5"/>
    <w:rsid w:val="00211FA7"/>
    <w:rsid w:val="0021203B"/>
    <w:rsid w:val="0021222C"/>
    <w:rsid w:val="002122DD"/>
    <w:rsid w:val="0021247E"/>
    <w:rsid w:val="0021295F"/>
    <w:rsid w:val="002129CA"/>
    <w:rsid w:val="00212B72"/>
    <w:rsid w:val="00212C7A"/>
    <w:rsid w:val="00212CEB"/>
    <w:rsid w:val="002130F4"/>
    <w:rsid w:val="002131A3"/>
    <w:rsid w:val="00213231"/>
    <w:rsid w:val="00213754"/>
    <w:rsid w:val="00213F54"/>
    <w:rsid w:val="0021479D"/>
    <w:rsid w:val="0021494D"/>
    <w:rsid w:val="00214A5E"/>
    <w:rsid w:val="00214B10"/>
    <w:rsid w:val="00214BC1"/>
    <w:rsid w:val="00214D01"/>
    <w:rsid w:val="00214D9F"/>
    <w:rsid w:val="00214E59"/>
    <w:rsid w:val="00214EA9"/>
    <w:rsid w:val="00214F5B"/>
    <w:rsid w:val="00214FF9"/>
    <w:rsid w:val="002151C0"/>
    <w:rsid w:val="002151D8"/>
    <w:rsid w:val="002153D3"/>
    <w:rsid w:val="00215460"/>
    <w:rsid w:val="002158F9"/>
    <w:rsid w:val="00216137"/>
    <w:rsid w:val="00216278"/>
    <w:rsid w:val="002166AE"/>
    <w:rsid w:val="002169CB"/>
    <w:rsid w:val="002172E8"/>
    <w:rsid w:val="002173CD"/>
    <w:rsid w:val="002174F0"/>
    <w:rsid w:val="002176E3"/>
    <w:rsid w:val="002178E7"/>
    <w:rsid w:val="002200B4"/>
    <w:rsid w:val="002206DA"/>
    <w:rsid w:val="00220840"/>
    <w:rsid w:val="00220A7E"/>
    <w:rsid w:val="00220B1B"/>
    <w:rsid w:val="00220EE4"/>
    <w:rsid w:val="0022124E"/>
    <w:rsid w:val="002213C9"/>
    <w:rsid w:val="002215FC"/>
    <w:rsid w:val="002219E4"/>
    <w:rsid w:val="00221D83"/>
    <w:rsid w:val="002220AC"/>
    <w:rsid w:val="00222110"/>
    <w:rsid w:val="002223E4"/>
    <w:rsid w:val="00222441"/>
    <w:rsid w:val="00222619"/>
    <w:rsid w:val="002227BF"/>
    <w:rsid w:val="002228ED"/>
    <w:rsid w:val="00222AF3"/>
    <w:rsid w:val="00222B69"/>
    <w:rsid w:val="00222BEF"/>
    <w:rsid w:val="00222F55"/>
    <w:rsid w:val="0022346D"/>
    <w:rsid w:val="00223470"/>
    <w:rsid w:val="00223595"/>
    <w:rsid w:val="002238AA"/>
    <w:rsid w:val="0022392F"/>
    <w:rsid w:val="00223969"/>
    <w:rsid w:val="00223ADD"/>
    <w:rsid w:val="00223B4C"/>
    <w:rsid w:val="00223BDE"/>
    <w:rsid w:val="00223F37"/>
    <w:rsid w:val="00223FFC"/>
    <w:rsid w:val="0022407B"/>
    <w:rsid w:val="0022428A"/>
    <w:rsid w:val="0022446A"/>
    <w:rsid w:val="0022450A"/>
    <w:rsid w:val="002245F2"/>
    <w:rsid w:val="00224754"/>
    <w:rsid w:val="002247A4"/>
    <w:rsid w:val="0022489C"/>
    <w:rsid w:val="00224947"/>
    <w:rsid w:val="00224C8A"/>
    <w:rsid w:val="00224F60"/>
    <w:rsid w:val="002257DC"/>
    <w:rsid w:val="00225DF8"/>
    <w:rsid w:val="00225E78"/>
    <w:rsid w:val="0022623A"/>
    <w:rsid w:val="00226FD5"/>
    <w:rsid w:val="00227042"/>
    <w:rsid w:val="002272FD"/>
    <w:rsid w:val="00227359"/>
    <w:rsid w:val="002276CE"/>
    <w:rsid w:val="0022787B"/>
    <w:rsid w:val="002279E7"/>
    <w:rsid w:val="00227AE5"/>
    <w:rsid w:val="00227B41"/>
    <w:rsid w:val="00227BC8"/>
    <w:rsid w:val="00227C6C"/>
    <w:rsid w:val="00227D13"/>
    <w:rsid w:val="002303C4"/>
    <w:rsid w:val="00230540"/>
    <w:rsid w:val="0023055B"/>
    <w:rsid w:val="002306E8"/>
    <w:rsid w:val="002307DD"/>
    <w:rsid w:val="00230A74"/>
    <w:rsid w:val="00230BC1"/>
    <w:rsid w:val="00230D12"/>
    <w:rsid w:val="00230FAD"/>
    <w:rsid w:val="00231000"/>
    <w:rsid w:val="0023124A"/>
    <w:rsid w:val="002317B1"/>
    <w:rsid w:val="00231872"/>
    <w:rsid w:val="00231AA7"/>
    <w:rsid w:val="00231CCC"/>
    <w:rsid w:val="00231CEE"/>
    <w:rsid w:val="00231F2A"/>
    <w:rsid w:val="00232277"/>
    <w:rsid w:val="002323FE"/>
    <w:rsid w:val="002324AC"/>
    <w:rsid w:val="002325B0"/>
    <w:rsid w:val="0023279F"/>
    <w:rsid w:val="002327AE"/>
    <w:rsid w:val="00232C5E"/>
    <w:rsid w:val="00232DA4"/>
    <w:rsid w:val="0023356D"/>
    <w:rsid w:val="00233BA4"/>
    <w:rsid w:val="00233BD4"/>
    <w:rsid w:val="00233BFB"/>
    <w:rsid w:val="00233E0A"/>
    <w:rsid w:val="00233ED3"/>
    <w:rsid w:val="002340F6"/>
    <w:rsid w:val="002341A6"/>
    <w:rsid w:val="00234696"/>
    <w:rsid w:val="0023471F"/>
    <w:rsid w:val="00234833"/>
    <w:rsid w:val="00234868"/>
    <w:rsid w:val="00234A3B"/>
    <w:rsid w:val="00234AF1"/>
    <w:rsid w:val="00234CE8"/>
    <w:rsid w:val="00235194"/>
    <w:rsid w:val="0023527A"/>
    <w:rsid w:val="002357CF"/>
    <w:rsid w:val="0023592E"/>
    <w:rsid w:val="0023606B"/>
    <w:rsid w:val="002360E0"/>
    <w:rsid w:val="002362EC"/>
    <w:rsid w:val="002362ED"/>
    <w:rsid w:val="00236A7B"/>
    <w:rsid w:val="00236AB3"/>
    <w:rsid w:val="00236CA0"/>
    <w:rsid w:val="00236D2C"/>
    <w:rsid w:val="0023718F"/>
    <w:rsid w:val="002376ED"/>
    <w:rsid w:val="002377CF"/>
    <w:rsid w:val="00237E9C"/>
    <w:rsid w:val="00237F7F"/>
    <w:rsid w:val="00237F84"/>
    <w:rsid w:val="00240016"/>
    <w:rsid w:val="00240219"/>
    <w:rsid w:val="002404EC"/>
    <w:rsid w:val="0024050A"/>
    <w:rsid w:val="002409E8"/>
    <w:rsid w:val="00240A11"/>
    <w:rsid w:val="00240A60"/>
    <w:rsid w:val="00240C6E"/>
    <w:rsid w:val="00240E2A"/>
    <w:rsid w:val="00241001"/>
    <w:rsid w:val="00241017"/>
    <w:rsid w:val="00241209"/>
    <w:rsid w:val="00241286"/>
    <w:rsid w:val="002412C7"/>
    <w:rsid w:val="00241400"/>
    <w:rsid w:val="00241541"/>
    <w:rsid w:val="00241CEA"/>
    <w:rsid w:val="0024243B"/>
    <w:rsid w:val="00242563"/>
    <w:rsid w:val="00242878"/>
    <w:rsid w:val="00242A3F"/>
    <w:rsid w:val="00242D22"/>
    <w:rsid w:val="002435D9"/>
    <w:rsid w:val="00243917"/>
    <w:rsid w:val="0024393C"/>
    <w:rsid w:val="00243CDA"/>
    <w:rsid w:val="00243E8D"/>
    <w:rsid w:val="00243EDB"/>
    <w:rsid w:val="00243FBE"/>
    <w:rsid w:val="00244040"/>
    <w:rsid w:val="002440D6"/>
    <w:rsid w:val="00244666"/>
    <w:rsid w:val="002448D5"/>
    <w:rsid w:val="00244996"/>
    <w:rsid w:val="00244B2F"/>
    <w:rsid w:val="00244D27"/>
    <w:rsid w:val="002450FC"/>
    <w:rsid w:val="00245147"/>
    <w:rsid w:val="00245490"/>
    <w:rsid w:val="0024555D"/>
    <w:rsid w:val="00245774"/>
    <w:rsid w:val="002458BB"/>
    <w:rsid w:val="00245986"/>
    <w:rsid w:val="002459AA"/>
    <w:rsid w:val="00245AD9"/>
    <w:rsid w:val="00245FC4"/>
    <w:rsid w:val="0024623C"/>
    <w:rsid w:val="002464A1"/>
    <w:rsid w:val="0024679F"/>
    <w:rsid w:val="00246847"/>
    <w:rsid w:val="00246A59"/>
    <w:rsid w:val="00246E62"/>
    <w:rsid w:val="00246F4B"/>
    <w:rsid w:val="00246F87"/>
    <w:rsid w:val="0024703A"/>
    <w:rsid w:val="00247073"/>
    <w:rsid w:val="002474A0"/>
    <w:rsid w:val="002479BB"/>
    <w:rsid w:val="00247D00"/>
    <w:rsid w:val="002500DC"/>
    <w:rsid w:val="0025094C"/>
    <w:rsid w:val="002509CA"/>
    <w:rsid w:val="00250BD2"/>
    <w:rsid w:val="00250C56"/>
    <w:rsid w:val="00250C91"/>
    <w:rsid w:val="00250D62"/>
    <w:rsid w:val="00250E3E"/>
    <w:rsid w:val="00251060"/>
    <w:rsid w:val="00251572"/>
    <w:rsid w:val="002519B1"/>
    <w:rsid w:val="00251B13"/>
    <w:rsid w:val="00251CDB"/>
    <w:rsid w:val="0025285F"/>
    <w:rsid w:val="002528FE"/>
    <w:rsid w:val="00253419"/>
    <w:rsid w:val="002536B3"/>
    <w:rsid w:val="00253CDA"/>
    <w:rsid w:val="00253D12"/>
    <w:rsid w:val="00253D3C"/>
    <w:rsid w:val="00254012"/>
    <w:rsid w:val="0025428D"/>
    <w:rsid w:val="00254341"/>
    <w:rsid w:val="0025456D"/>
    <w:rsid w:val="0025491D"/>
    <w:rsid w:val="00254A64"/>
    <w:rsid w:val="00254ACF"/>
    <w:rsid w:val="00254C09"/>
    <w:rsid w:val="00254EB6"/>
    <w:rsid w:val="00254F97"/>
    <w:rsid w:val="00254FE2"/>
    <w:rsid w:val="002552C1"/>
    <w:rsid w:val="002554BF"/>
    <w:rsid w:val="00255938"/>
    <w:rsid w:val="0025605E"/>
    <w:rsid w:val="0025626E"/>
    <w:rsid w:val="002562E4"/>
    <w:rsid w:val="00256341"/>
    <w:rsid w:val="002563FD"/>
    <w:rsid w:val="0025641A"/>
    <w:rsid w:val="002565F3"/>
    <w:rsid w:val="0025662F"/>
    <w:rsid w:val="00256857"/>
    <w:rsid w:val="00256C8C"/>
    <w:rsid w:val="00256CAB"/>
    <w:rsid w:val="00256F06"/>
    <w:rsid w:val="002570BA"/>
    <w:rsid w:val="00257165"/>
    <w:rsid w:val="00257267"/>
    <w:rsid w:val="002575A7"/>
    <w:rsid w:val="0025775D"/>
    <w:rsid w:val="00257B61"/>
    <w:rsid w:val="00257B77"/>
    <w:rsid w:val="00257BA5"/>
    <w:rsid w:val="00257D22"/>
    <w:rsid w:val="0026037E"/>
    <w:rsid w:val="0026039E"/>
    <w:rsid w:val="0026056B"/>
    <w:rsid w:val="00260982"/>
    <w:rsid w:val="00260A7B"/>
    <w:rsid w:val="00260B46"/>
    <w:rsid w:val="00260E2B"/>
    <w:rsid w:val="00260E76"/>
    <w:rsid w:val="00260F4F"/>
    <w:rsid w:val="002610F5"/>
    <w:rsid w:val="002614C9"/>
    <w:rsid w:val="00261504"/>
    <w:rsid w:val="00261949"/>
    <w:rsid w:val="00261A92"/>
    <w:rsid w:val="00261AA4"/>
    <w:rsid w:val="00261BD8"/>
    <w:rsid w:val="00261C70"/>
    <w:rsid w:val="00261FE7"/>
    <w:rsid w:val="002620D3"/>
    <w:rsid w:val="002621F6"/>
    <w:rsid w:val="002624B4"/>
    <w:rsid w:val="00262BFD"/>
    <w:rsid w:val="00262C47"/>
    <w:rsid w:val="00262C54"/>
    <w:rsid w:val="00262E8F"/>
    <w:rsid w:val="00263074"/>
    <w:rsid w:val="002631A9"/>
    <w:rsid w:val="002636C1"/>
    <w:rsid w:val="00263753"/>
    <w:rsid w:val="00263FDD"/>
    <w:rsid w:val="0026422E"/>
    <w:rsid w:val="00264724"/>
    <w:rsid w:val="00265566"/>
    <w:rsid w:val="00265B2C"/>
    <w:rsid w:val="00265C45"/>
    <w:rsid w:val="002668F3"/>
    <w:rsid w:val="00266ACF"/>
    <w:rsid w:val="00266AF6"/>
    <w:rsid w:val="00267034"/>
    <w:rsid w:val="002671CA"/>
    <w:rsid w:val="002673B6"/>
    <w:rsid w:val="00267770"/>
    <w:rsid w:val="002679BC"/>
    <w:rsid w:val="002702D1"/>
    <w:rsid w:val="002703D3"/>
    <w:rsid w:val="00270460"/>
    <w:rsid w:val="00270554"/>
    <w:rsid w:val="002705D0"/>
    <w:rsid w:val="0027073E"/>
    <w:rsid w:val="002707D2"/>
    <w:rsid w:val="002708CF"/>
    <w:rsid w:val="00270EDE"/>
    <w:rsid w:val="00271014"/>
    <w:rsid w:val="00271144"/>
    <w:rsid w:val="002711AA"/>
    <w:rsid w:val="002711FD"/>
    <w:rsid w:val="0027138F"/>
    <w:rsid w:val="002714B4"/>
    <w:rsid w:val="00271501"/>
    <w:rsid w:val="0027158F"/>
    <w:rsid w:val="002719DA"/>
    <w:rsid w:val="00271F36"/>
    <w:rsid w:val="0027248A"/>
    <w:rsid w:val="00272579"/>
    <w:rsid w:val="00272636"/>
    <w:rsid w:val="002727FC"/>
    <w:rsid w:val="00272A95"/>
    <w:rsid w:val="00272B2D"/>
    <w:rsid w:val="00272EFE"/>
    <w:rsid w:val="00273024"/>
    <w:rsid w:val="002732CD"/>
    <w:rsid w:val="002733B2"/>
    <w:rsid w:val="002734A4"/>
    <w:rsid w:val="00273924"/>
    <w:rsid w:val="002739A7"/>
    <w:rsid w:val="00273A8D"/>
    <w:rsid w:val="0027467A"/>
    <w:rsid w:val="002746A9"/>
    <w:rsid w:val="00274B61"/>
    <w:rsid w:val="00274EF8"/>
    <w:rsid w:val="002752B7"/>
    <w:rsid w:val="00275458"/>
    <w:rsid w:val="00275695"/>
    <w:rsid w:val="002759BD"/>
    <w:rsid w:val="00275A76"/>
    <w:rsid w:val="00275B3E"/>
    <w:rsid w:val="00275C82"/>
    <w:rsid w:val="00275D51"/>
    <w:rsid w:val="00275D68"/>
    <w:rsid w:val="00275E3B"/>
    <w:rsid w:val="00276027"/>
    <w:rsid w:val="002765AE"/>
    <w:rsid w:val="00276639"/>
    <w:rsid w:val="002767C0"/>
    <w:rsid w:val="002767F5"/>
    <w:rsid w:val="002767FE"/>
    <w:rsid w:val="002768C2"/>
    <w:rsid w:val="00276967"/>
    <w:rsid w:val="00276CE5"/>
    <w:rsid w:val="00276D65"/>
    <w:rsid w:val="00276FB9"/>
    <w:rsid w:val="00277151"/>
    <w:rsid w:val="002771B5"/>
    <w:rsid w:val="002774DD"/>
    <w:rsid w:val="00277534"/>
    <w:rsid w:val="002777B7"/>
    <w:rsid w:val="0027793A"/>
    <w:rsid w:val="00277949"/>
    <w:rsid w:val="00277BB5"/>
    <w:rsid w:val="00277D33"/>
    <w:rsid w:val="00277DAA"/>
    <w:rsid w:val="00280029"/>
    <w:rsid w:val="0028002E"/>
    <w:rsid w:val="002800A3"/>
    <w:rsid w:val="00280283"/>
    <w:rsid w:val="00280387"/>
    <w:rsid w:val="00280912"/>
    <w:rsid w:val="00280AD9"/>
    <w:rsid w:val="00280CED"/>
    <w:rsid w:val="00280D73"/>
    <w:rsid w:val="00280ECB"/>
    <w:rsid w:val="00281081"/>
    <w:rsid w:val="0028173A"/>
    <w:rsid w:val="002817E0"/>
    <w:rsid w:val="002819CE"/>
    <w:rsid w:val="00281B4F"/>
    <w:rsid w:val="00281CE0"/>
    <w:rsid w:val="00281D83"/>
    <w:rsid w:val="00281DF2"/>
    <w:rsid w:val="00281EAB"/>
    <w:rsid w:val="00281EC0"/>
    <w:rsid w:val="0028213E"/>
    <w:rsid w:val="00282299"/>
    <w:rsid w:val="0028282D"/>
    <w:rsid w:val="002829A1"/>
    <w:rsid w:val="002829EE"/>
    <w:rsid w:val="00282B44"/>
    <w:rsid w:val="00282D0E"/>
    <w:rsid w:val="00282E4C"/>
    <w:rsid w:val="0028365C"/>
    <w:rsid w:val="00283685"/>
    <w:rsid w:val="002836DD"/>
    <w:rsid w:val="00283755"/>
    <w:rsid w:val="00283822"/>
    <w:rsid w:val="0028382E"/>
    <w:rsid w:val="00283946"/>
    <w:rsid w:val="00283D80"/>
    <w:rsid w:val="00283E87"/>
    <w:rsid w:val="00284080"/>
    <w:rsid w:val="002843E5"/>
    <w:rsid w:val="002846B5"/>
    <w:rsid w:val="00284834"/>
    <w:rsid w:val="002848A6"/>
    <w:rsid w:val="00284D17"/>
    <w:rsid w:val="00285178"/>
    <w:rsid w:val="002851DD"/>
    <w:rsid w:val="002858C8"/>
    <w:rsid w:val="00285CBD"/>
    <w:rsid w:val="00285F7B"/>
    <w:rsid w:val="00285FB2"/>
    <w:rsid w:val="002861A7"/>
    <w:rsid w:val="0028637A"/>
    <w:rsid w:val="00286414"/>
    <w:rsid w:val="00286527"/>
    <w:rsid w:val="0028673B"/>
    <w:rsid w:val="00286B22"/>
    <w:rsid w:val="00286C99"/>
    <w:rsid w:val="00286D60"/>
    <w:rsid w:val="00286D97"/>
    <w:rsid w:val="00286E70"/>
    <w:rsid w:val="00286EEE"/>
    <w:rsid w:val="00287035"/>
    <w:rsid w:val="00287362"/>
    <w:rsid w:val="00287542"/>
    <w:rsid w:val="0028771D"/>
    <w:rsid w:val="00287979"/>
    <w:rsid w:val="00287CBD"/>
    <w:rsid w:val="00287EC5"/>
    <w:rsid w:val="00290094"/>
    <w:rsid w:val="00290A08"/>
    <w:rsid w:val="00290C7D"/>
    <w:rsid w:val="00290D9F"/>
    <w:rsid w:val="002911C5"/>
    <w:rsid w:val="00291212"/>
    <w:rsid w:val="00291288"/>
    <w:rsid w:val="00291BF0"/>
    <w:rsid w:val="00291D59"/>
    <w:rsid w:val="0029205D"/>
    <w:rsid w:val="0029219A"/>
    <w:rsid w:val="00292251"/>
    <w:rsid w:val="002924FE"/>
    <w:rsid w:val="00292670"/>
    <w:rsid w:val="00292A09"/>
    <w:rsid w:val="00292AD8"/>
    <w:rsid w:val="00293806"/>
    <w:rsid w:val="00293832"/>
    <w:rsid w:val="0029387D"/>
    <w:rsid w:val="00293952"/>
    <w:rsid w:val="00293D40"/>
    <w:rsid w:val="00293E63"/>
    <w:rsid w:val="00294085"/>
    <w:rsid w:val="00294278"/>
    <w:rsid w:val="0029431D"/>
    <w:rsid w:val="00294885"/>
    <w:rsid w:val="00294933"/>
    <w:rsid w:val="00294AFE"/>
    <w:rsid w:val="00294B95"/>
    <w:rsid w:val="00295112"/>
    <w:rsid w:val="0029552E"/>
    <w:rsid w:val="00295A57"/>
    <w:rsid w:val="00295E6E"/>
    <w:rsid w:val="0029618F"/>
    <w:rsid w:val="002961A6"/>
    <w:rsid w:val="00296429"/>
    <w:rsid w:val="00296C31"/>
    <w:rsid w:val="00296DCB"/>
    <w:rsid w:val="002970F3"/>
    <w:rsid w:val="002972D1"/>
    <w:rsid w:val="0029740A"/>
    <w:rsid w:val="0029784F"/>
    <w:rsid w:val="00297A31"/>
    <w:rsid w:val="00297EBE"/>
    <w:rsid w:val="00297F22"/>
    <w:rsid w:val="002A0033"/>
    <w:rsid w:val="002A0C4D"/>
    <w:rsid w:val="002A0D7F"/>
    <w:rsid w:val="002A12DC"/>
    <w:rsid w:val="002A1493"/>
    <w:rsid w:val="002A167A"/>
    <w:rsid w:val="002A1856"/>
    <w:rsid w:val="002A1C7F"/>
    <w:rsid w:val="002A1DBF"/>
    <w:rsid w:val="002A2247"/>
    <w:rsid w:val="002A2544"/>
    <w:rsid w:val="002A272E"/>
    <w:rsid w:val="002A2786"/>
    <w:rsid w:val="002A27A7"/>
    <w:rsid w:val="002A2B27"/>
    <w:rsid w:val="002A2D22"/>
    <w:rsid w:val="002A3146"/>
    <w:rsid w:val="002A34D7"/>
    <w:rsid w:val="002A37DD"/>
    <w:rsid w:val="002A3D0B"/>
    <w:rsid w:val="002A3D17"/>
    <w:rsid w:val="002A3D85"/>
    <w:rsid w:val="002A3DCF"/>
    <w:rsid w:val="002A3F61"/>
    <w:rsid w:val="002A420B"/>
    <w:rsid w:val="002A4450"/>
    <w:rsid w:val="002A4483"/>
    <w:rsid w:val="002A4539"/>
    <w:rsid w:val="002A48BB"/>
    <w:rsid w:val="002A49A9"/>
    <w:rsid w:val="002A4AAA"/>
    <w:rsid w:val="002A4B0D"/>
    <w:rsid w:val="002A4B70"/>
    <w:rsid w:val="002A4BE7"/>
    <w:rsid w:val="002A5076"/>
    <w:rsid w:val="002A5112"/>
    <w:rsid w:val="002A5285"/>
    <w:rsid w:val="002A55C3"/>
    <w:rsid w:val="002A560A"/>
    <w:rsid w:val="002A56FE"/>
    <w:rsid w:val="002A5899"/>
    <w:rsid w:val="002A5A2D"/>
    <w:rsid w:val="002A5BC2"/>
    <w:rsid w:val="002A6145"/>
    <w:rsid w:val="002A61D5"/>
    <w:rsid w:val="002A6376"/>
    <w:rsid w:val="002A63DD"/>
    <w:rsid w:val="002A6BE2"/>
    <w:rsid w:val="002A6C6F"/>
    <w:rsid w:val="002A6E1F"/>
    <w:rsid w:val="002A6F3F"/>
    <w:rsid w:val="002A70A6"/>
    <w:rsid w:val="002A70D1"/>
    <w:rsid w:val="002A70E4"/>
    <w:rsid w:val="002A7240"/>
    <w:rsid w:val="002A7635"/>
    <w:rsid w:val="002A77C9"/>
    <w:rsid w:val="002A78C5"/>
    <w:rsid w:val="002A78C9"/>
    <w:rsid w:val="002A7C3B"/>
    <w:rsid w:val="002A7CD5"/>
    <w:rsid w:val="002A7F5B"/>
    <w:rsid w:val="002B0042"/>
    <w:rsid w:val="002B035C"/>
    <w:rsid w:val="002B0788"/>
    <w:rsid w:val="002B0B82"/>
    <w:rsid w:val="002B0CDE"/>
    <w:rsid w:val="002B0E15"/>
    <w:rsid w:val="002B0E5E"/>
    <w:rsid w:val="002B11D1"/>
    <w:rsid w:val="002B141B"/>
    <w:rsid w:val="002B1502"/>
    <w:rsid w:val="002B15F3"/>
    <w:rsid w:val="002B1630"/>
    <w:rsid w:val="002B1834"/>
    <w:rsid w:val="002B1B0A"/>
    <w:rsid w:val="002B1ED0"/>
    <w:rsid w:val="002B1F67"/>
    <w:rsid w:val="002B219C"/>
    <w:rsid w:val="002B21D7"/>
    <w:rsid w:val="002B24AC"/>
    <w:rsid w:val="002B289F"/>
    <w:rsid w:val="002B2B9A"/>
    <w:rsid w:val="002B2D24"/>
    <w:rsid w:val="002B31CA"/>
    <w:rsid w:val="002B37C6"/>
    <w:rsid w:val="002B3BCA"/>
    <w:rsid w:val="002B3F42"/>
    <w:rsid w:val="002B3FC7"/>
    <w:rsid w:val="002B4014"/>
    <w:rsid w:val="002B40EA"/>
    <w:rsid w:val="002B44B9"/>
    <w:rsid w:val="002B4940"/>
    <w:rsid w:val="002B49D7"/>
    <w:rsid w:val="002B4AFF"/>
    <w:rsid w:val="002B4B22"/>
    <w:rsid w:val="002B4B48"/>
    <w:rsid w:val="002B4E2B"/>
    <w:rsid w:val="002B524D"/>
    <w:rsid w:val="002B568D"/>
    <w:rsid w:val="002B5B07"/>
    <w:rsid w:val="002B5CBD"/>
    <w:rsid w:val="002B5E3C"/>
    <w:rsid w:val="002B5F9B"/>
    <w:rsid w:val="002B63C0"/>
    <w:rsid w:val="002B63FA"/>
    <w:rsid w:val="002B6551"/>
    <w:rsid w:val="002B692C"/>
    <w:rsid w:val="002B6A40"/>
    <w:rsid w:val="002B6A89"/>
    <w:rsid w:val="002B6B11"/>
    <w:rsid w:val="002B6B5A"/>
    <w:rsid w:val="002B6DA6"/>
    <w:rsid w:val="002B6EDB"/>
    <w:rsid w:val="002B74B0"/>
    <w:rsid w:val="002B7555"/>
    <w:rsid w:val="002B77D7"/>
    <w:rsid w:val="002B7841"/>
    <w:rsid w:val="002B784E"/>
    <w:rsid w:val="002B7AB2"/>
    <w:rsid w:val="002B7AF0"/>
    <w:rsid w:val="002B7B4F"/>
    <w:rsid w:val="002B7C04"/>
    <w:rsid w:val="002B7E33"/>
    <w:rsid w:val="002C00FC"/>
    <w:rsid w:val="002C01F5"/>
    <w:rsid w:val="002C0653"/>
    <w:rsid w:val="002C0683"/>
    <w:rsid w:val="002C08F2"/>
    <w:rsid w:val="002C09D8"/>
    <w:rsid w:val="002C0A5C"/>
    <w:rsid w:val="002C0D21"/>
    <w:rsid w:val="002C0E80"/>
    <w:rsid w:val="002C0F7D"/>
    <w:rsid w:val="002C10FB"/>
    <w:rsid w:val="002C14DD"/>
    <w:rsid w:val="002C153C"/>
    <w:rsid w:val="002C17B2"/>
    <w:rsid w:val="002C192E"/>
    <w:rsid w:val="002C19D8"/>
    <w:rsid w:val="002C1D36"/>
    <w:rsid w:val="002C20DD"/>
    <w:rsid w:val="002C227C"/>
    <w:rsid w:val="002C22EE"/>
    <w:rsid w:val="002C256A"/>
    <w:rsid w:val="002C26AC"/>
    <w:rsid w:val="002C2905"/>
    <w:rsid w:val="002C2A03"/>
    <w:rsid w:val="002C2DAD"/>
    <w:rsid w:val="002C2EED"/>
    <w:rsid w:val="002C3079"/>
    <w:rsid w:val="002C3090"/>
    <w:rsid w:val="002C317A"/>
    <w:rsid w:val="002C3288"/>
    <w:rsid w:val="002C32B5"/>
    <w:rsid w:val="002C34F8"/>
    <w:rsid w:val="002C3510"/>
    <w:rsid w:val="002C382F"/>
    <w:rsid w:val="002C3F56"/>
    <w:rsid w:val="002C4394"/>
    <w:rsid w:val="002C4467"/>
    <w:rsid w:val="002C44BE"/>
    <w:rsid w:val="002C4584"/>
    <w:rsid w:val="002C45EC"/>
    <w:rsid w:val="002C488C"/>
    <w:rsid w:val="002C4BD9"/>
    <w:rsid w:val="002C4E52"/>
    <w:rsid w:val="002C4F05"/>
    <w:rsid w:val="002C529C"/>
    <w:rsid w:val="002C5393"/>
    <w:rsid w:val="002C559E"/>
    <w:rsid w:val="002C567F"/>
    <w:rsid w:val="002C587F"/>
    <w:rsid w:val="002C5906"/>
    <w:rsid w:val="002C5A2A"/>
    <w:rsid w:val="002C5B52"/>
    <w:rsid w:val="002C5C4A"/>
    <w:rsid w:val="002C5ECD"/>
    <w:rsid w:val="002C5ED6"/>
    <w:rsid w:val="002C600D"/>
    <w:rsid w:val="002C60CD"/>
    <w:rsid w:val="002C61B2"/>
    <w:rsid w:val="002C6439"/>
    <w:rsid w:val="002C6648"/>
    <w:rsid w:val="002C6890"/>
    <w:rsid w:val="002C68FE"/>
    <w:rsid w:val="002C6B59"/>
    <w:rsid w:val="002C6CC1"/>
    <w:rsid w:val="002C6CCD"/>
    <w:rsid w:val="002C7311"/>
    <w:rsid w:val="002C737E"/>
    <w:rsid w:val="002C74DC"/>
    <w:rsid w:val="002C77E8"/>
    <w:rsid w:val="002C7921"/>
    <w:rsid w:val="002C7ADC"/>
    <w:rsid w:val="002C7D62"/>
    <w:rsid w:val="002C7E83"/>
    <w:rsid w:val="002C7FE3"/>
    <w:rsid w:val="002D01C4"/>
    <w:rsid w:val="002D031B"/>
    <w:rsid w:val="002D042A"/>
    <w:rsid w:val="002D04AD"/>
    <w:rsid w:val="002D067F"/>
    <w:rsid w:val="002D081F"/>
    <w:rsid w:val="002D083D"/>
    <w:rsid w:val="002D0846"/>
    <w:rsid w:val="002D0ACA"/>
    <w:rsid w:val="002D0B2F"/>
    <w:rsid w:val="002D0B48"/>
    <w:rsid w:val="002D0B61"/>
    <w:rsid w:val="002D0C1E"/>
    <w:rsid w:val="002D0C93"/>
    <w:rsid w:val="002D0DFB"/>
    <w:rsid w:val="002D101F"/>
    <w:rsid w:val="002D1066"/>
    <w:rsid w:val="002D1262"/>
    <w:rsid w:val="002D152A"/>
    <w:rsid w:val="002D1573"/>
    <w:rsid w:val="002D1731"/>
    <w:rsid w:val="002D1C04"/>
    <w:rsid w:val="002D2038"/>
    <w:rsid w:val="002D2127"/>
    <w:rsid w:val="002D231C"/>
    <w:rsid w:val="002D253F"/>
    <w:rsid w:val="002D25AE"/>
    <w:rsid w:val="002D25B6"/>
    <w:rsid w:val="002D27BD"/>
    <w:rsid w:val="002D28AC"/>
    <w:rsid w:val="002D2A15"/>
    <w:rsid w:val="002D2A9C"/>
    <w:rsid w:val="002D2B94"/>
    <w:rsid w:val="002D3124"/>
    <w:rsid w:val="002D3502"/>
    <w:rsid w:val="002D35A8"/>
    <w:rsid w:val="002D3634"/>
    <w:rsid w:val="002D369E"/>
    <w:rsid w:val="002D36C8"/>
    <w:rsid w:val="002D3DB2"/>
    <w:rsid w:val="002D41FD"/>
    <w:rsid w:val="002D4302"/>
    <w:rsid w:val="002D4338"/>
    <w:rsid w:val="002D44CE"/>
    <w:rsid w:val="002D4AD0"/>
    <w:rsid w:val="002D4D2A"/>
    <w:rsid w:val="002D4E5B"/>
    <w:rsid w:val="002D4E74"/>
    <w:rsid w:val="002D50DA"/>
    <w:rsid w:val="002D52A8"/>
    <w:rsid w:val="002D52D6"/>
    <w:rsid w:val="002D52EE"/>
    <w:rsid w:val="002D5398"/>
    <w:rsid w:val="002D56D3"/>
    <w:rsid w:val="002D5708"/>
    <w:rsid w:val="002D579D"/>
    <w:rsid w:val="002D59A0"/>
    <w:rsid w:val="002D59EB"/>
    <w:rsid w:val="002D5BCF"/>
    <w:rsid w:val="002D5C2E"/>
    <w:rsid w:val="002D5DDB"/>
    <w:rsid w:val="002D5E4A"/>
    <w:rsid w:val="002D6036"/>
    <w:rsid w:val="002D6194"/>
    <w:rsid w:val="002D62C3"/>
    <w:rsid w:val="002D62D2"/>
    <w:rsid w:val="002D6543"/>
    <w:rsid w:val="002D6B3A"/>
    <w:rsid w:val="002D6F27"/>
    <w:rsid w:val="002D71D4"/>
    <w:rsid w:val="002D71E2"/>
    <w:rsid w:val="002D72A8"/>
    <w:rsid w:val="002D735C"/>
    <w:rsid w:val="002D7377"/>
    <w:rsid w:val="002D74AD"/>
    <w:rsid w:val="002D75F6"/>
    <w:rsid w:val="002D7616"/>
    <w:rsid w:val="002D7637"/>
    <w:rsid w:val="002D790B"/>
    <w:rsid w:val="002D7AFB"/>
    <w:rsid w:val="002E01CF"/>
    <w:rsid w:val="002E0A18"/>
    <w:rsid w:val="002E0ADB"/>
    <w:rsid w:val="002E0BAC"/>
    <w:rsid w:val="002E0DEF"/>
    <w:rsid w:val="002E0E7F"/>
    <w:rsid w:val="002E0FB8"/>
    <w:rsid w:val="002E108D"/>
    <w:rsid w:val="002E11C2"/>
    <w:rsid w:val="002E15A7"/>
    <w:rsid w:val="002E1868"/>
    <w:rsid w:val="002E18F6"/>
    <w:rsid w:val="002E19D8"/>
    <w:rsid w:val="002E1B4B"/>
    <w:rsid w:val="002E1BD4"/>
    <w:rsid w:val="002E1DCF"/>
    <w:rsid w:val="002E20BC"/>
    <w:rsid w:val="002E2116"/>
    <w:rsid w:val="002E2297"/>
    <w:rsid w:val="002E2500"/>
    <w:rsid w:val="002E2688"/>
    <w:rsid w:val="002E271A"/>
    <w:rsid w:val="002E2819"/>
    <w:rsid w:val="002E2BD9"/>
    <w:rsid w:val="002E2EDD"/>
    <w:rsid w:val="002E3354"/>
    <w:rsid w:val="002E351A"/>
    <w:rsid w:val="002E35B0"/>
    <w:rsid w:val="002E3841"/>
    <w:rsid w:val="002E38D0"/>
    <w:rsid w:val="002E394A"/>
    <w:rsid w:val="002E39BE"/>
    <w:rsid w:val="002E3B7F"/>
    <w:rsid w:val="002E3BB7"/>
    <w:rsid w:val="002E3C2E"/>
    <w:rsid w:val="002E42C7"/>
    <w:rsid w:val="002E449B"/>
    <w:rsid w:val="002E45B7"/>
    <w:rsid w:val="002E48AA"/>
    <w:rsid w:val="002E49DD"/>
    <w:rsid w:val="002E4B4D"/>
    <w:rsid w:val="002E4C37"/>
    <w:rsid w:val="002E5036"/>
    <w:rsid w:val="002E50C3"/>
    <w:rsid w:val="002E5603"/>
    <w:rsid w:val="002E569F"/>
    <w:rsid w:val="002E57D1"/>
    <w:rsid w:val="002E5C4E"/>
    <w:rsid w:val="002E5E25"/>
    <w:rsid w:val="002E62B3"/>
    <w:rsid w:val="002E6329"/>
    <w:rsid w:val="002E634A"/>
    <w:rsid w:val="002E63DC"/>
    <w:rsid w:val="002E6B99"/>
    <w:rsid w:val="002E6C79"/>
    <w:rsid w:val="002E6D88"/>
    <w:rsid w:val="002E6F9F"/>
    <w:rsid w:val="002E703D"/>
    <w:rsid w:val="002E7254"/>
    <w:rsid w:val="002E7770"/>
    <w:rsid w:val="002E77C7"/>
    <w:rsid w:val="002E7970"/>
    <w:rsid w:val="002E79AE"/>
    <w:rsid w:val="002E7C2D"/>
    <w:rsid w:val="002E7D18"/>
    <w:rsid w:val="002E7F78"/>
    <w:rsid w:val="002F0373"/>
    <w:rsid w:val="002F06E7"/>
    <w:rsid w:val="002F09CA"/>
    <w:rsid w:val="002F0E47"/>
    <w:rsid w:val="002F0EB2"/>
    <w:rsid w:val="002F1B1E"/>
    <w:rsid w:val="002F1EB7"/>
    <w:rsid w:val="002F20C1"/>
    <w:rsid w:val="002F2216"/>
    <w:rsid w:val="002F2352"/>
    <w:rsid w:val="002F239C"/>
    <w:rsid w:val="002F2630"/>
    <w:rsid w:val="002F26B5"/>
    <w:rsid w:val="002F28ED"/>
    <w:rsid w:val="002F2B33"/>
    <w:rsid w:val="002F2C4E"/>
    <w:rsid w:val="002F2FCC"/>
    <w:rsid w:val="002F35C3"/>
    <w:rsid w:val="002F3AE5"/>
    <w:rsid w:val="002F3D20"/>
    <w:rsid w:val="002F3F72"/>
    <w:rsid w:val="002F4280"/>
    <w:rsid w:val="002F42EC"/>
    <w:rsid w:val="002F42ED"/>
    <w:rsid w:val="002F48F8"/>
    <w:rsid w:val="002F4D95"/>
    <w:rsid w:val="002F4EE2"/>
    <w:rsid w:val="002F5019"/>
    <w:rsid w:val="002F5444"/>
    <w:rsid w:val="002F5653"/>
    <w:rsid w:val="002F56A8"/>
    <w:rsid w:val="002F56F4"/>
    <w:rsid w:val="002F576A"/>
    <w:rsid w:val="002F5791"/>
    <w:rsid w:val="002F5C73"/>
    <w:rsid w:val="002F5E97"/>
    <w:rsid w:val="002F5FAF"/>
    <w:rsid w:val="002F6002"/>
    <w:rsid w:val="002F6065"/>
    <w:rsid w:val="002F611D"/>
    <w:rsid w:val="002F63EE"/>
    <w:rsid w:val="002F65FB"/>
    <w:rsid w:val="002F67AE"/>
    <w:rsid w:val="002F67B7"/>
    <w:rsid w:val="002F6888"/>
    <w:rsid w:val="002F6E23"/>
    <w:rsid w:val="002F71E6"/>
    <w:rsid w:val="002F71F5"/>
    <w:rsid w:val="002F7417"/>
    <w:rsid w:val="002F751E"/>
    <w:rsid w:val="002F756E"/>
    <w:rsid w:val="002F7692"/>
    <w:rsid w:val="002F7E0D"/>
    <w:rsid w:val="002F7F43"/>
    <w:rsid w:val="002F7FD6"/>
    <w:rsid w:val="003000D7"/>
    <w:rsid w:val="003008AF"/>
    <w:rsid w:val="00300AB4"/>
    <w:rsid w:val="00300BFB"/>
    <w:rsid w:val="00300C91"/>
    <w:rsid w:val="00300E1F"/>
    <w:rsid w:val="00301005"/>
    <w:rsid w:val="00301213"/>
    <w:rsid w:val="00301430"/>
    <w:rsid w:val="003014AD"/>
    <w:rsid w:val="003016E2"/>
    <w:rsid w:val="00301717"/>
    <w:rsid w:val="00301A27"/>
    <w:rsid w:val="00301F76"/>
    <w:rsid w:val="0030207C"/>
    <w:rsid w:val="00302190"/>
    <w:rsid w:val="00302448"/>
    <w:rsid w:val="00302482"/>
    <w:rsid w:val="003025DA"/>
    <w:rsid w:val="003028BC"/>
    <w:rsid w:val="00302CD3"/>
    <w:rsid w:val="0030328D"/>
    <w:rsid w:val="003033AC"/>
    <w:rsid w:val="0030379D"/>
    <w:rsid w:val="00303BED"/>
    <w:rsid w:val="00303C36"/>
    <w:rsid w:val="00303D48"/>
    <w:rsid w:val="00303F75"/>
    <w:rsid w:val="0030470D"/>
    <w:rsid w:val="003049D2"/>
    <w:rsid w:val="00304A3E"/>
    <w:rsid w:val="00304AC3"/>
    <w:rsid w:val="00304F90"/>
    <w:rsid w:val="0030504E"/>
    <w:rsid w:val="003058DB"/>
    <w:rsid w:val="00305D46"/>
    <w:rsid w:val="00305D83"/>
    <w:rsid w:val="00305DA8"/>
    <w:rsid w:val="00305E9C"/>
    <w:rsid w:val="00305ECA"/>
    <w:rsid w:val="003063AB"/>
    <w:rsid w:val="0030660D"/>
    <w:rsid w:val="00306760"/>
    <w:rsid w:val="0030695F"/>
    <w:rsid w:val="003069D4"/>
    <w:rsid w:val="00306D7C"/>
    <w:rsid w:val="00306DE8"/>
    <w:rsid w:val="003070C7"/>
    <w:rsid w:val="003073F0"/>
    <w:rsid w:val="00307689"/>
    <w:rsid w:val="00307748"/>
    <w:rsid w:val="003077B9"/>
    <w:rsid w:val="00307B45"/>
    <w:rsid w:val="00307DFE"/>
    <w:rsid w:val="00307E55"/>
    <w:rsid w:val="0031003C"/>
    <w:rsid w:val="003100B8"/>
    <w:rsid w:val="003101BC"/>
    <w:rsid w:val="003101E3"/>
    <w:rsid w:val="00310339"/>
    <w:rsid w:val="003103A5"/>
    <w:rsid w:val="003105C4"/>
    <w:rsid w:val="00310991"/>
    <w:rsid w:val="00310B46"/>
    <w:rsid w:val="00310B79"/>
    <w:rsid w:val="00310B7E"/>
    <w:rsid w:val="00310BAC"/>
    <w:rsid w:val="00310CCE"/>
    <w:rsid w:val="00310DCE"/>
    <w:rsid w:val="00310EAE"/>
    <w:rsid w:val="00310EC1"/>
    <w:rsid w:val="00311312"/>
    <w:rsid w:val="00311605"/>
    <w:rsid w:val="003116FA"/>
    <w:rsid w:val="00311813"/>
    <w:rsid w:val="00311C9C"/>
    <w:rsid w:val="00311DD5"/>
    <w:rsid w:val="00311E54"/>
    <w:rsid w:val="003122C0"/>
    <w:rsid w:val="003125CE"/>
    <w:rsid w:val="00312685"/>
    <w:rsid w:val="003128FE"/>
    <w:rsid w:val="00312A52"/>
    <w:rsid w:val="00312B61"/>
    <w:rsid w:val="00312BF5"/>
    <w:rsid w:val="00312C12"/>
    <w:rsid w:val="00312D45"/>
    <w:rsid w:val="00313009"/>
    <w:rsid w:val="003131FD"/>
    <w:rsid w:val="0031360C"/>
    <w:rsid w:val="00313A0C"/>
    <w:rsid w:val="00313ACC"/>
    <w:rsid w:val="00313B48"/>
    <w:rsid w:val="00314118"/>
    <w:rsid w:val="0031422D"/>
    <w:rsid w:val="0031431E"/>
    <w:rsid w:val="0031439F"/>
    <w:rsid w:val="00314A15"/>
    <w:rsid w:val="00314AFB"/>
    <w:rsid w:val="00314B9B"/>
    <w:rsid w:val="00314BA3"/>
    <w:rsid w:val="00314BC5"/>
    <w:rsid w:val="00314BDA"/>
    <w:rsid w:val="00314DF5"/>
    <w:rsid w:val="00314EB9"/>
    <w:rsid w:val="00315145"/>
    <w:rsid w:val="00315937"/>
    <w:rsid w:val="0031596E"/>
    <w:rsid w:val="00315A51"/>
    <w:rsid w:val="00315CCD"/>
    <w:rsid w:val="0031606F"/>
    <w:rsid w:val="003161A0"/>
    <w:rsid w:val="0031621F"/>
    <w:rsid w:val="00316315"/>
    <w:rsid w:val="0031641E"/>
    <w:rsid w:val="0031641F"/>
    <w:rsid w:val="003164E5"/>
    <w:rsid w:val="003165DB"/>
    <w:rsid w:val="0031664F"/>
    <w:rsid w:val="00316744"/>
    <w:rsid w:val="00316BEC"/>
    <w:rsid w:val="00316E8B"/>
    <w:rsid w:val="00316FC3"/>
    <w:rsid w:val="00316FEB"/>
    <w:rsid w:val="0031711E"/>
    <w:rsid w:val="0031726F"/>
    <w:rsid w:val="0031777C"/>
    <w:rsid w:val="0031786F"/>
    <w:rsid w:val="00317AAC"/>
    <w:rsid w:val="00317E33"/>
    <w:rsid w:val="00320331"/>
    <w:rsid w:val="003209E8"/>
    <w:rsid w:val="00320D4D"/>
    <w:rsid w:val="00320DE7"/>
    <w:rsid w:val="003210C7"/>
    <w:rsid w:val="00321377"/>
    <w:rsid w:val="003217FC"/>
    <w:rsid w:val="00321801"/>
    <w:rsid w:val="0032183A"/>
    <w:rsid w:val="00321E0D"/>
    <w:rsid w:val="00321F07"/>
    <w:rsid w:val="00322125"/>
    <w:rsid w:val="003226D9"/>
    <w:rsid w:val="00322781"/>
    <w:rsid w:val="003229C2"/>
    <w:rsid w:val="00322C85"/>
    <w:rsid w:val="0032305F"/>
    <w:rsid w:val="003233E0"/>
    <w:rsid w:val="00323638"/>
    <w:rsid w:val="003238BB"/>
    <w:rsid w:val="00323AC0"/>
    <w:rsid w:val="00323D56"/>
    <w:rsid w:val="003240A5"/>
    <w:rsid w:val="0032421B"/>
    <w:rsid w:val="0032424F"/>
    <w:rsid w:val="00324405"/>
    <w:rsid w:val="003244E9"/>
    <w:rsid w:val="00324A74"/>
    <w:rsid w:val="00324BF7"/>
    <w:rsid w:val="00324D82"/>
    <w:rsid w:val="00324EF7"/>
    <w:rsid w:val="003251B9"/>
    <w:rsid w:val="0032550B"/>
    <w:rsid w:val="003257FF"/>
    <w:rsid w:val="00325864"/>
    <w:rsid w:val="00325E73"/>
    <w:rsid w:val="00325E9B"/>
    <w:rsid w:val="00325F66"/>
    <w:rsid w:val="00325FB6"/>
    <w:rsid w:val="003265F6"/>
    <w:rsid w:val="003265FD"/>
    <w:rsid w:val="00326613"/>
    <w:rsid w:val="00326640"/>
    <w:rsid w:val="003266C7"/>
    <w:rsid w:val="00326A20"/>
    <w:rsid w:val="00326A79"/>
    <w:rsid w:val="00326B1B"/>
    <w:rsid w:val="00326C41"/>
    <w:rsid w:val="00326DB8"/>
    <w:rsid w:val="00326EE3"/>
    <w:rsid w:val="00326EED"/>
    <w:rsid w:val="00327037"/>
    <w:rsid w:val="003272BA"/>
    <w:rsid w:val="0032780F"/>
    <w:rsid w:val="00327CE9"/>
    <w:rsid w:val="00327F2F"/>
    <w:rsid w:val="003300E5"/>
    <w:rsid w:val="00330181"/>
    <w:rsid w:val="0033020F"/>
    <w:rsid w:val="0033044F"/>
    <w:rsid w:val="00330AE6"/>
    <w:rsid w:val="00330B69"/>
    <w:rsid w:val="00331006"/>
    <w:rsid w:val="00331209"/>
    <w:rsid w:val="00331356"/>
    <w:rsid w:val="0033139B"/>
    <w:rsid w:val="00331463"/>
    <w:rsid w:val="0033148A"/>
    <w:rsid w:val="003314C8"/>
    <w:rsid w:val="003314D2"/>
    <w:rsid w:val="00331A0A"/>
    <w:rsid w:val="00331AD4"/>
    <w:rsid w:val="00331BDC"/>
    <w:rsid w:val="00331CE4"/>
    <w:rsid w:val="00331EE3"/>
    <w:rsid w:val="003320CC"/>
    <w:rsid w:val="00332367"/>
    <w:rsid w:val="00332915"/>
    <w:rsid w:val="00332A5D"/>
    <w:rsid w:val="00332B94"/>
    <w:rsid w:val="00332C11"/>
    <w:rsid w:val="00332D16"/>
    <w:rsid w:val="0033301C"/>
    <w:rsid w:val="003333EE"/>
    <w:rsid w:val="0033341A"/>
    <w:rsid w:val="0033347D"/>
    <w:rsid w:val="00333A04"/>
    <w:rsid w:val="00333CA8"/>
    <w:rsid w:val="00334055"/>
    <w:rsid w:val="003344F4"/>
    <w:rsid w:val="003345AB"/>
    <w:rsid w:val="003347C7"/>
    <w:rsid w:val="00334A81"/>
    <w:rsid w:val="00334BB5"/>
    <w:rsid w:val="00334BEA"/>
    <w:rsid w:val="00335335"/>
    <w:rsid w:val="00335494"/>
    <w:rsid w:val="00335497"/>
    <w:rsid w:val="00335590"/>
    <w:rsid w:val="003355B0"/>
    <w:rsid w:val="003357D2"/>
    <w:rsid w:val="003358A7"/>
    <w:rsid w:val="003358C6"/>
    <w:rsid w:val="003358D4"/>
    <w:rsid w:val="003359E6"/>
    <w:rsid w:val="00335C5C"/>
    <w:rsid w:val="00335DFD"/>
    <w:rsid w:val="003365C9"/>
    <w:rsid w:val="003368E9"/>
    <w:rsid w:val="003372E5"/>
    <w:rsid w:val="003379E9"/>
    <w:rsid w:val="00337A93"/>
    <w:rsid w:val="00337E05"/>
    <w:rsid w:val="003402AB"/>
    <w:rsid w:val="003402E2"/>
    <w:rsid w:val="0034050E"/>
    <w:rsid w:val="003406FF"/>
    <w:rsid w:val="00340841"/>
    <w:rsid w:val="0034087B"/>
    <w:rsid w:val="003408EF"/>
    <w:rsid w:val="00340903"/>
    <w:rsid w:val="00340992"/>
    <w:rsid w:val="00340A57"/>
    <w:rsid w:val="00340C1D"/>
    <w:rsid w:val="00340C26"/>
    <w:rsid w:val="00340C27"/>
    <w:rsid w:val="00340D5F"/>
    <w:rsid w:val="00340DAF"/>
    <w:rsid w:val="00341684"/>
    <w:rsid w:val="003416B3"/>
    <w:rsid w:val="00341873"/>
    <w:rsid w:val="00341A02"/>
    <w:rsid w:val="00341ABE"/>
    <w:rsid w:val="00341AC8"/>
    <w:rsid w:val="00341B2D"/>
    <w:rsid w:val="00341E32"/>
    <w:rsid w:val="00341F59"/>
    <w:rsid w:val="0034239D"/>
    <w:rsid w:val="003424A9"/>
    <w:rsid w:val="003424E4"/>
    <w:rsid w:val="00342799"/>
    <w:rsid w:val="00342895"/>
    <w:rsid w:val="00342907"/>
    <w:rsid w:val="00342F35"/>
    <w:rsid w:val="003430B7"/>
    <w:rsid w:val="00343123"/>
    <w:rsid w:val="00343139"/>
    <w:rsid w:val="00343312"/>
    <w:rsid w:val="003435F2"/>
    <w:rsid w:val="003439D0"/>
    <w:rsid w:val="00343B78"/>
    <w:rsid w:val="00343F30"/>
    <w:rsid w:val="00343F85"/>
    <w:rsid w:val="00343FD5"/>
    <w:rsid w:val="00343FE9"/>
    <w:rsid w:val="00344803"/>
    <w:rsid w:val="00344966"/>
    <w:rsid w:val="00344B5C"/>
    <w:rsid w:val="00344BB6"/>
    <w:rsid w:val="00344C27"/>
    <w:rsid w:val="00344C87"/>
    <w:rsid w:val="00344F98"/>
    <w:rsid w:val="00345010"/>
    <w:rsid w:val="0034511A"/>
    <w:rsid w:val="00345571"/>
    <w:rsid w:val="00345727"/>
    <w:rsid w:val="003457A0"/>
    <w:rsid w:val="00345932"/>
    <w:rsid w:val="00345B12"/>
    <w:rsid w:val="00345CFE"/>
    <w:rsid w:val="00345D5D"/>
    <w:rsid w:val="00345DDD"/>
    <w:rsid w:val="00345E69"/>
    <w:rsid w:val="00346311"/>
    <w:rsid w:val="00346430"/>
    <w:rsid w:val="003467C4"/>
    <w:rsid w:val="00346A2F"/>
    <w:rsid w:val="00346D8E"/>
    <w:rsid w:val="00346E4A"/>
    <w:rsid w:val="00346F64"/>
    <w:rsid w:val="0034714E"/>
    <w:rsid w:val="00347531"/>
    <w:rsid w:val="003477A0"/>
    <w:rsid w:val="00347BBB"/>
    <w:rsid w:val="00347ED8"/>
    <w:rsid w:val="00350703"/>
    <w:rsid w:val="003509B2"/>
    <w:rsid w:val="00350A59"/>
    <w:rsid w:val="00350BE4"/>
    <w:rsid w:val="00350C2C"/>
    <w:rsid w:val="00350D65"/>
    <w:rsid w:val="00350F00"/>
    <w:rsid w:val="00351408"/>
    <w:rsid w:val="003517C5"/>
    <w:rsid w:val="003519A5"/>
    <w:rsid w:val="003519CE"/>
    <w:rsid w:val="00351B1C"/>
    <w:rsid w:val="00351CB5"/>
    <w:rsid w:val="00352448"/>
    <w:rsid w:val="003524F0"/>
    <w:rsid w:val="003526F0"/>
    <w:rsid w:val="00352854"/>
    <w:rsid w:val="00352909"/>
    <w:rsid w:val="00352AA9"/>
    <w:rsid w:val="00352B29"/>
    <w:rsid w:val="00352DDF"/>
    <w:rsid w:val="00352E2A"/>
    <w:rsid w:val="00352EE4"/>
    <w:rsid w:val="00353172"/>
    <w:rsid w:val="00353336"/>
    <w:rsid w:val="00353407"/>
    <w:rsid w:val="00353728"/>
    <w:rsid w:val="00353B5A"/>
    <w:rsid w:val="00354623"/>
    <w:rsid w:val="003547C6"/>
    <w:rsid w:val="003547F8"/>
    <w:rsid w:val="00354854"/>
    <w:rsid w:val="003548B5"/>
    <w:rsid w:val="0035499F"/>
    <w:rsid w:val="00354A57"/>
    <w:rsid w:val="00354CEC"/>
    <w:rsid w:val="003550E3"/>
    <w:rsid w:val="0035540F"/>
    <w:rsid w:val="003557C3"/>
    <w:rsid w:val="00355C52"/>
    <w:rsid w:val="00355D34"/>
    <w:rsid w:val="00355D40"/>
    <w:rsid w:val="00355E3C"/>
    <w:rsid w:val="00355F1D"/>
    <w:rsid w:val="0035602D"/>
    <w:rsid w:val="003560CA"/>
    <w:rsid w:val="00356A13"/>
    <w:rsid w:val="00356A2C"/>
    <w:rsid w:val="00356A8E"/>
    <w:rsid w:val="00356CDC"/>
    <w:rsid w:val="003572B0"/>
    <w:rsid w:val="00357356"/>
    <w:rsid w:val="00357C95"/>
    <w:rsid w:val="00357CFB"/>
    <w:rsid w:val="00357DFD"/>
    <w:rsid w:val="00357E2D"/>
    <w:rsid w:val="00357FD0"/>
    <w:rsid w:val="0036009A"/>
    <w:rsid w:val="0036032B"/>
    <w:rsid w:val="003603CE"/>
    <w:rsid w:val="0036049E"/>
    <w:rsid w:val="003604A2"/>
    <w:rsid w:val="0036062D"/>
    <w:rsid w:val="00360AFE"/>
    <w:rsid w:val="00360E04"/>
    <w:rsid w:val="003618EF"/>
    <w:rsid w:val="00361B52"/>
    <w:rsid w:val="00361C8E"/>
    <w:rsid w:val="00361FF2"/>
    <w:rsid w:val="003620A1"/>
    <w:rsid w:val="0036228A"/>
    <w:rsid w:val="00362634"/>
    <w:rsid w:val="0036269F"/>
    <w:rsid w:val="003628B4"/>
    <w:rsid w:val="00362C3E"/>
    <w:rsid w:val="00362E0D"/>
    <w:rsid w:val="00363007"/>
    <w:rsid w:val="0036305F"/>
    <w:rsid w:val="003633F6"/>
    <w:rsid w:val="003635F6"/>
    <w:rsid w:val="00363904"/>
    <w:rsid w:val="00363AC7"/>
    <w:rsid w:val="00363B20"/>
    <w:rsid w:val="00363B42"/>
    <w:rsid w:val="00363CBA"/>
    <w:rsid w:val="00363E24"/>
    <w:rsid w:val="00364478"/>
    <w:rsid w:val="003644F8"/>
    <w:rsid w:val="00364647"/>
    <w:rsid w:val="0036465A"/>
    <w:rsid w:val="003646D3"/>
    <w:rsid w:val="0036488C"/>
    <w:rsid w:val="00364C3D"/>
    <w:rsid w:val="00364DB1"/>
    <w:rsid w:val="0036542D"/>
    <w:rsid w:val="00365463"/>
    <w:rsid w:val="0036563A"/>
    <w:rsid w:val="0036564A"/>
    <w:rsid w:val="00365C46"/>
    <w:rsid w:val="00365ED0"/>
    <w:rsid w:val="00365F7D"/>
    <w:rsid w:val="003660A4"/>
    <w:rsid w:val="003663A9"/>
    <w:rsid w:val="00366662"/>
    <w:rsid w:val="00366795"/>
    <w:rsid w:val="00366873"/>
    <w:rsid w:val="003669ED"/>
    <w:rsid w:val="00366A37"/>
    <w:rsid w:val="00366EE2"/>
    <w:rsid w:val="00366FF8"/>
    <w:rsid w:val="00367078"/>
    <w:rsid w:val="003671D0"/>
    <w:rsid w:val="00367287"/>
    <w:rsid w:val="003673AD"/>
    <w:rsid w:val="003674BD"/>
    <w:rsid w:val="003674CA"/>
    <w:rsid w:val="0036755F"/>
    <w:rsid w:val="003678F9"/>
    <w:rsid w:val="003679B0"/>
    <w:rsid w:val="00367D63"/>
    <w:rsid w:val="00370198"/>
    <w:rsid w:val="00370221"/>
    <w:rsid w:val="00370232"/>
    <w:rsid w:val="0037025C"/>
    <w:rsid w:val="00370543"/>
    <w:rsid w:val="00370630"/>
    <w:rsid w:val="003706BB"/>
    <w:rsid w:val="00370753"/>
    <w:rsid w:val="00370756"/>
    <w:rsid w:val="00370905"/>
    <w:rsid w:val="0037092E"/>
    <w:rsid w:val="00370D92"/>
    <w:rsid w:val="00371698"/>
    <w:rsid w:val="003716CE"/>
    <w:rsid w:val="00371837"/>
    <w:rsid w:val="00371869"/>
    <w:rsid w:val="00371960"/>
    <w:rsid w:val="00371BEE"/>
    <w:rsid w:val="00371D68"/>
    <w:rsid w:val="003727D3"/>
    <w:rsid w:val="003728B5"/>
    <w:rsid w:val="00372946"/>
    <w:rsid w:val="00372A6C"/>
    <w:rsid w:val="00372BBE"/>
    <w:rsid w:val="00372F34"/>
    <w:rsid w:val="00372FD9"/>
    <w:rsid w:val="003734B6"/>
    <w:rsid w:val="00373718"/>
    <w:rsid w:val="00373836"/>
    <w:rsid w:val="003738D7"/>
    <w:rsid w:val="00373947"/>
    <w:rsid w:val="0037394B"/>
    <w:rsid w:val="00373D44"/>
    <w:rsid w:val="00373D8F"/>
    <w:rsid w:val="00373EAE"/>
    <w:rsid w:val="00374071"/>
    <w:rsid w:val="003742CD"/>
    <w:rsid w:val="003743F7"/>
    <w:rsid w:val="0037468C"/>
    <w:rsid w:val="003748AE"/>
    <w:rsid w:val="00374C22"/>
    <w:rsid w:val="00374D22"/>
    <w:rsid w:val="00374D27"/>
    <w:rsid w:val="00375083"/>
    <w:rsid w:val="003754B0"/>
    <w:rsid w:val="00375716"/>
    <w:rsid w:val="0037586E"/>
    <w:rsid w:val="003758C2"/>
    <w:rsid w:val="00375BBB"/>
    <w:rsid w:val="00375D22"/>
    <w:rsid w:val="00375D95"/>
    <w:rsid w:val="00375DAE"/>
    <w:rsid w:val="00376082"/>
    <w:rsid w:val="00376086"/>
    <w:rsid w:val="003761CF"/>
    <w:rsid w:val="003761F6"/>
    <w:rsid w:val="00376228"/>
    <w:rsid w:val="0037638A"/>
    <w:rsid w:val="003763D7"/>
    <w:rsid w:val="00376930"/>
    <w:rsid w:val="00376A3D"/>
    <w:rsid w:val="00376BC4"/>
    <w:rsid w:val="00376FB9"/>
    <w:rsid w:val="00377627"/>
    <w:rsid w:val="003777E4"/>
    <w:rsid w:val="00377829"/>
    <w:rsid w:val="00377859"/>
    <w:rsid w:val="00377893"/>
    <w:rsid w:val="003779A8"/>
    <w:rsid w:val="00377C8E"/>
    <w:rsid w:val="00377D42"/>
    <w:rsid w:val="00377DCD"/>
    <w:rsid w:val="00377F28"/>
    <w:rsid w:val="00377F45"/>
    <w:rsid w:val="0038000F"/>
    <w:rsid w:val="0038029A"/>
    <w:rsid w:val="003804B2"/>
    <w:rsid w:val="00380553"/>
    <w:rsid w:val="003805DB"/>
    <w:rsid w:val="00380CC3"/>
    <w:rsid w:val="00380DEF"/>
    <w:rsid w:val="00380E8E"/>
    <w:rsid w:val="00380EBA"/>
    <w:rsid w:val="00380ED7"/>
    <w:rsid w:val="003810CC"/>
    <w:rsid w:val="003813AE"/>
    <w:rsid w:val="00381790"/>
    <w:rsid w:val="003817F1"/>
    <w:rsid w:val="00381923"/>
    <w:rsid w:val="00381A4E"/>
    <w:rsid w:val="00381BD0"/>
    <w:rsid w:val="00381DCE"/>
    <w:rsid w:val="00381E99"/>
    <w:rsid w:val="003821C8"/>
    <w:rsid w:val="00382343"/>
    <w:rsid w:val="0038269B"/>
    <w:rsid w:val="003826AF"/>
    <w:rsid w:val="00382D53"/>
    <w:rsid w:val="00382E6D"/>
    <w:rsid w:val="00382FA6"/>
    <w:rsid w:val="003831A1"/>
    <w:rsid w:val="003832CD"/>
    <w:rsid w:val="00383388"/>
    <w:rsid w:val="003834E3"/>
    <w:rsid w:val="00383863"/>
    <w:rsid w:val="00383E3B"/>
    <w:rsid w:val="003842AF"/>
    <w:rsid w:val="00384393"/>
    <w:rsid w:val="00384401"/>
    <w:rsid w:val="003848E3"/>
    <w:rsid w:val="00384A42"/>
    <w:rsid w:val="00384B91"/>
    <w:rsid w:val="00384C74"/>
    <w:rsid w:val="00384D94"/>
    <w:rsid w:val="00384E97"/>
    <w:rsid w:val="00385010"/>
    <w:rsid w:val="0038517C"/>
    <w:rsid w:val="003855D4"/>
    <w:rsid w:val="00385643"/>
    <w:rsid w:val="003859E5"/>
    <w:rsid w:val="00385BE1"/>
    <w:rsid w:val="00385E93"/>
    <w:rsid w:val="003860CF"/>
    <w:rsid w:val="0038616E"/>
    <w:rsid w:val="003861C3"/>
    <w:rsid w:val="00386318"/>
    <w:rsid w:val="0038632C"/>
    <w:rsid w:val="0038643D"/>
    <w:rsid w:val="003866D0"/>
    <w:rsid w:val="0038688B"/>
    <w:rsid w:val="00387071"/>
    <w:rsid w:val="00387585"/>
    <w:rsid w:val="00387F5F"/>
    <w:rsid w:val="00390227"/>
    <w:rsid w:val="003904D6"/>
    <w:rsid w:val="00390571"/>
    <w:rsid w:val="00390782"/>
    <w:rsid w:val="003908B6"/>
    <w:rsid w:val="00390958"/>
    <w:rsid w:val="003909DA"/>
    <w:rsid w:val="00390AB2"/>
    <w:rsid w:val="003914B9"/>
    <w:rsid w:val="00391603"/>
    <w:rsid w:val="00391625"/>
    <w:rsid w:val="00391A39"/>
    <w:rsid w:val="00391BE1"/>
    <w:rsid w:val="00391D5B"/>
    <w:rsid w:val="00391DE1"/>
    <w:rsid w:val="00391F88"/>
    <w:rsid w:val="00392306"/>
    <w:rsid w:val="00392340"/>
    <w:rsid w:val="003923FA"/>
    <w:rsid w:val="003925F4"/>
    <w:rsid w:val="0039262D"/>
    <w:rsid w:val="0039273B"/>
    <w:rsid w:val="00392B26"/>
    <w:rsid w:val="00392D9B"/>
    <w:rsid w:val="00392FF6"/>
    <w:rsid w:val="00392FFE"/>
    <w:rsid w:val="003931AF"/>
    <w:rsid w:val="003932F1"/>
    <w:rsid w:val="003933FB"/>
    <w:rsid w:val="00393473"/>
    <w:rsid w:val="00393525"/>
    <w:rsid w:val="00393632"/>
    <w:rsid w:val="003936AF"/>
    <w:rsid w:val="00393758"/>
    <w:rsid w:val="003938EB"/>
    <w:rsid w:val="00393C53"/>
    <w:rsid w:val="00393D26"/>
    <w:rsid w:val="00393FD7"/>
    <w:rsid w:val="00394060"/>
    <w:rsid w:val="003942C2"/>
    <w:rsid w:val="00394358"/>
    <w:rsid w:val="00394459"/>
    <w:rsid w:val="00394561"/>
    <w:rsid w:val="003946E3"/>
    <w:rsid w:val="0039496B"/>
    <w:rsid w:val="00394C5C"/>
    <w:rsid w:val="00394CDF"/>
    <w:rsid w:val="00394D12"/>
    <w:rsid w:val="0039518D"/>
    <w:rsid w:val="003953BF"/>
    <w:rsid w:val="003956FF"/>
    <w:rsid w:val="003958C1"/>
    <w:rsid w:val="0039593B"/>
    <w:rsid w:val="00396126"/>
    <w:rsid w:val="0039616C"/>
    <w:rsid w:val="00396293"/>
    <w:rsid w:val="00396323"/>
    <w:rsid w:val="003966AE"/>
    <w:rsid w:val="00396708"/>
    <w:rsid w:val="00396C6E"/>
    <w:rsid w:val="00396FC7"/>
    <w:rsid w:val="003970D0"/>
    <w:rsid w:val="0039711F"/>
    <w:rsid w:val="003973A9"/>
    <w:rsid w:val="003973B7"/>
    <w:rsid w:val="003974BC"/>
    <w:rsid w:val="00397616"/>
    <w:rsid w:val="00397E08"/>
    <w:rsid w:val="00397F3D"/>
    <w:rsid w:val="00397F85"/>
    <w:rsid w:val="003A00C9"/>
    <w:rsid w:val="003A00CA"/>
    <w:rsid w:val="003A01F4"/>
    <w:rsid w:val="003A0220"/>
    <w:rsid w:val="003A0621"/>
    <w:rsid w:val="003A0926"/>
    <w:rsid w:val="003A093E"/>
    <w:rsid w:val="003A09B6"/>
    <w:rsid w:val="003A0A8A"/>
    <w:rsid w:val="003A0DD7"/>
    <w:rsid w:val="003A1166"/>
    <w:rsid w:val="003A1172"/>
    <w:rsid w:val="003A126E"/>
    <w:rsid w:val="003A12EA"/>
    <w:rsid w:val="003A138D"/>
    <w:rsid w:val="003A13C0"/>
    <w:rsid w:val="003A1569"/>
    <w:rsid w:val="003A1592"/>
    <w:rsid w:val="003A161F"/>
    <w:rsid w:val="003A1680"/>
    <w:rsid w:val="003A1785"/>
    <w:rsid w:val="003A1B59"/>
    <w:rsid w:val="003A1DD7"/>
    <w:rsid w:val="003A1E38"/>
    <w:rsid w:val="003A204A"/>
    <w:rsid w:val="003A2218"/>
    <w:rsid w:val="003A23F3"/>
    <w:rsid w:val="003A2B7B"/>
    <w:rsid w:val="003A2D17"/>
    <w:rsid w:val="003A2E7F"/>
    <w:rsid w:val="003A3089"/>
    <w:rsid w:val="003A3532"/>
    <w:rsid w:val="003A3762"/>
    <w:rsid w:val="003A3A89"/>
    <w:rsid w:val="003A3CEE"/>
    <w:rsid w:val="003A3D4E"/>
    <w:rsid w:val="003A3E12"/>
    <w:rsid w:val="003A3ECC"/>
    <w:rsid w:val="003A4211"/>
    <w:rsid w:val="003A4214"/>
    <w:rsid w:val="003A4358"/>
    <w:rsid w:val="003A4417"/>
    <w:rsid w:val="003A4729"/>
    <w:rsid w:val="003A48E6"/>
    <w:rsid w:val="003A4A01"/>
    <w:rsid w:val="003A4A0B"/>
    <w:rsid w:val="003A4FD0"/>
    <w:rsid w:val="003A5107"/>
    <w:rsid w:val="003A5376"/>
    <w:rsid w:val="003A55AE"/>
    <w:rsid w:val="003A567E"/>
    <w:rsid w:val="003A5767"/>
    <w:rsid w:val="003A577B"/>
    <w:rsid w:val="003A59DF"/>
    <w:rsid w:val="003A5AD5"/>
    <w:rsid w:val="003A5B0C"/>
    <w:rsid w:val="003A5FF6"/>
    <w:rsid w:val="003A609B"/>
    <w:rsid w:val="003A611B"/>
    <w:rsid w:val="003A61DB"/>
    <w:rsid w:val="003A6208"/>
    <w:rsid w:val="003A66F1"/>
    <w:rsid w:val="003A6A58"/>
    <w:rsid w:val="003A6A67"/>
    <w:rsid w:val="003A6B90"/>
    <w:rsid w:val="003A6D32"/>
    <w:rsid w:val="003A705B"/>
    <w:rsid w:val="003A7874"/>
    <w:rsid w:val="003A7C0E"/>
    <w:rsid w:val="003B0061"/>
    <w:rsid w:val="003B00C9"/>
    <w:rsid w:val="003B05C6"/>
    <w:rsid w:val="003B0AF8"/>
    <w:rsid w:val="003B0D32"/>
    <w:rsid w:val="003B10A1"/>
    <w:rsid w:val="003B114F"/>
    <w:rsid w:val="003B11ED"/>
    <w:rsid w:val="003B1242"/>
    <w:rsid w:val="003B12C1"/>
    <w:rsid w:val="003B157E"/>
    <w:rsid w:val="003B1674"/>
    <w:rsid w:val="003B199A"/>
    <w:rsid w:val="003B1B2C"/>
    <w:rsid w:val="003B1BEA"/>
    <w:rsid w:val="003B2C84"/>
    <w:rsid w:val="003B2E8E"/>
    <w:rsid w:val="003B32BC"/>
    <w:rsid w:val="003B34E6"/>
    <w:rsid w:val="003B36E8"/>
    <w:rsid w:val="003B381F"/>
    <w:rsid w:val="003B383E"/>
    <w:rsid w:val="003B396E"/>
    <w:rsid w:val="003B399A"/>
    <w:rsid w:val="003B3BB2"/>
    <w:rsid w:val="003B3D2E"/>
    <w:rsid w:val="003B3D6F"/>
    <w:rsid w:val="003B42CB"/>
    <w:rsid w:val="003B4893"/>
    <w:rsid w:val="003B4E7A"/>
    <w:rsid w:val="003B4F0C"/>
    <w:rsid w:val="003B5853"/>
    <w:rsid w:val="003B58C0"/>
    <w:rsid w:val="003B5D47"/>
    <w:rsid w:val="003B5F60"/>
    <w:rsid w:val="003B5FA4"/>
    <w:rsid w:val="003B600F"/>
    <w:rsid w:val="003B60CE"/>
    <w:rsid w:val="003B6123"/>
    <w:rsid w:val="003B63CF"/>
    <w:rsid w:val="003B65BD"/>
    <w:rsid w:val="003B65ED"/>
    <w:rsid w:val="003B6BA4"/>
    <w:rsid w:val="003B6EE1"/>
    <w:rsid w:val="003B6F14"/>
    <w:rsid w:val="003B7295"/>
    <w:rsid w:val="003B72B1"/>
    <w:rsid w:val="003B73ED"/>
    <w:rsid w:val="003B7428"/>
    <w:rsid w:val="003B7534"/>
    <w:rsid w:val="003B78F0"/>
    <w:rsid w:val="003B79D4"/>
    <w:rsid w:val="003B7B38"/>
    <w:rsid w:val="003B7FF1"/>
    <w:rsid w:val="003C01BC"/>
    <w:rsid w:val="003C0230"/>
    <w:rsid w:val="003C07E1"/>
    <w:rsid w:val="003C0A71"/>
    <w:rsid w:val="003C0A8A"/>
    <w:rsid w:val="003C0AAA"/>
    <w:rsid w:val="003C0CCA"/>
    <w:rsid w:val="003C0DF2"/>
    <w:rsid w:val="003C19EE"/>
    <w:rsid w:val="003C1B63"/>
    <w:rsid w:val="003C1CFC"/>
    <w:rsid w:val="003C1EB9"/>
    <w:rsid w:val="003C28A6"/>
    <w:rsid w:val="003C2B7E"/>
    <w:rsid w:val="003C310C"/>
    <w:rsid w:val="003C3251"/>
    <w:rsid w:val="003C334D"/>
    <w:rsid w:val="003C3351"/>
    <w:rsid w:val="003C33FD"/>
    <w:rsid w:val="003C3654"/>
    <w:rsid w:val="003C365F"/>
    <w:rsid w:val="003C3996"/>
    <w:rsid w:val="003C39EF"/>
    <w:rsid w:val="003C3A59"/>
    <w:rsid w:val="003C3AF3"/>
    <w:rsid w:val="003C3B26"/>
    <w:rsid w:val="003C3C16"/>
    <w:rsid w:val="003C3EA6"/>
    <w:rsid w:val="003C3FE1"/>
    <w:rsid w:val="003C401F"/>
    <w:rsid w:val="003C4143"/>
    <w:rsid w:val="003C41EC"/>
    <w:rsid w:val="003C4253"/>
    <w:rsid w:val="003C42D5"/>
    <w:rsid w:val="003C46BF"/>
    <w:rsid w:val="003C48BF"/>
    <w:rsid w:val="003C494D"/>
    <w:rsid w:val="003C4A47"/>
    <w:rsid w:val="003C50B1"/>
    <w:rsid w:val="003C5471"/>
    <w:rsid w:val="003C5534"/>
    <w:rsid w:val="003C57F3"/>
    <w:rsid w:val="003C5837"/>
    <w:rsid w:val="003C5C8D"/>
    <w:rsid w:val="003C5CF9"/>
    <w:rsid w:val="003C6048"/>
    <w:rsid w:val="003C62A6"/>
    <w:rsid w:val="003C673F"/>
    <w:rsid w:val="003C67F6"/>
    <w:rsid w:val="003C6923"/>
    <w:rsid w:val="003C6A49"/>
    <w:rsid w:val="003C6F43"/>
    <w:rsid w:val="003C712D"/>
    <w:rsid w:val="003C734E"/>
    <w:rsid w:val="003C7425"/>
    <w:rsid w:val="003C742B"/>
    <w:rsid w:val="003C7496"/>
    <w:rsid w:val="003C756B"/>
    <w:rsid w:val="003C7581"/>
    <w:rsid w:val="003C7D5E"/>
    <w:rsid w:val="003C7E8A"/>
    <w:rsid w:val="003C7EFA"/>
    <w:rsid w:val="003D053B"/>
    <w:rsid w:val="003D0593"/>
    <w:rsid w:val="003D0C48"/>
    <w:rsid w:val="003D0ED1"/>
    <w:rsid w:val="003D1247"/>
    <w:rsid w:val="003D12C1"/>
    <w:rsid w:val="003D12FD"/>
    <w:rsid w:val="003D152F"/>
    <w:rsid w:val="003D1568"/>
    <w:rsid w:val="003D15FE"/>
    <w:rsid w:val="003D1624"/>
    <w:rsid w:val="003D1900"/>
    <w:rsid w:val="003D1A25"/>
    <w:rsid w:val="003D1A45"/>
    <w:rsid w:val="003D1C2A"/>
    <w:rsid w:val="003D1E45"/>
    <w:rsid w:val="003D210D"/>
    <w:rsid w:val="003D24C7"/>
    <w:rsid w:val="003D24E5"/>
    <w:rsid w:val="003D2896"/>
    <w:rsid w:val="003D2922"/>
    <w:rsid w:val="003D2A5A"/>
    <w:rsid w:val="003D2BCE"/>
    <w:rsid w:val="003D3136"/>
    <w:rsid w:val="003D333B"/>
    <w:rsid w:val="003D34CD"/>
    <w:rsid w:val="003D3518"/>
    <w:rsid w:val="003D37E6"/>
    <w:rsid w:val="003D38AF"/>
    <w:rsid w:val="003D38E4"/>
    <w:rsid w:val="003D39DB"/>
    <w:rsid w:val="003D3D04"/>
    <w:rsid w:val="003D3DD5"/>
    <w:rsid w:val="003D414B"/>
    <w:rsid w:val="003D4570"/>
    <w:rsid w:val="003D46F3"/>
    <w:rsid w:val="003D47E3"/>
    <w:rsid w:val="003D4CD3"/>
    <w:rsid w:val="003D4DB4"/>
    <w:rsid w:val="003D5112"/>
    <w:rsid w:val="003D514A"/>
    <w:rsid w:val="003D518D"/>
    <w:rsid w:val="003D5583"/>
    <w:rsid w:val="003D5846"/>
    <w:rsid w:val="003D58B5"/>
    <w:rsid w:val="003D590E"/>
    <w:rsid w:val="003D5C3F"/>
    <w:rsid w:val="003D5D37"/>
    <w:rsid w:val="003D5F98"/>
    <w:rsid w:val="003D6071"/>
    <w:rsid w:val="003D615B"/>
    <w:rsid w:val="003D62E5"/>
    <w:rsid w:val="003D62E9"/>
    <w:rsid w:val="003D65B3"/>
    <w:rsid w:val="003D6A0A"/>
    <w:rsid w:val="003D6A99"/>
    <w:rsid w:val="003D6BFC"/>
    <w:rsid w:val="003D6CEE"/>
    <w:rsid w:val="003D6D11"/>
    <w:rsid w:val="003D6FBA"/>
    <w:rsid w:val="003D7018"/>
    <w:rsid w:val="003D70A8"/>
    <w:rsid w:val="003D70B4"/>
    <w:rsid w:val="003D70F5"/>
    <w:rsid w:val="003D735C"/>
    <w:rsid w:val="003D738F"/>
    <w:rsid w:val="003D73BC"/>
    <w:rsid w:val="003D75B2"/>
    <w:rsid w:val="003D763C"/>
    <w:rsid w:val="003D76E1"/>
    <w:rsid w:val="003D7863"/>
    <w:rsid w:val="003D788E"/>
    <w:rsid w:val="003D78E6"/>
    <w:rsid w:val="003D791B"/>
    <w:rsid w:val="003D7B04"/>
    <w:rsid w:val="003D7BCE"/>
    <w:rsid w:val="003D7DD7"/>
    <w:rsid w:val="003E00E3"/>
    <w:rsid w:val="003E021D"/>
    <w:rsid w:val="003E02FD"/>
    <w:rsid w:val="003E0538"/>
    <w:rsid w:val="003E068A"/>
    <w:rsid w:val="003E06E4"/>
    <w:rsid w:val="003E07ED"/>
    <w:rsid w:val="003E0A0D"/>
    <w:rsid w:val="003E0B45"/>
    <w:rsid w:val="003E0D2E"/>
    <w:rsid w:val="003E0D8E"/>
    <w:rsid w:val="003E0FF0"/>
    <w:rsid w:val="003E10D7"/>
    <w:rsid w:val="003E15E9"/>
    <w:rsid w:val="003E1CE4"/>
    <w:rsid w:val="003E1E74"/>
    <w:rsid w:val="003E20ED"/>
    <w:rsid w:val="003E2172"/>
    <w:rsid w:val="003E21AC"/>
    <w:rsid w:val="003E2230"/>
    <w:rsid w:val="003E26F0"/>
    <w:rsid w:val="003E2855"/>
    <w:rsid w:val="003E2C92"/>
    <w:rsid w:val="003E2EEC"/>
    <w:rsid w:val="003E2F09"/>
    <w:rsid w:val="003E32DA"/>
    <w:rsid w:val="003E37BB"/>
    <w:rsid w:val="003E388B"/>
    <w:rsid w:val="003E3A06"/>
    <w:rsid w:val="003E3AD6"/>
    <w:rsid w:val="003E3B78"/>
    <w:rsid w:val="003E3E91"/>
    <w:rsid w:val="003E3FD5"/>
    <w:rsid w:val="003E4032"/>
    <w:rsid w:val="003E4348"/>
    <w:rsid w:val="003E4377"/>
    <w:rsid w:val="003E4436"/>
    <w:rsid w:val="003E4918"/>
    <w:rsid w:val="003E4BE3"/>
    <w:rsid w:val="003E4BF4"/>
    <w:rsid w:val="003E4CAC"/>
    <w:rsid w:val="003E4D17"/>
    <w:rsid w:val="003E51B7"/>
    <w:rsid w:val="003E5581"/>
    <w:rsid w:val="003E5588"/>
    <w:rsid w:val="003E56BF"/>
    <w:rsid w:val="003E5772"/>
    <w:rsid w:val="003E579B"/>
    <w:rsid w:val="003E5902"/>
    <w:rsid w:val="003E591D"/>
    <w:rsid w:val="003E59E5"/>
    <w:rsid w:val="003E5A12"/>
    <w:rsid w:val="003E5C77"/>
    <w:rsid w:val="003E62DC"/>
    <w:rsid w:val="003E674D"/>
    <w:rsid w:val="003E6F8E"/>
    <w:rsid w:val="003E70DB"/>
    <w:rsid w:val="003E715A"/>
    <w:rsid w:val="003E746B"/>
    <w:rsid w:val="003E7607"/>
    <w:rsid w:val="003E76EE"/>
    <w:rsid w:val="003E7753"/>
    <w:rsid w:val="003E7E10"/>
    <w:rsid w:val="003E7E9B"/>
    <w:rsid w:val="003E7FCA"/>
    <w:rsid w:val="003F0030"/>
    <w:rsid w:val="003F02E1"/>
    <w:rsid w:val="003F0537"/>
    <w:rsid w:val="003F08CD"/>
    <w:rsid w:val="003F0B32"/>
    <w:rsid w:val="003F0D00"/>
    <w:rsid w:val="003F0D21"/>
    <w:rsid w:val="003F0D77"/>
    <w:rsid w:val="003F10FB"/>
    <w:rsid w:val="003F1154"/>
    <w:rsid w:val="003F1177"/>
    <w:rsid w:val="003F11C9"/>
    <w:rsid w:val="003F130A"/>
    <w:rsid w:val="003F1456"/>
    <w:rsid w:val="003F188F"/>
    <w:rsid w:val="003F1960"/>
    <w:rsid w:val="003F19B9"/>
    <w:rsid w:val="003F1BA1"/>
    <w:rsid w:val="003F1F66"/>
    <w:rsid w:val="003F1FA0"/>
    <w:rsid w:val="003F200B"/>
    <w:rsid w:val="003F210A"/>
    <w:rsid w:val="003F21D9"/>
    <w:rsid w:val="003F22E9"/>
    <w:rsid w:val="003F238F"/>
    <w:rsid w:val="003F2487"/>
    <w:rsid w:val="003F2847"/>
    <w:rsid w:val="003F2F11"/>
    <w:rsid w:val="003F32C3"/>
    <w:rsid w:val="003F3A56"/>
    <w:rsid w:val="003F3AE6"/>
    <w:rsid w:val="003F3C38"/>
    <w:rsid w:val="003F3D79"/>
    <w:rsid w:val="003F3E10"/>
    <w:rsid w:val="003F3EE8"/>
    <w:rsid w:val="003F3F99"/>
    <w:rsid w:val="003F40CF"/>
    <w:rsid w:val="003F444D"/>
    <w:rsid w:val="003F4468"/>
    <w:rsid w:val="003F453C"/>
    <w:rsid w:val="003F492C"/>
    <w:rsid w:val="003F4931"/>
    <w:rsid w:val="003F4A59"/>
    <w:rsid w:val="003F4C9F"/>
    <w:rsid w:val="003F4E1F"/>
    <w:rsid w:val="003F4E5F"/>
    <w:rsid w:val="003F4FFA"/>
    <w:rsid w:val="003F50D3"/>
    <w:rsid w:val="003F534D"/>
    <w:rsid w:val="003F5748"/>
    <w:rsid w:val="003F5BC9"/>
    <w:rsid w:val="003F5FD8"/>
    <w:rsid w:val="003F6469"/>
    <w:rsid w:val="003F64F8"/>
    <w:rsid w:val="003F6958"/>
    <w:rsid w:val="003F6A6C"/>
    <w:rsid w:val="003F6D05"/>
    <w:rsid w:val="003F6D3C"/>
    <w:rsid w:val="003F6F3C"/>
    <w:rsid w:val="003F74D2"/>
    <w:rsid w:val="003F76FF"/>
    <w:rsid w:val="003F776F"/>
    <w:rsid w:val="003F7A20"/>
    <w:rsid w:val="003F7AA4"/>
    <w:rsid w:val="003F7B2A"/>
    <w:rsid w:val="003F7C71"/>
    <w:rsid w:val="003F7C98"/>
    <w:rsid w:val="003F7CD6"/>
    <w:rsid w:val="003F7D2F"/>
    <w:rsid w:val="004002C8"/>
    <w:rsid w:val="004008A7"/>
    <w:rsid w:val="00400A29"/>
    <w:rsid w:val="0040124D"/>
    <w:rsid w:val="00401343"/>
    <w:rsid w:val="00401546"/>
    <w:rsid w:val="00401820"/>
    <w:rsid w:val="00401984"/>
    <w:rsid w:val="00402044"/>
    <w:rsid w:val="004025B8"/>
    <w:rsid w:val="0040261F"/>
    <w:rsid w:val="004028D4"/>
    <w:rsid w:val="004028DE"/>
    <w:rsid w:val="00402B2C"/>
    <w:rsid w:val="00402D9C"/>
    <w:rsid w:val="00402EC1"/>
    <w:rsid w:val="00402F39"/>
    <w:rsid w:val="00403080"/>
    <w:rsid w:val="0040327A"/>
    <w:rsid w:val="004032B2"/>
    <w:rsid w:val="004037CD"/>
    <w:rsid w:val="00403810"/>
    <w:rsid w:val="00403BC8"/>
    <w:rsid w:val="0040400A"/>
    <w:rsid w:val="00404085"/>
    <w:rsid w:val="004042DD"/>
    <w:rsid w:val="00404401"/>
    <w:rsid w:val="004046BF"/>
    <w:rsid w:val="004047DA"/>
    <w:rsid w:val="00404A95"/>
    <w:rsid w:val="00404B12"/>
    <w:rsid w:val="00404CD5"/>
    <w:rsid w:val="00404CFC"/>
    <w:rsid w:val="00404D06"/>
    <w:rsid w:val="004053C2"/>
    <w:rsid w:val="004057FF"/>
    <w:rsid w:val="004059C0"/>
    <w:rsid w:val="00405AC1"/>
    <w:rsid w:val="00405B1B"/>
    <w:rsid w:val="00405C3D"/>
    <w:rsid w:val="00405EFE"/>
    <w:rsid w:val="00405FAE"/>
    <w:rsid w:val="00406682"/>
    <w:rsid w:val="00406996"/>
    <w:rsid w:val="00406A25"/>
    <w:rsid w:val="00406B0F"/>
    <w:rsid w:val="00406D09"/>
    <w:rsid w:val="00407077"/>
    <w:rsid w:val="0040716B"/>
    <w:rsid w:val="004072F3"/>
    <w:rsid w:val="0040733B"/>
    <w:rsid w:val="0040786E"/>
    <w:rsid w:val="0040797B"/>
    <w:rsid w:val="00407AEA"/>
    <w:rsid w:val="00407CA1"/>
    <w:rsid w:val="004100CA"/>
    <w:rsid w:val="00410280"/>
    <w:rsid w:val="0041045B"/>
    <w:rsid w:val="0041049D"/>
    <w:rsid w:val="00410792"/>
    <w:rsid w:val="00410812"/>
    <w:rsid w:val="00410931"/>
    <w:rsid w:val="00410B98"/>
    <w:rsid w:val="00410C60"/>
    <w:rsid w:val="00410CCC"/>
    <w:rsid w:val="00410D22"/>
    <w:rsid w:val="00410DB8"/>
    <w:rsid w:val="00410F01"/>
    <w:rsid w:val="00411385"/>
    <w:rsid w:val="004116B9"/>
    <w:rsid w:val="004117F4"/>
    <w:rsid w:val="00411896"/>
    <w:rsid w:val="00411A05"/>
    <w:rsid w:val="00411B72"/>
    <w:rsid w:val="00411BCC"/>
    <w:rsid w:val="00411D6D"/>
    <w:rsid w:val="00411D72"/>
    <w:rsid w:val="00412196"/>
    <w:rsid w:val="00412707"/>
    <w:rsid w:val="00412B53"/>
    <w:rsid w:val="00412B95"/>
    <w:rsid w:val="00412B9D"/>
    <w:rsid w:val="00412E6C"/>
    <w:rsid w:val="00413201"/>
    <w:rsid w:val="00413A24"/>
    <w:rsid w:val="00413A3E"/>
    <w:rsid w:val="00413EC1"/>
    <w:rsid w:val="0041414F"/>
    <w:rsid w:val="0041424B"/>
    <w:rsid w:val="004142B2"/>
    <w:rsid w:val="0041431D"/>
    <w:rsid w:val="0041448B"/>
    <w:rsid w:val="004146A8"/>
    <w:rsid w:val="00414A04"/>
    <w:rsid w:val="00415045"/>
    <w:rsid w:val="0041512C"/>
    <w:rsid w:val="0041548E"/>
    <w:rsid w:val="00415575"/>
    <w:rsid w:val="0041571F"/>
    <w:rsid w:val="0041572D"/>
    <w:rsid w:val="004157E3"/>
    <w:rsid w:val="00415826"/>
    <w:rsid w:val="0041583C"/>
    <w:rsid w:val="00415D1D"/>
    <w:rsid w:val="00415E6B"/>
    <w:rsid w:val="00415F1A"/>
    <w:rsid w:val="004161F6"/>
    <w:rsid w:val="00416263"/>
    <w:rsid w:val="004164B4"/>
    <w:rsid w:val="00416551"/>
    <w:rsid w:val="004167D9"/>
    <w:rsid w:val="00416834"/>
    <w:rsid w:val="00416A67"/>
    <w:rsid w:val="00416D0A"/>
    <w:rsid w:val="00416EFB"/>
    <w:rsid w:val="00417375"/>
    <w:rsid w:val="004176DE"/>
    <w:rsid w:val="00417987"/>
    <w:rsid w:val="00417DFF"/>
    <w:rsid w:val="00417F12"/>
    <w:rsid w:val="0042007D"/>
    <w:rsid w:val="00420699"/>
    <w:rsid w:val="00420790"/>
    <w:rsid w:val="0042097F"/>
    <w:rsid w:val="00420AAD"/>
    <w:rsid w:val="00420B57"/>
    <w:rsid w:val="00420CC7"/>
    <w:rsid w:val="004210B7"/>
    <w:rsid w:val="004212BB"/>
    <w:rsid w:val="0042163B"/>
    <w:rsid w:val="0042172E"/>
    <w:rsid w:val="00421D45"/>
    <w:rsid w:val="00421DCA"/>
    <w:rsid w:val="004222C8"/>
    <w:rsid w:val="0042240C"/>
    <w:rsid w:val="004224BE"/>
    <w:rsid w:val="004224CA"/>
    <w:rsid w:val="0042252A"/>
    <w:rsid w:val="004225EE"/>
    <w:rsid w:val="00422647"/>
    <w:rsid w:val="00422C28"/>
    <w:rsid w:val="00422DE2"/>
    <w:rsid w:val="00422DF2"/>
    <w:rsid w:val="00422EAE"/>
    <w:rsid w:val="00422F9A"/>
    <w:rsid w:val="00423061"/>
    <w:rsid w:val="0042327D"/>
    <w:rsid w:val="00423308"/>
    <w:rsid w:val="00423765"/>
    <w:rsid w:val="00423C05"/>
    <w:rsid w:val="00423C2C"/>
    <w:rsid w:val="00423DC2"/>
    <w:rsid w:val="004240DD"/>
    <w:rsid w:val="00424103"/>
    <w:rsid w:val="00424381"/>
    <w:rsid w:val="00424839"/>
    <w:rsid w:val="004249BA"/>
    <w:rsid w:val="00424B58"/>
    <w:rsid w:val="00424B7B"/>
    <w:rsid w:val="00424CBB"/>
    <w:rsid w:val="00424E19"/>
    <w:rsid w:val="00424F00"/>
    <w:rsid w:val="00424FF9"/>
    <w:rsid w:val="00425244"/>
    <w:rsid w:val="004252BE"/>
    <w:rsid w:val="00425333"/>
    <w:rsid w:val="0042548D"/>
    <w:rsid w:val="004254EC"/>
    <w:rsid w:val="0042556B"/>
    <w:rsid w:val="004256C0"/>
    <w:rsid w:val="004256E5"/>
    <w:rsid w:val="00425920"/>
    <w:rsid w:val="00425D67"/>
    <w:rsid w:val="00425F0C"/>
    <w:rsid w:val="00426097"/>
    <w:rsid w:val="004260A0"/>
    <w:rsid w:val="004260A6"/>
    <w:rsid w:val="004263F2"/>
    <w:rsid w:val="0042653B"/>
    <w:rsid w:val="0042662D"/>
    <w:rsid w:val="00426A34"/>
    <w:rsid w:val="00426E57"/>
    <w:rsid w:val="00426F4D"/>
    <w:rsid w:val="00427003"/>
    <w:rsid w:val="00427185"/>
    <w:rsid w:val="00427683"/>
    <w:rsid w:val="00427997"/>
    <w:rsid w:val="004279F2"/>
    <w:rsid w:val="00430044"/>
    <w:rsid w:val="0043033D"/>
    <w:rsid w:val="00430663"/>
    <w:rsid w:val="004307C8"/>
    <w:rsid w:val="00430AE4"/>
    <w:rsid w:val="00431210"/>
    <w:rsid w:val="00431511"/>
    <w:rsid w:val="00431A5E"/>
    <w:rsid w:val="00431B07"/>
    <w:rsid w:val="00431B34"/>
    <w:rsid w:val="00431BC4"/>
    <w:rsid w:val="00431D3C"/>
    <w:rsid w:val="00432018"/>
    <w:rsid w:val="00432573"/>
    <w:rsid w:val="004325DB"/>
    <w:rsid w:val="004327E7"/>
    <w:rsid w:val="004328B1"/>
    <w:rsid w:val="00432A74"/>
    <w:rsid w:val="00432A93"/>
    <w:rsid w:val="00432AF4"/>
    <w:rsid w:val="00432D79"/>
    <w:rsid w:val="00432DD7"/>
    <w:rsid w:val="00432EC3"/>
    <w:rsid w:val="00432F94"/>
    <w:rsid w:val="0043302E"/>
    <w:rsid w:val="00433265"/>
    <w:rsid w:val="0043327C"/>
    <w:rsid w:val="004334AF"/>
    <w:rsid w:val="0043365A"/>
    <w:rsid w:val="0043392A"/>
    <w:rsid w:val="00433B7E"/>
    <w:rsid w:val="00433D40"/>
    <w:rsid w:val="00433D90"/>
    <w:rsid w:val="004346A6"/>
    <w:rsid w:val="00434ADE"/>
    <w:rsid w:val="00434E77"/>
    <w:rsid w:val="00434FC1"/>
    <w:rsid w:val="00435058"/>
    <w:rsid w:val="0043505E"/>
    <w:rsid w:val="0043511F"/>
    <w:rsid w:val="00435790"/>
    <w:rsid w:val="00435C10"/>
    <w:rsid w:val="00435C11"/>
    <w:rsid w:val="00435F41"/>
    <w:rsid w:val="0043680C"/>
    <w:rsid w:val="0043685E"/>
    <w:rsid w:val="004368DD"/>
    <w:rsid w:val="004369DA"/>
    <w:rsid w:val="00436D0E"/>
    <w:rsid w:val="00436FF5"/>
    <w:rsid w:val="00437193"/>
    <w:rsid w:val="004377BE"/>
    <w:rsid w:val="00437803"/>
    <w:rsid w:val="004378EB"/>
    <w:rsid w:val="00437996"/>
    <w:rsid w:val="004379AC"/>
    <w:rsid w:val="00437AD7"/>
    <w:rsid w:val="00437D2A"/>
    <w:rsid w:val="00437DCB"/>
    <w:rsid w:val="00437E3D"/>
    <w:rsid w:val="00437F08"/>
    <w:rsid w:val="0044001D"/>
    <w:rsid w:val="0044030D"/>
    <w:rsid w:val="0044047F"/>
    <w:rsid w:val="00440524"/>
    <w:rsid w:val="0044078B"/>
    <w:rsid w:val="004407D1"/>
    <w:rsid w:val="0044083B"/>
    <w:rsid w:val="004409C2"/>
    <w:rsid w:val="00440D71"/>
    <w:rsid w:val="00440E05"/>
    <w:rsid w:val="0044104B"/>
    <w:rsid w:val="00441132"/>
    <w:rsid w:val="00441624"/>
    <w:rsid w:val="0044169F"/>
    <w:rsid w:val="004419C2"/>
    <w:rsid w:val="00441A89"/>
    <w:rsid w:val="00441E19"/>
    <w:rsid w:val="0044244D"/>
    <w:rsid w:val="004425C4"/>
    <w:rsid w:val="00442A60"/>
    <w:rsid w:val="00442B22"/>
    <w:rsid w:val="00442B43"/>
    <w:rsid w:val="00442B5B"/>
    <w:rsid w:val="004438C3"/>
    <w:rsid w:val="00443921"/>
    <w:rsid w:val="00443940"/>
    <w:rsid w:val="004439AC"/>
    <w:rsid w:val="00443D5D"/>
    <w:rsid w:val="00443FED"/>
    <w:rsid w:val="00444264"/>
    <w:rsid w:val="004443DD"/>
    <w:rsid w:val="00444581"/>
    <w:rsid w:val="004445A1"/>
    <w:rsid w:val="004449F2"/>
    <w:rsid w:val="00444AB1"/>
    <w:rsid w:val="00444BAC"/>
    <w:rsid w:val="00444CBD"/>
    <w:rsid w:val="00444FEB"/>
    <w:rsid w:val="00445218"/>
    <w:rsid w:val="00445520"/>
    <w:rsid w:val="00445840"/>
    <w:rsid w:val="004459E1"/>
    <w:rsid w:val="00445D03"/>
    <w:rsid w:val="00445EAF"/>
    <w:rsid w:val="00446090"/>
    <w:rsid w:val="004460FC"/>
    <w:rsid w:val="0044626B"/>
    <w:rsid w:val="0044629D"/>
    <w:rsid w:val="00446B7D"/>
    <w:rsid w:val="00446DC2"/>
    <w:rsid w:val="00447583"/>
    <w:rsid w:val="004479D0"/>
    <w:rsid w:val="00447A1D"/>
    <w:rsid w:val="00447C24"/>
    <w:rsid w:val="00447EE0"/>
    <w:rsid w:val="00450039"/>
    <w:rsid w:val="004501D6"/>
    <w:rsid w:val="004501F6"/>
    <w:rsid w:val="00450455"/>
    <w:rsid w:val="00450721"/>
    <w:rsid w:val="004508F7"/>
    <w:rsid w:val="00450B66"/>
    <w:rsid w:val="00450EBF"/>
    <w:rsid w:val="00451013"/>
    <w:rsid w:val="0045105C"/>
    <w:rsid w:val="00451112"/>
    <w:rsid w:val="004511F8"/>
    <w:rsid w:val="004515F5"/>
    <w:rsid w:val="004517C7"/>
    <w:rsid w:val="004518A9"/>
    <w:rsid w:val="00451AA2"/>
    <w:rsid w:val="00451CA4"/>
    <w:rsid w:val="00451DB1"/>
    <w:rsid w:val="0045211D"/>
    <w:rsid w:val="00452194"/>
    <w:rsid w:val="0045236B"/>
    <w:rsid w:val="004523A5"/>
    <w:rsid w:val="00452561"/>
    <w:rsid w:val="0045261E"/>
    <w:rsid w:val="004527DE"/>
    <w:rsid w:val="00452981"/>
    <w:rsid w:val="00452C1A"/>
    <w:rsid w:val="00452D03"/>
    <w:rsid w:val="00452D0E"/>
    <w:rsid w:val="00452EF1"/>
    <w:rsid w:val="00453470"/>
    <w:rsid w:val="004534FD"/>
    <w:rsid w:val="00453A98"/>
    <w:rsid w:val="00453E68"/>
    <w:rsid w:val="00453FEB"/>
    <w:rsid w:val="00453FF9"/>
    <w:rsid w:val="004541B3"/>
    <w:rsid w:val="004544B9"/>
    <w:rsid w:val="0045472F"/>
    <w:rsid w:val="00454872"/>
    <w:rsid w:val="004548E5"/>
    <w:rsid w:val="00454BBF"/>
    <w:rsid w:val="00454DA2"/>
    <w:rsid w:val="00454E52"/>
    <w:rsid w:val="004551C3"/>
    <w:rsid w:val="004555E2"/>
    <w:rsid w:val="0045575C"/>
    <w:rsid w:val="0045582F"/>
    <w:rsid w:val="004558E4"/>
    <w:rsid w:val="00455BC2"/>
    <w:rsid w:val="00455C1D"/>
    <w:rsid w:val="00455E1A"/>
    <w:rsid w:val="00456058"/>
    <w:rsid w:val="004565E8"/>
    <w:rsid w:val="004568BD"/>
    <w:rsid w:val="00456990"/>
    <w:rsid w:val="00456A0D"/>
    <w:rsid w:val="00456BA4"/>
    <w:rsid w:val="00456C13"/>
    <w:rsid w:val="00456D0A"/>
    <w:rsid w:val="00456FF9"/>
    <w:rsid w:val="0045738F"/>
    <w:rsid w:val="00457467"/>
    <w:rsid w:val="004574FE"/>
    <w:rsid w:val="004575A8"/>
    <w:rsid w:val="00457D0F"/>
    <w:rsid w:val="00457D1A"/>
    <w:rsid w:val="00457FA6"/>
    <w:rsid w:val="0046019E"/>
    <w:rsid w:val="00460269"/>
    <w:rsid w:val="00460D27"/>
    <w:rsid w:val="00461028"/>
    <w:rsid w:val="004610F6"/>
    <w:rsid w:val="004612A0"/>
    <w:rsid w:val="0046136E"/>
    <w:rsid w:val="00461562"/>
    <w:rsid w:val="00461589"/>
    <w:rsid w:val="00461605"/>
    <w:rsid w:val="0046168A"/>
    <w:rsid w:val="0046196C"/>
    <w:rsid w:val="00461FF6"/>
    <w:rsid w:val="00462088"/>
    <w:rsid w:val="004620F6"/>
    <w:rsid w:val="0046225F"/>
    <w:rsid w:val="0046230F"/>
    <w:rsid w:val="00462351"/>
    <w:rsid w:val="004624C1"/>
    <w:rsid w:val="00462584"/>
    <w:rsid w:val="004625F8"/>
    <w:rsid w:val="0046268B"/>
    <w:rsid w:val="004628B2"/>
    <w:rsid w:val="0046296D"/>
    <w:rsid w:val="004629BA"/>
    <w:rsid w:val="00462B9F"/>
    <w:rsid w:val="00462C66"/>
    <w:rsid w:val="00462C7C"/>
    <w:rsid w:val="004630C0"/>
    <w:rsid w:val="00463497"/>
    <w:rsid w:val="0046353E"/>
    <w:rsid w:val="004635D9"/>
    <w:rsid w:val="0046387E"/>
    <w:rsid w:val="00463CCE"/>
    <w:rsid w:val="00463D6A"/>
    <w:rsid w:val="00463ECB"/>
    <w:rsid w:val="0046403E"/>
    <w:rsid w:val="0046421E"/>
    <w:rsid w:val="00464243"/>
    <w:rsid w:val="00464A3C"/>
    <w:rsid w:val="00464C0D"/>
    <w:rsid w:val="00464F08"/>
    <w:rsid w:val="00464F95"/>
    <w:rsid w:val="004652EF"/>
    <w:rsid w:val="00465334"/>
    <w:rsid w:val="0046574D"/>
    <w:rsid w:val="00465A32"/>
    <w:rsid w:val="00465D30"/>
    <w:rsid w:val="00465DA5"/>
    <w:rsid w:val="00466055"/>
    <w:rsid w:val="00466A99"/>
    <w:rsid w:val="00466BFE"/>
    <w:rsid w:val="00466E17"/>
    <w:rsid w:val="004670C0"/>
    <w:rsid w:val="0046724D"/>
    <w:rsid w:val="00467381"/>
    <w:rsid w:val="004673D8"/>
    <w:rsid w:val="00467439"/>
    <w:rsid w:val="00467456"/>
    <w:rsid w:val="0046766D"/>
    <w:rsid w:val="00467A97"/>
    <w:rsid w:val="00467B34"/>
    <w:rsid w:val="0047049C"/>
    <w:rsid w:val="004705A6"/>
    <w:rsid w:val="004705B9"/>
    <w:rsid w:val="00470641"/>
    <w:rsid w:val="0047090F"/>
    <w:rsid w:val="00470F62"/>
    <w:rsid w:val="0047168C"/>
    <w:rsid w:val="004717C0"/>
    <w:rsid w:val="00471D43"/>
    <w:rsid w:val="00471F51"/>
    <w:rsid w:val="004724C9"/>
    <w:rsid w:val="00472549"/>
    <w:rsid w:val="004726DA"/>
    <w:rsid w:val="004727D8"/>
    <w:rsid w:val="00472851"/>
    <w:rsid w:val="00472BA5"/>
    <w:rsid w:val="00472BF2"/>
    <w:rsid w:val="00472C06"/>
    <w:rsid w:val="00472FE8"/>
    <w:rsid w:val="0047313C"/>
    <w:rsid w:val="00473363"/>
    <w:rsid w:val="0047342D"/>
    <w:rsid w:val="00473640"/>
    <w:rsid w:val="004737BF"/>
    <w:rsid w:val="004738EE"/>
    <w:rsid w:val="00473AD0"/>
    <w:rsid w:val="00474388"/>
    <w:rsid w:val="0047444A"/>
    <w:rsid w:val="0047455E"/>
    <w:rsid w:val="0047496D"/>
    <w:rsid w:val="00474F64"/>
    <w:rsid w:val="00475286"/>
    <w:rsid w:val="00475498"/>
    <w:rsid w:val="004754FD"/>
    <w:rsid w:val="0047551A"/>
    <w:rsid w:val="0047564B"/>
    <w:rsid w:val="00475701"/>
    <w:rsid w:val="0047576E"/>
    <w:rsid w:val="0047591B"/>
    <w:rsid w:val="004759DE"/>
    <w:rsid w:val="004761B4"/>
    <w:rsid w:val="0047631A"/>
    <w:rsid w:val="004763C2"/>
    <w:rsid w:val="00476413"/>
    <w:rsid w:val="0047667C"/>
    <w:rsid w:val="00476957"/>
    <w:rsid w:val="00476CFF"/>
    <w:rsid w:val="00476EC5"/>
    <w:rsid w:val="00477257"/>
    <w:rsid w:val="00477274"/>
    <w:rsid w:val="004776BB"/>
    <w:rsid w:val="0047775D"/>
    <w:rsid w:val="00477A35"/>
    <w:rsid w:val="00477D3C"/>
    <w:rsid w:val="00477E42"/>
    <w:rsid w:val="00477FF3"/>
    <w:rsid w:val="004801C8"/>
    <w:rsid w:val="0048047F"/>
    <w:rsid w:val="004805CA"/>
    <w:rsid w:val="00480736"/>
    <w:rsid w:val="0048090D"/>
    <w:rsid w:val="00480A55"/>
    <w:rsid w:val="00480C36"/>
    <w:rsid w:val="00480D20"/>
    <w:rsid w:val="00480F55"/>
    <w:rsid w:val="004812BC"/>
    <w:rsid w:val="0048130F"/>
    <w:rsid w:val="00481437"/>
    <w:rsid w:val="0048181D"/>
    <w:rsid w:val="00481A17"/>
    <w:rsid w:val="00481BFC"/>
    <w:rsid w:val="00481C62"/>
    <w:rsid w:val="00482065"/>
    <w:rsid w:val="004825AA"/>
    <w:rsid w:val="00482785"/>
    <w:rsid w:val="00482ADE"/>
    <w:rsid w:val="00482B5A"/>
    <w:rsid w:val="00482E0D"/>
    <w:rsid w:val="00482FA2"/>
    <w:rsid w:val="00483449"/>
    <w:rsid w:val="00483525"/>
    <w:rsid w:val="00483763"/>
    <w:rsid w:val="004839F7"/>
    <w:rsid w:val="00483A4A"/>
    <w:rsid w:val="00483AE8"/>
    <w:rsid w:val="00483BF2"/>
    <w:rsid w:val="00483BFB"/>
    <w:rsid w:val="00483C97"/>
    <w:rsid w:val="00483F29"/>
    <w:rsid w:val="00483F31"/>
    <w:rsid w:val="00484018"/>
    <w:rsid w:val="004840DF"/>
    <w:rsid w:val="0048410D"/>
    <w:rsid w:val="004841CE"/>
    <w:rsid w:val="004842CB"/>
    <w:rsid w:val="00484417"/>
    <w:rsid w:val="00484633"/>
    <w:rsid w:val="0048469F"/>
    <w:rsid w:val="00484763"/>
    <w:rsid w:val="00484964"/>
    <w:rsid w:val="004854B1"/>
    <w:rsid w:val="00485A5E"/>
    <w:rsid w:val="00485C1F"/>
    <w:rsid w:val="00486135"/>
    <w:rsid w:val="0048620B"/>
    <w:rsid w:val="0048648C"/>
    <w:rsid w:val="004864FE"/>
    <w:rsid w:val="0048663C"/>
    <w:rsid w:val="0048667A"/>
    <w:rsid w:val="00486A91"/>
    <w:rsid w:val="00486E35"/>
    <w:rsid w:val="00486EAB"/>
    <w:rsid w:val="004870DB"/>
    <w:rsid w:val="004871BD"/>
    <w:rsid w:val="0048771A"/>
    <w:rsid w:val="00487856"/>
    <w:rsid w:val="0048785C"/>
    <w:rsid w:val="00487A8E"/>
    <w:rsid w:val="00487B71"/>
    <w:rsid w:val="00487BC5"/>
    <w:rsid w:val="00487E68"/>
    <w:rsid w:val="00487F9F"/>
    <w:rsid w:val="004905D2"/>
    <w:rsid w:val="00490C78"/>
    <w:rsid w:val="00490D78"/>
    <w:rsid w:val="0049109A"/>
    <w:rsid w:val="0049114E"/>
    <w:rsid w:val="004911DC"/>
    <w:rsid w:val="004916BA"/>
    <w:rsid w:val="004916D6"/>
    <w:rsid w:val="00491812"/>
    <w:rsid w:val="004919EB"/>
    <w:rsid w:val="00491C15"/>
    <w:rsid w:val="00491E13"/>
    <w:rsid w:val="00491ECC"/>
    <w:rsid w:val="00491F5F"/>
    <w:rsid w:val="00492196"/>
    <w:rsid w:val="004922AD"/>
    <w:rsid w:val="00492B10"/>
    <w:rsid w:val="00492D96"/>
    <w:rsid w:val="00492E74"/>
    <w:rsid w:val="00492F0E"/>
    <w:rsid w:val="00492F50"/>
    <w:rsid w:val="00493222"/>
    <w:rsid w:val="004932CC"/>
    <w:rsid w:val="00493324"/>
    <w:rsid w:val="00493647"/>
    <w:rsid w:val="00493657"/>
    <w:rsid w:val="004936AA"/>
    <w:rsid w:val="004939CE"/>
    <w:rsid w:val="00493AAA"/>
    <w:rsid w:val="00493E8F"/>
    <w:rsid w:val="00493FD5"/>
    <w:rsid w:val="004941F9"/>
    <w:rsid w:val="00494267"/>
    <w:rsid w:val="00494327"/>
    <w:rsid w:val="00494381"/>
    <w:rsid w:val="00494485"/>
    <w:rsid w:val="004944E5"/>
    <w:rsid w:val="00494766"/>
    <w:rsid w:val="004949B0"/>
    <w:rsid w:val="00495326"/>
    <w:rsid w:val="00495355"/>
    <w:rsid w:val="004954A7"/>
    <w:rsid w:val="004954CB"/>
    <w:rsid w:val="00495569"/>
    <w:rsid w:val="0049566A"/>
    <w:rsid w:val="00495A21"/>
    <w:rsid w:val="00495AA5"/>
    <w:rsid w:val="00495B4F"/>
    <w:rsid w:val="00495BFA"/>
    <w:rsid w:val="0049621D"/>
    <w:rsid w:val="00496338"/>
    <w:rsid w:val="004969D8"/>
    <w:rsid w:val="00496D86"/>
    <w:rsid w:val="00496DFE"/>
    <w:rsid w:val="00496F47"/>
    <w:rsid w:val="00497033"/>
    <w:rsid w:val="00497642"/>
    <w:rsid w:val="00497887"/>
    <w:rsid w:val="00497C57"/>
    <w:rsid w:val="00497C82"/>
    <w:rsid w:val="004A010A"/>
    <w:rsid w:val="004A01AC"/>
    <w:rsid w:val="004A02FD"/>
    <w:rsid w:val="004A03AD"/>
    <w:rsid w:val="004A0666"/>
    <w:rsid w:val="004A08AD"/>
    <w:rsid w:val="004A10E8"/>
    <w:rsid w:val="004A10F0"/>
    <w:rsid w:val="004A11CB"/>
    <w:rsid w:val="004A149C"/>
    <w:rsid w:val="004A151F"/>
    <w:rsid w:val="004A18B9"/>
    <w:rsid w:val="004A1924"/>
    <w:rsid w:val="004A1ACB"/>
    <w:rsid w:val="004A1D1D"/>
    <w:rsid w:val="004A1DF0"/>
    <w:rsid w:val="004A221D"/>
    <w:rsid w:val="004A2330"/>
    <w:rsid w:val="004A2569"/>
    <w:rsid w:val="004A26C2"/>
    <w:rsid w:val="004A27BF"/>
    <w:rsid w:val="004A289E"/>
    <w:rsid w:val="004A28B9"/>
    <w:rsid w:val="004A2B42"/>
    <w:rsid w:val="004A2B9F"/>
    <w:rsid w:val="004A2FCF"/>
    <w:rsid w:val="004A326A"/>
    <w:rsid w:val="004A32E8"/>
    <w:rsid w:val="004A33AB"/>
    <w:rsid w:val="004A3984"/>
    <w:rsid w:val="004A3AA8"/>
    <w:rsid w:val="004A3C80"/>
    <w:rsid w:val="004A3DAF"/>
    <w:rsid w:val="004A3EAA"/>
    <w:rsid w:val="004A3F23"/>
    <w:rsid w:val="004A40A3"/>
    <w:rsid w:val="004A41E4"/>
    <w:rsid w:val="004A4573"/>
    <w:rsid w:val="004A4686"/>
    <w:rsid w:val="004A4B57"/>
    <w:rsid w:val="004A4B5D"/>
    <w:rsid w:val="004A4C73"/>
    <w:rsid w:val="004A4CD8"/>
    <w:rsid w:val="004A4ED0"/>
    <w:rsid w:val="004A4FAC"/>
    <w:rsid w:val="004A4FB0"/>
    <w:rsid w:val="004A5449"/>
    <w:rsid w:val="004A55D3"/>
    <w:rsid w:val="004A5642"/>
    <w:rsid w:val="004A5D5A"/>
    <w:rsid w:val="004A5D7C"/>
    <w:rsid w:val="004A5EAE"/>
    <w:rsid w:val="004A6051"/>
    <w:rsid w:val="004A614B"/>
    <w:rsid w:val="004A64CC"/>
    <w:rsid w:val="004A66CA"/>
    <w:rsid w:val="004A67CC"/>
    <w:rsid w:val="004A79B4"/>
    <w:rsid w:val="004A79E4"/>
    <w:rsid w:val="004A7DDE"/>
    <w:rsid w:val="004A7F5A"/>
    <w:rsid w:val="004A7F6E"/>
    <w:rsid w:val="004B0242"/>
    <w:rsid w:val="004B0284"/>
    <w:rsid w:val="004B0302"/>
    <w:rsid w:val="004B03C1"/>
    <w:rsid w:val="004B0480"/>
    <w:rsid w:val="004B0537"/>
    <w:rsid w:val="004B0AC1"/>
    <w:rsid w:val="004B0CDC"/>
    <w:rsid w:val="004B0F17"/>
    <w:rsid w:val="004B11FD"/>
    <w:rsid w:val="004B135A"/>
    <w:rsid w:val="004B14E8"/>
    <w:rsid w:val="004B15C5"/>
    <w:rsid w:val="004B177A"/>
    <w:rsid w:val="004B1827"/>
    <w:rsid w:val="004B1AA2"/>
    <w:rsid w:val="004B1D66"/>
    <w:rsid w:val="004B1F5E"/>
    <w:rsid w:val="004B1FDE"/>
    <w:rsid w:val="004B1FFF"/>
    <w:rsid w:val="004B22D2"/>
    <w:rsid w:val="004B23C8"/>
    <w:rsid w:val="004B2442"/>
    <w:rsid w:val="004B2A7C"/>
    <w:rsid w:val="004B2ACD"/>
    <w:rsid w:val="004B2E8B"/>
    <w:rsid w:val="004B2F53"/>
    <w:rsid w:val="004B3288"/>
    <w:rsid w:val="004B3567"/>
    <w:rsid w:val="004B365C"/>
    <w:rsid w:val="004B36C2"/>
    <w:rsid w:val="004B36EA"/>
    <w:rsid w:val="004B36F6"/>
    <w:rsid w:val="004B3770"/>
    <w:rsid w:val="004B3961"/>
    <w:rsid w:val="004B3DC4"/>
    <w:rsid w:val="004B3F3C"/>
    <w:rsid w:val="004B40C4"/>
    <w:rsid w:val="004B40F5"/>
    <w:rsid w:val="004B4269"/>
    <w:rsid w:val="004B43AA"/>
    <w:rsid w:val="004B454B"/>
    <w:rsid w:val="004B48F3"/>
    <w:rsid w:val="004B4D58"/>
    <w:rsid w:val="004B4D59"/>
    <w:rsid w:val="004B4E3C"/>
    <w:rsid w:val="004B4F11"/>
    <w:rsid w:val="004B4FA8"/>
    <w:rsid w:val="004B4FAA"/>
    <w:rsid w:val="004B50C1"/>
    <w:rsid w:val="004B5143"/>
    <w:rsid w:val="004B5261"/>
    <w:rsid w:val="004B5296"/>
    <w:rsid w:val="004B530D"/>
    <w:rsid w:val="004B5420"/>
    <w:rsid w:val="004B549C"/>
    <w:rsid w:val="004B5745"/>
    <w:rsid w:val="004B589E"/>
    <w:rsid w:val="004B5A2C"/>
    <w:rsid w:val="004B5C09"/>
    <w:rsid w:val="004B5CFA"/>
    <w:rsid w:val="004B5E78"/>
    <w:rsid w:val="004B5F22"/>
    <w:rsid w:val="004B65AB"/>
    <w:rsid w:val="004B6F69"/>
    <w:rsid w:val="004B7137"/>
    <w:rsid w:val="004B7708"/>
    <w:rsid w:val="004B7928"/>
    <w:rsid w:val="004B7A1E"/>
    <w:rsid w:val="004B7B46"/>
    <w:rsid w:val="004C0144"/>
    <w:rsid w:val="004C01CD"/>
    <w:rsid w:val="004C0374"/>
    <w:rsid w:val="004C053D"/>
    <w:rsid w:val="004C05F1"/>
    <w:rsid w:val="004C0617"/>
    <w:rsid w:val="004C08BB"/>
    <w:rsid w:val="004C09EE"/>
    <w:rsid w:val="004C0A4C"/>
    <w:rsid w:val="004C0A8E"/>
    <w:rsid w:val="004C0D06"/>
    <w:rsid w:val="004C0F8F"/>
    <w:rsid w:val="004C0FFF"/>
    <w:rsid w:val="004C101A"/>
    <w:rsid w:val="004C1132"/>
    <w:rsid w:val="004C11BA"/>
    <w:rsid w:val="004C156D"/>
    <w:rsid w:val="004C1E96"/>
    <w:rsid w:val="004C2172"/>
    <w:rsid w:val="004C26A2"/>
    <w:rsid w:val="004C26C0"/>
    <w:rsid w:val="004C27A2"/>
    <w:rsid w:val="004C29F5"/>
    <w:rsid w:val="004C2ABB"/>
    <w:rsid w:val="004C2CF2"/>
    <w:rsid w:val="004C2DF5"/>
    <w:rsid w:val="004C3086"/>
    <w:rsid w:val="004C30D7"/>
    <w:rsid w:val="004C3152"/>
    <w:rsid w:val="004C36B1"/>
    <w:rsid w:val="004C38A9"/>
    <w:rsid w:val="004C3AE5"/>
    <w:rsid w:val="004C3C4B"/>
    <w:rsid w:val="004C3CDA"/>
    <w:rsid w:val="004C3D00"/>
    <w:rsid w:val="004C44F8"/>
    <w:rsid w:val="004C4D0D"/>
    <w:rsid w:val="004C4D7B"/>
    <w:rsid w:val="004C4E01"/>
    <w:rsid w:val="004C4E74"/>
    <w:rsid w:val="004C51A7"/>
    <w:rsid w:val="004C581E"/>
    <w:rsid w:val="004C5AA7"/>
    <w:rsid w:val="004C5B3D"/>
    <w:rsid w:val="004C5C6B"/>
    <w:rsid w:val="004C5F17"/>
    <w:rsid w:val="004C5F94"/>
    <w:rsid w:val="004C6175"/>
    <w:rsid w:val="004C6576"/>
    <w:rsid w:val="004C66B0"/>
    <w:rsid w:val="004C676E"/>
    <w:rsid w:val="004C67F1"/>
    <w:rsid w:val="004C67F9"/>
    <w:rsid w:val="004C6896"/>
    <w:rsid w:val="004C68CB"/>
    <w:rsid w:val="004C6910"/>
    <w:rsid w:val="004C696C"/>
    <w:rsid w:val="004C698F"/>
    <w:rsid w:val="004C6A53"/>
    <w:rsid w:val="004C6AD9"/>
    <w:rsid w:val="004C6BDE"/>
    <w:rsid w:val="004C6FA2"/>
    <w:rsid w:val="004C7592"/>
    <w:rsid w:val="004C76C9"/>
    <w:rsid w:val="004C76F0"/>
    <w:rsid w:val="004C7A17"/>
    <w:rsid w:val="004C7DE1"/>
    <w:rsid w:val="004C7EDB"/>
    <w:rsid w:val="004D03A8"/>
    <w:rsid w:val="004D04BE"/>
    <w:rsid w:val="004D04FD"/>
    <w:rsid w:val="004D053E"/>
    <w:rsid w:val="004D05A8"/>
    <w:rsid w:val="004D06A5"/>
    <w:rsid w:val="004D0872"/>
    <w:rsid w:val="004D0C46"/>
    <w:rsid w:val="004D0ED3"/>
    <w:rsid w:val="004D0F73"/>
    <w:rsid w:val="004D15CB"/>
    <w:rsid w:val="004D15DB"/>
    <w:rsid w:val="004D1840"/>
    <w:rsid w:val="004D1D65"/>
    <w:rsid w:val="004D2127"/>
    <w:rsid w:val="004D23A9"/>
    <w:rsid w:val="004D247A"/>
    <w:rsid w:val="004D28BB"/>
    <w:rsid w:val="004D29CA"/>
    <w:rsid w:val="004D2C94"/>
    <w:rsid w:val="004D2ED4"/>
    <w:rsid w:val="004D311E"/>
    <w:rsid w:val="004D317B"/>
    <w:rsid w:val="004D3369"/>
    <w:rsid w:val="004D33AC"/>
    <w:rsid w:val="004D3586"/>
    <w:rsid w:val="004D36FD"/>
    <w:rsid w:val="004D3798"/>
    <w:rsid w:val="004D387F"/>
    <w:rsid w:val="004D38BA"/>
    <w:rsid w:val="004D3ABE"/>
    <w:rsid w:val="004D3C55"/>
    <w:rsid w:val="004D3D31"/>
    <w:rsid w:val="004D3D48"/>
    <w:rsid w:val="004D3F65"/>
    <w:rsid w:val="004D406E"/>
    <w:rsid w:val="004D4166"/>
    <w:rsid w:val="004D4DA4"/>
    <w:rsid w:val="004D4EDB"/>
    <w:rsid w:val="004D4EFB"/>
    <w:rsid w:val="004D529F"/>
    <w:rsid w:val="004D5583"/>
    <w:rsid w:val="004D56A4"/>
    <w:rsid w:val="004D5CA6"/>
    <w:rsid w:val="004D5E78"/>
    <w:rsid w:val="004D60EA"/>
    <w:rsid w:val="004D618D"/>
    <w:rsid w:val="004D6308"/>
    <w:rsid w:val="004D65DF"/>
    <w:rsid w:val="004D66A6"/>
    <w:rsid w:val="004D67A7"/>
    <w:rsid w:val="004D6887"/>
    <w:rsid w:val="004D6B43"/>
    <w:rsid w:val="004D6BE3"/>
    <w:rsid w:val="004D6CC2"/>
    <w:rsid w:val="004D6D51"/>
    <w:rsid w:val="004D6D7C"/>
    <w:rsid w:val="004D7373"/>
    <w:rsid w:val="004D7477"/>
    <w:rsid w:val="004D77A2"/>
    <w:rsid w:val="004D784D"/>
    <w:rsid w:val="004D7A39"/>
    <w:rsid w:val="004D7DA6"/>
    <w:rsid w:val="004D7F5F"/>
    <w:rsid w:val="004E00AE"/>
    <w:rsid w:val="004E029E"/>
    <w:rsid w:val="004E0531"/>
    <w:rsid w:val="004E05C4"/>
    <w:rsid w:val="004E07F3"/>
    <w:rsid w:val="004E0941"/>
    <w:rsid w:val="004E1214"/>
    <w:rsid w:val="004E1347"/>
    <w:rsid w:val="004E1392"/>
    <w:rsid w:val="004E14A9"/>
    <w:rsid w:val="004E14F1"/>
    <w:rsid w:val="004E14F5"/>
    <w:rsid w:val="004E1572"/>
    <w:rsid w:val="004E17C9"/>
    <w:rsid w:val="004E18A2"/>
    <w:rsid w:val="004E18B4"/>
    <w:rsid w:val="004E19FD"/>
    <w:rsid w:val="004E1D7E"/>
    <w:rsid w:val="004E2120"/>
    <w:rsid w:val="004E214F"/>
    <w:rsid w:val="004E27F6"/>
    <w:rsid w:val="004E2939"/>
    <w:rsid w:val="004E2A4D"/>
    <w:rsid w:val="004E2DD2"/>
    <w:rsid w:val="004E2E17"/>
    <w:rsid w:val="004E30BA"/>
    <w:rsid w:val="004E334D"/>
    <w:rsid w:val="004E343D"/>
    <w:rsid w:val="004E373B"/>
    <w:rsid w:val="004E3771"/>
    <w:rsid w:val="004E3F87"/>
    <w:rsid w:val="004E4450"/>
    <w:rsid w:val="004E44D8"/>
    <w:rsid w:val="004E48E0"/>
    <w:rsid w:val="004E4ABC"/>
    <w:rsid w:val="004E4B32"/>
    <w:rsid w:val="004E4BB0"/>
    <w:rsid w:val="004E4D79"/>
    <w:rsid w:val="004E4F2D"/>
    <w:rsid w:val="004E5116"/>
    <w:rsid w:val="004E5371"/>
    <w:rsid w:val="004E5372"/>
    <w:rsid w:val="004E54C7"/>
    <w:rsid w:val="004E57E5"/>
    <w:rsid w:val="004E5997"/>
    <w:rsid w:val="004E5A11"/>
    <w:rsid w:val="004E5B4D"/>
    <w:rsid w:val="004E5C24"/>
    <w:rsid w:val="004E61BE"/>
    <w:rsid w:val="004E631C"/>
    <w:rsid w:val="004E63D1"/>
    <w:rsid w:val="004E661A"/>
    <w:rsid w:val="004E6E92"/>
    <w:rsid w:val="004E6EFF"/>
    <w:rsid w:val="004E71E9"/>
    <w:rsid w:val="004E760D"/>
    <w:rsid w:val="004E78C4"/>
    <w:rsid w:val="004E7A26"/>
    <w:rsid w:val="004E7E2E"/>
    <w:rsid w:val="004F0128"/>
    <w:rsid w:val="004F02D8"/>
    <w:rsid w:val="004F05CF"/>
    <w:rsid w:val="004F0751"/>
    <w:rsid w:val="004F0D48"/>
    <w:rsid w:val="004F0F1B"/>
    <w:rsid w:val="004F0F9D"/>
    <w:rsid w:val="004F0FBB"/>
    <w:rsid w:val="004F14CE"/>
    <w:rsid w:val="004F15F2"/>
    <w:rsid w:val="004F165A"/>
    <w:rsid w:val="004F16F0"/>
    <w:rsid w:val="004F176F"/>
    <w:rsid w:val="004F17D7"/>
    <w:rsid w:val="004F19FC"/>
    <w:rsid w:val="004F1A6E"/>
    <w:rsid w:val="004F1AD6"/>
    <w:rsid w:val="004F1B62"/>
    <w:rsid w:val="004F1EF1"/>
    <w:rsid w:val="004F2033"/>
    <w:rsid w:val="004F226E"/>
    <w:rsid w:val="004F260F"/>
    <w:rsid w:val="004F2645"/>
    <w:rsid w:val="004F2654"/>
    <w:rsid w:val="004F2872"/>
    <w:rsid w:val="004F2A49"/>
    <w:rsid w:val="004F2F89"/>
    <w:rsid w:val="004F31AD"/>
    <w:rsid w:val="004F322D"/>
    <w:rsid w:val="004F35CB"/>
    <w:rsid w:val="004F377B"/>
    <w:rsid w:val="004F3C44"/>
    <w:rsid w:val="004F3EA3"/>
    <w:rsid w:val="004F3F17"/>
    <w:rsid w:val="004F41E0"/>
    <w:rsid w:val="004F4419"/>
    <w:rsid w:val="004F45D6"/>
    <w:rsid w:val="004F45E1"/>
    <w:rsid w:val="004F49D9"/>
    <w:rsid w:val="004F4ACC"/>
    <w:rsid w:val="004F4CAD"/>
    <w:rsid w:val="004F4D57"/>
    <w:rsid w:val="004F4EC4"/>
    <w:rsid w:val="004F52DD"/>
    <w:rsid w:val="004F53B8"/>
    <w:rsid w:val="004F56E4"/>
    <w:rsid w:val="004F5788"/>
    <w:rsid w:val="004F5908"/>
    <w:rsid w:val="004F5919"/>
    <w:rsid w:val="004F5A01"/>
    <w:rsid w:val="004F6019"/>
    <w:rsid w:val="004F6282"/>
    <w:rsid w:val="004F63EA"/>
    <w:rsid w:val="004F6428"/>
    <w:rsid w:val="004F6A3E"/>
    <w:rsid w:val="004F6E71"/>
    <w:rsid w:val="004F74BD"/>
    <w:rsid w:val="004F7500"/>
    <w:rsid w:val="004F7667"/>
    <w:rsid w:val="004F76C1"/>
    <w:rsid w:val="004F7B89"/>
    <w:rsid w:val="004F7B93"/>
    <w:rsid w:val="004F7D5B"/>
    <w:rsid w:val="004F7E71"/>
    <w:rsid w:val="004F7F73"/>
    <w:rsid w:val="00500157"/>
    <w:rsid w:val="0050032B"/>
    <w:rsid w:val="00500CB3"/>
    <w:rsid w:val="00500CE9"/>
    <w:rsid w:val="00501213"/>
    <w:rsid w:val="005012B9"/>
    <w:rsid w:val="005014A7"/>
    <w:rsid w:val="00501886"/>
    <w:rsid w:val="00501968"/>
    <w:rsid w:val="005019A3"/>
    <w:rsid w:val="00501B3F"/>
    <w:rsid w:val="00501DF0"/>
    <w:rsid w:val="00501F6B"/>
    <w:rsid w:val="005020DE"/>
    <w:rsid w:val="005021A8"/>
    <w:rsid w:val="0050239C"/>
    <w:rsid w:val="0050256B"/>
    <w:rsid w:val="005025F3"/>
    <w:rsid w:val="00502846"/>
    <w:rsid w:val="00502B4A"/>
    <w:rsid w:val="00502DB3"/>
    <w:rsid w:val="00502DF9"/>
    <w:rsid w:val="00502F49"/>
    <w:rsid w:val="005032BE"/>
    <w:rsid w:val="005032DD"/>
    <w:rsid w:val="0050358C"/>
    <w:rsid w:val="0050414E"/>
    <w:rsid w:val="00504419"/>
    <w:rsid w:val="00504BAD"/>
    <w:rsid w:val="00504BC0"/>
    <w:rsid w:val="00504E70"/>
    <w:rsid w:val="005051E1"/>
    <w:rsid w:val="0050525C"/>
    <w:rsid w:val="0050526A"/>
    <w:rsid w:val="0050533B"/>
    <w:rsid w:val="00505430"/>
    <w:rsid w:val="0050587B"/>
    <w:rsid w:val="00505B4F"/>
    <w:rsid w:val="00505FB2"/>
    <w:rsid w:val="00506689"/>
    <w:rsid w:val="00506731"/>
    <w:rsid w:val="00506989"/>
    <w:rsid w:val="005069B5"/>
    <w:rsid w:val="00506A93"/>
    <w:rsid w:val="00506BCD"/>
    <w:rsid w:val="0050711C"/>
    <w:rsid w:val="00507277"/>
    <w:rsid w:val="005074A1"/>
    <w:rsid w:val="00507520"/>
    <w:rsid w:val="005077CE"/>
    <w:rsid w:val="005078BF"/>
    <w:rsid w:val="005100BB"/>
    <w:rsid w:val="005101C2"/>
    <w:rsid w:val="0051076A"/>
    <w:rsid w:val="00510934"/>
    <w:rsid w:val="00510A69"/>
    <w:rsid w:val="00510DF1"/>
    <w:rsid w:val="00510F2C"/>
    <w:rsid w:val="00510FFA"/>
    <w:rsid w:val="005111B7"/>
    <w:rsid w:val="005118FC"/>
    <w:rsid w:val="00511AC3"/>
    <w:rsid w:val="00511B71"/>
    <w:rsid w:val="00511CAC"/>
    <w:rsid w:val="0051202F"/>
    <w:rsid w:val="00512303"/>
    <w:rsid w:val="005125B7"/>
    <w:rsid w:val="00512A1F"/>
    <w:rsid w:val="00512A3B"/>
    <w:rsid w:val="00512C96"/>
    <w:rsid w:val="00512F0F"/>
    <w:rsid w:val="005132E5"/>
    <w:rsid w:val="0051334D"/>
    <w:rsid w:val="0051338A"/>
    <w:rsid w:val="00513395"/>
    <w:rsid w:val="00513417"/>
    <w:rsid w:val="005134DB"/>
    <w:rsid w:val="00513669"/>
    <w:rsid w:val="00513D5E"/>
    <w:rsid w:val="00513F42"/>
    <w:rsid w:val="00514142"/>
    <w:rsid w:val="00514158"/>
    <w:rsid w:val="005146FE"/>
    <w:rsid w:val="0051472A"/>
    <w:rsid w:val="00514B69"/>
    <w:rsid w:val="00514C4C"/>
    <w:rsid w:val="00514CCB"/>
    <w:rsid w:val="00514DDC"/>
    <w:rsid w:val="00514E06"/>
    <w:rsid w:val="00514E9C"/>
    <w:rsid w:val="00514F6B"/>
    <w:rsid w:val="0051529D"/>
    <w:rsid w:val="005152F4"/>
    <w:rsid w:val="00515361"/>
    <w:rsid w:val="0051577D"/>
    <w:rsid w:val="00515A86"/>
    <w:rsid w:val="00515E94"/>
    <w:rsid w:val="00515F93"/>
    <w:rsid w:val="00516204"/>
    <w:rsid w:val="0051627E"/>
    <w:rsid w:val="005164F4"/>
    <w:rsid w:val="00516500"/>
    <w:rsid w:val="0051657E"/>
    <w:rsid w:val="005165EF"/>
    <w:rsid w:val="00516895"/>
    <w:rsid w:val="005168F1"/>
    <w:rsid w:val="005169E9"/>
    <w:rsid w:val="00516C11"/>
    <w:rsid w:val="00516DC4"/>
    <w:rsid w:val="00516EA2"/>
    <w:rsid w:val="00516F37"/>
    <w:rsid w:val="0051718F"/>
    <w:rsid w:val="0051731A"/>
    <w:rsid w:val="00517376"/>
    <w:rsid w:val="005173BA"/>
    <w:rsid w:val="005177EE"/>
    <w:rsid w:val="00517829"/>
    <w:rsid w:val="00517878"/>
    <w:rsid w:val="00517A1E"/>
    <w:rsid w:val="00517C0E"/>
    <w:rsid w:val="00517E0B"/>
    <w:rsid w:val="00520461"/>
    <w:rsid w:val="005206F8"/>
    <w:rsid w:val="00520897"/>
    <w:rsid w:val="00520A9E"/>
    <w:rsid w:val="00520C19"/>
    <w:rsid w:val="00520C77"/>
    <w:rsid w:val="00520FD5"/>
    <w:rsid w:val="005212F8"/>
    <w:rsid w:val="0052157C"/>
    <w:rsid w:val="005217A3"/>
    <w:rsid w:val="005219D2"/>
    <w:rsid w:val="005219D4"/>
    <w:rsid w:val="00521D1C"/>
    <w:rsid w:val="00521D3F"/>
    <w:rsid w:val="00521E90"/>
    <w:rsid w:val="00521EC0"/>
    <w:rsid w:val="00521FE4"/>
    <w:rsid w:val="005221CD"/>
    <w:rsid w:val="0052251A"/>
    <w:rsid w:val="00522754"/>
    <w:rsid w:val="00522914"/>
    <w:rsid w:val="0052295B"/>
    <w:rsid w:val="005229C3"/>
    <w:rsid w:val="00522A67"/>
    <w:rsid w:val="00522F4B"/>
    <w:rsid w:val="0052342D"/>
    <w:rsid w:val="00523587"/>
    <w:rsid w:val="0052361F"/>
    <w:rsid w:val="00523807"/>
    <w:rsid w:val="00523871"/>
    <w:rsid w:val="00523A47"/>
    <w:rsid w:val="00523A7F"/>
    <w:rsid w:val="00523AC2"/>
    <w:rsid w:val="00523C01"/>
    <w:rsid w:val="00523EF7"/>
    <w:rsid w:val="00523F21"/>
    <w:rsid w:val="005241BA"/>
    <w:rsid w:val="005245D7"/>
    <w:rsid w:val="00524615"/>
    <w:rsid w:val="0052462A"/>
    <w:rsid w:val="00524754"/>
    <w:rsid w:val="005247C2"/>
    <w:rsid w:val="0052484E"/>
    <w:rsid w:val="0052499C"/>
    <w:rsid w:val="00524A00"/>
    <w:rsid w:val="00525623"/>
    <w:rsid w:val="0052590E"/>
    <w:rsid w:val="0052595D"/>
    <w:rsid w:val="005259B2"/>
    <w:rsid w:val="005259C5"/>
    <w:rsid w:val="00525AB3"/>
    <w:rsid w:val="00525C38"/>
    <w:rsid w:val="00525D0A"/>
    <w:rsid w:val="00525F7A"/>
    <w:rsid w:val="005261AC"/>
    <w:rsid w:val="0052662D"/>
    <w:rsid w:val="0052685B"/>
    <w:rsid w:val="00526F57"/>
    <w:rsid w:val="00527760"/>
    <w:rsid w:val="005277A5"/>
    <w:rsid w:val="00527958"/>
    <w:rsid w:val="00527BB2"/>
    <w:rsid w:val="00527D9E"/>
    <w:rsid w:val="00527F17"/>
    <w:rsid w:val="005305D4"/>
    <w:rsid w:val="00530989"/>
    <w:rsid w:val="00530A90"/>
    <w:rsid w:val="005310AB"/>
    <w:rsid w:val="005310CA"/>
    <w:rsid w:val="005311D9"/>
    <w:rsid w:val="00531387"/>
    <w:rsid w:val="00531AED"/>
    <w:rsid w:val="00531B53"/>
    <w:rsid w:val="00532172"/>
    <w:rsid w:val="005321AA"/>
    <w:rsid w:val="0053224A"/>
    <w:rsid w:val="005323DF"/>
    <w:rsid w:val="005327E9"/>
    <w:rsid w:val="00532B4D"/>
    <w:rsid w:val="00532BE3"/>
    <w:rsid w:val="00532C35"/>
    <w:rsid w:val="005330C4"/>
    <w:rsid w:val="0053315A"/>
    <w:rsid w:val="00533701"/>
    <w:rsid w:val="00533915"/>
    <w:rsid w:val="00533BC8"/>
    <w:rsid w:val="00533D77"/>
    <w:rsid w:val="0053415C"/>
    <w:rsid w:val="0053428C"/>
    <w:rsid w:val="005342CB"/>
    <w:rsid w:val="005346A3"/>
    <w:rsid w:val="005348D8"/>
    <w:rsid w:val="00534963"/>
    <w:rsid w:val="00534B5C"/>
    <w:rsid w:val="00534C18"/>
    <w:rsid w:val="00534CDA"/>
    <w:rsid w:val="00534F1E"/>
    <w:rsid w:val="005350C3"/>
    <w:rsid w:val="005353BA"/>
    <w:rsid w:val="00535502"/>
    <w:rsid w:val="005357D5"/>
    <w:rsid w:val="00535859"/>
    <w:rsid w:val="005358E1"/>
    <w:rsid w:val="00535AA7"/>
    <w:rsid w:val="00535AED"/>
    <w:rsid w:val="00535C1C"/>
    <w:rsid w:val="00535C57"/>
    <w:rsid w:val="00535CB2"/>
    <w:rsid w:val="00535DA4"/>
    <w:rsid w:val="00535F88"/>
    <w:rsid w:val="00536485"/>
    <w:rsid w:val="0053660C"/>
    <w:rsid w:val="005368EF"/>
    <w:rsid w:val="00536E96"/>
    <w:rsid w:val="00536FA9"/>
    <w:rsid w:val="005370B2"/>
    <w:rsid w:val="005371F2"/>
    <w:rsid w:val="00537226"/>
    <w:rsid w:val="005372AF"/>
    <w:rsid w:val="005372C3"/>
    <w:rsid w:val="005374C0"/>
    <w:rsid w:val="0053752F"/>
    <w:rsid w:val="0053755F"/>
    <w:rsid w:val="005375F6"/>
    <w:rsid w:val="005375F9"/>
    <w:rsid w:val="005375FC"/>
    <w:rsid w:val="00537689"/>
    <w:rsid w:val="005376AE"/>
    <w:rsid w:val="00537725"/>
    <w:rsid w:val="0053776D"/>
    <w:rsid w:val="00537797"/>
    <w:rsid w:val="005377E6"/>
    <w:rsid w:val="00537846"/>
    <w:rsid w:val="00537AC0"/>
    <w:rsid w:val="00537EE9"/>
    <w:rsid w:val="00537FCD"/>
    <w:rsid w:val="005403E2"/>
    <w:rsid w:val="00540917"/>
    <w:rsid w:val="005409ED"/>
    <w:rsid w:val="00540C49"/>
    <w:rsid w:val="00540DFC"/>
    <w:rsid w:val="00540E00"/>
    <w:rsid w:val="00540FD3"/>
    <w:rsid w:val="00540FD6"/>
    <w:rsid w:val="00541407"/>
    <w:rsid w:val="0054145E"/>
    <w:rsid w:val="00541485"/>
    <w:rsid w:val="005414E8"/>
    <w:rsid w:val="0054195C"/>
    <w:rsid w:val="005419D7"/>
    <w:rsid w:val="00541A1E"/>
    <w:rsid w:val="00541C59"/>
    <w:rsid w:val="00541D7B"/>
    <w:rsid w:val="00541EFD"/>
    <w:rsid w:val="00541F97"/>
    <w:rsid w:val="00542216"/>
    <w:rsid w:val="005422F3"/>
    <w:rsid w:val="00542532"/>
    <w:rsid w:val="00542564"/>
    <w:rsid w:val="005428AE"/>
    <w:rsid w:val="0054293C"/>
    <w:rsid w:val="00542A68"/>
    <w:rsid w:val="0054340B"/>
    <w:rsid w:val="00543564"/>
    <w:rsid w:val="0054357C"/>
    <w:rsid w:val="00543B51"/>
    <w:rsid w:val="00543BAC"/>
    <w:rsid w:val="00543D60"/>
    <w:rsid w:val="00543E93"/>
    <w:rsid w:val="005443A1"/>
    <w:rsid w:val="005446FF"/>
    <w:rsid w:val="00544749"/>
    <w:rsid w:val="00544852"/>
    <w:rsid w:val="0054485A"/>
    <w:rsid w:val="00544B57"/>
    <w:rsid w:val="00544B62"/>
    <w:rsid w:val="00544C99"/>
    <w:rsid w:val="00544CB7"/>
    <w:rsid w:val="00544F42"/>
    <w:rsid w:val="00545030"/>
    <w:rsid w:val="00545579"/>
    <w:rsid w:val="005456B4"/>
    <w:rsid w:val="005459C1"/>
    <w:rsid w:val="00545AD6"/>
    <w:rsid w:val="00545B62"/>
    <w:rsid w:val="00545C3D"/>
    <w:rsid w:val="00545D98"/>
    <w:rsid w:val="00545DF8"/>
    <w:rsid w:val="00545E30"/>
    <w:rsid w:val="00545EE8"/>
    <w:rsid w:val="00545FF4"/>
    <w:rsid w:val="005467B0"/>
    <w:rsid w:val="00546815"/>
    <w:rsid w:val="00546A3C"/>
    <w:rsid w:val="00546B93"/>
    <w:rsid w:val="00546EB3"/>
    <w:rsid w:val="00547036"/>
    <w:rsid w:val="005471B1"/>
    <w:rsid w:val="005471E6"/>
    <w:rsid w:val="005473E2"/>
    <w:rsid w:val="0054761A"/>
    <w:rsid w:val="00547647"/>
    <w:rsid w:val="00547751"/>
    <w:rsid w:val="005477D5"/>
    <w:rsid w:val="00547849"/>
    <w:rsid w:val="005478A3"/>
    <w:rsid w:val="00550054"/>
    <w:rsid w:val="00550331"/>
    <w:rsid w:val="00550436"/>
    <w:rsid w:val="0055052C"/>
    <w:rsid w:val="005505A2"/>
    <w:rsid w:val="005509FD"/>
    <w:rsid w:val="00550BD4"/>
    <w:rsid w:val="00550D56"/>
    <w:rsid w:val="00551109"/>
    <w:rsid w:val="0055110B"/>
    <w:rsid w:val="00551222"/>
    <w:rsid w:val="0055135B"/>
    <w:rsid w:val="005513C8"/>
    <w:rsid w:val="0055146C"/>
    <w:rsid w:val="00551610"/>
    <w:rsid w:val="005518F3"/>
    <w:rsid w:val="00551A4B"/>
    <w:rsid w:val="00551E9C"/>
    <w:rsid w:val="00551F1B"/>
    <w:rsid w:val="0055218C"/>
    <w:rsid w:val="00552324"/>
    <w:rsid w:val="00552359"/>
    <w:rsid w:val="00552362"/>
    <w:rsid w:val="0055279C"/>
    <w:rsid w:val="00552946"/>
    <w:rsid w:val="00552A80"/>
    <w:rsid w:val="00552C5A"/>
    <w:rsid w:val="00552E3B"/>
    <w:rsid w:val="00552F23"/>
    <w:rsid w:val="00552FAC"/>
    <w:rsid w:val="00552FEA"/>
    <w:rsid w:val="0055310A"/>
    <w:rsid w:val="0055314B"/>
    <w:rsid w:val="0055319F"/>
    <w:rsid w:val="005537F6"/>
    <w:rsid w:val="00553A4C"/>
    <w:rsid w:val="00553BC8"/>
    <w:rsid w:val="00553C67"/>
    <w:rsid w:val="00553CF6"/>
    <w:rsid w:val="00553DF8"/>
    <w:rsid w:val="00553E16"/>
    <w:rsid w:val="005545C4"/>
    <w:rsid w:val="00554894"/>
    <w:rsid w:val="00554E0E"/>
    <w:rsid w:val="00554E59"/>
    <w:rsid w:val="005551FE"/>
    <w:rsid w:val="00555321"/>
    <w:rsid w:val="00555351"/>
    <w:rsid w:val="00555618"/>
    <w:rsid w:val="00555742"/>
    <w:rsid w:val="0055574A"/>
    <w:rsid w:val="00555D3C"/>
    <w:rsid w:val="00555E9C"/>
    <w:rsid w:val="00555F1B"/>
    <w:rsid w:val="00555FA9"/>
    <w:rsid w:val="005561DA"/>
    <w:rsid w:val="005564CA"/>
    <w:rsid w:val="00556803"/>
    <w:rsid w:val="00556C40"/>
    <w:rsid w:val="00556D00"/>
    <w:rsid w:val="00556E6E"/>
    <w:rsid w:val="0055753A"/>
    <w:rsid w:val="0055778D"/>
    <w:rsid w:val="00557BF9"/>
    <w:rsid w:val="00560074"/>
    <w:rsid w:val="00560108"/>
    <w:rsid w:val="005602DC"/>
    <w:rsid w:val="00560361"/>
    <w:rsid w:val="00560A06"/>
    <w:rsid w:val="00560CEA"/>
    <w:rsid w:val="00560F31"/>
    <w:rsid w:val="00561384"/>
    <w:rsid w:val="005618D8"/>
    <w:rsid w:val="005618F3"/>
    <w:rsid w:val="005619E8"/>
    <w:rsid w:val="00561B50"/>
    <w:rsid w:val="00561BA6"/>
    <w:rsid w:val="00561CC1"/>
    <w:rsid w:val="00561DF0"/>
    <w:rsid w:val="00561EC2"/>
    <w:rsid w:val="00562003"/>
    <w:rsid w:val="005625CE"/>
    <w:rsid w:val="00562770"/>
    <w:rsid w:val="005627BF"/>
    <w:rsid w:val="005627C3"/>
    <w:rsid w:val="00562C4A"/>
    <w:rsid w:val="00562E12"/>
    <w:rsid w:val="00562E95"/>
    <w:rsid w:val="00563081"/>
    <w:rsid w:val="00563345"/>
    <w:rsid w:val="00563462"/>
    <w:rsid w:val="00563510"/>
    <w:rsid w:val="00563CF0"/>
    <w:rsid w:val="00563E8F"/>
    <w:rsid w:val="005642ED"/>
    <w:rsid w:val="0056455D"/>
    <w:rsid w:val="005647B0"/>
    <w:rsid w:val="00564D24"/>
    <w:rsid w:val="00564E4A"/>
    <w:rsid w:val="0056508B"/>
    <w:rsid w:val="005654AA"/>
    <w:rsid w:val="0056584D"/>
    <w:rsid w:val="00565CEF"/>
    <w:rsid w:val="005662D8"/>
    <w:rsid w:val="00566332"/>
    <w:rsid w:val="00566759"/>
    <w:rsid w:val="00566914"/>
    <w:rsid w:val="00566963"/>
    <w:rsid w:val="00566A78"/>
    <w:rsid w:val="00566AE0"/>
    <w:rsid w:val="00566E4B"/>
    <w:rsid w:val="00566F23"/>
    <w:rsid w:val="00566F4C"/>
    <w:rsid w:val="00566F70"/>
    <w:rsid w:val="005670F2"/>
    <w:rsid w:val="00567164"/>
    <w:rsid w:val="00567297"/>
    <w:rsid w:val="005674EA"/>
    <w:rsid w:val="0056752B"/>
    <w:rsid w:val="005677AB"/>
    <w:rsid w:val="00567BE0"/>
    <w:rsid w:val="00567F52"/>
    <w:rsid w:val="00570176"/>
    <w:rsid w:val="005701F4"/>
    <w:rsid w:val="005701F8"/>
    <w:rsid w:val="00570213"/>
    <w:rsid w:val="00570378"/>
    <w:rsid w:val="0057038D"/>
    <w:rsid w:val="005704C1"/>
    <w:rsid w:val="00570759"/>
    <w:rsid w:val="005707A4"/>
    <w:rsid w:val="00570E80"/>
    <w:rsid w:val="0057100F"/>
    <w:rsid w:val="005711FE"/>
    <w:rsid w:val="0057121D"/>
    <w:rsid w:val="00571229"/>
    <w:rsid w:val="0057154F"/>
    <w:rsid w:val="00571855"/>
    <w:rsid w:val="00571AB5"/>
    <w:rsid w:val="00571B2C"/>
    <w:rsid w:val="00571E81"/>
    <w:rsid w:val="00571F55"/>
    <w:rsid w:val="00572167"/>
    <w:rsid w:val="00572332"/>
    <w:rsid w:val="00572554"/>
    <w:rsid w:val="005726ED"/>
    <w:rsid w:val="00572B4F"/>
    <w:rsid w:val="005730FC"/>
    <w:rsid w:val="00573147"/>
    <w:rsid w:val="00573548"/>
    <w:rsid w:val="00573576"/>
    <w:rsid w:val="00573621"/>
    <w:rsid w:val="005738B8"/>
    <w:rsid w:val="00573C9C"/>
    <w:rsid w:val="00573D0E"/>
    <w:rsid w:val="00573DA9"/>
    <w:rsid w:val="00573F7F"/>
    <w:rsid w:val="0057405A"/>
    <w:rsid w:val="00574466"/>
    <w:rsid w:val="00574544"/>
    <w:rsid w:val="0057491B"/>
    <w:rsid w:val="00574B10"/>
    <w:rsid w:val="00575396"/>
    <w:rsid w:val="00575464"/>
    <w:rsid w:val="005757CC"/>
    <w:rsid w:val="0057590E"/>
    <w:rsid w:val="005759D9"/>
    <w:rsid w:val="00575C8A"/>
    <w:rsid w:val="00575EDA"/>
    <w:rsid w:val="005766A9"/>
    <w:rsid w:val="0057678A"/>
    <w:rsid w:val="005767C4"/>
    <w:rsid w:val="0057684C"/>
    <w:rsid w:val="005768FC"/>
    <w:rsid w:val="00576912"/>
    <w:rsid w:val="0057694D"/>
    <w:rsid w:val="00576B86"/>
    <w:rsid w:val="00576FBA"/>
    <w:rsid w:val="005770A6"/>
    <w:rsid w:val="00577367"/>
    <w:rsid w:val="005773CC"/>
    <w:rsid w:val="00577575"/>
    <w:rsid w:val="00577950"/>
    <w:rsid w:val="00577BD5"/>
    <w:rsid w:val="00577CAB"/>
    <w:rsid w:val="00577DAD"/>
    <w:rsid w:val="00577DAE"/>
    <w:rsid w:val="00577E81"/>
    <w:rsid w:val="005801C2"/>
    <w:rsid w:val="00580687"/>
    <w:rsid w:val="00580787"/>
    <w:rsid w:val="005807D5"/>
    <w:rsid w:val="005808AF"/>
    <w:rsid w:val="005808F6"/>
    <w:rsid w:val="005809F5"/>
    <w:rsid w:val="00580A2B"/>
    <w:rsid w:val="00580AF9"/>
    <w:rsid w:val="005814FA"/>
    <w:rsid w:val="005818FB"/>
    <w:rsid w:val="00581967"/>
    <w:rsid w:val="00581A5D"/>
    <w:rsid w:val="00581BD4"/>
    <w:rsid w:val="0058201D"/>
    <w:rsid w:val="005820AD"/>
    <w:rsid w:val="005822E0"/>
    <w:rsid w:val="005823A3"/>
    <w:rsid w:val="005827F4"/>
    <w:rsid w:val="00582CD7"/>
    <w:rsid w:val="00582DE0"/>
    <w:rsid w:val="00582E03"/>
    <w:rsid w:val="00582E19"/>
    <w:rsid w:val="00582EF5"/>
    <w:rsid w:val="005832E8"/>
    <w:rsid w:val="005833C3"/>
    <w:rsid w:val="0058357A"/>
    <w:rsid w:val="005835C0"/>
    <w:rsid w:val="00583653"/>
    <w:rsid w:val="0058385B"/>
    <w:rsid w:val="005839ED"/>
    <w:rsid w:val="00583A34"/>
    <w:rsid w:val="00583A5E"/>
    <w:rsid w:val="00583DA0"/>
    <w:rsid w:val="00583E73"/>
    <w:rsid w:val="00584737"/>
    <w:rsid w:val="00584751"/>
    <w:rsid w:val="00584770"/>
    <w:rsid w:val="005847FE"/>
    <w:rsid w:val="00584ADD"/>
    <w:rsid w:val="00584AEE"/>
    <w:rsid w:val="00584F26"/>
    <w:rsid w:val="0058559B"/>
    <w:rsid w:val="005855B1"/>
    <w:rsid w:val="00585806"/>
    <w:rsid w:val="00585AA9"/>
    <w:rsid w:val="00585EB0"/>
    <w:rsid w:val="005860DE"/>
    <w:rsid w:val="005860E9"/>
    <w:rsid w:val="005860FF"/>
    <w:rsid w:val="0058617E"/>
    <w:rsid w:val="0058677A"/>
    <w:rsid w:val="00586A09"/>
    <w:rsid w:val="00586A23"/>
    <w:rsid w:val="00586A9D"/>
    <w:rsid w:val="00586B54"/>
    <w:rsid w:val="00586C67"/>
    <w:rsid w:val="00586F2A"/>
    <w:rsid w:val="00586F31"/>
    <w:rsid w:val="00586FCA"/>
    <w:rsid w:val="00587416"/>
    <w:rsid w:val="00587544"/>
    <w:rsid w:val="00587594"/>
    <w:rsid w:val="005875D4"/>
    <w:rsid w:val="00587B14"/>
    <w:rsid w:val="00590014"/>
    <w:rsid w:val="0059006F"/>
    <w:rsid w:val="00590244"/>
    <w:rsid w:val="00590581"/>
    <w:rsid w:val="00590845"/>
    <w:rsid w:val="005908C5"/>
    <w:rsid w:val="0059099C"/>
    <w:rsid w:val="00590A49"/>
    <w:rsid w:val="00590EDF"/>
    <w:rsid w:val="00591225"/>
    <w:rsid w:val="005913E7"/>
    <w:rsid w:val="0059152E"/>
    <w:rsid w:val="00591619"/>
    <w:rsid w:val="00591945"/>
    <w:rsid w:val="00591A45"/>
    <w:rsid w:val="00591AC8"/>
    <w:rsid w:val="00591B29"/>
    <w:rsid w:val="00591C75"/>
    <w:rsid w:val="00591DCD"/>
    <w:rsid w:val="00591E5F"/>
    <w:rsid w:val="00591EE8"/>
    <w:rsid w:val="0059217C"/>
    <w:rsid w:val="00592184"/>
    <w:rsid w:val="00592504"/>
    <w:rsid w:val="005926ED"/>
    <w:rsid w:val="0059270A"/>
    <w:rsid w:val="005927DB"/>
    <w:rsid w:val="005928DE"/>
    <w:rsid w:val="00592914"/>
    <w:rsid w:val="005929F6"/>
    <w:rsid w:val="00592C80"/>
    <w:rsid w:val="00592F5F"/>
    <w:rsid w:val="005930A4"/>
    <w:rsid w:val="005935AD"/>
    <w:rsid w:val="005938AD"/>
    <w:rsid w:val="00593C82"/>
    <w:rsid w:val="00593CE7"/>
    <w:rsid w:val="00593E12"/>
    <w:rsid w:val="00593E9A"/>
    <w:rsid w:val="00593EE4"/>
    <w:rsid w:val="00593F86"/>
    <w:rsid w:val="005941EB"/>
    <w:rsid w:val="005947B6"/>
    <w:rsid w:val="00594CA2"/>
    <w:rsid w:val="00595161"/>
    <w:rsid w:val="0059555C"/>
    <w:rsid w:val="005955AB"/>
    <w:rsid w:val="00595885"/>
    <w:rsid w:val="00595888"/>
    <w:rsid w:val="00595ABB"/>
    <w:rsid w:val="00595E53"/>
    <w:rsid w:val="00595ECF"/>
    <w:rsid w:val="0059603A"/>
    <w:rsid w:val="00596181"/>
    <w:rsid w:val="00596658"/>
    <w:rsid w:val="005966E4"/>
    <w:rsid w:val="005968D1"/>
    <w:rsid w:val="00596B38"/>
    <w:rsid w:val="00596BB9"/>
    <w:rsid w:val="00596DE9"/>
    <w:rsid w:val="00596E04"/>
    <w:rsid w:val="005975CA"/>
    <w:rsid w:val="005977A2"/>
    <w:rsid w:val="00597960"/>
    <w:rsid w:val="00597C5E"/>
    <w:rsid w:val="00597CD6"/>
    <w:rsid w:val="00597CF8"/>
    <w:rsid w:val="00597DDF"/>
    <w:rsid w:val="00597E14"/>
    <w:rsid w:val="00597E7C"/>
    <w:rsid w:val="005A010E"/>
    <w:rsid w:val="005A0391"/>
    <w:rsid w:val="005A054B"/>
    <w:rsid w:val="005A0821"/>
    <w:rsid w:val="005A08B0"/>
    <w:rsid w:val="005A0A6D"/>
    <w:rsid w:val="005A0B10"/>
    <w:rsid w:val="005A0D09"/>
    <w:rsid w:val="005A11A6"/>
    <w:rsid w:val="005A132F"/>
    <w:rsid w:val="005A151C"/>
    <w:rsid w:val="005A1542"/>
    <w:rsid w:val="005A17F8"/>
    <w:rsid w:val="005A2269"/>
    <w:rsid w:val="005A2602"/>
    <w:rsid w:val="005A272B"/>
    <w:rsid w:val="005A29BD"/>
    <w:rsid w:val="005A2AB9"/>
    <w:rsid w:val="005A2E20"/>
    <w:rsid w:val="005A301C"/>
    <w:rsid w:val="005A33E5"/>
    <w:rsid w:val="005A39C4"/>
    <w:rsid w:val="005A3ACE"/>
    <w:rsid w:val="005A3C8A"/>
    <w:rsid w:val="005A3D5A"/>
    <w:rsid w:val="005A4225"/>
    <w:rsid w:val="005A445C"/>
    <w:rsid w:val="005A47BE"/>
    <w:rsid w:val="005A4D12"/>
    <w:rsid w:val="005A4DAE"/>
    <w:rsid w:val="005A4E36"/>
    <w:rsid w:val="005A4FB6"/>
    <w:rsid w:val="005A52B5"/>
    <w:rsid w:val="005A571D"/>
    <w:rsid w:val="005A57D7"/>
    <w:rsid w:val="005A595D"/>
    <w:rsid w:val="005A5B01"/>
    <w:rsid w:val="005A5BD7"/>
    <w:rsid w:val="005A5C15"/>
    <w:rsid w:val="005A5C1E"/>
    <w:rsid w:val="005A608B"/>
    <w:rsid w:val="005A61B2"/>
    <w:rsid w:val="005A64C8"/>
    <w:rsid w:val="005A68E4"/>
    <w:rsid w:val="005A6A96"/>
    <w:rsid w:val="005A6EFB"/>
    <w:rsid w:val="005A6F75"/>
    <w:rsid w:val="005A7306"/>
    <w:rsid w:val="005A7484"/>
    <w:rsid w:val="005A785D"/>
    <w:rsid w:val="005A7987"/>
    <w:rsid w:val="005A7B73"/>
    <w:rsid w:val="005A7ED8"/>
    <w:rsid w:val="005B0359"/>
    <w:rsid w:val="005B04C7"/>
    <w:rsid w:val="005B07E7"/>
    <w:rsid w:val="005B0868"/>
    <w:rsid w:val="005B09A4"/>
    <w:rsid w:val="005B0E75"/>
    <w:rsid w:val="005B10CD"/>
    <w:rsid w:val="005B12EB"/>
    <w:rsid w:val="005B158C"/>
    <w:rsid w:val="005B17A2"/>
    <w:rsid w:val="005B1867"/>
    <w:rsid w:val="005B19B2"/>
    <w:rsid w:val="005B1A4C"/>
    <w:rsid w:val="005B1F03"/>
    <w:rsid w:val="005B201F"/>
    <w:rsid w:val="005B2136"/>
    <w:rsid w:val="005B2176"/>
    <w:rsid w:val="005B226D"/>
    <w:rsid w:val="005B2278"/>
    <w:rsid w:val="005B2335"/>
    <w:rsid w:val="005B24F0"/>
    <w:rsid w:val="005B2642"/>
    <w:rsid w:val="005B2659"/>
    <w:rsid w:val="005B28A4"/>
    <w:rsid w:val="005B2AC4"/>
    <w:rsid w:val="005B2E0E"/>
    <w:rsid w:val="005B3238"/>
    <w:rsid w:val="005B342A"/>
    <w:rsid w:val="005B35D0"/>
    <w:rsid w:val="005B3AFC"/>
    <w:rsid w:val="005B429E"/>
    <w:rsid w:val="005B42FE"/>
    <w:rsid w:val="005B431F"/>
    <w:rsid w:val="005B4476"/>
    <w:rsid w:val="005B4790"/>
    <w:rsid w:val="005B494C"/>
    <w:rsid w:val="005B4B6D"/>
    <w:rsid w:val="005B55E6"/>
    <w:rsid w:val="005B55FF"/>
    <w:rsid w:val="005B563C"/>
    <w:rsid w:val="005B57CE"/>
    <w:rsid w:val="005B58B2"/>
    <w:rsid w:val="005B5AC5"/>
    <w:rsid w:val="005B5C6E"/>
    <w:rsid w:val="005B6186"/>
    <w:rsid w:val="005B632D"/>
    <w:rsid w:val="005B66B6"/>
    <w:rsid w:val="005B6723"/>
    <w:rsid w:val="005B69F5"/>
    <w:rsid w:val="005B6A16"/>
    <w:rsid w:val="005B6A5D"/>
    <w:rsid w:val="005B6B1A"/>
    <w:rsid w:val="005B6FE8"/>
    <w:rsid w:val="005B6FF0"/>
    <w:rsid w:val="005B74EE"/>
    <w:rsid w:val="005B76D5"/>
    <w:rsid w:val="005B782D"/>
    <w:rsid w:val="005B7B32"/>
    <w:rsid w:val="005B7BD6"/>
    <w:rsid w:val="005B7D90"/>
    <w:rsid w:val="005B7F8A"/>
    <w:rsid w:val="005C0106"/>
    <w:rsid w:val="005C019B"/>
    <w:rsid w:val="005C01A5"/>
    <w:rsid w:val="005C03E6"/>
    <w:rsid w:val="005C0549"/>
    <w:rsid w:val="005C0616"/>
    <w:rsid w:val="005C07AB"/>
    <w:rsid w:val="005C0859"/>
    <w:rsid w:val="005C14FC"/>
    <w:rsid w:val="005C1518"/>
    <w:rsid w:val="005C1635"/>
    <w:rsid w:val="005C1FB3"/>
    <w:rsid w:val="005C24EB"/>
    <w:rsid w:val="005C2663"/>
    <w:rsid w:val="005C2C35"/>
    <w:rsid w:val="005C2E2C"/>
    <w:rsid w:val="005C2E35"/>
    <w:rsid w:val="005C3525"/>
    <w:rsid w:val="005C3581"/>
    <w:rsid w:val="005C392D"/>
    <w:rsid w:val="005C3945"/>
    <w:rsid w:val="005C3E55"/>
    <w:rsid w:val="005C4051"/>
    <w:rsid w:val="005C44F7"/>
    <w:rsid w:val="005C46D0"/>
    <w:rsid w:val="005C4918"/>
    <w:rsid w:val="005C4A70"/>
    <w:rsid w:val="005C4AE3"/>
    <w:rsid w:val="005C4ED9"/>
    <w:rsid w:val="005C54E8"/>
    <w:rsid w:val="005C56CA"/>
    <w:rsid w:val="005C5816"/>
    <w:rsid w:val="005C5830"/>
    <w:rsid w:val="005C5B1C"/>
    <w:rsid w:val="005C5EE8"/>
    <w:rsid w:val="005C5F13"/>
    <w:rsid w:val="005C6698"/>
    <w:rsid w:val="005C6909"/>
    <w:rsid w:val="005C6AB2"/>
    <w:rsid w:val="005C6B31"/>
    <w:rsid w:val="005C6BE2"/>
    <w:rsid w:val="005C6C51"/>
    <w:rsid w:val="005C6E54"/>
    <w:rsid w:val="005C6F60"/>
    <w:rsid w:val="005C7123"/>
    <w:rsid w:val="005C7177"/>
    <w:rsid w:val="005C71D6"/>
    <w:rsid w:val="005C72AA"/>
    <w:rsid w:val="005C72B8"/>
    <w:rsid w:val="005C7433"/>
    <w:rsid w:val="005C74B3"/>
    <w:rsid w:val="005C7673"/>
    <w:rsid w:val="005C76C0"/>
    <w:rsid w:val="005C7828"/>
    <w:rsid w:val="005C78A6"/>
    <w:rsid w:val="005C7B19"/>
    <w:rsid w:val="005C7B2B"/>
    <w:rsid w:val="005C7D5D"/>
    <w:rsid w:val="005C7EE5"/>
    <w:rsid w:val="005D03F7"/>
    <w:rsid w:val="005D0429"/>
    <w:rsid w:val="005D0868"/>
    <w:rsid w:val="005D0B12"/>
    <w:rsid w:val="005D0BED"/>
    <w:rsid w:val="005D0C7B"/>
    <w:rsid w:val="005D0D89"/>
    <w:rsid w:val="005D0E2A"/>
    <w:rsid w:val="005D0F3A"/>
    <w:rsid w:val="005D11F4"/>
    <w:rsid w:val="005D1694"/>
    <w:rsid w:val="005D1826"/>
    <w:rsid w:val="005D1AE1"/>
    <w:rsid w:val="005D1B5F"/>
    <w:rsid w:val="005D1B81"/>
    <w:rsid w:val="005D1C43"/>
    <w:rsid w:val="005D1DD5"/>
    <w:rsid w:val="005D205E"/>
    <w:rsid w:val="005D20FD"/>
    <w:rsid w:val="005D22C1"/>
    <w:rsid w:val="005D23BE"/>
    <w:rsid w:val="005D25B7"/>
    <w:rsid w:val="005D2644"/>
    <w:rsid w:val="005D2A20"/>
    <w:rsid w:val="005D2B01"/>
    <w:rsid w:val="005D2B1C"/>
    <w:rsid w:val="005D2B58"/>
    <w:rsid w:val="005D2DFB"/>
    <w:rsid w:val="005D2F37"/>
    <w:rsid w:val="005D3A8C"/>
    <w:rsid w:val="005D3A8E"/>
    <w:rsid w:val="005D3C11"/>
    <w:rsid w:val="005D3C51"/>
    <w:rsid w:val="005D405D"/>
    <w:rsid w:val="005D4111"/>
    <w:rsid w:val="005D4391"/>
    <w:rsid w:val="005D4AEA"/>
    <w:rsid w:val="005D4CE6"/>
    <w:rsid w:val="005D4D21"/>
    <w:rsid w:val="005D5045"/>
    <w:rsid w:val="005D5285"/>
    <w:rsid w:val="005D53E8"/>
    <w:rsid w:val="005D5533"/>
    <w:rsid w:val="005D5631"/>
    <w:rsid w:val="005D5877"/>
    <w:rsid w:val="005D5A11"/>
    <w:rsid w:val="005D5D14"/>
    <w:rsid w:val="005D5D36"/>
    <w:rsid w:val="005D5F0B"/>
    <w:rsid w:val="005D60C3"/>
    <w:rsid w:val="005D6289"/>
    <w:rsid w:val="005D6351"/>
    <w:rsid w:val="005D63E0"/>
    <w:rsid w:val="005D67E9"/>
    <w:rsid w:val="005D6A7C"/>
    <w:rsid w:val="005D7341"/>
    <w:rsid w:val="005D73CF"/>
    <w:rsid w:val="005D76FF"/>
    <w:rsid w:val="005D7E83"/>
    <w:rsid w:val="005E00C0"/>
    <w:rsid w:val="005E0785"/>
    <w:rsid w:val="005E0868"/>
    <w:rsid w:val="005E08A9"/>
    <w:rsid w:val="005E09AA"/>
    <w:rsid w:val="005E0B01"/>
    <w:rsid w:val="005E0BB7"/>
    <w:rsid w:val="005E0D69"/>
    <w:rsid w:val="005E0FFC"/>
    <w:rsid w:val="005E1128"/>
    <w:rsid w:val="005E131F"/>
    <w:rsid w:val="005E14D8"/>
    <w:rsid w:val="005E17D1"/>
    <w:rsid w:val="005E1ACB"/>
    <w:rsid w:val="005E1B33"/>
    <w:rsid w:val="005E1BDC"/>
    <w:rsid w:val="005E1F12"/>
    <w:rsid w:val="005E1FD1"/>
    <w:rsid w:val="005E1FE9"/>
    <w:rsid w:val="005E2057"/>
    <w:rsid w:val="005E211D"/>
    <w:rsid w:val="005E21B6"/>
    <w:rsid w:val="005E2319"/>
    <w:rsid w:val="005E23A6"/>
    <w:rsid w:val="005E2485"/>
    <w:rsid w:val="005E25DD"/>
    <w:rsid w:val="005E2718"/>
    <w:rsid w:val="005E27C0"/>
    <w:rsid w:val="005E2996"/>
    <w:rsid w:val="005E2A17"/>
    <w:rsid w:val="005E2BC2"/>
    <w:rsid w:val="005E2C7D"/>
    <w:rsid w:val="005E2FFC"/>
    <w:rsid w:val="005E343A"/>
    <w:rsid w:val="005E34A7"/>
    <w:rsid w:val="005E36C6"/>
    <w:rsid w:val="005E36FA"/>
    <w:rsid w:val="005E3BDF"/>
    <w:rsid w:val="005E3D8F"/>
    <w:rsid w:val="005E40FF"/>
    <w:rsid w:val="005E415E"/>
    <w:rsid w:val="005E4560"/>
    <w:rsid w:val="005E48FE"/>
    <w:rsid w:val="005E49D7"/>
    <w:rsid w:val="005E4C84"/>
    <w:rsid w:val="005E4F53"/>
    <w:rsid w:val="005E5009"/>
    <w:rsid w:val="005E5111"/>
    <w:rsid w:val="005E5490"/>
    <w:rsid w:val="005E5603"/>
    <w:rsid w:val="005E583E"/>
    <w:rsid w:val="005E5B91"/>
    <w:rsid w:val="005E60EB"/>
    <w:rsid w:val="005E6169"/>
    <w:rsid w:val="005E63DA"/>
    <w:rsid w:val="005E64A0"/>
    <w:rsid w:val="005E69FA"/>
    <w:rsid w:val="005E6D38"/>
    <w:rsid w:val="005E6FDC"/>
    <w:rsid w:val="005E740F"/>
    <w:rsid w:val="005E758B"/>
    <w:rsid w:val="005E79E4"/>
    <w:rsid w:val="005E7D08"/>
    <w:rsid w:val="005E7D09"/>
    <w:rsid w:val="005E7EC1"/>
    <w:rsid w:val="005E7F2E"/>
    <w:rsid w:val="005E7F84"/>
    <w:rsid w:val="005F0241"/>
    <w:rsid w:val="005F02AC"/>
    <w:rsid w:val="005F0306"/>
    <w:rsid w:val="005F0350"/>
    <w:rsid w:val="005F05D7"/>
    <w:rsid w:val="005F0905"/>
    <w:rsid w:val="005F0BB7"/>
    <w:rsid w:val="005F0D3D"/>
    <w:rsid w:val="005F11F0"/>
    <w:rsid w:val="005F150E"/>
    <w:rsid w:val="005F1550"/>
    <w:rsid w:val="005F1647"/>
    <w:rsid w:val="005F1982"/>
    <w:rsid w:val="005F1A52"/>
    <w:rsid w:val="005F1C32"/>
    <w:rsid w:val="005F1D2F"/>
    <w:rsid w:val="005F1FB9"/>
    <w:rsid w:val="005F21FC"/>
    <w:rsid w:val="005F2601"/>
    <w:rsid w:val="005F2AC9"/>
    <w:rsid w:val="005F2AFA"/>
    <w:rsid w:val="005F2B1C"/>
    <w:rsid w:val="005F2FF6"/>
    <w:rsid w:val="005F3275"/>
    <w:rsid w:val="005F32F1"/>
    <w:rsid w:val="005F354D"/>
    <w:rsid w:val="005F368D"/>
    <w:rsid w:val="005F374B"/>
    <w:rsid w:val="005F3BDB"/>
    <w:rsid w:val="005F3D94"/>
    <w:rsid w:val="005F3E8B"/>
    <w:rsid w:val="005F3ED9"/>
    <w:rsid w:val="005F4079"/>
    <w:rsid w:val="005F423F"/>
    <w:rsid w:val="005F466B"/>
    <w:rsid w:val="005F468C"/>
    <w:rsid w:val="005F4906"/>
    <w:rsid w:val="005F4ED2"/>
    <w:rsid w:val="005F51F9"/>
    <w:rsid w:val="005F5227"/>
    <w:rsid w:val="005F539D"/>
    <w:rsid w:val="005F5409"/>
    <w:rsid w:val="005F5853"/>
    <w:rsid w:val="005F5B20"/>
    <w:rsid w:val="005F5D8B"/>
    <w:rsid w:val="005F5E77"/>
    <w:rsid w:val="005F5EC2"/>
    <w:rsid w:val="005F614E"/>
    <w:rsid w:val="005F660C"/>
    <w:rsid w:val="005F6825"/>
    <w:rsid w:val="005F6972"/>
    <w:rsid w:val="005F69CB"/>
    <w:rsid w:val="005F6E96"/>
    <w:rsid w:val="005F77FF"/>
    <w:rsid w:val="005F7948"/>
    <w:rsid w:val="005F7AC3"/>
    <w:rsid w:val="005F7FFE"/>
    <w:rsid w:val="00600008"/>
    <w:rsid w:val="00600661"/>
    <w:rsid w:val="0060069D"/>
    <w:rsid w:val="00600BC4"/>
    <w:rsid w:val="00600DAF"/>
    <w:rsid w:val="00600DBC"/>
    <w:rsid w:val="00600F8F"/>
    <w:rsid w:val="0060106F"/>
    <w:rsid w:val="006011A6"/>
    <w:rsid w:val="006012B1"/>
    <w:rsid w:val="0060137C"/>
    <w:rsid w:val="00601648"/>
    <w:rsid w:val="00601863"/>
    <w:rsid w:val="00601AB3"/>
    <w:rsid w:val="00601D62"/>
    <w:rsid w:val="00601DC0"/>
    <w:rsid w:val="00601FEB"/>
    <w:rsid w:val="0060208A"/>
    <w:rsid w:val="006021A6"/>
    <w:rsid w:val="006021AD"/>
    <w:rsid w:val="0060242F"/>
    <w:rsid w:val="006024B2"/>
    <w:rsid w:val="006026A6"/>
    <w:rsid w:val="00602723"/>
    <w:rsid w:val="00602DEB"/>
    <w:rsid w:val="00602FF4"/>
    <w:rsid w:val="006030DE"/>
    <w:rsid w:val="006031A3"/>
    <w:rsid w:val="006032B3"/>
    <w:rsid w:val="006037D4"/>
    <w:rsid w:val="0060390C"/>
    <w:rsid w:val="0060393D"/>
    <w:rsid w:val="00603B48"/>
    <w:rsid w:val="00604370"/>
    <w:rsid w:val="006043CF"/>
    <w:rsid w:val="0060452F"/>
    <w:rsid w:val="006045E4"/>
    <w:rsid w:val="0060461C"/>
    <w:rsid w:val="00604697"/>
    <w:rsid w:val="006047F4"/>
    <w:rsid w:val="006047F6"/>
    <w:rsid w:val="0060486C"/>
    <w:rsid w:val="00604B7F"/>
    <w:rsid w:val="00604EAB"/>
    <w:rsid w:val="00604ED5"/>
    <w:rsid w:val="006051CB"/>
    <w:rsid w:val="006052DE"/>
    <w:rsid w:val="00605541"/>
    <w:rsid w:val="00605A95"/>
    <w:rsid w:val="00605BBC"/>
    <w:rsid w:val="00605FBD"/>
    <w:rsid w:val="0060626F"/>
    <w:rsid w:val="00606352"/>
    <w:rsid w:val="00606393"/>
    <w:rsid w:val="00606473"/>
    <w:rsid w:val="00606738"/>
    <w:rsid w:val="006068A2"/>
    <w:rsid w:val="00606E2F"/>
    <w:rsid w:val="00606E86"/>
    <w:rsid w:val="006071C9"/>
    <w:rsid w:val="006071D9"/>
    <w:rsid w:val="00607304"/>
    <w:rsid w:val="0060730F"/>
    <w:rsid w:val="00607592"/>
    <w:rsid w:val="006075F4"/>
    <w:rsid w:val="00607625"/>
    <w:rsid w:val="0060779F"/>
    <w:rsid w:val="00607B65"/>
    <w:rsid w:val="00607BAB"/>
    <w:rsid w:val="00607EFD"/>
    <w:rsid w:val="0061054C"/>
    <w:rsid w:val="006105C7"/>
    <w:rsid w:val="00610695"/>
    <w:rsid w:val="00610F72"/>
    <w:rsid w:val="00611194"/>
    <w:rsid w:val="0061126E"/>
    <w:rsid w:val="006113C6"/>
    <w:rsid w:val="00611424"/>
    <w:rsid w:val="00611E0D"/>
    <w:rsid w:val="00612303"/>
    <w:rsid w:val="00612624"/>
    <w:rsid w:val="00612635"/>
    <w:rsid w:val="00612796"/>
    <w:rsid w:val="006127B5"/>
    <w:rsid w:val="006127D3"/>
    <w:rsid w:val="0061290C"/>
    <w:rsid w:val="006129AD"/>
    <w:rsid w:val="00612F92"/>
    <w:rsid w:val="00612FBB"/>
    <w:rsid w:val="006135FB"/>
    <w:rsid w:val="006139BA"/>
    <w:rsid w:val="00613B6B"/>
    <w:rsid w:val="00613BE2"/>
    <w:rsid w:val="00614394"/>
    <w:rsid w:val="006146D5"/>
    <w:rsid w:val="006146FE"/>
    <w:rsid w:val="00614A9E"/>
    <w:rsid w:val="00614B1A"/>
    <w:rsid w:val="00614BBB"/>
    <w:rsid w:val="0061510A"/>
    <w:rsid w:val="00615365"/>
    <w:rsid w:val="00615AF5"/>
    <w:rsid w:val="00615DE8"/>
    <w:rsid w:val="0061618F"/>
    <w:rsid w:val="006164BA"/>
    <w:rsid w:val="006164F1"/>
    <w:rsid w:val="00616869"/>
    <w:rsid w:val="006168FC"/>
    <w:rsid w:val="00616C12"/>
    <w:rsid w:val="00616DE7"/>
    <w:rsid w:val="00616E0A"/>
    <w:rsid w:val="00616F2C"/>
    <w:rsid w:val="00616F85"/>
    <w:rsid w:val="006170CA"/>
    <w:rsid w:val="006170FE"/>
    <w:rsid w:val="006173C3"/>
    <w:rsid w:val="0061780D"/>
    <w:rsid w:val="0061782E"/>
    <w:rsid w:val="00617915"/>
    <w:rsid w:val="00617931"/>
    <w:rsid w:val="00617977"/>
    <w:rsid w:val="00617A75"/>
    <w:rsid w:val="00617BA7"/>
    <w:rsid w:val="00617CF9"/>
    <w:rsid w:val="00617FA1"/>
    <w:rsid w:val="006201D4"/>
    <w:rsid w:val="006203B5"/>
    <w:rsid w:val="00620814"/>
    <w:rsid w:val="006209BB"/>
    <w:rsid w:val="00620B68"/>
    <w:rsid w:val="0062107A"/>
    <w:rsid w:val="00621271"/>
    <w:rsid w:val="0062132F"/>
    <w:rsid w:val="00621B41"/>
    <w:rsid w:val="00621E42"/>
    <w:rsid w:val="00622237"/>
    <w:rsid w:val="00622756"/>
    <w:rsid w:val="00622827"/>
    <w:rsid w:val="00622B87"/>
    <w:rsid w:val="00622BC8"/>
    <w:rsid w:val="00622D2B"/>
    <w:rsid w:val="00622D89"/>
    <w:rsid w:val="006231C3"/>
    <w:rsid w:val="00623288"/>
    <w:rsid w:val="00623547"/>
    <w:rsid w:val="0062361E"/>
    <w:rsid w:val="006236A7"/>
    <w:rsid w:val="00623872"/>
    <w:rsid w:val="006238A5"/>
    <w:rsid w:val="00623A1E"/>
    <w:rsid w:val="00623A57"/>
    <w:rsid w:val="00623A94"/>
    <w:rsid w:val="00623F51"/>
    <w:rsid w:val="00623F6B"/>
    <w:rsid w:val="0062401E"/>
    <w:rsid w:val="0062403B"/>
    <w:rsid w:val="0062425E"/>
    <w:rsid w:val="00624289"/>
    <w:rsid w:val="006245C6"/>
    <w:rsid w:val="006247B8"/>
    <w:rsid w:val="006249BA"/>
    <w:rsid w:val="00624A70"/>
    <w:rsid w:val="00624C8B"/>
    <w:rsid w:val="00624D66"/>
    <w:rsid w:val="00625005"/>
    <w:rsid w:val="00625071"/>
    <w:rsid w:val="006252B1"/>
    <w:rsid w:val="0062552E"/>
    <w:rsid w:val="0062557B"/>
    <w:rsid w:val="00625652"/>
    <w:rsid w:val="006256D3"/>
    <w:rsid w:val="0062587B"/>
    <w:rsid w:val="00625D34"/>
    <w:rsid w:val="00625DA5"/>
    <w:rsid w:val="00626205"/>
    <w:rsid w:val="006262EF"/>
    <w:rsid w:val="00626424"/>
    <w:rsid w:val="006268A5"/>
    <w:rsid w:val="006268AB"/>
    <w:rsid w:val="00626B05"/>
    <w:rsid w:val="00626D7A"/>
    <w:rsid w:val="00627405"/>
    <w:rsid w:val="0062769B"/>
    <w:rsid w:val="006277AE"/>
    <w:rsid w:val="00627853"/>
    <w:rsid w:val="00627BA7"/>
    <w:rsid w:val="00627D32"/>
    <w:rsid w:val="00627E10"/>
    <w:rsid w:val="00627F73"/>
    <w:rsid w:val="0063023A"/>
    <w:rsid w:val="00630275"/>
    <w:rsid w:val="006302D3"/>
    <w:rsid w:val="006302EA"/>
    <w:rsid w:val="00630411"/>
    <w:rsid w:val="0063086A"/>
    <w:rsid w:val="00630AA4"/>
    <w:rsid w:val="00630D33"/>
    <w:rsid w:val="00630E6F"/>
    <w:rsid w:val="00631102"/>
    <w:rsid w:val="00631147"/>
    <w:rsid w:val="006312FD"/>
    <w:rsid w:val="0063133E"/>
    <w:rsid w:val="006313B1"/>
    <w:rsid w:val="0063169B"/>
    <w:rsid w:val="00631808"/>
    <w:rsid w:val="00631929"/>
    <w:rsid w:val="00631E91"/>
    <w:rsid w:val="00632149"/>
    <w:rsid w:val="00632195"/>
    <w:rsid w:val="00632287"/>
    <w:rsid w:val="00632496"/>
    <w:rsid w:val="00632691"/>
    <w:rsid w:val="00632A76"/>
    <w:rsid w:val="00632B60"/>
    <w:rsid w:val="00632E2F"/>
    <w:rsid w:val="00632EDD"/>
    <w:rsid w:val="00632F4C"/>
    <w:rsid w:val="006331CC"/>
    <w:rsid w:val="006331DD"/>
    <w:rsid w:val="006332BF"/>
    <w:rsid w:val="00633612"/>
    <w:rsid w:val="00633765"/>
    <w:rsid w:val="0063380B"/>
    <w:rsid w:val="00633861"/>
    <w:rsid w:val="00633873"/>
    <w:rsid w:val="006339FA"/>
    <w:rsid w:val="00633BF6"/>
    <w:rsid w:val="00633E2F"/>
    <w:rsid w:val="00633F3F"/>
    <w:rsid w:val="006342CD"/>
    <w:rsid w:val="006345AD"/>
    <w:rsid w:val="0063479F"/>
    <w:rsid w:val="00634809"/>
    <w:rsid w:val="00634875"/>
    <w:rsid w:val="0063529C"/>
    <w:rsid w:val="0063554A"/>
    <w:rsid w:val="00635662"/>
    <w:rsid w:val="006357EA"/>
    <w:rsid w:val="00635871"/>
    <w:rsid w:val="006358AE"/>
    <w:rsid w:val="00635BB2"/>
    <w:rsid w:val="00635BBF"/>
    <w:rsid w:val="00635F00"/>
    <w:rsid w:val="00636044"/>
    <w:rsid w:val="00636182"/>
    <w:rsid w:val="006363A9"/>
    <w:rsid w:val="00636433"/>
    <w:rsid w:val="006365CD"/>
    <w:rsid w:val="006366CB"/>
    <w:rsid w:val="006366E0"/>
    <w:rsid w:val="00636CE6"/>
    <w:rsid w:val="006373E2"/>
    <w:rsid w:val="00637509"/>
    <w:rsid w:val="00637808"/>
    <w:rsid w:val="006378D0"/>
    <w:rsid w:val="00637BF8"/>
    <w:rsid w:val="00637FAE"/>
    <w:rsid w:val="0064030A"/>
    <w:rsid w:val="0064034D"/>
    <w:rsid w:val="00640504"/>
    <w:rsid w:val="00640822"/>
    <w:rsid w:val="00640AB1"/>
    <w:rsid w:val="00640B84"/>
    <w:rsid w:val="00640C0E"/>
    <w:rsid w:val="006415B6"/>
    <w:rsid w:val="00641919"/>
    <w:rsid w:val="00641A30"/>
    <w:rsid w:val="00641C7B"/>
    <w:rsid w:val="00641DEC"/>
    <w:rsid w:val="0064217C"/>
    <w:rsid w:val="00642189"/>
    <w:rsid w:val="006424CB"/>
    <w:rsid w:val="00642579"/>
    <w:rsid w:val="0064257B"/>
    <w:rsid w:val="006426B1"/>
    <w:rsid w:val="006429D2"/>
    <w:rsid w:val="00642B1F"/>
    <w:rsid w:val="00642BC2"/>
    <w:rsid w:val="00642CE0"/>
    <w:rsid w:val="00642CEE"/>
    <w:rsid w:val="00642D59"/>
    <w:rsid w:val="00642D8F"/>
    <w:rsid w:val="00642DA1"/>
    <w:rsid w:val="00643217"/>
    <w:rsid w:val="00643267"/>
    <w:rsid w:val="006434EC"/>
    <w:rsid w:val="00643C11"/>
    <w:rsid w:val="00643DAD"/>
    <w:rsid w:val="0064427D"/>
    <w:rsid w:val="006442CC"/>
    <w:rsid w:val="006443C9"/>
    <w:rsid w:val="00644693"/>
    <w:rsid w:val="00644A94"/>
    <w:rsid w:val="00644D78"/>
    <w:rsid w:val="0064505B"/>
    <w:rsid w:val="00645180"/>
    <w:rsid w:val="00645F60"/>
    <w:rsid w:val="00645FA8"/>
    <w:rsid w:val="00646093"/>
    <w:rsid w:val="00646305"/>
    <w:rsid w:val="006464E1"/>
    <w:rsid w:val="00646805"/>
    <w:rsid w:val="00646943"/>
    <w:rsid w:val="00646967"/>
    <w:rsid w:val="00646B54"/>
    <w:rsid w:val="00646C07"/>
    <w:rsid w:val="00646DBE"/>
    <w:rsid w:val="0064714B"/>
    <w:rsid w:val="00647256"/>
    <w:rsid w:val="006473C3"/>
    <w:rsid w:val="006473D6"/>
    <w:rsid w:val="0064741B"/>
    <w:rsid w:val="0064742A"/>
    <w:rsid w:val="00647511"/>
    <w:rsid w:val="0064751D"/>
    <w:rsid w:val="00647539"/>
    <w:rsid w:val="006479C8"/>
    <w:rsid w:val="00647A4A"/>
    <w:rsid w:val="00647D37"/>
    <w:rsid w:val="00647DED"/>
    <w:rsid w:val="00647ED0"/>
    <w:rsid w:val="006500C5"/>
    <w:rsid w:val="00650192"/>
    <w:rsid w:val="006501A5"/>
    <w:rsid w:val="006502B7"/>
    <w:rsid w:val="0065039E"/>
    <w:rsid w:val="0065050C"/>
    <w:rsid w:val="00650568"/>
    <w:rsid w:val="006509DE"/>
    <w:rsid w:val="00650D38"/>
    <w:rsid w:val="00651388"/>
    <w:rsid w:val="006516C3"/>
    <w:rsid w:val="00651898"/>
    <w:rsid w:val="006521CF"/>
    <w:rsid w:val="0065238F"/>
    <w:rsid w:val="006525BB"/>
    <w:rsid w:val="00652C32"/>
    <w:rsid w:val="00652CBF"/>
    <w:rsid w:val="00652D02"/>
    <w:rsid w:val="00652F46"/>
    <w:rsid w:val="00653915"/>
    <w:rsid w:val="00653CA6"/>
    <w:rsid w:val="00653D76"/>
    <w:rsid w:val="00653EC3"/>
    <w:rsid w:val="00653F77"/>
    <w:rsid w:val="006540A0"/>
    <w:rsid w:val="00654112"/>
    <w:rsid w:val="006541EE"/>
    <w:rsid w:val="006542B9"/>
    <w:rsid w:val="0065467A"/>
    <w:rsid w:val="006547B9"/>
    <w:rsid w:val="006547E3"/>
    <w:rsid w:val="00654ACB"/>
    <w:rsid w:val="00654B48"/>
    <w:rsid w:val="00654C3D"/>
    <w:rsid w:val="00654E67"/>
    <w:rsid w:val="0065519E"/>
    <w:rsid w:val="00655217"/>
    <w:rsid w:val="00655970"/>
    <w:rsid w:val="00655CA3"/>
    <w:rsid w:val="00655F57"/>
    <w:rsid w:val="00656192"/>
    <w:rsid w:val="00656B93"/>
    <w:rsid w:val="00656C05"/>
    <w:rsid w:val="006574EB"/>
    <w:rsid w:val="006574FF"/>
    <w:rsid w:val="0065762D"/>
    <w:rsid w:val="00657685"/>
    <w:rsid w:val="00657695"/>
    <w:rsid w:val="006577DB"/>
    <w:rsid w:val="00657C00"/>
    <w:rsid w:val="00657DBC"/>
    <w:rsid w:val="00657E31"/>
    <w:rsid w:val="00660028"/>
    <w:rsid w:val="00660194"/>
    <w:rsid w:val="0066019B"/>
    <w:rsid w:val="00660429"/>
    <w:rsid w:val="00660ABF"/>
    <w:rsid w:val="00660C79"/>
    <w:rsid w:val="00660E5B"/>
    <w:rsid w:val="00660E81"/>
    <w:rsid w:val="00660F8A"/>
    <w:rsid w:val="0066115E"/>
    <w:rsid w:val="0066144C"/>
    <w:rsid w:val="006614B4"/>
    <w:rsid w:val="006614E1"/>
    <w:rsid w:val="006614F6"/>
    <w:rsid w:val="00661515"/>
    <w:rsid w:val="006615C2"/>
    <w:rsid w:val="006617A6"/>
    <w:rsid w:val="0066191C"/>
    <w:rsid w:val="00661C3E"/>
    <w:rsid w:val="00661C53"/>
    <w:rsid w:val="00661F1B"/>
    <w:rsid w:val="00662AC1"/>
    <w:rsid w:val="00663430"/>
    <w:rsid w:val="0066370A"/>
    <w:rsid w:val="00663719"/>
    <w:rsid w:val="0066376F"/>
    <w:rsid w:val="006637A8"/>
    <w:rsid w:val="006638D9"/>
    <w:rsid w:val="00663960"/>
    <w:rsid w:val="00663CAE"/>
    <w:rsid w:val="00663CDD"/>
    <w:rsid w:val="00663E38"/>
    <w:rsid w:val="00664565"/>
    <w:rsid w:val="00664660"/>
    <w:rsid w:val="006649C9"/>
    <w:rsid w:val="00664A35"/>
    <w:rsid w:val="00664A69"/>
    <w:rsid w:val="00664E1F"/>
    <w:rsid w:val="00665131"/>
    <w:rsid w:val="00665886"/>
    <w:rsid w:val="00665893"/>
    <w:rsid w:val="00665BDB"/>
    <w:rsid w:val="00665E82"/>
    <w:rsid w:val="00665F68"/>
    <w:rsid w:val="00665F72"/>
    <w:rsid w:val="0066640C"/>
    <w:rsid w:val="0066665E"/>
    <w:rsid w:val="00666B3A"/>
    <w:rsid w:val="006675B2"/>
    <w:rsid w:val="00667616"/>
    <w:rsid w:val="00667CB4"/>
    <w:rsid w:val="00670226"/>
    <w:rsid w:val="006702D9"/>
    <w:rsid w:val="00670730"/>
    <w:rsid w:val="00670873"/>
    <w:rsid w:val="00670907"/>
    <w:rsid w:val="00670ABC"/>
    <w:rsid w:val="00670C20"/>
    <w:rsid w:val="00670FC4"/>
    <w:rsid w:val="006711CD"/>
    <w:rsid w:val="00671441"/>
    <w:rsid w:val="006715E1"/>
    <w:rsid w:val="00671672"/>
    <w:rsid w:val="00671700"/>
    <w:rsid w:val="006717A4"/>
    <w:rsid w:val="0067191A"/>
    <w:rsid w:val="00671A34"/>
    <w:rsid w:val="00671B51"/>
    <w:rsid w:val="00671E25"/>
    <w:rsid w:val="00672225"/>
    <w:rsid w:val="00672A26"/>
    <w:rsid w:val="00672D61"/>
    <w:rsid w:val="00672EC8"/>
    <w:rsid w:val="0067301A"/>
    <w:rsid w:val="0067312C"/>
    <w:rsid w:val="006732DD"/>
    <w:rsid w:val="0067342D"/>
    <w:rsid w:val="00673464"/>
    <w:rsid w:val="006734AB"/>
    <w:rsid w:val="006735E1"/>
    <w:rsid w:val="006735EE"/>
    <w:rsid w:val="00673785"/>
    <w:rsid w:val="006739A3"/>
    <w:rsid w:val="00673E1F"/>
    <w:rsid w:val="006740BC"/>
    <w:rsid w:val="006741FC"/>
    <w:rsid w:val="006742A6"/>
    <w:rsid w:val="006743F1"/>
    <w:rsid w:val="006745FF"/>
    <w:rsid w:val="00674EF5"/>
    <w:rsid w:val="00675160"/>
    <w:rsid w:val="0067531E"/>
    <w:rsid w:val="00675482"/>
    <w:rsid w:val="006755B1"/>
    <w:rsid w:val="00675C6C"/>
    <w:rsid w:val="00675E95"/>
    <w:rsid w:val="00676010"/>
    <w:rsid w:val="006763D4"/>
    <w:rsid w:val="0067649C"/>
    <w:rsid w:val="0067654B"/>
    <w:rsid w:val="0067682D"/>
    <w:rsid w:val="006769F9"/>
    <w:rsid w:val="00676A43"/>
    <w:rsid w:val="00676AD0"/>
    <w:rsid w:val="00676BC6"/>
    <w:rsid w:val="0067705E"/>
    <w:rsid w:val="006774CB"/>
    <w:rsid w:val="006775B3"/>
    <w:rsid w:val="0067764F"/>
    <w:rsid w:val="006778B2"/>
    <w:rsid w:val="006779BB"/>
    <w:rsid w:val="006779E7"/>
    <w:rsid w:val="00677BA0"/>
    <w:rsid w:val="00677C30"/>
    <w:rsid w:val="0068048C"/>
    <w:rsid w:val="0068057C"/>
    <w:rsid w:val="006808AB"/>
    <w:rsid w:val="00680B6F"/>
    <w:rsid w:val="00680DB1"/>
    <w:rsid w:val="00680DE3"/>
    <w:rsid w:val="006811D7"/>
    <w:rsid w:val="00681BC1"/>
    <w:rsid w:val="00681DCE"/>
    <w:rsid w:val="0068208A"/>
    <w:rsid w:val="006822A5"/>
    <w:rsid w:val="00682591"/>
    <w:rsid w:val="00682695"/>
    <w:rsid w:val="006827DA"/>
    <w:rsid w:val="006827F1"/>
    <w:rsid w:val="00682B35"/>
    <w:rsid w:val="00682B4C"/>
    <w:rsid w:val="00683024"/>
    <w:rsid w:val="006830EE"/>
    <w:rsid w:val="00683195"/>
    <w:rsid w:val="0068328C"/>
    <w:rsid w:val="006838A5"/>
    <w:rsid w:val="00683EE3"/>
    <w:rsid w:val="006844C5"/>
    <w:rsid w:val="0068463F"/>
    <w:rsid w:val="0068470C"/>
    <w:rsid w:val="00684979"/>
    <w:rsid w:val="00684A0A"/>
    <w:rsid w:val="00684B62"/>
    <w:rsid w:val="00684DA6"/>
    <w:rsid w:val="00684EAD"/>
    <w:rsid w:val="00684F55"/>
    <w:rsid w:val="006854A9"/>
    <w:rsid w:val="00685530"/>
    <w:rsid w:val="0068560A"/>
    <w:rsid w:val="006858D9"/>
    <w:rsid w:val="00685994"/>
    <w:rsid w:val="00686B05"/>
    <w:rsid w:val="00686C73"/>
    <w:rsid w:val="00686E30"/>
    <w:rsid w:val="00687390"/>
    <w:rsid w:val="00687431"/>
    <w:rsid w:val="00687541"/>
    <w:rsid w:val="00687710"/>
    <w:rsid w:val="00687CF4"/>
    <w:rsid w:val="00687D23"/>
    <w:rsid w:val="00687D5E"/>
    <w:rsid w:val="00690174"/>
    <w:rsid w:val="006903E7"/>
    <w:rsid w:val="0069082D"/>
    <w:rsid w:val="00690C01"/>
    <w:rsid w:val="00690E20"/>
    <w:rsid w:val="00690FE8"/>
    <w:rsid w:val="006910F0"/>
    <w:rsid w:val="0069116A"/>
    <w:rsid w:val="006911DD"/>
    <w:rsid w:val="00691BF2"/>
    <w:rsid w:val="00691E70"/>
    <w:rsid w:val="0069219E"/>
    <w:rsid w:val="00692480"/>
    <w:rsid w:val="0069264D"/>
    <w:rsid w:val="00692853"/>
    <w:rsid w:val="006929D7"/>
    <w:rsid w:val="00692B10"/>
    <w:rsid w:val="00692EDB"/>
    <w:rsid w:val="00692FB2"/>
    <w:rsid w:val="006932BE"/>
    <w:rsid w:val="006935BE"/>
    <w:rsid w:val="006935C9"/>
    <w:rsid w:val="00693612"/>
    <w:rsid w:val="006936C0"/>
    <w:rsid w:val="006937E1"/>
    <w:rsid w:val="00693C99"/>
    <w:rsid w:val="0069430E"/>
    <w:rsid w:val="00694512"/>
    <w:rsid w:val="00694522"/>
    <w:rsid w:val="0069467B"/>
    <w:rsid w:val="00694720"/>
    <w:rsid w:val="00694A98"/>
    <w:rsid w:val="00694CBE"/>
    <w:rsid w:val="00694D50"/>
    <w:rsid w:val="006950C8"/>
    <w:rsid w:val="006952E9"/>
    <w:rsid w:val="00695732"/>
    <w:rsid w:val="00695ABC"/>
    <w:rsid w:val="00695B02"/>
    <w:rsid w:val="00695B73"/>
    <w:rsid w:val="00695EC9"/>
    <w:rsid w:val="00696277"/>
    <w:rsid w:val="00696597"/>
    <w:rsid w:val="006965CB"/>
    <w:rsid w:val="00696A2A"/>
    <w:rsid w:val="00697176"/>
    <w:rsid w:val="006971CB"/>
    <w:rsid w:val="006973F2"/>
    <w:rsid w:val="006978DA"/>
    <w:rsid w:val="00697942"/>
    <w:rsid w:val="006979D7"/>
    <w:rsid w:val="00697BCF"/>
    <w:rsid w:val="00697BF2"/>
    <w:rsid w:val="00697D6B"/>
    <w:rsid w:val="00697E5F"/>
    <w:rsid w:val="00697F84"/>
    <w:rsid w:val="006A0000"/>
    <w:rsid w:val="006A0D8A"/>
    <w:rsid w:val="006A0E9D"/>
    <w:rsid w:val="006A1238"/>
    <w:rsid w:val="006A135F"/>
    <w:rsid w:val="006A1416"/>
    <w:rsid w:val="006A16A0"/>
    <w:rsid w:val="006A1B07"/>
    <w:rsid w:val="006A1C3B"/>
    <w:rsid w:val="006A1C50"/>
    <w:rsid w:val="006A1DC7"/>
    <w:rsid w:val="006A1FD2"/>
    <w:rsid w:val="006A20C8"/>
    <w:rsid w:val="006A20D9"/>
    <w:rsid w:val="006A2440"/>
    <w:rsid w:val="006A287D"/>
    <w:rsid w:val="006A2972"/>
    <w:rsid w:val="006A2D0D"/>
    <w:rsid w:val="006A2D37"/>
    <w:rsid w:val="006A2DFD"/>
    <w:rsid w:val="006A307E"/>
    <w:rsid w:val="006A3212"/>
    <w:rsid w:val="006A33C1"/>
    <w:rsid w:val="006A33FA"/>
    <w:rsid w:val="006A3518"/>
    <w:rsid w:val="006A362F"/>
    <w:rsid w:val="006A3C41"/>
    <w:rsid w:val="006A3C45"/>
    <w:rsid w:val="006A41D6"/>
    <w:rsid w:val="006A424D"/>
    <w:rsid w:val="006A45A6"/>
    <w:rsid w:val="006A45EE"/>
    <w:rsid w:val="006A4D52"/>
    <w:rsid w:val="006A4E7C"/>
    <w:rsid w:val="006A4E9E"/>
    <w:rsid w:val="006A4EB2"/>
    <w:rsid w:val="006A4FD3"/>
    <w:rsid w:val="006A5312"/>
    <w:rsid w:val="006A5369"/>
    <w:rsid w:val="006A5601"/>
    <w:rsid w:val="006A560A"/>
    <w:rsid w:val="006A5680"/>
    <w:rsid w:val="006A56A7"/>
    <w:rsid w:val="006A573D"/>
    <w:rsid w:val="006A5828"/>
    <w:rsid w:val="006A58CD"/>
    <w:rsid w:val="006A5B75"/>
    <w:rsid w:val="006A5F66"/>
    <w:rsid w:val="006A6214"/>
    <w:rsid w:val="006A627C"/>
    <w:rsid w:val="006A7034"/>
    <w:rsid w:val="006A707A"/>
    <w:rsid w:val="006A7494"/>
    <w:rsid w:val="006A7600"/>
    <w:rsid w:val="006A77EF"/>
    <w:rsid w:val="006A781B"/>
    <w:rsid w:val="006A798F"/>
    <w:rsid w:val="006A7F68"/>
    <w:rsid w:val="006B000A"/>
    <w:rsid w:val="006B0151"/>
    <w:rsid w:val="006B02EE"/>
    <w:rsid w:val="006B0442"/>
    <w:rsid w:val="006B04C4"/>
    <w:rsid w:val="006B077A"/>
    <w:rsid w:val="006B1028"/>
    <w:rsid w:val="006B13D9"/>
    <w:rsid w:val="006B13F4"/>
    <w:rsid w:val="006B148A"/>
    <w:rsid w:val="006B15F0"/>
    <w:rsid w:val="006B162D"/>
    <w:rsid w:val="006B1811"/>
    <w:rsid w:val="006B1841"/>
    <w:rsid w:val="006B18EB"/>
    <w:rsid w:val="006B1F70"/>
    <w:rsid w:val="006B1F9E"/>
    <w:rsid w:val="006B23DC"/>
    <w:rsid w:val="006B27FD"/>
    <w:rsid w:val="006B2A24"/>
    <w:rsid w:val="006B2BAB"/>
    <w:rsid w:val="006B2C03"/>
    <w:rsid w:val="006B2E98"/>
    <w:rsid w:val="006B2F0D"/>
    <w:rsid w:val="006B306C"/>
    <w:rsid w:val="006B3151"/>
    <w:rsid w:val="006B33C0"/>
    <w:rsid w:val="006B3C2E"/>
    <w:rsid w:val="006B3FC8"/>
    <w:rsid w:val="006B436B"/>
    <w:rsid w:val="006B4405"/>
    <w:rsid w:val="006B4506"/>
    <w:rsid w:val="006B46BE"/>
    <w:rsid w:val="006B494C"/>
    <w:rsid w:val="006B4A59"/>
    <w:rsid w:val="006B4BFF"/>
    <w:rsid w:val="006B4C2F"/>
    <w:rsid w:val="006B4C38"/>
    <w:rsid w:val="006B4DCC"/>
    <w:rsid w:val="006B4DD3"/>
    <w:rsid w:val="006B4F27"/>
    <w:rsid w:val="006B4F37"/>
    <w:rsid w:val="006B50F9"/>
    <w:rsid w:val="006B55BC"/>
    <w:rsid w:val="006B55BE"/>
    <w:rsid w:val="006B564E"/>
    <w:rsid w:val="006B5666"/>
    <w:rsid w:val="006B57D9"/>
    <w:rsid w:val="006B64C9"/>
    <w:rsid w:val="006B67A4"/>
    <w:rsid w:val="006B6864"/>
    <w:rsid w:val="006B6DF7"/>
    <w:rsid w:val="006B6EF2"/>
    <w:rsid w:val="006B6F2F"/>
    <w:rsid w:val="006B7535"/>
    <w:rsid w:val="006B75EE"/>
    <w:rsid w:val="006B779E"/>
    <w:rsid w:val="006B77AA"/>
    <w:rsid w:val="006B7A59"/>
    <w:rsid w:val="006B7B86"/>
    <w:rsid w:val="006B7C70"/>
    <w:rsid w:val="006B7F1E"/>
    <w:rsid w:val="006C0154"/>
    <w:rsid w:val="006C0605"/>
    <w:rsid w:val="006C0B30"/>
    <w:rsid w:val="006C0B3C"/>
    <w:rsid w:val="006C0CF0"/>
    <w:rsid w:val="006C0DB1"/>
    <w:rsid w:val="006C117A"/>
    <w:rsid w:val="006C15CB"/>
    <w:rsid w:val="006C1900"/>
    <w:rsid w:val="006C19C5"/>
    <w:rsid w:val="006C1E14"/>
    <w:rsid w:val="006C1E6E"/>
    <w:rsid w:val="006C2373"/>
    <w:rsid w:val="006C257E"/>
    <w:rsid w:val="006C28AF"/>
    <w:rsid w:val="006C292D"/>
    <w:rsid w:val="006C2EBB"/>
    <w:rsid w:val="006C300F"/>
    <w:rsid w:val="006C317E"/>
    <w:rsid w:val="006C32DB"/>
    <w:rsid w:val="006C33E4"/>
    <w:rsid w:val="006C3523"/>
    <w:rsid w:val="006C3781"/>
    <w:rsid w:val="006C3B6C"/>
    <w:rsid w:val="006C3D5B"/>
    <w:rsid w:val="006C3DE1"/>
    <w:rsid w:val="006C3EF2"/>
    <w:rsid w:val="006C43F9"/>
    <w:rsid w:val="006C45DC"/>
    <w:rsid w:val="006C4649"/>
    <w:rsid w:val="006C4751"/>
    <w:rsid w:val="006C54B7"/>
    <w:rsid w:val="006C58A5"/>
    <w:rsid w:val="006C5E19"/>
    <w:rsid w:val="006C60AB"/>
    <w:rsid w:val="006C6158"/>
    <w:rsid w:val="006C63DE"/>
    <w:rsid w:val="006C68CA"/>
    <w:rsid w:val="006C6A07"/>
    <w:rsid w:val="006C6AE0"/>
    <w:rsid w:val="006C6EDF"/>
    <w:rsid w:val="006C7516"/>
    <w:rsid w:val="006C76B2"/>
    <w:rsid w:val="006C7913"/>
    <w:rsid w:val="006C79BB"/>
    <w:rsid w:val="006C7A5C"/>
    <w:rsid w:val="006C7AE2"/>
    <w:rsid w:val="006D02C4"/>
    <w:rsid w:val="006D0315"/>
    <w:rsid w:val="006D06EE"/>
    <w:rsid w:val="006D0733"/>
    <w:rsid w:val="006D0C3C"/>
    <w:rsid w:val="006D0CFA"/>
    <w:rsid w:val="006D101B"/>
    <w:rsid w:val="006D10BB"/>
    <w:rsid w:val="006D137C"/>
    <w:rsid w:val="006D1709"/>
    <w:rsid w:val="006D1DD7"/>
    <w:rsid w:val="006D22A4"/>
    <w:rsid w:val="006D231C"/>
    <w:rsid w:val="006D23EA"/>
    <w:rsid w:val="006D268F"/>
    <w:rsid w:val="006D2731"/>
    <w:rsid w:val="006D28C9"/>
    <w:rsid w:val="006D28E2"/>
    <w:rsid w:val="006D2902"/>
    <w:rsid w:val="006D2955"/>
    <w:rsid w:val="006D2B0B"/>
    <w:rsid w:val="006D2C80"/>
    <w:rsid w:val="006D3154"/>
    <w:rsid w:val="006D3434"/>
    <w:rsid w:val="006D355E"/>
    <w:rsid w:val="006D384F"/>
    <w:rsid w:val="006D3C17"/>
    <w:rsid w:val="006D403D"/>
    <w:rsid w:val="006D437C"/>
    <w:rsid w:val="006D43EE"/>
    <w:rsid w:val="006D473D"/>
    <w:rsid w:val="006D4753"/>
    <w:rsid w:val="006D4A51"/>
    <w:rsid w:val="006D4AD1"/>
    <w:rsid w:val="006D4B0B"/>
    <w:rsid w:val="006D5298"/>
    <w:rsid w:val="006D59E4"/>
    <w:rsid w:val="006D60C4"/>
    <w:rsid w:val="006D6120"/>
    <w:rsid w:val="006D6154"/>
    <w:rsid w:val="006D6319"/>
    <w:rsid w:val="006D6CA1"/>
    <w:rsid w:val="006D6D04"/>
    <w:rsid w:val="006D70A1"/>
    <w:rsid w:val="006D7176"/>
    <w:rsid w:val="006D7228"/>
    <w:rsid w:val="006D745D"/>
    <w:rsid w:val="006D761E"/>
    <w:rsid w:val="006D7A2D"/>
    <w:rsid w:val="006D7B25"/>
    <w:rsid w:val="006D7B8D"/>
    <w:rsid w:val="006D7D26"/>
    <w:rsid w:val="006D7DF6"/>
    <w:rsid w:val="006E0071"/>
    <w:rsid w:val="006E0A90"/>
    <w:rsid w:val="006E0D19"/>
    <w:rsid w:val="006E0F3C"/>
    <w:rsid w:val="006E1231"/>
    <w:rsid w:val="006E12BC"/>
    <w:rsid w:val="006E1318"/>
    <w:rsid w:val="006E1365"/>
    <w:rsid w:val="006E153E"/>
    <w:rsid w:val="006E1CCF"/>
    <w:rsid w:val="006E1D85"/>
    <w:rsid w:val="006E21B6"/>
    <w:rsid w:val="006E21F2"/>
    <w:rsid w:val="006E22E8"/>
    <w:rsid w:val="006E2581"/>
    <w:rsid w:val="006E2758"/>
    <w:rsid w:val="006E2780"/>
    <w:rsid w:val="006E37F2"/>
    <w:rsid w:val="006E3B95"/>
    <w:rsid w:val="006E4448"/>
    <w:rsid w:val="006E4A3D"/>
    <w:rsid w:val="006E4DCF"/>
    <w:rsid w:val="006E4E0F"/>
    <w:rsid w:val="006E4F10"/>
    <w:rsid w:val="006E53FA"/>
    <w:rsid w:val="006E5530"/>
    <w:rsid w:val="006E593E"/>
    <w:rsid w:val="006E5EF9"/>
    <w:rsid w:val="006E60A7"/>
    <w:rsid w:val="006E6106"/>
    <w:rsid w:val="006E6117"/>
    <w:rsid w:val="006E6257"/>
    <w:rsid w:val="006E632A"/>
    <w:rsid w:val="006E64E4"/>
    <w:rsid w:val="006E676C"/>
    <w:rsid w:val="006E682C"/>
    <w:rsid w:val="006E69AB"/>
    <w:rsid w:val="006E6AC2"/>
    <w:rsid w:val="006E6B51"/>
    <w:rsid w:val="006E6BDA"/>
    <w:rsid w:val="006E6C06"/>
    <w:rsid w:val="006E6D95"/>
    <w:rsid w:val="006E7207"/>
    <w:rsid w:val="006E72B5"/>
    <w:rsid w:val="006E72BF"/>
    <w:rsid w:val="006E7524"/>
    <w:rsid w:val="006E7527"/>
    <w:rsid w:val="006E7599"/>
    <w:rsid w:val="006E7873"/>
    <w:rsid w:val="006E7903"/>
    <w:rsid w:val="006E791D"/>
    <w:rsid w:val="006E7A40"/>
    <w:rsid w:val="006E7C69"/>
    <w:rsid w:val="006E7C7D"/>
    <w:rsid w:val="006E7DC3"/>
    <w:rsid w:val="006F00CF"/>
    <w:rsid w:val="006F0327"/>
    <w:rsid w:val="006F0397"/>
    <w:rsid w:val="006F051C"/>
    <w:rsid w:val="006F05D7"/>
    <w:rsid w:val="006F0642"/>
    <w:rsid w:val="006F08EA"/>
    <w:rsid w:val="006F0C4F"/>
    <w:rsid w:val="006F0E44"/>
    <w:rsid w:val="006F0FF6"/>
    <w:rsid w:val="006F1010"/>
    <w:rsid w:val="006F14FE"/>
    <w:rsid w:val="006F1990"/>
    <w:rsid w:val="006F1AF8"/>
    <w:rsid w:val="006F1B73"/>
    <w:rsid w:val="006F1ED9"/>
    <w:rsid w:val="006F1F06"/>
    <w:rsid w:val="006F1FDA"/>
    <w:rsid w:val="006F2061"/>
    <w:rsid w:val="006F242B"/>
    <w:rsid w:val="006F25FD"/>
    <w:rsid w:val="006F264A"/>
    <w:rsid w:val="006F2786"/>
    <w:rsid w:val="006F2D21"/>
    <w:rsid w:val="006F2E1D"/>
    <w:rsid w:val="006F2E8E"/>
    <w:rsid w:val="006F2F58"/>
    <w:rsid w:val="006F2FCC"/>
    <w:rsid w:val="006F30BC"/>
    <w:rsid w:val="006F31C7"/>
    <w:rsid w:val="006F3282"/>
    <w:rsid w:val="006F34C4"/>
    <w:rsid w:val="006F351B"/>
    <w:rsid w:val="006F3BE4"/>
    <w:rsid w:val="006F3CD3"/>
    <w:rsid w:val="006F3F03"/>
    <w:rsid w:val="006F3FC7"/>
    <w:rsid w:val="006F4220"/>
    <w:rsid w:val="006F43E1"/>
    <w:rsid w:val="006F4506"/>
    <w:rsid w:val="006F4560"/>
    <w:rsid w:val="006F489E"/>
    <w:rsid w:val="006F4932"/>
    <w:rsid w:val="006F4A54"/>
    <w:rsid w:val="006F4AA6"/>
    <w:rsid w:val="006F4F79"/>
    <w:rsid w:val="006F538F"/>
    <w:rsid w:val="006F5421"/>
    <w:rsid w:val="006F5577"/>
    <w:rsid w:val="006F558C"/>
    <w:rsid w:val="006F572A"/>
    <w:rsid w:val="006F5C69"/>
    <w:rsid w:val="006F5E65"/>
    <w:rsid w:val="006F5F45"/>
    <w:rsid w:val="006F5F8D"/>
    <w:rsid w:val="006F617D"/>
    <w:rsid w:val="006F654E"/>
    <w:rsid w:val="006F670D"/>
    <w:rsid w:val="006F69FC"/>
    <w:rsid w:val="006F6CA2"/>
    <w:rsid w:val="006F6DED"/>
    <w:rsid w:val="006F6F30"/>
    <w:rsid w:val="006F701F"/>
    <w:rsid w:val="006F7057"/>
    <w:rsid w:val="006F72D4"/>
    <w:rsid w:val="006F739A"/>
    <w:rsid w:val="006F74BF"/>
    <w:rsid w:val="006F752E"/>
    <w:rsid w:val="006F7940"/>
    <w:rsid w:val="006F799D"/>
    <w:rsid w:val="006F7B15"/>
    <w:rsid w:val="006F7B1D"/>
    <w:rsid w:val="006F7E45"/>
    <w:rsid w:val="006F7E81"/>
    <w:rsid w:val="006F7F5A"/>
    <w:rsid w:val="0070035B"/>
    <w:rsid w:val="0070069B"/>
    <w:rsid w:val="00700A4B"/>
    <w:rsid w:val="007010E1"/>
    <w:rsid w:val="007011E0"/>
    <w:rsid w:val="0070120B"/>
    <w:rsid w:val="00701266"/>
    <w:rsid w:val="007013D4"/>
    <w:rsid w:val="00701407"/>
    <w:rsid w:val="00701612"/>
    <w:rsid w:val="00701716"/>
    <w:rsid w:val="00701CBE"/>
    <w:rsid w:val="00701D75"/>
    <w:rsid w:val="00702442"/>
    <w:rsid w:val="00702870"/>
    <w:rsid w:val="00702894"/>
    <w:rsid w:val="00702ABE"/>
    <w:rsid w:val="00702AE5"/>
    <w:rsid w:val="007031AF"/>
    <w:rsid w:val="00703416"/>
    <w:rsid w:val="00703522"/>
    <w:rsid w:val="00703F4D"/>
    <w:rsid w:val="007041DC"/>
    <w:rsid w:val="00704477"/>
    <w:rsid w:val="007049B1"/>
    <w:rsid w:val="00704C8D"/>
    <w:rsid w:val="00704F76"/>
    <w:rsid w:val="00704FBF"/>
    <w:rsid w:val="00705066"/>
    <w:rsid w:val="0070558E"/>
    <w:rsid w:val="007059E5"/>
    <w:rsid w:val="00705B84"/>
    <w:rsid w:val="00705C86"/>
    <w:rsid w:val="00706309"/>
    <w:rsid w:val="00706915"/>
    <w:rsid w:val="00706CB8"/>
    <w:rsid w:val="00706D69"/>
    <w:rsid w:val="0070730B"/>
    <w:rsid w:val="00707313"/>
    <w:rsid w:val="0070763F"/>
    <w:rsid w:val="0070768D"/>
    <w:rsid w:val="00707C77"/>
    <w:rsid w:val="00707D4D"/>
    <w:rsid w:val="0071008A"/>
    <w:rsid w:val="0071053B"/>
    <w:rsid w:val="00710593"/>
    <w:rsid w:val="007105A8"/>
    <w:rsid w:val="007109D9"/>
    <w:rsid w:val="00710B0B"/>
    <w:rsid w:val="00710C82"/>
    <w:rsid w:val="00710F44"/>
    <w:rsid w:val="0071105B"/>
    <w:rsid w:val="007110A6"/>
    <w:rsid w:val="00711328"/>
    <w:rsid w:val="00711452"/>
    <w:rsid w:val="007114A4"/>
    <w:rsid w:val="00711609"/>
    <w:rsid w:val="007117C4"/>
    <w:rsid w:val="00711B5B"/>
    <w:rsid w:val="00711BE9"/>
    <w:rsid w:val="00711CAC"/>
    <w:rsid w:val="00711F6A"/>
    <w:rsid w:val="0071213C"/>
    <w:rsid w:val="007121BD"/>
    <w:rsid w:val="0071281F"/>
    <w:rsid w:val="007129C1"/>
    <w:rsid w:val="00712A90"/>
    <w:rsid w:val="00712C3A"/>
    <w:rsid w:val="00712CCF"/>
    <w:rsid w:val="00712D82"/>
    <w:rsid w:val="00712E22"/>
    <w:rsid w:val="007131A8"/>
    <w:rsid w:val="00713486"/>
    <w:rsid w:val="007134D5"/>
    <w:rsid w:val="00713636"/>
    <w:rsid w:val="00713AEE"/>
    <w:rsid w:val="00713FB4"/>
    <w:rsid w:val="0071414B"/>
    <w:rsid w:val="00714311"/>
    <w:rsid w:val="00714336"/>
    <w:rsid w:val="00714DD3"/>
    <w:rsid w:val="00714E6F"/>
    <w:rsid w:val="00714F7A"/>
    <w:rsid w:val="00715060"/>
    <w:rsid w:val="00715925"/>
    <w:rsid w:val="00715A8B"/>
    <w:rsid w:val="00715AC5"/>
    <w:rsid w:val="00715D75"/>
    <w:rsid w:val="00715D9B"/>
    <w:rsid w:val="00715ED6"/>
    <w:rsid w:val="00715F84"/>
    <w:rsid w:val="007164A6"/>
    <w:rsid w:val="00716798"/>
    <w:rsid w:val="00716B6D"/>
    <w:rsid w:val="00716B87"/>
    <w:rsid w:val="00716BDF"/>
    <w:rsid w:val="00716CEE"/>
    <w:rsid w:val="00716D33"/>
    <w:rsid w:val="007171A1"/>
    <w:rsid w:val="00717D56"/>
    <w:rsid w:val="00720600"/>
    <w:rsid w:val="00720648"/>
    <w:rsid w:val="00720711"/>
    <w:rsid w:val="007207EC"/>
    <w:rsid w:val="00720990"/>
    <w:rsid w:val="007209A6"/>
    <w:rsid w:val="00720CAD"/>
    <w:rsid w:val="00720D67"/>
    <w:rsid w:val="00720DCB"/>
    <w:rsid w:val="00720E5D"/>
    <w:rsid w:val="00720E96"/>
    <w:rsid w:val="007210AF"/>
    <w:rsid w:val="007211A4"/>
    <w:rsid w:val="00721366"/>
    <w:rsid w:val="007213B3"/>
    <w:rsid w:val="0072162F"/>
    <w:rsid w:val="007216A3"/>
    <w:rsid w:val="0072174B"/>
    <w:rsid w:val="00721903"/>
    <w:rsid w:val="00721CAA"/>
    <w:rsid w:val="00721CF3"/>
    <w:rsid w:val="00722840"/>
    <w:rsid w:val="0072290E"/>
    <w:rsid w:val="00722926"/>
    <w:rsid w:val="00722AFA"/>
    <w:rsid w:val="007230EB"/>
    <w:rsid w:val="00723180"/>
    <w:rsid w:val="00723319"/>
    <w:rsid w:val="00723330"/>
    <w:rsid w:val="007237FE"/>
    <w:rsid w:val="00723834"/>
    <w:rsid w:val="00723892"/>
    <w:rsid w:val="0072399D"/>
    <w:rsid w:val="007239E5"/>
    <w:rsid w:val="00723A75"/>
    <w:rsid w:val="00723AA5"/>
    <w:rsid w:val="00723BE6"/>
    <w:rsid w:val="00723D36"/>
    <w:rsid w:val="0072424A"/>
    <w:rsid w:val="00724527"/>
    <w:rsid w:val="00724658"/>
    <w:rsid w:val="00724699"/>
    <w:rsid w:val="00724780"/>
    <w:rsid w:val="00724798"/>
    <w:rsid w:val="00724880"/>
    <w:rsid w:val="00724BD6"/>
    <w:rsid w:val="00724BF1"/>
    <w:rsid w:val="00724E3C"/>
    <w:rsid w:val="00724F79"/>
    <w:rsid w:val="0072559D"/>
    <w:rsid w:val="007257AE"/>
    <w:rsid w:val="0072586F"/>
    <w:rsid w:val="00725895"/>
    <w:rsid w:val="00725B9D"/>
    <w:rsid w:val="00726132"/>
    <w:rsid w:val="0072624A"/>
    <w:rsid w:val="007267AB"/>
    <w:rsid w:val="00726C14"/>
    <w:rsid w:val="00726EB0"/>
    <w:rsid w:val="00726F53"/>
    <w:rsid w:val="00726FC1"/>
    <w:rsid w:val="00727743"/>
    <w:rsid w:val="00727776"/>
    <w:rsid w:val="00727946"/>
    <w:rsid w:val="00727A8F"/>
    <w:rsid w:val="00727BE4"/>
    <w:rsid w:val="00727D65"/>
    <w:rsid w:val="00727D97"/>
    <w:rsid w:val="00727DBF"/>
    <w:rsid w:val="00727FA8"/>
    <w:rsid w:val="0073009E"/>
    <w:rsid w:val="007300C7"/>
    <w:rsid w:val="0073010B"/>
    <w:rsid w:val="00730430"/>
    <w:rsid w:val="00730875"/>
    <w:rsid w:val="00730969"/>
    <w:rsid w:val="00730B77"/>
    <w:rsid w:val="00730CEC"/>
    <w:rsid w:val="00731366"/>
    <w:rsid w:val="0073176D"/>
    <w:rsid w:val="00731846"/>
    <w:rsid w:val="00731B66"/>
    <w:rsid w:val="00731BB9"/>
    <w:rsid w:val="00731BFE"/>
    <w:rsid w:val="00731C5A"/>
    <w:rsid w:val="00731E01"/>
    <w:rsid w:val="0073216E"/>
    <w:rsid w:val="00732288"/>
    <w:rsid w:val="00732478"/>
    <w:rsid w:val="00732574"/>
    <w:rsid w:val="007326F2"/>
    <w:rsid w:val="007327CF"/>
    <w:rsid w:val="00732BA5"/>
    <w:rsid w:val="00732C0F"/>
    <w:rsid w:val="00733104"/>
    <w:rsid w:val="00733340"/>
    <w:rsid w:val="007333E6"/>
    <w:rsid w:val="00733A0F"/>
    <w:rsid w:val="00733B37"/>
    <w:rsid w:val="00733C86"/>
    <w:rsid w:val="00733CBC"/>
    <w:rsid w:val="00733D31"/>
    <w:rsid w:val="00733FCE"/>
    <w:rsid w:val="0073411E"/>
    <w:rsid w:val="007341CF"/>
    <w:rsid w:val="007341DF"/>
    <w:rsid w:val="00734253"/>
    <w:rsid w:val="00734276"/>
    <w:rsid w:val="007342FB"/>
    <w:rsid w:val="007342FD"/>
    <w:rsid w:val="007343C5"/>
    <w:rsid w:val="00734573"/>
    <w:rsid w:val="007345E9"/>
    <w:rsid w:val="00734797"/>
    <w:rsid w:val="0073514A"/>
    <w:rsid w:val="00735229"/>
    <w:rsid w:val="007354E2"/>
    <w:rsid w:val="007355CA"/>
    <w:rsid w:val="00735B46"/>
    <w:rsid w:val="00735CE6"/>
    <w:rsid w:val="00736538"/>
    <w:rsid w:val="007366C0"/>
    <w:rsid w:val="007367F4"/>
    <w:rsid w:val="007368DC"/>
    <w:rsid w:val="0073695E"/>
    <w:rsid w:val="00736A70"/>
    <w:rsid w:val="00736B84"/>
    <w:rsid w:val="00736CE7"/>
    <w:rsid w:val="00736D05"/>
    <w:rsid w:val="00737062"/>
    <w:rsid w:val="00737171"/>
    <w:rsid w:val="0073719C"/>
    <w:rsid w:val="0073753C"/>
    <w:rsid w:val="00737A78"/>
    <w:rsid w:val="00737B80"/>
    <w:rsid w:val="007405AA"/>
    <w:rsid w:val="0074064F"/>
    <w:rsid w:val="00740D56"/>
    <w:rsid w:val="00740F28"/>
    <w:rsid w:val="007416A4"/>
    <w:rsid w:val="0074176B"/>
    <w:rsid w:val="007419B0"/>
    <w:rsid w:val="00741F1C"/>
    <w:rsid w:val="007421E1"/>
    <w:rsid w:val="00742319"/>
    <w:rsid w:val="0074241A"/>
    <w:rsid w:val="00742485"/>
    <w:rsid w:val="007427B6"/>
    <w:rsid w:val="0074283B"/>
    <w:rsid w:val="0074286F"/>
    <w:rsid w:val="007428A9"/>
    <w:rsid w:val="007428D7"/>
    <w:rsid w:val="00742A5A"/>
    <w:rsid w:val="00742C4E"/>
    <w:rsid w:val="00742CD8"/>
    <w:rsid w:val="00742E8D"/>
    <w:rsid w:val="0074345B"/>
    <w:rsid w:val="0074362E"/>
    <w:rsid w:val="0074366B"/>
    <w:rsid w:val="00743B4B"/>
    <w:rsid w:val="00743BBF"/>
    <w:rsid w:val="00743CA1"/>
    <w:rsid w:val="0074452E"/>
    <w:rsid w:val="00744756"/>
    <w:rsid w:val="007447F9"/>
    <w:rsid w:val="00744ADE"/>
    <w:rsid w:val="00744B93"/>
    <w:rsid w:val="00744D08"/>
    <w:rsid w:val="00744D62"/>
    <w:rsid w:val="00744ECF"/>
    <w:rsid w:val="00744FD4"/>
    <w:rsid w:val="007452FD"/>
    <w:rsid w:val="007453B3"/>
    <w:rsid w:val="007453E0"/>
    <w:rsid w:val="00745B5D"/>
    <w:rsid w:val="00745C10"/>
    <w:rsid w:val="00745C20"/>
    <w:rsid w:val="00745F15"/>
    <w:rsid w:val="00746209"/>
    <w:rsid w:val="00746843"/>
    <w:rsid w:val="00746879"/>
    <w:rsid w:val="00746F7B"/>
    <w:rsid w:val="0074737C"/>
    <w:rsid w:val="007475C7"/>
    <w:rsid w:val="00747622"/>
    <w:rsid w:val="00747B65"/>
    <w:rsid w:val="00747E9C"/>
    <w:rsid w:val="0075004B"/>
    <w:rsid w:val="00750269"/>
    <w:rsid w:val="007502AA"/>
    <w:rsid w:val="00750487"/>
    <w:rsid w:val="007505B0"/>
    <w:rsid w:val="0075074F"/>
    <w:rsid w:val="00750A04"/>
    <w:rsid w:val="00750ADA"/>
    <w:rsid w:val="007510F3"/>
    <w:rsid w:val="0075117A"/>
    <w:rsid w:val="007513FD"/>
    <w:rsid w:val="00751623"/>
    <w:rsid w:val="0075172A"/>
    <w:rsid w:val="0075177D"/>
    <w:rsid w:val="00751911"/>
    <w:rsid w:val="00751BA9"/>
    <w:rsid w:val="00751D07"/>
    <w:rsid w:val="00751D0A"/>
    <w:rsid w:val="00751D61"/>
    <w:rsid w:val="00751FF7"/>
    <w:rsid w:val="007521CA"/>
    <w:rsid w:val="007524A3"/>
    <w:rsid w:val="007527C6"/>
    <w:rsid w:val="00752E33"/>
    <w:rsid w:val="007532C7"/>
    <w:rsid w:val="007536B0"/>
    <w:rsid w:val="0075386A"/>
    <w:rsid w:val="00753922"/>
    <w:rsid w:val="00753A64"/>
    <w:rsid w:val="00753A69"/>
    <w:rsid w:val="00753A7F"/>
    <w:rsid w:val="00753B69"/>
    <w:rsid w:val="00753CF9"/>
    <w:rsid w:val="00753D9D"/>
    <w:rsid w:val="00753F72"/>
    <w:rsid w:val="007540A1"/>
    <w:rsid w:val="007547FD"/>
    <w:rsid w:val="00754BC5"/>
    <w:rsid w:val="00754C3C"/>
    <w:rsid w:val="0075534E"/>
    <w:rsid w:val="007553C3"/>
    <w:rsid w:val="007553F3"/>
    <w:rsid w:val="00755480"/>
    <w:rsid w:val="007556B9"/>
    <w:rsid w:val="0075583D"/>
    <w:rsid w:val="00755F95"/>
    <w:rsid w:val="00756095"/>
    <w:rsid w:val="00756160"/>
    <w:rsid w:val="007563FA"/>
    <w:rsid w:val="007564FB"/>
    <w:rsid w:val="00756866"/>
    <w:rsid w:val="00756B3C"/>
    <w:rsid w:val="00756C63"/>
    <w:rsid w:val="00756E2F"/>
    <w:rsid w:val="00756EBE"/>
    <w:rsid w:val="00756F3C"/>
    <w:rsid w:val="0075708C"/>
    <w:rsid w:val="0075777C"/>
    <w:rsid w:val="00757A21"/>
    <w:rsid w:val="00760129"/>
    <w:rsid w:val="00760552"/>
    <w:rsid w:val="007607C9"/>
    <w:rsid w:val="00760C03"/>
    <w:rsid w:val="00760F79"/>
    <w:rsid w:val="007611C9"/>
    <w:rsid w:val="0076124C"/>
    <w:rsid w:val="007613D3"/>
    <w:rsid w:val="007614AF"/>
    <w:rsid w:val="007618BB"/>
    <w:rsid w:val="007619E0"/>
    <w:rsid w:val="00761CB0"/>
    <w:rsid w:val="00761D01"/>
    <w:rsid w:val="00761E38"/>
    <w:rsid w:val="00762076"/>
    <w:rsid w:val="0076250D"/>
    <w:rsid w:val="00762697"/>
    <w:rsid w:val="007628BD"/>
    <w:rsid w:val="00762B1D"/>
    <w:rsid w:val="00762C48"/>
    <w:rsid w:val="00762D4A"/>
    <w:rsid w:val="00762E90"/>
    <w:rsid w:val="00762FD5"/>
    <w:rsid w:val="007632EC"/>
    <w:rsid w:val="00763492"/>
    <w:rsid w:val="007637C9"/>
    <w:rsid w:val="00763A50"/>
    <w:rsid w:val="00763AEB"/>
    <w:rsid w:val="00763C4B"/>
    <w:rsid w:val="00763C59"/>
    <w:rsid w:val="00763FAF"/>
    <w:rsid w:val="00764033"/>
    <w:rsid w:val="0076413A"/>
    <w:rsid w:val="00764360"/>
    <w:rsid w:val="007648FA"/>
    <w:rsid w:val="00764D31"/>
    <w:rsid w:val="00764E0B"/>
    <w:rsid w:val="00764F79"/>
    <w:rsid w:val="00764FD5"/>
    <w:rsid w:val="007650AD"/>
    <w:rsid w:val="00765368"/>
    <w:rsid w:val="0076538B"/>
    <w:rsid w:val="00765446"/>
    <w:rsid w:val="007657AA"/>
    <w:rsid w:val="007658D9"/>
    <w:rsid w:val="00765B23"/>
    <w:rsid w:val="00766231"/>
    <w:rsid w:val="0076623C"/>
    <w:rsid w:val="00766324"/>
    <w:rsid w:val="0076669C"/>
    <w:rsid w:val="0076670D"/>
    <w:rsid w:val="00766A1F"/>
    <w:rsid w:val="00766D85"/>
    <w:rsid w:val="00766EB7"/>
    <w:rsid w:val="00766EF9"/>
    <w:rsid w:val="00766FBD"/>
    <w:rsid w:val="00767219"/>
    <w:rsid w:val="00767568"/>
    <w:rsid w:val="00767901"/>
    <w:rsid w:val="0076797B"/>
    <w:rsid w:val="00767CC6"/>
    <w:rsid w:val="00767CD2"/>
    <w:rsid w:val="00767D64"/>
    <w:rsid w:val="00767DC6"/>
    <w:rsid w:val="00767EF1"/>
    <w:rsid w:val="0077052C"/>
    <w:rsid w:val="00770645"/>
    <w:rsid w:val="007706F3"/>
    <w:rsid w:val="00770A1B"/>
    <w:rsid w:val="00770B73"/>
    <w:rsid w:val="00770BD7"/>
    <w:rsid w:val="00770BE6"/>
    <w:rsid w:val="00770D25"/>
    <w:rsid w:val="0077111C"/>
    <w:rsid w:val="007713FA"/>
    <w:rsid w:val="00771A19"/>
    <w:rsid w:val="00771D14"/>
    <w:rsid w:val="00771D6B"/>
    <w:rsid w:val="00771E1A"/>
    <w:rsid w:val="007724A0"/>
    <w:rsid w:val="007724E7"/>
    <w:rsid w:val="007727E4"/>
    <w:rsid w:val="0077282F"/>
    <w:rsid w:val="00772AD2"/>
    <w:rsid w:val="00772B82"/>
    <w:rsid w:val="00772BB2"/>
    <w:rsid w:val="00772BE1"/>
    <w:rsid w:val="00772D73"/>
    <w:rsid w:val="00772DCA"/>
    <w:rsid w:val="00773208"/>
    <w:rsid w:val="0077335B"/>
    <w:rsid w:val="007733E6"/>
    <w:rsid w:val="00773697"/>
    <w:rsid w:val="00773756"/>
    <w:rsid w:val="00773764"/>
    <w:rsid w:val="00773919"/>
    <w:rsid w:val="00773A16"/>
    <w:rsid w:val="00773E0E"/>
    <w:rsid w:val="00773F1A"/>
    <w:rsid w:val="00773F2D"/>
    <w:rsid w:val="0077404D"/>
    <w:rsid w:val="007740A1"/>
    <w:rsid w:val="007745DF"/>
    <w:rsid w:val="00774993"/>
    <w:rsid w:val="00774E6E"/>
    <w:rsid w:val="00774F5F"/>
    <w:rsid w:val="00774FD2"/>
    <w:rsid w:val="007750F3"/>
    <w:rsid w:val="007750F4"/>
    <w:rsid w:val="0077519F"/>
    <w:rsid w:val="007754B0"/>
    <w:rsid w:val="007755F3"/>
    <w:rsid w:val="00775C8E"/>
    <w:rsid w:val="00775F36"/>
    <w:rsid w:val="00776394"/>
    <w:rsid w:val="00776477"/>
    <w:rsid w:val="00776564"/>
    <w:rsid w:val="007767A9"/>
    <w:rsid w:val="00776900"/>
    <w:rsid w:val="0077690E"/>
    <w:rsid w:val="00776A08"/>
    <w:rsid w:val="00776ECF"/>
    <w:rsid w:val="007770B0"/>
    <w:rsid w:val="00777119"/>
    <w:rsid w:val="00777298"/>
    <w:rsid w:val="0077742B"/>
    <w:rsid w:val="00777780"/>
    <w:rsid w:val="007778A8"/>
    <w:rsid w:val="00777971"/>
    <w:rsid w:val="00777A79"/>
    <w:rsid w:val="00777B88"/>
    <w:rsid w:val="007801CD"/>
    <w:rsid w:val="007802F7"/>
    <w:rsid w:val="00780316"/>
    <w:rsid w:val="007805FC"/>
    <w:rsid w:val="00780719"/>
    <w:rsid w:val="00780FED"/>
    <w:rsid w:val="00781047"/>
    <w:rsid w:val="007810B7"/>
    <w:rsid w:val="0078158A"/>
    <w:rsid w:val="007816E1"/>
    <w:rsid w:val="00781864"/>
    <w:rsid w:val="00781A57"/>
    <w:rsid w:val="00781B28"/>
    <w:rsid w:val="00781B86"/>
    <w:rsid w:val="00781E0A"/>
    <w:rsid w:val="007821D9"/>
    <w:rsid w:val="00782C3B"/>
    <w:rsid w:val="00782C84"/>
    <w:rsid w:val="00782EA2"/>
    <w:rsid w:val="00782F9C"/>
    <w:rsid w:val="00782FF7"/>
    <w:rsid w:val="0078302E"/>
    <w:rsid w:val="00783323"/>
    <w:rsid w:val="00783497"/>
    <w:rsid w:val="00783535"/>
    <w:rsid w:val="0078353B"/>
    <w:rsid w:val="00783C15"/>
    <w:rsid w:val="00783CEA"/>
    <w:rsid w:val="00783DBA"/>
    <w:rsid w:val="00783E2B"/>
    <w:rsid w:val="00783FBD"/>
    <w:rsid w:val="0078447F"/>
    <w:rsid w:val="0078450E"/>
    <w:rsid w:val="0078503D"/>
    <w:rsid w:val="007857EF"/>
    <w:rsid w:val="00785A86"/>
    <w:rsid w:val="00785B16"/>
    <w:rsid w:val="00785B57"/>
    <w:rsid w:val="00785C23"/>
    <w:rsid w:val="00785D20"/>
    <w:rsid w:val="00785F98"/>
    <w:rsid w:val="00786109"/>
    <w:rsid w:val="0078623F"/>
    <w:rsid w:val="0078685E"/>
    <w:rsid w:val="00786C41"/>
    <w:rsid w:val="00786D4D"/>
    <w:rsid w:val="00786F6A"/>
    <w:rsid w:val="00786F84"/>
    <w:rsid w:val="007872A3"/>
    <w:rsid w:val="007876BE"/>
    <w:rsid w:val="007878D8"/>
    <w:rsid w:val="00787935"/>
    <w:rsid w:val="00787C9E"/>
    <w:rsid w:val="00787FDE"/>
    <w:rsid w:val="0079015C"/>
    <w:rsid w:val="00790246"/>
    <w:rsid w:val="00790324"/>
    <w:rsid w:val="00790871"/>
    <w:rsid w:val="00790B15"/>
    <w:rsid w:val="00790B1F"/>
    <w:rsid w:val="007912DF"/>
    <w:rsid w:val="00791418"/>
    <w:rsid w:val="0079146F"/>
    <w:rsid w:val="007918E2"/>
    <w:rsid w:val="00791958"/>
    <w:rsid w:val="00791964"/>
    <w:rsid w:val="00791AF5"/>
    <w:rsid w:val="00791FE2"/>
    <w:rsid w:val="00792172"/>
    <w:rsid w:val="0079274D"/>
    <w:rsid w:val="00792897"/>
    <w:rsid w:val="00792B3C"/>
    <w:rsid w:val="00792DA0"/>
    <w:rsid w:val="0079309B"/>
    <w:rsid w:val="007931F6"/>
    <w:rsid w:val="00793359"/>
    <w:rsid w:val="0079381B"/>
    <w:rsid w:val="00793AAB"/>
    <w:rsid w:val="00793CF1"/>
    <w:rsid w:val="00794335"/>
    <w:rsid w:val="0079475F"/>
    <w:rsid w:val="0079478D"/>
    <w:rsid w:val="00794B50"/>
    <w:rsid w:val="00794C5B"/>
    <w:rsid w:val="00794D69"/>
    <w:rsid w:val="00794DA2"/>
    <w:rsid w:val="00794EDE"/>
    <w:rsid w:val="00795043"/>
    <w:rsid w:val="00795088"/>
    <w:rsid w:val="0079525F"/>
    <w:rsid w:val="0079536A"/>
    <w:rsid w:val="007954F5"/>
    <w:rsid w:val="00795606"/>
    <w:rsid w:val="00795AE3"/>
    <w:rsid w:val="00795D44"/>
    <w:rsid w:val="00795F22"/>
    <w:rsid w:val="00795FCF"/>
    <w:rsid w:val="00796047"/>
    <w:rsid w:val="007961BC"/>
    <w:rsid w:val="007963C5"/>
    <w:rsid w:val="007965F2"/>
    <w:rsid w:val="007969DB"/>
    <w:rsid w:val="00796A57"/>
    <w:rsid w:val="00796B27"/>
    <w:rsid w:val="00796E7F"/>
    <w:rsid w:val="00796FDD"/>
    <w:rsid w:val="00797031"/>
    <w:rsid w:val="00797189"/>
    <w:rsid w:val="00797332"/>
    <w:rsid w:val="007974A6"/>
    <w:rsid w:val="007977DD"/>
    <w:rsid w:val="00797A1B"/>
    <w:rsid w:val="00797C27"/>
    <w:rsid w:val="00797E3C"/>
    <w:rsid w:val="007A01F5"/>
    <w:rsid w:val="007A024E"/>
    <w:rsid w:val="007A04E0"/>
    <w:rsid w:val="007A0BDC"/>
    <w:rsid w:val="007A0EE0"/>
    <w:rsid w:val="007A113B"/>
    <w:rsid w:val="007A119C"/>
    <w:rsid w:val="007A1301"/>
    <w:rsid w:val="007A1525"/>
    <w:rsid w:val="007A166B"/>
    <w:rsid w:val="007A195B"/>
    <w:rsid w:val="007A1961"/>
    <w:rsid w:val="007A1982"/>
    <w:rsid w:val="007A19A9"/>
    <w:rsid w:val="007A1AD6"/>
    <w:rsid w:val="007A1C52"/>
    <w:rsid w:val="007A1D28"/>
    <w:rsid w:val="007A1E65"/>
    <w:rsid w:val="007A1FA2"/>
    <w:rsid w:val="007A210F"/>
    <w:rsid w:val="007A2126"/>
    <w:rsid w:val="007A2390"/>
    <w:rsid w:val="007A23C5"/>
    <w:rsid w:val="007A277C"/>
    <w:rsid w:val="007A2A9C"/>
    <w:rsid w:val="007A2B99"/>
    <w:rsid w:val="007A2C7C"/>
    <w:rsid w:val="007A2D81"/>
    <w:rsid w:val="007A2F00"/>
    <w:rsid w:val="007A3588"/>
    <w:rsid w:val="007A38E1"/>
    <w:rsid w:val="007A3DA4"/>
    <w:rsid w:val="007A3DEA"/>
    <w:rsid w:val="007A3FEB"/>
    <w:rsid w:val="007A41D8"/>
    <w:rsid w:val="007A42EC"/>
    <w:rsid w:val="007A450E"/>
    <w:rsid w:val="007A4BA9"/>
    <w:rsid w:val="007A4C71"/>
    <w:rsid w:val="007A4F88"/>
    <w:rsid w:val="007A50A7"/>
    <w:rsid w:val="007A5135"/>
    <w:rsid w:val="007A5162"/>
    <w:rsid w:val="007A5169"/>
    <w:rsid w:val="007A51C7"/>
    <w:rsid w:val="007A51E1"/>
    <w:rsid w:val="007A5498"/>
    <w:rsid w:val="007A54C6"/>
    <w:rsid w:val="007A5691"/>
    <w:rsid w:val="007A58CA"/>
    <w:rsid w:val="007A5B17"/>
    <w:rsid w:val="007A5C02"/>
    <w:rsid w:val="007A5ECA"/>
    <w:rsid w:val="007A62D8"/>
    <w:rsid w:val="007A6320"/>
    <w:rsid w:val="007A6376"/>
    <w:rsid w:val="007A65C5"/>
    <w:rsid w:val="007A66CE"/>
    <w:rsid w:val="007A68B1"/>
    <w:rsid w:val="007A6CCF"/>
    <w:rsid w:val="007A714F"/>
    <w:rsid w:val="007A7277"/>
    <w:rsid w:val="007A72C8"/>
    <w:rsid w:val="007A72FD"/>
    <w:rsid w:val="007A737F"/>
    <w:rsid w:val="007A7923"/>
    <w:rsid w:val="007A7A02"/>
    <w:rsid w:val="007A7B6F"/>
    <w:rsid w:val="007A7D01"/>
    <w:rsid w:val="007B04B7"/>
    <w:rsid w:val="007B04D9"/>
    <w:rsid w:val="007B094B"/>
    <w:rsid w:val="007B0BF0"/>
    <w:rsid w:val="007B112B"/>
    <w:rsid w:val="007B1182"/>
    <w:rsid w:val="007B1887"/>
    <w:rsid w:val="007B1A52"/>
    <w:rsid w:val="007B1B43"/>
    <w:rsid w:val="007B1B5F"/>
    <w:rsid w:val="007B1B91"/>
    <w:rsid w:val="007B1BA5"/>
    <w:rsid w:val="007B1D9C"/>
    <w:rsid w:val="007B1F60"/>
    <w:rsid w:val="007B2378"/>
    <w:rsid w:val="007B2396"/>
    <w:rsid w:val="007B2A3A"/>
    <w:rsid w:val="007B30E9"/>
    <w:rsid w:val="007B3106"/>
    <w:rsid w:val="007B370A"/>
    <w:rsid w:val="007B38DC"/>
    <w:rsid w:val="007B39AA"/>
    <w:rsid w:val="007B3B3F"/>
    <w:rsid w:val="007B4684"/>
    <w:rsid w:val="007B4B2E"/>
    <w:rsid w:val="007B4BDC"/>
    <w:rsid w:val="007B4E8C"/>
    <w:rsid w:val="007B4ED2"/>
    <w:rsid w:val="007B4FCF"/>
    <w:rsid w:val="007B565C"/>
    <w:rsid w:val="007B5766"/>
    <w:rsid w:val="007B57F5"/>
    <w:rsid w:val="007B58A9"/>
    <w:rsid w:val="007B665E"/>
    <w:rsid w:val="007B6924"/>
    <w:rsid w:val="007B6B3C"/>
    <w:rsid w:val="007B6CDD"/>
    <w:rsid w:val="007B6F77"/>
    <w:rsid w:val="007B71E4"/>
    <w:rsid w:val="007B72DD"/>
    <w:rsid w:val="007B735F"/>
    <w:rsid w:val="007B7516"/>
    <w:rsid w:val="007B7679"/>
    <w:rsid w:val="007B78A2"/>
    <w:rsid w:val="007B78B7"/>
    <w:rsid w:val="007B791B"/>
    <w:rsid w:val="007B7B00"/>
    <w:rsid w:val="007B7DC7"/>
    <w:rsid w:val="007B7F5E"/>
    <w:rsid w:val="007C004F"/>
    <w:rsid w:val="007C0259"/>
    <w:rsid w:val="007C043E"/>
    <w:rsid w:val="007C051B"/>
    <w:rsid w:val="007C06B2"/>
    <w:rsid w:val="007C09CC"/>
    <w:rsid w:val="007C0A9E"/>
    <w:rsid w:val="007C0DDB"/>
    <w:rsid w:val="007C0E28"/>
    <w:rsid w:val="007C0FF2"/>
    <w:rsid w:val="007C13CF"/>
    <w:rsid w:val="007C158D"/>
    <w:rsid w:val="007C1A04"/>
    <w:rsid w:val="007C1B21"/>
    <w:rsid w:val="007C1BF1"/>
    <w:rsid w:val="007C1BF3"/>
    <w:rsid w:val="007C1BF9"/>
    <w:rsid w:val="007C1C71"/>
    <w:rsid w:val="007C1E61"/>
    <w:rsid w:val="007C2410"/>
    <w:rsid w:val="007C24B5"/>
    <w:rsid w:val="007C24EE"/>
    <w:rsid w:val="007C2626"/>
    <w:rsid w:val="007C26E3"/>
    <w:rsid w:val="007C283C"/>
    <w:rsid w:val="007C3183"/>
    <w:rsid w:val="007C3455"/>
    <w:rsid w:val="007C37D3"/>
    <w:rsid w:val="007C384F"/>
    <w:rsid w:val="007C397F"/>
    <w:rsid w:val="007C3C5E"/>
    <w:rsid w:val="007C3EBF"/>
    <w:rsid w:val="007C3FA9"/>
    <w:rsid w:val="007C408D"/>
    <w:rsid w:val="007C41DE"/>
    <w:rsid w:val="007C42F9"/>
    <w:rsid w:val="007C4363"/>
    <w:rsid w:val="007C4396"/>
    <w:rsid w:val="007C4515"/>
    <w:rsid w:val="007C480A"/>
    <w:rsid w:val="007C48AE"/>
    <w:rsid w:val="007C4AE4"/>
    <w:rsid w:val="007C4BA0"/>
    <w:rsid w:val="007C4BED"/>
    <w:rsid w:val="007C4EBE"/>
    <w:rsid w:val="007C50D0"/>
    <w:rsid w:val="007C5180"/>
    <w:rsid w:val="007C58FA"/>
    <w:rsid w:val="007C59BF"/>
    <w:rsid w:val="007C59EF"/>
    <w:rsid w:val="007C5D47"/>
    <w:rsid w:val="007C63FA"/>
    <w:rsid w:val="007C66B1"/>
    <w:rsid w:val="007C67D7"/>
    <w:rsid w:val="007C696C"/>
    <w:rsid w:val="007C6A9F"/>
    <w:rsid w:val="007C6E6A"/>
    <w:rsid w:val="007C6FE7"/>
    <w:rsid w:val="007C7167"/>
    <w:rsid w:val="007C7305"/>
    <w:rsid w:val="007C77AB"/>
    <w:rsid w:val="007C7A67"/>
    <w:rsid w:val="007C7CA3"/>
    <w:rsid w:val="007C7F95"/>
    <w:rsid w:val="007D001B"/>
    <w:rsid w:val="007D01CB"/>
    <w:rsid w:val="007D0590"/>
    <w:rsid w:val="007D06AC"/>
    <w:rsid w:val="007D07FD"/>
    <w:rsid w:val="007D0808"/>
    <w:rsid w:val="007D0BAC"/>
    <w:rsid w:val="007D0BB3"/>
    <w:rsid w:val="007D0F75"/>
    <w:rsid w:val="007D118A"/>
    <w:rsid w:val="007D13A4"/>
    <w:rsid w:val="007D1BA6"/>
    <w:rsid w:val="007D2787"/>
    <w:rsid w:val="007D27FE"/>
    <w:rsid w:val="007D2C5D"/>
    <w:rsid w:val="007D2EB2"/>
    <w:rsid w:val="007D31AA"/>
    <w:rsid w:val="007D35F4"/>
    <w:rsid w:val="007D366D"/>
    <w:rsid w:val="007D3902"/>
    <w:rsid w:val="007D392D"/>
    <w:rsid w:val="007D3A08"/>
    <w:rsid w:val="007D3AD3"/>
    <w:rsid w:val="007D3DCB"/>
    <w:rsid w:val="007D3EB8"/>
    <w:rsid w:val="007D4572"/>
    <w:rsid w:val="007D45B6"/>
    <w:rsid w:val="007D45F2"/>
    <w:rsid w:val="007D4A49"/>
    <w:rsid w:val="007D4B11"/>
    <w:rsid w:val="007D4B3F"/>
    <w:rsid w:val="007D4B58"/>
    <w:rsid w:val="007D4C61"/>
    <w:rsid w:val="007D4CF5"/>
    <w:rsid w:val="007D4E5A"/>
    <w:rsid w:val="007D4E6C"/>
    <w:rsid w:val="007D5230"/>
    <w:rsid w:val="007D56A2"/>
    <w:rsid w:val="007D577B"/>
    <w:rsid w:val="007D57F7"/>
    <w:rsid w:val="007D5B3C"/>
    <w:rsid w:val="007D5B63"/>
    <w:rsid w:val="007D5E9A"/>
    <w:rsid w:val="007D608D"/>
    <w:rsid w:val="007D6435"/>
    <w:rsid w:val="007D66A9"/>
    <w:rsid w:val="007D66C3"/>
    <w:rsid w:val="007D66EF"/>
    <w:rsid w:val="007D6A93"/>
    <w:rsid w:val="007D6DBC"/>
    <w:rsid w:val="007D6EA4"/>
    <w:rsid w:val="007D7197"/>
    <w:rsid w:val="007D724F"/>
    <w:rsid w:val="007D73DE"/>
    <w:rsid w:val="007D7459"/>
    <w:rsid w:val="007D754D"/>
    <w:rsid w:val="007D799E"/>
    <w:rsid w:val="007D7B38"/>
    <w:rsid w:val="007D7B76"/>
    <w:rsid w:val="007D7D5D"/>
    <w:rsid w:val="007D7DA4"/>
    <w:rsid w:val="007D7E49"/>
    <w:rsid w:val="007D7E84"/>
    <w:rsid w:val="007E0116"/>
    <w:rsid w:val="007E039F"/>
    <w:rsid w:val="007E03B2"/>
    <w:rsid w:val="007E03F9"/>
    <w:rsid w:val="007E048B"/>
    <w:rsid w:val="007E0739"/>
    <w:rsid w:val="007E0A2F"/>
    <w:rsid w:val="007E0A9E"/>
    <w:rsid w:val="007E106A"/>
    <w:rsid w:val="007E109D"/>
    <w:rsid w:val="007E114C"/>
    <w:rsid w:val="007E1281"/>
    <w:rsid w:val="007E1438"/>
    <w:rsid w:val="007E1904"/>
    <w:rsid w:val="007E1C93"/>
    <w:rsid w:val="007E1DDD"/>
    <w:rsid w:val="007E2331"/>
    <w:rsid w:val="007E256C"/>
    <w:rsid w:val="007E261D"/>
    <w:rsid w:val="007E28C5"/>
    <w:rsid w:val="007E28FC"/>
    <w:rsid w:val="007E2957"/>
    <w:rsid w:val="007E2AFA"/>
    <w:rsid w:val="007E2B2D"/>
    <w:rsid w:val="007E2CAF"/>
    <w:rsid w:val="007E2D3B"/>
    <w:rsid w:val="007E30D1"/>
    <w:rsid w:val="007E3703"/>
    <w:rsid w:val="007E3982"/>
    <w:rsid w:val="007E398F"/>
    <w:rsid w:val="007E3990"/>
    <w:rsid w:val="007E3AA8"/>
    <w:rsid w:val="007E3D4A"/>
    <w:rsid w:val="007E3E0A"/>
    <w:rsid w:val="007E3E36"/>
    <w:rsid w:val="007E415D"/>
    <w:rsid w:val="007E418F"/>
    <w:rsid w:val="007E4403"/>
    <w:rsid w:val="007E455A"/>
    <w:rsid w:val="007E465C"/>
    <w:rsid w:val="007E4C75"/>
    <w:rsid w:val="007E4DA4"/>
    <w:rsid w:val="007E4E68"/>
    <w:rsid w:val="007E4EBE"/>
    <w:rsid w:val="007E4F40"/>
    <w:rsid w:val="007E520F"/>
    <w:rsid w:val="007E526D"/>
    <w:rsid w:val="007E529B"/>
    <w:rsid w:val="007E5394"/>
    <w:rsid w:val="007E53FB"/>
    <w:rsid w:val="007E563A"/>
    <w:rsid w:val="007E5710"/>
    <w:rsid w:val="007E5896"/>
    <w:rsid w:val="007E59AD"/>
    <w:rsid w:val="007E5C6D"/>
    <w:rsid w:val="007E5CA6"/>
    <w:rsid w:val="007E5D91"/>
    <w:rsid w:val="007E5DB6"/>
    <w:rsid w:val="007E5EEF"/>
    <w:rsid w:val="007E5F89"/>
    <w:rsid w:val="007E5FCE"/>
    <w:rsid w:val="007E611A"/>
    <w:rsid w:val="007E6520"/>
    <w:rsid w:val="007E69C2"/>
    <w:rsid w:val="007E711E"/>
    <w:rsid w:val="007E7467"/>
    <w:rsid w:val="007E7902"/>
    <w:rsid w:val="007E7941"/>
    <w:rsid w:val="007E799C"/>
    <w:rsid w:val="007E7B46"/>
    <w:rsid w:val="007E7BAD"/>
    <w:rsid w:val="007F0025"/>
    <w:rsid w:val="007F019F"/>
    <w:rsid w:val="007F0286"/>
    <w:rsid w:val="007F0306"/>
    <w:rsid w:val="007F0419"/>
    <w:rsid w:val="007F04FB"/>
    <w:rsid w:val="007F0534"/>
    <w:rsid w:val="007F0572"/>
    <w:rsid w:val="007F0756"/>
    <w:rsid w:val="007F0847"/>
    <w:rsid w:val="007F08BC"/>
    <w:rsid w:val="007F0997"/>
    <w:rsid w:val="007F0A9C"/>
    <w:rsid w:val="007F0BD9"/>
    <w:rsid w:val="007F0E7E"/>
    <w:rsid w:val="007F101B"/>
    <w:rsid w:val="007F122C"/>
    <w:rsid w:val="007F122F"/>
    <w:rsid w:val="007F12D4"/>
    <w:rsid w:val="007F1517"/>
    <w:rsid w:val="007F1576"/>
    <w:rsid w:val="007F16F7"/>
    <w:rsid w:val="007F196F"/>
    <w:rsid w:val="007F1A3E"/>
    <w:rsid w:val="007F1E62"/>
    <w:rsid w:val="007F220D"/>
    <w:rsid w:val="007F24B6"/>
    <w:rsid w:val="007F2813"/>
    <w:rsid w:val="007F2820"/>
    <w:rsid w:val="007F290E"/>
    <w:rsid w:val="007F34D8"/>
    <w:rsid w:val="007F38C2"/>
    <w:rsid w:val="007F3979"/>
    <w:rsid w:val="007F3B38"/>
    <w:rsid w:val="007F3BD2"/>
    <w:rsid w:val="007F40AD"/>
    <w:rsid w:val="007F41B4"/>
    <w:rsid w:val="007F4371"/>
    <w:rsid w:val="007F43AC"/>
    <w:rsid w:val="007F4497"/>
    <w:rsid w:val="007F471C"/>
    <w:rsid w:val="007F494F"/>
    <w:rsid w:val="007F4BC3"/>
    <w:rsid w:val="007F4CEB"/>
    <w:rsid w:val="007F4D40"/>
    <w:rsid w:val="007F4EA2"/>
    <w:rsid w:val="007F51E3"/>
    <w:rsid w:val="007F52FF"/>
    <w:rsid w:val="007F5349"/>
    <w:rsid w:val="007F5658"/>
    <w:rsid w:val="007F5675"/>
    <w:rsid w:val="007F5D51"/>
    <w:rsid w:val="007F5F73"/>
    <w:rsid w:val="007F6418"/>
    <w:rsid w:val="007F64BC"/>
    <w:rsid w:val="007F6569"/>
    <w:rsid w:val="007F66D7"/>
    <w:rsid w:val="007F66FB"/>
    <w:rsid w:val="007F68B5"/>
    <w:rsid w:val="007F6999"/>
    <w:rsid w:val="007F6A0B"/>
    <w:rsid w:val="007F6EB7"/>
    <w:rsid w:val="007F7034"/>
    <w:rsid w:val="007F71E3"/>
    <w:rsid w:val="007F72ED"/>
    <w:rsid w:val="007F75E8"/>
    <w:rsid w:val="007F769C"/>
    <w:rsid w:val="007F76DB"/>
    <w:rsid w:val="007F7732"/>
    <w:rsid w:val="007F7770"/>
    <w:rsid w:val="007F7782"/>
    <w:rsid w:val="007F7CC9"/>
    <w:rsid w:val="007F7EFA"/>
    <w:rsid w:val="00800B05"/>
    <w:rsid w:val="0080108F"/>
    <w:rsid w:val="00801223"/>
    <w:rsid w:val="00801262"/>
    <w:rsid w:val="008018F7"/>
    <w:rsid w:val="00801A99"/>
    <w:rsid w:val="00801B09"/>
    <w:rsid w:val="00801D57"/>
    <w:rsid w:val="00801D62"/>
    <w:rsid w:val="00801D73"/>
    <w:rsid w:val="00802554"/>
    <w:rsid w:val="0080259D"/>
    <w:rsid w:val="008026A1"/>
    <w:rsid w:val="00802DF6"/>
    <w:rsid w:val="00802FE6"/>
    <w:rsid w:val="00803023"/>
    <w:rsid w:val="0080311C"/>
    <w:rsid w:val="0080318D"/>
    <w:rsid w:val="00803206"/>
    <w:rsid w:val="00803395"/>
    <w:rsid w:val="00803550"/>
    <w:rsid w:val="0080370B"/>
    <w:rsid w:val="008038E9"/>
    <w:rsid w:val="00803C1E"/>
    <w:rsid w:val="00803D95"/>
    <w:rsid w:val="008041BD"/>
    <w:rsid w:val="008045F7"/>
    <w:rsid w:val="0080462F"/>
    <w:rsid w:val="00804B0B"/>
    <w:rsid w:val="00804B26"/>
    <w:rsid w:val="00804DDE"/>
    <w:rsid w:val="00804E4D"/>
    <w:rsid w:val="00804F21"/>
    <w:rsid w:val="0080525F"/>
    <w:rsid w:val="00805366"/>
    <w:rsid w:val="008053CF"/>
    <w:rsid w:val="008059BA"/>
    <w:rsid w:val="008059D4"/>
    <w:rsid w:val="00805ADF"/>
    <w:rsid w:val="00805AE7"/>
    <w:rsid w:val="00805D0F"/>
    <w:rsid w:val="00806007"/>
    <w:rsid w:val="00806018"/>
    <w:rsid w:val="008060D8"/>
    <w:rsid w:val="008065AA"/>
    <w:rsid w:val="008066DF"/>
    <w:rsid w:val="00806B1A"/>
    <w:rsid w:val="00806C28"/>
    <w:rsid w:val="00806C3C"/>
    <w:rsid w:val="008072DF"/>
    <w:rsid w:val="00807321"/>
    <w:rsid w:val="008074C5"/>
    <w:rsid w:val="008078F4"/>
    <w:rsid w:val="00807955"/>
    <w:rsid w:val="00807A59"/>
    <w:rsid w:val="00807A6F"/>
    <w:rsid w:val="00807AFC"/>
    <w:rsid w:val="00807B7E"/>
    <w:rsid w:val="00807D1B"/>
    <w:rsid w:val="00810070"/>
    <w:rsid w:val="00810085"/>
    <w:rsid w:val="00810420"/>
    <w:rsid w:val="008104B5"/>
    <w:rsid w:val="0081097A"/>
    <w:rsid w:val="00810A8A"/>
    <w:rsid w:val="00810B29"/>
    <w:rsid w:val="00810B5D"/>
    <w:rsid w:val="00810D14"/>
    <w:rsid w:val="00810DCF"/>
    <w:rsid w:val="00810F77"/>
    <w:rsid w:val="00811553"/>
    <w:rsid w:val="0081174B"/>
    <w:rsid w:val="00811862"/>
    <w:rsid w:val="00811C98"/>
    <w:rsid w:val="00811C9F"/>
    <w:rsid w:val="00811E89"/>
    <w:rsid w:val="00811EB9"/>
    <w:rsid w:val="00811F92"/>
    <w:rsid w:val="00811FFE"/>
    <w:rsid w:val="008124D9"/>
    <w:rsid w:val="008124E3"/>
    <w:rsid w:val="008125D9"/>
    <w:rsid w:val="008125E0"/>
    <w:rsid w:val="008128BC"/>
    <w:rsid w:val="00812BCD"/>
    <w:rsid w:val="00812D32"/>
    <w:rsid w:val="00812E80"/>
    <w:rsid w:val="0081371A"/>
    <w:rsid w:val="008137D2"/>
    <w:rsid w:val="0081393D"/>
    <w:rsid w:val="00813A0E"/>
    <w:rsid w:val="00813A91"/>
    <w:rsid w:val="00814062"/>
    <w:rsid w:val="008145D4"/>
    <w:rsid w:val="00814709"/>
    <w:rsid w:val="008147AB"/>
    <w:rsid w:val="00814829"/>
    <w:rsid w:val="00814B2C"/>
    <w:rsid w:val="00814F8F"/>
    <w:rsid w:val="008150EE"/>
    <w:rsid w:val="008154A8"/>
    <w:rsid w:val="00815944"/>
    <w:rsid w:val="00815B13"/>
    <w:rsid w:val="00815BA2"/>
    <w:rsid w:val="00815DBB"/>
    <w:rsid w:val="008162D3"/>
    <w:rsid w:val="008164D7"/>
    <w:rsid w:val="00816986"/>
    <w:rsid w:val="00816C8A"/>
    <w:rsid w:val="00817283"/>
    <w:rsid w:val="008172E4"/>
    <w:rsid w:val="008175EE"/>
    <w:rsid w:val="00817BCB"/>
    <w:rsid w:val="00817D13"/>
    <w:rsid w:val="008200BB"/>
    <w:rsid w:val="00820342"/>
    <w:rsid w:val="008205CB"/>
    <w:rsid w:val="008208C7"/>
    <w:rsid w:val="008209F3"/>
    <w:rsid w:val="00820B83"/>
    <w:rsid w:val="00820F40"/>
    <w:rsid w:val="008211A5"/>
    <w:rsid w:val="008214C4"/>
    <w:rsid w:val="008215C3"/>
    <w:rsid w:val="00821666"/>
    <w:rsid w:val="0082168E"/>
    <w:rsid w:val="0082195B"/>
    <w:rsid w:val="0082196D"/>
    <w:rsid w:val="00821A20"/>
    <w:rsid w:val="00821DA0"/>
    <w:rsid w:val="00821EFB"/>
    <w:rsid w:val="0082308C"/>
    <w:rsid w:val="008230F8"/>
    <w:rsid w:val="008234DF"/>
    <w:rsid w:val="008235CE"/>
    <w:rsid w:val="008236C5"/>
    <w:rsid w:val="00823B49"/>
    <w:rsid w:val="00823D80"/>
    <w:rsid w:val="00823DC7"/>
    <w:rsid w:val="00823EAD"/>
    <w:rsid w:val="00823F6D"/>
    <w:rsid w:val="0082433C"/>
    <w:rsid w:val="008244EA"/>
    <w:rsid w:val="00824723"/>
    <w:rsid w:val="008248DF"/>
    <w:rsid w:val="00824C8D"/>
    <w:rsid w:val="00824CE6"/>
    <w:rsid w:val="00824D90"/>
    <w:rsid w:val="00824DCD"/>
    <w:rsid w:val="00824E78"/>
    <w:rsid w:val="00824F9C"/>
    <w:rsid w:val="008253E5"/>
    <w:rsid w:val="008257B5"/>
    <w:rsid w:val="008257D0"/>
    <w:rsid w:val="00825BDF"/>
    <w:rsid w:val="00825F45"/>
    <w:rsid w:val="008261DD"/>
    <w:rsid w:val="0082634A"/>
    <w:rsid w:val="00826631"/>
    <w:rsid w:val="00826763"/>
    <w:rsid w:val="008268C2"/>
    <w:rsid w:val="00826B48"/>
    <w:rsid w:val="00826D4D"/>
    <w:rsid w:val="0082706C"/>
    <w:rsid w:val="00827251"/>
    <w:rsid w:val="00827360"/>
    <w:rsid w:val="008273A7"/>
    <w:rsid w:val="00827416"/>
    <w:rsid w:val="0082760E"/>
    <w:rsid w:val="00827696"/>
    <w:rsid w:val="0082789D"/>
    <w:rsid w:val="008278C7"/>
    <w:rsid w:val="00827BBD"/>
    <w:rsid w:val="00827E2E"/>
    <w:rsid w:val="008301BB"/>
    <w:rsid w:val="00830621"/>
    <w:rsid w:val="0083072E"/>
    <w:rsid w:val="0083086E"/>
    <w:rsid w:val="008309AE"/>
    <w:rsid w:val="008309E7"/>
    <w:rsid w:val="00830CF5"/>
    <w:rsid w:val="0083161C"/>
    <w:rsid w:val="00831DA4"/>
    <w:rsid w:val="00831DF0"/>
    <w:rsid w:val="00832377"/>
    <w:rsid w:val="008324D6"/>
    <w:rsid w:val="00832577"/>
    <w:rsid w:val="008327D3"/>
    <w:rsid w:val="00832A11"/>
    <w:rsid w:val="00832A12"/>
    <w:rsid w:val="00832F34"/>
    <w:rsid w:val="0083303A"/>
    <w:rsid w:val="0083322C"/>
    <w:rsid w:val="008336B4"/>
    <w:rsid w:val="00833821"/>
    <w:rsid w:val="008339C7"/>
    <w:rsid w:val="00833D07"/>
    <w:rsid w:val="0083402D"/>
    <w:rsid w:val="00834038"/>
    <w:rsid w:val="0083439E"/>
    <w:rsid w:val="00834615"/>
    <w:rsid w:val="00834740"/>
    <w:rsid w:val="0083476D"/>
    <w:rsid w:val="00834A73"/>
    <w:rsid w:val="00834A9B"/>
    <w:rsid w:val="00834CBC"/>
    <w:rsid w:val="00834D72"/>
    <w:rsid w:val="008353ED"/>
    <w:rsid w:val="008355A1"/>
    <w:rsid w:val="00835671"/>
    <w:rsid w:val="008359C9"/>
    <w:rsid w:val="00835CBE"/>
    <w:rsid w:val="00835D4F"/>
    <w:rsid w:val="00835F9C"/>
    <w:rsid w:val="00835FF9"/>
    <w:rsid w:val="0083625E"/>
    <w:rsid w:val="00836371"/>
    <w:rsid w:val="0083680E"/>
    <w:rsid w:val="0083700C"/>
    <w:rsid w:val="00837153"/>
    <w:rsid w:val="008373FE"/>
    <w:rsid w:val="008374B9"/>
    <w:rsid w:val="008374E1"/>
    <w:rsid w:val="008376D5"/>
    <w:rsid w:val="0083770F"/>
    <w:rsid w:val="00837887"/>
    <w:rsid w:val="00837E39"/>
    <w:rsid w:val="0084016A"/>
    <w:rsid w:val="00840798"/>
    <w:rsid w:val="00840C10"/>
    <w:rsid w:val="0084124E"/>
    <w:rsid w:val="0084136E"/>
    <w:rsid w:val="008413EE"/>
    <w:rsid w:val="0084164A"/>
    <w:rsid w:val="00841719"/>
    <w:rsid w:val="00841F1B"/>
    <w:rsid w:val="00841FF9"/>
    <w:rsid w:val="008421A8"/>
    <w:rsid w:val="00842247"/>
    <w:rsid w:val="00842505"/>
    <w:rsid w:val="00842586"/>
    <w:rsid w:val="0084262C"/>
    <w:rsid w:val="008429EB"/>
    <w:rsid w:val="00842A12"/>
    <w:rsid w:val="00842CA5"/>
    <w:rsid w:val="00842E8B"/>
    <w:rsid w:val="00842F21"/>
    <w:rsid w:val="00842F38"/>
    <w:rsid w:val="00842FAD"/>
    <w:rsid w:val="00843E9D"/>
    <w:rsid w:val="008442AE"/>
    <w:rsid w:val="008442FA"/>
    <w:rsid w:val="00844599"/>
    <w:rsid w:val="00844912"/>
    <w:rsid w:val="00844A2B"/>
    <w:rsid w:val="00844A4C"/>
    <w:rsid w:val="00844AD7"/>
    <w:rsid w:val="00844BBC"/>
    <w:rsid w:val="00845045"/>
    <w:rsid w:val="008452FC"/>
    <w:rsid w:val="008453A6"/>
    <w:rsid w:val="00845514"/>
    <w:rsid w:val="008456C3"/>
    <w:rsid w:val="008458DF"/>
    <w:rsid w:val="00845AE6"/>
    <w:rsid w:val="00845BE3"/>
    <w:rsid w:val="00845C4A"/>
    <w:rsid w:val="00845C55"/>
    <w:rsid w:val="00845CF1"/>
    <w:rsid w:val="00845D26"/>
    <w:rsid w:val="008461CF"/>
    <w:rsid w:val="00846659"/>
    <w:rsid w:val="00846669"/>
    <w:rsid w:val="00846821"/>
    <w:rsid w:val="00846AA2"/>
    <w:rsid w:val="00846D94"/>
    <w:rsid w:val="00846F62"/>
    <w:rsid w:val="00847144"/>
    <w:rsid w:val="0084717E"/>
    <w:rsid w:val="0084737E"/>
    <w:rsid w:val="00847447"/>
    <w:rsid w:val="0084747E"/>
    <w:rsid w:val="00847507"/>
    <w:rsid w:val="008475C3"/>
    <w:rsid w:val="0084767D"/>
    <w:rsid w:val="008479A2"/>
    <w:rsid w:val="008479B5"/>
    <w:rsid w:val="00847D73"/>
    <w:rsid w:val="00847E30"/>
    <w:rsid w:val="00847E31"/>
    <w:rsid w:val="00847E4D"/>
    <w:rsid w:val="00847F97"/>
    <w:rsid w:val="008501A7"/>
    <w:rsid w:val="00850902"/>
    <w:rsid w:val="00850AEF"/>
    <w:rsid w:val="00850E73"/>
    <w:rsid w:val="00850FA2"/>
    <w:rsid w:val="0085101F"/>
    <w:rsid w:val="008510D1"/>
    <w:rsid w:val="00851310"/>
    <w:rsid w:val="00851317"/>
    <w:rsid w:val="00851636"/>
    <w:rsid w:val="008516C3"/>
    <w:rsid w:val="008517FC"/>
    <w:rsid w:val="00851829"/>
    <w:rsid w:val="00851E7A"/>
    <w:rsid w:val="00852245"/>
    <w:rsid w:val="00852313"/>
    <w:rsid w:val="0085256B"/>
    <w:rsid w:val="008526B6"/>
    <w:rsid w:val="008528AA"/>
    <w:rsid w:val="008528C0"/>
    <w:rsid w:val="0085294D"/>
    <w:rsid w:val="008529D6"/>
    <w:rsid w:val="008529FE"/>
    <w:rsid w:val="00852BE3"/>
    <w:rsid w:val="00852DEE"/>
    <w:rsid w:val="00852DF4"/>
    <w:rsid w:val="00853197"/>
    <w:rsid w:val="0085323F"/>
    <w:rsid w:val="0085338F"/>
    <w:rsid w:val="0085355B"/>
    <w:rsid w:val="00853733"/>
    <w:rsid w:val="0085374A"/>
    <w:rsid w:val="008539A6"/>
    <w:rsid w:val="00853CD8"/>
    <w:rsid w:val="008540DD"/>
    <w:rsid w:val="00854395"/>
    <w:rsid w:val="00854551"/>
    <w:rsid w:val="008547B8"/>
    <w:rsid w:val="00854886"/>
    <w:rsid w:val="00854E44"/>
    <w:rsid w:val="00854E5D"/>
    <w:rsid w:val="008550B6"/>
    <w:rsid w:val="00855344"/>
    <w:rsid w:val="00855645"/>
    <w:rsid w:val="0085570C"/>
    <w:rsid w:val="00855711"/>
    <w:rsid w:val="00855C9E"/>
    <w:rsid w:val="00855D3F"/>
    <w:rsid w:val="00855F1D"/>
    <w:rsid w:val="00855FDD"/>
    <w:rsid w:val="00855FE1"/>
    <w:rsid w:val="0085637E"/>
    <w:rsid w:val="008564B6"/>
    <w:rsid w:val="00856909"/>
    <w:rsid w:val="00856B06"/>
    <w:rsid w:val="00856CF0"/>
    <w:rsid w:val="00856EA8"/>
    <w:rsid w:val="0085700E"/>
    <w:rsid w:val="0085777E"/>
    <w:rsid w:val="00857B6A"/>
    <w:rsid w:val="00857CED"/>
    <w:rsid w:val="00857D36"/>
    <w:rsid w:val="00860146"/>
    <w:rsid w:val="0086024B"/>
    <w:rsid w:val="00860467"/>
    <w:rsid w:val="008605FA"/>
    <w:rsid w:val="00860804"/>
    <w:rsid w:val="00860847"/>
    <w:rsid w:val="008608BF"/>
    <w:rsid w:val="00860B45"/>
    <w:rsid w:val="00860E5B"/>
    <w:rsid w:val="00860F98"/>
    <w:rsid w:val="00860FFE"/>
    <w:rsid w:val="008611C2"/>
    <w:rsid w:val="008612D9"/>
    <w:rsid w:val="00861402"/>
    <w:rsid w:val="00861829"/>
    <w:rsid w:val="00861864"/>
    <w:rsid w:val="00861961"/>
    <w:rsid w:val="00861F24"/>
    <w:rsid w:val="00862565"/>
    <w:rsid w:val="00862637"/>
    <w:rsid w:val="008629C5"/>
    <w:rsid w:val="00862C42"/>
    <w:rsid w:val="00862CF1"/>
    <w:rsid w:val="00862D83"/>
    <w:rsid w:val="00862E7D"/>
    <w:rsid w:val="00862EDD"/>
    <w:rsid w:val="00862F0C"/>
    <w:rsid w:val="0086333F"/>
    <w:rsid w:val="00863426"/>
    <w:rsid w:val="00863456"/>
    <w:rsid w:val="008634D5"/>
    <w:rsid w:val="008637D2"/>
    <w:rsid w:val="0086389F"/>
    <w:rsid w:val="00863A2A"/>
    <w:rsid w:val="00863C46"/>
    <w:rsid w:val="00863EE2"/>
    <w:rsid w:val="00864431"/>
    <w:rsid w:val="0086457C"/>
    <w:rsid w:val="0086457E"/>
    <w:rsid w:val="00864623"/>
    <w:rsid w:val="00864687"/>
    <w:rsid w:val="00864846"/>
    <w:rsid w:val="00864DEC"/>
    <w:rsid w:val="00865080"/>
    <w:rsid w:val="0086518E"/>
    <w:rsid w:val="00865234"/>
    <w:rsid w:val="00865390"/>
    <w:rsid w:val="00865439"/>
    <w:rsid w:val="008654C0"/>
    <w:rsid w:val="0086558D"/>
    <w:rsid w:val="008656E6"/>
    <w:rsid w:val="00865A49"/>
    <w:rsid w:val="00865A89"/>
    <w:rsid w:val="00865AE5"/>
    <w:rsid w:val="00865B76"/>
    <w:rsid w:val="00865D22"/>
    <w:rsid w:val="00865D75"/>
    <w:rsid w:val="00865D87"/>
    <w:rsid w:val="0086645E"/>
    <w:rsid w:val="0086657A"/>
    <w:rsid w:val="00866723"/>
    <w:rsid w:val="008668F6"/>
    <w:rsid w:val="00866980"/>
    <w:rsid w:val="00866A3D"/>
    <w:rsid w:val="00867192"/>
    <w:rsid w:val="008676C7"/>
    <w:rsid w:val="00867AE5"/>
    <w:rsid w:val="00867D6B"/>
    <w:rsid w:val="00867E31"/>
    <w:rsid w:val="008706EE"/>
    <w:rsid w:val="008708AC"/>
    <w:rsid w:val="00870943"/>
    <w:rsid w:val="00870971"/>
    <w:rsid w:val="00870A36"/>
    <w:rsid w:val="00870C29"/>
    <w:rsid w:val="00870C49"/>
    <w:rsid w:val="00870C9D"/>
    <w:rsid w:val="00870F9A"/>
    <w:rsid w:val="0087122D"/>
    <w:rsid w:val="008712AB"/>
    <w:rsid w:val="00871325"/>
    <w:rsid w:val="00871693"/>
    <w:rsid w:val="008719B2"/>
    <w:rsid w:val="00871C1B"/>
    <w:rsid w:val="008721F5"/>
    <w:rsid w:val="0087237A"/>
    <w:rsid w:val="00872386"/>
    <w:rsid w:val="00872598"/>
    <w:rsid w:val="008725AD"/>
    <w:rsid w:val="00872901"/>
    <w:rsid w:val="00872B41"/>
    <w:rsid w:val="00872C74"/>
    <w:rsid w:val="00872E7C"/>
    <w:rsid w:val="00872FE5"/>
    <w:rsid w:val="00873230"/>
    <w:rsid w:val="0087372F"/>
    <w:rsid w:val="00873AE9"/>
    <w:rsid w:val="00873C39"/>
    <w:rsid w:val="00873EEE"/>
    <w:rsid w:val="008740FD"/>
    <w:rsid w:val="00874204"/>
    <w:rsid w:val="00874246"/>
    <w:rsid w:val="0087427E"/>
    <w:rsid w:val="008743EA"/>
    <w:rsid w:val="00874526"/>
    <w:rsid w:val="00874657"/>
    <w:rsid w:val="008748D2"/>
    <w:rsid w:val="008749EC"/>
    <w:rsid w:val="00874A56"/>
    <w:rsid w:val="00874B76"/>
    <w:rsid w:val="008752AF"/>
    <w:rsid w:val="008754FE"/>
    <w:rsid w:val="00875656"/>
    <w:rsid w:val="00875E3C"/>
    <w:rsid w:val="0087603D"/>
    <w:rsid w:val="008763F9"/>
    <w:rsid w:val="0087668F"/>
    <w:rsid w:val="00876977"/>
    <w:rsid w:val="008769B5"/>
    <w:rsid w:val="00876A91"/>
    <w:rsid w:val="00876DB6"/>
    <w:rsid w:val="00876F8F"/>
    <w:rsid w:val="008770A6"/>
    <w:rsid w:val="008771B7"/>
    <w:rsid w:val="00877419"/>
    <w:rsid w:val="00877A4E"/>
    <w:rsid w:val="00877B1D"/>
    <w:rsid w:val="00877B3B"/>
    <w:rsid w:val="00877D38"/>
    <w:rsid w:val="0088001F"/>
    <w:rsid w:val="008800BC"/>
    <w:rsid w:val="0088022A"/>
    <w:rsid w:val="00880382"/>
    <w:rsid w:val="00880414"/>
    <w:rsid w:val="008804A2"/>
    <w:rsid w:val="00880652"/>
    <w:rsid w:val="00880A8B"/>
    <w:rsid w:val="00880C58"/>
    <w:rsid w:val="00880CC9"/>
    <w:rsid w:val="00880E5C"/>
    <w:rsid w:val="00880E6C"/>
    <w:rsid w:val="00880E9E"/>
    <w:rsid w:val="00880EFF"/>
    <w:rsid w:val="0088114D"/>
    <w:rsid w:val="0088148F"/>
    <w:rsid w:val="008814F6"/>
    <w:rsid w:val="008816E9"/>
    <w:rsid w:val="008819BC"/>
    <w:rsid w:val="00881B1E"/>
    <w:rsid w:val="00881BE9"/>
    <w:rsid w:val="00881EEF"/>
    <w:rsid w:val="00882469"/>
    <w:rsid w:val="008824E2"/>
    <w:rsid w:val="008824EF"/>
    <w:rsid w:val="008826D2"/>
    <w:rsid w:val="008826F2"/>
    <w:rsid w:val="00882EB2"/>
    <w:rsid w:val="00883123"/>
    <w:rsid w:val="0088334E"/>
    <w:rsid w:val="00883430"/>
    <w:rsid w:val="008834F1"/>
    <w:rsid w:val="0088375B"/>
    <w:rsid w:val="008838C0"/>
    <w:rsid w:val="00883D4F"/>
    <w:rsid w:val="00883E26"/>
    <w:rsid w:val="00883EBE"/>
    <w:rsid w:val="00884091"/>
    <w:rsid w:val="008845F2"/>
    <w:rsid w:val="008847FF"/>
    <w:rsid w:val="008849BE"/>
    <w:rsid w:val="00884AF6"/>
    <w:rsid w:val="00884B0B"/>
    <w:rsid w:val="0088553C"/>
    <w:rsid w:val="00885C02"/>
    <w:rsid w:val="0088676D"/>
    <w:rsid w:val="0088699D"/>
    <w:rsid w:val="00886B01"/>
    <w:rsid w:val="00886E43"/>
    <w:rsid w:val="008870CC"/>
    <w:rsid w:val="008877C1"/>
    <w:rsid w:val="00887ABB"/>
    <w:rsid w:val="00887B45"/>
    <w:rsid w:val="00887BC2"/>
    <w:rsid w:val="008900F4"/>
    <w:rsid w:val="00890152"/>
    <w:rsid w:val="00890523"/>
    <w:rsid w:val="00890A21"/>
    <w:rsid w:val="00890F78"/>
    <w:rsid w:val="008914C1"/>
    <w:rsid w:val="0089155C"/>
    <w:rsid w:val="00891591"/>
    <w:rsid w:val="00891677"/>
    <w:rsid w:val="00891AFF"/>
    <w:rsid w:val="00891C1C"/>
    <w:rsid w:val="00891EFD"/>
    <w:rsid w:val="00891F00"/>
    <w:rsid w:val="0089205A"/>
    <w:rsid w:val="008924A3"/>
    <w:rsid w:val="0089257F"/>
    <w:rsid w:val="0089273A"/>
    <w:rsid w:val="00892971"/>
    <w:rsid w:val="00892A4E"/>
    <w:rsid w:val="00892C02"/>
    <w:rsid w:val="00892CA8"/>
    <w:rsid w:val="00892DFA"/>
    <w:rsid w:val="00892E5F"/>
    <w:rsid w:val="0089349D"/>
    <w:rsid w:val="0089357F"/>
    <w:rsid w:val="0089362E"/>
    <w:rsid w:val="00893642"/>
    <w:rsid w:val="00893709"/>
    <w:rsid w:val="00893A52"/>
    <w:rsid w:val="00893E4E"/>
    <w:rsid w:val="008940EA"/>
    <w:rsid w:val="008945EF"/>
    <w:rsid w:val="00894B6E"/>
    <w:rsid w:val="00895037"/>
    <w:rsid w:val="00895266"/>
    <w:rsid w:val="008954B4"/>
    <w:rsid w:val="0089557F"/>
    <w:rsid w:val="00895668"/>
    <w:rsid w:val="0089567F"/>
    <w:rsid w:val="008958C0"/>
    <w:rsid w:val="00895AC7"/>
    <w:rsid w:val="00895DD5"/>
    <w:rsid w:val="0089615B"/>
    <w:rsid w:val="00896444"/>
    <w:rsid w:val="00896576"/>
    <w:rsid w:val="00896602"/>
    <w:rsid w:val="0089685F"/>
    <w:rsid w:val="00896908"/>
    <w:rsid w:val="00896926"/>
    <w:rsid w:val="00896B45"/>
    <w:rsid w:val="00896CBB"/>
    <w:rsid w:val="00897656"/>
    <w:rsid w:val="008976CA"/>
    <w:rsid w:val="00897A16"/>
    <w:rsid w:val="008A00C2"/>
    <w:rsid w:val="008A01DA"/>
    <w:rsid w:val="008A0248"/>
    <w:rsid w:val="008A0372"/>
    <w:rsid w:val="008A0983"/>
    <w:rsid w:val="008A0A8C"/>
    <w:rsid w:val="008A0E85"/>
    <w:rsid w:val="008A1019"/>
    <w:rsid w:val="008A10D2"/>
    <w:rsid w:val="008A1157"/>
    <w:rsid w:val="008A14DF"/>
    <w:rsid w:val="008A192A"/>
    <w:rsid w:val="008A206A"/>
    <w:rsid w:val="008A20D9"/>
    <w:rsid w:val="008A252A"/>
    <w:rsid w:val="008A252C"/>
    <w:rsid w:val="008A255A"/>
    <w:rsid w:val="008A27C5"/>
    <w:rsid w:val="008A288E"/>
    <w:rsid w:val="008A293D"/>
    <w:rsid w:val="008A31A8"/>
    <w:rsid w:val="008A31BF"/>
    <w:rsid w:val="008A31F1"/>
    <w:rsid w:val="008A3D95"/>
    <w:rsid w:val="008A3F79"/>
    <w:rsid w:val="008A421B"/>
    <w:rsid w:val="008A4529"/>
    <w:rsid w:val="008A4920"/>
    <w:rsid w:val="008A4A84"/>
    <w:rsid w:val="008A4B00"/>
    <w:rsid w:val="008A4DE3"/>
    <w:rsid w:val="008A4EFE"/>
    <w:rsid w:val="008A535C"/>
    <w:rsid w:val="008A561A"/>
    <w:rsid w:val="008A57AB"/>
    <w:rsid w:val="008A5A33"/>
    <w:rsid w:val="008A5BBB"/>
    <w:rsid w:val="008A5CA5"/>
    <w:rsid w:val="008A5F1C"/>
    <w:rsid w:val="008A6100"/>
    <w:rsid w:val="008A61DE"/>
    <w:rsid w:val="008A6A26"/>
    <w:rsid w:val="008A6E77"/>
    <w:rsid w:val="008A6ECE"/>
    <w:rsid w:val="008A6F33"/>
    <w:rsid w:val="008A6F70"/>
    <w:rsid w:val="008A6FCE"/>
    <w:rsid w:val="008A6FEA"/>
    <w:rsid w:val="008A71A9"/>
    <w:rsid w:val="008A73B1"/>
    <w:rsid w:val="008A7718"/>
    <w:rsid w:val="008A77A5"/>
    <w:rsid w:val="008A7878"/>
    <w:rsid w:val="008A78C1"/>
    <w:rsid w:val="008A7E53"/>
    <w:rsid w:val="008A7F41"/>
    <w:rsid w:val="008A7F8F"/>
    <w:rsid w:val="008B03E3"/>
    <w:rsid w:val="008B04CD"/>
    <w:rsid w:val="008B069E"/>
    <w:rsid w:val="008B06E6"/>
    <w:rsid w:val="008B09D9"/>
    <w:rsid w:val="008B0BFF"/>
    <w:rsid w:val="008B0D0A"/>
    <w:rsid w:val="008B0D5C"/>
    <w:rsid w:val="008B0DA3"/>
    <w:rsid w:val="008B0EC5"/>
    <w:rsid w:val="008B12E9"/>
    <w:rsid w:val="008B1590"/>
    <w:rsid w:val="008B15A6"/>
    <w:rsid w:val="008B16C9"/>
    <w:rsid w:val="008B1720"/>
    <w:rsid w:val="008B1A10"/>
    <w:rsid w:val="008B1A5C"/>
    <w:rsid w:val="008B1E11"/>
    <w:rsid w:val="008B1E3D"/>
    <w:rsid w:val="008B1E6C"/>
    <w:rsid w:val="008B1F3F"/>
    <w:rsid w:val="008B1FE5"/>
    <w:rsid w:val="008B20B9"/>
    <w:rsid w:val="008B26CF"/>
    <w:rsid w:val="008B27ED"/>
    <w:rsid w:val="008B2B5E"/>
    <w:rsid w:val="008B2CC3"/>
    <w:rsid w:val="008B2CFF"/>
    <w:rsid w:val="008B2EC7"/>
    <w:rsid w:val="008B3219"/>
    <w:rsid w:val="008B3429"/>
    <w:rsid w:val="008B3561"/>
    <w:rsid w:val="008B3566"/>
    <w:rsid w:val="008B364D"/>
    <w:rsid w:val="008B37B1"/>
    <w:rsid w:val="008B37BA"/>
    <w:rsid w:val="008B3A1A"/>
    <w:rsid w:val="008B3A8A"/>
    <w:rsid w:val="008B3B02"/>
    <w:rsid w:val="008B3C1A"/>
    <w:rsid w:val="008B3C7F"/>
    <w:rsid w:val="008B3E09"/>
    <w:rsid w:val="008B3EF1"/>
    <w:rsid w:val="008B4031"/>
    <w:rsid w:val="008B427E"/>
    <w:rsid w:val="008B435B"/>
    <w:rsid w:val="008B459D"/>
    <w:rsid w:val="008B463B"/>
    <w:rsid w:val="008B46DF"/>
    <w:rsid w:val="008B4FB0"/>
    <w:rsid w:val="008B5073"/>
    <w:rsid w:val="008B55EC"/>
    <w:rsid w:val="008B574D"/>
    <w:rsid w:val="008B5914"/>
    <w:rsid w:val="008B5D67"/>
    <w:rsid w:val="008B6110"/>
    <w:rsid w:val="008B61DD"/>
    <w:rsid w:val="008B634E"/>
    <w:rsid w:val="008B6768"/>
    <w:rsid w:val="008B6BEF"/>
    <w:rsid w:val="008B6C20"/>
    <w:rsid w:val="008B6CD6"/>
    <w:rsid w:val="008B6D11"/>
    <w:rsid w:val="008B6EE0"/>
    <w:rsid w:val="008B74D2"/>
    <w:rsid w:val="008B77D5"/>
    <w:rsid w:val="008B7D5E"/>
    <w:rsid w:val="008C0086"/>
    <w:rsid w:val="008C00D2"/>
    <w:rsid w:val="008C02EA"/>
    <w:rsid w:val="008C0383"/>
    <w:rsid w:val="008C038E"/>
    <w:rsid w:val="008C078B"/>
    <w:rsid w:val="008C0831"/>
    <w:rsid w:val="008C08CA"/>
    <w:rsid w:val="008C08D1"/>
    <w:rsid w:val="008C0A23"/>
    <w:rsid w:val="008C10EF"/>
    <w:rsid w:val="008C11D8"/>
    <w:rsid w:val="008C1290"/>
    <w:rsid w:val="008C1306"/>
    <w:rsid w:val="008C1743"/>
    <w:rsid w:val="008C17DE"/>
    <w:rsid w:val="008C1827"/>
    <w:rsid w:val="008C2006"/>
    <w:rsid w:val="008C207D"/>
    <w:rsid w:val="008C20FC"/>
    <w:rsid w:val="008C2198"/>
    <w:rsid w:val="008C23BC"/>
    <w:rsid w:val="008C25FD"/>
    <w:rsid w:val="008C2726"/>
    <w:rsid w:val="008C2C1E"/>
    <w:rsid w:val="008C2CD3"/>
    <w:rsid w:val="008C2CDC"/>
    <w:rsid w:val="008C31BD"/>
    <w:rsid w:val="008C324C"/>
    <w:rsid w:val="008C32A1"/>
    <w:rsid w:val="008C344D"/>
    <w:rsid w:val="008C3770"/>
    <w:rsid w:val="008C3CAE"/>
    <w:rsid w:val="008C41F6"/>
    <w:rsid w:val="008C42A9"/>
    <w:rsid w:val="008C462F"/>
    <w:rsid w:val="008C4A6A"/>
    <w:rsid w:val="008C4AB1"/>
    <w:rsid w:val="008C4AB6"/>
    <w:rsid w:val="008C4D9F"/>
    <w:rsid w:val="008C4F6A"/>
    <w:rsid w:val="008C523D"/>
    <w:rsid w:val="008C5267"/>
    <w:rsid w:val="008C544B"/>
    <w:rsid w:val="008C54DF"/>
    <w:rsid w:val="008C5555"/>
    <w:rsid w:val="008C5582"/>
    <w:rsid w:val="008C559F"/>
    <w:rsid w:val="008C5A0B"/>
    <w:rsid w:val="008C5A4D"/>
    <w:rsid w:val="008C5BFA"/>
    <w:rsid w:val="008C5F21"/>
    <w:rsid w:val="008C6313"/>
    <w:rsid w:val="008C636B"/>
    <w:rsid w:val="008C64C9"/>
    <w:rsid w:val="008C6576"/>
    <w:rsid w:val="008C65AC"/>
    <w:rsid w:val="008C66C3"/>
    <w:rsid w:val="008C6FDE"/>
    <w:rsid w:val="008C703C"/>
    <w:rsid w:val="008C70A0"/>
    <w:rsid w:val="008C7456"/>
    <w:rsid w:val="008C76B4"/>
    <w:rsid w:val="008C7CEC"/>
    <w:rsid w:val="008C7DC3"/>
    <w:rsid w:val="008C7FF7"/>
    <w:rsid w:val="008D0AAA"/>
    <w:rsid w:val="008D0AEE"/>
    <w:rsid w:val="008D0DAD"/>
    <w:rsid w:val="008D10EB"/>
    <w:rsid w:val="008D1206"/>
    <w:rsid w:val="008D167D"/>
    <w:rsid w:val="008D184A"/>
    <w:rsid w:val="008D1927"/>
    <w:rsid w:val="008D1952"/>
    <w:rsid w:val="008D1B6F"/>
    <w:rsid w:val="008D1BCE"/>
    <w:rsid w:val="008D1D56"/>
    <w:rsid w:val="008D1E22"/>
    <w:rsid w:val="008D221B"/>
    <w:rsid w:val="008D25A6"/>
    <w:rsid w:val="008D2634"/>
    <w:rsid w:val="008D2813"/>
    <w:rsid w:val="008D2816"/>
    <w:rsid w:val="008D2B18"/>
    <w:rsid w:val="008D2B8B"/>
    <w:rsid w:val="008D2FA6"/>
    <w:rsid w:val="008D3000"/>
    <w:rsid w:val="008D3290"/>
    <w:rsid w:val="008D329A"/>
    <w:rsid w:val="008D32D6"/>
    <w:rsid w:val="008D345C"/>
    <w:rsid w:val="008D3598"/>
    <w:rsid w:val="008D3933"/>
    <w:rsid w:val="008D3F00"/>
    <w:rsid w:val="008D41A7"/>
    <w:rsid w:val="008D41B3"/>
    <w:rsid w:val="008D43EE"/>
    <w:rsid w:val="008D440E"/>
    <w:rsid w:val="008D466E"/>
    <w:rsid w:val="008D4674"/>
    <w:rsid w:val="008D46BF"/>
    <w:rsid w:val="008D4733"/>
    <w:rsid w:val="008D4954"/>
    <w:rsid w:val="008D49F5"/>
    <w:rsid w:val="008D4A02"/>
    <w:rsid w:val="008D4B63"/>
    <w:rsid w:val="008D4D9D"/>
    <w:rsid w:val="008D4DD5"/>
    <w:rsid w:val="008D5102"/>
    <w:rsid w:val="008D5105"/>
    <w:rsid w:val="008D5530"/>
    <w:rsid w:val="008D56D8"/>
    <w:rsid w:val="008D57F3"/>
    <w:rsid w:val="008D5BC5"/>
    <w:rsid w:val="008D5C3D"/>
    <w:rsid w:val="008D5CFA"/>
    <w:rsid w:val="008D5F77"/>
    <w:rsid w:val="008D62B1"/>
    <w:rsid w:val="008D64A3"/>
    <w:rsid w:val="008D65B2"/>
    <w:rsid w:val="008D664D"/>
    <w:rsid w:val="008D6738"/>
    <w:rsid w:val="008D6A45"/>
    <w:rsid w:val="008D6A78"/>
    <w:rsid w:val="008D6B87"/>
    <w:rsid w:val="008D6D74"/>
    <w:rsid w:val="008D73BC"/>
    <w:rsid w:val="008D742F"/>
    <w:rsid w:val="008D7617"/>
    <w:rsid w:val="008D77E0"/>
    <w:rsid w:val="008D7BB6"/>
    <w:rsid w:val="008D7E39"/>
    <w:rsid w:val="008D7F31"/>
    <w:rsid w:val="008E00A7"/>
    <w:rsid w:val="008E029E"/>
    <w:rsid w:val="008E05E1"/>
    <w:rsid w:val="008E06E8"/>
    <w:rsid w:val="008E0BB1"/>
    <w:rsid w:val="008E0CAE"/>
    <w:rsid w:val="008E0D28"/>
    <w:rsid w:val="008E10ED"/>
    <w:rsid w:val="008E1327"/>
    <w:rsid w:val="008E13FA"/>
    <w:rsid w:val="008E1472"/>
    <w:rsid w:val="008E16B6"/>
    <w:rsid w:val="008E178E"/>
    <w:rsid w:val="008E1C2D"/>
    <w:rsid w:val="008E1F14"/>
    <w:rsid w:val="008E20C6"/>
    <w:rsid w:val="008E2115"/>
    <w:rsid w:val="008E222D"/>
    <w:rsid w:val="008E26B5"/>
    <w:rsid w:val="008E288F"/>
    <w:rsid w:val="008E2AFE"/>
    <w:rsid w:val="008E2B40"/>
    <w:rsid w:val="008E30B1"/>
    <w:rsid w:val="008E3104"/>
    <w:rsid w:val="008E315B"/>
    <w:rsid w:val="008E3681"/>
    <w:rsid w:val="008E36A2"/>
    <w:rsid w:val="008E378E"/>
    <w:rsid w:val="008E38FA"/>
    <w:rsid w:val="008E3ADD"/>
    <w:rsid w:val="008E3B14"/>
    <w:rsid w:val="008E3B1F"/>
    <w:rsid w:val="008E3C20"/>
    <w:rsid w:val="008E3D9B"/>
    <w:rsid w:val="008E3F36"/>
    <w:rsid w:val="008E40AB"/>
    <w:rsid w:val="008E40DC"/>
    <w:rsid w:val="008E426F"/>
    <w:rsid w:val="008E4452"/>
    <w:rsid w:val="008E44DD"/>
    <w:rsid w:val="008E4837"/>
    <w:rsid w:val="008E4A92"/>
    <w:rsid w:val="008E4AAD"/>
    <w:rsid w:val="008E4EA4"/>
    <w:rsid w:val="008E4FA7"/>
    <w:rsid w:val="008E51B1"/>
    <w:rsid w:val="008E54E2"/>
    <w:rsid w:val="008E55F5"/>
    <w:rsid w:val="008E56D8"/>
    <w:rsid w:val="008E5AAE"/>
    <w:rsid w:val="008E5C14"/>
    <w:rsid w:val="008E6081"/>
    <w:rsid w:val="008E6193"/>
    <w:rsid w:val="008E61B2"/>
    <w:rsid w:val="008E6235"/>
    <w:rsid w:val="008E63A6"/>
    <w:rsid w:val="008E664E"/>
    <w:rsid w:val="008E6708"/>
    <w:rsid w:val="008E67C9"/>
    <w:rsid w:val="008E6897"/>
    <w:rsid w:val="008E69EE"/>
    <w:rsid w:val="008E6A44"/>
    <w:rsid w:val="008E6A69"/>
    <w:rsid w:val="008E6AEF"/>
    <w:rsid w:val="008E6BB5"/>
    <w:rsid w:val="008E6D36"/>
    <w:rsid w:val="008E6EB6"/>
    <w:rsid w:val="008E6F68"/>
    <w:rsid w:val="008E6FE7"/>
    <w:rsid w:val="008E720B"/>
    <w:rsid w:val="008E770D"/>
    <w:rsid w:val="008E7DDF"/>
    <w:rsid w:val="008F001D"/>
    <w:rsid w:val="008F0025"/>
    <w:rsid w:val="008F04BF"/>
    <w:rsid w:val="008F0A94"/>
    <w:rsid w:val="008F0AA3"/>
    <w:rsid w:val="008F0E83"/>
    <w:rsid w:val="008F14B4"/>
    <w:rsid w:val="008F15FD"/>
    <w:rsid w:val="008F1A47"/>
    <w:rsid w:val="008F1EB8"/>
    <w:rsid w:val="008F1F3F"/>
    <w:rsid w:val="008F2078"/>
    <w:rsid w:val="008F21EB"/>
    <w:rsid w:val="008F235E"/>
    <w:rsid w:val="008F2485"/>
    <w:rsid w:val="008F252B"/>
    <w:rsid w:val="008F2731"/>
    <w:rsid w:val="008F274E"/>
    <w:rsid w:val="008F2840"/>
    <w:rsid w:val="008F290E"/>
    <w:rsid w:val="008F2984"/>
    <w:rsid w:val="008F2A4C"/>
    <w:rsid w:val="008F2B14"/>
    <w:rsid w:val="008F2B3C"/>
    <w:rsid w:val="008F30B1"/>
    <w:rsid w:val="008F311C"/>
    <w:rsid w:val="008F3139"/>
    <w:rsid w:val="008F3193"/>
    <w:rsid w:val="008F34D6"/>
    <w:rsid w:val="008F3738"/>
    <w:rsid w:val="008F3928"/>
    <w:rsid w:val="008F3BCA"/>
    <w:rsid w:val="008F3C40"/>
    <w:rsid w:val="008F3CF9"/>
    <w:rsid w:val="008F40ED"/>
    <w:rsid w:val="008F4562"/>
    <w:rsid w:val="008F482E"/>
    <w:rsid w:val="008F487B"/>
    <w:rsid w:val="008F489D"/>
    <w:rsid w:val="008F4968"/>
    <w:rsid w:val="008F4BC8"/>
    <w:rsid w:val="008F4D14"/>
    <w:rsid w:val="008F4F7A"/>
    <w:rsid w:val="008F4FE2"/>
    <w:rsid w:val="008F50B4"/>
    <w:rsid w:val="008F51FC"/>
    <w:rsid w:val="008F5214"/>
    <w:rsid w:val="008F5238"/>
    <w:rsid w:val="008F546E"/>
    <w:rsid w:val="008F5477"/>
    <w:rsid w:val="008F580D"/>
    <w:rsid w:val="008F584D"/>
    <w:rsid w:val="008F59C9"/>
    <w:rsid w:val="008F5B30"/>
    <w:rsid w:val="008F5D6B"/>
    <w:rsid w:val="008F5EA4"/>
    <w:rsid w:val="008F6110"/>
    <w:rsid w:val="008F61FF"/>
    <w:rsid w:val="008F6692"/>
    <w:rsid w:val="008F66E3"/>
    <w:rsid w:val="008F6998"/>
    <w:rsid w:val="008F6DB4"/>
    <w:rsid w:val="008F6DBA"/>
    <w:rsid w:val="008F6EF6"/>
    <w:rsid w:val="008F70A0"/>
    <w:rsid w:val="008F750B"/>
    <w:rsid w:val="008F751B"/>
    <w:rsid w:val="008F7531"/>
    <w:rsid w:val="008F754E"/>
    <w:rsid w:val="008F7895"/>
    <w:rsid w:val="008F7901"/>
    <w:rsid w:val="008F7D94"/>
    <w:rsid w:val="008F7E9B"/>
    <w:rsid w:val="008F7EF2"/>
    <w:rsid w:val="008F7F19"/>
    <w:rsid w:val="00900157"/>
    <w:rsid w:val="00900349"/>
    <w:rsid w:val="00900722"/>
    <w:rsid w:val="009009A6"/>
    <w:rsid w:val="00900A00"/>
    <w:rsid w:val="00900B4A"/>
    <w:rsid w:val="00900EFC"/>
    <w:rsid w:val="00901023"/>
    <w:rsid w:val="00901133"/>
    <w:rsid w:val="0090121B"/>
    <w:rsid w:val="009016D6"/>
    <w:rsid w:val="009018FF"/>
    <w:rsid w:val="00901934"/>
    <w:rsid w:val="00901AFB"/>
    <w:rsid w:val="00901F70"/>
    <w:rsid w:val="00902370"/>
    <w:rsid w:val="0090238F"/>
    <w:rsid w:val="009026D6"/>
    <w:rsid w:val="009028FA"/>
    <w:rsid w:val="00902970"/>
    <w:rsid w:val="00902B93"/>
    <w:rsid w:val="00902FE3"/>
    <w:rsid w:val="0090300C"/>
    <w:rsid w:val="00903371"/>
    <w:rsid w:val="009035F6"/>
    <w:rsid w:val="00903846"/>
    <w:rsid w:val="00903956"/>
    <w:rsid w:val="00903990"/>
    <w:rsid w:val="00903E69"/>
    <w:rsid w:val="0090407F"/>
    <w:rsid w:val="00904208"/>
    <w:rsid w:val="00904539"/>
    <w:rsid w:val="009045A1"/>
    <w:rsid w:val="00904668"/>
    <w:rsid w:val="00904795"/>
    <w:rsid w:val="00904869"/>
    <w:rsid w:val="009048C3"/>
    <w:rsid w:val="009049FC"/>
    <w:rsid w:val="00904AFC"/>
    <w:rsid w:val="00904B0E"/>
    <w:rsid w:val="00904D55"/>
    <w:rsid w:val="00904F00"/>
    <w:rsid w:val="00905021"/>
    <w:rsid w:val="0090546E"/>
    <w:rsid w:val="0090559D"/>
    <w:rsid w:val="00905688"/>
    <w:rsid w:val="009056E0"/>
    <w:rsid w:val="009058FA"/>
    <w:rsid w:val="00905BC0"/>
    <w:rsid w:val="00905CBB"/>
    <w:rsid w:val="00906094"/>
    <w:rsid w:val="009061B0"/>
    <w:rsid w:val="00906751"/>
    <w:rsid w:val="00906853"/>
    <w:rsid w:val="00906BA0"/>
    <w:rsid w:val="00906C5B"/>
    <w:rsid w:val="00906ED1"/>
    <w:rsid w:val="00907342"/>
    <w:rsid w:val="00907480"/>
    <w:rsid w:val="00907829"/>
    <w:rsid w:val="00907980"/>
    <w:rsid w:val="00907A53"/>
    <w:rsid w:val="00907DAC"/>
    <w:rsid w:val="00907F6A"/>
    <w:rsid w:val="009102A3"/>
    <w:rsid w:val="009105CF"/>
    <w:rsid w:val="009105E1"/>
    <w:rsid w:val="00910894"/>
    <w:rsid w:val="009108B7"/>
    <w:rsid w:val="0091092F"/>
    <w:rsid w:val="0091095D"/>
    <w:rsid w:val="00910BA3"/>
    <w:rsid w:val="00910CA1"/>
    <w:rsid w:val="009111A2"/>
    <w:rsid w:val="00911616"/>
    <w:rsid w:val="0091167B"/>
    <w:rsid w:val="00911783"/>
    <w:rsid w:val="00911837"/>
    <w:rsid w:val="00911942"/>
    <w:rsid w:val="009119CA"/>
    <w:rsid w:val="00911DD0"/>
    <w:rsid w:val="00912323"/>
    <w:rsid w:val="009123FF"/>
    <w:rsid w:val="00912461"/>
    <w:rsid w:val="00912638"/>
    <w:rsid w:val="0091279A"/>
    <w:rsid w:val="00912A93"/>
    <w:rsid w:val="00912C08"/>
    <w:rsid w:val="00912D0C"/>
    <w:rsid w:val="00912D9B"/>
    <w:rsid w:val="00912DCE"/>
    <w:rsid w:val="00912E60"/>
    <w:rsid w:val="00912FF5"/>
    <w:rsid w:val="009131D8"/>
    <w:rsid w:val="0091322B"/>
    <w:rsid w:val="009134D1"/>
    <w:rsid w:val="00913629"/>
    <w:rsid w:val="00913699"/>
    <w:rsid w:val="009136D8"/>
    <w:rsid w:val="0091388C"/>
    <w:rsid w:val="009138D8"/>
    <w:rsid w:val="00913BC5"/>
    <w:rsid w:val="00913F95"/>
    <w:rsid w:val="009141B2"/>
    <w:rsid w:val="00914611"/>
    <w:rsid w:val="009146A7"/>
    <w:rsid w:val="009146AD"/>
    <w:rsid w:val="00914973"/>
    <w:rsid w:val="00914D19"/>
    <w:rsid w:val="009152AA"/>
    <w:rsid w:val="00915700"/>
    <w:rsid w:val="0091580F"/>
    <w:rsid w:val="00915A45"/>
    <w:rsid w:val="00915B46"/>
    <w:rsid w:val="00915C6E"/>
    <w:rsid w:val="00915D49"/>
    <w:rsid w:val="00916898"/>
    <w:rsid w:val="00916B67"/>
    <w:rsid w:val="00916CEB"/>
    <w:rsid w:val="00916E5D"/>
    <w:rsid w:val="0091735A"/>
    <w:rsid w:val="00917514"/>
    <w:rsid w:val="0091765D"/>
    <w:rsid w:val="00917D65"/>
    <w:rsid w:val="00920092"/>
    <w:rsid w:val="009202FE"/>
    <w:rsid w:val="009203EF"/>
    <w:rsid w:val="009204F5"/>
    <w:rsid w:val="00920540"/>
    <w:rsid w:val="009206DF"/>
    <w:rsid w:val="009207D7"/>
    <w:rsid w:val="009207EE"/>
    <w:rsid w:val="00920B02"/>
    <w:rsid w:val="00920F15"/>
    <w:rsid w:val="00920F5D"/>
    <w:rsid w:val="00921522"/>
    <w:rsid w:val="00921684"/>
    <w:rsid w:val="009219D1"/>
    <w:rsid w:val="00921A30"/>
    <w:rsid w:val="00921C0C"/>
    <w:rsid w:val="00921F1A"/>
    <w:rsid w:val="00922007"/>
    <w:rsid w:val="00922098"/>
    <w:rsid w:val="009226AA"/>
    <w:rsid w:val="0092272A"/>
    <w:rsid w:val="0092288E"/>
    <w:rsid w:val="00922E0D"/>
    <w:rsid w:val="00923030"/>
    <w:rsid w:val="0092341B"/>
    <w:rsid w:val="0092344B"/>
    <w:rsid w:val="00923745"/>
    <w:rsid w:val="00923776"/>
    <w:rsid w:val="00923A31"/>
    <w:rsid w:val="00923AB1"/>
    <w:rsid w:val="00923BEB"/>
    <w:rsid w:val="00923C3C"/>
    <w:rsid w:val="00924180"/>
    <w:rsid w:val="00924243"/>
    <w:rsid w:val="009242E0"/>
    <w:rsid w:val="00924635"/>
    <w:rsid w:val="00924658"/>
    <w:rsid w:val="0092488E"/>
    <w:rsid w:val="009249BE"/>
    <w:rsid w:val="00924E27"/>
    <w:rsid w:val="0092500B"/>
    <w:rsid w:val="009252FF"/>
    <w:rsid w:val="0092545B"/>
    <w:rsid w:val="0092549E"/>
    <w:rsid w:val="0092565F"/>
    <w:rsid w:val="0092591F"/>
    <w:rsid w:val="00925B5A"/>
    <w:rsid w:val="00925BF8"/>
    <w:rsid w:val="00925D53"/>
    <w:rsid w:val="00925E3B"/>
    <w:rsid w:val="0092621F"/>
    <w:rsid w:val="00926288"/>
    <w:rsid w:val="00926796"/>
    <w:rsid w:val="00926857"/>
    <w:rsid w:val="0092688F"/>
    <w:rsid w:val="009269C1"/>
    <w:rsid w:val="00926DEC"/>
    <w:rsid w:val="00926E6C"/>
    <w:rsid w:val="00927320"/>
    <w:rsid w:val="009273B9"/>
    <w:rsid w:val="009273DD"/>
    <w:rsid w:val="0092741E"/>
    <w:rsid w:val="00927565"/>
    <w:rsid w:val="009276EE"/>
    <w:rsid w:val="00927A26"/>
    <w:rsid w:val="00927AFB"/>
    <w:rsid w:val="00927C17"/>
    <w:rsid w:val="009300C2"/>
    <w:rsid w:val="009302B7"/>
    <w:rsid w:val="009302D8"/>
    <w:rsid w:val="0093079C"/>
    <w:rsid w:val="0093080C"/>
    <w:rsid w:val="00930B38"/>
    <w:rsid w:val="00930E82"/>
    <w:rsid w:val="0093115B"/>
    <w:rsid w:val="009314E9"/>
    <w:rsid w:val="00931B68"/>
    <w:rsid w:val="00931C73"/>
    <w:rsid w:val="00931E4A"/>
    <w:rsid w:val="00931E69"/>
    <w:rsid w:val="00932080"/>
    <w:rsid w:val="00932374"/>
    <w:rsid w:val="00932549"/>
    <w:rsid w:val="009326FC"/>
    <w:rsid w:val="0093278D"/>
    <w:rsid w:val="009327B8"/>
    <w:rsid w:val="00932823"/>
    <w:rsid w:val="009328AB"/>
    <w:rsid w:val="0093291C"/>
    <w:rsid w:val="00932C0E"/>
    <w:rsid w:val="00932C71"/>
    <w:rsid w:val="00932E72"/>
    <w:rsid w:val="00933105"/>
    <w:rsid w:val="00933223"/>
    <w:rsid w:val="009332E7"/>
    <w:rsid w:val="00933436"/>
    <w:rsid w:val="00933460"/>
    <w:rsid w:val="0093375F"/>
    <w:rsid w:val="00933944"/>
    <w:rsid w:val="00933A69"/>
    <w:rsid w:val="00933C46"/>
    <w:rsid w:val="00934144"/>
    <w:rsid w:val="009347F0"/>
    <w:rsid w:val="009348D0"/>
    <w:rsid w:val="00934DF6"/>
    <w:rsid w:val="00934E04"/>
    <w:rsid w:val="00934F37"/>
    <w:rsid w:val="009351AD"/>
    <w:rsid w:val="0093523C"/>
    <w:rsid w:val="009352E4"/>
    <w:rsid w:val="0093563F"/>
    <w:rsid w:val="00935A0E"/>
    <w:rsid w:val="00935A48"/>
    <w:rsid w:val="00935DE0"/>
    <w:rsid w:val="00935E43"/>
    <w:rsid w:val="00935EC9"/>
    <w:rsid w:val="00935F5D"/>
    <w:rsid w:val="00936106"/>
    <w:rsid w:val="009363F8"/>
    <w:rsid w:val="00936571"/>
    <w:rsid w:val="00936A00"/>
    <w:rsid w:val="009372CC"/>
    <w:rsid w:val="0093734D"/>
    <w:rsid w:val="00937B2C"/>
    <w:rsid w:val="00940363"/>
    <w:rsid w:val="00940384"/>
    <w:rsid w:val="00940488"/>
    <w:rsid w:val="00940693"/>
    <w:rsid w:val="009407B2"/>
    <w:rsid w:val="009408A4"/>
    <w:rsid w:val="009408DD"/>
    <w:rsid w:val="009409B0"/>
    <w:rsid w:val="00940D29"/>
    <w:rsid w:val="00940D3D"/>
    <w:rsid w:val="009415E1"/>
    <w:rsid w:val="00941DAC"/>
    <w:rsid w:val="00941FCA"/>
    <w:rsid w:val="00941FEC"/>
    <w:rsid w:val="009421BC"/>
    <w:rsid w:val="00942487"/>
    <w:rsid w:val="00942526"/>
    <w:rsid w:val="00942A57"/>
    <w:rsid w:val="00942E31"/>
    <w:rsid w:val="00942E93"/>
    <w:rsid w:val="00943478"/>
    <w:rsid w:val="0094360F"/>
    <w:rsid w:val="0094367C"/>
    <w:rsid w:val="00943B69"/>
    <w:rsid w:val="00943BE9"/>
    <w:rsid w:val="00943C11"/>
    <w:rsid w:val="00943D75"/>
    <w:rsid w:val="00943D81"/>
    <w:rsid w:val="00943E11"/>
    <w:rsid w:val="00943E7B"/>
    <w:rsid w:val="00943E82"/>
    <w:rsid w:val="00944918"/>
    <w:rsid w:val="00944A52"/>
    <w:rsid w:val="00944CB7"/>
    <w:rsid w:val="009450BC"/>
    <w:rsid w:val="009456A0"/>
    <w:rsid w:val="0094571A"/>
    <w:rsid w:val="00945A1A"/>
    <w:rsid w:val="00945E23"/>
    <w:rsid w:val="00945E3E"/>
    <w:rsid w:val="00945EAE"/>
    <w:rsid w:val="009460F2"/>
    <w:rsid w:val="00946114"/>
    <w:rsid w:val="009462CA"/>
    <w:rsid w:val="009464B9"/>
    <w:rsid w:val="009468DA"/>
    <w:rsid w:val="009469B7"/>
    <w:rsid w:val="00946A71"/>
    <w:rsid w:val="00946AAF"/>
    <w:rsid w:val="00946BA1"/>
    <w:rsid w:val="009470F7"/>
    <w:rsid w:val="00947283"/>
    <w:rsid w:val="009472A1"/>
    <w:rsid w:val="00947579"/>
    <w:rsid w:val="00947583"/>
    <w:rsid w:val="00947801"/>
    <w:rsid w:val="00947B1B"/>
    <w:rsid w:val="00947B84"/>
    <w:rsid w:val="0095016C"/>
    <w:rsid w:val="00950243"/>
    <w:rsid w:val="0095079B"/>
    <w:rsid w:val="009508B7"/>
    <w:rsid w:val="0095096A"/>
    <w:rsid w:val="00950A4E"/>
    <w:rsid w:val="00950AB6"/>
    <w:rsid w:val="00950CB0"/>
    <w:rsid w:val="00950E2F"/>
    <w:rsid w:val="00951018"/>
    <w:rsid w:val="0095102B"/>
    <w:rsid w:val="009510C0"/>
    <w:rsid w:val="009511C7"/>
    <w:rsid w:val="009512EE"/>
    <w:rsid w:val="00951372"/>
    <w:rsid w:val="009515E2"/>
    <w:rsid w:val="00951B55"/>
    <w:rsid w:val="00951CFC"/>
    <w:rsid w:val="00951D43"/>
    <w:rsid w:val="00951D6A"/>
    <w:rsid w:val="00951DA9"/>
    <w:rsid w:val="00951E13"/>
    <w:rsid w:val="00951E1C"/>
    <w:rsid w:val="00951E66"/>
    <w:rsid w:val="00951E9F"/>
    <w:rsid w:val="00952124"/>
    <w:rsid w:val="0095230F"/>
    <w:rsid w:val="009525B1"/>
    <w:rsid w:val="00952769"/>
    <w:rsid w:val="00952B02"/>
    <w:rsid w:val="00952DCB"/>
    <w:rsid w:val="00952DDA"/>
    <w:rsid w:val="009533FF"/>
    <w:rsid w:val="0095389B"/>
    <w:rsid w:val="009538D9"/>
    <w:rsid w:val="009539EE"/>
    <w:rsid w:val="00953A6D"/>
    <w:rsid w:val="00953AD7"/>
    <w:rsid w:val="00953D07"/>
    <w:rsid w:val="009540E2"/>
    <w:rsid w:val="0095425C"/>
    <w:rsid w:val="00954435"/>
    <w:rsid w:val="0095445B"/>
    <w:rsid w:val="00954545"/>
    <w:rsid w:val="009545BC"/>
    <w:rsid w:val="009545CC"/>
    <w:rsid w:val="00954722"/>
    <w:rsid w:val="00954775"/>
    <w:rsid w:val="00954780"/>
    <w:rsid w:val="0095484F"/>
    <w:rsid w:val="00954BCA"/>
    <w:rsid w:val="00954D38"/>
    <w:rsid w:val="00954EE8"/>
    <w:rsid w:val="0095510A"/>
    <w:rsid w:val="00955237"/>
    <w:rsid w:val="00955307"/>
    <w:rsid w:val="00955427"/>
    <w:rsid w:val="00955503"/>
    <w:rsid w:val="009556E8"/>
    <w:rsid w:val="00955735"/>
    <w:rsid w:val="009559D0"/>
    <w:rsid w:val="00955BBB"/>
    <w:rsid w:val="00955C09"/>
    <w:rsid w:val="00955C15"/>
    <w:rsid w:val="00955D56"/>
    <w:rsid w:val="0095602C"/>
    <w:rsid w:val="009561CA"/>
    <w:rsid w:val="00956A0B"/>
    <w:rsid w:val="00956BFB"/>
    <w:rsid w:val="00956C86"/>
    <w:rsid w:val="00956CAF"/>
    <w:rsid w:val="009571F4"/>
    <w:rsid w:val="00957305"/>
    <w:rsid w:val="00957380"/>
    <w:rsid w:val="0095752B"/>
    <w:rsid w:val="00957550"/>
    <w:rsid w:val="00957653"/>
    <w:rsid w:val="00957B1A"/>
    <w:rsid w:val="00957D10"/>
    <w:rsid w:val="00957EBF"/>
    <w:rsid w:val="00957FA1"/>
    <w:rsid w:val="00960126"/>
    <w:rsid w:val="0096018B"/>
    <w:rsid w:val="0096028B"/>
    <w:rsid w:val="00960465"/>
    <w:rsid w:val="009604A3"/>
    <w:rsid w:val="0096065B"/>
    <w:rsid w:val="0096095D"/>
    <w:rsid w:val="00960987"/>
    <w:rsid w:val="00960A89"/>
    <w:rsid w:val="009610E8"/>
    <w:rsid w:val="00961A41"/>
    <w:rsid w:val="00961B75"/>
    <w:rsid w:val="0096215C"/>
    <w:rsid w:val="0096221B"/>
    <w:rsid w:val="009624CD"/>
    <w:rsid w:val="009629D2"/>
    <w:rsid w:val="00962A96"/>
    <w:rsid w:val="00962E1D"/>
    <w:rsid w:val="00963774"/>
    <w:rsid w:val="00963CEE"/>
    <w:rsid w:val="00963D6C"/>
    <w:rsid w:val="00963E28"/>
    <w:rsid w:val="009641DF"/>
    <w:rsid w:val="00964361"/>
    <w:rsid w:val="00964444"/>
    <w:rsid w:val="0096446E"/>
    <w:rsid w:val="0096455F"/>
    <w:rsid w:val="009649B7"/>
    <w:rsid w:val="00964B3A"/>
    <w:rsid w:val="00964B8A"/>
    <w:rsid w:val="009650EF"/>
    <w:rsid w:val="009653C5"/>
    <w:rsid w:val="009655C8"/>
    <w:rsid w:val="0096588D"/>
    <w:rsid w:val="00966196"/>
    <w:rsid w:val="009662BC"/>
    <w:rsid w:val="00966300"/>
    <w:rsid w:val="009663E3"/>
    <w:rsid w:val="0096667F"/>
    <w:rsid w:val="00966C09"/>
    <w:rsid w:val="00966DA4"/>
    <w:rsid w:val="00966F3E"/>
    <w:rsid w:val="00966F69"/>
    <w:rsid w:val="00966FE7"/>
    <w:rsid w:val="009670FB"/>
    <w:rsid w:val="0096715B"/>
    <w:rsid w:val="00967246"/>
    <w:rsid w:val="00967920"/>
    <w:rsid w:val="009679A8"/>
    <w:rsid w:val="00967AC5"/>
    <w:rsid w:val="00967CE8"/>
    <w:rsid w:val="0097001C"/>
    <w:rsid w:val="00970574"/>
    <w:rsid w:val="009705C8"/>
    <w:rsid w:val="0097071D"/>
    <w:rsid w:val="00970B23"/>
    <w:rsid w:val="00970D3B"/>
    <w:rsid w:val="00970D43"/>
    <w:rsid w:val="0097104B"/>
    <w:rsid w:val="00971117"/>
    <w:rsid w:val="009711F9"/>
    <w:rsid w:val="0097124C"/>
    <w:rsid w:val="009714DD"/>
    <w:rsid w:val="009715F6"/>
    <w:rsid w:val="009716CE"/>
    <w:rsid w:val="00971797"/>
    <w:rsid w:val="009717EE"/>
    <w:rsid w:val="00971990"/>
    <w:rsid w:val="00971AB7"/>
    <w:rsid w:val="00971B02"/>
    <w:rsid w:val="00971CD6"/>
    <w:rsid w:val="00971DD3"/>
    <w:rsid w:val="00971E0A"/>
    <w:rsid w:val="00971E38"/>
    <w:rsid w:val="00972076"/>
    <w:rsid w:val="009720F6"/>
    <w:rsid w:val="0097214B"/>
    <w:rsid w:val="009721BF"/>
    <w:rsid w:val="00972570"/>
    <w:rsid w:val="00972A2F"/>
    <w:rsid w:val="00972BC8"/>
    <w:rsid w:val="00972D3E"/>
    <w:rsid w:val="0097312C"/>
    <w:rsid w:val="009734DB"/>
    <w:rsid w:val="009735B1"/>
    <w:rsid w:val="009737BF"/>
    <w:rsid w:val="0097388A"/>
    <w:rsid w:val="0097398A"/>
    <w:rsid w:val="00973E98"/>
    <w:rsid w:val="00973F33"/>
    <w:rsid w:val="009740B7"/>
    <w:rsid w:val="00974AA5"/>
    <w:rsid w:val="00974F53"/>
    <w:rsid w:val="00974FDA"/>
    <w:rsid w:val="0097508D"/>
    <w:rsid w:val="009756A5"/>
    <w:rsid w:val="00975B7E"/>
    <w:rsid w:val="00975E64"/>
    <w:rsid w:val="00975FB0"/>
    <w:rsid w:val="00976430"/>
    <w:rsid w:val="00976443"/>
    <w:rsid w:val="009767C1"/>
    <w:rsid w:val="00976B8F"/>
    <w:rsid w:val="00976F61"/>
    <w:rsid w:val="0097700B"/>
    <w:rsid w:val="0097711F"/>
    <w:rsid w:val="009773C9"/>
    <w:rsid w:val="00977667"/>
    <w:rsid w:val="009777F4"/>
    <w:rsid w:val="0097784C"/>
    <w:rsid w:val="00977C57"/>
    <w:rsid w:val="00977C75"/>
    <w:rsid w:val="00980049"/>
    <w:rsid w:val="00980082"/>
    <w:rsid w:val="009804BB"/>
    <w:rsid w:val="009806DB"/>
    <w:rsid w:val="00980CA8"/>
    <w:rsid w:val="00980DA7"/>
    <w:rsid w:val="00980E90"/>
    <w:rsid w:val="0098104E"/>
    <w:rsid w:val="00981066"/>
    <w:rsid w:val="009812D1"/>
    <w:rsid w:val="009812D9"/>
    <w:rsid w:val="00981360"/>
    <w:rsid w:val="009815FE"/>
    <w:rsid w:val="009816E2"/>
    <w:rsid w:val="009816EB"/>
    <w:rsid w:val="009818CA"/>
    <w:rsid w:val="00981907"/>
    <w:rsid w:val="00981DCF"/>
    <w:rsid w:val="00981E15"/>
    <w:rsid w:val="00982086"/>
    <w:rsid w:val="009823BB"/>
    <w:rsid w:val="0098249F"/>
    <w:rsid w:val="00982513"/>
    <w:rsid w:val="00982767"/>
    <w:rsid w:val="009827A0"/>
    <w:rsid w:val="0098280E"/>
    <w:rsid w:val="00982878"/>
    <w:rsid w:val="00982911"/>
    <w:rsid w:val="00982AF1"/>
    <w:rsid w:val="00982D1F"/>
    <w:rsid w:val="00982D45"/>
    <w:rsid w:val="00982E89"/>
    <w:rsid w:val="0098307F"/>
    <w:rsid w:val="00983091"/>
    <w:rsid w:val="00983112"/>
    <w:rsid w:val="00983388"/>
    <w:rsid w:val="00983657"/>
    <w:rsid w:val="009836B4"/>
    <w:rsid w:val="00983770"/>
    <w:rsid w:val="00983878"/>
    <w:rsid w:val="00983AA7"/>
    <w:rsid w:val="00983CA9"/>
    <w:rsid w:val="00983E0C"/>
    <w:rsid w:val="009840E6"/>
    <w:rsid w:val="009842DE"/>
    <w:rsid w:val="009843A2"/>
    <w:rsid w:val="009844ED"/>
    <w:rsid w:val="00984503"/>
    <w:rsid w:val="0098468B"/>
    <w:rsid w:val="0098476A"/>
    <w:rsid w:val="00984A6A"/>
    <w:rsid w:val="00984A96"/>
    <w:rsid w:val="00984CB4"/>
    <w:rsid w:val="00985076"/>
    <w:rsid w:val="0098510C"/>
    <w:rsid w:val="00985152"/>
    <w:rsid w:val="00985295"/>
    <w:rsid w:val="0098542B"/>
    <w:rsid w:val="00985528"/>
    <w:rsid w:val="009855BF"/>
    <w:rsid w:val="009856F8"/>
    <w:rsid w:val="009858FF"/>
    <w:rsid w:val="00985939"/>
    <w:rsid w:val="0098596A"/>
    <w:rsid w:val="00985A18"/>
    <w:rsid w:val="00985C6A"/>
    <w:rsid w:val="00985CAF"/>
    <w:rsid w:val="00985FB1"/>
    <w:rsid w:val="0098629C"/>
    <w:rsid w:val="009864A2"/>
    <w:rsid w:val="009866A2"/>
    <w:rsid w:val="00986911"/>
    <w:rsid w:val="00986C48"/>
    <w:rsid w:val="00986F9F"/>
    <w:rsid w:val="00987008"/>
    <w:rsid w:val="00987032"/>
    <w:rsid w:val="00987217"/>
    <w:rsid w:val="0098796D"/>
    <w:rsid w:val="00990017"/>
    <w:rsid w:val="00990247"/>
    <w:rsid w:val="0099035B"/>
    <w:rsid w:val="00990411"/>
    <w:rsid w:val="009907EF"/>
    <w:rsid w:val="0099098E"/>
    <w:rsid w:val="00990C29"/>
    <w:rsid w:val="00990EC7"/>
    <w:rsid w:val="00990ED6"/>
    <w:rsid w:val="00990F09"/>
    <w:rsid w:val="00990F5C"/>
    <w:rsid w:val="00991052"/>
    <w:rsid w:val="00991289"/>
    <w:rsid w:val="009912AA"/>
    <w:rsid w:val="009912AF"/>
    <w:rsid w:val="009915A2"/>
    <w:rsid w:val="0099165C"/>
    <w:rsid w:val="009916FC"/>
    <w:rsid w:val="00991C60"/>
    <w:rsid w:val="00991ECB"/>
    <w:rsid w:val="00992014"/>
    <w:rsid w:val="00992119"/>
    <w:rsid w:val="00992159"/>
    <w:rsid w:val="00992BB1"/>
    <w:rsid w:val="0099306D"/>
    <w:rsid w:val="00993221"/>
    <w:rsid w:val="00993318"/>
    <w:rsid w:val="00993657"/>
    <w:rsid w:val="00993B6F"/>
    <w:rsid w:val="00993D3B"/>
    <w:rsid w:val="00993D84"/>
    <w:rsid w:val="00993E92"/>
    <w:rsid w:val="00993F63"/>
    <w:rsid w:val="00994028"/>
    <w:rsid w:val="009942A0"/>
    <w:rsid w:val="00994309"/>
    <w:rsid w:val="009947A6"/>
    <w:rsid w:val="00994C40"/>
    <w:rsid w:val="009950BF"/>
    <w:rsid w:val="00995192"/>
    <w:rsid w:val="00995247"/>
    <w:rsid w:val="0099554C"/>
    <w:rsid w:val="00995736"/>
    <w:rsid w:val="00995C9E"/>
    <w:rsid w:val="00995CB9"/>
    <w:rsid w:val="00995E3D"/>
    <w:rsid w:val="00995F76"/>
    <w:rsid w:val="00996056"/>
    <w:rsid w:val="0099612B"/>
    <w:rsid w:val="00996158"/>
    <w:rsid w:val="00996210"/>
    <w:rsid w:val="0099622B"/>
    <w:rsid w:val="009962AF"/>
    <w:rsid w:val="0099637E"/>
    <w:rsid w:val="009964A3"/>
    <w:rsid w:val="00996646"/>
    <w:rsid w:val="00996683"/>
    <w:rsid w:val="009966B7"/>
    <w:rsid w:val="009966F0"/>
    <w:rsid w:val="00996AC1"/>
    <w:rsid w:val="00996C1E"/>
    <w:rsid w:val="00996E06"/>
    <w:rsid w:val="0099707E"/>
    <w:rsid w:val="00997468"/>
    <w:rsid w:val="009976DD"/>
    <w:rsid w:val="00997C44"/>
    <w:rsid w:val="00997CD0"/>
    <w:rsid w:val="009A0514"/>
    <w:rsid w:val="009A06E8"/>
    <w:rsid w:val="009A0820"/>
    <w:rsid w:val="009A08B5"/>
    <w:rsid w:val="009A0937"/>
    <w:rsid w:val="009A0D30"/>
    <w:rsid w:val="009A0DDC"/>
    <w:rsid w:val="009A0E55"/>
    <w:rsid w:val="009A0EC0"/>
    <w:rsid w:val="009A1286"/>
    <w:rsid w:val="009A14F9"/>
    <w:rsid w:val="009A172D"/>
    <w:rsid w:val="009A1C4F"/>
    <w:rsid w:val="009A1C5B"/>
    <w:rsid w:val="009A1D1C"/>
    <w:rsid w:val="009A1E51"/>
    <w:rsid w:val="009A1EC3"/>
    <w:rsid w:val="009A223E"/>
    <w:rsid w:val="009A23AE"/>
    <w:rsid w:val="009A26DC"/>
    <w:rsid w:val="009A26E4"/>
    <w:rsid w:val="009A2C42"/>
    <w:rsid w:val="009A2D36"/>
    <w:rsid w:val="009A2D72"/>
    <w:rsid w:val="009A2DAF"/>
    <w:rsid w:val="009A2E5A"/>
    <w:rsid w:val="009A30F4"/>
    <w:rsid w:val="009A334D"/>
    <w:rsid w:val="009A33FC"/>
    <w:rsid w:val="009A34D3"/>
    <w:rsid w:val="009A3807"/>
    <w:rsid w:val="009A38A4"/>
    <w:rsid w:val="009A3A1B"/>
    <w:rsid w:val="009A3B66"/>
    <w:rsid w:val="009A3E02"/>
    <w:rsid w:val="009A4005"/>
    <w:rsid w:val="009A405E"/>
    <w:rsid w:val="009A429F"/>
    <w:rsid w:val="009A4347"/>
    <w:rsid w:val="009A4388"/>
    <w:rsid w:val="009A444C"/>
    <w:rsid w:val="009A492E"/>
    <w:rsid w:val="009A4C22"/>
    <w:rsid w:val="009A50BD"/>
    <w:rsid w:val="009A51B3"/>
    <w:rsid w:val="009A5409"/>
    <w:rsid w:val="009A54C2"/>
    <w:rsid w:val="009A5962"/>
    <w:rsid w:val="009A599F"/>
    <w:rsid w:val="009A5E3A"/>
    <w:rsid w:val="009A64B2"/>
    <w:rsid w:val="009A6835"/>
    <w:rsid w:val="009A6A4C"/>
    <w:rsid w:val="009A6A5D"/>
    <w:rsid w:val="009A6B15"/>
    <w:rsid w:val="009A6C7C"/>
    <w:rsid w:val="009A6F54"/>
    <w:rsid w:val="009A6F6C"/>
    <w:rsid w:val="009A71C6"/>
    <w:rsid w:val="009A71F3"/>
    <w:rsid w:val="009A7435"/>
    <w:rsid w:val="009A7D7E"/>
    <w:rsid w:val="009A7F24"/>
    <w:rsid w:val="009A7F43"/>
    <w:rsid w:val="009B011D"/>
    <w:rsid w:val="009B02F6"/>
    <w:rsid w:val="009B04F3"/>
    <w:rsid w:val="009B06F9"/>
    <w:rsid w:val="009B0A52"/>
    <w:rsid w:val="009B0EB6"/>
    <w:rsid w:val="009B0F91"/>
    <w:rsid w:val="009B1100"/>
    <w:rsid w:val="009B1213"/>
    <w:rsid w:val="009B1217"/>
    <w:rsid w:val="009B1523"/>
    <w:rsid w:val="009B15B0"/>
    <w:rsid w:val="009B1699"/>
    <w:rsid w:val="009B1941"/>
    <w:rsid w:val="009B1B46"/>
    <w:rsid w:val="009B1B64"/>
    <w:rsid w:val="009B1CAD"/>
    <w:rsid w:val="009B1D4D"/>
    <w:rsid w:val="009B1F55"/>
    <w:rsid w:val="009B2161"/>
    <w:rsid w:val="009B22E4"/>
    <w:rsid w:val="009B2683"/>
    <w:rsid w:val="009B298C"/>
    <w:rsid w:val="009B2AD5"/>
    <w:rsid w:val="009B2B29"/>
    <w:rsid w:val="009B3365"/>
    <w:rsid w:val="009B344A"/>
    <w:rsid w:val="009B3A1D"/>
    <w:rsid w:val="009B3C07"/>
    <w:rsid w:val="009B3E15"/>
    <w:rsid w:val="009B3ED0"/>
    <w:rsid w:val="009B4042"/>
    <w:rsid w:val="009B4161"/>
    <w:rsid w:val="009B4195"/>
    <w:rsid w:val="009B479A"/>
    <w:rsid w:val="009B48FA"/>
    <w:rsid w:val="009B4BE1"/>
    <w:rsid w:val="009B4C66"/>
    <w:rsid w:val="009B4E4D"/>
    <w:rsid w:val="009B4F3D"/>
    <w:rsid w:val="009B5020"/>
    <w:rsid w:val="009B5367"/>
    <w:rsid w:val="009B543B"/>
    <w:rsid w:val="009B5600"/>
    <w:rsid w:val="009B5980"/>
    <w:rsid w:val="009B59C5"/>
    <w:rsid w:val="009B5CC6"/>
    <w:rsid w:val="009B5D0F"/>
    <w:rsid w:val="009B5DA8"/>
    <w:rsid w:val="009B5DD1"/>
    <w:rsid w:val="009B6248"/>
    <w:rsid w:val="009B69F4"/>
    <w:rsid w:val="009B6A28"/>
    <w:rsid w:val="009B6B1B"/>
    <w:rsid w:val="009B6D4B"/>
    <w:rsid w:val="009B6EB3"/>
    <w:rsid w:val="009B6F55"/>
    <w:rsid w:val="009B7307"/>
    <w:rsid w:val="009B7454"/>
    <w:rsid w:val="009B7B4B"/>
    <w:rsid w:val="009B7C73"/>
    <w:rsid w:val="009B7F7A"/>
    <w:rsid w:val="009C036F"/>
    <w:rsid w:val="009C0579"/>
    <w:rsid w:val="009C0749"/>
    <w:rsid w:val="009C0831"/>
    <w:rsid w:val="009C09DC"/>
    <w:rsid w:val="009C0BF8"/>
    <w:rsid w:val="009C0C45"/>
    <w:rsid w:val="009C0CC9"/>
    <w:rsid w:val="009C0DE7"/>
    <w:rsid w:val="009C1355"/>
    <w:rsid w:val="009C13EA"/>
    <w:rsid w:val="009C1631"/>
    <w:rsid w:val="009C17A2"/>
    <w:rsid w:val="009C1881"/>
    <w:rsid w:val="009C1A59"/>
    <w:rsid w:val="009C1A5D"/>
    <w:rsid w:val="009C1E32"/>
    <w:rsid w:val="009C1E7B"/>
    <w:rsid w:val="009C1FE9"/>
    <w:rsid w:val="009C20E3"/>
    <w:rsid w:val="009C2137"/>
    <w:rsid w:val="009C2196"/>
    <w:rsid w:val="009C22D5"/>
    <w:rsid w:val="009C243D"/>
    <w:rsid w:val="009C25FA"/>
    <w:rsid w:val="009C2640"/>
    <w:rsid w:val="009C299E"/>
    <w:rsid w:val="009C30DB"/>
    <w:rsid w:val="009C365C"/>
    <w:rsid w:val="009C3683"/>
    <w:rsid w:val="009C3748"/>
    <w:rsid w:val="009C3C23"/>
    <w:rsid w:val="009C3FD8"/>
    <w:rsid w:val="009C41A6"/>
    <w:rsid w:val="009C430B"/>
    <w:rsid w:val="009C4692"/>
    <w:rsid w:val="009C4A5A"/>
    <w:rsid w:val="009C4A92"/>
    <w:rsid w:val="009C4AAD"/>
    <w:rsid w:val="009C4B49"/>
    <w:rsid w:val="009C4DFF"/>
    <w:rsid w:val="009C4FB4"/>
    <w:rsid w:val="009C4FCD"/>
    <w:rsid w:val="009C504C"/>
    <w:rsid w:val="009C5154"/>
    <w:rsid w:val="009C57D8"/>
    <w:rsid w:val="009C5B84"/>
    <w:rsid w:val="009C5E8A"/>
    <w:rsid w:val="009C5FCC"/>
    <w:rsid w:val="009C619D"/>
    <w:rsid w:val="009C636A"/>
    <w:rsid w:val="009C63F7"/>
    <w:rsid w:val="009C6456"/>
    <w:rsid w:val="009C64BF"/>
    <w:rsid w:val="009C65F4"/>
    <w:rsid w:val="009C6842"/>
    <w:rsid w:val="009C6B05"/>
    <w:rsid w:val="009C6D86"/>
    <w:rsid w:val="009C6D8D"/>
    <w:rsid w:val="009C70E1"/>
    <w:rsid w:val="009C720C"/>
    <w:rsid w:val="009C72B6"/>
    <w:rsid w:val="009C732A"/>
    <w:rsid w:val="009C73A2"/>
    <w:rsid w:val="009C73B0"/>
    <w:rsid w:val="009C79A1"/>
    <w:rsid w:val="009C7A3F"/>
    <w:rsid w:val="009C7A95"/>
    <w:rsid w:val="009C7B8D"/>
    <w:rsid w:val="009C7BBD"/>
    <w:rsid w:val="009D02F1"/>
    <w:rsid w:val="009D051C"/>
    <w:rsid w:val="009D0687"/>
    <w:rsid w:val="009D0950"/>
    <w:rsid w:val="009D0BB6"/>
    <w:rsid w:val="009D0FAF"/>
    <w:rsid w:val="009D102F"/>
    <w:rsid w:val="009D15E3"/>
    <w:rsid w:val="009D16BF"/>
    <w:rsid w:val="009D174E"/>
    <w:rsid w:val="009D1871"/>
    <w:rsid w:val="009D1913"/>
    <w:rsid w:val="009D1C2E"/>
    <w:rsid w:val="009D1C31"/>
    <w:rsid w:val="009D1D26"/>
    <w:rsid w:val="009D1ED8"/>
    <w:rsid w:val="009D2202"/>
    <w:rsid w:val="009D22FA"/>
    <w:rsid w:val="009D23E4"/>
    <w:rsid w:val="009D275E"/>
    <w:rsid w:val="009D293C"/>
    <w:rsid w:val="009D2940"/>
    <w:rsid w:val="009D2C88"/>
    <w:rsid w:val="009D32C5"/>
    <w:rsid w:val="009D332B"/>
    <w:rsid w:val="009D38AF"/>
    <w:rsid w:val="009D3AB7"/>
    <w:rsid w:val="009D3BC5"/>
    <w:rsid w:val="009D3EC9"/>
    <w:rsid w:val="009D3F3A"/>
    <w:rsid w:val="009D3F45"/>
    <w:rsid w:val="009D4126"/>
    <w:rsid w:val="009D4175"/>
    <w:rsid w:val="009D452A"/>
    <w:rsid w:val="009D464B"/>
    <w:rsid w:val="009D4909"/>
    <w:rsid w:val="009D4BED"/>
    <w:rsid w:val="009D4D65"/>
    <w:rsid w:val="009D51AC"/>
    <w:rsid w:val="009D540E"/>
    <w:rsid w:val="009D55DC"/>
    <w:rsid w:val="009D57E9"/>
    <w:rsid w:val="009D5CDA"/>
    <w:rsid w:val="009D5DDF"/>
    <w:rsid w:val="009D5F8B"/>
    <w:rsid w:val="009D5F90"/>
    <w:rsid w:val="009D5FA4"/>
    <w:rsid w:val="009D6020"/>
    <w:rsid w:val="009D60EF"/>
    <w:rsid w:val="009D62BC"/>
    <w:rsid w:val="009D630E"/>
    <w:rsid w:val="009D6316"/>
    <w:rsid w:val="009D6938"/>
    <w:rsid w:val="009D6990"/>
    <w:rsid w:val="009D6BAB"/>
    <w:rsid w:val="009D6C8F"/>
    <w:rsid w:val="009D6CD3"/>
    <w:rsid w:val="009D6CEB"/>
    <w:rsid w:val="009D715A"/>
    <w:rsid w:val="009D725D"/>
    <w:rsid w:val="009D73A9"/>
    <w:rsid w:val="009D7444"/>
    <w:rsid w:val="009D746C"/>
    <w:rsid w:val="009D751E"/>
    <w:rsid w:val="009D75A0"/>
    <w:rsid w:val="009D770A"/>
    <w:rsid w:val="009D7856"/>
    <w:rsid w:val="009D788A"/>
    <w:rsid w:val="009D7DBF"/>
    <w:rsid w:val="009D7E79"/>
    <w:rsid w:val="009E00CE"/>
    <w:rsid w:val="009E04BD"/>
    <w:rsid w:val="009E050E"/>
    <w:rsid w:val="009E060A"/>
    <w:rsid w:val="009E066A"/>
    <w:rsid w:val="009E069E"/>
    <w:rsid w:val="009E077E"/>
    <w:rsid w:val="009E0C14"/>
    <w:rsid w:val="009E0C71"/>
    <w:rsid w:val="009E0D22"/>
    <w:rsid w:val="009E16A7"/>
    <w:rsid w:val="009E1844"/>
    <w:rsid w:val="009E18E2"/>
    <w:rsid w:val="009E192A"/>
    <w:rsid w:val="009E19BB"/>
    <w:rsid w:val="009E1C24"/>
    <w:rsid w:val="009E2157"/>
    <w:rsid w:val="009E2174"/>
    <w:rsid w:val="009E24B2"/>
    <w:rsid w:val="009E2567"/>
    <w:rsid w:val="009E2604"/>
    <w:rsid w:val="009E2FF2"/>
    <w:rsid w:val="009E3109"/>
    <w:rsid w:val="009E3152"/>
    <w:rsid w:val="009E321D"/>
    <w:rsid w:val="009E33B6"/>
    <w:rsid w:val="009E3615"/>
    <w:rsid w:val="009E36D9"/>
    <w:rsid w:val="009E3950"/>
    <w:rsid w:val="009E39CD"/>
    <w:rsid w:val="009E3A4F"/>
    <w:rsid w:val="009E3C3F"/>
    <w:rsid w:val="009E40AE"/>
    <w:rsid w:val="009E41BF"/>
    <w:rsid w:val="009E41E4"/>
    <w:rsid w:val="009E43E5"/>
    <w:rsid w:val="009E44EC"/>
    <w:rsid w:val="009E4862"/>
    <w:rsid w:val="009E4981"/>
    <w:rsid w:val="009E4D13"/>
    <w:rsid w:val="009E4E99"/>
    <w:rsid w:val="009E4FDF"/>
    <w:rsid w:val="009E53E6"/>
    <w:rsid w:val="009E5825"/>
    <w:rsid w:val="009E5D1E"/>
    <w:rsid w:val="009E620A"/>
    <w:rsid w:val="009E63A6"/>
    <w:rsid w:val="009E6414"/>
    <w:rsid w:val="009E6678"/>
    <w:rsid w:val="009E66F9"/>
    <w:rsid w:val="009E6916"/>
    <w:rsid w:val="009E6AEB"/>
    <w:rsid w:val="009E6B1E"/>
    <w:rsid w:val="009E6DB3"/>
    <w:rsid w:val="009E70A7"/>
    <w:rsid w:val="009E71B0"/>
    <w:rsid w:val="009E7203"/>
    <w:rsid w:val="009E723C"/>
    <w:rsid w:val="009E733D"/>
    <w:rsid w:val="009E76DD"/>
    <w:rsid w:val="009E7873"/>
    <w:rsid w:val="009E7C8C"/>
    <w:rsid w:val="009E7C98"/>
    <w:rsid w:val="009E7D12"/>
    <w:rsid w:val="009E7E5E"/>
    <w:rsid w:val="009E7FD0"/>
    <w:rsid w:val="009F00AD"/>
    <w:rsid w:val="009F012C"/>
    <w:rsid w:val="009F041B"/>
    <w:rsid w:val="009F060C"/>
    <w:rsid w:val="009F0617"/>
    <w:rsid w:val="009F0BC9"/>
    <w:rsid w:val="009F0D97"/>
    <w:rsid w:val="009F10ED"/>
    <w:rsid w:val="009F12D3"/>
    <w:rsid w:val="009F168C"/>
    <w:rsid w:val="009F197A"/>
    <w:rsid w:val="009F1B2E"/>
    <w:rsid w:val="009F2105"/>
    <w:rsid w:val="009F2393"/>
    <w:rsid w:val="009F2410"/>
    <w:rsid w:val="009F245C"/>
    <w:rsid w:val="009F265B"/>
    <w:rsid w:val="009F2676"/>
    <w:rsid w:val="009F2867"/>
    <w:rsid w:val="009F2B7C"/>
    <w:rsid w:val="009F2C0D"/>
    <w:rsid w:val="009F2CF0"/>
    <w:rsid w:val="009F2D3C"/>
    <w:rsid w:val="009F2E34"/>
    <w:rsid w:val="009F2F01"/>
    <w:rsid w:val="009F2F68"/>
    <w:rsid w:val="009F337F"/>
    <w:rsid w:val="009F3453"/>
    <w:rsid w:val="009F3859"/>
    <w:rsid w:val="009F393C"/>
    <w:rsid w:val="009F3AD8"/>
    <w:rsid w:val="009F3F31"/>
    <w:rsid w:val="009F3FE1"/>
    <w:rsid w:val="009F402C"/>
    <w:rsid w:val="009F40C2"/>
    <w:rsid w:val="009F4762"/>
    <w:rsid w:val="009F4B01"/>
    <w:rsid w:val="009F4C94"/>
    <w:rsid w:val="009F4F4F"/>
    <w:rsid w:val="009F518F"/>
    <w:rsid w:val="009F51CB"/>
    <w:rsid w:val="009F5464"/>
    <w:rsid w:val="009F550C"/>
    <w:rsid w:val="009F5743"/>
    <w:rsid w:val="009F5779"/>
    <w:rsid w:val="009F5852"/>
    <w:rsid w:val="009F58A7"/>
    <w:rsid w:val="009F590B"/>
    <w:rsid w:val="009F5AD3"/>
    <w:rsid w:val="009F5B8A"/>
    <w:rsid w:val="009F5EE5"/>
    <w:rsid w:val="009F5F9F"/>
    <w:rsid w:val="009F61D1"/>
    <w:rsid w:val="009F6339"/>
    <w:rsid w:val="009F6A37"/>
    <w:rsid w:val="009F6B3B"/>
    <w:rsid w:val="009F6F5D"/>
    <w:rsid w:val="009F6FAD"/>
    <w:rsid w:val="009F6FBB"/>
    <w:rsid w:val="009F6FF1"/>
    <w:rsid w:val="009F6FFD"/>
    <w:rsid w:val="009F71D6"/>
    <w:rsid w:val="009F742D"/>
    <w:rsid w:val="009F7561"/>
    <w:rsid w:val="009F75C2"/>
    <w:rsid w:val="009F77F8"/>
    <w:rsid w:val="009F78D5"/>
    <w:rsid w:val="009F7EA2"/>
    <w:rsid w:val="00A00052"/>
    <w:rsid w:val="00A0006A"/>
    <w:rsid w:val="00A00198"/>
    <w:rsid w:val="00A0039A"/>
    <w:rsid w:val="00A0043D"/>
    <w:rsid w:val="00A0047F"/>
    <w:rsid w:val="00A004CA"/>
    <w:rsid w:val="00A008D6"/>
    <w:rsid w:val="00A008D7"/>
    <w:rsid w:val="00A009D5"/>
    <w:rsid w:val="00A00C9D"/>
    <w:rsid w:val="00A00CE1"/>
    <w:rsid w:val="00A00DEC"/>
    <w:rsid w:val="00A00DF0"/>
    <w:rsid w:val="00A00E25"/>
    <w:rsid w:val="00A01025"/>
    <w:rsid w:val="00A0102B"/>
    <w:rsid w:val="00A013DA"/>
    <w:rsid w:val="00A015BD"/>
    <w:rsid w:val="00A016A3"/>
    <w:rsid w:val="00A01865"/>
    <w:rsid w:val="00A01DD9"/>
    <w:rsid w:val="00A02068"/>
    <w:rsid w:val="00A0238C"/>
    <w:rsid w:val="00A02397"/>
    <w:rsid w:val="00A02404"/>
    <w:rsid w:val="00A02761"/>
    <w:rsid w:val="00A027E9"/>
    <w:rsid w:val="00A0284C"/>
    <w:rsid w:val="00A028CC"/>
    <w:rsid w:val="00A028E8"/>
    <w:rsid w:val="00A029D7"/>
    <w:rsid w:val="00A029FD"/>
    <w:rsid w:val="00A02A84"/>
    <w:rsid w:val="00A02BA3"/>
    <w:rsid w:val="00A02C27"/>
    <w:rsid w:val="00A02C69"/>
    <w:rsid w:val="00A02CEA"/>
    <w:rsid w:val="00A02D65"/>
    <w:rsid w:val="00A02F45"/>
    <w:rsid w:val="00A03147"/>
    <w:rsid w:val="00A031BD"/>
    <w:rsid w:val="00A03230"/>
    <w:rsid w:val="00A036ED"/>
    <w:rsid w:val="00A037D1"/>
    <w:rsid w:val="00A037E6"/>
    <w:rsid w:val="00A0396B"/>
    <w:rsid w:val="00A03B6D"/>
    <w:rsid w:val="00A03C03"/>
    <w:rsid w:val="00A03CB8"/>
    <w:rsid w:val="00A03D65"/>
    <w:rsid w:val="00A03DE2"/>
    <w:rsid w:val="00A041F7"/>
    <w:rsid w:val="00A0433B"/>
    <w:rsid w:val="00A04AB9"/>
    <w:rsid w:val="00A050BA"/>
    <w:rsid w:val="00A05506"/>
    <w:rsid w:val="00A0564F"/>
    <w:rsid w:val="00A05657"/>
    <w:rsid w:val="00A05717"/>
    <w:rsid w:val="00A05CBB"/>
    <w:rsid w:val="00A0656D"/>
    <w:rsid w:val="00A06BB9"/>
    <w:rsid w:val="00A06D00"/>
    <w:rsid w:val="00A06E9B"/>
    <w:rsid w:val="00A06F35"/>
    <w:rsid w:val="00A0770E"/>
    <w:rsid w:val="00A07788"/>
    <w:rsid w:val="00A07804"/>
    <w:rsid w:val="00A07A36"/>
    <w:rsid w:val="00A07F0A"/>
    <w:rsid w:val="00A10108"/>
    <w:rsid w:val="00A10745"/>
    <w:rsid w:val="00A109DD"/>
    <w:rsid w:val="00A10BAF"/>
    <w:rsid w:val="00A10D42"/>
    <w:rsid w:val="00A10E8A"/>
    <w:rsid w:val="00A10FE8"/>
    <w:rsid w:val="00A1102D"/>
    <w:rsid w:val="00A11414"/>
    <w:rsid w:val="00A115FF"/>
    <w:rsid w:val="00A118DB"/>
    <w:rsid w:val="00A11A21"/>
    <w:rsid w:val="00A11A4C"/>
    <w:rsid w:val="00A11B7A"/>
    <w:rsid w:val="00A11DA1"/>
    <w:rsid w:val="00A11DB1"/>
    <w:rsid w:val="00A12358"/>
    <w:rsid w:val="00A12423"/>
    <w:rsid w:val="00A12548"/>
    <w:rsid w:val="00A12928"/>
    <w:rsid w:val="00A129B1"/>
    <w:rsid w:val="00A12AB7"/>
    <w:rsid w:val="00A12C4F"/>
    <w:rsid w:val="00A12F24"/>
    <w:rsid w:val="00A12F55"/>
    <w:rsid w:val="00A12F98"/>
    <w:rsid w:val="00A12FCC"/>
    <w:rsid w:val="00A13092"/>
    <w:rsid w:val="00A132F6"/>
    <w:rsid w:val="00A1337A"/>
    <w:rsid w:val="00A13441"/>
    <w:rsid w:val="00A1348A"/>
    <w:rsid w:val="00A13536"/>
    <w:rsid w:val="00A1397A"/>
    <w:rsid w:val="00A13BD2"/>
    <w:rsid w:val="00A140BC"/>
    <w:rsid w:val="00A140FD"/>
    <w:rsid w:val="00A1410F"/>
    <w:rsid w:val="00A141FB"/>
    <w:rsid w:val="00A14249"/>
    <w:rsid w:val="00A14639"/>
    <w:rsid w:val="00A14736"/>
    <w:rsid w:val="00A14774"/>
    <w:rsid w:val="00A14C7F"/>
    <w:rsid w:val="00A14D63"/>
    <w:rsid w:val="00A152AC"/>
    <w:rsid w:val="00A1537B"/>
    <w:rsid w:val="00A15442"/>
    <w:rsid w:val="00A15A33"/>
    <w:rsid w:val="00A15AE0"/>
    <w:rsid w:val="00A160CC"/>
    <w:rsid w:val="00A16208"/>
    <w:rsid w:val="00A16261"/>
    <w:rsid w:val="00A162D9"/>
    <w:rsid w:val="00A1667F"/>
    <w:rsid w:val="00A1684F"/>
    <w:rsid w:val="00A16A4E"/>
    <w:rsid w:val="00A16CB9"/>
    <w:rsid w:val="00A16F97"/>
    <w:rsid w:val="00A17386"/>
    <w:rsid w:val="00A175E1"/>
    <w:rsid w:val="00A17756"/>
    <w:rsid w:val="00A177D8"/>
    <w:rsid w:val="00A17C49"/>
    <w:rsid w:val="00A203DD"/>
    <w:rsid w:val="00A2043C"/>
    <w:rsid w:val="00A205F4"/>
    <w:rsid w:val="00A209AF"/>
    <w:rsid w:val="00A20ACE"/>
    <w:rsid w:val="00A20D1B"/>
    <w:rsid w:val="00A20DBF"/>
    <w:rsid w:val="00A214BA"/>
    <w:rsid w:val="00A215B7"/>
    <w:rsid w:val="00A2185D"/>
    <w:rsid w:val="00A21922"/>
    <w:rsid w:val="00A219C8"/>
    <w:rsid w:val="00A21BBD"/>
    <w:rsid w:val="00A21E69"/>
    <w:rsid w:val="00A21FC9"/>
    <w:rsid w:val="00A2222C"/>
    <w:rsid w:val="00A227B7"/>
    <w:rsid w:val="00A227FD"/>
    <w:rsid w:val="00A229AA"/>
    <w:rsid w:val="00A2301D"/>
    <w:rsid w:val="00A232EE"/>
    <w:rsid w:val="00A237DE"/>
    <w:rsid w:val="00A238FE"/>
    <w:rsid w:val="00A23915"/>
    <w:rsid w:val="00A23AFD"/>
    <w:rsid w:val="00A23D83"/>
    <w:rsid w:val="00A23ECB"/>
    <w:rsid w:val="00A23FE1"/>
    <w:rsid w:val="00A24160"/>
    <w:rsid w:val="00A242AB"/>
    <w:rsid w:val="00A2437E"/>
    <w:rsid w:val="00A24A74"/>
    <w:rsid w:val="00A24A9C"/>
    <w:rsid w:val="00A24D88"/>
    <w:rsid w:val="00A24FA6"/>
    <w:rsid w:val="00A255AD"/>
    <w:rsid w:val="00A255B5"/>
    <w:rsid w:val="00A257B9"/>
    <w:rsid w:val="00A25D09"/>
    <w:rsid w:val="00A25F73"/>
    <w:rsid w:val="00A25F83"/>
    <w:rsid w:val="00A260F2"/>
    <w:rsid w:val="00A262D4"/>
    <w:rsid w:val="00A26304"/>
    <w:rsid w:val="00A2637C"/>
    <w:rsid w:val="00A268C4"/>
    <w:rsid w:val="00A26933"/>
    <w:rsid w:val="00A26A93"/>
    <w:rsid w:val="00A26CA2"/>
    <w:rsid w:val="00A26FD2"/>
    <w:rsid w:val="00A27391"/>
    <w:rsid w:val="00A273D8"/>
    <w:rsid w:val="00A27511"/>
    <w:rsid w:val="00A2759A"/>
    <w:rsid w:val="00A27641"/>
    <w:rsid w:val="00A277A3"/>
    <w:rsid w:val="00A2785E"/>
    <w:rsid w:val="00A278DC"/>
    <w:rsid w:val="00A27A6B"/>
    <w:rsid w:val="00A27B9D"/>
    <w:rsid w:val="00A27CA9"/>
    <w:rsid w:val="00A27CFE"/>
    <w:rsid w:val="00A27F23"/>
    <w:rsid w:val="00A3013A"/>
    <w:rsid w:val="00A303CB"/>
    <w:rsid w:val="00A30475"/>
    <w:rsid w:val="00A305FD"/>
    <w:rsid w:val="00A30758"/>
    <w:rsid w:val="00A30A45"/>
    <w:rsid w:val="00A30A5C"/>
    <w:rsid w:val="00A30AE4"/>
    <w:rsid w:val="00A30B19"/>
    <w:rsid w:val="00A30DD1"/>
    <w:rsid w:val="00A312B3"/>
    <w:rsid w:val="00A31521"/>
    <w:rsid w:val="00A317A7"/>
    <w:rsid w:val="00A3189D"/>
    <w:rsid w:val="00A31B02"/>
    <w:rsid w:val="00A31B5D"/>
    <w:rsid w:val="00A31EFE"/>
    <w:rsid w:val="00A3230E"/>
    <w:rsid w:val="00A32360"/>
    <w:rsid w:val="00A32382"/>
    <w:rsid w:val="00A324BA"/>
    <w:rsid w:val="00A32795"/>
    <w:rsid w:val="00A32902"/>
    <w:rsid w:val="00A32CE6"/>
    <w:rsid w:val="00A32EC6"/>
    <w:rsid w:val="00A32F65"/>
    <w:rsid w:val="00A32FEA"/>
    <w:rsid w:val="00A32FFD"/>
    <w:rsid w:val="00A33056"/>
    <w:rsid w:val="00A3331A"/>
    <w:rsid w:val="00A33434"/>
    <w:rsid w:val="00A339CC"/>
    <w:rsid w:val="00A33BDA"/>
    <w:rsid w:val="00A33CD6"/>
    <w:rsid w:val="00A341AA"/>
    <w:rsid w:val="00A342A7"/>
    <w:rsid w:val="00A34449"/>
    <w:rsid w:val="00A34840"/>
    <w:rsid w:val="00A3554A"/>
    <w:rsid w:val="00A35951"/>
    <w:rsid w:val="00A35978"/>
    <w:rsid w:val="00A35E6B"/>
    <w:rsid w:val="00A36451"/>
    <w:rsid w:val="00A366D8"/>
    <w:rsid w:val="00A36721"/>
    <w:rsid w:val="00A36744"/>
    <w:rsid w:val="00A367ED"/>
    <w:rsid w:val="00A36C2B"/>
    <w:rsid w:val="00A36ED5"/>
    <w:rsid w:val="00A36FB4"/>
    <w:rsid w:val="00A37071"/>
    <w:rsid w:val="00A37253"/>
    <w:rsid w:val="00A377E9"/>
    <w:rsid w:val="00A37A0A"/>
    <w:rsid w:val="00A37A32"/>
    <w:rsid w:val="00A37C3B"/>
    <w:rsid w:val="00A37D99"/>
    <w:rsid w:val="00A40079"/>
    <w:rsid w:val="00A401A1"/>
    <w:rsid w:val="00A40708"/>
    <w:rsid w:val="00A40868"/>
    <w:rsid w:val="00A4094D"/>
    <w:rsid w:val="00A409BF"/>
    <w:rsid w:val="00A40C29"/>
    <w:rsid w:val="00A40D22"/>
    <w:rsid w:val="00A40E09"/>
    <w:rsid w:val="00A41096"/>
    <w:rsid w:val="00A4115A"/>
    <w:rsid w:val="00A413C1"/>
    <w:rsid w:val="00A41626"/>
    <w:rsid w:val="00A41790"/>
    <w:rsid w:val="00A41AB1"/>
    <w:rsid w:val="00A41AC7"/>
    <w:rsid w:val="00A41D31"/>
    <w:rsid w:val="00A41D86"/>
    <w:rsid w:val="00A41DCB"/>
    <w:rsid w:val="00A422D6"/>
    <w:rsid w:val="00A4234B"/>
    <w:rsid w:val="00A42630"/>
    <w:rsid w:val="00A42A24"/>
    <w:rsid w:val="00A42C32"/>
    <w:rsid w:val="00A42D13"/>
    <w:rsid w:val="00A42DB2"/>
    <w:rsid w:val="00A43082"/>
    <w:rsid w:val="00A436D8"/>
    <w:rsid w:val="00A43925"/>
    <w:rsid w:val="00A43FC9"/>
    <w:rsid w:val="00A4436A"/>
    <w:rsid w:val="00A444C1"/>
    <w:rsid w:val="00A44B20"/>
    <w:rsid w:val="00A44D5E"/>
    <w:rsid w:val="00A44E1A"/>
    <w:rsid w:val="00A44FC7"/>
    <w:rsid w:val="00A451ED"/>
    <w:rsid w:val="00A45429"/>
    <w:rsid w:val="00A4565B"/>
    <w:rsid w:val="00A4588B"/>
    <w:rsid w:val="00A45A6E"/>
    <w:rsid w:val="00A45BB1"/>
    <w:rsid w:val="00A45CF3"/>
    <w:rsid w:val="00A45E85"/>
    <w:rsid w:val="00A46192"/>
    <w:rsid w:val="00A46653"/>
    <w:rsid w:val="00A4682B"/>
    <w:rsid w:val="00A46C53"/>
    <w:rsid w:val="00A46ED5"/>
    <w:rsid w:val="00A46EDD"/>
    <w:rsid w:val="00A474AF"/>
    <w:rsid w:val="00A478EA"/>
    <w:rsid w:val="00A47B01"/>
    <w:rsid w:val="00A47B5A"/>
    <w:rsid w:val="00A47B8F"/>
    <w:rsid w:val="00A47BE0"/>
    <w:rsid w:val="00A50699"/>
    <w:rsid w:val="00A506D8"/>
    <w:rsid w:val="00A51073"/>
    <w:rsid w:val="00A511F6"/>
    <w:rsid w:val="00A514DF"/>
    <w:rsid w:val="00A5159B"/>
    <w:rsid w:val="00A51858"/>
    <w:rsid w:val="00A51B86"/>
    <w:rsid w:val="00A51DB5"/>
    <w:rsid w:val="00A51F8E"/>
    <w:rsid w:val="00A524F7"/>
    <w:rsid w:val="00A5251F"/>
    <w:rsid w:val="00A52525"/>
    <w:rsid w:val="00A52631"/>
    <w:rsid w:val="00A52A54"/>
    <w:rsid w:val="00A52ACA"/>
    <w:rsid w:val="00A52E0A"/>
    <w:rsid w:val="00A536C0"/>
    <w:rsid w:val="00A53734"/>
    <w:rsid w:val="00A537DE"/>
    <w:rsid w:val="00A53BFB"/>
    <w:rsid w:val="00A53E95"/>
    <w:rsid w:val="00A53EB5"/>
    <w:rsid w:val="00A53F65"/>
    <w:rsid w:val="00A54118"/>
    <w:rsid w:val="00A5417A"/>
    <w:rsid w:val="00A541DA"/>
    <w:rsid w:val="00A544B7"/>
    <w:rsid w:val="00A5488C"/>
    <w:rsid w:val="00A54C92"/>
    <w:rsid w:val="00A54D9D"/>
    <w:rsid w:val="00A55172"/>
    <w:rsid w:val="00A5539B"/>
    <w:rsid w:val="00A5578B"/>
    <w:rsid w:val="00A55871"/>
    <w:rsid w:val="00A5594F"/>
    <w:rsid w:val="00A559E4"/>
    <w:rsid w:val="00A559FC"/>
    <w:rsid w:val="00A56437"/>
    <w:rsid w:val="00A56991"/>
    <w:rsid w:val="00A56BF7"/>
    <w:rsid w:val="00A56F54"/>
    <w:rsid w:val="00A571C4"/>
    <w:rsid w:val="00A57929"/>
    <w:rsid w:val="00A57B61"/>
    <w:rsid w:val="00A57D10"/>
    <w:rsid w:val="00A57DEB"/>
    <w:rsid w:val="00A57FF6"/>
    <w:rsid w:val="00A60011"/>
    <w:rsid w:val="00A6010B"/>
    <w:rsid w:val="00A601D5"/>
    <w:rsid w:val="00A60260"/>
    <w:rsid w:val="00A60426"/>
    <w:rsid w:val="00A607A5"/>
    <w:rsid w:val="00A60C07"/>
    <w:rsid w:val="00A60C1C"/>
    <w:rsid w:val="00A6100C"/>
    <w:rsid w:val="00A6102F"/>
    <w:rsid w:val="00A61463"/>
    <w:rsid w:val="00A6196F"/>
    <w:rsid w:val="00A61CC8"/>
    <w:rsid w:val="00A61E33"/>
    <w:rsid w:val="00A622D3"/>
    <w:rsid w:val="00A62900"/>
    <w:rsid w:val="00A62CE3"/>
    <w:rsid w:val="00A63114"/>
    <w:rsid w:val="00A6319A"/>
    <w:rsid w:val="00A631D2"/>
    <w:rsid w:val="00A6338B"/>
    <w:rsid w:val="00A636E6"/>
    <w:rsid w:val="00A63A03"/>
    <w:rsid w:val="00A63A71"/>
    <w:rsid w:val="00A63C6D"/>
    <w:rsid w:val="00A63F93"/>
    <w:rsid w:val="00A64582"/>
    <w:rsid w:val="00A64A19"/>
    <w:rsid w:val="00A64AC2"/>
    <w:rsid w:val="00A64EE7"/>
    <w:rsid w:val="00A6501C"/>
    <w:rsid w:val="00A654F3"/>
    <w:rsid w:val="00A656F9"/>
    <w:rsid w:val="00A65753"/>
    <w:rsid w:val="00A65BED"/>
    <w:rsid w:val="00A65C2F"/>
    <w:rsid w:val="00A65D34"/>
    <w:rsid w:val="00A65FB6"/>
    <w:rsid w:val="00A66041"/>
    <w:rsid w:val="00A66074"/>
    <w:rsid w:val="00A660D0"/>
    <w:rsid w:val="00A66310"/>
    <w:rsid w:val="00A66628"/>
    <w:rsid w:val="00A66713"/>
    <w:rsid w:val="00A6692E"/>
    <w:rsid w:val="00A66980"/>
    <w:rsid w:val="00A6722F"/>
    <w:rsid w:val="00A67239"/>
    <w:rsid w:val="00A6725A"/>
    <w:rsid w:val="00A675D0"/>
    <w:rsid w:val="00A676C2"/>
    <w:rsid w:val="00A6777D"/>
    <w:rsid w:val="00A677C6"/>
    <w:rsid w:val="00A67CC0"/>
    <w:rsid w:val="00A67E04"/>
    <w:rsid w:val="00A700DC"/>
    <w:rsid w:val="00A70138"/>
    <w:rsid w:val="00A70165"/>
    <w:rsid w:val="00A702C7"/>
    <w:rsid w:val="00A70609"/>
    <w:rsid w:val="00A7060F"/>
    <w:rsid w:val="00A706E7"/>
    <w:rsid w:val="00A70C92"/>
    <w:rsid w:val="00A70F7A"/>
    <w:rsid w:val="00A7108D"/>
    <w:rsid w:val="00A71596"/>
    <w:rsid w:val="00A7196D"/>
    <w:rsid w:val="00A719BC"/>
    <w:rsid w:val="00A71B0E"/>
    <w:rsid w:val="00A71B10"/>
    <w:rsid w:val="00A71C2B"/>
    <w:rsid w:val="00A71C5F"/>
    <w:rsid w:val="00A71CEE"/>
    <w:rsid w:val="00A71D4B"/>
    <w:rsid w:val="00A72298"/>
    <w:rsid w:val="00A72482"/>
    <w:rsid w:val="00A7260F"/>
    <w:rsid w:val="00A72632"/>
    <w:rsid w:val="00A72B9E"/>
    <w:rsid w:val="00A72C06"/>
    <w:rsid w:val="00A72F1D"/>
    <w:rsid w:val="00A72F5D"/>
    <w:rsid w:val="00A73123"/>
    <w:rsid w:val="00A73316"/>
    <w:rsid w:val="00A73356"/>
    <w:rsid w:val="00A7339B"/>
    <w:rsid w:val="00A73590"/>
    <w:rsid w:val="00A7364F"/>
    <w:rsid w:val="00A73724"/>
    <w:rsid w:val="00A73DFA"/>
    <w:rsid w:val="00A73FCB"/>
    <w:rsid w:val="00A74179"/>
    <w:rsid w:val="00A743BD"/>
    <w:rsid w:val="00A749B4"/>
    <w:rsid w:val="00A74D9C"/>
    <w:rsid w:val="00A74E3A"/>
    <w:rsid w:val="00A752D1"/>
    <w:rsid w:val="00A75322"/>
    <w:rsid w:val="00A7535F"/>
    <w:rsid w:val="00A755D7"/>
    <w:rsid w:val="00A75AF2"/>
    <w:rsid w:val="00A75F8D"/>
    <w:rsid w:val="00A7622C"/>
    <w:rsid w:val="00A767D1"/>
    <w:rsid w:val="00A769D2"/>
    <w:rsid w:val="00A76C23"/>
    <w:rsid w:val="00A76E92"/>
    <w:rsid w:val="00A77625"/>
    <w:rsid w:val="00A7795C"/>
    <w:rsid w:val="00A77CB2"/>
    <w:rsid w:val="00A77DB5"/>
    <w:rsid w:val="00A801B4"/>
    <w:rsid w:val="00A803FF"/>
    <w:rsid w:val="00A80507"/>
    <w:rsid w:val="00A80760"/>
    <w:rsid w:val="00A80FC7"/>
    <w:rsid w:val="00A810EF"/>
    <w:rsid w:val="00A815AF"/>
    <w:rsid w:val="00A8177F"/>
    <w:rsid w:val="00A81944"/>
    <w:rsid w:val="00A81983"/>
    <w:rsid w:val="00A81995"/>
    <w:rsid w:val="00A81A7C"/>
    <w:rsid w:val="00A81AD0"/>
    <w:rsid w:val="00A81B61"/>
    <w:rsid w:val="00A81D16"/>
    <w:rsid w:val="00A81D2C"/>
    <w:rsid w:val="00A81F4F"/>
    <w:rsid w:val="00A821D9"/>
    <w:rsid w:val="00A835A0"/>
    <w:rsid w:val="00A835D7"/>
    <w:rsid w:val="00A839D6"/>
    <w:rsid w:val="00A83A71"/>
    <w:rsid w:val="00A8416E"/>
    <w:rsid w:val="00A84199"/>
    <w:rsid w:val="00A8426D"/>
    <w:rsid w:val="00A842D4"/>
    <w:rsid w:val="00A8444B"/>
    <w:rsid w:val="00A846D5"/>
    <w:rsid w:val="00A84B90"/>
    <w:rsid w:val="00A84FAE"/>
    <w:rsid w:val="00A8505C"/>
    <w:rsid w:val="00A85181"/>
    <w:rsid w:val="00A8565A"/>
    <w:rsid w:val="00A85779"/>
    <w:rsid w:val="00A8577E"/>
    <w:rsid w:val="00A8588E"/>
    <w:rsid w:val="00A85F21"/>
    <w:rsid w:val="00A86133"/>
    <w:rsid w:val="00A864A2"/>
    <w:rsid w:val="00A86693"/>
    <w:rsid w:val="00A8698B"/>
    <w:rsid w:val="00A86A44"/>
    <w:rsid w:val="00A86B6C"/>
    <w:rsid w:val="00A86BF0"/>
    <w:rsid w:val="00A86D15"/>
    <w:rsid w:val="00A87860"/>
    <w:rsid w:val="00A87EE0"/>
    <w:rsid w:val="00A901B5"/>
    <w:rsid w:val="00A90625"/>
    <w:rsid w:val="00A90939"/>
    <w:rsid w:val="00A90AF3"/>
    <w:rsid w:val="00A90EE8"/>
    <w:rsid w:val="00A911B2"/>
    <w:rsid w:val="00A91276"/>
    <w:rsid w:val="00A912BD"/>
    <w:rsid w:val="00A912D4"/>
    <w:rsid w:val="00A91BBD"/>
    <w:rsid w:val="00A92001"/>
    <w:rsid w:val="00A92052"/>
    <w:rsid w:val="00A92206"/>
    <w:rsid w:val="00A9238F"/>
    <w:rsid w:val="00A927EC"/>
    <w:rsid w:val="00A92816"/>
    <w:rsid w:val="00A9286E"/>
    <w:rsid w:val="00A92AAA"/>
    <w:rsid w:val="00A92D97"/>
    <w:rsid w:val="00A92DF8"/>
    <w:rsid w:val="00A93206"/>
    <w:rsid w:val="00A933E9"/>
    <w:rsid w:val="00A934C4"/>
    <w:rsid w:val="00A93521"/>
    <w:rsid w:val="00A935EB"/>
    <w:rsid w:val="00A93671"/>
    <w:rsid w:val="00A93851"/>
    <w:rsid w:val="00A938C6"/>
    <w:rsid w:val="00A93AED"/>
    <w:rsid w:val="00A93BAA"/>
    <w:rsid w:val="00A94170"/>
    <w:rsid w:val="00A9439E"/>
    <w:rsid w:val="00A943BD"/>
    <w:rsid w:val="00A944FB"/>
    <w:rsid w:val="00A945AD"/>
    <w:rsid w:val="00A94C42"/>
    <w:rsid w:val="00A94EBC"/>
    <w:rsid w:val="00A95265"/>
    <w:rsid w:val="00A9534E"/>
    <w:rsid w:val="00A954A4"/>
    <w:rsid w:val="00A95AA4"/>
    <w:rsid w:val="00A95B06"/>
    <w:rsid w:val="00A95E8F"/>
    <w:rsid w:val="00A9624E"/>
    <w:rsid w:val="00A962FB"/>
    <w:rsid w:val="00A9638C"/>
    <w:rsid w:val="00A96499"/>
    <w:rsid w:val="00A965E5"/>
    <w:rsid w:val="00A966E0"/>
    <w:rsid w:val="00A96A54"/>
    <w:rsid w:val="00A96B66"/>
    <w:rsid w:val="00A96C76"/>
    <w:rsid w:val="00A973D6"/>
    <w:rsid w:val="00A976CF"/>
    <w:rsid w:val="00A97B04"/>
    <w:rsid w:val="00A97B5E"/>
    <w:rsid w:val="00A97DAD"/>
    <w:rsid w:val="00A97ED5"/>
    <w:rsid w:val="00A97F1E"/>
    <w:rsid w:val="00AA0516"/>
    <w:rsid w:val="00AA068B"/>
    <w:rsid w:val="00AA0C15"/>
    <w:rsid w:val="00AA1339"/>
    <w:rsid w:val="00AA1367"/>
    <w:rsid w:val="00AA13F2"/>
    <w:rsid w:val="00AA160F"/>
    <w:rsid w:val="00AA1610"/>
    <w:rsid w:val="00AA1728"/>
    <w:rsid w:val="00AA1797"/>
    <w:rsid w:val="00AA1CEE"/>
    <w:rsid w:val="00AA1E38"/>
    <w:rsid w:val="00AA21E5"/>
    <w:rsid w:val="00AA292D"/>
    <w:rsid w:val="00AA2BEE"/>
    <w:rsid w:val="00AA2D92"/>
    <w:rsid w:val="00AA2F23"/>
    <w:rsid w:val="00AA3360"/>
    <w:rsid w:val="00AA378D"/>
    <w:rsid w:val="00AA382F"/>
    <w:rsid w:val="00AA387E"/>
    <w:rsid w:val="00AA3F15"/>
    <w:rsid w:val="00AA4144"/>
    <w:rsid w:val="00AA4469"/>
    <w:rsid w:val="00AA453F"/>
    <w:rsid w:val="00AA45B6"/>
    <w:rsid w:val="00AA45C9"/>
    <w:rsid w:val="00AA469E"/>
    <w:rsid w:val="00AA4731"/>
    <w:rsid w:val="00AA4867"/>
    <w:rsid w:val="00AA49E0"/>
    <w:rsid w:val="00AA4D85"/>
    <w:rsid w:val="00AA50F9"/>
    <w:rsid w:val="00AA51D8"/>
    <w:rsid w:val="00AA564A"/>
    <w:rsid w:val="00AA5989"/>
    <w:rsid w:val="00AA59B0"/>
    <w:rsid w:val="00AA5E19"/>
    <w:rsid w:val="00AA5E71"/>
    <w:rsid w:val="00AA5FC0"/>
    <w:rsid w:val="00AA6758"/>
    <w:rsid w:val="00AA67C4"/>
    <w:rsid w:val="00AA67C7"/>
    <w:rsid w:val="00AA6823"/>
    <w:rsid w:val="00AA6CF1"/>
    <w:rsid w:val="00AA717C"/>
    <w:rsid w:val="00AA758F"/>
    <w:rsid w:val="00AA75FE"/>
    <w:rsid w:val="00AA7A3D"/>
    <w:rsid w:val="00AA7E17"/>
    <w:rsid w:val="00AB018E"/>
    <w:rsid w:val="00AB0332"/>
    <w:rsid w:val="00AB03D2"/>
    <w:rsid w:val="00AB0681"/>
    <w:rsid w:val="00AB0AA5"/>
    <w:rsid w:val="00AB0D2A"/>
    <w:rsid w:val="00AB0F7D"/>
    <w:rsid w:val="00AB0FE9"/>
    <w:rsid w:val="00AB15C7"/>
    <w:rsid w:val="00AB167E"/>
    <w:rsid w:val="00AB16E0"/>
    <w:rsid w:val="00AB1811"/>
    <w:rsid w:val="00AB19F1"/>
    <w:rsid w:val="00AB19F2"/>
    <w:rsid w:val="00AB1E1A"/>
    <w:rsid w:val="00AB1FD9"/>
    <w:rsid w:val="00AB2072"/>
    <w:rsid w:val="00AB21E8"/>
    <w:rsid w:val="00AB2376"/>
    <w:rsid w:val="00AB2662"/>
    <w:rsid w:val="00AB28B4"/>
    <w:rsid w:val="00AB2947"/>
    <w:rsid w:val="00AB2A7B"/>
    <w:rsid w:val="00AB2AF0"/>
    <w:rsid w:val="00AB2E87"/>
    <w:rsid w:val="00AB3015"/>
    <w:rsid w:val="00AB33B3"/>
    <w:rsid w:val="00AB38E6"/>
    <w:rsid w:val="00AB3AA4"/>
    <w:rsid w:val="00AB3C63"/>
    <w:rsid w:val="00AB3C7D"/>
    <w:rsid w:val="00AB3FC6"/>
    <w:rsid w:val="00AB40F3"/>
    <w:rsid w:val="00AB4745"/>
    <w:rsid w:val="00AB488D"/>
    <w:rsid w:val="00AB493E"/>
    <w:rsid w:val="00AB4A37"/>
    <w:rsid w:val="00AB4C5F"/>
    <w:rsid w:val="00AB4E70"/>
    <w:rsid w:val="00AB4E89"/>
    <w:rsid w:val="00AB596E"/>
    <w:rsid w:val="00AB5C51"/>
    <w:rsid w:val="00AB5E22"/>
    <w:rsid w:val="00AB6412"/>
    <w:rsid w:val="00AB6499"/>
    <w:rsid w:val="00AB649E"/>
    <w:rsid w:val="00AB65B9"/>
    <w:rsid w:val="00AB696A"/>
    <w:rsid w:val="00AB6A57"/>
    <w:rsid w:val="00AB6B3F"/>
    <w:rsid w:val="00AB6D92"/>
    <w:rsid w:val="00AB6E16"/>
    <w:rsid w:val="00AB6E3F"/>
    <w:rsid w:val="00AB721E"/>
    <w:rsid w:val="00AB78AF"/>
    <w:rsid w:val="00AB7A0C"/>
    <w:rsid w:val="00AB7B85"/>
    <w:rsid w:val="00AB7BD5"/>
    <w:rsid w:val="00AC0164"/>
    <w:rsid w:val="00AC0233"/>
    <w:rsid w:val="00AC0303"/>
    <w:rsid w:val="00AC04A3"/>
    <w:rsid w:val="00AC04CC"/>
    <w:rsid w:val="00AC05B8"/>
    <w:rsid w:val="00AC0633"/>
    <w:rsid w:val="00AC0733"/>
    <w:rsid w:val="00AC0793"/>
    <w:rsid w:val="00AC0C3C"/>
    <w:rsid w:val="00AC0C91"/>
    <w:rsid w:val="00AC0CF1"/>
    <w:rsid w:val="00AC0F6A"/>
    <w:rsid w:val="00AC1128"/>
    <w:rsid w:val="00AC143F"/>
    <w:rsid w:val="00AC179C"/>
    <w:rsid w:val="00AC181A"/>
    <w:rsid w:val="00AC192A"/>
    <w:rsid w:val="00AC1C37"/>
    <w:rsid w:val="00AC212D"/>
    <w:rsid w:val="00AC21AE"/>
    <w:rsid w:val="00AC22CF"/>
    <w:rsid w:val="00AC248B"/>
    <w:rsid w:val="00AC24AA"/>
    <w:rsid w:val="00AC2521"/>
    <w:rsid w:val="00AC260F"/>
    <w:rsid w:val="00AC266C"/>
    <w:rsid w:val="00AC2C4B"/>
    <w:rsid w:val="00AC2EEE"/>
    <w:rsid w:val="00AC2F00"/>
    <w:rsid w:val="00AC30EF"/>
    <w:rsid w:val="00AC312F"/>
    <w:rsid w:val="00AC391F"/>
    <w:rsid w:val="00AC403B"/>
    <w:rsid w:val="00AC4431"/>
    <w:rsid w:val="00AC449C"/>
    <w:rsid w:val="00AC4814"/>
    <w:rsid w:val="00AC488C"/>
    <w:rsid w:val="00AC4A71"/>
    <w:rsid w:val="00AC4C89"/>
    <w:rsid w:val="00AC4D03"/>
    <w:rsid w:val="00AC4D49"/>
    <w:rsid w:val="00AC4E25"/>
    <w:rsid w:val="00AC4E5F"/>
    <w:rsid w:val="00AC524A"/>
    <w:rsid w:val="00AC52FD"/>
    <w:rsid w:val="00AC5301"/>
    <w:rsid w:val="00AC532D"/>
    <w:rsid w:val="00AC5404"/>
    <w:rsid w:val="00AC55B3"/>
    <w:rsid w:val="00AC5E0F"/>
    <w:rsid w:val="00AC6072"/>
    <w:rsid w:val="00AC607B"/>
    <w:rsid w:val="00AC612F"/>
    <w:rsid w:val="00AC6155"/>
    <w:rsid w:val="00AC61C1"/>
    <w:rsid w:val="00AC6267"/>
    <w:rsid w:val="00AC64CD"/>
    <w:rsid w:val="00AC6736"/>
    <w:rsid w:val="00AC68CE"/>
    <w:rsid w:val="00AC694B"/>
    <w:rsid w:val="00AC6B17"/>
    <w:rsid w:val="00AC6C34"/>
    <w:rsid w:val="00AC6D1F"/>
    <w:rsid w:val="00AC764C"/>
    <w:rsid w:val="00AC7754"/>
    <w:rsid w:val="00AC7840"/>
    <w:rsid w:val="00AC7A4E"/>
    <w:rsid w:val="00AC7B3B"/>
    <w:rsid w:val="00AC7B46"/>
    <w:rsid w:val="00AC7DB7"/>
    <w:rsid w:val="00AC7ECC"/>
    <w:rsid w:val="00AC7F60"/>
    <w:rsid w:val="00AD031B"/>
    <w:rsid w:val="00AD0379"/>
    <w:rsid w:val="00AD0718"/>
    <w:rsid w:val="00AD0782"/>
    <w:rsid w:val="00AD0AB9"/>
    <w:rsid w:val="00AD0E42"/>
    <w:rsid w:val="00AD0E99"/>
    <w:rsid w:val="00AD0F83"/>
    <w:rsid w:val="00AD10E8"/>
    <w:rsid w:val="00AD12FB"/>
    <w:rsid w:val="00AD1632"/>
    <w:rsid w:val="00AD168E"/>
    <w:rsid w:val="00AD1775"/>
    <w:rsid w:val="00AD1BFC"/>
    <w:rsid w:val="00AD1C66"/>
    <w:rsid w:val="00AD1D89"/>
    <w:rsid w:val="00AD1E38"/>
    <w:rsid w:val="00AD1EFE"/>
    <w:rsid w:val="00AD1F2D"/>
    <w:rsid w:val="00AD2041"/>
    <w:rsid w:val="00AD21D0"/>
    <w:rsid w:val="00AD21E3"/>
    <w:rsid w:val="00AD2503"/>
    <w:rsid w:val="00AD2509"/>
    <w:rsid w:val="00AD26B2"/>
    <w:rsid w:val="00AD26E1"/>
    <w:rsid w:val="00AD277D"/>
    <w:rsid w:val="00AD27D3"/>
    <w:rsid w:val="00AD28F5"/>
    <w:rsid w:val="00AD2E23"/>
    <w:rsid w:val="00AD2F39"/>
    <w:rsid w:val="00AD3040"/>
    <w:rsid w:val="00AD3248"/>
    <w:rsid w:val="00AD3466"/>
    <w:rsid w:val="00AD3470"/>
    <w:rsid w:val="00AD35A4"/>
    <w:rsid w:val="00AD36BC"/>
    <w:rsid w:val="00AD377F"/>
    <w:rsid w:val="00AD3AD3"/>
    <w:rsid w:val="00AD3D59"/>
    <w:rsid w:val="00AD3E26"/>
    <w:rsid w:val="00AD3E37"/>
    <w:rsid w:val="00AD3EBD"/>
    <w:rsid w:val="00AD3F96"/>
    <w:rsid w:val="00AD41F7"/>
    <w:rsid w:val="00AD4268"/>
    <w:rsid w:val="00AD4321"/>
    <w:rsid w:val="00AD482C"/>
    <w:rsid w:val="00AD4860"/>
    <w:rsid w:val="00AD4862"/>
    <w:rsid w:val="00AD4951"/>
    <w:rsid w:val="00AD4EBD"/>
    <w:rsid w:val="00AD501A"/>
    <w:rsid w:val="00AD505E"/>
    <w:rsid w:val="00AD50F1"/>
    <w:rsid w:val="00AD52D5"/>
    <w:rsid w:val="00AD52E3"/>
    <w:rsid w:val="00AD55C4"/>
    <w:rsid w:val="00AD569B"/>
    <w:rsid w:val="00AD5BA0"/>
    <w:rsid w:val="00AD5D3E"/>
    <w:rsid w:val="00AD5F96"/>
    <w:rsid w:val="00AD5FB3"/>
    <w:rsid w:val="00AD602B"/>
    <w:rsid w:val="00AD627B"/>
    <w:rsid w:val="00AD63CC"/>
    <w:rsid w:val="00AD664B"/>
    <w:rsid w:val="00AD67D5"/>
    <w:rsid w:val="00AD67EC"/>
    <w:rsid w:val="00AD69BC"/>
    <w:rsid w:val="00AD6C94"/>
    <w:rsid w:val="00AD70E1"/>
    <w:rsid w:val="00AD7A21"/>
    <w:rsid w:val="00AD7B7B"/>
    <w:rsid w:val="00AD7E7E"/>
    <w:rsid w:val="00AD7E9C"/>
    <w:rsid w:val="00AD7FBF"/>
    <w:rsid w:val="00AE018D"/>
    <w:rsid w:val="00AE02C8"/>
    <w:rsid w:val="00AE0679"/>
    <w:rsid w:val="00AE07DC"/>
    <w:rsid w:val="00AE0A35"/>
    <w:rsid w:val="00AE0AA4"/>
    <w:rsid w:val="00AE0C4B"/>
    <w:rsid w:val="00AE0EF8"/>
    <w:rsid w:val="00AE13B8"/>
    <w:rsid w:val="00AE15D1"/>
    <w:rsid w:val="00AE1931"/>
    <w:rsid w:val="00AE1AE5"/>
    <w:rsid w:val="00AE1BCB"/>
    <w:rsid w:val="00AE1C31"/>
    <w:rsid w:val="00AE200B"/>
    <w:rsid w:val="00AE20A1"/>
    <w:rsid w:val="00AE20CA"/>
    <w:rsid w:val="00AE2363"/>
    <w:rsid w:val="00AE23B4"/>
    <w:rsid w:val="00AE24A4"/>
    <w:rsid w:val="00AE25D9"/>
    <w:rsid w:val="00AE2625"/>
    <w:rsid w:val="00AE27A7"/>
    <w:rsid w:val="00AE27E1"/>
    <w:rsid w:val="00AE28D2"/>
    <w:rsid w:val="00AE292B"/>
    <w:rsid w:val="00AE2936"/>
    <w:rsid w:val="00AE2A82"/>
    <w:rsid w:val="00AE2EE2"/>
    <w:rsid w:val="00AE36C1"/>
    <w:rsid w:val="00AE374C"/>
    <w:rsid w:val="00AE38A3"/>
    <w:rsid w:val="00AE3A25"/>
    <w:rsid w:val="00AE3FA1"/>
    <w:rsid w:val="00AE40CB"/>
    <w:rsid w:val="00AE40ED"/>
    <w:rsid w:val="00AE4211"/>
    <w:rsid w:val="00AE42FE"/>
    <w:rsid w:val="00AE4BC3"/>
    <w:rsid w:val="00AE4C97"/>
    <w:rsid w:val="00AE4D13"/>
    <w:rsid w:val="00AE5033"/>
    <w:rsid w:val="00AE5075"/>
    <w:rsid w:val="00AE528C"/>
    <w:rsid w:val="00AE52B7"/>
    <w:rsid w:val="00AE532A"/>
    <w:rsid w:val="00AE559A"/>
    <w:rsid w:val="00AE5C5A"/>
    <w:rsid w:val="00AE5E6B"/>
    <w:rsid w:val="00AE5E9A"/>
    <w:rsid w:val="00AE5F0A"/>
    <w:rsid w:val="00AE5FFC"/>
    <w:rsid w:val="00AE6144"/>
    <w:rsid w:val="00AE649B"/>
    <w:rsid w:val="00AE65E9"/>
    <w:rsid w:val="00AE6A47"/>
    <w:rsid w:val="00AE6CEA"/>
    <w:rsid w:val="00AE7155"/>
    <w:rsid w:val="00AE7188"/>
    <w:rsid w:val="00AE7446"/>
    <w:rsid w:val="00AE7642"/>
    <w:rsid w:val="00AE7B2A"/>
    <w:rsid w:val="00AE7CF5"/>
    <w:rsid w:val="00AE7E90"/>
    <w:rsid w:val="00AF001E"/>
    <w:rsid w:val="00AF0320"/>
    <w:rsid w:val="00AF0349"/>
    <w:rsid w:val="00AF0738"/>
    <w:rsid w:val="00AF0BAF"/>
    <w:rsid w:val="00AF0E1F"/>
    <w:rsid w:val="00AF0E9D"/>
    <w:rsid w:val="00AF1512"/>
    <w:rsid w:val="00AF154F"/>
    <w:rsid w:val="00AF1609"/>
    <w:rsid w:val="00AF1769"/>
    <w:rsid w:val="00AF17DE"/>
    <w:rsid w:val="00AF1830"/>
    <w:rsid w:val="00AF188B"/>
    <w:rsid w:val="00AF1935"/>
    <w:rsid w:val="00AF19CF"/>
    <w:rsid w:val="00AF1BA3"/>
    <w:rsid w:val="00AF1DAD"/>
    <w:rsid w:val="00AF22AE"/>
    <w:rsid w:val="00AF2439"/>
    <w:rsid w:val="00AF2575"/>
    <w:rsid w:val="00AF26B5"/>
    <w:rsid w:val="00AF27D5"/>
    <w:rsid w:val="00AF2872"/>
    <w:rsid w:val="00AF2A5F"/>
    <w:rsid w:val="00AF2B96"/>
    <w:rsid w:val="00AF2D45"/>
    <w:rsid w:val="00AF2EAF"/>
    <w:rsid w:val="00AF33BC"/>
    <w:rsid w:val="00AF371A"/>
    <w:rsid w:val="00AF3946"/>
    <w:rsid w:val="00AF3BC9"/>
    <w:rsid w:val="00AF3D33"/>
    <w:rsid w:val="00AF3DDA"/>
    <w:rsid w:val="00AF3F07"/>
    <w:rsid w:val="00AF3F95"/>
    <w:rsid w:val="00AF409D"/>
    <w:rsid w:val="00AF426A"/>
    <w:rsid w:val="00AF4376"/>
    <w:rsid w:val="00AF4587"/>
    <w:rsid w:val="00AF46DA"/>
    <w:rsid w:val="00AF4B79"/>
    <w:rsid w:val="00AF4C9E"/>
    <w:rsid w:val="00AF4DB5"/>
    <w:rsid w:val="00AF50CB"/>
    <w:rsid w:val="00AF54A4"/>
    <w:rsid w:val="00AF5903"/>
    <w:rsid w:val="00AF5B75"/>
    <w:rsid w:val="00AF5CC3"/>
    <w:rsid w:val="00AF5D84"/>
    <w:rsid w:val="00AF6448"/>
    <w:rsid w:val="00AF6477"/>
    <w:rsid w:val="00AF69ED"/>
    <w:rsid w:val="00AF6A2A"/>
    <w:rsid w:val="00AF6A2E"/>
    <w:rsid w:val="00AF6A85"/>
    <w:rsid w:val="00AF6CD5"/>
    <w:rsid w:val="00AF6D7D"/>
    <w:rsid w:val="00AF6DB3"/>
    <w:rsid w:val="00AF6E5A"/>
    <w:rsid w:val="00AF7742"/>
    <w:rsid w:val="00AF7AF5"/>
    <w:rsid w:val="00AF7D4D"/>
    <w:rsid w:val="00AF7E24"/>
    <w:rsid w:val="00B000D5"/>
    <w:rsid w:val="00B0045E"/>
    <w:rsid w:val="00B0097C"/>
    <w:rsid w:val="00B009D3"/>
    <w:rsid w:val="00B00A59"/>
    <w:rsid w:val="00B00BCB"/>
    <w:rsid w:val="00B00D2D"/>
    <w:rsid w:val="00B00D85"/>
    <w:rsid w:val="00B015D6"/>
    <w:rsid w:val="00B01703"/>
    <w:rsid w:val="00B018F2"/>
    <w:rsid w:val="00B01FC4"/>
    <w:rsid w:val="00B01FF5"/>
    <w:rsid w:val="00B020D1"/>
    <w:rsid w:val="00B020D5"/>
    <w:rsid w:val="00B0213E"/>
    <w:rsid w:val="00B0227B"/>
    <w:rsid w:val="00B02756"/>
    <w:rsid w:val="00B02D88"/>
    <w:rsid w:val="00B02E84"/>
    <w:rsid w:val="00B032D7"/>
    <w:rsid w:val="00B03373"/>
    <w:rsid w:val="00B033C6"/>
    <w:rsid w:val="00B035B1"/>
    <w:rsid w:val="00B036BB"/>
    <w:rsid w:val="00B037EB"/>
    <w:rsid w:val="00B038EB"/>
    <w:rsid w:val="00B03BE2"/>
    <w:rsid w:val="00B03E1C"/>
    <w:rsid w:val="00B03E7C"/>
    <w:rsid w:val="00B03E95"/>
    <w:rsid w:val="00B03F0F"/>
    <w:rsid w:val="00B03F3A"/>
    <w:rsid w:val="00B03F6C"/>
    <w:rsid w:val="00B04510"/>
    <w:rsid w:val="00B0468F"/>
    <w:rsid w:val="00B04DE1"/>
    <w:rsid w:val="00B04DE5"/>
    <w:rsid w:val="00B05006"/>
    <w:rsid w:val="00B05147"/>
    <w:rsid w:val="00B051C0"/>
    <w:rsid w:val="00B051D5"/>
    <w:rsid w:val="00B0526F"/>
    <w:rsid w:val="00B0559C"/>
    <w:rsid w:val="00B05739"/>
    <w:rsid w:val="00B0597D"/>
    <w:rsid w:val="00B05B1C"/>
    <w:rsid w:val="00B06187"/>
    <w:rsid w:val="00B06446"/>
    <w:rsid w:val="00B06605"/>
    <w:rsid w:val="00B06638"/>
    <w:rsid w:val="00B06761"/>
    <w:rsid w:val="00B06789"/>
    <w:rsid w:val="00B0690A"/>
    <w:rsid w:val="00B06B64"/>
    <w:rsid w:val="00B06EBE"/>
    <w:rsid w:val="00B06F34"/>
    <w:rsid w:val="00B07124"/>
    <w:rsid w:val="00B07143"/>
    <w:rsid w:val="00B071EF"/>
    <w:rsid w:val="00B0792B"/>
    <w:rsid w:val="00B07E12"/>
    <w:rsid w:val="00B07E5D"/>
    <w:rsid w:val="00B07E93"/>
    <w:rsid w:val="00B10090"/>
    <w:rsid w:val="00B10346"/>
    <w:rsid w:val="00B105A2"/>
    <w:rsid w:val="00B106CF"/>
    <w:rsid w:val="00B1077F"/>
    <w:rsid w:val="00B10882"/>
    <w:rsid w:val="00B108E9"/>
    <w:rsid w:val="00B10C47"/>
    <w:rsid w:val="00B10D83"/>
    <w:rsid w:val="00B10FCC"/>
    <w:rsid w:val="00B10FDC"/>
    <w:rsid w:val="00B10FFC"/>
    <w:rsid w:val="00B111CF"/>
    <w:rsid w:val="00B11306"/>
    <w:rsid w:val="00B113C4"/>
    <w:rsid w:val="00B115C6"/>
    <w:rsid w:val="00B1196B"/>
    <w:rsid w:val="00B11AE6"/>
    <w:rsid w:val="00B11F45"/>
    <w:rsid w:val="00B121D3"/>
    <w:rsid w:val="00B124C5"/>
    <w:rsid w:val="00B1258F"/>
    <w:rsid w:val="00B12866"/>
    <w:rsid w:val="00B12913"/>
    <w:rsid w:val="00B12967"/>
    <w:rsid w:val="00B1299F"/>
    <w:rsid w:val="00B12AA3"/>
    <w:rsid w:val="00B12D7D"/>
    <w:rsid w:val="00B12E69"/>
    <w:rsid w:val="00B1301A"/>
    <w:rsid w:val="00B130A9"/>
    <w:rsid w:val="00B1377B"/>
    <w:rsid w:val="00B13E04"/>
    <w:rsid w:val="00B14227"/>
    <w:rsid w:val="00B14645"/>
    <w:rsid w:val="00B147AF"/>
    <w:rsid w:val="00B14C58"/>
    <w:rsid w:val="00B14CDA"/>
    <w:rsid w:val="00B14E42"/>
    <w:rsid w:val="00B156E9"/>
    <w:rsid w:val="00B15D32"/>
    <w:rsid w:val="00B15E88"/>
    <w:rsid w:val="00B1601F"/>
    <w:rsid w:val="00B1606A"/>
    <w:rsid w:val="00B164B7"/>
    <w:rsid w:val="00B1664F"/>
    <w:rsid w:val="00B167C8"/>
    <w:rsid w:val="00B16A5A"/>
    <w:rsid w:val="00B16C5D"/>
    <w:rsid w:val="00B16C92"/>
    <w:rsid w:val="00B16CDF"/>
    <w:rsid w:val="00B1724C"/>
    <w:rsid w:val="00B1749F"/>
    <w:rsid w:val="00B174E5"/>
    <w:rsid w:val="00B17675"/>
    <w:rsid w:val="00B176D7"/>
    <w:rsid w:val="00B177C6"/>
    <w:rsid w:val="00B178EF"/>
    <w:rsid w:val="00B179BF"/>
    <w:rsid w:val="00B17A41"/>
    <w:rsid w:val="00B17E91"/>
    <w:rsid w:val="00B200EC"/>
    <w:rsid w:val="00B20268"/>
    <w:rsid w:val="00B20388"/>
    <w:rsid w:val="00B20626"/>
    <w:rsid w:val="00B20709"/>
    <w:rsid w:val="00B20859"/>
    <w:rsid w:val="00B20ACF"/>
    <w:rsid w:val="00B20AD6"/>
    <w:rsid w:val="00B20AF0"/>
    <w:rsid w:val="00B20CEE"/>
    <w:rsid w:val="00B20ED8"/>
    <w:rsid w:val="00B2132C"/>
    <w:rsid w:val="00B2162F"/>
    <w:rsid w:val="00B218FF"/>
    <w:rsid w:val="00B21CC5"/>
    <w:rsid w:val="00B21E2B"/>
    <w:rsid w:val="00B220BB"/>
    <w:rsid w:val="00B224F0"/>
    <w:rsid w:val="00B22542"/>
    <w:rsid w:val="00B225FC"/>
    <w:rsid w:val="00B227C3"/>
    <w:rsid w:val="00B22824"/>
    <w:rsid w:val="00B228AA"/>
    <w:rsid w:val="00B22A65"/>
    <w:rsid w:val="00B22AE5"/>
    <w:rsid w:val="00B22EE9"/>
    <w:rsid w:val="00B230F4"/>
    <w:rsid w:val="00B231A9"/>
    <w:rsid w:val="00B233CB"/>
    <w:rsid w:val="00B235AD"/>
    <w:rsid w:val="00B241F7"/>
    <w:rsid w:val="00B242B5"/>
    <w:rsid w:val="00B242EC"/>
    <w:rsid w:val="00B24600"/>
    <w:rsid w:val="00B246C5"/>
    <w:rsid w:val="00B246CA"/>
    <w:rsid w:val="00B247C5"/>
    <w:rsid w:val="00B248D6"/>
    <w:rsid w:val="00B24A50"/>
    <w:rsid w:val="00B24B0E"/>
    <w:rsid w:val="00B24B83"/>
    <w:rsid w:val="00B24DDC"/>
    <w:rsid w:val="00B24FE9"/>
    <w:rsid w:val="00B2522C"/>
    <w:rsid w:val="00B2582F"/>
    <w:rsid w:val="00B25838"/>
    <w:rsid w:val="00B25B47"/>
    <w:rsid w:val="00B25EA2"/>
    <w:rsid w:val="00B2604A"/>
    <w:rsid w:val="00B2619A"/>
    <w:rsid w:val="00B2622A"/>
    <w:rsid w:val="00B262F2"/>
    <w:rsid w:val="00B263C1"/>
    <w:rsid w:val="00B264F8"/>
    <w:rsid w:val="00B265A8"/>
    <w:rsid w:val="00B265B5"/>
    <w:rsid w:val="00B2665F"/>
    <w:rsid w:val="00B267AF"/>
    <w:rsid w:val="00B269D4"/>
    <w:rsid w:val="00B26AB1"/>
    <w:rsid w:val="00B26AC5"/>
    <w:rsid w:val="00B26CC0"/>
    <w:rsid w:val="00B26D33"/>
    <w:rsid w:val="00B26E33"/>
    <w:rsid w:val="00B27220"/>
    <w:rsid w:val="00B27328"/>
    <w:rsid w:val="00B2756B"/>
    <w:rsid w:val="00B27607"/>
    <w:rsid w:val="00B27D79"/>
    <w:rsid w:val="00B27ECB"/>
    <w:rsid w:val="00B27FE5"/>
    <w:rsid w:val="00B301E5"/>
    <w:rsid w:val="00B301EF"/>
    <w:rsid w:val="00B3086B"/>
    <w:rsid w:val="00B309BF"/>
    <w:rsid w:val="00B31014"/>
    <w:rsid w:val="00B312B9"/>
    <w:rsid w:val="00B31813"/>
    <w:rsid w:val="00B31913"/>
    <w:rsid w:val="00B31E15"/>
    <w:rsid w:val="00B31E56"/>
    <w:rsid w:val="00B32101"/>
    <w:rsid w:val="00B3241C"/>
    <w:rsid w:val="00B32477"/>
    <w:rsid w:val="00B3253A"/>
    <w:rsid w:val="00B3256A"/>
    <w:rsid w:val="00B329AE"/>
    <w:rsid w:val="00B32B2A"/>
    <w:rsid w:val="00B33311"/>
    <w:rsid w:val="00B333DC"/>
    <w:rsid w:val="00B335D9"/>
    <w:rsid w:val="00B341F0"/>
    <w:rsid w:val="00B34302"/>
    <w:rsid w:val="00B3433C"/>
    <w:rsid w:val="00B34A3B"/>
    <w:rsid w:val="00B34B65"/>
    <w:rsid w:val="00B34B86"/>
    <w:rsid w:val="00B34DC7"/>
    <w:rsid w:val="00B34DCE"/>
    <w:rsid w:val="00B35041"/>
    <w:rsid w:val="00B3506D"/>
    <w:rsid w:val="00B3539A"/>
    <w:rsid w:val="00B3551D"/>
    <w:rsid w:val="00B355B1"/>
    <w:rsid w:val="00B355E4"/>
    <w:rsid w:val="00B3581B"/>
    <w:rsid w:val="00B35875"/>
    <w:rsid w:val="00B35C7B"/>
    <w:rsid w:val="00B35DE8"/>
    <w:rsid w:val="00B360EB"/>
    <w:rsid w:val="00B364D6"/>
    <w:rsid w:val="00B369D1"/>
    <w:rsid w:val="00B36F25"/>
    <w:rsid w:val="00B371F8"/>
    <w:rsid w:val="00B37229"/>
    <w:rsid w:val="00B375AD"/>
    <w:rsid w:val="00B37948"/>
    <w:rsid w:val="00B37C48"/>
    <w:rsid w:val="00B37DE6"/>
    <w:rsid w:val="00B4073E"/>
    <w:rsid w:val="00B40746"/>
    <w:rsid w:val="00B40871"/>
    <w:rsid w:val="00B41180"/>
    <w:rsid w:val="00B41277"/>
    <w:rsid w:val="00B4145D"/>
    <w:rsid w:val="00B41B4F"/>
    <w:rsid w:val="00B41B60"/>
    <w:rsid w:val="00B41E6B"/>
    <w:rsid w:val="00B41F75"/>
    <w:rsid w:val="00B42406"/>
    <w:rsid w:val="00B4245C"/>
    <w:rsid w:val="00B426F1"/>
    <w:rsid w:val="00B427BC"/>
    <w:rsid w:val="00B42D92"/>
    <w:rsid w:val="00B430C7"/>
    <w:rsid w:val="00B43244"/>
    <w:rsid w:val="00B4325C"/>
    <w:rsid w:val="00B435AC"/>
    <w:rsid w:val="00B437A9"/>
    <w:rsid w:val="00B438C7"/>
    <w:rsid w:val="00B43905"/>
    <w:rsid w:val="00B43A4E"/>
    <w:rsid w:val="00B43C28"/>
    <w:rsid w:val="00B43CD7"/>
    <w:rsid w:val="00B43F5A"/>
    <w:rsid w:val="00B447BA"/>
    <w:rsid w:val="00B447C7"/>
    <w:rsid w:val="00B449CC"/>
    <w:rsid w:val="00B44B49"/>
    <w:rsid w:val="00B44D9A"/>
    <w:rsid w:val="00B44DA1"/>
    <w:rsid w:val="00B45126"/>
    <w:rsid w:val="00B4530F"/>
    <w:rsid w:val="00B453C6"/>
    <w:rsid w:val="00B4541F"/>
    <w:rsid w:val="00B454F4"/>
    <w:rsid w:val="00B45C15"/>
    <w:rsid w:val="00B45C19"/>
    <w:rsid w:val="00B45DC4"/>
    <w:rsid w:val="00B45F29"/>
    <w:rsid w:val="00B4607A"/>
    <w:rsid w:val="00B4644B"/>
    <w:rsid w:val="00B467F1"/>
    <w:rsid w:val="00B46BAA"/>
    <w:rsid w:val="00B47097"/>
    <w:rsid w:val="00B4724C"/>
    <w:rsid w:val="00B47323"/>
    <w:rsid w:val="00B47329"/>
    <w:rsid w:val="00B47364"/>
    <w:rsid w:val="00B4768E"/>
    <w:rsid w:val="00B4771F"/>
    <w:rsid w:val="00B477E0"/>
    <w:rsid w:val="00B479F6"/>
    <w:rsid w:val="00B47BAD"/>
    <w:rsid w:val="00B50190"/>
    <w:rsid w:val="00B503D4"/>
    <w:rsid w:val="00B509B7"/>
    <w:rsid w:val="00B50B1E"/>
    <w:rsid w:val="00B50C07"/>
    <w:rsid w:val="00B50CBA"/>
    <w:rsid w:val="00B50EBE"/>
    <w:rsid w:val="00B50EF9"/>
    <w:rsid w:val="00B50F76"/>
    <w:rsid w:val="00B51246"/>
    <w:rsid w:val="00B5195F"/>
    <w:rsid w:val="00B520F5"/>
    <w:rsid w:val="00B521EF"/>
    <w:rsid w:val="00B5241A"/>
    <w:rsid w:val="00B527CF"/>
    <w:rsid w:val="00B530F7"/>
    <w:rsid w:val="00B5324D"/>
    <w:rsid w:val="00B53A32"/>
    <w:rsid w:val="00B53E65"/>
    <w:rsid w:val="00B53F15"/>
    <w:rsid w:val="00B54066"/>
    <w:rsid w:val="00B54232"/>
    <w:rsid w:val="00B543AA"/>
    <w:rsid w:val="00B546BC"/>
    <w:rsid w:val="00B5471E"/>
    <w:rsid w:val="00B54C36"/>
    <w:rsid w:val="00B54CA8"/>
    <w:rsid w:val="00B55097"/>
    <w:rsid w:val="00B5541F"/>
    <w:rsid w:val="00B55432"/>
    <w:rsid w:val="00B55492"/>
    <w:rsid w:val="00B55527"/>
    <w:rsid w:val="00B5575A"/>
    <w:rsid w:val="00B55798"/>
    <w:rsid w:val="00B558AF"/>
    <w:rsid w:val="00B55B2A"/>
    <w:rsid w:val="00B565B9"/>
    <w:rsid w:val="00B56660"/>
    <w:rsid w:val="00B566A5"/>
    <w:rsid w:val="00B5672E"/>
    <w:rsid w:val="00B56980"/>
    <w:rsid w:val="00B56D86"/>
    <w:rsid w:val="00B56FF6"/>
    <w:rsid w:val="00B5704F"/>
    <w:rsid w:val="00B5727D"/>
    <w:rsid w:val="00B57297"/>
    <w:rsid w:val="00B57434"/>
    <w:rsid w:val="00B57611"/>
    <w:rsid w:val="00B57834"/>
    <w:rsid w:val="00B57CF9"/>
    <w:rsid w:val="00B57D10"/>
    <w:rsid w:val="00B57FF5"/>
    <w:rsid w:val="00B57FFA"/>
    <w:rsid w:val="00B60214"/>
    <w:rsid w:val="00B60221"/>
    <w:rsid w:val="00B608F0"/>
    <w:rsid w:val="00B609F8"/>
    <w:rsid w:val="00B60B61"/>
    <w:rsid w:val="00B60C0C"/>
    <w:rsid w:val="00B60D31"/>
    <w:rsid w:val="00B61065"/>
    <w:rsid w:val="00B6119C"/>
    <w:rsid w:val="00B6128E"/>
    <w:rsid w:val="00B61606"/>
    <w:rsid w:val="00B61719"/>
    <w:rsid w:val="00B617CC"/>
    <w:rsid w:val="00B61810"/>
    <w:rsid w:val="00B61975"/>
    <w:rsid w:val="00B6197D"/>
    <w:rsid w:val="00B61A11"/>
    <w:rsid w:val="00B61B37"/>
    <w:rsid w:val="00B61B53"/>
    <w:rsid w:val="00B61FC1"/>
    <w:rsid w:val="00B62222"/>
    <w:rsid w:val="00B62633"/>
    <w:rsid w:val="00B629B0"/>
    <w:rsid w:val="00B62B78"/>
    <w:rsid w:val="00B62DB5"/>
    <w:rsid w:val="00B62DF3"/>
    <w:rsid w:val="00B62E1B"/>
    <w:rsid w:val="00B63287"/>
    <w:rsid w:val="00B63343"/>
    <w:rsid w:val="00B633B6"/>
    <w:rsid w:val="00B634F8"/>
    <w:rsid w:val="00B6359E"/>
    <w:rsid w:val="00B63619"/>
    <w:rsid w:val="00B63AF7"/>
    <w:rsid w:val="00B63C65"/>
    <w:rsid w:val="00B63C7C"/>
    <w:rsid w:val="00B63DC7"/>
    <w:rsid w:val="00B63E42"/>
    <w:rsid w:val="00B63FFE"/>
    <w:rsid w:val="00B6430D"/>
    <w:rsid w:val="00B645B9"/>
    <w:rsid w:val="00B648ED"/>
    <w:rsid w:val="00B649AB"/>
    <w:rsid w:val="00B64B18"/>
    <w:rsid w:val="00B64E24"/>
    <w:rsid w:val="00B64E77"/>
    <w:rsid w:val="00B6508B"/>
    <w:rsid w:val="00B6534E"/>
    <w:rsid w:val="00B6550C"/>
    <w:rsid w:val="00B65568"/>
    <w:rsid w:val="00B655A1"/>
    <w:rsid w:val="00B6597C"/>
    <w:rsid w:val="00B6597F"/>
    <w:rsid w:val="00B65C1F"/>
    <w:rsid w:val="00B65CD4"/>
    <w:rsid w:val="00B662C1"/>
    <w:rsid w:val="00B6630A"/>
    <w:rsid w:val="00B66449"/>
    <w:rsid w:val="00B664EB"/>
    <w:rsid w:val="00B66861"/>
    <w:rsid w:val="00B6693D"/>
    <w:rsid w:val="00B669D3"/>
    <w:rsid w:val="00B66B6D"/>
    <w:rsid w:val="00B66D8A"/>
    <w:rsid w:val="00B66E20"/>
    <w:rsid w:val="00B671C8"/>
    <w:rsid w:val="00B671CF"/>
    <w:rsid w:val="00B672A1"/>
    <w:rsid w:val="00B67375"/>
    <w:rsid w:val="00B67452"/>
    <w:rsid w:val="00B674C0"/>
    <w:rsid w:val="00B67564"/>
    <w:rsid w:val="00B67808"/>
    <w:rsid w:val="00B67816"/>
    <w:rsid w:val="00B6782D"/>
    <w:rsid w:val="00B67A3E"/>
    <w:rsid w:val="00B67B3B"/>
    <w:rsid w:val="00B67BCC"/>
    <w:rsid w:val="00B67EAC"/>
    <w:rsid w:val="00B67ED8"/>
    <w:rsid w:val="00B67F92"/>
    <w:rsid w:val="00B7001B"/>
    <w:rsid w:val="00B70141"/>
    <w:rsid w:val="00B70280"/>
    <w:rsid w:val="00B709FA"/>
    <w:rsid w:val="00B70A6D"/>
    <w:rsid w:val="00B70C46"/>
    <w:rsid w:val="00B70D4F"/>
    <w:rsid w:val="00B70E3B"/>
    <w:rsid w:val="00B7101B"/>
    <w:rsid w:val="00B71201"/>
    <w:rsid w:val="00B71339"/>
    <w:rsid w:val="00B71571"/>
    <w:rsid w:val="00B715CD"/>
    <w:rsid w:val="00B7171C"/>
    <w:rsid w:val="00B71871"/>
    <w:rsid w:val="00B71898"/>
    <w:rsid w:val="00B718B2"/>
    <w:rsid w:val="00B71D6B"/>
    <w:rsid w:val="00B71F5B"/>
    <w:rsid w:val="00B7221E"/>
    <w:rsid w:val="00B722A0"/>
    <w:rsid w:val="00B7268C"/>
    <w:rsid w:val="00B72E14"/>
    <w:rsid w:val="00B736C5"/>
    <w:rsid w:val="00B7372E"/>
    <w:rsid w:val="00B73A2A"/>
    <w:rsid w:val="00B73E51"/>
    <w:rsid w:val="00B73EF4"/>
    <w:rsid w:val="00B73FB4"/>
    <w:rsid w:val="00B74072"/>
    <w:rsid w:val="00B7410A"/>
    <w:rsid w:val="00B741BF"/>
    <w:rsid w:val="00B7429D"/>
    <w:rsid w:val="00B742D6"/>
    <w:rsid w:val="00B743BB"/>
    <w:rsid w:val="00B744D7"/>
    <w:rsid w:val="00B74612"/>
    <w:rsid w:val="00B74613"/>
    <w:rsid w:val="00B747C8"/>
    <w:rsid w:val="00B747DE"/>
    <w:rsid w:val="00B74D34"/>
    <w:rsid w:val="00B74E0E"/>
    <w:rsid w:val="00B74E60"/>
    <w:rsid w:val="00B75080"/>
    <w:rsid w:val="00B75601"/>
    <w:rsid w:val="00B75628"/>
    <w:rsid w:val="00B75685"/>
    <w:rsid w:val="00B75AD7"/>
    <w:rsid w:val="00B760BD"/>
    <w:rsid w:val="00B76705"/>
    <w:rsid w:val="00B76721"/>
    <w:rsid w:val="00B76851"/>
    <w:rsid w:val="00B76A1D"/>
    <w:rsid w:val="00B76CAF"/>
    <w:rsid w:val="00B76CF1"/>
    <w:rsid w:val="00B76DE6"/>
    <w:rsid w:val="00B76E44"/>
    <w:rsid w:val="00B77209"/>
    <w:rsid w:val="00B77255"/>
    <w:rsid w:val="00B77AE3"/>
    <w:rsid w:val="00B77C8D"/>
    <w:rsid w:val="00B77FDA"/>
    <w:rsid w:val="00B80016"/>
    <w:rsid w:val="00B80187"/>
    <w:rsid w:val="00B8021C"/>
    <w:rsid w:val="00B802EF"/>
    <w:rsid w:val="00B80355"/>
    <w:rsid w:val="00B8060B"/>
    <w:rsid w:val="00B807D5"/>
    <w:rsid w:val="00B80B07"/>
    <w:rsid w:val="00B80B92"/>
    <w:rsid w:val="00B80D1B"/>
    <w:rsid w:val="00B80F47"/>
    <w:rsid w:val="00B811F2"/>
    <w:rsid w:val="00B8135E"/>
    <w:rsid w:val="00B81519"/>
    <w:rsid w:val="00B81689"/>
    <w:rsid w:val="00B818DD"/>
    <w:rsid w:val="00B819CE"/>
    <w:rsid w:val="00B8224B"/>
    <w:rsid w:val="00B82550"/>
    <w:rsid w:val="00B8257B"/>
    <w:rsid w:val="00B82ADA"/>
    <w:rsid w:val="00B82AE5"/>
    <w:rsid w:val="00B82AF3"/>
    <w:rsid w:val="00B82B44"/>
    <w:rsid w:val="00B82BA3"/>
    <w:rsid w:val="00B82BBA"/>
    <w:rsid w:val="00B83087"/>
    <w:rsid w:val="00B8352F"/>
    <w:rsid w:val="00B836FE"/>
    <w:rsid w:val="00B83978"/>
    <w:rsid w:val="00B83B45"/>
    <w:rsid w:val="00B83B78"/>
    <w:rsid w:val="00B83F86"/>
    <w:rsid w:val="00B8410B"/>
    <w:rsid w:val="00B84145"/>
    <w:rsid w:val="00B842E3"/>
    <w:rsid w:val="00B8436C"/>
    <w:rsid w:val="00B84450"/>
    <w:rsid w:val="00B846F5"/>
    <w:rsid w:val="00B84872"/>
    <w:rsid w:val="00B84899"/>
    <w:rsid w:val="00B84D4A"/>
    <w:rsid w:val="00B850A3"/>
    <w:rsid w:val="00B8514F"/>
    <w:rsid w:val="00B853D5"/>
    <w:rsid w:val="00B85539"/>
    <w:rsid w:val="00B85599"/>
    <w:rsid w:val="00B859AE"/>
    <w:rsid w:val="00B85BE1"/>
    <w:rsid w:val="00B85F56"/>
    <w:rsid w:val="00B85F5F"/>
    <w:rsid w:val="00B861C1"/>
    <w:rsid w:val="00B8683C"/>
    <w:rsid w:val="00B86BF3"/>
    <w:rsid w:val="00B86C80"/>
    <w:rsid w:val="00B86E60"/>
    <w:rsid w:val="00B87436"/>
    <w:rsid w:val="00B874B4"/>
    <w:rsid w:val="00B87649"/>
    <w:rsid w:val="00B87696"/>
    <w:rsid w:val="00B876F1"/>
    <w:rsid w:val="00B87DCE"/>
    <w:rsid w:val="00B87E2E"/>
    <w:rsid w:val="00B90407"/>
    <w:rsid w:val="00B904F4"/>
    <w:rsid w:val="00B90623"/>
    <w:rsid w:val="00B90643"/>
    <w:rsid w:val="00B908C4"/>
    <w:rsid w:val="00B908D1"/>
    <w:rsid w:val="00B90BCC"/>
    <w:rsid w:val="00B90E4E"/>
    <w:rsid w:val="00B90F9C"/>
    <w:rsid w:val="00B90FEC"/>
    <w:rsid w:val="00B915B5"/>
    <w:rsid w:val="00B916ED"/>
    <w:rsid w:val="00B917FA"/>
    <w:rsid w:val="00B91A36"/>
    <w:rsid w:val="00B91B48"/>
    <w:rsid w:val="00B91B79"/>
    <w:rsid w:val="00B91D2A"/>
    <w:rsid w:val="00B92090"/>
    <w:rsid w:val="00B92141"/>
    <w:rsid w:val="00B92187"/>
    <w:rsid w:val="00B9219B"/>
    <w:rsid w:val="00B923FD"/>
    <w:rsid w:val="00B92439"/>
    <w:rsid w:val="00B92443"/>
    <w:rsid w:val="00B9265C"/>
    <w:rsid w:val="00B92711"/>
    <w:rsid w:val="00B92B19"/>
    <w:rsid w:val="00B92E4C"/>
    <w:rsid w:val="00B93148"/>
    <w:rsid w:val="00B9317F"/>
    <w:rsid w:val="00B931A4"/>
    <w:rsid w:val="00B9352F"/>
    <w:rsid w:val="00B93579"/>
    <w:rsid w:val="00B9386F"/>
    <w:rsid w:val="00B939B6"/>
    <w:rsid w:val="00B93BEB"/>
    <w:rsid w:val="00B93C2B"/>
    <w:rsid w:val="00B93C50"/>
    <w:rsid w:val="00B93D7D"/>
    <w:rsid w:val="00B93F0F"/>
    <w:rsid w:val="00B94079"/>
    <w:rsid w:val="00B942E2"/>
    <w:rsid w:val="00B94450"/>
    <w:rsid w:val="00B94693"/>
    <w:rsid w:val="00B948B2"/>
    <w:rsid w:val="00B94C9A"/>
    <w:rsid w:val="00B94FE3"/>
    <w:rsid w:val="00B95014"/>
    <w:rsid w:val="00B95088"/>
    <w:rsid w:val="00B95350"/>
    <w:rsid w:val="00B9586F"/>
    <w:rsid w:val="00B95FFE"/>
    <w:rsid w:val="00B96043"/>
    <w:rsid w:val="00B962E1"/>
    <w:rsid w:val="00B964E1"/>
    <w:rsid w:val="00B968C4"/>
    <w:rsid w:val="00B96A01"/>
    <w:rsid w:val="00B96C84"/>
    <w:rsid w:val="00B96C94"/>
    <w:rsid w:val="00B9726E"/>
    <w:rsid w:val="00B97595"/>
    <w:rsid w:val="00B97907"/>
    <w:rsid w:val="00B97B0B"/>
    <w:rsid w:val="00B97BD9"/>
    <w:rsid w:val="00B97C36"/>
    <w:rsid w:val="00B97F32"/>
    <w:rsid w:val="00BA01DA"/>
    <w:rsid w:val="00BA025F"/>
    <w:rsid w:val="00BA03B6"/>
    <w:rsid w:val="00BA06CA"/>
    <w:rsid w:val="00BA081E"/>
    <w:rsid w:val="00BA0939"/>
    <w:rsid w:val="00BA09E7"/>
    <w:rsid w:val="00BA10F5"/>
    <w:rsid w:val="00BA1242"/>
    <w:rsid w:val="00BA146F"/>
    <w:rsid w:val="00BA1870"/>
    <w:rsid w:val="00BA189B"/>
    <w:rsid w:val="00BA1A9E"/>
    <w:rsid w:val="00BA1B07"/>
    <w:rsid w:val="00BA1BD6"/>
    <w:rsid w:val="00BA1C2A"/>
    <w:rsid w:val="00BA1EAF"/>
    <w:rsid w:val="00BA1F5A"/>
    <w:rsid w:val="00BA2573"/>
    <w:rsid w:val="00BA2BDD"/>
    <w:rsid w:val="00BA2F8C"/>
    <w:rsid w:val="00BA3543"/>
    <w:rsid w:val="00BA3765"/>
    <w:rsid w:val="00BA3EB4"/>
    <w:rsid w:val="00BA3EB5"/>
    <w:rsid w:val="00BA4042"/>
    <w:rsid w:val="00BA45A2"/>
    <w:rsid w:val="00BA4621"/>
    <w:rsid w:val="00BA466D"/>
    <w:rsid w:val="00BA4823"/>
    <w:rsid w:val="00BA4B61"/>
    <w:rsid w:val="00BA4C09"/>
    <w:rsid w:val="00BA4D18"/>
    <w:rsid w:val="00BA5106"/>
    <w:rsid w:val="00BA5263"/>
    <w:rsid w:val="00BA57C1"/>
    <w:rsid w:val="00BA5822"/>
    <w:rsid w:val="00BA5AD9"/>
    <w:rsid w:val="00BA5D01"/>
    <w:rsid w:val="00BA5DB9"/>
    <w:rsid w:val="00BA60ED"/>
    <w:rsid w:val="00BA635B"/>
    <w:rsid w:val="00BA64A9"/>
    <w:rsid w:val="00BA64DC"/>
    <w:rsid w:val="00BA6553"/>
    <w:rsid w:val="00BA6565"/>
    <w:rsid w:val="00BA65F0"/>
    <w:rsid w:val="00BA6663"/>
    <w:rsid w:val="00BA6788"/>
    <w:rsid w:val="00BA67C3"/>
    <w:rsid w:val="00BA7378"/>
    <w:rsid w:val="00BA7941"/>
    <w:rsid w:val="00BA797E"/>
    <w:rsid w:val="00BA7FA9"/>
    <w:rsid w:val="00BB02A9"/>
    <w:rsid w:val="00BB04A4"/>
    <w:rsid w:val="00BB0718"/>
    <w:rsid w:val="00BB074F"/>
    <w:rsid w:val="00BB0B75"/>
    <w:rsid w:val="00BB0DBD"/>
    <w:rsid w:val="00BB10A1"/>
    <w:rsid w:val="00BB112E"/>
    <w:rsid w:val="00BB1155"/>
    <w:rsid w:val="00BB11C8"/>
    <w:rsid w:val="00BB128B"/>
    <w:rsid w:val="00BB1603"/>
    <w:rsid w:val="00BB17E4"/>
    <w:rsid w:val="00BB1865"/>
    <w:rsid w:val="00BB1C8F"/>
    <w:rsid w:val="00BB1D8A"/>
    <w:rsid w:val="00BB208B"/>
    <w:rsid w:val="00BB221F"/>
    <w:rsid w:val="00BB23A2"/>
    <w:rsid w:val="00BB23F7"/>
    <w:rsid w:val="00BB2884"/>
    <w:rsid w:val="00BB298C"/>
    <w:rsid w:val="00BB2A81"/>
    <w:rsid w:val="00BB3793"/>
    <w:rsid w:val="00BB3944"/>
    <w:rsid w:val="00BB42A8"/>
    <w:rsid w:val="00BB4401"/>
    <w:rsid w:val="00BB460A"/>
    <w:rsid w:val="00BB4757"/>
    <w:rsid w:val="00BB47FE"/>
    <w:rsid w:val="00BB48A8"/>
    <w:rsid w:val="00BB4A46"/>
    <w:rsid w:val="00BB4BE4"/>
    <w:rsid w:val="00BB4DCF"/>
    <w:rsid w:val="00BB5148"/>
    <w:rsid w:val="00BB5520"/>
    <w:rsid w:val="00BB57B1"/>
    <w:rsid w:val="00BB5C81"/>
    <w:rsid w:val="00BB5D42"/>
    <w:rsid w:val="00BB5D8F"/>
    <w:rsid w:val="00BB5DBC"/>
    <w:rsid w:val="00BB6076"/>
    <w:rsid w:val="00BB60E4"/>
    <w:rsid w:val="00BB615A"/>
    <w:rsid w:val="00BB625F"/>
    <w:rsid w:val="00BB631C"/>
    <w:rsid w:val="00BB647E"/>
    <w:rsid w:val="00BB64AF"/>
    <w:rsid w:val="00BB66B3"/>
    <w:rsid w:val="00BB66F1"/>
    <w:rsid w:val="00BB6EC3"/>
    <w:rsid w:val="00BB7269"/>
    <w:rsid w:val="00BB73DF"/>
    <w:rsid w:val="00BB7496"/>
    <w:rsid w:val="00BB7660"/>
    <w:rsid w:val="00BB76BE"/>
    <w:rsid w:val="00BB76FB"/>
    <w:rsid w:val="00BB773F"/>
    <w:rsid w:val="00BB7BB4"/>
    <w:rsid w:val="00BC0433"/>
    <w:rsid w:val="00BC055D"/>
    <w:rsid w:val="00BC08C3"/>
    <w:rsid w:val="00BC08C8"/>
    <w:rsid w:val="00BC09C0"/>
    <w:rsid w:val="00BC0A17"/>
    <w:rsid w:val="00BC0A80"/>
    <w:rsid w:val="00BC0ECA"/>
    <w:rsid w:val="00BC10C6"/>
    <w:rsid w:val="00BC10EF"/>
    <w:rsid w:val="00BC1274"/>
    <w:rsid w:val="00BC1384"/>
    <w:rsid w:val="00BC1A56"/>
    <w:rsid w:val="00BC1A69"/>
    <w:rsid w:val="00BC1E93"/>
    <w:rsid w:val="00BC20C7"/>
    <w:rsid w:val="00BC20D8"/>
    <w:rsid w:val="00BC2241"/>
    <w:rsid w:val="00BC2418"/>
    <w:rsid w:val="00BC2493"/>
    <w:rsid w:val="00BC303F"/>
    <w:rsid w:val="00BC30BB"/>
    <w:rsid w:val="00BC313E"/>
    <w:rsid w:val="00BC3206"/>
    <w:rsid w:val="00BC33BF"/>
    <w:rsid w:val="00BC3575"/>
    <w:rsid w:val="00BC35B8"/>
    <w:rsid w:val="00BC3A42"/>
    <w:rsid w:val="00BC3AB6"/>
    <w:rsid w:val="00BC3B2D"/>
    <w:rsid w:val="00BC3FE0"/>
    <w:rsid w:val="00BC4072"/>
    <w:rsid w:val="00BC4136"/>
    <w:rsid w:val="00BC41EB"/>
    <w:rsid w:val="00BC4361"/>
    <w:rsid w:val="00BC4718"/>
    <w:rsid w:val="00BC4915"/>
    <w:rsid w:val="00BC4CA3"/>
    <w:rsid w:val="00BC4CC6"/>
    <w:rsid w:val="00BC53F6"/>
    <w:rsid w:val="00BC5B71"/>
    <w:rsid w:val="00BC5CBD"/>
    <w:rsid w:val="00BC5D23"/>
    <w:rsid w:val="00BC5D4E"/>
    <w:rsid w:val="00BC5F3A"/>
    <w:rsid w:val="00BC618E"/>
    <w:rsid w:val="00BC6A2C"/>
    <w:rsid w:val="00BC6C46"/>
    <w:rsid w:val="00BC6DDB"/>
    <w:rsid w:val="00BC700F"/>
    <w:rsid w:val="00BC79CA"/>
    <w:rsid w:val="00BC7A53"/>
    <w:rsid w:val="00BC7B3D"/>
    <w:rsid w:val="00BC7C9E"/>
    <w:rsid w:val="00BC7F83"/>
    <w:rsid w:val="00BD03BA"/>
    <w:rsid w:val="00BD0471"/>
    <w:rsid w:val="00BD05FC"/>
    <w:rsid w:val="00BD0946"/>
    <w:rsid w:val="00BD0997"/>
    <w:rsid w:val="00BD0C2D"/>
    <w:rsid w:val="00BD0DDF"/>
    <w:rsid w:val="00BD0E8C"/>
    <w:rsid w:val="00BD10D4"/>
    <w:rsid w:val="00BD12A5"/>
    <w:rsid w:val="00BD13CC"/>
    <w:rsid w:val="00BD1577"/>
    <w:rsid w:val="00BD174E"/>
    <w:rsid w:val="00BD1917"/>
    <w:rsid w:val="00BD19AD"/>
    <w:rsid w:val="00BD1B02"/>
    <w:rsid w:val="00BD1DF2"/>
    <w:rsid w:val="00BD1E3C"/>
    <w:rsid w:val="00BD1F5D"/>
    <w:rsid w:val="00BD2695"/>
    <w:rsid w:val="00BD2807"/>
    <w:rsid w:val="00BD2CC3"/>
    <w:rsid w:val="00BD2D8B"/>
    <w:rsid w:val="00BD2E41"/>
    <w:rsid w:val="00BD2FD9"/>
    <w:rsid w:val="00BD306C"/>
    <w:rsid w:val="00BD3455"/>
    <w:rsid w:val="00BD35E3"/>
    <w:rsid w:val="00BD36DB"/>
    <w:rsid w:val="00BD38E8"/>
    <w:rsid w:val="00BD39DF"/>
    <w:rsid w:val="00BD3AA6"/>
    <w:rsid w:val="00BD3BF7"/>
    <w:rsid w:val="00BD3C93"/>
    <w:rsid w:val="00BD3F5F"/>
    <w:rsid w:val="00BD40CA"/>
    <w:rsid w:val="00BD4253"/>
    <w:rsid w:val="00BD4259"/>
    <w:rsid w:val="00BD432A"/>
    <w:rsid w:val="00BD43B4"/>
    <w:rsid w:val="00BD4BD6"/>
    <w:rsid w:val="00BD4CB5"/>
    <w:rsid w:val="00BD4D8B"/>
    <w:rsid w:val="00BD501A"/>
    <w:rsid w:val="00BD52C6"/>
    <w:rsid w:val="00BD549F"/>
    <w:rsid w:val="00BD5941"/>
    <w:rsid w:val="00BD597B"/>
    <w:rsid w:val="00BD5C8A"/>
    <w:rsid w:val="00BD614C"/>
    <w:rsid w:val="00BD6215"/>
    <w:rsid w:val="00BD62C4"/>
    <w:rsid w:val="00BD62F6"/>
    <w:rsid w:val="00BD6302"/>
    <w:rsid w:val="00BD63CA"/>
    <w:rsid w:val="00BD64AD"/>
    <w:rsid w:val="00BD64F5"/>
    <w:rsid w:val="00BD67D8"/>
    <w:rsid w:val="00BD6884"/>
    <w:rsid w:val="00BD68F6"/>
    <w:rsid w:val="00BD6BBE"/>
    <w:rsid w:val="00BD6BE2"/>
    <w:rsid w:val="00BD6D22"/>
    <w:rsid w:val="00BD6F8E"/>
    <w:rsid w:val="00BD710D"/>
    <w:rsid w:val="00BD724E"/>
    <w:rsid w:val="00BD733C"/>
    <w:rsid w:val="00BD740C"/>
    <w:rsid w:val="00BD74F1"/>
    <w:rsid w:val="00BD7B28"/>
    <w:rsid w:val="00BD7D26"/>
    <w:rsid w:val="00BD7DD0"/>
    <w:rsid w:val="00BD7E93"/>
    <w:rsid w:val="00BE02F6"/>
    <w:rsid w:val="00BE035B"/>
    <w:rsid w:val="00BE044A"/>
    <w:rsid w:val="00BE0897"/>
    <w:rsid w:val="00BE0971"/>
    <w:rsid w:val="00BE0C86"/>
    <w:rsid w:val="00BE11F0"/>
    <w:rsid w:val="00BE1245"/>
    <w:rsid w:val="00BE12E7"/>
    <w:rsid w:val="00BE14C0"/>
    <w:rsid w:val="00BE1B10"/>
    <w:rsid w:val="00BE2D7F"/>
    <w:rsid w:val="00BE31BE"/>
    <w:rsid w:val="00BE33AD"/>
    <w:rsid w:val="00BE3428"/>
    <w:rsid w:val="00BE36CC"/>
    <w:rsid w:val="00BE36E5"/>
    <w:rsid w:val="00BE38B0"/>
    <w:rsid w:val="00BE3929"/>
    <w:rsid w:val="00BE3A60"/>
    <w:rsid w:val="00BE3CC2"/>
    <w:rsid w:val="00BE3D18"/>
    <w:rsid w:val="00BE3FDE"/>
    <w:rsid w:val="00BE424E"/>
    <w:rsid w:val="00BE43F4"/>
    <w:rsid w:val="00BE4581"/>
    <w:rsid w:val="00BE4910"/>
    <w:rsid w:val="00BE4954"/>
    <w:rsid w:val="00BE4A4D"/>
    <w:rsid w:val="00BE4B86"/>
    <w:rsid w:val="00BE4F2A"/>
    <w:rsid w:val="00BE4F71"/>
    <w:rsid w:val="00BE4F80"/>
    <w:rsid w:val="00BE502A"/>
    <w:rsid w:val="00BE503B"/>
    <w:rsid w:val="00BE50F1"/>
    <w:rsid w:val="00BE53CC"/>
    <w:rsid w:val="00BE56E8"/>
    <w:rsid w:val="00BE59F6"/>
    <w:rsid w:val="00BE5CFB"/>
    <w:rsid w:val="00BE5DB5"/>
    <w:rsid w:val="00BE6444"/>
    <w:rsid w:val="00BE6690"/>
    <w:rsid w:val="00BE6732"/>
    <w:rsid w:val="00BE6879"/>
    <w:rsid w:val="00BE6C52"/>
    <w:rsid w:val="00BE6E3B"/>
    <w:rsid w:val="00BE6FD1"/>
    <w:rsid w:val="00BE70A4"/>
    <w:rsid w:val="00BE70DE"/>
    <w:rsid w:val="00BE714A"/>
    <w:rsid w:val="00BE73AD"/>
    <w:rsid w:val="00BE7511"/>
    <w:rsid w:val="00BE7781"/>
    <w:rsid w:val="00BE778E"/>
    <w:rsid w:val="00BE7BE4"/>
    <w:rsid w:val="00BE7D4C"/>
    <w:rsid w:val="00BE7DBD"/>
    <w:rsid w:val="00BF01A0"/>
    <w:rsid w:val="00BF0254"/>
    <w:rsid w:val="00BF0457"/>
    <w:rsid w:val="00BF06F7"/>
    <w:rsid w:val="00BF07AA"/>
    <w:rsid w:val="00BF08C9"/>
    <w:rsid w:val="00BF09CF"/>
    <w:rsid w:val="00BF09E5"/>
    <w:rsid w:val="00BF0C87"/>
    <w:rsid w:val="00BF1093"/>
    <w:rsid w:val="00BF1303"/>
    <w:rsid w:val="00BF181B"/>
    <w:rsid w:val="00BF18E6"/>
    <w:rsid w:val="00BF1A80"/>
    <w:rsid w:val="00BF1CCB"/>
    <w:rsid w:val="00BF1F01"/>
    <w:rsid w:val="00BF1FE2"/>
    <w:rsid w:val="00BF2003"/>
    <w:rsid w:val="00BF20A7"/>
    <w:rsid w:val="00BF21F4"/>
    <w:rsid w:val="00BF21FB"/>
    <w:rsid w:val="00BF2236"/>
    <w:rsid w:val="00BF235E"/>
    <w:rsid w:val="00BF2482"/>
    <w:rsid w:val="00BF24DF"/>
    <w:rsid w:val="00BF253E"/>
    <w:rsid w:val="00BF2648"/>
    <w:rsid w:val="00BF275F"/>
    <w:rsid w:val="00BF28CC"/>
    <w:rsid w:val="00BF2999"/>
    <w:rsid w:val="00BF2C23"/>
    <w:rsid w:val="00BF2DDC"/>
    <w:rsid w:val="00BF2E4A"/>
    <w:rsid w:val="00BF307A"/>
    <w:rsid w:val="00BF314C"/>
    <w:rsid w:val="00BF31A1"/>
    <w:rsid w:val="00BF3257"/>
    <w:rsid w:val="00BF3295"/>
    <w:rsid w:val="00BF3386"/>
    <w:rsid w:val="00BF33F8"/>
    <w:rsid w:val="00BF3420"/>
    <w:rsid w:val="00BF35A6"/>
    <w:rsid w:val="00BF3754"/>
    <w:rsid w:val="00BF38B2"/>
    <w:rsid w:val="00BF3A4B"/>
    <w:rsid w:val="00BF3D00"/>
    <w:rsid w:val="00BF3D3A"/>
    <w:rsid w:val="00BF3DBB"/>
    <w:rsid w:val="00BF3FEA"/>
    <w:rsid w:val="00BF41A9"/>
    <w:rsid w:val="00BF42EA"/>
    <w:rsid w:val="00BF45D3"/>
    <w:rsid w:val="00BF4859"/>
    <w:rsid w:val="00BF48B6"/>
    <w:rsid w:val="00BF4A7E"/>
    <w:rsid w:val="00BF4C0F"/>
    <w:rsid w:val="00BF4D4B"/>
    <w:rsid w:val="00BF518C"/>
    <w:rsid w:val="00BF5A9D"/>
    <w:rsid w:val="00BF5AC6"/>
    <w:rsid w:val="00BF5D7F"/>
    <w:rsid w:val="00BF6161"/>
    <w:rsid w:val="00BF64C5"/>
    <w:rsid w:val="00BF6560"/>
    <w:rsid w:val="00BF66D7"/>
    <w:rsid w:val="00BF672C"/>
    <w:rsid w:val="00BF6801"/>
    <w:rsid w:val="00BF6814"/>
    <w:rsid w:val="00BF6934"/>
    <w:rsid w:val="00BF696A"/>
    <w:rsid w:val="00BF6AFF"/>
    <w:rsid w:val="00BF6CAD"/>
    <w:rsid w:val="00BF6CCD"/>
    <w:rsid w:val="00BF6CFB"/>
    <w:rsid w:val="00BF6DA4"/>
    <w:rsid w:val="00BF6F11"/>
    <w:rsid w:val="00BF720D"/>
    <w:rsid w:val="00BF73CA"/>
    <w:rsid w:val="00BF761A"/>
    <w:rsid w:val="00BF7841"/>
    <w:rsid w:val="00BF7843"/>
    <w:rsid w:val="00BF78C9"/>
    <w:rsid w:val="00BF7B22"/>
    <w:rsid w:val="00BF7DDF"/>
    <w:rsid w:val="00C00219"/>
    <w:rsid w:val="00C00290"/>
    <w:rsid w:val="00C003B5"/>
    <w:rsid w:val="00C00423"/>
    <w:rsid w:val="00C00446"/>
    <w:rsid w:val="00C00586"/>
    <w:rsid w:val="00C00C01"/>
    <w:rsid w:val="00C00CC6"/>
    <w:rsid w:val="00C00D16"/>
    <w:rsid w:val="00C00EB6"/>
    <w:rsid w:val="00C01500"/>
    <w:rsid w:val="00C01632"/>
    <w:rsid w:val="00C01B17"/>
    <w:rsid w:val="00C01E0E"/>
    <w:rsid w:val="00C01FBA"/>
    <w:rsid w:val="00C02212"/>
    <w:rsid w:val="00C022F5"/>
    <w:rsid w:val="00C02354"/>
    <w:rsid w:val="00C0237A"/>
    <w:rsid w:val="00C024B1"/>
    <w:rsid w:val="00C025F6"/>
    <w:rsid w:val="00C02627"/>
    <w:rsid w:val="00C02670"/>
    <w:rsid w:val="00C026C7"/>
    <w:rsid w:val="00C02DBE"/>
    <w:rsid w:val="00C02DBF"/>
    <w:rsid w:val="00C02EF9"/>
    <w:rsid w:val="00C02F5F"/>
    <w:rsid w:val="00C02FCD"/>
    <w:rsid w:val="00C0321C"/>
    <w:rsid w:val="00C03385"/>
    <w:rsid w:val="00C036F9"/>
    <w:rsid w:val="00C03770"/>
    <w:rsid w:val="00C03A51"/>
    <w:rsid w:val="00C03A6E"/>
    <w:rsid w:val="00C03DC6"/>
    <w:rsid w:val="00C03FBD"/>
    <w:rsid w:val="00C04AFC"/>
    <w:rsid w:val="00C04B73"/>
    <w:rsid w:val="00C04D69"/>
    <w:rsid w:val="00C04DB5"/>
    <w:rsid w:val="00C04F0C"/>
    <w:rsid w:val="00C050F4"/>
    <w:rsid w:val="00C05269"/>
    <w:rsid w:val="00C05421"/>
    <w:rsid w:val="00C057AB"/>
    <w:rsid w:val="00C05830"/>
    <w:rsid w:val="00C05A8F"/>
    <w:rsid w:val="00C05CAC"/>
    <w:rsid w:val="00C061D1"/>
    <w:rsid w:val="00C0626F"/>
    <w:rsid w:val="00C06465"/>
    <w:rsid w:val="00C06692"/>
    <w:rsid w:val="00C066DF"/>
    <w:rsid w:val="00C069D1"/>
    <w:rsid w:val="00C06B84"/>
    <w:rsid w:val="00C06BC4"/>
    <w:rsid w:val="00C06E24"/>
    <w:rsid w:val="00C06F27"/>
    <w:rsid w:val="00C070EF"/>
    <w:rsid w:val="00C0710C"/>
    <w:rsid w:val="00C07AD1"/>
    <w:rsid w:val="00C07D22"/>
    <w:rsid w:val="00C07D70"/>
    <w:rsid w:val="00C07ED5"/>
    <w:rsid w:val="00C07F49"/>
    <w:rsid w:val="00C07F82"/>
    <w:rsid w:val="00C10096"/>
    <w:rsid w:val="00C103D9"/>
    <w:rsid w:val="00C10496"/>
    <w:rsid w:val="00C104FC"/>
    <w:rsid w:val="00C106DC"/>
    <w:rsid w:val="00C10833"/>
    <w:rsid w:val="00C108E8"/>
    <w:rsid w:val="00C109C9"/>
    <w:rsid w:val="00C10BB1"/>
    <w:rsid w:val="00C1102D"/>
    <w:rsid w:val="00C11270"/>
    <w:rsid w:val="00C1133A"/>
    <w:rsid w:val="00C115B2"/>
    <w:rsid w:val="00C117F7"/>
    <w:rsid w:val="00C118F0"/>
    <w:rsid w:val="00C11901"/>
    <w:rsid w:val="00C11B6B"/>
    <w:rsid w:val="00C11D90"/>
    <w:rsid w:val="00C11DAA"/>
    <w:rsid w:val="00C11E0A"/>
    <w:rsid w:val="00C11E8A"/>
    <w:rsid w:val="00C1214A"/>
    <w:rsid w:val="00C12448"/>
    <w:rsid w:val="00C12455"/>
    <w:rsid w:val="00C12458"/>
    <w:rsid w:val="00C12DDA"/>
    <w:rsid w:val="00C12DFD"/>
    <w:rsid w:val="00C13718"/>
    <w:rsid w:val="00C13784"/>
    <w:rsid w:val="00C13878"/>
    <w:rsid w:val="00C13A82"/>
    <w:rsid w:val="00C13BEE"/>
    <w:rsid w:val="00C13C57"/>
    <w:rsid w:val="00C13C80"/>
    <w:rsid w:val="00C13D70"/>
    <w:rsid w:val="00C13DFE"/>
    <w:rsid w:val="00C13FED"/>
    <w:rsid w:val="00C140B2"/>
    <w:rsid w:val="00C14176"/>
    <w:rsid w:val="00C1462F"/>
    <w:rsid w:val="00C15027"/>
    <w:rsid w:val="00C15169"/>
    <w:rsid w:val="00C1516A"/>
    <w:rsid w:val="00C1520E"/>
    <w:rsid w:val="00C15450"/>
    <w:rsid w:val="00C154CD"/>
    <w:rsid w:val="00C156AB"/>
    <w:rsid w:val="00C15842"/>
    <w:rsid w:val="00C159AA"/>
    <w:rsid w:val="00C15D51"/>
    <w:rsid w:val="00C15DEF"/>
    <w:rsid w:val="00C15EDF"/>
    <w:rsid w:val="00C166C9"/>
    <w:rsid w:val="00C16738"/>
    <w:rsid w:val="00C16BB7"/>
    <w:rsid w:val="00C16EB2"/>
    <w:rsid w:val="00C171F1"/>
    <w:rsid w:val="00C179A3"/>
    <w:rsid w:val="00C17E51"/>
    <w:rsid w:val="00C17E9B"/>
    <w:rsid w:val="00C17FC5"/>
    <w:rsid w:val="00C2015E"/>
    <w:rsid w:val="00C2025F"/>
    <w:rsid w:val="00C204A1"/>
    <w:rsid w:val="00C2061C"/>
    <w:rsid w:val="00C20E8C"/>
    <w:rsid w:val="00C20FAB"/>
    <w:rsid w:val="00C21567"/>
    <w:rsid w:val="00C21716"/>
    <w:rsid w:val="00C21D58"/>
    <w:rsid w:val="00C21E24"/>
    <w:rsid w:val="00C2240E"/>
    <w:rsid w:val="00C22801"/>
    <w:rsid w:val="00C22D54"/>
    <w:rsid w:val="00C22F2E"/>
    <w:rsid w:val="00C22F97"/>
    <w:rsid w:val="00C231BC"/>
    <w:rsid w:val="00C2326E"/>
    <w:rsid w:val="00C237C7"/>
    <w:rsid w:val="00C237EC"/>
    <w:rsid w:val="00C237FD"/>
    <w:rsid w:val="00C238FF"/>
    <w:rsid w:val="00C2395F"/>
    <w:rsid w:val="00C23ABC"/>
    <w:rsid w:val="00C23D01"/>
    <w:rsid w:val="00C23EBE"/>
    <w:rsid w:val="00C2402A"/>
    <w:rsid w:val="00C24058"/>
    <w:rsid w:val="00C24820"/>
    <w:rsid w:val="00C249AC"/>
    <w:rsid w:val="00C24A6B"/>
    <w:rsid w:val="00C24C4B"/>
    <w:rsid w:val="00C250C5"/>
    <w:rsid w:val="00C25291"/>
    <w:rsid w:val="00C25452"/>
    <w:rsid w:val="00C25A02"/>
    <w:rsid w:val="00C25A56"/>
    <w:rsid w:val="00C25C90"/>
    <w:rsid w:val="00C25E44"/>
    <w:rsid w:val="00C25E5A"/>
    <w:rsid w:val="00C26036"/>
    <w:rsid w:val="00C2662F"/>
    <w:rsid w:val="00C2680A"/>
    <w:rsid w:val="00C2689F"/>
    <w:rsid w:val="00C26D3C"/>
    <w:rsid w:val="00C26D7F"/>
    <w:rsid w:val="00C270AE"/>
    <w:rsid w:val="00C277A3"/>
    <w:rsid w:val="00C278F1"/>
    <w:rsid w:val="00C27A78"/>
    <w:rsid w:val="00C27B2C"/>
    <w:rsid w:val="00C300DC"/>
    <w:rsid w:val="00C30454"/>
    <w:rsid w:val="00C304F0"/>
    <w:rsid w:val="00C3066B"/>
    <w:rsid w:val="00C3069C"/>
    <w:rsid w:val="00C307D9"/>
    <w:rsid w:val="00C308B9"/>
    <w:rsid w:val="00C3098D"/>
    <w:rsid w:val="00C30BA1"/>
    <w:rsid w:val="00C30BFC"/>
    <w:rsid w:val="00C30CDC"/>
    <w:rsid w:val="00C31108"/>
    <w:rsid w:val="00C31257"/>
    <w:rsid w:val="00C313DF"/>
    <w:rsid w:val="00C31675"/>
    <w:rsid w:val="00C317A4"/>
    <w:rsid w:val="00C3183E"/>
    <w:rsid w:val="00C3194F"/>
    <w:rsid w:val="00C31965"/>
    <w:rsid w:val="00C31986"/>
    <w:rsid w:val="00C319B4"/>
    <w:rsid w:val="00C31B73"/>
    <w:rsid w:val="00C31F5F"/>
    <w:rsid w:val="00C31FFB"/>
    <w:rsid w:val="00C32157"/>
    <w:rsid w:val="00C32438"/>
    <w:rsid w:val="00C328B4"/>
    <w:rsid w:val="00C32941"/>
    <w:rsid w:val="00C32AB4"/>
    <w:rsid w:val="00C32B5B"/>
    <w:rsid w:val="00C32BFD"/>
    <w:rsid w:val="00C32CEB"/>
    <w:rsid w:val="00C32DB3"/>
    <w:rsid w:val="00C32DEF"/>
    <w:rsid w:val="00C32E32"/>
    <w:rsid w:val="00C33059"/>
    <w:rsid w:val="00C33066"/>
    <w:rsid w:val="00C33116"/>
    <w:rsid w:val="00C331E2"/>
    <w:rsid w:val="00C33218"/>
    <w:rsid w:val="00C334D0"/>
    <w:rsid w:val="00C33556"/>
    <w:rsid w:val="00C33792"/>
    <w:rsid w:val="00C33962"/>
    <w:rsid w:val="00C33A7D"/>
    <w:rsid w:val="00C33ADD"/>
    <w:rsid w:val="00C33CF2"/>
    <w:rsid w:val="00C33FDF"/>
    <w:rsid w:val="00C34301"/>
    <w:rsid w:val="00C343FD"/>
    <w:rsid w:val="00C3444F"/>
    <w:rsid w:val="00C34489"/>
    <w:rsid w:val="00C34994"/>
    <w:rsid w:val="00C34A7C"/>
    <w:rsid w:val="00C34C82"/>
    <w:rsid w:val="00C34D29"/>
    <w:rsid w:val="00C34D60"/>
    <w:rsid w:val="00C34F36"/>
    <w:rsid w:val="00C35056"/>
    <w:rsid w:val="00C35165"/>
    <w:rsid w:val="00C35241"/>
    <w:rsid w:val="00C352D2"/>
    <w:rsid w:val="00C3571D"/>
    <w:rsid w:val="00C3574D"/>
    <w:rsid w:val="00C3577F"/>
    <w:rsid w:val="00C357D5"/>
    <w:rsid w:val="00C357E7"/>
    <w:rsid w:val="00C35C97"/>
    <w:rsid w:val="00C35FB4"/>
    <w:rsid w:val="00C36126"/>
    <w:rsid w:val="00C3648E"/>
    <w:rsid w:val="00C36597"/>
    <w:rsid w:val="00C3684C"/>
    <w:rsid w:val="00C36952"/>
    <w:rsid w:val="00C36AE0"/>
    <w:rsid w:val="00C36B0D"/>
    <w:rsid w:val="00C36B14"/>
    <w:rsid w:val="00C36CC1"/>
    <w:rsid w:val="00C36F08"/>
    <w:rsid w:val="00C3782B"/>
    <w:rsid w:val="00C37E90"/>
    <w:rsid w:val="00C37FA5"/>
    <w:rsid w:val="00C405F8"/>
    <w:rsid w:val="00C40DF3"/>
    <w:rsid w:val="00C40EC7"/>
    <w:rsid w:val="00C412ED"/>
    <w:rsid w:val="00C41307"/>
    <w:rsid w:val="00C41315"/>
    <w:rsid w:val="00C414A9"/>
    <w:rsid w:val="00C417A9"/>
    <w:rsid w:val="00C41817"/>
    <w:rsid w:val="00C41EA7"/>
    <w:rsid w:val="00C42209"/>
    <w:rsid w:val="00C422B4"/>
    <w:rsid w:val="00C423C1"/>
    <w:rsid w:val="00C427A8"/>
    <w:rsid w:val="00C429DD"/>
    <w:rsid w:val="00C42A3F"/>
    <w:rsid w:val="00C42F45"/>
    <w:rsid w:val="00C43239"/>
    <w:rsid w:val="00C43452"/>
    <w:rsid w:val="00C435DC"/>
    <w:rsid w:val="00C439E6"/>
    <w:rsid w:val="00C43F8C"/>
    <w:rsid w:val="00C4463B"/>
    <w:rsid w:val="00C44650"/>
    <w:rsid w:val="00C449EA"/>
    <w:rsid w:val="00C44C8A"/>
    <w:rsid w:val="00C44ED9"/>
    <w:rsid w:val="00C45010"/>
    <w:rsid w:val="00C45225"/>
    <w:rsid w:val="00C45464"/>
    <w:rsid w:val="00C45466"/>
    <w:rsid w:val="00C4596C"/>
    <w:rsid w:val="00C45987"/>
    <w:rsid w:val="00C45BC5"/>
    <w:rsid w:val="00C45DB6"/>
    <w:rsid w:val="00C45F44"/>
    <w:rsid w:val="00C4617E"/>
    <w:rsid w:val="00C4624C"/>
    <w:rsid w:val="00C4650C"/>
    <w:rsid w:val="00C466E2"/>
    <w:rsid w:val="00C46932"/>
    <w:rsid w:val="00C46DE2"/>
    <w:rsid w:val="00C46E87"/>
    <w:rsid w:val="00C46EAC"/>
    <w:rsid w:val="00C46F60"/>
    <w:rsid w:val="00C471F7"/>
    <w:rsid w:val="00C47205"/>
    <w:rsid w:val="00C472C1"/>
    <w:rsid w:val="00C472C4"/>
    <w:rsid w:val="00C47475"/>
    <w:rsid w:val="00C4762A"/>
    <w:rsid w:val="00C477B9"/>
    <w:rsid w:val="00C47881"/>
    <w:rsid w:val="00C47948"/>
    <w:rsid w:val="00C47974"/>
    <w:rsid w:val="00C479C2"/>
    <w:rsid w:val="00C479DC"/>
    <w:rsid w:val="00C47C0D"/>
    <w:rsid w:val="00C47DE5"/>
    <w:rsid w:val="00C47ED7"/>
    <w:rsid w:val="00C500E2"/>
    <w:rsid w:val="00C5043D"/>
    <w:rsid w:val="00C506B6"/>
    <w:rsid w:val="00C5124F"/>
    <w:rsid w:val="00C512F1"/>
    <w:rsid w:val="00C51375"/>
    <w:rsid w:val="00C51403"/>
    <w:rsid w:val="00C5199B"/>
    <w:rsid w:val="00C51A5E"/>
    <w:rsid w:val="00C51B3D"/>
    <w:rsid w:val="00C51C3B"/>
    <w:rsid w:val="00C51CC4"/>
    <w:rsid w:val="00C52040"/>
    <w:rsid w:val="00C52316"/>
    <w:rsid w:val="00C5233A"/>
    <w:rsid w:val="00C523C5"/>
    <w:rsid w:val="00C52797"/>
    <w:rsid w:val="00C52DDF"/>
    <w:rsid w:val="00C52E11"/>
    <w:rsid w:val="00C52EC9"/>
    <w:rsid w:val="00C53238"/>
    <w:rsid w:val="00C532A5"/>
    <w:rsid w:val="00C535B7"/>
    <w:rsid w:val="00C53AE6"/>
    <w:rsid w:val="00C53D3E"/>
    <w:rsid w:val="00C53FD1"/>
    <w:rsid w:val="00C54206"/>
    <w:rsid w:val="00C54292"/>
    <w:rsid w:val="00C54655"/>
    <w:rsid w:val="00C54973"/>
    <w:rsid w:val="00C549EA"/>
    <w:rsid w:val="00C54BA4"/>
    <w:rsid w:val="00C54D9D"/>
    <w:rsid w:val="00C553DD"/>
    <w:rsid w:val="00C55468"/>
    <w:rsid w:val="00C554D9"/>
    <w:rsid w:val="00C555EB"/>
    <w:rsid w:val="00C55686"/>
    <w:rsid w:val="00C55C94"/>
    <w:rsid w:val="00C56225"/>
    <w:rsid w:val="00C56258"/>
    <w:rsid w:val="00C5683A"/>
    <w:rsid w:val="00C56871"/>
    <w:rsid w:val="00C56905"/>
    <w:rsid w:val="00C56A66"/>
    <w:rsid w:val="00C572D6"/>
    <w:rsid w:val="00C574BB"/>
    <w:rsid w:val="00C577FF"/>
    <w:rsid w:val="00C57D31"/>
    <w:rsid w:val="00C57D4E"/>
    <w:rsid w:val="00C57E05"/>
    <w:rsid w:val="00C57EF4"/>
    <w:rsid w:val="00C600BE"/>
    <w:rsid w:val="00C60140"/>
    <w:rsid w:val="00C60204"/>
    <w:rsid w:val="00C605E8"/>
    <w:rsid w:val="00C6064D"/>
    <w:rsid w:val="00C606B0"/>
    <w:rsid w:val="00C607FC"/>
    <w:rsid w:val="00C60904"/>
    <w:rsid w:val="00C60D43"/>
    <w:rsid w:val="00C60EAC"/>
    <w:rsid w:val="00C610A3"/>
    <w:rsid w:val="00C61104"/>
    <w:rsid w:val="00C611BB"/>
    <w:rsid w:val="00C61424"/>
    <w:rsid w:val="00C61576"/>
    <w:rsid w:val="00C619B0"/>
    <w:rsid w:val="00C61D7E"/>
    <w:rsid w:val="00C62228"/>
    <w:rsid w:val="00C62274"/>
    <w:rsid w:val="00C624C1"/>
    <w:rsid w:val="00C62C10"/>
    <w:rsid w:val="00C62F10"/>
    <w:rsid w:val="00C6323A"/>
    <w:rsid w:val="00C634EF"/>
    <w:rsid w:val="00C63CDF"/>
    <w:rsid w:val="00C63D59"/>
    <w:rsid w:val="00C63D8F"/>
    <w:rsid w:val="00C640E3"/>
    <w:rsid w:val="00C64257"/>
    <w:rsid w:val="00C642A7"/>
    <w:rsid w:val="00C6446B"/>
    <w:rsid w:val="00C64897"/>
    <w:rsid w:val="00C648B8"/>
    <w:rsid w:val="00C648B9"/>
    <w:rsid w:val="00C64F09"/>
    <w:rsid w:val="00C64F50"/>
    <w:rsid w:val="00C65057"/>
    <w:rsid w:val="00C65306"/>
    <w:rsid w:val="00C65318"/>
    <w:rsid w:val="00C65907"/>
    <w:rsid w:val="00C65BFF"/>
    <w:rsid w:val="00C65E04"/>
    <w:rsid w:val="00C65E2D"/>
    <w:rsid w:val="00C6649E"/>
    <w:rsid w:val="00C664F3"/>
    <w:rsid w:val="00C66A5A"/>
    <w:rsid w:val="00C67073"/>
    <w:rsid w:val="00C6722B"/>
    <w:rsid w:val="00C67277"/>
    <w:rsid w:val="00C67281"/>
    <w:rsid w:val="00C672DB"/>
    <w:rsid w:val="00C67364"/>
    <w:rsid w:val="00C675B7"/>
    <w:rsid w:val="00C675F3"/>
    <w:rsid w:val="00C67AA7"/>
    <w:rsid w:val="00C67EB2"/>
    <w:rsid w:val="00C70649"/>
    <w:rsid w:val="00C706F9"/>
    <w:rsid w:val="00C708ED"/>
    <w:rsid w:val="00C70930"/>
    <w:rsid w:val="00C70ED3"/>
    <w:rsid w:val="00C7108B"/>
    <w:rsid w:val="00C710AE"/>
    <w:rsid w:val="00C710ED"/>
    <w:rsid w:val="00C71241"/>
    <w:rsid w:val="00C7157A"/>
    <w:rsid w:val="00C71797"/>
    <w:rsid w:val="00C717EE"/>
    <w:rsid w:val="00C7188C"/>
    <w:rsid w:val="00C71961"/>
    <w:rsid w:val="00C71BBE"/>
    <w:rsid w:val="00C71CAF"/>
    <w:rsid w:val="00C71DEE"/>
    <w:rsid w:val="00C71E0A"/>
    <w:rsid w:val="00C721CC"/>
    <w:rsid w:val="00C72435"/>
    <w:rsid w:val="00C72512"/>
    <w:rsid w:val="00C725E2"/>
    <w:rsid w:val="00C72635"/>
    <w:rsid w:val="00C726F7"/>
    <w:rsid w:val="00C72842"/>
    <w:rsid w:val="00C728CD"/>
    <w:rsid w:val="00C72959"/>
    <w:rsid w:val="00C72ADD"/>
    <w:rsid w:val="00C72BED"/>
    <w:rsid w:val="00C72F1D"/>
    <w:rsid w:val="00C72F33"/>
    <w:rsid w:val="00C72F42"/>
    <w:rsid w:val="00C73154"/>
    <w:rsid w:val="00C73222"/>
    <w:rsid w:val="00C7337D"/>
    <w:rsid w:val="00C73388"/>
    <w:rsid w:val="00C7350B"/>
    <w:rsid w:val="00C73518"/>
    <w:rsid w:val="00C7386B"/>
    <w:rsid w:val="00C7386C"/>
    <w:rsid w:val="00C738D2"/>
    <w:rsid w:val="00C738D9"/>
    <w:rsid w:val="00C739C4"/>
    <w:rsid w:val="00C73AF7"/>
    <w:rsid w:val="00C73FB9"/>
    <w:rsid w:val="00C740B3"/>
    <w:rsid w:val="00C740EC"/>
    <w:rsid w:val="00C7411B"/>
    <w:rsid w:val="00C74366"/>
    <w:rsid w:val="00C74736"/>
    <w:rsid w:val="00C748B4"/>
    <w:rsid w:val="00C74A3C"/>
    <w:rsid w:val="00C74CD6"/>
    <w:rsid w:val="00C74E8C"/>
    <w:rsid w:val="00C74FD4"/>
    <w:rsid w:val="00C750F9"/>
    <w:rsid w:val="00C75336"/>
    <w:rsid w:val="00C755C2"/>
    <w:rsid w:val="00C75979"/>
    <w:rsid w:val="00C75C5E"/>
    <w:rsid w:val="00C75E58"/>
    <w:rsid w:val="00C75F74"/>
    <w:rsid w:val="00C75FC3"/>
    <w:rsid w:val="00C76370"/>
    <w:rsid w:val="00C764D1"/>
    <w:rsid w:val="00C76638"/>
    <w:rsid w:val="00C76733"/>
    <w:rsid w:val="00C76795"/>
    <w:rsid w:val="00C768B7"/>
    <w:rsid w:val="00C77015"/>
    <w:rsid w:val="00C777EF"/>
    <w:rsid w:val="00C77908"/>
    <w:rsid w:val="00C77ADE"/>
    <w:rsid w:val="00C77C5E"/>
    <w:rsid w:val="00C77D0E"/>
    <w:rsid w:val="00C77D76"/>
    <w:rsid w:val="00C77DDD"/>
    <w:rsid w:val="00C800E7"/>
    <w:rsid w:val="00C80E11"/>
    <w:rsid w:val="00C81059"/>
    <w:rsid w:val="00C81293"/>
    <w:rsid w:val="00C8146B"/>
    <w:rsid w:val="00C8161B"/>
    <w:rsid w:val="00C81818"/>
    <w:rsid w:val="00C818B3"/>
    <w:rsid w:val="00C81900"/>
    <w:rsid w:val="00C819F8"/>
    <w:rsid w:val="00C81D2B"/>
    <w:rsid w:val="00C81E9F"/>
    <w:rsid w:val="00C81F33"/>
    <w:rsid w:val="00C82155"/>
    <w:rsid w:val="00C821BD"/>
    <w:rsid w:val="00C822C1"/>
    <w:rsid w:val="00C82372"/>
    <w:rsid w:val="00C824B9"/>
    <w:rsid w:val="00C82707"/>
    <w:rsid w:val="00C82827"/>
    <w:rsid w:val="00C8307E"/>
    <w:rsid w:val="00C83124"/>
    <w:rsid w:val="00C83290"/>
    <w:rsid w:val="00C83368"/>
    <w:rsid w:val="00C837D9"/>
    <w:rsid w:val="00C838AE"/>
    <w:rsid w:val="00C83969"/>
    <w:rsid w:val="00C83A33"/>
    <w:rsid w:val="00C83A6B"/>
    <w:rsid w:val="00C83ADA"/>
    <w:rsid w:val="00C83B59"/>
    <w:rsid w:val="00C83EDD"/>
    <w:rsid w:val="00C83F6E"/>
    <w:rsid w:val="00C840D1"/>
    <w:rsid w:val="00C8447C"/>
    <w:rsid w:val="00C85063"/>
    <w:rsid w:val="00C85433"/>
    <w:rsid w:val="00C854B3"/>
    <w:rsid w:val="00C8551F"/>
    <w:rsid w:val="00C85605"/>
    <w:rsid w:val="00C85626"/>
    <w:rsid w:val="00C85757"/>
    <w:rsid w:val="00C85808"/>
    <w:rsid w:val="00C858B7"/>
    <w:rsid w:val="00C85B79"/>
    <w:rsid w:val="00C85C30"/>
    <w:rsid w:val="00C862B5"/>
    <w:rsid w:val="00C863F1"/>
    <w:rsid w:val="00C8643C"/>
    <w:rsid w:val="00C8701F"/>
    <w:rsid w:val="00C871CB"/>
    <w:rsid w:val="00C8736E"/>
    <w:rsid w:val="00C873FE"/>
    <w:rsid w:val="00C874FF"/>
    <w:rsid w:val="00C87923"/>
    <w:rsid w:val="00C87DA9"/>
    <w:rsid w:val="00C87DE2"/>
    <w:rsid w:val="00C87FA0"/>
    <w:rsid w:val="00C902E9"/>
    <w:rsid w:val="00C903D6"/>
    <w:rsid w:val="00C907F7"/>
    <w:rsid w:val="00C90982"/>
    <w:rsid w:val="00C90A29"/>
    <w:rsid w:val="00C90E45"/>
    <w:rsid w:val="00C90ED7"/>
    <w:rsid w:val="00C913A5"/>
    <w:rsid w:val="00C91441"/>
    <w:rsid w:val="00C915B5"/>
    <w:rsid w:val="00C915E0"/>
    <w:rsid w:val="00C91722"/>
    <w:rsid w:val="00C91CC4"/>
    <w:rsid w:val="00C91CFD"/>
    <w:rsid w:val="00C91D1E"/>
    <w:rsid w:val="00C91E00"/>
    <w:rsid w:val="00C91F44"/>
    <w:rsid w:val="00C91FC3"/>
    <w:rsid w:val="00C921D9"/>
    <w:rsid w:val="00C926A3"/>
    <w:rsid w:val="00C92E36"/>
    <w:rsid w:val="00C93399"/>
    <w:rsid w:val="00C93899"/>
    <w:rsid w:val="00C93D3C"/>
    <w:rsid w:val="00C93F5A"/>
    <w:rsid w:val="00C942F4"/>
    <w:rsid w:val="00C943AD"/>
    <w:rsid w:val="00C9450C"/>
    <w:rsid w:val="00C9464B"/>
    <w:rsid w:val="00C9464C"/>
    <w:rsid w:val="00C94669"/>
    <w:rsid w:val="00C947EA"/>
    <w:rsid w:val="00C94B00"/>
    <w:rsid w:val="00C94B2D"/>
    <w:rsid w:val="00C94C20"/>
    <w:rsid w:val="00C94FAF"/>
    <w:rsid w:val="00C95303"/>
    <w:rsid w:val="00C956C4"/>
    <w:rsid w:val="00C95870"/>
    <w:rsid w:val="00C95A37"/>
    <w:rsid w:val="00C95F5D"/>
    <w:rsid w:val="00C961B9"/>
    <w:rsid w:val="00C9635A"/>
    <w:rsid w:val="00C964AE"/>
    <w:rsid w:val="00C96654"/>
    <w:rsid w:val="00C967A5"/>
    <w:rsid w:val="00C967AA"/>
    <w:rsid w:val="00C96924"/>
    <w:rsid w:val="00C96B37"/>
    <w:rsid w:val="00C96C53"/>
    <w:rsid w:val="00C96FE9"/>
    <w:rsid w:val="00C97326"/>
    <w:rsid w:val="00C97912"/>
    <w:rsid w:val="00C979CE"/>
    <w:rsid w:val="00C97B05"/>
    <w:rsid w:val="00C97EBD"/>
    <w:rsid w:val="00C97EFF"/>
    <w:rsid w:val="00CA00B8"/>
    <w:rsid w:val="00CA0283"/>
    <w:rsid w:val="00CA04FE"/>
    <w:rsid w:val="00CA06FD"/>
    <w:rsid w:val="00CA0777"/>
    <w:rsid w:val="00CA0C80"/>
    <w:rsid w:val="00CA0D0B"/>
    <w:rsid w:val="00CA0D1D"/>
    <w:rsid w:val="00CA1141"/>
    <w:rsid w:val="00CA11CA"/>
    <w:rsid w:val="00CA12FC"/>
    <w:rsid w:val="00CA1495"/>
    <w:rsid w:val="00CA1776"/>
    <w:rsid w:val="00CA186E"/>
    <w:rsid w:val="00CA1AA0"/>
    <w:rsid w:val="00CA1DFD"/>
    <w:rsid w:val="00CA1E10"/>
    <w:rsid w:val="00CA2053"/>
    <w:rsid w:val="00CA2587"/>
    <w:rsid w:val="00CA288C"/>
    <w:rsid w:val="00CA295D"/>
    <w:rsid w:val="00CA2A80"/>
    <w:rsid w:val="00CA2A82"/>
    <w:rsid w:val="00CA2E3B"/>
    <w:rsid w:val="00CA2F24"/>
    <w:rsid w:val="00CA30C5"/>
    <w:rsid w:val="00CA361E"/>
    <w:rsid w:val="00CA376C"/>
    <w:rsid w:val="00CA39F3"/>
    <w:rsid w:val="00CA3DD7"/>
    <w:rsid w:val="00CA3F96"/>
    <w:rsid w:val="00CA43F5"/>
    <w:rsid w:val="00CA49B9"/>
    <w:rsid w:val="00CA4F64"/>
    <w:rsid w:val="00CA5011"/>
    <w:rsid w:val="00CA51A5"/>
    <w:rsid w:val="00CA526E"/>
    <w:rsid w:val="00CA52BF"/>
    <w:rsid w:val="00CA5A28"/>
    <w:rsid w:val="00CA5CA5"/>
    <w:rsid w:val="00CA5F63"/>
    <w:rsid w:val="00CA5F7F"/>
    <w:rsid w:val="00CA5FCB"/>
    <w:rsid w:val="00CA6285"/>
    <w:rsid w:val="00CA6355"/>
    <w:rsid w:val="00CA65C5"/>
    <w:rsid w:val="00CA671E"/>
    <w:rsid w:val="00CA67CB"/>
    <w:rsid w:val="00CA684A"/>
    <w:rsid w:val="00CA6E2C"/>
    <w:rsid w:val="00CA6FF7"/>
    <w:rsid w:val="00CA7AEC"/>
    <w:rsid w:val="00CA7DA7"/>
    <w:rsid w:val="00CB00F1"/>
    <w:rsid w:val="00CB066C"/>
    <w:rsid w:val="00CB08BE"/>
    <w:rsid w:val="00CB0A1F"/>
    <w:rsid w:val="00CB0C6F"/>
    <w:rsid w:val="00CB0E69"/>
    <w:rsid w:val="00CB110D"/>
    <w:rsid w:val="00CB12B5"/>
    <w:rsid w:val="00CB13B0"/>
    <w:rsid w:val="00CB1675"/>
    <w:rsid w:val="00CB17EC"/>
    <w:rsid w:val="00CB18B5"/>
    <w:rsid w:val="00CB196A"/>
    <w:rsid w:val="00CB1A10"/>
    <w:rsid w:val="00CB1A34"/>
    <w:rsid w:val="00CB1BEC"/>
    <w:rsid w:val="00CB1C03"/>
    <w:rsid w:val="00CB2141"/>
    <w:rsid w:val="00CB227D"/>
    <w:rsid w:val="00CB22C3"/>
    <w:rsid w:val="00CB2341"/>
    <w:rsid w:val="00CB237D"/>
    <w:rsid w:val="00CB2413"/>
    <w:rsid w:val="00CB2512"/>
    <w:rsid w:val="00CB25B2"/>
    <w:rsid w:val="00CB26E5"/>
    <w:rsid w:val="00CB2958"/>
    <w:rsid w:val="00CB2AD4"/>
    <w:rsid w:val="00CB2B5C"/>
    <w:rsid w:val="00CB3455"/>
    <w:rsid w:val="00CB34F6"/>
    <w:rsid w:val="00CB367D"/>
    <w:rsid w:val="00CB3AF0"/>
    <w:rsid w:val="00CB3D05"/>
    <w:rsid w:val="00CB4043"/>
    <w:rsid w:val="00CB421A"/>
    <w:rsid w:val="00CB4770"/>
    <w:rsid w:val="00CB4875"/>
    <w:rsid w:val="00CB4A3E"/>
    <w:rsid w:val="00CB4C2A"/>
    <w:rsid w:val="00CB4D23"/>
    <w:rsid w:val="00CB4D3F"/>
    <w:rsid w:val="00CB5557"/>
    <w:rsid w:val="00CB586F"/>
    <w:rsid w:val="00CB5A16"/>
    <w:rsid w:val="00CB5D08"/>
    <w:rsid w:val="00CB5ED8"/>
    <w:rsid w:val="00CB5FFE"/>
    <w:rsid w:val="00CB60B6"/>
    <w:rsid w:val="00CB6111"/>
    <w:rsid w:val="00CB617D"/>
    <w:rsid w:val="00CB61E5"/>
    <w:rsid w:val="00CB6A04"/>
    <w:rsid w:val="00CB6CD7"/>
    <w:rsid w:val="00CB6F2E"/>
    <w:rsid w:val="00CB7021"/>
    <w:rsid w:val="00CB70B5"/>
    <w:rsid w:val="00CB7152"/>
    <w:rsid w:val="00CB7193"/>
    <w:rsid w:val="00CB73F1"/>
    <w:rsid w:val="00CB75BD"/>
    <w:rsid w:val="00CB7A2D"/>
    <w:rsid w:val="00CB7DCA"/>
    <w:rsid w:val="00CC003B"/>
    <w:rsid w:val="00CC019F"/>
    <w:rsid w:val="00CC08FC"/>
    <w:rsid w:val="00CC0988"/>
    <w:rsid w:val="00CC09E6"/>
    <w:rsid w:val="00CC0A88"/>
    <w:rsid w:val="00CC0D69"/>
    <w:rsid w:val="00CC118F"/>
    <w:rsid w:val="00CC19B4"/>
    <w:rsid w:val="00CC19CE"/>
    <w:rsid w:val="00CC1F00"/>
    <w:rsid w:val="00CC210F"/>
    <w:rsid w:val="00CC24C2"/>
    <w:rsid w:val="00CC26CC"/>
    <w:rsid w:val="00CC2CE8"/>
    <w:rsid w:val="00CC2FFE"/>
    <w:rsid w:val="00CC3056"/>
    <w:rsid w:val="00CC311C"/>
    <w:rsid w:val="00CC31F2"/>
    <w:rsid w:val="00CC373E"/>
    <w:rsid w:val="00CC37A1"/>
    <w:rsid w:val="00CC3821"/>
    <w:rsid w:val="00CC3BAF"/>
    <w:rsid w:val="00CC3C7A"/>
    <w:rsid w:val="00CC3D87"/>
    <w:rsid w:val="00CC3DB8"/>
    <w:rsid w:val="00CC3E50"/>
    <w:rsid w:val="00CC3EA1"/>
    <w:rsid w:val="00CC3F51"/>
    <w:rsid w:val="00CC4116"/>
    <w:rsid w:val="00CC4134"/>
    <w:rsid w:val="00CC437A"/>
    <w:rsid w:val="00CC44AB"/>
    <w:rsid w:val="00CC4B55"/>
    <w:rsid w:val="00CC5185"/>
    <w:rsid w:val="00CC51EE"/>
    <w:rsid w:val="00CC5425"/>
    <w:rsid w:val="00CC558A"/>
    <w:rsid w:val="00CC565F"/>
    <w:rsid w:val="00CC56D6"/>
    <w:rsid w:val="00CC5D10"/>
    <w:rsid w:val="00CC5D91"/>
    <w:rsid w:val="00CC6088"/>
    <w:rsid w:val="00CC6596"/>
    <w:rsid w:val="00CC6B21"/>
    <w:rsid w:val="00CC6BFD"/>
    <w:rsid w:val="00CC760D"/>
    <w:rsid w:val="00CC7734"/>
    <w:rsid w:val="00CC7E41"/>
    <w:rsid w:val="00CC7FF2"/>
    <w:rsid w:val="00CD04A3"/>
    <w:rsid w:val="00CD0C8A"/>
    <w:rsid w:val="00CD10F2"/>
    <w:rsid w:val="00CD1590"/>
    <w:rsid w:val="00CD1685"/>
    <w:rsid w:val="00CD19AA"/>
    <w:rsid w:val="00CD1B67"/>
    <w:rsid w:val="00CD1CDB"/>
    <w:rsid w:val="00CD1F59"/>
    <w:rsid w:val="00CD2175"/>
    <w:rsid w:val="00CD21AF"/>
    <w:rsid w:val="00CD22AF"/>
    <w:rsid w:val="00CD2365"/>
    <w:rsid w:val="00CD2381"/>
    <w:rsid w:val="00CD2404"/>
    <w:rsid w:val="00CD2825"/>
    <w:rsid w:val="00CD283E"/>
    <w:rsid w:val="00CD28FB"/>
    <w:rsid w:val="00CD2963"/>
    <w:rsid w:val="00CD2982"/>
    <w:rsid w:val="00CD32FE"/>
    <w:rsid w:val="00CD368B"/>
    <w:rsid w:val="00CD3743"/>
    <w:rsid w:val="00CD3744"/>
    <w:rsid w:val="00CD37DE"/>
    <w:rsid w:val="00CD388E"/>
    <w:rsid w:val="00CD3C06"/>
    <w:rsid w:val="00CD3FA6"/>
    <w:rsid w:val="00CD40A6"/>
    <w:rsid w:val="00CD4163"/>
    <w:rsid w:val="00CD42DE"/>
    <w:rsid w:val="00CD440B"/>
    <w:rsid w:val="00CD4471"/>
    <w:rsid w:val="00CD44E2"/>
    <w:rsid w:val="00CD4661"/>
    <w:rsid w:val="00CD46DB"/>
    <w:rsid w:val="00CD4859"/>
    <w:rsid w:val="00CD49C4"/>
    <w:rsid w:val="00CD4E71"/>
    <w:rsid w:val="00CD5029"/>
    <w:rsid w:val="00CD51D5"/>
    <w:rsid w:val="00CD528B"/>
    <w:rsid w:val="00CD52EA"/>
    <w:rsid w:val="00CD595E"/>
    <w:rsid w:val="00CD5B40"/>
    <w:rsid w:val="00CD5CF0"/>
    <w:rsid w:val="00CD5D31"/>
    <w:rsid w:val="00CD5EB4"/>
    <w:rsid w:val="00CD60F5"/>
    <w:rsid w:val="00CD6482"/>
    <w:rsid w:val="00CD671E"/>
    <w:rsid w:val="00CD672F"/>
    <w:rsid w:val="00CD69D5"/>
    <w:rsid w:val="00CD6F08"/>
    <w:rsid w:val="00CD7024"/>
    <w:rsid w:val="00CD714F"/>
    <w:rsid w:val="00CD72CE"/>
    <w:rsid w:val="00CD7304"/>
    <w:rsid w:val="00CD7614"/>
    <w:rsid w:val="00CD770C"/>
    <w:rsid w:val="00CD78B1"/>
    <w:rsid w:val="00CD7A89"/>
    <w:rsid w:val="00CD7B33"/>
    <w:rsid w:val="00CE0599"/>
    <w:rsid w:val="00CE089E"/>
    <w:rsid w:val="00CE08E2"/>
    <w:rsid w:val="00CE0983"/>
    <w:rsid w:val="00CE0FA0"/>
    <w:rsid w:val="00CE1365"/>
    <w:rsid w:val="00CE1980"/>
    <w:rsid w:val="00CE1B10"/>
    <w:rsid w:val="00CE1E4C"/>
    <w:rsid w:val="00CE1F20"/>
    <w:rsid w:val="00CE2053"/>
    <w:rsid w:val="00CE2473"/>
    <w:rsid w:val="00CE2AED"/>
    <w:rsid w:val="00CE2B0C"/>
    <w:rsid w:val="00CE2B6F"/>
    <w:rsid w:val="00CE2BFF"/>
    <w:rsid w:val="00CE2E2F"/>
    <w:rsid w:val="00CE2F29"/>
    <w:rsid w:val="00CE312B"/>
    <w:rsid w:val="00CE3140"/>
    <w:rsid w:val="00CE3206"/>
    <w:rsid w:val="00CE32D6"/>
    <w:rsid w:val="00CE3360"/>
    <w:rsid w:val="00CE3773"/>
    <w:rsid w:val="00CE37F0"/>
    <w:rsid w:val="00CE3A8D"/>
    <w:rsid w:val="00CE3B30"/>
    <w:rsid w:val="00CE3B88"/>
    <w:rsid w:val="00CE3CDE"/>
    <w:rsid w:val="00CE3D84"/>
    <w:rsid w:val="00CE417E"/>
    <w:rsid w:val="00CE434B"/>
    <w:rsid w:val="00CE4350"/>
    <w:rsid w:val="00CE4677"/>
    <w:rsid w:val="00CE474D"/>
    <w:rsid w:val="00CE484B"/>
    <w:rsid w:val="00CE4E3E"/>
    <w:rsid w:val="00CE4E41"/>
    <w:rsid w:val="00CE4ED6"/>
    <w:rsid w:val="00CE523D"/>
    <w:rsid w:val="00CE5354"/>
    <w:rsid w:val="00CE53C0"/>
    <w:rsid w:val="00CE547F"/>
    <w:rsid w:val="00CE581E"/>
    <w:rsid w:val="00CE5894"/>
    <w:rsid w:val="00CE58CA"/>
    <w:rsid w:val="00CE5B45"/>
    <w:rsid w:val="00CE5BFA"/>
    <w:rsid w:val="00CE5F01"/>
    <w:rsid w:val="00CE5FA8"/>
    <w:rsid w:val="00CE60E8"/>
    <w:rsid w:val="00CE64EF"/>
    <w:rsid w:val="00CE6727"/>
    <w:rsid w:val="00CE6AF2"/>
    <w:rsid w:val="00CE6B29"/>
    <w:rsid w:val="00CE6CA0"/>
    <w:rsid w:val="00CE6E86"/>
    <w:rsid w:val="00CE7543"/>
    <w:rsid w:val="00CE7551"/>
    <w:rsid w:val="00CE7581"/>
    <w:rsid w:val="00CE75AF"/>
    <w:rsid w:val="00CE75E5"/>
    <w:rsid w:val="00CE78F0"/>
    <w:rsid w:val="00CE7962"/>
    <w:rsid w:val="00CE7A63"/>
    <w:rsid w:val="00CE7B71"/>
    <w:rsid w:val="00CE7C11"/>
    <w:rsid w:val="00CE7C62"/>
    <w:rsid w:val="00CF0197"/>
    <w:rsid w:val="00CF0263"/>
    <w:rsid w:val="00CF03ED"/>
    <w:rsid w:val="00CF041A"/>
    <w:rsid w:val="00CF0506"/>
    <w:rsid w:val="00CF0ED0"/>
    <w:rsid w:val="00CF0F57"/>
    <w:rsid w:val="00CF18C7"/>
    <w:rsid w:val="00CF1A80"/>
    <w:rsid w:val="00CF1B5F"/>
    <w:rsid w:val="00CF1BED"/>
    <w:rsid w:val="00CF1C59"/>
    <w:rsid w:val="00CF1D25"/>
    <w:rsid w:val="00CF1DE1"/>
    <w:rsid w:val="00CF1EBA"/>
    <w:rsid w:val="00CF2352"/>
    <w:rsid w:val="00CF2461"/>
    <w:rsid w:val="00CF2C73"/>
    <w:rsid w:val="00CF3011"/>
    <w:rsid w:val="00CF302D"/>
    <w:rsid w:val="00CF30B8"/>
    <w:rsid w:val="00CF30E9"/>
    <w:rsid w:val="00CF33C3"/>
    <w:rsid w:val="00CF34C3"/>
    <w:rsid w:val="00CF35AA"/>
    <w:rsid w:val="00CF3787"/>
    <w:rsid w:val="00CF38EA"/>
    <w:rsid w:val="00CF3A27"/>
    <w:rsid w:val="00CF3A5B"/>
    <w:rsid w:val="00CF3CF7"/>
    <w:rsid w:val="00CF4322"/>
    <w:rsid w:val="00CF467E"/>
    <w:rsid w:val="00CF4896"/>
    <w:rsid w:val="00CF4A65"/>
    <w:rsid w:val="00CF5128"/>
    <w:rsid w:val="00CF5349"/>
    <w:rsid w:val="00CF54ED"/>
    <w:rsid w:val="00CF5720"/>
    <w:rsid w:val="00CF5D37"/>
    <w:rsid w:val="00CF5DF9"/>
    <w:rsid w:val="00CF5F09"/>
    <w:rsid w:val="00CF5FC5"/>
    <w:rsid w:val="00CF60A1"/>
    <w:rsid w:val="00CF657D"/>
    <w:rsid w:val="00CF66EE"/>
    <w:rsid w:val="00CF6786"/>
    <w:rsid w:val="00CF68C5"/>
    <w:rsid w:val="00CF6BB7"/>
    <w:rsid w:val="00CF6CAB"/>
    <w:rsid w:val="00CF6D3C"/>
    <w:rsid w:val="00CF6F63"/>
    <w:rsid w:val="00CF7033"/>
    <w:rsid w:val="00CF708D"/>
    <w:rsid w:val="00CF71A5"/>
    <w:rsid w:val="00CF7A50"/>
    <w:rsid w:val="00CF7CA5"/>
    <w:rsid w:val="00CF7D7B"/>
    <w:rsid w:val="00CF7EDE"/>
    <w:rsid w:val="00CF7F56"/>
    <w:rsid w:val="00D00010"/>
    <w:rsid w:val="00D00290"/>
    <w:rsid w:val="00D0078C"/>
    <w:rsid w:val="00D007E0"/>
    <w:rsid w:val="00D00CFD"/>
    <w:rsid w:val="00D00DF4"/>
    <w:rsid w:val="00D00FE4"/>
    <w:rsid w:val="00D010F9"/>
    <w:rsid w:val="00D011C8"/>
    <w:rsid w:val="00D01759"/>
    <w:rsid w:val="00D017DE"/>
    <w:rsid w:val="00D01AC3"/>
    <w:rsid w:val="00D01B8E"/>
    <w:rsid w:val="00D01BAD"/>
    <w:rsid w:val="00D01C88"/>
    <w:rsid w:val="00D0203B"/>
    <w:rsid w:val="00D02059"/>
    <w:rsid w:val="00D02499"/>
    <w:rsid w:val="00D027FB"/>
    <w:rsid w:val="00D02A19"/>
    <w:rsid w:val="00D02CAE"/>
    <w:rsid w:val="00D02F9F"/>
    <w:rsid w:val="00D030BF"/>
    <w:rsid w:val="00D034AA"/>
    <w:rsid w:val="00D03741"/>
    <w:rsid w:val="00D03743"/>
    <w:rsid w:val="00D039D4"/>
    <w:rsid w:val="00D03B72"/>
    <w:rsid w:val="00D03C73"/>
    <w:rsid w:val="00D03F1F"/>
    <w:rsid w:val="00D04609"/>
    <w:rsid w:val="00D04A40"/>
    <w:rsid w:val="00D04BFC"/>
    <w:rsid w:val="00D04C0C"/>
    <w:rsid w:val="00D04C50"/>
    <w:rsid w:val="00D04D6A"/>
    <w:rsid w:val="00D04DF4"/>
    <w:rsid w:val="00D05121"/>
    <w:rsid w:val="00D0514E"/>
    <w:rsid w:val="00D05401"/>
    <w:rsid w:val="00D05495"/>
    <w:rsid w:val="00D055A0"/>
    <w:rsid w:val="00D0580C"/>
    <w:rsid w:val="00D05A56"/>
    <w:rsid w:val="00D05B0D"/>
    <w:rsid w:val="00D06145"/>
    <w:rsid w:val="00D062EA"/>
    <w:rsid w:val="00D06537"/>
    <w:rsid w:val="00D06582"/>
    <w:rsid w:val="00D06625"/>
    <w:rsid w:val="00D066C8"/>
    <w:rsid w:val="00D06A08"/>
    <w:rsid w:val="00D06B55"/>
    <w:rsid w:val="00D06B86"/>
    <w:rsid w:val="00D074D1"/>
    <w:rsid w:val="00D075B9"/>
    <w:rsid w:val="00D07697"/>
    <w:rsid w:val="00D0798A"/>
    <w:rsid w:val="00D07B3F"/>
    <w:rsid w:val="00D07F25"/>
    <w:rsid w:val="00D10002"/>
    <w:rsid w:val="00D1008A"/>
    <w:rsid w:val="00D100F1"/>
    <w:rsid w:val="00D10197"/>
    <w:rsid w:val="00D10199"/>
    <w:rsid w:val="00D10326"/>
    <w:rsid w:val="00D103AB"/>
    <w:rsid w:val="00D1061B"/>
    <w:rsid w:val="00D106D9"/>
    <w:rsid w:val="00D108D0"/>
    <w:rsid w:val="00D10A29"/>
    <w:rsid w:val="00D10B99"/>
    <w:rsid w:val="00D10BA5"/>
    <w:rsid w:val="00D10BBB"/>
    <w:rsid w:val="00D10C55"/>
    <w:rsid w:val="00D10D76"/>
    <w:rsid w:val="00D10E63"/>
    <w:rsid w:val="00D1128A"/>
    <w:rsid w:val="00D11520"/>
    <w:rsid w:val="00D11542"/>
    <w:rsid w:val="00D1192B"/>
    <w:rsid w:val="00D11AAF"/>
    <w:rsid w:val="00D11D9D"/>
    <w:rsid w:val="00D12249"/>
    <w:rsid w:val="00D12302"/>
    <w:rsid w:val="00D123E7"/>
    <w:rsid w:val="00D124D5"/>
    <w:rsid w:val="00D12684"/>
    <w:rsid w:val="00D127D8"/>
    <w:rsid w:val="00D1284F"/>
    <w:rsid w:val="00D12B1B"/>
    <w:rsid w:val="00D12B28"/>
    <w:rsid w:val="00D12BC8"/>
    <w:rsid w:val="00D12C2F"/>
    <w:rsid w:val="00D12C66"/>
    <w:rsid w:val="00D13083"/>
    <w:rsid w:val="00D1325C"/>
    <w:rsid w:val="00D13341"/>
    <w:rsid w:val="00D13430"/>
    <w:rsid w:val="00D134B2"/>
    <w:rsid w:val="00D135D8"/>
    <w:rsid w:val="00D139F7"/>
    <w:rsid w:val="00D13AEF"/>
    <w:rsid w:val="00D13E6B"/>
    <w:rsid w:val="00D13EA8"/>
    <w:rsid w:val="00D14083"/>
    <w:rsid w:val="00D142A6"/>
    <w:rsid w:val="00D1436D"/>
    <w:rsid w:val="00D1462D"/>
    <w:rsid w:val="00D147AB"/>
    <w:rsid w:val="00D1482E"/>
    <w:rsid w:val="00D14A1C"/>
    <w:rsid w:val="00D14A34"/>
    <w:rsid w:val="00D14ADC"/>
    <w:rsid w:val="00D14B47"/>
    <w:rsid w:val="00D14B6D"/>
    <w:rsid w:val="00D14FB6"/>
    <w:rsid w:val="00D1509B"/>
    <w:rsid w:val="00D151C7"/>
    <w:rsid w:val="00D151CF"/>
    <w:rsid w:val="00D15286"/>
    <w:rsid w:val="00D1566A"/>
    <w:rsid w:val="00D15673"/>
    <w:rsid w:val="00D15709"/>
    <w:rsid w:val="00D15A1C"/>
    <w:rsid w:val="00D15AE3"/>
    <w:rsid w:val="00D15B32"/>
    <w:rsid w:val="00D15B80"/>
    <w:rsid w:val="00D15D16"/>
    <w:rsid w:val="00D15EAE"/>
    <w:rsid w:val="00D16203"/>
    <w:rsid w:val="00D16346"/>
    <w:rsid w:val="00D1645C"/>
    <w:rsid w:val="00D16946"/>
    <w:rsid w:val="00D16963"/>
    <w:rsid w:val="00D16C5A"/>
    <w:rsid w:val="00D16EE9"/>
    <w:rsid w:val="00D16FBB"/>
    <w:rsid w:val="00D172BC"/>
    <w:rsid w:val="00D173C6"/>
    <w:rsid w:val="00D1747D"/>
    <w:rsid w:val="00D17582"/>
    <w:rsid w:val="00D177AA"/>
    <w:rsid w:val="00D17E2D"/>
    <w:rsid w:val="00D17EAC"/>
    <w:rsid w:val="00D17F25"/>
    <w:rsid w:val="00D17F4C"/>
    <w:rsid w:val="00D17FBF"/>
    <w:rsid w:val="00D20061"/>
    <w:rsid w:val="00D20391"/>
    <w:rsid w:val="00D20573"/>
    <w:rsid w:val="00D20624"/>
    <w:rsid w:val="00D2085A"/>
    <w:rsid w:val="00D20A53"/>
    <w:rsid w:val="00D20A72"/>
    <w:rsid w:val="00D20AB7"/>
    <w:rsid w:val="00D20E54"/>
    <w:rsid w:val="00D20E68"/>
    <w:rsid w:val="00D21740"/>
    <w:rsid w:val="00D218EF"/>
    <w:rsid w:val="00D21C7D"/>
    <w:rsid w:val="00D21F40"/>
    <w:rsid w:val="00D220FE"/>
    <w:rsid w:val="00D221CD"/>
    <w:rsid w:val="00D221F8"/>
    <w:rsid w:val="00D224BE"/>
    <w:rsid w:val="00D22719"/>
    <w:rsid w:val="00D227F1"/>
    <w:rsid w:val="00D22985"/>
    <w:rsid w:val="00D22E10"/>
    <w:rsid w:val="00D23AB3"/>
    <w:rsid w:val="00D23C9F"/>
    <w:rsid w:val="00D2420E"/>
    <w:rsid w:val="00D24289"/>
    <w:rsid w:val="00D24457"/>
    <w:rsid w:val="00D246A4"/>
    <w:rsid w:val="00D246AC"/>
    <w:rsid w:val="00D248B9"/>
    <w:rsid w:val="00D248BF"/>
    <w:rsid w:val="00D24BAE"/>
    <w:rsid w:val="00D24DDC"/>
    <w:rsid w:val="00D24E1F"/>
    <w:rsid w:val="00D24FEA"/>
    <w:rsid w:val="00D25295"/>
    <w:rsid w:val="00D25319"/>
    <w:rsid w:val="00D25346"/>
    <w:rsid w:val="00D253E6"/>
    <w:rsid w:val="00D25469"/>
    <w:rsid w:val="00D25480"/>
    <w:rsid w:val="00D257C2"/>
    <w:rsid w:val="00D25850"/>
    <w:rsid w:val="00D25946"/>
    <w:rsid w:val="00D25B4F"/>
    <w:rsid w:val="00D25E64"/>
    <w:rsid w:val="00D266E3"/>
    <w:rsid w:val="00D267D6"/>
    <w:rsid w:val="00D26877"/>
    <w:rsid w:val="00D26922"/>
    <w:rsid w:val="00D26C60"/>
    <w:rsid w:val="00D26DED"/>
    <w:rsid w:val="00D27221"/>
    <w:rsid w:val="00D27227"/>
    <w:rsid w:val="00D2729B"/>
    <w:rsid w:val="00D272BD"/>
    <w:rsid w:val="00D27439"/>
    <w:rsid w:val="00D2755F"/>
    <w:rsid w:val="00D27756"/>
    <w:rsid w:val="00D27911"/>
    <w:rsid w:val="00D2791B"/>
    <w:rsid w:val="00D27939"/>
    <w:rsid w:val="00D27BD7"/>
    <w:rsid w:val="00D27D3F"/>
    <w:rsid w:val="00D30245"/>
    <w:rsid w:val="00D304F7"/>
    <w:rsid w:val="00D30A61"/>
    <w:rsid w:val="00D30CFD"/>
    <w:rsid w:val="00D30E9D"/>
    <w:rsid w:val="00D30F29"/>
    <w:rsid w:val="00D310C3"/>
    <w:rsid w:val="00D31342"/>
    <w:rsid w:val="00D31653"/>
    <w:rsid w:val="00D316AA"/>
    <w:rsid w:val="00D316C0"/>
    <w:rsid w:val="00D32090"/>
    <w:rsid w:val="00D320AA"/>
    <w:rsid w:val="00D320F8"/>
    <w:rsid w:val="00D321F0"/>
    <w:rsid w:val="00D32317"/>
    <w:rsid w:val="00D3268C"/>
    <w:rsid w:val="00D328E1"/>
    <w:rsid w:val="00D32DCD"/>
    <w:rsid w:val="00D336F0"/>
    <w:rsid w:val="00D33739"/>
    <w:rsid w:val="00D33C42"/>
    <w:rsid w:val="00D34089"/>
    <w:rsid w:val="00D345F4"/>
    <w:rsid w:val="00D348F0"/>
    <w:rsid w:val="00D34AD7"/>
    <w:rsid w:val="00D34B9F"/>
    <w:rsid w:val="00D34DA2"/>
    <w:rsid w:val="00D34E2B"/>
    <w:rsid w:val="00D34E69"/>
    <w:rsid w:val="00D35168"/>
    <w:rsid w:val="00D3521C"/>
    <w:rsid w:val="00D35420"/>
    <w:rsid w:val="00D356C6"/>
    <w:rsid w:val="00D35A85"/>
    <w:rsid w:val="00D35B66"/>
    <w:rsid w:val="00D35B9D"/>
    <w:rsid w:val="00D35DC0"/>
    <w:rsid w:val="00D35E2B"/>
    <w:rsid w:val="00D3602F"/>
    <w:rsid w:val="00D36203"/>
    <w:rsid w:val="00D36207"/>
    <w:rsid w:val="00D365DF"/>
    <w:rsid w:val="00D368A2"/>
    <w:rsid w:val="00D3693A"/>
    <w:rsid w:val="00D36CE9"/>
    <w:rsid w:val="00D36DE1"/>
    <w:rsid w:val="00D3711F"/>
    <w:rsid w:val="00D3724D"/>
    <w:rsid w:val="00D37273"/>
    <w:rsid w:val="00D3737D"/>
    <w:rsid w:val="00D37387"/>
    <w:rsid w:val="00D37391"/>
    <w:rsid w:val="00D377F4"/>
    <w:rsid w:val="00D37A18"/>
    <w:rsid w:val="00D37B15"/>
    <w:rsid w:val="00D37B5E"/>
    <w:rsid w:val="00D37DC5"/>
    <w:rsid w:val="00D40048"/>
    <w:rsid w:val="00D40282"/>
    <w:rsid w:val="00D40520"/>
    <w:rsid w:val="00D40535"/>
    <w:rsid w:val="00D40654"/>
    <w:rsid w:val="00D409D7"/>
    <w:rsid w:val="00D40EAB"/>
    <w:rsid w:val="00D413E8"/>
    <w:rsid w:val="00D41448"/>
    <w:rsid w:val="00D41AF6"/>
    <w:rsid w:val="00D41E39"/>
    <w:rsid w:val="00D42018"/>
    <w:rsid w:val="00D422C0"/>
    <w:rsid w:val="00D42461"/>
    <w:rsid w:val="00D428BA"/>
    <w:rsid w:val="00D42A82"/>
    <w:rsid w:val="00D42A94"/>
    <w:rsid w:val="00D42EC5"/>
    <w:rsid w:val="00D43047"/>
    <w:rsid w:val="00D4337A"/>
    <w:rsid w:val="00D43441"/>
    <w:rsid w:val="00D436A5"/>
    <w:rsid w:val="00D436F0"/>
    <w:rsid w:val="00D438AA"/>
    <w:rsid w:val="00D439D0"/>
    <w:rsid w:val="00D43A2F"/>
    <w:rsid w:val="00D43CB5"/>
    <w:rsid w:val="00D43DC5"/>
    <w:rsid w:val="00D44152"/>
    <w:rsid w:val="00D44A32"/>
    <w:rsid w:val="00D44B9A"/>
    <w:rsid w:val="00D44D52"/>
    <w:rsid w:val="00D44F1F"/>
    <w:rsid w:val="00D4506D"/>
    <w:rsid w:val="00D45273"/>
    <w:rsid w:val="00D45297"/>
    <w:rsid w:val="00D457FD"/>
    <w:rsid w:val="00D4580B"/>
    <w:rsid w:val="00D458C7"/>
    <w:rsid w:val="00D45A4C"/>
    <w:rsid w:val="00D45D20"/>
    <w:rsid w:val="00D45D6A"/>
    <w:rsid w:val="00D464E1"/>
    <w:rsid w:val="00D4687A"/>
    <w:rsid w:val="00D46974"/>
    <w:rsid w:val="00D46C49"/>
    <w:rsid w:val="00D46D49"/>
    <w:rsid w:val="00D46FF6"/>
    <w:rsid w:val="00D47087"/>
    <w:rsid w:val="00D4723E"/>
    <w:rsid w:val="00D472E2"/>
    <w:rsid w:val="00D474BB"/>
    <w:rsid w:val="00D47558"/>
    <w:rsid w:val="00D4761D"/>
    <w:rsid w:val="00D476B3"/>
    <w:rsid w:val="00D47825"/>
    <w:rsid w:val="00D4784B"/>
    <w:rsid w:val="00D47861"/>
    <w:rsid w:val="00D47898"/>
    <w:rsid w:val="00D47B1A"/>
    <w:rsid w:val="00D47EA2"/>
    <w:rsid w:val="00D50157"/>
    <w:rsid w:val="00D50779"/>
    <w:rsid w:val="00D50939"/>
    <w:rsid w:val="00D50983"/>
    <w:rsid w:val="00D50AAB"/>
    <w:rsid w:val="00D50BBC"/>
    <w:rsid w:val="00D50BE8"/>
    <w:rsid w:val="00D50C5E"/>
    <w:rsid w:val="00D50C95"/>
    <w:rsid w:val="00D50D9E"/>
    <w:rsid w:val="00D50E63"/>
    <w:rsid w:val="00D50F1D"/>
    <w:rsid w:val="00D50F49"/>
    <w:rsid w:val="00D513CB"/>
    <w:rsid w:val="00D51575"/>
    <w:rsid w:val="00D51898"/>
    <w:rsid w:val="00D51A1C"/>
    <w:rsid w:val="00D51F33"/>
    <w:rsid w:val="00D522F9"/>
    <w:rsid w:val="00D524DD"/>
    <w:rsid w:val="00D524E7"/>
    <w:rsid w:val="00D52714"/>
    <w:rsid w:val="00D527C2"/>
    <w:rsid w:val="00D528BC"/>
    <w:rsid w:val="00D52DB1"/>
    <w:rsid w:val="00D52E7A"/>
    <w:rsid w:val="00D52EE4"/>
    <w:rsid w:val="00D52F0D"/>
    <w:rsid w:val="00D52FB0"/>
    <w:rsid w:val="00D530CA"/>
    <w:rsid w:val="00D53203"/>
    <w:rsid w:val="00D53235"/>
    <w:rsid w:val="00D53348"/>
    <w:rsid w:val="00D5376D"/>
    <w:rsid w:val="00D53ABB"/>
    <w:rsid w:val="00D53BE6"/>
    <w:rsid w:val="00D53C36"/>
    <w:rsid w:val="00D53DA5"/>
    <w:rsid w:val="00D53E09"/>
    <w:rsid w:val="00D540B2"/>
    <w:rsid w:val="00D54138"/>
    <w:rsid w:val="00D542BC"/>
    <w:rsid w:val="00D547EC"/>
    <w:rsid w:val="00D54EAB"/>
    <w:rsid w:val="00D5501F"/>
    <w:rsid w:val="00D553C1"/>
    <w:rsid w:val="00D55536"/>
    <w:rsid w:val="00D55566"/>
    <w:rsid w:val="00D55BE3"/>
    <w:rsid w:val="00D55FCE"/>
    <w:rsid w:val="00D55FE0"/>
    <w:rsid w:val="00D562FF"/>
    <w:rsid w:val="00D5632B"/>
    <w:rsid w:val="00D563AC"/>
    <w:rsid w:val="00D566FE"/>
    <w:rsid w:val="00D56724"/>
    <w:rsid w:val="00D567B0"/>
    <w:rsid w:val="00D5685B"/>
    <w:rsid w:val="00D56865"/>
    <w:rsid w:val="00D56969"/>
    <w:rsid w:val="00D56A0A"/>
    <w:rsid w:val="00D57052"/>
    <w:rsid w:val="00D57366"/>
    <w:rsid w:val="00D57429"/>
    <w:rsid w:val="00D575CB"/>
    <w:rsid w:val="00D575DA"/>
    <w:rsid w:val="00D57806"/>
    <w:rsid w:val="00D57C32"/>
    <w:rsid w:val="00D57CDA"/>
    <w:rsid w:val="00D57CDD"/>
    <w:rsid w:val="00D6003C"/>
    <w:rsid w:val="00D60461"/>
    <w:rsid w:val="00D605D5"/>
    <w:rsid w:val="00D60716"/>
    <w:rsid w:val="00D60800"/>
    <w:rsid w:val="00D608A8"/>
    <w:rsid w:val="00D60931"/>
    <w:rsid w:val="00D60AC2"/>
    <w:rsid w:val="00D60B81"/>
    <w:rsid w:val="00D60C51"/>
    <w:rsid w:val="00D60C92"/>
    <w:rsid w:val="00D610CB"/>
    <w:rsid w:val="00D61201"/>
    <w:rsid w:val="00D61341"/>
    <w:rsid w:val="00D61411"/>
    <w:rsid w:val="00D61469"/>
    <w:rsid w:val="00D614C1"/>
    <w:rsid w:val="00D61837"/>
    <w:rsid w:val="00D618A5"/>
    <w:rsid w:val="00D61D24"/>
    <w:rsid w:val="00D62415"/>
    <w:rsid w:val="00D629D7"/>
    <w:rsid w:val="00D62C06"/>
    <w:rsid w:val="00D62C45"/>
    <w:rsid w:val="00D62D9B"/>
    <w:rsid w:val="00D62DEC"/>
    <w:rsid w:val="00D62E2A"/>
    <w:rsid w:val="00D62F2E"/>
    <w:rsid w:val="00D62F87"/>
    <w:rsid w:val="00D630A3"/>
    <w:rsid w:val="00D632B8"/>
    <w:rsid w:val="00D63386"/>
    <w:rsid w:val="00D6356B"/>
    <w:rsid w:val="00D635BE"/>
    <w:rsid w:val="00D638FF"/>
    <w:rsid w:val="00D63B71"/>
    <w:rsid w:val="00D63C8C"/>
    <w:rsid w:val="00D63D29"/>
    <w:rsid w:val="00D63D78"/>
    <w:rsid w:val="00D643E6"/>
    <w:rsid w:val="00D64570"/>
    <w:rsid w:val="00D646DD"/>
    <w:rsid w:val="00D64836"/>
    <w:rsid w:val="00D649DE"/>
    <w:rsid w:val="00D64AE4"/>
    <w:rsid w:val="00D64B4F"/>
    <w:rsid w:val="00D64BD0"/>
    <w:rsid w:val="00D64E72"/>
    <w:rsid w:val="00D6501D"/>
    <w:rsid w:val="00D6543A"/>
    <w:rsid w:val="00D65552"/>
    <w:rsid w:val="00D65723"/>
    <w:rsid w:val="00D65915"/>
    <w:rsid w:val="00D65962"/>
    <w:rsid w:val="00D65A1D"/>
    <w:rsid w:val="00D65B3C"/>
    <w:rsid w:val="00D65D1E"/>
    <w:rsid w:val="00D65D53"/>
    <w:rsid w:val="00D65F36"/>
    <w:rsid w:val="00D6609A"/>
    <w:rsid w:val="00D6627F"/>
    <w:rsid w:val="00D664B5"/>
    <w:rsid w:val="00D667F0"/>
    <w:rsid w:val="00D6690B"/>
    <w:rsid w:val="00D669ED"/>
    <w:rsid w:val="00D66C23"/>
    <w:rsid w:val="00D66F2C"/>
    <w:rsid w:val="00D67011"/>
    <w:rsid w:val="00D671B4"/>
    <w:rsid w:val="00D672F2"/>
    <w:rsid w:val="00D6733F"/>
    <w:rsid w:val="00D67724"/>
    <w:rsid w:val="00D6776A"/>
    <w:rsid w:val="00D67A4E"/>
    <w:rsid w:val="00D67B8E"/>
    <w:rsid w:val="00D67BD7"/>
    <w:rsid w:val="00D67CAA"/>
    <w:rsid w:val="00D7009F"/>
    <w:rsid w:val="00D703BA"/>
    <w:rsid w:val="00D70601"/>
    <w:rsid w:val="00D707ED"/>
    <w:rsid w:val="00D70E89"/>
    <w:rsid w:val="00D71038"/>
    <w:rsid w:val="00D71635"/>
    <w:rsid w:val="00D717B6"/>
    <w:rsid w:val="00D71B6F"/>
    <w:rsid w:val="00D71CEF"/>
    <w:rsid w:val="00D71EC3"/>
    <w:rsid w:val="00D720A8"/>
    <w:rsid w:val="00D7210D"/>
    <w:rsid w:val="00D72277"/>
    <w:rsid w:val="00D723CB"/>
    <w:rsid w:val="00D72632"/>
    <w:rsid w:val="00D72691"/>
    <w:rsid w:val="00D729B4"/>
    <w:rsid w:val="00D72D6F"/>
    <w:rsid w:val="00D72DFA"/>
    <w:rsid w:val="00D72F40"/>
    <w:rsid w:val="00D72FBC"/>
    <w:rsid w:val="00D73061"/>
    <w:rsid w:val="00D7325A"/>
    <w:rsid w:val="00D732CD"/>
    <w:rsid w:val="00D7335E"/>
    <w:rsid w:val="00D733AD"/>
    <w:rsid w:val="00D7342E"/>
    <w:rsid w:val="00D73762"/>
    <w:rsid w:val="00D73B55"/>
    <w:rsid w:val="00D73BC2"/>
    <w:rsid w:val="00D741CC"/>
    <w:rsid w:val="00D742C9"/>
    <w:rsid w:val="00D7438C"/>
    <w:rsid w:val="00D74622"/>
    <w:rsid w:val="00D74B35"/>
    <w:rsid w:val="00D74B92"/>
    <w:rsid w:val="00D74DB2"/>
    <w:rsid w:val="00D74F90"/>
    <w:rsid w:val="00D75120"/>
    <w:rsid w:val="00D75232"/>
    <w:rsid w:val="00D75351"/>
    <w:rsid w:val="00D7535E"/>
    <w:rsid w:val="00D755AA"/>
    <w:rsid w:val="00D75788"/>
    <w:rsid w:val="00D757B1"/>
    <w:rsid w:val="00D75816"/>
    <w:rsid w:val="00D75A10"/>
    <w:rsid w:val="00D75C27"/>
    <w:rsid w:val="00D75E8C"/>
    <w:rsid w:val="00D76281"/>
    <w:rsid w:val="00D76605"/>
    <w:rsid w:val="00D76C4F"/>
    <w:rsid w:val="00D76E62"/>
    <w:rsid w:val="00D77614"/>
    <w:rsid w:val="00D77A3F"/>
    <w:rsid w:val="00D77BC2"/>
    <w:rsid w:val="00D77BD0"/>
    <w:rsid w:val="00D77BF9"/>
    <w:rsid w:val="00D77F2D"/>
    <w:rsid w:val="00D801EC"/>
    <w:rsid w:val="00D8021A"/>
    <w:rsid w:val="00D80492"/>
    <w:rsid w:val="00D8061A"/>
    <w:rsid w:val="00D80BBB"/>
    <w:rsid w:val="00D80BC7"/>
    <w:rsid w:val="00D80BF2"/>
    <w:rsid w:val="00D80F04"/>
    <w:rsid w:val="00D81436"/>
    <w:rsid w:val="00D817E9"/>
    <w:rsid w:val="00D81E04"/>
    <w:rsid w:val="00D8227D"/>
    <w:rsid w:val="00D822AF"/>
    <w:rsid w:val="00D823A0"/>
    <w:rsid w:val="00D827FA"/>
    <w:rsid w:val="00D828B8"/>
    <w:rsid w:val="00D82929"/>
    <w:rsid w:val="00D82B36"/>
    <w:rsid w:val="00D82B4A"/>
    <w:rsid w:val="00D82B94"/>
    <w:rsid w:val="00D82BB2"/>
    <w:rsid w:val="00D82C1D"/>
    <w:rsid w:val="00D82C3F"/>
    <w:rsid w:val="00D82F8A"/>
    <w:rsid w:val="00D82FE5"/>
    <w:rsid w:val="00D830DA"/>
    <w:rsid w:val="00D83642"/>
    <w:rsid w:val="00D837E5"/>
    <w:rsid w:val="00D83815"/>
    <w:rsid w:val="00D83B61"/>
    <w:rsid w:val="00D83D4A"/>
    <w:rsid w:val="00D83D9B"/>
    <w:rsid w:val="00D83DBD"/>
    <w:rsid w:val="00D83DCB"/>
    <w:rsid w:val="00D83E89"/>
    <w:rsid w:val="00D8413A"/>
    <w:rsid w:val="00D84208"/>
    <w:rsid w:val="00D8434E"/>
    <w:rsid w:val="00D84375"/>
    <w:rsid w:val="00D84630"/>
    <w:rsid w:val="00D84662"/>
    <w:rsid w:val="00D84831"/>
    <w:rsid w:val="00D848A9"/>
    <w:rsid w:val="00D84C9D"/>
    <w:rsid w:val="00D84E36"/>
    <w:rsid w:val="00D84ED3"/>
    <w:rsid w:val="00D851F0"/>
    <w:rsid w:val="00D8574D"/>
    <w:rsid w:val="00D85897"/>
    <w:rsid w:val="00D858A4"/>
    <w:rsid w:val="00D85AED"/>
    <w:rsid w:val="00D86310"/>
    <w:rsid w:val="00D86479"/>
    <w:rsid w:val="00D8683F"/>
    <w:rsid w:val="00D86A7B"/>
    <w:rsid w:val="00D86ABA"/>
    <w:rsid w:val="00D871DA"/>
    <w:rsid w:val="00D87384"/>
    <w:rsid w:val="00D87440"/>
    <w:rsid w:val="00D87758"/>
    <w:rsid w:val="00D8782D"/>
    <w:rsid w:val="00D87FAA"/>
    <w:rsid w:val="00D90290"/>
    <w:rsid w:val="00D9038B"/>
    <w:rsid w:val="00D90D8D"/>
    <w:rsid w:val="00D90E51"/>
    <w:rsid w:val="00D90F33"/>
    <w:rsid w:val="00D90FE1"/>
    <w:rsid w:val="00D915F4"/>
    <w:rsid w:val="00D91722"/>
    <w:rsid w:val="00D9184B"/>
    <w:rsid w:val="00D919FD"/>
    <w:rsid w:val="00D91B44"/>
    <w:rsid w:val="00D91C49"/>
    <w:rsid w:val="00D91CD8"/>
    <w:rsid w:val="00D91D68"/>
    <w:rsid w:val="00D91E15"/>
    <w:rsid w:val="00D91E2E"/>
    <w:rsid w:val="00D9203D"/>
    <w:rsid w:val="00D92DF5"/>
    <w:rsid w:val="00D92EC6"/>
    <w:rsid w:val="00D93075"/>
    <w:rsid w:val="00D931AC"/>
    <w:rsid w:val="00D93222"/>
    <w:rsid w:val="00D93395"/>
    <w:rsid w:val="00D933DA"/>
    <w:rsid w:val="00D9345E"/>
    <w:rsid w:val="00D935D5"/>
    <w:rsid w:val="00D93662"/>
    <w:rsid w:val="00D93A5C"/>
    <w:rsid w:val="00D9451F"/>
    <w:rsid w:val="00D946EB"/>
    <w:rsid w:val="00D94991"/>
    <w:rsid w:val="00D949DF"/>
    <w:rsid w:val="00D94C48"/>
    <w:rsid w:val="00D94C54"/>
    <w:rsid w:val="00D94F0F"/>
    <w:rsid w:val="00D94FEE"/>
    <w:rsid w:val="00D95146"/>
    <w:rsid w:val="00D95242"/>
    <w:rsid w:val="00D9524B"/>
    <w:rsid w:val="00D952B9"/>
    <w:rsid w:val="00D9557A"/>
    <w:rsid w:val="00D9562C"/>
    <w:rsid w:val="00D95920"/>
    <w:rsid w:val="00D9593B"/>
    <w:rsid w:val="00D95D12"/>
    <w:rsid w:val="00D95E78"/>
    <w:rsid w:val="00D95E88"/>
    <w:rsid w:val="00D96732"/>
    <w:rsid w:val="00D96D72"/>
    <w:rsid w:val="00D96E34"/>
    <w:rsid w:val="00D9716F"/>
    <w:rsid w:val="00D97238"/>
    <w:rsid w:val="00D972B5"/>
    <w:rsid w:val="00D97404"/>
    <w:rsid w:val="00D975E4"/>
    <w:rsid w:val="00D976BD"/>
    <w:rsid w:val="00D977E7"/>
    <w:rsid w:val="00D97C8A"/>
    <w:rsid w:val="00DA0076"/>
    <w:rsid w:val="00DA017C"/>
    <w:rsid w:val="00DA0184"/>
    <w:rsid w:val="00DA039A"/>
    <w:rsid w:val="00DA03BC"/>
    <w:rsid w:val="00DA03E7"/>
    <w:rsid w:val="00DA06C9"/>
    <w:rsid w:val="00DA0881"/>
    <w:rsid w:val="00DA0888"/>
    <w:rsid w:val="00DA0B02"/>
    <w:rsid w:val="00DA0BA9"/>
    <w:rsid w:val="00DA0EE6"/>
    <w:rsid w:val="00DA0F3A"/>
    <w:rsid w:val="00DA0FB9"/>
    <w:rsid w:val="00DA1B5F"/>
    <w:rsid w:val="00DA21BC"/>
    <w:rsid w:val="00DA2404"/>
    <w:rsid w:val="00DA2412"/>
    <w:rsid w:val="00DA2474"/>
    <w:rsid w:val="00DA24B8"/>
    <w:rsid w:val="00DA2550"/>
    <w:rsid w:val="00DA25BC"/>
    <w:rsid w:val="00DA289C"/>
    <w:rsid w:val="00DA293C"/>
    <w:rsid w:val="00DA2962"/>
    <w:rsid w:val="00DA29C5"/>
    <w:rsid w:val="00DA29D1"/>
    <w:rsid w:val="00DA2C54"/>
    <w:rsid w:val="00DA2F16"/>
    <w:rsid w:val="00DA316E"/>
    <w:rsid w:val="00DA3596"/>
    <w:rsid w:val="00DA39D5"/>
    <w:rsid w:val="00DA3A36"/>
    <w:rsid w:val="00DA3AF9"/>
    <w:rsid w:val="00DA3C39"/>
    <w:rsid w:val="00DA4003"/>
    <w:rsid w:val="00DA4603"/>
    <w:rsid w:val="00DA478E"/>
    <w:rsid w:val="00DA4E0F"/>
    <w:rsid w:val="00DA5155"/>
    <w:rsid w:val="00DA5265"/>
    <w:rsid w:val="00DA53FF"/>
    <w:rsid w:val="00DA5840"/>
    <w:rsid w:val="00DA58FC"/>
    <w:rsid w:val="00DA5A63"/>
    <w:rsid w:val="00DA5AD6"/>
    <w:rsid w:val="00DA5E9F"/>
    <w:rsid w:val="00DA61CD"/>
    <w:rsid w:val="00DA6345"/>
    <w:rsid w:val="00DA6901"/>
    <w:rsid w:val="00DA699B"/>
    <w:rsid w:val="00DA6B32"/>
    <w:rsid w:val="00DA6B8D"/>
    <w:rsid w:val="00DA6C2D"/>
    <w:rsid w:val="00DA6C4F"/>
    <w:rsid w:val="00DA6DAC"/>
    <w:rsid w:val="00DA6F6A"/>
    <w:rsid w:val="00DA7019"/>
    <w:rsid w:val="00DA71BD"/>
    <w:rsid w:val="00DA72D2"/>
    <w:rsid w:val="00DA747F"/>
    <w:rsid w:val="00DA7793"/>
    <w:rsid w:val="00DA7B13"/>
    <w:rsid w:val="00DA7C0C"/>
    <w:rsid w:val="00DA7D12"/>
    <w:rsid w:val="00DA7F2B"/>
    <w:rsid w:val="00DA7F99"/>
    <w:rsid w:val="00DB0073"/>
    <w:rsid w:val="00DB05FC"/>
    <w:rsid w:val="00DB06C8"/>
    <w:rsid w:val="00DB0930"/>
    <w:rsid w:val="00DB0CC1"/>
    <w:rsid w:val="00DB0D13"/>
    <w:rsid w:val="00DB102C"/>
    <w:rsid w:val="00DB13F4"/>
    <w:rsid w:val="00DB1440"/>
    <w:rsid w:val="00DB1447"/>
    <w:rsid w:val="00DB17FF"/>
    <w:rsid w:val="00DB1898"/>
    <w:rsid w:val="00DB1A27"/>
    <w:rsid w:val="00DB1C90"/>
    <w:rsid w:val="00DB1CAF"/>
    <w:rsid w:val="00DB1D36"/>
    <w:rsid w:val="00DB211E"/>
    <w:rsid w:val="00DB21D7"/>
    <w:rsid w:val="00DB2254"/>
    <w:rsid w:val="00DB26BA"/>
    <w:rsid w:val="00DB2A69"/>
    <w:rsid w:val="00DB2C17"/>
    <w:rsid w:val="00DB2CC7"/>
    <w:rsid w:val="00DB2D66"/>
    <w:rsid w:val="00DB2EAD"/>
    <w:rsid w:val="00DB2F50"/>
    <w:rsid w:val="00DB3083"/>
    <w:rsid w:val="00DB368F"/>
    <w:rsid w:val="00DB3E56"/>
    <w:rsid w:val="00DB3F08"/>
    <w:rsid w:val="00DB421C"/>
    <w:rsid w:val="00DB442D"/>
    <w:rsid w:val="00DB453F"/>
    <w:rsid w:val="00DB4886"/>
    <w:rsid w:val="00DB4932"/>
    <w:rsid w:val="00DB4AEE"/>
    <w:rsid w:val="00DB4BA6"/>
    <w:rsid w:val="00DB4D44"/>
    <w:rsid w:val="00DB4ED3"/>
    <w:rsid w:val="00DB4F56"/>
    <w:rsid w:val="00DB5049"/>
    <w:rsid w:val="00DB5122"/>
    <w:rsid w:val="00DB5251"/>
    <w:rsid w:val="00DB54DA"/>
    <w:rsid w:val="00DB562A"/>
    <w:rsid w:val="00DB57DA"/>
    <w:rsid w:val="00DB5E54"/>
    <w:rsid w:val="00DB5FD9"/>
    <w:rsid w:val="00DB631D"/>
    <w:rsid w:val="00DB637E"/>
    <w:rsid w:val="00DB6761"/>
    <w:rsid w:val="00DB689B"/>
    <w:rsid w:val="00DB68E7"/>
    <w:rsid w:val="00DB6A97"/>
    <w:rsid w:val="00DB6B7E"/>
    <w:rsid w:val="00DB6BC6"/>
    <w:rsid w:val="00DB70CD"/>
    <w:rsid w:val="00DB7351"/>
    <w:rsid w:val="00DB7B4A"/>
    <w:rsid w:val="00DB7B8F"/>
    <w:rsid w:val="00DB7BC0"/>
    <w:rsid w:val="00DB7DAF"/>
    <w:rsid w:val="00DB7EEB"/>
    <w:rsid w:val="00DB7F14"/>
    <w:rsid w:val="00DC02B4"/>
    <w:rsid w:val="00DC0B28"/>
    <w:rsid w:val="00DC0C74"/>
    <w:rsid w:val="00DC0D4E"/>
    <w:rsid w:val="00DC0D9D"/>
    <w:rsid w:val="00DC0F7A"/>
    <w:rsid w:val="00DC1396"/>
    <w:rsid w:val="00DC1B7D"/>
    <w:rsid w:val="00DC1BA1"/>
    <w:rsid w:val="00DC1C75"/>
    <w:rsid w:val="00DC1DA4"/>
    <w:rsid w:val="00DC1FE7"/>
    <w:rsid w:val="00DC22F0"/>
    <w:rsid w:val="00DC23AE"/>
    <w:rsid w:val="00DC276D"/>
    <w:rsid w:val="00DC2857"/>
    <w:rsid w:val="00DC2960"/>
    <w:rsid w:val="00DC2A32"/>
    <w:rsid w:val="00DC2AB1"/>
    <w:rsid w:val="00DC2FF3"/>
    <w:rsid w:val="00DC3071"/>
    <w:rsid w:val="00DC308E"/>
    <w:rsid w:val="00DC3423"/>
    <w:rsid w:val="00DC36A1"/>
    <w:rsid w:val="00DC36BD"/>
    <w:rsid w:val="00DC37D5"/>
    <w:rsid w:val="00DC389C"/>
    <w:rsid w:val="00DC3972"/>
    <w:rsid w:val="00DC3ADA"/>
    <w:rsid w:val="00DC3FA9"/>
    <w:rsid w:val="00DC4212"/>
    <w:rsid w:val="00DC42EC"/>
    <w:rsid w:val="00DC4547"/>
    <w:rsid w:val="00DC4849"/>
    <w:rsid w:val="00DC48A9"/>
    <w:rsid w:val="00DC4950"/>
    <w:rsid w:val="00DC4A3E"/>
    <w:rsid w:val="00DC4A65"/>
    <w:rsid w:val="00DC5126"/>
    <w:rsid w:val="00DC56D7"/>
    <w:rsid w:val="00DC5926"/>
    <w:rsid w:val="00DC5A74"/>
    <w:rsid w:val="00DC5FF2"/>
    <w:rsid w:val="00DC6090"/>
    <w:rsid w:val="00DC63E1"/>
    <w:rsid w:val="00DC6469"/>
    <w:rsid w:val="00DC64C9"/>
    <w:rsid w:val="00DC68B5"/>
    <w:rsid w:val="00DC6B26"/>
    <w:rsid w:val="00DC6F54"/>
    <w:rsid w:val="00DC7005"/>
    <w:rsid w:val="00DC718A"/>
    <w:rsid w:val="00DC78FB"/>
    <w:rsid w:val="00DC79B7"/>
    <w:rsid w:val="00DD008D"/>
    <w:rsid w:val="00DD0101"/>
    <w:rsid w:val="00DD03AA"/>
    <w:rsid w:val="00DD04AA"/>
    <w:rsid w:val="00DD0523"/>
    <w:rsid w:val="00DD0591"/>
    <w:rsid w:val="00DD0640"/>
    <w:rsid w:val="00DD08AF"/>
    <w:rsid w:val="00DD08B6"/>
    <w:rsid w:val="00DD0932"/>
    <w:rsid w:val="00DD0949"/>
    <w:rsid w:val="00DD0AB8"/>
    <w:rsid w:val="00DD0D1B"/>
    <w:rsid w:val="00DD0DC6"/>
    <w:rsid w:val="00DD0F26"/>
    <w:rsid w:val="00DD0FD8"/>
    <w:rsid w:val="00DD1788"/>
    <w:rsid w:val="00DD1811"/>
    <w:rsid w:val="00DD1952"/>
    <w:rsid w:val="00DD1A8B"/>
    <w:rsid w:val="00DD1B07"/>
    <w:rsid w:val="00DD1CA1"/>
    <w:rsid w:val="00DD1CA2"/>
    <w:rsid w:val="00DD2293"/>
    <w:rsid w:val="00DD2330"/>
    <w:rsid w:val="00DD2380"/>
    <w:rsid w:val="00DD23E4"/>
    <w:rsid w:val="00DD23E9"/>
    <w:rsid w:val="00DD2687"/>
    <w:rsid w:val="00DD278D"/>
    <w:rsid w:val="00DD2965"/>
    <w:rsid w:val="00DD2B63"/>
    <w:rsid w:val="00DD2DE9"/>
    <w:rsid w:val="00DD3211"/>
    <w:rsid w:val="00DD344B"/>
    <w:rsid w:val="00DD34E4"/>
    <w:rsid w:val="00DD3777"/>
    <w:rsid w:val="00DD38DD"/>
    <w:rsid w:val="00DD3BC6"/>
    <w:rsid w:val="00DD3CE6"/>
    <w:rsid w:val="00DD3DBF"/>
    <w:rsid w:val="00DD3DC9"/>
    <w:rsid w:val="00DD3F77"/>
    <w:rsid w:val="00DD424E"/>
    <w:rsid w:val="00DD4419"/>
    <w:rsid w:val="00DD47BA"/>
    <w:rsid w:val="00DD4952"/>
    <w:rsid w:val="00DD4F02"/>
    <w:rsid w:val="00DD4FCD"/>
    <w:rsid w:val="00DD5556"/>
    <w:rsid w:val="00DD5B6B"/>
    <w:rsid w:val="00DD5DCE"/>
    <w:rsid w:val="00DD5F11"/>
    <w:rsid w:val="00DD5F68"/>
    <w:rsid w:val="00DD611A"/>
    <w:rsid w:val="00DD6271"/>
    <w:rsid w:val="00DD62C8"/>
    <w:rsid w:val="00DD6319"/>
    <w:rsid w:val="00DD665B"/>
    <w:rsid w:val="00DD6792"/>
    <w:rsid w:val="00DD69ED"/>
    <w:rsid w:val="00DD6DE7"/>
    <w:rsid w:val="00DD703B"/>
    <w:rsid w:val="00DD7126"/>
    <w:rsid w:val="00DD7191"/>
    <w:rsid w:val="00DD722B"/>
    <w:rsid w:val="00DD726E"/>
    <w:rsid w:val="00DD737D"/>
    <w:rsid w:val="00DD740B"/>
    <w:rsid w:val="00DD74CF"/>
    <w:rsid w:val="00DD770F"/>
    <w:rsid w:val="00DD7CC0"/>
    <w:rsid w:val="00DD7D04"/>
    <w:rsid w:val="00DD7D83"/>
    <w:rsid w:val="00DE02A2"/>
    <w:rsid w:val="00DE0359"/>
    <w:rsid w:val="00DE046A"/>
    <w:rsid w:val="00DE0840"/>
    <w:rsid w:val="00DE0A64"/>
    <w:rsid w:val="00DE0B17"/>
    <w:rsid w:val="00DE0C69"/>
    <w:rsid w:val="00DE0E06"/>
    <w:rsid w:val="00DE10BD"/>
    <w:rsid w:val="00DE116A"/>
    <w:rsid w:val="00DE13AE"/>
    <w:rsid w:val="00DE18B1"/>
    <w:rsid w:val="00DE19F5"/>
    <w:rsid w:val="00DE1D8A"/>
    <w:rsid w:val="00DE21F5"/>
    <w:rsid w:val="00DE2483"/>
    <w:rsid w:val="00DE2778"/>
    <w:rsid w:val="00DE2A5C"/>
    <w:rsid w:val="00DE2AE1"/>
    <w:rsid w:val="00DE33F7"/>
    <w:rsid w:val="00DE349F"/>
    <w:rsid w:val="00DE35DA"/>
    <w:rsid w:val="00DE36A3"/>
    <w:rsid w:val="00DE3780"/>
    <w:rsid w:val="00DE39A6"/>
    <w:rsid w:val="00DE3E62"/>
    <w:rsid w:val="00DE418F"/>
    <w:rsid w:val="00DE431E"/>
    <w:rsid w:val="00DE44AE"/>
    <w:rsid w:val="00DE45CC"/>
    <w:rsid w:val="00DE46A7"/>
    <w:rsid w:val="00DE46CA"/>
    <w:rsid w:val="00DE4899"/>
    <w:rsid w:val="00DE4E88"/>
    <w:rsid w:val="00DE510B"/>
    <w:rsid w:val="00DE51A9"/>
    <w:rsid w:val="00DE53BB"/>
    <w:rsid w:val="00DE5CCC"/>
    <w:rsid w:val="00DE5F58"/>
    <w:rsid w:val="00DE5F75"/>
    <w:rsid w:val="00DE5FD2"/>
    <w:rsid w:val="00DE6247"/>
    <w:rsid w:val="00DE6336"/>
    <w:rsid w:val="00DE6482"/>
    <w:rsid w:val="00DE723B"/>
    <w:rsid w:val="00DE733C"/>
    <w:rsid w:val="00DE7467"/>
    <w:rsid w:val="00DE7606"/>
    <w:rsid w:val="00DE7E26"/>
    <w:rsid w:val="00DF001F"/>
    <w:rsid w:val="00DF02E4"/>
    <w:rsid w:val="00DF038F"/>
    <w:rsid w:val="00DF0834"/>
    <w:rsid w:val="00DF08DF"/>
    <w:rsid w:val="00DF0941"/>
    <w:rsid w:val="00DF0A5A"/>
    <w:rsid w:val="00DF0A7C"/>
    <w:rsid w:val="00DF0ACA"/>
    <w:rsid w:val="00DF0D39"/>
    <w:rsid w:val="00DF0F00"/>
    <w:rsid w:val="00DF120F"/>
    <w:rsid w:val="00DF12D5"/>
    <w:rsid w:val="00DF1347"/>
    <w:rsid w:val="00DF13E3"/>
    <w:rsid w:val="00DF13E6"/>
    <w:rsid w:val="00DF14F5"/>
    <w:rsid w:val="00DF1524"/>
    <w:rsid w:val="00DF1620"/>
    <w:rsid w:val="00DF1A53"/>
    <w:rsid w:val="00DF1C43"/>
    <w:rsid w:val="00DF1EAD"/>
    <w:rsid w:val="00DF2058"/>
    <w:rsid w:val="00DF23FE"/>
    <w:rsid w:val="00DF2699"/>
    <w:rsid w:val="00DF2869"/>
    <w:rsid w:val="00DF28B6"/>
    <w:rsid w:val="00DF2AC4"/>
    <w:rsid w:val="00DF3181"/>
    <w:rsid w:val="00DF3278"/>
    <w:rsid w:val="00DF344D"/>
    <w:rsid w:val="00DF3553"/>
    <w:rsid w:val="00DF3885"/>
    <w:rsid w:val="00DF38F8"/>
    <w:rsid w:val="00DF3A80"/>
    <w:rsid w:val="00DF3C6F"/>
    <w:rsid w:val="00DF3D60"/>
    <w:rsid w:val="00DF3E9A"/>
    <w:rsid w:val="00DF3F4F"/>
    <w:rsid w:val="00DF40B3"/>
    <w:rsid w:val="00DF40F4"/>
    <w:rsid w:val="00DF42B0"/>
    <w:rsid w:val="00DF467E"/>
    <w:rsid w:val="00DF473D"/>
    <w:rsid w:val="00DF4BEF"/>
    <w:rsid w:val="00DF4F32"/>
    <w:rsid w:val="00DF4F6D"/>
    <w:rsid w:val="00DF5298"/>
    <w:rsid w:val="00DF532B"/>
    <w:rsid w:val="00DF5499"/>
    <w:rsid w:val="00DF54C9"/>
    <w:rsid w:val="00DF56DA"/>
    <w:rsid w:val="00DF597D"/>
    <w:rsid w:val="00DF5D35"/>
    <w:rsid w:val="00DF5E1E"/>
    <w:rsid w:val="00DF5E2B"/>
    <w:rsid w:val="00DF5F55"/>
    <w:rsid w:val="00DF615F"/>
    <w:rsid w:val="00DF61C1"/>
    <w:rsid w:val="00DF6206"/>
    <w:rsid w:val="00DF62F3"/>
    <w:rsid w:val="00DF6325"/>
    <w:rsid w:val="00DF66DC"/>
    <w:rsid w:val="00DF69EA"/>
    <w:rsid w:val="00DF6BBF"/>
    <w:rsid w:val="00DF6C11"/>
    <w:rsid w:val="00DF6D84"/>
    <w:rsid w:val="00DF6F1B"/>
    <w:rsid w:val="00DF6FE7"/>
    <w:rsid w:val="00DF720D"/>
    <w:rsid w:val="00DF72F6"/>
    <w:rsid w:val="00DF73D9"/>
    <w:rsid w:val="00DF74CC"/>
    <w:rsid w:val="00DF7735"/>
    <w:rsid w:val="00DF7A10"/>
    <w:rsid w:val="00DF7AE4"/>
    <w:rsid w:val="00DF7B30"/>
    <w:rsid w:val="00DF7B67"/>
    <w:rsid w:val="00DF7E0D"/>
    <w:rsid w:val="00DF7E3E"/>
    <w:rsid w:val="00DF7FB4"/>
    <w:rsid w:val="00E00346"/>
    <w:rsid w:val="00E0051B"/>
    <w:rsid w:val="00E0099B"/>
    <w:rsid w:val="00E011FC"/>
    <w:rsid w:val="00E018DF"/>
    <w:rsid w:val="00E0194D"/>
    <w:rsid w:val="00E0195E"/>
    <w:rsid w:val="00E01DA8"/>
    <w:rsid w:val="00E01DF5"/>
    <w:rsid w:val="00E02097"/>
    <w:rsid w:val="00E020EA"/>
    <w:rsid w:val="00E0226B"/>
    <w:rsid w:val="00E023E8"/>
    <w:rsid w:val="00E0255D"/>
    <w:rsid w:val="00E0270B"/>
    <w:rsid w:val="00E0276D"/>
    <w:rsid w:val="00E02985"/>
    <w:rsid w:val="00E02BD1"/>
    <w:rsid w:val="00E02DC7"/>
    <w:rsid w:val="00E03116"/>
    <w:rsid w:val="00E03B28"/>
    <w:rsid w:val="00E03BAB"/>
    <w:rsid w:val="00E03C7B"/>
    <w:rsid w:val="00E04149"/>
    <w:rsid w:val="00E0455A"/>
    <w:rsid w:val="00E04774"/>
    <w:rsid w:val="00E047C9"/>
    <w:rsid w:val="00E04974"/>
    <w:rsid w:val="00E04B42"/>
    <w:rsid w:val="00E0503D"/>
    <w:rsid w:val="00E0531E"/>
    <w:rsid w:val="00E05453"/>
    <w:rsid w:val="00E054FF"/>
    <w:rsid w:val="00E05B14"/>
    <w:rsid w:val="00E05C98"/>
    <w:rsid w:val="00E06121"/>
    <w:rsid w:val="00E0621A"/>
    <w:rsid w:val="00E06598"/>
    <w:rsid w:val="00E06879"/>
    <w:rsid w:val="00E06905"/>
    <w:rsid w:val="00E06C98"/>
    <w:rsid w:val="00E06DA8"/>
    <w:rsid w:val="00E070F1"/>
    <w:rsid w:val="00E0711E"/>
    <w:rsid w:val="00E0732D"/>
    <w:rsid w:val="00E07353"/>
    <w:rsid w:val="00E073C6"/>
    <w:rsid w:val="00E074E6"/>
    <w:rsid w:val="00E07A59"/>
    <w:rsid w:val="00E07B94"/>
    <w:rsid w:val="00E07CB4"/>
    <w:rsid w:val="00E07CC2"/>
    <w:rsid w:val="00E1001E"/>
    <w:rsid w:val="00E100FF"/>
    <w:rsid w:val="00E1017F"/>
    <w:rsid w:val="00E101FC"/>
    <w:rsid w:val="00E10642"/>
    <w:rsid w:val="00E10815"/>
    <w:rsid w:val="00E10DC2"/>
    <w:rsid w:val="00E111BA"/>
    <w:rsid w:val="00E1149C"/>
    <w:rsid w:val="00E117BD"/>
    <w:rsid w:val="00E118CA"/>
    <w:rsid w:val="00E11A3B"/>
    <w:rsid w:val="00E12156"/>
    <w:rsid w:val="00E122B2"/>
    <w:rsid w:val="00E1275F"/>
    <w:rsid w:val="00E12BEF"/>
    <w:rsid w:val="00E12EA4"/>
    <w:rsid w:val="00E13BB7"/>
    <w:rsid w:val="00E13D5F"/>
    <w:rsid w:val="00E13E05"/>
    <w:rsid w:val="00E143D3"/>
    <w:rsid w:val="00E1440C"/>
    <w:rsid w:val="00E14424"/>
    <w:rsid w:val="00E144A3"/>
    <w:rsid w:val="00E1480F"/>
    <w:rsid w:val="00E14BB1"/>
    <w:rsid w:val="00E14DB6"/>
    <w:rsid w:val="00E14E8A"/>
    <w:rsid w:val="00E15290"/>
    <w:rsid w:val="00E1556B"/>
    <w:rsid w:val="00E155F1"/>
    <w:rsid w:val="00E15938"/>
    <w:rsid w:val="00E15C61"/>
    <w:rsid w:val="00E15E38"/>
    <w:rsid w:val="00E1610D"/>
    <w:rsid w:val="00E165BC"/>
    <w:rsid w:val="00E1668D"/>
    <w:rsid w:val="00E16762"/>
    <w:rsid w:val="00E167ED"/>
    <w:rsid w:val="00E17048"/>
    <w:rsid w:val="00E1719D"/>
    <w:rsid w:val="00E17337"/>
    <w:rsid w:val="00E174EE"/>
    <w:rsid w:val="00E17A5E"/>
    <w:rsid w:val="00E17DEB"/>
    <w:rsid w:val="00E17F36"/>
    <w:rsid w:val="00E201B9"/>
    <w:rsid w:val="00E201C7"/>
    <w:rsid w:val="00E20217"/>
    <w:rsid w:val="00E20496"/>
    <w:rsid w:val="00E20622"/>
    <w:rsid w:val="00E2066E"/>
    <w:rsid w:val="00E207E3"/>
    <w:rsid w:val="00E20853"/>
    <w:rsid w:val="00E20A63"/>
    <w:rsid w:val="00E20AF9"/>
    <w:rsid w:val="00E20BF8"/>
    <w:rsid w:val="00E2103B"/>
    <w:rsid w:val="00E2113E"/>
    <w:rsid w:val="00E214BF"/>
    <w:rsid w:val="00E21A99"/>
    <w:rsid w:val="00E21FE6"/>
    <w:rsid w:val="00E21FF7"/>
    <w:rsid w:val="00E2235F"/>
    <w:rsid w:val="00E22937"/>
    <w:rsid w:val="00E22954"/>
    <w:rsid w:val="00E22ABC"/>
    <w:rsid w:val="00E22E9E"/>
    <w:rsid w:val="00E23046"/>
    <w:rsid w:val="00E230BA"/>
    <w:rsid w:val="00E23402"/>
    <w:rsid w:val="00E234E6"/>
    <w:rsid w:val="00E23810"/>
    <w:rsid w:val="00E23BB1"/>
    <w:rsid w:val="00E24223"/>
    <w:rsid w:val="00E242A8"/>
    <w:rsid w:val="00E244D4"/>
    <w:rsid w:val="00E24703"/>
    <w:rsid w:val="00E24A50"/>
    <w:rsid w:val="00E24BDA"/>
    <w:rsid w:val="00E24D6B"/>
    <w:rsid w:val="00E24DE3"/>
    <w:rsid w:val="00E24F75"/>
    <w:rsid w:val="00E2511F"/>
    <w:rsid w:val="00E25239"/>
    <w:rsid w:val="00E254C1"/>
    <w:rsid w:val="00E255E8"/>
    <w:rsid w:val="00E25777"/>
    <w:rsid w:val="00E25891"/>
    <w:rsid w:val="00E25CC5"/>
    <w:rsid w:val="00E25D1B"/>
    <w:rsid w:val="00E25D8E"/>
    <w:rsid w:val="00E25F00"/>
    <w:rsid w:val="00E25F01"/>
    <w:rsid w:val="00E2603D"/>
    <w:rsid w:val="00E260C4"/>
    <w:rsid w:val="00E2640D"/>
    <w:rsid w:val="00E265F1"/>
    <w:rsid w:val="00E2687C"/>
    <w:rsid w:val="00E26922"/>
    <w:rsid w:val="00E269DE"/>
    <w:rsid w:val="00E26A6A"/>
    <w:rsid w:val="00E26B89"/>
    <w:rsid w:val="00E26BB5"/>
    <w:rsid w:val="00E26CEA"/>
    <w:rsid w:val="00E26E33"/>
    <w:rsid w:val="00E273B6"/>
    <w:rsid w:val="00E2764A"/>
    <w:rsid w:val="00E27766"/>
    <w:rsid w:val="00E27A30"/>
    <w:rsid w:val="00E27F41"/>
    <w:rsid w:val="00E27F5C"/>
    <w:rsid w:val="00E300D9"/>
    <w:rsid w:val="00E302E9"/>
    <w:rsid w:val="00E30428"/>
    <w:rsid w:val="00E30470"/>
    <w:rsid w:val="00E306C8"/>
    <w:rsid w:val="00E309A2"/>
    <w:rsid w:val="00E30A79"/>
    <w:rsid w:val="00E30B71"/>
    <w:rsid w:val="00E30D12"/>
    <w:rsid w:val="00E30EB6"/>
    <w:rsid w:val="00E3104B"/>
    <w:rsid w:val="00E310EE"/>
    <w:rsid w:val="00E3129F"/>
    <w:rsid w:val="00E31632"/>
    <w:rsid w:val="00E3182F"/>
    <w:rsid w:val="00E31860"/>
    <w:rsid w:val="00E31A2F"/>
    <w:rsid w:val="00E31F67"/>
    <w:rsid w:val="00E3230C"/>
    <w:rsid w:val="00E32551"/>
    <w:rsid w:val="00E3287F"/>
    <w:rsid w:val="00E329FC"/>
    <w:rsid w:val="00E32B1A"/>
    <w:rsid w:val="00E32E83"/>
    <w:rsid w:val="00E3310F"/>
    <w:rsid w:val="00E331DA"/>
    <w:rsid w:val="00E334F6"/>
    <w:rsid w:val="00E33915"/>
    <w:rsid w:val="00E33BF3"/>
    <w:rsid w:val="00E33C58"/>
    <w:rsid w:val="00E33D50"/>
    <w:rsid w:val="00E34014"/>
    <w:rsid w:val="00E340AF"/>
    <w:rsid w:val="00E34500"/>
    <w:rsid w:val="00E348AB"/>
    <w:rsid w:val="00E34E14"/>
    <w:rsid w:val="00E34EE5"/>
    <w:rsid w:val="00E34F23"/>
    <w:rsid w:val="00E34F40"/>
    <w:rsid w:val="00E35225"/>
    <w:rsid w:val="00E354AE"/>
    <w:rsid w:val="00E357F2"/>
    <w:rsid w:val="00E3589F"/>
    <w:rsid w:val="00E35DA0"/>
    <w:rsid w:val="00E35F0E"/>
    <w:rsid w:val="00E360A9"/>
    <w:rsid w:val="00E360E8"/>
    <w:rsid w:val="00E36213"/>
    <w:rsid w:val="00E36392"/>
    <w:rsid w:val="00E364DC"/>
    <w:rsid w:val="00E36621"/>
    <w:rsid w:val="00E3679D"/>
    <w:rsid w:val="00E367F3"/>
    <w:rsid w:val="00E36CF3"/>
    <w:rsid w:val="00E36F24"/>
    <w:rsid w:val="00E37014"/>
    <w:rsid w:val="00E374BC"/>
    <w:rsid w:val="00E374F6"/>
    <w:rsid w:val="00E37857"/>
    <w:rsid w:val="00E37A4D"/>
    <w:rsid w:val="00E37CC8"/>
    <w:rsid w:val="00E37D84"/>
    <w:rsid w:val="00E37DB5"/>
    <w:rsid w:val="00E40386"/>
    <w:rsid w:val="00E40573"/>
    <w:rsid w:val="00E40B4D"/>
    <w:rsid w:val="00E40BF2"/>
    <w:rsid w:val="00E40CB9"/>
    <w:rsid w:val="00E41429"/>
    <w:rsid w:val="00E41561"/>
    <w:rsid w:val="00E41570"/>
    <w:rsid w:val="00E4172B"/>
    <w:rsid w:val="00E41CFF"/>
    <w:rsid w:val="00E41F24"/>
    <w:rsid w:val="00E420AA"/>
    <w:rsid w:val="00E426E8"/>
    <w:rsid w:val="00E427EE"/>
    <w:rsid w:val="00E42822"/>
    <w:rsid w:val="00E428B9"/>
    <w:rsid w:val="00E428C5"/>
    <w:rsid w:val="00E43205"/>
    <w:rsid w:val="00E43445"/>
    <w:rsid w:val="00E43667"/>
    <w:rsid w:val="00E436B7"/>
    <w:rsid w:val="00E43914"/>
    <w:rsid w:val="00E43B9D"/>
    <w:rsid w:val="00E43F0C"/>
    <w:rsid w:val="00E44015"/>
    <w:rsid w:val="00E447F7"/>
    <w:rsid w:val="00E44807"/>
    <w:rsid w:val="00E4488F"/>
    <w:rsid w:val="00E44963"/>
    <w:rsid w:val="00E44C40"/>
    <w:rsid w:val="00E45624"/>
    <w:rsid w:val="00E45720"/>
    <w:rsid w:val="00E45867"/>
    <w:rsid w:val="00E45B04"/>
    <w:rsid w:val="00E45B73"/>
    <w:rsid w:val="00E45DFB"/>
    <w:rsid w:val="00E45E45"/>
    <w:rsid w:val="00E45E7B"/>
    <w:rsid w:val="00E45F63"/>
    <w:rsid w:val="00E46054"/>
    <w:rsid w:val="00E465ED"/>
    <w:rsid w:val="00E4674E"/>
    <w:rsid w:val="00E46824"/>
    <w:rsid w:val="00E46858"/>
    <w:rsid w:val="00E468E3"/>
    <w:rsid w:val="00E46C1D"/>
    <w:rsid w:val="00E46D23"/>
    <w:rsid w:val="00E46D5E"/>
    <w:rsid w:val="00E46E07"/>
    <w:rsid w:val="00E47428"/>
    <w:rsid w:val="00E4776A"/>
    <w:rsid w:val="00E479DF"/>
    <w:rsid w:val="00E47D32"/>
    <w:rsid w:val="00E47D6B"/>
    <w:rsid w:val="00E47DB2"/>
    <w:rsid w:val="00E47E79"/>
    <w:rsid w:val="00E47E9C"/>
    <w:rsid w:val="00E5014F"/>
    <w:rsid w:val="00E501B1"/>
    <w:rsid w:val="00E5081F"/>
    <w:rsid w:val="00E5093D"/>
    <w:rsid w:val="00E50A90"/>
    <w:rsid w:val="00E51296"/>
    <w:rsid w:val="00E51506"/>
    <w:rsid w:val="00E51579"/>
    <w:rsid w:val="00E515D6"/>
    <w:rsid w:val="00E51635"/>
    <w:rsid w:val="00E516E4"/>
    <w:rsid w:val="00E51981"/>
    <w:rsid w:val="00E51AD0"/>
    <w:rsid w:val="00E51C4F"/>
    <w:rsid w:val="00E51CFE"/>
    <w:rsid w:val="00E520AB"/>
    <w:rsid w:val="00E52181"/>
    <w:rsid w:val="00E52788"/>
    <w:rsid w:val="00E529AF"/>
    <w:rsid w:val="00E53559"/>
    <w:rsid w:val="00E539EF"/>
    <w:rsid w:val="00E53A0E"/>
    <w:rsid w:val="00E53AFF"/>
    <w:rsid w:val="00E53C9D"/>
    <w:rsid w:val="00E53D88"/>
    <w:rsid w:val="00E53DCB"/>
    <w:rsid w:val="00E53F4B"/>
    <w:rsid w:val="00E54219"/>
    <w:rsid w:val="00E54A80"/>
    <w:rsid w:val="00E54D20"/>
    <w:rsid w:val="00E5500B"/>
    <w:rsid w:val="00E55186"/>
    <w:rsid w:val="00E553C5"/>
    <w:rsid w:val="00E553DF"/>
    <w:rsid w:val="00E55413"/>
    <w:rsid w:val="00E555A3"/>
    <w:rsid w:val="00E556AF"/>
    <w:rsid w:val="00E55A05"/>
    <w:rsid w:val="00E55AA1"/>
    <w:rsid w:val="00E55F78"/>
    <w:rsid w:val="00E55F96"/>
    <w:rsid w:val="00E56083"/>
    <w:rsid w:val="00E5611C"/>
    <w:rsid w:val="00E56221"/>
    <w:rsid w:val="00E562BB"/>
    <w:rsid w:val="00E56550"/>
    <w:rsid w:val="00E56668"/>
    <w:rsid w:val="00E569E8"/>
    <w:rsid w:val="00E56B2E"/>
    <w:rsid w:val="00E56D82"/>
    <w:rsid w:val="00E571C9"/>
    <w:rsid w:val="00E5734E"/>
    <w:rsid w:val="00E57433"/>
    <w:rsid w:val="00E57456"/>
    <w:rsid w:val="00E57514"/>
    <w:rsid w:val="00E577C5"/>
    <w:rsid w:val="00E578BB"/>
    <w:rsid w:val="00E57B2B"/>
    <w:rsid w:val="00E57D4B"/>
    <w:rsid w:val="00E57F4C"/>
    <w:rsid w:val="00E60010"/>
    <w:rsid w:val="00E60100"/>
    <w:rsid w:val="00E605C6"/>
    <w:rsid w:val="00E60729"/>
    <w:rsid w:val="00E608D7"/>
    <w:rsid w:val="00E60A24"/>
    <w:rsid w:val="00E60B50"/>
    <w:rsid w:val="00E60BC0"/>
    <w:rsid w:val="00E6104F"/>
    <w:rsid w:val="00E612A4"/>
    <w:rsid w:val="00E61543"/>
    <w:rsid w:val="00E619A2"/>
    <w:rsid w:val="00E61ADE"/>
    <w:rsid w:val="00E61CFE"/>
    <w:rsid w:val="00E61D60"/>
    <w:rsid w:val="00E61FF8"/>
    <w:rsid w:val="00E62065"/>
    <w:rsid w:val="00E62147"/>
    <w:rsid w:val="00E62216"/>
    <w:rsid w:val="00E62262"/>
    <w:rsid w:val="00E62280"/>
    <w:rsid w:val="00E625DE"/>
    <w:rsid w:val="00E626B5"/>
    <w:rsid w:val="00E62785"/>
    <w:rsid w:val="00E628F6"/>
    <w:rsid w:val="00E629C8"/>
    <w:rsid w:val="00E62D2B"/>
    <w:rsid w:val="00E62D62"/>
    <w:rsid w:val="00E6306A"/>
    <w:rsid w:val="00E6316A"/>
    <w:rsid w:val="00E63319"/>
    <w:rsid w:val="00E6352E"/>
    <w:rsid w:val="00E637B6"/>
    <w:rsid w:val="00E63B78"/>
    <w:rsid w:val="00E63C93"/>
    <w:rsid w:val="00E63F6D"/>
    <w:rsid w:val="00E643BC"/>
    <w:rsid w:val="00E645D3"/>
    <w:rsid w:val="00E64665"/>
    <w:rsid w:val="00E648DB"/>
    <w:rsid w:val="00E6493F"/>
    <w:rsid w:val="00E6518F"/>
    <w:rsid w:val="00E651AD"/>
    <w:rsid w:val="00E652C1"/>
    <w:rsid w:val="00E65806"/>
    <w:rsid w:val="00E658E4"/>
    <w:rsid w:val="00E65F60"/>
    <w:rsid w:val="00E65F92"/>
    <w:rsid w:val="00E66186"/>
    <w:rsid w:val="00E66266"/>
    <w:rsid w:val="00E6626E"/>
    <w:rsid w:val="00E662AD"/>
    <w:rsid w:val="00E665A7"/>
    <w:rsid w:val="00E66679"/>
    <w:rsid w:val="00E666E7"/>
    <w:rsid w:val="00E66B58"/>
    <w:rsid w:val="00E66BFD"/>
    <w:rsid w:val="00E66C5D"/>
    <w:rsid w:val="00E66CE8"/>
    <w:rsid w:val="00E66E72"/>
    <w:rsid w:val="00E66EA2"/>
    <w:rsid w:val="00E66FDE"/>
    <w:rsid w:val="00E67005"/>
    <w:rsid w:val="00E67074"/>
    <w:rsid w:val="00E67269"/>
    <w:rsid w:val="00E672BA"/>
    <w:rsid w:val="00E6733A"/>
    <w:rsid w:val="00E67445"/>
    <w:rsid w:val="00E67474"/>
    <w:rsid w:val="00E67475"/>
    <w:rsid w:val="00E67805"/>
    <w:rsid w:val="00E67902"/>
    <w:rsid w:val="00E67A79"/>
    <w:rsid w:val="00E67C4B"/>
    <w:rsid w:val="00E67DCA"/>
    <w:rsid w:val="00E67EAC"/>
    <w:rsid w:val="00E70127"/>
    <w:rsid w:val="00E70198"/>
    <w:rsid w:val="00E70590"/>
    <w:rsid w:val="00E7060C"/>
    <w:rsid w:val="00E70691"/>
    <w:rsid w:val="00E707CE"/>
    <w:rsid w:val="00E70AC2"/>
    <w:rsid w:val="00E70C94"/>
    <w:rsid w:val="00E70EA3"/>
    <w:rsid w:val="00E70F05"/>
    <w:rsid w:val="00E70F1B"/>
    <w:rsid w:val="00E7107F"/>
    <w:rsid w:val="00E711F9"/>
    <w:rsid w:val="00E718DF"/>
    <w:rsid w:val="00E719FC"/>
    <w:rsid w:val="00E71A8B"/>
    <w:rsid w:val="00E71CDF"/>
    <w:rsid w:val="00E71DBD"/>
    <w:rsid w:val="00E71DC2"/>
    <w:rsid w:val="00E71FF5"/>
    <w:rsid w:val="00E72085"/>
    <w:rsid w:val="00E724C4"/>
    <w:rsid w:val="00E726C7"/>
    <w:rsid w:val="00E72703"/>
    <w:rsid w:val="00E7272A"/>
    <w:rsid w:val="00E72751"/>
    <w:rsid w:val="00E72811"/>
    <w:rsid w:val="00E7284B"/>
    <w:rsid w:val="00E72A72"/>
    <w:rsid w:val="00E72EE0"/>
    <w:rsid w:val="00E72F12"/>
    <w:rsid w:val="00E732DB"/>
    <w:rsid w:val="00E7363F"/>
    <w:rsid w:val="00E736EF"/>
    <w:rsid w:val="00E73828"/>
    <w:rsid w:val="00E73B9C"/>
    <w:rsid w:val="00E73CB1"/>
    <w:rsid w:val="00E740C9"/>
    <w:rsid w:val="00E74339"/>
    <w:rsid w:val="00E743A9"/>
    <w:rsid w:val="00E744E1"/>
    <w:rsid w:val="00E7458F"/>
    <w:rsid w:val="00E74B8E"/>
    <w:rsid w:val="00E74EC9"/>
    <w:rsid w:val="00E74F5C"/>
    <w:rsid w:val="00E75354"/>
    <w:rsid w:val="00E75B8A"/>
    <w:rsid w:val="00E75BF3"/>
    <w:rsid w:val="00E75C1E"/>
    <w:rsid w:val="00E75F23"/>
    <w:rsid w:val="00E761D2"/>
    <w:rsid w:val="00E7624A"/>
    <w:rsid w:val="00E7655E"/>
    <w:rsid w:val="00E76A2A"/>
    <w:rsid w:val="00E76D0C"/>
    <w:rsid w:val="00E76D8B"/>
    <w:rsid w:val="00E76E02"/>
    <w:rsid w:val="00E76F8A"/>
    <w:rsid w:val="00E772C2"/>
    <w:rsid w:val="00E773D2"/>
    <w:rsid w:val="00E776E3"/>
    <w:rsid w:val="00E7797A"/>
    <w:rsid w:val="00E779C2"/>
    <w:rsid w:val="00E77A9E"/>
    <w:rsid w:val="00E77ACB"/>
    <w:rsid w:val="00E77B76"/>
    <w:rsid w:val="00E77BBD"/>
    <w:rsid w:val="00E8001F"/>
    <w:rsid w:val="00E800D9"/>
    <w:rsid w:val="00E80189"/>
    <w:rsid w:val="00E80205"/>
    <w:rsid w:val="00E80237"/>
    <w:rsid w:val="00E80288"/>
    <w:rsid w:val="00E804B3"/>
    <w:rsid w:val="00E804C3"/>
    <w:rsid w:val="00E8060E"/>
    <w:rsid w:val="00E807C8"/>
    <w:rsid w:val="00E80B18"/>
    <w:rsid w:val="00E80FD7"/>
    <w:rsid w:val="00E810FD"/>
    <w:rsid w:val="00E81188"/>
    <w:rsid w:val="00E8118E"/>
    <w:rsid w:val="00E81500"/>
    <w:rsid w:val="00E8172E"/>
    <w:rsid w:val="00E81738"/>
    <w:rsid w:val="00E8213F"/>
    <w:rsid w:val="00E821F3"/>
    <w:rsid w:val="00E82470"/>
    <w:rsid w:val="00E82BCF"/>
    <w:rsid w:val="00E82C08"/>
    <w:rsid w:val="00E82D00"/>
    <w:rsid w:val="00E83486"/>
    <w:rsid w:val="00E83635"/>
    <w:rsid w:val="00E83A79"/>
    <w:rsid w:val="00E83B26"/>
    <w:rsid w:val="00E83CFF"/>
    <w:rsid w:val="00E8408A"/>
    <w:rsid w:val="00E84700"/>
    <w:rsid w:val="00E847C6"/>
    <w:rsid w:val="00E849E5"/>
    <w:rsid w:val="00E849F1"/>
    <w:rsid w:val="00E84A18"/>
    <w:rsid w:val="00E84A3C"/>
    <w:rsid w:val="00E84A5C"/>
    <w:rsid w:val="00E84B48"/>
    <w:rsid w:val="00E84CFB"/>
    <w:rsid w:val="00E84D20"/>
    <w:rsid w:val="00E84F92"/>
    <w:rsid w:val="00E84FB6"/>
    <w:rsid w:val="00E85090"/>
    <w:rsid w:val="00E851B4"/>
    <w:rsid w:val="00E8530E"/>
    <w:rsid w:val="00E85456"/>
    <w:rsid w:val="00E85A8E"/>
    <w:rsid w:val="00E85C79"/>
    <w:rsid w:val="00E85DB8"/>
    <w:rsid w:val="00E85EB9"/>
    <w:rsid w:val="00E85F0A"/>
    <w:rsid w:val="00E8630A"/>
    <w:rsid w:val="00E86356"/>
    <w:rsid w:val="00E863FA"/>
    <w:rsid w:val="00E869B7"/>
    <w:rsid w:val="00E86C16"/>
    <w:rsid w:val="00E86CED"/>
    <w:rsid w:val="00E86DF4"/>
    <w:rsid w:val="00E86F58"/>
    <w:rsid w:val="00E86F5A"/>
    <w:rsid w:val="00E870C0"/>
    <w:rsid w:val="00E871C5"/>
    <w:rsid w:val="00E8723B"/>
    <w:rsid w:val="00E87398"/>
    <w:rsid w:val="00E878EE"/>
    <w:rsid w:val="00E87940"/>
    <w:rsid w:val="00E87BF4"/>
    <w:rsid w:val="00E87C0A"/>
    <w:rsid w:val="00E87DB2"/>
    <w:rsid w:val="00E90023"/>
    <w:rsid w:val="00E90388"/>
    <w:rsid w:val="00E90623"/>
    <w:rsid w:val="00E907FA"/>
    <w:rsid w:val="00E90A97"/>
    <w:rsid w:val="00E90D12"/>
    <w:rsid w:val="00E91102"/>
    <w:rsid w:val="00E9117C"/>
    <w:rsid w:val="00E911E3"/>
    <w:rsid w:val="00E9142F"/>
    <w:rsid w:val="00E9146A"/>
    <w:rsid w:val="00E91582"/>
    <w:rsid w:val="00E918C3"/>
    <w:rsid w:val="00E91AFE"/>
    <w:rsid w:val="00E91E85"/>
    <w:rsid w:val="00E91EB3"/>
    <w:rsid w:val="00E91ED6"/>
    <w:rsid w:val="00E92091"/>
    <w:rsid w:val="00E9286D"/>
    <w:rsid w:val="00E92998"/>
    <w:rsid w:val="00E92D37"/>
    <w:rsid w:val="00E93359"/>
    <w:rsid w:val="00E93766"/>
    <w:rsid w:val="00E938E0"/>
    <w:rsid w:val="00E93932"/>
    <w:rsid w:val="00E939AC"/>
    <w:rsid w:val="00E939D7"/>
    <w:rsid w:val="00E93A71"/>
    <w:rsid w:val="00E93B19"/>
    <w:rsid w:val="00E93F92"/>
    <w:rsid w:val="00E94257"/>
    <w:rsid w:val="00E943E1"/>
    <w:rsid w:val="00E94575"/>
    <w:rsid w:val="00E9473E"/>
    <w:rsid w:val="00E948BF"/>
    <w:rsid w:val="00E94A97"/>
    <w:rsid w:val="00E94AA4"/>
    <w:rsid w:val="00E94AF7"/>
    <w:rsid w:val="00E94EDA"/>
    <w:rsid w:val="00E95156"/>
    <w:rsid w:val="00E9537A"/>
    <w:rsid w:val="00E95416"/>
    <w:rsid w:val="00E9565C"/>
    <w:rsid w:val="00E95711"/>
    <w:rsid w:val="00E958B4"/>
    <w:rsid w:val="00E959B3"/>
    <w:rsid w:val="00E95A82"/>
    <w:rsid w:val="00E95AF9"/>
    <w:rsid w:val="00E96010"/>
    <w:rsid w:val="00E9601C"/>
    <w:rsid w:val="00E96191"/>
    <w:rsid w:val="00E96378"/>
    <w:rsid w:val="00E964C5"/>
    <w:rsid w:val="00E9657C"/>
    <w:rsid w:val="00E96611"/>
    <w:rsid w:val="00E96652"/>
    <w:rsid w:val="00E967F9"/>
    <w:rsid w:val="00E9685D"/>
    <w:rsid w:val="00E96CAA"/>
    <w:rsid w:val="00E96CFF"/>
    <w:rsid w:val="00E96DE9"/>
    <w:rsid w:val="00E97199"/>
    <w:rsid w:val="00E97396"/>
    <w:rsid w:val="00E97510"/>
    <w:rsid w:val="00E97524"/>
    <w:rsid w:val="00E976C7"/>
    <w:rsid w:val="00E976E0"/>
    <w:rsid w:val="00E977ED"/>
    <w:rsid w:val="00E97970"/>
    <w:rsid w:val="00E97F41"/>
    <w:rsid w:val="00E97F6A"/>
    <w:rsid w:val="00EA01B7"/>
    <w:rsid w:val="00EA0274"/>
    <w:rsid w:val="00EA04A9"/>
    <w:rsid w:val="00EA0803"/>
    <w:rsid w:val="00EA09A4"/>
    <w:rsid w:val="00EA09AF"/>
    <w:rsid w:val="00EA1029"/>
    <w:rsid w:val="00EA11C6"/>
    <w:rsid w:val="00EA1311"/>
    <w:rsid w:val="00EA1474"/>
    <w:rsid w:val="00EA14A6"/>
    <w:rsid w:val="00EA182C"/>
    <w:rsid w:val="00EA19B7"/>
    <w:rsid w:val="00EA1AD2"/>
    <w:rsid w:val="00EA1C06"/>
    <w:rsid w:val="00EA2360"/>
    <w:rsid w:val="00EA24BD"/>
    <w:rsid w:val="00EA2646"/>
    <w:rsid w:val="00EA272C"/>
    <w:rsid w:val="00EA2AF2"/>
    <w:rsid w:val="00EA2B05"/>
    <w:rsid w:val="00EA2C96"/>
    <w:rsid w:val="00EA2FFC"/>
    <w:rsid w:val="00EA3029"/>
    <w:rsid w:val="00EA303E"/>
    <w:rsid w:val="00EA38B3"/>
    <w:rsid w:val="00EA3AEC"/>
    <w:rsid w:val="00EA3D45"/>
    <w:rsid w:val="00EA4495"/>
    <w:rsid w:val="00EA460E"/>
    <w:rsid w:val="00EA4649"/>
    <w:rsid w:val="00EA4930"/>
    <w:rsid w:val="00EA4C73"/>
    <w:rsid w:val="00EA4FE7"/>
    <w:rsid w:val="00EA5612"/>
    <w:rsid w:val="00EA576C"/>
    <w:rsid w:val="00EA59C6"/>
    <w:rsid w:val="00EA5BDE"/>
    <w:rsid w:val="00EA5E23"/>
    <w:rsid w:val="00EA5F39"/>
    <w:rsid w:val="00EA61D9"/>
    <w:rsid w:val="00EA65D5"/>
    <w:rsid w:val="00EA688F"/>
    <w:rsid w:val="00EA68FC"/>
    <w:rsid w:val="00EA6A1E"/>
    <w:rsid w:val="00EA6B70"/>
    <w:rsid w:val="00EA6E4C"/>
    <w:rsid w:val="00EA70A1"/>
    <w:rsid w:val="00EA74B6"/>
    <w:rsid w:val="00EA7876"/>
    <w:rsid w:val="00EA7C1A"/>
    <w:rsid w:val="00EA7C95"/>
    <w:rsid w:val="00EA7E9D"/>
    <w:rsid w:val="00EA7F4A"/>
    <w:rsid w:val="00EB0173"/>
    <w:rsid w:val="00EB0601"/>
    <w:rsid w:val="00EB070C"/>
    <w:rsid w:val="00EB083B"/>
    <w:rsid w:val="00EB0B68"/>
    <w:rsid w:val="00EB0EE1"/>
    <w:rsid w:val="00EB1019"/>
    <w:rsid w:val="00EB1026"/>
    <w:rsid w:val="00EB1236"/>
    <w:rsid w:val="00EB178D"/>
    <w:rsid w:val="00EB1A02"/>
    <w:rsid w:val="00EB1DDB"/>
    <w:rsid w:val="00EB1F00"/>
    <w:rsid w:val="00EB20D7"/>
    <w:rsid w:val="00EB21F1"/>
    <w:rsid w:val="00EB221D"/>
    <w:rsid w:val="00EB2226"/>
    <w:rsid w:val="00EB22F9"/>
    <w:rsid w:val="00EB240E"/>
    <w:rsid w:val="00EB2663"/>
    <w:rsid w:val="00EB269B"/>
    <w:rsid w:val="00EB2F4B"/>
    <w:rsid w:val="00EB2F97"/>
    <w:rsid w:val="00EB3068"/>
    <w:rsid w:val="00EB31A8"/>
    <w:rsid w:val="00EB326E"/>
    <w:rsid w:val="00EB3458"/>
    <w:rsid w:val="00EB3518"/>
    <w:rsid w:val="00EB36B3"/>
    <w:rsid w:val="00EB394A"/>
    <w:rsid w:val="00EB4087"/>
    <w:rsid w:val="00EB443C"/>
    <w:rsid w:val="00EB4549"/>
    <w:rsid w:val="00EB4DDF"/>
    <w:rsid w:val="00EB4EA6"/>
    <w:rsid w:val="00EB4FAE"/>
    <w:rsid w:val="00EB56E2"/>
    <w:rsid w:val="00EB5986"/>
    <w:rsid w:val="00EB5E55"/>
    <w:rsid w:val="00EB5FAD"/>
    <w:rsid w:val="00EB5FD5"/>
    <w:rsid w:val="00EB6086"/>
    <w:rsid w:val="00EB6641"/>
    <w:rsid w:val="00EB6AD9"/>
    <w:rsid w:val="00EB6C4C"/>
    <w:rsid w:val="00EB6CED"/>
    <w:rsid w:val="00EB6FB7"/>
    <w:rsid w:val="00EB7065"/>
    <w:rsid w:val="00EB70C4"/>
    <w:rsid w:val="00EB7269"/>
    <w:rsid w:val="00EB73C6"/>
    <w:rsid w:val="00EB75FD"/>
    <w:rsid w:val="00EB7850"/>
    <w:rsid w:val="00EB7AC6"/>
    <w:rsid w:val="00EB7BC0"/>
    <w:rsid w:val="00EB7CC8"/>
    <w:rsid w:val="00EB7D3E"/>
    <w:rsid w:val="00EB7DC8"/>
    <w:rsid w:val="00EB7EA7"/>
    <w:rsid w:val="00EB7FB9"/>
    <w:rsid w:val="00EC01A6"/>
    <w:rsid w:val="00EC029E"/>
    <w:rsid w:val="00EC04C9"/>
    <w:rsid w:val="00EC0ABC"/>
    <w:rsid w:val="00EC0C68"/>
    <w:rsid w:val="00EC17EC"/>
    <w:rsid w:val="00EC1936"/>
    <w:rsid w:val="00EC1CE1"/>
    <w:rsid w:val="00EC2347"/>
    <w:rsid w:val="00EC2660"/>
    <w:rsid w:val="00EC282C"/>
    <w:rsid w:val="00EC2A6D"/>
    <w:rsid w:val="00EC2AE7"/>
    <w:rsid w:val="00EC343A"/>
    <w:rsid w:val="00EC3C58"/>
    <w:rsid w:val="00EC41AC"/>
    <w:rsid w:val="00EC44E0"/>
    <w:rsid w:val="00EC45F1"/>
    <w:rsid w:val="00EC4631"/>
    <w:rsid w:val="00EC4679"/>
    <w:rsid w:val="00EC490B"/>
    <w:rsid w:val="00EC4A5F"/>
    <w:rsid w:val="00EC4ACF"/>
    <w:rsid w:val="00EC4BDA"/>
    <w:rsid w:val="00EC4C03"/>
    <w:rsid w:val="00EC4F02"/>
    <w:rsid w:val="00EC4FF2"/>
    <w:rsid w:val="00EC5121"/>
    <w:rsid w:val="00EC51F5"/>
    <w:rsid w:val="00EC533F"/>
    <w:rsid w:val="00EC53F8"/>
    <w:rsid w:val="00EC59BD"/>
    <w:rsid w:val="00EC5A31"/>
    <w:rsid w:val="00EC5A51"/>
    <w:rsid w:val="00EC5BAD"/>
    <w:rsid w:val="00EC5EE4"/>
    <w:rsid w:val="00EC639E"/>
    <w:rsid w:val="00EC6633"/>
    <w:rsid w:val="00EC66BA"/>
    <w:rsid w:val="00EC68D5"/>
    <w:rsid w:val="00EC6B9C"/>
    <w:rsid w:val="00EC6C95"/>
    <w:rsid w:val="00EC70DB"/>
    <w:rsid w:val="00EC7269"/>
    <w:rsid w:val="00EC736E"/>
    <w:rsid w:val="00EC75D5"/>
    <w:rsid w:val="00EC7994"/>
    <w:rsid w:val="00EC7A86"/>
    <w:rsid w:val="00EC7C97"/>
    <w:rsid w:val="00EC7DD6"/>
    <w:rsid w:val="00EC7FEA"/>
    <w:rsid w:val="00ED021D"/>
    <w:rsid w:val="00ED0321"/>
    <w:rsid w:val="00ED07D1"/>
    <w:rsid w:val="00ED0A22"/>
    <w:rsid w:val="00ED0CA4"/>
    <w:rsid w:val="00ED0CBE"/>
    <w:rsid w:val="00ED10E4"/>
    <w:rsid w:val="00ED121B"/>
    <w:rsid w:val="00ED1798"/>
    <w:rsid w:val="00ED1D69"/>
    <w:rsid w:val="00ED1E4B"/>
    <w:rsid w:val="00ED20E0"/>
    <w:rsid w:val="00ED22D4"/>
    <w:rsid w:val="00ED22DD"/>
    <w:rsid w:val="00ED2525"/>
    <w:rsid w:val="00ED27AE"/>
    <w:rsid w:val="00ED288E"/>
    <w:rsid w:val="00ED2952"/>
    <w:rsid w:val="00ED2AD3"/>
    <w:rsid w:val="00ED31DA"/>
    <w:rsid w:val="00ED32C7"/>
    <w:rsid w:val="00ED3683"/>
    <w:rsid w:val="00ED3695"/>
    <w:rsid w:val="00ED39A3"/>
    <w:rsid w:val="00ED3AF7"/>
    <w:rsid w:val="00ED3DAD"/>
    <w:rsid w:val="00ED3E17"/>
    <w:rsid w:val="00ED3F0A"/>
    <w:rsid w:val="00ED3FCD"/>
    <w:rsid w:val="00ED4005"/>
    <w:rsid w:val="00ED475D"/>
    <w:rsid w:val="00ED47B1"/>
    <w:rsid w:val="00ED4A73"/>
    <w:rsid w:val="00ED52B1"/>
    <w:rsid w:val="00ED540E"/>
    <w:rsid w:val="00ED54D3"/>
    <w:rsid w:val="00ED55B4"/>
    <w:rsid w:val="00ED566D"/>
    <w:rsid w:val="00ED5834"/>
    <w:rsid w:val="00ED5B91"/>
    <w:rsid w:val="00ED5B96"/>
    <w:rsid w:val="00ED5BD3"/>
    <w:rsid w:val="00ED5D9F"/>
    <w:rsid w:val="00ED5E8B"/>
    <w:rsid w:val="00ED64E4"/>
    <w:rsid w:val="00ED662C"/>
    <w:rsid w:val="00ED6701"/>
    <w:rsid w:val="00ED670B"/>
    <w:rsid w:val="00ED68F9"/>
    <w:rsid w:val="00ED6B0B"/>
    <w:rsid w:val="00ED6FAA"/>
    <w:rsid w:val="00ED7496"/>
    <w:rsid w:val="00ED7ABD"/>
    <w:rsid w:val="00ED7AEC"/>
    <w:rsid w:val="00ED7C3E"/>
    <w:rsid w:val="00ED7C8D"/>
    <w:rsid w:val="00EE047F"/>
    <w:rsid w:val="00EE0B00"/>
    <w:rsid w:val="00EE0B43"/>
    <w:rsid w:val="00EE0DFF"/>
    <w:rsid w:val="00EE0ECF"/>
    <w:rsid w:val="00EE10F6"/>
    <w:rsid w:val="00EE112C"/>
    <w:rsid w:val="00EE1422"/>
    <w:rsid w:val="00EE15E3"/>
    <w:rsid w:val="00EE15F8"/>
    <w:rsid w:val="00EE169E"/>
    <w:rsid w:val="00EE16A0"/>
    <w:rsid w:val="00EE17F2"/>
    <w:rsid w:val="00EE229C"/>
    <w:rsid w:val="00EE242F"/>
    <w:rsid w:val="00EE2640"/>
    <w:rsid w:val="00EE279A"/>
    <w:rsid w:val="00EE2916"/>
    <w:rsid w:val="00EE2C27"/>
    <w:rsid w:val="00EE2F14"/>
    <w:rsid w:val="00EE3186"/>
    <w:rsid w:val="00EE348A"/>
    <w:rsid w:val="00EE3B85"/>
    <w:rsid w:val="00EE3C4F"/>
    <w:rsid w:val="00EE3F1F"/>
    <w:rsid w:val="00EE3F63"/>
    <w:rsid w:val="00EE3F77"/>
    <w:rsid w:val="00EE47F4"/>
    <w:rsid w:val="00EE4898"/>
    <w:rsid w:val="00EE4B6A"/>
    <w:rsid w:val="00EE4E34"/>
    <w:rsid w:val="00EE5111"/>
    <w:rsid w:val="00EE5516"/>
    <w:rsid w:val="00EE5720"/>
    <w:rsid w:val="00EE5AAC"/>
    <w:rsid w:val="00EE5C34"/>
    <w:rsid w:val="00EE5CFC"/>
    <w:rsid w:val="00EE5FEB"/>
    <w:rsid w:val="00EE6261"/>
    <w:rsid w:val="00EE6434"/>
    <w:rsid w:val="00EE64A7"/>
    <w:rsid w:val="00EE667D"/>
    <w:rsid w:val="00EE6C8A"/>
    <w:rsid w:val="00EE6FE9"/>
    <w:rsid w:val="00EE73AE"/>
    <w:rsid w:val="00EE744F"/>
    <w:rsid w:val="00EE76F9"/>
    <w:rsid w:val="00EE7B55"/>
    <w:rsid w:val="00EE7B59"/>
    <w:rsid w:val="00EE7D4C"/>
    <w:rsid w:val="00EE7FF0"/>
    <w:rsid w:val="00EF00AB"/>
    <w:rsid w:val="00EF0194"/>
    <w:rsid w:val="00EF02C2"/>
    <w:rsid w:val="00EF086F"/>
    <w:rsid w:val="00EF0996"/>
    <w:rsid w:val="00EF0A94"/>
    <w:rsid w:val="00EF0CDA"/>
    <w:rsid w:val="00EF0E1A"/>
    <w:rsid w:val="00EF0FD7"/>
    <w:rsid w:val="00EF100E"/>
    <w:rsid w:val="00EF137A"/>
    <w:rsid w:val="00EF1692"/>
    <w:rsid w:val="00EF1CFD"/>
    <w:rsid w:val="00EF1E2D"/>
    <w:rsid w:val="00EF1E4F"/>
    <w:rsid w:val="00EF1F0F"/>
    <w:rsid w:val="00EF1F1F"/>
    <w:rsid w:val="00EF1F3B"/>
    <w:rsid w:val="00EF1F5C"/>
    <w:rsid w:val="00EF1FE6"/>
    <w:rsid w:val="00EF20A9"/>
    <w:rsid w:val="00EF22A9"/>
    <w:rsid w:val="00EF2626"/>
    <w:rsid w:val="00EF2824"/>
    <w:rsid w:val="00EF2990"/>
    <w:rsid w:val="00EF2BE7"/>
    <w:rsid w:val="00EF2FE8"/>
    <w:rsid w:val="00EF3612"/>
    <w:rsid w:val="00EF3685"/>
    <w:rsid w:val="00EF37AA"/>
    <w:rsid w:val="00EF3810"/>
    <w:rsid w:val="00EF3BB3"/>
    <w:rsid w:val="00EF3BCF"/>
    <w:rsid w:val="00EF407D"/>
    <w:rsid w:val="00EF40FA"/>
    <w:rsid w:val="00EF43D9"/>
    <w:rsid w:val="00EF4929"/>
    <w:rsid w:val="00EF4955"/>
    <w:rsid w:val="00EF4990"/>
    <w:rsid w:val="00EF4CD6"/>
    <w:rsid w:val="00EF4E40"/>
    <w:rsid w:val="00EF4E7D"/>
    <w:rsid w:val="00EF4F07"/>
    <w:rsid w:val="00EF5074"/>
    <w:rsid w:val="00EF541E"/>
    <w:rsid w:val="00EF5572"/>
    <w:rsid w:val="00EF5603"/>
    <w:rsid w:val="00EF57DF"/>
    <w:rsid w:val="00EF5970"/>
    <w:rsid w:val="00EF5A1F"/>
    <w:rsid w:val="00EF5C83"/>
    <w:rsid w:val="00EF5D41"/>
    <w:rsid w:val="00EF5D94"/>
    <w:rsid w:val="00EF60CA"/>
    <w:rsid w:val="00EF610B"/>
    <w:rsid w:val="00EF614B"/>
    <w:rsid w:val="00EF62F3"/>
    <w:rsid w:val="00EF6349"/>
    <w:rsid w:val="00EF63CF"/>
    <w:rsid w:val="00EF63DD"/>
    <w:rsid w:val="00EF65BD"/>
    <w:rsid w:val="00EF66E5"/>
    <w:rsid w:val="00EF67CB"/>
    <w:rsid w:val="00EF6BB1"/>
    <w:rsid w:val="00EF6CA7"/>
    <w:rsid w:val="00EF6EAA"/>
    <w:rsid w:val="00EF7481"/>
    <w:rsid w:val="00EF7815"/>
    <w:rsid w:val="00EF7848"/>
    <w:rsid w:val="00EF7A6C"/>
    <w:rsid w:val="00F0023A"/>
    <w:rsid w:val="00F003A8"/>
    <w:rsid w:val="00F00415"/>
    <w:rsid w:val="00F00426"/>
    <w:rsid w:val="00F00515"/>
    <w:rsid w:val="00F0052F"/>
    <w:rsid w:val="00F0083C"/>
    <w:rsid w:val="00F008F5"/>
    <w:rsid w:val="00F00C29"/>
    <w:rsid w:val="00F014FF"/>
    <w:rsid w:val="00F0188F"/>
    <w:rsid w:val="00F01AD8"/>
    <w:rsid w:val="00F01BAC"/>
    <w:rsid w:val="00F01C5E"/>
    <w:rsid w:val="00F01D4F"/>
    <w:rsid w:val="00F01F0F"/>
    <w:rsid w:val="00F021A6"/>
    <w:rsid w:val="00F02637"/>
    <w:rsid w:val="00F02B9C"/>
    <w:rsid w:val="00F02C1B"/>
    <w:rsid w:val="00F02E54"/>
    <w:rsid w:val="00F02EFD"/>
    <w:rsid w:val="00F03334"/>
    <w:rsid w:val="00F0348E"/>
    <w:rsid w:val="00F034A7"/>
    <w:rsid w:val="00F03697"/>
    <w:rsid w:val="00F03984"/>
    <w:rsid w:val="00F03B32"/>
    <w:rsid w:val="00F03B6D"/>
    <w:rsid w:val="00F03F97"/>
    <w:rsid w:val="00F04025"/>
    <w:rsid w:val="00F04607"/>
    <w:rsid w:val="00F0465F"/>
    <w:rsid w:val="00F04AF1"/>
    <w:rsid w:val="00F04B3D"/>
    <w:rsid w:val="00F04B84"/>
    <w:rsid w:val="00F04D42"/>
    <w:rsid w:val="00F04DDC"/>
    <w:rsid w:val="00F04E54"/>
    <w:rsid w:val="00F04FD3"/>
    <w:rsid w:val="00F05160"/>
    <w:rsid w:val="00F05381"/>
    <w:rsid w:val="00F05443"/>
    <w:rsid w:val="00F058E6"/>
    <w:rsid w:val="00F059B2"/>
    <w:rsid w:val="00F05A0F"/>
    <w:rsid w:val="00F05A99"/>
    <w:rsid w:val="00F05D62"/>
    <w:rsid w:val="00F05E4C"/>
    <w:rsid w:val="00F05EB9"/>
    <w:rsid w:val="00F05FD3"/>
    <w:rsid w:val="00F0603E"/>
    <w:rsid w:val="00F061EF"/>
    <w:rsid w:val="00F061F6"/>
    <w:rsid w:val="00F0620C"/>
    <w:rsid w:val="00F06CAB"/>
    <w:rsid w:val="00F06D89"/>
    <w:rsid w:val="00F06FAD"/>
    <w:rsid w:val="00F07306"/>
    <w:rsid w:val="00F0736D"/>
    <w:rsid w:val="00F073DD"/>
    <w:rsid w:val="00F076EC"/>
    <w:rsid w:val="00F0796F"/>
    <w:rsid w:val="00F07A65"/>
    <w:rsid w:val="00F100F4"/>
    <w:rsid w:val="00F102FF"/>
    <w:rsid w:val="00F1060A"/>
    <w:rsid w:val="00F107C2"/>
    <w:rsid w:val="00F10B4B"/>
    <w:rsid w:val="00F10CB4"/>
    <w:rsid w:val="00F1106C"/>
    <w:rsid w:val="00F1121D"/>
    <w:rsid w:val="00F11310"/>
    <w:rsid w:val="00F1138E"/>
    <w:rsid w:val="00F11395"/>
    <w:rsid w:val="00F11619"/>
    <w:rsid w:val="00F11877"/>
    <w:rsid w:val="00F11A8F"/>
    <w:rsid w:val="00F11AD5"/>
    <w:rsid w:val="00F11B77"/>
    <w:rsid w:val="00F11CC2"/>
    <w:rsid w:val="00F11DBA"/>
    <w:rsid w:val="00F11EFE"/>
    <w:rsid w:val="00F11F0A"/>
    <w:rsid w:val="00F11F9C"/>
    <w:rsid w:val="00F12120"/>
    <w:rsid w:val="00F121A3"/>
    <w:rsid w:val="00F12357"/>
    <w:rsid w:val="00F1238F"/>
    <w:rsid w:val="00F12410"/>
    <w:rsid w:val="00F12515"/>
    <w:rsid w:val="00F12822"/>
    <w:rsid w:val="00F12879"/>
    <w:rsid w:val="00F12ED5"/>
    <w:rsid w:val="00F13666"/>
    <w:rsid w:val="00F1371B"/>
    <w:rsid w:val="00F137EF"/>
    <w:rsid w:val="00F13870"/>
    <w:rsid w:val="00F1395D"/>
    <w:rsid w:val="00F13A4C"/>
    <w:rsid w:val="00F13A8E"/>
    <w:rsid w:val="00F13D67"/>
    <w:rsid w:val="00F13DFB"/>
    <w:rsid w:val="00F14143"/>
    <w:rsid w:val="00F141A7"/>
    <w:rsid w:val="00F142E2"/>
    <w:rsid w:val="00F14305"/>
    <w:rsid w:val="00F1453D"/>
    <w:rsid w:val="00F14546"/>
    <w:rsid w:val="00F14719"/>
    <w:rsid w:val="00F149CE"/>
    <w:rsid w:val="00F14BF2"/>
    <w:rsid w:val="00F14E8A"/>
    <w:rsid w:val="00F14FC2"/>
    <w:rsid w:val="00F14FE8"/>
    <w:rsid w:val="00F15026"/>
    <w:rsid w:val="00F1522A"/>
    <w:rsid w:val="00F153CF"/>
    <w:rsid w:val="00F15693"/>
    <w:rsid w:val="00F156F4"/>
    <w:rsid w:val="00F15757"/>
    <w:rsid w:val="00F15797"/>
    <w:rsid w:val="00F15AEB"/>
    <w:rsid w:val="00F15CE3"/>
    <w:rsid w:val="00F15E4B"/>
    <w:rsid w:val="00F15E4F"/>
    <w:rsid w:val="00F15FEC"/>
    <w:rsid w:val="00F160E1"/>
    <w:rsid w:val="00F161E7"/>
    <w:rsid w:val="00F16289"/>
    <w:rsid w:val="00F162AF"/>
    <w:rsid w:val="00F1639D"/>
    <w:rsid w:val="00F1668E"/>
    <w:rsid w:val="00F16AFA"/>
    <w:rsid w:val="00F16DED"/>
    <w:rsid w:val="00F16E38"/>
    <w:rsid w:val="00F17256"/>
    <w:rsid w:val="00F172D7"/>
    <w:rsid w:val="00F17577"/>
    <w:rsid w:val="00F17591"/>
    <w:rsid w:val="00F17941"/>
    <w:rsid w:val="00F17C31"/>
    <w:rsid w:val="00F20290"/>
    <w:rsid w:val="00F20A0C"/>
    <w:rsid w:val="00F2109E"/>
    <w:rsid w:val="00F211D8"/>
    <w:rsid w:val="00F2130C"/>
    <w:rsid w:val="00F21386"/>
    <w:rsid w:val="00F21752"/>
    <w:rsid w:val="00F21928"/>
    <w:rsid w:val="00F21BBB"/>
    <w:rsid w:val="00F221EF"/>
    <w:rsid w:val="00F22635"/>
    <w:rsid w:val="00F227A2"/>
    <w:rsid w:val="00F22873"/>
    <w:rsid w:val="00F22D58"/>
    <w:rsid w:val="00F22FAD"/>
    <w:rsid w:val="00F23078"/>
    <w:rsid w:val="00F23555"/>
    <w:rsid w:val="00F23647"/>
    <w:rsid w:val="00F237CA"/>
    <w:rsid w:val="00F2398F"/>
    <w:rsid w:val="00F23AEC"/>
    <w:rsid w:val="00F23B0B"/>
    <w:rsid w:val="00F23DAB"/>
    <w:rsid w:val="00F24198"/>
    <w:rsid w:val="00F244F3"/>
    <w:rsid w:val="00F2471E"/>
    <w:rsid w:val="00F250CD"/>
    <w:rsid w:val="00F25254"/>
    <w:rsid w:val="00F252C3"/>
    <w:rsid w:val="00F2545B"/>
    <w:rsid w:val="00F258E8"/>
    <w:rsid w:val="00F25A64"/>
    <w:rsid w:val="00F25BF9"/>
    <w:rsid w:val="00F25D47"/>
    <w:rsid w:val="00F25DC9"/>
    <w:rsid w:val="00F25E05"/>
    <w:rsid w:val="00F261F0"/>
    <w:rsid w:val="00F267A3"/>
    <w:rsid w:val="00F26986"/>
    <w:rsid w:val="00F26A05"/>
    <w:rsid w:val="00F26BDB"/>
    <w:rsid w:val="00F26C9E"/>
    <w:rsid w:val="00F26D1D"/>
    <w:rsid w:val="00F26E17"/>
    <w:rsid w:val="00F272D1"/>
    <w:rsid w:val="00F2730C"/>
    <w:rsid w:val="00F2740C"/>
    <w:rsid w:val="00F276F8"/>
    <w:rsid w:val="00F27702"/>
    <w:rsid w:val="00F278BE"/>
    <w:rsid w:val="00F279C2"/>
    <w:rsid w:val="00F279E8"/>
    <w:rsid w:val="00F27D3B"/>
    <w:rsid w:val="00F30091"/>
    <w:rsid w:val="00F302DD"/>
    <w:rsid w:val="00F3036B"/>
    <w:rsid w:val="00F306A6"/>
    <w:rsid w:val="00F3097C"/>
    <w:rsid w:val="00F30CC9"/>
    <w:rsid w:val="00F30E0F"/>
    <w:rsid w:val="00F319E3"/>
    <w:rsid w:val="00F31A15"/>
    <w:rsid w:val="00F31A3F"/>
    <w:rsid w:val="00F31B01"/>
    <w:rsid w:val="00F31C6F"/>
    <w:rsid w:val="00F31CF5"/>
    <w:rsid w:val="00F31D34"/>
    <w:rsid w:val="00F3210B"/>
    <w:rsid w:val="00F3266A"/>
    <w:rsid w:val="00F3273F"/>
    <w:rsid w:val="00F3280D"/>
    <w:rsid w:val="00F32BB9"/>
    <w:rsid w:val="00F32DD1"/>
    <w:rsid w:val="00F32FDE"/>
    <w:rsid w:val="00F33350"/>
    <w:rsid w:val="00F33FB1"/>
    <w:rsid w:val="00F34109"/>
    <w:rsid w:val="00F3451F"/>
    <w:rsid w:val="00F347EF"/>
    <w:rsid w:val="00F34CF2"/>
    <w:rsid w:val="00F34D61"/>
    <w:rsid w:val="00F34EB8"/>
    <w:rsid w:val="00F35326"/>
    <w:rsid w:val="00F35332"/>
    <w:rsid w:val="00F354B3"/>
    <w:rsid w:val="00F3565A"/>
    <w:rsid w:val="00F35CFD"/>
    <w:rsid w:val="00F36013"/>
    <w:rsid w:val="00F36219"/>
    <w:rsid w:val="00F364D3"/>
    <w:rsid w:val="00F3669C"/>
    <w:rsid w:val="00F36869"/>
    <w:rsid w:val="00F36BEC"/>
    <w:rsid w:val="00F36E9B"/>
    <w:rsid w:val="00F37114"/>
    <w:rsid w:val="00F37125"/>
    <w:rsid w:val="00F371B2"/>
    <w:rsid w:val="00F37200"/>
    <w:rsid w:val="00F375FC"/>
    <w:rsid w:val="00F402D0"/>
    <w:rsid w:val="00F4045C"/>
    <w:rsid w:val="00F40742"/>
    <w:rsid w:val="00F40DDF"/>
    <w:rsid w:val="00F41133"/>
    <w:rsid w:val="00F4115E"/>
    <w:rsid w:val="00F41509"/>
    <w:rsid w:val="00F416AB"/>
    <w:rsid w:val="00F417F4"/>
    <w:rsid w:val="00F4188C"/>
    <w:rsid w:val="00F4190C"/>
    <w:rsid w:val="00F41996"/>
    <w:rsid w:val="00F41A94"/>
    <w:rsid w:val="00F41F89"/>
    <w:rsid w:val="00F41FB1"/>
    <w:rsid w:val="00F41FEA"/>
    <w:rsid w:val="00F42019"/>
    <w:rsid w:val="00F4234E"/>
    <w:rsid w:val="00F4246B"/>
    <w:rsid w:val="00F42881"/>
    <w:rsid w:val="00F429B8"/>
    <w:rsid w:val="00F42A05"/>
    <w:rsid w:val="00F42C90"/>
    <w:rsid w:val="00F42DF2"/>
    <w:rsid w:val="00F430E3"/>
    <w:rsid w:val="00F432A5"/>
    <w:rsid w:val="00F43514"/>
    <w:rsid w:val="00F43614"/>
    <w:rsid w:val="00F436C4"/>
    <w:rsid w:val="00F43D12"/>
    <w:rsid w:val="00F43EF5"/>
    <w:rsid w:val="00F43F90"/>
    <w:rsid w:val="00F4405A"/>
    <w:rsid w:val="00F4420D"/>
    <w:rsid w:val="00F44305"/>
    <w:rsid w:val="00F448DE"/>
    <w:rsid w:val="00F44961"/>
    <w:rsid w:val="00F44999"/>
    <w:rsid w:val="00F45030"/>
    <w:rsid w:val="00F45211"/>
    <w:rsid w:val="00F45276"/>
    <w:rsid w:val="00F45394"/>
    <w:rsid w:val="00F45529"/>
    <w:rsid w:val="00F4552A"/>
    <w:rsid w:val="00F455E6"/>
    <w:rsid w:val="00F45752"/>
    <w:rsid w:val="00F457B3"/>
    <w:rsid w:val="00F45AE8"/>
    <w:rsid w:val="00F45B99"/>
    <w:rsid w:val="00F45C73"/>
    <w:rsid w:val="00F45CE2"/>
    <w:rsid w:val="00F460AC"/>
    <w:rsid w:val="00F4637B"/>
    <w:rsid w:val="00F463EE"/>
    <w:rsid w:val="00F463F3"/>
    <w:rsid w:val="00F464EE"/>
    <w:rsid w:val="00F465A9"/>
    <w:rsid w:val="00F46602"/>
    <w:rsid w:val="00F466CE"/>
    <w:rsid w:val="00F4672E"/>
    <w:rsid w:val="00F46941"/>
    <w:rsid w:val="00F469EE"/>
    <w:rsid w:val="00F46D34"/>
    <w:rsid w:val="00F46E8B"/>
    <w:rsid w:val="00F47007"/>
    <w:rsid w:val="00F47320"/>
    <w:rsid w:val="00F47456"/>
    <w:rsid w:val="00F476CA"/>
    <w:rsid w:val="00F477BB"/>
    <w:rsid w:val="00F47D22"/>
    <w:rsid w:val="00F50047"/>
    <w:rsid w:val="00F500B1"/>
    <w:rsid w:val="00F50424"/>
    <w:rsid w:val="00F5058A"/>
    <w:rsid w:val="00F50A29"/>
    <w:rsid w:val="00F50D62"/>
    <w:rsid w:val="00F50F89"/>
    <w:rsid w:val="00F50FF5"/>
    <w:rsid w:val="00F514E1"/>
    <w:rsid w:val="00F5166D"/>
    <w:rsid w:val="00F51C4F"/>
    <w:rsid w:val="00F51D52"/>
    <w:rsid w:val="00F521EA"/>
    <w:rsid w:val="00F522ED"/>
    <w:rsid w:val="00F5236C"/>
    <w:rsid w:val="00F52382"/>
    <w:rsid w:val="00F527A4"/>
    <w:rsid w:val="00F52C69"/>
    <w:rsid w:val="00F5374D"/>
    <w:rsid w:val="00F539E2"/>
    <w:rsid w:val="00F53ABC"/>
    <w:rsid w:val="00F53BDA"/>
    <w:rsid w:val="00F53E11"/>
    <w:rsid w:val="00F53E1A"/>
    <w:rsid w:val="00F53E63"/>
    <w:rsid w:val="00F53F7F"/>
    <w:rsid w:val="00F54664"/>
    <w:rsid w:val="00F547FA"/>
    <w:rsid w:val="00F54824"/>
    <w:rsid w:val="00F54A80"/>
    <w:rsid w:val="00F54EDD"/>
    <w:rsid w:val="00F54F62"/>
    <w:rsid w:val="00F551A6"/>
    <w:rsid w:val="00F55457"/>
    <w:rsid w:val="00F5553A"/>
    <w:rsid w:val="00F556E6"/>
    <w:rsid w:val="00F55790"/>
    <w:rsid w:val="00F557DD"/>
    <w:rsid w:val="00F55BE8"/>
    <w:rsid w:val="00F55CD4"/>
    <w:rsid w:val="00F55D5A"/>
    <w:rsid w:val="00F55DA6"/>
    <w:rsid w:val="00F55F37"/>
    <w:rsid w:val="00F55FE8"/>
    <w:rsid w:val="00F56065"/>
    <w:rsid w:val="00F56263"/>
    <w:rsid w:val="00F563C7"/>
    <w:rsid w:val="00F56465"/>
    <w:rsid w:val="00F56486"/>
    <w:rsid w:val="00F56669"/>
    <w:rsid w:val="00F56777"/>
    <w:rsid w:val="00F573FD"/>
    <w:rsid w:val="00F5755C"/>
    <w:rsid w:val="00F57810"/>
    <w:rsid w:val="00F5782B"/>
    <w:rsid w:val="00F579E8"/>
    <w:rsid w:val="00F60208"/>
    <w:rsid w:val="00F603C8"/>
    <w:rsid w:val="00F60797"/>
    <w:rsid w:val="00F6086B"/>
    <w:rsid w:val="00F60906"/>
    <w:rsid w:val="00F60921"/>
    <w:rsid w:val="00F60940"/>
    <w:rsid w:val="00F60B54"/>
    <w:rsid w:val="00F60B5D"/>
    <w:rsid w:val="00F60B96"/>
    <w:rsid w:val="00F611EA"/>
    <w:rsid w:val="00F61255"/>
    <w:rsid w:val="00F61456"/>
    <w:rsid w:val="00F6146F"/>
    <w:rsid w:val="00F61673"/>
    <w:rsid w:val="00F61730"/>
    <w:rsid w:val="00F61797"/>
    <w:rsid w:val="00F6180A"/>
    <w:rsid w:val="00F61AF3"/>
    <w:rsid w:val="00F61C9D"/>
    <w:rsid w:val="00F61F34"/>
    <w:rsid w:val="00F620CD"/>
    <w:rsid w:val="00F620DC"/>
    <w:rsid w:val="00F620EC"/>
    <w:rsid w:val="00F62882"/>
    <w:rsid w:val="00F62CC2"/>
    <w:rsid w:val="00F63429"/>
    <w:rsid w:val="00F636BD"/>
    <w:rsid w:val="00F6375A"/>
    <w:rsid w:val="00F637EE"/>
    <w:rsid w:val="00F637F7"/>
    <w:rsid w:val="00F63DBD"/>
    <w:rsid w:val="00F63FDD"/>
    <w:rsid w:val="00F640B1"/>
    <w:rsid w:val="00F640B7"/>
    <w:rsid w:val="00F64297"/>
    <w:rsid w:val="00F6433E"/>
    <w:rsid w:val="00F646AF"/>
    <w:rsid w:val="00F64C3B"/>
    <w:rsid w:val="00F64E33"/>
    <w:rsid w:val="00F64E65"/>
    <w:rsid w:val="00F64E97"/>
    <w:rsid w:val="00F64FCC"/>
    <w:rsid w:val="00F65102"/>
    <w:rsid w:val="00F65644"/>
    <w:rsid w:val="00F65805"/>
    <w:rsid w:val="00F659A8"/>
    <w:rsid w:val="00F65B47"/>
    <w:rsid w:val="00F65EB9"/>
    <w:rsid w:val="00F6604A"/>
    <w:rsid w:val="00F667CB"/>
    <w:rsid w:val="00F667FB"/>
    <w:rsid w:val="00F66939"/>
    <w:rsid w:val="00F66AFB"/>
    <w:rsid w:val="00F66B4C"/>
    <w:rsid w:val="00F66CB2"/>
    <w:rsid w:val="00F66E5A"/>
    <w:rsid w:val="00F66EA7"/>
    <w:rsid w:val="00F66FED"/>
    <w:rsid w:val="00F67452"/>
    <w:rsid w:val="00F674F6"/>
    <w:rsid w:val="00F67625"/>
    <w:rsid w:val="00F67644"/>
    <w:rsid w:val="00F67BFC"/>
    <w:rsid w:val="00F70067"/>
    <w:rsid w:val="00F702FF"/>
    <w:rsid w:val="00F7037A"/>
    <w:rsid w:val="00F704F2"/>
    <w:rsid w:val="00F705DE"/>
    <w:rsid w:val="00F707A0"/>
    <w:rsid w:val="00F70B66"/>
    <w:rsid w:val="00F70DBD"/>
    <w:rsid w:val="00F70E3A"/>
    <w:rsid w:val="00F70FBD"/>
    <w:rsid w:val="00F70FE6"/>
    <w:rsid w:val="00F71321"/>
    <w:rsid w:val="00F71347"/>
    <w:rsid w:val="00F72229"/>
    <w:rsid w:val="00F723A5"/>
    <w:rsid w:val="00F724B3"/>
    <w:rsid w:val="00F72652"/>
    <w:rsid w:val="00F726DE"/>
    <w:rsid w:val="00F729A7"/>
    <w:rsid w:val="00F72A3F"/>
    <w:rsid w:val="00F72DFB"/>
    <w:rsid w:val="00F72FEB"/>
    <w:rsid w:val="00F731D9"/>
    <w:rsid w:val="00F73206"/>
    <w:rsid w:val="00F73989"/>
    <w:rsid w:val="00F73AEF"/>
    <w:rsid w:val="00F73BE0"/>
    <w:rsid w:val="00F73C02"/>
    <w:rsid w:val="00F73C28"/>
    <w:rsid w:val="00F73C3F"/>
    <w:rsid w:val="00F73C69"/>
    <w:rsid w:val="00F73EA5"/>
    <w:rsid w:val="00F74147"/>
    <w:rsid w:val="00F74224"/>
    <w:rsid w:val="00F74434"/>
    <w:rsid w:val="00F74AAE"/>
    <w:rsid w:val="00F74BE6"/>
    <w:rsid w:val="00F751A8"/>
    <w:rsid w:val="00F7542D"/>
    <w:rsid w:val="00F75446"/>
    <w:rsid w:val="00F756A6"/>
    <w:rsid w:val="00F75946"/>
    <w:rsid w:val="00F75BEF"/>
    <w:rsid w:val="00F75D40"/>
    <w:rsid w:val="00F75FF9"/>
    <w:rsid w:val="00F76351"/>
    <w:rsid w:val="00F76DF4"/>
    <w:rsid w:val="00F7706E"/>
    <w:rsid w:val="00F77233"/>
    <w:rsid w:val="00F7724A"/>
    <w:rsid w:val="00F77287"/>
    <w:rsid w:val="00F77379"/>
    <w:rsid w:val="00F7760C"/>
    <w:rsid w:val="00F77B62"/>
    <w:rsid w:val="00F77CA3"/>
    <w:rsid w:val="00F77E18"/>
    <w:rsid w:val="00F77E62"/>
    <w:rsid w:val="00F8058D"/>
    <w:rsid w:val="00F805C7"/>
    <w:rsid w:val="00F806E0"/>
    <w:rsid w:val="00F80747"/>
    <w:rsid w:val="00F8091B"/>
    <w:rsid w:val="00F80CE5"/>
    <w:rsid w:val="00F80F4B"/>
    <w:rsid w:val="00F810C9"/>
    <w:rsid w:val="00F81380"/>
    <w:rsid w:val="00F81A5A"/>
    <w:rsid w:val="00F81B7F"/>
    <w:rsid w:val="00F81C01"/>
    <w:rsid w:val="00F81D81"/>
    <w:rsid w:val="00F81FCE"/>
    <w:rsid w:val="00F81FF4"/>
    <w:rsid w:val="00F821AB"/>
    <w:rsid w:val="00F8291A"/>
    <w:rsid w:val="00F82A56"/>
    <w:rsid w:val="00F82C0C"/>
    <w:rsid w:val="00F82EDE"/>
    <w:rsid w:val="00F83220"/>
    <w:rsid w:val="00F833CF"/>
    <w:rsid w:val="00F833DB"/>
    <w:rsid w:val="00F83479"/>
    <w:rsid w:val="00F83523"/>
    <w:rsid w:val="00F83531"/>
    <w:rsid w:val="00F8357B"/>
    <w:rsid w:val="00F83605"/>
    <w:rsid w:val="00F8377D"/>
    <w:rsid w:val="00F837BB"/>
    <w:rsid w:val="00F8381C"/>
    <w:rsid w:val="00F8391B"/>
    <w:rsid w:val="00F83948"/>
    <w:rsid w:val="00F83CBB"/>
    <w:rsid w:val="00F83F59"/>
    <w:rsid w:val="00F843E6"/>
    <w:rsid w:val="00F8449B"/>
    <w:rsid w:val="00F84B46"/>
    <w:rsid w:val="00F84CB7"/>
    <w:rsid w:val="00F84D19"/>
    <w:rsid w:val="00F84E64"/>
    <w:rsid w:val="00F85644"/>
    <w:rsid w:val="00F85678"/>
    <w:rsid w:val="00F857DD"/>
    <w:rsid w:val="00F85C79"/>
    <w:rsid w:val="00F85CD1"/>
    <w:rsid w:val="00F85DC3"/>
    <w:rsid w:val="00F85DDF"/>
    <w:rsid w:val="00F85F79"/>
    <w:rsid w:val="00F8639F"/>
    <w:rsid w:val="00F863DF"/>
    <w:rsid w:val="00F865BD"/>
    <w:rsid w:val="00F86AAB"/>
    <w:rsid w:val="00F86F0F"/>
    <w:rsid w:val="00F87201"/>
    <w:rsid w:val="00F872FA"/>
    <w:rsid w:val="00F8731E"/>
    <w:rsid w:val="00F8756E"/>
    <w:rsid w:val="00F878B5"/>
    <w:rsid w:val="00F8797F"/>
    <w:rsid w:val="00F87B4A"/>
    <w:rsid w:val="00F87CE3"/>
    <w:rsid w:val="00F90120"/>
    <w:rsid w:val="00F901D9"/>
    <w:rsid w:val="00F90222"/>
    <w:rsid w:val="00F902DD"/>
    <w:rsid w:val="00F905B1"/>
    <w:rsid w:val="00F909DB"/>
    <w:rsid w:val="00F90AA9"/>
    <w:rsid w:val="00F90B20"/>
    <w:rsid w:val="00F90D63"/>
    <w:rsid w:val="00F90D84"/>
    <w:rsid w:val="00F90E1C"/>
    <w:rsid w:val="00F91165"/>
    <w:rsid w:val="00F9122F"/>
    <w:rsid w:val="00F9129A"/>
    <w:rsid w:val="00F913C7"/>
    <w:rsid w:val="00F914B8"/>
    <w:rsid w:val="00F9158D"/>
    <w:rsid w:val="00F91686"/>
    <w:rsid w:val="00F9183E"/>
    <w:rsid w:val="00F919C4"/>
    <w:rsid w:val="00F91D12"/>
    <w:rsid w:val="00F91DDB"/>
    <w:rsid w:val="00F92040"/>
    <w:rsid w:val="00F92A4C"/>
    <w:rsid w:val="00F92B6B"/>
    <w:rsid w:val="00F92F1A"/>
    <w:rsid w:val="00F93688"/>
    <w:rsid w:val="00F9373C"/>
    <w:rsid w:val="00F939F2"/>
    <w:rsid w:val="00F93B81"/>
    <w:rsid w:val="00F93BBB"/>
    <w:rsid w:val="00F93C36"/>
    <w:rsid w:val="00F93CEB"/>
    <w:rsid w:val="00F93D61"/>
    <w:rsid w:val="00F93E7B"/>
    <w:rsid w:val="00F94076"/>
    <w:rsid w:val="00F94908"/>
    <w:rsid w:val="00F9499D"/>
    <w:rsid w:val="00F94BC5"/>
    <w:rsid w:val="00F94E27"/>
    <w:rsid w:val="00F94E29"/>
    <w:rsid w:val="00F94EDF"/>
    <w:rsid w:val="00F950A5"/>
    <w:rsid w:val="00F951D8"/>
    <w:rsid w:val="00F951E3"/>
    <w:rsid w:val="00F95627"/>
    <w:rsid w:val="00F95668"/>
    <w:rsid w:val="00F95949"/>
    <w:rsid w:val="00F95A85"/>
    <w:rsid w:val="00F95ABF"/>
    <w:rsid w:val="00F95B17"/>
    <w:rsid w:val="00F95B6A"/>
    <w:rsid w:val="00F95BEE"/>
    <w:rsid w:val="00F95DD3"/>
    <w:rsid w:val="00F961AD"/>
    <w:rsid w:val="00F961BC"/>
    <w:rsid w:val="00F96379"/>
    <w:rsid w:val="00F9641A"/>
    <w:rsid w:val="00F96771"/>
    <w:rsid w:val="00F96A21"/>
    <w:rsid w:val="00F96A90"/>
    <w:rsid w:val="00F96B80"/>
    <w:rsid w:val="00F96C83"/>
    <w:rsid w:val="00F96C9F"/>
    <w:rsid w:val="00F973DA"/>
    <w:rsid w:val="00F974C3"/>
    <w:rsid w:val="00F978D0"/>
    <w:rsid w:val="00F97BD5"/>
    <w:rsid w:val="00F97FD3"/>
    <w:rsid w:val="00FA0045"/>
    <w:rsid w:val="00FA021A"/>
    <w:rsid w:val="00FA0235"/>
    <w:rsid w:val="00FA02B5"/>
    <w:rsid w:val="00FA0642"/>
    <w:rsid w:val="00FA098C"/>
    <w:rsid w:val="00FA0CCC"/>
    <w:rsid w:val="00FA0CFA"/>
    <w:rsid w:val="00FA0E9B"/>
    <w:rsid w:val="00FA11D2"/>
    <w:rsid w:val="00FA125F"/>
    <w:rsid w:val="00FA1328"/>
    <w:rsid w:val="00FA15C5"/>
    <w:rsid w:val="00FA1831"/>
    <w:rsid w:val="00FA1C52"/>
    <w:rsid w:val="00FA1C9F"/>
    <w:rsid w:val="00FA1D1C"/>
    <w:rsid w:val="00FA2003"/>
    <w:rsid w:val="00FA248E"/>
    <w:rsid w:val="00FA24F5"/>
    <w:rsid w:val="00FA24F8"/>
    <w:rsid w:val="00FA254B"/>
    <w:rsid w:val="00FA2923"/>
    <w:rsid w:val="00FA2A1E"/>
    <w:rsid w:val="00FA31E6"/>
    <w:rsid w:val="00FA3479"/>
    <w:rsid w:val="00FA3800"/>
    <w:rsid w:val="00FA383C"/>
    <w:rsid w:val="00FA3A4C"/>
    <w:rsid w:val="00FA3A83"/>
    <w:rsid w:val="00FA3B89"/>
    <w:rsid w:val="00FA4322"/>
    <w:rsid w:val="00FA4395"/>
    <w:rsid w:val="00FA4415"/>
    <w:rsid w:val="00FA454E"/>
    <w:rsid w:val="00FA45D2"/>
    <w:rsid w:val="00FA45E4"/>
    <w:rsid w:val="00FA4F1F"/>
    <w:rsid w:val="00FA53C2"/>
    <w:rsid w:val="00FA5760"/>
    <w:rsid w:val="00FA578B"/>
    <w:rsid w:val="00FA589E"/>
    <w:rsid w:val="00FA5C45"/>
    <w:rsid w:val="00FA5E62"/>
    <w:rsid w:val="00FA60DA"/>
    <w:rsid w:val="00FA65E8"/>
    <w:rsid w:val="00FA6838"/>
    <w:rsid w:val="00FA6C56"/>
    <w:rsid w:val="00FA6C66"/>
    <w:rsid w:val="00FA6E10"/>
    <w:rsid w:val="00FA6F60"/>
    <w:rsid w:val="00FA6FE3"/>
    <w:rsid w:val="00FA7018"/>
    <w:rsid w:val="00FA702A"/>
    <w:rsid w:val="00FA711F"/>
    <w:rsid w:val="00FA7676"/>
    <w:rsid w:val="00FA787B"/>
    <w:rsid w:val="00FA7A6C"/>
    <w:rsid w:val="00FA7BB6"/>
    <w:rsid w:val="00FA7E10"/>
    <w:rsid w:val="00FA7ED5"/>
    <w:rsid w:val="00FA7F11"/>
    <w:rsid w:val="00FA7FBE"/>
    <w:rsid w:val="00FB0267"/>
    <w:rsid w:val="00FB0374"/>
    <w:rsid w:val="00FB0B7D"/>
    <w:rsid w:val="00FB0ED1"/>
    <w:rsid w:val="00FB1275"/>
    <w:rsid w:val="00FB16E5"/>
    <w:rsid w:val="00FB17C7"/>
    <w:rsid w:val="00FB1819"/>
    <w:rsid w:val="00FB18C0"/>
    <w:rsid w:val="00FB1E00"/>
    <w:rsid w:val="00FB1E1B"/>
    <w:rsid w:val="00FB1FC7"/>
    <w:rsid w:val="00FB2230"/>
    <w:rsid w:val="00FB26DC"/>
    <w:rsid w:val="00FB29E1"/>
    <w:rsid w:val="00FB3146"/>
    <w:rsid w:val="00FB3308"/>
    <w:rsid w:val="00FB3315"/>
    <w:rsid w:val="00FB33CE"/>
    <w:rsid w:val="00FB3456"/>
    <w:rsid w:val="00FB36D2"/>
    <w:rsid w:val="00FB3AC4"/>
    <w:rsid w:val="00FB3C54"/>
    <w:rsid w:val="00FB3F51"/>
    <w:rsid w:val="00FB3F67"/>
    <w:rsid w:val="00FB461C"/>
    <w:rsid w:val="00FB465F"/>
    <w:rsid w:val="00FB4843"/>
    <w:rsid w:val="00FB4A20"/>
    <w:rsid w:val="00FB4D69"/>
    <w:rsid w:val="00FB4D90"/>
    <w:rsid w:val="00FB50E5"/>
    <w:rsid w:val="00FB547A"/>
    <w:rsid w:val="00FB54B5"/>
    <w:rsid w:val="00FB56D7"/>
    <w:rsid w:val="00FB5988"/>
    <w:rsid w:val="00FB5D6B"/>
    <w:rsid w:val="00FB5E2C"/>
    <w:rsid w:val="00FB63E1"/>
    <w:rsid w:val="00FB6570"/>
    <w:rsid w:val="00FB65A0"/>
    <w:rsid w:val="00FB696F"/>
    <w:rsid w:val="00FB6C6E"/>
    <w:rsid w:val="00FB6CD6"/>
    <w:rsid w:val="00FB6D64"/>
    <w:rsid w:val="00FB76B4"/>
    <w:rsid w:val="00FB777E"/>
    <w:rsid w:val="00FB7B69"/>
    <w:rsid w:val="00FB7BCE"/>
    <w:rsid w:val="00FB7CE1"/>
    <w:rsid w:val="00FC0020"/>
    <w:rsid w:val="00FC0193"/>
    <w:rsid w:val="00FC0407"/>
    <w:rsid w:val="00FC044E"/>
    <w:rsid w:val="00FC0691"/>
    <w:rsid w:val="00FC06A6"/>
    <w:rsid w:val="00FC07AD"/>
    <w:rsid w:val="00FC08C6"/>
    <w:rsid w:val="00FC091B"/>
    <w:rsid w:val="00FC0F6E"/>
    <w:rsid w:val="00FC0FA8"/>
    <w:rsid w:val="00FC12B4"/>
    <w:rsid w:val="00FC13CB"/>
    <w:rsid w:val="00FC156D"/>
    <w:rsid w:val="00FC1732"/>
    <w:rsid w:val="00FC17B6"/>
    <w:rsid w:val="00FC1E29"/>
    <w:rsid w:val="00FC1E40"/>
    <w:rsid w:val="00FC211E"/>
    <w:rsid w:val="00FC23DF"/>
    <w:rsid w:val="00FC2404"/>
    <w:rsid w:val="00FC24F2"/>
    <w:rsid w:val="00FC2613"/>
    <w:rsid w:val="00FC2C36"/>
    <w:rsid w:val="00FC2EB3"/>
    <w:rsid w:val="00FC2ED7"/>
    <w:rsid w:val="00FC340B"/>
    <w:rsid w:val="00FC383E"/>
    <w:rsid w:val="00FC389B"/>
    <w:rsid w:val="00FC3920"/>
    <w:rsid w:val="00FC3CD7"/>
    <w:rsid w:val="00FC3DF0"/>
    <w:rsid w:val="00FC3E73"/>
    <w:rsid w:val="00FC3E8F"/>
    <w:rsid w:val="00FC40D4"/>
    <w:rsid w:val="00FC4227"/>
    <w:rsid w:val="00FC42CB"/>
    <w:rsid w:val="00FC48C5"/>
    <w:rsid w:val="00FC4B4C"/>
    <w:rsid w:val="00FC4CA1"/>
    <w:rsid w:val="00FC4D76"/>
    <w:rsid w:val="00FC4F52"/>
    <w:rsid w:val="00FC4F8F"/>
    <w:rsid w:val="00FC568E"/>
    <w:rsid w:val="00FC5A49"/>
    <w:rsid w:val="00FC5DCB"/>
    <w:rsid w:val="00FC61B3"/>
    <w:rsid w:val="00FC620E"/>
    <w:rsid w:val="00FC65E2"/>
    <w:rsid w:val="00FC6A0F"/>
    <w:rsid w:val="00FC6C8F"/>
    <w:rsid w:val="00FC6E0E"/>
    <w:rsid w:val="00FC6EF3"/>
    <w:rsid w:val="00FC6F83"/>
    <w:rsid w:val="00FC6FCE"/>
    <w:rsid w:val="00FC729F"/>
    <w:rsid w:val="00FC73FA"/>
    <w:rsid w:val="00FC7926"/>
    <w:rsid w:val="00FC7B94"/>
    <w:rsid w:val="00FC7E6E"/>
    <w:rsid w:val="00FC7F89"/>
    <w:rsid w:val="00FD0155"/>
    <w:rsid w:val="00FD046F"/>
    <w:rsid w:val="00FD0686"/>
    <w:rsid w:val="00FD0870"/>
    <w:rsid w:val="00FD0B7F"/>
    <w:rsid w:val="00FD0CA8"/>
    <w:rsid w:val="00FD0CF3"/>
    <w:rsid w:val="00FD0F34"/>
    <w:rsid w:val="00FD1023"/>
    <w:rsid w:val="00FD15DE"/>
    <w:rsid w:val="00FD17A1"/>
    <w:rsid w:val="00FD18F5"/>
    <w:rsid w:val="00FD1A72"/>
    <w:rsid w:val="00FD1AEA"/>
    <w:rsid w:val="00FD1C2E"/>
    <w:rsid w:val="00FD1F78"/>
    <w:rsid w:val="00FD1FFF"/>
    <w:rsid w:val="00FD2064"/>
    <w:rsid w:val="00FD20C0"/>
    <w:rsid w:val="00FD210E"/>
    <w:rsid w:val="00FD2566"/>
    <w:rsid w:val="00FD27F5"/>
    <w:rsid w:val="00FD2848"/>
    <w:rsid w:val="00FD29B5"/>
    <w:rsid w:val="00FD2A04"/>
    <w:rsid w:val="00FD2E28"/>
    <w:rsid w:val="00FD2E83"/>
    <w:rsid w:val="00FD2F79"/>
    <w:rsid w:val="00FD3052"/>
    <w:rsid w:val="00FD30CD"/>
    <w:rsid w:val="00FD321D"/>
    <w:rsid w:val="00FD3354"/>
    <w:rsid w:val="00FD36FA"/>
    <w:rsid w:val="00FD38E3"/>
    <w:rsid w:val="00FD3EE5"/>
    <w:rsid w:val="00FD423E"/>
    <w:rsid w:val="00FD430F"/>
    <w:rsid w:val="00FD4783"/>
    <w:rsid w:val="00FD4810"/>
    <w:rsid w:val="00FD4A44"/>
    <w:rsid w:val="00FD4A4D"/>
    <w:rsid w:val="00FD4A56"/>
    <w:rsid w:val="00FD4C42"/>
    <w:rsid w:val="00FD4DE9"/>
    <w:rsid w:val="00FD50BA"/>
    <w:rsid w:val="00FD50CD"/>
    <w:rsid w:val="00FD515F"/>
    <w:rsid w:val="00FD51EE"/>
    <w:rsid w:val="00FD52D5"/>
    <w:rsid w:val="00FD53B3"/>
    <w:rsid w:val="00FD53C9"/>
    <w:rsid w:val="00FD54E9"/>
    <w:rsid w:val="00FD5580"/>
    <w:rsid w:val="00FD5885"/>
    <w:rsid w:val="00FD58C6"/>
    <w:rsid w:val="00FD5A08"/>
    <w:rsid w:val="00FD5D14"/>
    <w:rsid w:val="00FD5E5B"/>
    <w:rsid w:val="00FD5E87"/>
    <w:rsid w:val="00FD6121"/>
    <w:rsid w:val="00FD6663"/>
    <w:rsid w:val="00FD68D9"/>
    <w:rsid w:val="00FD69E3"/>
    <w:rsid w:val="00FD6B5F"/>
    <w:rsid w:val="00FD6C04"/>
    <w:rsid w:val="00FD6CDD"/>
    <w:rsid w:val="00FD6D3F"/>
    <w:rsid w:val="00FD6D9E"/>
    <w:rsid w:val="00FD6DDC"/>
    <w:rsid w:val="00FD6E79"/>
    <w:rsid w:val="00FD6FC5"/>
    <w:rsid w:val="00FD7196"/>
    <w:rsid w:val="00FD7215"/>
    <w:rsid w:val="00FD7801"/>
    <w:rsid w:val="00FD7817"/>
    <w:rsid w:val="00FD7B74"/>
    <w:rsid w:val="00FD7BA9"/>
    <w:rsid w:val="00FD7BD5"/>
    <w:rsid w:val="00FD7BE9"/>
    <w:rsid w:val="00FD7CD7"/>
    <w:rsid w:val="00FD7D92"/>
    <w:rsid w:val="00FE0076"/>
    <w:rsid w:val="00FE0261"/>
    <w:rsid w:val="00FE029D"/>
    <w:rsid w:val="00FE02A8"/>
    <w:rsid w:val="00FE0331"/>
    <w:rsid w:val="00FE06B9"/>
    <w:rsid w:val="00FE0B57"/>
    <w:rsid w:val="00FE0E3B"/>
    <w:rsid w:val="00FE0EE7"/>
    <w:rsid w:val="00FE1569"/>
    <w:rsid w:val="00FE1608"/>
    <w:rsid w:val="00FE17E8"/>
    <w:rsid w:val="00FE1D40"/>
    <w:rsid w:val="00FE1E1C"/>
    <w:rsid w:val="00FE216A"/>
    <w:rsid w:val="00FE24BF"/>
    <w:rsid w:val="00FE25C0"/>
    <w:rsid w:val="00FE26C6"/>
    <w:rsid w:val="00FE2897"/>
    <w:rsid w:val="00FE292C"/>
    <w:rsid w:val="00FE2939"/>
    <w:rsid w:val="00FE2D75"/>
    <w:rsid w:val="00FE2F65"/>
    <w:rsid w:val="00FE316F"/>
    <w:rsid w:val="00FE318F"/>
    <w:rsid w:val="00FE31E4"/>
    <w:rsid w:val="00FE322F"/>
    <w:rsid w:val="00FE327A"/>
    <w:rsid w:val="00FE3403"/>
    <w:rsid w:val="00FE35D2"/>
    <w:rsid w:val="00FE3624"/>
    <w:rsid w:val="00FE39CE"/>
    <w:rsid w:val="00FE3AC5"/>
    <w:rsid w:val="00FE3BF5"/>
    <w:rsid w:val="00FE3D95"/>
    <w:rsid w:val="00FE3E05"/>
    <w:rsid w:val="00FE4491"/>
    <w:rsid w:val="00FE449D"/>
    <w:rsid w:val="00FE452D"/>
    <w:rsid w:val="00FE45D9"/>
    <w:rsid w:val="00FE46DB"/>
    <w:rsid w:val="00FE4848"/>
    <w:rsid w:val="00FE48AB"/>
    <w:rsid w:val="00FE4A49"/>
    <w:rsid w:val="00FE4AD9"/>
    <w:rsid w:val="00FE4CBC"/>
    <w:rsid w:val="00FE51B9"/>
    <w:rsid w:val="00FE520B"/>
    <w:rsid w:val="00FE5317"/>
    <w:rsid w:val="00FE53A6"/>
    <w:rsid w:val="00FE55AB"/>
    <w:rsid w:val="00FE5A0D"/>
    <w:rsid w:val="00FE5A5B"/>
    <w:rsid w:val="00FE5AC6"/>
    <w:rsid w:val="00FE5C32"/>
    <w:rsid w:val="00FE5C38"/>
    <w:rsid w:val="00FE5EF7"/>
    <w:rsid w:val="00FE5F24"/>
    <w:rsid w:val="00FE6494"/>
    <w:rsid w:val="00FE6498"/>
    <w:rsid w:val="00FE655E"/>
    <w:rsid w:val="00FE679A"/>
    <w:rsid w:val="00FE6987"/>
    <w:rsid w:val="00FE69B8"/>
    <w:rsid w:val="00FE69D6"/>
    <w:rsid w:val="00FE6B11"/>
    <w:rsid w:val="00FE6B7C"/>
    <w:rsid w:val="00FE6D14"/>
    <w:rsid w:val="00FE6EC4"/>
    <w:rsid w:val="00FE6FA6"/>
    <w:rsid w:val="00FE7361"/>
    <w:rsid w:val="00FE75D8"/>
    <w:rsid w:val="00FE7611"/>
    <w:rsid w:val="00FE77E3"/>
    <w:rsid w:val="00FE7A4E"/>
    <w:rsid w:val="00FE7A58"/>
    <w:rsid w:val="00FE7C0F"/>
    <w:rsid w:val="00FE7CD7"/>
    <w:rsid w:val="00FF01A7"/>
    <w:rsid w:val="00FF04B2"/>
    <w:rsid w:val="00FF04D7"/>
    <w:rsid w:val="00FF0502"/>
    <w:rsid w:val="00FF0548"/>
    <w:rsid w:val="00FF0B2F"/>
    <w:rsid w:val="00FF0C16"/>
    <w:rsid w:val="00FF0CE3"/>
    <w:rsid w:val="00FF0EF1"/>
    <w:rsid w:val="00FF12D3"/>
    <w:rsid w:val="00FF1317"/>
    <w:rsid w:val="00FF15D9"/>
    <w:rsid w:val="00FF1C9A"/>
    <w:rsid w:val="00FF1E6F"/>
    <w:rsid w:val="00FF1EEF"/>
    <w:rsid w:val="00FF1F3C"/>
    <w:rsid w:val="00FF1F61"/>
    <w:rsid w:val="00FF1FDC"/>
    <w:rsid w:val="00FF2134"/>
    <w:rsid w:val="00FF2EE4"/>
    <w:rsid w:val="00FF2FDA"/>
    <w:rsid w:val="00FF318C"/>
    <w:rsid w:val="00FF31F5"/>
    <w:rsid w:val="00FF379C"/>
    <w:rsid w:val="00FF37E7"/>
    <w:rsid w:val="00FF3DA9"/>
    <w:rsid w:val="00FF4271"/>
    <w:rsid w:val="00FF44E0"/>
    <w:rsid w:val="00FF49A5"/>
    <w:rsid w:val="00FF4E0D"/>
    <w:rsid w:val="00FF515E"/>
    <w:rsid w:val="00FF51B4"/>
    <w:rsid w:val="00FF55FB"/>
    <w:rsid w:val="00FF56F2"/>
    <w:rsid w:val="00FF56F6"/>
    <w:rsid w:val="00FF577F"/>
    <w:rsid w:val="00FF581F"/>
    <w:rsid w:val="00FF5A0A"/>
    <w:rsid w:val="00FF5DA9"/>
    <w:rsid w:val="00FF6091"/>
    <w:rsid w:val="00FF61FA"/>
    <w:rsid w:val="00FF6700"/>
    <w:rsid w:val="00FF6836"/>
    <w:rsid w:val="00FF6A2E"/>
    <w:rsid w:val="00FF6A7C"/>
    <w:rsid w:val="00FF6A90"/>
    <w:rsid w:val="00FF6CE4"/>
    <w:rsid w:val="00FF6D03"/>
    <w:rsid w:val="00FF6E6F"/>
    <w:rsid w:val="00FF6F66"/>
    <w:rsid w:val="00FF6FBE"/>
    <w:rsid w:val="00FF740E"/>
    <w:rsid w:val="00FF7540"/>
    <w:rsid w:val="00FF7949"/>
    <w:rsid w:val="00FF79B8"/>
    <w:rsid w:val="00FF7A85"/>
    <w:rsid w:val="00FF7C9E"/>
    <w:rsid w:val="00FF7E97"/>
    <w:rsid w:val="00FF7F1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6B280798"/>
  <w15:docId w15:val="{C4E018A8-D262-42C8-97D6-D1BDAD4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1" w:qFormat="1"/>
    <w:lsdException w:name="heading 2" w:locked="1" w:semiHidden="1" w:uiPriority="2" w:unhideWhenUsed="1" w:qFormat="1"/>
    <w:lsdException w:name="heading 3" w:locked="1" w:semiHidden="1" w:uiPriority="3" w:unhideWhenUsed="1" w:qFormat="1"/>
    <w:lsdException w:name="heading 4" w:semiHidden="1" w:uiPriority="4" w:unhideWhenUsed="1"/>
    <w:lsdException w:name="heading 5" w:semiHidden="1" w:uiPriority="5" w:unhideWhenUsed="1"/>
    <w:lsdException w:name="heading 6" w:semiHidden="1" w:uiPriority="9"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037EB"/>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43"/>
      </w:numPr>
      <w:spacing w:before="0"/>
    </w:pPr>
  </w:style>
  <w:style w:type="paragraph" w:customStyle="1" w:styleId="List-AlphanumericLvl1">
    <w:name w:val="List - Alphanumeric Lvl 1"/>
    <w:basedOn w:val="ListParagraph"/>
    <w:link w:val="List-AlphanumericLvl1Char"/>
    <w:uiPriority w:val="7"/>
    <w:qFormat/>
    <w:rsid w:val="00F974C3"/>
    <w:pPr>
      <w:numPr>
        <w:numId w:val="7"/>
      </w:numPr>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43"/>
      </w:numPr>
    </w:pPr>
  </w:style>
  <w:style w:type="paragraph" w:customStyle="1" w:styleId="List-AlphanumericLvl2">
    <w:name w:val="List - Alphanumeric Lvl 2"/>
    <w:basedOn w:val="List-AlphanumericLvl1"/>
    <w:link w:val="List-AlphanumericLvl2Char"/>
    <w:uiPriority w:val="7"/>
    <w:rsid w:val="00F974C3"/>
    <w:pPr>
      <w:numPr>
        <w:ilvl w:val="1"/>
      </w:numPr>
    </w:pPr>
  </w:style>
  <w:style w:type="character" w:customStyle="1" w:styleId="List-BulletLvl2Char">
    <w:name w:val="List - Bullet Lvl 2 Char"/>
    <w:basedOn w:val="List-BulletLvl1Char"/>
    <w:link w:val="List-BulletLvl2"/>
    <w:uiPriority w:val="4"/>
    <w:rsid w:val="00106F45"/>
    <w:rPr>
      <w:lang w:val="en-NZ"/>
    </w:rPr>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1"/>
    <w:qFormat/>
    <w:rsid w:val="00A60C1C"/>
    <w:rPr>
      <w:b/>
      <w:color w:val="77B800"/>
      <w:sz w:val="32"/>
    </w:rPr>
  </w:style>
  <w:style w:type="paragraph" w:customStyle="1" w:styleId="CV-Quals">
    <w:name w:val="CV - Quals"/>
    <w:basedOn w:val="BodyText"/>
    <w:next w:val="BodyText"/>
    <w:link w:val="CV-QualsChar"/>
    <w:uiPriority w:val="11"/>
    <w:qFormat/>
    <w:rsid w:val="008D6A45"/>
    <w:pPr>
      <w:spacing w:after="360"/>
    </w:pPr>
    <w:rPr>
      <w:b/>
      <w:i/>
      <w:color w:val="36424A" w:themeColor="text2"/>
    </w:rPr>
  </w:style>
  <w:style w:type="character" w:customStyle="1" w:styleId="CV-NameChar">
    <w:name w:val="CV - Name Char"/>
    <w:basedOn w:val="DefaultParagraphFont"/>
    <w:link w:val="CV-Name"/>
    <w:uiPriority w:val="11"/>
    <w:rsid w:val="00E367F3"/>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1"/>
    <w:rsid w:val="008D6A45"/>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2"/>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2"/>
      </w:numPr>
      <w:autoSpaceDE w:val="0"/>
      <w:autoSpaceDN w:val="0"/>
      <w:adjustRightInd w:val="0"/>
      <w:spacing w:before="360" w:line="269" w:lineRule="auto"/>
      <w:jc w:val="both"/>
      <w:outlineLvl w:val="1"/>
    </w:pPr>
    <w:rPr>
      <w:rFonts w:asciiTheme="majorHAnsi" w:hAnsiTheme="majorHAnsi" w:cs="Calibr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lang w:val="en-NZ"/>
    </w:rPr>
  </w:style>
  <w:style w:type="paragraph" w:customStyle="1" w:styleId="NumberedHeading3">
    <w:name w:val="Numbered Heading 3"/>
    <w:basedOn w:val="ListParagraph"/>
    <w:link w:val="NumberedHeading3Char"/>
    <w:uiPriority w:val="2"/>
    <w:qFormat/>
    <w:rsid w:val="0077052C"/>
    <w:pPr>
      <w:keepNext/>
      <w:numPr>
        <w:ilvl w:val="2"/>
        <w:numId w:val="2"/>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cs="Calibr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77052C"/>
    <w:pPr>
      <w:keepNext/>
      <w:numPr>
        <w:ilvl w:val="3"/>
        <w:numId w:val="2"/>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lang w:val="en-NZ"/>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5F69CB"/>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Table-para"/>
    <w:link w:val="Table-bulletChar"/>
    <w:uiPriority w:val="12"/>
    <w:rsid w:val="00106B1D"/>
    <w:pPr>
      <w:numPr>
        <w:numId w:val="1"/>
      </w:numPr>
      <w:tabs>
        <w:tab w:val="left" w:pos="453"/>
      </w:tabs>
      <w:spacing w:line="240" w:lineRule="auto"/>
    </w:pPr>
  </w:style>
  <w:style w:type="paragraph" w:customStyle="1" w:styleId="Table-Heading">
    <w:name w:val="Table - Heading"/>
    <w:next w:val="Table-para"/>
    <w:link w:val="Table-HeadingChar"/>
    <w:uiPriority w:val="11"/>
    <w:rsid w:val="005F69CB"/>
    <w:pPr>
      <w:spacing w:before="40" w:after="40"/>
    </w:pPr>
    <w:rPr>
      <w:rFonts w:asciiTheme="majorHAnsi" w:hAnsiTheme="majorHAnsi"/>
      <w:b/>
      <w:sz w:val="21"/>
      <w:szCs w:val="21"/>
      <w:lang w:val="en-NZ"/>
    </w:rPr>
  </w:style>
  <w:style w:type="character" w:customStyle="1" w:styleId="Table-bulletChar">
    <w:name w:val="Table - bullet Char"/>
    <w:basedOn w:val="DefaultParagraphFont"/>
    <w:link w:val="Table-bullet"/>
    <w:uiPriority w:val="12"/>
    <w:rsid w:val="005F69CB"/>
    <w:rPr>
      <w:rFonts w:asciiTheme="majorHAnsi" w:hAnsiTheme="majorHAnsi"/>
      <w:sz w:val="21"/>
      <w:szCs w:val="21"/>
      <w:lang w:val="en-NZ"/>
    </w:rPr>
  </w:style>
  <w:style w:type="paragraph" w:customStyle="1" w:styleId="Table-para">
    <w:name w:val="Table - para"/>
    <w:basedOn w:val="Table-Heading"/>
    <w:link w:val="Table-paraChar"/>
    <w:uiPriority w:val="11"/>
    <w:rsid w:val="005F69CB"/>
    <w:rPr>
      <w:b w:val="0"/>
    </w:rPr>
  </w:style>
  <w:style w:type="character" w:customStyle="1" w:styleId="Table-HeadingChar">
    <w:name w:val="Table - Heading Char"/>
    <w:basedOn w:val="DefaultParagraphFont"/>
    <w:link w:val="Table-Heading"/>
    <w:uiPriority w:val="11"/>
    <w:rsid w:val="005F69CB"/>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3754B0"/>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locked/>
    <w:rsid w:val="00E14424"/>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Avenir LT Std 45 Book" w:hAnsi="Avenir LT Std 45 Book" w:cs="Avenir LT Std 45 Book"/>
      <w:b/>
      <w:bCs/>
      <w:color w:val="4B565E"/>
      <w:sz w:val="28"/>
      <w:szCs w:val="28"/>
    </w:rPr>
  </w:style>
  <w:style w:type="character" w:customStyle="1" w:styleId="Subsub">
    <w:name w:val="Sub sub"/>
    <w:uiPriority w:val="99"/>
    <w:semiHidden/>
    <w:rsid w:val="00731BFE"/>
    <w:rPr>
      <w:rFonts w:ascii="Arial" w:hAnsi="Arial" w:cs="Arial"/>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Arial" w:eastAsiaTheme="minorEastAsia" w:hAnsi="Arial" w:cs="Arial"/>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pPr>
  </w:style>
  <w:style w:type="paragraph" w:customStyle="1" w:styleId="List-BulletLvl3">
    <w:name w:val="List - Bullet Lvl 3"/>
    <w:basedOn w:val="BodyText"/>
    <w:link w:val="List-BulletLvl3Char"/>
    <w:uiPriority w:val="4"/>
    <w:rsid w:val="002A78C5"/>
    <w:pPr>
      <w:numPr>
        <w:ilvl w:val="2"/>
        <w:numId w:val="43"/>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CF2461"/>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CF2461"/>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link w:val="NoSpacingChar"/>
    <w:uiPriority w:val="1"/>
    <w:qFormat/>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table" w:styleId="TableGridLight">
    <w:name w:val="Grid Table Light"/>
    <w:basedOn w:val="TableNormal"/>
    <w:uiPriority w:val="40"/>
    <w:rsid w:val="00172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26A93"/>
    <w:rPr>
      <w:sz w:val="16"/>
      <w:szCs w:val="16"/>
    </w:rPr>
  </w:style>
  <w:style w:type="paragraph" w:styleId="CommentText">
    <w:name w:val="annotation text"/>
    <w:basedOn w:val="Normal"/>
    <w:link w:val="CommentTextChar"/>
    <w:uiPriority w:val="99"/>
    <w:unhideWhenUsed/>
    <w:rsid w:val="00A26A93"/>
    <w:pPr>
      <w:spacing w:line="240" w:lineRule="auto"/>
    </w:pPr>
    <w:rPr>
      <w:sz w:val="20"/>
      <w:szCs w:val="20"/>
    </w:rPr>
  </w:style>
  <w:style w:type="character" w:customStyle="1" w:styleId="CommentTextChar">
    <w:name w:val="Comment Text Char"/>
    <w:basedOn w:val="DefaultParagraphFont"/>
    <w:link w:val="CommentText"/>
    <w:uiPriority w:val="99"/>
    <w:rsid w:val="00A26A93"/>
    <w:rPr>
      <w:sz w:val="20"/>
      <w:szCs w:val="20"/>
      <w:lang w:val="en-NZ"/>
    </w:rPr>
  </w:style>
  <w:style w:type="paragraph" w:styleId="CommentSubject">
    <w:name w:val="annotation subject"/>
    <w:basedOn w:val="CommentText"/>
    <w:next w:val="CommentText"/>
    <w:link w:val="CommentSubjectChar"/>
    <w:uiPriority w:val="99"/>
    <w:semiHidden/>
    <w:unhideWhenUsed/>
    <w:rsid w:val="00A26A93"/>
    <w:rPr>
      <w:b/>
      <w:bCs/>
    </w:rPr>
  </w:style>
  <w:style w:type="character" w:customStyle="1" w:styleId="CommentSubjectChar">
    <w:name w:val="Comment Subject Char"/>
    <w:basedOn w:val="CommentTextChar"/>
    <w:link w:val="CommentSubject"/>
    <w:uiPriority w:val="99"/>
    <w:semiHidden/>
    <w:rsid w:val="00A26A93"/>
    <w:rPr>
      <w:b/>
      <w:bCs/>
      <w:sz w:val="20"/>
      <w:szCs w:val="20"/>
      <w:lang w:val="en-NZ"/>
    </w:rPr>
  </w:style>
  <w:style w:type="paragraph" w:styleId="Revision">
    <w:name w:val="Revision"/>
    <w:hidden/>
    <w:uiPriority w:val="99"/>
    <w:semiHidden/>
    <w:rsid w:val="00BF518C"/>
    <w:pPr>
      <w:spacing w:after="0" w:line="240" w:lineRule="auto"/>
    </w:pPr>
    <w:rPr>
      <w:lang w:val="en-NZ"/>
    </w:rPr>
  </w:style>
  <w:style w:type="paragraph" w:customStyle="1" w:styleId="Normal0">
    <w:name w:val="[Normal]"/>
    <w:uiPriority w:val="99"/>
    <w:rsid w:val="00DD7CC0"/>
    <w:pPr>
      <w:widowControl w:val="0"/>
      <w:autoSpaceDE w:val="0"/>
      <w:autoSpaceDN w:val="0"/>
      <w:adjustRightInd w:val="0"/>
      <w:spacing w:after="0" w:line="240" w:lineRule="auto"/>
    </w:pPr>
    <w:rPr>
      <w:rFonts w:ascii="Avenir LT Std 45 Book" w:hAnsi="Avenir LT Std 45 Book" w:cs="Avenir LT Std 45 Book"/>
      <w:sz w:val="24"/>
      <w:szCs w:val="24"/>
      <w:lang w:val="en-NZ"/>
    </w:rPr>
  </w:style>
  <w:style w:type="character" w:styleId="UnresolvedMention">
    <w:name w:val="Unresolved Mention"/>
    <w:basedOn w:val="DefaultParagraphFont"/>
    <w:uiPriority w:val="99"/>
    <w:unhideWhenUsed/>
    <w:rsid w:val="00D72F40"/>
    <w:rPr>
      <w:color w:val="605E5C"/>
      <w:shd w:val="clear" w:color="auto" w:fill="E1DFDD"/>
    </w:rPr>
  </w:style>
  <w:style w:type="character" w:styleId="Mention">
    <w:name w:val="Mention"/>
    <w:basedOn w:val="DefaultParagraphFont"/>
    <w:uiPriority w:val="99"/>
    <w:unhideWhenUsed/>
    <w:rsid w:val="00D72F40"/>
    <w:rPr>
      <w:color w:val="2B579A"/>
      <w:shd w:val="clear" w:color="auto" w:fill="E1DFDD"/>
    </w:rPr>
  </w:style>
  <w:style w:type="paragraph" w:customStyle="1" w:styleId="TableText">
    <w:name w:val="TableText"/>
    <w:basedOn w:val="Normal"/>
    <w:uiPriority w:val="99"/>
    <w:rsid w:val="007D7B76"/>
    <w:pPr>
      <w:autoSpaceDE w:val="0"/>
      <w:autoSpaceDN w:val="0"/>
      <w:adjustRightInd w:val="0"/>
      <w:spacing w:before="60" w:after="60" w:line="240" w:lineRule="auto"/>
    </w:pPr>
    <w:rPr>
      <w:rFonts w:ascii="Arial" w:hAnsi="Arial" w:cs="Arial"/>
      <w:sz w:val="18"/>
      <w:szCs w:val="18"/>
    </w:rPr>
  </w:style>
  <w:style w:type="character" w:customStyle="1" w:styleId="NoSpacingChar">
    <w:name w:val="No Spacing Char"/>
    <w:basedOn w:val="DefaultParagraphFont"/>
    <w:link w:val="NoSpacing"/>
    <w:uiPriority w:val="1"/>
    <w:rsid w:val="004F377B"/>
    <w:rPr>
      <w:lang w:val="en-NZ"/>
    </w:rPr>
  </w:style>
  <w:style w:type="paragraph" w:styleId="TOC4">
    <w:name w:val="toc 4"/>
    <w:basedOn w:val="Normal"/>
    <w:next w:val="Normal"/>
    <w:autoRedefine/>
    <w:uiPriority w:val="39"/>
    <w:unhideWhenUsed/>
    <w:rsid w:val="00EB4549"/>
    <w:pPr>
      <w:spacing w:after="100"/>
      <w:ind w:left="660"/>
    </w:pPr>
    <w:rPr>
      <w:rFonts w:eastAsiaTheme="minorEastAsia"/>
      <w:lang w:eastAsia="en-NZ"/>
    </w:rPr>
  </w:style>
  <w:style w:type="paragraph" w:styleId="TOC5">
    <w:name w:val="toc 5"/>
    <w:basedOn w:val="Normal"/>
    <w:next w:val="Normal"/>
    <w:autoRedefine/>
    <w:uiPriority w:val="39"/>
    <w:unhideWhenUsed/>
    <w:rsid w:val="00EB4549"/>
    <w:pPr>
      <w:spacing w:after="100"/>
      <w:ind w:left="880"/>
    </w:pPr>
    <w:rPr>
      <w:rFonts w:eastAsiaTheme="minorEastAsia"/>
      <w:lang w:eastAsia="en-NZ"/>
    </w:rPr>
  </w:style>
  <w:style w:type="paragraph" w:styleId="TOC6">
    <w:name w:val="toc 6"/>
    <w:basedOn w:val="Normal"/>
    <w:next w:val="Normal"/>
    <w:autoRedefine/>
    <w:uiPriority w:val="39"/>
    <w:unhideWhenUsed/>
    <w:rsid w:val="00EB4549"/>
    <w:pPr>
      <w:spacing w:after="100"/>
      <w:ind w:left="1100"/>
    </w:pPr>
    <w:rPr>
      <w:rFonts w:eastAsiaTheme="minorEastAsia"/>
      <w:lang w:eastAsia="en-NZ"/>
    </w:rPr>
  </w:style>
  <w:style w:type="paragraph" w:styleId="TOC7">
    <w:name w:val="toc 7"/>
    <w:basedOn w:val="Normal"/>
    <w:next w:val="Normal"/>
    <w:autoRedefine/>
    <w:uiPriority w:val="39"/>
    <w:unhideWhenUsed/>
    <w:rsid w:val="00EB4549"/>
    <w:pPr>
      <w:spacing w:after="100"/>
      <w:ind w:left="1320"/>
    </w:pPr>
    <w:rPr>
      <w:rFonts w:eastAsiaTheme="minorEastAsia"/>
      <w:lang w:eastAsia="en-NZ"/>
    </w:rPr>
  </w:style>
  <w:style w:type="paragraph" w:styleId="TOC8">
    <w:name w:val="toc 8"/>
    <w:basedOn w:val="Normal"/>
    <w:next w:val="Normal"/>
    <w:autoRedefine/>
    <w:uiPriority w:val="39"/>
    <w:unhideWhenUsed/>
    <w:rsid w:val="00EB4549"/>
    <w:pPr>
      <w:spacing w:after="100"/>
      <w:ind w:left="1540"/>
    </w:pPr>
    <w:rPr>
      <w:rFonts w:eastAsiaTheme="minorEastAsia"/>
      <w:lang w:eastAsia="en-NZ"/>
    </w:rPr>
  </w:style>
  <w:style w:type="paragraph" w:styleId="TOC9">
    <w:name w:val="toc 9"/>
    <w:basedOn w:val="Normal"/>
    <w:next w:val="Normal"/>
    <w:autoRedefine/>
    <w:uiPriority w:val="39"/>
    <w:unhideWhenUsed/>
    <w:rsid w:val="00EB4549"/>
    <w:pPr>
      <w:spacing w:after="100"/>
      <w:ind w:left="1760"/>
    </w:pPr>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446706877">
      <w:bodyDiv w:val="1"/>
      <w:marLeft w:val="0"/>
      <w:marRight w:val="0"/>
      <w:marTop w:val="0"/>
      <w:marBottom w:val="0"/>
      <w:divBdr>
        <w:top w:val="none" w:sz="0" w:space="0" w:color="auto"/>
        <w:left w:val="none" w:sz="0" w:space="0" w:color="auto"/>
        <w:bottom w:val="none" w:sz="0" w:space="0" w:color="auto"/>
        <w:right w:val="none" w:sz="0" w:space="0" w:color="auto"/>
      </w:divBdr>
    </w:div>
    <w:div w:id="793208859">
      <w:bodyDiv w:val="1"/>
      <w:marLeft w:val="0"/>
      <w:marRight w:val="0"/>
      <w:marTop w:val="0"/>
      <w:marBottom w:val="0"/>
      <w:divBdr>
        <w:top w:val="none" w:sz="0" w:space="0" w:color="auto"/>
        <w:left w:val="none" w:sz="0" w:space="0" w:color="auto"/>
        <w:bottom w:val="none" w:sz="0" w:space="0" w:color="auto"/>
        <w:right w:val="none" w:sz="0" w:space="0" w:color="auto"/>
      </w:divBdr>
    </w:div>
    <w:div w:id="1876841633">
      <w:bodyDiv w:val="1"/>
      <w:marLeft w:val="0"/>
      <w:marRight w:val="0"/>
      <w:marTop w:val="0"/>
      <w:marBottom w:val="0"/>
      <w:divBdr>
        <w:top w:val="none" w:sz="0" w:space="0" w:color="auto"/>
        <w:left w:val="none" w:sz="0" w:space="0" w:color="auto"/>
        <w:bottom w:val="none" w:sz="0" w:space="0" w:color="auto"/>
        <w:right w:val="none" w:sz="0" w:space="0" w:color="auto"/>
      </w:divBdr>
    </w:div>
    <w:div w:id="20674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publication/strategy-prevent-and-minimise-gambling-harm-2019-20-2021-22-proposals-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itters\Desktop\HW%20A+C%20Templates\A+C%20REPORT%20Template%20Oct%202017.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f5abf06-34ba-4fcf-8754-5b64340556e4">Active</Status>
    <SharedWithUsers xmlns="ea7a09f2-b8a1-4fbf-adfd-e286ce2b53cb">
      <UserInfo>
        <DisplayName>Stephanie James</DisplayName>
        <AccountId>48</AccountId>
        <AccountType/>
      </UserInfo>
      <UserInfo>
        <DisplayName>David Berg</DisplayName>
        <AccountId>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4" ma:contentTypeDescription="Create a new document." ma:contentTypeScope="" ma:versionID="23447bce6ce6b98c96a995adeab550f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8f4a453037d57dc215869f44f1bb9ba6"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default="Active" ma:description="Identify active and archived or inactive file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3C5F0-320D-4425-9E28-66B6CE95E505}">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2.xml><?xml version="1.0" encoding="utf-8"?>
<ds:datastoreItem xmlns:ds="http://schemas.openxmlformats.org/officeDocument/2006/customXml" ds:itemID="{88DB7BD3-ED2D-4E9E-AA1A-F0EC4C9711E4}">
  <ds:schemaRefs>
    <ds:schemaRef ds:uri="http://schemas.openxmlformats.org/officeDocument/2006/bibliography"/>
  </ds:schemaRefs>
</ds:datastoreItem>
</file>

<file path=customXml/itemProps3.xml><?xml version="1.0" encoding="utf-8"?>
<ds:datastoreItem xmlns:ds="http://schemas.openxmlformats.org/officeDocument/2006/customXml" ds:itemID="{8B5447DC-7D55-4E1D-9E93-5A7D5E33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F85E8-133F-4CB3-BAAE-5433E40BF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 REPORT Template Oct 2017</Template>
  <TotalTime>5</TotalTime>
  <Pages>130</Pages>
  <Words>44917</Words>
  <Characters>256033</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Company>Allen and Clarke</Company>
  <LinksUpToDate>false</LinksUpToDate>
  <CharactersWithSpaces>300350</CharactersWithSpaces>
  <SharedDoc>false</SharedDoc>
  <HLinks>
    <vt:vector size="792" baseType="variant">
      <vt:variant>
        <vt:i4>1441854</vt:i4>
      </vt:variant>
      <vt:variant>
        <vt:i4>773</vt:i4>
      </vt:variant>
      <vt:variant>
        <vt:i4>0</vt:i4>
      </vt:variant>
      <vt:variant>
        <vt:i4>5</vt:i4>
      </vt:variant>
      <vt:variant>
        <vt:lpwstr/>
      </vt:variant>
      <vt:variant>
        <vt:lpwstr>_Toc86403017</vt:lpwstr>
      </vt:variant>
      <vt:variant>
        <vt:i4>1507390</vt:i4>
      </vt:variant>
      <vt:variant>
        <vt:i4>767</vt:i4>
      </vt:variant>
      <vt:variant>
        <vt:i4>0</vt:i4>
      </vt:variant>
      <vt:variant>
        <vt:i4>5</vt:i4>
      </vt:variant>
      <vt:variant>
        <vt:lpwstr/>
      </vt:variant>
      <vt:variant>
        <vt:lpwstr>_Toc86403016</vt:lpwstr>
      </vt:variant>
      <vt:variant>
        <vt:i4>1310782</vt:i4>
      </vt:variant>
      <vt:variant>
        <vt:i4>761</vt:i4>
      </vt:variant>
      <vt:variant>
        <vt:i4>0</vt:i4>
      </vt:variant>
      <vt:variant>
        <vt:i4>5</vt:i4>
      </vt:variant>
      <vt:variant>
        <vt:lpwstr/>
      </vt:variant>
      <vt:variant>
        <vt:lpwstr>_Toc86403015</vt:lpwstr>
      </vt:variant>
      <vt:variant>
        <vt:i4>1376318</vt:i4>
      </vt:variant>
      <vt:variant>
        <vt:i4>755</vt:i4>
      </vt:variant>
      <vt:variant>
        <vt:i4>0</vt:i4>
      </vt:variant>
      <vt:variant>
        <vt:i4>5</vt:i4>
      </vt:variant>
      <vt:variant>
        <vt:lpwstr/>
      </vt:variant>
      <vt:variant>
        <vt:lpwstr>_Toc86403014</vt:lpwstr>
      </vt:variant>
      <vt:variant>
        <vt:i4>1179710</vt:i4>
      </vt:variant>
      <vt:variant>
        <vt:i4>749</vt:i4>
      </vt:variant>
      <vt:variant>
        <vt:i4>0</vt:i4>
      </vt:variant>
      <vt:variant>
        <vt:i4>5</vt:i4>
      </vt:variant>
      <vt:variant>
        <vt:lpwstr/>
      </vt:variant>
      <vt:variant>
        <vt:lpwstr>_Toc86403013</vt:lpwstr>
      </vt:variant>
      <vt:variant>
        <vt:i4>1245246</vt:i4>
      </vt:variant>
      <vt:variant>
        <vt:i4>743</vt:i4>
      </vt:variant>
      <vt:variant>
        <vt:i4>0</vt:i4>
      </vt:variant>
      <vt:variant>
        <vt:i4>5</vt:i4>
      </vt:variant>
      <vt:variant>
        <vt:lpwstr/>
      </vt:variant>
      <vt:variant>
        <vt:lpwstr>_Toc86403012</vt:lpwstr>
      </vt:variant>
      <vt:variant>
        <vt:i4>1048638</vt:i4>
      </vt:variant>
      <vt:variant>
        <vt:i4>737</vt:i4>
      </vt:variant>
      <vt:variant>
        <vt:i4>0</vt:i4>
      </vt:variant>
      <vt:variant>
        <vt:i4>5</vt:i4>
      </vt:variant>
      <vt:variant>
        <vt:lpwstr/>
      </vt:variant>
      <vt:variant>
        <vt:lpwstr>_Toc86403011</vt:lpwstr>
      </vt:variant>
      <vt:variant>
        <vt:i4>1114174</vt:i4>
      </vt:variant>
      <vt:variant>
        <vt:i4>731</vt:i4>
      </vt:variant>
      <vt:variant>
        <vt:i4>0</vt:i4>
      </vt:variant>
      <vt:variant>
        <vt:i4>5</vt:i4>
      </vt:variant>
      <vt:variant>
        <vt:lpwstr/>
      </vt:variant>
      <vt:variant>
        <vt:lpwstr>_Toc86403010</vt:lpwstr>
      </vt:variant>
      <vt:variant>
        <vt:i4>1441853</vt:i4>
      </vt:variant>
      <vt:variant>
        <vt:i4>722</vt:i4>
      </vt:variant>
      <vt:variant>
        <vt:i4>0</vt:i4>
      </vt:variant>
      <vt:variant>
        <vt:i4>5</vt:i4>
      </vt:variant>
      <vt:variant>
        <vt:lpwstr/>
      </vt:variant>
      <vt:variant>
        <vt:lpwstr>_Toc86944281</vt:lpwstr>
      </vt:variant>
      <vt:variant>
        <vt:i4>1507389</vt:i4>
      </vt:variant>
      <vt:variant>
        <vt:i4>716</vt:i4>
      </vt:variant>
      <vt:variant>
        <vt:i4>0</vt:i4>
      </vt:variant>
      <vt:variant>
        <vt:i4>5</vt:i4>
      </vt:variant>
      <vt:variant>
        <vt:lpwstr/>
      </vt:variant>
      <vt:variant>
        <vt:lpwstr>_Toc86944280</vt:lpwstr>
      </vt:variant>
      <vt:variant>
        <vt:i4>1966130</vt:i4>
      </vt:variant>
      <vt:variant>
        <vt:i4>710</vt:i4>
      </vt:variant>
      <vt:variant>
        <vt:i4>0</vt:i4>
      </vt:variant>
      <vt:variant>
        <vt:i4>5</vt:i4>
      </vt:variant>
      <vt:variant>
        <vt:lpwstr/>
      </vt:variant>
      <vt:variant>
        <vt:lpwstr>_Toc86944279</vt:lpwstr>
      </vt:variant>
      <vt:variant>
        <vt:i4>2031666</vt:i4>
      </vt:variant>
      <vt:variant>
        <vt:i4>704</vt:i4>
      </vt:variant>
      <vt:variant>
        <vt:i4>0</vt:i4>
      </vt:variant>
      <vt:variant>
        <vt:i4>5</vt:i4>
      </vt:variant>
      <vt:variant>
        <vt:lpwstr/>
      </vt:variant>
      <vt:variant>
        <vt:lpwstr>_Toc86944278</vt:lpwstr>
      </vt:variant>
      <vt:variant>
        <vt:i4>1048626</vt:i4>
      </vt:variant>
      <vt:variant>
        <vt:i4>698</vt:i4>
      </vt:variant>
      <vt:variant>
        <vt:i4>0</vt:i4>
      </vt:variant>
      <vt:variant>
        <vt:i4>5</vt:i4>
      </vt:variant>
      <vt:variant>
        <vt:lpwstr/>
      </vt:variant>
      <vt:variant>
        <vt:lpwstr>_Toc86944277</vt:lpwstr>
      </vt:variant>
      <vt:variant>
        <vt:i4>1114162</vt:i4>
      </vt:variant>
      <vt:variant>
        <vt:i4>692</vt:i4>
      </vt:variant>
      <vt:variant>
        <vt:i4>0</vt:i4>
      </vt:variant>
      <vt:variant>
        <vt:i4>5</vt:i4>
      </vt:variant>
      <vt:variant>
        <vt:lpwstr/>
      </vt:variant>
      <vt:variant>
        <vt:lpwstr>_Toc86944276</vt:lpwstr>
      </vt:variant>
      <vt:variant>
        <vt:i4>1179698</vt:i4>
      </vt:variant>
      <vt:variant>
        <vt:i4>686</vt:i4>
      </vt:variant>
      <vt:variant>
        <vt:i4>0</vt:i4>
      </vt:variant>
      <vt:variant>
        <vt:i4>5</vt:i4>
      </vt:variant>
      <vt:variant>
        <vt:lpwstr/>
      </vt:variant>
      <vt:variant>
        <vt:lpwstr>_Toc86944275</vt:lpwstr>
      </vt:variant>
      <vt:variant>
        <vt:i4>1245234</vt:i4>
      </vt:variant>
      <vt:variant>
        <vt:i4>680</vt:i4>
      </vt:variant>
      <vt:variant>
        <vt:i4>0</vt:i4>
      </vt:variant>
      <vt:variant>
        <vt:i4>5</vt:i4>
      </vt:variant>
      <vt:variant>
        <vt:lpwstr/>
      </vt:variant>
      <vt:variant>
        <vt:lpwstr>_Toc86944274</vt:lpwstr>
      </vt:variant>
      <vt:variant>
        <vt:i4>1310770</vt:i4>
      </vt:variant>
      <vt:variant>
        <vt:i4>674</vt:i4>
      </vt:variant>
      <vt:variant>
        <vt:i4>0</vt:i4>
      </vt:variant>
      <vt:variant>
        <vt:i4>5</vt:i4>
      </vt:variant>
      <vt:variant>
        <vt:lpwstr/>
      </vt:variant>
      <vt:variant>
        <vt:lpwstr>_Toc86944273</vt:lpwstr>
      </vt:variant>
      <vt:variant>
        <vt:i4>1376306</vt:i4>
      </vt:variant>
      <vt:variant>
        <vt:i4>668</vt:i4>
      </vt:variant>
      <vt:variant>
        <vt:i4>0</vt:i4>
      </vt:variant>
      <vt:variant>
        <vt:i4>5</vt:i4>
      </vt:variant>
      <vt:variant>
        <vt:lpwstr/>
      </vt:variant>
      <vt:variant>
        <vt:lpwstr>_Toc86944272</vt:lpwstr>
      </vt:variant>
      <vt:variant>
        <vt:i4>1441842</vt:i4>
      </vt:variant>
      <vt:variant>
        <vt:i4>662</vt:i4>
      </vt:variant>
      <vt:variant>
        <vt:i4>0</vt:i4>
      </vt:variant>
      <vt:variant>
        <vt:i4>5</vt:i4>
      </vt:variant>
      <vt:variant>
        <vt:lpwstr/>
      </vt:variant>
      <vt:variant>
        <vt:lpwstr>_Toc86944271</vt:lpwstr>
      </vt:variant>
      <vt:variant>
        <vt:i4>1507378</vt:i4>
      </vt:variant>
      <vt:variant>
        <vt:i4>656</vt:i4>
      </vt:variant>
      <vt:variant>
        <vt:i4>0</vt:i4>
      </vt:variant>
      <vt:variant>
        <vt:i4>5</vt:i4>
      </vt:variant>
      <vt:variant>
        <vt:lpwstr/>
      </vt:variant>
      <vt:variant>
        <vt:lpwstr>_Toc86944270</vt:lpwstr>
      </vt:variant>
      <vt:variant>
        <vt:i4>1966131</vt:i4>
      </vt:variant>
      <vt:variant>
        <vt:i4>650</vt:i4>
      </vt:variant>
      <vt:variant>
        <vt:i4>0</vt:i4>
      </vt:variant>
      <vt:variant>
        <vt:i4>5</vt:i4>
      </vt:variant>
      <vt:variant>
        <vt:lpwstr/>
      </vt:variant>
      <vt:variant>
        <vt:lpwstr>_Toc86944269</vt:lpwstr>
      </vt:variant>
      <vt:variant>
        <vt:i4>2031667</vt:i4>
      </vt:variant>
      <vt:variant>
        <vt:i4>644</vt:i4>
      </vt:variant>
      <vt:variant>
        <vt:i4>0</vt:i4>
      </vt:variant>
      <vt:variant>
        <vt:i4>5</vt:i4>
      </vt:variant>
      <vt:variant>
        <vt:lpwstr/>
      </vt:variant>
      <vt:variant>
        <vt:lpwstr>_Toc86944268</vt:lpwstr>
      </vt:variant>
      <vt:variant>
        <vt:i4>1048627</vt:i4>
      </vt:variant>
      <vt:variant>
        <vt:i4>638</vt:i4>
      </vt:variant>
      <vt:variant>
        <vt:i4>0</vt:i4>
      </vt:variant>
      <vt:variant>
        <vt:i4>5</vt:i4>
      </vt:variant>
      <vt:variant>
        <vt:lpwstr/>
      </vt:variant>
      <vt:variant>
        <vt:lpwstr>_Toc86944267</vt:lpwstr>
      </vt:variant>
      <vt:variant>
        <vt:i4>1114163</vt:i4>
      </vt:variant>
      <vt:variant>
        <vt:i4>632</vt:i4>
      </vt:variant>
      <vt:variant>
        <vt:i4>0</vt:i4>
      </vt:variant>
      <vt:variant>
        <vt:i4>5</vt:i4>
      </vt:variant>
      <vt:variant>
        <vt:lpwstr/>
      </vt:variant>
      <vt:variant>
        <vt:lpwstr>_Toc86944266</vt:lpwstr>
      </vt:variant>
      <vt:variant>
        <vt:i4>1179699</vt:i4>
      </vt:variant>
      <vt:variant>
        <vt:i4>626</vt:i4>
      </vt:variant>
      <vt:variant>
        <vt:i4>0</vt:i4>
      </vt:variant>
      <vt:variant>
        <vt:i4>5</vt:i4>
      </vt:variant>
      <vt:variant>
        <vt:lpwstr/>
      </vt:variant>
      <vt:variant>
        <vt:lpwstr>_Toc86944265</vt:lpwstr>
      </vt:variant>
      <vt:variant>
        <vt:i4>1245235</vt:i4>
      </vt:variant>
      <vt:variant>
        <vt:i4>620</vt:i4>
      </vt:variant>
      <vt:variant>
        <vt:i4>0</vt:i4>
      </vt:variant>
      <vt:variant>
        <vt:i4>5</vt:i4>
      </vt:variant>
      <vt:variant>
        <vt:lpwstr/>
      </vt:variant>
      <vt:variant>
        <vt:lpwstr>_Toc86944264</vt:lpwstr>
      </vt:variant>
      <vt:variant>
        <vt:i4>1310771</vt:i4>
      </vt:variant>
      <vt:variant>
        <vt:i4>614</vt:i4>
      </vt:variant>
      <vt:variant>
        <vt:i4>0</vt:i4>
      </vt:variant>
      <vt:variant>
        <vt:i4>5</vt:i4>
      </vt:variant>
      <vt:variant>
        <vt:lpwstr/>
      </vt:variant>
      <vt:variant>
        <vt:lpwstr>_Toc86944263</vt:lpwstr>
      </vt:variant>
      <vt:variant>
        <vt:i4>1376307</vt:i4>
      </vt:variant>
      <vt:variant>
        <vt:i4>608</vt:i4>
      </vt:variant>
      <vt:variant>
        <vt:i4>0</vt:i4>
      </vt:variant>
      <vt:variant>
        <vt:i4>5</vt:i4>
      </vt:variant>
      <vt:variant>
        <vt:lpwstr/>
      </vt:variant>
      <vt:variant>
        <vt:lpwstr>_Toc86944262</vt:lpwstr>
      </vt:variant>
      <vt:variant>
        <vt:i4>1441843</vt:i4>
      </vt:variant>
      <vt:variant>
        <vt:i4>602</vt:i4>
      </vt:variant>
      <vt:variant>
        <vt:i4>0</vt:i4>
      </vt:variant>
      <vt:variant>
        <vt:i4>5</vt:i4>
      </vt:variant>
      <vt:variant>
        <vt:lpwstr/>
      </vt:variant>
      <vt:variant>
        <vt:lpwstr>_Toc86944261</vt:lpwstr>
      </vt:variant>
      <vt:variant>
        <vt:i4>1507379</vt:i4>
      </vt:variant>
      <vt:variant>
        <vt:i4>596</vt:i4>
      </vt:variant>
      <vt:variant>
        <vt:i4>0</vt:i4>
      </vt:variant>
      <vt:variant>
        <vt:i4>5</vt:i4>
      </vt:variant>
      <vt:variant>
        <vt:lpwstr/>
      </vt:variant>
      <vt:variant>
        <vt:lpwstr>_Toc86944260</vt:lpwstr>
      </vt:variant>
      <vt:variant>
        <vt:i4>1966128</vt:i4>
      </vt:variant>
      <vt:variant>
        <vt:i4>590</vt:i4>
      </vt:variant>
      <vt:variant>
        <vt:i4>0</vt:i4>
      </vt:variant>
      <vt:variant>
        <vt:i4>5</vt:i4>
      </vt:variant>
      <vt:variant>
        <vt:lpwstr/>
      </vt:variant>
      <vt:variant>
        <vt:lpwstr>_Toc86944259</vt:lpwstr>
      </vt:variant>
      <vt:variant>
        <vt:i4>2031664</vt:i4>
      </vt:variant>
      <vt:variant>
        <vt:i4>584</vt:i4>
      </vt:variant>
      <vt:variant>
        <vt:i4>0</vt:i4>
      </vt:variant>
      <vt:variant>
        <vt:i4>5</vt:i4>
      </vt:variant>
      <vt:variant>
        <vt:lpwstr/>
      </vt:variant>
      <vt:variant>
        <vt:lpwstr>_Toc86944258</vt:lpwstr>
      </vt:variant>
      <vt:variant>
        <vt:i4>1048624</vt:i4>
      </vt:variant>
      <vt:variant>
        <vt:i4>578</vt:i4>
      </vt:variant>
      <vt:variant>
        <vt:i4>0</vt:i4>
      </vt:variant>
      <vt:variant>
        <vt:i4>5</vt:i4>
      </vt:variant>
      <vt:variant>
        <vt:lpwstr/>
      </vt:variant>
      <vt:variant>
        <vt:lpwstr>_Toc86944257</vt:lpwstr>
      </vt:variant>
      <vt:variant>
        <vt:i4>1114160</vt:i4>
      </vt:variant>
      <vt:variant>
        <vt:i4>572</vt:i4>
      </vt:variant>
      <vt:variant>
        <vt:i4>0</vt:i4>
      </vt:variant>
      <vt:variant>
        <vt:i4>5</vt:i4>
      </vt:variant>
      <vt:variant>
        <vt:lpwstr/>
      </vt:variant>
      <vt:variant>
        <vt:lpwstr>_Toc86944256</vt:lpwstr>
      </vt:variant>
      <vt:variant>
        <vt:i4>1179696</vt:i4>
      </vt:variant>
      <vt:variant>
        <vt:i4>566</vt:i4>
      </vt:variant>
      <vt:variant>
        <vt:i4>0</vt:i4>
      </vt:variant>
      <vt:variant>
        <vt:i4>5</vt:i4>
      </vt:variant>
      <vt:variant>
        <vt:lpwstr/>
      </vt:variant>
      <vt:variant>
        <vt:lpwstr>_Toc86944255</vt:lpwstr>
      </vt:variant>
      <vt:variant>
        <vt:i4>1245232</vt:i4>
      </vt:variant>
      <vt:variant>
        <vt:i4>560</vt:i4>
      </vt:variant>
      <vt:variant>
        <vt:i4>0</vt:i4>
      </vt:variant>
      <vt:variant>
        <vt:i4>5</vt:i4>
      </vt:variant>
      <vt:variant>
        <vt:lpwstr/>
      </vt:variant>
      <vt:variant>
        <vt:lpwstr>_Toc86944254</vt:lpwstr>
      </vt:variant>
      <vt:variant>
        <vt:i4>1310768</vt:i4>
      </vt:variant>
      <vt:variant>
        <vt:i4>554</vt:i4>
      </vt:variant>
      <vt:variant>
        <vt:i4>0</vt:i4>
      </vt:variant>
      <vt:variant>
        <vt:i4>5</vt:i4>
      </vt:variant>
      <vt:variant>
        <vt:lpwstr/>
      </vt:variant>
      <vt:variant>
        <vt:lpwstr>_Toc86944253</vt:lpwstr>
      </vt:variant>
      <vt:variant>
        <vt:i4>1376304</vt:i4>
      </vt:variant>
      <vt:variant>
        <vt:i4>548</vt:i4>
      </vt:variant>
      <vt:variant>
        <vt:i4>0</vt:i4>
      </vt:variant>
      <vt:variant>
        <vt:i4>5</vt:i4>
      </vt:variant>
      <vt:variant>
        <vt:lpwstr/>
      </vt:variant>
      <vt:variant>
        <vt:lpwstr>_Toc86944252</vt:lpwstr>
      </vt:variant>
      <vt:variant>
        <vt:i4>1441840</vt:i4>
      </vt:variant>
      <vt:variant>
        <vt:i4>542</vt:i4>
      </vt:variant>
      <vt:variant>
        <vt:i4>0</vt:i4>
      </vt:variant>
      <vt:variant>
        <vt:i4>5</vt:i4>
      </vt:variant>
      <vt:variant>
        <vt:lpwstr/>
      </vt:variant>
      <vt:variant>
        <vt:lpwstr>_Toc86944251</vt:lpwstr>
      </vt:variant>
      <vt:variant>
        <vt:i4>1507376</vt:i4>
      </vt:variant>
      <vt:variant>
        <vt:i4>536</vt:i4>
      </vt:variant>
      <vt:variant>
        <vt:i4>0</vt:i4>
      </vt:variant>
      <vt:variant>
        <vt:i4>5</vt:i4>
      </vt:variant>
      <vt:variant>
        <vt:lpwstr/>
      </vt:variant>
      <vt:variant>
        <vt:lpwstr>_Toc86944250</vt:lpwstr>
      </vt:variant>
      <vt:variant>
        <vt:i4>1966129</vt:i4>
      </vt:variant>
      <vt:variant>
        <vt:i4>530</vt:i4>
      </vt:variant>
      <vt:variant>
        <vt:i4>0</vt:i4>
      </vt:variant>
      <vt:variant>
        <vt:i4>5</vt:i4>
      </vt:variant>
      <vt:variant>
        <vt:lpwstr/>
      </vt:variant>
      <vt:variant>
        <vt:lpwstr>_Toc86944249</vt:lpwstr>
      </vt:variant>
      <vt:variant>
        <vt:i4>2031665</vt:i4>
      </vt:variant>
      <vt:variant>
        <vt:i4>524</vt:i4>
      </vt:variant>
      <vt:variant>
        <vt:i4>0</vt:i4>
      </vt:variant>
      <vt:variant>
        <vt:i4>5</vt:i4>
      </vt:variant>
      <vt:variant>
        <vt:lpwstr/>
      </vt:variant>
      <vt:variant>
        <vt:lpwstr>_Toc86944248</vt:lpwstr>
      </vt:variant>
      <vt:variant>
        <vt:i4>1048625</vt:i4>
      </vt:variant>
      <vt:variant>
        <vt:i4>518</vt:i4>
      </vt:variant>
      <vt:variant>
        <vt:i4>0</vt:i4>
      </vt:variant>
      <vt:variant>
        <vt:i4>5</vt:i4>
      </vt:variant>
      <vt:variant>
        <vt:lpwstr/>
      </vt:variant>
      <vt:variant>
        <vt:lpwstr>_Toc86944247</vt:lpwstr>
      </vt:variant>
      <vt:variant>
        <vt:i4>1114161</vt:i4>
      </vt:variant>
      <vt:variant>
        <vt:i4>512</vt:i4>
      </vt:variant>
      <vt:variant>
        <vt:i4>0</vt:i4>
      </vt:variant>
      <vt:variant>
        <vt:i4>5</vt:i4>
      </vt:variant>
      <vt:variant>
        <vt:lpwstr/>
      </vt:variant>
      <vt:variant>
        <vt:lpwstr>_Toc86944246</vt:lpwstr>
      </vt:variant>
      <vt:variant>
        <vt:i4>1179697</vt:i4>
      </vt:variant>
      <vt:variant>
        <vt:i4>506</vt:i4>
      </vt:variant>
      <vt:variant>
        <vt:i4>0</vt:i4>
      </vt:variant>
      <vt:variant>
        <vt:i4>5</vt:i4>
      </vt:variant>
      <vt:variant>
        <vt:lpwstr/>
      </vt:variant>
      <vt:variant>
        <vt:lpwstr>_Toc86944245</vt:lpwstr>
      </vt:variant>
      <vt:variant>
        <vt:i4>1245233</vt:i4>
      </vt:variant>
      <vt:variant>
        <vt:i4>500</vt:i4>
      </vt:variant>
      <vt:variant>
        <vt:i4>0</vt:i4>
      </vt:variant>
      <vt:variant>
        <vt:i4>5</vt:i4>
      </vt:variant>
      <vt:variant>
        <vt:lpwstr/>
      </vt:variant>
      <vt:variant>
        <vt:lpwstr>_Toc86944244</vt:lpwstr>
      </vt:variant>
      <vt:variant>
        <vt:i4>1310769</vt:i4>
      </vt:variant>
      <vt:variant>
        <vt:i4>494</vt:i4>
      </vt:variant>
      <vt:variant>
        <vt:i4>0</vt:i4>
      </vt:variant>
      <vt:variant>
        <vt:i4>5</vt:i4>
      </vt:variant>
      <vt:variant>
        <vt:lpwstr/>
      </vt:variant>
      <vt:variant>
        <vt:lpwstr>_Toc86944243</vt:lpwstr>
      </vt:variant>
      <vt:variant>
        <vt:i4>1376305</vt:i4>
      </vt:variant>
      <vt:variant>
        <vt:i4>488</vt:i4>
      </vt:variant>
      <vt:variant>
        <vt:i4>0</vt:i4>
      </vt:variant>
      <vt:variant>
        <vt:i4>5</vt:i4>
      </vt:variant>
      <vt:variant>
        <vt:lpwstr/>
      </vt:variant>
      <vt:variant>
        <vt:lpwstr>_Toc86944242</vt:lpwstr>
      </vt:variant>
      <vt:variant>
        <vt:i4>1441841</vt:i4>
      </vt:variant>
      <vt:variant>
        <vt:i4>482</vt:i4>
      </vt:variant>
      <vt:variant>
        <vt:i4>0</vt:i4>
      </vt:variant>
      <vt:variant>
        <vt:i4>5</vt:i4>
      </vt:variant>
      <vt:variant>
        <vt:lpwstr/>
      </vt:variant>
      <vt:variant>
        <vt:lpwstr>_Toc86944241</vt:lpwstr>
      </vt:variant>
      <vt:variant>
        <vt:i4>1507377</vt:i4>
      </vt:variant>
      <vt:variant>
        <vt:i4>476</vt:i4>
      </vt:variant>
      <vt:variant>
        <vt:i4>0</vt:i4>
      </vt:variant>
      <vt:variant>
        <vt:i4>5</vt:i4>
      </vt:variant>
      <vt:variant>
        <vt:lpwstr/>
      </vt:variant>
      <vt:variant>
        <vt:lpwstr>_Toc86944240</vt:lpwstr>
      </vt:variant>
      <vt:variant>
        <vt:i4>1966134</vt:i4>
      </vt:variant>
      <vt:variant>
        <vt:i4>470</vt:i4>
      </vt:variant>
      <vt:variant>
        <vt:i4>0</vt:i4>
      </vt:variant>
      <vt:variant>
        <vt:i4>5</vt:i4>
      </vt:variant>
      <vt:variant>
        <vt:lpwstr/>
      </vt:variant>
      <vt:variant>
        <vt:lpwstr>_Toc86944239</vt:lpwstr>
      </vt:variant>
      <vt:variant>
        <vt:i4>2031670</vt:i4>
      </vt:variant>
      <vt:variant>
        <vt:i4>464</vt:i4>
      </vt:variant>
      <vt:variant>
        <vt:i4>0</vt:i4>
      </vt:variant>
      <vt:variant>
        <vt:i4>5</vt:i4>
      </vt:variant>
      <vt:variant>
        <vt:lpwstr/>
      </vt:variant>
      <vt:variant>
        <vt:lpwstr>_Toc86944238</vt:lpwstr>
      </vt:variant>
      <vt:variant>
        <vt:i4>1048630</vt:i4>
      </vt:variant>
      <vt:variant>
        <vt:i4>458</vt:i4>
      </vt:variant>
      <vt:variant>
        <vt:i4>0</vt:i4>
      </vt:variant>
      <vt:variant>
        <vt:i4>5</vt:i4>
      </vt:variant>
      <vt:variant>
        <vt:lpwstr/>
      </vt:variant>
      <vt:variant>
        <vt:lpwstr>_Toc86944237</vt:lpwstr>
      </vt:variant>
      <vt:variant>
        <vt:i4>1114166</vt:i4>
      </vt:variant>
      <vt:variant>
        <vt:i4>452</vt:i4>
      </vt:variant>
      <vt:variant>
        <vt:i4>0</vt:i4>
      </vt:variant>
      <vt:variant>
        <vt:i4>5</vt:i4>
      </vt:variant>
      <vt:variant>
        <vt:lpwstr/>
      </vt:variant>
      <vt:variant>
        <vt:lpwstr>_Toc86944236</vt:lpwstr>
      </vt:variant>
      <vt:variant>
        <vt:i4>1179702</vt:i4>
      </vt:variant>
      <vt:variant>
        <vt:i4>446</vt:i4>
      </vt:variant>
      <vt:variant>
        <vt:i4>0</vt:i4>
      </vt:variant>
      <vt:variant>
        <vt:i4>5</vt:i4>
      </vt:variant>
      <vt:variant>
        <vt:lpwstr/>
      </vt:variant>
      <vt:variant>
        <vt:lpwstr>_Toc86944235</vt:lpwstr>
      </vt:variant>
      <vt:variant>
        <vt:i4>1245238</vt:i4>
      </vt:variant>
      <vt:variant>
        <vt:i4>440</vt:i4>
      </vt:variant>
      <vt:variant>
        <vt:i4>0</vt:i4>
      </vt:variant>
      <vt:variant>
        <vt:i4>5</vt:i4>
      </vt:variant>
      <vt:variant>
        <vt:lpwstr/>
      </vt:variant>
      <vt:variant>
        <vt:lpwstr>_Toc86944234</vt:lpwstr>
      </vt:variant>
      <vt:variant>
        <vt:i4>1310774</vt:i4>
      </vt:variant>
      <vt:variant>
        <vt:i4>434</vt:i4>
      </vt:variant>
      <vt:variant>
        <vt:i4>0</vt:i4>
      </vt:variant>
      <vt:variant>
        <vt:i4>5</vt:i4>
      </vt:variant>
      <vt:variant>
        <vt:lpwstr/>
      </vt:variant>
      <vt:variant>
        <vt:lpwstr>_Toc86944233</vt:lpwstr>
      </vt:variant>
      <vt:variant>
        <vt:i4>1376310</vt:i4>
      </vt:variant>
      <vt:variant>
        <vt:i4>428</vt:i4>
      </vt:variant>
      <vt:variant>
        <vt:i4>0</vt:i4>
      </vt:variant>
      <vt:variant>
        <vt:i4>5</vt:i4>
      </vt:variant>
      <vt:variant>
        <vt:lpwstr/>
      </vt:variant>
      <vt:variant>
        <vt:lpwstr>_Toc86944232</vt:lpwstr>
      </vt:variant>
      <vt:variant>
        <vt:i4>1441846</vt:i4>
      </vt:variant>
      <vt:variant>
        <vt:i4>422</vt:i4>
      </vt:variant>
      <vt:variant>
        <vt:i4>0</vt:i4>
      </vt:variant>
      <vt:variant>
        <vt:i4>5</vt:i4>
      </vt:variant>
      <vt:variant>
        <vt:lpwstr/>
      </vt:variant>
      <vt:variant>
        <vt:lpwstr>_Toc86944231</vt:lpwstr>
      </vt:variant>
      <vt:variant>
        <vt:i4>1507382</vt:i4>
      </vt:variant>
      <vt:variant>
        <vt:i4>416</vt:i4>
      </vt:variant>
      <vt:variant>
        <vt:i4>0</vt:i4>
      </vt:variant>
      <vt:variant>
        <vt:i4>5</vt:i4>
      </vt:variant>
      <vt:variant>
        <vt:lpwstr/>
      </vt:variant>
      <vt:variant>
        <vt:lpwstr>_Toc86944230</vt:lpwstr>
      </vt:variant>
      <vt:variant>
        <vt:i4>1966135</vt:i4>
      </vt:variant>
      <vt:variant>
        <vt:i4>410</vt:i4>
      </vt:variant>
      <vt:variant>
        <vt:i4>0</vt:i4>
      </vt:variant>
      <vt:variant>
        <vt:i4>5</vt:i4>
      </vt:variant>
      <vt:variant>
        <vt:lpwstr/>
      </vt:variant>
      <vt:variant>
        <vt:lpwstr>_Toc86944229</vt:lpwstr>
      </vt:variant>
      <vt:variant>
        <vt:i4>2031671</vt:i4>
      </vt:variant>
      <vt:variant>
        <vt:i4>404</vt:i4>
      </vt:variant>
      <vt:variant>
        <vt:i4>0</vt:i4>
      </vt:variant>
      <vt:variant>
        <vt:i4>5</vt:i4>
      </vt:variant>
      <vt:variant>
        <vt:lpwstr/>
      </vt:variant>
      <vt:variant>
        <vt:lpwstr>_Toc86944228</vt:lpwstr>
      </vt:variant>
      <vt:variant>
        <vt:i4>1048631</vt:i4>
      </vt:variant>
      <vt:variant>
        <vt:i4>398</vt:i4>
      </vt:variant>
      <vt:variant>
        <vt:i4>0</vt:i4>
      </vt:variant>
      <vt:variant>
        <vt:i4>5</vt:i4>
      </vt:variant>
      <vt:variant>
        <vt:lpwstr/>
      </vt:variant>
      <vt:variant>
        <vt:lpwstr>_Toc86944227</vt:lpwstr>
      </vt:variant>
      <vt:variant>
        <vt:i4>1114167</vt:i4>
      </vt:variant>
      <vt:variant>
        <vt:i4>392</vt:i4>
      </vt:variant>
      <vt:variant>
        <vt:i4>0</vt:i4>
      </vt:variant>
      <vt:variant>
        <vt:i4>5</vt:i4>
      </vt:variant>
      <vt:variant>
        <vt:lpwstr/>
      </vt:variant>
      <vt:variant>
        <vt:lpwstr>_Toc86944226</vt:lpwstr>
      </vt:variant>
      <vt:variant>
        <vt:i4>1179703</vt:i4>
      </vt:variant>
      <vt:variant>
        <vt:i4>386</vt:i4>
      </vt:variant>
      <vt:variant>
        <vt:i4>0</vt:i4>
      </vt:variant>
      <vt:variant>
        <vt:i4>5</vt:i4>
      </vt:variant>
      <vt:variant>
        <vt:lpwstr/>
      </vt:variant>
      <vt:variant>
        <vt:lpwstr>_Toc86944225</vt:lpwstr>
      </vt:variant>
      <vt:variant>
        <vt:i4>1245239</vt:i4>
      </vt:variant>
      <vt:variant>
        <vt:i4>380</vt:i4>
      </vt:variant>
      <vt:variant>
        <vt:i4>0</vt:i4>
      </vt:variant>
      <vt:variant>
        <vt:i4>5</vt:i4>
      </vt:variant>
      <vt:variant>
        <vt:lpwstr/>
      </vt:variant>
      <vt:variant>
        <vt:lpwstr>_Toc86944224</vt:lpwstr>
      </vt:variant>
      <vt:variant>
        <vt:i4>1310775</vt:i4>
      </vt:variant>
      <vt:variant>
        <vt:i4>374</vt:i4>
      </vt:variant>
      <vt:variant>
        <vt:i4>0</vt:i4>
      </vt:variant>
      <vt:variant>
        <vt:i4>5</vt:i4>
      </vt:variant>
      <vt:variant>
        <vt:lpwstr/>
      </vt:variant>
      <vt:variant>
        <vt:lpwstr>_Toc86944223</vt:lpwstr>
      </vt:variant>
      <vt:variant>
        <vt:i4>1376311</vt:i4>
      </vt:variant>
      <vt:variant>
        <vt:i4>368</vt:i4>
      </vt:variant>
      <vt:variant>
        <vt:i4>0</vt:i4>
      </vt:variant>
      <vt:variant>
        <vt:i4>5</vt:i4>
      </vt:variant>
      <vt:variant>
        <vt:lpwstr/>
      </vt:variant>
      <vt:variant>
        <vt:lpwstr>_Toc86944222</vt:lpwstr>
      </vt:variant>
      <vt:variant>
        <vt:i4>1441847</vt:i4>
      </vt:variant>
      <vt:variant>
        <vt:i4>362</vt:i4>
      </vt:variant>
      <vt:variant>
        <vt:i4>0</vt:i4>
      </vt:variant>
      <vt:variant>
        <vt:i4>5</vt:i4>
      </vt:variant>
      <vt:variant>
        <vt:lpwstr/>
      </vt:variant>
      <vt:variant>
        <vt:lpwstr>_Toc86944221</vt:lpwstr>
      </vt:variant>
      <vt:variant>
        <vt:i4>1507383</vt:i4>
      </vt:variant>
      <vt:variant>
        <vt:i4>356</vt:i4>
      </vt:variant>
      <vt:variant>
        <vt:i4>0</vt:i4>
      </vt:variant>
      <vt:variant>
        <vt:i4>5</vt:i4>
      </vt:variant>
      <vt:variant>
        <vt:lpwstr/>
      </vt:variant>
      <vt:variant>
        <vt:lpwstr>_Toc86944220</vt:lpwstr>
      </vt:variant>
      <vt:variant>
        <vt:i4>1966132</vt:i4>
      </vt:variant>
      <vt:variant>
        <vt:i4>350</vt:i4>
      </vt:variant>
      <vt:variant>
        <vt:i4>0</vt:i4>
      </vt:variant>
      <vt:variant>
        <vt:i4>5</vt:i4>
      </vt:variant>
      <vt:variant>
        <vt:lpwstr/>
      </vt:variant>
      <vt:variant>
        <vt:lpwstr>_Toc86944219</vt:lpwstr>
      </vt:variant>
      <vt:variant>
        <vt:i4>2031668</vt:i4>
      </vt:variant>
      <vt:variant>
        <vt:i4>344</vt:i4>
      </vt:variant>
      <vt:variant>
        <vt:i4>0</vt:i4>
      </vt:variant>
      <vt:variant>
        <vt:i4>5</vt:i4>
      </vt:variant>
      <vt:variant>
        <vt:lpwstr/>
      </vt:variant>
      <vt:variant>
        <vt:lpwstr>_Toc86944218</vt:lpwstr>
      </vt:variant>
      <vt:variant>
        <vt:i4>1048628</vt:i4>
      </vt:variant>
      <vt:variant>
        <vt:i4>338</vt:i4>
      </vt:variant>
      <vt:variant>
        <vt:i4>0</vt:i4>
      </vt:variant>
      <vt:variant>
        <vt:i4>5</vt:i4>
      </vt:variant>
      <vt:variant>
        <vt:lpwstr/>
      </vt:variant>
      <vt:variant>
        <vt:lpwstr>_Toc86944217</vt:lpwstr>
      </vt:variant>
      <vt:variant>
        <vt:i4>1114164</vt:i4>
      </vt:variant>
      <vt:variant>
        <vt:i4>332</vt:i4>
      </vt:variant>
      <vt:variant>
        <vt:i4>0</vt:i4>
      </vt:variant>
      <vt:variant>
        <vt:i4>5</vt:i4>
      </vt:variant>
      <vt:variant>
        <vt:lpwstr/>
      </vt:variant>
      <vt:variant>
        <vt:lpwstr>_Toc86944216</vt:lpwstr>
      </vt:variant>
      <vt:variant>
        <vt:i4>1179700</vt:i4>
      </vt:variant>
      <vt:variant>
        <vt:i4>326</vt:i4>
      </vt:variant>
      <vt:variant>
        <vt:i4>0</vt:i4>
      </vt:variant>
      <vt:variant>
        <vt:i4>5</vt:i4>
      </vt:variant>
      <vt:variant>
        <vt:lpwstr/>
      </vt:variant>
      <vt:variant>
        <vt:lpwstr>_Toc86944215</vt:lpwstr>
      </vt:variant>
      <vt:variant>
        <vt:i4>1245236</vt:i4>
      </vt:variant>
      <vt:variant>
        <vt:i4>320</vt:i4>
      </vt:variant>
      <vt:variant>
        <vt:i4>0</vt:i4>
      </vt:variant>
      <vt:variant>
        <vt:i4>5</vt:i4>
      </vt:variant>
      <vt:variant>
        <vt:lpwstr/>
      </vt:variant>
      <vt:variant>
        <vt:lpwstr>_Toc86944214</vt:lpwstr>
      </vt:variant>
      <vt:variant>
        <vt:i4>1310772</vt:i4>
      </vt:variant>
      <vt:variant>
        <vt:i4>314</vt:i4>
      </vt:variant>
      <vt:variant>
        <vt:i4>0</vt:i4>
      </vt:variant>
      <vt:variant>
        <vt:i4>5</vt:i4>
      </vt:variant>
      <vt:variant>
        <vt:lpwstr/>
      </vt:variant>
      <vt:variant>
        <vt:lpwstr>_Toc86944213</vt:lpwstr>
      </vt:variant>
      <vt:variant>
        <vt:i4>1376308</vt:i4>
      </vt:variant>
      <vt:variant>
        <vt:i4>308</vt:i4>
      </vt:variant>
      <vt:variant>
        <vt:i4>0</vt:i4>
      </vt:variant>
      <vt:variant>
        <vt:i4>5</vt:i4>
      </vt:variant>
      <vt:variant>
        <vt:lpwstr/>
      </vt:variant>
      <vt:variant>
        <vt:lpwstr>_Toc86944212</vt:lpwstr>
      </vt:variant>
      <vt:variant>
        <vt:i4>1441844</vt:i4>
      </vt:variant>
      <vt:variant>
        <vt:i4>302</vt:i4>
      </vt:variant>
      <vt:variant>
        <vt:i4>0</vt:i4>
      </vt:variant>
      <vt:variant>
        <vt:i4>5</vt:i4>
      </vt:variant>
      <vt:variant>
        <vt:lpwstr/>
      </vt:variant>
      <vt:variant>
        <vt:lpwstr>_Toc86944211</vt:lpwstr>
      </vt:variant>
      <vt:variant>
        <vt:i4>1507380</vt:i4>
      </vt:variant>
      <vt:variant>
        <vt:i4>296</vt:i4>
      </vt:variant>
      <vt:variant>
        <vt:i4>0</vt:i4>
      </vt:variant>
      <vt:variant>
        <vt:i4>5</vt:i4>
      </vt:variant>
      <vt:variant>
        <vt:lpwstr/>
      </vt:variant>
      <vt:variant>
        <vt:lpwstr>_Toc86944210</vt:lpwstr>
      </vt:variant>
      <vt:variant>
        <vt:i4>1966133</vt:i4>
      </vt:variant>
      <vt:variant>
        <vt:i4>290</vt:i4>
      </vt:variant>
      <vt:variant>
        <vt:i4>0</vt:i4>
      </vt:variant>
      <vt:variant>
        <vt:i4>5</vt:i4>
      </vt:variant>
      <vt:variant>
        <vt:lpwstr/>
      </vt:variant>
      <vt:variant>
        <vt:lpwstr>_Toc86944209</vt:lpwstr>
      </vt:variant>
      <vt:variant>
        <vt:i4>2031669</vt:i4>
      </vt:variant>
      <vt:variant>
        <vt:i4>284</vt:i4>
      </vt:variant>
      <vt:variant>
        <vt:i4>0</vt:i4>
      </vt:variant>
      <vt:variant>
        <vt:i4>5</vt:i4>
      </vt:variant>
      <vt:variant>
        <vt:lpwstr/>
      </vt:variant>
      <vt:variant>
        <vt:lpwstr>_Toc86944208</vt:lpwstr>
      </vt:variant>
      <vt:variant>
        <vt:i4>1048629</vt:i4>
      </vt:variant>
      <vt:variant>
        <vt:i4>278</vt:i4>
      </vt:variant>
      <vt:variant>
        <vt:i4>0</vt:i4>
      </vt:variant>
      <vt:variant>
        <vt:i4>5</vt:i4>
      </vt:variant>
      <vt:variant>
        <vt:lpwstr/>
      </vt:variant>
      <vt:variant>
        <vt:lpwstr>_Toc86944207</vt:lpwstr>
      </vt:variant>
      <vt:variant>
        <vt:i4>1114165</vt:i4>
      </vt:variant>
      <vt:variant>
        <vt:i4>272</vt:i4>
      </vt:variant>
      <vt:variant>
        <vt:i4>0</vt:i4>
      </vt:variant>
      <vt:variant>
        <vt:i4>5</vt:i4>
      </vt:variant>
      <vt:variant>
        <vt:lpwstr/>
      </vt:variant>
      <vt:variant>
        <vt:lpwstr>_Toc86944206</vt:lpwstr>
      </vt:variant>
      <vt:variant>
        <vt:i4>1179701</vt:i4>
      </vt:variant>
      <vt:variant>
        <vt:i4>266</vt:i4>
      </vt:variant>
      <vt:variant>
        <vt:i4>0</vt:i4>
      </vt:variant>
      <vt:variant>
        <vt:i4>5</vt:i4>
      </vt:variant>
      <vt:variant>
        <vt:lpwstr/>
      </vt:variant>
      <vt:variant>
        <vt:lpwstr>_Toc86944205</vt:lpwstr>
      </vt:variant>
      <vt:variant>
        <vt:i4>1245237</vt:i4>
      </vt:variant>
      <vt:variant>
        <vt:i4>260</vt:i4>
      </vt:variant>
      <vt:variant>
        <vt:i4>0</vt:i4>
      </vt:variant>
      <vt:variant>
        <vt:i4>5</vt:i4>
      </vt:variant>
      <vt:variant>
        <vt:lpwstr/>
      </vt:variant>
      <vt:variant>
        <vt:lpwstr>_Toc86944204</vt:lpwstr>
      </vt:variant>
      <vt:variant>
        <vt:i4>1310773</vt:i4>
      </vt:variant>
      <vt:variant>
        <vt:i4>254</vt:i4>
      </vt:variant>
      <vt:variant>
        <vt:i4>0</vt:i4>
      </vt:variant>
      <vt:variant>
        <vt:i4>5</vt:i4>
      </vt:variant>
      <vt:variant>
        <vt:lpwstr/>
      </vt:variant>
      <vt:variant>
        <vt:lpwstr>_Toc86944203</vt:lpwstr>
      </vt:variant>
      <vt:variant>
        <vt:i4>1376309</vt:i4>
      </vt:variant>
      <vt:variant>
        <vt:i4>248</vt:i4>
      </vt:variant>
      <vt:variant>
        <vt:i4>0</vt:i4>
      </vt:variant>
      <vt:variant>
        <vt:i4>5</vt:i4>
      </vt:variant>
      <vt:variant>
        <vt:lpwstr/>
      </vt:variant>
      <vt:variant>
        <vt:lpwstr>_Toc86944202</vt:lpwstr>
      </vt:variant>
      <vt:variant>
        <vt:i4>1441845</vt:i4>
      </vt:variant>
      <vt:variant>
        <vt:i4>242</vt:i4>
      </vt:variant>
      <vt:variant>
        <vt:i4>0</vt:i4>
      </vt:variant>
      <vt:variant>
        <vt:i4>5</vt:i4>
      </vt:variant>
      <vt:variant>
        <vt:lpwstr/>
      </vt:variant>
      <vt:variant>
        <vt:lpwstr>_Toc86944201</vt:lpwstr>
      </vt:variant>
      <vt:variant>
        <vt:i4>1507381</vt:i4>
      </vt:variant>
      <vt:variant>
        <vt:i4>236</vt:i4>
      </vt:variant>
      <vt:variant>
        <vt:i4>0</vt:i4>
      </vt:variant>
      <vt:variant>
        <vt:i4>5</vt:i4>
      </vt:variant>
      <vt:variant>
        <vt:lpwstr/>
      </vt:variant>
      <vt:variant>
        <vt:lpwstr>_Toc86944200</vt:lpwstr>
      </vt:variant>
      <vt:variant>
        <vt:i4>1900604</vt:i4>
      </vt:variant>
      <vt:variant>
        <vt:i4>230</vt:i4>
      </vt:variant>
      <vt:variant>
        <vt:i4>0</vt:i4>
      </vt:variant>
      <vt:variant>
        <vt:i4>5</vt:i4>
      </vt:variant>
      <vt:variant>
        <vt:lpwstr/>
      </vt:variant>
      <vt:variant>
        <vt:lpwstr>_Toc86944199</vt:lpwstr>
      </vt:variant>
      <vt:variant>
        <vt:i4>1835068</vt:i4>
      </vt:variant>
      <vt:variant>
        <vt:i4>224</vt:i4>
      </vt:variant>
      <vt:variant>
        <vt:i4>0</vt:i4>
      </vt:variant>
      <vt:variant>
        <vt:i4>5</vt:i4>
      </vt:variant>
      <vt:variant>
        <vt:lpwstr/>
      </vt:variant>
      <vt:variant>
        <vt:lpwstr>_Toc86944198</vt:lpwstr>
      </vt:variant>
      <vt:variant>
        <vt:i4>1245244</vt:i4>
      </vt:variant>
      <vt:variant>
        <vt:i4>218</vt:i4>
      </vt:variant>
      <vt:variant>
        <vt:i4>0</vt:i4>
      </vt:variant>
      <vt:variant>
        <vt:i4>5</vt:i4>
      </vt:variant>
      <vt:variant>
        <vt:lpwstr/>
      </vt:variant>
      <vt:variant>
        <vt:lpwstr>_Toc86944197</vt:lpwstr>
      </vt:variant>
      <vt:variant>
        <vt:i4>1179708</vt:i4>
      </vt:variant>
      <vt:variant>
        <vt:i4>212</vt:i4>
      </vt:variant>
      <vt:variant>
        <vt:i4>0</vt:i4>
      </vt:variant>
      <vt:variant>
        <vt:i4>5</vt:i4>
      </vt:variant>
      <vt:variant>
        <vt:lpwstr/>
      </vt:variant>
      <vt:variant>
        <vt:lpwstr>_Toc86944196</vt:lpwstr>
      </vt:variant>
      <vt:variant>
        <vt:i4>1114172</vt:i4>
      </vt:variant>
      <vt:variant>
        <vt:i4>206</vt:i4>
      </vt:variant>
      <vt:variant>
        <vt:i4>0</vt:i4>
      </vt:variant>
      <vt:variant>
        <vt:i4>5</vt:i4>
      </vt:variant>
      <vt:variant>
        <vt:lpwstr/>
      </vt:variant>
      <vt:variant>
        <vt:lpwstr>_Toc86944195</vt:lpwstr>
      </vt:variant>
      <vt:variant>
        <vt:i4>1048636</vt:i4>
      </vt:variant>
      <vt:variant>
        <vt:i4>200</vt:i4>
      </vt:variant>
      <vt:variant>
        <vt:i4>0</vt:i4>
      </vt:variant>
      <vt:variant>
        <vt:i4>5</vt:i4>
      </vt:variant>
      <vt:variant>
        <vt:lpwstr/>
      </vt:variant>
      <vt:variant>
        <vt:lpwstr>_Toc86944194</vt:lpwstr>
      </vt:variant>
      <vt:variant>
        <vt:i4>1507388</vt:i4>
      </vt:variant>
      <vt:variant>
        <vt:i4>194</vt:i4>
      </vt:variant>
      <vt:variant>
        <vt:i4>0</vt:i4>
      </vt:variant>
      <vt:variant>
        <vt:i4>5</vt:i4>
      </vt:variant>
      <vt:variant>
        <vt:lpwstr/>
      </vt:variant>
      <vt:variant>
        <vt:lpwstr>_Toc86944193</vt:lpwstr>
      </vt:variant>
      <vt:variant>
        <vt:i4>1441852</vt:i4>
      </vt:variant>
      <vt:variant>
        <vt:i4>188</vt:i4>
      </vt:variant>
      <vt:variant>
        <vt:i4>0</vt:i4>
      </vt:variant>
      <vt:variant>
        <vt:i4>5</vt:i4>
      </vt:variant>
      <vt:variant>
        <vt:lpwstr/>
      </vt:variant>
      <vt:variant>
        <vt:lpwstr>_Toc86944192</vt:lpwstr>
      </vt:variant>
      <vt:variant>
        <vt:i4>1376316</vt:i4>
      </vt:variant>
      <vt:variant>
        <vt:i4>182</vt:i4>
      </vt:variant>
      <vt:variant>
        <vt:i4>0</vt:i4>
      </vt:variant>
      <vt:variant>
        <vt:i4>5</vt:i4>
      </vt:variant>
      <vt:variant>
        <vt:lpwstr/>
      </vt:variant>
      <vt:variant>
        <vt:lpwstr>_Toc86944191</vt:lpwstr>
      </vt:variant>
      <vt:variant>
        <vt:i4>1310780</vt:i4>
      </vt:variant>
      <vt:variant>
        <vt:i4>176</vt:i4>
      </vt:variant>
      <vt:variant>
        <vt:i4>0</vt:i4>
      </vt:variant>
      <vt:variant>
        <vt:i4>5</vt:i4>
      </vt:variant>
      <vt:variant>
        <vt:lpwstr/>
      </vt:variant>
      <vt:variant>
        <vt:lpwstr>_Toc86944190</vt:lpwstr>
      </vt:variant>
      <vt:variant>
        <vt:i4>1900605</vt:i4>
      </vt:variant>
      <vt:variant>
        <vt:i4>170</vt:i4>
      </vt:variant>
      <vt:variant>
        <vt:i4>0</vt:i4>
      </vt:variant>
      <vt:variant>
        <vt:i4>5</vt:i4>
      </vt:variant>
      <vt:variant>
        <vt:lpwstr/>
      </vt:variant>
      <vt:variant>
        <vt:lpwstr>_Toc86944189</vt:lpwstr>
      </vt:variant>
      <vt:variant>
        <vt:i4>1835069</vt:i4>
      </vt:variant>
      <vt:variant>
        <vt:i4>164</vt:i4>
      </vt:variant>
      <vt:variant>
        <vt:i4>0</vt:i4>
      </vt:variant>
      <vt:variant>
        <vt:i4>5</vt:i4>
      </vt:variant>
      <vt:variant>
        <vt:lpwstr/>
      </vt:variant>
      <vt:variant>
        <vt:lpwstr>_Toc86944188</vt:lpwstr>
      </vt:variant>
      <vt:variant>
        <vt:i4>1245245</vt:i4>
      </vt:variant>
      <vt:variant>
        <vt:i4>158</vt:i4>
      </vt:variant>
      <vt:variant>
        <vt:i4>0</vt:i4>
      </vt:variant>
      <vt:variant>
        <vt:i4>5</vt:i4>
      </vt:variant>
      <vt:variant>
        <vt:lpwstr/>
      </vt:variant>
      <vt:variant>
        <vt:lpwstr>_Toc86944187</vt:lpwstr>
      </vt:variant>
      <vt:variant>
        <vt:i4>1179709</vt:i4>
      </vt:variant>
      <vt:variant>
        <vt:i4>152</vt:i4>
      </vt:variant>
      <vt:variant>
        <vt:i4>0</vt:i4>
      </vt:variant>
      <vt:variant>
        <vt:i4>5</vt:i4>
      </vt:variant>
      <vt:variant>
        <vt:lpwstr/>
      </vt:variant>
      <vt:variant>
        <vt:lpwstr>_Toc86944186</vt:lpwstr>
      </vt:variant>
      <vt:variant>
        <vt:i4>1114173</vt:i4>
      </vt:variant>
      <vt:variant>
        <vt:i4>146</vt:i4>
      </vt:variant>
      <vt:variant>
        <vt:i4>0</vt:i4>
      </vt:variant>
      <vt:variant>
        <vt:i4>5</vt:i4>
      </vt:variant>
      <vt:variant>
        <vt:lpwstr/>
      </vt:variant>
      <vt:variant>
        <vt:lpwstr>_Toc86944185</vt:lpwstr>
      </vt:variant>
      <vt:variant>
        <vt:i4>1048637</vt:i4>
      </vt:variant>
      <vt:variant>
        <vt:i4>140</vt:i4>
      </vt:variant>
      <vt:variant>
        <vt:i4>0</vt:i4>
      </vt:variant>
      <vt:variant>
        <vt:i4>5</vt:i4>
      </vt:variant>
      <vt:variant>
        <vt:lpwstr/>
      </vt:variant>
      <vt:variant>
        <vt:lpwstr>_Toc86944184</vt:lpwstr>
      </vt:variant>
      <vt:variant>
        <vt:i4>1507389</vt:i4>
      </vt:variant>
      <vt:variant>
        <vt:i4>134</vt:i4>
      </vt:variant>
      <vt:variant>
        <vt:i4>0</vt:i4>
      </vt:variant>
      <vt:variant>
        <vt:i4>5</vt:i4>
      </vt:variant>
      <vt:variant>
        <vt:lpwstr/>
      </vt:variant>
      <vt:variant>
        <vt:lpwstr>_Toc86944183</vt:lpwstr>
      </vt:variant>
      <vt:variant>
        <vt:i4>1441853</vt:i4>
      </vt:variant>
      <vt:variant>
        <vt:i4>128</vt:i4>
      </vt:variant>
      <vt:variant>
        <vt:i4>0</vt:i4>
      </vt:variant>
      <vt:variant>
        <vt:i4>5</vt:i4>
      </vt:variant>
      <vt:variant>
        <vt:lpwstr/>
      </vt:variant>
      <vt:variant>
        <vt:lpwstr>_Toc86944182</vt:lpwstr>
      </vt:variant>
      <vt:variant>
        <vt:i4>1376317</vt:i4>
      </vt:variant>
      <vt:variant>
        <vt:i4>122</vt:i4>
      </vt:variant>
      <vt:variant>
        <vt:i4>0</vt:i4>
      </vt:variant>
      <vt:variant>
        <vt:i4>5</vt:i4>
      </vt:variant>
      <vt:variant>
        <vt:lpwstr/>
      </vt:variant>
      <vt:variant>
        <vt:lpwstr>_Toc86944181</vt:lpwstr>
      </vt:variant>
      <vt:variant>
        <vt:i4>1310781</vt:i4>
      </vt:variant>
      <vt:variant>
        <vt:i4>116</vt:i4>
      </vt:variant>
      <vt:variant>
        <vt:i4>0</vt:i4>
      </vt:variant>
      <vt:variant>
        <vt:i4>5</vt:i4>
      </vt:variant>
      <vt:variant>
        <vt:lpwstr/>
      </vt:variant>
      <vt:variant>
        <vt:lpwstr>_Toc86944180</vt:lpwstr>
      </vt:variant>
      <vt:variant>
        <vt:i4>1900594</vt:i4>
      </vt:variant>
      <vt:variant>
        <vt:i4>110</vt:i4>
      </vt:variant>
      <vt:variant>
        <vt:i4>0</vt:i4>
      </vt:variant>
      <vt:variant>
        <vt:i4>5</vt:i4>
      </vt:variant>
      <vt:variant>
        <vt:lpwstr/>
      </vt:variant>
      <vt:variant>
        <vt:lpwstr>_Toc86944179</vt:lpwstr>
      </vt:variant>
      <vt:variant>
        <vt:i4>1835058</vt:i4>
      </vt:variant>
      <vt:variant>
        <vt:i4>104</vt:i4>
      </vt:variant>
      <vt:variant>
        <vt:i4>0</vt:i4>
      </vt:variant>
      <vt:variant>
        <vt:i4>5</vt:i4>
      </vt:variant>
      <vt:variant>
        <vt:lpwstr/>
      </vt:variant>
      <vt:variant>
        <vt:lpwstr>_Toc86944178</vt:lpwstr>
      </vt:variant>
      <vt:variant>
        <vt:i4>1245234</vt:i4>
      </vt:variant>
      <vt:variant>
        <vt:i4>98</vt:i4>
      </vt:variant>
      <vt:variant>
        <vt:i4>0</vt:i4>
      </vt:variant>
      <vt:variant>
        <vt:i4>5</vt:i4>
      </vt:variant>
      <vt:variant>
        <vt:lpwstr/>
      </vt:variant>
      <vt:variant>
        <vt:lpwstr>_Toc86944177</vt:lpwstr>
      </vt:variant>
      <vt:variant>
        <vt:i4>1179698</vt:i4>
      </vt:variant>
      <vt:variant>
        <vt:i4>92</vt:i4>
      </vt:variant>
      <vt:variant>
        <vt:i4>0</vt:i4>
      </vt:variant>
      <vt:variant>
        <vt:i4>5</vt:i4>
      </vt:variant>
      <vt:variant>
        <vt:lpwstr/>
      </vt:variant>
      <vt:variant>
        <vt:lpwstr>_Toc86944176</vt:lpwstr>
      </vt:variant>
      <vt:variant>
        <vt:i4>1114162</vt:i4>
      </vt:variant>
      <vt:variant>
        <vt:i4>86</vt:i4>
      </vt:variant>
      <vt:variant>
        <vt:i4>0</vt:i4>
      </vt:variant>
      <vt:variant>
        <vt:i4>5</vt:i4>
      </vt:variant>
      <vt:variant>
        <vt:lpwstr/>
      </vt:variant>
      <vt:variant>
        <vt:lpwstr>_Toc86944175</vt:lpwstr>
      </vt:variant>
      <vt:variant>
        <vt:i4>1048626</vt:i4>
      </vt:variant>
      <vt:variant>
        <vt:i4>80</vt:i4>
      </vt:variant>
      <vt:variant>
        <vt:i4>0</vt:i4>
      </vt:variant>
      <vt:variant>
        <vt:i4>5</vt:i4>
      </vt:variant>
      <vt:variant>
        <vt:lpwstr/>
      </vt:variant>
      <vt:variant>
        <vt:lpwstr>_Toc86944174</vt:lpwstr>
      </vt:variant>
      <vt:variant>
        <vt:i4>1507378</vt:i4>
      </vt:variant>
      <vt:variant>
        <vt:i4>74</vt:i4>
      </vt:variant>
      <vt:variant>
        <vt:i4>0</vt:i4>
      </vt:variant>
      <vt:variant>
        <vt:i4>5</vt:i4>
      </vt:variant>
      <vt:variant>
        <vt:lpwstr/>
      </vt:variant>
      <vt:variant>
        <vt:lpwstr>_Toc86944173</vt:lpwstr>
      </vt:variant>
      <vt:variant>
        <vt:i4>1441842</vt:i4>
      </vt:variant>
      <vt:variant>
        <vt:i4>68</vt:i4>
      </vt:variant>
      <vt:variant>
        <vt:i4>0</vt:i4>
      </vt:variant>
      <vt:variant>
        <vt:i4>5</vt:i4>
      </vt:variant>
      <vt:variant>
        <vt:lpwstr/>
      </vt:variant>
      <vt:variant>
        <vt:lpwstr>_Toc86944172</vt:lpwstr>
      </vt:variant>
      <vt:variant>
        <vt:i4>1376306</vt:i4>
      </vt:variant>
      <vt:variant>
        <vt:i4>62</vt:i4>
      </vt:variant>
      <vt:variant>
        <vt:i4>0</vt:i4>
      </vt:variant>
      <vt:variant>
        <vt:i4>5</vt:i4>
      </vt:variant>
      <vt:variant>
        <vt:lpwstr/>
      </vt:variant>
      <vt:variant>
        <vt:lpwstr>_Toc86944171</vt:lpwstr>
      </vt:variant>
      <vt:variant>
        <vt:i4>1310770</vt:i4>
      </vt:variant>
      <vt:variant>
        <vt:i4>56</vt:i4>
      </vt:variant>
      <vt:variant>
        <vt:i4>0</vt:i4>
      </vt:variant>
      <vt:variant>
        <vt:i4>5</vt:i4>
      </vt:variant>
      <vt:variant>
        <vt:lpwstr/>
      </vt:variant>
      <vt:variant>
        <vt:lpwstr>_Toc86944170</vt:lpwstr>
      </vt:variant>
      <vt:variant>
        <vt:i4>1900595</vt:i4>
      </vt:variant>
      <vt:variant>
        <vt:i4>50</vt:i4>
      </vt:variant>
      <vt:variant>
        <vt:i4>0</vt:i4>
      </vt:variant>
      <vt:variant>
        <vt:i4>5</vt:i4>
      </vt:variant>
      <vt:variant>
        <vt:lpwstr/>
      </vt:variant>
      <vt:variant>
        <vt:lpwstr>_Toc86944169</vt:lpwstr>
      </vt:variant>
      <vt:variant>
        <vt:i4>1835059</vt:i4>
      </vt:variant>
      <vt:variant>
        <vt:i4>44</vt:i4>
      </vt:variant>
      <vt:variant>
        <vt:i4>0</vt:i4>
      </vt:variant>
      <vt:variant>
        <vt:i4>5</vt:i4>
      </vt:variant>
      <vt:variant>
        <vt:lpwstr/>
      </vt:variant>
      <vt:variant>
        <vt:lpwstr>_Toc86944168</vt:lpwstr>
      </vt:variant>
      <vt:variant>
        <vt:i4>1245235</vt:i4>
      </vt:variant>
      <vt:variant>
        <vt:i4>38</vt:i4>
      </vt:variant>
      <vt:variant>
        <vt:i4>0</vt:i4>
      </vt:variant>
      <vt:variant>
        <vt:i4>5</vt:i4>
      </vt:variant>
      <vt:variant>
        <vt:lpwstr/>
      </vt:variant>
      <vt:variant>
        <vt:lpwstr>_Toc86944167</vt:lpwstr>
      </vt:variant>
      <vt:variant>
        <vt:i4>1179699</vt:i4>
      </vt:variant>
      <vt:variant>
        <vt:i4>32</vt:i4>
      </vt:variant>
      <vt:variant>
        <vt:i4>0</vt:i4>
      </vt:variant>
      <vt:variant>
        <vt:i4>5</vt:i4>
      </vt:variant>
      <vt:variant>
        <vt:lpwstr/>
      </vt:variant>
      <vt:variant>
        <vt:lpwstr>_Toc86944166</vt:lpwstr>
      </vt:variant>
      <vt:variant>
        <vt:i4>1114163</vt:i4>
      </vt:variant>
      <vt:variant>
        <vt:i4>26</vt:i4>
      </vt:variant>
      <vt:variant>
        <vt:i4>0</vt:i4>
      </vt:variant>
      <vt:variant>
        <vt:i4>5</vt:i4>
      </vt:variant>
      <vt:variant>
        <vt:lpwstr/>
      </vt:variant>
      <vt:variant>
        <vt:lpwstr>_Toc86944165</vt:lpwstr>
      </vt:variant>
      <vt:variant>
        <vt:i4>1048627</vt:i4>
      </vt:variant>
      <vt:variant>
        <vt:i4>20</vt:i4>
      </vt:variant>
      <vt:variant>
        <vt:i4>0</vt:i4>
      </vt:variant>
      <vt:variant>
        <vt:i4>5</vt:i4>
      </vt:variant>
      <vt:variant>
        <vt:lpwstr/>
      </vt:variant>
      <vt:variant>
        <vt:lpwstr>_Toc86944164</vt:lpwstr>
      </vt:variant>
      <vt:variant>
        <vt:i4>1507379</vt:i4>
      </vt:variant>
      <vt:variant>
        <vt:i4>14</vt:i4>
      </vt:variant>
      <vt:variant>
        <vt:i4>0</vt:i4>
      </vt:variant>
      <vt:variant>
        <vt:i4>5</vt:i4>
      </vt:variant>
      <vt:variant>
        <vt:lpwstr/>
      </vt:variant>
      <vt:variant>
        <vt:lpwstr>_Toc86944163</vt:lpwstr>
      </vt:variant>
      <vt:variant>
        <vt:i4>1441843</vt:i4>
      </vt:variant>
      <vt:variant>
        <vt:i4>8</vt:i4>
      </vt:variant>
      <vt:variant>
        <vt:i4>0</vt:i4>
      </vt:variant>
      <vt:variant>
        <vt:i4>5</vt:i4>
      </vt:variant>
      <vt:variant>
        <vt:lpwstr/>
      </vt:variant>
      <vt:variant>
        <vt:lpwstr>_Toc86944162</vt:lpwstr>
      </vt:variant>
      <vt:variant>
        <vt:i4>1376307</vt:i4>
      </vt:variant>
      <vt:variant>
        <vt:i4>2</vt:i4>
      </vt:variant>
      <vt:variant>
        <vt:i4>0</vt:i4>
      </vt:variant>
      <vt:variant>
        <vt:i4>5</vt:i4>
      </vt:variant>
      <vt:variant>
        <vt:lpwstr/>
      </vt:variant>
      <vt:variant>
        <vt:lpwstr>_Toc86944161</vt:lpwstr>
      </vt:variant>
      <vt:variant>
        <vt:i4>524354</vt:i4>
      </vt:variant>
      <vt:variant>
        <vt:i4>0</vt:i4>
      </vt:variant>
      <vt:variant>
        <vt:i4>0</vt:i4>
      </vt:variant>
      <vt:variant>
        <vt:i4>5</vt:i4>
      </vt:variant>
      <vt:variant>
        <vt:lpwstr>https://www.health.govt.nz/publication/strategy-prevent-and-minimise-gambling-harm-2019-20-2021-22-proposals-document</vt:lpwstr>
      </vt:variant>
      <vt:variant>
        <vt:lpwstr/>
      </vt:variant>
      <vt:variant>
        <vt:i4>1704058</vt:i4>
      </vt:variant>
      <vt:variant>
        <vt:i4>3</vt:i4>
      </vt:variant>
      <vt:variant>
        <vt:i4>0</vt:i4>
      </vt:variant>
      <vt:variant>
        <vt:i4>5</vt:i4>
      </vt:variant>
      <vt:variant>
        <vt:lpwstr>mailto:zcollinson@allenandclarke.co.nz</vt:lpwstr>
      </vt:variant>
      <vt:variant>
        <vt:lpwstr/>
      </vt:variant>
      <vt:variant>
        <vt:i4>1704058</vt:i4>
      </vt:variant>
      <vt:variant>
        <vt:i4>0</vt:i4>
      </vt:variant>
      <vt:variant>
        <vt:i4>0</vt:i4>
      </vt:variant>
      <vt:variant>
        <vt:i4>5</vt:i4>
      </vt:variant>
      <vt:variant>
        <vt:lpwstr>mailto:zcollinson@allenandclarke.co.nz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Strategy to Minimise and Prevent Gambling Harm Submissions Analysis report</dc:title>
  <dc:subject/>
  <dc:creator>Allen and Clarke</dc:creator>
  <cp:keywords/>
  <cp:lastModifiedBy>Ministry of Health</cp:lastModifiedBy>
  <cp:revision>5</cp:revision>
  <cp:lastPrinted>2021-12-16T21:06:00Z</cp:lastPrinted>
  <dcterms:created xsi:type="dcterms:W3CDTF">2021-12-16T21:05:00Z</dcterms:created>
  <dcterms:modified xsi:type="dcterms:W3CDTF">2021-12-16T21:07:00Z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ies>
</file>