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78D6" w14:textId="395240F9" w:rsidR="00C86248" w:rsidRDefault="00961C29" w:rsidP="00926083">
      <w:pPr>
        <w:pStyle w:val="Title"/>
      </w:pPr>
      <w:r>
        <w:t>Draft Strategy to Prevent and Minimise Gambling Harm</w:t>
      </w:r>
    </w:p>
    <w:p w14:paraId="239369C6" w14:textId="5780E896" w:rsidR="00C0377D" w:rsidRPr="00C0377D" w:rsidRDefault="00C0377D" w:rsidP="00C0377D">
      <w:pPr>
        <w:pStyle w:val="Title"/>
        <w:spacing w:before="240"/>
        <w:rPr>
          <w:rFonts w:ascii="Segoe UI" w:hAnsi="Segoe UI" w:cs="Segoe UI"/>
          <w:b w:val="0"/>
          <w:sz w:val="60"/>
          <w:szCs w:val="60"/>
        </w:rPr>
      </w:pPr>
      <w:r w:rsidRPr="00FA6A1F">
        <w:rPr>
          <w:rFonts w:ascii="Segoe UI" w:hAnsi="Segoe UI" w:cs="Segoe UI"/>
          <w:b w:val="0"/>
          <w:sz w:val="60"/>
          <w:szCs w:val="60"/>
        </w:rPr>
        <w:t>2022/23 to 2024/25</w:t>
      </w:r>
    </w:p>
    <w:p w14:paraId="47D29291" w14:textId="77777777" w:rsidR="00D27922" w:rsidRDefault="00961C29" w:rsidP="00D27922">
      <w:pPr>
        <w:pStyle w:val="Subhead"/>
      </w:pPr>
      <w:r>
        <w:t>Consultation Document Overview</w:t>
      </w:r>
    </w:p>
    <w:p w14:paraId="617097FE" w14:textId="77777777" w:rsidR="00C05132" w:rsidRDefault="00C05132" w:rsidP="00A06BE4"/>
    <w:p w14:paraId="3783DE24"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58EDD003" w14:textId="04D11B1E"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961C29">
        <w:rPr>
          <w:rFonts w:cs="Segoe UI"/>
        </w:rPr>
        <w:t>2021</w:t>
      </w:r>
      <w:r w:rsidR="00442C1C" w:rsidRPr="00C05132">
        <w:rPr>
          <w:rFonts w:cs="Segoe UI"/>
        </w:rPr>
        <w:t xml:space="preserve">. </w:t>
      </w:r>
      <w:r w:rsidR="00961C29">
        <w:rPr>
          <w:rFonts w:cs="Segoe UI"/>
          <w:i/>
        </w:rPr>
        <w:t>Draft Strategy to Prevent and Minimise Gambling Harm 2022</w:t>
      </w:r>
      <w:r w:rsidR="009A6DE4">
        <w:rPr>
          <w:rFonts w:cs="Segoe UI"/>
          <w:i/>
        </w:rPr>
        <w:t>/23</w:t>
      </w:r>
      <w:r w:rsidR="00961C29">
        <w:rPr>
          <w:rFonts w:cs="Segoe UI"/>
          <w:i/>
        </w:rPr>
        <w:t xml:space="preserve"> to </w:t>
      </w:r>
      <w:r w:rsidR="009A6DE4">
        <w:rPr>
          <w:rFonts w:cs="Segoe UI"/>
          <w:i/>
        </w:rPr>
        <w:t>2024/</w:t>
      </w:r>
      <w:r w:rsidR="00961C29">
        <w:rPr>
          <w:rFonts w:cs="Segoe UI"/>
          <w:i/>
        </w:rPr>
        <w:t>25</w:t>
      </w:r>
      <w:r w:rsidR="00D27922">
        <w:rPr>
          <w:rFonts w:cs="Segoe UI"/>
          <w:i/>
        </w:rPr>
        <w:t xml:space="preserve">: </w:t>
      </w:r>
      <w:r w:rsidR="00961C29">
        <w:rPr>
          <w:rFonts w:cs="Segoe UI"/>
          <w:i/>
        </w:rPr>
        <w:t>Consultation document overview</w:t>
      </w:r>
      <w:r w:rsidR="00442C1C" w:rsidRPr="00C05132">
        <w:rPr>
          <w:rFonts w:cs="Segoe UI"/>
        </w:rPr>
        <w:t>. Wellington: Ministry of Health.</w:t>
      </w:r>
    </w:p>
    <w:p w14:paraId="3651E120" w14:textId="1A5625C4" w:rsidR="00C86248" w:rsidRDefault="00C86248">
      <w:pPr>
        <w:pStyle w:val="Imprint"/>
      </w:pPr>
      <w:r>
        <w:t xml:space="preserve">Published in </w:t>
      </w:r>
      <w:r w:rsidR="00C0377D">
        <w:t>September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E3660E3" w14:textId="1841E578" w:rsidR="00082CD6" w:rsidRPr="009C0F2D" w:rsidRDefault="00D863D0" w:rsidP="00082CD6">
      <w:pPr>
        <w:pStyle w:val="Imprint"/>
      </w:pPr>
      <w:r>
        <w:t>ISBN</w:t>
      </w:r>
      <w:r w:rsidR="00442C1C">
        <w:t xml:space="preserve"> </w:t>
      </w:r>
      <w:r w:rsidR="00C0377D">
        <w:rPr>
          <w:rStyle w:val="normaltextrun"/>
          <w:rFonts w:cs="Segoe UI"/>
          <w:color w:val="000000"/>
          <w:shd w:val="clear" w:color="auto" w:fill="FFFFFF"/>
          <w:lang w:val="en-US"/>
        </w:rPr>
        <w:t>978-1-99-100754-</w:t>
      </w:r>
      <w:proofErr w:type="gramStart"/>
      <w:r w:rsidR="00C0377D">
        <w:rPr>
          <w:rStyle w:val="normaltextrun"/>
          <w:rFonts w:cs="Segoe UI"/>
          <w:color w:val="000000"/>
          <w:shd w:val="clear" w:color="auto" w:fill="FFFFFF"/>
          <w:lang w:val="en-US"/>
        </w:rPr>
        <w:t>4</w:t>
      </w:r>
      <w:r w:rsidR="00C0377D">
        <w:rPr>
          <w:rStyle w:val="eop"/>
          <w:rFonts w:cs="Segoe UI"/>
          <w:color w:val="000000"/>
          <w:shd w:val="clear" w:color="auto" w:fill="FFFFFF"/>
        </w:rPr>
        <w:t> </w:t>
      </w:r>
      <w:r w:rsidR="002B7BEC">
        <w:t xml:space="preserve"> </w:t>
      </w:r>
      <w:r>
        <w:t>(</w:t>
      </w:r>
      <w:proofErr w:type="gramEnd"/>
      <w:r w:rsidR="00442C1C">
        <w:t>online</w:t>
      </w:r>
      <w:r>
        <w:t>)</w:t>
      </w:r>
      <w:r w:rsidR="00082CD6">
        <w:br/>
      </w:r>
      <w:r w:rsidR="00082CD6" w:rsidRPr="009C0F2D">
        <w:t xml:space="preserve">HP </w:t>
      </w:r>
      <w:r w:rsidR="006D5ACF">
        <w:t>7836</w:t>
      </w:r>
    </w:p>
    <w:p w14:paraId="072FE39F" w14:textId="77777777" w:rsidR="00C86248" w:rsidRDefault="008C64C4" w:rsidP="00D27922">
      <w:pPr>
        <w:spacing w:before="360"/>
      </w:pPr>
      <w:r>
        <w:rPr>
          <w:noProof/>
          <w:lang w:eastAsia="en-NZ"/>
        </w:rPr>
        <w:drawing>
          <wp:inline distT="0" distB="0" distL="0" distR="0" wp14:anchorId="219D907E" wp14:editId="13F52C9D">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33C07AD"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5CCF5457" w14:textId="77777777" w:rsidTr="00A63DFF">
        <w:trPr>
          <w:cantSplit/>
        </w:trPr>
        <w:tc>
          <w:tcPr>
            <w:tcW w:w="1526" w:type="dxa"/>
          </w:tcPr>
          <w:p w14:paraId="40FF6B8A"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F0C8A67" wp14:editId="2F266F0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1CD51FE"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18E369FF" w14:textId="77777777" w:rsidR="007E74F1" w:rsidRPr="001F45A7" w:rsidRDefault="007E74F1" w:rsidP="006E2886">
      <w:pPr>
        <w:pStyle w:val="Imprint"/>
      </w:pPr>
    </w:p>
    <w:p w14:paraId="67660DB0"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5127FFAA" w14:textId="77777777" w:rsidR="00C86248" w:rsidRDefault="00C86248" w:rsidP="00025A6F">
      <w:pPr>
        <w:pStyle w:val="IntroHead"/>
      </w:pPr>
      <w:bookmarkStart w:id="0" w:name="_Toc405792991"/>
      <w:bookmarkStart w:id="1" w:name="_Toc405793224"/>
      <w:r>
        <w:lastRenderedPageBreak/>
        <w:t>Contents</w:t>
      </w:r>
      <w:bookmarkEnd w:id="0"/>
      <w:bookmarkEnd w:id="1"/>
    </w:p>
    <w:p w14:paraId="052AB1E5" w14:textId="7D7659BD" w:rsidR="00C0377D" w:rsidRDefault="00C0377D">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2618399" w:history="1">
        <w:r w:rsidRPr="005A0A13">
          <w:rPr>
            <w:rStyle w:val="Hyperlink"/>
            <w:noProof/>
          </w:rPr>
          <w:t>Have your say</w:t>
        </w:r>
        <w:r>
          <w:rPr>
            <w:noProof/>
            <w:webHidden/>
          </w:rPr>
          <w:tab/>
        </w:r>
        <w:r>
          <w:rPr>
            <w:noProof/>
            <w:webHidden/>
          </w:rPr>
          <w:fldChar w:fldCharType="begin"/>
        </w:r>
        <w:r>
          <w:rPr>
            <w:noProof/>
            <w:webHidden/>
          </w:rPr>
          <w:instrText xml:space="preserve"> PAGEREF _Toc82618399 \h </w:instrText>
        </w:r>
        <w:r>
          <w:rPr>
            <w:noProof/>
            <w:webHidden/>
          </w:rPr>
        </w:r>
        <w:r>
          <w:rPr>
            <w:noProof/>
            <w:webHidden/>
          </w:rPr>
          <w:fldChar w:fldCharType="separate"/>
        </w:r>
        <w:r w:rsidR="00D16F6B">
          <w:rPr>
            <w:noProof/>
            <w:webHidden/>
          </w:rPr>
          <w:t>iv</w:t>
        </w:r>
        <w:r>
          <w:rPr>
            <w:noProof/>
            <w:webHidden/>
          </w:rPr>
          <w:fldChar w:fldCharType="end"/>
        </w:r>
      </w:hyperlink>
    </w:p>
    <w:p w14:paraId="51F7527E" w14:textId="67545423" w:rsidR="00C0377D" w:rsidRDefault="00C0377D">
      <w:pPr>
        <w:pStyle w:val="TOC2"/>
        <w:rPr>
          <w:rFonts w:asciiTheme="minorHAnsi" w:eastAsiaTheme="minorEastAsia" w:hAnsiTheme="minorHAnsi" w:cstheme="minorBidi"/>
          <w:noProof/>
          <w:sz w:val="22"/>
          <w:szCs w:val="22"/>
          <w:lang w:eastAsia="en-NZ"/>
        </w:rPr>
      </w:pPr>
      <w:hyperlink w:anchor="_Toc82618400" w:history="1">
        <w:r w:rsidRPr="005A0A13">
          <w:rPr>
            <w:rStyle w:val="Hyperlink"/>
            <w:noProof/>
          </w:rPr>
          <w:t>Make a submission</w:t>
        </w:r>
        <w:r>
          <w:rPr>
            <w:noProof/>
            <w:webHidden/>
          </w:rPr>
          <w:tab/>
        </w:r>
        <w:r>
          <w:rPr>
            <w:noProof/>
            <w:webHidden/>
          </w:rPr>
          <w:fldChar w:fldCharType="begin"/>
        </w:r>
        <w:r>
          <w:rPr>
            <w:noProof/>
            <w:webHidden/>
          </w:rPr>
          <w:instrText xml:space="preserve"> PAGEREF _Toc82618400 \h </w:instrText>
        </w:r>
        <w:r>
          <w:rPr>
            <w:noProof/>
            <w:webHidden/>
          </w:rPr>
        </w:r>
        <w:r>
          <w:rPr>
            <w:noProof/>
            <w:webHidden/>
          </w:rPr>
          <w:fldChar w:fldCharType="separate"/>
        </w:r>
        <w:r w:rsidR="00D16F6B">
          <w:rPr>
            <w:noProof/>
            <w:webHidden/>
          </w:rPr>
          <w:t>iv</w:t>
        </w:r>
        <w:r>
          <w:rPr>
            <w:noProof/>
            <w:webHidden/>
          </w:rPr>
          <w:fldChar w:fldCharType="end"/>
        </w:r>
      </w:hyperlink>
    </w:p>
    <w:p w14:paraId="18247D60" w14:textId="35330390" w:rsidR="00C0377D" w:rsidRDefault="00C0377D">
      <w:pPr>
        <w:pStyle w:val="TOC2"/>
        <w:rPr>
          <w:rFonts w:asciiTheme="minorHAnsi" w:eastAsiaTheme="minorEastAsia" w:hAnsiTheme="minorHAnsi" w:cstheme="minorBidi"/>
          <w:noProof/>
          <w:sz w:val="22"/>
          <w:szCs w:val="22"/>
          <w:lang w:eastAsia="en-NZ"/>
        </w:rPr>
      </w:pPr>
      <w:hyperlink w:anchor="_Toc82618401" w:history="1">
        <w:r w:rsidRPr="005A0A13">
          <w:rPr>
            <w:rStyle w:val="Hyperlink"/>
            <w:noProof/>
          </w:rPr>
          <w:t>Timeline</w:t>
        </w:r>
        <w:r>
          <w:rPr>
            <w:noProof/>
            <w:webHidden/>
          </w:rPr>
          <w:tab/>
        </w:r>
        <w:r>
          <w:rPr>
            <w:noProof/>
            <w:webHidden/>
          </w:rPr>
          <w:fldChar w:fldCharType="begin"/>
        </w:r>
        <w:r>
          <w:rPr>
            <w:noProof/>
            <w:webHidden/>
          </w:rPr>
          <w:instrText xml:space="preserve"> PAGEREF _Toc82618401 \h </w:instrText>
        </w:r>
        <w:r>
          <w:rPr>
            <w:noProof/>
            <w:webHidden/>
          </w:rPr>
        </w:r>
        <w:r>
          <w:rPr>
            <w:noProof/>
            <w:webHidden/>
          </w:rPr>
          <w:fldChar w:fldCharType="separate"/>
        </w:r>
        <w:r w:rsidR="00D16F6B">
          <w:rPr>
            <w:noProof/>
            <w:webHidden/>
          </w:rPr>
          <w:t>v</w:t>
        </w:r>
        <w:r>
          <w:rPr>
            <w:noProof/>
            <w:webHidden/>
          </w:rPr>
          <w:fldChar w:fldCharType="end"/>
        </w:r>
      </w:hyperlink>
    </w:p>
    <w:p w14:paraId="4AEA77EF" w14:textId="3AD46161" w:rsidR="00C0377D" w:rsidRDefault="00C0377D">
      <w:pPr>
        <w:pStyle w:val="TOC2"/>
        <w:rPr>
          <w:rFonts w:asciiTheme="minorHAnsi" w:eastAsiaTheme="minorEastAsia" w:hAnsiTheme="minorHAnsi" w:cstheme="minorBidi"/>
          <w:noProof/>
          <w:sz w:val="22"/>
          <w:szCs w:val="22"/>
          <w:lang w:eastAsia="en-NZ"/>
        </w:rPr>
      </w:pPr>
      <w:hyperlink w:anchor="_Toc82618402" w:history="1">
        <w:r w:rsidRPr="005A0A13">
          <w:rPr>
            <w:rStyle w:val="Hyperlink"/>
            <w:noProof/>
          </w:rPr>
          <w:t>More information</w:t>
        </w:r>
        <w:r>
          <w:rPr>
            <w:noProof/>
            <w:webHidden/>
          </w:rPr>
          <w:tab/>
        </w:r>
        <w:r>
          <w:rPr>
            <w:noProof/>
            <w:webHidden/>
          </w:rPr>
          <w:fldChar w:fldCharType="begin"/>
        </w:r>
        <w:r>
          <w:rPr>
            <w:noProof/>
            <w:webHidden/>
          </w:rPr>
          <w:instrText xml:space="preserve"> PAGEREF _Toc82618402 \h </w:instrText>
        </w:r>
        <w:r>
          <w:rPr>
            <w:noProof/>
            <w:webHidden/>
          </w:rPr>
        </w:r>
        <w:r>
          <w:rPr>
            <w:noProof/>
            <w:webHidden/>
          </w:rPr>
          <w:fldChar w:fldCharType="separate"/>
        </w:r>
        <w:r w:rsidR="00D16F6B">
          <w:rPr>
            <w:noProof/>
            <w:webHidden/>
          </w:rPr>
          <w:t>v</w:t>
        </w:r>
        <w:r>
          <w:rPr>
            <w:noProof/>
            <w:webHidden/>
          </w:rPr>
          <w:fldChar w:fldCharType="end"/>
        </w:r>
      </w:hyperlink>
    </w:p>
    <w:p w14:paraId="2007DE2C" w14:textId="6011FC66" w:rsidR="00C0377D" w:rsidRDefault="00C0377D">
      <w:pPr>
        <w:pStyle w:val="TOC1"/>
        <w:rPr>
          <w:rFonts w:asciiTheme="minorHAnsi" w:eastAsiaTheme="minorEastAsia" w:hAnsiTheme="minorHAnsi" w:cstheme="minorBidi"/>
          <w:noProof/>
          <w:sz w:val="22"/>
          <w:szCs w:val="22"/>
          <w:lang w:eastAsia="en-NZ"/>
        </w:rPr>
      </w:pPr>
      <w:hyperlink w:anchor="_Toc82618403" w:history="1">
        <w:r w:rsidRPr="005A0A13">
          <w:rPr>
            <w:rStyle w:val="Hyperlink"/>
            <w:noProof/>
          </w:rPr>
          <w:t>Introduction</w:t>
        </w:r>
        <w:r>
          <w:rPr>
            <w:noProof/>
            <w:webHidden/>
          </w:rPr>
          <w:tab/>
        </w:r>
        <w:r>
          <w:rPr>
            <w:noProof/>
            <w:webHidden/>
          </w:rPr>
          <w:fldChar w:fldCharType="begin"/>
        </w:r>
        <w:r>
          <w:rPr>
            <w:noProof/>
            <w:webHidden/>
          </w:rPr>
          <w:instrText xml:space="preserve"> PAGEREF _Toc82618403 \h </w:instrText>
        </w:r>
        <w:r>
          <w:rPr>
            <w:noProof/>
            <w:webHidden/>
          </w:rPr>
        </w:r>
        <w:r>
          <w:rPr>
            <w:noProof/>
            <w:webHidden/>
          </w:rPr>
          <w:fldChar w:fldCharType="separate"/>
        </w:r>
        <w:r w:rsidR="00D16F6B">
          <w:rPr>
            <w:noProof/>
            <w:webHidden/>
          </w:rPr>
          <w:t>1</w:t>
        </w:r>
        <w:r>
          <w:rPr>
            <w:noProof/>
            <w:webHidden/>
          </w:rPr>
          <w:fldChar w:fldCharType="end"/>
        </w:r>
      </w:hyperlink>
    </w:p>
    <w:p w14:paraId="68E3095C" w14:textId="5F1950BA" w:rsidR="00C0377D" w:rsidRDefault="00C0377D">
      <w:pPr>
        <w:pStyle w:val="TOC2"/>
        <w:rPr>
          <w:rFonts w:asciiTheme="minorHAnsi" w:eastAsiaTheme="minorEastAsia" w:hAnsiTheme="minorHAnsi" w:cstheme="minorBidi"/>
          <w:noProof/>
          <w:sz w:val="22"/>
          <w:szCs w:val="22"/>
          <w:lang w:eastAsia="en-NZ"/>
        </w:rPr>
      </w:pPr>
      <w:hyperlink w:anchor="_Toc82618404" w:history="1">
        <w:r w:rsidRPr="005A0A13">
          <w:rPr>
            <w:rStyle w:val="Hyperlink"/>
            <w:noProof/>
          </w:rPr>
          <w:t>Why do we want to hear from you?</w:t>
        </w:r>
        <w:r>
          <w:rPr>
            <w:noProof/>
            <w:webHidden/>
          </w:rPr>
          <w:tab/>
        </w:r>
        <w:r>
          <w:rPr>
            <w:noProof/>
            <w:webHidden/>
          </w:rPr>
          <w:fldChar w:fldCharType="begin"/>
        </w:r>
        <w:r>
          <w:rPr>
            <w:noProof/>
            <w:webHidden/>
          </w:rPr>
          <w:instrText xml:space="preserve"> PAGEREF _Toc82618404 \h </w:instrText>
        </w:r>
        <w:r>
          <w:rPr>
            <w:noProof/>
            <w:webHidden/>
          </w:rPr>
        </w:r>
        <w:r>
          <w:rPr>
            <w:noProof/>
            <w:webHidden/>
          </w:rPr>
          <w:fldChar w:fldCharType="separate"/>
        </w:r>
        <w:r w:rsidR="00D16F6B">
          <w:rPr>
            <w:noProof/>
            <w:webHidden/>
          </w:rPr>
          <w:t>1</w:t>
        </w:r>
        <w:r>
          <w:rPr>
            <w:noProof/>
            <w:webHidden/>
          </w:rPr>
          <w:fldChar w:fldCharType="end"/>
        </w:r>
      </w:hyperlink>
    </w:p>
    <w:p w14:paraId="68EB0448" w14:textId="0ED4D840" w:rsidR="00C0377D" w:rsidRDefault="00C0377D">
      <w:pPr>
        <w:pStyle w:val="TOC2"/>
        <w:rPr>
          <w:rFonts w:asciiTheme="minorHAnsi" w:eastAsiaTheme="minorEastAsia" w:hAnsiTheme="minorHAnsi" w:cstheme="minorBidi"/>
          <w:noProof/>
          <w:sz w:val="22"/>
          <w:szCs w:val="22"/>
          <w:lang w:eastAsia="en-NZ"/>
        </w:rPr>
      </w:pPr>
      <w:hyperlink w:anchor="_Toc82618405" w:history="1">
        <w:r w:rsidRPr="005A0A13">
          <w:rPr>
            <w:rStyle w:val="Hyperlink"/>
            <w:noProof/>
          </w:rPr>
          <w:t>What we know right now</w:t>
        </w:r>
        <w:r>
          <w:rPr>
            <w:noProof/>
            <w:webHidden/>
          </w:rPr>
          <w:tab/>
        </w:r>
        <w:r>
          <w:rPr>
            <w:noProof/>
            <w:webHidden/>
          </w:rPr>
          <w:fldChar w:fldCharType="begin"/>
        </w:r>
        <w:r>
          <w:rPr>
            <w:noProof/>
            <w:webHidden/>
          </w:rPr>
          <w:instrText xml:space="preserve"> PAGEREF _Toc82618405 \h </w:instrText>
        </w:r>
        <w:r>
          <w:rPr>
            <w:noProof/>
            <w:webHidden/>
          </w:rPr>
        </w:r>
        <w:r>
          <w:rPr>
            <w:noProof/>
            <w:webHidden/>
          </w:rPr>
          <w:fldChar w:fldCharType="separate"/>
        </w:r>
        <w:r w:rsidR="00D16F6B">
          <w:rPr>
            <w:noProof/>
            <w:webHidden/>
          </w:rPr>
          <w:t>1</w:t>
        </w:r>
        <w:r>
          <w:rPr>
            <w:noProof/>
            <w:webHidden/>
          </w:rPr>
          <w:fldChar w:fldCharType="end"/>
        </w:r>
      </w:hyperlink>
    </w:p>
    <w:p w14:paraId="1B1033A5" w14:textId="34B30A23" w:rsidR="00C0377D" w:rsidRDefault="00C0377D">
      <w:pPr>
        <w:pStyle w:val="TOC2"/>
        <w:rPr>
          <w:rFonts w:asciiTheme="minorHAnsi" w:eastAsiaTheme="minorEastAsia" w:hAnsiTheme="minorHAnsi" w:cstheme="minorBidi"/>
          <w:noProof/>
          <w:sz w:val="22"/>
          <w:szCs w:val="22"/>
          <w:lang w:eastAsia="en-NZ"/>
        </w:rPr>
      </w:pPr>
      <w:hyperlink w:anchor="_Toc82618406" w:history="1">
        <w:r w:rsidRPr="005A0A13">
          <w:rPr>
            <w:rStyle w:val="Hyperlink"/>
            <w:noProof/>
          </w:rPr>
          <w:t>What we need to do</w:t>
        </w:r>
        <w:r>
          <w:rPr>
            <w:noProof/>
            <w:webHidden/>
          </w:rPr>
          <w:tab/>
        </w:r>
        <w:r>
          <w:rPr>
            <w:noProof/>
            <w:webHidden/>
          </w:rPr>
          <w:fldChar w:fldCharType="begin"/>
        </w:r>
        <w:r>
          <w:rPr>
            <w:noProof/>
            <w:webHidden/>
          </w:rPr>
          <w:instrText xml:space="preserve"> PAGEREF _Toc82618406 \h </w:instrText>
        </w:r>
        <w:r>
          <w:rPr>
            <w:noProof/>
            <w:webHidden/>
          </w:rPr>
        </w:r>
        <w:r>
          <w:rPr>
            <w:noProof/>
            <w:webHidden/>
          </w:rPr>
          <w:fldChar w:fldCharType="separate"/>
        </w:r>
        <w:r w:rsidR="00D16F6B">
          <w:rPr>
            <w:noProof/>
            <w:webHidden/>
          </w:rPr>
          <w:t>2</w:t>
        </w:r>
        <w:r>
          <w:rPr>
            <w:noProof/>
            <w:webHidden/>
          </w:rPr>
          <w:fldChar w:fldCharType="end"/>
        </w:r>
      </w:hyperlink>
    </w:p>
    <w:p w14:paraId="579A1396" w14:textId="22488D25" w:rsidR="00C0377D" w:rsidRDefault="00C0377D">
      <w:pPr>
        <w:pStyle w:val="TOC2"/>
        <w:rPr>
          <w:rFonts w:asciiTheme="minorHAnsi" w:eastAsiaTheme="minorEastAsia" w:hAnsiTheme="minorHAnsi" w:cstheme="minorBidi"/>
          <w:noProof/>
          <w:sz w:val="22"/>
          <w:szCs w:val="22"/>
          <w:lang w:eastAsia="en-NZ"/>
        </w:rPr>
      </w:pPr>
      <w:hyperlink w:anchor="_Toc82618407" w:history="1">
        <w:r w:rsidRPr="005A0A13">
          <w:rPr>
            <w:rStyle w:val="Hyperlink"/>
            <w:noProof/>
          </w:rPr>
          <w:t>Who is involved?</w:t>
        </w:r>
        <w:r>
          <w:rPr>
            <w:noProof/>
            <w:webHidden/>
          </w:rPr>
          <w:tab/>
        </w:r>
        <w:r>
          <w:rPr>
            <w:noProof/>
            <w:webHidden/>
          </w:rPr>
          <w:fldChar w:fldCharType="begin"/>
        </w:r>
        <w:r>
          <w:rPr>
            <w:noProof/>
            <w:webHidden/>
          </w:rPr>
          <w:instrText xml:space="preserve"> PAGEREF _Toc82618407 \h </w:instrText>
        </w:r>
        <w:r>
          <w:rPr>
            <w:noProof/>
            <w:webHidden/>
          </w:rPr>
        </w:r>
        <w:r>
          <w:rPr>
            <w:noProof/>
            <w:webHidden/>
          </w:rPr>
          <w:fldChar w:fldCharType="separate"/>
        </w:r>
        <w:r w:rsidR="00D16F6B">
          <w:rPr>
            <w:noProof/>
            <w:webHidden/>
          </w:rPr>
          <w:t>3</w:t>
        </w:r>
        <w:r>
          <w:rPr>
            <w:noProof/>
            <w:webHidden/>
          </w:rPr>
          <w:fldChar w:fldCharType="end"/>
        </w:r>
      </w:hyperlink>
    </w:p>
    <w:p w14:paraId="4CEE48BE" w14:textId="54D7BB3F" w:rsidR="00C0377D" w:rsidRDefault="00C0377D">
      <w:pPr>
        <w:pStyle w:val="TOC1"/>
        <w:rPr>
          <w:rFonts w:asciiTheme="minorHAnsi" w:eastAsiaTheme="minorEastAsia" w:hAnsiTheme="minorHAnsi" w:cstheme="minorBidi"/>
          <w:noProof/>
          <w:sz w:val="22"/>
          <w:szCs w:val="22"/>
          <w:lang w:eastAsia="en-NZ"/>
        </w:rPr>
      </w:pPr>
      <w:hyperlink w:anchor="_Toc82618408" w:history="1">
        <w:r w:rsidRPr="005A0A13">
          <w:rPr>
            <w:rStyle w:val="Hyperlink"/>
            <w:noProof/>
          </w:rPr>
          <w:t>Have your say on the proposed strategic plan</w:t>
        </w:r>
        <w:r>
          <w:rPr>
            <w:noProof/>
            <w:webHidden/>
          </w:rPr>
          <w:tab/>
        </w:r>
        <w:r>
          <w:rPr>
            <w:noProof/>
            <w:webHidden/>
          </w:rPr>
          <w:fldChar w:fldCharType="begin"/>
        </w:r>
        <w:r>
          <w:rPr>
            <w:noProof/>
            <w:webHidden/>
          </w:rPr>
          <w:instrText xml:space="preserve"> PAGEREF _Toc82618408 \h </w:instrText>
        </w:r>
        <w:r>
          <w:rPr>
            <w:noProof/>
            <w:webHidden/>
          </w:rPr>
        </w:r>
        <w:r>
          <w:rPr>
            <w:noProof/>
            <w:webHidden/>
          </w:rPr>
          <w:fldChar w:fldCharType="separate"/>
        </w:r>
        <w:r w:rsidR="00D16F6B">
          <w:rPr>
            <w:noProof/>
            <w:webHidden/>
          </w:rPr>
          <w:t>4</w:t>
        </w:r>
        <w:r>
          <w:rPr>
            <w:noProof/>
            <w:webHidden/>
          </w:rPr>
          <w:fldChar w:fldCharType="end"/>
        </w:r>
      </w:hyperlink>
    </w:p>
    <w:p w14:paraId="6C698666" w14:textId="2C9C78FB" w:rsidR="00C0377D" w:rsidRDefault="00C0377D">
      <w:pPr>
        <w:pStyle w:val="TOC2"/>
        <w:rPr>
          <w:rFonts w:asciiTheme="minorHAnsi" w:eastAsiaTheme="minorEastAsia" w:hAnsiTheme="minorHAnsi" w:cstheme="minorBidi"/>
          <w:noProof/>
          <w:sz w:val="22"/>
          <w:szCs w:val="22"/>
          <w:lang w:eastAsia="en-NZ"/>
        </w:rPr>
      </w:pPr>
      <w:hyperlink w:anchor="_Toc82618409" w:history="1">
        <w:r w:rsidRPr="005A0A13">
          <w:rPr>
            <w:rStyle w:val="Hyperlink"/>
            <w:noProof/>
          </w:rPr>
          <w:t>Questions for you</w:t>
        </w:r>
        <w:r>
          <w:rPr>
            <w:noProof/>
            <w:webHidden/>
          </w:rPr>
          <w:tab/>
        </w:r>
        <w:r>
          <w:rPr>
            <w:noProof/>
            <w:webHidden/>
          </w:rPr>
          <w:fldChar w:fldCharType="begin"/>
        </w:r>
        <w:r>
          <w:rPr>
            <w:noProof/>
            <w:webHidden/>
          </w:rPr>
          <w:instrText xml:space="preserve"> PAGEREF _Toc82618409 \h </w:instrText>
        </w:r>
        <w:r>
          <w:rPr>
            <w:noProof/>
            <w:webHidden/>
          </w:rPr>
        </w:r>
        <w:r>
          <w:rPr>
            <w:noProof/>
            <w:webHidden/>
          </w:rPr>
          <w:fldChar w:fldCharType="separate"/>
        </w:r>
        <w:r w:rsidR="00D16F6B">
          <w:rPr>
            <w:noProof/>
            <w:webHidden/>
          </w:rPr>
          <w:t>4</w:t>
        </w:r>
        <w:r>
          <w:rPr>
            <w:noProof/>
            <w:webHidden/>
          </w:rPr>
          <w:fldChar w:fldCharType="end"/>
        </w:r>
      </w:hyperlink>
    </w:p>
    <w:p w14:paraId="2755EE0B" w14:textId="09FE5334" w:rsidR="00C0377D" w:rsidRDefault="00C0377D">
      <w:pPr>
        <w:pStyle w:val="TOC2"/>
        <w:rPr>
          <w:rFonts w:asciiTheme="minorHAnsi" w:eastAsiaTheme="minorEastAsia" w:hAnsiTheme="minorHAnsi" w:cstheme="minorBidi"/>
          <w:noProof/>
          <w:sz w:val="22"/>
          <w:szCs w:val="22"/>
          <w:lang w:eastAsia="en-NZ"/>
        </w:rPr>
      </w:pPr>
      <w:hyperlink w:anchor="_Toc82618410" w:history="1">
        <w:r w:rsidRPr="005A0A13">
          <w:rPr>
            <w:rStyle w:val="Hyperlink"/>
            <w:noProof/>
          </w:rPr>
          <w:t>Focusing on public health</w:t>
        </w:r>
        <w:r>
          <w:rPr>
            <w:noProof/>
            <w:webHidden/>
          </w:rPr>
          <w:tab/>
        </w:r>
        <w:r>
          <w:rPr>
            <w:noProof/>
            <w:webHidden/>
          </w:rPr>
          <w:fldChar w:fldCharType="begin"/>
        </w:r>
        <w:r>
          <w:rPr>
            <w:noProof/>
            <w:webHidden/>
          </w:rPr>
          <w:instrText xml:space="preserve"> PAGEREF _Toc82618410 \h </w:instrText>
        </w:r>
        <w:r>
          <w:rPr>
            <w:noProof/>
            <w:webHidden/>
          </w:rPr>
        </w:r>
        <w:r>
          <w:rPr>
            <w:noProof/>
            <w:webHidden/>
          </w:rPr>
          <w:fldChar w:fldCharType="separate"/>
        </w:r>
        <w:r w:rsidR="00D16F6B">
          <w:rPr>
            <w:noProof/>
            <w:webHidden/>
          </w:rPr>
          <w:t>4</w:t>
        </w:r>
        <w:r>
          <w:rPr>
            <w:noProof/>
            <w:webHidden/>
          </w:rPr>
          <w:fldChar w:fldCharType="end"/>
        </w:r>
      </w:hyperlink>
    </w:p>
    <w:p w14:paraId="2699E08F" w14:textId="081C7775" w:rsidR="00C0377D" w:rsidRDefault="00C0377D">
      <w:pPr>
        <w:pStyle w:val="TOC2"/>
        <w:rPr>
          <w:rFonts w:asciiTheme="minorHAnsi" w:eastAsiaTheme="minorEastAsia" w:hAnsiTheme="minorHAnsi" w:cstheme="minorBidi"/>
          <w:noProof/>
          <w:sz w:val="22"/>
          <w:szCs w:val="22"/>
          <w:lang w:eastAsia="en-NZ"/>
        </w:rPr>
      </w:pPr>
      <w:hyperlink w:anchor="_Toc82618411" w:history="1">
        <w:r w:rsidRPr="005A0A13">
          <w:rPr>
            <w:rStyle w:val="Hyperlink"/>
            <w:noProof/>
          </w:rPr>
          <w:t>Gambling harm as an equity issue</w:t>
        </w:r>
        <w:r>
          <w:rPr>
            <w:noProof/>
            <w:webHidden/>
          </w:rPr>
          <w:tab/>
        </w:r>
        <w:r>
          <w:rPr>
            <w:noProof/>
            <w:webHidden/>
          </w:rPr>
          <w:fldChar w:fldCharType="begin"/>
        </w:r>
        <w:r>
          <w:rPr>
            <w:noProof/>
            <w:webHidden/>
          </w:rPr>
          <w:instrText xml:space="preserve"> PAGEREF _Toc82618411 \h </w:instrText>
        </w:r>
        <w:r>
          <w:rPr>
            <w:noProof/>
            <w:webHidden/>
          </w:rPr>
        </w:r>
        <w:r>
          <w:rPr>
            <w:noProof/>
            <w:webHidden/>
          </w:rPr>
          <w:fldChar w:fldCharType="separate"/>
        </w:r>
        <w:r w:rsidR="00D16F6B">
          <w:rPr>
            <w:noProof/>
            <w:webHidden/>
          </w:rPr>
          <w:t>5</w:t>
        </w:r>
        <w:r>
          <w:rPr>
            <w:noProof/>
            <w:webHidden/>
          </w:rPr>
          <w:fldChar w:fldCharType="end"/>
        </w:r>
      </w:hyperlink>
    </w:p>
    <w:p w14:paraId="78488924" w14:textId="1EB6BAC1" w:rsidR="00C0377D" w:rsidRDefault="00C0377D">
      <w:pPr>
        <w:pStyle w:val="TOC2"/>
        <w:rPr>
          <w:rFonts w:asciiTheme="minorHAnsi" w:eastAsiaTheme="minorEastAsia" w:hAnsiTheme="minorHAnsi" w:cstheme="minorBidi"/>
          <w:noProof/>
          <w:sz w:val="22"/>
          <w:szCs w:val="22"/>
          <w:lang w:eastAsia="en-NZ"/>
        </w:rPr>
      </w:pPr>
      <w:hyperlink w:anchor="_Toc82618412" w:history="1">
        <w:r w:rsidRPr="005A0A13">
          <w:rPr>
            <w:rStyle w:val="Hyperlink"/>
            <w:noProof/>
          </w:rPr>
          <w:t>Equity principles</w:t>
        </w:r>
        <w:r>
          <w:rPr>
            <w:noProof/>
            <w:webHidden/>
          </w:rPr>
          <w:tab/>
        </w:r>
        <w:r>
          <w:rPr>
            <w:noProof/>
            <w:webHidden/>
          </w:rPr>
          <w:fldChar w:fldCharType="begin"/>
        </w:r>
        <w:r>
          <w:rPr>
            <w:noProof/>
            <w:webHidden/>
          </w:rPr>
          <w:instrText xml:space="preserve"> PAGEREF _Toc82618412 \h </w:instrText>
        </w:r>
        <w:r>
          <w:rPr>
            <w:noProof/>
            <w:webHidden/>
          </w:rPr>
        </w:r>
        <w:r>
          <w:rPr>
            <w:noProof/>
            <w:webHidden/>
          </w:rPr>
          <w:fldChar w:fldCharType="separate"/>
        </w:r>
        <w:r w:rsidR="00D16F6B">
          <w:rPr>
            <w:noProof/>
            <w:webHidden/>
          </w:rPr>
          <w:t>5</w:t>
        </w:r>
        <w:r>
          <w:rPr>
            <w:noProof/>
            <w:webHidden/>
          </w:rPr>
          <w:fldChar w:fldCharType="end"/>
        </w:r>
      </w:hyperlink>
    </w:p>
    <w:p w14:paraId="11C216F4" w14:textId="715B82E3" w:rsidR="00C0377D" w:rsidRDefault="00C0377D">
      <w:pPr>
        <w:pStyle w:val="TOC2"/>
        <w:rPr>
          <w:rFonts w:asciiTheme="minorHAnsi" w:eastAsiaTheme="minorEastAsia" w:hAnsiTheme="minorHAnsi" w:cstheme="minorBidi"/>
          <w:noProof/>
          <w:sz w:val="22"/>
          <w:szCs w:val="22"/>
          <w:lang w:eastAsia="en-NZ"/>
        </w:rPr>
      </w:pPr>
      <w:hyperlink w:anchor="_Toc82618413" w:history="1">
        <w:r w:rsidRPr="005A0A13">
          <w:rPr>
            <w:rStyle w:val="Hyperlink"/>
            <w:noProof/>
          </w:rPr>
          <w:t>Strategic goal and outcomes</w:t>
        </w:r>
        <w:r>
          <w:rPr>
            <w:noProof/>
            <w:webHidden/>
          </w:rPr>
          <w:tab/>
        </w:r>
        <w:r>
          <w:rPr>
            <w:noProof/>
            <w:webHidden/>
          </w:rPr>
          <w:fldChar w:fldCharType="begin"/>
        </w:r>
        <w:r>
          <w:rPr>
            <w:noProof/>
            <w:webHidden/>
          </w:rPr>
          <w:instrText xml:space="preserve"> PAGEREF _Toc82618413 \h </w:instrText>
        </w:r>
        <w:r>
          <w:rPr>
            <w:noProof/>
            <w:webHidden/>
          </w:rPr>
        </w:r>
        <w:r>
          <w:rPr>
            <w:noProof/>
            <w:webHidden/>
          </w:rPr>
          <w:fldChar w:fldCharType="separate"/>
        </w:r>
        <w:r w:rsidR="00D16F6B">
          <w:rPr>
            <w:noProof/>
            <w:webHidden/>
          </w:rPr>
          <w:t>6</w:t>
        </w:r>
        <w:r>
          <w:rPr>
            <w:noProof/>
            <w:webHidden/>
          </w:rPr>
          <w:fldChar w:fldCharType="end"/>
        </w:r>
      </w:hyperlink>
    </w:p>
    <w:p w14:paraId="5DF73F45" w14:textId="0264065B" w:rsidR="00C0377D" w:rsidRDefault="00C0377D">
      <w:pPr>
        <w:pStyle w:val="TOC2"/>
        <w:rPr>
          <w:rFonts w:asciiTheme="minorHAnsi" w:eastAsiaTheme="minorEastAsia" w:hAnsiTheme="minorHAnsi" w:cstheme="minorBidi"/>
          <w:noProof/>
          <w:sz w:val="22"/>
          <w:szCs w:val="22"/>
          <w:lang w:eastAsia="en-NZ"/>
        </w:rPr>
      </w:pPr>
      <w:hyperlink w:anchor="_Toc82618414" w:history="1">
        <w:r w:rsidRPr="005A0A13">
          <w:rPr>
            <w:rStyle w:val="Hyperlink"/>
            <w:noProof/>
          </w:rPr>
          <w:t>Objectives and priority action areas</w:t>
        </w:r>
        <w:r>
          <w:rPr>
            <w:noProof/>
            <w:webHidden/>
          </w:rPr>
          <w:tab/>
        </w:r>
        <w:r>
          <w:rPr>
            <w:noProof/>
            <w:webHidden/>
          </w:rPr>
          <w:fldChar w:fldCharType="begin"/>
        </w:r>
        <w:r>
          <w:rPr>
            <w:noProof/>
            <w:webHidden/>
          </w:rPr>
          <w:instrText xml:space="preserve"> PAGEREF _Toc82618414 \h </w:instrText>
        </w:r>
        <w:r>
          <w:rPr>
            <w:noProof/>
            <w:webHidden/>
          </w:rPr>
        </w:r>
        <w:r>
          <w:rPr>
            <w:noProof/>
            <w:webHidden/>
          </w:rPr>
          <w:fldChar w:fldCharType="separate"/>
        </w:r>
        <w:r w:rsidR="00D16F6B">
          <w:rPr>
            <w:noProof/>
            <w:webHidden/>
          </w:rPr>
          <w:t>6</w:t>
        </w:r>
        <w:r>
          <w:rPr>
            <w:noProof/>
            <w:webHidden/>
          </w:rPr>
          <w:fldChar w:fldCharType="end"/>
        </w:r>
      </w:hyperlink>
    </w:p>
    <w:p w14:paraId="71430F7B" w14:textId="10956020" w:rsidR="00C0377D" w:rsidRDefault="00C0377D">
      <w:pPr>
        <w:pStyle w:val="TOC2"/>
        <w:rPr>
          <w:rFonts w:asciiTheme="minorHAnsi" w:eastAsiaTheme="minorEastAsia" w:hAnsiTheme="minorHAnsi" w:cstheme="minorBidi"/>
          <w:noProof/>
          <w:sz w:val="22"/>
          <w:szCs w:val="22"/>
          <w:lang w:eastAsia="en-NZ"/>
        </w:rPr>
      </w:pPr>
      <w:hyperlink w:anchor="_Toc82618415" w:history="1">
        <w:r w:rsidRPr="005A0A13">
          <w:rPr>
            <w:rStyle w:val="Hyperlink"/>
            <w:noProof/>
          </w:rPr>
          <w:t>Building on the previous strategy</w:t>
        </w:r>
        <w:r>
          <w:rPr>
            <w:noProof/>
            <w:webHidden/>
          </w:rPr>
          <w:tab/>
        </w:r>
        <w:r>
          <w:rPr>
            <w:noProof/>
            <w:webHidden/>
          </w:rPr>
          <w:fldChar w:fldCharType="begin"/>
        </w:r>
        <w:r>
          <w:rPr>
            <w:noProof/>
            <w:webHidden/>
          </w:rPr>
          <w:instrText xml:space="preserve"> PAGEREF _Toc82618415 \h </w:instrText>
        </w:r>
        <w:r>
          <w:rPr>
            <w:noProof/>
            <w:webHidden/>
          </w:rPr>
        </w:r>
        <w:r>
          <w:rPr>
            <w:noProof/>
            <w:webHidden/>
          </w:rPr>
          <w:fldChar w:fldCharType="separate"/>
        </w:r>
        <w:r w:rsidR="00D16F6B">
          <w:rPr>
            <w:noProof/>
            <w:webHidden/>
          </w:rPr>
          <w:t>8</w:t>
        </w:r>
        <w:r>
          <w:rPr>
            <w:noProof/>
            <w:webHidden/>
          </w:rPr>
          <w:fldChar w:fldCharType="end"/>
        </w:r>
      </w:hyperlink>
    </w:p>
    <w:p w14:paraId="34B5E496" w14:textId="79709774" w:rsidR="00C0377D" w:rsidRDefault="00C0377D">
      <w:pPr>
        <w:pStyle w:val="TOC2"/>
        <w:rPr>
          <w:rFonts w:asciiTheme="minorHAnsi" w:eastAsiaTheme="minorEastAsia" w:hAnsiTheme="minorHAnsi" w:cstheme="minorBidi"/>
          <w:noProof/>
          <w:sz w:val="22"/>
          <w:szCs w:val="22"/>
          <w:lang w:eastAsia="en-NZ"/>
        </w:rPr>
      </w:pPr>
      <w:hyperlink w:anchor="_Toc82618416" w:history="1">
        <w:r w:rsidRPr="005A0A13">
          <w:rPr>
            <w:rStyle w:val="Hyperlink"/>
            <w:noProof/>
          </w:rPr>
          <w:t>Priority populations</w:t>
        </w:r>
        <w:r>
          <w:rPr>
            <w:noProof/>
            <w:webHidden/>
          </w:rPr>
          <w:tab/>
        </w:r>
        <w:r>
          <w:rPr>
            <w:noProof/>
            <w:webHidden/>
          </w:rPr>
          <w:fldChar w:fldCharType="begin"/>
        </w:r>
        <w:r>
          <w:rPr>
            <w:noProof/>
            <w:webHidden/>
          </w:rPr>
          <w:instrText xml:space="preserve"> PAGEREF _Toc82618416 \h </w:instrText>
        </w:r>
        <w:r>
          <w:rPr>
            <w:noProof/>
            <w:webHidden/>
          </w:rPr>
        </w:r>
        <w:r>
          <w:rPr>
            <w:noProof/>
            <w:webHidden/>
          </w:rPr>
          <w:fldChar w:fldCharType="separate"/>
        </w:r>
        <w:r w:rsidR="00D16F6B">
          <w:rPr>
            <w:noProof/>
            <w:webHidden/>
          </w:rPr>
          <w:t>8</w:t>
        </w:r>
        <w:r>
          <w:rPr>
            <w:noProof/>
            <w:webHidden/>
          </w:rPr>
          <w:fldChar w:fldCharType="end"/>
        </w:r>
      </w:hyperlink>
    </w:p>
    <w:p w14:paraId="410F0E8E" w14:textId="1AB65D87" w:rsidR="00C0377D" w:rsidRDefault="00C0377D">
      <w:pPr>
        <w:pStyle w:val="TOC2"/>
        <w:rPr>
          <w:rFonts w:asciiTheme="minorHAnsi" w:eastAsiaTheme="minorEastAsia" w:hAnsiTheme="minorHAnsi" w:cstheme="minorBidi"/>
          <w:noProof/>
          <w:sz w:val="22"/>
          <w:szCs w:val="22"/>
          <w:lang w:eastAsia="en-NZ"/>
        </w:rPr>
      </w:pPr>
      <w:hyperlink w:anchor="_Toc82618417" w:history="1">
        <w:r w:rsidRPr="005A0A13">
          <w:rPr>
            <w:rStyle w:val="Hyperlink"/>
            <w:noProof/>
          </w:rPr>
          <w:t>What we need to change</w:t>
        </w:r>
        <w:r>
          <w:rPr>
            <w:noProof/>
            <w:webHidden/>
          </w:rPr>
          <w:tab/>
        </w:r>
        <w:r>
          <w:rPr>
            <w:noProof/>
            <w:webHidden/>
          </w:rPr>
          <w:fldChar w:fldCharType="begin"/>
        </w:r>
        <w:r>
          <w:rPr>
            <w:noProof/>
            <w:webHidden/>
          </w:rPr>
          <w:instrText xml:space="preserve"> PAGEREF _Toc82618417 \h </w:instrText>
        </w:r>
        <w:r>
          <w:rPr>
            <w:noProof/>
            <w:webHidden/>
          </w:rPr>
        </w:r>
        <w:r>
          <w:rPr>
            <w:noProof/>
            <w:webHidden/>
          </w:rPr>
          <w:fldChar w:fldCharType="separate"/>
        </w:r>
        <w:r w:rsidR="00D16F6B">
          <w:rPr>
            <w:noProof/>
            <w:webHidden/>
          </w:rPr>
          <w:t>9</w:t>
        </w:r>
        <w:r>
          <w:rPr>
            <w:noProof/>
            <w:webHidden/>
          </w:rPr>
          <w:fldChar w:fldCharType="end"/>
        </w:r>
      </w:hyperlink>
    </w:p>
    <w:p w14:paraId="79AE4309" w14:textId="597F6CC3" w:rsidR="00C0377D" w:rsidRDefault="00C0377D">
      <w:pPr>
        <w:pStyle w:val="TOC2"/>
        <w:rPr>
          <w:rFonts w:asciiTheme="minorHAnsi" w:eastAsiaTheme="minorEastAsia" w:hAnsiTheme="minorHAnsi" w:cstheme="minorBidi"/>
          <w:noProof/>
          <w:sz w:val="22"/>
          <w:szCs w:val="22"/>
          <w:lang w:eastAsia="en-NZ"/>
        </w:rPr>
      </w:pPr>
      <w:hyperlink w:anchor="_Toc82618418" w:history="1">
        <w:r w:rsidRPr="005A0A13">
          <w:rPr>
            <w:rStyle w:val="Hyperlink"/>
            <w:noProof/>
          </w:rPr>
          <w:t>How we will measure progress</w:t>
        </w:r>
        <w:r>
          <w:rPr>
            <w:noProof/>
            <w:webHidden/>
          </w:rPr>
          <w:tab/>
        </w:r>
        <w:r>
          <w:rPr>
            <w:noProof/>
            <w:webHidden/>
          </w:rPr>
          <w:fldChar w:fldCharType="begin"/>
        </w:r>
        <w:r>
          <w:rPr>
            <w:noProof/>
            <w:webHidden/>
          </w:rPr>
          <w:instrText xml:space="preserve"> PAGEREF _Toc82618418 \h </w:instrText>
        </w:r>
        <w:r>
          <w:rPr>
            <w:noProof/>
            <w:webHidden/>
          </w:rPr>
        </w:r>
        <w:r>
          <w:rPr>
            <w:noProof/>
            <w:webHidden/>
          </w:rPr>
          <w:fldChar w:fldCharType="separate"/>
        </w:r>
        <w:r w:rsidR="00D16F6B">
          <w:rPr>
            <w:noProof/>
            <w:webHidden/>
          </w:rPr>
          <w:t>9</w:t>
        </w:r>
        <w:r>
          <w:rPr>
            <w:noProof/>
            <w:webHidden/>
          </w:rPr>
          <w:fldChar w:fldCharType="end"/>
        </w:r>
      </w:hyperlink>
    </w:p>
    <w:p w14:paraId="2D4EAE3A" w14:textId="24E02F81" w:rsidR="00C0377D" w:rsidRDefault="00C0377D">
      <w:pPr>
        <w:pStyle w:val="TOC2"/>
        <w:rPr>
          <w:rFonts w:asciiTheme="minorHAnsi" w:eastAsiaTheme="minorEastAsia" w:hAnsiTheme="minorHAnsi" w:cstheme="minorBidi"/>
          <w:noProof/>
          <w:sz w:val="22"/>
          <w:szCs w:val="22"/>
          <w:lang w:eastAsia="en-NZ"/>
        </w:rPr>
      </w:pPr>
      <w:hyperlink w:anchor="_Toc82618419" w:history="1">
        <w:r w:rsidRPr="005A0A13">
          <w:rPr>
            <w:rStyle w:val="Hyperlink"/>
            <w:noProof/>
          </w:rPr>
          <w:t>Questions for you</w:t>
        </w:r>
        <w:r>
          <w:rPr>
            <w:noProof/>
            <w:webHidden/>
          </w:rPr>
          <w:tab/>
        </w:r>
        <w:r>
          <w:rPr>
            <w:noProof/>
            <w:webHidden/>
          </w:rPr>
          <w:fldChar w:fldCharType="begin"/>
        </w:r>
        <w:r>
          <w:rPr>
            <w:noProof/>
            <w:webHidden/>
          </w:rPr>
          <w:instrText xml:space="preserve"> PAGEREF _Toc82618419 \h </w:instrText>
        </w:r>
        <w:r>
          <w:rPr>
            <w:noProof/>
            <w:webHidden/>
          </w:rPr>
        </w:r>
        <w:r>
          <w:rPr>
            <w:noProof/>
            <w:webHidden/>
          </w:rPr>
          <w:fldChar w:fldCharType="separate"/>
        </w:r>
        <w:r w:rsidR="00D16F6B">
          <w:rPr>
            <w:noProof/>
            <w:webHidden/>
          </w:rPr>
          <w:t>10</w:t>
        </w:r>
        <w:r>
          <w:rPr>
            <w:noProof/>
            <w:webHidden/>
          </w:rPr>
          <w:fldChar w:fldCharType="end"/>
        </w:r>
      </w:hyperlink>
    </w:p>
    <w:p w14:paraId="3E7EA796" w14:textId="41B846D8" w:rsidR="00C0377D" w:rsidRDefault="00C0377D">
      <w:pPr>
        <w:pStyle w:val="TOC1"/>
        <w:rPr>
          <w:rFonts w:asciiTheme="minorHAnsi" w:eastAsiaTheme="minorEastAsia" w:hAnsiTheme="minorHAnsi" w:cstheme="minorBidi"/>
          <w:noProof/>
          <w:sz w:val="22"/>
          <w:szCs w:val="22"/>
          <w:lang w:eastAsia="en-NZ"/>
        </w:rPr>
      </w:pPr>
      <w:hyperlink w:anchor="_Toc82618420" w:history="1">
        <w:r w:rsidRPr="005A0A13">
          <w:rPr>
            <w:rStyle w:val="Hyperlink"/>
            <w:noProof/>
          </w:rPr>
          <w:t>Draft Service Plan 2022/23 to 2024/25</w:t>
        </w:r>
        <w:r>
          <w:rPr>
            <w:noProof/>
            <w:webHidden/>
          </w:rPr>
          <w:tab/>
        </w:r>
        <w:r>
          <w:rPr>
            <w:noProof/>
            <w:webHidden/>
          </w:rPr>
          <w:fldChar w:fldCharType="begin"/>
        </w:r>
        <w:r>
          <w:rPr>
            <w:noProof/>
            <w:webHidden/>
          </w:rPr>
          <w:instrText xml:space="preserve"> PAGEREF _Toc82618420 \h </w:instrText>
        </w:r>
        <w:r>
          <w:rPr>
            <w:noProof/>
            <w:webHidden/>
          </w:rPr>
        </w:r>
        <w:r>
          <w:rPr>
            <w:noProof/>
            <w:webHidden/>
          </w:rPr>
          <w:fldChar w:fldCharType="separate"/>
        </w:r>
        <w:r w:rsidR="00D16F6B">
          <w:rPr>
            <w:noProof/>
            <w:webHidden/>
          </w:rPr>
          <w:t>11</w:t>
        </w:r>
        <w:r>
          <w:rPr>
            <w:noProof/>
            <w:webHidden/>
          </w:rPr>
          <w:fldChar w:fldCharType="end"/>
        </w:r>
      </w:hyperlink>
    </w:p>
    <w:p w14:paraId="1BEFE808" w14:textId="0DA393DC" w:rsidR="00C0377D" w:rsidRDefault="00C0377D">
      <w:pPr>
        <w:pStyle w:val="TOC2"/>
        <w:rPr>
          <w:rFonts w:asciiTheme="minorHAnsi" w:eastAsiaTheme="minorEastAsia" w:hAnsiTheme="minorHAnsi" w:cstheme="minorBidi"/>
          <w:noProof/>
          <w:sz w:val="22"/>
          <w:szCs w:val="22"/>
          <w:lang w:eastAsia="en-NZ"/>
        </w:rPr>
      </w:pPr>
      <w:hyperlink w:anchor="_Toc82618421" w:history="1">
        <w:r w:rsidRPr="005A0A13">
          <w:rPr>
            <w:rStyle w:val="Hyperlink"/>
            <w:noProof/>
          </w:rPr>
          <w:t>Questions for you</w:t>
        </w:r>
        <w:r>
          <w:rPr>
            <w:noProof/>
            <w:webHidden/>
          </w:rPr>
          <w:tab/>
        </w:r>
        <w:r>
          <w:rPr>
            <w:noProof/>
            <w:webHidden/>
          </w:rPr>
          <w:fldChar w:fldCharType="begin"/>
        </w:r>
        <w:r>
          <w:rPr>
            <w:noProof/>
            <w:webHidden/>
          </w:rPr>
          <w:instrText xml:space="preserve"> PAGEREF _Toc82618421 \h </w:instrText>
        </w:r>
        <w:r>
          <w:rPr>
            <w:noProof/>
            <w:webHidden/>
          </w:rPr>
        </w:r>
        <w:r>
          <w:rPr>
            <w:noProof/>
            <w:webHidden/>
          </w:rPr>
          <w:fldChar w:fldCharType="separate"/>
        </w:r>
        <w:r w:rsidR="00D16F6B">
          <w:rPr>
            <w:noProof/>
            <w:webHidden/>
          </w:rPr>
          <w:t>11</w:t>
        </w:r>
        <w:r>
          <w:rPr>
            <w:noProof/>
            <w:webHidden/>
          </w:rPr>
          <w:fldChar w:fldCharType="end"/>
        </w:r>
      </w:hyperlink>
    </w:p>
    <w:p w14:paraId="5DA539C5" w14:textId="6ACDC4E9" w:rsidR="00C0377D" w:rsidRDefault="00C0377D">
      <w:pPr>
        <w:pStyle w:val="TOC2"/>
        <w:rPr>
          <w:rFonts w:asciiTheme="minorHAnsi" w:eastAsiaTheme="minorEastAsia" w:hAnsiTheme="minorHAnsi" w:cstheme="minorBidi"/>
          <w:noProof/>
          <w:sz w:val="22"/>
          <w:szCs w:val="22"/>
          <w:lang w:eastAsia="en-NZ"/>
        </w:rPr>
      </w:pPr>
      <w:hyperlink w:anchor="_Toc82618422" w:history="1">
        <w:r w:rsidRPr="005A0A13">
          <w:rPr>
            <w:rStyle w:val="Hyperlink"/>
            <w:noProof/>
          </w:rPr>
          <w:t>Purpose of the service plan</w:t>
        </w:r>
        <w:r>
          <w:rPr>
            <w:noProof/>
            <w:webHidden/>
          </w:rPr>
          <w:tab/>
        </w:r>
        <w:r>
          <w:rPr>
            <w:noProof/>
            <w:webHidden/>
          </w:rPr>
          <w:fldChar w:fldCharType="begin"/>
        </w:r>
        <w:r>
          <w:rPr>
            <w:noProof/>
            <w:webHidden/>
          </w:rPr>
          <w:instrText xml:space="preserve"> PAGEREF _Toc82618422 \h </w:instrText>
        </w:r>
        <w:r>
          <w:rPr>
            <w:noProof/>
            <w:webHidden/>
          </w:rPr>
        </w:r>
        <w:r>
          <w:rPr>
            <w:noProof/>
            <w:webHidden/>
          </w:rPr>
          <w:fldChar w:fldCharType="separate"/>
        </w:r>
        <w:r w:rsidR="00D16F6B">
          <w:rPr>
            <w:noProof/>
            <w:webHidden/>
          </w:rPr>
          <w:t>11</w:t>
        </w:r>
        <w:r>
          <w:rPr>
            <w:noProof/>
            <w:webHidden/>
          </w:rPr>
          <w:fldChar w:fldCharType="end"/>
        </w:r>
      </w:hyperlink>
    </w:p>
    <w:p w14:paraId="26A6239E" w14:textId="1710598D" w:rsidR="00C0377D" w:rsidRDefault="00C0377D">
      <w:pPr>
        <w:pStyle w:val="TOC2"/>
        <w:rPr>
          <w:rFonts w:asciiTheme="minorHAnsi" w:eastAsiaTheme="minorEastAsia" w:hAnsiTheme="minorHAnsi" w:cstheme="minorBidi"/>
          <w:noProof/>
          <w:sz w:val="22"/>
          <w:szCs w:val="22"/>
          <w:lang w:eastAsia="en-NZ"/>
        </w:rPr>
      </w:pPr>
      <w:hyperlink w:anchor="_Toc82618423" w:history="1">
        <w:r w:rsidRPr="005A0A13">
          <w:rPr>
            <w:rStyle w:val="Hyperlink"/>
            <w:noProof/>
          </w:rPr>
          <w:t>Draft service plan and budget</w:t>
        </w:r>
        <w:r>
          <w:rPr>
            <w:noProof/>
            <w:webHidden/>
          </w:rPr>
          <w:tab/>
        </w:r>
        <w:r>
          <w:rPr>
            <w:noProof/>
            <w:webHidden/>
          </w:rPr>
          <w:fldChar w:fldCharType="begin"/>
        </w:r>
        <w:r>
          <w:rPr>
            <w:noProof/>
            <w:webHidden/>
          </w:rPr>
          <w:instrText xml:space="preserve"> PAGEREF _Toc82618423 \h </w:instrText>
        </w:r>
        <w:r>
          <w:rPr>
            <w:noProof/>
            <w:webHidden/>
          </w:rPr>
        </w:r>
        <w:r>
          <w:rPr>
            <w:noProof/>
            <w:webHidden/>
          </w:rPr>
          <w:fldChar w:fldCharType="separate"/>
        </w:r>
        <w:r w:rsidR="00D16F6B">
          <w:rPr>
            <w:noProof/>
            <w:webHidden/>
          </w:rPr>
          <w:t>11</w:t>
        </w:r>
        <w:r>
          <w:rPr>
            <w:noProof/>
            <w:webHidden/>
          </w:rPr>
          <w:fldChar w:fldCharType="end"/>
        </w:r>
      </w:hyperlink>
    </w:p>
    <w:p w14:paraId="4EB13133" w14:textId="11CD7A2F" w:rsidR="00C0377D" w:rsidRDefault="00C0377D">
      <w:pPr>
        <w:pStyle w:val="TOC2"/>
        <w:rPr>
          <w:rFonts w:asciiTheme="minorHAnsi" w:eastAsiaTheme="minorEastAsia" w:hAnsiTheme="minorHAnsi" w:cstheme="minorBidi"/>
          <w:noProof/>
          <w:sz w:val="22"/>
          <w:szCs w:val="22"/>
          <w:lang w:eastAsia="en-NZ"/>
        </w:rPr>
      </w:pPr>
      <w:hyperlink w:anchor="_Toc82618424" w:history="1">
        <w:r w:rsidRPr="005A0A13">
          <w:rPr>
            <w:rStyle w:val="Hyperlink"/>
            <w:noProof/>
          </w:rPr>
          <w:t>Indicative budget for 2022/23 to 2024/25</w:t>
        </w:r>
        <w:r>
          <w:rPr>
            <w:noProof/>
            <w:webHidden/>
          </w:rPr>
          <w:tab/>
        </w:r>
        <w:r>
          <w:rPr>
            <w:noProof/>
            <w:webHidden/>
          </w:rPr>
          <w:fldChar w:fldCharType="begin"/>
        </w:r>
        <w:r>
          <w:rPr>
            <w:noProof/>
            <w:webHidden/>
          </w:rPr>
          <w:instrText xml:space="preserve"> PAGEREF _Toc82618424 \h </w:instrText>
        </w:r>
        <w:r>
          <w:rPr>
            <w:noProof/>
            <w:webHidden/>
          </w:rPr>
        </w:r>
        <w:r>
          <w:rPr>
            <w:noProof/>
            <w:webHidden/>
          </w:rPr>
          <w:fldChar w:fldCharType="separate"/>
        </w:r>
        <w:r w:rsidR="00D16F6B">
          <w:rPr>
            <w:noProof/>
            <w:webHidden/>
          </w:rPr>
          <w:t>12</w:t>
        </w:r>
        <w:r>
          <w:rPr>
            <w:noProof/>
            <w:webHidden/>
          </w:rPr>
          <w:fldChar w:fldCharType="end"/>
        </w:r>
      </w:hyperlink>
    </w:p>
    <w:p w14:paraId="7EB95255" w14:textId="13787C6E" w:rsidR="00C0377D" w:rsidRDefault="00C0377D">
      <w:pPr>
        <w:pStyle w:val="TOC2"/>
        <w:rPr>
          <w:rFonts w:asciiTheme="minorHAnsi" w:eastAsiaTheme="minorEastAsia" w:hAnsiTheme="minorHAnsi" w:cstheme="minorBidi"/>
          <w:noProof/>
          <w:sz w:val="22"/>
          <w:szCs w:val="22"/>
          <w:lang w:eastAsia="en-NZ"/>
        </w:rPr>
      </w:pPr>
      <w:hyperlink w:anchor="_Toc82618425" w:history="1">
        <w:r w:rsidRPr="005A0A13">
          <w:rPr>
            <w:rStyle w:val="Hyperlink"/>
            <w:noProof/>
          </w:rPr>
          <w:t>Why do we need additional investment?</w:t>
        </w:r>
        <w:r>
          <w:rPr>
            <w:noProof/>
            <w:webHidden/>
          </w:rPr>
          <w:tab/>
        </w:r>
        <w:r>
          <w:rPr>
            <w:noProof/>
            <w:webHidden/>
          </w:rPr>
          <w:fldChar w:fldCharType="begin"/>
        </w:r>
        <w:r>
          <w:rPr>
            <w:noProof/>
            <w:webHidden/>
          </w:rPr>
          <w:instrText xml:space="preserve"> PAGEREF _Toc82618425 \h </w:instrText>
        </w:r>
        <w:r>
          <w:rPr>
            <w:noProof/>
            <w:webHidden/>
          </w:rPr>
        </w:r>
        <w:r>
          <w:rPr>
            <w:noProof/>
            <w:webHidden/>
          </w:rPr>
          <w:fldChar w:fldCharType="separate"/>
        </w:r>
        <w:r w:rsidR="00D16F6B">
          <w:rPr>
            <w:noProof/>
            <w:webHidden/>
          </w:rPr>
          <w:t>13</w:t>
        </w:r>
        <w:r>
          <w:rPr>
            <w:noProof/>
            <w:webHidden/>
          </w:rPr>
          <w:fldChar w:fldCharType="end"/>
        </w:r>
      </w:hyperlink>
    </w:p>
    <w:p w14:paraId="26987ACB" w14:textId="0E63607F" w:rsidR="00C0377D" w:rsidRDefault="00C0377D">
      <w:pPr>
        <w:pStyle w:val="TOC1"/>
        <w:rPr>
          <w:rFonts w:asciiTheme="minorHAnsi" w:eastAsiaTheme="minorEastAsia" w:hAnsiTheme="minorHAnsi" w:cstheme="minorBidi"/>
          <w:noProof/>
          <w:sz w:val="22"/>
          <w:szCs w:val="22"/>
          <w:lang w:eastAsia="en-NZ"/>
        </w:rPr>
      </w:pPr>
      <w:hyperlink w:anchor="_Toc82618426" w:history="1">
        <w:r w:rsidRPr="005A0A13">
          <w:rPr>
            <w:rStyle w:val="Hyperlink"/>
            <w:noProof/>
          </w:rPr>
          <w:t>The problem gambling levy</w:t>
        </w:r>
        <w:r>
          <w:rPr>
            <w:noProof/>
            <w:webHidden/>
          </w:rPr>
          <w:tab/>
        </w:r>
        <w:r>
          <w:rPr>
            <w:noProof/>
            <w:webHidden/>
          </w:rPr>
          <w:fldChar w:fldCharType="begin"/>
        </w:r>
        <w:r>
          <w:rPr>
            <w:noProof/>
            <w:webHidden/>
          </w:rPr>
          <w:instrText xml:space="preserve"> PAGEREF _Toc82618426 \h </w:instrText>
        </w:r>
        <w:r>
          <w:rPr>
            <w:noProof/>
            <w:webHidden/>
          </w:rPr>
        </w:r>
        <w:r>
          <w:rPr>
            <w:noProof/>
            <w:webHidden/>
          </w:rPr>
          <w:fldChar w:fldCharType="separate"/>
        </w:r>
        <w:r w:rsidR="00D16F6B">
          <w:rPr>
            <w:noProof/>
            <w:webHidden/>
          </w:rPr>
          <w:t>15</w:t>
        </w:r>
        <w:r>
          <w:rPr>
            <w:noProof/>
            <w:webHidden/>
          </w:rPr>
          <w:fldChar w:fldCharType="end"/>
        </w:r>
      </w:hyperlink>
    </w:p>
    <w:p w14:paraId="42AB9796" w14:textId="7592E4DC" w:rsidR="00C0377D" w:rsidRDefault="00C0377D">
      <w:pPr>
        <w:pStyle w:val="TOC2"/>
        <w:rPr>
          <w:rFonts w:asciiTheme="minorHAnsi" w:eastAsiaTheme="minorEastAsia" w:hAnsiTheme="minorHAnsi" w:cstheme="minorBidi"/>
          <w:noProof/>
          <w:sz w:val="22"/>
          <w:szCs w:val="22"/>
          <w:lang w:eastAsia="en-NZ"/>
        </w:rPr>
      </w:pPr>
      <w:hyperlink w:anchor="_Toc82618427" w:history="1">
        <w:r w:rsidRPr="005A0A13">
          <w:rPr>
            <w:rStyle w:val="Hyperlink"/>
            <w:noProof/>
          </w:rPr>
          <w:t>Questions for you</w:t>
        </w:r>
        <w:r>
          <w:rPr>
            <w:noProof/>
            <w:webHidden/>
          </w:rPr>
          <w:tab/>
        </w:r>
        <w:r>
          <w:rPr>
            <w:noProof/>
            <w:webHidden/>
          </w:rPr>
          <w:fldChar w:fldCharType="begin"/>
        </w:r>
        <w:r>
          <w:rPr>
            <w:noProof/>
            <w:webHidden/>
          </w:rPr>
          <w:instrText xml:space="preserve"> PAGEREF _Toc82618427 \h </w:instrText>
        </w:r>
        <w:r>
          <w:rPr>
            <w:noProof/>
            <w:webHidden/>
          </w:rPr>
        </w:r>
        <w:r>
          <w:rPr>
            <w:noProof/>
            <w:webHidden/>
          </w:rPr>
          <w:fldChar w:fldCharType="separate"/>
        </w:r>
        <w:r w:rsidR="00D16F6B">
          <w:rPr>
            <w:noProof/>
            <w:webHidden/>
          </w:rPr>
          <w:t>15</w:t>
        </w:r>
        <w:r>
          <w:rPr>
            <w:noProof/>
            <w:webHidden/>
          </w:rPr>
          <w:fldChar w:fldCharType="end"/>
        </w:r>
      </w:hyperlink>
    </w:p>
    <w:p w14:paraId="4BE3272A" w14:textId="2A15D234" w:rsidR="00C0377D" w:rsidRDefault="00C0377D">
      <w:pPr>
        <w:pStyle w:val="TOC2"/>
        <w:rPr>
          <w:rFonts w:asciiTheme="minorHAnsi" w:eastAsiaTheme="minorEastAsia" w:hAnsiTheme="minorHAnsi" w:cstheme="minorBidi"/>
          <w:noProof/>
          <w:sz w:val="22"/>
          <w:szCs w:val="22"/>
          <w:lang w:eastAsia="en-NZ"/>
        </w:rPr>
      </w:pPr>
      <w:hyperlink w:anchor="_Toc82618428" w:history="1">
        <w:r w:rsidRPr="005A0A13">
          <w:rPr>
            <w:rStyle w:val="Hyperlink"/>
            <w:noProof/>
          </w:rPr>
          <w:t>The problem gambling levy</w:t>
        </w:r>
        <w:r>
          <w:rPr>
            <w:noProof/>
            <w:webHidden/>
          </w:rPr>
          <w:tab/>
        </w:r>
        <w:r>
          <w:rPr>
            <w:noProof/>
            <w:webHidden/>
          </w:rPr>
          <w:fldChar w:fldCharType="begin"/>
        </w:r>
        <w:r>
          <w:rPr>
            <w:noProof/>
            <w:webHidden/>
          </w:rPr>
          <w:instrText xml:space="preserve"> PAGEREF _Toc82618428 \h </w:instrText>
        </w:r>
        <w:r>
          <w:rPr>
            <w:noProof/>
            <w:webHidden/>
          </w:rPr>
        </w:r>
        <w:r>
          <w:rPr>
            <w:noProof/>
            <w:webHidden/>
          </w:rPr>
          <w:fldChar w:fldCharType="separate"/>
        </w:r>
        <w:r w:rsidR="00D16F6B">
          <w:rPr>
            <w:noProof/>
            <w:webHidden/>
          </w:rPr>
          <w:t>15</w:t>
        </w:r>
        <w:r>
          <w:rPr>
            <w:noProof/>
            <w:webHidden/>
          </w:rPr>
          <w:fldChar w:fldCharType="end"/>
        </w:r>
      </w:hyperlink>
    </w:p>
    <w:p w14:paraId="3B58568B" w14:textId="64624FA5" w:rsidR="00C86248" w:rsidRDefault="00C0377D">
      <w:r>
        <w:rPr>
          <w:rFonts w:ascii="Segoe UI Semibold" w:hAnsi="Segoe UI Semibold"/>
          <w:b/>
          <w:sz w:val="24"/>
        </w:rPr>
        <w:fldChar w:fldCharType="end"/>
      </w:r>
    </w:p>
    <w:p w14:paraId="46FCD34F" w14:textId="77777777" w:rsidR="00FB0A5B" w:rsidRDefault="00FB0A5B" w:rsidP="003A5FEA"/>
    <w:p w14:paraId="6C435C1B"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6F3172EA" w14:textId="77777777" w:rsidR="007B3AC0" w:rsidRDefault="007B3AC0" w:rsidP="007B3AC0">
      <w:pPr>
        <w:pStyle w:val="Heading1"/>
      </w:pPr>
      <w:bookmarkStart w:id="2" w:name="_Toc82618399"/>
      <w:r>
        <w:lastRenderedPageBreak/>
        <w:t>Have your say</w:t>
      </w:r>
      <w:bookmarkEnd w:id="2"/>
    </w:p>
    <w:p w14:paraId="56EA0DD3" w14:textId="77777777" w:rsidR="006642FE" w:rsidRDefault="006642FE" w:rsidP="006642FE">
      <w:r>
        <w:t xml:space="preserve">This is an overview of the full discussion document for the draft strategy to prevent and minimise gambling harm. The full discussion document can be found on the </w:t>
      </w:r>
      <w:hyperlink r:id="rId19" w:history="1">
        <w:r>
          <w:rPr>
            <w:rStyle w:val="Hyperlink"/>
          </w:rPr>
          <w:t>Ministry of Health website</w:t>
        </w:r>
      </w:hyperlink>
      <w:r>
        <w:t xml:space="preserve">. </w:t>
      </w:r>
    </w:p>
    <w:p w14:paraId="68C13706" w14:textId="77777777" w:rsidR="006642FE" w:rsidRDefault="006642FE" w:rsidP="006642FE"/>
    <w:p w14:paraId="571265A1" w14:textId="77777777" w:rsidR="007B3AC0" w:rsidRDefault="007B3AC0" w:rsidP="007B3AC0">
      <w:r>
        <w:t>Every three years, the Ministry of Health sets out a proposed strategy to prevent and minimise the harm to people, whānau and communities caused by gambling. This is your opportunity to have your say about the draft strategic plan (what we will achieve), the draft service plan (how we will achieve it) and the draft funding levels and levy rates (how we will fund our activities).</w:t>
      </w:r>
    </w:p>
    <w:p w14:paraId="77D1BD9B" w14:textId="77777777" w:rsidR="007B3AC0" w:rsidRDefault="007B3AC0" w:rsidP="007B3AC0"/>
    <w:p w14:paraId="4463E7A2" w14:textId="77777777" w:rsidR="007B3AC0" w:rsidRPr="00940796" w:rsidRDefault="007B3AC0" w:rsidP="007B3AC0">
      <w:pPr>
        <w:pStyle w:val="Heading2"/>
      </w:pPr>
      <w:bookmarkStart w:id="3" w:name="_Toc82618400"/>
      <w:r w:rsidRPr="00940796">
        <w:t>Make a submission</w:t>
      </w:r>
      <w:bookmarkEnd w:id="3"/>
    </w:p>
    <w:p w14:paraId="47BA034C" w14:textId="77777777" w:rsidR="007B3AC0" w:rsidRPr="00C9524D" w:rsidRDefault="007B3AC0" w:rsidP="007B3AC0">
      <w:r w:rsidRPr="00C10A99">
        <w:t>Your feedback</w:t>
      </w:r>
      <w:r>
        <w:t xml:space="preserve"> on the proposals contained in this consultation document</w:t>
      </w:r>
      <w:r w:rsidRPr="00C10A99">
        <w:t xml:space="preserve"> is important</w:t>
      </w:r>
      <w:r>
        <w:t>. I</w:t>
      </w:r>
      <w:r w:rsidRPr="00C10A99">
        <w:t>t will help</w:t>
      </w:r>
      <w:r>
        <w:t xml:space="preserve"> us </w:t>
      </w:r>
      <w:r w:rsidRPr="00C10A99">
        <w:t xml:space="preserve">shape the </w:t>
      </w:r>
      <w:r>
        <w:t xml:space="preserve">draft strategy, </w:t>
      </w:r>
      <w:proofErr w:type="gramStart"/>
      <w:r>
        <w:t>services</w:t>
      </w:r>
      <w:proofErr w:type="gramEnd"/>
      <w:r>
        <w:t xml:space="preserve"> </w:t>
      </w:r>
      <w:r w:rsidRPr="00C10A99">
        <w:t xml:space="preserve">and levy rates </w:t>
      </w:r>
      <w:r>
        <w:t xml:space="preserve">proposals </w:t>
      </w:r>
      <w:r w:rsidRPr="00C10A99">
        <w:t xml:space="preserve">that the Ministry </w:t>
      </w:r>
      <w:r>
        <w:t xml:space="preserve">will </w:t>
      </w:r>
      <w:r w:rsidRPr="00C10A99">
        <w:t>submit to Ministers and the Gambling Commission for</w:t>
      </w:r>
      <w:r>
        <w:t xml:space="preserve"> </w:t>
      </w:r>
      <w:r w:rsidRPr="00C10A99">
        <w:t>consideration.</w:t>
      </w:r>
      <w:r>
        <w:t xml:space="preserve"> </w:t>
      </w:r>
      <w:r w:rsidRPr="00C9524D">
        <w:t>You can provide feedback by:</w:t>
      </w:r>
    </w:p>
    <w:p w14:paraId="461D6575" w14:textId="77777777" w:rsidR="007B3AC0" w:rsidRPr="00A97D47" w:rsidRDefault="007B3AC0" w:rsidP="007B3AC0">
      <w:pPr>
        <w:pStyle w:val="Bullet"/>
        <w:spacing w:before="120"/>
      </w:pPr>
      <w:r w:rsidRPr="00A97D47">
        <w:t xml:space="preserve">making an online submission at </w:t>
      </w:r>
      <w:hyperlink r:id="rId20" w:history="1">
        <w:r w:rsidRPr="007B3AC0">
          <w:rPr>
            <w:rStyle w:val="Hyperlink"/>
          </w:rPr>
          <w:t>https://consult.health.govt.nz</w:t>
        </w:r>
      </w:hyperlink>
    </w:p>
    <w:p w14:paraId="70CA1417" w14:textId="77777777" w:rsidR="007B3AC0" w:rsidRPr="00A97D47" w:rsidRDefault="007B3AC0" w:rsidP="007B3AC0">
      <w:pPr>
        <w:pStyle w:val="Bullet"/>
        <w:spacing w:before="120"/>
      </w:pPr>
      <w:r>
        <w:t xml:space="preserve">filling out </w:t>
      </w:r>
      <w:r w:rsidRPr="00A97D47">
        <w:t>the form at the end of th</w:t>
      </w:r>
      <w:r>
        <w:t>e consultation document</w:t>
      </w:r>
      <w:r w:rsidRPr="00A97D47">
        <w:t xml:space="preserve"> and emailing it to </w:t>
      </w:r>
      <w:hyperlink r:id="rId21" w:history="1">
        <w:r w:rsidRPr="007B3AC0">
          <w:rPr>
            <w:rStyle w:val="Hyperlink"/>
          </w:rPr>
          <w:t>gamblingharm@moh.govt.nz</w:t>
        </w:r>
      </w:hyperlink>
    </w:p>
    <w:p w14:paraId="1371A75A" w14:textId="77777777" w:rsidR="007B3AC0" w:rsidRPr="001B6F27" w:rsidRDefault="007B3AC0" w:rsidP="007B3AC0">
      <w:pPr>
        <w:pStyle w:val="Bullet"/>
        <w:spacing w:before="120"/>
      </w:pPr>
      <w:r>
        <w:t xml:space="preserve">filling out the form and </w:t>
      </w:r>
      <w:r w:rsidRPr="001B6F27">
        <w:t>sending a hard copy to:</w:t>
      </w:r>
    </w:p>
    <w:p w14:paraId="0A2DD7E1" w14:textId="77777777" w:rsidR="007B3AC0" w:rsidRPr="00A97D47" w:rsidRDefault="007B3AC0" w:rsidP="007B3AC0">
      <w:pPr>
        <w:pStyle w:val="Bullet"/>
        <w:numPr>
          <w:ilvl w:val="0"/>
          <w:numId w:val="0"/>
        </w:numPr>
        <w:spacing w:before="60"/>
        <w:ind w:left="567"/>
      </w:pPr>
      <w:r w:rsidRPr="00A97D47">
        <w:t>Strategy to Prevent and Minimise Gambling Harm Consultation</w:t>
      </w:r>
      <w:r>
        <w:br/>
      </w:r>
      <w:r w:rsidRPr="00A97D47">
        <w:t>Ministry of Health</w:t>
      </w:r>
      <w:r>
        <w:br/>
      </w:r>
      <w:r w:rsidRPr="00A97D47">
        <w:t>PO Box 5013</w:t>
      </w:r>
      <w:r>
        <w:br/>
      </w:r>
      <w:r w:rsidRPr="00A97D47">
        <w:t>Wellington 6140</w:t>
      </w:r>
    </w:p>
    <w:p w14:paraId="1BBF7E59" w14:textId="77777777" w:rsidR="007B3AC0" w:rsidRPr="00E350E1" w:rsidRDefault="007B3AC0" w:rsidP="007B3AC0">
      <w:pPr>
        <w:pStyle w:val="Bullet"/>
        <w:spacing w:before="120"/>
      </w:pPr>
      <w:r w:rsidRPr="00A97D47">
        <w:t xml:space="preserve">attending a discussion and consultation meeting (meeting details are available on </w:t>
      </w:r>
      <w:r>
        <w:t xml:space="preserve">the </w:t>
      </w:r>
      <w:hyperlink r:id="rId22" w:history="1">
        <w:r w:rsidRPr="00415209">
          <w:rPr>
            <w:rStyle w:val="Hyperlink"/>
          </w:rPr>
          <w:t>Ministry of Health</w:t>
        </w:r>
      </w:hyperlink>
      <w:r>
        <w:t xml:space="preserve"> website.</w:t>
      </w:r>
    </w:p>
    <w:p w14:paraId="1C5EEB3C" w14:textId="77777777" w:rsidR="007B3AC0" w:rsidRDefault="007B3AC0" w:rsidP="007B3AC0">
      <w:pPr>
        <w:rPr>
          <w:rFonts w:eastAsia="Calibri"/>
        </w:rPr>
      </w:pPr>
    </w:p>
    <w:p w14:paraId="00731A8B" w14:textId="77777777" w:rsidR="007B3AC0" w:rsidRDefault="007B3AC0" w:rsidP="007B3AC0">
      <w:r>
        <w:rPr>
          <w:rFonts w:eastAsia="Calibri"/>
        </w:rPr>
        <w:t>You can complete all the consultation questions, some of the questions, or submit your views in your own words. A</w:t>
      </w:r>
      <w:r>
        <w:t>ll s</w:t>
      </w:r>
      <w:r w:rsidRPr="00C10A99">
        <w:t xml:space="preserve">ubmissions are due with the Ministry by </w:t>
      </w:r>
      <w:r w:rsidRPr="00866264">
        <w:rPr>
          <w:b/>
        </w:rPr>
        <w:t>5</w:t>
      </w:r>
      <w:r>
        <w:rPr>
          <w:b/>
        </w:rPr>
        <w:t> </w:t>
      </w:r>
      <w:r w:rsidRPr="00866264">
        <w:rPr>
          <w:b/>
        </w:rPr>
        <w:t xml:space="preserve">pm Friday </w:t>
      </w:r>
      <w:r>
        <w:rPr>
          <w:b/>
        </w:rPr>
        <w:t>8 Octo</w:t>
      </w:r>
      <w:r w:rsidRPr="00866264">
        <w:rPr>
          <w:b/>
        </w:rPr>
        <w:t>ber 2021</w:t>
      </w:r>
      <w:r w:rsidRPr="00866264">
        <w:t>.</w:t>
      </w:r>
    </w:p>
    <w:p w14:paraId="5ACDED62" w14:textId="77777777" w:rsidR="007B3AC0" w:rsidRDefault="007B3AC0" w:rsidP="007B3AC0"/>
    <w:p w14:paraId="2918ACDC" w14:textId="77777777" w:rsidR="007B3AC0" w:rsidRDefault="007B3AC0" w:rsidP="007B3AC0">
      <w:r w:rsidRPr="00843DC2">
        <w:rPr>
          <w:b/>
          <w:bCs/>
        </w:rPr>
        <w:t>The health system is being reformed</w:t>
      </w:r>
      <w:r w:rsidRPr="00843DC2">
        <w:t>.</w:t>
      </w:r>
      <w:r w:rsidRPr="005F1B60">
        <w:t xml:space="preserve"> The Ministry is working with the team reforming New Zealand’s health system. Any decisions made through the reform process will be reflected through the development of the updated Strategy to Prevent and Minimise Gambling Harm.</w:t>
      </w:r>
    </w:p>
    <w:p w14:paraId="32AC3436" w14:textId="77777777" w:rsidR="007B3AC0" w:rsidRDefault="007B3AC0" w:rsidP="00447AB0">
      <w:pPr>
        <w:rPr>
          <w:rFonts w:eastAsia="Calibri"/>
        </w:rPr>
      </w:pPr>
    </w:p>
    <w:p w14:paraId="135BCF9D" w14:textId="77777777" w:rsidR="007B3AC0" w:rsidRDefault="007B3AC0" w:rsidP="007B3AC0">
      <w:pPr>
        <w:pStyle w:val="Heading2"/>
      </w:pPr>
      <w:bookmarkStart w:id="4" w:name="_Toc82618401"/>
      <w:r>
        <w:lastRenderedPageBreak/>
        <w:t>Timeline</w:t>
      </w:r>
      <w:bookmarkEnd w:id="4"/>
    </w:p>
    <w:p w14:paraId="44388543" w14:textId="77777777" w:rsidR="007B3AC0" w:rsidRDefault="00447AB0" w:rsidP="00447AB0">
      <w:r>
        <w:rPr>
          <w:noProof/>
          <w:lang w:eastAsia="en-NZ"/>
        </w:rPr>
        <w:drawing>
          <wp:inline distT="0" distB="0" distL="0" distR="0" wp14:anchorId="707D4E2E" wp14:editId="05A010E7">
            <wp:extent cx="5130165" cy="1025525"/>
            <wp:effectExtent l="0" t="0" r="0" b="3175"/>
            <wp:docPr id="7" name="Picture 7" descr="Timeline that depicts public consultation August/September 2021 to new strategy and levy take effect 1 Jul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 that depicts public consultation August/September 2021 to new strategy and levy take effect 1 July 20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0165" cy="1025525"/>
                    </a:xfrm>
                    <a:prstGeom prst="rect">
                      <a:avLst/>
                    </a:prstGeom>
                    <a:noFill/>
                  </pic:spPr>
                </pic:pic>
              </a:graphicData>
            </a:graphic>
          </wp:inline>
        </w:drawing>
      </w:r>
    </w:p>
    <w:p w14:paraId="475D4344" w14:textId="77777777" w:rsidR="007B3AC0" w:rsidRDefault="007B3AC0" w:rsidP="00447AB0"/>
    <w:p w14:paraId="5FEA5F11" w14:textId="77777777" w:rsidR="007B3AC0" w:rsidRPr="00122E5D" w:rsidRDefault="007B3AC0" w:rsidP="00447AB0">
      <w:pPr>
        <w:pStyle w:val="Heading2"/>
      </w:pPr>
      <w:bookmarkStart w:id="5" w:name="_Toc82618402"/>
      <w:r>
        <w:t>More information</w:t>
      </w:r>
      <w:bookmarkEnd w:id="5"/>
    </w:p>
    <w:p w14:paraId="3D4E0770" w14:textId="77777777" w:rsidR="007B3AC0" w:rsidRDefault="007B3AC0" w:rsidP="00447AB0">
      <w:r>
        <w:t xml:space="preserve">This overview offers a high-level summary of the topics and questions covered in the consultation document. </w:t>
      </w:r>
      <w:r>
        <w:rPr>
          <w:rFonts w:eastAsia="Calibri"/>
        </w:rPr>
        <w:t>More information, including the full consultation</w:t>
      </w:r>
      <w:r>
        <w:t xml:space="preserve"> document, is available on </w:t>
      </w:r>
      <w:hyperlink r:id="rId24" w:history="1">
        <w:r w:rsidRPr="00415209">
          <w:rPr>
            <w:rStyle w:val="Hyperlink"/>
          </w:rPr>
          <w:t>the Ministry’s website</w:t>
        </w:r>
      </w:hyperlink>
      <w:r w:rsidR="00447AB0">
        <w:t>.</w:t>
      </w:r>
    </w:p>
    <w:p w14:paraId="75801B9E" w14:textId="77777777" w:rsidR="00F16595" w:rsidRDefault="00F16595" w:rsidP="00447AB0"/>
    <w:p w14:paraId="4EB064A0" w14:textId="77777777" w:rsidR="001D3E4E" w:rsidRDefault="001D3E4E" w:rsidP="003A5FEA">
      <w:pPr>
        <w:sectPr w:rsidR="001D3E4E" w:rsidSect="00925892">
          <w:footerReference w:type="even" r:id="rId25"/>
          <w:pgSz w:w="11907" w:h="16840" w:code="9"/>
          <w:pgMar w:top="1418" w:right="1701" w:bottom="1134" w:left="1843" w:header="284" w:footer="425" w:gutter="284"/>
          <w:pgNumType w:fmt="lowerRoman"/>
          <w:cols w:space="720"/>
        </w:sectPr>
      </w:pPr>
    </w:p>
    <w:p w14:paraId="60111B13" w14:textId="77777777" w:rsidR="008C2973" w:rsidRDefault="002B7BEC" w:rsidP="00F54E74">
      <w:pPr>
        <w:pStyle w:val="Heading1"/>
      </w:pPr>
      <w:bookmarkStart w:id="6" w:name="_Toc82618403"/>
      <w:r>
        <w:lastRenderedPageBreak/>
        <w:t>Introduction</w:t>
      </w:r>
      <w:bookmarkEnd w:id="6"/>
    </w:p>
    <w:p w14:paraId="0B4896A6" w14:textId="77777777" w:rsidR="007B3AC0" w:rsidRDefault="007B3AC0" w:rsidP="000E65A3">
      <w:pPr>
        <w:pStyle w:val="Heading2"/>
      </w:pPr>
      <w:bookmarkStart w:id="7" w:name="_Toc82618404"/>
      <w:r>
        <w:t>Why do we want to hear from you?</w:t>
      </w:r>
      <w:bookmarkEnd w:id="7"/>
    </w:p>
    <w:p w14:paraId="7AC8239C" w14:textId="77777777" w:rsidR="007B3AC0" w:rsidRDefault="007B3AC0" w:rsidP="000E65A3">
      <w:pPr>
        <w:rPr>
          <w:rFonts w:eastAsia="Calibri"/>
        </w:rPr>
      </w:pPr>
      <w:r>
        <w:rPr>
          <w:rFonts w:eastAsia="Calibri"/>
        </w:rPr>
        <w:t>Most New Zealanders have gambled or know somebody who has gambled. Harm from gambling is a significant public health issue within our communities, and to individuals, families and whānau. Harm is not evenly spread across our communities; M</w:t>
      </w:r>
      <w:r>
        <w:rPr>
          <w:rFonts w:eastAsia="Calibri" w:cstheme="minorHAnsi"/>
        </w:rPr>
        <w:t>ā</w:t>
      </w:r>
      <w:r>
        <w:rPr>
          <w:rFonts w:eastAsia="Calibri"/>
        </w:rPr>
        <w:t>ori and Pacific people experience more harm from gambling</w:t>
      </w:r>
      <w:r w:rsidR="000E65A3">
        <w:rPr>
          <w:rFonts w:eastAsia="Calibri"/>
        </w:rPr>
        <w:t>.</w:t>
      </w:r>
    </w:p>
    <w:p w14:paraId="6B0B188C" w14:textId="77777777" w:rsidR="000E65A3" w:rsidRDefault="000E65A3" w:rsidP="000E65A3">
      <w:pPr>
        <w:rPr>
          <w:rFonts w:eastAsia="Calibri"/>
        </w:rPr>
      </w:pPr>
    </w:p>
    <w:p w14:paraId="23B99CE3" w14:textId="77777777" w:rsidR="007B3AC0" w:rsidRDefault="007B3AC0" w:rsidP="000E65A3">
      <w:pPr>
        <w:rPr>
          <w:rFonts w:eastAsia="Calibri"/>
        </w:rPr>
      </w:pPr>
      <w:r w:rsidRPr="00C73ACA">
        <w:rPr>
          <w:rFonts w:eastAsia="Calibri"/>
        </w:rPr>
        <w:t>The Gambling Act 2003</w:t>
      </w:r>
      <w:r>
        <w:rPr>
          <w:rFonts w:eastAsia="Calibri"/>
        </w:rPr>
        <w:t xml:space="preserve"> states that the Ministry of Health must develop and implement</w:t>
      </w:r>
      <w:r w:rsidRPr="00C73ACA">
        <w:rPr>
          <w:rFonts w:eastAsia="Calibri"/>
        </w:rPr>
        <w:t xml:space="preserve"> an integrated problem gambling </w:t>
      </w:r>
      <w:r>
        <w:rPr>
          <w:rFonts w:eastAsia="Calibri"/>
        </w:rPr>
        <w:t>strategy</w:t>
      </w:r>
      <w:r w:rsidRPr="00C73ACA">
        <w:rPr>
          <w:rFonts w:eastAsia="Calibri"/>
        </w:rPr>
        <w:t xml:space="preserve"> focused on public health</w:t>
      </w:r>
      <w:r>
        <w:rPr>
          <w:rFonts w:eastAsia="Calibri"/>
        </w:rPr>
        <w:t xml:space="preserve"> every three years that includes services to address gambling harm and a levy to recover the costs of those services from the gambling sector. This strategy sets out the areas of focus for the next three years, and the draft service plan published alongside it details what activities we need to do in each area. These activities are funded through levies (payments) from the gambling industry.</w:t>
      </w:r>
    </w:p>
    <w:p w14:paraId="22C464D8" w14:textId="77777777" w:rsidR="000E65A3" w:rsidRDefault="000E65A3" w:rsidP="000E65A3">
      <w:pPr>
        <w:rPr>
          <w:rFonts w:eastAsia="Calibri"/>
        </w:rPr>
      </w:pPr>
    </w:p>
    <w:p w14:paraId="635D64AB" w14:textId="77777777" w:rsidR="007B3AC0" w:rsidRDefault="007B3AC0" w:rsidP="000E65A3">
      <w:pPr>
        <w:rPr>
          <w:rFonts w:eastAsia="Calibri"/>
        </w:rPr>
      </w:pPr>
      <w:r>
        <w:rPr>
          <w:rFonts w:eastAsia="Calibri"/>
        </w:rPr>
        <w:t>We need to hear from the people, families and whānau, communities, gambling providers and organisations involved in reducing gambling harm, so that we can ensure our approach is inclusive and comprehensive. We are keen to receive feedback on:</w:t>
      </w:r>
    </w:p>
    <w:p w14:paraId="10EBE8CA" w14:textId="77777777" w:rsidR="007B3AC0" w:rsidRPr="00E54029" w:rsidRDefault="007B3AC0" w:rsidP="000E65A3">
      <w:pPr>
        <w:pStyle w:val="Bullet"/>
      </w:pPr>
      <w:r w:rsidRPr="00E54029">
        <w:t xml:space="preserve">the draft </w:t>
      </w:r>
      <w:r>
        <w:t>strategic plan</w:t>
      </w:r>
    </w:p>
    <w:p w14:paraId="454E39BE" w14:textId="77777777" w:rsidR="007B3AC0" w:rsidRPr="00E54029" w:rsidRDefault="007B3AC0" w:rsidP="000E65A3">
      <w:pPr>
        <w:pStyle w:val="Bullet"/>
      </w:pPr>
      <w:r w:rsidRPr="00E54029">
        <w:t>the draft service plan</w:t>
      </w:r>
    </w:p>
    <w:p w14:paraId="6509F5E1" w14:textId="77777777" w:rsidR="007B3AC0" w:rsidRDefault="007B3AC0" w:rsidP="000E65A3">
      <w:pPr>
        <w:pStyle w:val="Bullet"/>
      </w:pPr>
      <w:r w:rsidRPr="00E54029">
        <w:t>the proposed levy rates</w:t>
      </w:r>
      <w:r>
        <w:t>.</w:t>
      </w:r>
    </w:p>
    <w:p w14:paraId="4A2A99FF" w14:textId="77777777" w:rsidR="000E65A3" w:rsidRPr="00E54029" w:rsidRDefault="000E65A3" w:rsidP="000E65A3"/>
    <w:p w14:paraId="5F629CA2" w14:textId="77777777" w:rsidR="007B3AC0" w:rsidRDefault="007B3AC0" w:rsidP="000E65A3">
      <w:pPr>
        <w:pStyle w:val="Heading2"/>
      </w:pPr>
      <w:bookmarkStart w:id="8" w:name="_Toc82618405"/>
      <w:r>
        <w:t>What we know right now</w:t>
      </w:r>
      <w:bookmarkEnd w:id="8"/>
    </w:p>
    <w:p w14:paraId="651FDA40" w14:textId="77777777" w:rsidR="007B3AC0" w:rsidRDefault="007B3AC0" w:rsidP="000E65A3">
      <w:r w:rsidRPr="00415209">
        <w:t xml:space="preserve">To start drafting the next three-year strategy, the Ministry commissioned an independent ‘needs assessment’ to determine the progress we have made against the current </w:t>
      </w:r>
      <w:proofErr w:type="gramStart"/>
      <w:r w:rsidRPr="00415209">
        <w:t>strategy, and</w:t>
      </w:r>
      <w:proofErr w:type="gramEnd"/>
      <w:r w:rsidRPr="00415209">
        <w:t xml:space="preserve"> define where our focus should be for the next three years. The assessment combined a review of recent international and domestic research with a survey and interviews with a cross-section of people involved in gambling prevention and harm minimisation. You can find more information about the results of the needs assessment in the </w:t>
      </w:r>
      <w:hyperlink r:id="rId26" w:history="1">
        <w:r w:rsidRPr="00415209">
          <w:rPr>
            <w:rStyle w:val="Hyperlink"/>
          </w:rPr>
          <w:t>consultation document</w:t>
        </w:r>
      </w:hyperlink>
      <w:r w:rsidRPr="00415209">
        <w:t>.</w:t>
      </w:r>
    </w:p>
    <w:p w14:paraId="1204BC91" w14:textId="77777777" w:rsidR="000E65A3" w:rsidRDefault="000E65A3" w:rsidP="000E65A3"/>
    <w:p w14:paraId="5AC2CF0E" w14:textId="77777777" w:rsidR="007B3AC0" w:rsidRDefault="007B3AC0" w:rsidP="000E65A3">
      <w:pPr>
        <w:keepNext/>
      </w:pPr>
      <w:r>
        <w:lastRenderedPageBreak/>
        <w:t>The assessment and other research showed us that:</w:t>
      </w:r>
    </w:p>
    <w:p w14:paraId="7E8E37C1" w14:textId="77777777" w:rsidR="007B3AC0" w:rsidRDefault="007B3AC0" w:rsidP="000E65A3">
      <w:pPr>
        <w:pStyle w:val="Bullet"/>
        <w:keepNext/>
      </w:pPr>
      <w:r>
        <w:t>m</w:t>
      </w:r>
      <w:r w:rsidRPr="005668C1">
        <w:t>ost people gamble for leisure and recreation</w:t>
      </w:r>
    </w:p>
    <w:p w14:paraId="30FDE7FE" w14:textId="77777777" w:rsidR="007B3AC0" w:rsidRDefault="007B3AC0" w:rsidP="000E65A3">
      <w:pPr>
        <w:pStyle w:val="Bullet"/>
        <w:keepNext/>
      </w:pPr>
      <w:r>
        <w:t>a</w:t>
      </w:r>
      <w:r w:rsidRPr="005668C1">
        <w:t xml:space="preserve">ll forms of gambling </w:t>
      </w:r>
      <w:r>
        <w:t>are</w:t>
      </w:r>
      <w:r w:rsidRPr="005668C1">
        <w:t xml:space="preserve"> widely </w:t>
      </w:r>
      <w:r>
        <w:t>available in New Zealand</w:t>
      </w:r>
    </w:p>
    <w:p w14:paraId="17B9BEF0" w14:textId="77777777" w:rsidR="007B3AC0" w:rsidRDefault="007B3AC0" w:rsidP="000E65A3">
      <w:pPr>
        <w:pStyle w:val="Bullet"/>
        <w:keepNext/>
      </w:pPr>
      <w:r>
        <w:t>o</w:t>
      </w:r>
      <w:r w:rsidRPr="005668C1">
        <w:t>nline gambling for money has increased</w:t>
      </w:r>
    </w:p>
    <w:p w14:paraId="4BDEB17D" w14:textId="77777777" w:rsidR="007B3AC0" w:rsidRDefault="007B3AC0" w:rsidP="000E65A3">
      <w:pPr>
        <w:pStyle w:val="Bullet"/>
        <w:keepNext/>
      </w:pPr>
      <w:r w:rsidRPr="005668C1">
        <w:t>Māori, Pacific</w:t>
      </w:r>
      <w:r>
        <w:t>, Asian</w:t>
      </w:r>
      <w:r w:rsidRPr="005668C1">
        <w:t xml:space="preserve"> and </w:t>
      </w:r>
      <w:r>
        <w:t>young people/rangatahi</w:t>
      </w:r>
      <w:r w:rsidRPr="005668C1">
        <w:t xml:space="preserve"> </w:t>
      </w:r>
      <w:r>
        <w:t xml:space="preserve">are at greatest risk, or </w:t>
      </w:r>
      <w:r w:rsidRPr="005668C1">
        <w:t xml:space="preserve">continue to </w:t>
      </w:r>
      <w:r>
        <w:t>experience</w:t>
      </w:r>
      <w:r w:rsidRPr="005668C1">
        <w:t xml:space="preserve"> the </w:t>
      </w:r>
      <w:r>
        <w:t>greatest levels</w:t>
      </w:r>
      <w:r w:rsidRPr="005668C1">
        <w:t xml:space="preserve"> of </w:t>
      </w:r>
      <w:r>
        <w:t>gambling harm</w:t>
      </w:r>
    </w:p>
    <w:p w14:paraId="394BDA02" w14:textId="77777777" w:rsidR="007B3AC0" w:rsidRDefault="007B3AC0" w:rsidP="000E65A3">
      <w:pPr>
        <w:pStyle w:val="Bullet"/>
      </w:pPr>
      <w:r>
        <w:t xml:space="preserve">there are still widespread risks of </w:t>
      </w:r>
      <w:r w:rsidRPr="005668C1">
        <w:t>gambling</w:t>
      </w:r>
      <w:r>
        <w:t xml:space="preserve"> harm</w:t>
      </w:r>
    </w:p>
    <w:p w14:paraId="2DF75126" w14:textId="77777777" w:rsidR="007B3AC0" w:rsidRDefault="007B3AC0" w:rsidP="000E65A3">
      <w:pPr>
        <w:pStyle w:val="Bullet"/>
      </w:pPr>
      <w:r>
        <w:t>not much has changed to make it easier for people looking for help with problem gambling.</w:t>
      </w:r>
    </w:p>
    <w:p w14:paraId="03F0F128" w14:textId="77777777" w:rsidR="000E65A3" w:rsidRDefault="000E65A3" w:rsidP="000E65A3"/>
    <w:p w14:paraId="4D60308C" w14:textId="77777777" w:rsidR="007B3AC0" w:rsidRPr="009630F1" w:rsidRDefault="007B3AC0" w:rsidP="000E65A3">
      <w:pPr>
        <w:pStyle w:val="Heading2"/>
      </w:pPr>
      <w:bookmarkStart w:id="9" w:name="_Toc82618406"/>
      <w:r>
        <w:t>What we need to do</w:t>
      </w:r>
      <w:bookmarkEnd w:id="9"/>
    </w:p>
    <w:p w14:paraId="7E333A5B" w14:textId="77777777" w:rsidR="007B3AC0" w:rsidRDefault="007B3AC0" w:rsidP="000E65A3">
      <w:r>
        <w:t>Our approach for preventing and minimising gambling harm over the next three years needs to:</w:t>
      </w:r>
    </w:p>
    <w:p w14:paraId="0E52AA8D" w14:textId="77777777" w:rsidR="007B3AC0" w:rsidRPr="00313291" w:rsidRDefault="007B3AC0" w:rsidP="000E65A3">
      <w:pPr>
        <w:pStyle w:val="Bullet"/>
      </w:pPr>
      <w:r>
        <w:t>l</w:t>
      </w:r>
      <w:r w:rsidRPr="00B1030E">
        <w:t xml:space="preserve">ink in with the </w:t>
      </w:r>
      <w:r>
        <w:t xml:space="preserve">public health approach of achieving pae ora – healthy futures, and </w:t>
      </w:r>
      <w:r w:rsidRPr="00B1030E">
        <w:t xml:space="preserve">with </w:t>
      </w:r>
      <w:hyperlink r:id="rId27" w:history="1">
        <w:proofErr w:type="spellStart"/>
        <w:r w:rsidRPr="00514D2B">
          <w:rPr>
            <w:rStyle w:val="Hyperlink"/>
          </w:rPr>
          <w:t>Whakamaua</w:t>
        </w:r>
        <w:proofErr w:type="spellEnd"/>
        <w:r w:rsidRPr="00514D2B">
          <w:rPr>
            <w:rStyle w:val="Hyperlink"/>
          </w:rPr>
          <w:t>: Māori Health Action Plan 2020–2025</w:t>
        </w:r>
      </w:hyperlink>
      <w:r w:rsidRPr="00B1030E">
        <w:t xml:space="preserve"> and</w:t>
      </w:r>
      <w:r w:rsidRPr="00313291">
        <w:t xml:space="preserve"> </w:t>
      </w:r>
      <w:hyperlink r:id="rId28" w:history="1">
        <w:r w:rsidRPr="00514D2B">
          <w:rPr>
            <w:rStyle w:val="Hyperlink"/>
          </w:rPr>
          <w:t xml:space="preserve">Kia Kaha, Kia </w:t>
        </w:r>
        <w:proofErr w:type="spellStart"/>
        <w:r w:rsidRPr="00514D2B">
          <w:rPr>
            <w:rStyle w:val="Hyperlink"/>
          </w:rPr>
          <w:t>Māia</w:t>
        </w:r>
        <w:proofErr w:type="spellEnd"/>
        <w:r w:rsidRPr="00514D2B">
          <w:rPr>
            <w:rStyle w:val="Hyperlink"/>
          </w:rPr>
          <w:t>, Kia Ora Aotearoa</w:t>
        </w:r>
      </w:hyperlink>
      <w:r w:rsidRPr="00FC4E9C">
        <w:t>: COVID</w:t>
      </w:r>
      <w:r>
        <w:t>-</w:t>
      </w:r>
      <w:r w:rsidRPr="00FC4E9C">
        <w:t>19 Psychosocial and Mental Wellbeing Plan</w:t>
      </w:r>
    </w:p>
    <w:p w14:paraId="14658F82" w14:textId="77777777" w:rsidR="007B3AC0" w:rsidRPr="00313291" w:rsidRDefault="007B3AC0" w:rsidP="000E65A3">
      <w:pPr>
        <w:pStyle w:val="Bullet"/>
      </w:pPr>
      <w:r>
        <w:t>i</w:t>
      </w:r>
      <w:r w:rsidRPr="00313291">
        <w:t xml:space="preserve">nclude a stronger focus on equity, encouraging and promoting Māori solutions, </w:t>
      </w:r>
      <w:proofErr w:type="gramStart"/>
      <w:r w:rsidRPr="00313291">
        <w:t>organisations</w:t>
      </w:r>
      <w:proofErr w:type="gramEnd"/>
      <w:r w:rsidRPr="00313291">
        <w:t xml:space="preserve"> and workforce </w:t>
      </w:r>
    </w:p>
    <w:p w14:paraId="173F2F1E" w14:textId="77777777" w:rsidR="007B3AC0" w:rsidRPr="00313291" w:rsidRDefault="007B3AC0" w:rsidP="000E65A3">
      <w:pPr>
        <w:pStyle w:val="Bullet"/>
      </w:pPr>
      <w:r>
        <w:t>en</w:t>
      </w:r>
      <w:r w:rsidRPr="00313291">
        <w:t xml:space="preserve">sure services are connected, linked to primary care and social services, and informed by people with lived experience (people and families </w:t>
      </w:r>
      <w:r>
        <w:t>and whānau</w:t>
      </w:r>
      <w:r w:rsidRPr="00313291">
        <w:t xml:space="preserve"> who have been directly impacted by gambling harm)</w:t>
      </w:r>
    </w:p>
    <w:p w14:paraId="6DFF50E9" w14:textId="77777777" w:rsidR="007B3AC0" w:rsidRPr="00313291" w:rsidRDefault="007B3AC0" w:rsidP="000E65A3">
      <w:pPr>
        <w:pStyle w:val="Bullet"/>
      </w:pPr>
      <w:r>
        <w:t>i</w:t>
      </w:r>
      <w:r w:rsidRPr="00313291">
        <w:t xml:space="preserve">ncrease opportunities for people working in services to reduce gambling harm, improve cultural safety and encourage more people into the workforce </w:t>
      </w:r>
    </w:p>
    <w:p w14:paraId="76CFF1A1" w14:textId="77777777" w:rsidR="007B3AC0" w:rsidRPr="00313291" w:rsidRDefault="007B3AC0" w:rsidP="000E65A3">
      <w:pPr>
        <w:pStyle w:val="Bullet"/>
      </w:pPr>
      <w:r>
        <w:t xml:space="preserve">ensure our </w:t>
      </w:r>
      <w:r w:rsidRPr="00313291">
        <w:t xml:space="preserve">messages are consistent, </w:t>
      </w:r>
      <w:proofErr w:type="gramStart"/>
      <w:r w:rsidRPr="00313291">
        <w:t>relevant</w:t>
      </w:r>
      <w:proofErr w:type="gramEnd"/>
      <w:r w:rsidRPr="00313291">
        <w:t xml:space="preserve"> and aligned with the focus on equity</w:t>
      </w:r>
    </w:p>
    <w:p w14:paraId="2275986A" w14:textId="77777777" w:rsidR="007B3AC0" w:rsidRDefault="007B3AC0" w:rsidP="000E65A3">
      <w:pPr>
        <w:pStyle w:val="Bullet"/>
      </w:pPr>
      <w:r>
        <w:t>en</w:t>
      </w:r>
      <w:r w:rsidRPr="00313291">
        <w:t xml:space="preserve">sure </w:t>
      </w:r>
      <w:r>
        <w:t xml:space="preserve">that we evaluate and measure </w:t>
      </w:r>
      <w:r w:rsidRPr="00313291">
        <w:t xml:space="preserve">all </w:t>
      </w:r>
      <w:r>
        <w:t xml:space="preserve">our </w:t>
      </w:r>
      <w:r w:rsidRPr="00313291">
        <w:t xml:space="preserve">projects and </w:t>
      </w:r>
      <w:proofErr w:type="gramStart"/>
      <w:r w:rsidRPr="00313291">
        <w:t>services, and</w:t>
      </w:r>
      <w:proofErr w:type="gramEnd"/>
      <w:r w:rsidRPr="00313291">
        <w:t xml:space="preserve"> </w:t>
      </w:r>
      <w:r>
        <w:t xml:space="preserve">share </w:t>
      </w:r>
      <w:r w:rsidRPr="00313291">
        <w:t>successful approaches across the gambling sector (with a clear link between goals and actions)</w:t>
      </w:r>
      <w:r>
        <w:t>.</w:t>
      </w:r>
    </w:p>
    <w:p w14:paraId="1464D5C7" w14:textId="77777777" w:rsidR="000E65A3" w:rsidRPr="00313291" w:rsidRDefault="000E65A3" w:rsidP="000E65A3"/>
    <w:p w14:paraId="7B6A00C4" w14:textId="77777777" w:rsidR="007B3AC0" w:rsidRDefault="007B3AC0" w:rsidP="000E65A3">
      <w:pPr>
        <w:pStyle w:val="Heading2"/>
      </w:pPr>
      <w:bookmarkStart w:id="10" w:name="_Toc82618407"/>
      <w:r>
        <w:lastRenderedPageBreak/>
        <w:t>Who is involved?</w:t>
      </w:r>
      <w:bookmarkEnd w:id="10"/>
    </w:p>
    <w:p w14:paraId="2CAC585D" w14:textId="77777777" w:rsidR="007B3AC0" w:rsidRDefault="007B3AC0" w:rsidP="000E65A3">
      <w:pPr>
        <w:keepNext/>
      </w:pPr>
      <w:r>
        <w:t xml:space="preserve">The Ministry of Health works closely with the Department of Internal Affairs and </w:t>
      </w:r>
      <w:proofErr w:type="spellStart"/>
      <w:r>
        <w:t>Te</w:t>
      </w:r>
      <w:proofErr w:type="spellEnd"/>
      <w:r>
        <w:t xml:space="preserve"> </w:t>
      </w:r>
      <w:proofErr w:type="spellStart"/>
      <w:r>
        <w:t>Hiringa</w:t>
      </w:r>
      <w:proofErr w:type="spellEnd"/>
      <w:r>
        <w:t xml:space="preserve"> Hauora (the Health Promotion Agency) in development of the draft strategy. The key responsibilities of these key agencies are as follows.</w:t>
      </w:r>
    </w:p>
    <w:p w14:paraId="6AC6B6AF" w14:textId="77777777" w:rsidR="007B3AC0" w:rsidRDefault="007B3AC0" w:rsidP="000E65A3">
      <w:pPr>
        <w:pStyle w:val="Bullet"/>
        <w:keepNext/>
      </w:pPr>
      <w:r>
        <w:t>The Ministry of Health is responsible for creating and delivering the strategy to prevent and minimise gambling harm.</w:t>
      </w:r>
    </w:p>
    <w:p w14:paraId="645B3BAD" w14:textId="77777777" w:rsidR="007B3AC0" w:rsidRPr="00E54029" w:rsidRDefault="007B3AC0" w:rsidP="000E65A3">
      <w:pPr>
        <w:pStyle w:val="Bullet"/>
        <w:keepNext/>
      </w:pPr>
      <w:r w:rsidRPr="00E54029">
        <w:t xml:space="preserve">The Department of Internal Affairs </w:t>
      </w:r>
      <w:r>
        <w:t>is the</w:t>
      </w:r>
      <w:r w:rsidRPr="00E54029">
        <w:t xml:space="preserve"> main regulator</w:t>
      </w:r>
      <w:r>
        <w:t xml:space="preserve"> (responsible for </w:t>
      </w:r>
      <w:r w:rsidRPr="00E54029">
        <w:t>saying what gambling operators must or should do</w:t>
      </w:r>
      <w:r>
        <w:t>)</w:t>
      </w:r>
      <w:r w:rsidRPr="00E54029">
        <w:t xml:space="preserve"> and policy advisor</w:t>
      </w:r>
      <w:r>
        <w:t xml:space="preserve"> (responsible for advising </w:t>
      </w:r>
      <w:r w:rsidRPr="00E54029">
        <w:t xml:space="preserve">what </w:t>
      </w:r>
      <w:r>
        <w:t>can be done, like encouraging venues to provide a culture of care towards gamblers).</w:t>
      </w:r>
    </w:p>
    <w:p w14:paraId="1B0D4F77" w14:textId="77777777" w:rsidR="007B3AC0" w:rsidRDefault="007B3AC0" w:rsidP="000E65A3">
      <w:pPr>
        <w:pStyle w:val="Bullet"/>
      </w:pPr>
      <w:proofErr w:type="spellStart"/>
      <w:r w:rsidRPr="00E54029">
        <w:t>Te</w:t>
      </w:r>
      <w:proofErr w:type="spellEnd"/>
      <w:r w:rsidRPr="00E54029">
        <w:t xml:space="preserve"> </w:t>
      </w:r>
      <w:proofErr w:type="spellStart"/>
      <w:r w:rsidRPr="00E54029">
        <w:t>Hiringa</w:t>
      </w:r>
      <w:proofErr w:type="spellEnd"/>
      <w:r w:rsidRPr="00E54029">
        <w:t xml:space="preserve"> Hauora promotes health and wellbeing and encourages healthy lifestyles</w:t>
      </w:r>
      <w:r>
        <w:t xml:space="preserve"> by undertaking </w:t>
      </w:r>
      <w:r w:rsidRPr="00E54029">
        <w:t>education and awareness activities to prevent and</w:t>
      </w:r>
      <w:r>
        <w:t xml:space="preserve"> minimise gambling harm.</w:t>
      </w:r>
    </w:p>
    <w:p w14:paraId="68AE461E" w14:textId="77777777" w:rsidR="007B3AC0" w:rsidRPr="00736D42" w:rsidRDefault="007B3AC0" w:rsidP="000E65A3">
      <w:pPr>
        <w:rPr>
          <w:rFonts w:eastAsia="Calibri"/>
        </w:rPr>
      </w:pPr>
    </w:p>
    <w:p w14:paraId="00C4EE74" w14:textId="77777777" w:rsidR="007B3AC0" w:rsidRPr="005F1FD4" w:rsidRDefault="007B3AC0" w:rsidP="00BF364A">
      <w:pPr>
        <w:pStyle w:val="Heading1"/>
      </w:pPr>
      <w:bookmarkStart w:id="11" w:name="_Toc82618408"/>
      <w:r>
        <w:lastRenderedPageBreak/>
        <w:t>Have your say on the proposed strategic plan</w:t>
      </w:r>
      <w:bookmarkEnd w:id="11"/>
    </w:p>
    <w:p w14:paraId="1DFC8DCB" w14:textId="77777777" w:rsidR="007B3AC0" w:rsidRDefault="007B3AC0" w:rsidP="00BF364A">
      <w:r>
        <w:t>When reading through this section, please keep in mind these key questions.</w:t>
      </w:r>
    </w:p>
    <w:p w14:paraId="7CD85A51" w14:textId="77777777" w:rsidR="00BF364A" w:rsidRDefault="00BF364A" w:rsidP="00BF364A"/>
    <w:p w14:paraId="130DDC43" w14:textId="77777777" w:rsidR="007B3AC0" w:rsidRDefault="007B3AC0" w:rsidP="00BF364A">
      <w:pPr>
        <w:pStyle w:val="Heading2"/>
      </w:pPr>
      <w:bookmarkStart w:id="12" w:name="_Toc82618409"/>
      <w:r w:rsidRPr="000251AA">
        <w:t>Questions for you</w:t>
      </w:r>
      <w:bookmarkEnd w:id="12"/>
    </w:p>
    <w:p w14:paraId="15C7B7C1" w14:textId="77777777" w:rsidR="007B3AC0" w:rsidRDefault="007B3AC0" w:rsidP="00BF364A">
      <w:pPr>
        <w:pStyle w:val="Number"/>
      </w:pPr>
      <w:r>
        <w:t xml:space="preserve">Do you agree with the proposed strategic goal, </w:t>
      </w:r>
      <w:proofErr w:type="gramStart"/>
      <w:r>
        <w:t>objective</w:t>
      </w:r>
      <w:proofErr w:type="gramEnd"/>
      <w:r>
        <w:t xml:space="preserve"> and action areas?</w:t>
      </w:r>
    </w:p>
    <w:p w14:paraId="29E1308B" w14:textId="77777777" w:rsidR="007B3AC0" w:rsidRDefault="007B3AC0" w:rsidP="00BF364A">
      <w:pPr>
        <w:pStyle w:val="Number"/>
      </w:pPr>
      <w:r>
        <w:t>Does the draft strategic plan adequately reflect changes in the gambling environment?</w:t>
      </w:r>
    </w:p>
    <w:p w14:paraId="3F101EA3" w14:textId="77777777" w:rsidR="007B3AC0" w:rsidRDefault="007B3AC0" w:rsidP="00BF364A">
      <w:pPr>
        <w:pStyle w:val="Number"/>
      </w:pPr>
      <w:r>
        <w:t>Do you have any comments to make on the priority populations, including how we will address inequities?</w:t>
      </w:r>
    </w:p>
    <w:p w14:paraId="68741A65" w14:textId="77777777" w:rsidR="007B3AC0" w:rsidRDefault="007B3AC0" w:rsidP="00BF364A">
      <w:pPr>
        <w:pStyle w:val="Number"/>
      </w:pPr>
      <w:r>
        <w:t>Do you have any comment to make on the matters covered under ‘what we need to change’?</w:t>
      </w:r>
    </w:p>
    <w:p w14:paraId="492583F6" w14:textId="77777777" w:rsidR="00BF364A" w:rsidRDefault="00BF364A" w:rsidP="00BF364A"/>
    <w:p w14:paraId="3F444417" w14:textId="77777777" w:rsidR="007B3AC0" w:rsidRDefault="007B3AC0" w:rsidP="00BF364A">
      <w:pPr>
        <w:pStyle w:val="Heading2"/>
      </w:pPr>
      <w:bookmarkStart w:id="13" w:name="_Hlk77535844"/>
      <w:bookmarkStart w:id="14" w:name="_Toc82618410"/>
      <w:r>
        <w:t>Focusing on public health</w:t>
      </w:r>
      <w:bookmarkEnd w:id="13"/>
      <w:bookmarkEnd w:id="14"/>
    </w:p>
    <w:p w14:paraId="38F50A63" w14:textId="77777777" w:rsidR="007B3AC0" w:rsidRDefault="007B3AC0" w:rsidP="00BF364A">
      <w:r>
        <w:rPr>
          <w:rFonts w:cstheme="minorHAnsi"/>
        </w:rPr>
        <w:t xml:space="preserve">The Gambling Act requires </w:t>
      </w:r>
      <w:r w:rsidRPr="00C73ACA">
        <w:rPr>
          <w:rFonts w:eastAsia="Calibri"/>
        </w:rPr>
        <w:t xml:space="preserve">an integrated problem gambling </w:t>
      </w:r>
      <w:r>
        <w:rPr>
          <w:rFonts w:eastAsia="Calibri"/>
        </w:rPr>
        <w:t>strategy</w:t>
      </w:r>
      <w:r w:rsidRPr="00C73ACA">
        <w:rPr>
          <w:rFonts w:eastAsia="Calibri"/>
        </w:rPr>
        <w:t xml:space="preserve"> focused on public health</w:t>
      </w:r>
      <w:r>
        <w:rPr>
          <w:rFonts w:eastAsia="Calibri"/>
        </w:rPr>
        <w:t>.</w:t>
      </w:r>
      <w:r>
        <w:rPr>
          <w:rFonts w:cstheme="minorHAnsi"/>
        </w:rPr>
        <w:t xml:space="preserve"> </w:t>
      </w:r>
      <w:r>
        <w:t xml:space="preserve">Public health is about protecting and promoting health across the whole population or specific </w:t>
      </w:r>
      <w:r w:rsidR="00BF364A">
        <w:t>population groups.</w:t>
      </w:r>
    </w:p>
    <w:p w14:paraId="2B9C3E40" w14:textId="77777777" w:rsidR="00BF364A" w:rsidRDefault="00BF364A" w:rsidP="00BF364A"/>
    <w:p w14:paraId="240CDF44" w14:textId="77777777" w:rsidR="007B3AC0" w:rsidRDefault="007B3AC0" w:rsidP="00BF364A">
      <w:r>
        <w:t>This means that the strategy needs to provide activities that help everyone – from raising broad awareness of the signs of harmful gambling to offering specialised intensive support for people experiencing severe harm from gambling.</w:t>
      </w:r>
    </w:p>
    <w:p w14:paraId="1CDDE828" w14:textId="77777777" w:rsidR="00BF364A" w:rsidRDefault="00BF364A" w:rsidP="00BF364A"/>
    <w:p w14:paraId="081FFFB5" w14:textId="77777777" w:rsidR="007B3AC0" w:rsidRDefault="007B3AC0" w:rsidP="00BF364A">
      <w:pPr>
        <w:pStyle w:val="Heading2"/>
      </w:pPr>
      <w:bookmarkStart w:id="15" w:name="_Toc82618411"/>
      <w:r>
        <w:lastRenderedPageBreak/>
        <w:t>Gambling harm as an equity issue</w:t>
      </w:r>
      <w:bookmarkEnd w:id="15"/>
    </w:p>
    <w:p w14:paraId="4EA16692" w14:textId="77777777" w:rsidR="007B3AC0" w:rsidRDefault="007B3AC0" w:rsidP="00BF364A">
      <w:pPr>
        <w:keepNext/>
      </w:pPr>
      <w:r w:rsidRPr="00344A23">
        <w:t xml:space="preserve">In Aotearoa, people </w:t>
      </w:r>
      <w:r>
        <w:t xml:space="preserve">experience </w:t>
      </w:r>
      <w:r w:rsidRPr="00344A23">
        <w:t xml:space="preserve">differences in health </w:t>
      </w:r>
      <w:r>
        <w:t xml:space="preserve">outcomes </w:t>
      </w:r>
      <w:r w:rsidRPr="00344A23">
        <w:t xml:space="preserve">that are not only avoidable but unfair and unjust. </w:t>
      </w:r>
      <w:r>
        <w:t>The concept of e</w:t>
      </w:r>
      <w:r w:rsidRPr="00344A23">
        <w:t xml:space="preserve">quity recognises </w:t>
      </w:r>
      <w:r>
        <w:t xml:space="preserve">that, to achieve equitable health outcomes, we need to take different approaches and use different resources to cater to </w:t>
      </w:r>
      <w:r w:rsidRPr="00344A23">
        <w:t>different people with different levels of advantage.</w:t>
      </w:r>
    </w:p>
    <w:p w14:paraId="20E8C223" w14:textId="77777777" w:rsidR="00BF364A" w:rsidRDefault="00BF364A" w:rsidP="00BF364A">
      <w:pPr>
        <w:keepNext/>
      </w:pPr>
    </w:p>
    <w:p w14:paraId="1C6C7D0D" w14:textId="77777777" w:rsidR="007B3AC0" w:rsidRDefault="007B3AC0" w:rsidP="00BF364A">
      <w:pPr>
        <w:keepNext/>
      </w:pPr>
      <w:r>
        <w:t xml:space="preserve">Māori and Pacific peoples experience gambling harm at much higher rates than other groups. There are many potential causes of </w:t>
      </w:r>
      <w:proofErr w:type="gramStart"/>
      <w:r>
        <w:t>this;</w:t>
      </w:r>
      <w:proofErr w:type="gramEnd"/>
      <w:r>
        <w:t xml:space="preserve"> for example:</w:t>
      </w:r>
    </w:p>
    <w:p w14:paraId="09062861" w14:textId="77777777" w:rsidR="007B3AC0" w:rsidRPr="00E54029" w:rsidRDefault="007B3AC0" w:rsidP="00BF364A">
      <w:pPr>
        <w:pStyle w:val="Bullet"/>
      </w:pPr>
      <w:r>
        <w:t>t</w:t>
      </w:r>
      <w:r w:rsidRPr="00E54029">
        <w:t>he most harmful forms of gambling</w:t>
      </w:r>
      <w:r>
        <w:t>,</w:t>
      </w:r>
      <w:r w:rsidRPr="00E54029">
        <w:t xml:space="preserve"> </w:t>
      </w:r>
      <w:r>
        <w:t>including non-casino gaming machines (pokies</w:t>
      </w:r>
      <w:r w:rsidRPr="00E54029">
        <w:t>)</w:t>
      </w:r>
      <w:r>
        <w:t>,</w:t>
      </w:r>
      <w:r w:rsidRPr="00E54029">
        <w:t xml:space="preserve"> are concentrated in areas with higher populations of Māori and Pacific people</w:t>
      </w:r>
      <w:r>
        <w:t>s</w:t>
      </w:r>
    </w:p>
    <w:p w14:paraId="4C47BDBF" w14:textId="77777777" w:rsidR="007B3AC0" w:rsidRPr="00E54029" w:rsidRDefault="007B3AC0" w:rsidP="00BF364A">
      <w:pPr>
        <w:pStyle w:val="Bullet"/>
      </w:pPr>
      <w:r w:rsidRPr="00E54029">
        <w:t>services and supports to prevent and minimise gambling harm are not used</w:t>
      </w:r>
      <w:r>
        <w:t xml:space="preserve"> by everyone who needs support</w:t>
      </w:r>
      <w:r w:rsidRPr="00E54029">
        <w:t xml:space="preserve">. Research suggests </w:t>
      </w:r>
      <w:r>
        <w:t xml:space="preserve">that </w:t>
      </w:r>
      <w:r w:rsidRPr="00E54029">
        <w:t>Māori and Pacific people</w:t>
      </w:r>
      <w:r>
        <w:t>s</w:t>
      </w:r>
      <w:r w:rsidRPr="00E54029">
        <w:t xml:space="preserve"> experience barriers to </w:t>
      </w:r>
      <w:r>
        <w:t xml:space="preserve">access including views that </w:t>
      </w:r>
      <w:r w:rsidRPr="00E54029">
        <w:t>service</w:t>
      </w:r>
      <w:r>
        <w:t>s</w:t>
      </w:r>
      <w:r w:rsidRPr="00E54029">
        <w:t xml:space="preserve"> </w:t>
      </w:r>
      <w:r>
        <w:t xml:space="preserve">or </w:t>
      </w:r>
      <w:r w:rsidRPr="00E54029">
        <w:t>support</w:t>
      </w:r>
      <w:r>
        <w:t>s</w:t>
      </w:r>
      <w:r w:rsidRPr="00E54029">
        <w:t xml:space="preserve"> </w:t>
      </w:r>
      <w:r>
        <w:t xml:space="preserve">are not </w:t>
      </w:r>
      <w:r w:rsidRPr="00E54029">
        <w:t>re</w:t>
      </w:r>
      <w:r w:rsidR="00BF364A">
        <w:t xml:space="preserve">levant, </w:t>
      </w:r>
      <w:proofErr w:type="gramStart"/>
      <w:r w:rsidR="00BF364A">
        <w:t>suitable</w:t>
      </w:r>
      <w:proofErr w:type="gramEnd"/>
      <w:r w:rsidR="00BF364A">
        <w:t xml:space="preserve"> or available.</w:t>
      </w:r>
    </w:p>
    <w:p w14:paraId="77471E2D" w14:textId="77777777" w:rsidR="00BF364A" w:rsidRDefault="00BF364A" w:rsidP="00BF364A"/>
    <w:p w14:paraId="7E5DA3B9" w14:textId="77777777" w:rsidR="007B3AC0" w:rsidRDefault="007B3AC0" w:rsidP="00BF364A">
      <w:r>
        <w:t xml:space="preserve">To achieve equity, we need to tailor services to address inequities, which may include taking targeted action based on engaging with, listening </w:t>
      </w:r>
      <w:proofErr w:type="gramStart"/>
      <w:r>
        <w:t>to</w:t>
      </w:r>
      <w:proofErr w:type="gramEnd"/>
      <w:r>
        <w:t xml:space="preserve"> and partnering with the people most affected. We need to carefully consider the ways in which Māori are disadvantaged or harmed, and respond to them effectively, drawing on the strength of the relationship that the Crown has with Māori under Te Tiriti o Waitangi.</w:t>
      </w:r>
    </w:p>
    <w:p w14:paraId="695EE851" w14:textId="77777777" w:rsidR="00BF364A" w:rsidRDefault="00BF364A" w:rsidP="00BF364A"/>
    <w:p w14:paraId="79034BDB" w14:textId="77777777" w:rsidR="007B3AC0" w:rsidRDefault="007B3AC0" w:rsidP="00BF364A">
      <w:pPr>
        <w:pStyle w:val="Heading2"/>
      </w:pPr>
      <w:bookmarkStart w:id="16" w:name="_Toc82618412"/>
      <w:r>
        <w:t>Equity principles</w:t>
      </w:r>
      <w:bookmarkEnd w:id="16"/>
    </w:p>
    <w:p w14:paraId="0E8207FF" w14:textId="77777777" w:rsidR="007B3AC0" w:rsidRDefault="007B3AC0" w:rsidP="00BF364A">
      <w:r>
        <w:t xml:space="preserve">To align this strategy with our commitment to equity, we have linked the outcomes and </w:t>
      </w:r>
      <w:r w:rsidRPr="00DB5EAE">
        <w:t>objectives from</w:t>
      </w:r>
      <w:r w:rsidRPr="00FC4E9C">
        <w:rPr>
          <w:i/>
          <w:iCs/>
        </w:rPr>
        <w:t xml:space="preserve"> </w:t>
      </w:r>
      <w:proofErr w:type="spellStart"/>
      <w:r w:rsidRPr="00DB5EAE">
        <w:t>Whakamaua</w:t>
      </w:r>
      <w:proofErr w:type="spellEnd"/>
      <w:r w:rsidRPr="00DB5EAE">
        <w:t>: Māori Health Action Plan 2020</w:t>
      </w:r>
      <w:r>
        <w:t>–</w:t>
      </w:r>
      <w:r w:rsidRPr="00DB5EAE">
        <w:t>2025 to each priority action area.</w:t>
      </w:r>
    </w:p>
    <w:p w14:paraId="2D7989CB" w14:textId="77777777" w:rsidR="007B3AC0" w:rsidRPr="00BF364A" w:rsidRDefault="007B3AC0" w:rsidP="00BF364A">
      <w:pPr>
        <w:spacing w:before="120"/>
        <w:rPr>
          <w:i/>
        </w:rPr>
      </w:pPr>
      <w:r w:rsidRPr="00BF364A">
        <w:rPr>
          <w:i/>
        </w:rPr>
        <w:t>Tino rangatiratanga: Self-determination / Partnership / Protection / Options / Equity</w:t>
      </w:r>
    </w:p>
    <w:p w14:paraId="2AA80784" w14:textId="77777777" w:rsidR="00BF364A" w:rsidRDefault="00BF364A" w:rsidP="00BF364A"/>
    <w:p w14:paraId="0B351378" w14:textId="77777777" w:rsidR="007B3AC0" w:rsidRDefault="007B3AC0" w:rsidP="00BF364A">
      <w:r w:rsidRPr="00DB5EAE">
        <w:t xml:space="preserve">The principles </w:t>
      </w:r>
      <w:r>
        <w:t xml:space="preserve">set out in </w:t>
      </w:r>
      <w:r w:rsidRPr="00DB5EAE">
        <w:t xml:space="preserve">Kia Kaha, Kia </w:t>
      </w:r>
      <w:proofErr w:type="spellStart"/>
      <w:r w:rsidRPr="00DB5EAE">
        <w:t>Māia</w:t>
      </w:r>
      <w:proofErr w:type="spellEnd"/>
      <w:r w:rsidRPr="00DB5EAE">
        <w:t>, Kia Ora Aotearoa: COVID</w:t>
      </w:r>
      <w:r>
        <w:t>-</w:t>
      </w:r>
      <w:r w:rsidRPr="00DB5EAE">
        <w:t xml:space="preserve">19 Psychosocial and Mental Wellbeing Plan </w:t>
      </w:r>
      <w:r>
        <w:t xml:space="preserve">also apply to </w:t>
      </w:r>
      <w:r w:rsidRPr="00DB5EAE">
        <w:t>the draft strategy</w:t>
      </w:r>
      <w:r>
        <w:t>.</w:t>
      </w:r>
    </w:p>
    <w:p w14:paraId="0E38A522" w14:textId="77777777" w:rsidR="007B3AC0" w:rsidRDefault="007B3AC0" w:rsidP="00BF364A">
      <w:pPr>
        <w:spacing w:before="120"/>
        <w:rPr>
          <w:i/>
        </w:rPr>
      </w:pPr>
      <w:r w:rsidRPr="00BF364A">
        <w:rPr>
          <w:i/>
        </w:rPr>
        <w:t>Te Tiriti o Waitangi / Equity / People at the centre / Community focus / Collaboration / Innovation</w:t>
      </w:r>
    </w:p>
    <w:p w14:paraId="2E23C838" w14:textId="77777777" w:rsidR="00BF364A" w:rsidRPr="00BF364A" w:rsidRDefault="00BF364A" w:rsidP="00BF364A"/>
    <w:p w14:paraId="2DC4CF08" w14:textId="77777777" w:rsidR="007B3AC0" w:rsidRPr="007F4B4C" w:rsidRDefault="007B3AC0" w:rsidP="00BF364A">
      <w:pPr>
        <w:pStyle w:val="Heading2"/>
      </w:pPr>
      <w:bookmarkStart w:id="17" w:name="_Toc82618413"/>
      <w:r>
        <w:lastRenderedPageBreak/>
        <w:t>Strategic goal and outcomes</w:t>
      </w:r>
      <w:bookmarkEnd w:id="17"/>
    </w:p>
    <w:p w14:paraId="724732B4" w14:textId="77777777" w:rsidR="007B3AC0" w:rsidRDefault="007B3AC0" w:rsidP="00BF364A">
      <w:pPr>
        <w:keepNext/>
      </w:pPr>
      <w:r w:rsidRPr="00107824">
        <w:t>Our proposed strategic goal is</w:t>
      </w:r>
      <w:r>
        <w:t xml:space="preserve"> to:</w:t>
      </w:r>
    </w:p>
    <w:p w14:paraId="30712A90" w14:textId="77777777" w:rsidR="007B3AC0" w:rsidRPr="00BF364A" w:rsidRDefault="007B3AC0" w:rsidP="00BF364A">
      <w:pPr>
        <w:pStyle w:val="Quote"/>
        <w:keepNext/>
        <w:rPr>
          <w:b/>
        </w:rPr>
      </w:pPr>
      <w:r w:rsidRPr="00BF364A">
        <w:rPr>
          <w:b/>
        </w:rPr>
        <w:t xml:space="preserve">Promote equity and wellbeing by preventing and </w:t>
      </w:r>
      <w:r w:rsidR="00BF364A" w:rsidRPr="00BF364A">
        <w:rPr>
          <w:b/>
        </w:rPr>
        <w:t>reducing gambling-related harm.</w:t>
      </w:r>
    </w:p>
    <w:p w14:paraId="007AA3DE" w14:textId="77777777" w:rsidR="00BF364A" w:rsidRDefault="00BF364A" w:rsidP="00BF364A">
      <w:pPr>
        <w:keepNext/>
      </w:pPr>
    </w:p>
    <w:p w14:paraId="7BED2F0C" w14:textId="77777777" w:rsidR="007B3AC0" w:rsidRPr="00BB0ECA" w:rsidRDefault="007B3AC0" w:rsidP="00BF364A">
      <w:pPr>
        <w:keepNext/>
      </w:pPr>
      <w:r>
        <w:t>We are working towards four outcomes under this strategic goal.</w:t>
      </w:r>
    </w:p>
    <w:p w14:paraId="5532D06D" w14:textId="77777777" w:rsidR="007B3AC0" w:rsidRDefault="007B3AC0" w:rsidP="00BF364A">
      <w:pPr>
        <w:pStyle w:val="Bullet"/>
      </w:pPr>
      <w:r>
        <w:t xml:space="preserve">[Iwi, </w:t>
      </w:r>
      <w:proofErr w:type="spellStart"/>
      <w:r>
        <w:t>hapū</w:t>
      </w:r>
      <w:proofErr w:type="spellEnd"/>
      <w:r>
        <w:t xml:space="preserve">, </w:t>
      </w:r>
      <w:proofErr w:type="spellStart"/>
      <w:r>
        <w:t>whānau</w:t>
      </w:r>
      <w:proofErr w:type="spellEnd"/>
      <w:r>
        <w:t xml:space="preserve"> and Māori] Communities can exercise their authority to improve their health and wellbeing.</w:t>
      </w:r>
    </w:p>
    <w:p w14:paraId="1972CEBA" w14:textId="77777777" w:rsidR="007B3AC0" w:rsidRDefault="007B3AC0" w:rsidP="00BF364A">
      <w:pPr>
        <w:pStyle w:val="Bullet"/>
      </w:pPr>
      <w:r>
        <w:t>The health and disability system and wider system to prevent and minimise gambling harm is fair and sustainable and delivers more equitable outcomes for all.</w:t>
      </w:r>
    </w:p>
    <w:p w14:paraId="647162FA" w14:textId="77777777" w:rsidR="007B3AC0" w:rsidRDefault="007B3AC0" w:rsidP="00BF364A">
      <w:pPr>
        <w:pStyle w:val="Bullet"/>
      </w:pPr>
      <w:r>
        <w:t>The health and disability system and wider system to prevent and minimise gambling harm addresses racism and discrimination in all their forms.</w:t>
      </w:r>
    </w:p>
    <w:p w14:paraId="6CEEED81" w14:textId="77777777" w:rsidR="007B3AC0" w:rsidRDefault="007B3AC0" w:rsidP="00BF364A">
      <w:pPr>
        <w:pStyle w:val="Bullet"/>
      </w:pPr>
      <w:r>
        <w:t>The inclusion and protection of mātauranga Māori throughout the health and disability system.</w:t>
      </w:r>
    </w:p>
    <w:p w14:paraId="251A6227" w14:textId="77777777" w:rsidR="00BF364A" w:rsidRDefault="00BF364A" w:rsidP="00BF364A"/>
    <w:p w14:paraId="0034486A" w14:textId="77777777" w:rsidR="007B3AC0" w:rsidRPr="007F4B4C" w:rsidRDefault="007B3AC0" w:rsidP="00BF364A">
      <w:pPr>
        <w:pStyle w:val="Heading2"/>
      </w:pPr>
      <w:bookmarkStart w:id="18" w:name="_Toc76550155"/>
      <w:bookmarkStart w:id="19" w:name="_Toc82618414"/>
      <w:r>
        <w:t>Objectives</w:t>
      </w:r>
      <w:bookmarkEnd w:id="18"/>
      <w:r>
        <w:t xml:space="preserve"> and priority action areas</w:t>
      </w:r>
      <w:bookmarkEnd w:id="19"/>
    </w:p>
    <w:p w14:paraId="70CAC09A" w14:textId="77777777" w:rsidR="007B3AC0" w:rsidRDefault="007B3AC0" w:rsidP="00BF364A">
      <w:r>
        <w:t>We have proposed four high-level objectives that we can use to shape our approach to minimising gambling harm over the next three years. Each objective is supported by a few key priority action areas, helping us break our strategy down into more manageable and measurable tasks.</w:t>
      </w:r>
    </w:p>
    <w:p w14:paraId="2D4BD9B2" w14:textId="77777777" w:rsidR="00BF364A" w:rsidRDefault="00BF364A" w:rsidP="00BF364A"/>
    <w:p w14:paraId="51EB4C5E" w14:textId="77777777" w:rsidR="007B3AC0" w:rsidRDefault="007B3AC0" w:rsidP="00BF364A">
      <w:r>
        <w:t>The objectives are as follows.</w:t>
      </w:r>
    </w:p>
    <w:p w14:paraId="4ADD8FA9" w14:textId="77777777" w:rsidR="00BF364A" w:rsidRDefault="00BF364A" w:rsidP="00BF364A"/>
    <w:p w14:paraId="30DD143F" w14:textId="77777777" w:rsidR="007B3AC0" w:rsidRPr="00932454" w:rsidRDefault="007B3AC0" w:rsidP="00BF364A">
      <w:pPr>
        <w:pStyle w:val="Heading3"/>
      </w:pPr>
      <w:r w:rsidRPr="00932454">
        <w:t xml:space="preserve">Objective </w:t>
      </w:r>
      <w:r>
        <w:t>1</w:t>
      </w:r>
      <w:r w:rsidRPr="00932454">
        <w:t>: Create a full sp</w:t>
      </w:r>
      <w:r w:rsidR="00F27E89">
        <w:t>ectrum of services and supports</w:t>
      </w:r>
    </w:p>
    <w:p w14:paraId="2C5E842A" w14:textId="77777777" w:rsidR="007B3AC0" w:rsidRDefault="007B3AC0" w:rsidP="00F27E89">
      <w:r>
        <w:t>We need to make sure there is information and support available for everyone, no matter what their needs are. There should be a seamless approach, from the provision of broad information to the availability of targeted services.</w:t>
      </w:r>
    </w:p>
    <w:p w14:paraId="4100F97A" w14:textId="77777777" w:rsidR="00F27E89" w:rsidRDefault="00F27E89" w:rsidP="00F27E89"/>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521"/>
        <w:gridCol w:w="1559"/>
      </w:tblGrid>
      <w:tr w:rsidR="007B3AC0" w:rsidRPr="00F27E89" w14:paraId="629D0B85" w14:textId="77777777" w:rsidTr="00514734">
        <w:trPr>
          <w:cantSplit/>
        </w:trPr>
        <w:tc>
          <w:tcPr>
            <w:tcW w:w="6521" w:type="dxa"/>
            <w:tcBorders>
              <w:top w:val="nil"/>
              <w:bottom w:val="nil"/>
            </w:tcBorders>
            <w:shd w:val="clear" w:color="auto" w:fill="D9D9D9" w:themeFill="background1" w:themeFillShade="D9"/>
          </w:tcPr>
          <w:p w14:paraId="5D6F9C54" w14:textId="77777777" w:rsidR="007B3AC0" w:rsidRPr="00F27E89" w:rsidRDefault="007B3AC0" w:rsidP="00F27E89">
            <w:pPr>
              <w:pStyle w:val="TableText"/>
              <w:ind w:right="113"/>
              <w:rPr>
                <w:b/>
              </w:rPr>
            </w:pPr>
            <w:r w:rsidRPr="00F27E89">
              <w:rPr>
                <w:b/>
              </w:rPr>
              <w:t>Next steps (priority action areas)</w:t>
            </w:r>
          </w:p>
        </w:tc>
        <w:tc>
          <w:tcPr>
            <w:tcW w:w="1559" w:type="dxa"/>
            <w:tcBorders>
              <w:top w:val="nil"/>
              <w:bottom w:val="nil"/>
            </w:tcBorders>
            <w:shd w:val="clear" w:color="auto" w:fill="D9D9D9" w:themeFill="background1" w:themeFillShade="D9"/>
          </w:tcPr>
          <w:p w14:paraId="1DCD28A5" w14:textId="77777777" w:rsidR="007B3AC0" w:rsidRPr="00F27E89" w:rsidRDefault="007B3AC0" w:rsidP="00F27E89">
            <w:pPr>
              <w:pStyle w:val="TableText"/>
              <w:rPr>
                <w:b/>
              </w:rPr>
            </w:pPr>
            <w:r w:rsidRPr="00F27E89">
              <w:rPr>
                <w:b/>
              </w:rPr>
              <w:t>Responsibility</w:t>
            </w:r>
          </w:p>
        </w:tc>
      </w:tr>
      <w:tr w:rsidR="007B3AC0" w14:paraId="7B1B0A81" w14:textId="77777777" w:rsidTr="00514734">
        <w:trPr>
          <w:cantSplit/>
        </w:trPr>
        <w:tc>
          <w:tcPr>
            <w:tcW w:w="6521" w:type="dxa"/>
            <w:tcBorders>
              <w:top w:val="nil"/>
            </w:tcBorders>
          </w:tcPr>
          <w:p w14:paraId="3DCFD564" w14:textId="77777777" w:rsidR="007B3AC0" w:rsidRDefault="007B3AC0" w:rsidP="00F27E89">
            <w:pPr>
              <w:pStyle w:val="TableText"/>
              <w:ind w:right="113"/>
            </w:pPr>
            <w:r w:rsidRPr="0003777A">
              <w:t>Identify barriers to accessing gambling harm minimisation services and supports (including identifying gaps)</w:t>
            </w:r>
          </w:p>
        </w:tc>
        <w:tc>
          <w:tcPr>
            <w:tcW w:w="1559" w:type="dxa"/>
            <w:tcBorders>
              <w:top w:val="nil"/>
            </w:tcBorders>
          </w:tcPr>
          <w:p w14:paraId="693A42A1" w14:textId="77777777" w:rsidR="007B3AC0" w:rsidRDefault="007B3AC0" w:rsidP="00F27E89">
            <w:pPr>
              <w:pStyle w:val="TableText"/>
            </w:pPr>
            <w:r>
              <w:t>Ministry of Health</w:t>
            </w:r>
          </w:p>
        </w:tc>
      </w:tr>
      <w:tr w:rsidR="007B3AC0" w14:paraId="6E141D00" w14:textId="77777777" w:rsidTr="00514734">
        <w:trPr>
          <w:cantSplit/>
        </w:trPr>
        <w:tc>
          <w:tcPr>
            <w:tcW w:w="6521" w:type="dxa"/>
          </w:tcPr>
          <w:p w14:paraId="576EE5E8" w14:textId="77777777" w:rsidR="007B3AC0" w:rsidRDefault="007B3AC0" w:rsidP="00F27E89">
            <w:pPr>
              <w:pStyle w:val="TableText"/>
              <w:ind w:right="113"/>
            </w:pPr>
            <w:r w:rsidRPr="0003777A">
              <w:t>Design and deliver quality gambling harm min</w:t>
            </w:r>
            <w:r w:rsidR="00F27E89">
              <w:t>imisation services and supports</w:t>
            </w:r>
          </w:p>
        </w:tc>
        <w:tc>
          <w:tcPr>
            <w:tcW w:w="1559" w:type="dxa"/>
          </w:tcPr>
          <w:p w14:paraId="5476D69D" w14:textId="77777777" w:rsidR="007B3AC0" w:rsidRDefault="007B3AC0" w:rsidP="00F27E89">
            <w:pPr>
              <w:pStyle w:val="TableText"/>
            </w:pPr>
            <w:r>
              <w:t>Ministry of Health</w:t>
            </w:r>
          </w:p>
        </w:tc>
      </w:tr>
      <w:tr w:rsidR="007B3AC0" w14:paraId="54DFE0C7" w14:textId="77777777" w:rsidTr="00514734">
        <w:trPr>
          <w:cantSplit/>
        </w:trPr>
        <w:tc>
          <w:tcPr>
            <w:tcW w:w="6521" w:type="dxa"/>
          </w:tcPr>
          <w:p w14:paraId="14A96C48" w14:textId="77777777" w:rsidR="007B3AC0" w:rsidRDefault="007B3AC0" w:rsidP="00F27E89">
            <w:pPr>
              <w:pStyle w:val="TableText"/>
              <w:ind w:right="113"/>
            </w:pPr>
            <w:r w:rsidRPr="0003777A">
              <w:t xml:space="preserve">Develop </w:t>
            </w:r>
            <w:r w:rsidR="00514734">
              <w:t>a skilled and enabled workforce</w:t>
            </w:r>
          </w:p>
        </w:tc>
        <w:tc>
          <w:tcPr>
            <w:tcW w:w="1559" w:type="dxa"/>
          </w:tcPr>
          <w:p w14:paraId="42ABD38F" w14:textId="77777777" w:rsidR="007B3AC0" w:rsidRDefault="007B3AC0" w:rsidP="00F27E89">
            <w:pPr>
              <w:pStyle w:val="TableText"/>
            </w:pPr>
            <w:r>
              <w:t>Ministry of Health</w:t>
            </w:r>
          </w:p>
        </w:tc>
      </w:tr>
    </w:tbl>
    <w:p w14:paraId="2BBF053D" w14:textId="77777777" w:rsidR="007B3AC0" w:rsidRPr="00EB3F8E" w:rsidRDefault="007B3AC0" w:rsidP="00F27E89"/>
    <w:p w14:paraId="5A38D1EC" w14:textId="77777777" w:rsidR="007B3AC0" w:rsidRPr="00932454" w:rsidRDefault="007B3AC0" w:rsidP="00BF364A">
      <w:pPr>
        <w:pStyle w:val="Heading3"/>
      </w:pPr>
      <w:r w:rsidRPr="00932454">
        <w:lastRenderedPageBreak/>
        <w:t xml:space="preserve">Objective </w:t>
      </w:r>
      <w:r>
        <w:t>2</w:t>
      </w:r>
      <w:r w:rsidRPr="00932454">
        <w:t>: Shift cultural and social norms</w:t>
      </w:r>
    </w:p>
    <w:p w14:paraId="50DA1FA1" w14:textId="77777777" w:rsidR="007B3AC0" w:rsidRDefault="007B3AC0" w:rsidP="00514734">
      <w:r>
        <w:t xml:space="preserve">We need to increase public awareness of the nature of harmful </w:t>
      </w:r>
      <w:r w:rsidRPr="00233C97">
        <w:t xml:space="preserve">gambling and </w:t>
      </w:r>
      <w:r>
        <w:t xml:space="preserve">knowledge of </w:t>
      </w:r>
      <w:r w:rsidRPr="00233C97">
        <w:t>how to provide</w:t>
      </w:r>
      <w:r>
        <w:t xml:space="preserve"> support for those who need it, including by making it acceptable for people experiencing gambling harm to reach out for assistance without shame or embarrassment (de-stigmatisation)</w:t>
      </w:r>
      <w:r w:rsidR="00514734">
        <w:t>.</w:t>
      </w:r>
    </w:p>
    <w:p w14:paraId="5AFC359C" w14:textId="77777777" w:rsidR="00514734" w:rsidRDefault="00514734" w:rsidP="00514734"/>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2551"/>
      </w:tblGrid>
      <w:tr w:rsidR="00514734" w:rsidRPr="00514734" w14:paraId="558BC95B" w14:textId="77777777" w:rsidTr="00514734">
        <w:trPr>
          <w:cantSplit/>
        </w:trPr>
        <w:tc>
          <w:tcPr>
            <w:tcW w:w="5529" w:type="dxa"/>
            <w:tcBorders>
              <w:top w:val="nil"/>
              <w:bottom w:val="nil"/>
            </w:tcBorders>
            <w:shd w:val="clear" w:color="auto" w:fill="D9D9D9" w:themeFill="background1" w:themeFillShade="D9"/>
          </w:tcPr>
          <w:p w14:paraId="18A17E83" w14:textId="77777777" w:rsidR="00514734" w:rsidRPr="00514734" w:rsidRDefault="00514734" w:rsidP="00C0377D">
            <w:pPr>
              <w:pStyle w:val="TableText"/>
              <w:rPr>
                <w:b/>
              </w:rPr>
            </w:pPr>
            <w:r w:rsidRPr="00514734">
              <w:rPr>
                <w:b/>
              </w:rPr>
              <w:t>Next steps (priority action areas)</w:t>
            </w:r>
          </w:p>
        </w:tc>
        <w:tc>
          <w:tcPr>
            <w:tcW w:w="2551" w:type="dxa"/>
            <w:tcBorders>
              <w:top w:val="nil"/>
              <w:bottom w:val="nil"/>
            </w:tcBorders>
            <w:shd w:val="clear" w:color="auto" w:fill="D9D9D9" w:themeFill="background1" w:themeFillShade="D9"/>
          </w:tcPr>
          <w:p w14:paraId="067F1D18" w14:textId="77777777" w:rsidR="00514734" w:rsidRPr="00514734" w:rsidRDefault="00514734" w:rsidP="00514734">
            <w:pPr>
              <w:pStyle w:val="TableText"/>
              <w:rPr>
                <w:b/>
              </w:rPr>
            </w:pPr>
            <w:r w:rsidRPr="00514734">
              <w:rPr>
                <w:b/>
              </w:rPr>
              <w:t>Responsible</w:t>
            </w:r>
            <w:r>
              <w:rPr>
                <w:b/>
              </w:rPr>
              <w:br/>
            </w:r>
            <w:r w:rsidRPr="00514734">
              <w:rPr>
                <w:b/>
              </w:rPr>
              <w:t>(who is leading this)</w:t>
            </w:r>
          </w:p>
        </w:tc>
      </w:tr>
      <w:tr w:rsidR="00514734" w14:paraId="4793F59D" w14:textId="77777777" w:rsidTr="00514734">
        <w:trPr>
          <w:cantSplit/>
        </w:trPr>
        <w:tc>
          <w:tcPr>
            <w:tcW w:w="5529" w:type="dxa"/>
            <w:tcBorders>
              <w:top w:val="nil"/>
            </w:tcBorders>
          </w:tcPr>
          <w:p w14:paraId="6EB88544" w14:textId="77777777" w:rsidR="00514734" w:rsidRDefault="00514734" w:rsidP="00514734">
            <w:pPr>
              <w:pStyle w:val="TableText"/>
              <w:ind w:right="113"/>
            </w:pPr>
            <w:r>
              <w:t>Make sure people have the information and support to make healthy choices about gambling for themselves and others</w:t>
            </w:r>
          </w:p>
        </w:tc>
        <w:tc>
          <w:tcPr>
            <w:tcW w:w="2551" w:type="dxa"/>
            <w:tcBorders>
              <w:top w:val="nil"/>
            </w:tcBorders>
          </w:tcPr>
          <w:p w14:paraId="37DD8068" w14:textId="77777777" w:rsidR="00514734" w:rsidRDefault="00514734" w:rsidP="00514734">
            <w:pPr>
              <w:pStyle w:val="TableText"/>
            </w:pPr>
            <w:r w:rsidRPr="008101E9">
              <w:t>Ministry of Health</w:t>
            </w:r>
            <w:r>
              <w:t xml:space="preserve"> and </w:t>
            </w:r>
            <w:proofErr w:type="spellStart"/>
            <w:r>
              <w:t>Te</w:t>
            </w:r>
            <w:proofErr w:type="spellEnd"/>
            <w:r>
              <w:t> </w:t>
            </w:r>
            <w:proofErr w:type="spellStart"/>
            <w:r>
              <w:t>Hiringa</w:t>
            </w:r>
            <w:proofErr w:type="spellEnd"/>
            <w:r>
              <w:t xml:space="preserve"> </w:t>
            </w:r>
            <w:r w:rsidRPr="008101E9">
              <w:t>Hauora</w:t>
            </w:r>
          </w:p>
        </w:tc>
      </w:tr>
      <w:tr w:rsidR="00514734" w14:paraId="4B2B31ED" w14:textId="77777777" w:rsidTr="00514734">
        <w:trPr>
          <w:cantSplit/>
        </w:trPr>
        <w:tc>
          <w:tcPr>
            <w:tcW w:w="5529" w:type="dxa"/>
          </w:tcPr>
          <w:p w14:paraId="12426E17" w14:textId="77777777" w:rsidR="00514734" w:rsidRDefault="00514734" w:rsidP="00514734">
            <w:pPr>
              <w:pStyle w:val="TableText"/>
              <w:ind w:right="113"/>
            </w:pPr>
            <w:r>
              <w:t>Make sure there is fair and equitable participation in community decision-making</w:t>
            </w:r>
          </w:p>
        </w:tc>
        <w:tc>
          <w:tcPr>
            <w:tcW w:w="2551" w:type="dxa"/>
          </w:tcPr>
          <w:p w14:paraId="19862AF8" w14:textId="77777777" w:rsidR="00514734" w:rsidRDefault="00514734" w:rsidP="00C0377D">
            <w:pPr>
              <w:pStyle w:val="TableText"/>
            </w:pPr>
            <w:r>
              <w:t>Ministry of Health and Department of Internal Affairs</w:t>
            </w:r>
          </w:p>
        </w:tc>
      </w:tr>
      <w:tr w:rsidR="00514734" w14:paraId="040DAB22" w14:textId="77777777" w:rsidTr="00514734">
        <w:trPr>
          <w:cantSplit/>
        </w:trPr>
        <w:tc>
          <w:tcPr>
            <w:tcW w:w="5529" w:type="dxa"/>
          </w:tcPr>
          <w:p w14:paraId="53273606" w14:textId="77777777" w:rsidR="00514734" w:rsidRDefault="00514734" w:rsidP="00514734">
            <w:pPr>
              <w:pStyle w:val="TableText"/>
              <w:ind w:right="113"/>
            </w:pPr>
            <w:r>
              <w:t>Reduce the stigma attached to gambling harm that prevents people accessing services and supports</w:t>
            </w:r>
          </w:p>
        </w:tc>
        <w:tc>
          <w:tcPr>
            <w:tcW w:w="2551" w:type="dxa"/>
          </w:tcPr>
          <w:p w14:paraId="225077B9" w14:textId="77777777" w:rsidR="00514734" w:rsidRDefault="00514734" w:rsidP="00514734">
            <w:pPr>
              <w:pStyle w:val="TableText"/>
            </w:pPr>
            <w:r>
              <w:t xml:space="preserve">Ministry of Health and </w:t>
            </w:r>
            <w:proofErr w:type="spellStart"/>
            <w:r>
              <w:t>Te</w:t>
            </w:r>
            <w:proofErr w:type="spellEnd"/>
            <w:r>
              <w:t> </w:t>
            </w:r>
            <w:proofErr w:type="spellStart"/>
            <w:r>
              <w:t>Hiringa</w:t>
            </w:r>
            <w:proofErr w:type="spellEnd"/>
            <w:r>
              <w:t xml:space="preserve"> Hauora</w:t>
            </w:r>
          </w:p>
        </w:tc>
      </w:tr>
    </w:tbl>
    <w:p w14:paraId="1B6AF04D" w14:textId="77777777" w:rsidR="00514734" w:rsidRDefault="00514734" w:rsidP="00514734"/>
    <w:p w14:paraId="70916F3E" w14:textId="77777777" w:rsidR="007B3AC0" w:rsidRPr="00D540A0" w:rsidRDefault="007B3AC0" w:rsidP="00BF364A">
      <w:pPr>
        <w:pStyle w:val="Heading3"/>
      </w:pPr>
      <w:r w:rsidRPr="00932454">
        <w:t xml:space="preserve">Objective </w:t>
      </w:r>
      <w:r>
        <w:t>3</w:t>
      </w:r>
      <w:r w:rsidRPr="00932454">
        <w:t>: Strengthen leadership and accountability to achieve equity</w:t>
      </w:r>
    </w:p>
    <w:p w14:paraId="1665A359" w14:textId="77777777" w:rsidR="007B3AC0" w:rsidRDefault="007B3AC0" w:rsidP="00751EC9">
      <w:r>
        <w:t xml:space="preserve">Government agencies need to lead the way in committing to equity, by developing and maintaining strong </w:t>
      </w:r>
      <w:r w:rsidRPr="009937F5">
        <w:t>stakeholder relationships</w:t>
      </w:r>
      <w:r>
        <w:t xml:space="preserve"> and looking for ways to achieve equity though policy and regulation changes</w:t>
      </w:r>
      <w:r w:rsidRPr="002F13FB">
        <w:t>.</w:t>
      </w:r>
    </w:p>
    <w:p w14:paraId="543850B1" w14:textId="77777777" w:rsidR="00751EC9" w:rsidRDefault="00751EC9" w:rsidP="00751EC9"/>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2551"/>
      </w:tblGrid>
      <w:tr w:rsidR="00751EC9" w:rsidRPr="00751EC9" w14:paraId="47B7A2A1" w14:textId="77777777" w:rsidTr="00C0377D">
        <w:trPr>
          <w:cantSplit/>
        </w:trPr>
        <w:tc>
          <w:tcPr>
            <w:tcW w:w="5529" w:type="dxa"/>
            <w:tcBorders>
              <w:top w:val="nil"/>
              <w:bottom w:val="nil"/>
            </w:tcBorders>
            <w:shd w:val="clear" w:color="auto" w:fill="D9D9D9" w:themeFill="background1" w:themeFillShade="D9"/>
          </w:tcPr>
          <w:p w14:paraId="0F7C7B75" w14:textId="77777777" w:rsidR="00751EC9" w:rsidRPr="00751EC9" w:rsidRDefault="00751EC9" w:rsidP="00C0377D">
            <w:pPr>
              <w:pStyle w:val="TableText"/>
              <w:rPr>
                <w:b/>
              </w:rPr>
            </w:pPr>
            <w:r w:rsidRPr="00751EC9">
              <w:rPr>
                <w:b/>
              </w:rPr>
              <w:t>Next steps (priority action areas)</w:t>
            </w:r>
          </w:p>
        </w:tc>
        <w:tc>
          <w:tcPr>
            <w:tcW w:w="2551" w:type="dxa"/>
            <w:tcBorders>
              <w:top w:val="nil"/>
              <w:bottom w:val="nil"/>
            </w:tcBorders>
            <w:shd w:val="clear" w:color="auto" w:fill="D9D9D9" w:themeFill="background1" w:themeFillShade="D9"/>
          </w:tcPr>
          <w:p w14:paraId="3598F339" w14:textId="77777777" w:rsidR="00751EC9" w:rsidRPr="00751EC9" w:rsidRDefault="00751EC9" w:rsidP="00C0377D">
            <w:pPr>
              <w:pStyle w:val="TableText"/>
              <w:rPr>
                <w:b/>
              </w:rPr>
            </w:pPr>
            <w:r w:rsidRPr="00751EC9">
              <w:rPr>
                <w:b/>
              </w:rPr>
              <w:t>Responsibility</w:t>
            </w:r>
          </w:p>
        </w:tc>
      </w:tr>
      <w:tr w:rsidR="00751EC9" w14:paraId="26B3AD5B" w14:textId="77777777" w:rsidTr="00C0377D">
        <w:trPr>
          <w:cantSplit/>
        </w:trPr>
        <w:tc>
          <w:tcPr>
            <w:tcW w:w="5529" w:type="dxa"/>
            <w:tcBorders>
              <w:top w:val="nil"/>
            </w:tcBorders>
          </w:tcPr>
          <w:p w14:paraId="6AE6DAEB" w14:textId="77777777" w:rsidR="00751EC9" w:rsidRDefault="00751EC9" w:rsidP="00751EC9">
            <w:pPr>
              <w:pStyle w:val="TableText"/>
              <w:ind w:right="113"/>
            </w:pPr>
            <w:r>
              <w:t xml:space="preserve">Support healthy policy, at national, </w:t>
            </w:r>
            <w:proofErr w:type="gramStart"/>
            <w:r>
              <w:t>regional</w:t>
            </w:r>
            <w:proofErr w:type="gramEnd"/>
            <w:r>
              <w:t xml:space="preserve"> and local levels, that prevents and minimises gambling harm </w:t>
            </w:r>
          </w:p>
        </w:tc>
        <w:tc>
          <w:tcPr>
            <w:tcW w:w="2551" w:type="dxa"/>
            <w:tcBorders>
              <w:top w:val="nil"/>
            </w:tcBorders>
          </w:tcPr>
          <w:p w14:paraId="356960CF" w14:textId="77777777" w:rsidR="00751EC9" w:rsidRDefault="00751EC9" w:rsidP="00C0377D">
            <w:pPr>
              <w:pStyle w:val="TableText"/>
            </w:pPr>
            <w:r>
              <w:t>Ministry of Health and Department of Internal Affairs</w:t>
            </w:r>
          </w:p>
        </w:tc>
      </w:tr>
      <w:tr w:rsidR="00751EC9" w14:paraId="67D3D6F1" w14:textId="77777777" w:rsidTr="00C0377D">
        <w:trPr>
          <w:cantSplit/>
        </w:trPr>
        <w:tc>
          <w:tcPr>
            <w:tcW w:w="5529" w:type="dxa"/>
          </w:tcPr>
          <w:p w14:paraId="560E52D3" w14:textId="77777777" w:rsidR="00751EC9" w:rsidRDefault="00751EC9" w:rsidP="00751EC9">
            <w:pPr>
              <w:pStyle w:val="TableText"/>
              <w:ind w:right="113"/>
            </w:pPr>
            <w:r w:rsidRPr="00A46779">
              <w:t>Improve</w:t>
            </w:r>
            <w:r>
              <w:t xml:space="preserve"> the legislative and regulatory framework to reduce gambling harm</w:t>
            </w:r>
          </w:p>
        </w:tc>
        <w:tc>
          <w:tcPr>
            <w:tcW w:w="2551" w:type="dxa"/>
          </w:tcPr>
          <w:p w14:paraId="7E8C4F87" w14:textId="77777777" w:rsidR="00751EC9" w:rsidRDefault="00751EC9" w:rsidP="00C0377D">
            <w:pPr>
              <w:pStyle w:val="TableText"/>
            </w:pPr>
            <w:r>
              <w:t>Department of Internal Affairs</w:t>
            </w:r>
          </w:p>
        </w:tc>
      </w:tr>
      <w:tr w:rsidR="00751EC9" w14:paraId="3FA9ABC5" w14:textId="77777777" w:rsidTr="00C0377D">
        <w:trPr>
          <w:cantSplit/>
        </w:trPr>
        <w:tc>
          <w:tcPr>
            <w:tcW w:w="5529" w:type="dxa"/>
          </w:tcPr>
          <w:p w14:paraId="44E9C0C7" w14:textId="77777777" w:rsidR="00751EC9" w:rsidRDefault="00751EC9" w:rsidP="00751EC9">
            <w:pPr>
              <w:pStyle w:val="TableText"/>
              <w:ind w:right="113"/>
            </w:pPr>
            <w:r>
              <w:t>Make sure gambling operators meet their obligations to effectively prevent and minimise harm from gambling and support the improvement of harm minimisation practices</w:t>
            </w:r>
          </w:p>
        </w:tc>
        <w:tc>
          <w:tcPr>
            <w:tcW w:w="2551" w:type="dxa"/>
          </w:tcPr>
          <w:p w14:paraId="56957B57" w14:textId="77777777" w:rsidR="00751EC9" w:rsidRDefault="00751EC9" w:rsidP="00C0377D">
            <w:pPr>
              <w:pStyle w:val="TableText"/>
            </w:pPr>
            <w:r>
              <w:t>Department of Internal Affairs</w:t>
            </w:r>
          </w:p>
        </w:tc>
      </w:tr>
    </w:tbl>
    <w:p w14:paraId="6B2F855F" w14:textId="77777777" w:rsidR="007B3AC0" w:rsidRDefault="007B3AC0" w:rsidP="00751EC9"/>
    <w:p w14:paraId="191C816E" w14:textId="77777777" w:rsidR="007B3AC0" w:rsidRPr="00932454" w:rsidRDefault="007B3AC0" w:rsidP="0088523B">
      <w:pPr>
        <w:pStyle w:val="Heading3"/>
      </w:pPr>
      <w:r w:rsidRPr="00932454">
        <w:lastRenderedPageBreak/>
        <w:t xml:space="preserve">Objective </w:t>
      </w:r>
      <w:r>
        <w:t>4</w:t>
      </w:r>
      <w:r w:rsidRPr="00932454">
        <w:t>: Strengthen the health and health equity of Māori, Pacific</w:t>
      </w:r>
      <w:r>
        <w:t xml:space="preserve"> peoples</w:t>
      </w:r>
      <w:r w:rsidRPr="00932454">
        <w:t>, Asian</w:t>
      </w:r>
      <w:r>
        <w:t xml:space="preserve"> peoples</w:t>
      </w:r>
      <w:r w:rsidRPr="00932454">
        <w:t xml:space="preserve"> and young people/rangatahi</w:t>
      </w:r>
    </w:p>
    <w:p w14:paraId="759E0C6F" w14:textId="77777777" w:rsidR="007B3AC0" w:rsidRDefault="007B3AC0" w:rsidP="0088523B">
      <w:pPr>
        <w:keepNext/>
      </w:pPr>
      <w:r w:rsidRPr="000B454E">
        <w:t>These groups are at a greater risk of experiencing gambling harm</w:t>
      </w:r>
      <w:r>
        <w:t xml:space="preserve">; they will benefit from </w:t>
      </w:r>
      <w:r w:rsidRPr="000B454E">
        <w:t xml:space="preserve">tailored services to address inequities, which may include targeted action based on engaging with, listening </w:t>
      </w:r>
      <w:proofErr w:type="gramStart"/>
      <w:r w:rsidRPr="000B454E">
        <w:t>to</w:t>
      </w:r>
      <w:proofErr w:type="gramEnd"/>
      <w:r w:rsidRPr="000B454E">
        <w:t xml:space="preserve"> and partnering with the people most affected.</w:t>
      </w:r>
    </w:p>
    <w:p w14:paraId="4B4FF65C" w14:textId="77777777" w:rsidR="0088523B" w:rsidRDefault="0088523B" w:rsidP="0088523B">
      <w:pPr>
        <w:keepNext/>
      </w:pP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521"/>
        <w:gridCol w:w="1559"/>
      </w:tblGrid>
      <w:tr w:rsidR="0088523B" w:rsidRPr="0088523B" w14:paraId="5FEA59EA" w14:textId="77777777" w:rsidTr="0088523B">
        <w:trPr>
          <w:cantSplit/>
        </w:trPr>
        <w:tc>
          <w:tcPr>
            <w:tcW w:w="6521" w:type="dxa"/>
            <w:tcBorders>
              <w:top w:val="nil"/>
              <w:bottom w:val="nil"/>
            </w:tcBorders>
            <w:shd w:val="clear" w:color="auto" w:fill="D9D9D9" w:themeFill="background1" w:themeFillShade="D9"/>
          </w:tcPr>
          <w:p w14:paraId="55AB00F6" w14:textId="77777777" w:rsidR="0088523B" w:rsidRPr="0088523B" w:rsidRDefault="0088523B" w:rsidP="0088523B">
            <w:pPr>
              <w:pStyle w:val="TableText"/>
              <w:keepNext/>
              <w:ind w:right="113"/>
              <w:rPr>
                <w:b/>
              </w:rPr>
            </w:pPr>
            <w:r w:rsidRPr="0088523B">
              <w:rPr>
                <w:b/>
              </w:rPr>
              <w:t>Next steps (priority action areas)</w:t>
            </w:r>
          </w:p>
        </w:tc>
        <w:tc>
          <w:tcPr>
            <w:tcW w:w="1559" w:type="dxa"/>
            <w:tcBorders>
              <w:top w:val="nil"/>
              <w:bottom w:val="nil"/>
            </w:tcBorders>
            <w:shd w:val="clear" w:color="auto" w:fill="D9D9D9" w:themeFill="background1" w:themeFillShade="D9"/>
          </w:tcPr>
          <w:p w14:paraId="1C50B988" w14:textId="77777777" w:rsidR="0088523B" w:rsidRPr="0088523B" w:rsidRDefault="0088523B" w:rsidP="0088523B">
            <w:pPr>
              <w:pStyle w:val="TableText"/>
              <w:keepNext/>
              <w:rPr>
                <w:b/>
              </w:rPr>
            </w:pPr>
            <w:r w:rsidRPr="0088523B">
              <w:rPr>
                <w:b/>
              </w:rPr>
              <w:t>Responsibility</w:t>
            </w:r>
          </w:p>
        </w:tc>
      </w:tr>
      <w:tr w:rsidR="0088523B" w14:paraId="7E8A4867" w14:textId="77777777" w:rsidTr="0088523B">
        <w:trPr>
          <w:cantSplit/>
        </w:trPr>
        <w:tc>
          <w:tcPr>
            <w:tcW w:w="6521" w:type="dxa"/>
            <w:tcBorders>
              <w:top w:val="nil"/>
            </w:tcBorders>
          </w:tcPr>
          <w:p w14:paraId="3C885919" w14:textId="77777777" w:rsidR="0088523B" w:rsidRDefault="0088523B" w:rsidP="0088523B">
            <w:pPr>
              <w:pStyle w:val="TableText"/>
              <w:ind w:right="113"/>
            </w:pPr>
            <w:r>
              <w:t>Work with iwi and other Māori organisations, Pacific communities, Asian communities, young people/rangatahi and people with lived experience of gambling harm to prevent and minimise gambling harm</w:t>
            </w:r>
          </w:p>
        </w:tc>
        <w:tc>
          <w:tcPr>
            <w:tcW w:w="1559" w:type="dxa"/>
            <w:tcBorders>
              <w:top w:val="nil"/>
            </w:tcBorders>
          </w:tcPr>
          <w:p w14:paraId="55CEEDEC" w14:textId="77777777" w:rsidR="0088523B" w:rsidRDefault="0088523B" w:rsidP="00C0377D">
            <w:pPr>
              <w:pStyle w:val="TableText"/>
            </w:pPr>
            <w:r>
              <w:t>Ministry of Health</w:t>
            </w:r>
          </w:p>
        </w:tc>
      </w:tr>
      <w:tr w:rsidR="0088523B" w14:paraId="4381603E" w14:textId="77777777" w:rsidTr="0088523B">
        <w:trPr>
          <w:cantSplit/>
        </w:trPr>
        <w:tc>
          <w:tcPr>
            <w:tcW w:w="6521" w:type="dxa"/>
          </w:tcPr>
          <w:p w14:paraId="1A08972C" w14:textId="77777777" w:rsidR="0088523B" w:rsidRDefault="0088523B" w:rsidP="0088523B">
            <w:pPr>
              <w:pStyle w:val="TableText"/>
              <w:ind w:right="113"/>
            </w:pPr>
            <w:r>
              <w:t>Speed up and spread the development of kaupapa Māori and whānau-centred gambling harm prevention and minimisation services</w:t>
            </w:r>
          </w:p>
        </w:tc>
        <w:tc>
          <w:tcPr>
            <w:tcW w:w="1559" w:type="dxa"/>
          </w:tcPr>
          <w:p w14:paraId="569C4149" w14:textId="77777777" w:rsidR="0088523B" w:rsidRDefault="0088523B" w:rsidP="00C0377D">
            <w:pPr>
              <w:pStyle w:val="TableText"/>
            </w:pPr>
            <w:r>
              <w:t>Ministry of Health</w:t>
            </w:r>
          </w:p>
        </w:tc>
      </w:tr>
      <w:tr w:rsidR="0088523B" w14:paraId="07F65D23" w14:textId="77777777" w:rsidTr="0088523B">
        <w:trPr>
          <w:cantSplit/>
        </w:trPr>
        <w:tc>
          <w:tcPr>
            <w:tcW w:w="6521" w:type="dxa"/>
          </w:tcPr>
          <w:p w14:paraId="5555F261" w14:textId="77777777" w:rsidR="0088523B" w:rsidRDefault="0088523B" w:rsidP="0088523B">
            <w:pPr>
              <w:pStyle w:val="TableText"/>
              <w:ind w:right="113"/>
            </w:pPr>
            <w:r>
              <w:t>Speed up and spread the development of Pacific values-centred harm prevention and minimisation services</w:t>
            </w:r>
          </w:p>
        </w:tc>
        <w:tc>
          <w:tcPr>
            <w:tcW w:w="1559" w:type="dxa"/>
          </w:tcPr>
          <w:p w14:paraId="5D40547E" w14:textId="77777777" w:rsidR="0088523B" w:rsidRDefault="0088523B" w:rsidP="00C0377D">
            <w:pPr>
              <w:pStyle w:val="TableText"/>
            </w:pPr>
            <w:r>
              <w:t>Ministry of Health</w:t>
            </w:r>
          </w:p>
        </w:tc>
      </w:tr>
    </w:tbl>
    <w:p w14:paraId="115FC8C1" w14:textId="77777777" w:rsidR="00BF364A" w:rsidRDefault="00BF364A" w:rsidP="0088523B"/>
    <w:p w14:paraId="22A56111" w14:textId="77777777" w:rsidR="007B3AC0" w:rsidRDefault="007B3AC0" w:rsidP="00BF364A">
      <w:pPr>
        <w:pStyle w:val="Heading2"/>
      </w:pPr>
      <w:bookmarkStart w:id="20" w:name="_Toc82618415"/>
      <w:r>
        <w:t>Building on the previous strategy</w:t>
      </w:r>
      <w:bookmarkEnd w:id="20"/>
    </w:p>
    <w:p w14:paraId="3D89918F" w14:textId="77777777" w:rsidR="007B3AC0" w:rsidRDefault="007B3AC0" w:rsidP="00BF364A">
      <w:r>
        <w:t xml:space="preserve">We have updated the new strategy to include the changes we have made and lessons we have learnt over the last three years, but we have built it on the foundations of the previous strategies, because preventing and minimising gambling harm is a long-term activity that requires continuity in terms of services and support. You can have a look at the previous strategy </w:t>
      </w:r>
      <w:hyperlink r:id="rId29" w:history="1">
        <w:r w:rsidRPr="00DB5EAE">
          <w:rPr>
            <w:rStyle w:val="Hyperlink"/>
          </w:rPr>
          <w:t>on our website</w:t>
        </w:r>
      </w:hyperlink>
      <w:r>
        <w:t>.</w:t>
      </w:r>
    </w:p>
    <w:p w14:paraId="61A1E042" w14:textId="77777777" w:rsidR="00BF364A" w:rsidRDefault="00BF364A" w:rsidP="00BF364A"/>
    <w:p w14:paraId="1A251E7E" w14:textId="77777777" w:rsidR="007B3AC0" w:rsidRPr="00FA1985" w:rsidRDefault="007B3AC0" w:rsidP="00BF364A">
      <w:pPr>
        <w:pStyle w:val="Heading2"/>
      </w:pPr>
      <w:bookmarkStart w:id="21" w:name="_Toc76550158"/>
      <w:bookmarkStart w:id="22" w:name="_Toc74309759"/>
      <w:bookmarkStart w:id="23" w:name="_Toc82618416"/>
      <w:r w:rsidRPr="00FA1985">
        <w:t>Priority populations</w:t>
      </w:r>
      <w:bookmarkEnd w:id="21"/>
      <w:bookmarkEnd w:id="23"/>
    </w:p>
    <w:p w14:paraId="1D0F8B70" w14:textId="77777777" w:rsidR="007B3AC0" w:rsidRDefault="007B3AC0" w:rsidP="00BF364A">
      <w:r w:rsidRPr="00FA1985">
        <w:t xml:space="preserve">Based on </w:t>
      </w:r>
      <w:r>
        <w:t>our</w:t>
      </w:r>
      <w:r w:rsidRPr="00FA1985">
        <w:t xml:space="preserve"> research and evidence</w:t>
      </w:r>
      <w:r>
        <w:t>,</w:t>
      </w:r>
      <w:r w:rsidRPr="00FA1985">
        <w:t xml:space="preserve"> </w:t>
      </w:r>
      <w:r>
        <w:t xml:space="preserve">we have determined that </w:t>
      </w:r>
      <w:r w:rsidRPr="00FA1985">
        <w:t xml:space="preserve">the priority populations for this </w:t>
      </w:r>
      <w:r>
        <w:t>strategy</w:t>
      </w:r>
      <w:r w:rsidRPr="00FA1985">
        <w:t xml:space="preserve"> are M</w:t>
      </w:r>
      <w:r w:rsidRPr="00FA1985">
        <w:rPr>
          <w:rFonts w:cstheme="minorHAnsi"/>
        </w:rPr>
        <w:t>ā</w:t>
      </w:r>
      <w:r w:rsidRPr="00FA1985">
        <w:t>ori, Pacific</w:t>
      </w:r>
      <w:r>
        <w:t xml:space="preserve"> people</w:t>
      </w:r>
      <w:r w:rsidRPr="00FA1985">
        <w:t>, Asian</w:t>
      </w:r>
      <w:r>
        <w:t xml:space="preserve"> people</w:t>
      </w:r>
      <w:r w:rsidRPr="00FA1985">
        <w:t xml:space="preserve">, and young people/rangatahi. </w:t>
      </w:r>
      <w:r>
        <w:t>These are the groups who are most at risk or experiencing the greatest levels of gambling harm. We will target our actions to ensure we engage with, listen to and partner with these groups in particular.</w:t>
      </w:r>
    </w:p>
    <w:p w14:paraId="7864FBFC" w14:textId="77777777" w:rsidR="00BF364A" w:rsidRPr="00FA1985" w:rsidRDefault="00BF364A" w:rsidP="00BF364A"/>
    <w:p w14:paraId="5523EA82" w14:textId="77777777" w:rsidR="007B3AC0" w:rsidRPr="007F4B4C" w:rsidRDefault="007B3AC0" w:rsidP="00BF364A">
      <w:pPr>
        <w:pStyle w:val="Heading2"/>
      </w:pPr>
      <w:bookmarkStart w:id="24" w:name="_Toc82618417"/>
      <w:bookmarkEnd w:id="22"/>
      <w:r>
        <w:lastRenderedPageBreak/>
        <w:t>What we need to change</w:t>
      </w:r>
      <w:bookmarkEnd w:id="24"/>
    </w:p>
    <w:p w14:paraId="5DE84FB9" w14:textId="77777777" w:rsidR="007B3AC0" w:rsidRDefault="007B3AC0" w:rsidP="00610AA3">
      <w:pPr>
        <w:keepNext/>
      </w:pPr>
      <w:r>
        <w:t>If our work is going to be driven by the principles, focus areas and action areas of the new strategy, we will need to ensure:</w:t>
      </w:r>
    </w:p>
    <w:p w14:paraId="34474586" w14:textId="77777777" w:rsidR="007B3AC0" w:rsidRDefault="007B3AC0" w:rsidP="00610AA3">
      <w:pPr>
        <w:pStyle w:val="Bullet"/>
        <w:keepNext/>
      </w:pPr>
      <w:r>
        <w:t>a s</w:t>
      </w:r>
      <w:r w:rsidRPr="00163202">
        <w:t>tronger focus on</w:t>
      </w:r>
      <w:r>
        <w:t xml:space="preserve"> supporting people from the priority populations to lead and design gambling harm prevention requirements, in collaboratio</w:t>
      </w:r>
      <w:r w:rsidR="00BF364A">
        <w:t>n</w:t>
      </w:r>
    </w:p>
    <w:p w14:paraId="2D42ECF0" w14:textId="77777777" w:rsidR="007B3AC0" w:rsidRPr="001F52DF" w:rsidRDefault="007B3AC0" w:rsidP="00610AA3">
      <w:pPr>
        <w:pStyle w:val="Bullet"/>
        <w:keepNext/>
      </w:pPr>
      <w:r>
        <w:t>greater use of evidence to help us target investments to address inequities</w:t>
      </w:r>
    </w:p>
    <w:p w14:paraId="7B88830F" w14:textId="77777777" w:rsidR="007B3AC0" w:rsidRPr="002A381D" w:rsidRDefault="007B3AC0" w:rsidP="00BF364A">
      <w:pPr>
        <w:pStyle w:val="Bullet"/>
      </w:pPr>
      <w:r>
        <w:t>a clear focus on reducing the stigma attached to gambling and gambling harm, through health promotion campaigns designed with people from priority populations</w:t>
      </w:r>
    </w:p>
    <w:p w14:paraId="3F18C86A" w14:textId="77777777" w:rsidR="007B3AC0" w:rsidRPr="00BD320C" w:rsidRDefault="007B3AC0" w:rsidP="00BF364A">
      <w:pPr>
        <w:pStyle w:val="Bullet"/>
      </w:pPr>
      <w:r>
        <w:t>development of opportunities for local co-design of services and supports, involving sharing and expanding on successes and</w:t>
      </w:r>
      <w:r w:rsidR="00BF364A">
        <w:t xml:space="preserve"> innovations</w:t>
      </w:r>
    </w:p>
    <w:p w14:paraId="34CD6EFD" w14:textId="77777777" w:rsidR="007B3AC0" w:rsidRDefault="007B3AC0" w:rsidP="00BF364A">
      <w:pPr>
        <w:pStyle w:val="Bullet"/>
      </w:pPr>
      <w:r>
        <w:t>an i</w:t>
      </w:r>
      <w:r w:rsidRPr="00BD320C">
        <w:t xml:space="preserve">ncreased </w:t>
      </w:r>
      <w:r>
        <w:t xml:space="preserve">focus on creating a skilled, culturally appropriate </w:t>
      </w:r>
      <w:r w:rsidRPr="00BD320C">
        <w:t>workforce</w:t>
      </w:r>
      <w:r>
        <w:t>, including by supporting more people with lived experience and Māori, Pacific, Asian and young people/rangatahi to join the workforce</w:t>
      </w:r>
    </w:p>
    <w:p w14:paraId="4827A9A4" w14:textId="77777777" w:rsidR="007B3AC0" w:rsidRDefault="007B3AC0" w:rsidP="00BF364A">
      <w:pPr>
        <w:pStyle w:val="Bullet"/>
      </w:pPr>
      <w:r>
        <w:t xml:space="preserve">sharing of information and evidence to make sure our decisions are sound, and that </w:t>
      </w:r>
      <w:r w:rsidRPr="009279AA">
        <w:t>people have the</w:t>
      </w:r>
      <w:r>
        <w:t xml:space="preserve"> appropriate</w:t>
      </w:r>
      <w:r w:rsidRPr="009279AA">
        <w:t xml:space="preserve"> information and support to make healthy choices a</w:t>
      </w:r>
      <w:r>
        <w:t>bout</w:t>
      </w:r>
      <w:r w:rsidRPr="009279AA">
        <w:t xml:space="preserve"> gambling</w:t>
      </w:r>
      <w:r>
        <w:t>.</w:t>
      </w:r>
    </w:p>
    <w:p w14:paraId="34A3C83A" w14:textId="77777777" w:rsidR="00BF364A" w:rsidRDefault="00BF364A" w:rsidP="00BF364A"/>
    <w:p w14:paraId="0A453623" w14:textId="77777777" w:rsidR="007B3AC0" w:rsidRPr="000251AA" w:rsidRDefault="007B3AC0" w:rsidP="00BF364A">
      <w:pPr>
        <w:pStyle w:val="Heading2"/>
      </w:pPr>
      <w:bookmarkStart w:id="25" w:name="_Toc74309761"/>
      <w:bookmarkStart w:id="26" w:name="_Toc76550160"/>
      <w:bookmarkStart w:id="27" w:name="_Toc82618418"/>
      <w:r w:rsidRPr="000251AA">
        <w:t>How we will measure progress</w:t>
      </w:r>
      <w:bookmarkEnd w:id="25"/>
      <w:bookmarkEnd w:id="26"/>
      <w:bookmarkEnd w:id="27"/>
    </w:p>
    <w:p w14:paraId="1C3A80C2" w14:textId="77777777" w:rsidR="007B3AC0" w:rsidRDefault="007B3AC0" w:rsidP="00BF364A">
      <w:r w:rsidRPr="00CF49C5">
        <w:t>We will know if we have made a difference by</w:t>
      </w:r>
      <w:r>
        <w:t>:</w:t>
      </w:r>
    </w:p>
    <w:p w14:paraId="0B6A541E" w14:textId="77777777" w:rsidR="007B3AC0" w:rsidRDefault="007B3AC0" w:rsidP="00BF364A">
      <w:pPr>
        <w:pStyle w:val="Bullet"/>
      </w:pPr>
      <w:r w:rsidRPr="006853C0">
        <w:t xml:space="preserve">listening to what our communities, </w:t>
      </w:r>
      <w:r>
        <w:t xml:space="preserve">our </w:t>
      </w:r>
      <w:r w:rsidRPr="006853C0">
        <w:t xml:space="preserve">service providers and </w:t>
      </w:r>
      <w:r>
        <w:t xml:space="preserve">our </w:t>
      </w:r>
      <w:r w:rsidRPr="006853C0">
        <w:t>expert and lived experience advisory groups</w:t>
      </w:r>
      <w:r>
        <w:t xml:space="preserve"> tell us</w:t>
      </w:r>
    </w:p>
    <w:p w14:paraId="0929BAE0" w14:textId="77777777" w:rsidR="007B3AC0" w:rsidRPr="006853C0" w:rsidRDefault="007B3AC0" w:rsidP="00BF364A">
      <w:pPr>
        <w:pStyle w:val="Bullet"/>
      </w:pPr>
      <w:r w:rsidRPr="006853C0">
        <w:t>analysing</w:t>
      </w:r>
      <w:r>
        <w:t xml:space="preserve"> research, </w:t>
      </w:r>
      <w:proofErr w:type="gramStart"/>
      <w:r>
        <w:t>evaluations</w:t>
      </w:r>
      <w:proofErr w:type="gramEnd"/>
      <w:r>
        <w:t xml:space="preserve"> and </w:t>
      </w:r>
      <w:r w:rsidRPr="006853C0">
        <w:t>service data</w:t>
      </w:r>
      <w:r>
        <w:t>.</w:t>
      </w:r>
    </w:p>
    <w:p w14:paraId="20F2CACA" w14:textId="77777777" w:rsidR="00BF364A" w:rsidRDefault="00BF364A" w:rsidP="00BF364A"/>
    <w:p w14:paraId="1D5A6FB1" w14:textId="77777777" w:rsidR="007B3AC0" w:rsidRPr="000251AA" w:rsidRDefault="007B3AC0" w:rsidP="00BF364A">
      <w:r w:rsidRPr="000251AA">
        <w:t xml:space="preserve">We will measure and report on progress </w:t>
      </w:r>
      <w:r>
        <w:t>by</w:t>
      </w:r>
      <w:r w:rsidRPr="000251AA">
        <w:t>:</w:t>
      </w:r>
    </w:p>
    <w:p w14:paraId="317B97A4" w14:textId="77777777" w:rsidR="007B3AC0" w:rsidRPr="00BF364A" w:rsidRDefault="007B3AC0" w:rsidP="00BF364A">
      <w:pPr>
        <w:pStyle w:val="Bullet"/>
      </w:pPr>
      <w:r w:rsidRPr="0003439F">
        <w:t xml:space="preserve">publishing data, </w:t>
      </w:r>
      <w:proofErr w:type="gramStart"/>
      <w:r w:rsidRPr="0003439F">
        <w:t>evidence</w:t>
      </w:r>
      <w:proofErr w:type="gramEnd"/>
      <w:r w:rsidRPr="0003439F">
        <w:t xml:space="preserve"> and research, including </w:t>
      </w:r>
      <w:r>
        <w:t xml:space="preserve">accessible, </w:t>
      </w:r>
      <w:r w:rsidRPr="0003439F">
        <w:t>clear summaries of key findings</w:t>
      </w:r>
      <w:r>
        <w:t xml:space="preserve"> (current research and evaluation reports can be found on </w:t>
      </w:r>
      <w:hyperlink r:id="rId30" w:history="1">
        <w:r w:rsidRPr="000E20D2">
          <w:rPr>
            <w:rStyle w:val="Hyperlink"/>
          </w:rPr>
          <w:t>the Ministry website</w:t>
        </w:r>
      </w:hyperlink>
      <w:r w:rsidRPr="00BF364A">
        <w:t>)</w:t>
      </w:r>
    </w:p>
    <w:p w14:paraId="6D754D36" w14:textId="77777777" w:rsidR="007B3AC0" w:rsidRDefault="007B3AC0" w:rsidP="00BF364A">
      <w:pPr>
        <w:pStyle w:val="Bullet"/>
      </w:pPr>
      <w:r w:rsidRPr="000251AA">
        <w:t xml:space="preserve">commissioning and publishing a </w:t>
      </w:r>
      <w:r>
        <w:t>needs assessment</w:t>
      </w:r>
      <w:r w:rsidRPr="000251AA">
        <w:t xml:space="preserve"> every three years</w:t>
      </w:r>
      <w:r>
        <w:t xml:space="preserve"> and</w:t>
      </w:r>
      <w:r w:rsidRPr="007F69B8">
        <w:t xml:space="preserve"> review</w:t>
      </w:r>
      <w:r>
        <w:t>ing</w:t>
      </w:r>
      <w:r w:rsidRPr="007F69B8">
        <w:t xml:space="preserve"> the impact of the changes </w:t>
      </w:r>
      <w:r>
        <w:t>adopted in the new strategy</w:t>
      </w:r>
    </w:p>
    <w:p w14:paraId="481FFA44" w14:textId="77777777" w:rsidR="007B3AC0" w:rsidRDefault="007B3AC0" w:rsidP="00BF364A">
      <w:pPr>
        <w:pStyle w:val="Bullet"/>
      </w:pPr>
      <w:r>
        <w:t xml:space="preserve">potentially developing a </w:t>
      </w:r>
      <w:r w:rsidRPr="000251AA">
        <w:t>set of service</w:t>
      </w:r>
      <w:r>
        <w:t>-</w:t>
      </w:r>
      <w:r w:rsidRPr="000251AA">
        <w:t xml:space="preserve"> and system-leve</w:t>
      </w:r>
      <w:r>
        <w:t>l</w:t>
      </w:r>
      <w:r w:rsidRPr="000251AA">
        <w:t xml:space="preserve"> indicators for gambling harm</w:t>
      </w:r>
      <w:bookmarkStart w:id="28" w:name="_Toc76550161"/>
      <w:r>
        <w:t>.</w:t>
      </w:r>
    </w:p>
    <w:p w14:paraId="0DD0E10B" w14:textId="77777777" w:rsidR="00BF364A" w:rsidRDefault="00BF364A" w:rsidP="00BF364A"/>
    <w:p w14:paraId="21560A69" w14:textId="77777777" w:rsidR="007B3AC0" w:rsidRPr="000251AA" w:rsidRDefault="007B3AC0" w:rsidP="00BF364A">
      <w:pPr>
        <w:pStyle w:val="Heading2"/>
      </w:pPr>
      <w:bookmarkStart w:id="29" w:name="_Toc82618419"/>
      <w:r w:rsidRPr="000251AA">
        <w:lastRenderedPageBreak/>
        <w:t>Questions for you</w:t>
      </w:r>
      <w:bookmarkEnd w:id="28"/>
      <w:bookmarkEnd w:id="29"/>
    </w:p>
    <w:p w14:paraId="7CDA2672" w14:textId="77777777" w:rsidR="007B3AC0" w:rsidRDefault="007B3AC0" w:rsidP="00610AA3">
      <w:pPr>
        <w:pStyle w:val="Number"/>
        <w:keepNext/>
      </w:pPr>
      <w:r>
        <w:t xml:space="preserve">Do you agree with the proposed strategic goal, </w:t>
      </w:r>
      <w:proofErr w:type="gramStart"/>
      <w:r>
        <w:t>objective</w:t>
      </w:r>
      <w:proofErr w:type="gramEnd"/>
      <w:r>
        <w:t xml:space="preserve"> and ac</w:t>
      </w:r>
      <w:r w:rsidR="00BF364A">
        <w:t>tion areas?</w:t>
      </w:r>
    </w:p>
    <w:p w14:paraId="5801EE7B" w14:textId="77777777" w:rsidR="007B3AC0" w:rsidRDefault="007B3AC0" w:rsidP="00610AA3">
      <w:pPr>
        <w:pStyle w:val="Number"/>
        <w:keepNext/>
      </w:pPr>
      <w:r>
        <w:t>Does the draft strategic plan adequately reflect changes in the gambling environment?</w:t>
      </w:r>
    </w:p>
    <w:p w14:paraId="5D26C351" w14:textId="77777777" w:rsidR="007B3AC0" w:rsidRDefault="007B3AC0" w:rsidP="00BF364A">
      <w:pPr>
        <w:pStyle w:val="Number"/>
      </w:pPr>
      <w:r>
        <w:t>Do you have any comments to make on the priority populations including how we will address inequities?</w:t>
      </w:r>
    </w:p>
    <w:p w14:paraId="331FE413" w14:textId="77777777" w:rsidR="007B3AC0" w:rsidRDefault="007B3AC0" w:rsidP="00BF364A">
      <w:pPr>
        <w:pStyle w:val="Number"/>
      </w:pPr>
      <w:r>
        <w:t>Do you have any comment to make on the matters covered under ‘what we need to change’?</w:t>
      </w:r>
    </w:p>
    <w:p w14:paraId="697D8B16" w14:textId="77777777" w:rsidR="007B3AC0" w:rsidRPr="0063688F" w:rsidRDefault="007B3AC0" w:rsidP="00BF364A"/>
    <w:p w14:paraId="104DB133" w14:textId="77777777" w:rsidR="007B3AC0" w:rsidRPr="0003777A" w:rsidRDefault="007B3AC0" w:rsidP="008D6DB6">
      <w:pPr>
        <w:pStyle w:val="Heading1"/>
      </w:pPr>
      <w:bookmarkStart w:id="30" w:name="_Toc71102155"/>
      <w:bookmarkStart w:id="31" w:name="_Toc76550162"/>
      <w:bookmarkStart w:id="32" w:name="_Toc61962041"/>
      <w:bookmarkStart w:id="33" w:name="_Toc71549980"/>
      <w:bookmarkStart w:id="34" w:name="_Toc76550139"/>
      <w:bookmarkStart w:id="35" w:name="_Toc82618420"/>
      <w:r w:rsidRPr="00D70A45">
        <w:lastRenderedPageBreak/>
        <w:t>Draft Service Plan</w:t>
      </w:r>
      <w:bookmarkEnd w:id="30"/>
      <w:bookmarkEnd w:id="31"/>
      <w:r>
        <w:t xml:space="preserve"> </w:t>
      </w:r>
      <w:r w:rsidRPr="00D70A45">
        <w:t>2022/23 to 2024/25</w:t>
      </w:r>
      <w:bookmarkEnd w:id="35"/>
    </w:p>
    <w:p w14:paraId="0F939BB7" w14:textId="77777777" w:rsidR="007B3AC0" w:rsidRDefault="007B3AC0" w:rsidP="008D6DB6">
      <w:bookmarkStart w:id="36" w:name="_Toc71102156"/>
      <w:bookmarkStart w:id="37" w:name="_Toc76550163"/>
      <w:r>
        <w:t>When reading through this section, please keep in mind these key questions.</w:t>
      </w:r>
    </w:p>
    <w:p w14:paraId="2CC97913" w14:textId="77777777" w:rsidR="008D6DB6" w:rsidRDefault="008D6DB6" w:rsidP="008D6DB6"/>
    <w:p w14:paraId="48368D37" w14:textId="77777777" w:rsidR="007B3AC0" w:rsidRDefault="007B3AC0" w:rsidP="008D6DB6">
      <w:pPr>
        <w:pStyle w:val="Heading2"/>
      </w:pPr>
      <w:bookmarkStart w:id="38" w:name="_Toc82618421"/>
      <w:r>
        <w:t>Questions for you</w:t>
      </w:r>
      <w:bookmarkEnd w:id="38"/>
    </w:p>
    <w:p w14:paraId="6FD46379" w14:textId="77777777" w:rsidR="007B3AC0" w:rsidRDefault="007B3AC0" w:rsidP="008D6DB6">
      <w:pPr>
        <w:pStyle w:val="Number"/>
        <w:numPr>
          <w:ilvl w:val="3"/>
          <w:numId w:val="48"/>
        </w:numPr>
      </w:pPr>
      <w:r>
        <w:t>Does the draft service plan adequately cover what it needs to cover, for example, does it include the right types of services and activities?</w:t>
      </w:r>
    </w:p>
    <w:p w14:paraId="41F919C2" w14:textId="77777777" w:rsidR="007B3AC0" w:rsidRDefault="007B3AC0" w:rsidP="008D6DB6">
      <w:pPr>
        <w:pStyle w:val="Number"/>
      </w:pPr>
      <w:r>
        <w:t>Do you consider the proposed funding mix for services and supports appropriate?</w:t>
      </w:r>
    </w:p>
    <w:p w14:paraId="0C5E0A9C" w14:textId="77777777" w:rsidR="007B3AC0" w:rsidRDefault="007B3AC0" w:rsidP="008D6DB6">
      <w:pPr>
        <w:pStyle w:val="Number"/>
      </w:pPr>
      <w:r>
        <w:t>Do you agree with the proposed new services (including the de-stigmatisation initiative), innovations pilots and investm</w:t>
      </w:r>
      <w:r w:rsidR="008D6DB6">
        <w:t>ents?</w:t>
      </w:r>
    </w:p>
    <w:p w14:paraId="0EC9C211" w14:textId="77777777" w:rsidR="007B3AC0" w:rsidRDefault="007B3AC0" w:rsidP="008D6DB6">
      <w:pPr>
        <w:pStyle w:val="Number"/>
      </w:pPr>
      <w:r>
        <w:t>Do you agree with the priorities for research and evaluation that have been outlined?</w:t>
      </w:r>
    </w:p>
    <w:p w14:paraId="6D26ACE9" w14:textId="77777777" w:rsidR="008D6DB6" w:rsidRDefault="008D6DB6" w:rsidP="008D6DB6"/>
    <w:p w14:paraId="7FC46352" w14:textId="77777777" w:rsidR="007B3AC0" w:rsidRPr="00483631" w:rsidRDefault="007B3AC0" w:rsidP="008D6DB6">
      <w:pPr>
        <w:pStyle w:val="Heading2"/>
      </w:pPr>
      <w:bookmarkStart w:id="39" w:name="_Toc82618422"/>
      <w:r w:rsidRPr="00483631">
        <w:t>Purpose of the service plan</w:t>
      </w:r>
      <w:bookmarkEnd w:id="36"/>
      <w:bookmarkEnd w:id="37"/>
      <w:bookmarkEnd w:id="39"/>
    </w:p>
    <w:p w14:paraId="2C234A95" w14:textId="77777777" w:rsidR="007B3AC0" w:rsidRPr="008D6DB6" w:rsidRDefault="007B3AC0" w:rsidP="008D6DB6">
      <w:bookmarkStart w:id="40" w:name="_Toc71102157"/>
      <w:r>
        <w:t xml:space="preserve">The draft strategy sets out what we want to achieve, and the draft service plan details </w:t>
      </w:r>
      <w:r w:rsidRPr="00262521">
        <w:t xml:space="preserve">priorities and budgets </w:t>
      </w:r>
      <w:r>
        <w:t>for our work towards the objectives in the strategy over the next three years.</w:t>
      </w:r>
      <w:r w:rsidRPr="001E1908">
        <w:rPr>
          <w:kern w:val="22"/>
        </w:rPr>
        <w:t xml:space="preserve"> </w:t>
      </w:r>
      <w:r>
        <w:rPr>
          <w:kern w:val="22"/>
        </w:rPr>
        <w:t xml:space="preserve">The following overview includes a summary of the activities to be funded and associated costings; more information is available in the </w:t>
      </w:r>
      <w:hyperlink r:id="rId31" w:history="1">
        <w:r w:rsidRPr="000E20D2">
          <w:rPr>
            <w:rStyle w:val="Hyperlink"/>
            <w:rFonts w:cstheme="minorHAnsi"/>
            <w:kern w:val="22"/>
          </w:rPr>
          <w:t>full consultation document</w:t>
        </w:r>
      </w:hyperlink>
      <w:r w:rsidRPr="008D6DB6">
        <w:t>.</w:t>
      </w:r>
    </w:p>
    <w:p w14:paraId="60F11177" w14:textId="77777777" w:rsidR="008D6DB6" w:rsidRDefault="008D6DB6" w:rsidP="008D6DB6">
      <w:pPr>
        <w:rPr>
          <w:kern w:val="22"/>
        </w:rPr>
      </w:pPr>
    </w:p>
    <w:p w14:paraId="1B37EC2F" w14:textId="77777777" w:rsidR="007B3AC0" w:rsidRPr="00DB612A" w:rsidRDefault="007B3AC0" w:rsidP="008D6DB6">
      <w:pPr>
        <w:pStyle w:val="Heading2"/>
      </w:pPr>
      <w:bookmarkStart w:id="41" w:name="_Toc82618423"/>
      <w:bookmarkEnd w:id="40"/>
      <w:r>
        <w:t>Draft s</w:t>
      </w:r>
      <w:r w:rsidRPr="00DB612A">
        <w:t xml:space="preserve">ervice </w:t>
      </w:r>
      <w:r>
        <w:t>p</w:t>
      </w:r>
      <w:r w:rsidRPr="00DB612A">
        <w:t>lan</w:t>
      </w:r>
      <w:bookmarkEnd w:id="32"/>
      <w:bookmarkEnd w:id="33"/>
      <w:bookmarkEnd w:id="34"/>
      <w:r>
        <w:t xml:space="preserve"> and budget</w:t>
      </w:r>
      <w:bookmarkEnd w:id="41"/>
    </w:p>
    <w:p w14:paraId="4B6C7468" w14:textId="77777777" w:rsidR="007B3AC0" w:rsidRDefault="007B3AC0" w:rsidP="008D6DB6">
      <w:pPr>
        <w:rPr>
          <w:rFonts w:cstheme="minorHAnsi"/>
        </w:rPr>
      </w:pPr>
      <w:bookmarkStart w:id="42" w:name="_Toc61962042"/>
      <w:bookmarkStart w:id="43" w:name="_Toc71549981"/>
      <w:r>
        <w:t xml:space="preserve">We have developed a new three-year service plan based on the proposed new strategy. The draft service plan outlines a package of investment costed at </w:t>
      </w:r>
      <w:r w:rsidRPr="00AE724D">
        <w:t>$6</w:t>
      </w:r>
      <w:r>
        <w:t>7</w:t>
      </w:r>
      <w:r w:rsidRPr="00AE724D">
        <w:t>.3</w:t>
      </w:r>
      <w:r>
        <w:t>74</w:t>
      </w:r>
      <w:r w:rsidR="008D6DB6">
        <w:t> </w:t>
      </w:r>
      <w:r>
        <w:t>million over the three years:</w:t>
      </w:r>
      <w:r w:rsidRPr="00AE724D">
        <w:t xml:space="preserve"> an increase of $</w:t>
      </w:r>
      <w:r>
        <w:t>7.035 million</w:t>
      </w:r>
      <w:r w:rsidRPr="00AE724D">
        <w:t xml:space="preserve"> on the current </w:t>
      </w:r>
      <w:r>
        <w:t>strategy</w:t>
      </w:r>
      <w:r w:rsidRPr="00AE724D">
        <w:t xml:space="preserve"> budget</w:t>
      </w:r>
      <w:r>
        <w:t>.</w:t>
      </w:r>
      <w:r w:rsidRPr="006C5EE8">
        <w:rPr>
          <w:rFonts w:cstheme="minorHAnsi"/>
        </w:rPr>
        <w:t xml:space="preserve"> </w:t>
      </w:r>
      <w:r>
        <w:rPr>
          <w:rFonts w:cstheme="minorHAnsi"/>
        </w:rPr>
        <w:t>This includes the re-investment of</w:t>
      </w:r>
      <w:r w:rsidRPr="006C5EE8">
        <w:rPr>
          <w:rFonts w:cstheme="minorHAnsi"/>
        </w:rPr>
        <w:t xml:space="preserve"> </w:t>
      </w:r>
      <w:r>
        <w:rPr>
          <w:rFonts w:cstheme="minorHAnsi"/>
        </w:rPr>
        <w:t xml:space="preserve">a forecast $5.602 million underspend from the current strategy period, due to </w:t>
      </w:r>
      <w:r w:rsidRPr="006C5EE8">
        <w:rPr>
          <w:rFonts w:cstheme="minorHAnsi"/>
        </w:rPr>
        <w:t>delays in service delivery relating to the response to COVID-19.</w:t>
      </w:r>
    </w:p>
    <w:p w14:paraId="1ABA8F80" w14:textId="77777777" w:rsidR="008D6DB6" w:rsidRDefault="008D6DB6" w:rsidP="008D6DB6">
      <w:pPr>
        <w:rPr>
          <w:rFonts w:cstheme="minorHAnsi"/>
        </w:rPr>
      </w:pPr>
    </w:p>
    <w:p w14:paraId="021FF38D" w14:textId="77777777" w:rsidR="007B3AC0" w:rsidRPr="006C5EE8" w:rsidRDefault="007B3AC0" w:rsidP="008D6DB6">
      <w:pPr>
        <w:keepNext/>
        <w:rPr>
          <w:rFonts w:cstheme="minorHAnsi"/>
        </w:rPr>
      </w:pPr>
      <w:r w:rsidRPr="006C5EE8">
        <w:rPr>
          <w:rFonts w:cstheme="minorHAnsi"/>
        </w:rPr>
        <w:lastRenderedPageBreak/>
        <w:t xml:space="preserve">This funding </w:t>
      </w:r>
      <w:r>
        <w:rPr>
          <w:rFonts w:cstheme="minorHAnsi"/>
        </w:rPr>
        <w:t xml:space="preserve">package </w:t>
      </w:r>
      <w:r>
        <w:t xml:space="preserve">will support those providing services and supports to prevent and minimise gambling harm </w:t>
      </w:r>
      <w:r w:rsidR="008D6DB6">
        <w:rPr>
          <w:rFonts w:cstheme="minorHAnsi"/>
        </w:rPr>
        <w:t>to:</w:t>
      </w:r>
    </w:p>
    <w:p w14:paraId="1ECF17BB" w14:textId="77777777" w:rsidR="007B3AC0" w:rsidRPr="0003777A" w:rsidRDefault="007B3AC0" w:rsidP="008D6DB6">
      <w:pPr>
        <w:pStyle w:val="Bullet"/>
      </w:pPr>
      <w:r w:rsidRPr="0003777A">
        <w:t xml:space="preserve">deliver high-quality public health and clinical services with a strengthened focus on service delivery based on </w:t>
      </w:r>
      <w:r>
        <w:t>k</w:t>
      </w:r>
      <w:r w:rsidRPr="0003777A">
        <w:t>aupapa Māori</w:t>
      </w:r>
      <w:r w:rsidR="008D6DB6">
        <w:t xml:space="preserve">, </w:t>
      </w:r>
      <w:proofErr w:type="gramStart"/>
      <w:r w:rsidR="008D6DB6">
        <w:t>Pacific</w:t>
      </w:r>
      <w:proofErr w:type="gramEnd"/>
      <w:r w:rsidR="008D6DB6">
        <w:t xml:space="preserve"> and Asian world views</w:t>
      </w:r>
    </w:p>
    <w:p w14:paraId="09CE1A8F" w14:textId="77777777" w:rsidR="007B3AC0" w:rsidRPr="0003777A" w:rsidRDefault="007B3AC0" w:rsidP="008D6DB6">
      <w:pPr>
        <w:pStyle w:val="Bullet"/>
      </w:pPr>
      <w:r w:rsidRPr="0003777A">
        <w:t xml:space="preserve">enable meaningful and genuine engagement between the Crown, </w:t>
      </w:r>
      <w:proofErr w:type="gramStart"/>
      <w:r w:rsidRPr="0003777A">
        <w:t>i</w:t>
      </w:r>
      <w:r w:rsidR="008D6DB6">
        <w:t>wi</w:t>
      </w:r>
      <w:proofErr w:type="gramEnd"/>
      <w:r w:rsidR="008D6DB6">
        <w:t xml:space="preserve"> and ethnic-specific services</w:t>
      </w:r>
    </w:p>
    <w:p w14:paraId="42DD9E37" w14:textId="77777777" w:rsidR="007B3AC0" w:rsidRPr="0003777A" w:rsidRDefault="007B3AC0" w:rsidP="008D6DB6">
      <w:pPr>
        <w:pStyle w:val="Bullet"/>
      </w:pPr>
      <w:r w:rsidRPr="0003777A">
        <w:t>challenge stigma attached to gambling harm, which prevents people from accessing services and supports</w:t>
      </w:r>
    </w:p>
    <w:p w14:paraId="4B0B7BA5" w14:textId="77777777" w:rsidR="007B3AC0" w:rsidRPr="0003777A" w:rsidRDefault="007B3AC0" w:rsidP="008D6DB6">
      <w:pPr>
        <w:pStyle w:val="Bullet"/>
      </w:pPr>
      <w:r w:rsidRPr="0003777A">
        <w:t>develop strong gambling harm sector leadership and stakeholder relationships by promoting collaboration within and across the gambling harm sector, the gambling industry and government</w:t>
      </w:r>
    </w:p>
    <w:p w14:paraId="129356B7" w14:textId="77777777" w:rsidR="007B3AC0" w:rsidRPr="0003777A" w:rsidRDefault="007B3AC0" w:rsidP="008D6DB6">
      <w:pPr>
        <w:pStyle w:val="Bullet"/>
      </w:pPr>
      <w:r w:rsidRPr="0003777A">
        <w:t>enhance lived experience representation and input and broaden the peer support workforce</w:t>
      </w:r>
    </w:p>
    <w:p w14:paraId="397261EE" w14:textId="77777777" w:rsidR="007B3AC0" w:rsidRPr="0003777A" w:rsidRDefault="007B3AC0" w:rsidP="008D6DB6">
      <w:pPr>
        <w:pStyle w:val="Bullet"/>
      </w:pPr>
      <w:r w:rsidRPr="0003777A">
        <w:t xml:space="preserve">invest in gambling harm workforce development and cultural safety, including </w:t>
      </w:r>
      <w:r>
        <w:t xml:space="preserve">through </w:t>
      </w:r>
      <w:r w:rsidRPr="0003777A">
        <w:t>scholarships to support access to the workforce for Māori, Pacific and Asian people and people with lived experience of gambling harm</w:t>
      </w:r>
    </w:p>
    <w:p w14:paraId="7423AAD2" w14:textId="77777777" w:rsidR="007B3AC0" w:rsidRPr="0003777A" w:rsidRDefault="007B3AC0" w:rsidP="008D6DB6">
      <w:pPr>
        <w:pStyle w:val="Bullet"/>
      </w:pPr>
      <w:r w:rsidRPr="0003777A">
        <w:t xml:space="preserve">continue the new service and innovation pilots and apply evaluation findings to expand our service mix, </w:t>
      </w:r>
      <w:r>
        <w:t xml:space="preserve">including by </w:t>
      </w:r>
      <w:r w:rsidRPr="0003777A">
        <w:t>providing more accessible and equitable services and supports</w:t>
      </w:r>
    </w:p>
    <w:p w14:paraId="175D1F72" w14:textId="77777777" w:rsidR="007B3AC0" w:rsidRDefault="007B3AC0" w:rsidP="008D6DB6">
      <w:pPr>
        <w:pStyle w:val="Bullet"/>
      </w:pPr>
      <w:r w:rsidRPr="0003777A">
        <w:t>ensure that funding is consistent across gambling harm public health and intervention services to enhance sustainability.</w:t>
      </w:r>
    </w:p>
    <w:p w14:paraId="6A8C1448" w14:textId="77777777" w:rsidR="008D6DB6" w:rsidRDefault="008D6DB6" w:rsidP="008D6DB6"/>
    <w:p w14:paraId="1AF2ED05" w14:textId="77777777" w:rsidR="007B3AC0" w:rsidRPr="007F4B4C" w:rsidRDefault="007B3AC0" w:rsidP="008D6DB6">
      <w:pPr>
        <w:pStyle w:val="Heading2"/>
      </w:pPr>
      <w:bookmarkStart w:id="44" w:name="_Toc76550165"/>
      <w:bookmarkStart w:id="45" w:name="_Toc82618424"/>
      <w:r w:rsidRPr="00483631">
        <w:t xml:space="preserve">Indicative </w:t>
      </w:r>
      <w:bookmarkStart w:id="46" w:name="_Toc156877681"/>
      <w:r w:rsidRPr="00483631">
        <w:t>budget for 2022/23 to 2024/25</w:t>
      </w:r>
      <w:bookmarkEnd w:id="44"/>
      <w:bookmarkEnd w:id="45"/>
    </w:p>
    <w:p w14:paraId="747B8AA4" w14:textId="77777777" w:rsidR="007B3AC0" w:rsidRDefault="007B3AC0" w:rsidP="008D6DB6">
      <w:r>
        <w:t>The draft service plan outlines the services that the Ministry considers it will require for the 2022/23 to 2024/25 levy period to pursue the objectives in the strategy. It also sets out the estimated costs of these. These costs cover five nominal budget areas:</w:t>
      </w:r>
    </w:p>
    <w:p w14:paraId="4282ADC3" w14:textId="77777777" w:rsidR="007B3AC0" w:rsidRPr="00483631" w:rsidRDefault="007B3AC0" w:rsidP="008D6DB6">
      <w:pPr>
        <w:pStyle w:val="Bullet"/>
      </w:pPr>
      <w:r w:rsidRPr="00483631">
        <w:t>public health services</w:t>
      </w:r>
    </w:p>
    <w:p w14:paraId="2A50F92B" w14:textId="77777777" w:rsidR="007B3AC0" w:rsidRPr="00483631" w:rsidRDefault="007B3AC0" w:rsidP="008D6DB6">
      <w:pPr>
        <w:pStyle w:val="Bullet"/>
      </w:pPr>
      <w:r w:rsidRPr="00483631">
        <w:t>intervention services</w:t>
      </w:r>
    </w:p>
    <w:p w14:paraId="7F73AC9A" w14:textId="77777777" w:rsidR="007B3AC0" w:rsidRPr="00483631" w:rsidRDefault="007B3AC0" w:rsidP="008D6DB6">
      <w:pPr>
        <w:pStyle w:val="Bullet"/>
      </w:pPr>
      <w:r w:rsidRPr="00483631">
        <w:t xml:space="preserve">research and evaluation </w:t>
      </w:r>
    </w:p>
    <w:p w14:paraId="13B182D0" w14:textId="77777777" w:rsidR="007B3AC0" w:rsidRPr="00A44BA5" w:rsidRDefault="007B3AC0" w:rsidP="008D6DB6">
      <w:pPr>
        <w:pStyle w:val="Bullet"/>
      </w:pPr>
      <w:r w:rsidRPr="0003777A">
        <w:t xml:space="preserve">new services, innovation pilots and investments </w:t>
      </w:r>
    </w:p>
    <w:p w14:paraId="1BF42A93" w14:textId="77777777" w:rsidR="007B3AC0" w:rsidRDefault="007B3AC0" w:rsidP="008D6DB6">
      <w:pPr>
        <w:pStyle w:val="Bullet"/>
      </w:pPr>
      <w:r w:rsidRPr="00483631">
        <w:t>Ministry operating costs</w:t>
      </w:r>
      <w:r>
        <w:t>.</w:t>
      </w:r>
    </w:p>
    <w:p w14:paraId="0112080C" w14:textId="77777777" w:rsidR="008D6DB6" w:rsidRDefault="008D6DB6" w:rsidP="008D6DB6"/>
    <w:p w14:paraId="2BCB6224" w14:textId="77777777" w:rsidR="007B3AC0" w:rsidRPr="007F4B4C" w:rsidRDefault="007B3AC0" w:rsidP="008D6DB6">
      <w:pPr>
        <w:pStyle w:val="Heading2"/>
      </w:pPr>
      <w:bookmarkStart w:id="47" w:name="_Toc82618425"/>
      <w:bookmarkEnd w:id="46"/>
      <w:r>
        <w:lastRenderedPageBreak/>
        <w:t>Why do we need additional investment?</w:t>
      </w:r>
      <w:bookmarkEnd w:id="47"/>
    </w:p>
    <w:p w14:paraId="3480D83F" w14:textId="77777777" w:rsidR="007B3AC0" w:rsidRDefault="007B3AC0" w:rsidP="008D6DB6">
      <w:pPr>
        <w:keepLines/>
      </w:pPr>
      <w:r>
        <w:t>The Strategy provides for a $7.035 million increase in three-year funding compared with the current levy period in order to increase</w:t>
      </w:r>
      <w:r w:rsidRPr="00610F5A">
        <w:t xml:space="preserve"> investment to address inequities in gambling harm and address stigma. </w:t>
      </w:r>
      <w:r>
        <w:t>The drivers of these additional costs are discussed below.</w:t>
      </w:r>
    </w:p>
    <w:p w14:paraId="4DF4ADB5" w14:textId="77777777" w:rsidR="008D6DB6" w:rsidRPr="0090099D" w:rsidRDefault="008D6DB6" w:rsidP="008D6DB6"/>
    <w:p w14:paraId="3EB8DF85" w14:textId="77777777" w:rsidR="008D6DB6" w:rsidRPr="00694E4F" w:rsidRDefault="007B3AC0" w:rsidP="00694E4F">
      <w:pPr>
        <w:pStyle w:val="Heading3"/>
        <w:rPr>
          <w:rFonts w:eastAsia="MS Gothic"/>
        </w:rPr>
      </w:pPr>
      <w:r w:rsidRPr="00694E4F">
        <w:rPr>
          <w:rFonts w:eastAsia="MS Gothic"/>
        </w:rPr>
        <w:t>New initiatives</w:t>
      </w:r>
    </w:p>
    <w:p w14:paraId="5563BC8B" w14:textId="77777777" w:rsidR="007B3AC0" w:rsidRPr="00610F5A" w:rsidRDefault="007B3AC0" w:rsidP="00694E4F">
      <w:r>
        <w:rPr>
          <w:rFonts w:cstheme="minorHAnsi"/>
        </w:rPr>
        <w:t>This service plan contains</w:t>
      </w:r>
      <w:r w:rsidRPr="00610F5A">
        <w:t xml:space="preserve"> proposals for a national de-stigmatisation campaign and </w:t>
      </w:r>
      <w:r w:rsidRPr="00D14DF8">
        <w:t xml:space="preserve">an investment package to enable a skilled, </w:t>
      </w:r>
      <w:proofErr w:type="gramStart"/>
      <w:r>
        <w:t>qualified</w:t>
      </w:r>
      <w:proofErr w:type="gramEnd"/>
      <w:r w:rsidRPr="00D14DF8">
        <w:t xml:space="preserve"> and culturally responsive workforce</w:t>
      </w:r>
      <w:r>
        <w:t>,</w:t>
      </w:r>
      <w:r w:rsidRPr="00D14DF8">
        <w:t xml:space="preserve"> </w:t>
      </w:r>
      <w:r>
        <w:rPr>
          <w:rFonts w:cstheme="minorHAnsi"/>
        </w:rPr>
        <w:t>including</w:t>
      </w:r>
      <w:r w:rsidRPr="00610F5A">
        <w:t>:</w:t>
      </w:r>
    </w:p>
    <w:p w14:paraId="6E45086B" w14:textId="77777777" w:rsidR="007B3AC0" w:rsidRPr="00483631" w:rsidRDefault="007B3AC0" w:rsidP="00694E4F">
      <w:pPr>
        <w:pStyle w:val="Bullet"/>
      </w:pPr>
      <w:r>
        <w:t xml:space="preserve">an expansion of </w:t>
      </w:r>
      <w:r w:rsidRPr="00483631">
        <w:t>the gambling harm peer workforce in clinical and public health services</w:t>
      </w:r>
    </w:p>
    <w:p w14:paraId="6960EE99" w14:textId="77777777" w:rsidR="007B3AC0" w:rsidRPr="00483631" w:rsidRDefault="007B3AC0" w:rsidP="00694E4F">
      <w:pPr>
        <w:pStyle w:val="Bullet"/>
      </w:pPr>
      <w:r w:rsidRPr="00483631">
        <w:t>scholarships to enable Māori, Pacific and Asian people and people with lived experience of gambling harm to undertake relevant tertiary study to support them to enter the gambling harm workforce</w:t>
      </w:r>
    </w:p>
    <w:p w14:paraId="46AE5BFE" w14:textId="77777777" w:rsidR="007B3AC0" w:rsidRDefault="007B3AC0" w:rsidP="00694E4F">
      <w:pPr>
        <w:pStyle w:val="Bullet"/>
      </w:pPr>
      <w:r>
        <w:t>f</w:t>
      </w:r>
      <w:r w:rsidRPr="00483631">
        <w:t>unding to develop a pathway for the clinical gambling harm workforce to attain New Zealand Qualifications Authority level seven qualifications that include gambling harm</w:t>
      </w:r>
      <w:r>
        <w:t>.</w:t>
      </w:r>
    </w:p>
    <w:p w14:paraId="2A0BF525" w14:textId="77777777" w:rsidR="00694E4F" w:rsidRPr="00483631" w:rsidRDefault="00694E4F" w:rsidP="00694E4F"/>
    <w:p w14:paraId="27C84610" w14:textId="77777777" w:rsidR="00694E4F" w:rsidRPr="00694E4F" w:rsidRDefault="007B3AC0" w:rsidP="00694E4F">
      <w:pPr>
        <w:pStyle w:val="Heading3"/>
        <w:rPr>
          <w:rFonts w:eastAsia="MS Gothic"/>
        </w:rPr>
      </w:pPr>
      <w:r w:rsidRPr="00694E4F">
        <w:rPr>
          <w:rFonts w:eastAsia="MS Gothic"/>
        </w:rPr>
        <w:t>Increasing the full-time equivalent (FTE) rate for gambling harm clinical intervention services</w:t>
      </w:r>
    </w:p>
    <w:p w14:paraId="4934A170" w14:textId="77777777" w:rsidR="007B3AC0" w:rsidRDefault="007B3AC0" w:rsidP="00694E4F">
      <w:r w:rsidRPr="00E43F1C">
        <w:t xml:space="preserve">This </w:t>
      </w:r>
      <w:r>
        <w:t xml:space="preserve">funding will align FTE rates for these services with other Ministry-funded mental health and addiction clinical FTE rates. </w:t>
      </w:r>
      <w:r w:rsidRPr="001F7253">
        <w:t>This will</w:t>
      </w:r>
      <w:r>
        <w:t xml:space="preserve"> help to</w:t>
      </w:r>
      <w:r w:rsidRPr="001F7253">
        <w:t xml:space="preserve"> address long</w:t>
      </w:r>
      <w:r>
        <w:t>-</w:t>
      </w:r>
      <w:r w:rsidRPr="001F7253">
        <w:t>standing issues in recruitment and retention in the gambling harm sector and to enable a sustainable and quality workforce.</w:t>
      </w:r>
    </w:p>
    <w:p w14:paraId="0322266D" w14:textId="77777777" w:rsidR="00694E4F" w:rsidRPr="00694E4F" w:rsidRDefault="00694E4F" w:rsidP="00694E4F"/>
    <w:p w14:paraId="5028C3D1" w14:textId="77777777" w:rsidR="00694E4F" w:rsidRPr="00694E4F" w:rsidRDefault="007B3AC0" w:rsidP="00694E4F">
      <w:pPr>
        <w:pStyle w:val="Heading3"/>
      </w:pPr>
      <w:r w:rsidRPr="00694E4F">
        <w:rPr>
          <w:rFonts w:eastAsia="MS Gothic"/>
        </w:rPr>
        <w:t>Learning from our past activities</w:t>
      </w:r>
    </w:p>
    <w:p w14:paraId="46ED06D0" w14:textId="77777777" w:rsidR="007B3AC0" w:rsidRDefault="00694E4F" w:rsidP="00694E4F">
      <w:r>
        <w:t>T</w:t>
      </w:r>
      <w:r w:rsidR="007B3AC0" w:rsidRPr="00610F5A">
        <w:t>he Ministry will</w:t>
      </w:r>
      <w:r w:rsidR="007B3AC0" w:rsidRPr="001F7253">
        <w:rPr>
          <w:rFonts w:cstheme="minorHAnsi"/>
        </w:rPr>
        <w:t xml:space="preserve"> </w:t>
      </w:r>
      <w:r w:rsidR="007B3AC0" w:rsidRPr="00610F5A">
        <w:t xml:space="preserve">continue to pilot and enable innovative solutions, </w:t>
      </w:r>
      <w:proofErr w:type="gramStart"/>
      <w:r w:rsidR="007B3AC0" w:rsidRPr="00610F5A">
        <w:t>services</w:t>
      </w:r>
      <w:proofErr w:type="gramEnd"/>
      <w:r w:rsidR="007B3AC0" w:rsidRPr="00610F5A">
        <w:t xml:space="preserve"> and technologies to address areas of systemic, persistent gambling harm and to address inequities. </w:t>
      </w:r>
      <w:r w:rsidR="007B3AC0" w:rsidRPr="001F7253">
        <w:rPr>
          <w:rFonts w:cstheme="minorHAnsi"/>
        </w:rPr>
        <w:t xml:space="preserve">It is important we </w:t>
      </w:r>
      <w:r w:rsidR="007B3AC0">
        <w:rPr>
          <w:rFonts w:cstheme="minorHAnsi"/>
        </w:rPr>
        <w:t>apply the learning from these innovations</w:t>
      </w:r>
      <w:r w:rsidR="007B3AC0" w:rsidRPr="001F7253">
        <w:rPr>
          <w:rFonts w:cstheme="minorHAnsi"/>
        </w:rPr>
        <w:t>, so the</w:t>
      </w:r>
      <w:r w:rsidR="007B3AC0" w:rsidRPr="00610F5A">
        <w:t xml:space="preserve"> draft service plan includes additional funding to apply </w:t>
      </w:r>
      <w:r w:rsidR="007B3AC0">
        <w:t xml:space="preserve">pilot </w:t>
      </w:r>
      <w:r w:rsidR="007B3AC0" w:rsidRPr="00610F5A">
        <w:t>evaluation findings to continue or expand promising approache</w:t>
      </w:r>
      <w:r w:rsidR="007B3AC0">
        <w:rPr>
          <w:rFonts w:cstheme="minorHAnsi"/>
        </w:rPr>
        <w:t>s. This includes</w:t>
      </w:r>
      <w:r w:rsidR="007B3AC0" w:rsidRPr="00610F5A">
        <w:t xml:space="preserve"> ongoing funding to roll out technology-based innovation to prevent and minimise gambling harm.</w:t>
      </w:r>
    </w:p>
    <w:p w14:paraId="0E2B3AE6" w14:textId="77777777" w:rsidR="00694E4F" w:rsidRPr="00610F5A" w:rsidRDefault="00694E4F" w:rsidP="00694E4F"/>
    <w:p w14:paraId="2B7F3B29" w14:textId="77777777" w:rsidR="00694E4F" w:rsidRPr="00694E4F" w:rsidRDefault="007B3AC0" w:rsidP="00694E4F">
      <w:pPr>
        <w:pStyle w:val="Heading3"/>
      </w:pPr>
      <w:r w:rsidRPr="00694E4F">
        <w:rPr>
          <w:rFonts w:eastAsia="MS Gothic"/>
        </w:rPr>
        <w:lastRenderedPageBreak/>
        <w:t>Dedicated funding for the Multi-venue Exclusion (MVE) Admi</w:t>
      </w:r>
      <w:r w:rsidR="00694E4F" w:rsidRPr="00694E4F">
        <w:rPr>
          <w:rFonts w:eastAsia="MS Gothic"/>
        </w:rPr>
        <w:t>nistration Service and database</w:t>
      </w:r>
    </w:p>
    <w:p w14:paraId="4B0D50D0" w14:textId="77777777" w:rsidR="007B3AC0" w:rsidRDefault="00694E4F" w:rsidP="00694E4F">
      <w:r>
        <w:t>P</w:t>
      </w:r>
      <w:r w:rsidR="007B3AC0" w:rsidRPr="00056E13">
        <w:t>reviously funded from the primary prevention (public health action) budget. This provides for surety of funding and an improved line of sight for this spend.</w:t>
      </w:r>
    </w:p>
    <w:p w14:paraId="58E208E3" w14:textId="77777777" w:rsidR="00694E4F" w:rsidRPr="00056E13" w:rsidRDefault="00694E4F" w:rsidP="00694E4F"/>
    <w:p w14:paraId="727BD7AF" w14:textId="77777777" w:rsidR="007B3AC0" w:rsidRPr="00965F84" w:rsidRDefault="007B3AC0" w:rsidP="00694E4F">
      <w:pPr>
        <w:pStyle w:val="Heading1"/>
      </w:pPr>
      <w:bookmarkStart w:id="48" w:name="_Toc76550140"/>
      <w:bookmarkStart w:id="49" w:name="_Toc82618426"/>
      <w:r w:rsidRPr="00965F84">
        <w:lastRenderedPageBreak/>
        <w:t>The problem gambling levy</w:t>
      </w:r>
      <w:bookmarkEnd w:id="49"/>
    </w:p>
    <w:p w14:paraId="140E5202" w14:textId="77777777" w:rsidR="007B3AC0" w:rsidRDefault="007B3AC0" w:rsidP="00694E4F">
      <w:r>
        <w:t>When reading through this section, please keep in mind these key questions.</w:t>
      </w:r>
    </w:p>
    <w:p w14:paraId="046CCCE7" w14:textId="77777777" w:rsidR="00694E4F" w:rsidRDefault="00694E4F" w:rsidP="00694E4F"/>
    <w:p w14:paraId="5CFD79E8" w14:textId="77777777" w:rsidR="007B3AC0" w:rsidRPr="003421F1" w:rsidRDefault="007B3AC0" w:rsidP="00694E4F">
      <w:pPr>
        <w:pStyle w:val="Heading2"/>
      </w:pPr>
      <w:bookmarkStart w:id="50" w:name="_Toc82618427"/>
      <w:r>
        <w:t>Questions for you</w:t>
      </w:r>
      <w:bookmarkEnd w:id="50"/>
    </w:p>
    <w:p w14:paraId="033A97C5" w14:textId="77777777" w:rsidR="007B3AC0" w:rsidRPr="00417AD7" w:rsidRDefault="007B3AC0" w:rsidP="00694E4F">
      <w:pPr>
        <w:pStyle w:val="Number"/>
      </w:pPr>
      <w:r w:rsidRPr="00417AD7">
        <w:t>Are the player expenditure forecasts for each gambling sector (D) realistic?</w:t>
      </w:r>
    </w:p>
    <w:p w14:paraId="79DD15EA" w14:textId="77777777" w:rsidR="007B3AC0" w:rsidRPr="00417AD7" w:rsidRDefault="007B3AC0" w:rsidP="00694E4F">
      <w:pPr>
        <w:pStyle w:val="Number"/>
      </w:pPr>
      <w:r w:rsidRPr="00417AD7">
        <w:t>Are there realistic pairs of expenditure/presentation weightings (W1 and W2) other than those discussed in this consultation document?</w:t>
      </w:r>
    </w:p>
    <w:p w14:paraId="319E9870" w14:textId="77777777" w:rsidR="007B3AC0" w:rsidRPr="00417AD7" w:rsidRDefault="007B3AC0" w:rsidP="00694E4F">
      <w:pPr>
        <w:pStyle w:val="Number"/>
      </w:pPr>
      <w:r w:rsidRPr="00417AD7">
        <w:t>Which pair of weighting options for W1 and W2 do you prefer, if any, and why? Please keep in mind that the levy weighting options only affect the proportion of levy to be paid by each gambling sector</w:t>
      </w:r>
      <w:r>
        <w:t>,</w:t>
      </w:r>
      <w:r w:rsidRPr="00417AD7">
        <w:t xml:space="preserve"> and do not affect the total amount of the levy.</w:t>
      </w:r>
    </w:p>
    <w:p w14:paraId="2C4AD6C8" w14:textId="77777777" w:rsidR="007B3AC0" w:rsidRDefault="007B3AC0" w:rsidP="00694E4F">
      <w:pPr>
        <w:pStyle w:val="Number"/>
      </w:pPr>
      <w:r w:rsidRPr="00417AD7">
        <w:t>Do you have any comment on the estimated levy rates for each sector, keeping in mind that the levy formula itself is set out in legislation and is not under consideration in this consultation?</w:t>
      </w:r>
    </w:p>
    <w:p w14:paraId="4E1E852E" w14:textId="77777777" w:rsidR="00694E4F" w:rsidRDefault="00694E4F" w:rsidP="00694E4F"/>
    <w:p w14:paraId="03E81D57" w14:textId="77777777" w:rsidR="007B3AC0" w:rsidRPr="008002F1" w:rsidRDefault="007B3AC0" w:rsidP="00694E4F">
      <w:pPr>
        <w:pStyle w:val="Heading2"/>
      </w:pPr>
      <w:bookmarkStart w:id="51" w:name="_Toc82618428"/>
      <w:r w:rsidRPr="00F97C08">
        <w:t>The problem gambling levy</w:t>
      </w:r>
      <w:bookmarkEnd w:id="42"/>
      <w:bookmarkEnd w:id="43"/>
      <w:bookmarkEnd w:id="48"/>
      <w:bookmarkEnd w:id="51"/>
    </w:p>
    <w:p w14:paraId="7ABA4E18" w14:textId="77777777" w:rsidR="007B3AC0" w:rsidRDefault="007B3AC0" w:rsidP="00694E4F">
      <w:bookmarkStart w:id="52" w:name="_Toc61962043"/>
      <w:bookmarkStart w:id="53" w:name="_Toc71549982"/>
      <w:r>
        <w:t xml:space="preserve">The funding for all activities to prevent and minimise gambling harm comes from the problem gambling levy – a payment made by the </w:t>
      </w:r>
      <w:r w:rsidRPr="0069343B">
        <w:t>four main gambling sectors (non-casino gaming machine operators, casinos, TAB N</w:t>
      </w:r>
      <w:r>
        <w:t xml:space="preserve">ew </w:t>
      </w:r>
      <w:r w:rsidRPr="0069343B">
        <w:t>Z</w:t>
      </w:r>
      <w:r>
        <w:t>ealand</w:t>
      </w:r>
      <w:r w:rsidRPr="0069343B">
        <w:t xml:space="preserve"> and Lotto N</w:t>
      </w:r>
      <w:r>
        <w:t xml:space="preserve">ew </w:t>
      </w:r>
      <w:r w:rsidRPr="0069343B">
        <w:t>Z</w:t>
      </w:r>
      <w:r>
        <w:t>ealand</w:t>
      </w:r>
      <w:r w:rsidRPr="0069343B">
        <w:t>)</w:t>
      </w:r>
      <w:r>
        <w:t>.</w:t>
      </w:r>
    </w:p>
    <w:p w14:paraId="5852F776" w14:textId="77777777" w:rsidR="00694E4F" w:rsidRDefault="00694E4F" w:rsidP="00694E4F"/>
    <w:p w14:paraId="01EC56BE" w14:textId="77777777" w:rsidR="007B3AC0" w:rsidRDefault="007B3AC0" w:rsidP="00694E4F">
      <w:r>
        <w:t xml:space="preserve">The rates for this levy are set by a formula (defined in section 320 of the Gambling Act 2003) that calculates how much each sector will need to pay. The formula takes into account how much players lost in each sector and how many people access </w:t>
      </w:r>
      <w:proofErr w:type="gramStart"/>
      <w:r>
        <w:t>services, and</w:t>
      </w:r>
      <w:proofErr w:type="gramEnd"/>
      <w:r>
        <w:t xml:space="preserve"> calculates a levy rate for each of the four sectors. The levy is reviewed every three years, along with the development of the new strategy. The next </w:t>
      </w:r>
      <w:r w:rsidRPr="0069343B">
        <w:t>levy period is from 1</w:t>
      </w:r>
      <w:r w:rsidR="00694E4F">
        <w:t> </w:t>
      </w:r>
      <w:r w:rsidRPr="0069343B">
        <w:t>July 2022 to 30 June 2025</w:t>
      </w:r>
      <w:r>
        <w:t>.</w:t>
      </w:r>
    </w:p>
    <w:p w14:paraId="62C86793" w14:textId="77777777" w:rsidR="00694E4F" w:rsidRDefault="00694E4F" w:rsidP="00694E4F"/>
    <w:p w14:paraId="3D3A6738" w14:textId="77777777" w:rsidR="007B3AC0" w:rsidRDefault="007B3AC0" w:rsidP="00694E4F">
      <w:r>
        <w:t xml:space="preserve">You can find more information about the formula, the levy calculations and options for different weightings (how much a sector should pay) </w:t>
      </w:r>
      <w:hyperlink r:id="rId32" w:history="1">
        <w:r w:rsidRPr="004256E2">
          <w:rPr>
            <w:rStyle w:val="Hyperlink"/>
            <w:rFonts w:cstheme="minorHAnsi"/>
          </w:rPr>
          <w:t>in the consultation document</w:t>
        </w:r>
      </w:hyperlink>
      <w:r>
        <w:t xml:space="preserve">. The key change for the new proposed levy is that the </w:t>
      </w:r>
      <w:r w:rsidRPr="00A44BA5">
        <w:t>proposed levy rates and expected levy payments would be higher than they are currently under all weighting options</w:t>
      </w:r>
      <w:r>
        <w:t>.</w:t>
      </w:r>
    </w:p>
    <w:bookmarkEnd w:id="52"/>
    <w:bookmarkEnd w:id="53"/>
    <w:p w14:paraId="0496A0A5" w14:textId="77777777" w:rsidR="003D6D6B" w:rsidRDefault="003D6D6B" w:rsidP="00694E4F"/>
    <w:sectPr w:rsidR="003D6D6B" w:rsidSect="002B7BEC">
      <w:footerReference w:type="even" r:id="rId33"/>
      <w:footerReference w:type="default" r:id="rId3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EB10" w14:textId="77777777" w:rsidR="00C9495B" w:rsidRDefault="00C9495B">
      <w:r>
        <w:separator/>
      </w:r>
    </w:p>
    <w:p w14:paraId="74B9B5A7" w14:textId="77777777" w:rsidR="00C9495B" w:rsidRDefault="00C9495B"/>
  </w:endnote>
  <w:endnote w:type="continuationSeparator" w:id="0">
    <w:p w14:paraId="65BD6580" w14:textId="77777777" w:rsidR="00C9495B" w:rsidRDefault="00C9495B">
      <w:r>
        <w:continuationSeparator/>
      </w:r>
    </w:p>
    <w:p w14:paraId="2DEBDAFC" w14:textId="77777777" w:rsidR="00C9495B" w:rsidRDefault="00C9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29F3" w14:textId="77777777" w:rsidR="00C0377D" w:rsidRPr="00581136" w:rsidRDefault="00C0377D"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7EE0E5F" w14:textId="77777777" w:rsidR="00C0377D" w:rsidRPr="005A79E5" w:rsidRDefault="00C0377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5076" w14:textId="77777777" w:rsidR="00C0377D" w:rsidRDefault="00C0377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9B89" w14:textId="77777777" w:rsidR="00C0377D" w:rsidRDefault="00C037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C0377D" w14:paraId="6CE082A1" w14:textId="77777777" w:rsidTr="00D662F8">
      <w:trPr>
        <w:cantSplit/>
      </w:trPr>
      <w:tc>
        <w:tcPr>
          <w:tcW w:w="709" w:type="dxa"/>
          <w:vAlign w:val="center"/>
        </w:tcPr>
        <w:p w14:paraId="6AA35A1B" w14:textId="77777777" w:rsidR="00C0377D" w:rsidRPr="00931466" w:rsidRDefault="00C0377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7C49DA5" w14:textId="77777777" w:rsidR="00C0377D" w:rsidRDefault="00C0377D" w:rsidP="00117F59">
          <w:pPr>
            <w:pStyle w:val="RectoFooter"/>
            <w:jc w:val="left"/>
          </w:pPr>
          <w:r>
            <w:t>[title]: [subhead]</w:t>
          </w:r>
        </w:p>
      </w:tc>
    </w:tr>
  </w:tbl>
  <w:p w14:paraId="7C004376" w14:textId="77777777" w:rsidR="00C0377D" w:rsidRPr="00571223" w:rsidRDefault="00C0377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0377D" w14:paraId="32897DE8" w14:textId="77777777" w:rsidTr="006E2886">
      <w:trPr>
        <w:cantSplit/>
      </w:trPr>
      <w:tc>
        <w:tcPr>
          <w:tcW w:w="8080" w:type="dxa"/>
          <w:vAlign w:val="center"/>
        </w:tcPr>
        <w:p w14:paraId="0ADE14B1" w14:textId="5719EC92" w:rsidR="00C0377D" w:rsidRDefault="00C0377D" w:rsidP="00961C29">
          <w:pPr>
            <w:pStyle w:val="RectoFooter"/>
          </w:pPr>
          <w:r>
            <w:t>draft strategy to prevent and minimise gambling harm 2022/23 to 2024/25:</w:t>
          </w:r>
          <w:r>
            <w:br/>
            <w:t>consultation document overview</w:t>
          </w:r>
        </w:p>
      </w:tc>
      <w:tc>
        <w:tcPr>
          <w:tcW w:w="709" w:type="dxa"/>
          <w:vAlign w:val="center"/>
        </w:tcPr>
        <w:p w14:paraId="04CC73F7" w14:textId="77777777" w:rsidR="00C0377D" w:rsidRPr="00931466" w:rsidRDefault="00C0377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5FB00971" w14:textId="77777777" w:rsidR="00C0377D" w:rsidRPr="00581EB8" w:rsidRDefault="00C0377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C0377D" w14:paraId="3AC1AC72" w14:textId="77777777" w:rsidTr="006E2886">
      <w:trPr>
        <w:cantSplit/>
      </w:trPr>
      <w:tc>
        <w:tcPr>
          <w:tcW w:w="675" w:type="dxa"/>
          <w:vAlign w:val="center"/>
        </w:tcPr>
        <w:p w14:paraId="31F3D9D3" w14:textId="77777777" w:rsidR="00C0377D" w:rsidRPr="00931466" w:rsidRDefault="00C0377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9072" w:type="dxa"/>
          <w:vAlign w:val="center"/>
        </w:tcPr>
        <w:p w14:paraId="72F84D7D" w14:textId="694936AD" w:rsidR="00C0377D" w:rsidRDefault="00C0377D" w:rsidP="006E2886">
          <w:pPr>
            <w:pStyle w:val="RectoFooter"/>
            <w:jc w:val="left"/>
          </w:pPr>
        </w:p>
      </w:tc>
    </w:tr>
  </w:tbl>
  <w:p w14:paraId="33016AF4" w14:textId="77777777" w:rsidR="00C0377D" w:rsidRPr="00571223" w:rsidRDefault="00C0377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C0377D" w14:paraId="5CC0A849" w14:textId="77777777" w:rsidTr="006E2886">
      <w:trPr>
        <w:cantSplit/>
      </w:trPr>
      <w:tc>
        <w:tcPr>
          <w:tcW w:w="675" w:type="dxa"/>
          <w:vAlign w:val="center"/>
        </w:tcPr>
        <w:p w14:paraId="7F861858" w14:textId="77777777" w:rsidR="00C0377D" w:rsidRPr="00931466" w:rsidRDefault="00C0377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14</w:t>
          </w:r>
          <w:r w:rsidRPr="00931466">
            <w:rPr>
              <w:rStyle w:val="PageNumber"/>
            </w:rPr>
            <w:fldChar w:fldCharType="end"/>
          </w:r>
        </w:p>
      </w:tc>
      <w:tc>
        <w:tcPr>
          <w:tcW w:w="9072" w:type="dxa"/>
          <w:vAlign w:val="center"/>
        </w:tcPr>
        <w:p w14:paraId="5660DB0F" w14:textId="43BEA89D" w:rsidR="00C0377D" w:rsidRDefault="00C0377D" w:rsidP="00961C29">
          <w:pPr>
            <w:pStyle w:val="RectoFooter"/>
            <w:ind w:left="-108"/>
            <w:jc w:val="left"/>
          </w:pPr>
          <w:r>
            <w:t>draft strategy to prevent and minimise gambling harm 2022/23 to 2024/25:</w:t>
          </w:r>
          <w:r>
            <w:br/>
            <w:t>consultation document overview</w:t>
          </w:r>
        </w:p>
      </w:tc>
    </w:tr>
  </w:tbl>
  <w:p w14:paraId="6604F08D" w14:textId="77777777" w:rsidR="00C0377D" w:rsidRPr="00571223" w:rsidRDefault="00C0377D"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0377D" w14:paraId="639A1983" w14:textId="77777777" w:rsidTr="006E2886">
      <w:trPr>
        <w:cantSplit/>
      </w:trPr>
      <w:tc>
        <w:tcPr>
          <w:tcW w:w="8080" w:type="dxa"/>
          <w:vAlign w:val="center"/>
        </w:tcPr>
        <w:p w14:paraId="5668550B" w14:textId="568DEA06" w:rsidR="00C0377D" w:rsidRDefault="00C0377D" w:rsidP="00961C29">
          <w:pPr>
            <w:pStyle w:val="RectoFooter"/>
          </w:pPr>
          <w:r>
            <w:t>draft strategy to prevent and minimise gambling harm 2022/23 to 2024/25:</w:t>
          </w:r>
          <w:r>
            <w:br/>
            <w:t>consultation document overview</w:t>
          </w:r>
        </w:p>
      </w:tc>
      <w:tc>
        <w:tcPr>
          <w:tcW w:w="709" w:type="dxa"/>
          <w:vAlign w:val="center"/>
        </w:tcPr>
        <w:p w14:paraId="7B93791C" w14:textId="77777777" w:rsidR="00C0377D" w:rsidRPr="00931466" w:rsidRDefault="00C0377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15</w:t>
          </w:r>
          <w:r w:rsidRPr="00931466">
            <w:rPr>
              <w:rStyle w:val="PageNumber"/>
            </w:rPr>
            <w:fldChar w:fldCharType="end"/>
          </w:r>
        </w:p>
      </w:tc>
    </w:tr>
  </w:tbl>
  <w:p w14:paraId="29D197A0" w14:textId="77777777" w:rsidR="00C0377D" w:rsidRPr="00581EB8" w:rsidRDefault="00C0377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B784A" w14:textId="77777777" w:rsidR="00C9495B" w:rsidRPr="00A26E6B" w:rsidRDefault="00C9495B" w:rsidP="00A26E6B"/>
  </w:footnote>
  <w:footnote w:type="continuationSeparator" w:id="0">
    <w:p w14:paraId="54446F42" w14:textId="77777777" w:rsidR="00C9495B" w:rsidRDefault="00C9495B">
      <w:r>
        <w:continuationSeparator/>
      </w:r>
    </w:p>
    <w:p w14:paraId="606D1011" w14:textId="77777777" w:rsidR="00C9495B" w:rsidRDefault="00C94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C0377D" w14:paraId="25E24BD0" w14:textId="77777777" w:rsidTr="005A79E5">
      <w:trPr>
        <w:cantSplit/>
      </w:trPr>
      <w:tc>
        <w:tcPr>
          <w:tcW w:w="5210" w:type="dxa"/>
        </w:tcPr>
        <w:p w14:paraId="5C2C7C30" w14:textId="77777777" w:rsidR="00C0377D" w:rsidRDefault="00C0377D" w:rsidP="008814E8">
          <w:pPr>
            <w:pStyle w:val="Header"/>
          </w:pPr>
          <w:r>
            <w:rPr>
              <w:noProof/>
              <w:lang w:eastAsia="en-NZ"/>
            </w:rPr>
            <w:drawing>
              <wp:inline distT="0" distB="0" distL="0" distR="0" wp14:anchorId="4F631137" wp14:editId="297F5DB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1A519FA" w14:textId="77777777" w:rsidR="00C0377D" w:rsidRDefault="00C0377D" w:rsidP="008814E8">
          <w:pPr>
            <w:pStyle w:val="Header"/>
            <w:jc w:val="right"/>
          </w:pPr>
          <w:r>
            <w:rPr>
              <w:noProof/>
              <w:lang w:eastAsia="en-NZ"/>
            </w:rPr>
            <w:drawing>
              <wp:inline distT="0" distB="0" distL="0" distR="0" wp14:anchorId="398C89DC" wp14:editId="06F7E541">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58322AE" w14:textId="77777777" w:rsidR="00C0377D" w:rsidRDefault="00C0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DEEE" w14:textId="77777777" w:rsidR="00C0377D" w:rsidRDefault="00C0377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51D5" w14:textId="77777777" w:rsidR="00C0377D" w:rsidRDefault="00C0377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7371DA"/>
    <w:multiLevelType w:val="hybridMultilevel"/>
    <w:tmpl w:val="191C9008"/>
    <w:lvl w:ilvl="0" w:tplc="F4E6BE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A33443"/>
    <w:multiLevelType w:val="hybridMultilevel"/>
    <w:tmpl w:val="B322BCE6"/>
    <w:lvl w:ilvl="0" w:tplc="92845588">
      <w:start w:val="1"/>
      <w:numFmt w:val="decimal"/>
      <w:lvlText w:val="%1."/>
      <w:lvlJc w:val="left"/>
      <w:pPr>
        <w:ind w:left="1990" w:hanging="163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B494C1B"/>
    <w:multiLevelType w:val="hybridMultilevel"/>
    <w:tmpl w:val="B1A24818"/>
    <w:lvl w:ilvl="0" w:tplc="1BB40D26">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E2B1E7D"/>
    <w:multiLevelType w:val="hybridMultilevel"/>
    <w:tmpl w:val="AAFCFA94"/>
    <w:lvl w:ilvl="0" w:tplc="14090001">
      <w:start w:val="1"/>
      <w:numFmt w:val="bullet"/>
      <w:lvlText w:val=""/>
      <w:lvlJc w:val="left"/>
      <w:pPr>
        <w:ind w:left="835" w:hanging="360"/>
      </w:pPr>
      <w:rPr>
        <w:rFonts w:ascii="Symbol" w:hAnsi="Symbol" w:hint="default"/>
        <w:i w:val="0"/>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104F17"/>
    <w:multiLevelType w:val="hybridMultilevel"/>
    <w:tmpl w:val="B726E5F8"/>
    <w:lvl w:ilvl="0" w:tplc="F4E6BE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5"/>
  </w:num>
  <w:num w:numId="2">
    <w:abstractNumId w:val="24"/>
  </w:num>
  <w:num w:numId="3">
    <w:abstractNumId w:val="25"/>
  </w:num>
  <w:num w:numId="4">
    <w:abstractNumId w:val="4"/>
  </w:num>
  <w:num w:numId="5">
    <w:abstractNumId w:val="1"/>
  </w:num>
  <w:num w:numId="6">
    <w:abstractNumId w:val="30"/>
  </w:num>
  <w:num w:numId="7">
    <w:abstractNumId w:val="38"/>
  </w:num>
  <w:num w:numId="8">
    <w:abstractNumId w:val="3"/>
  </w:num>
  <w:num w:numId="9">
    <w:abstractNumId w:val="40"/>
  </w:num>
  <w:num w:numId="10">
    <w:abstractNumId w:val="32"/>
  </w:num>
  <w:num w:numId="11">
    <w:abstractNumId w:val="18"/>
  </w:num>
  <w:num w:numId="12">
    <w:abstractNumId w:val="23"/>
  </w:num>
  <w:num w:numId="13">
    <w:abstractNumId w:val="0"/>
  </w:num>
  <w:num w:numId="14">
    <w:abstractNumId w:val="12"/>
  </w:num>
  <w:num w:numId="15">
    <w:abstractNumId w:val="21"/>
  </w:num>
  <w:num w:numId="16">
    <w:abstractNumId w:val="33"/>
  </w:num>
  <w:num w:numId="17">
    <w:abstractNumId w:val="8"/>
  </w:num>
  <w:num w:numId="18">
    <w:abstractNumId w:val="15"/>
  </w:num>
  <w:num w:numId="19">
    <w:abstractNumId w:val="9"/>
  </w:num>
  <w:num w:numId="20">
    <w:abstractNumId w:val="6"/>
  </w:num>
  <w:num w:numId="21">
    <w:abstractNumId w:val="43"/>
  </w:num>
  <w:num w:numId="22">
    <w:abstractNumId w:val="13"/>
  </w:num>
  <w:num w:numId="23">
    <w:abstractNumId w:val="41"/>
  </w:num>
  <w:num w:numId="24">
    <w:abstractNumId w:val="2"/>
  </w:num>
  <w:num w:numId="25">
    <w:abstractNumId w:val="7"/>
  </w:num>
  <w:num w:numId="26">
    <w:abstractNumId w:val="5"/>
  </w:num>
  <w:num w:numId="27">
    <w:abstractNumId w:val="35"/>
  </w:num>
  <w:num w:numId="28">
    <w:abstractNumId w:val="42"/>
  </w:num>
  <w:num w:numId="29">
    <w:abstractNumId w:val="20"/>
  </w:num>
  <w:num w:numId="30">
    <w:abstractNumId w:val="11"/>
  </w:num>
  <w:num w:numId="31">
    <w:abstractNumId w:val="31"/>
  </w:num>
  <w:num w:numId="32">
    <w:abstractNumId w:val="22"/>
  </w:num>
  <w:num w:numId="33">
    <w:abstractNumId w:val="46"/>
  </w:num>
  <w:num w:numId="34">
    <w:abstractNumId w:val="19"/>
  </w:num>
  <w:num w:numId="35">
    <w:abstractNumId w:val="37"/>
  </w:num>
  <w:num w:numId="36">
    <w:abstractNumId w:val="34"/>
  </w:num>
  <w:num w:numId="37">
    <w:abstractNumId w:val="44"/>
  </w:num>
  <w:num w:numId="38">
    <w:abstractNumId w:val="36"/>
  </w:num>
  <w:num w:numId="39">
    <w:abstractNumId w:val="26"/>
  </w:num>
  <w:num w:numId="40">
    <w:abstractNumId w:val="27"/>
  </w:num>
  <w:num w:numId="41">
    <w:abstractNumId w:val="10"/>
  </w:num>
  <w:num w:numId="42">
    <w:abstractNumId w:val="29"/>
  </w:num>
  <w:num w:numId="43">
    <w:abstractNumId w:val="16"/>
  </w:num>
  <w:num w:numId="44">
    <w:abstractNumId w:val="39"/>
  </w:num>
  <w:num w:numId="45">
    <w:abstractNumId w:val="14"/>
  </w:num>
  <w:num w:numId="46">
    <w:abstractNumId w:val="17"/>
  </w:num>
  <w:num w:numId="47">
    <w:abstractNumId w:val="2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A61B6"/>
    <w:rsid w:val="000B0730"/>
    <w:rsid w:val="000D19F4"/>
    <w:rsid w:val="000D58DD"/>
    <w:rsid w:val="000E65A3"/>
    <w:rsid w:val="000F1F42"/>
    <w:rsid w:val="000F2AE2"/>
    <w:rsid w:val="000F2BFF"/>
    <w:rsid w:val="00102063"/>
    <w:rsid w:val="0010541C"/>
    <w:rsid w:val="00105770"/>
    <w:rsid w:val="00106F93"/>
    <w:rsid w:val="00111D50"/>
    <w:rsid w:val="00113B8E"/>
    <w:rsid w:val="00117F59"/>
    <w:rsid w:val="0012053C"/>
    <w:rsid w:val="00122363"/>
    <w:rsid w:val="00125D45"/>
    <w:rsid w:val="0012602D"/>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458B"/>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03BA"/>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B2F07"/>
    <w:rsid w:val="003C310C"/>
    <w:rsid w:val="003C76D4"/>
    <w:rsid w:val="003D137D"/>
    <w:rsid w:val="003D2CC5"/>
    <w:rsid w:val="003D3E5C"/>
    <w:rsid w:val="003D6D6B"/>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AB0"/>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4734"/>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1E93"/>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0AA3"/>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42FE"/>
    <w:rsid w:val="00671078"/>
    <w:rsid w:val="006758CA"/>
    <w:rsid w:val="00680A04"/>
    <w:rsid w:val="00686D80"/>
    <w:rsid w:val="00694895"/>
    <w:rsid w:val="00694E4F"/>
    <w:rsid w:val="00697E2E"/>
    <w:rsid w:val="006A25A2"/>
    <w:rsid w:val="006A3B87"/>
    <w:rsid w:val="006B0A88"/>
    <w:rsid w:val="006B0E73"/>
    <w:rsid w:val="006B1E3D"/>
    <w:rsid w:val="006B4A4D"/>
    <w:rsid w:val="006B5695"/>
    <w:rsid w:val="006B62E6"/>
    <w:rsid w:val="006B7B2E"/>
    <w:rsid w:val="006C78EB"/>
    <w:rsid w:val="006D1660"/>
    <w:rsid w:val="006D5ACF"/>
    <w:rsid w:val="006D63E5"/>
    <w:rsid w:val="006E1753"/>
    <w:rsid w:val="006E2886"/>
    <w:rsid w:val="006E3911"/>
    <w:rsid w:val="006E69F4"/>
    <w:rsid w:val="006F1B67"/>
    <w:rsid w:val="006F4D9C"/>
    <w:rsid w:val="0070091D"/>
    <w:rsid w:val="00702854"/>
    <w:rsid w:val="0071741C"/>
    <w:rsid w:val="00742B90"/>
    <w:rsid w:val="0074434D"/>
    <w:rsid w:val="00751EC9"/>
    <w:rsid w:val="00752E53"/>
    <w:rsid w:val="007570C4"/>
    <w:rsid w:val="007605B8"/>
    <w:rsid w:val="00771B1E"/>
    <w:rsid w:val="00773C95"/>
    <w:rsid w:val="0078171E"/>
    <w:rsid w:val="00785CA0"/>
    <w:rsid w:val="0078658E"/>
    <w:rsid w:val="007920E2"/>
    <w:rsid w:val="0079566E"/>
    <w:rsid w:val="00795B34"/>
    <w:rsid w:val="007A067F"/>
    <w:rsid w:val="007B1770"/>
    <w:rsid w:val="007B3AC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523B"/>
    <w:rsid w:val="00886F64"/>
    <w:rsid w:val="008924DE"/>
    <w:rsid w:val="008A3755"/>
    <w:rsid w:val="008B19DC"/>
    <w:rsid w:val="008B264F"/>
    <w:rsid w:val="008B6F83"/>
    <w:rsid w:val="008B7FD8"/>
    <w:rsid w:val="008C2973"/>
    <w:rsid w:val="008C6324"/>
    <w:rsid w:val="008C64C4"/>
    <w:rsid w:val="008D2CDD"/>
    <w:rsid w:val="008D6DB6"/>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1C29"/>
    <w:rsid w:val="00962C2B"/>
    <w:rsid w:val="00964AB6"/>
    <w:rsid w:val="00966F9A"/>
    <w:rsid w:val="00977B8A"/>
    <w:rsid w:val="00982971"/>
    <w:rsid w:val="009845AD"/>
    <w:rsid w:val="00984835"/>
    <w:rsid w:val="009933EF"/>
    <w:rsid w:val="00995BA0"/>
    <w:rsid w:val="009A418B"/>
    <w:rsid w:val="009A426F"/>
    <w:rsid w:val="009A42D5"/>
    <w:rsid w:val="009A4473"/>
    <w:rsid w:val="009A6DE4"/>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64A"/>
    <w:rsid w:val="00BF3DE1"/>
    <w:rsid w:val="00BF4843"/>
    <w:rsid w:val="00BF5205"/>
    <w:rsid w:val="00C0377D"/>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495B"/>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6F6B"/>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0834"/>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4374"/>
    <w:rsid w:val="00F25970"/>
    <w:rsid w:val="00F27E89"/>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3A4"/>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79632"/>
  <w15:docId w15:val="{9DF962EF-0C81-4085-8081-15E36DAF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paragraph" w:styleId="BalloonText">
    <w:name w:val="Balloon Text"/>
    <w:basedOn w:val="Normal"/>
    <w:link w:val="BalloonTextChar"/>
    <w:semiHidden/>
    <w:unhideWhenUsed/>
    <w:rsid w:val="0082081A"/>
    <w:rPr>
      <w:rFonts w:ascii="Tahoma" w:hAnsi="Tahoma" w:cs="Tahoma"/>
      <w:sz w:val="16"/>
      <w:szCs w:val="16"/>
    </w:rPr>
  </w:style>
  <w:style w:type="character" w:customStyle="1" w:styleId="BalloonTextChar">
    <w:name w:val="Balloon Text Char"/>
    <w:basedOn w:val="DefaultParagraphFont"/>
    <w:link w:val="BalloonText"/>
    <w:semiHidden/>
    <w:rsid w:val="0082081A"/>
    <w:rPr>
      <w:rFonts w:ascii="Tahoma" w:hAnsi="Tahoma" w:cs="Tahoma"/>
      <w:sz w:val="16"/>
      <w:szCs w:val="16"/>
      <w:lang w:eastAsia="en-GB"/>
    </w:rPr>
  </w:style>
  <w:style w:type="table" w:styleId="TableGrid">
    <w:name w:val="Table Grid"/>
    <w:basedOn w:val="TableNormal"/>
    <w:uiPriority w:val="39"/>
    <w:rsid w:val="007B3A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standard lewis,List Paragraph1,List Paragraph numbered,List Bullet indent,Body,Level 3,Rec para,List 1,Other List,FooterText,numbered,Paragraphe de liste1,Bulletr List Paragraph,列出段落,列出段落1,Listeafsnit1,Parágrafo da Lista1,L"/>
    <w:basedOn w:val="Normal"/>
    <w:link w:val="ListParagraphChar"/>
    <w:uiPriority w:val="34"/>
    <w:qFormat/>
    <w:rsid w:val="007B3AC0"/>
    <w:pPr>
      <w:ind w:left="720"/>
    </w:pPr>
    <w:rPr>
      <w:rFonts w:ascii="Calibri" w:eastAsiaTheme="minorHAnsi" w:hAnsi="Calibri" w:cs="Calibri"/>
      <w:sz w:val="22"/>
      <w:szCs w:val="22"/>
      <w:lang w:eastAsia="en-US"/>
    </w:rPr>
  </w:style>
  <w:style w:type="character" w:customStyle="1" w:styleId="ListParagraphChar">
    <w:name w:val="List Paragraph Char"/>
    <w:aliases w:val="Recommendation Char,standard lewis Char,List Paragraph1 Char,List Paragraph numbered Char,List Bullet indent Char,Body Char,Level 3 Char,Rec para Char,List 1 Char,Other List Char,FooterText Char,numbered Char,列出段落 Char,列出段落1 Char"/>
    <w:basedOn w:val="DefaultParagraphFont"/>
    <w:link w:val="ListParagraph"/>
    <w:uiPriority w:val="34"/>
    <w:qFormat/>
    <w:rsid w:val="007B3AC0"/>
    <w:rPr>
      <w:rFonts w:ascii="Calibri" w:eastAsiaTheme="minorHAnsi" w:hAnsi="Calibri" w:cs="Calibri"/>
      <w:sz w:val="22"/>
      <w:szCs w:val="22"/>
      <w:lang w:eastAsia="en-US"/>
    </w:rPr>
  </w:style>
  <w:style w:type="character" w:customStyle="1" w:styleId="normaltextrun">
    <w:name w:val="normaltextrun"/>
    <w:basedOn w:val="DefaultParagraphFont"/>
    <w:rsid w:val="00C0377D"/>
  </w:style>
  <w:style w:type="character" w:customStyle="1" w:styleId="eop">
    <w:name w:val="eop"/>
    <w:basedOn w:val="DefaultParagraphFont"/>
    <w:rsid w:val="00C0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health.govt.nz/publication/draft-strategy-prevent-and-minimise-gambling-harm-2022-23-2024-25" TargetMode="External"/><Relationship Id="rId3" Type="http://schemas.openxmlformats.org/officeDocument/2006/relationships/styles" Target="styles.xml"/><Relationship Id="rId21" Type="http://schemas.openxmlformats.org/officeDocument/2006/relationships/hyperlink" Target="mailto:gamblingharm@moh.govt.nz"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onsult.health.govt.nz" TargetMode="External"/><Relationship Id="rId29" Type="http://schemas.openxmlformats.org/officeDocument/2006/relationships/hyperlink" Target="https://www.health.govt.nz/publication/strategy-prevent-and-minimise-gambling-harm-2019-20-202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health.govt.nz/publication/draft-strategy-prevent-and-minimise-gambling-harm-2022-23-2024-25" TargetMode="External"/><Relationship Id="rId32" Type="http://schemas.openxmlformats.org/officeDocument/2006/relationships/hyperlink" Target="https://www.health.govt.nz/publication/draft-strategy-prevent-and-minimise-gambling-harm-2022-23-2024-25"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s://www.health.govt.nz/publication/covid-19-psychosocial-and-mental-wellbeing-plan"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health.govt.nz/publication/draft-strategy-prevent-and-minimise-gambling-harm-2022-23-2024-25" TargetMode="External"/><Relationship Id="rId31" Type="http://schemas.openxmlformats.org/officeDocument/2006/relationships/hyperlink" Target="https://www.health.govt.nz/publication/draft-strategy-prevent-and-minimise-gambling-harm-2022-23-2024-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publication/draft-strategy-prevent-and-minimise-gambling-harm-2022-23-2024-25" TargetMode="External"/><Relationship Id="rId27" Type="http://schemas.openxmlformats.org/officeDocument/2006/relationships/hyperlink" Target="https://www.health.govt.nz/our-work/populations/maori-health/whakamaua-maori-health-action-plan-2020-2025" TargetMode="External"/><Relationship Id="rId30" Type="http://schemas.openxmlformats.org/officeDocument/2006/relationships/hyperlink" Target="https://www.health.govt.nz/our-work/mental-health-and-addiction/addiction/gamblin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0B33-9D87-470D-8049-12E16FED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21</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and Minimise Gambling Harm 2022/23 to 2024/25 Consultation Document Overview</dc:title>
  <dc:creator>Dianne Grain;Ministry of Health</dc:creator>
  <cp:lastModifiedBy>Julianne Ryan</cp:lastModifiedBy>
  <cp:revision>5</cp:revision>
  <cp:lastPrinted>2021-09-15T05:19:00Z</cp:lastPrinted>
  <dcterms:created xsi:type="dcterms:W3CDTF">2021-09-15T05:16:00Z</dcterms:created>
  <dcterms:modified xsi:type="dcterms:W3CDTF">2021-09-15T05:19:00Z</dcterms:modified>
</cp:coreProperties>
</file>