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248" w:rsidRPr="00D54D50" w:rsidRDefault="001F082B" w:rsidP="00D54D50">
      <w:pPr>
        <w:pStyle w:val="Title"/>
      </w:pPr>
      <w:r>
        <w:t xml:space="preserve">Draft </w:t>
      </w:r>
      <w:r w:rsidRPr="001F082B">
        <w:t xml:space="preserve">Code of Manufacturing Practice Guidelines </w:t>
      </w:r>
    </w:p>
    <w:p w:rsidR="00343365" w:rsidRPr="001F082B" w:rsidRDefault="00343365" w:rsidP="00343365">
      <w:pPr>
        <w:pStyle w:val="Year"/>
        <w:rPr>
          <w:sz w:val="2"/>
          <w:szCs w:val="2"/>
        </w:rPr>
      </w:pPr>
    </w:p>
    <w:p w:rsidR="00C86248" w:rsidRDefault="001F082B" w:rsidP="00343365">
      <w:pPr>
        <w:pStyle w:val="Subhead"/>
      </w:pPr>
      <w:r w:rsidRPr="001F082B">
        <w:t>Natural Health Products</w:t>
      </w:r>
    </w:p>
    <w:p w:rsidR="00142954" w:rsidRPr="00142954" w:rsidRDefault="00142954" w:rsidP="00142954">
      <w:pPr>
        <w:sectPr w:rsidR="00142954" w:rsidRPr="00142954" w:rsidSect="000F2AE2">
          <w:headerReference w:type="default" r:id="rId9"/>
          <w:footerReference w:type="default" r:id="rId10"/>
          <w:pgSz w:w="11907" w:h="16834" w:code="9"/>
          <w:pgMar w:top="3969" w:right="851" w:bottom="851" w:left="2552" w:header="851" w:footer="851" w:gutter="0"/>
          <w:cols w:space="720"/>
        </w:sectPr>
      </w:pPr>
    </w:p>
    <w:p w:rsidR="00C86248" w:rsidRDefault="00C86248">
      <w:pPr>
        <w:pStyle w:val="Imprint"/>
      </w:pPr>
      <w:r>
        <w:lastRenderedPageBreak/>
        <w:t xml:space="preserve">This document is available </w:t>
      </w:r>
      <w:r w:rsidR="0071741C">
        <w:t xml:space="preserve">at </w:t>
      </w:r>
      <w:r>
        <w:t>h</w:t>
      </w:r>
      <w:r w:rsidR="00A80363">
        <w:t>ealth</w:t>
      </w:r>
      <w:r>
        <w:t>.govt.nz</w:t>
      </w:r>
    </w:p>
    <w:p w:rsidR="00C86248" w:rsidRDefault="008C64C4">
      <w:pPr>
        <w:jc w:val="center"/>
      </w:pPr>
      <w:r>
        <w:rPr>
          <w:noProof/>
          <w:lang w:eastAsia="en-NZ"/>
        </w:rPr>
        <w:drawing>
          <wp:inline distT="0" distB="0" distL="0" distR="0" wp14:anchorId="40CEEBC9" wp14:editId="5D385E4D">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7E74F1" w:rsidRPr="007E74F1" w:rsidRDefault="007E74F1" w:rsidP="001F082B">
      <w:pPr>
        <w:pStyle w:val="Heading3"/>
        <w:keepNext w:val="0"/>
        <w:numPr>
          <w:ilvl w:val="0"/>
          <w:numId w:val="0"/>
        </w:numPr>
        <w:shd w:val="clear" w:color="auto" w:fill="FFFFFF"/>
        <w:ind w:left="992" w:right="-851"/>
        <w:rPr>
          <w:sz w:val="18"/>
          <w:szCs w:val="18"/>
        </w:rPr>
      </w:pPr>
      <w:r>
        <w:rPr>
          <w:b w:val="0"/>
          <w:noProof/>
          <w:sz w:val="22"/>
          <w:szCs w:val="22"/>
          <w:lang w:eastAsia="en-NZ"/>
        </w:rPr>
        <w:drawing>
          <wp:inline distT="0" distB="0" distL="0" distR="0" wp14:anchorId="4B92F2FF" wp14:editId="5F810B1C">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Pr>
          <w:b w:val="0"/>
          <w:sz w:val="22"/>
          <w:szCs w:val="22"/>
        </w:rPr>
        <w:t xml:space="preserve"> </w:t>
      </w:r>
      <w:r w:rsidRPr="00D535D0">
        <w:rPr>
          <w:b w:val="0"/>
          <w:sz w:val="18"/>
          <w:szCs w:val="18"/>
        </w:rPr>
        <w:t>This work is licensed under the Creative Commons Attribution 4.0 Interna</w:t>
      </w:r>
      <w:r>
        <w:rPr>
          <w:b w:val="0"/>
          <w:sz w:val="18"/>
          <w:szCs w:val="18"/>
        </w:rPr>
        <w:t>tional</w:t>
      </w:r>
      <w:r w:rsidRPr="00D535D0">
        <w:rPr>
          <w:b w:val="0"/>
          <w:sz w:val="18"/>
          <w:szCs w:val="18"/>
        </w:rPr>
        <w:t xml:space="preserve"> licence. In essence, </w:t>
      </w:r>
      <w:r w:rsidRPr="00D535D0">
        <w:rPr>
          <w:rFonts w:cs="Arial"/>
          <w:b w:val="0"/>
          <w:bCs/>
          <w:sz w:val="18"/>
          <w:szCs w:val="18"/>
        </w:rPr>
        <w:t xml:space="preserve">you are free to: </w:t>
      </w:r>
      <w:r w:rsidRPr="00D535D0">
        <w:rPr>
          <w:rFonts w:cs="Arial"/>
          <w:b w:val="0"/>
          <w:sz w:val="18"/>
          <w:szCs w:val="18"/>
        </w:rPr>
        <w:t xml:space="preserve">share </w:t>
      </w:r>
      <w:proofErr w:type="spellStart"/>
      <w:r w:rsidRPr="00D535D0">
        <w:rPr>
          <w:rFonts w:cs="Arial"/>
          <w:b w:val="0"/>
          <w:sz w:val="18"/>
          <w:szCs w:val="18"/>
        </w:rPr>
        <w:t>ie</w:t>
      </w:r>
      <w:proofErr w:type="spellEnd"/>
      <w:r w:rsidRPr="00D535D0">
        <w:rPr>
          <w:rFonts w:cs="Arial"/>
          <w:b w:val="0"/>
          <w:sz w:val="18"/>
          <w:szCs w:val="18"/>
        </w:rPr>
        <w:t xml:space="preserve">, copy and redistribute the material in any medium or format; adapt </w:t>
      </w:r>
      <w:proofErr w:type="spellStart"/>
      <w:r w:rsidRPr="00D535D0">
        <w:rPr>
          <w:rFonts w:cs="Arial"/>
          <w:b w:val="0"/>
          <w:sz w:val="18"/>
          <w:szCs w:val="18"/>
        </w:rPr>
        <w:t>ie</w:t>
      </w:r>
      <w:proofErr w:type="spellEnd"/>
      <w:r w:rsidRPr="00D535D0">
        <w:rPr>
          <w:rFonts w:cs="Arial"/>
          <w:b w:val="0"/>
          <w:sz w:val="18"/>
          <w:szCs w:val="18"/>
        </w:rPr>
        <w:t xml:space="preserve">, remix, transform and build upon the material. </w:t>
      </w:r>
      <w:r w:rsidRPr="00D535D0">
        <w:rPr>
          <w:rFonts w:cs="Arial"/>
          <w:b w:val="0"/>
          <w:bCs/>
          <w:sz w:val="18"/>
          <w:szCs w:val="18"/>
        </w:rPr>
        <w:t>You must give appropriate credit, provide a link to the licence and indicate if changes were made.</w:t>
      </w:r>
    </w:p>
    <w:p w:rsidR="00C86248" w:rsidRDefault="00C86248">
      <w:pPr>
        <w:jc w:val="center"/>
        <w:sectPr w:rsidR="00C86248" w:rsidSect="0016468A">
          <w:footerReference w:type="even" r:id="rId13"/>
          <w:footerReference w:type="default" r:id="rId14"/>
          <w:pgSz w:w="11907" w:h="16834" w:code="9"/>
          <w:pgMar w:top="1701" w:right="1134" w:bottom="1134" w:left="1985" w:header="0" w:footer="0" w:gutter="0"/>
          <w:cols w:space="720"/>
          <w:vAlign w:val="bottom"/>
        </w:sectPr>
      </w:pPr>
    </w:p>
    <w:p w:rsidR="00C86248" w:rsidRDefault="00C86248">
      <w:pPr>
        <w:pStyle w:val="IntroHead"/>
      </w:pPr>
      <w:bookmarkStart w:id="0" w:name="_Toc405792991"/>
      <w:bookmarkStart w:id="1" w:name="_Toc405793224"/>
      <w:r>
        <w:lastRenderedPageBreak/>
        <w:t>Contents</w:t>
      </w:r>
      <w:bookmarkEnd w:id="0"/>
      <w:bookmarkEnd w:id="1"/>
    </w:p>
    <w:p w:rsidR="00B83BA5" w:rsidRDefault="00C86248">
      <w:pPr>
        <w:pStyle w:val="TOC1"/>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sidR="00B83BA5">
        <w:rPr>
          <w:noProof/>
        </w:rPr>
        <w:t>1</w:t>
      </w:r>
      <w:r w:rsidR="00B83BA5">
        <w:rPr>
          <w:rFonts w:asciiTheme="minorHAnsi" w:eastAsiaTheme="minorEastAsia" w:hAnsiTheme="minorHAnsi" w:cstheme="minorBidi"/>
          <w:b w:val="0"/>
          <w:noProof/>
          <w:szCs w:val="22"/>
          <w:lang w:eastAsia="en-NZ"/>
        </w:rPr>
        <w:tab/>
      </w:r>
      <w:r w:rsidR="00B83BA5">
        <w:rPr>
          <w:noProof/>
        </w:rPr>
        <w:t>Risk</w:t>
      </w:r>
      <w:r w:rsidR="00B83BA5">
        <w:rPr>
          <w:noProof/>
        </w:rPr>
        <w:tab/>
      </w:r>
      <w:r w:rsidR="00B83BA5">
        <w:rPr>
          <w:noProof/>
        </w:rPr>
        <w:fldChar w:fldCharType="begin"/>
      </w:r>
      <w:r w:rsidR="00B83BA5">
        <w:rPr>
          <w:noProof/>
        </w:rPr>
        <w:instrText xml:space="preserve"> PAGEREF _Toc435347214 \h </w:instrText>
      </w:r>
      <w:r w:rsidR="00B83BA5">
        <w:rPr>
          <w:noProof/>
        </w:rPr>
      </w:r>
      <w:r w:rsidR="00B83BA5">
        <w:rPr>
          <w:noProof/>
        </w:rPr>
        <w:fldChar w:fldCharType="separate"/>
      </w:r>
      <w:r w:rsidR="00B83BA5">
        <w:rPr>
          <w:noProof/>
        </w:rPr>
        <w:t>1</w:t>
      </w:r>
      <w:r w:rsidR="00B83BA5">
        <w:rPr>
          <w:noProof/>
        </w:rPr>
        <w:fldChar w:fldCharType="end"/>
      </w:r>
    </w:p>
    <w:p w:rsidR="00B83BA5" w:rsidRDefault="00B83BA5">
      <w:pPr>
        <w:pStyle w:val="TOC2"/>
        <w:tabs>
          <w:tab w:val="left" w:pos="1134"/>
        </w:tabs>
        <w:rPr>
          <w:rFonts w:asciiTheme="minorHAnsi" w:eastAsiaTheme="minorEastAsia" w:hAnsiTheme="minorHAnsi" w:cstheme="minorBidi"/>
          <w:noProof/>
          <w:szCs w:val="22"/>
          <w:lang w:eastAsia="en-NZ"/>
        </w:rPr>
      </w:pPr>
      <w:r>
        <w:rPr>
          <w:noProof/>
        </w:rPr>
        <w:t>1.1</w:t>
      </w:r>
      <w:r>
        <w:rPr>
          <w:rFonts w:asciiTheme="minorHAnsi" w:eastAsiaTheme="minorEastAsia" w:hAnsiTheme="minorHAnsi" w:cstheme="minorBidi"/>
          <w:noProof/>
          <w:szCs w:val="22"/>
          <w:lang w:eastAsia="en-NZ"/>
        </w:rPr>
        <w:tab/>
      </w:r>
      <w:r>
        <w:rPr>
          <w:noProof/>
        </w:rPr>
        <w:t>Introduction</w:t>
      </w:r>
      <w:r>
        <w:rPr>
          <w:noProof/>
        </w:rPr>
        <w:tab/>
      </w:r>
      <w:r>
        <w:rPr>
          <w:noProof/>
        </w:rPr>
        <w:fldChar w:fldCharType="begin"/>
      </w:r>
      <w:r>
        <w:rPr>
          <w:noProof/>
        </w:rPr>
        <w:instrText xml:space="preserve"> PAGEREF _Toc435347215 \h </w:instrText>
      </w:r>
      <w:r>
        <w:rPr>
          <w:noProof/>
        </w:rPr>
      </w:r>
      <w:r>
        <w:rPr>
          <w:noProof/>
        </w:rPr>
        <w:fldChar w:fldCharType="separate"/>
      </w:r>
      <w:r>
        <w:rPr>
          <w:noProof/>
        </w:rPr>
        <w:t>1</w:t>
      </w:r>
      <w:r>
        <w:rPr>
          <w:noProof/>
        </w:rPr>
        <w:fldChar w:fldCharType="end"/>
      </w:r>
    </w:p>
    <w:p w:rsidR="00B83BA5" w:rsidRDefault="00B83BA5">
      <w:pPr>
        <w:pStyle w:val="TOC2"/>
        <w:tabs>
          <w:tab w:val="left" w:pos="1134"/>
        </w:tabs>
        <w:rPr>
          <w:rFonts w:asciiTheme="minorHAnsi" w:eastAsiaTheme="minorEastAsia" w:hAnsiTheme="minorHAnsi" w:cstheme="minorBidi"/>
          <w:noProof/>
          <w:szCs w:val="22"/>
          <w:lang w:eastAsia="en-NZ"/>
        </w:rPr>
      </w:pPr>
      <w:r>
        <w:rPr>
          <w:noProof/>
        </w:rPr>
        <w:t>1.2</w:t>
      </w:r>
      <w:r>
        <w:rPr>
          <w:rFonts w:asciiTheme="minorHAnsi" w:eastAsiaTheme="minorEastAsia" w:hAnsiTheme="minorHAnsi" w:cstheme="minorBidi"/>
          <w:noProof/>
          <w:szCs w:val="22"/>
          <w:lang w:eastAsia="en-NZ"/>
        </w:rPr>
        <w:tab/>
      </w:r>
      <w:r>
        <w:rPr>
          <w:noProof/>
        </w:rPr>
        <w:t>Risk assessment matrix</w:t>
      </w:r>
      <w:r>
        <w:rPr>
          <w:noProof/>
        </w:rPr>
        <w:tab/>
      </w:r>
      <w:r>
        <w:rPr>
          <w:noProof/>
        </w:rPr>
        <w:fldChar w:fldCharType="begin"/>
      </w:r>
      <w:r>
        <w:rPr>
          <w:noProof/>
        </w:rPr>
        <w:instrText xml:space="preserve"> PAGEREF _Toc435347216 \h </w:instrText>
      </w:r>
      <w:r>
        <w:rPr>
          <w:noProof/>
        </w:rPr>
      </w:r>
      <w:r>
        <w:rPr>
          <w:noProof/>
        </w:rPr>
        <w:fldChar w:fldCharType="separate"/>
      </w:r>
      <w:r>
        <w:rPr>
          <w:noProof/>
        </w:rPr>
        <w:t>2</w:t>
      </w:r>
      <w:r>
        <w:rPr>
          <w:noProof/>
        </w:rPr>
        <w:fldChar w:fldCharType="end"/>
      </w:r>
    </w:p>
    <w:p w:rsidR="00B83BA5" w:rsidRDefault="00B83BA5">
      <w:pPr>
        <w:pStyle w:val="TOC2"/>
        <w:tabs>
          <w:tab w:val="left" w:pos="1134"/>
        </w:tabs>
        <w:rPr>
          <w:rFonts w:asciiTheme="minorHAnsi" w:eastAsiaTheme="minorEastAsia" w:hAnsiTheme="minorHAnsi" w:cstheme="minorBidi"/>
          <w:noProof/>
          <w:szCs w:val="22"/>
          <w:lang w:eastAsia="en-NZ"/>
        </w:rPr>
      </w:pPr>
      <w:r>
        <w:rPr>
          <w:noProof/>
        </w:rPr>
        <w:t>1.3</w:t>
      </w:r>
      <w:r>
        <w:rPr>
          <w:rFonts w:asciiTheme="minorHAnsi" w:eastAsiaTheme="minorEastAsia" w:hAnsiTheme="minorHAnsi" w:cstheme="minorBidi"/>
          <w:noProof/>
          <w:szCs w:val="22"/>
          <w:lang w:eastAsia="en-NZ"/>
        </w:rPr>
        <w:tab/>
      </w:r>
      <w:r>
        <w:rPr>
          <w:noProof/>
        </w:rPr>
        <w:t>Identifying risk level</w:t>
      </w:r>
      <w:r>
        <w:rPr>
          <w:noProof/>
        </w:rPr>
        <w:tab/>
      </w:r>
      <w:r>
        <w:rPr>
          <w:noProof/>
        </w:rPr>
        <w:fldChar w:fldCharType="begin"/>
      </w:r>
      <w:r>
        <w:rPr>
          <w:noProof/>
        </w:rPr>
        <w:instrText xml:space="preserve"> PAGEREF _Toc435347217 \h </w:instrText>
      </w:r>
      <w:r>
        <w:rPr>
          <w:noProof/>
        </w:rPr>
      </w:r>
      <w:r>
        <w:rPr>
          <w:noProof/>
        </w:rPr>
        <w:fldChar w:fldCharType="separate"/>
      </w:r>
      <w:r>
        <w:rPr>
          <w:noProof/>
        </w:rPr>
        <w:t>4</w:t>
      </w:r>
      <w:r>
        <w:rPr>
          <w:noProof/>
        </w:rPr>
        <w:fldChar w:fldCharType="end"/>
      </w:r>
    </w:p>
    <w:p w:rsidR="00B83BA5" w:rsidRDefault="00B83BA5">
      <w:pPr>
        <w:pStyle w:val="TOC2"/>
        <w:tabs>
          <w:tab w:val="left" w:pos="1134"/>
        </w:tabs>
        <w:rPr>
          <w:rFonts w:asciiTheme="minorHAnsi" w:eastAsiaTheme="minorEastAsia" w:hAnsiTheme="minorHAnsi" w:cstheme="minorBidi"/>
          <w:noProof/>
          <w:szCs w:val="22"/>
          <w:lang w:eastAsia="en-NZ"/>
        </w:rPr>
      </w:pPr>
      <w:r>
        <w:rPr>
          <w:noProof/>
        </w:rPr>
        <w:t>1.4</w:t>
      </w:r>
      <w:r>
        <w:rPr>
          <w:rFonts w:asciiTheme="minorHAnsi" w:eastAsiaTheme="minorEastAsia" w:hAnsiTheme="minorHAnsi" w:cstheme="minorBidi"/>
          <w:noProof/>
          <w:szCs w:val="22"/>
          <w:lang w:eastAsia="en-NZ"/>
        </w:rPr>
        <w:tab/>
      </w:r>
      <w:r>
        <w:rPr>
          <w:noProof/>
        </w:rPr>
        <w:t>Application of the risk assessment matrix</w:t>
      </w:r>
      <w:r>
        <w:rPr>
          <w:noProof/>
        </w:rPr>
        <w:tab/>
      </w:r>
      <w:r>
        <w:rPr>
          <w:noProof/>
        </w:rPr>
        <w:fldChar w:fldCharType="begin"/>
      </w:r>
      <w:r>
        <w:rPr>
          <w:noProof/>
        </w:rPr>
        <w:instrText xml:space="preserve"> PAGEREF _Toc435347218 \h </w:instrText>
      </w:r>
      <w:r>
        <w:rPr>
          <w:noProof/>
        </w:rPr>
      </w:r>
      <w:r>
        <w:rPr>
          <w:noProof/>
        </w:rPr>
        <w:fldChar w:fldCharType="separate"/>
      </w:r>
      <w:r>
        <w:rPr>
          <w:noProof/>
        </w:rPr>
        <w:t>5</w:t>
      </w:r>
      <w:r>
        <w:rPr>
          <w:noProof/>
        </w:rPr>
        <w:fldChar w:fldCharType="end"/>
      </w:r>
    </w:p>
    <w:p w:rsidR="00B83BA5" w:rsidRDefault="00B83BA5">
      <w:pPr>
        <w:pStyle w:val="TOC1"/>
        <w:rPr>
          <w:rFonts w:asciiTheme="minorHAnsi" w:eastAsiaTheme="minorEastAsia" w:hAnsiTheme="minorHAnsi" w:cstheme="minorBidi"/>
          <w:b w:val="0"/>
          <w:noProof/>
          <w:szCs w:val="22"/>
          <w:lang w:eastAsia="en-NZ"/>
        </w:rPr>
      </w:pPr>
      <w:r>
        <w:rPr>
          <w:noProof/>
        </w:rPr>
        <w:t>2</w:t>
      </w:r>
      <w:r>
        <w:rPr>
          <w:rFonts w:asciiTheme="minorHAnsi" w:eastAsiaTheme="minorEastAsia" w:hAnsiTheme="minorHAnsi" w:cstheme="minorBidi"/>
          <w:b w:val="0"/>
          <w:noProof/>
          <w:szCs w:val="22"/>
          <w:lang w:eastAsia="en-NZ"/>
        </w:rPr>
        <w:tab/>
      </w:r>
      <w:r>
        <w:rPr>
          <w:noProof/>
        </w:rPr>
        <w:t>Case studies</w:t>
      </w:r>
      <w:r>
        <w:rPr>
          <w:noProof/>
        </w:rPr>
        <w:tab/>
      </w:r>
      <w:r>
        <w:rPr>
          <w:noProof/>
        </w:rPr>
        <w:fldChar w:fldCharType="begin"/>
      </w:r>
      <w:r>
        <w:rPr>
          <w:noProof/>
        </w:rPr>
        <w:instrText xml:space="preserve"> PAGEREF _Toc435347219 \h </w:instrText>
      </w:r>
      <w:r>
        <w:rPr>
          <w:noProof/>
        </w:rPr>
      </w:r>
      <w:r>
        <w:rPr>
          <w:noProof/>
        </w:rPr>
        <w:fldChar w:fldCharType="separate"/>
      </w:r>
      <w:r>
        <w:rPr>
          <w:noProof/>
        </w:rPr>
        <w:t>7</w:t>
      </w:r>
      <w:r>
        <w:rPr>
          <w:noProof/>
        </w:rPr>
        <w:fldChar w:fldCharType="end"/>
      </w:r>
    </w:p>
    <w:p w:rsidR="00B83BA5" w:rsidRDefault="00B83BA5">
      <w:pPr>
        <w:pStyle w:val="TOC2"/>
        <w:tabs>
          <w:tab w:val="left" w:pos="1134"/>
        </w:tabs>
        <w:rPr>
          <w:rFonts w:asciiTheme="minorHAnsi" w:eastAsiaTheme="minorEastAsia" w:hAnsiTheme="minorHAnsi" w:cstheme="minorBidi"/>
          <w:noProof/>
          <w:szCs w:val="22"/>
          <w:lang w:eastAsia="en-NZ"/>
        </w:rPr>
      </w:pPr>
      <w:r>
        <w:rPr>
          <w:noProof/>
        </w:rPr>
        <w:t>2.1</w:t>
      </w:r>
      <w:r>
        <w:rPr>
          <w:rFonts w:asciiTheme="minorHAnsi" w:eastAsiaTheme="minorEastAsia" w:hAnsiTheme="minorHAnsi" w:cstheme="minorBidi"/>
          <w:noProof/>
          <w:szCs w:val="22"/>
          <w:lang w:eastAsia="en-NZ"/>
        </w:rPr>
        <w:tab/>
      </w:r>
      <w:r>
        <w:rPr>
          <w:noProof/>
        </w:rPr>
        <w:t>Introduction</w:t>
      </w:r>
      <w:r>
        <w:rPr>
          <w:noProof/>
        </w:rPr>
        <w:tab/>
      </w:r>
      <w:r>
        <w:rPr>
          <w:noProof/>
        </w:rPr>
        <w:fldChar w:fldCharType="begin"/>
      </w:r>
      <w:r>
        <w:rPr>
          <w:noProof/>
        </w:rPr>
        <w:instrText xml:space="preserve"> PAGEREF _Toc435347220 \h </w:instrText>
      </w:r>
      <w:r>
        <w:rPr>
          <w:noProof/>
        </w:rPr>
      </w:r>
      <w:r>
        <w:rPr>
          <w:noProof/>
        </w:rPr>
        <w:fldChar w:fldCharType="separate"/>
      </w:r>
      <w:r>
        <w:rPr>
          <w:noProof/>
        </w:rPr>
        <w:t>7</w:t>
      </w:r>
      <w:r>
        <w:rPr>
          <w:noProof/>
        </w:rPr>
        <w:fldChar w:fldCharType="end"/>
      </w:r>
    </w:p>
    <w:p w:rsidR="00B83BA5" w:rsidRDefault="00B83BA5">
      <w:pPr>
        <w:pStyle w:val="TOC2"/>
        <w:tabs>
          <w:tab w:val="left" w:pos="1134"/>
        </w:tabs>
        <w:rPr>
          <w:rFonts w:asciiTheme="minorHAnsi" w:eastAsiaTheme="minorEastAsia" w:hAnsiTheme="minorHAnsi" w:cstheme="minorBidi"/>
          <w:noProof/>
          <w:szCs w:val="22"/>
          <w:lang w:eastAsia="en-NZ"/>
        </w:rPr>
      </w:pPr>
      <w:r>
        <w:rPr>
          <w:noProof/>
        </w:rPr>
        <w:t>2.2</w:t>
      </w:r>
      <w:r>
        <w:rPr>
          <w:rFonts w:asciiTheme="minorHAnsi" w:eastAsiaTheme="minorEastAsia" w:hAnsiTheme="minorHAnsi" w:cstheme="minorBidi"/>
          <w:noProof/>
          <w:szCs w:val="22"/>
          <w:lang w:eastAsia="en-NZ"/>
        </w:rPr>
        <w:tab/>
      </w:r>
      <w:r>
        <w:rPr>
          <w:noProof/>
        </w:rPr>
        <w:t>Case study 1</w:t>
      </w:r>
      <w:r>
        <w:rPr>
          <w:noProof/>
        </w:rPr>
        <w:tab/>
      </w:r>
      <w:r>
        <w:rPr>
          <w:noProof/>
        </w:rPr>
        <w:fldChar w:fldCharType="begin"/>
      </w:r>
      <w:r>
        <w:rPr>
          <w:noProof/>
        </w:rPr>
        <w:instrText xml:space="preserve"> PAGEREF _Toc435347221 \h </w:instrText>
      </w:r>
      <w:r>
        <w:rPr>
          <w:noProof/>
        </w:rPr>
      </w:r>
      <w:r>
        <w:rPr>
          <w:noProof/>
        </w:rPr>
        <w:fldChar w:fldCharType="separate"/>
      </w:r>
      <w:r>
        <w:rPr>
          <w:noProof/>
        </w:rPr>
        <w:t>7</w:t>
      </w:r>
      <w:r>
        <w:rPr>
          <w:noProof/>
        </w:rPr>
        <w:fldChar w:fldCharType="end"/>
      </w:r>
    </w:p>
    <w:p w:rsidR="00B83BA5" w:rsidRDefault="00B83BA5">
      <w:pPr>
        <w:pStyle w:val="TOC2"/>
        <w:tabs>
          <w:tab w:val="left" w:pos="1134"/>
        </w:tabs>
        <w:rPr>
          <w:rFonts w:asciiTheme="minorHAnsi" w:eastAsiaTheme="minorEastAsia" w:hAnsiTheme="minorHAnsi" w:cstheme="minorBidi"/>
          <w:noProof/>
          <w:szCs w:val="22"/>
          <w:lang w:eastAsia="en-NZ"/>
        </w:rPr>
      </w:pPr>
      <w:r>
        <w:rPr>
          <w:noProof/>
        </w:rPr>
        <w:t>2.3</w:t>
      </w:r>
      <w:r>
        <w:rPr>
          <w:rFonts w:asciiTheme="minorHAnsi" w:eastAsiaTheme="minorEastAsia" w:hAnsiTheme="minorHAnsi" w:cstheme="minorBidi"/>
          <w:noProof/>
          <w:szCs w:val="22"/>
          <w:lang w:eastAsia="en-NZ"/>
        </w:rPr>
        <w:tab/>
      </w:r>
      <w:r>
        <w:rPr>
          <w:noProof/>
        </w:rPr>
        <w:t>Case study 2</w:t>
      </w:r>
      <w:r>
        <w:rPr>
          <w:noProof/>
        </w:rPr>
        <w:tab/>
      </w:r>
      <w:r>
        <w:rPr>
          <w:noProof/>
        </w:rPr>
        <w:fldChar w:fldCharType="begin"/>
      </w:r>
      <w:r>
        <w:rPr>
          <w:noProof/>
        </w:rPr>
        <w:instrText xml:space="preserve"> PAGEREF _Toc435347222 \h </w:instrText>
      </w:r>
      <w:r>
        <w:rPr>
          <w:noProof/>
        </w:rPr>
      </w:r>
      <w:r>
        <w:rPr>
          <w:noProof/>
        </w:rPr>
        <w:fldChar w:fldCharType="separate"/>
      </w:r>
      <w:r>
        <w:rPr>
          <w:noProof/>
        </w:rPr>
        <w:t>9</w:t>
      </w:r>
      <w:r>
        <w:rPr>
          <w:noProof/>
        </w:rPr>
        <w:fldChar w:fldCharType="end"/>
      </w:r>
    </w:p>
    <w:p w:rsidR="00B83BA5" w:rsidRDefault="00B83BA5">
      <w:pPr>
        <w:pStyle w:val="TOC2"/>
        <w:tabs>
          <w:tab w:val="left" w:pos="1134"/>
        </w:tabs>
        <w:rPr>
          <w:rFonts w:asciiTheme="minorHAnsi" w:eastAsiaTheme="minorEastAsia" w:hAnsiTheme="minorHAnsi" w:cstheme="minorBidi"/>
          <w:noProof/>
          <w:szCs w:val="22"/>
          <w:lang w:eastAsia="en-NZ"/>
        </w:rPr>
      </w:pPr>
      <w:r>
        <w:rPr>
          <w:noProof/>
        </w:rPr>
        <w:t>2.4</w:t>
      </w:r>
      <w:r>
        <w:rPr>
          <w:rFonts w:asciiTheme="minorHAnsi" w:eastAsiaTheme="minorEastAsia" w:hAnsiTheme="minorHAnsi" w:cstheme="minorBidi"/>
          <w:noProof/>
          <w:szCs w:val="22"/>
          <w:lang w:eastAsia="en-NZ"/>
        </w:rPr>
        <w:tab/>
      </w:r>
      <w:r>
        <w:rPr>
          <w:noProof/>
        </w:rPr>
        <w:t>Case study 3</w:t>
      </w:r>
      <w:r>
        <w:rPr>
          <w:noProof/>
        </w:rPr>
        <w:tab/>
      </w:r>
      <w:r>
        <w:rPr>
          <w:noProof/>
        </w:rPr>
        <w:fldChar w:fldCharType="begin"/>
      </w:r>
      <w:r>
        <w:rPr>
          <w:noProof/>
        </w:rPr>
        <w:instrText xml:space="preserve"> PAGEREF _Toc435347223 \h </w:instrText>
      </w:r>
      <w:r>
        <w:rPr>
          <w:noProof/>
        </w:rPr>
      </w:r>
      <w:r>
        <w:rPr>
          <w:noProof/>
        </w:rPr>
        <w:fldChar w:fldCharType="separate"/>
      </w:r>
      <w:r>
        <w:rPr>
          <w:noProof/>
        </w:rPr>
        <w:t>10</w:t>
      </w:r>
      <w:r>
        <w:rPr>
          <w:noProof/>
        </w:rPr>
        <w:fldChar w:fldCharType="end"/>
      </w:r>
    </w:p>
    <w:p w:rsidR="00B83BA5" w:rsidRDefault="00B83BA5">
      <w:pPr>
        <w:pStyle w:val="TOC2"/>
        <w:tabs>
          <w:tab w:val="left" w:pos="1134"/>
        </w:tabs>
        <w:rPr>
          <w:rFonts w:asciiTheme="minorHAnsi" w:eastAsiaTheme="minorEastAsia" w:hAnsiTheme="minorHAnsi" w:cstheme="minorBidi"/>
          <w:noProof/>
          <w:szCs w:val="22"/>
          <w:lang w:eastAsia="en-NZ"/>
        </w:rPr>
      </w:pPr>
      <w:r>
        <w:rPr>
          <w:noProof/>
        </w:rPr>
        <w:t>2.5</w:t>
      </w:r>
      <w:r>
        <w:rPr>
          <w:rFonts w:asciiTheme="minorHAnsi" w:eastAsiaTheme="minorEastAsia" w:hAnsiTheme="minorHAnsi" w:cstheme="minorBidi"/>
          <w:noProof/>
          <w:szCs w:val="22"/>
          <w:lang w:eastAsia="en-NZ"/>
        </w:rPr>
        <w:tab/>
      </w:r>
      <w:r>
        <w:rPr>
          <w:noProof/>
        </w:rPr>
        <w:t>Case study 4</w:t>
      </w:r>
      <w:r>
        <w:rPr>
          <w:noProof/>
        </w:rPr>
        <w:tab/>
      </w:r>
      <w:r>
        <w:rPr>
          <w:noProof/>
        </w:rPr>
        <w:fldChar w:fldCharType="begin"/>
      </w:r>
      <w:r>
        <w:rPr>
          <w:noProof/>
        </w:rPr>
        <w:instrText xml:space="preserve"> PAGEREF _Toc435347224 \h </w:instrText>
      </w:r>
      <w:r>
        <w:rPr>
          <w:noProof/>
        </w:rPr>
      </w:r>
      <w:r>
        <w:rPr>
          <w:noProof/>
        </w:rPr>
        <w:fldChar w:fldCharType="separate"/>
      </w:r>
      <w:r>
        <w:rPr>
          <w:noProof/>
        </w:rPr>
        <w:t>11</w:t>
      </w:r>
      <w:r>
        <w:rPr>
          <w:noProof/>
        </w:rPr>
        <w:fldChar w:fldCharType="end"/>
      </w:r>
    </w:p>
    <w:p w:rsidR="00B83BA5" w:rsidRDefault="00B83BA5">
      <w:pPr>
        <w:pStyle w:val="TOC2"/>
        <w:tabs>
          <w:tab w:val="left" w:pos="1134"/>
        </w:tabs>
        <w:rPr>
          <w:rFonts w:asciiTheme="minorHAnsi" w:eastAsiaTheme="minorEastAsia" w:hAnsiTheme="minorHAnsi" w:cstheme="minorBidi"/>
          <w:noProof/>
          <w:szCs w:val="22"/>
          <w:lang w:eastAsia="en-NZ"/>
        </w:rPr>
      </w:pPr>
      <w:r>
        <w:rPr>
          <w:noProof/>
        </w:rPr>
        <w:t>2.6</w:t>
      </w:r>
      <w:r>
        <w:rPr>
          <w:rFonts w:asciiTheme="minorHAnsi" w:eastAsiaTheme="minorEastAsia" w:hAnsiTheme="minorHAnsi" w:cstheme="minorBidi"/>
          <w:noProof/>
          <w:szCs w:val="22"/>
          <w:lang w:eastAsia="en-NZ"/>
        </w:rPr>
        <w:tab/>
      </w:r>
      <w:r>
        <w:rPr>
          <w:noProof/>
        </w:rPr>
        <w:t>Case study 5</w:t>
      </w:r>
      <w:r>
        <w:rPr>
          <w:noProof/>
        </w:rPr>
        <w:tab/>
      </w:r>
      <w:r>
        <w:rPr>
          <w:noProof/>
        </w:rPr>
        <w:fldChar w:fldCharType="begin"/>
      </w:r>
      <w:r>
        <w:rPr>
          <w:noProof/>
        </w:rPr>
        <w:instrText xml:space="preserve"> PAGEREF _Toc435347225 \h </w:instrText>
      </w:r>
      <w:r>
        <w:rPr>
          <w:noProof/>
        </w:rPr>
      </w:r>
      <w:r>
        <w:rPr>
          <w:noProof/>
        </w:rPr>
        <w:fldChar w:fldCharType="separate"/>
      </w:r>
      <w:r>
        <w:rPr>
          <w:noProof/>
        </w:rPr>
        <w:t>12</w:t>
      </w:r>
      <w:r>
        <w:rPr>
          <w:noProof/>
        </w:rPr>
        <w:fldChar w:fldCharType="end"/>
      </w:r>
    </w:p>
    <w:p w:rsidR="00B83BA5" w:rsidRDefault="00B83BA5">
      <w:pPr>
        <w:pStyle w:val="TOC1"/>
        <w:rPr>
          <w:rFonts w:asciiTheme="minorHAnsi" w:eastAsiaTheme="minorEastAsia" w:hAnsiTheme="minorHAnsi" w:cstheme="minorBidi"/>
          <w:b w:val="0"/>
          <w:noProof/>
          <w:szCs w:val="22"/>
          <w:lang w:eastAsia="en-NZ"/>
        </w:rPr>
      </w:pPr>
      <w:r>
        <w:rPr>
          <w:noProof/>
        </w:rPr>
        <w:t>3</w:t>
      </w:r>
      <w:r>
        <w:rPr>
          <w:rFonts w:asciiTheme="minorHAnsi" w:eastAsiaTheme="minorEastAsia" w:hAnsiTheme="minorHAnsi" w:cstheme="minorBidi"/>
          <w:b w:val="0"/>
          <w:noProof/>
          <w:szCs w:val="22"/>
          <w:lang w:eastAsia="en-NZ"/>
        </w:rPr>
        <w:tab/>
      </w:r>
      <w:r>
        <w:rPr>
          <w:noProof/>
        </w:rPr>
        <w:t>Audit of manufacturing facility</w:t>
      </w:r>
      <w:r>
        <w:rPr>
          <w:noProof/>
        </w:rPr>
        <w:tab/>
      </w:r>
      <w:r>
        <w:rPr>
          <w:noProof/>
        </w:rPr>
        <w:fldChar w:fldCharType="begin"/>
      </w:r>
      <w:r>
        <w:rPr>
          <w:noProof/>
        </w:rPr>
        <w:instrText xml:space="preserve"> PAGEREF _Toc435347226 \h </w:instrText>
      </w:r>
      <w:r>
        <w:rPr>
          <w:noProof/>
        </w:rPr>
      </w:r>
      <w:r>
        <w:rPr>
          <w:noProof/>
        </w:rPr>
        <w:fldChar w:fldCharType="separate"/>
      </w:r>
      <w:r>
        <w:rPr>
          <w:noProof/>
        </w:rPr>
        <w:t>13</w:t>
      </w:r>
      <w:r>
        <w:rPr>
          <w:noProof/>
        </w:rPr>
        <w:fldChar w:fldCharType="end"/>
      </w:r>
    </w:p>
    <w:p w:rsidR="00B83BA5" w:rsidRDefault="00B83BA5">
      <w:pPr>
        <w:pStyle w:val="TOC2"/>
        <w:tabs>
          <w:tab w:val="left" w:pos="1134"/>
        </w:tabs>
        <w:rPr>
          <w:rFonts w:asciiTheme="minorHAnsi" w:eastAsiaTheme="minorEastAsia" w:hAnsiTheme="minorHAnsi" w:cstheme="minorBidi"/>
          <w:noProof/>
          <w:szCs w:val="22"/>
          <w:lang w:eastAsia="en-NZ"/>
        </w:rPr>
      </w:pPr>
      <w:r>
        <w:rPr>
          <w:noProof/>
        </w:rPr>
        <w:t>3.1</w:t>
      </w:r>
      <w:r>
        <w:rPr>
          <w:rFonts w:asciiTheme="minorHAnsi" w:eastAsiaTheme="minorEastAsia" w:hAnsiTheme="minorHAnsi" w:cstheme="minorBidi"/>
          <w:noProof/>
          <w:szCs w:val="22"/>
          <w:lang w:eastAsia="en-NZ"/>
        </w:rPr>
        <w:tab/>
      </w:r>
      <w:r>
        <w:rPr>
          <w:noProof/>
        </w:rPr>
        <w:t>Introduction</w:t>
      </w:r>
      <w:r>
        <w:rPr>
          <w:noProof/>
        </w:rPr>
        <w:tab/>
      </w:r>
      <w:r>
        <w:rPr>
          <w:noProof/>
        </w:rPr>
        <w:fldChar w:fldCharType="begin"/>
      </w:r>
      <w:r>
        <w:rPr>
          <w:noProof/>
        </w:rPr>
        <w:instrText xml:space="preserve"> PAGEREF _Toc435347227 \h </w:instrText>
      </w:r>
      <w:r>
        <w:rPr>
          <w:noProof/>
        </w:rPr>
      </w:r>
      <w:r>
        <w:rPr>
          <w:noProof/>
        </w:rPr>
        <w:fldChar w:fldCharType="separate"/>
      </w:r>
      <w:r>
        <w:rPr>
          <w:noProof/>
        </w:rPr>
        <w:t>13</w:t>
      </w:r>
      <w:r>
        <w:rPr>
          <w:noProof/>
        </w:rPr>
        <w:fldChar w:fldCharType="end"/>
      </w:r>
    </w:p>
    <w:p w:rsidR="00B83BA5" w:rsidRDefault="00B83BA5">
      <w:pPr>
        <w:pStyle w:val="TOC2"/>
        <w:tabs>
          <w:tab w:val="left" w:pos="1134"/>
        </w:tabs>
        <w:rPr>
          <w:rFonts w:asciiTheme="minorHAnsi" w:eastAsiaTheme="minorEastAsia" w:hAnsiTheme="minorHAnsi" w:cstheme="minorBidi"/>
          <w:noProof/>
          <w:szCs w:val="22"/>
          <w:lang w:eastAsia="en-NZ"/>
        </w:rPr>
      </w:pPr>
      <w:r>
        <w:rPr>
          <w:noProof/>
        </w:rPr>
        <w:t>3.2</w:t>
      </w:r>
      <w:r>
        <w:rPr>
          <w:rFonts w:asciiTheme="minorHAnsi" w:eastAsiaTheme="minorEastAsia" w:hAnsiTheme="minorHAnsi" w:cstheme="minorBidi"/>
          <w:noProof/>
          <w:szCs w:val="22"/>
          <w:lang w:eastAsia="en-NZ"/>
        </w:rPr>
        <w:tab/>
      </w:r>
      <w:r>
        <w:rPr>
          <w:noProof/>
        </w:rPr>
        <w:t>Frequency of audit</w:t>
      </w:r>
      <w:r>
        <w:rPr>
          <w:noProof/>
        </w:rPr>
        <w:tab/>
      </w:r>
      <w:r>
        <w:rPr>
          <w:noProof/>
        </w:rPr>
        <w:fldChar w:fldCharType="begin"/>
      </w:r>
      <w:r>
        <w:rPr>
          <w:noProof/>
        </w:rPr>
        <w:instrText xml:space="preserve"> PAGEREF _Toc435347228 \h </w:instrText>
      </w:r>
      <w:r>
        <w:rPr>
          <w:noProof/>
        </w:rPr>
      </w:r>
      <w:r>
        <w:rPr>
          <w:noProof/>
        </w:rPr>
        <w:fldChar w:fldCharType="separate"/>
      </w:r>
      <w:r>
        <w:rPr>
          <w:noProof/>
        </w:rPr>
        <w:t>13</w:t>
      </w:r>
      <w:r>
        <w:rPr>
          <w:noProof/>
        </w:rPr>
        <w:fldChar w:fldCharType="end"/>
      </w:r>
    </w:p>
    <w:p w:rsidR="00B83BA5" w:rsidRDefault="00B83BA5">
      <w:pPr>
        <w:pStyle w:val="TOC2"/>
        <w:tabs>
          <w:tab w:val="left" w:pos="1134"/>
        </w:tabs>
        <w:rPr>
          <w:rFonts w:asciiTheme="minorHAnsi" w:eastAsiaTheme="minorEastAsia" w:hAnsiTheme="minorHAnsi" w:cstheme="minorBidi"/>
          <w:noProof/>
          <w:szCs w:val="22"/>
          <w:lang w:eastAsia="en-NZ"/>
        </w:rPr>
      </w:pPr>
      <w:r>
        <w:rPr>
          <w:noProof/>
        </w:rPr>
        <w:t>3.3</w:t>
      </w:r>
      <w:r>
        <w:rPr>
          <w:rFonts w:asciiTheme="minorHAnsi" w:eastAsiaTheme="minorEastAsia" w:hAnsiTheme="minorHAnsi" w:cstheme="minorBidi"/>
          <w:noProof/>
          <w:szCs w:val="22"/>
          <w:lang w:eastAsia="en-NZ"/>
        </w:rPr>
        <w:tab/>
      </w:r>
      <w:r>
        <w:rPr>
          <w:noProof/>
        </w:rPr>
        <w:t>Exemption from audit</w:t>
      </w:r>
      <w:r>
        <w:rPr>
          <w:noProof/>
        </w:rPr>
        <w:tab/>
      </w:r>
      <w:r>
        <w:rPr>
          <w:noProof/>
        </w:rPr>
        <w:fldChar w:fldCharType="begin"/>
      </w:r>
      <w:r>
        <w:rPr>
          <w:noProof/>
        </w:rPr>
        <w:instrText xml:space="preserve"> PAGEREF _Toc435347229 \h </w:instrText>
      </w:r>
      <w:r>
        <w:rPr>
          <w:noProof/>
        </w:rPr>
      </w:r>
      <w:r>
        <w:rPr>
          <w:noProof/>
        </w:rPr>
        <w:fldChar w:fldCharType="separate"/>
      </w:r>
      <w:r>
        <w:rPr>
          <w:noProof/>
        </w:rPr>
        <w:t>15</w:t>
      </w:r>
      <w:r>
        <w:rPr>
          <w:noProof/>
        </w:rPr>
        <w:fldChar w:fldCharType="end"/>
      </w:r>
    </w:p>
    <w:p w:rsidR="00B83BA5" w:rsidRDefault="00B83BA5">
      <w:pPr>
        <w:pStyle w:val="TOC2"/>
        <w:tabs>
          <w:tab w:val="left" w:pos="1134"/>
        </w:tabs>
        <w:rPr>
          <w:rFonts w:asciiTheme="minorHAnsi" w:eastAsiaTheme="minorEastAsia" w:hAnsiTheme="minorHAnsi" w:cstheme="minorBidi"/>
          <w:noProof/>
          <w:szCs w:val="22"/>
          <w:lang w:eastAsia="en-NZ"/>
        </w:rPr>
      </w:pPr>
      <w:r>
        <w:rPr>
          <w:noProof/>
        </w:rPr>
        <w:t>3.4</w:t>
      </w:r>
      <w:r>
        <w:rPr>
          <w:rFonts w:asciiTheme="minorHAnsi" w:eastAsiaTheme="minorEastAsia" w:hAnsiTheme="minorHAnsi" w:cstheme="minorBidi"/>
          <w:noProof/>
          <w:szCs w:val="22"/>
          <w:lang w:eastAsia="en-NZ"/>
        </w:rPr>
        <w:tab/>
      </w:r>
      <w:r>
        <w:rPr>
          <w:noProof/>
        </w:rPr>
        <w:t>Exemption from requirement to have a manufacturing licence</w:t>
      </w:r>
      <w:r>
        <w:rPr>
          <w:noProof/>
        </w:rPr>
        <w:tab/>
      </w:r>
      <w:r>
        <w:rPr>
          <w:noProof/>
        </w:rPr>
        <w:fldChar w:fldCharType="begin"/>
      </w:r>
      <w:r>
        <w:rPr>
          <w:noProof/>
        </w:rPr>
        <w:instrText xml:space="preserve"> PAGEREF _Toc435347230 \h </w:instrText>
      </w:r>
      <w:r>
        <w:rPr>
          <w:noProof/>
        </w:rPr>
      </w:r>
      <w:r>
        <w:rPr>
          <w:noProof/>
        </w:rPr>
        <w:fldChar w:fldCharType="separate"/>
      </w:r>
      <w:r>
        <w:rPr>
          <w:noProof/>
        </w:rPr>
        <w:t>15</w:t>
      </w:r>
      <w:r>
        <w:rPr>
          <w:noProof/>
        </w:rPr>
        <w:fldChar w:fldCharType="end"/>
      </w:r>
    </w:p>
    <w:p w:rsidR="00B83BA5" w:rsidRDefault="00B83BA5">
      <w:pPr>
        <w:pStyle w:val="TOC2"/>
        <w:tabs>
          <w:tab w:val="left" w:pos="1134"/>
        </w:tabs>
        <w:rPr>
          <w:rFonts w:asciiTheme="minorHAnsi" w:eastAsiaTheme="minorEastAsia" w:hAnsiTheme="minorHAnsi" w:cstheme="minorBidi"/>
          <w:noProof/>
          <w:szCs w:val="22"/>
          <w:lang w:eastAsia="en-NZ"/>
        </w:rPr>
      </w:pPr>
      <w:r>
        <w:rPr>
          <w:noProof/>
        </w:rPr>
        <w:t>3.5</w:t>
      </w:r>
      <w:r>
        <w:rPr>
          <w:rFonts w:asciiTheme="minorHAnsi" w:eastAsiaTheme="minorEastAsia" w:hAnsiTheme="minorHAnsi" w:cstheme="minorBidi"/>
          <w:noProof/>
          <w:szCs w:val="22"/>
          <w:lang w:eastAsia="en-NZ"/>
        </w:rPr>
        <w:tab/>
      </w:r>
      <w:r>
        <w:rPr>
          <w:noProof/>
        </w:rPr>
        <w:t>Licence granted by a recognised authority</w:t>
      </w:r>
      <w:r>
        <w:rPr>
          <w:noProof/>
        </w:rPr>
        <w:tab/>
      </w:r>
      <w:r>
        <w:rPr>
          <w:noProof/>
        </w:rPr>
        <w:fldChar w:fldCharType="begin"/>
      </w:r>
      <w:r>
        <w:rPr>
          <w:noProof/>
        </w:rPr>
        <w:instrText xml:space="preserve"> PAGEREF _Toc435347231 \h </w:instrText>
      </w:r>
      <w:r>
        <w:rPr>
          <w:noProof/>
        </w:rPr>
      </w:r>
      <w:r>
        <w:rPr>
          <w:noProof/>
        </w:rPr>
        <w:fldChar w:fldCharType="separate"/>
      </w:r>
      <w:r>
        <w:rPr>
          <w:noProof/>
        </w:rPr>
        <w:t>15</w:t>
      </w:r>
      <w:r>
        <w:rPr>
          <w:noProof/>
        </w:rPr>
        <w:fldChar w:fldCharType="end"/>
      </w:r>
    </w:p>
    <w:p w:rsidR="00B83BA5" w:rsidRDefault="00B83BA5">
      <w:pPr>
        <w:pStyle w:val="TOC1"/>
        <w:rPr>
          <w:rFonts w:asciiTheme="minorHAnsi" w:eastAsiaTheme="minorEastAsia" w:hAnsiTheme="minorHAnsi" w:cstheme="minorBidi"/>
          <w:b w:val="0"/>
          <w:noProof/>
          <w:szCs w:val="22"/>
          <w:lang w:eastAsia="en-NZ"/>
        </w:rPr>
      </w:pPr>
      <w:r>
        <w:rPr>
          <w:noProof/>
        </w:rPr>
        <w:t>4</w:t>
      </w:r>
      <w:r>
        <w:rPr>
          <w:rFonts w:asciiTheme="minorHAnsi" w:eastAsiaTheme="minorEastAsia" w:hAnsiTheme="minorHAnsi" w:cstheme="minorBidi"/>
          <w:b w:val="0"/>
          <w:noProof/>
          <w:szCs w:val="22"/>
          <w:lang w:eastAsia="en-NZ"/>
        </w:rPr>
        <w:tab/>
      </w:r>
      <w:r>
        <w:rPr>
          <w:noProof/>
        </w:rPr>
        <w:t>Question and answer guidance</w:t>
      </w:r>
      <w:r>
        <w:rPr>
          <w:noProof/>
        </w:rPr>
        <w:tab/>
      </w:r>
      <w:r>
        <w:rPr>
          <w:noProof/>
        </w:rPr>
        <w:fldChar w:fldCharType="begin"/>
      </w:r>
      <w:r>
        <w:rPr>
          <w:noProof/>
        </w:rPr>
        <w:instrText xml:space="preserve"> PAGEREF _Toc435347232 \h </w:instrText>
      </w:r>
      <w:r>
        <w:rPr>
          <w:noProof/>
        </w:rPr>
      </w:r>
      <w:r>
        <w:rPr>
          <w:noProof/>
        </w:rPr>
        <w:fldChar w:fldCharType="separate"/>
      </w:r>
      <w:r>
        <w:rPr>
          <w:noProof/>
        </w:rPr>
        <w:t>16</w:t>
      </w:r>
      <w:r>
        <w:rPr>
          <w:noProof/>
        </w:rPr>
        <w:fldChar w:fldCharType="end"/>
      </w:r>
    </w:p>
    <w:p w:rsidR="00B83BA5" w:rsidRDefault="00B83BA5">
      <w:pPr>
        <w:pStyle w:val="TOC2"/>
        <w:tabs>
          <w:tab w:val="left" w:pos="1134"/>
        </w:tabs>
        <w:rPr>
          <w:rFonts w:asciiTheme="minorHAnsi" w:eastAsiaTheme="minorEastAsia" w:hAnsiTheme="minorHAnsi" w:cstheme="minorBidi"/>
          <w:noProof/>
          <w:szCs w:val="22"/>
          <w:lang w:eastAsia="en-NZ"/>
        </w:rPr>
      </w:pPr>
      <w:r>
        <w:rPr>
          <w:noProof/>
        </w:rPr>
        <w:t>4.1</w:t>
      </w:r>
      <w:r>
        <w:rPr>
          <w:rFonts w:asciiTheme="minorHAnsi" w:eastAsiaTheme="minorEastAsia" w:hAnsiTheme="minorHAnsi" w:cstheme="minorBidi"/>
          <w:noProof/>
          <w:szCs w:val="22"/>
          <w:lang w:eastAsia="en-NZ"/>
        </w:rPr>
        <w:tab/>
      </w:r>
      <w:r>
        <w:rPr>
          <w:noProof/>
        </w:rPr>
        <w:t>Introduction</w:t>
      </w:r>
      <w:r>
        <w:rPr>
          <w:noProof/>
        </w:rPr>
        <w:tab/>
      </w:r>
      <w:r>
        <w:rPr>
          <w:noProof/>
        </w:rPr>
        <w:fldChar w:fldCharType="begin"/>
      </w:r>
      <w:r>
        <w:rPr>
          <w:noProof/>
        </w:rPr>
        <w:instrText xml:space="preserve"> PAGEREF _Toc435347233 \h </w:instrText>
      </w:r>
      <w:r>
        <w:rPr>
          <w:noProof/>
        </w:rPr>
      </w:r>
      <w:r>
        <w:rPr>
          <w:noProof/>
        </w:rPr>
        <w:fldChar w:fldCharType="separate"/>
      </w:r>
      <w:r>
        <w:rPr>
          <w:noProof/>
        </w:rPr>
        <w:t>16</w:t>
      </w:r>
      <w:r>
        <w:rPr>
          <w:noProof/>
        </w:rPr>
        <w:fldChar w:fldCharType="end"/>
      </w:r>
    </w:p>
    <w:p w:rsidR="00B83BA5" w:rsidRDefault="00B83BA5">
      <w:pPr>
        <w:pStyle w:val="TOC2"/>
        <w:tabs>
          <w:tab w:val="left" w:pos="1134"/>
        </w:tabs>
        <w:rPr>
          <w:rFonts w:asciiTheme="minorHAnsi" w:eastAsiaTheme="minorEastAsia" w:hAnsiTheme="minorHAnsi" w:cstheme="minorBidi"/>
          <w:noProof/>
          <w:szCs w:val="22"/>
          <w:lang w:eastAsia="en-NZ"/>
        </w:rPr>
      </w:pPr>
      <w:r>
        <w:rPr>
          <w:noProof/>
        </w:rPr>
        <w:t>4.2</w:t>
      </w:r>
      <w:r>
        <w:rPr>
          <w:rFonts w:asciiTheme="minorHAnsi" w:eastAsiaTheme="minorEastAsia" w:hAnsiTheme="minorHAnsi" w:cstheme="minorBidi"/>
          <w:noProof/>
          <w:szCs w:val="22"/>
          <w:lang w:eastAsia="en-NZ"/>
        </w:rPr>
        <w:tab/>
      </w:r>
      <w:r>
        <w:rPr>
          <w:noProof/>
        </w:rPr>
        <w:t>Personnel</w:t>
      </w:r>
      <w:r>
        <w:rPr>
          <w:noProof/>
        </w:rPr>
        <w:tab/>
      </w:r>
      <w:r>
        <w:rPr>
          <w:noProof/>
        </w:rPr>
        <w:fldChar w:fldCharType="begin"/>
      </w:r>
      <w:r>
        <w:rPr>
          <w:noProof/>
        </w:rPr>
        <w:instrText xml:space="preserve"> PAGEREF _Toc435347234 \h </w:instrText>
      </w:r>
      <w:r>
        <w:rPr>
          <w:noProof/>
        </w:rPr>
      </w:r>
      <w:r>
        <w:rPr>
          <w:noProof/>
        </w:rPr>
        <w:fldChar w:fldCharType="separate"/>
      </w:r>
      <w:r>
        <w:rPr>
          <w:noProof/>
        </w:rPr>
        <w:t>16</w:t>
      </w:r>
      <w:r>
        <w:rPr>
          <w:noProof/>
        </w:rPr>
        <w:fldChar w:fldCharType="end"/>
      </w:r>
    </w:p>
    <w:p w:rsidR="00B83BA5" w:rsidRDefault="00B83BA5">
      <w:pPr>
        <w:pStyle w:val="TOC2"/>
        <w:tabs>
          <w:tab w:val="left" w:pos="1134"/>
        </w:tabs>
        <w:rPr>
          <w:rFonts w:asciiTheme="minorHAnsi" w:eastAsiaTheme="minorEastAsia" w:hAnsiTheme="minorHAnsi" w:cstheme="minorBidi"/>
          <w:noProof/>
          <w:szCs w:val="22"/>
          <w:lang w:eastAsia="en-NZ"/>
        </w:rPr>
      </w:pPr>
      <w:r>
        <w:rPr>
          <w:noProof/>
        </w:rPr>
        <w:t>4.3</w:t>
      </w:r>
      <w:r>
        <w:rPr>
          <w:rFonts w:asciiTheme="minorHAnsi" w:eastAsiaTheme="minorEastAsia" w:hAnsiTheme="minorHAnsi" w:cstheme="minorBidi"/>
          <w:noProof/>
          <w:szCs w:val="22"/>
          <w:lang w:eastAsia="en-NZ"/>
        </w:rPr>
        <w:tab/>
      </w:r>
      <w:r>
        <w:rPr>
          <w:noProof/>
        </w:rPr>
        <w:t>Premises and equipment</w:t>
      </w:r>
      <w:r>
        <w:rPr>
          <w:noProof/>
        </w:rPr>
        <w:tab/>
      </w:r>
      <w:r>
        <w:rPr>
          <w:noProof/>
        </w:rPr>
        <w:fldChar w:fldCharType="begin"/>
      </w:r>
      <w:r>
        <w:rPr>
          <w:noProof/>
        </w:rPr>
        <w:instrText xml:space="preserve"> PAGEREF _Toc435347235 \h </w:instrText>
      </w:r>
      <w:r>
        <w:rPr>
          <w:noProof/>
        </w:rPr>
      </w:r>
      <w:r>
        <w:rPr>
          <w:noProof/>
        </w:rPr>
        <w:fldChar w:fldCharType="separate"/>
      </w:r>
      <w:r>
        <w:rPr>
          <w:noProof/>
        </w:rPr>
        <w:t>16</w:t>
      </w:r>
      <w:r>
        <w:rPr>
          <w:noProof/>
        </w:rPr>
        <w:fldChar w:fldCharType="end"/>
      </w:r>
    </w:p>
    <w:p w:rsidR="00B83BA5" w:rsidRDefault="00B83BA5">
      <w:pPr>
        <w:pStyle w:val="TOC2"/>
        <w:tabs>
          <w:tab w:val="left" w:pos="1134"/>
        </w:tabs>
        <w:rPr>
          <w:rFonts w:asciiTheme="minorHAnsi" w:eastAsiaTheme="minorEastAsia" w:hAnsiTheme="minorHAnsi" w:cstheme="minorBidi"/>
          <w:noProof/>
          <w:szCs w:val="22"/>
          <w:lang w:eastAsia="en-NZ"/>
        </w:rPr>
      </w:pPr>
      <w:r>
        <w:rPr>
          <w:noProof/>
        </w:rPr>
        <w:t>4.4</w:t>
      </w:r>
      <w:r>
        <w:rPr>
          <w:rFonts w:asciiTheme="minorHAnsi" w:eastAsiaTheme="minorEastAsia" w:hAnsiTheme="minorHAnsi" w:cstheme="minorBidi"/>
          <w:noProof/>
          <w:szCs w:val="22"/>
          <w:lang w:eastAsia="en-NZ"/>
        </w:rPr>
        <w:tab/>
      </w:r>
      <w:r>
        <w:rPr>
          <w:noProof/>
        </w:rPr>
        <w:t>Production</w:t>
      </w:r>
      <w:r>
        <w:rPr>
          <w:noProof/>
        </w:rPr>
        <w:tab/>
      </w:r>
      <w:r>
        <w:rPr>
          <w:noProof/>
        </w:rPr>
        <w:fldChar w:fldCharType="begin"/>
      </w:r>
      <w:r>
        <w:rPr>
          <w:noProof/>
        </w:rPr>
        <w:instrText xml:space="preserve"> PAGEREF _Toc435347236 \h </w:instrText>
      </w:r>
      <w:r>
        <w:rPr>
          <w:noProof/>
        </w:rPr>
      </w:r>
      <w:r>
        <w:rPr>
          <w:noProof/>
        </w:rPr>
        <w:fldChar w:fldCharType="separate"/>
      </w:r>
      <w:r>
        <w:rPr>
          <w:noProof/>
        </w:rPr>
        <w:t>19</w:t>
      </w:r>
      <w:r>
        <w:rPr>
          <w:noProof/>
        </w:rPr>
        <w:fldChar w:fldCharType="end"/>
      </w:r>
    </w:p>
    <w:p w:rsidR="00B83BA5" w:rsidRDefault="00B83BA5">
      <w:pPr>
        <w:pStyle w:val="TOC2"/>
        <w:tabs>
          <w:tab w:val="left" w:pos="1134"/>
        </w:tabs>
        <w:rPr>
          <w:rFonts w:asciiTheme="minorHAnsi" w:eastAsiaTheme="minorEastAsia" w:hAnsiTheme="minorHAnsi" w:cstheme="minorBidi"/>
          <w:noProof/>
          <w:szCs w:val="22"/>
          <w:lang w:eastAsia="en-NZ"/>
        </w:rPr>
      </w:pPr>
      <w:r>
        <w:rPr>
          <w:noProof/>
        </w:rPr>
        <w:t>4.5</w:t>
      </w:r>
      <w:r>
        <w:rPr>
          <w:rFonts w:asciiTheme="minorHAnsi" w:eastAsiaTheme="minorEastAsia" w:hAnsiTheme="minorHAnsi" w:cstheme="minorBidi"/>
          <w:noProof/>
          <w:szCs w:val="22"/>
          <w:lang w:eastAsia="en-NZ"/>
        </w:rPr>
        <w:tab/>
      </w:r>
      <w:r>
        <w:rPr>
          <w:noProof/>
        </w:rPr>
        <w:t>Quality control</w:t>
      </w:r>
      <w:r>
        <w:rPr>
          <w:noProof/>
        </w:rPr>
        <w:tab/>
      </w:r>
      <w:r>
        <w:rPr>
          <w:noProof/>
        </w:rPr>
        <w:fldChar w:fldCharType="begin"/>
      </w:r>
      <w:r>
        <w:rPr>
          <w:noProof/>
        </w:rPr>
        <w:instrText xml:space="preserve"> PAGEREF _Toc435347237 \h </w:instrText>
      </w:r>
      <w:r>
        <w:rPr>
          <w:noProof/>
        </w:rPr>
      </w:r>
      <w:r>
        <w:rPr>
          <w:noProof/>
        </w:rPr>
        <w:fldChar w:fldCharType="separate"/>
      </w:r>
      <w:r>
        <w:rPr>
          <w:noProof/>
        </w:rPr>
        <w:t>19</w:t>
      </w:r>
      <w:r>
        <w:rPr>
          <w:noProof/>
        </w:rPr>
        <w:fldChar w:fldCharType="end"/>
      </w:r>
    </w:p>
    <w:p w:rsidR="00B83BA5" w:rsidRDefault="00B83BA5">
      <w:pPr>
        <w:pStyle w:val="TOC2"/>
        <w:tabs>
          <w:tab w:val="left" w:pos="1134"/>
        </w:tabs>
        <w:rPr>
          <w:rFonts w:asciiTheme="minorHAnsi" w:eastAsiaTheme="minorEastAsia" w:hAnsiTheme="minorHAnsi" w:cstheme="minorBidi"/>
          <w:noProof/>
          <w:szCs w:val="22"/>
          <w:lang w:eastAsia="en-NZ"/>
        </w:rPr>
      </w:pPr>
      <w:r>
        <w:rPr>
          <w:noProof/>
        </w:rPr>
        <w:t>4.6</w:t>
      </w:r>
      <w:r>
        <w:rPr>
          <w:rFonts w:asciiTheme="minorHAnsi" w:eastAsiaTheme="minorEastAsia" w:hAnsiTheme="minorHAnsi" w:cstheme="minorBidi"/>
          <w:noProof/>
          <w:szCs w:val="22"/>
          <w:lang w:eastAsia="en-NZ"/>
        </w:rPr>
        <w:tab/>
      </w:r>
      <w:r>
        <w:rPr>
          <w:noProof/>
        </w:rPr>
        <w:t>Complaints and recalls</w:t>
      </w:r>
      <w:r>
        <w:rPr>
          <w:noProof/>
        </w:rPr>
        <w:tab/>
      </w:r>
      <w:r>
        <w:rPr>
          <w:noProof/>
        </w:rPr>
        <w:fldChar w:fldCharType="begin"/>
      </w:r>
      <w:r>
        <w:rPr>
          <w:noProof/>
        </w:rPr>
        <w:instrText xml:space="preserve"> PAGEREF _Toc435347238 \h </w:instrText>
      </w:r>
      <w:r>
        <w:rPr>
          <w:noProof/>
        </w:rPr>
      </w:r>
      <w:r>
        <w:rPr>
          <w:noProof/>
        </w:rPr>
        <w:fldChar w:fldCharType="separate"/>
      </w:r>
      <w:r>
        <w:rPr>
          <w:noProof/>
        </w:rPr>
        <w:t>20</w:t>
      </w:r>
      <w:r>
        <w:rPr>
          <w:noProof/>
        </w:rPr>
        <w:fldChar w:fldCharType="end"/>
      </w:r>
    </w:p>
    <w:p w:rsidR="00B83BA5" w:rsidRDefault="00B83BA5">
      <w:pPr>
        <w:pStyle w:val="TOC2"/>
        <w:tabs>
          <w:tab w:val="left" w:pos="1134"/>
        </w:tabs>
        <w:rPr>
          <w:rFonts w:asciiTheme="minorHAnsi" w:eastAsiaTheme="minorEastAsia" w:hAnsiTheme="minorHAnsi" w:cstheme="minorBidi"/>
          <w:noProof/>
          <w:szCs w:val="22"/>
          <w:lang w:eastAsia="en-NZ"/>
        </w:rPr>
      </w:pPr>
      <w:r>
        <w:rPr>
          <w:noProof/>
        </w:rPr>
        <w:t>4.7</w:t>
      </w:r>
      <w:r>
        <w:rPr>
          <w:rFonts w:asciiTheme="minorHAnsi" w:eastAsiaTheme="minorEastAsia" w:hAnsiTheme="minorHAnsi" w:cstheme="minorBidi"/>
          <w:noProof/>
          <w:szCs w:val="22"/>
          <w:lang w:eastAsia="en-NZ"/>
        </w:rPr>
        <w:tab/>
      </w:r>
      <w:r>
        <w:rPr>
          <w:noProof/>
        </w:rPr>
        <w:t>Documentation</w:t>
      </w:r>
      <w:r>
        <w:rPr>
          <w:noProof/>
        </w:rPr>
        <w:tab/>
      </w:r>
      <w:r>
        <w:rPr>
          <w:noProof/>
        </w:rPr>
        <w:fldChar w:fldCharType="begin"/>
      </w:r>
      <w:r>
        <w:rPr>
          <w:noProof/>
        </w:rPr>
        <w:instrText xml:space="preserve"> PAGEREF _Toc435347239 \h </w:instrText>
      </w:r>
      <w:r>
        <w:rPr>
          <w:noProof/>
        </w:rPr>
      </w:r>
      <w:r>
        <w:rPr>
          <w:noProof/>
        </w:rPr>
        <w:fldChar w:fldCharType="separate"/>
      </w:r>
      <w:r>
        <w:rPr>
          <w:noProof/>
        </w:rPr>
        <w:t>21</w:t>
      </w:r>
      <w:r>
        <w:rPr>
          <w:noProof/>
        </w:rPr>
        <w:fldChar w:fldCharType="end"/>
      </w:r>
    </w:p>
    <w:p w:rsidR="00B83BA5" w:rsidRDefault="00B83BA5">
      <w:pPr>
        <w:pStyle w:val="TOC2"/>
        <w:tabs>
          <w:tab w:val="left" w:pos="1134"/>
        </w:tabs>
        <w:rPr>
          <w:rFonts w:asciiTheme="minorHAnsi" w:eastAsiaTheme="minorEastAsia" w:hAnsiTheme="minorHAnsi" w:cstheme="minorBidi"/>
          <w:noProof/>
          <w:szCs w:val="22"/>
          <w:lang w:eastAsia="en-NZ"/>
        </w:rPr>
      </w:pPr>
      <w:r>
        <w:rPr>
          <w:noProof/>
        </w:rPr>
        <w:t>4.8</w:t>
      </w:r>
      <w:r>
        <w:rPr>
          <w:rFonts w:asciiTheme="minorHAnsi" w:eastAsiaTheme="minorEastAsia" w:hAnsiTheme="minorHAnsi" w:cstheme="minorBidi"/>
          <w:noProof/>
          <w:szCs w:val="22"/>
          <w:lang w:eastAsia="en-NZ"/>
        </w:rPr>
        <w:tab/>
      </w:r>
      <w:r>
        <w:rPr>
          <w:noProof/>
        </w:rPr>
        <w:t>Contract manufacture and analysis</w:t>
      </w:r>
      <w:r>
        <w:rPr>
          <w:noProof/>
        </w:rPr>
        <w:tab/>
      </w:r>
      <w:r>
        <w:rPr>
          <w:noProof/>
        </w:rPr>
        <w:fldChar w:fldCharType="begin"/>
      </w:r>
      <w:r>
        <w:rPr>
          <w:noProof/>
        </w:rPr>
        <w:instrText xml:space="preserve"> PAGEREF _Toc435347240 \h </w:instrText>
      </w:r>
      <w:r>
        <w:rPr>
          <w:noProof/>
        </w:rPr>
      </w:r>
      <w:r>
        <w:rPr>
          <w:noProof/>
        </w:rPr>
        <w:fldChar w:fldCharType="separate"/>
      </w:r>
      <w:r>
        <w:rPr>
          <w:noProof/>
        </w:rPr>
        <w:t>21</w:t>
      </w:r>
      <w:r>
        <w:rPr>
          <w:noProof/>
        </w:rPr>
        <w:fldChar w:fldCharType="end"/>
      </w:r>
    </w:p>
    <w:p w:rsidR="00C86248" w:rsidRDefault="00C86248" w:rsidP="00B83BA5">
      <w:r>
        <w:fldChar w:fldCharType="end"/>
      </w:r>
    </w:p>
    <w:p w:rsidR="00B83BA5" w:rsidRDefault="00B83BA5" w:rsidP="00B83BA5">
      <w:pPr>
        <w:spacing w:before="180"/>
        <w:ind w:left="567" w:right="567" w:hanging="567"/>
        <w:rPr>
          <w:b/>
        </w:rPr>
      </w:pPr>
      <w:r>
        <w:rPr>
          <w:b/>
        </w:rPr>
        <w:t>List of Tables</w:t>
      </w:r>
    </w:p>
    <w:p w:rsidR="00B83BA5" w:rsidRDefault="00B83BA5">
      <w:pPr>
        <w:pStyle w:val="TOC3"/>
        <w:rPr>
          <w:rFonts w:asciiTheme="minorHAnsi" w:eastAsiaTheme="minorEastAsia" w:hAnsiTheme="minorHAnsi" w:cstheme="minorBidi"/>
          <w:noProof/>
          <w:szCs w:val="22"/>
          <w:lang w:eastAsia="en-NZ"/>
        </w:rPr>
      </w:pPr>
      <w:r>
        <w:fldChar w:fldCharType="begin"/>
      </w:r>
      <w:r>
        <w:instrText xml:space="preserve"> TOC \t "Table,3" </w:instrText>
      </w:r>
      <w:r>
        <w:fldChar w:fldCharType="separate"/>
      </w:r>
      <w:r>
        <w:rPr>
          <w:noProof/>
          <w:lang w:eastAsia="en-NZ"/>
        </w:rPr>
        <w:t>Table 1:</w:t>
      </w:r>
      <w:r>
        <w:rPr>
          <w:noProof/>
          <w:lang w:eastAsia="en-NZ"/>
        </w:rPr>
        <w:tab/>
        <w:t>Risk assessment matrix</w:t>
      </w:r>
      <w:r>
        <w:rPr>
          <w:noProof/>
        </w:rPr>
        <w:tab/>
      </w:r>
      <w:r>
        <w:rPr>
          <w:noProof/>
        </w:rPr>
        <w:fldChar w:fldCharType="begin"/>
      </w:r>
      <w:r>
        <w:rPr>
          <w:noProof/>
        </w:rPr>
        <w:instrText xml:space="preserve"> PAGEREF _Toc435347252 \h </w:instrText>
      </w:r>
      <w:r>
        <w:rPr>
          <w:noProof/>
        </w:rPr>
      </w:r>
      <w:r>
        <w:rPr>
          <w:noProof/>
        </w:rPr>
        <w:fldChar w:fldCharType="separate"/>
      </w:r>
      <w:r>
        <w:rPr>
          <w:noProof/>
        </w:rPr>
        <w:t>2</w:t>
      </w:r>
      <w:r>
        <w:rPr>
          <w:noProof/>
        </w:rPr>
        <w:fldChar w:fldCharType="end"/>
      </w:r>
    </w:p>
    <w:p w:rsidR="00B83BA5" w:rsidRDefault="00B83BA5">
      <w:pPr>
        <w:pStyle w:val="TOC3"/>
        <w:rPr>
          <w:rFonts w:asciiTheme="minorHAnsi" w:eastAsiaTheme="minorEastAsia" w:hAnsiTheme="minorHAnsi" w:cstheme="minorBidi"/>
          <w:noProof/>
          <w:szCs w:val="22"/>
          <w:lang w:eastAsia="en-NZ"/>
        </w:rPr>
      </w:pPr>
      <w:r>
        <w:rPr>
          <w:noProof/>
        </w:rPr>
        <w:t>Table 2:</w:t>
      </w:r>
      <w:r>
        <w:rPr>
          <w:noProof/>
        </w:rPr>
        <w:tab/>
        <w:t>Potential factors that pose a higher level of risk that might require a more frequent rate of audit</w:t>
      </w:r>
      <w:r>
        <w:rPr>
          <w:noProof/>
        </w:rPr>
        <w:tab/>
      </w:r>
      <w:r>
        <w:rPr>
          <w:noProof/>
        </w:rPr>
        <w:fldChar w:fldCharType="begin"/>
      </w:r>
      <w:r>
        <w:rPr>
          <w:noProof/>
        </w:rPr>
        <w:instrText xml:space="preserve"> PAGEREF _Toc435347253 \h </w:instrText>
      </w:r>
      <w:r>
        <w:rPr>
          <w:noProof/>
        </w:rPr>
      </w:r>
      <w:r>
        <w:rPr>
          <w:noProof/>
        </w:rPr>
        <w:fldChar w:fldCharType="separate"/>
      </w:r>
      <w:r>
        <w:rPr>
          <w:noProof/>
        </w:rPr>
        <w:t>13</w:t>
      </w:r>
      <w:r>
        <w:rPr>
          <w:noProof/>
        </w:rPr>
        <w:fldChar w:fldCharType="end"/>
      </w:r>
    </w:p>
    <w:p w:rsidR="00B83BA5" w:rsidRDefault="00B83BA5">
      <w:r>
        <w:fldChar w:fldCharType="end"/>
      </w:r>
    </w:p>
    <w:p w:rsidR="003A5FEA" w:rsidRDefault="003A5FEA" w:rsidP="00B83BA5">
      <w:pPr>
        <w:pStyle w:val="TOC1"/>
        <w:spacing w:before="180"/>
      </w:pPr>
      <w:r>
        <w:t>List of Figures</w:t>
      </w:r>
    </w:p>
    <w:p w:rsidR="00B83BA5" w:rsidRDefault="003A5FEA">
      <w:pPr>
        <w:pStyle w:val="TOC3"/>
        <w:rPr>
          <w:rFonts w:asciiTheme="minorHAnsi" w:eastAsiaTheme="minorEastAsia" w:hAnsiTheme="minorHAnsi" w:cstheme="minorBidi"/>
          <w:noProof/>
          <w:szCs w:val="22"/>
          <w:lang w:eastAsia="en-NZ"/>
        </w:rPr>
      </w:pPr>
      <w:r>
        <w:fldChar w:fldCharType="begin"/>
      </w:r>
      <w:r>
        <w:instrText xml:space="preserve"> TOC \t "Figure,3" </w:instrText>
      </w:r>
      <w:r>
        <w:fldChar w:fldCharType="separate"/>
      </w:r>
      <w:r w:rsidR="00B83BA5">
        <w:rPr>
          <w:noProof/>
        </w:rPr>
        <w:t>Figure 1:</w:t>
      </w:r>
      <w:r w:rsidR="00B83BA5">
        <w:rPr>
          <w:noProof/>
        </w:rPr>
        <w:tab/>
        <w:t>Risk assessment factors</w:t>
      </w:r>
      <w:r w:rsidR="00B83BA5">
        <w:rPr>
          <w:noProof/>
        </w:rPr>
        <w:tab/>
      </w:r>
      <w:r w:rsidR="00B83BA5">
        <w:rPr>
          <w:noProof/>
        </w:rPr>
        <w:fldChar w:fldCharType="begin"/>
      </w:r>
      <w:r w:rsidR="00B83BA5">
        <w:rPr>
          <w:noProof/>
        </w:rPr>
        <w:instrText xml:space="preserve"> PAGEREF _Toc435347241 \h </w:instrText>
      </w:r>
      <w:r w:rsidR="00B83BA5">
        <w:rPr>
          <w:noProof/>
        </w:rPr>
      </w:r>
      <w:r w:rsidR="00B83BA5">
        <w:rPr>
          <w:noProof/>
        </w:rPr>
        <w:fldChar w:fldCharType="separate"/>
      </w:r>
      <w:r w:rsidR="00B83BA5">
        <w:rPr>
          <w:noProof/>
        </w:rPr>
        <w:t>1</w:t>
      </w:r>
      <w:r w:rsidR="00B83BA5">
        <w:rPr>
          <w:noProof/>
        </w:rPr>
        <w:fldChar w:fldCharType="end"/>
      </w:r>
    </w:p>
    <w:p w:rsidR="00B83BA5" w:rsidRDefault="00B83BA5">
      <w:pPr>
        <w:pStyle w:val="TOC3"/>
        <w:rPr>
          <w:rFonts w:asciiTheme="minorHAnsi" w:eastAsiaTheme="minorEastAsia" w:hAnsiTheme="minorHAnsi" w:cstheme="minorBidi"/>
          <w:noProof/>
          <w:szCs w:val="22"/>
          <w:lang w:eastAsia="en-NZ"/>
        </w:rPr>
      </w:pPr>
      <w:r>
        <w:rPr>
          <w:noProof/>
          <w:lang w:eastAsia="en-NZ"/>
        </w:rPr>
        <w:t>Figure 2:</w:t>
      </w:r>
      <w:r>
        <w:rPr>
          <w:noProof/>
          <w:lang w:eastAsia="en-NZ"/>
        </w:rPr>
        <w:tab/>
        <w:t>Identification of risk level based on use of the risk assessment matrix</w:t>
      </w:r>
      <w:r>
        <w:rPr>
          <w:noProof/>
        </w:rPr>
        <w:tab/>
      </w:r>
      <w:r>
        <w:rPr>
          <w:noProof/>
        </w:rPr>
        <w:fldChar w:fldCharType="begin"/>
      </w:r>
      <w:r>
        <w:rPr>
          <w:noProof/>
        </w:rPr>
        <w:instrText xml:space="preserve"> PAGEREF _Toc435347242 \h </w:instrText>
      </w:r>
      <w:r>
        <w:rPr>
          <w:noProof/>
        </w:rPr>
      </w:r>
      <w:r>
        <w:rPr>
          <w:noProof/>
        </w:rPr>
        <w:fldChar w:fldCharType="separate"/>
      </w:r>
      <w:r>
        <w:rPr>
          <w:noProof/>
        </w:rPr>
        <w:t>5</w:t>
      </w:r>
      <w:r>
        <w:rPr>
          <w:noProof/>
        </w:rPr>
        <w:fldChar w:fldCharType="end"/>
      </w:r>
    </w:p>
    <w:p w:rsidR="00C86248" w:rsidRDefault="003A5FEA" w:rsidP="0086388B">
      <w:r>
        <w:fldChar w:fldCharType="end"/>
      </w:r>
    </w:p>
    <w:p w:rsidR="00C86248" w:rsidRDefault="00C86248">
      <w:pPr>
        <w:sectPr w:rsidR="00C86248" w:rsidSect="009D5125">
          <w:headerReference w:type="even" r:id="rId15"/>
          <w:headerReference w:type="default" r:id="rId16"/>
          <w:footerReference w:type="even" r:id="rId17"/>
          <w:footerReference w:type="default" r:id="rId18"/>
          <w:pgSz w:w="11907" w:h="16840" w:code="9"/>
          <w:pgMar w:top="851" w:right="1134" w:bottom="1134" w:left="1134" w:header="284" w:footer="567" w:gutter="284"/>
          <w:pgNumType w:fmt="lowerRoman"/>
          <w:cols w:space="720"/>
        </w:sectPr>
      </w:pPr>
    </w:p>
    <w:p w:rsidR="008C2973" w:rsidRDefault="00AE0874" w:rsidP="00626AD9">
      <w:pPr>
        <w:pStyle w:val="Heading1"/>
        <w:numPr>
          <w:ilvl w:val="0"/>
          <w:numId w:val="47"/>
        </w:numPr>
      </w:pPr>
      <w:bookmarkStart w:id="2" w:name="_Toc435347214"/>
      <w:r>
        <w:lastRenderedPageBreak/>
        <w:t>Ris</w:t>
      </w:r>
      <w:bookmarkStart w:id="3" w:name="_GoBack"/>
      <w:bookmarkEnd w:id="3"/>
      <w:r>
        <w:t>k</w:t>
      </w:r>
      <w:bookmarkEnd w:id="2"/>
    </w:p>
    <w:p w:rsidR="00AE0874" w:rsidRPr="00C62E87" w:rsidRDefault="00AE0874" w:rsidP="00D9636B">
      <w:pPr>
        <w:pStyle w:val="Heading2"/>
      </w:pPr>
      <w:bookmarkStart w:id="4" w:name="_Toc435183508"/>
      <w:bookmarkStart w:id="5" w:name="_Toc435347215"/>
      <w:r w:rsidRPr="00C62E87">
        <w:t>Introduction</w:t>
      </w:r>
      <w:bookmarkEnd w:id="4"/>
      <w:bookmarkEnd w:id="5"/>
    </w:p>
    <w:p w:rsidR="0092532C" w:rsidRDefault="00AE0874" w:rsidP="00D9636B">
      <w:r>
        <w:t>Risk is a measure of the probability of an event happening, and the magnitude of adverse consequence if that event happens. Thus, an event of low probability but great consequence would be regarded as being a higher risk than a similar event with little adverse consequence. At the other end of the scale, an event of high probability but minor consequence would be regarded as low risk.</w:t>
      </w:r>
    </w:p>
    <w:p w:rsidR="00AE0874" w:rsidRDefault="00AE0874" w:rsidP="00D9636B"/>
    <w:p w:rsidR="00AE0874" w:rsidRPr="00B10E01" w:rsidRDefault="00AE0874" w:rsidP="00D9636B">
      <w:r>
        <w:t>A</w:t>
      </w:r>
      <w:r w:rsidRPr="00B10E01">
        <w:t xml:space="preserve"> number of factors</w:t>
      </w:r>
      <w:r>
        <w:t xml:space="preserve"> affect the</w:t>
      </w:r>
      <w:r w:rsidRPr="00B10E01">
        <w:t xml:space="preserve"> level of risk </w:t>
      </w:r>
      <w:r>
        <w:t xml:space="preserve">at </w:t>
      </w:r>
      <w:r w:rsidRPr="00B10E01">
        <w:t>a manufacturing facility</w:t>
      </w:r>
      <w:r>
        <w:t>,</w:t>
      </w:r>
      <w:r w:rsidRPr="00B10E01">
        <w:t xml:space="preserve"> including:</w:t>
      </w:r>
    </w:p>
    <w:p w:rsidR="0092532C" w:rsidRDefault="00AE0874" w:rsidP="00D9636B">
      <w:pPr>
        <w:pStyle w:val="Bullet"/>
      </w:pPr>
      <w:r w:rsidRPr="00B10E01">
        <w:t>sources of ingredients (which in turn affects such things as the complexity of the formulation and what combination of ingredients are in it)</w:t>
      </w:r>
    </w:p>
    <w:p w:rsidR="0092532C" w:rsidRDefault="00AE0874" w:rsidP="00D9636B">
      <w:pPr>
        <w:pStyle w:val="Bullet"/>
      </w:pPr>
      <w:r w:rsidRPr="00B10E01">
        <w:t>dose form</w:t>
      </w:r>
    </w:p>
    <w:p w:rsidR="0092532C" w:rsidRDefault="00AE0874" w:rsidP="00D9636B">
      <w:pPr>
        <w:pStyle w:val="Bullet"/>
      </w:pPr>
      <w:r>
        <w:t xml:space="preserve">the </w:t>
      </w:r>
      <w:r w:rsidRPr="00B10E01">
        <w:t>way the product is intended to be taken and used (its route of administration),</w:t>
      </w:r>
    </w:p>
    <w:p w:rsidR="00AE0874" w:rsidRPr="00D9636B" w:rsidRDefault="00AE0874" w:rsidP="00D9636B">
      <w:pPr>
        <w:pStyle w:val="Bullet"/>
        <w:rPr>
          <w:lang w:eastAsia="en-NZ"/>
        </w:rPr>
      </w:pPr>
      <w:r w:rsidRPr="00B10E01">
        <w:t>a</w:t>
      </w:r>
      <w:r>
        <w:t>ny</w:t>
      </w:r>
      <w:r w:rsidRPr="00B10E01">
        <w:t xml:space="preserve"> manufacturing issues</w:t>
      </w:r>
      <w:r>
        <w:t>,</w:t>
      </w:r>
      <w:r w:rsidRPr="00B10E01">
        <w:t xml:space="preserve"> such as</w:t>
      </w:r>
      <w:r>
        <w:t>:</w:t>
      </w:r>
    </w:p>
    <w:p w:rsidR="0092532C" w:rsidRDefault="00AE0874" w:rsidP="00D9636B">
      <w:pPr>
        <w:pStyle w:val="Dash"/>
      </w:pPr>
      <w:r w:rsidRPr="00B10E01">
        <w:t>the</w:t>
      </w:r>
      <w:r>
        <w:t xml:space="preserve"> experience of the manufacturer</w:t>
      </w:r>
    </w:p>
    <w:p w:rsidR="0092532C" w:rsidRDefault="00AE0874" w:rsidP="00D9636B">
      <w:pPr>
        <w:pStyle w:val="Dash"/>
      </w:pPr>
      <w:r w:rsidRPr="00B10E01">
        <w:t>the types and range of products they make</w:t>
      </w:r>
    </w:p>
    <w:p w:rsidR="0092532C" w:rsidRDefault="00AE0874" w:rsidP="00D9636B">
      <w:pPr>
        <w:pStyle w:val="Dash"/>
      </w:pPr>
      <w:r>
        <w:t>the scale of operations</w:t>
      </w:r>
    </w:p>
    <w:p w:rsidR="0092532C" w:rsidRDefault="00AE0874" w:rsidP="00D9636B">
      <w:pPr>
        <w:pStyle w:val="Dash"/>
      </w:pPr>
      <w:r>
        <w:t>scale of distribution</w:t>
      </w:r>
    </w:p>
    <w:p w:rsidR="0092532C" w:rsidRDefault="00AE0874" w:rsidP="00D9636B">
      <w:pPr>
        <w:pStyle w:val="Dash"/>
      </w:pPr>
      <w:proofErr w:type="gramStart"/>
      <w:r w:rsidRPr="00B10E01">
        <w:t>whether</w:t>
      </w:r>
      <w:proofErr w:type="gramEnd"/>
      <w:r w:rsidRPr="00B10E01">
        <w:t xml:space="preserve"> the manufacturer is making other products in addition to natural health products</w:t>
      </w:r>
      <w:r>
        <w:t xml:space="preserve"> (NHPs</w:t>
      </w:r>
      <w:r w:rsidRPr="00B10E01">
        <w:t>).</w:t>
      </w:r>
    </w:p>
    <w:p w:rsidR="00AE0874" w:rsidRDefault="00AE0874" w:rsidP="00D9636B"/>
    <w:p w:rsidR="00AE0874" w:rsidRDefault="00AE0874" w:rsidP="00D9636B">
      <w:pPr>
        <w:pStyle w:val="Figure"/>
      </w:pPr>
      <w:bookmarkStart w:id="6" w:name="_Toc435347241"/>
      <w:r w:rsidRPr="00424674">
        <w:t xml:space="preserve">Figure </w:t>
      </w:r>
      <w:r>
        <w:t>1</w:t>
      </w:r>
      <w:r w:rsidRPr="00424674">
        <w:t>: Risk assessment factors</w:t>
      </w:r>
      <w:bookmarkEnd w:id="6"/>
    </w:p>
    <w:p w:rsidR="00AE0874" w:rsidRPr="00424674" w:rsidRDefault="00AE0874" w:rsidP="00D9636B">
      <w:r w:rsidRPr="00424674">
        <w:rPr>
          <w:noProof/>
          <w:lang w:eastAsia="en-NZ"/>
        </w:rPr>
        <w:drawing>
          <wp:inline distT="0" distB="0" distL="0" distR="0" wp14:anchorId="56FC7A89" wp14:editId="2EF5D04F">
            <wp:extent cx="2610196" cy="2219064"/>
            <wp:effectExtent l="0" t="0" r="0" b="0"/>
            <wp:docPr id="7" name="Picture 7" descr="\\wmntfp.moh.govt.nz\userstate\marmccar\Desktop\Picture5.png" title="Figure 1: Risk assessment fa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ntfp.moh.govt.nz\userstate\marmccar\Desktop\Picture5.pn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1111" r="11358"/>
                    <a:stretch/>
                  </pic:blipFill>
                  <pic:spPr bwMode="auto">
                    <a:xfrm>
                      <a:off x="0" y="0"/>
                      <a:ext cx="2627469" cy="2233748"/>
                    </a:xfrm>
                    <a:prstGeom prst="rect">
                      <a:avLst/>
                    </a:prstGeom>
                    <a:noFill/>
                    <a:ln>
                      <a:noFill/>
                    </a:ln>
                    <a:extLst>
                      <a:ext uri="{53640926-AAD7-44D8-BBD7-CCE9431645EC}">
                        <a14:shadowObscured xmlns:a14="http://schemas.microsoft.com/office/drawing/2010/main"/>
                      </a:ext>
                    </a:extLst>
                  </pic:spPr>
                </pic:pic>
              </a:graphicData>
            </a:graphic>
          </wp:inline>
        </w:drawing>
      </w:r>
    </w:p>
    <w:p w:rsidR="00AE0874" w:rsidRDefault="00AE0874" w:rsidP="00D9636B"/>
    <w:p w:rsidR="00AE0874" w:rsidRDefault="00AE0874" w:rsidP="00D9636B">
      <w:pPr>
        <w:rPr>
          <w:spacing w:val="-2"/>
        </w:rPr>
      </w:pPr>
      <w:r w:rsidRPr="00D9636B">
        <w:rPr>
          <w:spacing w:val="-2"/>
        </w:rPr>
        <w:t>The risk-based Code of Manufacturing Practice (the Code) is based on the Act</w:t>
      </w:r>
      <w:r w:rsidR="0092532C" w:rsidRPr="00D9636B">
        <w:rPr>
          <w:spacing w:val="-2"/>
        </w:rPr>
        <w:t>’</w:t>
      </w:r>
      <w:r w:rsidRPr="00D9636B">
        <w:rPr>
          <w:spacing w:val="-2"/>
        </w:rPr>
        <w:t xml:space="preserve">s principle of proportionality: in other words, the controls on the manufacture of NHPs should be proportionate to the risks of their use. The requirements that all manufacturers must achieve are stipulated as outcomes, that is </w:t>
      </w:r>
      <w:r w:rsidR="0092532C" w:rsidRPr="00D9636B">
        <w:rPr>
          <w:spacing w:val="-2"/>
        </w:rPr>
        <w:t>‘</w:t>
      </w:r>
      <w:r w:rsidRPr="00D9636B">
        <w:rPr>
          <w:spacing w:val="-2"/>
        </w:rPr>
        <w:t>what must be achieved</w:t>
      </w:r>
      <w:r w:rsidR="0092532C" w:rsidRPr="00D9636B">
        <w:rPr>
          <w:spacing w:val="-2"/>
        </w:rPr>
        <w:t>’</w:t>
      </w:r>
      <w:r w:rsidRPr="00D9636B">
        <w:rPr>
          <w:spacing w:val="-2"/>
        </w:rPr>
        <w:t xml:space="preserve">, and are highlighted in text boxes in the Code. Sections of the Code provide guidance on best practice for </w:t>
      </w:r>
      <w:r w:rsidR="0092532C" w:rsidRPr="00D9636B">
        <w:rPr>
          <w:spacing w:val="-2"/>
        </w:rPr>
        <w:t>‘</w:t>
      </w:r>
      <w:r w:rsidRPr="00D9636B">
        <w:rPr>
          <w:spacing w:val="-2"/>
        </w:rPr>
        <w:t>how the outcome can be achieved</w:t>
      </w:r>
      <w:r w:rsidR="0092532C" w:rsidRPr="00D9636B">
        <w:rPr>
          <w:spacing w:val="-2"/>
        </w:rPr>
        <w:t>’</w:t>
      </w:r>
      <w:r w:rsidRPr="00D9636B">
        <w:rPr>
          <w:spacing w:val="-2"/>
        </w:rPr>
        <w:t>. Whether a particular best practice applies is dependent on the individual manufacturing circumstances and the nature of the NHP. The Code allows for appropriate standards to be applied to different manufacturing operations, proportionate to the risks to be managed.</w:t>
      </w:r>
    </w:p>
    <w:p w:rsidR="00D9636B" w:rsidRPr="00D9636B" w:rsidRDefault="00D9636B" w:rsidP="00D9636B"/>
    <w:p w:rsidR="00AE0874" w:rsidRDefault="00AE0874" w:rsidP="00D9636B">
      <w:pPr>
        <w:pStyle w:val="Heading2"/>
      </w:pPr>
      <w:bookmarkStart w:id="7" w:name="_Toc435183509"/>
      <w:bookmarkStart w:id="8" w:name="_Toc435347216"/>
      <w:r>
        <w:lastRenderedPageBreak/>
        <w:t>Risk assessment matrix</w:t>
      </w:r>
      <w:bookmarkEnd w:id="7"/>
      <w:bookmarkEnd w:id="8"/>
    </w:p>
    <w:p w:rsidR="0092532C" w:rsidRDefault="00AE0874" w:rsidP="00D9636B">
      <w:r>
        <w:t>To provide guidance in applying the Code, a risk assessment matrix has been constructed (see Table</w:t>
      </w:r>
      <w:r w:rsidR="00D9636B">
        <w:t> </w:t>
      </w:r>
      <w:r>
        <w:t>1 below).</w:t>
      </w:r>
    </w:p>
    <w:p w:rsidR="00AE0874" w:rsidRDefault="00AE0874" w:rsidP="00D9636B"/>
    <w:p w:rsidR="00AE0874" w:rsidRDefault="00AE0874" w:rsidP="00D9636B">
      <w:r>
        <w:t xml:space="preserve">The matrix is intended to provide product </w:t>
      </w:r>
      <w:proofErr w:type="spellStart"/>
      <w:r>
        <w:t>notifiers</w:t>
      </w:r>
      <w:proofErr w:type="spellEnd"/>
      <w:r>
        <w:t xml:space="preserve"> and manufacturers with an idea of the types of risks their manufacturing operations present, and to provide the Authority with guidance on what types of operations (and risks) may necessitate an audit of facilities.</w:t>
      </w:r>
    </w:p>
    <w:p w:rsidR="00AE0874" w:rsidRDefault="00AE0874" w:rsidP="00D9636B"/>
    <w:p w:rsidR="00AE0874" w:rsidRDefault="00AE0874" w:rsidP="00D9636B">
      <w:r>
        <w:t>The matrix lists a number of key risks identified as being associated with NHPs.</w:t>
      </w:r>
      <w:r w:rsidR="0092532C">
        <w:t xml:space="preserve"> </w:t>
      </w:r>
      <w:r>
        <w:t>The risks are split into broad risk factor groupings, dependent on the risks associated with the ingredients, dose form, route of administration, and production/manufacturing issues.</w:t>
      </w:r>
    </w:p>
    <w:p w:rsidR="00AE0874" w:rsidRDefault="00AE0874" w:rsidP="00D9636B"/>
    <w:p w:rsidR="00AE0874" w:rsidRPr="003A6139" w:rsidRDefault="00AE0874" w:rsidP="00D9636B">
      <w:pPr>
        <w:pStyle w:val="Table"/>
        <w:rPr>
          <w:noProof/>
          <w:lang w:eastAsia="en-NZ"/>
        </w:rPr>
      </w:pPr>
      <w:bookmarkStart w:id="9" w:name="_Toc435347252"/>
      <w:r w:rsidRPr="003A6139">
        <w:rPr>
          <w:noProof/>
          <w:lang w:eastAsia="en-NZ"/>
        </w:rPr>
        <w:t xml:space="preserve">Table </w:t>
      </w:r>
      <w:r>
        <w:rPr>
          <w:noProof/>
          <w:lang w:eastAsia="en-NZ"/>
        </w:rPr>
        <w:t>1</w:t>
      </w:r>
      <w:r w:rsidRPr="003A6139">
        <w:rPr>
          <w:noProof/>
          <w:lang w:eastAsia="en-NZ"/>
        </w:rPr>
        <w:t xml:space="preserve">: Risk </w:t>
      </w:r>
      <w:r>
        <w:rPr>
          <w:noProof/>
          <w:lang w:eastAsia="en-NZ"/>
        </w:rPr>
        <w:t>a</w:t>
      </w:r>
      <w:r w:rsidRPr="003A6139">
        <w:rPr>
          <w:noProof/>
          <w:lang w:eastAsia="en-NZ"/>
        </w:rPr>
        <w:t xml:space="preserve">ssessment </w:t>
      </w:r>
      <w:r>
        <w:rPr>
          <w:noProof/>
          <w:lang w:eastAsia="en-NZ"/>
        </w:rPr>
        <w:t>matrix</w:t>
      </w:r>
      <w:bookmarkEnd w:id="9"/>
    </w:p>
    <w:tbl>
      <w:tblPr>
        <w:tblStyle w:val="TableGrid"/>
        <w:tblW w:w="0" w:type="auto"/>
        <w:tblInd w:w="57" w:type="dxa"/>
        <w:tblLayout w:type="fixed"/>
        <w:tblCellMar>
          <w:left w:w="57" w:type="dxa"/>
          <w:right w:w="57" w:type="dxa"/>
        </w:tblCellMar>
        <w:tblLook w:val="04A0" w:firstRow="1" w:lastRow="0" w:firstColumn="1" w:lastColumn="0" w:noHBand="0" w:noVBand="1"/>
      </w:tblPr>
      <w:tblGrid>
        <w:gridCol w:w="1985"/>
        <w:gridCol w:w="2551"/>
        <w:gridCol w:w="2410"/>
        <w:gridCol w:w="2410"/>
      </w:tblGrid>
      <w:tr w:rsidR="00AE0874" w:rsidRPr="005B6311" w:rsidTr="004C57D0">
        <w:trPr>
          <w:cantSplit/>
          <w:tblHeader/>
        </w:trPr>
        <w:tc>
          <w:tcPr>
            <w:tcW w:w="9356" w:type="dxa"/>
            <w:gridSpan w:val="4"/>
            <w:tcBorders>
              <w:left w:val="nil"/>
              <w:bottom w:val="single" w:sz="4" w:space="0" w:color="auto"/>
              <w:right w:val="nil"/>
            </w:tcBorders>
          </w:tcPr>
          <w:p w:rsidR="00AE0874" w:rsidRPr="0035013A" w:rsidRDefault="00D9636B" w:rsidP="0035013A">
            <w:pPr>
              <w:pStyle w:val="TableText"/>
              <w:spacing w:before="60" w:after="60"/>
              <w:ind w:left="567" w:hanging="567"/>
              <w:rPr>
                <w:rFonts w:ascii="Arial" w:hAnsi="Arial" w:cs="Arial"/>
                <w:b/>
                <w:sz w:val="18"/>
                <w:szCs w:val="18"/>
              </w:rPr>
            </w:pPr>
            <w:r w:rsidRPr="0035013A">
              <w:rPr>
                <w:rFonts w:ascii="Arial" w:hAnsi="Arial" w:cs="Arial"/>
                <w:b/>
                <w:sz w:val="18"/>
                <w:szCs w:val="18"/>
              </w:rPr>
              <w:t>A</w:t>
            </w:r>
            <w:r w:rsidRPr="0035013A">
              <w:rPr>
                <w:rFonts w:ascii="Arial" w:hAnsi="Arial" w:cs="Arial"/>
                <w:b/>
                <w:sz w:val="18"/>
                <w:szCs w:val="18"/>
              </w:rPr>
              <w:tab/>
            </w:r>
            <w:r w:rsidR="00AE0874" w:rsidRPr="0035013A">
              <w:rPr>
                <w:rFonts w:ascii="Arial" w:hAnsi="Arial" w:cs="Arial"/>
                <w:b/>
                <w:sz w:val="18"/>
                <w:szCs w:val="18"/>
              </w:rPr>
              <w:t>Ingredients</w:t>
            </w:r>
          </w:p>
        </w:tc>
      </w:tr>
      <w:tr w:rsidR="00AE0874" w:rsidRPr="00D9636B" w:rsidTr="004C57D0">
        <w:trPr>
          <w:cantSplit/>
          <w:tblHeader/>
        </w:trPr>
        <w:tc>
          <w:tcPr>
            <w:tcW w:w="1985" w:type="dxa"/>
            <w:tcBorders>
              <w:top w:val="single" w:sz="4" w:space="0" w:color="auto"/>
              <w:left w:val="nil"/>
              <w:bottom w:val="single" w:sz="4" w:space="0" w:color="auto"/>
              <w:right w:val="nil"/>
            </w:tcBorders>
          </w:tcPr>
          <w:p w:rsidR="00AE0874" w:rsidRPr="0035013A" w:rsidRDefault="00AE0874" w:rsidP="0035013A">
            <w:pPr>
              <w:pStyle w:val="TableText"/>
              <w:spacing w:before="60" w:after="60"/>
              <w:rPr>
                <w:rFonts w:ascii="Arial" w:hAnsi="Arial" w:cs="Arial"/>
                <w:b/>
                <w:sz w:val="18"/>
                <w:szCs w:val="18"/>
              </w:rPr>
            </w:pPr>
            <w:r w:rsidRPr="0035013A">
              <w:rPr>
                <w:rFonts w:ascii="Arial" w:hAnsi="Arial" w:cs="Arial"/>
                <w:b/>
                <w:sz w:val="18"/>
                <w:szCs w:val="18"/>
              </w:rPr>
              <w:t>Attribute</w:t>
            </w:r>
          </w:p>
        </w:tc>
        <w:tc>
          <w:tcPr>
            <w:tcW w:w="2551" w:type="dxa"/>
            <w:tcBorders>
              <w:top w:val="single" w:sz="4" w:space="0" w:color="auto"/>
              <w:left w:val="nil"/>
              <w:bottom w:val="single" w:sz="4" w:space="0" w:color="auto"/>
              <w:right w:val="nil"/>
            </w:tcBorders>
          </w:tcPr>
          <w:p w:rsidR="00AE0874" w:rsidRPr="0035013A" w:rsidRDefault="00AE0874" w:rsidP="0035013A">
            <w:pPr>
              <w:pStyle w:val="TableText"/>
              <w:spacing w:before="60" w:after="60"/>
              <w:rPr>
                <w:rFonts w:ascii="Arial" w:hAnsi="Arial" w:cs="Arial"/>
                <w:b/>
                <w:sz w:val="18"/>
                <w:szCs w:val="18"/>
              </w:rPr>
            </w:pPr>
            <w:r w:rsidRPr="0035013A">
              <w:rPr>
                <w:rFonts w:ascii="Arial" w:hAnsi="Arial" w:cs="Arial"/>
                <w:b/>
                <w:sz w:val="18"/>
                <w:szCs w:val="18"/>
              </w:rPr>
              <w:t>Level 1 (low risk)</w:t>
            </w:r>
          </w:p>
        </w:tc>
        <w:tc>
          <w:tcPr>
            <w:tcW w:w="2410" w:type="dxa"/>
            <w:tcBorders>
              <w:top w:val="single" w:sz="4" w:space="0" w:color="auto"/>
              <w:left w:val="nil"/>
              <w:bottom w:val="single" w:sz="4" w:space="0" w:color="auto"/>
              <w:right w:val="nil"/>
            </w:tcBorders>
          </w:tcPr>
          <w:p w:rsidR="00AE0874" w:rsidRPr="0035013A" w:rsidRDefault="00AE0874" w:rsidP="0035013A">
            <w:pPr>
              <w:pStyle w:val="TableText"/>
              <w:spacing w:before="60" w:after="60"/>
              <w:rPr>
                <w:rFonts w:ascii="Arial" w:hAnsi="Arial" w:cs="Arial"/>
                <w:b/>
                <w:sz w:val="18"/>
                <w:szCs w:val="18"/>
              </w:rPr>
            </w:pPr>
            <w:r w:rsidRPr="0035013A">
              <w:rPr>
                <w:rFonts w:ascii="Arial" w:hAnsi="Arial" w:cs="Arial"/>
                <w:b/>
                <w:sz w:val="18"/>
                <w:szCs w:val="18"/>
              </w:rPr>
              <w:t>Level 2 (medium risk)</w:t>
            </w:r>
          </w:p>
        </w:tc>
        <w:tc>
          <w:tcPr>
            <w:tcW w:w="2410" w:type="dxa"/>
            <w:tcBorders>
              <w:top w:val="single" w:sz="4" w:space="0" w:color="auto"/>
              <w:left w:val="nil"/>
              <w:bottom w:val="single" w:sz="4" w:space="0" w:color="auto"/>
              <w:right w:val="nil"/>
            </w:tcBorders>
          </w:tcPr>
          <w:p w:rsidR="00AE0874" w:rsidRPr="0035013A" w:rsidRDefault="00AE0874" w:rsidP="0035013A">
            <w:pPr>
              <w:pStyle w:val="TableText"/>
              <w:spacing w:before="60" w:after="60"/>
              <w:rPr>
                <w:rFonts w:ascii="Arial" w:hAnsi="Arial" w:cs="Arial"/>
                <w:b/>
                <w:sz w:val="18"/>
                <w:szCs w:val="18"/>
              </w:rPr>
            </w:pPr>
            <w:r w:rsidRPr="0035013A">
              <w:rPr>
                <w:rFonts w:ascii="Arial" w:hAnsi="Arial" w:cs="Arial"/>
                <w:b/>
                <w:sz w:val="18"/>
                <w:szCs w:val="18"/>
              </w:rPr>
              <w:t>Level 3 (higher risk)</w:t>
            </w:r>
          </w:p>
        </w:tc>
      </w:tr>
      <w:tr w:rsidR="00AE0874" w:rsidRPr="003A6139" w:rsidTr="004C57D0">
        <w:trPr>
          <w:cantSplit/>
        </w:trPr>
        <w:tc>
          <w:tcPr>
            <w:tcW w:w="1985" w:type="dxa"/>
            <w:tcBorders>
              <w:top w:val="single" w:sz="4" w:space="0" w:color="auto"/>
              <w:left w:val="nil"/>
              <w:bottom w:val="single" w:sz="4" w:space="0" w:color="A6A6A6" w:themeColor="background1" w:themeShade="A6"/>
              <w:right w:val="nil"/>
            </w:tcBorders>
          </w:tcPr>
          <w:p w:rsidR="00AE0874" w:rsidRPr="0035013A" w:rsidRDefault="00AE0874" w:rsidP="0035013A">
            <w:pPr>
              <w:pStyle w:val="TableText"/>
              <w:spacing w:before="60" w:after="60"/>
              <w:rPr>
                <w:rFonts w:ascii="Arial" w:hAnsi="Arial" w:cs="Arial"/>
                <w:sz w:val="18"/>
                <w:szCs w:val="18"/>
              </w:rPr>
            </w:pPr>
            <w:r w:rsidRPr="0035013A">
              <w:rPr>
                <w:rFonts w:ascii="Arial" w:hAnsi="Arial" w:cs="Arial"/>
                <w:sz w:val="18"/>
                <w:szCs w:val="18"/>
              </w:rPr>
              <w:t>Ingredient suppliers</w:t>
            </w:r>
          </w:p>
        </w:tc>
        <w:tc>
          <w:tcPr>
            <w:tcW w:w="2551" w:type="dxa"/>
            <w:tcBorders>
              <w:top w:val="single" w:sz="4" w:space="0" w:color="auto"/>
              <w:left w:val="nil"/>
              <w:bottom w:val="single" w:sz="4" w:space="0" w:color="A6A6A6" w:themeColor="background1" w:themeShade="A6"/>
              <w:right w:val="nil"/>
            </w:tcBorders>
          </w:tcPr>
          <w:p w:rsidR="0092532C" w:rsidRPr="0035013A" w:rsidRDefault="00AE0874" w:rsidP="0035013A">
            <w:pPr>
              <w:pStyle w:val="TableText"/>
              <w:spacing w:before="60" w:after="60"/>
              <w:ind w:right="142"/>
              <w:rPr>
                <w:rFonts w:ascii="Arial" w:hAnsi="Arial" w:cs="Arial"/>
                <w:sz w:val="18"/>
                <w:szCs w:val="18"/>
              </w:rPr>
            </w:pPr>
            <w:r w:rsidRPr="0035013A">
              <w:rPr>
                <w:rFonts w:ascii="Arial" w:hAnsi="Arial" w:cs="Arial"/>
                <w:sz w:val="18"/>
                <w:szCs w:val="18"/>
              </w:rPr>
              <w:t>Locally sourced ingredients.</w:t>
            </w:r>
            <w:r w:rsidR="0092532C" w:rsidRPr="0035013A">
              <w:rPr>
                <w:rFonts w:ascii="Arial" w:hAnsi="Arial" w:cs="Arial"/>
                <w:sz w:val="18"/>
                <w:szCs w:val="18"/>
              </w:rPr>
              <w:t xml:space="preserve"> </w:t>
            </w:r>
            <w:r w:rsidRPr="0035013A">
              <w:rPr>
                <w:rFonts w:ascii="Arial" w:hAnsi="Arial" w:cs="Arial"/>
                <w:sz w:val="18"/>
                <w:szCs w:val="18"/>
              </w:rPr>
              <w:t>Either grown or made by the NZ-based manufacturer (excludes animal material).</w:t>
            </w:r>
          </w:p>
          <w:p w:rsidR="00AE0874" w:rsidRPr="0035013A" w:rsidRDefault="00AE0874" w:rsidP="0035013A">
            <w:pPr>
              <w:pStyle w:val="TableText"/>
              <w:spacing w:before="60" w:after="60"/>
              <w:ind w:right="142"/>
              <w:rPr>
                <w:rFonts w:ascii="Arial" w:hAnsi="Arial" w:cs="Arial"/>
                <w:sz w:val="18"/>
                <w:szCs w:val="18"/>
              </w:rPr>
            </w:pPr>
            <w:r w:rsidRPr="0035013A">
              <w:rPr>
                <w:rFonts w:ascii="Arial" w:hAnsi="Arial" w:cs="Arial"/>
                <w:sz w:val="18"/>
                <w:szCs w:val="18"/>
              </w:rPr>
              <w:t>Low risk of contamination, substitution or adulteration.</w:t>
            </w:r>
          </w:p>
        </w:tc>
        <w:tc>
          <w:tcPr>
            <w:tcW w:w="2410" w:type="dxa"/>
            <w:tcBorders>
              <w:top w:val="single" w:sz="4" w:space="0" w:color="auto"/>
              <w:left w:val="nil"/>
              <w:bottom w:val="single" w:sz="4" w:space="0" w:color="A6A6A6" w:themeColor="background1" w:themeShade="A6"/>
              <w:right w:val="nil"/>
            </w:tcBorders>
          </w:tcPr>
          <w:p w:rsidR="00AE0874" w:rsidRPr="0035013A" w:rsidRDefault="00AE0874" w:rsidP="0035013A">
            <w:pPr>
              <w:pStyle w:val="TableText"/>
              <w:spacing w:before="60" w:after="60"/>
              <w:ind w:right="142"/>
              <w:rPr>
                <w:rFonts w:ascii="Arial" w:hAnsi="Arial" w:cs="Arial"/>
                <w:sz w:val="18"/>
                <w:szCs w:val="18"/>
              </w:rPr>
            </w:pPr>
            <w:r w:rsidRPr="0035013A">
              <w:rPr>
                <w:rFonts w:ascii="Arial" w:hAnsi="Arial" w:cs="Arial"/>
                <w:sz w:val="18"/>
                <w:szCs w:val="18"/>
              </w:rPr>
              <w:t>Sourced overseas.</w:t>
            </w:r>
          </w:p>
          <w:p w:rsidR="00AE0874" w:rsidRPr="0035013A" w:rsidRDefault="00AE0874" w:rsidP="0035013A">
            <w:pPr>
              <w:pStyle w:val="TableText"/>
              <w:spacing w:before="60" w:after="60"/>
              <w:ind w:right="142"/>
              <w:rPr>
                <w:rFonts w:ascii="Arial" w:hAnsi="Arial" w:cs="Arial"/>
                <w:sz w:val="18"/>
                <w:szCs w:val="18"/>
              </w:rPr>
            </w:pPr>
            <w:r w:rsidRPr="0035013A">
              <w:rPr>
                <w:rFonts w:ascii="Arial" w:hAnsi="Arial" w:cs="Arial"/>
                <w:sz w:val="18"/>
                <w:szCs w:val="18"/>
              </w:rPr>
              <w:t>Can supply evidence of GMP certification from another regulator.</w:t>
            </w:r>
          </w:p>
          <w:p w:rsidR="00AE0874" w:rsidRPr="0035013A" w:rsidRDefault="00AE0874" w:rsidP="0035013A">
            <w:pPr>
              <w:pStyle w:val="TableText"/>
              <w:spacing w:before="60" w:after="60"/>
              <w:ind w:right="142"/>
              <w:rPr>
                <w:rFonts w:ascii="Arial" w:hAnsi="Arial" w:cs="Arial"/>
                <w:sz w:val="18"/>
                <w:szCs w:val="18"/>
              </w:rPr>
            </w:pPr>
            <w:r w:rsidRPr="0035013A">
              <w:rPr>
                <w:rFonts w:ascii="Arial" w:hAnsi="Arial" w:cs="Arial"/>
                <w:sz w:val="18"/>
                <w:szCs w:val="18"/>
              </w:rPr>
              <w:t>Suppliers are well-established international manufacturers with known internal QA systems, and ingredients are consistently supplied with good documentation.</w:t>
            </w:r>
          </w:p>
        </w:tc>
        <w:tc>
          <w:tcPr>
            <w:tcW w:w="2410" w:type="dxa"/>
            <w:tcBorders>
              <w:top w:val="single" w:sz="4" w:space="0" w:color="auto"/>
              <w:left w:val="nil"/>
              <w:bottom w:val="single" w:sz="4" w:space="0" w:color="A6A6A6" w:themeColor="background1" w:themeShade="A6"/>
              <w:right w:val="nil"/>
            </w:tcBorders>
          </w:tcPr>
          <w:p w:rsidR="00AE0874" w:rsidRPr="0035013A" w:rsidRDefault="00AE0874" w:rsidP="0035013A">
            <w:pPr>
              <w:pStyle w:val="TableText"/>
              <w:spacing w:before="60" w:after="60"/>
              <w:rPr>
                <w:rFonts w:ascii="Arial" w:hAnsi="Arial" w:cs="Arial"/>
                <w:sz w:val="18"/>
                <w:szCs w:val="18"/>
              </w:rPr>
            </w:pPr>
            <w:r w:rsidRPr="0035013A">
              <w:rPr>
                <w:rFonts w:ascii="Arial" w:hAnsi="Arial" w:cs="Arial"/>
                <w:sz w:val="18"/>
                <w:szCs w:val="18"/>
              </w:rPr>
              <w:t>Sourced from overseas, less known about suppliers, but ingredients are still supplied with good documentation.</w:t>
            </w:r>
          </w:p>
        </w:tc>
      </w:tr>
      <w:tr w:rsidR="00AE0874" w:rsidRPr="003A6139" w:rsidTr="004C57D0">
        <w:trPr>
          <w:cantSplit/>
        </w:trPr>
        <w:tc>
          <w:tcPr>
            <w:tcW w:w="1985" w:type="dxa"/>
            <w:tcBorders>
              <w:top w:val="single" w:sz="4" w:space="0" w:color="A6A6A6" w:themeColor="background1" w:themeShade="A6"/>
              <w:left w:val="nil"/>
              <w:bottom w:val="single" w:sz="4" w:space="0" w:color="A6A6A6" w:themeColor="background1" w:themeShade="A6"/>
              <w:right w:val="nil"/>
            </w:tcBorders>
          </w:tcPr>
          <w:p w:rsidR="00AE0874" w:rsidRPr="0035013A" w:rsidRDefault="00AE0874" w:rsidP="0035013A">
            <w:pPr>
              <w:pStyle w:val="TableText"/>
              <w:spacing w:before="60" w:after="60"/>
              <w:rPr>
                <w:rFonts w:ascii="Arial" w:hAnsi="Arial" w:cs="Arial"/>
                <w:i/>
                <w:sz w:val="18"/>
                <w:szCs w:val="18"/>
              </w:rPr>
            </w:pPr>
            <w:r w:rsidRPr="0035013A">
              <w:rPr>
                <w:rFonts w:ascii="Arial" w:hAnsi="Arial" w:cs="Arial"/>
                <w:sz w:val="18"/>
                <w:szCs w:val="18"/>
              </w:rPr>
              <w:t>Identification</w:t>
            </w:r>
            <w:r w:rsidR="004C57D0" w:rsidRPr="0035013A">
              <w:rPr>
                <w:rFonts w:ascii="Arial" w:hAnsi="Arial" w:cs="Arial"/>
                <w:sz w:val="18"/>
                <w:szCs w:val="18"/>
              </w:rPr>
              <w:br/>
            </w:r>
            <w:r w:rsidRPr="0035013A">
              <w:rPr>
                <w:rFonts w:ascii="Arial" w:hAnsi="Arial" w:cs="Arial"/>
                <w:i/>
                <w:sz w:val="18"/>
                <w:szCs w:val="18"/>
              </w:rPr>
              <w:t>*</w:t>
            </w:r>
            <w:r w:rsidR="004C57D0" w:rsidRPr="0035013A">
              <w:rPr>
                <w:rFonts w:ascii="Arial" w:hAnsi="Arial" w:cs="Arial"/>
                <w:i/>
                <w:sz w:val="18"/>
                <w:szCs w:val="18"/>
              </w:rPr>
              <w:t> </w:t>
            </w:r>
            <w:r w:rsidRPr="0035013A">
              <w:rPr>
                <w:rFonts w:ascii="Arial" w:hAnsi="Arial" w:cs="Arial"/>
                <w:i/>
                <w:sz w:val="18"/>
                <w:szCs w:val="18"/>
              </w:rPr>
              <w:t>Particularly relevant to plant materials</w:t>
            </w:r>
          </w:p>
        </w:tc>
        <w:tc>
          <w:tcPr>
            <w:tcW w:w="2551" w:type="dxa"/>
            <w:tcBorders>
              <w:top w:val="single" w:sz="4" w:space="0" w:color="A6A6A6" w:themeColor="background1" w:themeShade="A6"/>
              <w:left w:val="nil"/>
              <w:bottom w:val="single" w:sz="4" w:space="0" w:color="A6A6A6" w:themeColor="background1" w:themeShade="A6"/>
              <w:right w:val="nil"/>
            </w:tcBorders>
          </w:tcPr>
          <w:p w:rsidR="00AE0874" w:rsidRPr="0035013A" w:rsidRDefault="00AE0874" w:rsidP="0035013A">
            <w:pPr>
              <w:pStyle w:val="TableText"/>
              <w:spacing w:before="60" w:after="60"/>
              <w:ind w:right="142"/>
              <w:rPr>
                <w:rFonts w:ascii="Arial" w:hAnsi="Arial" w:cs="Arial"/>
                <w:sz w:val="18"/>
                <w:szCs w:val="18"/>
              </w:rPr>
            </w:pPr>
            <w:r w:rsidRPr="0035013A">
              <w:rPr>
                <w:rFonts w:ascii="Arial" w:hAnsi="Arial" w:cs="Arial"/>
                <w:sz w:val="18"/>
                <w:szCs w:val="18"/>
              </w:rPr>
              <w:t xml:space="preserve">Easily distinguished </w:t>
            </w:r>
            <w:proofErr w:type="gramStart"/>
            <w:r w:rsidRPr="0035013A">
              <w:rPr>
                <w:rFonts w:ascii="Arial" w:hAnsi="Arial" w:cs="Arial"/>
                <w:sz w:val="18"/>
                <w:szCs w:val="18"/>
              </w:rPr>
              <w:t>ingredients,</w:t>
            </w:r>
            <w:proofErr w:type="gramEnd"/>
            <w:r w:rsidRPr="0035013A">
              <w:rPr>
                <w:rFonts w:ascii="Arial" w:hAnsi="Arial" w:cs="Arial"/>
                <w:sz w:val="18"/>
                <w:szCs w:val="18"/>
              </w:rPr>
              <w:t xml:space="preserve"> and no effectiveness or toxicity issues exist between similar ingredients.</w:t>
            </w:r>
          </w:p>
        </w:tc>
        <w:tc>
          <w:tcPr>
            <w:tcW w:w="2410" w:type="dxa"/>
            <w:tcBorders>
              <w:top w:val="single" w:sz="4" w:space="0" w:color="A6A6A6" w:themeColor="background1" w:themeShade="A6"/>
              <w:left w:val="nil"/>
              <w:bottom w:val="single" w:sz="4" w:space="0" w:color="A6A6A6" w:themeColor="background1" w:themeShade="A6"/>
              <w:right w:val="nil"/>
            </w:tcBorders>
          </w:tcPr>
          <w:p w:rsidR="0092532C" w:rsidRPr="0035013A" w:rsidRDefault="00AE0874" w:rsidP="0035013A">
            <w:pPr>
              <w:pStyle w:val="TableText"/>
              <w:spacing w:before="60" w:after="60"/>
              <w:ind w:right="142"/>
              <w:rPr>
                <w:rFonts w:ascii="Arial" w:hAnsi="Arial" w:cs="Arial"/>
                <w:sz w:val="18"/>
                <w:szCs w:val="18"/>
              </w:rPr>
            </w:pPr>
            <w:r w:rsidRPr="0035013A">
              <w:rPr>
                <w:rFonts w:ascii="Arial" w:hAnsi="Arial" w:cs="Arial"/>
                <w:sz w:val="18"/>
                <w:szCs w:val="18"/>
              </w:rPr>
              <w:t>Some ingredients may be difficult to identify from other similar ingredients.</w:t>
            </w:r>
          </w:p>
          <w:p w:rsidR="00AE0874" w:rsidRPr="0035013A" w:rsidRDefault="00AE0874" w:rsidP="0035013A">
            <w:pPr>
              <w:pStyle w:val="TableText"/>
              <w:spacing w:before="60" w:after="60"/>
              <w:ind w:right="142"/>
              <w:rPr>
                <w:rFonts w:ascii="Arial" w:hAnsi="Arial" w:cs="Arial"/>
                <w:sz w:val="18"/>
                <w:szCs w:val="18"/>
              </w:rPr>
            </w:pPr>
            <w:r w:rsidRPr="0035013A">
              <w:rPr>
                <w:rFonts w:ascii="Arial" w:hAnsi="Arial" w:cs="Arial"/>
                <w:sz w:val="18"/>
                <w:szCs w:val="18"/>
              </w:rPr>
              <w:t>Mistaken identity may present effectiveness or toxicity issues.</w:t>
            </w:r>
          </w:p>
        </w:tc>
        <w:tc>
          <w:tcPr>
            <w:tcW w:w="2410" w:type="dxa"/>
            <w:tcBorders>
              <w:top w:val="single" w:sz="4" w:space="0" w:color="A6A6A6" w:themeColor="background1" w:themeShade="A6"/>
              <w:left w:val="nil"/>
              <w:bottom w:val="single" w:sz="4" w:space="0" w:color="A6A6A6" w:themeColor="background1" w:themeShade="A6"/>
              <w:right w:val="nil"/>
            </w:tcBorders>
          </w:tcPr>
          <w:p w:rsidR="00AE0874" w:rsidRPr="0035013A" w:rsidRDefault="00AE0874" w:rsidP="0035013A">
            <w:pPr>
              <w:pStyle w:val="TableText"/>
              <w:spacing w:before="60" w:after="60"/>
              <w:rPr>
                <w:rFonts w:ascii="Arial" w:hAnsi="Arial" w:cs="Arial"/>
                <w:sz w:val="18"/>
                <w:szCs w:val="18"/>
              </w:rPr>
            </w:pPr>
            <w:r w:rsidRPr="0035013A">
              <w:rPr>
                <w:rFonts w:ascii="Arial" w:hAnsi="Arial" w:cs="Arial"/>
                <w:sz w:val="18"/>
                <w:szCs w:val="18"/>
              </w:rPr>
              <w:t>Difficult to distinguish between similar ingredients with differing effectiveness or toxicity profiles.</w:t>
            </w:r>
          </w:p>
        </w:tc>
      </w:tr>
      <w:tr w:rsidR="00AE0874" w:rsidRPr="003A6139" w:rsidTr="004C57D0">
        <w:trPr>
          <w:cantSplit/>
        </w:trPr>
        <w:tc>
          <w:tcPr>
            <w:tcW w:w="1985" w:type="dxa"/>
            <w:tcBorders>
              <w:top w:val="single" w:sz="4" w:space="0" w:color="A6A6A6" w:themeColor="background1" w:themeShade="A6"/>
              <w:left w:val="nil"/>
              <w:bottom w:val="single" w:sz="4" w:space="0" w:color="A6A6A6" w:themeColor="background1" w:themeShade="A6"/>
              <w:right w:val="nil"/>
            </w:tcBorders>
          </w:tcPr>
          <w:p w:rsidR="00AE0874" w:rsidRPr="0035013A" w:rsidRDefault="00AE0874" w:rsidP="0035013A">
            <w:pPr>
              <w:pStyle w:val="TableText"/>
              <w:spacing w:before="60" w:after="60"/>
              <w:rPr>
                <w:rFonts w:ascii="Arial" w:hAnsi="Arial" w:cs="Arial"/>
                <w:sz w:val="18"/>
                <w:szCs w:val="18"/>
              </w:rPr>
            </w:pPr>
            <w:r w:rsidRPr="0035013A">
              <w:rPr>
                <w:rFonts w:ascii="Arial" w:hAnsi="Arial" w:cs="Arial"/>
                <w:sz w:val="18"/>
                <w:szCs w:val="18"/>
              </w:rPr>
              <w:t>Toxicity</w:t>
            </w:r>
          </w:p>
        </w:tc>
        <w:tc>
          <w:tcPr>
            <w:tcW w:w="2551" w:type="dxa"/>
            <w:tcBorders>
              <w:top w:val="single" w:sz="4" w:space="0" w:color="A6A6A6" w:themeColor="background1" w:themeShade="A6"/>
              <w:left w:val="nil"/>
              <w:bottom w:val="single" w:sz="4" w:space="0" w:color="A6A6A6" w:themeColor="background1" w:themeShade="A6"/>
              <w:right w:val="nil"/>
            </w:tcBorders>
          </w:tcPr>
          <w:p w:rsidR="00AE0874" w:rsidRPr="0035013A" w:rsidRDefault="00AE0874" w:rsidP="0035013A">
            <w:pPr>
              <w:pStyle w:val="TableText"/>
              <w:spacing w:before="60" w:after="60"/>
              <w:ind w:right="142"/>
              <w:rPr>
                <w:rFonts w:ascii="Arial" w:hAnsi="Arial" w:cs="Arial"/>
                <w:sz w:val="18"/>
                <w:szCs w:val="18"/>
              </w:rPr>
            </w:pPr>
            <w:r w:rsidRPr="0035013A">
              <w:rPr>
                <w:rFonts w:ascii="Arial" w:hAnsi="Arial" w:cs="Arial"/>
                <w:sz w:val="18"/>
                <w:szCs w:val="18"/>
              </w:rPr>
              <w:t>Non-toxic, at highest daily or individual doses.</w:t>
            </w:r>
          </w:p>
        </w:tc>
        <w:tc>
          <w:tcPr>
            <w:tcW w:w="2410" w:type="dxa"/>
            <w:tcBorders>
              <w:top w:val="single" w:sz="4" w:space="0" w:color="A6A6A6" w:themeColor="background1" w:themeShade="A6"/>
              <w:left w:val="nil"/>
              <w:bottom w:val="single" w:sz="4" w:space="0" w:color="A6A6A6" w:themeColor="background1" w:themeShade="A6"/>
              <w:right w:val="nil"/>
            </w:tcBorders>
          </w:tcPr>
          <w:p w:rsidR="00AE0874" w:rsidRPr="0035013A" w:rsidRDefault="00AE0874" w:rsidP="0035013A">
            <w:pPr>
              <w:pStyle w:val="TableText"/>
              <w:spacing w:before="60" w:after="60"/>
              <w:ind w:right="142"/>
              <w:rPr>
                <w:rFonts w:ascii="Arial" w:hAnsi="Arial" w:cs="Arial"/>
                <w:sz w:val="18"/>
                <w:szCs w:val="18"/>
              </w:rPr>
            </w:pPr>
            <w:r w:rsidRPr="0035013A">
              <w:rPr>
                <w:rFonts w:ascii="Arial" w:hAnsi="Arial" w:cs="Arial"/>
                <w:sz w:val="18"/>
                <w:szCs w:val="18"/>
              </w:rPr>
              <w:t>Potential toxicity if highest daily or individual doses exceeded.</w:t>
            </w:r>
          </w:p>
        </w:tc>
        <w:tc>
          <w:tcPr>
            <w:tcW w:w="2410" w:type="dxa"/>
            <w:tcBorders>
              <w:top w:val="single" w:sz="4" w:space="0" w:color="A6A6A6" w:themeColor="background1" w:themeShade="A6"/>
              <w:left w:val="nil"/>
              <w:bottom w:val="single" w:sz="4" w:space="0" w:color="A6A6A6" w:themeColor="background1" w:themeShade="A6"/>
              <w:right w:val="nil"/>
            </w:tcBorders>
          </w:tcPr>
          <w:p w:rsidR="00AE0874" w:rsidRPr="0035013A" w:rsidRDefault="00AE0874" w:rsidP="0035013A">
            <w:pPr>
              <w:pStyle w:val="TableText"/>
              <w:spacing w:before="60" w:after="60"/>
              <w:rPr>
                <w:rFonts w:ascii="Arial" w:hAnsi="Arial" w:cs="Arial"/>
                <w:sz w:val="18"/>
                <w:szCs w:val="18"/>
              </w:rPr>
            </w:pPr>
            <w:r w:rsidRPr="0035013A">
              <w:rPr>
                <w:rFonts w:ascii="Arial" w:hAnsi="Arial" w:cs="Arial"/>
                <w:sz w:val="18"/>
                <w:szCs w:val="18"/>
              </w:rPr>
              <w:t>Toxic at higher concentrations or if scheduled as a medicine at higher concentrations (</w:t>
            </w:r>
            <w:proofErr w:type="spellStart"/>
            <w:r w:rsidRPr="0035013A">
              <w:rPr>
                <w:rFonts w:ascii="Arial" w:hAnsi="Arial" w:cs="Arial"/>
                <w:sz w:val="18"/>
                <w:szCs w:val="18"/>
              </w:rPr>
              <w:t>eg</w:t>
            </w:r>
            <w:proofErr w:type="spellEnd"/>
            <w:r w:rsidRPr="0035013A">
              <w:rPr>
                <w:rFonts w:ascii="Arial" w:hAnsi="Arial" w:cs="Arial"/>
                <w:sz w:val="18"/>
                <w:szCs w:val="18"/>
              </w:rPr>
              <w:t>, vitamin D)</w:t>
            </w:r>
          </w:p>
        </w:tc>
      </w:tr>
      <w:tr w:rsidR="00AE0874" w:rsidRPr="003A6139" w:rsidTr="004C57D0">
        <w:trPr>
          <w:cantSplit/>
        </w:trPr>
        <w:tc>
          <w:tcPr>
            <w:tcW w:w="1985" w:type="dxa"/>
            <w:tcBorders>
              <w:top w:val="single" w:sz="4" w:space="0" w:color="A6A6A6" w:themeColor="background1" w:themeShade="A6"/>
              <w:left w:val="nil"/>
              <w:bottom w:val="single" w:sz="4" w:space="0" w:color="A6A6A6" w:themeColor="background1" w:themeShade="A6"/>
              <w:right w:val="nil"/>
            </w:tcBorders>
          </w:tcPr>
          <w:p w:rsidR="00AE0874" w:rsidRPr="0035013A" w:rsidRDefault="00AE0874" w:rsidP="0035013A">
            <w:pPr>
              <w:pStyle w:val="TableText"/>
              <w:spacing w:before="60" w:after="60"/>
              <w:rPr>
                <w:rFonts w:ascii="Arial" w:hAnsi="Arial" w:cs="Arial"/>
                <w:sz w:val="18"/>
                <w:szCs w:val="18"/>
              </w:rPr>
            </w:pPr>
            <w:r w:rsidRPr="0035013A">
              <w:rPr>
                <w:rFonts w:ascii="Arial" w:hAnsi="Arial" w:cs="Arial"/>
                <w:sz w:val="18"/>
                <w:szCs w:val="18"/>
              </w:rPr>
              <w:t>Pharmacological activity</w:t>
            </w:r>
          </w:p>
        </w:tc>
        <w:tc>
          <w:tcPr>
            <w:tcW w:w="2551" w:type="dxa"/>
            <w:tcBorders>
              <w:top w:val="single" w:sz="4" w:space="0" w:color="A6A6A6" w:themeColor="background1" w:themeShade="A6"/>
              <w:left w:val="nil"/>
              <w:bottom w:val="single" w:sz="4" w:space="0" w:color="A6A6A6" w:themeColor="background1" w:themeShade="A6"/>
              <w:right w:val="nil"/>
            </w:tcBorders>
          </w:tcPr>
          <w:p w:rsidR="00AE0874" w:rsidRPr="0035013A" w:rsidRDefault="00AE0874" w:rsidP="0035013A">
            <w:pPr>
              <w:pStyle w:val="TableText"/>
              <w:spacing w:before="60" w:after="60"/>
              <w:ind w:right="142"/>
              <w:rPr>
                <w:rFonts w:ascii="Arial" w:hAnsi="Arial" w:cs="Arial"/>
                <w:sz w:val="18"/>
                <w:szCs w:val="18"/>
              </w:rPr>
            </w:pPr>
            <w:r w:rsidRPr="0035013A">
              <w:rPr>
                <w:rFonts w:ascii="Arial" w:hAnsi="Arial" w:cs="Arial"/>
                <w:sz w:val="18"/>
                <w:szCs w:val="18"/>
              </w:rPr>
              <w:t>Has an identified low level of pharmacological activity.</w:t>
            </w:r>
          </w:p>
          <w:p w:rsidR="00AE0874" w:rsidRPr="0035013A" w:rsidRDefault="00AE0874" w:rsidP="0035013A">
            <w:pPr>
              <w:pStyle w:val="TableText"/>
              <w:spacing w:before="60" w:after="60"/>
              <w:ind w:right="142"/>
              <w:rPr>
                <w:rFonts w:ascii="Arial" w:hAnsi="Arial" w:cs="Arial"/>
                <w:sz w:val="18"/>
                <w:szCs w:val="18"/>
              </w:rPr>
            </w:pPr>
            <w:r w:rsidRPr="0035013A">
              <w:rPr>
                <w:rFonts w:ascii="Arial" w:hAnsi="Arial" w:cs="Arial"/>
                <w:sz w:val="18"/>
                <w:szCs w:val="18"/>
              </w:rPr>
              <w:t>Dose variability will not lead to clinical issues.</w:t>
            </w:r>
          </w:p>
        </w:tc>
        <w:tc>
          <w:tcPr>
            <w:tcW w:w="2410" w:type="dxa"/>
            <w:tcBorders>
              <w:top w:val="single" w:sz="4" w:space="0" w:color="A6A6A6" w:themeColor="background1" w:themeShade="A6"/>
              <w:left w:val="nil"/>
              <w:bottom w:val="single" w:sz="4" w:space="0" w:color="A6A6A6" w:themeColor="background1" w:themeShade="A6"/>
              <w:right w:val="nil"/>
            </w:tcBorders>
          </w:tcPr>
          <w:p w:rsidR="00AE0874" w:rsidRPr="0035013A" w:rsidRDefault="00AE0874" w:rsidP="0035013A">
            <w:pPr>
              <w:pStyle w:val="TableText"/>
              <w:spacing w:before="60" w:after="60"/>
              <w:ind w:right="142"/>
              <w:rPr>
                <w:rFonts w:ascii="Arial" w:hAnsi="Arial" w:cs="Arial"/>
                <w:i/>
                <w:sz w:val="18"/>
                <w:szCs w:val="18"/>
              </w:rPr>
            </w:pPr>
            <w:r w:rsidRPr="0035013A">
              <w:rPr>
                <w:rFonts w:ascii="Arial" w:hAnsi="Arial" w:cs="Arial"/>
                <w:i/>
                <w:sz w:val="18"/>
                <w:szCs w:val="18"/>
              </w:rPr>
              <w:t>*</w:t>
            </w:r>
            <w:r w:rsidR="004C57D0" w:rsidRPr="0035013A">
              <w:rPr>
                <w:rFonts w:ascii="Arial" w:hAnsi="Arial" w:cs="Arial"/>
                <w:i/>
                <w:sz w:val="18"/>
                <w:szCs w:val="18"/>
              </w:rPr>
              <w:t> </w:t>
            </w:r>
            <w:r w:rsidRPr="0035013A">
              <w:rPr>
                <w:rFonts w:ascii="Arial" w:hAnsi="Arial" w:cs="Arial"/>
                <w:i/>
                <w:sz w:val="18"/>
                <w:szCs w:val="18"/>
              </w:rPr>
              <w:t>Determine risk at this level based on different factors</w:t>
            </w:r>
          </w:p>
        </w:tc>
        <w:tc>
          <w:tcPr>
            <w:tcW w:w="2410" w:type="dxa"/>
            <w:tcBorders>
              <w:top w:val="single" w:sz="4" w:space="0" w:color="A6A6A6" w:themeColor="background1" w:themeShade="A6"/>
              <w:left w:val="nil"/>
              <w:bottom w:val="single" w:sz="4" w:space="0" w:color="A6A6A6" w:themeColor="background1" w:themeShade="A6"/>
              <w:right w:val="nil"/>
            </w:tcBorders>
          </w:tcPr>
          <w:p w:rsidR="00AE0874" w:rsidRPr="0035013A" w:rsidRDefault="00AE0874" w:rsidP="0035013A">
            <w:pPr>
              <w:pStyle w:val="TableText"/>
              <w:spacing w:before="60" w:after="60"/>
              <w:rPr>
                <w:rFonts w:ascii="Arial" w:hAnsi="Arial" w:cs="Arial"/>
                <w:sz w:val="18"/>
                <w:szCs w:val="18"/>
              </w:rPr>
            </w:pPr>
            <w:r w:rsidRPr="0035013A">
              <w:rPr>
                <w:rFonts w:ascii="Arial" w:hAnsi="Arial" w:cs="Arial"/>
                <w:sz w:val="18"/>
                <w:szCs w:val="18"/>
              </w:rPr>
              <w:t>Has known dose-related pharmacological activity.</w:t>
            </w:r>
          </w:p>
        </w:tc>
      </w:tr>
      <w:tr w:rsidR="00AE0874" w:rsidRPr="003A6139" w:rsidTr="004C57D0">
        <w:trPr>
          <w:cantSplit/>
        </w:trPr>
        <w:tc>
          <w:tcPr>
            <w:tcW w:w="1985" w:type="dxa"/>
            <w:tcBorders>
              <w:top w:val="single" w:sz="4" w:space="0" w:color="A6A6A6" w:themeColor="background1" w:themeShade="A6"/>
              <w:left w:val="nil"/>
              <w:bottom w:val="single" w:sz="4" w:space="0" w:color="A6A6A6" w:themeColor="background1" w:themeShade="A6"/>
              <w:right w:val="nil"/>
            </w:tcBorders>
          </w:tcPr>
          <w:p w:rsidR="00AE0874" w:rsidRPr="0035013A" w:rsidRDefault="00AE0874" w:rsidP="0035013A">
            <w:pPr>
              <w:pStyle w:val="TableText"/>
              <w:spacing w:before="60" w:after="60"/>
              <w:rPr>
                <w:rFonts w:ascii="Arial" w:hAnsi="Arial" w:cs="Arial"/>
                <w:sz w:val="18"/>
                <w:szCs w:val="18"/>
              </w:rPr>
            </w:pPr>
            <w:r w:rsidRPr="0035013A">
              <w:rPr>
                <w:rFonts w:ascii="Arial" w:hAnsi="Arial" w:cs="Arial"/>
                <w:sz w:val="18"/>
                <w:szCs w:val="18"/>
              </w:rPr>
              <w:t>Allergenic potential</w:t>
            </w:r>
          </w:p>
        </w:tc>
        <w:tc>
          <w:tcPr>
            <w:tcW w:w="2551" w:type="dxa"/>
            <w:tcBorders>
              <w:top w:val="single" w:sz="4" w:space="0" w:color="A6A6A6" w:themeColor="background1" w:themeShade="A6"/>
              <w:left w:val="nil"/>
              <w:bottom w:val="single" w:sz="4" w:space="0" w:color="A6A6A6" w:themeColor="background1" w:themeShade="A6"/>
              <w:right w:val="nil"/>
            </w:tcBorders>
          </w:tcPr>
          <w:p w:rsidR="00AE0874" w:rsidRPr="0035013A" w:rsidRDefault="00AE0874" w:rsidP="0035013A">
            <w:pPr>
              <w:pStyle w:val="TableText"/>
              <w:spacing w:before="60" w:after="60"/>
              <w:ind w:right="142"/>
              <w:rPr>
                <w:rFonts w:ascii="Arial" w:hAnsi="Arial" w:cs="Arial"/>
                <w:sz w:val="18"/>
                <w:szCs w:val="18"/>
              </w:rPr>
            </w:pPr>
            <w:r w:rsidRPr="0035013A">
              <w:rPr>
                <w:rFonts w:ascii="Arial" w:hAnsi="Arial" w:cs="Arial"/>
                <w:sz w:val="18"/>
                <w:szCs w:val="18"/>
              </w:rPr>
              <w:t>No ingredients with known allergenic potential.</w:t>
            </w:r>
          </w:p>
        </w:tc>
        <w:tc>
          <w:tcPr>
            <w:tcW w:w="2410" w:type="dxa"/>
            <w:tcBorders>
              <w:top w:val="single" w:sz="4" w:space="0" w:color="A6A6A6" w:themeColor="background1" w:themeShade="A6"/>
              <w:left w:val="nil"/>
              <w:bottom w:val="single" w:sz="4" w:space="0" w:color="A6A6A6" w:themeColor="background1" w:themeShade="A6"/>
              <w:right w:val="nil"/>
            </w:tcBorders>
          </w:tcPr>
          <w:p w:rsidR="00AE0874" w:rsidRPr="0035013A" w:rsidRDefault="00AE0874" w:rsidP="0035013A">
            <w:pPr>
              <w:pStyle w:val="TableText"/>
              <w:spacing w:before="60" w:after="60"/>
              <w:ind w:right="142"/>
              <w:rPr>
                <w:rFonts w:ascii="Arial" w:hAnsi="Arial" w:cs="Arial"/>
                <w:sz w:val="18"/>
                <w:szCs w:val="18"/>
              </w:rPr>
            </w:pPr>
            <w:r w:rsidRPr="0035013A">
              <w:rPr>
                <w:rFonts w:ascii="Arial" w:hAnsi="Arial" w:cs="Arial"/>
                <w:sz w:val="18"/>
                <w:szCs w:val="18"/>
              </w:rPr>
              <w:t>Uses allergenic ingredients, but segregation practices not required (</w:t>
            </w:r>
            <w:proofErr w:type="spellStart"/>
            <w:r w:rsidRPr="0035013A">
              <w:rPr>
                <w:rFonts w:ascii="Arial" w:hAnsi="Arial" w:cs="Arial"/>
                <w:sz w:val="18"/>
                <w:szCs w:val="18"/>
              </w:rPr>
              <w:t>eg</w:t>
            </w:r>
            <w:proofErr w:type="spellEnd"/>
            <w:r w:rsidRPr="0035013A">
              <w:rPr>
                <w:rFonts w:ascii="Arial" w:hAnsi="Arial" w:cs="Arial"/>
                <w:sz w:val="18"/>
                <w:szCs w:val="18"/>
              </w:rPr>
              <w:t>, all products contain the same ingredients).</w:t>
            </w:r>
          </w:p>
        </w:tc>
        <w:tc>
          <w:tcPr>
            <w:tcW w:w="2410" w:type="dxa"/>
            <w:tcBorders>
              <w:top w:val="single" w:sz="4" w:space="0" w:color="A6A6A6" w:themeColor="background1" w:themeShade="A6"/>
              <w:left w:val="nil"/>
              <w:bottom w:val="single" w:sz="4" w:space="0" w:color="A6A6A6" w:themeColor="background1" w:themeShade="A6"/>
              <w:right w:val="nil"/>
            </w:tcBorders>
          </w:tcPr>
          <w:p w:rsidR="00AE0874" w:rsidRPr="0035013A" w:rsidRDefault="00AE0874" w:rsidP="0035013A">
            <w:pPr>
              <w:pStyle w:val="TableText"/>
              <w:spacing w:before="60" w:after="60"/>
              <w:rPr>
                <w:rFonts w:ascii="Arial" w:hAnsi="Arial" w:cs="Arial"/>
                <w:sz w:val="18"/>
                <w:szCs w:val="18"/>
              </w:rPr>
            </w:pPr>
            <w:r w:rsidRPr="0035013A">
              <w:rPr>
                <w:rFonts w:ascii="Arial" w:hAnsi="Arial" w:cs="Arial"/>
                <w:sz w:val="18"/>
                <w:szCs w:val="18"/>
              </w:rPr>
              <w:t>Contains an allergen or sensitising ingredient in some products, and strict segregation practices are required (for instance, bee and honey products, those derived from milk, egg, fish or nut products).</w:t>
            </w:r>
          </w:p>
        </w:tc>
      </w:tr>
      <w:tr w:rsidR="00AE0874" w:rsidRPr="003A6139" w:rsidTr="004C57D0">
        <w:trPr>
          <w:cantSplit/>
        </w:trPr>
        <w:tc>
          <w:tcPr>
            <w:tcW w:w="1985" w:type="dxa"/>
            <w:tcBorders>
              <w:top w:val="single" w:sz="4" w:space="0" w:color="A6A6A6" w:themeColor="background1" w:themeShade="A6"/>
              <w:left w:val="nil"/>
              <w:bottom w:val="single" w:sz="4" w:space="0" w:color="A6A6A6" w:themeColor="background1" w:themeShade="A6"/>
              <w:right w:val="nil"/>
            </w:tcBorders>
          </w:tcPr>
          <w:p w:rsidR="00AE0874" w:rsidRPr="0035013A" w:rsidRDefault="00AE0874" w:rsidP="0035013A">
            <w:pPr>
              <w:pStyle w:val="TableText"/>
              <w:spacing w:before="60" w:after="60"/>
              <w:rPr>
                <w:rFonts w:ascii="Arial" w:hAnsi="Arial" w:cs="Arial"/>
                <w:sz w:val="18"/>
                <w:szCs w:val="18"/>
              </w:rPr>
            </w:pPr>
            <w:r w:rsidRPr="0035013A">
              <w:rPr>
                <w:rFonts w:ascii="Arial" w:hAnsi="Arial" w:cs="Arial"/>
                <w:sz w:val="18"/>
                <w:szCs w:val="18"/>
              </w:rPr>
              <w:t>Interaction</w:t>
            </w:r>
          </w:p>
        </w:tc>
        <w:tc>
          <w:tcPr>
            <w:tcW w:w="2551" w:type="dxa"/>
            <w:tcBorders>
              <w:top w:val="single" w:sz="4" w:space="0" w:color="A6A6A6" w:themeColor="background1" w:themeShade="A6"/>
              <w:left w:val="nil"/>
              <w:bottom w:val="single" w:sz="4" w:space="0" w:color="A6A6A6" w:themeColor="background1" w:themeShade="A6"/>
              <w:right w:val="nil"/>
            </w:tcBorders>
          </w:tcPr>
          <w:p w:rsidR="00AE0874" w:rsidRPr="0035013A" w:rsidRDefault="00AE0874" w:rsidP="0035013A">
            <w:pPr>
              <w:pStyle w:val="TableText"/>
              <w:spacing w:before="60" w:after="60"/>
              <w:ind w:right="142"/>
              <w:rPr>
                <w:rFonts w:ascii="Arial" w:hAnsi="Arial" w:cs="Arial"/>
                <w:sz w:val="18"/>
                <w:szCs w:val="18"/>
              </w:rPr>
            </w:pPr>
            <w:r w:rsidRPr="0035013A">
              <w:rPr>
                <w:rFonts w:ascii="Arial" w:hAnsi="Arial" w:cs="Arial"/>
                <w:sz w:val="18"/>
                <w:szCs w:val="18"/>
              </w:rPr>
              <w:t>Ingredient not known to interact with other ingredients.</w:t>
            </w:r>
          </w:p>
        </w:tc>
        <w:tc>
          <w:tcPr>
            <w:tcW w:w="2410" w:type="dxa"/>
            <w:tcBorders>
              <w:top w:val="single" w:sz="4" w:space="0" w:color="A6A6A6" w:themeColor="background1" w:themeShade="A6"/>
              <w:left w:val="nil"/>
              <w:bottom w:val="single" w:sz="4" w:space="0" w:color="A6A6A6" w:themeColor="background1" w:themeShade="A6"/>
              <w:right w:val="nil"/>
            </w:tcBorders>
          </w:tcPr>
          <w:p w:rsidR="00AE0874" w:rsidRPr="0035013A" w:rsidRDefault="00AE0874" w:rsidP="0035013A">
            <w:pPr>
              <w:pStyle w:val="TableText"/>
              <w:spacing w:before="60" w:after="60"/>
              <w:ind w:right="142"/>
              <w:rPr>
                <w:rFonts w:ascii="Arial" w:hAnsi="Arial" w:cs="Arial"/>
                <w:sz w:val="18"/>
                <w:szCs w:val="18"/>
              </w:rPr>
            </w:pPr>
            <w:r w:rsidRPr="0035013A">
              <w:rPr>
                <w:rFonts w:ascii="Arial" w:hAnsi="Arial" w:cs="Arial"/>
                <w:i/>
                <w:sz w:val="18"/>
                <w:szCs w:val="18"/>
              </w:rPr>
              <w:t>*</w:t>
            </w:r>
            <w:r w:rsidR="004C57D0" w:rsidRPr="0035013A">
              <w:rPr>
                <w:rFonts w:ascii="Arial" w:hAnsi="Arial" w:cs="Arial"/>
                <w:i/>
                <w:sz w:val="18"/>
                <w:szCs w:val="18"/>
              </w:rPr>
              <w:t> </w:t>
            </w:r>
            <w:r w:rsidRPr="0035013A">
              <w:rPr>
                <w:rFonts w:ascii="Arial" w:hAnsi="Arial" w:cs="Arial"/>
                <w:i/>
                <w:sz w:val="18"/>
                <w:szCs w:val="18"/>
              </w:rPr>
              <w:t>Determine risk at this level based on different factors</w:t>
            </w:r>
          </w:p>
        </w:tc>
        <w:tc>
          <w:tcPr>
            <w:tcW w:w="2410" w:type="dxa"/>
            <w:tcBorders>
              <w:top w:val="single" w:sz="4" w:space="0" w:color="A6A6A6" w:themeColor="background1" w:themeShade="A6"/>
              <w:left w:val="nil"/>
              <w:bottom w:val="single" w:sz="4" w:space="0" w:color="A6A6A6" w:themeColor="background1" w:themeShade="A6"/>
              <w:right w:val="nil"/>
            </w:tcBorders>
          </w:tcPr>
          <w:p w:rsidR="00AE0874" w:rsidRPr="0035013A" w:rsidRDefault="00AE0874" w:rsidP="0035013A">
            <w:pPr>
              <w:pStyle w:val="TableText"/>
              <w:spacing w:before="60" w:after="60"/>
              <w:rPr>
                <w:rFonts w:ascii="Arial" w:hAnsi="Arial" w:cs="Arial"/>
                <w:sz w:val="18"/>
                <w:szCs w:val="18"/>
              </w:rPr>
            </w:pPr>
            <w:r w:rsidRPr="0035013A">
              <w:rPr>
                <w:rFonts w:ascii="Arial" w:hAnsi="Arial" w:cs="Arial"/>
                <w:sz w:val="18"/>
                <w:szCs w:val="18"/>
              </w:rPr>
              <w:t>Ingredient known to interact with other ingredients or manufacturing equipment</w:t>
            </w:r>
            <w:r w:rsidR="004C57D0" w:rsidRPr="0035013A">
              <w:rPr>
                <w:rFonts w:ascii="Arial" w:hAnsi="Arial" w:cs="Arial"/>
                <w:sz w:val="18"/>
                <w:szCs w:val="18"/>
              </w:rPr>
              <w:t xml:space="preserve"> </w:t>
            </w:r>
            <w:r w:rsidRPr="0035013A">
              <w:rPr>
                <w:rFonts w:ascii="Arial" w:hAnsi="Arial" w:cs="Arial"/>
                <w:sz w:val="18"/>
                <w:szCs w:val="18"/>
              </w:rPr>
              <w:t>(</w:t>
            </w:r>
            <w:proofErr w:type="spellStart"/>
            <w:r w:rsidRPr="0035013A">
              <w:rPr>
                <w:rFonts w:ascii="Arial" w:hAnsi="Arial" w:cs="Arial"/>
                <w:sz w:val="18"/>
                <w:szCs w:val="18"/>
              </w:rPr>
              <w:t>eg</w:t>
            </w:r>
            <w:proofErr w:type="spellEnd"/>
            <w:r w:rsidRPr="0035013A">
              <w:rPr>
                <w:rFonts w:ascii="Arial" w:hAnsi="Arial" w:cs="Arial"/>
                <w:sz w:val="18"/>
                <w:szCs w:val="18"/>
              </w:rPr>
              <w:t>, St John</w:t>
            </w:r>
            <w:r w:rsidR="0092532C" w:rsidRPr="0035013A">
              <w:rPr>
                <w:rFonts w:ascii="Arial" w:hAnsi="Arial" w:cs="Arial"/>
                <w:sz w:val="18"/>
                <w:szCs w:val="18"/>
              </w:rPr>
              <w:t>’</w:t>
            </w:r>
            <w:r w:rsidRPr="0035013A">
              <w:rPr>
                <w:rFonts w:ascii="Arial" w:hAnsi="Arial" w:cs="Arial"/>
                <w:sz w:val="18"/>
                <w:szCs w:val="18"/>
              </w:rPr>
              <w:t xml:space="preserve">s </w:t>
            </w:r>
            <w:proofErr w:type="spellStart"/>
            <w:r w:rsidRPr="0035013A">
              <w:rPr>
                <w:rFonts w:ascii="Arial" w:hAnsi="Arial" w:cs="Arial"/>
                <w:sz w:val="18"/>
                <w:szCs w:val="18"/>
              </w:rPr>
              <w:t>wort</w:t>
            </w:r>
            <w:proofErr w:type="spellEnd"/>
            <w:r w:rsidRPr="0035013A">
              <w:rPr>
                <w:rFonts w:ascii="Arial" w:hAnsi="Arial" w:cs="Arial"/>
                <w:sz w:val="18"/>
                <w:szCs w:val="18"/>
              </w:rPr>
              <w:t xml:space="preserve">, </w:t>
            </w:r>
            <w:proofErr w:type="spellStart"/>
            <w:r w:rsidRPr="0035013A">
              <w:rPr>
                <w:rFonts w:ascii="Arial" w:hAnsi="Arial" w:cs="Arial"/>
                <w:sz w:val="18"/>
                <w:szCs w:val="18"/>
              </w:rPr>
              <w:t>echinacea</w:t>
            </w:r>
            <w:proofErr w:type="spellEnd"/>
            <w:r w:rsidRPr="0035013A">
              <w:rPr>
                <w:rFonts w:ascii="Arial" w:hAnsi="Arial" w:cs="Arial"/>
                <w:sz w:val="18"/>
                <w:szCs w:val="18"/>
              </w:rPr>
              <w:t>, or are corrosive, oxidative or reductive).</w:t>
            </w:r>
          </w:p>
          <w:p w:rsidR="00AE0874" w:rsidRPr="0035013A" w:rsidRDefault="00AE0874" w:rsidP="0035013A">
            <w:pPr>
              <w:pStyle w:val="TableText"/>
              <w:spacing w:before="60" w:after="60"/>
              <w:rPr>
                <w:rFonts w:ascii="Arial" w:hAnsi="Arial" w:cs="Arial"/>
                <w:sz w:val="18"/>
                <w:szCs w:val="18"/>
              </w:rPr>
            </w:pPr>
            <w:r w:rsidRPr="0035013A">
              <w:rPr>
                <w:rFonts w:ascii="Arial" w:hAnsi="Arial" w:cs="Arial"/>
                <w:sz w:val="18"/>
                <w:szCs w:val="18"/>
              </w:rPr>
              <w:t>Manufacturing process will need to account for interactions.</w:t>
            </w:r>
          </w:p>
        </w:tc>
      </w:tr>
      <w:tr w:rsidR="00AE0874" w:rsidRPr="003A6139" w:rsidTr="004C57D0">
        <w:trPr>
          <w:cantSplit/>
        </w:trPr>
        <w:tc>
          <w:tcPr>
            <w:tcW w:w="1985" w:type="dxa"/>
            <w:tcBorders>
              <w:top w:val="single" w:sz="4" w:space="0" w:color="A6A6A6" w:themeColor="background1" w:themeShade="A6"/>
              <w:left w:val="nil"/>
              <w:bottom w:val="single" w:sz="4" w:space="0" w:color="A6A6A6" w:themeColor="background1" w:themeShade="A6"/>
              <w:right w:val="nil"/>
            </w:tcBorders>
          </w:tcPr>
          <w:p w:rsidR="00AE0874" w:rsidRPr="0035013A" w:rsidRDefault="00AE0874" w:rsidP="0035013A">
            <w:pPr>
              <w:pStyle w:val="TableText"/>
              <w:spacing w:before="60" w:after="60"/>
              <w:rPr>
                <w:rFonts w:ascii="Arial" w:hAnsi="Arial" w:cs="Arial"/>
                <w:sz w:val="18"/>
                <w:szCs w:val="18"/>
              </w:rPr>
            </w:pPr>
            <w:r w:rsidRPr="0035013A">
              <w:rPr>
                <w:rFonts w:ascii="Arial" w:hAnsi="Arial" w:cs="Arial"/>
                <w:sz w:val="18"/>
                <w:szCs w:val="18"/>
              </w:rPr>
              <w:lastRenderedPageBreak/>
              <w:t>Microbial risk</w:t>
            </w:r>
          </w:p>
        </w:tc>
        <w:tc>
          <w:tcPr>
            <w:tcW w:w="2551" w:type="dxa"/>
            <w:tcBorders>
              <w:top w:val="single" w:sz="4" w:space="0" w:color="A6A6A6" w:themeColor="background1" w:themeShade="A6"/>
              <w:left w:val="nil"/>
              <w:bottom w:val="single" w:sz="4" w:space="0" w:color="A6A6A6" w:themeColor="background1" w:themeShade="A6"/>
              <w:right w:val="nil"/>
            </w:tcBorders>
          </w:tcPr>
          <w:p w:rsidR="00AE0874" w:rsidRPr="0035013A" w:rsidRDefault="00AE0874" w:rsidP="0035013A">
            <w:pPr>
              <w:pStyle w:val="TableText"/>
              <w:spacing w:before="60" w:after="60"/>
              <w:rPr>
                <w:rFonts w:ascii="Arial" w:hAnsi="Arial" w:cs="Arial"/>
                <w:sz w:val="18"/>
                <w:szCs w:val="18"/>
              </w:rPr>
            </w:pPr>
            <w:r w:rsidRPr="0035013A">
              <w:rPr>
                <w:rFonts w:ascii="Arial" w:hAnsi="Arial" w:cs="Arial"/>
                <w:sz w:val="18"/>
                <w:szCs w:val="18"/>
              </w:rPr>
              <w:t xml:space="preserve">Processed material with low </w:t>
            </w:r>
            <w:proofErr w:type="spellStart"/>
            <w:r w:rsidRPr="0035013A">
              <w:rPr>
                <w:rFonts w:ascii="Arial" w:hAnsi="Arial" w:cs="Arial"/>
                <w:sz w:val="18"/>
                <w:szCs w:val="18"/>
              </w:rPr>
              <w:t>bioburden</w:t>
            </w:r>
            <w:proofErr w:type="spellEnd"/>
            <w:r w:rsidRPr="0035013A">
              <w:rPr>
                <w:rFonts w:ascii="Arial" w:hAnsi="Arial" w:cs="Arial"/>
                <w:sz w:val="18"/>
                <w:szCs w:val="18"/>
              </w:rPr>
              <w:t>.</w:t>
            </w:r>
          </w:p>
        </w:tc>
        <w:tc>
          <w:tcPr>
            <w:tcW w:w="2410" w:type="dxa"/>
            <w:tcBorders>
              <w:top w:val="single" w:sz="4" w:space="0" w:color="A6A6A6" w:themeColor="background1" w:themeShade="A6"/>
              <w:left w:val="nil"/>
              <w:bottom w:val="single" w:sz="4" w:space="0" w:color="A6A6A6" w:themeColor="background1" w:themeShade="A6"/>
              <w:right w:val="nil"/>
            </w:tcBorders>
          </w:tcPr>
          <w:p w:rsidR="00AE0874" w:rsidRPr="0035013A" w:rsidRDefault="00AE0874" w:rsidP="0035013A">
            <w:pPr>
              <w:pStyle w:val="TableText"/>
              <w:spacing w:before="60" w:after="60"/>
              <w:rPr>
                <w:rFonts w:ascii="Arial" w:hAnsi="Arial" w:cs="Arial"/>
                <w:sz w:val="18"/>
                <w:szCs w:val="18"/>
              </w:rPr>
            </w:pPr>
            <w:proofErr w:type="gramStart"/>
            <w:r w:rsidRPr="0035013A">
              <w:rPr>
                <w:rFonts w:ascii="Arial" w:hAnsi="Arial" w:cs="Arial"/>
                <w:sz w:val="18"/>
                <w:szCs w:val="18"/>
              </w:rPr>
              <w:t>Mineral,</w:t>
            </w:r>
            <w:proofErr w:type="gramEnd"/>
            <w:r w:rsidRPr="0035013A">
              <w:rPr>
                <w:rFonts w:ascii="Arial" w:hAnsi="Arial" w:cs="Arial"/>
                <w:sz w:val="18"/>
                <w:szCs w:val="18"/>
              </w:rPr>
              <w:t xml:space="preserve"> or partially processed ingredients with low to medium levels of </w:t>
            </w:r>
            <w:proofErr w:type="spellStart"/>
            <w:r w:rsidRPr="0035013A">
              <w:rPr>
                <w:rFonts w:ascii="Arial" w:hAnsi="Arial" w:cs="Arial"/>
                <w:sz w:val="18"/>
                <w:szCs w:val="18"/>
              </w:rPr>
              <w:t>bioburden</w:t>
            </w:r>
            <w:proofErr w:type="spellEnd"/>
            <w:r w:rsidRPr="0035013A">
              <w:rPr>
                <w:rFonts w:ascii="Arial" w:hAnsi="Arial" w:cs="Arial"/>
                <w:sz w:val="18"/>
                <w:szCs w:val="18"/>
              </w:rPr>
              <w:t>.</w:t>
            </w:r>
          </w:p>
        </w:tc>
        <w:tc>
          <w:tcPr>
            <w:tcW w:w="2410" w:type="dxa"/>
            <w:tcBorders>
              <w:top w:val="single" w:sz="4" w:space="0" w:color="A6A6A6" w:themeColor="background1" w:themeShade="A6"/>
              <w:left w:val="nil"/>
              <w:bottom w:val="single" w:sz="4" w:space="0" w:color="A6A6A6" w:themeColor="background1" w:themeShade="A6"/>
              <w:right w:val="nil"/>
            </w:tcBorders>
          </w:tcPr>
          <w:p w:rsidR="00AE0874" w:rsidRPr="0035013A" w:rsidRDefault="00AE0874" w:rsidP="0035013A">
            <w:pPr>
              <w:pStyle w:val="TableText"/>
              <w:spacing w:before="60" w:after="60"/>
              <w:rPr>
                <w:rFonts w:ascii="Arial" w:hAnsi="Arial" w:cs="Arial"/>
                <w:sz w:val="18"/>
                <w:szCs w:val="18"/>
              </w:rPr>
            </w:pPr>
            <w:r w:rsidRPr="0035013A">
              <w:rPr>
                <w:rFonts w:ascii="Arial" w:hAnsi="Arial" w:cs="Arial"/>
                <w:sz w:val="18"/>
                <w:szCs w:val="18"/>
              </w:rPr>
              <w:t xml:space="preserve">Unprocessed biological materials with high </w:t>
            </w:r>
            <w:proofErr w:type="spellStart"/>
            <w:r w:rsidRPr="0035013A">
              <w:rPr>
                <w:rFonts w:ascii="Arial" w:hAnsi="Arial" w:cs="Arial"/>
                <w:sz w:val="18"/>
                <w:szCs w:val="18"/>
              </w:rPr>
              <w:t>bioburden</w:t>
            </w:r>
            <w:proofErr w:type="spellEnd"/>
            <w:r w:rsidRPr="0035013A">
              <w:rPr>
                <w:rFonts w:ascii="Arial" w:hAnsi="Arial" w:cs="Arial"/>
                <w:sz w:val="18"/>
                <w:szCs w:val="18"/>
              </w:rPr>
              <w:t xml:space="preserve"> (</w:t>
            </w:r>
            <w:proofErr w:type="spellStart"/>
            <w:r w:rsidRPr="0035013A">
              <w:rPr>
                <w:rFonts w:ascii="Arial" w:hAnsi="Arial" w:cs="Arial"/>
                <w:sz w:val="18"/>
                <w:szCs w:val="18"/>
              </w:rPr>
              <w:t>eg</w:t>
            </w:r>
            <w:proofErr w:type="spellEnd"/>
            <w:r w:rsidRPr="0035013A">
              <w:rPr>
                <w:rFonts w:ascii="Arial" w:hAnsi="Arial" w:cs="Arial"/>
                <w:sz w:val="18"/>
                <w:szCs w:val="18"/>
              </w:rPr>
              <w:t>, plant or animal material).</w:t>
            </w:r>
          </w:p>
        </w:tc>
      </w:tr>
      <w:tr w:rsidR="00AE0874" w:rsidRPr="003A6139" w:rsidTr="004C57D0">
        <w:trPr>
          <w:cantSplit/>
        </w:trPr>
        <w:tc>
          <w:tcPr>
            <w:tcW w:w="1985" w:type="dxa"/>
            <w:tcBorders>
              <w:top w:val="single" w:sz="4" w:space="0" w:color="A6A6A6" w:themeColor="background1" w:themeShade="A6"/>
              <w:left w:val="nil"/>
              <w:right w:val="nil"/>
            </w:tcBorders>
          </w:tcPr>
          <w:p w:rsidR="00AE0874" w:rsidRPr="0035013A" w:rsidRDefault="00AE0874" w:rsidP="0035013A">
            <w:pPr>
              <w:pStyle w:val="TableText"/>
              <w:spacing w:before="60" w:after="60"/>
              <w:rPr>
                <w:rFonts w:ascii="Arial" w:hAnsi="Arial" w:cs="Arial"/>
                <w:sz w:val="18"/>
                <w:szCs w:val="18"/>
              </w:rPr>
            </w:pPr>
            <w:r w:rsidRPr="0035013A">
              <w:rPr>
                <w:rFonts w:ascii="Arial" w:hAnsi="Arial" w:cs="Arial"/>
                <w:sz w:val="18"/>
                <w:szCs w:val="18"/>
              </w:rPr>
              <w:t>Source</w:t>
            </w:r>
          </w:p>
        </w:tc>
        <w:tc>
          <w:tcPr>
            <w:tcW w:w="2551" w:type="dxa"/>
            <w:tcBorders>
              <w:top w:val="single" w:sz="4" w:space="0" w:color="A6A6A6" w:themeColor="background1" w:themeShade="A6"/>
              <w:left w:val="nil"/>
              <w:right w:val="nil"/>
            </w:tcBorders>
          </w:tcPr>
          <w:p w:rsidR="00AE0874" w:rsidRPr="0035013A" w:rsidRDefault="00AE0874" w:rsidP="0035013A">
            <w:pPr>
              <w:pStyle w:val="TableText"/>
              <w:spacing w:before="60" w:after="60"/>
              <w:rPr>
                <w:rFonts w:ascii="Arial" w:hAnsi="Arial" w:cs="Arial"/>
                <w:sz w:val="18"/>
                <w:szCs w:val="18"/>
              </w:rPr>
            </w:pPr>
            <w:r w:rsidRPr="0035013A">
              <w:rPr>
                <w:rFonts w:ascii="Arial" w:hAnsi="Arial" w:cs="Arial"/>
                <w:sz w:val="18"/>
                <w:szCs w:val="18"/>
              </w:rPr>
              <w:t>Chemical or mineral material.</w:t>
            </w:r>
          </w:p>
        </w:tc>
        <w:tc>
          <w:tcPr>
            <w:tcW w:w="2410" w:type="dxa"/>
            <w:tcBorders>
              <w:top w:val="single" w:sz="4" w:space="0" w:color="A6A6A6" w:themeColor="background1" w:themeShade="A6"/>
              <w:left w:val="nil"/>
              <w:right w:val="nil"/>
            </w:tcBorders>
          </w:tcPr>
          <w:p w:rsidR="00AE0874" w:rsidRPr="0035013A" w:rsidRDefault="00AE0874" w:rsidP="0035013A">
            <w:pPr>
              <w:pStyle w:val="TableText"/>
              <w:spacing w:before="60" w:after="60"/>
              <w:rPr>
                <w:rFonts w:ascii="Arial" w:hAnsi="Arial" w:cs="Arial"/>
                <w:sz w:val="18"/>
                <w:szCs w:val="18"/>
              </w:rPr>
            </w:pPr>
            <w:r w:rsidRPr="0035013A">
              <w:rPr>
                <w:rFonts w:ascii="Arial" w:hAnsi="Arial" w:cs="Arial"/>
                <w:sz w:val="18"/>
                <w:szCs w:val="18"/>
              </w:rPr>
              <w:t>Plant material.</w:t>
            </w:r>
          </w:p>
        </w:tc>
        <w:tc>
          <w:tcPr>
            <w:tcW w:w="2410" w:type="dxa"/>
            <w:tcBorders>
              <w:top w:val="single" w:sz="4" w:space="0" w:color="A6A6A6" w:themeColor="background1" w:themeShade="A6"/>
              <w:left w:val="nil"/>
              <w:right w:val="nil"/>
            </w:tcBorders>
          </w:tcPr>
          <w:p w:rsidR="00AE0874" w:rsidRPr="0035013A" w:rsidRDefault="00AE0874" w:rsidP="0035013A">
            <w:pPr>
              <w:pStyle w:val="TableText"/>
              <w:spacing w:before="60" w:after="60"/>
              <w:rPr>
                <w:rFonts w:ascii="Arial" w:hAnsi="Arial" w:cs="Arial"/>
                <w:sz w:val="18"/>
                <w:szCs w:val="18"/>
              </w:rPr>
            </w:pPr>
            <w:r w:rsidRPr="0035013A">
              <w:rPr>
                <w:rFonts w:ascii="Arial" w:hAnsi="Arial" w:cs="Arial"/>
                <w:sz w:val="18"/>
                <w:szCs w:val="18"/>
              </w:rPr>
              <w:t>Animal, bacterial or fungal material.</w:t>
            </w:r>
          </w:p>
        </w:tc>
      </w:tr>
    </w:tbl>
    <w:p w:rsidR="00AE0874" w:rsidRPr="000824E3" w:rsidRDefault="00AE0874" w:rsidP="004C57D0">
      <w:pPr>
        <w:spacing w:before="240"/>
      </w:pPr>
    </w:p>
    <w:tbl>
      <w:tblPr>
        <w:tblStyle w:val="TableGrid"/>
        <w:tblW w:w="0" w:type="auto"/>
        <w:tblInd w:w="57" w:type="dxa"/>
        <w:tblLayout w:type="fixed"/>
        <w:tblCellMar>
          <w:left w:w="57" w:type="dxa"/>
          <w:right w:w="57" w:type="dxa"/>
        </w:tblCellMar>
        <w:tblLook w:val="04A0" w:firstRow="1" w:lastRow="0" w:firstColumn="1" w:lastColumn="0" w:noHBand="0" w:noVBand="1"/>
      </w:tblPr>
      <w:tblGrid>
        <w:gridCol w:w="1985"/>
        <w:gridCol w:w="2551"/>
        <w:gridCol w:w="2410"/>
        <w:gridCol w:w="2410"/>
      </w:tblGrid>
      <w:tr w:rsidR="00AE0874" w:rsidRPr="005B6311" w:rsidTr="004C57D0">
        <w:trPr>
          <w:cantSplit/>
        </w:trPr>
        <w:tc>
          <w:tcPr>
            <w:tcW w:w="9356" w:type="dxa"/>
            <w:gridSpan w:val="4"/>
            <w:tcBorders>
              <w:left w:val="nil"/>
              <w:bottom w:val="single" w:sz="4" w:space="0" w:color="auto"/>
              <w:right w:val="nil"/>
            </w:tcBorders>
          </w:tcPr>
          <w:p w:rsidR="00AE0874" w:rsidRPr="0035013A" w:rsidRDefault="005B6311" w:rsidP="0035013A">
            <w:pPr>
              <w:pStyle w:val="TableText"/>
              <w:spacing w:before="60" w:after="60"/>
              <w:rPr>
                <w:rFonts w:ascii="Arial" w:hAnsi="Arial" w:cs="Arial"/>
                <w:b/>
                <w:sz w:val="18"/>
                <w:szCs w:val="18"/>
              </w:rPr>
            </w:pPr>
            <w:r w:rsidRPr="0035013A">
              <w:rPr>
                <w:rFonts w:ascii="Arial" w:hAnsi="Arial" w:cs="Arial"/>
                <w:b/>
                <w:sz w:val="18"/>
                <w:szCs w:val="18"/>
              </w:rPr>
              <w:t>B</w:t>
            </w:r>
            <w:r w:rsidRPr="0035013A">
              <w:rPr>
                <w:rFonts w:ascii="Arial" w:hAnsi="Arial" w:cs="Arial"/>
                <w:b/>
                <w:sz w:val="18"/>
                <w:szCs w:val="18"/>
              </w:rPr>
              <w:tab/>
            </w:r>
            <w:r w:rsidR="00AE0874" w:rsidRPr="0035013A">
              <w:rPr>
                <w:rFonts w:ascii="Arial" w:hAnsi="Arial" w:cs="Arial"/>
                <w:b/>
                <w:sz w:val="18"/>
                <w:szCs w:val="18"/>
              </w:rPr>
              <w:t>Dose form</w:t>
            </w:r>
          </w:p>
        </w:tc>
      </w:tr>
      <w:tr w:rsidR="00AE0874" w:rsidRPr="005B6311" w:rsidTr="004C57D0">
        <w:trPr>
          <w:cantSplit/>
        </w:trPr>
        <w:tc>
          <w:tcPr>
            <w:tcW w:w="1985" w:type="dxa"/>
            <w:tcBorders>
              <w:top w:val="single" w:sz="4" w:space="0" w:color="auto"/>
              <w:left w:val="nil"/>
              <w:bottom w:val="single" w:sz="4" w:space="0" w:color="auto"/>
              <w:right w:val="nil"/>
            </w:tcBorders>
          </w:tcPr>
          <w:p w:rsidR="00AE0874" w:rsidRPr="0035013A" w:rsidRDefault="00AE0874" w:rsidP="0035013A">
            <w:pPr>
              <w:pStyle w:val="TableText"/>
              <w:spacing w:before="60" w:after="60"/>
              <w:rPr>
                <w:rFonts w:ascii="Arial" w:hAnsi="Arial" w:cs="Arial"/>
                <w:b/>
                <w:sz w:val="18"/>
                <w:szCs w:val="18"/>
              </w:rPr>
            </w:pPr>
            <w:r w:rsidRPr="0035013A">
              <w:rPr>
                <w:rFonts w:ascii="Arial" w:hAnsi="Arial" w:cs="Arial"/>
                <w:b/>
                <w:sz w:val="18"/>
                <w:szCs w:val="18"/>
              </w:rPr>
              <w:t>Attribute</w:t>
            </w:r>
          </w:p>
        </w:tc>
        <w:tc>
          <w:tcPr>
            <w:tcW w:w="2551" w:type="dxa"/>
            <w:tcBorders>
              <w:top w:val="single" w:sz="4" w:space="0" w:color="auto"/>
              <w:left w:val="nil"/>
              <w:bottom w:val="single" w:sz="4" w:space="0" w:color="auto"/>
              <w:right w:val="nil"/>
            </w:tcBorders>
          </w:tcPr>
          <w:p w:rsidR="00AE0874" w:rsidRPr="0035013A" w:rsidRDefault="00AE0874" w:rsidP="0035013A">
            <w:pPr>
              <w:pStyle w:val="TableText"/>
              <w:spacing w:before="60" w:after="60"/>
              <w:rPr>
                <w:rFonts w:ascii="Arial" w:hAnsi="Arial" w:cs="Arial"/>
                <w:b/>
                <w:sz w:val="18"/>
                <w:szCs w:val="18"/>
              </w:rPr>
            </w:pPr>
            <w:r w:rsidRPr="0035013A">
              <w:rPr>
                <w:rFonts w:ascii="Arial" w:hAnsi="Arial" w:cs="Arial"/>
                <w:b/>
                <w:sz w:val="18"/>
                <w:szCs w:val="18"/>
              </w:rPr>
              <w:t>Level 1</w:t>
            </w:r>
          </w:p>
        </w:tc>
        <w:tc>
          <w:tcPr>
            <w:tcW w:w="2410" w:type="dxa"/>
            <w:tcBorders>
              <w:top w:val="single" w:sz="4" w:space="0" w:color="auto"/>
              <w:left w:val="nil"/>
              <w:bottom w:val="single" w:sz="4" w:space="0" w:color="auto"/>
              <w:right w:val="nil"/>
            </w:tcBorders>
          </w:tcPr>
          <w:p w:rsidR="00AE0874" w:rsidRPr="0035013A" w:rsidRDefault="00AE0874" w:rsidP="0035013A">
            <w:pPr>
              <w:pStyle w:val="TableText"/>
              <w:spacing w:before="60" w:after="60"/>
              <w:rPr>
                <w:rFonts w:ascii="Arial" w:hAnsi="Arial" w:cs="Arial"/>
                <w:b/>
                <w:sz w:val="18"/>
                <w:szCs w:val="18"/>
              </w:rPr>
            </w:pPr>
            <w:r w:rsidRPr="0035013A">
              <w:rPr>
                <w:rFonts w:ascii="Arial" w:hAnsi="Arial" w:cs="Arial"/>
                <w:b/>
                <w:sz w:val="18"/>
                <w:szCs w:val="18"/>
              </w:rPr>
              <w:t>Level 2</w:t>
            </w:r>
          </w:p>
        </w:tc>
        <w:tc>
          <w:tcPr>
            <w:tcW w:w="2410" w:type="dxa"/>
            <w:tcBorders>
              <w:top w:val="single" w:sz="4" w:space="0" w:color="auto"/>
              <w:left w:val="nil"/>
              <w:bottom w:val="single" w:sz="4" w:space="0" w:color="auto"/>
              <w:right w:val="nil"/>
            </w:tcBorders>
          </w:tcPr>
          <w:p w:rsidR="00AE0874" w:rsidRPr="0035013A" w:rsidRDefault="00AE0874" w:rsidP="0035013A">
            <w:pPr>
              <w:pStyle w:val="TableText"/>
              <w:spacing w:before="60" w:after="60"/>
              <w:rPr>
                <w:rFonts w:ascii="Arial" w:hAnsi="Arial" w:cs="Arial"/>
                <w:b/>
                <w:sz w:val="18"/>
                <w:szCs w:val="18"/>
              </w:rPr>
            </w:pPr>
            <w:r w:rsidRPr="0035013A">
              <w:rPr>
                <w:rFonts w:ascii="Arial" w:hAnsi="Arial" w:cs="Arial"/>
                <w:b/>
                <w:sz w:val="18"/>
                <w:szCs w:val="18"/>
              </w:rPr>
              <w:t>Level 3</w:t>
            </w:r>
          </w:p>
        </w:tc>
      </w:tr>
      <w:tr w:rsidR="00AE0874" w:rsidRPr="003A6139" w:rsidTr="004C57D0">
        <w:trPr>
          <w:cantSplit/>
        </w:trPr>
        <w:tc>
          <w:tcPr>
            <w:tcW w:w="1985" w:type="dxa"/>
            <w:tcBorders>
              <w:top w:val="single" w:sz="4" w:space="0" w:color="auto"/>
              <w:left w:val="nil"/>
              <w:bottom w:val="single" w:sz="4" w:space="0" w:color="A6A6A6" w:themeColor="background1" w:themeShade="A6"/>
              <w:right w:val="nil"/>
            </w:tcBorders>
          </w:tcPr>
          <w:p w:rsidR="00AE0874" w:rsidRPr="0035013A" w:rsidRDefault="00AE0874" w:rsidP="0035013A">
            <w:pPr>
              <w:pStyle w:val="TableText"/>
              <w:spacing w:before="60" w:after="60"/>
              <w:ind w:right="142"/>
              <w:rPr>
                <w:rFonts w:ascii="Arial" w:hAnsi="Arial" w:cs="Arial"/>
                <w:sz w:val="18"/>
                <w:szCs w:val="18"/>
              </w:rPr>
            </w:pPr>
            <w:r w:rsidRPr="0035013A">
              <w:rPr>
                <w:rFonts w:ascii="Arial" w:hAnsi="Arial" w:cs="Arial"/>
                <w:sz w:val="18"/>
                <w:szCs w:val="18"/>
              </w:rPr>
              <w:t>Dose form – type</w:t>
            </w:r>
          </w:p>
        </w:tc>
        <w:tc>
          <w:tcPr>
            <w:tcW w:w="2551" w:type="dxa"/>
            <w:tcBorders>
              <w:top w:val="single" w:sz="4" w:space="0" w:color="auto"/>
              <w:left w:val="nil"/>
              <w:bottom w:val="single" w:sz="4" w:space="0" w:color="A6A6A6" w:themeColor="background1" w:themeShade="A6"/>
              <w:right w:val="nil"/>
            </w:tcBorders>
          </w:tcPr>
          <w:p w:rsidR="00AE0874" w:rsidRPr="0035013A" w:rsidRDefault="00AE0874" w:rsidP="0035013A">
            <w:pPr>
              <w:pStyle w:val="TableText"/>
              <w:spacing w:before="60" w:after="60"/>
              <w:ind w:right="142"/>
              <w:rPr>
                <w:rFonts w:ascii="Arial" w:hAnsi="Arial" w:cs="Arial"/>
                <w:sz w:val="18"/>
                <w:szCs w:val="18"/>
              </w:rPr>
            </w:pPr>
            <w:r w:rsidRPr="0035013A">
              <w:rPr>
                <w:rFonts w:ascii="Arial" w:hAnsi="Arial" w:cs="Arial"/>
                <w:sz w:val="18"/>
                <w:szCs w:val="18"/>
              </w:rPr>
              <w:t>Topical – for use on unbroken skin.</w:t>
            </w:r>
          </w:p>
          <w:p w:rsidR="00AE0874" w:rsidRPr="0035013A" w:rsidRDefault="00AE0874" w:rsidP="0035013A">
            <w:pPr>
              <w:pStyle w:val="TableText"/>
              <w:spacing w:before="60" w:after="60"/>
              <w:ind w:right="142"/>
              <w:rPr>
                <w:rFonts w:ascii="Arial" w:hAnsi="Arial" w:cs="Arial"/>
                <w:sz w:val="18"/>
                <w:szCs w:val="18"/>
              </w:rPr>
            </w:pPr>
            <w:r w:rsidRPr="0035013A">
              <w:rPr>
                <w:rFonts w:ascii="Arial" w:hAnsi="Arial" w:cs="Arial"/>
                <w:sz w:val="18"/>
                <w:szCs w:val="18"/>
              </w:rPr>
              <w:t>Aromatherapy products.</w:t>
            </w:r>
          </w:p>
        </w:tc>
        <w:tc>
          <w:tcPr>
            <w:tcW w:w="2410" w:type="dxa"/>
            <w:tcBorders>
              <w:top w:val="single" w:sz="4" w:space="0" w:color="auto"/>
              <w:left w:val="nil"/>
              <w:bottom w:val="single" w:sz="4" w:space="0" w:color="A6A6A6" w:themeColor="background1" w:themeShade="A6"/>
              <w:right w:val="nil"/>
            </w:tcBorders>
          </w:tcPr>
          <w:p w:rsidR="00AE0874" w:rsidRPr="0035013A" w:rsidRDefault="00AE0874" w:rsidP="0035013A">
            <w:pPr>
              <w:pStyle w:val="TableText"/>
              <w:spacing w:before="60" w:after="60"/>
              <w:ind w:right="142"/>
              <w:rPr>
                <w:rFonts w:ascii="Arial" w:hAnsi="Arial" w:cs="Arial"/>
                <w:sz w:val="18"/>
                <w:szCs w:val="18"/>
              </w:rPr>
            </w:pPr>
            <w:r w:rsidRPr="0035013A">
              <w:rPr>
                <w:rFonts w:ascii="Arial" w:hAnsi="Arial" w:cs="Arial"/>
                <w:sz w:val="18"/>
                <w:szCs w:val="18"/>
              </w:rPr>
              <w:t xml:space="preserve">Topical – use </w:t>
            </w:r>
            <w:proofErr w:type="gramStart"/>
            <w:r w:rsidRPr="0035013A">
              <w:rPr>
                <w:rFonts w:ascii="Arial" w:hAnsi="Arial" w:cs="Arial"/>
                <w:sz w:val="18"/>
                <w:szCs w:val="18"/>
              </w:rPr>
              <w:t>on broken</w:t>
            </w:r>
            <w:proofErr w:type="gramEnd"/>
            <w:r w:rsidRPr="0035013A">
              <w:rPr>
                <w:rFonts w:ascii="Arial" w:hAnsi="Arial" w:cs="Arial"/>
                <w:sz w:val="18"/>
                <w:szCs w:val="18"/>
              </w:rPr>
              <w:t xml:space="preserve"> skin, topical (with a potential for systemic absorption).</w:t>
            </w:r>
          </w:p>
          <w:p w:rsidR="00AE0874" w:rsidRPr="0035013A" w:rsidRDefault="00AE0874" w:rsidP="0035013A">
            <w:pPr>
              <w:pStyle w:val="TableText"/>
              <w:spacing w:before="60" w:after="60"/>
              <w:ind w:right="142"/>
              <w:rPr>
                <w:rFonts w:ascii="Arial" w:hAnsi="Arial" w:cs="Arial"/>
                <w:sz w:val="18"/>
                <w:szCs w:val="18"/>
              </w:rPr>
            </w:pPr>
            <w:r w:rsidRPr="0035013A">
              <w:rPr>
                <w:rFonts w:ascii="Arial" w:hAnsi="Arial" w:cs="Arial"/>
                <w:sz w:val="18"/>
                <w:szCs w:val="18"/>
              </w:rPr>
              <w:t xml:space="preserve">Suppositories and </w:t>
            </w:r>
            <w:proofErr w:type="spellStart"/>
            <w:r w:rsidRPr="0035013A">
              <w:rPr>
                <w:rFonts w:ascii="Arial" w:hAnsi="Arial" w:cs="Arial"/>
                <w:sz w:val="18"/>
                <w:szCs w:val="18"/>
              </w:rPr>
              <w:t>pessaries</w:t>
            </w:r>
            <w:proofErr w:type="spellEnd"/>
            <w:r w:rsidRPr="0035013A">
              <w:rPr>
                <w:rFonts w:ascii="Arial" w:hAnsi="Arial" w:cs="Arial"/>
                <w:sz w:val="18"/>
                <w:szCs w:val="18"/>
              </w:rPr>
              <w:t>.</w:t>
            </w:r>
          </w:p>
        </w:tc>
        <w:tc>
          <w:tcPr>
            <w:tcW w:w="2410" w:type="dxa"/>
            <w:tcBorders>
              <w:top w:val="single" w:sz="4" w:space="0" w:color="auto"/>
              <w:left w:val="nil"/>
              <w:bottom w:val="single" w:sz="4" w:space="0" w:color="A6A6A6" w:themeColor="background1" w:themeShade="A6"/>
              <w:right w:val="nil"/>
            </w:tcBorders>
          </w:tcPr>
          <w:p w:rsidR="00AE0874" w:rsidRPr="0035013A" w:rsidRDefault="00AE0874" w:rsidP="0035013A">
            <w:pPr>
              <w:pStyle w:val="TableText"/>
              <w:spacing w:before="60" w:after="60"/>
              <w:rPr>
                <w:rFonts w:ascii="Arial" w:hAnsi="Arial" w:cs="Arial"/>
                <w:sz w:val="18"/>
                <w:szCs w:val="18"/>
              </w:rPr>
            </w:pPr>
            <w:r w:rsidRPr="0035013A">
              <w:rPr>
                <w:rFonts w:ascii="Arial" w:hAnsi="Arial" w:cs="Arial"/>
                <w:sz w:val="18"/>
                <w:szCs w:val="18"/>
              </w:rPr>
              <w:t>Inhaled</w:t>
            </w:r>
          </w:p>
          <w:p w:rsidR="00AE0874" w:rsidRPr="0035013A" w:rsidRDefault="00AE0874" w:rsidP="0035013A">
            <w:pPr>
              <w:pStyle w:val="TableText"/>
              <w:spacing w:before="60" w:after="60"/>
              <w:rPr>
                <w:rFonts w:ascii="Arial" w:hAnsi="Arial" w:cs="Arial"/>
                <w:sz w:val="18"/>
                <w:szCs w:val="18"/>
              </w:rPr>
            </w:pPr>
            <w:r w:rsidRPr="0035013A">
              <w:rPr>
                <w:rFonts w:ascii="Arial" w:hAnsi="Arial" w:cs="Arial"/>
                <w:sz w:val="18"/>
                <w:szCs w:val="18"/>
              </w:rPr>
              <w:t>Aural (ear)</w:t>
            </w:r>
          </w:p>
          <w:p w:rsidR="00AE0874" w:rsidRPr="0035013A" w:rsidRDefault="00AE0874" w:rsidP="0035013A">
            <w:pPr>
              <w:pStyle w:val="TableText"/>
              <w:spacing w:before="60" w:after="60"/>
              <w:rPr>
                <w:rFonts w:ascii="Arial" w:hAnsi="Arial" w:cs="Arial"/>
                <w:sz w:val="18"/>
                <w:szCs w:val="18"/>
              </w:rPr>
            </w:pPr>
            <w:r w:rsidRPr="0035013A">
              <w:rPr>
                <w:rFonts w:ascii="Arial" w:hAnsi="Arial" w:cs="Arial"/>
                <w:sz w:val="18"/>
                <w:szCs w:val="18"/>
              </w:rPr>
              <w:t>Nasal</w:t>
            </w:r>
          </w:p>
          <w:p w:rsidR="0092532C" w:rsidRPr="0035013A" w:rsidRDefault="00AE0874" w:rsidP="0035013A">
            <w:pPr>
              <w:pStyle w:val="TableText"/>
              <w:spacing w:before="60" w:after="60"/>
              <w:rPr>
                <w:rFonts w:ascii="Arial" w:hAnsi="Arial" w:cs="Arial"/>
                <w:sz w:val="18"/>
                <w:szCs w:val="18"/>
              </w:rPr>
            </w:pPr>
            <w:r w:rsidRPr="0035013A">
              <w:rPr>
                <w:rFonts w:ascii="Arial" w:hAnsi="Arial" w:cs="Arial"/>
                <w:sz w:val="18"/>
                <w:szCs w:val="18"/>
              </w:rPr>
              <w:t>Oral – liquid</w:t>
            </w:r>
          </w:p>
          <w:p w:rsidR="00AE0874" w:rsidRPr="0035013A" w:rsidRDefault="00AE0874" w:rsidP="0035013A">
            <w:pPr>
              <w:pStyle w:val="TableText"/>
              <w:spacing w:before="60" w:after="60"/>
              <w:rPr>
                <w:rFonts w:ascii="Arial" w:hAnsi="Arial" w:cs="Arial"/>
                <w:sz w:val="18"/>
                <w:szCs w:val="18"/>
              </w:rPr>
            </w:pPr>
            <w:r w:rsidRPr="0035013A">
              <w:rPr>
                <w:rFonts w:ascii="Arial" w:hAnsi="Arial" w:cs="Arial"/>
                <w:sz w:val="18"/>
                <w:szCs w:val="18"/>
              </w:rPr>
              <w:t>Oral – solid dose</w:t>
            </w:r>
          </w:p>
        </w:tc>
      </w:tr>
      <w:tr w:rsidR="00AE0874" w:rsidRPr="003A6139" w:rsidTr="004C57D0">
        <w:trPr>
          <w:cantSplit/>
        </w:trPr>
        <w:tc>
          <w:tcPr>
            <w:tcW w:w="1985" w:type="dxa"/>
            <w:tcBorders>
              <w:top w:val="single" w:sz="4" w:space="0" w:color="A6A6A6" w:themeColor="background1" w:themeShade="A6"/>
              <w:left w:val="nil"/>
              <w:bottom w:val="single" w:sz="4" w:space="0" w:color="A6A6A6" w:themeColor="background1" w:themeShade="A6"/>
              <w:right w:val="nil"/>
            </w:tcBorders>
          </w:tcPr>
          <w:p w:rsidR="00AE0874" w:rsidRPr="0035013A" w:rsidRDefault="00AE0874" w:rsidP="0035013A">
            <w:pPr>
              <w:pStyle w:val="TableText"/>
              <w:spacing w:before="60" w:after="60"/>
              <w:ind w:right="142"/>
              <w:rPr>
                <w:rFonts w:ascii="Arial" w:hAnsi="Arial" w:cs="Arial"/>
                <w:sz w:val="18"/>
                <w:szCs w:val="18"/>
              </w:rPr>
            </w:pPr>
            <w:r w:rsidRPr="0035013A">
              <w:rPr>
                <w:rFonts w:ascii="Arial" w:hAnsi="Arial" w:cs="Arial"/>
                <w:sz w:val="18"/>
                <w:szCs w:val="18"/>
              </w:rPr>
              <w:t>Microbial risk</w:t>
            </w:r>
          </w:p>
        </w:tc>
        <w:tc>
          <w:tcPr>
            <w:tcW w:w="2551" w:type="dxa"/>
            <w:tcBorders>
              <w:top w:val="single" w:sz="4" w:space="0" w:color="A6A6A6" w:themeColor="background1" w:themeShade="A6"/>
              <w:left w:val="nil"/>
              <w:bottom w:val="single" w:sz="4" w:space="0" w:color="A6A6A6" w:themeColor="background1" w:themeShade="A6"/>
              <w:right w:val="nil"/>
            </w:tcBorders>
          </w:tcPr>
          <w:p w:rsidR="00AE0874" w:rsidRPr="0035013A" w:rsidRDefault="00AE0874" w:rsidP="0035013A">
            <w:pPr>
              <w:pStyle w:val="TableText"/>
              <w:spacing w:before="60" w:after="60"/>
              <w:ind w:right="142"/>
              <w:rPr>
                <w:rFonts w:ascii="Arial" w:hAnsi="Arial" w:cs="Arial"/>
                <w:sz w:val="18"/>
                <w:szCs w:val="18"/>
              </w:rPr>
            </w:pPr>
            <w:r w:rsidRPr="0035013A">
              <w:rPr>
                <w:rFonts w:ascii="Arial" w:hAnsi="Arial" w:cs="Arial"/>
                <w:sz w:val="18"/>
                <w:szCs w:val="18"/>
              </w:rPr>
              <w:t>Topical – unbroken skin.</w:t>
            </w:r>
          </w:p>
        </w:tc>
        <w:tc>
          <w:tcPr>
            <w:tcW w:w="2410" w:type="dxa"/>
            <w:tcBorders>
              <w:top w:val="single" w:sz="4" w:space="0" w:color="A6A6A6" w:themeColor="background1" w:themeShade="A6"/>
              <w:left w:val="nil"/>
              <w:bottom w:val="single" w:sz="4" w:space="0" w:color="A6A6A6" w:themeColor="background1" w:themeShade="A6"/>
              <w:right w:val="nil"/>
            </w:tcBorders>
          </w:tcPr>
          <w:p w:rsidR="0092532C" w:rsidRPr="0035013A" w:rsidRDefault="00AE0874" w:rsidP="0035013A">
            <w:pPr>
              <w:pStyle w:val="TableText"/>
              <w:spacing w:before="60" w:after="60"/>
              <w:ind w:right="142"/>
              <w:rPr>
                <w:rFonts w:ascii="Arial" w:hAnsi="Arial" w:cs="Arial"/>
                <w:sz w:val="18"/>
                <w:szCs w:val="18"/>
              </w:rPr>
            </w:pPr>
            <w:r w:rsidRPr="0035013A">
              <w:rPr>
                <w:rFonts w:ascii="Arial" w:hAnsi="Arial" w:cs="Arial"/>
                <w:sz w:val="18"/>
                <w:szCs w:val="18"/>
              </w:rPr>
              <w:t>Oral – liquid</w:t>
            </w:r>
          </w:p>
          <w:p w:rsidR="00AE0874" w:rsidRPr="0035013A" w:rsidRDefault="00AE0874" w:rsidP="0035013A">
            <w:pPr>
              <w:pStyle w:val="TableText"/>
              <w:spacing w:before="60" w:after="60"/>
              <w:ind w:right="142"/>
              <w:rPr>
                <w:rFonts w:ascii="Arial" w:hAnsi="Arial" w:cs="Arial"/>
                <w:sz w:val="18"/>
                <w:szCs w:val="18"/>
              </w:rPr>
            </w:pPr>
            <w:r w:rsidRPr="0035013A">
              <w:rPr>
                <w:rFonts w:ascii="Arial" w:hAnsi="Arial" w:cs="Arial"/>
                <w:sz w:val="18"/>
                <w:szCs w:val="18"/>
              </w:rPr>
              <w:t>Oral – solid dose</w:t>
            </w:r>
          </w:p>
        </w:tc>
        <w:tc>
          <w:tcPr>
            <w:tcW w:w="2410" w:type="dxa"/>
            <w:tcBorders>
              <w:top w:val="single" w:sz="4" w:space="0" w:color="A6A6A6" w:themeColor="background1" w:themeShade="A6"/>
              <w:left w:val="nil"/>
              <w:bottom w:val="single" w:sz="4" w:space="0" w:color="A6A6A6" w:themeColor="background1" w:themeShade="A6"/>
              <w:right w:val="nil"/>
            </w:tcBorders>
          </w:tcPr>
          <w:p w:rsidR="00AE0874" w:rsidRPr="0035013A" w:rsidRDefault="00AE0874" w:rsidP="0035013A">
            <w:pPr>
              <w:pStyle w:val="TableText"/>
              <w:spacing w:before="60" w:after="60"/>
              <w:rPr>
                <w:rFonts w:ascii="Arial" w:hAnsi="Arial" w:cs="Arial"/>
                <w:sz w:val="18"/>
                <w:szCs w:val="18"/>
              </w:rPr>
            </w:pPr>
            <w:r w:rsidRPr="0035013A">
              <w:rPr>
                <w:rFonts w:ascii="Arial" w:hAnsi="Arial" w:cs="Arial"/>
                <w:sz w:val="18"/>
                <w:szCs w:val="18"/>
              </w:rPr>
              <w:t>Aural</w:t>
            </w:r>
          </w:p>
          <w:p w:rsidR="00AE0874" w:rsidRPr="0035013A" w:rsidRDefault="00AE0874" w:rsidP="0035013A">
            <w:pPr>
              <w:pStyle w:val="TableText"/>
              <w:spacing w:before="60" w:after="60"/>
              <w:rPr>
                <w:rFonts w:ascii="Arial" w:hAnsi="Arial" w:cs="Arial"/>
                <w:sz w:val="18"/>
                <w:szCs w:val="18"/>
              </w:rPr>
            </w:pPr>
            <w:r w:rsidRPr="0035013A">
              <w:rPr>
                <w:rFonts w:ascii="Arial" w:hAnsi="Arial" w:cs="Arial"/>
                <w:sz w:val="18"/>
                <w:szCs w:val="18"/>
              </w:rPr>
              <w:t xml:space="preserve">Inhaled </w:t>
            </w:r>
          </w:p>
        </w:tc>
      </w:tr>
      <w:tr w:rsidR="00AE0874" w:rsidRPr="003A6139" w:rsidTr="004C57D0">
        <w:trPr>
          <w:cantSplit/>
        </w:trPr>
        <w:tc>
          <w:tcPr>
            <w:tcW w:w="1985" w:type="dxa"/>
            <w:tcBorders>
              <w:top w:val="single" w:sz="4" w:space="0" w:color="A6A6A6" w:themeColor="background1" w:themeShade="A6"/>
              <w:left w:val="nil"/>
              <w:bottom w:val="single" w:sz="4" w:space="0" w:color="A6A6A6" w:themeColor="background1" w:themeShade="A6"/>
              <w:right w:val="nil"/>
            </w:tcBorders>
          </w:tcPr>
          <w:p w:rsidR="00AE0874" w:rsidRPr="0035013A" w:rsidRDefault="00AE0874" w:rsidP="0035013A">
            <w:pPr>
              <w:pStyle w:val="TableText"/>
              <w:spacing w:before="60" w:after="60"/>
              <w:ind w:right="142"/>
              <w:rPr>
                <w:rFonts w:ascii="Arial" w:hAnsi="Arial" w:cs="Arial"/>
                <w:sz w:val="18"/>
                <w:szCs w:val="18"/>
              </w:rPr>
            </w:pPr>
            <w:r w:rsidRPr="0035013A">
              <w:rPr>
                <w:rFonts w:ascii="Arial" w:hAnsi="Arial" w:cs="Arial"/>
                <w:sz w:val="18"/>
                <w:szCs w:val="18"/>
              </w:rPr>
              <w:t>Complexity of dose form</w:t>
            </w:r>
          </w:p>
        </w:tc>
        <w:tc>
          <w:tcPr>
            <w:tcW w:w="2551" w:type="dxa"/>
            <w:tcBorders>
              <w:top w:val="single" w:sz="4" w:space="0" w:color="A6A6A6" w:themeColor="background1" w:themeShade="A6"/>
              <w:left w:val="nil"/>
              <w:bottom w:val="single" w:sz="4" w:space="0" w:color="A6A6A6" w:themeColor="background1" w:themeShade="A6"/>
              <w:right w:val="nil"/>
            </w:tcBorders>
          </w:tcPr>
          <w:p w:rsidR="00AE0874" w:rsidRPr="0035013A" w:rsidRDefault="00AE0874" w:rsidP="0035013A">
            <w:pPr>
              <w:pStyle w:val="TableText"/>
              <w:spacing w:before="60" w:after="60"/>
              <w:ind w:right="142"/>
              <w:rPr>
                <w:rFonts w:ascii="Arial" w:hAnsi="Arial" w:cs="Arial"/>
                <w:sz w:val="18"/>
                <w:szCs w:val="18"/>
              </w:rPr>
            </w:pPr>
            <w:r w:rsidRPr="0035013A">
              <w:rPr>
                <w:rFonts w:ascii="Arial" w:hAnsi="Arial" w:cs="Arial"/>
                <w:sz w:val="18"/>
                <w:szCs w:val="18"/>
              </w:rPr>
              <w:t xml:space="preserve">Simple mixture of less than 2 or 3 materials in a single phase – </w:t>
            </w:r>
            <w:proofErr w:type="spellStart"/>
            <w:r w:rsidRPr="0035013A">
              <w:rPr>
                <w:rFonts w:ascii="Arial" w:hAnsi="Arial" w:cs="Arial"/>
                <w:sz w:val="18"/>
                <w:szCs w:val="18"/>
              </w:rPr>
              <w:t>eg</w:t>
            </w:r>
            <w:proofErr w:type="spellEnd"/>
            <w:r w:rsidRPr="0035013A">
              <w:rPr>
                <w:rFonts w:ascii="Arial" w:hAnsi="Arial" w:cs="Arial"/>
                <w:sz w:val="18"/>
                <w:szCs w:val="18"/>
              </w:rPr>
              <w:t>, powders, granules, capsules, tablets, solutions, sprays/aerosols/vapours, pastes, plant or animal parts or extracts, creams, liniments, ointments, balms.</w:t>
            </w:r>
          </w:p>
        </w:tc>
        <w:tc>
          <w:tcPr>
            <w:tcW w:w="2410" w:type="dxa"/>
            <w:tcBorders>
              <w:top w:val="single" w:sz="4" w:space="0" w:color="A6A6A6" w:themeColor="background1" w:themeShade="A6"/>
              <w:left w:val="nil"/>
              <w:bottom w:val="single" w:sz="4" w:space="0" w:color="A6A6A6" w:themeColor="background1" w:themeShade="A6"/>
              <w:right w:val="nil"/>
            </w:tcBorders>
          </w:tcPr>
          <w:p w:rsidR="00AE0874" w:rsidRPr="0035013A" w:rsidRDefault="00AE0874" w:rsidP="0035013A">
            <w:pPr>
              <w:pStyle w:val="TableText"/>
              <w:spacing w:before="60" w:after="60"/>
              <w:ind w:right="142"/>
              <w:rPr>
                <w:rFonts w:ascii="Arial" w:hAnsi="Arial" w:cs="Arial"/>
                <w:sz w:val="18"/>
                <w:szCs w:val="18"/>
              </w:rPr>
            </w:pPr>
            <w:r w:rsidRPr="0035013A">
              <w:rPr>
                <w:rFonts w:ascii="Arial" w:hAnsi="Arial" w:cs="Arial"/>
                <w:sz w:val="18"/>
                <w:szCs w:val="18"/>
              </w:rPr>
              <w:t>Multi-component or multi-phase formulations.</w:t>
            </w:r>
          </w:p>
          <w:p w:rsidR="00AE0874" w:rsidRPr="0035013A" w:rsidRDefault="00AE0874" w:rsidP="0035013A">
            <w:pPr>
              <w:pStyle w:val="TableText"/>
              <w:spacing w:before="60" w:after="60"/>
              <w:ind w:right="142"/>
              <w:rPr>
                <w:rFonts w:ascii="Arial" w:hAnsi="Arial" w:cs="Arial"/>
                <w:sz w:val="18"/>
                <w:szCs w:val="18"/>
              </w:rPr>
            </w:pPr>
            <w:r w:rsidRPr="0035013A">
              <w:rPr>
                <w:rFonts w:ascii="Arial" w:hAnsi="Arial" w:cs="Arial"/>
                <w:sz w:val="18"/>
                <w:szCs w:val="18"/>
              </w:rPr>
              <w:t>Multi-active ingredient (4</w:t>
            </w:r>
            <w:r w:rsidR="004C57D0" w:rsidRPr="0035013A">
              <w:rPr>
                <w:rFonts w:ascii="Arial" w:hAnsi="Arial" w:cs="Arial"/>
                <w:sz w:val="18"/>
                <w:szCs w:val="18"/>
              </w:rPr>
              <w:t> </w:t>
            </w:r>
            <w:r w:rsidRPr="0035013A">
              <w:rPr>
                <w:rFonts w:ascii="Arial" w:hAnsi="Arial" w:cs="Arial"/>
                <w:sz w:val="18"/>
                <w:szCs w:val="18"/>
              </w:rPr>
              <w:t xml:space="preserve">or more) formulation or mixture in a single phase – </w:t>
            </w:r>
            <w:proofErr w:type="spellStart"/>
            <w:r w:rsidRPr="0035013A">
              <w:rPr>
                <w:rFonts w:ascii="Arial" w:hAnsi="Arial" w:cs="Arial"/>
                <w:sz w:val="18"/>
                <w:szCs w:val="18"/>
              </w:rPr>
              <w:t>eg</w:t>
            </w:r>
            <w:proofErr w:type="spellEnd"/>
            <w:r w:rsidRPr="0035013A">
              <w:rPr>
                <w:rFonts w:ascii="Arial" w:hAnsi="Arial" w:cs="Arial"/>
                <w:sz w:val="18"/>
                <w:szCs w:val="18"/>
              </w:rPr>
              <w:t>, powders, granules, capsules, tablets, solutions, sprays/aerosols, pastes, creams, liniments, ointments, balm.</w:t>
            </w:r>
          </w:p>
          <w:p w:rsidR="00AE0874" w:rsidRPr="0035013A" w:rsidRDefault="00AE0874" w:rsidP="0035013A">
            <w:pPr>
              <w:pStyle w:val="TableText"/>
              <w:spacing w:before="60" w:after="60"/>
              <w:ind w:right="142"/>
              <w:rPr>
                <w:rFonts w:ascii="Arial" w:hAnsi="Arial" w:cs="Arial"/>
                <w:sz w:val="18"/>
                <w:szCs w:val="18"/>
              </w:rPr>
            </w:pPr>
            <w:r w:rsidRPr="0035013A">
              <w:rPr>
                <w:rFonts w:ascii="Arial" w:hAnsi="Arial" w:cs="Arial"/>
                <w:sz w:val="18"/>
                <w:szCs w:val="18"/>
              </w:rPr>
              <w:t xml:space="preserve">Multi-phase formulation – </w:t>
            </w:r>
            <w:proofErr w:type="spellStart"/>
            <w:r w:rsidRPr="0035013A">
              <w:rPr>
                <w:rFonts w:ascii="Arial" w:hAnsi="Arial" w:cs="Arial"/>
                <w:sz w:val="18"/>
                <w:szCs w:val="18"/>
              </w:rPr>
              <w:t>eg</w:t>
            </w:r>
            <w:proofErr w:type="spellEnd"/>
            <w:r w:rsidRPr="0035013A">
              <w:rPr>
                <w:rFonts w:ascii="Arial" w:hAnsi="Arial" w:cs="Arial"/>
                <w:sz w:val="18"/>
                <w:szCs w:val="18"/>
              </w:rPr>
              <w:t>, multi-layer or multiple compression tablets, buccal or sublingual tablets, gels, lotions, suspensions, dispersions, topical jellies.</w:t>
            </w:r>
          </w:p>
        </w:tc>
        <w:tc>
          <w:tcPr>
            <w:tcW w:w="2410" w:type="dxa"/>
            <w:tcBorders>
              <w:top w:val="single" w:sz="4" w:space="0" w:color="A6A6A6" w:themeColor="background1" w:themeShade="A6"/>
              <w:left w:val="nil"/>
              <w:bottom w:val="single" w:sz="4" w:space="0" w:color="A6A6A6" w:themeColor="background1" w:themeShade="A6"/>
              <w:right w:val="nil"/>
            </w:tcBorders>
          </w:tcPr>
          <w:p w:rsidR="00AE0874" w:rsidRPr="0035013A" w:rsidRDefault="00AE0874" w:rsidP="0035013A">
            <w:pPr>
              <w:pStyle w:val="TableText"/>
              <w:spacing w:before="60" w:after="60"/>
              <w:rPr>
                <w:rFonts w:ascii="Arial" w:hAnsi="Arial" w:cs="Arial"/>
                <w:sz w:val="18"/>
                <w:szCs w:val="18"/>
              </w:rPr>
            </w:pPr>
            <w:r w:rsidRPr="0035013A">
              <w:rPr>
                <w:rFonts w:ascii="Arial" w:hAnsi="Arial" w:cs="Arial"/>
                <w:sz w:val="18"/>
                <w:szCs w:val="18"/>
              </w:rPr>
              <w:t>Controlled release – time / location – dependent</w:t>
            </w:r>
          </w:p>
          <w:p w:rsidR="00AE0874" w:rsidRPr="0035013A" w:rsidRDefault="00AE0874" w:rsidP="0035013A">
            <w:pPr>
              <w:pStyle w:val="TableText"/>
              <w:spacing w:before="60" w:after="60"/>
              <w:rPr>
                <w:rFonts w:ascii="Arial" w:hAnsi="Arial" w:cs="Arial"/>
                <w:sz w:val="18"/>
                <w:szCs w:val="18"/>
              </w:rPr>
            </w:pPr>
            <w:r w:rsidRPr="0035013A">
              <w:rPr>
                <w:rFonts w:ascii="Arial" w:hAnsi="Arial" w:cs="Arial"/>
                <w:sz w:val="18"/>
                <w:szCs w:val="18"/>
              </w:rPr>
              <w:t xml:space="preserve">Complex dose forms – </w:t>
            </w:r>
            <w:proofErr w:type="spellStart"/>
            <w:r w:rsidRPr="0035013A">
              <w:rPr>
                <w:rFonts w:ascii="Arial" w:hAnsi="Arial" w:cs="Arial"/>
                <w:sz w:val="18"/>
                <w:szCs w:val="18"/>
              </w:rPr>
              <w:t>eg</w:t>
            </w:r>
            <w:proofErr w:type="spellEnd"/>
            <w:r w:rsidRPr="0035013A">
              <w:rPr>
                <w:rFonts w:ascii="Arial" w:hAnsi="Arial" w:cs="Arial"/>
                <w:sz w:val="18"/>
                <w:szCs w:val="18"/>
              </w:rPr>
              <w:t xml:space="preserve">, microspheres, transdermal and other patch systems, metered or </w:t>
            </w:r>
            <w:proofErr w:type="spellStart"/>
            <w:r w:rsidRPr="0035013A">
              <w:rPr>
                <w:rFonts w:ascii="Arial" w:hAnsi="Arial" w:cs="Arial"/>
                <w:sz w:val="18"/>
                <w:szCs w:val="18"/>
              </w:rPr>
              <w:t>microdose</w:t>
            </w:r>
            <w:proofErr w:type="spellEnd"/>
            <w:r w:rsidRPr="0035013A">
              <w:rPr>
                <w:rFonts w:ascii="Arial" w:hAnsi="Arial" w:cs="Arial"/>
                <w:sz w:val="18"/>
                <w:szCs w:val="18"/>
              </w:rPr>
              <w:t xml:space="preserve"> delivery systems, controlled or modified release dose forms with high risk of performance failure if not manufactured correctly.</w:t>
            </w:r>
          </w:p>
        </w:tc>
      </w:tr>
      <w:tr w:rsidR="00AE0874" w:rsidRPr="003A6139" w:rsidTr="004C57D0">
        <w:trPr>
          <w:cantSplit/>
        </w:trPr>
        <w:tc>
          <w:tcPr>
            <w:tcW w:w="1985" w:type="dxa"/>
            <w:tcBorders>
              <w:top w:val="single" w:sz="4" w:space="0" w:color="A6A6A6" w:themeColor="background1" w:themeShade="A6"/>
              <w:left w:val="nil"/>
              <w:bottom w:val="single" w:sz="4" w:space="0" w:color="A6A6A6" w:themeColor="background1" w:themeShade="A6"/>
              <w:right w:val="nil"/>
            </w:tcBorders>
          </w:tcPr>
          <w:p w:rsidR="00AE0874" w:rsidRPr="0035013A" w:rsidRDefault="00AE0874" w:rsidP="0035013A">
            <w:pPr>
              <w:pStyle w:val="TableText"/>
              <w:spacing w:before="60" w:after="60"/>
              <w:ind w:right="142"/>
              <w:rPr>
                <w:rFonts w:ascii="Arial" w:hAnsi="Arial" w:cs="Arial"/>
                <w:sz w:val="18"/>
                <w:szCs w:val="18"/>
              </w:rPr>
            </w:pPr>
            <w:r w:rsidRPr="0035013A">
              <w:rPr>
                <w:rFonts w:ascii="Arial" w:hAnsi="Arial" w:cs="Arial"/>
                <w:sz w:val="18"/>
                <w:szCs w:val="18"/>
              </w:rPr>
              <w:t>Dose accuracy / repeatability</w:t>
            </w:r>
          </w:p>
        </w:tc>
        <w:tc>
          <w:tcPr>
            <w:tcW w:w="2551" w:type="dxa"/>
            <w:tcBorders>
              <w:top w:val="single" w:sz="4" w:space="0" w:color="A6A6A6" w:themeColor="background1" w:themeShade="A6"/>
              <w:left w:val="nil"/>
              <w:bottom w:val="single" w:sz="4" w:space="0" w:color="A6A6A6" w:themeColor="background1" w:themeShade="A6"/>
              <w:right w:val="nil"/>
            </w:tcBorders>
          </w:tcPr>
          <w:p w:rsidR="00AE0874" w:rsidRPr="0035013A" w:rsidRDefault="00AE0874" w:rsidP="0035013A">
            <w:pPr>
              <w:pStyle w:val="TableText"/>
              <w:spacing w:before="60" w:after="60"/>
              <w:ind w:right="142"/>
              <w:rPr>
                <w:rFonts w:ascii="Arial" w:hAnsi="Arial" w:cs="Arial"/>
                <w:sz w:val="18"/>
                <w:szCs w:val="18"/>
              </w:rPr>
            </w:pPr>
            <w:r w:rsidRPr="0035013A">
              <w:rPr>
                <w:rFonts w:ascii="Arial" w:hAnsi="Arial" w:cs="Arial"/>
                <w:sz w:val="18"/>
                <w:szCs w:val="18"/>
              </w:rPr>
              <w:t>Dose accuracy and/or repeatability not important.</w:t>
            </w:r>
          </w:p>
        </w:tc>
        <w:tc>
          <w:tcPr>
            <w:tcW w:w="2410" w:type="dxa"/>
            <w:tcBorders>
              <w:top w:val="single" w:sz="4" w:space="0" w:color="A6A6A6" w:themeColor="background1" w:themeShade="A6"/>
              <w:left w:val="nil"/>
              <w:bottom w:val="single" w:sz="4" w:space="0" w:color="A6A6A6" w:themeColor="background1" w:themeShade="A6"/>
              <w:right w:val="nil"/>
            </w:tcBorders>
          </w:tcPr>
          <w:p w:rsidR="00AE0874" w:rsidRPr="0035013A" w:rsidRDefault="00AE0874" w:rsidP="0035013A">
            <w:pPr>
              <w:pStyle w:val="TableText"/>
              <w:spacing w:before="60" w:after="60"/>
              <w:ind w:right="142"/>
              <w:rPr>
                <w:rFonts w:ascii="Arial" w:hAnsi="Arial" w:cs="Arial"/>
                <w:sz w:val="18"/>
                <w:szCs w:val="18"/>
              </w:rPr>
            </w:pPr>
            <w:r w:rsidRPr="0035013A">
              <w:rPr>
                <w:rFonts w:ascii="Arial" w:hAnsi="Arial" w:cs="Arial"/>
                <w:sz w:val="18"/>
                <w:szCs w:val="18"/>
              </w:rPr>
              <w:t>Dose accuracy and/or repeatability important.</w:t>
            </w:r>
          </w:p>
        </w:tc>
        <w:tc>
          <w:tcPr>
            <w:tcW w:w="2410" w:type="dxa"/>
            <w:tcBorders>
              <w:top w:val="single" w:sz="4" w:space="0" w:color="A6A6A6" w:themeColor="background1" w:themeShade="A6"/>
              <w:left w:val="nil"/>
              <w:bottom w:val="single" w:sz="4" w:space="0" w:color="A6A6A6" w:themeColor="background1" w:themeShade="A6"/>
              <w:right w:val="nil"/>
            </w:tcBorders>
          </w:tcPr>
          <w:p w:rsidR="00AE0874" w:rsidRPr="0035013A" w:rsidRDefault="00AE0874" w:rsidP="0035013A">
            <w:pPr>
              <w:pStyle w:val="TableText"/>
              <w:spacing w:before="60" w:after="60"/>
              <w:rPr>
                <w:rFonts w:ascii="Arial" w:hAnsi="Arial" w:cs="Arial"/>
                <w:sz w:val="18"/>
                <w:szCs w:val="18"/>
              </w:rPr>
            </w:pPr>
            <w:r w:rsidRPr="0035013A">
              <w:rPr>
                <w:rFonts w:ascii="Arial" w:hAnsi="Arial" w:cs="Arial"/>
                <w:sz w:val="18"/>
                <w:szCs w:val="18"/>
              </w:rPr>
              <w:t>Micro-dose manufacture.</w:t>
            </w:r>
          </w:p>
        </w:tc>
      </w:tr>
      <w:tr w:rsidR="00AE0874" w:rsidRPr="003A6139" w:rsidTr="004C57D0">
        <w:trPr>
          <w:cantSplit/>
        </w:trPr>
        <w:tc>
          <w:tcPr>
            <w:tcW w:w="1985" w:type="dxa"/>
            <w:tcBorders>
              <w:top w:val="single" w:sz="4" w:space="0" w:color="A6A6A6" w:themeColor="background1" w:themeShade="A6"/>
              <w:left w:val="nil"/>
              <w:right w:val="nil"/>
            </w:tcBorders>
          </w:tcPr>
          <w:p w:rsidR="00AE0874" w:rsidRPr="0035013A" w:rsidRDefault="00AE0874" w:rsidP="0035013A">
            <w:pPr>
              <w:pStyle w:val="TableText"/>
              <w:spacing w:before="60" w:after="60"/>
              <w:ind w:right="142"/>
              <w:rPr>
                <w:rFonts w:ascii="Arial" w:hAnsi="Arial" w:cs="Arial"/>
                <w:sz w:val="18"/>
                <w:szCs w:val="18"/>
              </w:rPr>
            </w:pPr>
            <w:r w:rsidRPr="0035013A">
              <w:rPr>
                <w:rFonts w:ascii="Arial" w:hAnsi="Arial" w:cs="Arial"/>
                <w:sz w:val="18"/>
                <w:szCs w:val="18"/>
              </w:rPr>
              <w:t>Route of administration</w:t>
            </w:r>
          </w:p>
        </w:tc>
        <w:tc>
          <w:tcPr>
            <w:tcW w:w="2551" w:type="dxa"/>
            <w:tcBorders>
              <w:top w:val="single" w:sz="4" w:space="0" w:color="A6A6A6" w:themeColor="background1" w:themeShade="A6"/>
              <w:left w:val="nil"/>
              <w:right w:val="nil"/>
            </w:tcBorders>
          </w:tcPr>
          <w:p w:rsidR="00AE0874" w:rsidRPr="0035013A" w:rsidRDefault="00AE0874" w:rsidP="0035013A">
            <w:pPr>
              <w:pStyle w:val="TableText"/>
              <w:spacing w:before="60" w:after="60"/>
              <w:ind w:right="142"/>
              <w:rPr>
                <w:rFonts w:ascii="Arial" w:hAnsi="Arial" w:cs="Arial"/>
                <w:sz w:val="18"/>
                <w:szCs w:val="18"/>
              </w:rPr>
            </w:pPr>
            <w:r w:rsidRPr="0035013A">
              <w:rPr>
                <w:rFonts w:ascii="Arial" w:hAnsi="Arial" w:cs="Arial"/>
                <w:sz w:val="18"/>
                <w:szCs w:val="18"/>
              </w:rPr>
              <w:t>Topical – for use on unbroken skin.</w:t>
            </w:r>
          </w:p>
        </w:tc>
        <w:tc>
          <w:tcPr>
            <w:tcW w:w="2410" w:type="dxa"/>
            <w:tcBorders>
              <w:top w:val="single" w:sz="4" w:space="0" w:color="A6A6A6" w:themeColor="background1" w:themeShade="A6"/>
              <w:left w:val="nil"/>
              <w:right w:val="nil"/>
            </w:tcBorders>
          </w:tcPr>
          <w:p w:rsidR="00AE0874" w:rsidRPr="0035013A" w:rsidRDefault="00AE0874" w:rsidP="0035013A">
            <w:pPr>
              <w:pStyle w:val="TableText"/>
              <w:spacing w:before="60" w:after="60"/>
              <w:ind w:right="142"/>
              <w:rPr>
                <w:rFonts w:ascii="Arial" w:hAnsi="Arial" w:cs="Arial"/>
                <w:sz w:val="18"/>
                <w:szCs w:val="18"/>
              </w:rPr>
            </w:pPr>
            <w:r w:rsidRPr="0035013A">
              <w:rPr>
                <w:rFonts w:ascii="Arial" w:hAnsi="Arial" w:cs="Arial"/>
                <w:sz w:val="18"/>
                <w:szCs w:val="18"/>
              </w:rPr>
              <w:t>Topical – for use on broken skin, topical (with a potential for systemic absorption).</w:t>
            </w:r>
          </w:p>
          <w:p w:rsidR="00AE0874" w:rsidRPr="0035013A" w:rsidRDefault="00AE0874" w:rsidP="0035013A">
            <w:pPr>
              <w:pStyle w:val="TableText"/>
              <w:spacing w:before="60" w:after="60"/>
              <w:ind w:right="142"/>
              <w:rPr>
                <w:rFonts w:ascii="Arial" w:hAnsi="Arial" w:cs="Arial"/>
                <w:sz w:val="18"/>
                <w:szCs w:val="18"/>
              </w:rPr>
            </w:pPr>
            <w:r w:rsidRPr="0035013A">
              <w:rPr>
                <w:rFonts w:ascii="Arial" w:hAnsi="Arial" w:cs="Arial"/>
                <w:sz w:val="18"/>
                <w:szCs w:val="18"/>
              </w:rPr>
              <w:t xml:space="preserve">Suppositories and </w:t>
            </w:r>
            <w:proofErr w:type="spellStart"/>
            <w:r w:rsidRPr="0035013A">
              <w:rPr>
                <w:rFonts w:ascii="Arial" w:hAnsi="Arial" w:cs="Arial"/>
                <w:sz w:val="18"/>
                <w:szCs w:val="18"/>
              </w:rPr>
              <w:t>pessaries</w:t>
            </w:r>
            <w:proofErr w:type="spellEnd"/>
            <w:r w:rsidRPr="0035013A">
              <w:rPr>
                <w:rFonts w:ascii="Arial" w:hAnsi="Arial" w:cs="Arial"/>
                <w:sz w:val="18"/>
                <w:szCs w:val="18"/>
              </w:rPr>
              <w:t>.</w:t>
            </w:r>
          </w:p>
        </w:tc>
        <w:tc>
          <w:tcPr>
            <w:tcW w:w="2410" w:type="dxa"/>
            <w:tcBorders>
              <w:top w:val="single" w:sz="4" w:space="0" w:color="A6A6A6" w:themeColor="background1" w:themeShade="A6"/>
              <w:left w:val="nil"/>
              <w:right w:val="nil"/>
            </w:tcBorders>
          </w:tcPr>
          <w:p w:rsidR="00AE0874" w:rsidRPr="0035013A" w:rsidRDefault="00AE0874" w:rsidP="0035013A">
            <w:pPr>
              <w:pStyle w:val="TableText"/>
              <w:spacing w:before="60" w:after="60"/>
              <w:rPr>
                <w:rFonts w:ascii="Arial" w:hAnsi="Arial" w:cs="Arial"/>
                <w:sz w:val="18"/>
                <w:szCs w:val="18"/>
              </w:rPr>
            </w:pPr>
            <w:r w:rsidRPr="0035013A">
              <w:rPr>
                <w:rFonts w:ascii="Arial" w:hAnsi="Arial" w:cs="Arial"/>
                <w:sz w:val="18"/>
                <w:szCs w:val="18"/>
              </w:rPr>
              <w:t>Inhaled</w:t>
            </w:r>
          </w:p>
          <w:p w:rsidR="00AE0874" w:rsidRPr="0035013A" w:rsidRDefault="00AE0874" w:rsidP="0035013A">
            <w:pPr>
              <w:pStyle w:val="TableText"/>
              <w:spacing w:before="60" w:after="60"/>
              <w:rPr>
                <w:rFonts w:ascii="Arial" w:hAnsi="Arial" w:cs="Arial"/>
                <w:sz w:val="18"/>
                <w:szCs w:val="18"/>
              </w:rPr>
            </w:pPr>
            <w:r w:rsidRPr="0035013A">
              <w:rPr>
                <w:rFonts w:ascii="Arial" w:hAnsi="Arial" w:cs="Arial"/>
                <w:sz w:val="18"/>
                <w:szCs w:val="18"/>
              </w:rPr>
              <w:t>Aural (ear)</w:t>
            </w:r>
          </w:p>
          <w:p w:rsidR="00AE0874" w:rsidRPr="0035013A" w:rsidRDefault="00AE0874" w:rsidP="0035013A">
            <w:pPr>
              <w:pStyle w:val="TableText"/>
              <w:spacing w:before="60" w:after="60"/>
              <w:rPr>
                <w:rFonts w:ascii="Arial" w:hAnsi="Arial" w:cs="Arial"/>
                <w:sz w:val="18"/>
                <w:szCs w:val="18"/>
              </w:rPr>
            </w:pPr>
            <w:r w:rsidRPr="0035013A">
              <w:rPr>
                <w:rFonts w:ascii="Arial" w:hAnsi="Arial" w:cs="Arial"/>
                <w:sz w:val="18"/>
                <w:szCs w:val="18"/>
              </w:rPr>
              <w:t>Oral</w:t>
            </w:r>
          </w:p>
        </w:tc>
      </w:tr>
    </w:tbl>
    <w:p w:rsidR="00AE0874" w:rsidRDefault="00AE0874" w:rsidP="0035013A">
      <w:pPr>
        <w:spacing w:before="240"/>
      </w:pPr>
    </w:p>
    <w:tbl>
      <w:tblPr>
        <w:tblStyle w:val="TableGrid"/>
        <w:tblW w:w="9356" w:type="dxa"/>
        <w:tblInd w:w="57" w:type="dxa"/>
        <w:tblLayout w:type="fixed"/>
        <w:tblCellMar>
          <w:left w:w="57" w:type="dxa"/>
          <w:right w:w="57" w:type="dxa"/>
        </w:tblCellMar>
        <w:tblLook w:val="04A0" w:firstRow="1" w:lastRow="0" w:firstColumn="1" w:lastColumn="0" w:noHBand="0" w:noVBand="1"/>
      </w:tblPr>
      <w:tblGrid>
        <w:gridCol w:w="1985"/>
        <w:gridCol w:w="2551"/>
        <w:gridCol w:w="2410"/>
        <w:gridCol w:w="2410"/>
      </w:tblGrid>
      <w:tr w:rsidR="00AE0874" w:rsidRPr="005B6311" w:rsidTr="004C57D0">
        <w:trPr>
          <w:cantSplit/>
        </w:trPr>
        <w:tc>
          <w:tcPr>
            <w:tcW w:w="9356" w:type="dxa"/>
            <w:gridSpan w:val="4"/>
            <w:tcBorders>
              <w:left w:val="nil"/>
              <w:bottom w:val="single" w:sz="4" w:space="0" w:color="auto"/>
              <w:right w:val="nil"/>
            </w:tcBorders>
          </w:tcPr>
          <w:p w:rsidR="00AE0874" w:rsidRPr="0035013A" w:rsidRDefault="005B6311" w:rsidP="0035013A">
            <w:pPr>
              <w:pStyle w:val="TableText"/>
              <w:spacing w:before="60" w:after="60"/>
              <w:rPr>
                <w:rFonts w:ascii="Arial" w:hAnsi="Arial" w:cs="Arial"/>
                <w:b/>
                <w:sz w:val="18"/>
                <w:szCs w:val="18"/>
              </w:rPr>
            </w:pPr>
            <w:r w:rsidRPr="0035013A">
              <w:rPr>
                <w:rFonts w:ascii="Arial" w:hAnsi="Arial" w:cs="Arial"/>
                <w:b/>
                <w:sz w:val="18"/>
                <w:szCs w:val="18"/>
              </w:rPr>
              <w:t>C</w:t>
            </w:r>
            <w:r w:rsidRPr="0035013A">
              <w:rPr>
                <w:rFonts w:ascii="Arial" w:hAnsi="Arial" w:cs="Arial"/>
                <w:b/>
                <w:sz w:val="18"/>
                <w:szCs w:val="18"/>
              </w:rPr>
              <w:tab/>
            </w:r>
            <w:r w:rsidR="00AE0874" w:rsidRPr="0035013A">
              <w:rPr>
                <w:rFonts w:ascii="Arial" w:hAnsi="Arial" w:cs="Arial"/>
                <w:b/>
                <w:sz w:val="18"/>
                <w:szCs w:val="18"/>
              </w:rPr>
              <w:t>Route of administration</w:t>
            </w:r>
          </w:p>
        </w:tc>
      </w:tr>
      <w:tr w:rsidR="00AE0874" w:rsidRPr="005B6311" w:rsidTr="004C57D0">
        <w:trPr>
          <w:cantSplit/>
        </w:trPr>
        <w:tc>
          <w:tcPr>
            <w:tcW w:w="1985" w:type="dxa"/>
            <w:tcBorders>
              <w:top w:val="single" w:sz="4" w:space="0" w:color="auto"/>
              <w:left w:val="nil"/>
              <w:bottom w:val="single" w:sz="4" w:space="0" w:color="auto"/>
              <w:right w:val="nil"/>
            </w:tcBorders>
          </w:tcPr>
          <w:p w:rsidR="00AE0874" w:rsidRPr="0035013A" w:rsidRDefault="00AE0874" w:rsidP="0035013A">
            <w:pPr>
              <w:pStyle w:val="TableText"/>
              <w:spacing w:before="60" w:after="60"/>
              <w:rPr>
                <w:rFonts w:ascii="Arial" w:hAnsi="Arial" w:cs="Arial"/>
                <w:b/>
                <w:sz w:val="18"/>
                <w:szCs w:val="18"/>
              </w:rPr>
            </w:pPr>
            <w:r w:rsidRPr="0035013A">
              <w:rPr>
                <w:rFonts w:ascii="Arial" w:hAnsi="Arial" w:cs="Arial"/>
                <w:b/>
                <w:sz w:val="18"/>
                <w:szCs w:val="18"/>
              </w:rPr>
              <w:t>Attribute</w:t>
            </w:r>
          </w:p>
        </w:tc>
        <w:tc>
          <w:tcPr>
            <w:tcW w:w="2551" w:type="dxa"/>
            <w:tcBorders>
              <w:top w:val="single" w:sz="4" w:space="0" w:color="auto"/>
              <w:left w:val="nil"/>
              <w:bottom w:val="single" w:sz="4" w:space="0" w:color="auto"/>
              <w:right w:val="nil"/>
            </w:tcBorders>
          </w:tcPr>
          <w:p w:rsidR="00AE0874" w:rsidRPr="0035013A" w:rsidRDefault="00AE0874" w:rsidP="0035013A">
            <w:pPr>
              <w:pStyle w:val="TableText"/>
              <w:spacing w:before="60" w:after="60"/>
              <w:rPr>
                <w:rFonts w:ascii="Arial" w:hAnsi="Arial" w:cs="Arial"/>
                <w:b/>
                <w:sz w:val="18"/>
                <w:szCs w:val="18"/>
              </w:rPr>
            </w:pPr>
            <w:r w:rsidRPr="0035013A">
              <w:rPr>
                <w:rFonts w:ascii="Arial" w:hAnsi="Arial" w:cs="Arial"/>
                <w:b/>
                <w:sz w:val="18"/>
                <w:szCs w:val="18"/>
              </w:rPr>
              <w:t>Level 1</w:t>
            </w:r>
          </w:p>
        </w:tc>
        <w:tc>
          <w:tcPr>
            <w:tcW w:w="2410" w:type="dxa"/>
            <w:tcBorders>
              <w:top w:val="single" w:sz="4" w:space="0" w:color="auto"/>
              <w:left w:val="nil"/>
              <w:bottom w:val="single" w:sz="4" w:space="0" w:color="auto"/>
              <w:right w:val="nil"/>
            </w:tcBorders>
          </w:tcPr>
          <w:p w:rsidR="00AE0874" w:rsidRPr="0035013A" w:rsidRDefault="00AE0874" w:rsidP="0035013A">
            <w:pPr>
              <w:pStyle w:val="TableText"/>
              <w:spacing w:before="60" w:after="60"/>
              <w:rPr>
                <w:rFonts w:ascii="Arial" w:hAnsi="Arial" w:cs="Arial"/>
                <w:b/>
                <w:sz w:val="18"/>
                <w:szCs w:val="18"/>
              </w:rPr>
            </w:pPr>
            <w:r w:rsidRPr="0035013A">
              <w:rPr>
                <w:rFonts w:ascii="Arial" w:hAnsi="Arial" w:cs="Arial"/>
                <w:b/>
                <w:sz w:val="18"/>
                <w:szCs w:val="18"/>
              </w:rPr>
              <w:t>Level 2</w:t>
            </w:r>
          </w:p>
        </w:tc>
        <w:tc>
          <w:tcPr>
            <w:tcW w:w="2410" w:type="dxa"/>
            <w:tcBorders>
              <w:top w:val="single" w:sz="4" w:space="0" w:color="auto"/>
              <w:left w:val="nil"/>
              <w:bottom w:val="single" w:sz="4" w:space="0" w:color="auto"/>
              <w:right w:val="nil"/>
            </w:tcBorders>
          </w:tcPr>
          <w:p w:rsidR="00AE0874" w:rsidRPr="0035013A" w:rsidRDefault="00AE0874" w:rsidP="0035013A">
            <w:pPr>
              <w:pStyle w:val="TableText"/>
              <w:spacing w:before="60" w:after="60"/>
              <w:rPr>
                <w:rFonts w:ascii="Arial" w:hAnsi="Arial" w:cs="Arial"/>
                <w:b/>
                <w:sz w:val="18"/>
                <w:szCs w:val="18"/>
              </w:rPr>
            </w:pPr>
            <w:r w:rsidRPr="0035013A">
              <w:rPr>
                <w:rFonts w:ascii="Arial" w:hAnsi="Arial" w:cs="Arial"/>
                <w:b/>
                <w:sz w:val="18"/>
                <w:szCs w:val="18"/>
              </w:rPr>
              <w:t>Level 3</w:t>
            </w:r>
          </w:p>
        </w:tc>
      </w:tr>
      <w:tr w:rsidR="00AE0874" w:rsidRPr="003A6139" w:rsidTr="004C57D0">
        <w:trPr>
          <w:cantSplit/>
        </w:trPr>
        <w:tc>
          <w:tcPr>
            <w:tcW w:w="1985" w:type="dxa"/>
            <w:tcBorders>
              <w:top w:val="single" w:sz="4" w:space="0" w:color="auto"/>
              <w:left w:val="nil"/>
              <w:right w:val="nil"/>
            </w:tcBorders>
          </w:tcPr>
          <w:p w:rsidR="00AE0874" w:rsidRPr="0035013A" w:rsidRDefault="00AE0874" w:rsidP="0035013A">
            <w:pPr>
              <w:pStyle w:val="TableText"/>
              <w:spacing w:before="60" w:after="60"/>
              <w:ind w:right="142"/>
              <w:rPr>
                <w:rFonts w:ascii="Arial" w:hAnsi="Arial" w:cs="Arial"/>
                <w:sz w:val="18"/>
                <w:szCs w:val="18"/>
              </w:rPr>
            </w:pPr>
            <w:r w:rsidRPr="0035013A">
              <w:rPr>
                <w:rFonts w:ascii="Arial" w:hAnsi="Arial" w:cs="Arial"/>
                <w:sz w:val="18"/>
                <w:szCs w:val="18"/>
              </w:rPr>
              <w:t>Route of administration</w:t>
            </w:r>
          </w:p>
        </w:tc>
        <w:tc>
          <w:tcPr>
            <w:tcW w:w="2551" w:type="dxa"/>
            <w:tcBorders>
              <w:top w:val="single" w:sz="4" w:space="0" w:color="auto"/>
              <w:left w:val="nil"/>
              <w:right w:val="nil"/>
            </w:tcBorders>
          </w:tcPr>
          <w:p w:rsidR="00AE0874" w:rsidRPr="0035013A" w:rsidRDefault="00AE0874" w:rsidP="0035013A">
            <w:pPr>
              <w:pStyle w:val="TableText"/>
              <w:spacing w:before="60" w:after="60"/>
              <w:ind w:right="142"/>
              <w:rPr>
                <w:rFonts w:ascii="Arial" w:hAnsi="Arial" w:cs="Arial"/>
                <w:sz w:val="18"/>
                <w:szCs w:val="18"/>
              </w:rPr>
            </w:pPr>
            <w:r w:rsidRPr="0035013A">
              <w:rPr>
                <w:rFonts w:ascii="Arial" w:hAnsi="Arial" w:cs="Arial"/>
                <w:sz w:val="18"/>
                <w:szCs w:val="18"/>
              </w:rPr>
              <w:t>Topical – for use on unbroken skin.</w:t>
            </w:r>
          </w:p>
        </w:tc>
        <w:tc>
          <w:tcPr>
            <w:tcW w:w="2410" w:type="dxa"/>
            <w:tcBorders>
              <w:top w:val="single" w:sz="4" w:space="0" w:color="auto"/>
              <w:left w:val="nil"/>
              <w:right w:val="nil"/>
            </w:tcBorders>
          </w:tcPr>
          <w:p w:rsidR="00AE0874" w:rsidRPr="0035013A" w:rsidRDefault="00AE0874" w:rsidP="0035013A">
            <w:pPr>
              <w:pStyle w:val="TableText"/>
              <w:spacing w:before="60" w:after="60"/>
              <w:ind w:right="142"/>
              <w:rPr>
                <w:rFonts w:ascii="Arial" w:hAnsi="Arial" w:cs="Arial"/>
                <w:sz w:val="18"/>
                <w:szCs w:val="18"/>
              </w:rPr>
            </w:pPr>
            <w:r w:rsidRPr="0035013A">
              <w:rPr>
                <w:rFonts w:ascii="Arial" w:hAnsi="Arial" w:cs="Arial"/>
                <w:sz w:val="18"/>
                <w:szCs w:val="18"/>
              </w:rPr>
              <w:t xml:space="preserve">Topical – use </w:t>
            </w:r>
            <w:proofErr w:type="gramStart"/>
            <w:r w:rsidRPr="0035013A">
              <w:rPr>
                <w:rFonts w:ascii="Arial" w:hAnsi="Arial" w:cs="Arial"/>
                <w:sz w:val="18"/>
                <w:szCs w:val="18"/>
              </w:rPr>
              <w:t>on broken</w:t>
            </w:r>
            <w:proofErr w:type="gramEnd"/>
            <w:r w:rsidRPr="0035013A">
              <w:rPr>
                <w:rFonts w:ascii="Arial" w:hAnsi="Arial" w:cs="Arial"/>
                <w:sz w:val="18"/>
                <w:szCs w:val="18"/>
              </w:rPr>
              <w:t xml:space="preserve"> skin, topical (with a potential for systemic absorption).</w:t>
            </w:r>
          </w:p>
          <w:p w:rsidR="00AE0874" w:rsidRPr="0035013A" w:rsidRDefault="00AE0874" w:rsidP="0035013A">
            <w:pPr>
              <w:pStyle w:val="TableText"/>
              <w:spacing w:before="60" w:after="60"/>
              <w:ind w:right="142"/>
              <w:rPr>
                <w:rFonts w:ascii="Arial" w:hAnsi="Arial" w:cs="Arial"/>
                <w:sz w:val="18"/>
                <w:szCs w:val="18"/>
              </w:rPr>
            </w:pPr>
            <w:r w:rsidRPr="0035013A">
              <w:rPr>
                <w:rFonts w:ascii="Arial" w:hAnsi="Arial" w:cs="Arial"/>
                <w:sz w:val="18"/>
                <w:szCs w:val="18"/>
              </w:rPr>
              <w:t xml:space="preserve">Suppositories and </w:t>
            </w:r>
            <w:proofErr w:type="spellStart"/>
            <w:r w:rsidRPr="0035013A">
              <w:rPr>
                <w:rFonts w:ascii="Arial" w:hAnsi="Arial" w:cs="Arial"/>
                <w:sz w:val="18"/>
                <w:szCs w:val="18"/>
              </w:rPr>
              <w:t>pessaries</w:t>
            </w:r>
            <w:proofErr w:type="spellEnd"/>
            <w:r w:rsidRPr="0035013A">
              <w:rPr>
                <w:rFonts w:ascii="Arial" w:hAnsi="Arial" w:cs="Arial"/>
                <w:sz w:val="18"/>
                <w:szCs w:val="18"/>
              </w:rPr>
              <w:t>.</w:t>
            </w:r>
          </w:p>
        </w:tc>
        <w:tc>
          <w:tcPr>
            <w:tcW w:w="2410" w:type="dxa"/>
            <w:tcBorders>
              <w:top w:val="single" w:sz="4" w:space="0" w:color="auto"/>
              <w:left w:val="nil"/>
              <w:right w:val="nil"/>
            </w:tcBorders>
          </w:tcPr>
          <w:p w:rsidR="00AE0874" w:rsidRPr="0035013A" w:rsidRDefault="00AE0874" w:rsidP="0035013A">
            <w:pPr>
              <w:pStyle w:val="TableText"/>
              <w:spacing w:before="60" w:after="60"/>
              <w:rPr>
                <w:rFonts w:ascii="Arial" w:hAnsi="Arial" w:cs="Arial"/>
                <w:sz w:val="18"/>
                <w:szCs w:val="18"/>
              </w:rPr>
            </w:pPr>
            <w:r w:rsidRPr="0035013A">
              <w:rPr>
                <w:rFonts w:ascii="Arial" w:hAnsi="Arial" w:cs="Arial"/>
                <w:sz w:val="18"/>
                <w:szCs w:val="18"/>
              </w:rPr>
              <w:t>Inhaled</w:t>
            </w:r>
          </w:p>
          <w:p w:rsidR="00AE0874" w:rsidRPr="0035013A" w:rsidRDefault="00AE0874" w:rsidP="0035013A">
            <w:pPr>
              <w:pStyle w:val="TableText"/>
              <w:spacing w:before="60" w:after="60"/>
              <w:rPr>
                <w:rFonts w:ascii="Arial" w:hAnsi="Arial" w:cs="Arial"/>
                <w:sz w:val="18"/>
                <w:szCs w:val="18"/>
              </w:rPr>
            </w:pPr>
            <w:r w:rsidRPr="0035013A">
              <w:rPr>
                <w:rFonts w:ascii="Arial" w:hAnsi="Arial" w:cs="Arial"/>
                <w:sz w:val="18"/>
                <w:szCs w:val="18"/>
              </w:rPr>
              <w:t>Aural (ear)</w:t>
            </w:r>
          </w:p>
          <w:p w:rsidR="00AE0874" w:rsidRPr="0035013A" w:rsidRDefault="00AE0874" w:rsidP="0035013A">
            <w:pPr>
              <w:pStyle w:val="TableText"/>
              <w:spacing w:before="60" w:after="60"/>
              <w:rPr>
                <w:rFonts w:ascii="Arial" w:hAnsi="Arial" w:cs="Arial"/>
                <w:sz w:val="18"/>
                <w:szCs w:val="18"/>
              </w:rPr>
            </w:pPr>
            <w:r w:rsidRPr="0035013A">
              <w:rPr>
                <w:rFonts w:ascii="Arial" w:hAnsi="Arial" w:cs="Arial"/>
                <w:sz w:val="18"/>
                <w:szCs w:val="18"/>
              </w:rPr>
              <w:t>Oral</w:t>
            </w:r>
          </w:p>
        </w:tc>
      </w:tr>
    </w:tbl>
    <w:p w:rsidR="00AE0874" w:rsidRDefault="00AE0874" w:rsidP="004C57D0">
      <w:pPr>
        <w:spacing w:before="240"/>
      </w:pPr>
    </w:p>
    <w:tbl>
      <w:tblPr>
        <w:tblStyle w:val="TableGrid"/>
        <w:tblW w:w="9356" w:type="dxa"/>
        <w:tblInd w:w="57" w:type="dxa"/>
        <w:tblLayout w:type="fixed"/>
        <w:tblCellMar>
          <w:left w:w="57" w:type="dxa"/>
          <w:right w:w="57" w:type="dxa"/>
        </w:tblCellMar>
        <w:tblLook w:val="04A0" w:firstRow="1" w:lastRow="0" w:firstColumn="1" w:lastColumn="0" w:noHBand="0" w:noVBand="1"/>
      </w:tblPr>
      <w:tblGrid>
        <w:gridCol w:w="1985"/>
        <w:gridCol w:w="2551"/>
        <w:gridCol w:w="2268"/>
        <w:gridCol w:w="2552"/>
      </w:tblGrid>
      <w:tr w:rsidR="00AE0874" w:rsidRPr="005B6311" w:rsidTr="004C57D0">
        <w:trPr>
          <w:cantSplit/>
        </w:trPr>
        <w:tc>
          <w:tcPr>
            <w:tcW w:w="9356" w:type="dxa"/>
            <w:gridSpan w:val="4"/>
            <w:tcBorders>
              <w:left w:val="nil"/>
              <w:bottom w:val="single" w:sz="4" w:space="0" w:color="auto"/>
              <w:right w:val="nil"/>
            </w:tcBorders>
          </w:tcPr>
          <w:p w:rsidR="00AE0874" w:rsidRPr="0035013A" w:rsidRDefault="005B6311" w:rsidP="0035013A">
            <w:pPr>
              <w:pStyle w:val="TableText"/>
              <w:keepNext/>
              <w:spacing w:before="60" w:after="60"/>
              <w:rPr>
                <w:rFonts w:ascii="Arial" w:hAnsi="Arial" w:cs="Arial"/>
                <w:b/>
                <w:sz w:val="18"/>
                <w:szCs w:val="18"/>
              </w:rPr>
            </w:pPr>
            <w:r w:rsidRPr="0035013A">
              <w:rPr>
                <w:rFonts w:ascii="Arial" w:hAnsi="Arial" w:cs="Arial"/>
                <w:b/>
                <w:sz w:val="18"/>
                <w:szCs w:val="18"/>
              </w:rPr>
              <w:lastRenderedPageBreak/>
              <w:t>D</w:t>
            </w:r>
            <w:r w:rsidRPr="0035013A">
              <w:rPr>
                <w:rFonts w:ascii="Arial" w:hAnsi="Arial" w:cs="Arial"/>
                <w:b/>
                <w:sz w:val="18"/>
                <w:szCs w:val="18"/>
              </w:rPr>
              <w:tab/>
            </w:r>
            <w:r w:rsidR="00AE0874" w:rsidRPr="0035013A">
              <w:rPr>
                <w:rFonts w:ascii="Arial" w:hAnsi="Arial" w:cs="Arial"/>
                <w:b/>
                <w:sz w:val="18"/>
                <w:szCs w:val="18"/>
              </w:rPr>
              <w:t>Manufacture</w:t>
            </w:r>
          </w:p>
        </w:tc>
      </w:tr>
      <w:tr w:rsidR="00AE0874" w:rsidRPr="005B6311" w:rsidTr="004C57D0">
        <w:trPr>
          <w:cantSplit/>
        </w:trPr>
        <w:tc>
          <w:tcPr>
            <w:tcW w:w="1985" w:type="dxa"/>
            <w:tcBorders>
              <w:top w:val="single" w:sz="4" w:space="0" w:color="auto"/>
              <w:left w:val="nil"/>
              <w:bottom w:val="single" w:sz="4" w:space="0" w:color="auto"/>
              <w:right w:val="nil"/>
            </w:tcBorders>
          </w:tcPr>
          <w:p w:rsidR="00AE0874" w:rsidRPr="0035013A" w:rsidRDefault="00AE0874" w:rsidP="0035013A">
            <w:pPr>
              <w:pStyle w:val="TableText"/>
              <w:spacing w:before="60" w:after="60"/>
              <w:rPr>
                <w:rFonts w:ascii="Arial" w:hAnsi="Arial" w:cs="Arial"/>
                <w:b/>
                <w:sz w:val="18"/>
                <w:szCs w:val="18"/>
              </w:rPr>
            </w:pPr>
            <w:r w:rsidRPr="0035013A">
              <w:rPr>
                <w:rFonts w:ascii="Arial" w:hAnsi="Arial" w:cs="Arial"/>
                <w:b/>
                <w:sz w:val="18"/>
                <w:szCs w:val="18"/>
              </w:rPr>
              <w:t>Attribute</w:t>
            </w:r>
          </w:p>
        </w:tc>
        <w:tc>
          <w:tcPr>
            <w:tcW w:w="2551" w:type="dxa"/>
            <w:tcBorders>
              <w:top w:val="single" w:sz="4" w:space="0" w:color="auto"/>
              <w:left w:val="nil"/>
              <w:bottom w:val="single" w:sz="4" w:space="0" w:color="auto"/>
              <w:right w:val="nil"/>
            </w:tcBorders>
          </w:tcPr>
          <w:p w:rsidR="00AE0874" w:rsidRPr="0035013A" w:rsidRDefault="00AE0874" w:rsidP="0035013A">
            <w:pPr>
              <w:pStyle w:val="TableText"/>
              <w:spacing w:before="60" w:after="60"/>
              <w:rPr>
                <w:rFonts w:ascii="Arial" w:hAnsi="Arial" w:cs="Arial"/>
                <w:b/>
                <w:sz w:val="18"/>
                <w:szCs w:val="18"/>
              </w:rPr>
            </w:pPr>
            <w:r w:rsidRPr="0035013A">
              <w:rPr>
                <w:rFonts w:ascii="Arial" w:hAnsi="Arial" w:cs="Arial"/>
                <w:b/>
                <w:sz w:val="18"/>
                <w:szCs w:val="18"/>
              </w:rPr>
              <w:t>Level 1</w:t>
            </w:r>
          </w:p>
        </w:tc>
        <w:tc>
          <w:tcPr>
            <w:tcW w:w="2268" w:type="dxa"/>
            <w:tcBorders>
              <w:top w:val="single" w:sz="4" w:space="0" w:color="auto"/>
              <w:left w:val="nil"/>
              <w:bottom w:val="single" w:sz="4" w:space="0" w:color="auto"/>
              <w:right w:val="nil"/>
            </w:tcBorders>
          </w:tcPr>
          <w:p w:rsidR="00AE0874" w:rsidRPr="0035013A" w:rsidRDefault="00AE0874" w:rsidP="0035013A">
            <w:pPr>
              <w:pStyle w:val="TableText"/>
              <w:spacing w:before="60" w:after="60"/>
              <w:rPr>
                <w:rFonts w:ascii="Arial" w:hAnsi="Arial" w:cs="Arial"/>
                <w:b/>
                <w:sz w:val="18"/>
                <w:szCs w:val="18"/>
              </w:rPr>
            </w:pPr>
            <w:r w:rsidRPr="0035013A">
              <w:rPr>
                <w:rFonts w:ascii="Arial" w:hAnsi="Arial" w:cs="Arial"/>
                <w:b/>
                <w:sz w:val="18"/>
                <w:szCs w:val="18"/>
              </w:rPr>
              <w:t>Level 2</w:t>
            </w:r>
          </w:p>
        </w:tc>
        <w:tc>
          <w:tcPr>
            <w:tcW w:w="2552" w:type="dxa"/>
            <w:tcBorders>
              <w:top w:val="single" w:sz="4" w:space="0" w:color="auto"/>
              <w:left w:val="nil"/>
              <w:bottom w:val="single" w:sz="4" w:space="0" w:color="auto"/>
              <w:right w:val="nil"/>
            </w:tcBorders>
          </w:tcPr>
          <w:p w:rsidR="00AE0874" w:rsidRPr="0035013A" w:rsidRDefault="00AE0874" w:rsidP="0035013A">
            <w:pPr>
              <w:pStyle w:val="TableText"/>
              <w:spacing w:before="60" w:after="60"/>
              <w:rPr>
                <w:rFonts w:ascii="Arial" w:hAnsi="Arial" w:cs="Arial"/>
                <w:b/>
                <w:sz w:val="18"/>
                <w:szCs w:val="18"/>
              </w:rPr>
            </w:pPr>
            <w:r w:rsidRPr="0035013A">
              <w:rPr>
                <w:rFonts w:ascii="Arial" w:hAnsi="Arial" w:cs="Arial"/>
                <w:b/>
                <w:sz w:val="18"/>
                <w:szCs w:val="18"/>
              </w:rPr>
              <w:t>Level 3</w:t>
            </w:r>
          </w:p>
        </w:tc>
      </w:tr>
      <w:tr w:rsidR="00AE0874" w:rsidRPr="003A6139" w:rsidTr="004C57D0">
        <w:trPr>
          <w:cantSplit/>
        </w:trPr>
        <w:tc>
          <w:tcPr>
            <w:tcW w:w="1985" w:type="dxa"/>
            <w:tcBorders>
              <w:top w:val="single" w:sz="4" w:space="0" w:color="auto"/>
              <w:left w:val="nil"/>
              <w:bottom w:val="single" w:sz="4" w:space="0" w:color="A6A6A6" w:themeColor="background1" w:themeShade="A6"/>
              <w:right w:val="nil"/>
            </w:tcBorders>
          </w:tcPr>
          <w:p w:rsidR="00AE0874" w:rsidRPr="0035013A" w:rsidRDefault="00AE0874" w:rsidP="0035013A">
            <w:pPr>
              <w:pStyle w:val="TableText"/>
              <w:spacing w:before="60" w:after="60"/>
              <w:ind w:right="142"/>
              <w:rPr>
                <w:rFonts w:ascii="Arial" w:hAnsi="Arial" w:cs="Arial"/>
                <w:sz w:val="18"/>
                <w:szCs w:val="18"/>
              </w:rPr>
            </w:pPr>
            <w:r w:rsidRPr="0035013A">
              <w:rPr>
                <w:rFonts w:ascii="Arial" w:hAnsi="Arial" w:cs="Arial"/>
                <w:sz w:val="18"/>
                <w:szCs w:val="18"/>
              </w:rPr>
              <w:t>Manufacturing complexity</w:t>
            </w:r>
          </w:p>
        </w:tc>
        <w:tc>
          <w:tcPr>
            <w:tcW w:w="2551" w:type="dxa"/>
            <w:tcBorders>
              <w:top w:val="single" w:sz="4" w:space="0" w:color="auto"/>
              <w:left w:val="nil"/>
              <w:bottom w:val="single" w:sz="4" w:space="0" w:color="A6A6A6" w:themeColor="background1" w:themeShade="A6"/>
              <w:right w:val="nil"/>
            </w:tcBorders>
          </w:tcPr>
          <w:p w:rsidR="00AE0874" w:rsidRPr="0035013A" w:rsidRDefault="00AE0874" w:rsidP="0035013A">
            <w:pPr>
              <w:pStyle w:val="TableText"/>
              <w:spacing w:before="60" w:after="60"/>
              <w:ind w:right="142"/>
              <w:rPr>
                <w:rFonts w:ascii="Arial" w:hAnsi="Arial" w:cs="Arial"/>
                <w:sz w:val="18"/>
                <w:szCs w:val="18"/>
              </w:rPr>
            </w:pPr>
            <w:r w:rsidRPr="0035013A">
              <w:rPr>
                <w:rFonts w:ascii="Arial" w:hAnsi="Arial" w:cs="Arial"/>
                <w:sz w:val="18"/>
                <w:szCs w:val="18"/>
              </w:rPr>
              <w:t>Simple mixing and filling process (1 to 3 steps involved).</w:t>
            </w:r>
          </w:p>
          <w:p w:rsidR="00AE0874" w:rsidRPr="0035013A" w:rsidRDefault="00AE0874" w:rsidP="0035013A">
            <w:pPr>
              <w:pStyle w:val="TableText"/>
              <w:spacing w:before="60" w:after="60"/>
              <w:ind w:right="142"/>
              <w:rPr>
                <w:rFonts w:ascii="Arial" w:hAnsi="Arial" w:cs="Arial"/>
                <w:sz w:val="18"/>
                <w:szCs w:val="18"/>
              </w:rPr>
            </w:pPr>
            <w:r w:rsidRPr="0035013A">
              <w:rPr>
                <w:rFonts w:ascii="Arial" w:hAnsi="Arial" w:cs="Arial"/>
                <w:sz w:val="18"/>
                <w:szCs w:val="18"/>
              </w:rPr>
              <w:t>A mostly manual process with ability to perform mostly visual in-process checks.</w:t>
            </w:r>
          </w:p>
        </w:tc>
        <w:tc>
          <w:tcPr>
            <w:tcW w:w="2268" w:type="dxa"/>
            <w:tcBorders>
              <w:top w:val="single" w:sz="4" w:space="0" w:color="auto"/>
              <w:left w:val="nil"/>
              <w:bottom w:val="single" w:sz="4" w:space="0" w:color="A6A6A6" w:themeColor="background1" w:themeShade="A6"/>
              <w:right w:val="nil"/>
            </w:tcBorders>
          </w:tcPr>
          <w:p w:rsidR="00AE0874" w:rsidRPr="0035013A" w:rsidRDefault="00AE0874" w:rsidP="0035013A">
            <w:pPr>
              <w:pStyle w:val="TableText"/>
              <w:spacing w:before="60" w:after="60"/>
              <w:ind w:right="142"/>
              <w:rPr>
                <w:rFonts w:ascii="Arial" w:hAnsi="Arial" w:cs="Arial"/>
                <w:sz w:val="18"/>
                <w:szCs w:val="18"/>
              </w:rPr>
            </w:pPr>
            <w:r w:rsidRPr="0035013A">
              <w:rPr>
                <w:rFonts w:ascii="Arial" w:hAnsi="Arial" w:cs="Arial"/>
                <w:sz w:val="18"/>
                <w:szCs w:val="18"/>
              </w:rPr>
              <w:t>Single step or limited number of steps (1 to 5 steps) process. Complex equipment that may involve some semi-automated steps.</w:t>
            </w:r>
          </w:p>
          <w:p w:rsidR="00AE0874" w:rsidRPr="0035013A" w:rsidRDefault="00AE0874" w:rsidP="0035013A">
            <w:pPr>
              <w:pStyle w:val="TableText"/>
              <w:spacing w:before="60" w:after="60"/>
              <w:ind w:right="142"/>
              <w:rPr>
                <w:rFonts w:ascii="Arial" w:hAnsi="Arial" w:cs="Arial"/>
                <w:sz w:val="18"/>
                <w:szCs w:val="18"/>
              </w:rPr>
            </w:pPr>
            <w:r w:rsidRPr="0035013A">
              <w:rPr>
                <w:rFonts w:ascii="Arial" w:hAnsi="Arial" w:cs="Arial"/>
                <w:sz w:val="18"/>
                <w:szCs w:val="18"/>
              </w:rPr>
              <w:t>In-process checks more complex.</w:t>
            </w:r>
          </w:p>
        </w:tc>
        <w:tc>
          <w:tcPr>
            <w:tcW w:w="2552" w:type="dxa"/>
            <w:tcBorders>
              <w:top w:val="single" w:sz="4" w:space="0" w:color="auto"/>
              <w:left w:val="nil"/>
              <w:bottom w:val="single" w:sz="4" w:space="0" w:color="A6A6A6" w:themeColor="background1" w:themeShade="A6"/>
              <w:right w:val="nil"/>
            </w:tcBorders>
          </w:tcPr>
          <w:p w:rsidR="00AE0874" w:rsidRPr="0035013A" w:rsidRDefault="00AE0874" w:rsidP="0035013A">
            <w:pPr>
              <w:pStyle w:val="TableText"/>
              <w:spacing w:before="60" w:after="60"/>
              <w:rPr>
                <w:rFonts w:ascii="Arial" w:hAnsi="Arial" w:cs="Arial"/>
                <w:sz w:val="18"/>
                <w:szCs w:val="18"/>
              </w:rPr>
            </w:pPr>
            <w:r w:rsidRPr="0035013A">
              <w:rPr>
                <w:rFonts w:ascii="Arial" w:hAnsi="Arial" w:cs="Arial"/>
                <w:sz w:val="18"/>
                <w:szCs w:val="18"/>
              </w:rPr>
              <w:t>Multi-step process (over 5</w:t>
            </w:r>
            <w:r w:rsidR="0035013A">
              <w:rPr>
                <w:rFonts w:ascii="Arial" w:hAnsi="Arial" w:cs="Arial"/>
                <w:sz w:val="18"/>
                <w:szCs w:val="18"/>
              </w:rPr>
              <w:t> </w:t>
            </w:r>
            <w:r w:rsidRPr="0035013A">
              <w:rPr>
                <w:rFonts w:ascii="Arial" w:hAnsi="Arial" w:cs="Arial"/>
                <w:sz w:val="18"/>
                <w:szCs w:val="18"/>
              </w:rPr>
              <w:t>steps), using complex and automated equipment.</w:t>
            </w:r>
          </w:p>
          <w:p w:rsidR="00AE0874" w:rsidRPr="0035013A" w:rsidRDefault="00AE0874" w:rsidP="0035013A">
            <w:pPr>
              <w:pStyle w:val="TableText"/>
              <w:spacing w:before="60" w:after="60"/>
              <w:rPr>
                <w:rFonts w:ascii="Arial" w:hAnsi="Arial" w:cs="Arial"/>
                <w:sz w:val="18"/>
                <w:szCs w:val="18"/>
              </w:rPr>
            </w:pPr>
            <w:r w:rsidRPr="0035013A">
              <w:rPr>
                <w:rFonts w:ascii="Arial" w:hAnsi="Arial" w:cs="Arial"/>
                <w:sz w:val="18"/>
                <w:szCs w:val="18"/>
              </w:rPr>
              <w:t>In-process checks more complex, and include some automation (</w:t>
            </w:r>
            <w:proofErr w:type="spellStart"/>
            <w:r w:rsidRPr="0035013A">
              <w:rPr>
                <w:rFonts w:ascii="Arial" w:hAnsi="Arial" w:cs="Arial"/>
                <w:sz w:val="18"/>
                <w:szCs w:val="18"/>
              </w:rPr>
              <w:t>eg</w:t>
            </w:r>
            <w:proofErr w:type="spellEnd"/>
            <w:r w:rsidRPr="0035013A">
              <w:rPr>
                <w:rFonts w:ascii="Arial" w:hAnsi="Arial" w:cs="Arial"/>
                <w:sz w:val="18"/>
                <w:szCs w:val="18"/>
              </w:rPr>
              <w:t>, in-line filling).</w:t>
            </w:r>
          </w:p>
        </w:tc>
      </w:tr>
      <w:tr w:rsidR="00AE0874" w:rsidRPr="003A6139" w:rsidTr="004C57D0">
        <w:trPr>
          <w:cantSplit/>
        </w:trPr>
        <w:tc>
          <w:tcPr>
            <w:tcW w:w="1985" w:type="dxa"/>
            <w:tcBorders>
              <w:top w:val="single" w:sz="4" w:space="0" w:color="A6A6A6" w:themeColor="background1" w:themeShade="A6"/>
              <w:left w:val="nil"/>
              <w:bottom w:val="single" w:sz="4" w:space="0" w:color="A6A6A6" w:themeColor="background1" w:themeShade="A6"/>
              <w:right w:val="nil"/>
            </w:tcBorders>
          </w:tcPr>
          <w:p w:rsidR="00AE0874" w:rsidRPr="0035013A" w:rsidRDefault="00AE0874" w:rsidP="0035013A">
            <w:pPr>
              <w:pStyle w:val="TableText"/>
              <w:spacing w:before="60" w:after="60"/>
              <w:ind w:right="142"/>
              <w:rPr>
                <w:rFonts w:ascii="Arial" w:hAnsi="Arial" w:cs="Arial"/>
                <w:sz w:val="18"/>
                <w:szCs w:val="18"/>
              </w:rPr>
            </w:pPr>
            <w:r w:rsidRPr="0035013A">
              <w:rPr>
                <w:rFonts w:ascii="Arial" w:hAnsi="Arial" w:cs="Arial"/>
                <w:sz w:val="18"/>
                <w:szCs w:val="18"/>
              </w:rPr>
              <w:t>Manufacturing volume</w:t>
            </w:r>
          </w:p>
        </w:tc>
        <w:tc>
          <w:tcPr>
            <w:tcW w:w="2551" w:type="dxa"/>
            <w:tcBorders>
              <w:top w:val="single" w:sz="4" w:space="0" w:color="A6A6A6" w:themeColor="background1" w:themeShade="A6"/>
              <w:left w:val="nil"/>
              <w:bottom w:val="single" w:sz="4" w:space="0" w:color="A6A6A6" w:themeColor="background1" w:themeShade="A6"/>
              <w:right w:val="nil"/>
            </w:tcBorders>
            <w:shd w:val="clear" w:color="auto" w:fill="auto"/>
          </w:tcPr>
          <w:p w:rsidR="00AE0874" w:rsidRPr="0035013A" w:rsidRDefault="00AE0874" w:rsidP="0035013A">
            <w:pPr>
              <w:pStyle w:val="TableText"/>
              <w:spacing w:before="60" w:after="60"/>
              <w:ind w:right="142"/>
              <w:rPr>
                <w:rFonts w:ascii="Arial" w:hAnsi="Arial" w:cs="Arial"/>
                <w:sz w:val="18"/>
                <w:szCs w:val="18"/>
              </w:rPr>
            </w:pPr>
            <w:r w:rsidRPr="0035013A">
              <w:rPr>
                <w:rFonts w:ascii="Arial" w:hAnsi="Arial" w:cs="Arial"/>
                <w:sz w:val="18"/>
                <w:szCs w:val="18"/>
              </w:rPr>
              <w:t>Small scale of manufacture (</w:t>
            </w:r>
            <w:proofErr w:type="spellStart"/>
            <w:r w:rsidRPr="0035013A">
              <w:rPr>
                <w:rFonts w:ascii="Arial" w:hAnsi="Arial" w:cs="Arial"/>
                <w:sz w:val="18"/>
                <w:szCs w:val="18"/>
              </w:rPr>
              <w:t>eg</w:t>
            </w:r>
            <w:proofErr w:type="spellEnd"/>
            <w:r w:rsidRPr="0035013A">
              <w:rPr>
                <w:rFonts w:ascii="Arial" w:hAnsi="Arial" w:cs="Arial"/>
                <w:sz w:val="18"/>
                <w:szCs w:val="18"/>
              </w:rPr>
              <w:t>, &lt; 3,000 units, and between 10 and 20 batches produced per year).</w:t>
            </w:r>
          </w:p>
        </w:tc>
        <w:tc>
          <w:tcPr>
            <w:tcW w:w="2268" w:type="dxa"/>
            <w:tcBorders>
              <w:top w:val="single" w:sz="4" w:space="0" w:color="A6A6A6" w:themeColor="background1" w:themeShade="A6"/>
              <w:left w:val="nil"/>
              <w:bottom w:val="single" w:sz="4" w:space="0" w:color="A6A6A6" w:themeColor="background1" w:themeShade="A6"/>
              <w:right w:val="nil"/>
            </w:tcBorders>
            <w:shd w:val="clear" w:color="auto" w:fill="auto"/>
          </w:tcPr>
          <w:p w:rsidR="00AE0874" w:rsidRPr="0035013A" w:rsidRDefault="00AE0874" w:rsidP="0035013A">
            <w:pPr>
              <w:pStyle w:val="TableText"/>
              <w:spacing w:before="60" w:after="60"/>
              <w:ind w:right="142"/>
              <w:rPr>
                <w:rFonts w:ascii="Arial" w:hAnsi="Arial" w:cs="Arial"/>
                <w:sz w:val="18"/>
                <w:szCs w:val="18"/>
              </w:rPr>
            </w:pPr>
            <w:r w:rsidRPr="0035013A">
              <w:rPr>
                <w:rFonts w:ascii="Arial" w:hAnsi="Arial" w:cs="Arial"/>
                <w:sz w:val="18"/>
                <w:szCs w:val="18"/>
              </w:rPr>
              <w:t>Medium scale of manufacture (</w:t>
            </w:r>
            <w:proofErr w:type="spellStart"/>
            <w:r w:rsidRPr="0035013A">
              <w:rPr>
                <w:rFonts w:ascii="Arial" w:hAnsi="Arial" w:cs="Arial"/>
                <w:sz w:val="18"/>
                <w:szCs w:val="18"/>
              </w:rPr>
              <w:t>eg</w:t>
            </w:r>
            <w:proofErr w:type="spellEnd"/>
            <w:r w:rsidRPr="0035013A">
              <w:rPr>
                <w:rFonts w:ascii="Arial" w:hAnsi="Arial" w:cs="Arial"/>
                <w:sz w:val="18"/>
                <w:szCs w:val="18"/>
              </w:rPr>
              <w:t>, 3,000 to 10,000 units, and over 20 batches produced per year).</w:t>
            </w:r>
          </w:p>
        </w:tc>
        <w:tc>
          <w:tcPr>
            <w:tcW w:w="2552" w:type="dxa"/>
            <w:tcBorders>
              <w:top w:val="single" w:sz="4" w:space="0" w:color="A6A6A6" w:themeColor="background1" w:themeShade="A6"/>
              <w:left w:val="nil"/>
              <w:bottom w:val="single" w:sz="4" w:space="0" w:color="A6A6A6" w:themeColor="background1" w:themeShade="A6"/>
              <w:right w:val="nil"/>
            </w:tcBorders>
            <w:shd w:val="clear" w:color="auto" w:fill="auto"/>
          </w:tcPr>
          <w:p w:rsidR="00AE0874" w:rsidRPr="0035013A" w:rsidRDefault="00AE0874" w:rsidP="0035013A">
            <w:pPr>
              <w:pStyle w:val="TableText"/>
              <w:spacing w:before="60" w:after="60"/>
              <w:rPr>
                <w:rFonts w:ascii="Arial" w:hAnsi="Arial" w:cs="Arial"/>
                <w:sz w:val="18"/>
                <w:szCs w:val="18"/>
              </w:rPr>
            </w:pPr>
            <w:r w:rsidRPr="0035013A">
              <w:rPr>
                <w:rFonts w:ascii="Arial" w:hAnsi="Arial" w:cs="Arial"/>
                <w:sz w:val="18"/>
                <w:szCs w:val="18"/>
              </w:rPr>
              <w:t>High volume of manufacture</w:t>
            </w:r>
            <w:r w:rsidR="004C57D0" w:rsidRPr="0035013A">
              <w:rPr>
                <w:rFonts w:ascii="Arial" w:hAnsi="Arial" w:cs="Arial"/>
                <w:sz w:val="18"/>
                <w:szCs w:val="18"/>
              </w:rPr>
              <w:t xml:space="preserve"> </w:t>
            </w:r>
            <w:r w:rsidRPr="0035013A">
              <w:rPr>
                <w:rFonts w:ascii="Arial" w:hAnsi="Arial" w:cs="Arial"/>
                <w:sz w:val="18"/>
                <w:szCs w:val="18"/>
              </w:rPr>
              <w:t>(</w:t>
            </w:r>
            <w:proofErr w:type="spellStart"/>
            <w:r w:rsidRPr="0035013A">
              <w:rPr>
                <w:rFonts w:ascii="Arial" w:hAnsi="Arial" w:cs="Arial"/>
                <w:sz w:val="18"/>
                <w:szCs w:val="18"/>
              </w:rPr>
              <w:t>eg</w:t>
            </w:r>
            <w:proofErr w:type="spellEnd"/>
            <w:r w:rsidRPr="0035013A">
              <w:rPr>
                <w:rFonts w:ascii="Arial" w:hAnsi="Arial" w:cs="Arial"/>
                <w:sz w:val="18"/>
                <w:szCs w:val="18"/>
              </w:rPr>
              <w:t>, &gt; 10,000 units, and over 20 batches per year).</w:t>
            </w:r>
          </w:p>
        </w:tc>
      </w:tr>
      <w:tr w:rsidR="00AE0874" w:rsidRPr="003A6139" w:rsidTr="004C57D0">
        <w:trPr>
          <w:cantSplit/>
        </w:trPr>
        <w:tc>
          <w:tcPr>
            <w:tcW w:w="1985" w:type="dxa"/>
            <w:tcBorders>
              <w:top w:val="single" w:sz="4" w:space="0" w:color="A6A6A6" w:themeColor="background1" w:themeShade="A6"/>
              <w:left w:val="nil"/>
              <w:right w:val="nil"/>
            </w:tcBorders>
          </w:tcPr>
          <w:p w:rsidR="00AE0874" w:rsidRPr="0035013A" w:rsidRDefault="00AE0874" w:rsidP="0035013A">
            <w:pPr>
              <w:pStyle w:val="TableText"/>
              <w:spacing w:before="60" w:after="60"/>
              <w:ind w:right="142"/>
              <w:rPr>
                <w:rFonts w:ascii="Arial" w:hAnsi="Arial" w:cs="Arial"/>
                <w:sz w:val="18"/>
                <w:szCs w:val="18"/>
              </w:rPr>
            </w:pPr>
            <w:r w:rsidRPr="0035013A">
              <w:rPr>
                <w:rFonts w:ascii="Arial" w:hAnsi="Arial" w:cs="Arial"/>
                <w:sz w:val="18"/>
                <w:szCs w:val="18"/>
              </w:rPr>
              <w:t>Manufacturing range</w:t>
            </w:r>
          </w:p>
        </w:tc>
        <w:tc>
          <w:tcPr>
            <w:tcW w:w="2551" w:type="dxa"/>
            <w:tcBorders>
              <w:top w:val="single" w:sz="4" w:space="0" w:color="A6A6A6" w:themeColor="background1" w:themeShade="A6"/>
              <w:left w:val="nil"/>
              <w:right w:val="nil"/>
            </w:tcBorders>
            <w:shd w:val="clear" w:color="auto" w:fill="auto"/>
          </w:tcPr>
          <w:p w:rsidR="00AE0874" w:rsidRPr="0035013A" w:rsidRDefault="00AE0874" w:rsidP="0035013A">
            <w:pPr>
              <w:pStyle w:val="TableText"/>
              <w:spacing w:before="60" w:after="60"/>
              <w:ind w:right="142"/>
              <w:rPr>
                <w:rFonts w:ascii="Arial" w:hAnsi="Arial" w:cs="Arial"/>
                <w:sz w:val="18"/>
                <w:szCs w:val="18"/>
              </w:rPr>
            </w:pPr>
            <w:r w:rsidRPr="0035013A">
              <w:rPr>
                <w:rFonts w:ascii="Arial" w:hAnsi="Arial" w:cs="Arial"/>
                <w:sz w:val="18"/>
                <w:szCs w:val="18"/>
              </w:rPr>
              <w:t>Low number or single product and/or dose form.</w:t>
            </w:r>
          </w:p>
          <w:p w:rsidR="00AE0874" w:rsidRPr="0035013A" w:rsidRDefault="00AE0874" w:rsidP="0035013A">
            <w:pPr>
              <w:pStyle w:val="TableText"/>
              <w:spacing w:before="60" w:after="60"/>
              <w:ind w:right="142"/>
              <w:rPr>
                <w:rFonts w:ascii="Arial" w:hAnsi="Arial" w:cs="Arial"/>
                <w:sz w:val="18"/>
                <w:szCs w:val="18"/>
              </w:rPr>
            </w:pPr>
            <w:r w:rsidRPr="0035013A">
              <w:rPr>
                <w:rFonts w:ascii="Arial" w:hAnsi="Arial" w:cs="Arial"/>
                <w:sz w:val="18"/>
                <w:szCs w:val="18"/>
              </w:rPr>
              <w:t>Facility dedicated to NHP products.</w:t>
            </w:r>
          </w:p>
        </w:tc>
        <w:tc>
          <w:tcPr>
            <w:tcW w:w="2268" w:type="dxa"/>
            <w:tcBorders>
              <w:top w:val="single" w:sz="4" w:space="0" w:color="A6A6A6" w:themeColor="background1" w:themeShade="A6"/>
              <w:left w:val="nil"/>
              <w:right w:val="nil"/>
            </w:tcBorders>
            <w:shd w:val="clear" w:color="auto" w:fill="auto"/>
          </w:tcPr>
          <w:p w:rsidR="00AE0874" w:rsidRPr="0035013A" w:rsidRDefault="0092532C" w:rsidP="0035013A">
            <w:pPr>
              <w:pStyle w:val="TableText"/>
              <w:spacing w:before="60" w:after="60"/>
              <w:rPr>
                <w:rFonts w:ascii="Arial" w:hAnsi="Arial" w:cs="Arial"/>
                <w:sz w:val="18"/>
                <w:szCs w:val="18"/>
              </w:rPr>
            </w:pPr>
            <w:r w:rsidRPr="0035013A">
              <w:rPr>
                <w:rFonts w:ascii="Arial" w:hAnsi="Arial" w:cs="Arial"/>
                <w:sz w:val="18"/>
                <w:szCs w:val="18"/>
              </w:rPr>
              <w:t>‘</w:t>
            </w:r>
            <w:r w:rsidR="00AE0874" w:rsidRPr="0035013A">
              <w:rPr>
                <w:rFonts w:ascii="Arial" w:hAnsi="Arial" w:cs="Arial"/>
                <w:sz w:val="18"/>
                <w:szCs w:val="18"/>
              </w:rPr>
              <w:t>Medium</w:t>
            </w:r>
            <w:r w:rsidRPr="0035013A">
              <w:rPr>
                <w:rFonts w:ascii="Arial" w:hAnsi="Arial" w:cs="Arial"/>
                <w:sz w:val="18"/>
                <w:szCs w:val="18"/>
              </w:rPr>
              <w:t>’</w:t>
            </w:r>
            <w:r w:rsidR="00AE0874" w:rsidRPr="0035013A">
              <w:rPr>
                <w:rFonts w:ascii="Arial" w:hAnsi="Arial" w:cs="Arial"/>
                <w:sz w:val="18"/>
                <w:szCs w:val="18"/>
              </w:rPr>
              <w:t xml:space="preserve"> range of similar products and/or dose forms.</w:t>
            </w:r>
          </w:p>
          <w:p w:rsidR="00AE0874" w:rsidRPr="0035013A" w:rsidRDefault="00AE0874" w:rsidP="0035013A">
            <w:pPr>
              <w:pStyle w:val="TableText"/>
              <w:spacing w:before="60" w:after="60"/>
              <w:rPr>
                <w:rFonts w:ascii="Arial" w:hAnsi="Arial" w:cs="Arial"/>
                <w:i/>
                <w:sz w:val="18"/>
                <w:szCs w:val="18"/>
              </w:rPr>
            </w:pPr>
            <w:r w:rsidRPr="0035013A">
              <w:rPr>
                <w:rFonts w:ascii="Arial" w:hAnsi="Arial" w:cs="Arial"/>
                <w:sz w:val="18"/>
                <w:szCs w:val="18"/>
              </w:rPr>
              <w:t>Multi-purpose facility (NHP and non-NHP, and may include a range of dose forms). Segregation practices in place.</w:t>
            </w:r>
          </w:p>
        </w:tc>
        <w:tc>
          <w:tcPr>
            <w:tcW w:w="2552" w:type="dxa"/>
            <w:tcBorders>
              <w:top w:val="single" w:sz="4" w:space="0" w:color="A6A6A6" w:themeColor="background1" w:themeShade="A6"/>
              <w:left w:val="nil"/>
              <w:right w:val="nil"/>
            </w:tcBorders>
            <w:shd w:val="clear" w:color="auto" w:fill="auto"/>
          </w:tcPr>
          <w:p w:rsidR="00AE0874" w:rsidRPr="0035013A" w:rsidRDefault="00AE0874" w:rsidP="0035013A">
            <w:pPr>
              <w:pStyle w:val="TableText"/>
              <w:spacing w:before="60" w:after="60"/>
              <w:rPr>
                <w:rFonts w:ascii="Arial" w:hAnsi="Arial" w:cs="Arial"/>
                <w:sz w:val="18"/>
                <w:szCs w:val="18"/>
              </w:rPr>
            </w:pPr>
            <w:r w:rsidRPr="0035013A">
              <w:rPr>
                <w:rFonts w:ascii="Arial" w:hAnsi="Arial" w:cs="Arial"/>
                <w:sz w:val="18"/>
                <w:szCs w:val="18"/>
              </w:rPr>
              <w:t>High range of different types of products and dose forms, including products that need strict segregation practices in place.</w:t>
            </w:r>
          </w:p>
          <w:p w:rsidR="00AE0874" w:rsidRPr="0035013A" w:rsidRDefault="00AE0874" w:rsidP="0035013A">
            <w:pPr>
              <w:pStyle w:val="TableText"/>
              <w:spacing w:before="60" w:after="60"/>
              <w:rPr>
                <w:rFonts w:ascii="Arial" w:hAnsi="Arial" w:cs="Arial"/>
                <w:sz w:val="18"/>
                <w:szCs w:val="18"/>
              </w:rPr>
            </w:pPr>
            <w:r w:rsidRPr="0035013A">
              <w:rPr>
                <w:rFonts w:ascii="Arial" w:hAnsi="Arial" w:cs="Arial"/>
                <w:sz w:val="18"/>
                <w:szCs w:val="18"/>
              </w:rPr>
              <w:t>Multi-purpose facility (NHP and non-NHP, and may include a range of dose forms).</w:t>
            </w:r>
          </w:p>
        </w:tc>
      </w:tr>
    </w:tbl>
    <w:p w:rsidR="00AE0874" w:rsidRDefault="00AE0874" w:rsidP="005B6311"/>
    <w:p w:rsidR="00AE0874" w:rsidRPr="00C62E87" w:rsidRDefault="00AE0874" w:rsidP="005B6311">
      <w:pPr>
        <w:pStyle w:val="Heading2"/>
      </w:pPr>
      <w:bookmarkStart w:id="10" w:name="_Toc435183510"/>
      <w:bookmarkStart w:id="11" w:name="_Toc435347217"/>
      <w:r w:rsidRPr="00C62E87">
        <w:t>Identifying risk level</w:t>
      </w:r>
      <w:bookmarkEnd w:id="10"/>
      <w:bookmarkEnd w:id="11"/>
    </w:p>
    <w:p w:rsidR="00AE0874" w:rsidRDefault="00AE0874" w:rsidP="005B6311">
      <w:r>
        <w:t>T</w:t>
      </w:r>
      <w:r w:rsidRPr="00C62E87">
        <w:t>he appro</w:t>
      </w:r>
      <w:r>
        <w:t>x</w:t>
      </w:r>
      <w:r w:rsidRPr="00C62E87">
        <w:t>i</w:t>
      </w:r>
      <w:r>
        <w:t>m</w:t>
      </w:r>
      <w:r w:rsidRPr="00C62E87">
        <w:t xml:space="preserve">ate risk level </w:t>
      </w:r>
      <w:r>
        <w:t xml:space="preserve">of a manufacturing facility </w:t>
      </w:r>
      <w:r w:rsidRPr="00C62E87">
        <w:t xml:space="preserve">can be determined using the </w:t>
      </w:r>
      <w:r>
        <w:t>r</w:t>
      </w:r>
      <w:r w:rsidRPr="00C62E87">
        <w:t xml:space="preserve">isk </w:t>
      </w:r>
      <w:r>
        <w:t>a</w:t>
      </w:r>
      <w:r w:rsidRPr="00C62E87">
        <w:t xml:space="preserve">ssessment </w:t>
      </w:r>
      <w:r>
        <w:t>m</w:t>
      </w:r>
      <w:r w:rsidRPr="00C62E87">
        <w:t>atrix, plus any other factors and attributes applicable to the particular product o</w:t>
      </w:r>
      <w:r>
        <w:t>r</w:t>
      </w:r>
      <w:r w:rsidRPr="00C62E87">
        <w:t xml:space="preserve"> manufacturing facility</w:t>
      </w:r>
      <w:r>
        <w:t xml:space="preserve"> (see Figure 2)</w:t>
      </w:r>
      <w:r w:rsidRPr="00C62E87">
        <w:t>.</w:t>
      </w:r>
    </w:p>
    <w:p w:rsidR="00AE0874" w:rsidRDefault="00AE0874" w:rsidP="005B6311"/>
    <w:p w:rsidR="00AE0874" w:rsidRPr="00172F30" w:rsidRDefault="00AE0874" w:rsidP="005B6311">
      <w:pPr>
        <w:rPr>
          <w:highlight w:val="yellow"/>
        </w:rPr>
      </w:pPr>
      <w:r>
        <w:t>If</w:t>
      </w:r>
      <w:r w:rsidRPr="003A6139">
        <w:t xml:space="preserve"> the assessment of risk results in some attributes being at </w:t>
      </w:r>
      <w:r>
        <w:t xml:space="preserve">a different level to others (for example, </w:t>
      </w:r>
      <w:r w:rsidRPr="003A6139">
        <w:t xml:space="preserve">most level 1 but some level 2 or 3), then the higher risk </w:t>
      </w:r>
      <w:r>
        <w:t>assessment will predominate (so</w:t>
      </w:r>
      <w:r w:rsidRPr="003A6139">
        <w:t xml:space="preserve"> the overall </w:t>
      </w:r>
      <w:r>
        <w:t>risk</w:t>
      </w:r>
      <w:r w:rsidRPr="003A6139">
        <w:t xml:space="preserve"> will be level 3) unless the product </w:t>
      </w:r>
      <w:proofErr w:type="spellStart"/>
      <w:r w:rsidRPr="003A6139">
        <w:t>notifier</w:t>
      </w:r>
      <w:proofErr w:type="spellEnd"/>
      <w:r w:rsidRPr="003A6139">
        <w:t xml:space="preserve"> or manufacturer can develop policies or procedures that would safely</w:t>
      </w:r>
      <w:r>
        <w:t xml:space="preserve"> mitigate the risk identified.</w:t>
      </w:r>
      <w:r w:rsidRPr="003A6139">
        <w:t xml:space="preserve"> The justification would need to be detailed in depth within the documen</w:t>
      </w:r>
      <w:r>
        <w:t>tation held by the manufacturer</w:t>
      </w:r>
      <w:r w:rsidRPr="003A6139">
        <w:t>, and be supported by qualified processes and procedures.</w:t>
      </w:r>
      <w:r w:rsidRPr="00CD7E3C">
        <w:t xml:space="preserve"> </w:t>
      </w:r>
      <w:r>
        <w:t>A manufacturer would review their facilities against the risk assessment matrix, and confirm their assessment with the Natural Health Products Regulatory Authority (the Authority) when seeking a licence.</w:t>
      </w:r>
    </w:p>
    <w:p w:rsidR="00AE0874" w:rsidRDefault="00AE0874" w:rsidP="005B6311"/>
    <w:p w:rsidR="00AE0874" w:rsidRPr="003A6139" w:rsidRDefault="00AE0874" w:rsidP="005B6311">
      <w:r w:rsidRPr="00C62E87">
        <w:t>Once an overall risk level determination has been made, this should be used as the basis for determining t</w:t>
      </w:r>
      <w:r w:rsidRPr="00682336">
        <w:t xml:space="preserve"> </w:t>
      </w:r>
      <w:r>
        <w:t>what best practice measures are necessary to achieve the required outcomes of the Code</w:t>
      </w:r>
      <w:r w:rsidRPr="00C62E87">
        <w:t>. It may be helpful to manufacturers to formally document the risk assessment decision as part of the compliance documentation developed, and keep risk registers and risk management plans as part of their risk management processes.</w:t>
      </w:r>
    </w:p>
    <w:p w:rsidR="00AE0874" w:rsidRPr="003A6139" w:rsidRDefault="00AE0874" w:rsidP="005B6311"/>
    <w:p w:rsidR="00AE0874" w:rsidRPr="00643EF6" w:rsidRDefault="00AE0874" w:rsidP="005B6311">
      <w:pPr>
        <w:pStyle w:val="Figure"/>
        <w:rPr>
          <w:lang w:eastAsia="en-NZ"/>
        </w:rPr>
      </w:pPr>
      <w:bookmarkStart w:id="12" w:name="_Toc396213700"/>
      <w:bookmarkStart w:id="13" w:name="_Toc396405222"/>
      <w:bookmarkStart w:id="14" w:name="_Toc397003839"/>
      <w:bookmarkStart w:id="15" w:name="_Toc397004556"/>
      <w:bookmarkStart w:id="16" w:name="_Toc397006774"/>
      <w:bookmarkStart w:id="17" w:name="_Toc397009394"/>
      <w:bookmarkStart w:id="18" w:name="_Toc397009477"/>
      <w:bookmarkStart w:id="19" w:name="_Toc397357736"/>
      <w:bookmarkStart w:id="20" w:name="_Toc397357846"/>
      <w:bookmarkStart w:id="21" w:name="_Toc397357908"/>
      <w:bookmarkStart w:id="22" w:name="_Toc397414446"/>
      <w:bookmarkStart w:id="23" w:name="_Toc397414572"/>
      <w:bookmarkStart w:id="24" w:name="_Toc435347242"/>
      <w:r w:rsidRPr="00643EF6">
        <w:rPr>
          <w:lang w:eastAsia="en-NZ"/>
        </w:rPr>
        <w:lastRenderedPageBreak/>
        <w:t xml:space="preserve">Figure </w:t>
      </w:r>
      <w:r>
        <w:rPr>
          <w:lang w:eastAsia="en-NZ"/>
        </w:rPr>
        <w:t>2</w:t>
      </w:r>
      <w:r w:rsidRPr="00643EF6">
        <w:rPr>
          <w:lang w:eastAsia="en-NZ"/>
        </w:rPr>
        <w:t>: Identification of risk level based on use of the risk assessment matrix</w:t>
      </w:r>
      <w:bookmarkEnd w:id="12"/>
      <w:bookmarkEnd w:id="13"/>
      <w:bookmarkEnd w:id="14"/>
      <w:bookmarkEnd w:id="15"/>
      <w:bookmarkEnd w:id="16"/>
      <w:bookmarkEnd w:id="17"/>
      <w:bookmarkEnd w:id="18"/>
      <w:bookmarkEnd w:id="19"/>
      <w:bookmarkEnd w:id="20"/>
      <w:bookmarkEnd w:id="21"/>
      <w:bookmarkEnd w:id="22"/>
      <w:bookmarkEnd w:id="23"/>
      <w:bookmarkEnd w:id="24"/>
    </w:p>
    <w:p w:rsidR="00AE0874" w:rsidRPr="0053018C" w:rsidRDefault="00AE0874" w:rsidP="005B6311">
      <w:pPr>
        <w:rPr>
          <w:lang w:eastAsia="en-NZ"/>
        </w:rPr>
      </w:pPr>
      <w:r>
        <w:rPr>
          <w:noProof/>
          <w:lang w:eastAsia="en-NZ"/>
        </w:rPr>
        <w:drawing>
          <wp:inline distT="0" distB="0" distL="0" distR="0" wp14:anchorId="7D8ABB52" wp14:editId="4E4131CC">
            <wp:extent cx="3599411" cy="2041379"/>
            <wp:effectExtent l="0" t="0" r="1270" b="0"/>
            <wp:docPr id="8" name="Picture 8" descr="\\wmntfp.moh.govt.nz\userstate\marmccar\Desktop\Picture1.png" title="Figure 2: Identification of risk level based on use of the risk assessment mat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ntfp.moh.govt.nz\userstate\marmccar\Desktop\Picture1.pn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12786"/>
                    <a:stretch/>
                  </pic:blipFill>
                  <pic:spPr bwMode="auto">
                    <a:xfrm>
                      <a:off x="0" y="0"/>
                      <a:ext cx="3605623" cy="2044902"/>
                    </a:xfrm>
                    <a:prstGeom prst="rect">
                      <a:avLst/>
                    </a:prstGeom>
                    <a:noFill/>
                    <a:ln>
                      <a:noFill/>
                    </a:ln>
                    <a:extLst>
                      <a:ext uri="{53640926-AAD7-44D8-BBD7-CCE9431645EC}">
                        <a14:shadowObscured xmlns:a14="http://schemas.microsoft.com/office/drawing/2010/main"/>
                      </a:ext>
                    </a:extLst>
                  </pic:spPr>
                </pic:pic>
              </a:graphicData>
            </a:graphic>
          </wp:inline>
        </w:drawing>
      </w:r>
    </w:p>
    <w:p w:rsidR="00AE0874" w:rsidRDefault="00AE0874" w:rsidP="005B6311"/>
    <w:p w:rsidR="00AE0874" w:rsidRDefault="00AE0874" w:rsidP="005B6311">
      <w:r>
        <w:t xml:space="preserve">Product </w:t>
      </w:r>
      <w:proofErr w:type="spellStart"/>
      <w:r>
        <w:t>notifiers</w:t>
      </w:r>
      <w:proofErr w:type="spellEnd"/>
      <w:r>
        <w:t xml:space="preserve"> and manufacturers should undertake a risk assessment exercise using the risk assessment matrix as a guide to some of the commonly identified risks associated with NHPs.</w:t>
      </w:r>
      <w:r w:rsidR="0092532C">
        <w:t xml:space="preserve"> </w:t>
      </w:r>
      <w:r>
        <w:t>Once manufacturers understand where their product fits into the risk assessment matrix, they can develop documentation to meet the requirements of the Code (as outlined in section 3).</w:t>
      </w:r>
    </w:p>
    <w:p w:rsidR="005B6311" w:rsidRDefault="005B6311" w:rsidP="005B6311"/>
    <w:p w:rsidR="00AE0874" w:rsidRPr="00C62E87" w:rsidRDefault="00AE0874" w:rsidP="005B6311">
      <w:pPr>
        <w:pStyle w:val="Heading2"/>
      </w:pPr>
      <w:bookmarkStart w:id="25" w:name="_Toc435183511"/>
      <w:bookmarkStart w:id="26" w:name="_Toc435347218"/>
      <w:r w:rsidRPr="00C62E87">
        <w:t xml:space="preserve">Application of the </w:t>
      </w:r>
      <w:r>
        <w:t>r</w:t>
      </w:r>
      <w:r w:rsidRPr="00C62E87">
        <w:t xml:space="preserve">isk </w:t>
      </w:r>
      <w:r>
        <w:t>a</w:t>
      </w:r>
      <w:r w:rsidRPr="00C62E87">
        <w:t xml:space="preserve">ssessment </w:t>
      </w:r>
      <w:r>
        <w:t>m</w:t>
      </w:r>
      <w:r w:rsidRPr="00C62E87">
        <w:t>atrix</w:t>
      </w:r>
      <w:bookmarkEnd w:id="25"/>
      <w:bookmarkEnd w:id="26"/>
    </w:p>
    <w:p w:rsidR="00AE0874" w:rsidRPr="00CD7E3C" w:rsidRDefault="00AE0874" w:rsidP="005B6311">
      <w:pPr>
        <w:pStyle w:val="Heading3"/>
      </w:pPr>
      <w:bookmarkStart w:id="27" w:name="_Toc435183512"/>
      <w:r w:rsidRPr="00CD7E3C">
        <w:t>Lower risk example</w:t>
      </w:r>
      <w:bookmarkEnd w:id="27"/>
    </w:p>
    <w:p w:rsidR="00AE0874" w:rsidRDefault="00AE0874" w:rsidP="004C57D0">
      <w:r>
        <w:t>A manufacturer makes a small range of products for use on unbroken skin for a general health benefit. The product contains herbal ingredients, regarded as non-toxic, which are grown by the manufacturer in New Zealand. The formulations are not complex, are easily manufactured, and sales volumes are low.</w:t>
      </w:r>
    </w:p>
    <w:p w:rsidR="00AE0874" w:rsidRDefault="00AE0874" w:rsidP="004C57D0"/>
    <w:p w:rsidR="00AE0874" w:rsidRDefault="00AE0874" w:rsidP="004C57D0">
      <w:r>
        <w:t>In this example the risk analysis results in the following.</w:t>
      </w:r>
    </w:p>
    <w:p w:rsidR="00AE0874" w:rsidRPr="000824E3" w:rsidRDefault="00AE0874" w:rsidP="004C57D0">
      <w:pPr>
        <w:pStyle w:val="Bullet"/>
      </w:pPr>
      <w:r w:rsidRPr="000824E3">
        <w:t>Control of suppliers can be less rigorous</w:t>
      </w:r>
      <w:r>
        <w:t xml:space="preserve"> than if the herbs were supplied by another grower, or if the suppliers were located overseas.</w:t>
      </w:r>
    </w:p>
    <w:p w:rsidR="00AE0874" w:rsidRPr="000824E3" w:rsidRDefault="00AE0874" w:rsidP="004C57D0">
      <w:pPr>
        <w:pStyle w:val="Bullet"/>
      </w:pPr>
      <w:r w:rsidRPr="000824E3">
        <w:t>Manufacturing documentation need not be complicated</w:t>
      </w:r>
      <w:r>
        <w:t>.</w:t>
      </w:r>
    </w:p>
    <w:p w:rsidR="00AE0874" w:rsidRPr="000824E3" w:rsidRDefault="00AE0874" w:rsidP="004C57D0">
      <w:pPr>
        <w:pStyle w:val="Bullet"/>
      </w:pPr>
      <w:r w:rsidRPr="000824E3">
        <w:t xml:space="preserve">Testing of </w:t>
      </w:r>
      <w:r>
        <w:t xml:space="preserve">the </w:t>
      </w:r>
      <w:r w:rsidRPr="000824E3">
        <w:t>finished product</w:t>
      </w:r>
      <w:r>
        <w:t xml:space="preserve"> is</w:t>
      </w:r>
      <w:r w:rsidRPr="000824E3">
        <w:t xml:space="preserve"> likely to be simple (</w:t>
      </w:r>
      <w:proofErr w:type="spellStart"/>
      <w:r>
        <w:t>eg</w:t>
      </w:r>
      <w:proofErr w:type="spellEnd"/>
      <w:r>
        <w:t xml:space="preserve">, </w:t>
      </w:r>
      <w:r w:rsidRPr="000824E3">
        <w:t>not requir</w:t>
      </w:r>
      <w:r>
        <w:t>ing</w:t>
      </w:r>
      <w:r w:rsidRPr="000824E3">
        <w:t xml:space="preserve"> analytical testing)</w:t>
      </w:r>
      <w:r>
        <w:t>.</w:t>
      </w:r>
    </w:p>
    <w:p w:rsidR="00AE0874" w:rsidRDefault="00AE0874" w:rsidP="004C57D0"/>
    <w:p w:rsidR="00AE0874" w:rsidRPr="00C62E87" w:rsidRDefault="00AE0874" w:rsidP="004C57D0">
      <w:pPr>
        <w:pStyle w:val="Heading3"/>
      </w:pPr>
      <w:bookmarkStart w:id="28" w:name="_Toc435183513"/>
      <w:r w:rsidRPr="00C62E87">
        <w:t>Medium risk example</w:t>
      </w:r>
      <w:bookmarkEnd w:id="28"/>
    </w:p>
    <w:p w:rsidR="00AE0874" w:rsidRDefault="00AE0874" w:rsidP="004C57D0">
      <w:r>
        <w:t>A manufacturer makes a range of skin creams and decides to also manufacture a tablet. The creams contain herbal ingredients, regarded as non-toxic, which are grown by the manufacturer in New Zealand. The formulations are not complex, are easily manufactured, and sales volumes are low. The tablet contains herbal ingredients grown by the manufacturer and vitamins purchased from overseas via a local agent. Sales volumes for the tablet are projected to be low initially.</w:t>
      </w:r>
    </w:p>
    <w:p w:rsidR="00AE0874" w:rsidRDefault="00AE0874" w:rsidP="004C57D0"/>
    <w:p w:rsidR="00AE0874" w:rsidRDefault="00AE0874" w:rsidP="004C57D0">
      <w:r>
        <w:t>In this example the risk analysis results in the following.</w:t>
      </w:r>
    </w:p>
    <w:p w:rsidR="00AE0874" w:rsidRDefault="00AE0874" w:rsidP="004C57D0">
      <w:pPr>
        <w:pStyle w:val="Bullet"/>
      </w:pPr>
      <w:r w:rsidRPr="009E4988">
        <w:t xml:space="preserve">Control of the herbal materials can be less rigorous </w:t>
      </w:r>
      <w:r>
        <w:t>than if the herbs were supplied by another grower, or if the suppliers were located overseas.</w:t>
      </w:r>
    </w:p>
    <w:p w:rsidR="00AE0874" w:rsidRPr="009E4988" w:rsidRDefault="00AE0874" w:rsidP="004C57D0">
      <w:pPr>
        <w:pStyle w:val="Bullet"/>
      </w:pPr>
      <w:r w:rsidRPr="009E4988">
        <w:t xml:space="preserve">Particular attention is required with respect to </w:t>
      </w:r>
      <w:r>
        <w:t xml:space="preserve">overseas </w:t>
      </w:r>
      <w:r w:rsidRPr="009E4988">
        <w:t xml:space="preserve">supplier </w:t>
      </w:r>
      <w:r>
        <w:t>validation and approval,</w:t>
      </w:r>
      <w:r w:rsidRPr="009E4988">
        <w:t xml:space="preserve"> and testing of ingredients used in the manufacture of the tablet.</w:t>
      </w:r>
    </w:p>
    <w:p w:rsidR="00AE0874" w:rsidRDefault="00AE0874" w:rsidP="004C57D0">
      <w:pPr>
        <w:pStyle w:val="Bullet"/>
      </w:pPr>
      <w:r w:rsidRPr="000824E3">
        <w:lastRenderedPageBreak/>
        <w:t>Manufacturing documentation need not be complicated for the creams, but should be appropriately comprehensive for the tablet dose form</w:t>
      </w:r>
      <w:r>
        <w:t>.</w:t>
      </w:r>
    </w:p>
    <w:p w:rsidR="00AE0874" w:rsidRPr="000824E3" w:rsidRDefault="00AE0874" w:rsidP="004C57D0">
      <w:pPr>
        <w:pStyle w:val="Bullet"/>
      </w:pPr>
      <w:r>
        <w:t>Segregation of materials, production and storage areas would be required.</w:t>
      </w:r>
    </w:p>
    <w:p w:rsidR="00AE0874" w:rsidRPr="000824E3" w:rsidRDefault="00AE0874" w:rsidP="004C57D0">
      <w:pPr>
        <w:pStyle w:val="Bullet"/>
      </w:pPr>
      <w:r w:rsidRPr="000824E3">
        <w:t xml:space="preserve">Testing of </w:t>
      </w:r>
      <w:r>
        <w:t xml:space="preserve">the </w:t>
      </w:r>
      <w:r w:rsidRPr="000824E3">
        <w:t>finished product</w:t>
      </w:r>
      <w:r>
        <w:t>s</w:t>
      </w:r>
      <w:r w:rsidRPr="000824E3">
        <w:t xml:space="preserve"> </w:t>
      </w:r>
      <w:r>
        <w:t xml:space="preserve">is </w:t>
      </w:r>
      <w:r w:rsidRPr="000824E3">
        <w:t xml:space="preserve">likely to </w:t>
      </w:r>
      <w:r>
        <w:t>be</w:t>
      </w:r>
      <w:r w:rsidRPr="000824E3">
        <w:t xml:space="preserve"> simple </w:t>
      </w:r>
      <w:r>
        <w:t xml:space="preserve">for the creams and require more extensive </w:t>
      </w:r>
      <w:r w:rsidRPr="000824E3">
        <w:t>analytical testing</w:t>
      </w:r>
      <w:r>
        <w:t xml:space="preserve"> for the tablet.</w:t>
      </w:r>
    </w:p>
    <w:p w:rsidR="00AE0874" w:rsidRDefault="00AE0874" w:rsidP="004C57D0"/>
    <w:p w:rsidR="00AE0874" w:rsidRPr="00C62E87" w:rsidRDefault="00AE0874" w:rsidP="004C57D0">
      <w:pPr>
        <w:pStyle w:val="Heading3"/>
      </w:pPr>
      <w:bookmarkStart w:id="29" w:name="_Toc435183514"/>
      <w:r w:rsidRPr="00C62E87">
        <w:t>Higher risk example</w:t>
      </w:r>
      <w:bookmarkEnd w:id="29"/>
    </w:p>
    <w:p w:rsidR="00AE0874" w:rsidRDefault="00AE0874" w:rsidP="004C57D0">
      <w:r>
        <w:t>A manufacturer makes a product for application to the ear. The ingredients are imported herbal ingredients that can be easily confused with other (toxic) materials. The dose accuracy is important to avoid adverse effects or to ensure intended action. Complex manufacturing process and controls are required to preserve the active ingredient and it is made on a multi-product site where allergenic and sensitising substances are also handled.</w:t>
      </w:r>
    </w:p>
    <w:p w:rsidR="00AE0874" w:rsidRDefault="00AE0874" w:rsidP="004C57D0"/>
    <w:p w:rsidR="00AE0874" w:rsidRDefault="00AE0874" w:rsidP="004C57D0">
      <w:r>
        <w:t>In this example the risk analysis results in the following.</w:t>
      </w:r>
    </w:p>
    <w:p w:rsidR="00AE0874" w:rsidRPr="000824E3" w:rsidRDefault="00AE0874" w:rsidP="004C57D0">
      <w:pPr>
        <w:pStyle w:val="Bullet"/>
      </w:pPr>
      <w:r w:rsidRPr="000824E3">
        <w:t>Particular attention is required with respect to supplier approval and testing of ingredients</w:t>
      </w:r>
      <w:r>
        <w:t>.</w:t>
      </w:r>
    </w:p>
    <w:p w:rsidR="00AE0874" w:rsidRPr="000824E3" w:rsidRDefault="00AE0874" w:rsidP="004C57D0">
      <w:pPr>
        <w:pStyle w:val="Bullet"/>
      </w:pPr>
      <w:r w:rsidRPr="000824E3">
        <w:t>Possible microbial contamination issues need to be addressed with respect to ingredients and the process</w:t>
      </w:r>
      <w:r>
        <w:t>.</w:t>
      </w:r>
    </w:p>
    <w:p w:rsidR="00AE0874" w:rsidRPr="000824E3" w:rsidRDefault="00AE0874" w:rsidP="004C57D0">
      <w:pPr>
        <w:pStyle w:val="Bullet"/>
      </w:pPr>
      <w:r w:rsidRPr="000824E3">
        <w:t xml:space="preserve">Manufacturing arrangements must be </w:t>
      </w:r>
      <w:r>
        <w:t xml:space="preserve">described in detail and </w:t>
      </w:r>
      <w:r w:rsidRPr="000824E3">
        <w:t>closely controlled</w:t>
      </w:r>
      <w:r>
        <w:t>.</w:t>
      </w:r>
    </w:p>
    <w:p w:rsidR="0092532C" w:rsidRDefault="00AE0874" w:rsidP="004C57D0">
      <w:pPr>
        <w:pStyle w:val="Bullet"/>
      </w:pPr>
      <w:r w:rsidRPr="000824E3">
        <w:t>Cross-contamination potential must be addressed</w:t>
      </w:r>
      <w:r>
        <w:t>.</w:t>
      </w:r>
    </w:p>
    <w:p w:rsidR="00AE0874" w:rsidRDefault="00AE0874" w:rsidP="004C57D0"/>
    <w:p w:rsidR="004C57D0" w:rsidRDefault="004C57D0" w:rsidP="004C57D0">
      <w:bookmarkStart w:id="30" w:name="_Toc435183515"/>
      <w:r>
        <w:br w:type="page"/>
      </w:r>
    </w:p>
    <w:p w:rsidR="00AE0874" w:rsidRPr="00C62E87" w:rsidRDefault="00AE0874" w:rsidP="004C57D0">
      <w:pPr>
        <w:pStyle w:val="Heading1"/>
      </w:pPr>
      <w:bookmarkStart w:id="31" w:name="_Toc435347219"/>
      <w:r>
        <w:lastRenderedPageBreak/>
        <w:t>Case studies</w:t>
      </w:r>
      <w:bookmarkEnd w:id="30"/>
      <w:bookmarkEnd w:id="31"/>
    </w:p>
    <w:p w:rsidR="00AE0874" w:rsidRPr="00196E62" w:rsidRDefault="00AE0874" w:rsidP="004C57D0">
      <w:pPr>
        <w:pStyle w:val="Heading2"/>
      </w:pPr>
      <w:bookmarkStart w:id="32" w:name="_Toc435183516"/>
      <w:bookmarkStart w:id="33" w:name="_Toc435347220"/>
      <w:r w:rsidRPr="00196E62">
        <w:t>Introduction</w:t>
      </w:r>
      <w:bookmarkEnd w:id="32"/>
      <w:bookmarkEnd w:id="33"/>
    </w:p>
    <w:p w:rsidR="0092532C" w:rsidRDefault="00AE0874" w:rsidP="004C57D0">
      <w:r w:rsidRPr="00CD7E3C">
        <w:t>Included below are five case study examples to assist with application of the Code. Each case study describes a scenario and its key product and manufacturing attributes</w:t>
      </w:r>
      <w:r>
        <w:t>,</w:t>
      </w:r>
      <w:r w:rsidRPr="00CD7E3C">
        <w:t xml:space="preserve"> and a summary of some of the key considerations of application of the Code.</w:t>
      </w:r>
      <w:r w:rsidR="0092532C">
        <w:t xml:space="preserve"> </w:t>
      </w:r>
      <w:r w:rsidRPr="00CD7E3C">
        <w:t xml:space="preserve">In essence, the higher the risk level of the product or manufacturing process, the greater the extent of detail required in compliance with </w:t>
      </w:r>
      <w:r>
        <w:t xml:space="preserve">the </w:t>
      </w:r>
      <w:r w:rsidRPr="00CD7E3C">
        <w:t>Code.</w:t>
      </w:r>
    </w:p>
    <w:p w:rsidR="004C57D0" w:rsidRDefault="004C57D0" w:rsidP="004C57D0"/>
    <w:p w:rsidR="00AE0874" w:rsidRPr="00256029" w:rsidRDefault="00AE0874" w:rsidP="004C57D0">
      <w:pPr>
        <w:pStyle w:val="Heading2"/>
      </w:pPr>
      <w:bookmarkStart w:id="34" w:name="_Toc419110665"/>
      <w:bookmarkStart w:id="35" w:name="_Toc435183517"/>
      <w:bookmarkStart w:id="36" w:name="_Toc435347221"/>
      <w:r w:rsidRPr="00196E62">
        <w:t>Case study 1</w:t>
      </w:r>
      <w:bookmarkEnd w:id="34"/>
      <w:bookmarkEnd w:id="35"/>
      <w:bookmarkEnd w:id="36"/>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7"/>
      </w:tblGrid>
      <w:tr w:rsidR="004C57D0" w:rsidRPr="00CD7E3C" w:rsidTr="004176F0">
        <w:trPr>
          <w:cantSplit/>
        </w:trPr>
        <w:tc>
          <w:tcPr>
            <w:tcW w:w="5000" w:type="pct"/>
            <w:shd w:val="clear" w:color="auto" w:fill="F2F2F2" w:themeFill="background1" w:themeFillShade="F2"/>
          </w:tcPr>
          <w:p w:rsidR="004C57D0" w:rsidRPr="00CD7E3C" w:rsidRDefault="004C57D0" w:rsidP="004C57D0">
            <w:pPr>
              <w:pStyle w:val="TableText"/>
            </w:pPr>
            <w:r w:rsidRPr="00CD7E3C">
              <w:t xml:space="preserve">A Nelson lavender farmer grows lavender and produces </w:t>
            </w:r>
            <w:proofErr w:type="gramStart"/>
            <w:r w:rsidRPr="00CD7E3C">
              <w:t>her own</w:t>
            </w:r>
            <w:proofErr w:type="gramEnd"/>
            <w:r w:rsidRPr="00CD7E3C">
              <w:t xml:space="preserve"> hand</w:t>
            </w:r>
            <w:r>
              <w:t xml:space="preserve"> </w:t>
            </w:r>
            <w:r w:rsidRPr="00CD7E3C">
              <w:t>cream to sell locally at the weekend farmers</w:t>
            </w:r>
            <w:r>
              <w:t>’</w:t>
            </w:r>
            <w:r w:rsidRPr="00CD7E3C">
              <w:t xml:space="preserve"> market. The hand</w:t>
            </w:r>
            <w:r>
              <w:t xml:space="preserve"> </w:t>
            </w:r>
            <w:r w:rsidRPr="00CD7E3C">
              <w:t xml:space="preserve">cream is the only </w:t>
            </w:r>
            <w:r>
              <w:t>item</w:t>
            </w:r>
            <w:r w:rsidRPr="00CD7E3C">
              <w:t xml:space="preserve"> produced and all of the lavender used in the cream is grown by the farmer. Approximately 15 units of the cream are sold </w:t>
            </w:r>
            <w:r>
              <w:t>each</w:t>
            </w:r>
            <w:r w:rsidRPr="00CD7E3C">
              <w:t xml:space="preserve"> week.</w:t>
            </w:r>
          </w:p>
        </w:tc>
      </w:tr>
      <w:tr w:rsidR="004176F0" w:rsidRPr="00CD7E3C" w:rsidTr="007245D1">
        <w:trPr>
          <w:cantSplit/>
        </w:trPr>
        <w:tc>
          <w:tcPr>
            <w:tcW w:w="5000" w:type="pct"/>
            <w:tcBorders>
              <w:bottom w:val="single" w:sz="4" w:space="0" w:color="auto"/>
            </w:tcBorders>
          </w:tcPr>
          <w:p w:rsidR="004176F0" w:rsidRPr="00CD7E3C" w:rsidRDefault="004176F0" w:rsidP="0093302E">
            <w:pPr>
              <w:pStyle w:val="TableText"/>
            </w:pPr>
            <w:r w:rsidRPr="00735921">
              <w:rPr>
                <w:b/>
              </w:rPr>
              <w:t>Risk level 1</w:t>
            </w:r>
          </w:p>
          <w:p w:rsidR="004176F0" w:rsidRPr="00CD7E3C" w:rsidRDefault="004176F0" w:rsidP="00A6757C">
            <w:pPr>
              <w:pStyle w:val="TableText"/>
              <w:spacing w:before="0"/>
            </w:pPr>
            <w:r w:rsidRPr="00CD7E3C">
              <w:t xml:space="preserve">All attributes </w:t>
            </w:r>
            <w:r>
              <w:t>indicate the</w:t>
            </w:r>
            <w:r w:rsidRPr="00CD7E3C">
              <w:t xml:space="preserve"> lowest risk on the spectrum </w:t>
            </w:r>
            <w:r>
              <w:t>–</w:t>
            </w:r>
            <w:r w:rsidRPr="00CD7E3C">
              <w:t xml:space="preserve"> topical cream for unbroken skin, low quantities produced, is the only product produced, and certainty of source ingredient. As the manufacturer is very small and is producing a low-risk</w:t>
            </w:r>
            <w:r>
              <w:t>,</w:t>
            </w:r>
            <w:r w:rsidRPr="00CD7E3C">
              <w:t xml:space="preserve"> low</w:t>
            </w:r>
            <w:r>
              <w:t>-</w:t>
            </w:r>
            <w:r w:rsidRPr="00CD7E3C">
              <w:t>volume product</w:t>
            </w:r>
            <w:r>
              <w:t>,</w:t>
            </w:r>
            <w:r w:rsidRPr="00CD7E3C">
              <w:t xml:space="preserve"> the systems </w:t>
            </w:r>
            <w:r>
              <w:t>required of</w:t>
            </w:r>
            <w:r w:rsidRPr="00CD7E3C">
              <w:t xml:space="preserve"> </w:t>
            </w:r>
            <w:r>
              <w:t xml:space="preserve">a </w:t>
            </w:r>
            <w:r w:rsidRPr="00CD7E3C">
              <w:t>larger manufacturer would not generally be applicable.</w:t>
            </w:r>
          </w:p>
        </w:tc>
      </w:tr>
      <w:tr w:rsidR="004C57D0" w:rsidRPr="00CD7E3C" w:rsidTr="007245D1">
        <w:trPr>
          <w:cantSplit/>
        </w:trPr>
        <w:tc>
          <w:tcPr>
            <w:tcW w:w="5000" w:type="pct"/>
            <w:tcBorders>
              <w:bottom w:val="single" w:sz="4" w:space="0" w:color="auto"/>
            </w:tcBorders>
          </w:tcPr>
          <w:p w:rsidR="004C57D0" w:rsidRPr="00735921" w:rsidRDefault="004C57D0" w:rsidP="004C57D0">
            <w:pPr>
              <w:pStyle w:val="TableText"/>
              <w:rPr>
                <w:b/>
              </w:rPr>
            </w:pPr>
            <w:r w:rsidRPr="00CD7E3C">
              <w:rPr>
                <w:b/>
              </w:rPr>
              <w:t>Key examples of Code interpretation</w:t>
            </w:r>
          </w:p>
        </w:tc>
      </w:tr>
      <w:tr w:rsidR="00A6757C" w:rsidRPr="00CD7E3C" w:rsidTr="007245D1">
        <w:trPr>
          <w:cantSplit/>
        </w:trPr>
        <w:tc>
          <w:tcPr>
            <w:tcW w:w="5000" w:type="pct"/>
            <w:tcBorders>
              <w:top w:val="single" w:sz="4" w:space="0" w:color="auto"/>
            </w:tcBorders>
          </w:tcPr>
          <w:p w:rsidR="00A6757C" w:rsidRPr="004C57D0" w:rsidRDefault="00A6757C" w:rsidP="004C57D0">
            <w:pPr>
              <w:pStyle w:val="TableText"/>
            </w:pPr>
            <w:r w:rsidRPr="00CD7E3C">
              <w:rPr>
                <w:b/>
              </w:rPr>
              <w:t>Personnel</w:t>
            </w:r>
          </w:p>
          <w:p w:rsidR="00A6757C" w:rsidRPr="004C57D0" w:rsidRDefault="00A6757C" w:rsidP="00A6757C">
            <w:pPr>
              <w:pStyle w:val="TableBullet"/>
            </w:pPr>
            <w:r w:rsidRPr="00CD7E3C">
              <w:rPr>
                <w:b/>
              </w:rPr>
              <w:t xml:space="preserve">Key </w:t>
            </w:r>
            <w:r>
              <w:rPr>
                <w:b/>
              </w:rPr>
              <w:t>p</w:t>
            </w:r>
            <w:r w:rsidRPr="00CD7E3C">
              <w:rPr>
                <w:b/>
              </w:rPr>
              <w:t xml:space="preserve">ersonnel </w:t>
            </w:r>
            <w:r>
              <w:rPr>
                <w:b/>
              </w:rPr>
              <w:t>–</w:t>
            </w:r>
            <w:r w:rsidRPr="00CD7E3C">
              <w:t xml:space="preserve"> With only a single person involved in manufacture, full separation of roles for quality and production is not possible</w:t>
            </w:r>
            <w:r>
              <w:t>,</w:t>
            </w:r>
            <w:r w:rsidRPr="00CD7E3C">
              <w:t xml:space="preserve"> as would normally be expected for a larger or higher risk </w:t>
            </w:r>
            <w:r>
              <w:rPr>
                <w:rFonts w:cs="Times"/>
              </w:rPr>
              <w:t>NHP</w:t>
            </w:r>
            <w:r w:rsidRPr="00CD7E3C">
              <w:t xml:space="preserve"> manufacturer. Based on the low volumes produced and relative</w:t>
            </w:r>
            <w:r>
              <w:t>ly</w:t>
            </w:r>
            <w:r w:rsidRPr="00CD7E3C">
              <w:t xml:space="preserve"> low risk of the product, the situation may be able to be accepted by the auditor. Acceptance could be based on evidence that the manufacturer has taken particular care to protect </w:t>
            </w:r>
            <w:proofErr w:type="gramStart"/>
            <w:r>
              <w:t>herself</w:t>
            </w:r>
            <w:proofErr w:type="gramEnd"/>
            <w:r w:rsidRPr="00CD7E3C">
              <w:t xml:space="preserve"> from conflicts of interest that may arise </w:t>
            </w:r>
            <w:r>
              <w:t>if</w:t>
            </w:r>
            <w:r w:rsidRPr="00CD7E3C">
              <w:t xml:space="preserve"> production/sales priorities conflict with quality responsibilities. This could include having clearly defined responsibilities for quality activities in the documentation system with records of the actions taken</w:t>
            </w:r>
            <w:r>
              <w:t>,</w:t>
            </w:r>
            <w:r w:rsidRPr="00CD7E3C">
              <w:t xml:space="preserve"> coupled with periodic audits of the operation to confirm the quality responsibilities were being properly executed.</w:t>
            </w:r>
          </w:p>
          <w:p w:rsidR="00A6757C" w:rsidRPr="004C57D0" w:rsidRDefault="00A6757C" w:rsidP="00A6757C">
            <w:pPr>
              <w:pStyle w:val="TableBullet"/>
            </w:pPr>
            <w:r w:rsidRPr="00CD7E3C">
              <w:rPr>
                <w:b/>
              </w:rPr>
              <w:t>Personal hygiene –</w:t>
            </w:r>
            <w:r w:rsidRPr="00CD7E3C">
              <w:t>Although the product is relatively low</w:t>
            </w:r>
            <w:r>
              <w:t xml:space="preserve"> </w:t>
            </w:r>
            <w:r w:rsidRPr="00CD7E3C">
              <w:t>risk, a basic clothing change would be required to minimise the potential for the cream to be contaminated by the general farm environment. For example</w:t>
            </w:r>
            <w:r>
              <w:t>,</w:t>
            </w:r>
            <w:r w:rsidRPr="00CD7E3C">
              <w:t xml:space="preserve"> using specific overalls or lab coats in the manufacturing area, change of footwear, wearing gloves </w:t>
            </w:r>
            <w:r>
              <w:t>when</w:t>
            </w:r>
            <w:r w:rsidRPr="00CD7E3C">
              <w:t xml:space="preserve"> handling </w:t>
            </w:r>
            <w:r>
              <w:t xml:space="preserve">the </w:t>
            </w:r>
            <w:r w:rsidRPr="00CD7E3C">
              <w:t>product.</w:t>
            </w:r>
          </w:p>
          <w:p w:rsidR="00A6757C" w:rsidRPr="004C57D0" w:rsidRDefault="00A6757C" w:rsidP="00A6757C">
            <w:pPr>
              <w:pStyle w:val="TableBullet"/>
              <w:spacing w:after="60"/>
            </w:pPr>
            <w:r w:rsidRPr="00CD7E3C">
              <w:rPr>
                <w:b/>
              </w:rPr>
              <w:t xml:space="preserve">Training </w:t>
            </w:r>
            <w:r>
              <w:rPr>
                <w:b/>
              </w:rPr>
              <w:t>–</w:t>
            </w:r>
            <w:r w:rsidRPr="00CD7E3C">
              <w:t xml:space="preserve"> A formal training system would not be required for a single person operation</w:t>
            </w:r>
            <w:r>
              <w:t>;</w:t>
            </w:r>
            <w:r w:rsidRPr="00CD7E3C">
              <w:t xml:space="preserve"> however</w:t>
            </w:r>
            <w:r>
              <w:t>,</w:t>
            </w:r>
            <w:r w:rsidRPr="00CD7E3C">
              <w:t xml:space="preserve"> the farmer would still be expected to demonstrate </w:t>
            </w:r>
            <w:r>
              <w:t>she</w:t>
            </w:r>
            <w:r w:rsidRPr="00CD7E3C">
              <w:t xml:space="preserve"> had appropriate experience and knowledge relevant to the manufacture of the </w:t>
            </w:r>
            <w:r>
              <w:rPr>
                <w:rFonts w:cs="Times"/>
              </w:rPr>
              <w:t>NHP</w:t>
            </w:r>
            <w:r w:rsidRPr="00CD7E3C">
              <w:t>, including knowledge of the Code.</w:t>
            </w:r>
            <w:r>
              <w:t xml:space="preserve"> The farmer should keep r</w:t>
            </w:r>
            <w:r w:rsidRPr="00CD7E3C">
              <w:t xml:space="preserve">ecords of any training </w:t>
            </w:r>
            <w:r>
              <w:t>she</w:t>
            </w:r>
            <w:r w:rsidRPr="00CD7E3C">
              <w:t xml:space="preserve"> has done.</w:t>
            </w:r>
          </w:p>
        </w:tc>
      </w:tr>
      <w:tr w:rsidR="00A6757C" w:rsidRPr="00CD7E3C" w:rsidTr="004176F0">
        <w:trPr>
          <w:cantSplit/>
        </w:trPr>
        <w:tc>
          <w:tcPr>
            <w:tcW w:w="5000" w:type="pct"/>
          </w:tcPr>
          <w:p w:rsidR="00A6757C" w:rsidRPr="004C57D0" w:rsidRDefault="00A6757C" w:rsidP="004C57D0">
            <w:pPr>
              <w:pStyle w:val="TableText"/>
            </w:pPr>
            <w:r w:rsidRPr="00CD7E3C">
              <w:rPr>
                <w:b/>
              </w:rPr>
              <w:lastRenderedPageBreak/>
              <w:t xml:space="preserve">Premises and </w:t>
            </w:r>
            <w:r>
              <w:rPr>
                <w:b/>
              </w:rPr>
              <w:t>e</w:t>
            </w:r>
            <w:r w:rsidRPr="00CD7E3C">
              <w:rPr>
                <w:b/>
              </w:rPr>
              <w:t>quipment</w:t>
            </w:r>
          </w:p>
          <w:p w:rsidR="00A6757C" w:rsidRPr="004C57D0" w:rsidRDefault="00A6757C" w:rsidP="00A6757C">
            <w:pPr>
              <w:pStyle w:val="TableBullet"/>
            </w:pPr>
            <w:r w:rsidRPr="00CD7E3C">
              <w:rPr>
                <w:b/>
              </w:rPr>
              <w:t>Premises</w:t>
            </w:r>
            <w:r w:rsidRPr="00CD7E3C">
              <w:t xml:space="preserve"> </w:t>
            </w:r>
            <w:r>
              <w:t>–</w:t>
            </w:r>
            <w:r w:rsidRPr="00CD7E3C">
              <w:t xml:space="preserve"> The premises may be very small for the scale of the operation.</w:t>
            </w:r>
            <w:r>
              <w:t xml:space="preserve"> </w:t>
            </w:r>
            <w:r w:rsidRPr="00CD7E3C">
              <w:t>The manufacturing area may potentially be used for other purposes when creams are not being manufactured.</w:t>
            </w:r>
            <w:r>
              <w:t xml:space="preserve"> </w:t>
            </w:r>
            <w:r w:rsidRPr="00CD7E3C">
              <w:t xml:space="preserve">Procedures and records of the steps taken to clear the area of equipment or materials not related to the </w:t>
            </w:r>
            <w:r>
              <w:t xml:space="preserve">NHP </w:t>
            </w:r>
            <w:r w:rsidRPr="00CD7E3C">
              <w:t>and to ensure it was clean prior to starting manufacture should be available.</w:t>
            </w:r>
          </w:p>
          <w:p w:rsidR="00A6757C" w:rsidRPr="004C57D0" w:rsidRDefault="00A6757C" w:rsidP="00A6757C">
            <w:pPr>
              <w:pStyle w:val="TableBullet"/>
            </w:pPr>
            <w:r w:rsidRPr="00CD7E3C">
              <w:rPr>
                <w:b/>
              </w:rPr>
              <w:t>Equipment –</w:t>
            </w:r>
            <w:r w:rsidRPr="00CD7E3C">
              <w:t xml:space="preserve"> </w:t>
            </w:r>
            <w:r>
              <w:t xml:space="preserve">This </w:t>
            </w:r>
            <w:r w:rsidRPr="00CD7E3C">
              <w:t>should be dedicated to manufacture of the cream to minimise the potential for contamination with other materials used on the farm.</w:t>
            </w:r>
            <w:r>
              <w:t xml:space="preserve"> </w:t>
            </w:r>
            <w:r w:rsidRPr="00CD7E3C">
              <w:t>As the equipment would likely be small scale and manual, there would only need to be limited qualification of it based on an assessment of risks to the product.</w:t>
            </w:r>
            <w:r>
              <w:t xml:space="preserve"> </w:t>
            </w:r>
            <w:r w:rsidRPr="00CD7E3C">
              <w:t xml:space="preserve">Equipment qualification would likely be focused on ensuring the equipment </w:t>
            </w:r>
            <w:r>
              <w:t>is</w:t>
            </w:r>
            <w:r w:rsidRPr="00CD7E3C">
              <w:t xml:space="preserve"> constructed to an appropriate </w:t>
            </w:r>
            <w:r>
              <w:t>‘</w:t>
            </w:r>
            <w:r w:rsidRPr="00CD7E3C">
              <w:t>sanitary</w:t>
            </w:r>
            <w:r>
              <w:t>’</w:t>
            </w:r>
            <w:r w:rsidRPr="00CD7E3C">
              <w:t xml:space="preserve"> standard to enable easy clean</w:t>
            </w:r>
            <w:r>
              <w:t>ing,</w:t>
            </w:r>
            <w:r w:rsidRPr="00CD7E3C">
              <w:t xml:space="preserve"> and ensuring any measuring instruments </w:t>
            </w:r>
            <w:r>
              <w:t>are</w:t>
            </w:r>
            <w:r w:rsidRPr="00CD7E3C">
              <w:t xml:space="preserve"> appropriately calibrated.</w:t>
            </w:r>
          </w:p>
          <w:p w:rsidR="00A6757C" w:rsidRPr="004C57D0" w:rsidRDefault="00A6757C" w:rsidP="00A6757C">
            <w:pPr>
              <w:pStyle w:val="TableBullet"/>
              <w:spacing w:after="60"/>
            </w:pPr>
            <w:r w:rsidRPr="00CD7E3C">
              <w:rPr>
                <w:b/>
              </w:rPr>
              <w:t>Cleaning</w:t>
            </w:r>
            <w:r w:rsidRPr="00CD7E3C">
              <w:t xml:space="preserve"> – </w:t>
            </w:r>
            <w:r>
              <w:t>A</w:t>
            </w:r>
            <w:r w:rsidRPr="00CD7E3C">
              <w:t>s only one simple product is manufactured with dedicated equipment, the risks of cross</w:t>
            </w:r>
            <w:r>
              <w:t>-</w:t>
            </w:r>
            <w:r w:rsidRPr="00CD7E3C">
              <w:t>contamination with other products would be low.</w:t>
            </w:r>
            <w:r>
              <w:t xml:space="preserve"> </w:t>
            </w:r>
            <w:r w:rsidRPr="00CD7E3C">
              <w:t>Cleaning procedures would be focused on ensuring equipment is visually clean.</w:t>
            </w:r>
            <w:r>
              <w:t xml:space="preserve"> </w:t>
            </w:r>
            <w:r w:rsidRPr="00CD7E3C">
              <w:t xml:space="preserve">Basic disinfection and ensuring equipment </w:t>
            </w:r>
            <w:r>
              <w:t>is</w:t>
            </w:r>
            <w:r w:rsidRPr="00CD7E3C">
              <w:t xml:space="preserve"> dry after use would be expected to minimise the potential for microbial contamination of the cream.</w:t>
            </w:r>
          </w:p>
        </w:tc>
      </w:tr>
      <w:tr w:rsidR="004C57D0" w:rsidRPr="00CD7E3C" w:rsidTr="004176F0">
        <w:trPr>
          <w:cantSplit/>
        </w:trPr>
        <w:tc>
          <w:tcPr>
            <w:tcW w:w="5000" w:type="pct"/>
          </w:tcPr>
          <w:p w:rsidR="004C57D0" w:rsidRPr="00CD7E3C" w:rsidRDefault="004C57D0" w:rsidP="004C57D0">
            <w:pPr>
              <w:pStyle w:val="TableText"/>
              <w:rPr>
                <w:b/>
              </w:rPr>
            </w:pPr>
            <w:r w:rsidRPr="00CD7E3C">
              <w:rPr>
                <w:b/>
              </w:rPr>
              <w:t>Production</w:t>
            </w:r>
          </w:p>
          <w:p w:rsidR="004C57D0" w:rsidRPr="00CD7E3C" w:rsidRDefault="004C57D0" w:rsidP="00A6757C">
            <w:pPr>
              <w:pStyle w:val="TableBullet"/>
            </w:pPr>
            <w:r w:rsidRPr="00CD7E3C">
              <w:t>As the key starting material is produced by the farmer</w:t>
            </w:r>
            <w:r>
              <w:t>,</w:t>
            </w:r>
            <w:r w:rsidRPr="00CD7E3C">
              <w:t xml:space="preserve"> who would be expected to have full control and knowledge of the material, supplier approval processes would not be applicable.</w:t>
            </w:r>
            <w:r>
              <w:t xml:space="preserve"> </w:t>
            </w:r>
            <w:r w:rsidRPr="00CD7E3C">
              <w:t>Other ingredients in the cream should be obtained from reputable suppliers, with evidence they meet relevant specifications. Some sampling and testing may be warranted depending on the farmer</w:t>
            </w:r>
            <w:r>
              <w:t>’</w:t>
            </w:r>
            <w:r w:rsidRPr="00CD7E3C">
              <w:t>s risk assessment of the potential for poor quality ingredients affecting the final cream.</w:t>
            </w:r>
          </w:p>
          <w:p w:rsidR="004C57D0" w:rsidRDefault="004C57D0" w:rsidP="00A6757C">
            <w:pPr>
              <w:pStyle w:val="TableBullet"/>
            </w:pPr>
            <w:r w:rsidRPr="00CD7E3C">
              <w:t xml:space="preserve">Water used to prepare the cream should not be a source of microbial contamination (may be an issue if </w:t>
            </w:r>
            <w:r>
              <w:t xml:space="preserve">drawn </w:t>
            </w:r>
            <w:r w:rsidRPr="00CD7E3C">
              <w:t>from a bore).</w:t>
            </w:r>
          </w:p>
          <w:p w:rsidR="004C57D0" w:rsidRPr="00CD7E3C" w:rsidRDefault="004C57D0" w:rsidP="00A6757C">
            <w:pPr>
              <w:pStyle w:val="TableBullet"/>
            </w:pPr>
            <w:r w:rsidRPr="00CD7E3C">
              <w:t>Control of status (approved/quarantine) could be very basic.</w:t>
            </w:r>
            <w:r>
              <w:t xml:space="preserve"> </w:t>
            </w:r>
            <w:r w:rsidRPr="00CD7E3C">
              <w:t xml:space="preserve">It may be possible for the farmer to justify a system where status </w:t>
            </w:r>
            <w:r>
              <w:t>is</w:t>
            </w:r>
            <w:r w:rsidRPr="00CD7E3C">
              <w:t xml:space="preserve"> managed by time rather than by labelling or segregation, </w:t>
            </w:r>
            <w:r>
              <w:t>so</w:t>
            </w:r>
            <w:r w:rsidRPr="00CD7E3C">
              <w:t xml:space="preserve"> all the lavender for a batch of hand cream is brought into the facility, checked, released and then used (or discarded) so that at no time would there be a mix of quarantine</w:t>
            </w:r>
            <w:r>
              <w:t>d</w:t>
            </w:r>
            <w:r w:rsidRPr="00CD7E3C">
              <w:t xml:space="preserve"> and approved materials present.</w:t>
            </w:r>
          </w:p>
          <w:p w:rsidR="004C57D0" w:rsidRPr="00CD7E3C" w:rsidRDefault="004C57D0" w:rsidP="00A6757C">
            <w:pPr>
              <w:pStyle w:val="TableBullet"/>
            </w:pPr>
            <w:r w:rsidRPr="00CD7E3C">
              <w:t xml:space="preserve">Validation of the process would likely be restricted to confirming appropriate mixing of ingredients occurred to ensure the final product </w:t>
            </w:r>
            <w:r>
              <w:t>is</w:t>
            </w:r>
            <w:r w:rsidRPr="00CD7E3C">
              <w:t xml:space="preserve"> homogenous.</w:t>
            </w:r>
          </w:p>
          <w:p w:rsidR="004C57D0" w:rsidRPr="004C57D0" w:rsidRDefault="004C57D0" w:rsidP="00A6757C">
            <w:pPr>
              <w:pStyle w:val="TableBullet"/>
            </w:pPr>
            <w:r w:rsidRPr="00CD7E3C">
              <w:t>A system to assign unique identifiers (batch numbers) would be needed for traceability.</w:t>
            </w:r>
          </w:p>
        </w:tc>
      </w:tr>
      <w:tr w:rsidR="00AE0874" w:rsidRPr="00CD7E3C" w:rsidTr="004176F0">
        <w:trPr>
          <w:cantSplit/>
        </w:trPr>
        <w:tc>
          <w:tcPr>
            <w:tcW w:w="5000" w:type="pct"/>
          </w:tcPr>
          <w:p w:rsidR="0092532C" w:rsidRDefault="00AE0874" w:rsidP="004C57D0">
            <w:pPr>
              <w:pStyle w:val="TableText"/>
              <w:rPr>
                <w:b/>
              </w:rPr>
            </w:pPr>
            <w:r w:rsidRPr="00CD7E3C">
              <w:rPr>
                <w:b/>
              </w:rPr>
              <w:t>Quality control</w:t>
            </w:r>
          </w:p>
          <w:p w:rsidR="00AE0874" w:rsidRPr="00CD7E3C" w:rsidRDefault="00AE0874" w:rsidP="00A6757C">
            <w:pPr>
              <w:pStyle w:val="TableBullet"/>
            </w:pPr>
            <w:r w:rsidRPr="00CD7E3C">
              <w:t>The lavender starting material is grown by the farmer and is unlikely to be mixed up with other plants or be contaminated by pesticides.</w:t>
            </w:r>
            <w:r w:rsidR="0092532C">
              <w:t xml:space="preserve"> </w:t>
            </w:r>
            <w:r w:rsidRPr="00CD7E3C">
              <w:t xml:space="preserve">Therefore very basic </w:t>
            </w:r>
            <w:r>
              <w:t>quality</w:t>
            </w:r>
            <w:r w:rsidRPr="00CD7E3C">
              <w:t xml:space="preserve"> checks of the lavender would be required to ensure it </w:t>
            </w:r>
            <w:r>
              <w:t>has</w:t>
            </w:r>
            <w:r w:rsidRPr="00CD7E3C">
              <w:t xml:space="preserve"> an appropriate appearance and </w:t>
            </w:r>
            <w:r>
              <w:t>does</w:t>
            </w:r>
            <w:r w:rsidRPr="00CD7E3C">
              <w:t xml:space="preserve"> not </w:t>
            </w:r>
            <w:r>
              <w:t>carry</w:t>
            </w:r>
            <w:r w:rsidRPr="00CD7E3C">
              <w:t xml:space="preserve"> any gross contamination through the harvesting and drying processes.</w:t>
            </w:r>
          </w:p>
          <w:p w:rsidR="0092532C" w:rsidRDefault="00AE0874" w:rsidP="00A6757C">
            <w:pPr>
              <w:pStyle w:val="TableBullet"/>
            </w:pPr>
            <w:r w:rsidRPr="00CD7E3C">
              <w:t>Finished product testing requirements would be minimised.</w:t>
            </w:r>
            <w:r w:rsidR="0092532C">
              <w:t xml:space="preserve"> </w:t>
            </w:r>
            <w:r w:rsidRPr="00CD7E3C">
              <w:t xml:space="preserve">These would likely include organoleptic checks that the appearance </w:t>
            </w:r>
            <w:r>
              <w:t>and</w:t>
            </w:r>
            <w:r w:rsidRPr="00CD7E3C">
              <w:t xml:space="preserve"> odour of the product </w:t>
            </w:r>
            <w:r>
              <w:t>are</w:t>
            </w:r>
            <w:r w:rsidRPr="00CD7E3C">
              <w:t xml:space="preserve"> acceptable.</w:t>
            </w:r>
          </w:p>
          <w:p w:rsidR="00AE0874" w:rsidRPr="00CD7E3C" w:rsidRDefault="00AE0874" w:rsidP="00A6757C">
            <w:pPr>
              <w:pStyle w:val="TableBullet"/>
            </w:pPr>
            <w:r w:rsidRPr="00CD7E3C">
              <w:t xml:space="preserve">If </w:t>
            </w:r>
            <w:r>
              <w:t xml:space="preserve">the </w:t>
            </w:r>
            <w:r w:rsidRPr="00CD7E3C">
              <w:t>product</w:t>
            </w:r>
            <w:r>
              <w:t xml:space="preserve"> i</w:t>
            </w:r>
            <w:r w:rsidRPr="00CD7E3C">
              <w:t>s subject to microbial spoilage, a microbiological test should be undertaken.</w:t>
            </w:r>
          </w:p>
          <w:p w:rsidR="00AE0874" w:rsidRPr="00CD7E3C" w:rsidRDefault="00AE0874" w:rsidP="00A6757C">
            <w:pPr>
              <w:pStyle w:val="TableBullet"/>
            </w:pPr>
            <w:r w:rsidRPr="00CD7E3C">
              <w:t>Use of experience and/or stability information on similar products may be possible in lieu of formal stability studies for this low-risk</w:t>
            </w:r>
            <w:r>
              <w:t>,</w:t>
            </w:r>
            <w:r w:rsidRPr="00CD7E3C">
              <w:t xml:space="preserve"> low</w:t>
            </w:r>
            <w:r>
              <w:t>-</w:t>
            </w:r>
            <w:r w:rsidRPr="00CD7E3C">
              <w:t>volume product.</w:t>
            </w:r>
          </w:p>
        </w:tc>
      </w:tr>
      <w:tr w:rsidR="004C57D0" w:rsidRPr="00CD7E3C" w:rsidTr="004176F0">
        <w:trPr>
          <w:cantSplit/>
        </w:trPr>
        <w:tc>
          <w:tcPr>
            <w:tcW w:w="5000" w:type="pct"/>
          </w:tcPr>
          <w:p w:rsidR="004C57D0" w:rsidRPr="00CD7E3C" w:rsidRDefault="004C57D0" w:rsidP="004C57D0">
            <w:pPr>
              <w:pStyle w:val="TableText"/>
              <w:rPr>
                <w:b/>
              </w:rPr>
            </w:pPr>
            <w:r w:rsidRPr="00CD7E3C">
              <w:rPr>
                <w:b/>
              </w:rPr>
              <w:t>Documentation</w:t>
            </w:r>
          </w:p>
          <w:p w:rsidR="004C57D0" w:rsidRPr="00CD7E3C" w:rsidRDefault="004C57D0" w:rsidP="00A6757C">
            <w:pPr>
              <w:pStyle w:val="TableBullet"/>
            </w:pPr>
            <w:r w:rsidRPr="00CD7E3C">
              <w:t>Detailed procedures would not be expected for a single person operation.</w:t>
            </w:r>
            <w:r>
              <w:t xml:space="preserve"> </w:t>
            </w:r>
            <w:r w:rsidRPr="00CD7E3C">
              <w:t>A basic quality manual that outline</w:t>
            </w:r>
            <w:r>
              <w:t>s</w:t>
            </w:r>
            <w:r w:rsidRPr="00CD7E3C">
              <w:t xml:space="preserve"> the approach for addressing key elements of the Code and/or checklists that combine instructions with records of completed activities may be alternatives.</w:t>
            </w:r>
          </w:p>
          <w:p w:rsidR="004C57D0" w:rsidRPr="00CD7E3C" w:rsidRDefault="004C57D0" w:rsidP="00A6757C">
            <w:pPr>
              <w:pStyle w:val="TableBullet"/>
            </w:pPr>
            <w:r w:rsidRPr="00CD7E3C">
              <w:t xml:space="preserve">A </w:t>
            </w:r>
            <w:r>
              <w:t>s</w:t>
            </w:r>
            <w:r w:rsidRPr="00CD7E3C">
              <w:t xml:space="preserve">ite </w:t>
            </w:r>
            <w:r>
              <w:t>m</w:t>
            </w:r>
            <w:r w:rsidRPr="00CD7E3C">
              <w:t xml:space="preserve">aster </w:t>
            </w:r>
            <w:r>
              <w:t>f</w:t>
            </w:r>
            <w:r w:rsidRPr="00CD7E3C">
              <w:t>ile and annual product quality reviews would not be expected.</w:t>
            </w:r>
          </w:p>
          <w:p w:rsidR="004C57D0" w:rsidRPr="00CD7E3C" w:rsidRDefault="004C57D0" w:rsidP="00A6757C">
            <w:pPr>
              <w:pStyle w:val="TableBullet"/>
              <w:rPr>
                <w:b/>
              </w:rPr>
            </w:pPr>
            <w:r w:rsidRPr="00CD7E3C">
              <w:t xml:space="preserve">Ensuring good records of the manufacturing process </w:t>
            </w:r>
            <w:r>
              <w:t>are</w:t>
            </w:r>
            <w:r w:rsidRPr="00CD7E3C">
              <w:t xml:space="preserve"> made and retained would remain important to provide traceability o</w:t>
            </w:r>
            <w:r>
              <w:t>f the manufacturing activities.</w:t>
            </w:r>
          </w:p>
        </w:tc>
      </w:tr>
    </w:tbl>
    <w:p w:rsidR="004C57D0" w:rsidRDefault="004C57D0" w:rsidP="004C57D0">
      <w:bookmarkStart w:id="37" w:name="_Toc419110666"/>
      <w:bookmarkStart w:id="38" w:name="_Toc435183518"/>
    </w:p>
    <w:p w:rsidR="00AE0874" w:rsidRPr="00196E62" w:rsidRDefault="00AE0874" w:rsidP="004C57D0">
      <w:pPr>
        <w:pStyle w:val="Heading2"/>
      </w:pPr>
      <w:bookmarkStart w:id="39" w:name="_Toc435347222"/>
      <w:r w:rsidRPr="00196E62">
        <w:lastRenderedPageBreak/>
        <w:t>Case study 2</w:t>
      </w:r>
      <w:bookmarkEnd w:id="37"/>
      <w:bookmarkEnd w:id="38"/>
      <w:bookmarkEnd w:id="3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4176F0" w:rsidRPr="00CD7E3C" w:rsidTr="004176F0">
        <w:trPr>
          <w:cantSplit/>
        </w:trPr>
        <w:tc>
          <w:tcPr>
            <w:tcW w:w="9356" w:type="dxa"/>
            <w:shd w:val="clear" w:color="auto" w:fill="F2F2F2" w:themeFill="background1" w:themeFillShade="F2"/>
          </w:tcPr>
          <w:p w:rsidR="004176F0" w:rsidRPr="00CD7E3C" w:rsidRDefault="004176F0" w:rsidP="004176F0">
            <w:pPr>
              <w:pStyle w:val="TableText"/>
            </w:pPr>
            <w:r w:rsidRPr="00CD7E3C">
              <w:t xml:space="preserve">A small manufacturer employing 12 people makes capsules of </w:t>
            </w:r>
            <w:proofErr w:type="spellStart"/>
            <w:r>
              <w:t>e</w:t>
            </w:r>
            <w:r w:rsidRPr="00CD7E3C">
              <w:t>chinacea</w:t>
            </w:r>
            <w:proofErr w:type="spellEnd"/>
            <w:r w:rsidRPr="00CD7E3C">
              <w:t xml:space="preserve"> powdered extract. The New Zealand manufacturer is using extract powder from an overseas supplier and encapsulating it, then packing and labelling the final product. The product is sold at health shops in the Waikato</w:t>
            </w:r>
            <w:r>
              <w:t>,</w:t>
            </w:r>
            <w:r w:rsidRPr="00CD7E3C">
              <w:t xml:space="preserve"> and the company hopes to expand distribution throughout New Zealand.</w:t>
            </w:r>
          </w:p>
        </w:tc>
      </w:tr>
      <w:tr w:rsidR="00AE0874" w:rsidRPr="00CD7E3C" w:rsidTr="004176F0">
        <w:trPr>
          <w:cantSplit/>
        </w:trPr>
        <w:tc>
          <w:tcPr>
            <w:tcW w:w="9356" w:type="dxa"/>
            <w:shd w:val="clear" w:color="auto" w:fill="auto"/>
          </w:tcPr>
          <w:p w:rsidR="00AE0874" w:rsidRPr="00CD7E3C" w:rsidRDefault="00AE0874" w:rsidP="004176F0">
            <w:pPr>
              <w:pStyle w:val="TableText"/>
              <w:rPr>
                <w:b/>
              </w:rPr>
            </w:pPr>
            <w:r w:rsidRPr="00CD7E3C">
              <w:rPr>
                <w:b/>
              </w:rPr>
              <w:t>Risk level 2</w:t>
            </w:r>
          </w:p>
          <w:p w:rsidR="00AE0874" w:rsidRPr="00CD7E3C" w:rsidRDefault="00AE0874" w:rsidP="004176F0">
            <w:pPr>
              <w:pStyle w:val="TableText"/>
            </w:pPr>
            <w:r w:rsidRPr="00CD7E3C">
              <w:t xml:space="preserve">The higher risk attributes for this product are the source of the raw materials and the identification of the raw materials. Overseas sources can </w:t>
            </w:r>
            <w:r>
              <w:t>present a</w:t>
            </w:r>
            <w:r w:rsidRPr="00CD7E3C">
              <w:t xml:space="preserve"> higher risk as there may be little information available regarding how the raw materials are made or the quality standards of supplier. Identification of the powder as </w:t>
            </w:r>
            <w:proofErr w:type="spellStart"/>
            <w:r>
              <w:t>e</w:t>
            </w:r>
            <w:r w:rsidRPr="00CD7E3C">
              <w:t>chinacea</w:t>
            </w:r>
            <w:proofErr w:type="spellEnd"/>
            <w:r w:rsidRPr="00CD7E3C">
              <w:t xml:space="preserve"> extract can be difficult as many powders have similar properties.</w:t>
            </w:r>
          </w:p>
        </w:tc>
      </w:tr>
      <w:tr w:rsidR="004176F0" w:rsidRPr="00CD7E3C" w:rsidTr="004176F0">
        <w:trPr>
          <w:cantSplit/>
        </w:trPr>
        <w:tc>
          <w:tcPr>
            <w:tcW w:w="9356" w:type="dxa"/>
            <w:shd w:val="clear" w:color="auto" w:fill="auto"/>
          </w:tcPr>
          <w:p w:rsidR="004176F0" w:rsidRPr="004176F0" w:rsidRDefault="004176F0" w:rsidP="004176F0">
            <w:pPr>
              <w:pStyle w:val="TableText"/>
              <w:rPr>
                <w:b/>
              </w:rPr>
            </w:pPr>
            <w:r w:rsidRPr="00CD7E3C">
              <w:rPr>
                <w:b/>
              </w:rPr>
              <w:t>Key examples of Code interpretation</w:t>
            </w:r>
          </w:p>
        </w:tc>
      </w:tr>
      <w:tr w:rsidR="00AE0874" w:rsidRPr="00CD7E3C" w:rsidTr="004176F0">
        <w:trPr>
          <w:cantSplit/>
        </w:trPr>
        <w:tc>
          <w:tcPr>
            <w:tcW w:w="9356" w:type="dxa"/>
            <w:shd w:val="clear" w:color="auto" w:fill="auto"/>
          </w:tcPr>
          <w:p w:rsidR="00AE0874" w:rsidRPr="00CD7E3C" w:rsidRDefault="00AE0874" w:rsidP="004176F0">
            <w:pPr>
              <w:pStyle w:val="TableText"/>
              <w:rPr>
                <w:b/>
              </w:rPr>
            </w:pPr>
            <w:r w:rsidRPr="00CD7E3C">
              <w:rPr>
                <w:b/>
              </w:rPr>
              <w:t>Personnel</w:t>
            </w:r>
          </w:p>
          <w:p w:rsidR="00AE0874" w:rsidRPr="00CD7E3C" w:rsidRDefault="00AE0874" w:rsidP="004176F0">
            <w:pPr>
              <w:pStyle w:val="TableBullet"/>
            </w:pPr>
            <w:r w:rsidRPr="00CD7E3C">
              <w:rPr>
                <w:b/>
              </w:rPr>
              <w:t xml:space="preserve">Key </w:t>
            </w:r>
            <w:r>
              <w:rPr>
                <w:b/>
              </w:rPr>
              <w:t>p</w:t>
            </w:r>
            <w:r w:rsidRPr="00CD7E3C">
              <w:rPr>
                <w:b/>
              </w:rPr>
              <w:t>ersonnel</w:t>
            </w:r>
            <w:r w:rsidRPr="00CD7E3C">
              <w:t xml:space="preserve"> </w:t>
            </w:r>
            <w:r w:rsidRPr="00CD7E3C">
              <w:rPr>
                <w:b/>
              </w:rPr>
              <w:t>–</w:t>
            </w:r>
            <w:r w:rsidRPr="00CD7E3C">
              <w:t xml:space="preserve"> There should be clear separation between the quality and production roles</w:t>
            </w:r>
            <w:r>
              <w:t>,</w:t>
            </w:r>
            <w:r w:rsidRPr="00CD7E3C">
              <w:t xml:space="preserve"> and documentation</w:t>
            </w:r>
            <w:r>
              <w:t>,</w:t>
            </w:r>
            <w:r w:rsidRPr="00CD7E3C">
              <w:t xml:space="preserve"> such as position descriptions, to define the key production and quality responsibilities.</w:t>
            </w:r>
            <w:r w:rsidR="0092532C">
              <w:t xml:space="preserve"> </w:t>
            </w:r>
            <w:r w:rsidRPr="00CD7E3C">
              <w:t>It may be possible for the quality assurance person to be part time in this small organisation.</w:t>
            </w:r>
          </w:p>
          <w:p w:rsidR="0092532C" w:rsidRDefault="00AE0874" w:rsidP="004176F0">
            <w:pPr>
              <w:pStyle w:val="TableBullet"/>
            </w:pPr>
            <w:r w:rsidRPr="00CD7E3C">
              <w:rPr>
                <w:b/>
              </w:rPr>
              <w:t>Personal hygiene –</w:t>
            </w:r>
            <w:r w:rsidRPr="00CD7E3C">
              <w:t xml:space="preserve"> A basic clothing change would be required to minimise the potential for the product to become contaminated.</w:t>
            </w:r>
          </w:p>
          <w:p w:rsidR="00AE0874" w:rsidRPr="00CD7E3C" w:rsidRDefault="00AE0874" w:rsidP="004176F0">
            <w:pPr>
              <w:pStyle w:val="TableBullet"/>
            </w:pPr>
            <w:r w:rsidRPr="00CD7E3C">
              <w:rPr>
                <w:b/>
              </w:rPr>
              <w:t xml:space="preserve">Training </w:t>
            </w:r>
            <w:r>
              <w:rPr>
                <w:b/>
              </w:rPr>
              <w:t>–</w:t>
            </w:r>
            <w:r w:rsidRPr="00CD7E3C">
              <w:t xml:space="preserve"> A formal training system would be required to demonstrate that the personnel are competent in the key critical steps such as approvi</w:t>
            </w:r>
            <w:r w:rsidR="004176F0">
              <w:t>ng and releasing raw materials.</w:t>
            </w:r>
          </w:p>
        </w:tc>
      </w:tr>
      <w:tr w:rsidR="004176F0" w:rsidRPr="00CD7E3C" w:rsidTr="004176F0">
        <w:trPr>
          <w:cantSplit/>
        </w:trPr>
        <w:tc>
          <w:tcPr>
            <w:tcW w:w="9356" w:type="dxa"/>
            <w:shd w:val="clear" w:color="auto" w:fill="auto"/>
          </w:tcPr>
          <w:p w:rsidR="004176F0" w:rsidRDefault="004176F0" w:rsidP="004176F0">
            <w:pPr>
              <w:pStyle w:val="TableText"/>
              <w:rPr>
                <w:b/>
              </w:rPr>
            </w:pPr>
            <w:r w:rsidRPr="00CD7E3C">
              <w:rPr>
                <w:b/>
              </w:rPr>
              <w:t>Production</w:t>
            </w:r>
          </w:p>
          <w:p w:rsidR="004176F0" w:rsidRDefault="004176F0" w:rsidP="004176F0">
            <w:pPr>
              <w:pStyle w:val="TableBullet"/>
            </w:pPr>
            <w:r w:rsidRPr="00CD7E3C">
              <w:t xml:space="preserve">As the key raw material is sourced from another company, supplier approval is very important. </w:t>
            </w:r>
            <w:r>
              <w:t xml:space="preserve">It is not </w:t>
            </w:r>
            <w:r w:rsidRPr="00CD7E3C">
              <w:t xml:space="preserve">possible </w:t>
            </w:r>
            <w:r>
              <w:t xml:space="preserve">to test for all possible </w:t>
            </w:r>
            <w:r w:rsidRPr="00CD7E3C">
              <w:t>contaminants in the powder, so it is important that the manufacturer is confident that the standard of the powder supplied is suitable for their product.</w:t>
            </w:r>
            <w:r>
              <w:t xml:space="preserve"> </w:t>
            </w:r>
            <w:r w:rsidRPr="00CD7E3C">
              <w:t xml:space="preserve">A thorough evaluation of the supplier is needed and should include consideration of the controls to ensure the </w:t>
            </w:r>
            <w:proofErr w:type="spellStart"/>
            <w:r>
              <w:t>e</w:t>
            </w:r>
            <w:r w:rsidRPr="00CD7E3C">
              <w:t>chinacea</w:t>
            </w:r>
            <w:proofErr w:type="spellEnd"/>
            <w:r w:rsidRPr="00CD7E3C">
              <w:t xml:space="preserve"> powder is not contaminated with pesticides that may have been used during cultivation.</w:t>
            </w:r>
          </w:p>
          <w:p w:rsidR="004176F0" w:rsidRDefault="004176F0" w:rsidP="004176F0">
            <w:pPr>
              <w:pStyle w:val="TableBullet"/>
            </w:pPr>
            <w:r w:rsidRPr="00CD7E3C">
              <w:t xml:space="preserve">The manufacturer should have detailed specifications for the raw materials. Sampling and testing of the raw materials should be completed and the results of the testing compared to the specifications. There should be procedures in place to reject raw materials that do not meet </w:t>
            </w:r>
            <w:r>
              <w:t xml:space="preserve">the </w:t>
            </w:r>
            <w:r w:rsidRPr="00CD7E3C">
              <w:t>specification</w:t>
            </w:r>
            <w:r>
              <w:t>s</w:t>
            </w:r>
            <w:r w:rsidRPr="00CD7E3C">
              <w:t>.</w:t>
            </w:r>
          </w:p>
          <w:p w:rsidR="004176F0" w:rsidRPr="00CD7E3C" w:rsidRDefault="004176F0" w:rsidP="004176F0">
            <w:pPr>
              <w:pStyle w:val="TableBullet"/>
            </w:pPr>
            <w:r w:rsidRPr="00CD7E3C">
              <w:t>Control and status would be important to segregate unapproved raw materials from approved raw materials in order to avoid mix-ups.</w:t>
            </w:r>
          </w:p>
          <w:p w:rsidR="004176F0" w:rsidRPr="00CD7E3C" w:rsidRDefault="004176F0" w:rsidP="004176F0">
            <w:pPr>
              <w:pStyle w:val="TableBullet"/>
              <w:rPr>
                <w:b/>
              </w:rPr>
            </w:pPr>
            <w:r w:rsidRPr="00CD7E3C">
              <w:t>The process is relatively simple so validation would not be extensive, for instance, ensuring the encapsulation process produces well</w:t>
            </w:r>
            <w:r>
              <w:t>-</w:t>
            </w:r>
            <w:r w:rsidRPr="00CD7E3C">
              <w:t>sealed capsules of correct weight.</w:t>
            </w:r>
          </w:p>
        </w:tc>
      </w:tr>
      <w:tr w:rsidR="004176F0" w:rsidRPr="00CD7E3C" w:rsidTr="004176F0">
        <w:trPr>
          <w:cantSplit/>
        </w:trPr>
        <w:tc>
          <w:tcPr>
            <w:tcW w:w="9356" w:type="dxa"/>
            <w:shd w:val="clear" w:color="auto" w:fill="auto"/>
          </w:tcPr>
          <w:p w:rsidR="004176F0" w:rsidRDefault="004176F0" w:rsidP="004176F0">
            <w:pPr>
              <w:pStyle w:val="TableText"/>
              <w:rPr>
                <w:b/>
              </w:rPr>
            </w:pPr>
            <w:r w:rsidRPr="00CD7E3C">
              <w:rPr>
                <w:b/>
              </w:rPr>
              <w:t xml:space="preserve">Quality </w:t>
            </w:r>
            <w:r>
              <w:rPr>
                <w:b/>
              </w:rPr>
              <w:t>c</w:t>
            </w:r>
            <w:r w:rsidRPr="00CD7E3C">
              <w:rPr>
                <w:b/>
              </w:rPr>
              <w:t>ontrol</w:t>
            </w:r>
          </w:p>
          <w:p w:rsidR="004176F0" w:rsidRPr="00CD7E3C" w:rsidRDefault="004176F0" w:rsidP="004176F0">
            <w:pPr>
              <w:pStyle w:val="TableBullet"/>
            </w:pPr>
            <w:r w:rsidRPr="00CD7E3C">
              <w:t>Raw material testing is very important. Testing should be completed using validated test methods.</w:t>
            </w:r>
          </w:p>
          <w:p w:rsidR="004176F0" w:rsidRPr="00CD7E3C" w:rsidRDefault="004176F0" w:rsidP="004176F0">
            <w:pPr>
              <w:pStyle w:val="TableBullet"/>
              <w:rPr>
                <w:b/>
              </w:rPr>
            </w:pPr>
            <w:r w:rsidRPr="00CD7E3C">
              <w:t>Finished product testing requirements could be simple, as the product only has a single raw material, and the focus is on testi</w:t>
            </w:r>
            <w:r>
              <w:t>ng the raw material on receipt.</w:t>
            </w:r>
          </w:p>
        </w:tc>
      </w:tr>
    </w:tbl>
    <w:p w:rsidR="00AE0874" w:rsidRDefault="00AE0874" w:rsidP="004176F0"/>
    <w:p w:rsidR="00AE0874" w:rsidRPr="00196E62" w:rsidRDefault="00AE0874" w:rsidP="004176F0">
      <w:pPr>
        <w:pStyle w:val="Heading2"/>
      </w:pPr>
      <w:bookmarkStart w:id="40" w:name="_Toc419110667"/>
      <w:bookmarkStart w:id="41" w:name="_Toc435183519"/>
      <w:bookmarkStart w:id="42" w:name="_Toc435347223"/>
      <w:r w:rsidRPr="00196E62">
        <w:lastRenderedPageBreak/>
        <w:t>Case study 3</w:t>
      </w:r>
      <w:bookmarkEnd w:id="40"/>
      <w:bookmarkEnd w:id="41"/>
      <w:bookmarkEnd w:id="4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4176F0" w:rsidRPr="00196E62" w:rsidTr="004176F0">
        <w:trPr>
          <w:cantSplit/>
        </w:trPr>
        <w:tc>
          <w:tcPr>
            <w:tcW w:w="9356" w:type="dxa"/>
            <w:shd w:val="clear" w:color="auto" w:fill="F2F2F2" w:themeFill="background1" w:themeFillShade="F2"/>
          </w:tcPr>
          <w:p w:rsidR="004176F0" w:rsidRPr="00196E62" w:rsidRDefault="004176F0" w:rsidP="004176F0">
            <w:pPr>
              <w:pStyle w:val="TableText"/>
              <w:keepNext/>
              <w:rPr>
                <w:rFonts w:cs="Arial"/>
              </w:rPr>
            </w:pPr>
            <w:r w:rsidRPr="00196E62">
              <w:rPr>
                <w:rFonts w:cs="Arial"/>
              </w:rPr>
              <w:t xml:space="preserve">A manufacturer is producing and selling </w:t>
            </w:r>
            <w:r>
              <w:rPr>
                <w:rFonts w:cs="Arial"/>
              </w:rPr>
              <w:t>g</w:t>
            </w:r>
            <w:r w:rsidRPr="00196E62">
              <w:rPr>
                <w:rFonts w:cs="Arial"/>
              </w:rPr>
              <w:t xml:space="preserve">ripe </w:t>
            </w:r>
            <w:r>
              <w:rPr>
                <w:rFonts w:cs="Arial"/>
              </w:rPr>
              <w:t>w</w:t>
            </w:r>
            <w:r w:rsidRPr="00196E62">
              <w:rPr>
                <w:rFonts w:cs="Arial"/>
              </w:rPr>
              <w:t>ater.</w:t>
            </w:r>
            <w:r>
              <w:rPr>
                <w:rFonts w:cs="Arial"/>
              </w:rPr>
              <w:t xml:space="preserve"> </w:t>
            </w:r>
            <w:r w:rsidRPr="00196E62">
              <w:rPr>
                <w:rFonts w:cs="Arial"/>
              </w:rPr>
              <w:t xml:space="preserve">Gripe </w:t>
            </w:r>
            <w:r>
              <w:rPr>
                <w:rFonts w:cs="Arial"/>
              </w:rPr>
              <w:t>w</w:t>
            </w:r>
            <w:r w:rsidRPr="00196E62">
              <w:rPr>
                <w:rFonts w:cs="Arial"/>
              </w:rPr>
              <w:t xml:space="preserve">ater is produced for </w:t>
            </w:r>
            <w:hyperlink r:id="rId21" w:tooltip="Infant" w:history="1">
              <w:r w:rsidRPr="00196E62">
                <w:rPr>
                  <w:rFonts w:cs="Arial"/>
                </w:rPr>
                <w:t>infants</w:t>
              </w:r>
            </w:hyperlink>
            <w:r w:rsidRPr="00196E62">
              <w:rPr>
                <w:rFonts w:cs="Arial"/>
              </w:rPr>
              <w:t xml:space="preserve"> with </w:t>
            </w:r>
            <w:hyperlink r:id="rId22" w:tooltip="Baby colic" w:history="1">
              <w:r w:rsidRPr="00196E62">
                <w:rPr>
                  <w:rFonts w:cs="Arial"/>
                </w:rPr>
                <w:t>colic</w:t>
              </w:r>
            </w:hyperlink>
            <w:r w:rsidRPr="00196E62">
              <w:rPr>
                <w:rFonts w:cs="Arial"/>
              </w:rPr>
              <w:t xml:space="preserve">, </w:t>
            </w:r>
            <w:hyperlink r:id="rId23" w:tooltip="Gastrointestinal" w:history="1">
              <w:r w:rsidRPr="00196E62">
                <w:rPr>
                  <w:rFonts w:cs="Arial"/>
                </w:rPr>
                <w:t>gastrointestinal</w:t>
              </w:r>
            </w:hyperlink>
            <w:r w:rsidRPr="00196E62">
              <w:rPr>
                <w:rFonts w:cs="Arial"/>
              </w:rPr>
              <w:t xml:space="preserve"> discomfort, </w:t>
            </w:r>
            <w:hyperlink r:id="rId24" w:tooltip="Teething" w:history="1">
              <w:r w:rsidRPr="00196E62">
                <w:rPr>
                  <w:rFonts w:cs="Arial"/>
                </w:rPr>
                <w:t>teething</w:t>
              </w:r>
            </w:hyperlink>
            <w:r w:rsidRPr="00196E62">
              <w:rPr>
                <w:rFonts w:cs="Arial"/>
              </w:rPr>
              <w:t xml:space="preserve"> pain, </w:t>
            </w:r>
            <w:hyperlink r:id="rId25" w:tooltip="Reflux" w:history="1">
              <w:r w:rsidRPr="00196E62">
                <w:rPr>
                  <w:rFonts w:cs="Arial"/>
                </w:rPr>
                <w:t>reflux</w:t>
              </w:r>
            </w:hyperlink>
            <w:r w:rsidRPr="00196E62">
              <w:rPr>
                <w:rFonts w:cs="Arial"/>
              </w:rPr>
              <w:t xml:space="preserve"> and other </w:t>
            </w:r>
            <w:r>
              <w:rPr>
                <w:rFonts w:cs="Arial"/>
              </w:rPr>
              <w:t xml:space="preserve">minor </w:t>
            </w:r>
            <w:r w:rsidRPr="00196E62">
              <w:rPr>
                <w:rFonts w:cs="Arial"/>
              </w:rPr>
              <w:t>stomach ailments.</w:t>
            </w:r>
            <w:r>
              <w:rPr>
                <w:rFonts w:cs="Arial"/>
              </w:rPr>
              <w:t xml:space="preserve"> </w:t>
            </w:r>
            <w:r w:rsidRPr="00196E62">
              <w:rPr>
                <w:rFonts w:cs="Arial"/>
              </w:rPr>
              <w:t>It is ingested and generally contains herbs (such as dill and fennel) as well as bicarbonate of soda and water.</w:t>
            </w:r>
          </w:p>
        </w:tc>
      </w:tr>
      <w:tr w:rsidR="00AE0874" w:rsidRPr="00196E62" w:rsidTr="004176F0">
        <w:trPr>
          <w:cantSplit/>
        </w:trPr>
        <w:tc>
          <w:tcPr>
            <w:tcW w:w="9356" w:type="dxa"/>
            <w:shd w:val="clear" w:color="auto" w:fill="auto"/>
          </w:tcPr>
          <w:p w:rsidR="00AE0874" w:rsidRPr="00196E62" w:rsidRDefault="00AE0874" w:rsidP="004176F0">
            <w:pPr>
              <w:pStyle w:val="TableText"/>
              <w:keepNext/>
              <w:rPr>
                <w:rFonts w:cs="Arial"/>
                <w:b/>
              </w:rPr>
            </w:pPr>
            <w:r w:rsidRPr="00196E62">
              <w:rPr>
                <w:rFonts w:cs="Arial"/>
                <w:b/>
              </w:rPr>
              <w:t>Risk level 2</w:t>
            </w:r>
          </w:p>
          <w:p w:rsidR="00AE0874" w:rsidRPr="00196E62" w:rsidRDefault="00AE0874" w:rsidP="004176F0">
            <w:pPr>
              <w:pStyle w:val="TableText"/>
              <w:keepNext/>
              <w:rPr>
                <w:rFonts w:cs="Arial"/>
              </w:rPr>
            </w:pPr>
            <w:r w:rsidRPr="00196E62">
              <w:rPr>
                <w:rFonts w:cs="Arial"/>
              </w:rPr>
              <w:t>Gripe water can be a fairly straightforward and potentially a low</w:t>
            </w:r>
            <w:r>
              <w:rPr>
                <w:rFonts w:cs="Arial"/>
              </w:rPr>
              <w:t>-</w:t>
            </w:r>
            <w:r w:rsidRPr="00196E62">
              <w:rPr>
                <w:rFonts w:cs="Arial"/>
              </w:rPr>
              <w:t>risk product, but is an oral product marketed for babies.</w:t>
            </w:r>
          </w:p>
        </w:tc>
      </w:tr>
      <w:tr w:rsidR="004176F0" w:rsidRPr="00196E62" w:rsidTr="004176F0">
        <w:trPr>
          <w:cantSplit/>
        </w:trPr>
        <w:tc>
          <w:tcPr>
            <w:tcW w:w="9356" w:type="dxa"/>
            <w:shd w:val="clear" w:color="auto" w:fill="auto"/>
          </w:tcPr>
          <w:p w:rsidR="004176F0" w:rsidRPr="00196E62" w:rsidRDefault="004176F0" w:rsidP="007245D1">
            <w:pPr>
              <w:pStyle w:val="TableText"/>
              <w:keepNext/>
              <w:rPr>
                <w:rFonts w:cs="Arial"/>
                <w:b/>
              </w:rPr>
            </w:pPr>
            <w:r w:rsidRPr="00196E62">
              <w:rPr>
                <w:rFonts w:cs="Arial"/>
                <w:b/>
              </w:rPr>
              <w:t>Key examples of Code interpretation</w:t>
            </w:r>
          </w:p>
        </w:tc>
      </w:tr>
      <w:tr w:rsidR="004176F0" w:rsidRPr="00196E62" w:rsidTr="004176F0">
        <w:trPr>
          <w:cantSplit/>
        </w:trPr>
        <w:tc>
          <w:tcPr>
            <w:tcW w:w="9356" w:type="dxa"/>
            <w:shd w:val="clear" w:color="auto" w:fill="auto"/>
          </w:tcPr>
          <w:p w:rsidR="004176F0" w:rsidRPr="00196E62" w:rsidRDefault="004176F0" w:rsidP="004176F0">
            <w:pPr>
              <w:pStyle w:val="TableText"/>
              <w:rPr>
                <w:rFonts w:cs="Arial"/>
                <w:b/>
              </w:rPr>
            </w:pPr>
            <w:r w:rsidRPr="00196E62">
              <w:rPr>
                <w:rFonts w:cs="Arial"/>
                <w:b/>
              </w:rPr>
              <w:t>Personnel</w:t>
            </w:r>
          </w:p>
          <w:p w:rsidR="004176F0" w:rsidRPr="004176F0" w:rsidRDefault="004176F0" w:rsidP="004176F0">
            <w:pPr>
              <w:pStyle w:val="TableBullet"/>
            </w:pPr>
            <w:r w:rsidRPr="00196E62">
              <w:t>A formal training system would be required with records to demonstrate that the personnel are competent in the key critical steps and understand the importance of hygienic production practices to</w:t>
            </w:r>
            <w:r>
              <w:t xml:space="preserve"> prevent product contamination.</w:t>
            </w:r>
          </w:p>
        </w:tc>
      </w:tr>
      <w:tr w:rsidR="00AE0874" w:rsidRPr="00196E62" w:rsidTr="004176F0">
        <w:trPr>
          <w:cantSplit/>
        </w:trPr>
        <w:tc>
          <w:tcPr>
            <w:tcW w:w="9356" w:type="dxa"/>
            <w:shd w:val="clear" w:color="auto" w:fill="auto"/>
          </w:tcPr>
          <w:p w:rsidR="00AE0874" w:rsidRPr="00196E62" w:rsidRDefault="00AE0874" w:rsidP="004176F0">
            <w:pPr>
              <w:pStyle w:val="TableText"/>
              <w:rPr>
                <w:rFonts w:cs="Arial"/>
                <w:b/>
              </w:rPr>
            </w:pPr>
            <w:r w:rsidRPr="00196E62">
              <w:rPr>
                <w:rFonts w:cs="Arial"/>
                <w:b/>
              </w:rPr>
              <w:t xml:space="preserve">Premises and </w:t>
            </w:r>
            <w:r>
              <w:rPr>
                <w:rFonts w:cs="Arial"/>
                <w:b/>
              </w:rPr>
              <w:t>e</w:t>
            </w:r>
            <w:r w:rsidRPr="00196E62">
              <w:rPr>
                <w:rFonts w:cs="Arial"/>
                <w:b/>
              </w:rPr>
              <w:t>quipment</w:t>
            </w:r>
          </w:p>
          <w:p w:rsidR="00AE0874" w:rsidRPr="00196E62" w:rsidRDefault="00AE0874" w:rsidP="004176F0">
            <w:pPr>
              <w:pStyle w:val="TableBullet"/>
            </w:pPr>
            <w:r w:rsidRPr="00196E62">
              <w:rPr>
                <w:b/>
              </w:rPr>
              <w:t>Premises –</w:t>
            </w:r>
            <w:r w:rsidRPr="00196E62">
              <w:t xml:space="preserve"> The standard of the premises must ensure that the integrity of the product is maintained. It is important that the production is protected from the outside environment and that there is a functional pest control system in place. Cleaning of the premises has to be sufficient to ensure the product is not at risk of contamination. There should be procedures in place to ensure that the areas are clean and free of materials from other processing activities before a batch of gripe water is made.</w:t>
            </w:r>
          </w:p>
          <w:p w:rsidR="00AE0874" w:rsidRPr="004176F0" w:rsidRDefault="00AE0874" w:rsidP="004176F0">
            <w:pPr>
              <w:pStyle w:val="TableBullet"/>
            </w:pPr>
            <w:r w:rsidRPr="00196E62">
              <w:rPr>
                <w:b/>
              </w:rPr>
              <w:t>Equipment –</w:t>
            </w:r>
            <w:r w:rsidRPr="00196E62">
              <w:t xml:space="preserve"> Equipment should be dedicated or adequate cleaning procedures </w:t>
            </w:r>
            <w:r>
              <w:t xml:space="preserve">should be in place </w:t>
            </w:r>
            <w:r w:rsidRPr="00196E62">
              <w:t>to ensure it is suitable before use. The effectiveness of the cleaning procedure should be verified periodically by appropriate test</w:t>
            </w:r>
            <w:r w:rsidR="004176F0">
              <w:t>ing such as microbial swabbing.</w:t>
            </w:r>
          </w:p>
        </w:tc>
      </w:tr>
      <w:tr w:rsidR="004176F0" w:rsidRPr="00196E62" w:rsidTr="004176F0">
        <w:trPr>
          <w:cantSplit/>
        </w:trPr>
        <w:tc>
          <w:tcPr>
            <w:tcW w:w="9356" w:type="dxa"/>
            <w:shd w:val="clear" w:color="auto" w:fill="auto"/>
          </w:tcPr>
          <w:p w:rsidR="004176F0" w:rsidRDefault="004176F0" w:rsidP="004176F0">
            <w:pPr>
              <w:pStyle w:val="TableText"/>
              <w:rPr>
                <w:rFonts w:cs="Arial"/>
                <w:b/>
              </w:rPr>
            </w:pPr>
            <w:r w:rsidRPr="00196E62">
              <w:rPr>
                <w:rFonts w:cs="Arial"/>
                <w:b/>
              </w:rPr>
              <w:t>Production</w:t>
            </w:r>
          </w:p>
          <w:p w:rsidR="004176F0" w:rsidRDefault="004176F0" w:rsidP="004176F0">
            <w:pPr>
              <w:pStyle w:val="TableBullet"/>
            </w:pPr>
            <w:r w:rsidRPr="00196E62">
              <w:t xml:space="preserve">The manufacturer should have detailed specifications for the raw materials (including the water) used in the product. </w:t>
            </w:r>
            <w:r>
              <w:t>T</w:t>
            </w:r>
            <w:r w:rsidRPr="00196E62">
              <w:t xml:space="preserve">he raw materials should be </w:t>
            </w:r>
            <w:r>
              <w:t>s</w:t>
            </w:r>
            <w:r w:rsidRPr="00196E62">
              <w:t>ampl</w:t>
            </w:r>
            <w:r>
              <w:t>ed</w:t>
            </w:r>
            <w:r w:rsidRPr="00196E62">
              <w:t xml:space="preserve"> and test</w:t>
            </w:r>
            <w:r>
              <w:t>ed,</w:t>
            </w:r>
            <w:r w:rsidRPr="00196E62">
              <w:t xml:space="preserve"> and the results of the testing compared to the specifications. There should be procedures in place to reject raw materials that do not meet specification.</w:t>
            </w:r>
          </w:p>
          <w:p w:rsidR="004176F0" w:rsidRPr="004176F0" w:rsidRDefault="004176F0" w:rsidP="004176F0">
            <w:pPr>
              <w:pStyle w:val="TableBullet"/>
            </w:pPr>
            <w:r w:rsidRPr="00196E62">
              <w:t xml:space="preserve">Control and status would be important to segregate unapproved raw materials from approved raw </w:t>
            </w:r>
            <w:r>
              <w:t>materials and to avoid mix-ups.</w:t>
            </w:r>
          </w:p>
        </w:tc>
      </w:tr>
      <w:tr w:rsidR="004176F0" w:rsidRPr="00196E62" w:rsidTr="004176F0">
        <w:trPr>
          <w:cantSplit/>
        </w:trPr>
        <w:tc>
          <w:tcPr>
            <w:tcW w:w="9356" w:type="dxa"/>
            <w:shd w:val="clear" w:color="auto" w:fill="auto"/>
          </w:tcPr>
          <w:p w:rsidR="004176F0" w:rsidRDefault="004176F0" w:rsidP="004176F0">
            <w:pPr>
              <w:pStyle w:val="TableText"/>
              <w:rPr>
                <w:rFonts w:cs="Arial"/>
                <w:b/>
              </w:rPr>
            </w:pPr>
            <w:r w:rsidRPr="00196E62">
              <w:rPr>
                <w:rFonts w:cs="Arial"/>
                <w:b/>
              </w:rPr>
              <w:t>Quality control</w:t>
            </w:r>
          </w:p>
          <w:p w:rsidR="004176F0" w:rsidRPr="00196E62" w:rsidRDefault="004176F0" w:rsidP="004176F0">
            <w:pPr>
              <w:pStyle w:val="TableBullet"/>
            </w:pPr>
            <w:r w:rsidRPr="00196E62">
              <w:t>Raw material testing should be completed to established specifications.</w:t>
            </w:r>
          </w:p>
          <w:p w:rsidR="004176F0" w:rsidRPr="00196E62" w:rsidRDefault="004176F0" w:rsidP="004176F0">
            <w:pPr>
              <w:pStyle w:val="TableBullet"/>
              <w:rPr>
                <w:b/>
              </w:rPr>
            </w:pPr>
            <w:r w:rsidRPr="00196E62">
              <w:t>Testing should confirm that the final product has been adequately formulated with the correct amount of bicarbonate of soda, is homogeneous, and is of a suitable microbiological quality for administration to infants.</w:t>
            </w:r>
          </w:p>
        </w:tc>
      </w:tr>
    </w:tbl>
    <w:p w:rsidR="00AE0874" w:rsidRPr="00196E62" w:rsidRDefault="00AE0874" w:rsidP="007245D1"/>
    <w:p w:rsidR="00AE0874" w:rsidRPr="00196E62" w:rsidRDefault="00AE0874" w:rsidP="007245D1">
      <w:pPr>
        <w:pStyle w:val="Heading2"/>
      </w:pPr>
      <w:bookmarkStart w:id="43" w:name="_Toc419110668"/>
      <w:bookmarkStart w:id="44" w:name="_Toc435183520"/>
      <w:bookmarkStart w:id="45" w:name="_Toc435347224"/>
      <w:r w:rsidRPr="00196E62">
        <w:lastRenderedPageBreak/>
        <w:t>Case study 4</w:t>
      </w:r>
      <w:bookmarkEnd w:id="43"/>
      <w:bookmarkEnd w:id="44"/>
      <w:bookmarkEnd w:id="4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7245D1" w:rsidRPr="00196E62" w:rsidTr="007245D1">
        <w:trPr>
          <w:cantSplit/>
        </w:trPr>
        <w:tc>
          <w:tcPr>
            <w:tcW w:w="9356" w:type="dxa"/>
            <w:shd w:val="clear" w:color="auto" w:fill="F2F2F2" w:themeFill="background1" w:themeFillShade="F2"/>
          </w:tcPr>
          <w:p w:rsidR="007245D1" w:rsidRPr="00196E62" w:rsidRDefault="007245D1" w:rsidP="007245D1">
            <w:pPr>
              <w:pStyle w:val="TableText"/>
              <w:keepNext/>
            </w:pPr>
            <w:r w:rsidRPr="00196E62">
              <w:t>Production of probiotic capsules with an enteric coating.</w:t>
            </w:r>
            <w:r>
              <w:t xml:space="preserve"> </w:t>
            </w:r>
            <w:r w:rsidRPr="00196E62">
              <w:t>The manufacturer is completing all processing</w:t>
            </w:r>
            <w:r>
              <w:t>,</w:t>
            </w:r>
            <w:r w:rsidRPr="00196E62">
              <w:t xml:space="preserve"> from growing the cultures through to encapsulating. The manufacturer makes a range of similar probiotic products that are sold throughout New Zealand and </w:t>
            </w:r>
            <w:r>
              <w:t>is</w:t>
            </w:r>
            <w:r w:rsidRPr="00196E62">
              <w:t xml:space="preserve"> looking to enter the export market.</w:t>
            </w:r>
          </w:p>
        </w:tc>
      </w:tr>
      <w:tr w:rsidR="00AE0874" w:rsidRPr="00196E62" w:rsidTr="007245D1">
        <w:trPr>
          <w:cantSplit/>
        </w:trPr>
        <w:tc>
          <w:tcPr>
            <w:tcW w:w="9356" w:type="dxa"/>
            <w:shd w:val="clear" w:color="auto" w:fill="auto"/>
          </w:tcPr>
          <w:p w:rsidR="00AE0874" w:rsidRPr="00196E62" w:rsidRDefault="00AE0874" w:rsidP="007245D1">
            <w:pPr>
              <w:pStyle w:val="TableText"/>
              <w:keepNext/>
              <w:rPr>
                <w:b/>
              </w:rPr>
            </w:pPr>
            <w:r w:rsidRPr="00196E62">
              <w:rPr>
                <w:b/>
              </w:rPr>
              <w:t>Risk level 3</w:t>
            </w:r>
          </w:p>
          <w:p w:rsidR="00AE0874" w:rsidRPr="00196E62" w:rsidRDefault="00AE0874" w:rsidP="007245D1">
            <w:pPr>
              <w:pStyle w:val="TableText"/>
              <w:keepNext/>
            </w:pPr>
            <w:r w:rsidRPr="00196E62">
              <w:t>The higher risk attribute of this product is the multi-step process</w:t>
            </w:r>
            <w:r w:rsidR="007245D1">
              <w:t>ing using live micro-organisms.</w:t>
            </w:r>
          </w:p>
        </w:tc>
      </w:tr>
      <w:tr w:rsidR="007245D1" w:rsidRPr="00196E62" w:rsidTr="007245D1">
        <w:trPr>
          <w:cantSplit/>
        </w:trPr>
        <w:tc>
          <w:tcPr>
            <w:tcW w:w="9356" w:type="dxa"/>
            <w:shd w:val="clear" w:color="auto" w:fill="auto"/>
          </w:tcPr>
          <w:p w:rsidR="007245D1" w:rsidRPr="00196E62" w:rsidRDefault="007245D1" w:rsidP="007245D1">
            <w:pPr>
              <w:pStyle w:val="TableText"/>
              <w:keepNext/>
              <w:rPr>
                <w:b/>
              </w:rPr>
            </w:pPr>
            <w:r w:rsidRPr="00196E62">
              <w:rPr>
                <w:b/>
              </w:rPr>
              <w:t>Key examples of Code interpretation</w:t>
            </w:r>
          </w:p>
        </w:tc>
      </w:tr>
      <w:tr w:rsidR="007245D1" w:rsidRPr="00196E62" w:rsidTr="007245D1">
        <w:trPr>
          <w:cantSplit/>
        </w:trPr>
        <w:tc>
          <w:tcPr>
            <w:tcW w:w="9356" w:type="dxa"/>
            <w:shd w:val="clear" w:color="auto" w:fill="auto"/>
          </w:tcPr>
          <w:p w:rsidR="007245D1" w:rsidRPr="00196E62" w:rsidRDefault="007245D1" w:rsidP="007245D1">
            <w:pPr>
              <w:pStyle w:val="TableText"/>
              <w:rPr>
                <w:b/>
              </w:rPr>
            </w:pPr>
            <w:r w:rsidRPr="00196E62">
              <w:rPr>
                <w:b/>
              </w:rPr>
              <w:t>Personnel</w:t>
            </w:r>
          </w:p>
          <w:p w:rsidR="007245D1" w:rsidRPr="00196E62" w:rsidRDefault="007245D1" w:rsidP="007245D1">
            <w:pPr>
              <w:pStyle w:val="TableBullet"/>
            </w:pPr>
            <w:r w:rsidRPr="00196E62">
              <w:t>A formal training system would be required with records to demonstrate that the personnel are competent in the processing procedures.</w:t>
            </w:r>
          </w:p>
          <w:p w:rsidR="007245D1" w:rsidRPr="007245D1" w:rsidRDefault="007245D1" w:rsidP="007245D1">
            <w:pPr>
              <w:pStyle w:val="TableBullet"/>
            </w:pPr>
            <w:r w:rsidRPr="00196E62">
              <w:t xml:space="preserve">A high level of protective equipment would be expected due to </w:t>
            </w:r>
            <w:r>
              <w:t>the handling of microorganisms.</w:t>
            </w:r>
          </w:p>
        </w:tc>
      </w:tr>
      <w:tr w:rsidR="007245D1" w:rsidRPr="00196E62" w:rsidTr="007245D1">
        <w:trPr>
          <w:cantSplit/>
        </w:trPr>
        <w:tc>
          <w:tcPr>
            <w:tcW w:w="9356" w:type="dxa"/>
            <w:shd w:val="clear" w:color="auto" w:fill="auto"/>
          </w:tcPr>
          <w:p w:rsidR="007245D1" w:rsidRDefault="007245D1" w:rsidP="007245D1">
            <w:pPr>
              <w:pStyle w:val="TableText"/>
              <w:rPr>
                <w:b/>
              </w:rPr>
            </w:pPr>
            <w:r w:rsidRPr="00196E62">
              <w:rPr>
                <w:b/>
              </w:rPr>
              <w:t>Documentation</w:t>
            </w:r>
          </w:p>
          <w:p w:rsidR="007245D1" w:rsidRPr="00196E62" w:rsidRDefault="007245D1" w:rsidP="007245D1">
            <w:pPr>
              <w:pStyle w:val="TableBullet"/>
            </w:pPr>
            <w:r w:rsidRPr="00196E62">
              <w:t>The processing of this product is complex and there should be detailed procedures in place.</w:t>
            </w:r>
          </w:p>
          <w:p w:rsidR="007245D1" w:rsidRPr="00196E62" w:rsidRDefault="007245D1" w:rsidP="007245D1">
            <w:pPr>
              <w:pStyle w:val="TableBullet"/>
            </w:pPr>
            <w:r w:rsidRPr="00196E62">
              <w:t>Records should be kept of all processing steps and key decision points.</w:t>
            </w:r>
          </w:p>
          <w:p w:rsidR="007245D1" w:rsidRPr="007245D1" w:rsidRDefault="007245D1" w:rsidP="007245D1">
            <w:pPr>
              <w:pStyle w:val="TableBullet"/>
            </w:pPr>
            <w:r w:rsidRPr="00196E62">
              <w:t>Detailed specifications for raw materials, in process materials and fi</w:t>
            </w:r>
            <w:r>
              <w:t>nal products would be expected.</w:t>
            </w:r>
          </w:p>
        </w:tc>
      </w:tr>
      <w:tr w:rsidR="00AE0874" w:rsidRPr="00196E62" w:rsidTr="007245D1">
        <w:trPr>
          <w:cantSplit/>
        </w:trPr>
        <w:tc>
          <w:tcPr>
            <w:tcW w:w="9356" w:type="dxa"/>
            <w:shd w:val="clear" w:color="auto" w:fill="auto"/>
          </w:tcPr>
          <w:p w:rsidR="00AE0874" w:rsidRPr="00196E62" w:rsidRDefault="00AE0874" w:rsidP="007245D1">
            <w:pPr>
              <w:pStyle w:val="TableText"/>
              <w:rPr>
                <w:b/>
              </w:rPr>
            </w:pPr>
            <w:r w:rsidRPr="00196E62">
              <w:rPr>
                <w:b/>
              </w:rPr>
              <w:t>Premises and equipment</w:t>
            </w:r>
          </w:p>
          <w:p w:rsidR="00AE0874" w:rsidRPr="00196E62" w:rsidRDefault="00AE0874" w:rsidP="007245D1">
            <w:pPr>
              <w:pStyle w:val="TableBullet"/>
            </w:pPr>
            <w:r w:rsidRPr="00196E62">
              <w:t>The facilities used should be designed to prevent cross</w:t>
            </w:r>
            <w:r>
              <w:t>-</w:t>
            </w:r>
            <w:r w:rsidRPr="00196E62">
              <w:t>contamination between the different micro-organisms used in the manufacture of different products.</w:t>
            </w:r>
            <w:r w:rsidR="0092532C">
              <w:t xml:space="preserve"> </w:t>
            </w:r>
            <w:r w:rsidRPr="00196E62">
              <w:t>This could be achieved using dedicated facilities or by implementing validated cleaning procedures between campaigns of different products.</w:t>
            </w:r>
          </w:p>
          <w:p w:rsidR="00AE0874" w:rsidRPr="00CD7E3C" w:rsidRDefault="00AE0874" w:rsidP="007245D1">
            <w:pPr>
              <w:pStyle w:val="TableBullet"/>
            </w:pPr>
            <w:r w:rsidRPr="00196E62">
              <w:t>Higher standards of air quality are likely to be required that would need air handling systems to be in place to provid</w:t>
            </w:r>
            <w:r w:rsidR="007245D1">
              <w:t>e filtered air to the facility.</w:t>
            </w:r>
          </w:p>
        </w:tc>
      </w:tr>
      <w:tr w:rsidR="007245D1" w:rsidRPr="00196E62" w:rsidTr="007245D1">
        <w:trPr>
          <w:cantSplit/>
        </w:trPr>
        <w:tc>
          <w:tcPr>
            <w:tcW w:w="9356" w:type="dxa"/>
            <w:shd w:val="clear" w:color="auto" w:fill="auto"/>
          </w:tcPr>
          <w:p w:rsidR="007245D1" w:rsidRDefault="007245D1" w:rsidP="007245D1">
            <w:pPr>
              <w:pStyle w:val="TableText"/>
              <w:rPr>
                <w:b/>
              </w:rPr>
            </w:pPr>
            <w:r w:rsidRPr="00196E62">
              <w:rPr>
                <w:b/>
              </w:rPr>
              <w:t>Production</w:t>
            </w:r>
          </w:p>
          <w:p w:rsidR="007245D1" w:rsidRPr="00196E62" w:rsidRDefault="007245D1" w:rsidP="007245D1">
            <w:pPr>
              <w:pStyle w:val="TableBullet"/>
            </w:pPr>
            <w:r w:rsidRPr="00196E62">
              <w:t>This more complex process would require in-process testing at critical stages to monitor the process.</w:t>
            </w:r>
          </w:p>
          <w:p w:rsidR="007245D1" w:rsidRPr="00196E62" w:rsidRDefault="007245D1" w:rsidP="007245D1">
            <w:pPr>
              <w:pStyle w:val="TableBullet"/>
              <w:rPr>
                <w:b/>
              </w:rPr>
            </w:pPr>
            <w:r w:rsidRPr="00196E62">
              <w:t>Validation of key processing equipment would be expected.</w:t>
            </w:r>
          </w:p>
        </w:tc>
      </w:tr>
      <w:tr w:rsidR="007245D1" w:rsidRPr="00196E62" w:rsidTr="007245D1">
        <w:trPr>
          <w:cantSplit/>
        </w:trPr>
        <w:tc>
          <w:tcPr>
            <w:tcW w:w="9356" w:type="dxa"/>
            <w:shd w:val="clear" w:color="auto" w:fill="auto"/>
          </w:tcPr>
          <w:p w:rsidR="007245D1" w:rsidRDefault="007245D1" w:rsidP="007245D1">
            <w:pPr>
              <w:pStyle w:val="TableText"/>
              <w:rPr>
                <w:b/>
              </w:rPr>
            </w:pPr>
            <w:r w:rsidRPr="00196E62">
              <w:rPr>
                <w:b/>
              </w:rPr>
              <w:t>Stability</w:t>
            </w:r>
          </w:p>
          <w:p w:rsidR="007245D1" w:rsidRPr="007245D1" w:rsidRDefault="007245D1" w:rsidP="007245D1">
            <w:pPr>
              <w:pStyle w:val="TableBullet"/>
            </w:pPr>
            <w:r w:rsidRPr="00196E62">
              <w:t>The expiry dates applied to products should be based on information gathered by stability studies.</w:t>
            </w:r>
          </w:p>
        </w:tc>
      </w:tr>
      <w:tr w:rsidR="007245D1" w:rsidRPr="00196E62" w:rsidTr="007245D1">
        <w:trPr>
          <w:cantSplit/>
        </w:trPr>
        <w:tc>
          <w:tcPr>
            <w:tcW w:w="9356" w:type="dxa"/>
            <w:shd w:val="clear" w:color="auto" w:fill="auto"/>
          </w:tcPr>
          <w:p w:rsidR="007245D1" w:rsidRDefault="007245D1" w:rsidP="007245D1">
            <w:pPr>
              <w:pStyle w:val="TableText"/>
              <w:rPr>
                <w:b/>
              </w:rPr>
            </w:pPr>
            <w:r w:rsidRPr="00196E62">
              <w:rPr>
                <w:b/>
              </w:rPr>
              <w:t>Quality control</w:t>
            </w:r>
          </w:p>
          <w:p w:rsidR="007245D1" w:rsidRPr="00196E62" w:rsidRDefault="007245D1" w:rsidP="007245D1">
            <w:pPr>
              <w:pStyle w:val="TableBullet"/>
              <w:spacing w:after="60"/>
            </w:pPr>
            <w:r w:rsidRPr="00196E62">
              <w:t>Comprehensive testing of the final product would be required. This testing would include:</w:t>
            </w:r>
          </w:p>
          <w:p w:rsidR="007245D1" w:rsidRPr="00196E62" w:rsidRDefault="007245D1" w:rsidP="007245D1">
            <w:pPr>
              <w:pStyle w:val="TableDash"/>
            </w:pPr>
            <w:r w:rsidRPr="00196E62">
              <w:t>confirmation of the probiotic strain</w:t>
            </w:r>
          </w:p>
          <w:p w:rsidR="007245D1" w:rsidRPr="00196E62" w:rsidRDefault="007245D1" w:rsidP="007245D1">
            <w:pPr>
              <w:pStyle w:val="TableDash"/>
            </w:pPr>
            <w:r w:rsidRPr="00196E62">
              <w:t>capsule disintegration</w:t>
            </w:r>
          </w:p>
          <w:p w:rsidR="007245D1" w:rsidRPr="00196E62" w:rsidRDefault="007245D1" w:rsidP="007245D1">
            <w:pPr>
              <w:pStyle w:val="TableDash"/>
            </w:pPr>
            <w:r w:rsidRPr="00196E62">
              <w:t>identifying any contaminating organisms</w:t>
            </w:r>
          </w:p>
          <w:p w:rsidR="007245D1" w:rsidRPr="00196E62" w:rsidRDefault="007245D1" w:rsidP="007245D1">
            <w:pPr>
              <w:pStyle w:val="TableDash"/>
              <w:spacing w:after="100"/>
              <w:rPr>
                <w:b/>
              </w:rPr>
            </w:pPr>
            <w:proofErr w:type="gramStart"/>
            <w:r>
              <w:t>evidence</w:t>
            </w:r>
            <w:proofErr w:type="gramEnd"/>
            <w:r>
              <w:t xml:space="preserve"> to prove that specifications are met, </w:t>
            </w:r>
            <w:r w:rsidRPr="00196E62">
              <w:t xml:space="preserve">for example </w:t>
            </w:r>
            <w:r>
              <w:t>‘</w:t>
            </w:r>
            <w:r w:rsidRPr="00196E62">
              <w:t>the capsule contains at least 2 billion probiotic organisms</w:t>
            </w:r>
            <w:r>
              <w:t>’.</w:t>
            </w:r>
          </w:p>
        </w:tc>
      </w:tr>
    </w:tbl>
    <w:p w:rsidR="00AE0874" w:rsidRPr="00196E62" w:rsidRDefault="00AE0874" w:rsidP="007245D1"/>
    <w:p w:rsidR="00AE0874" w:rsidRPr="00256029" w:rsidRDefault="00AE0874" w:rsidP="007245D1">
      <w:pPr>
        <w:pStyle w:val="Heading2"/>
      </w:pPr>
      <w:bookmarkStart w:id="46" w:name="_Toc419110669"/>
      <w:bookmarkStart w:id="47" w:name="_Toc435183521"/>
      <w:bookmarkStart w:id="48" w:name="_Toc435347225"/>
      <w:r w:rsidRPr="00256029">
        <w:lastRenderedPageBreak/>
        <w:t>Case study 5</w:t>
      </w:r>
      <w:bookmarkEnd w:id="46"/>
      <w:bookmarkEnd w:id="47"/>
      <w:bookmarkEnd w:id="4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DB5E03" w:rsidRPr="00196E62" w:rsidTr="00DB5E03">
        <w:trPr>
          <w:cantSplit/>
        </w:trPr>
        <w:tc>
          <w:tcPr>
            <w:tcW w:w="9356" w:type="dxa"/>
            <w:shd w:val="clear" w:color="auto" w:fill="F2F2F2" w:themeFill="background1" w:themeFillShade="F2"/>
          </w:tcPr>
          <w:p w:rsidR="00DB5E03" w:rsidRPr="00196E62" w:rsidRDefault="00DB5E03" w:rsidP="00DB5E03">
            <w:pPr>
              <w:pStyle w:val="TableText"/>
              <w:keepNext/>
            </w:pPr>
            <w:r w:rsidRPr="00196E62">
              <w:t xml:space="preserve">Tablets manufactured using a complex mixture of various minerals and herbs as well as </w:t>
            </w:r>
            <w:r>
              <w:t>v</w:t>
            </w:r>
            <w:r w:rsidRPr="00196E62">
              <w:t>itamin D.</w:t>
            </w:r>
            <w:r>
              <w:t xml:space="preserve"> </w:t>
            </w:r>
            <w:r w:rsidRPr="00196E62">
              <w:t>The tablet is produced by a large manufacturing company that produces a broad range of supplements and sports nutrition products, exported around the world.</w:t>
            </w:r>
          </w:p>
        </w:tc>
      </w:tr>
      <w:tr w:rsidR="00AE0874" w:rsidRPr="00196E62" w:rsidTr="00DB5E03">
        <w:trPr>
          <w:cantSplit/>
        </w:trPr>
        <w:tc>
          <w:tcPr>
            <w:tcW w:w="9356" w:type="dxa"/>
            <w:shd w:val="clear" w:color="auto" w:fill="auto"/>
          </w:tcPr>
          <w:p w:rsidR="00AE0874" w:rsidRPr="00196E62" w:rsidRDefault="00AE0874" w:rsidP="00DB5E03">
            <w:pPr>
              <w:pStyle w:val="TableText"/>
              <w:rPr>
                <w:b/>
              </w:rPr>
            </w:pPr>
            <w:r w:rsidRPr="00196E62">
              <w:rPr>
                <w:b/>
              </w:rPr>
              <w:t>Risk level 3</w:t>
            </w:r>
          </w:p>
          <w:p w:rsidR="00AE0874" w:rsidRPr="00196E62" w:rsidRDefault="00AE0874" w:rsidP="00DB5E03">
            <w:pPr>
              <w:pStyle w:val="TableText"/>
            </w:pPr>
            <w:r w:rsidRPr="00196E62">
              <w:t xml:space="preserve">Features of this case study place it at the high-risk end of the risk matrix. Raw materials are sourced from various suppliers. The potential toxicity of </w:t>
            </w:r>
            <w:r>
              <w:t>v</w:t>
            </w:r>
            <w:r w:rsidRPr="00196E62">
              <w:t xml:space="preserve">itamin D at high volumes poses serious consequences if the wrong dosage is consumed. </w:t>
            </w:r>
            <w:r>
              <w:t>Other factors are</w:t>
            </w:r>
            <w:r w:rsidRPr="00196E62">
              <w:t xml:space="preserve"> the cross-contamination risk of multiple products manufactured and the high number of consumers due to </w:t>
            </w:r>
            <w:r>
              <w:t xml:space="preserve">the </w:t>
            </w:r>
            <w:r w:rsidRPr="00196E62">
              <w:t xml:space="preserve">size of </w:t>
            </w:r>
            <w:r>
              <w:t xml:space="preserve">the </w:t>
            </w:r>
            <w:r w:rsidRPr="00196E62">
              <w:t xml:space="preserve">manufacturer. </w:t>
            </w:r>
          </w:p>
        </w:tc>
      </w:tr>
      <w:tr w:rsidR="00DB5E03" w:rsidRPr="00196E62" w:rsidTr="00DB5E03">
        <w:trPr>
          <w:cantSplit/>
        </w:trPr>
        <w:tc>
          <w:tcPr>
            <w:tcW w:w="9356" w:type="dxa"/>
            <w:shd w:val="clear" w:color="auto" w:fill="auto"/>
          </w:tcPr>
          <w:p w:rsidR="00DB5E03" w:rsidRPr="00DB5E03" w:rsidRDefault="00DB5E03" w:rsidP="00DB5E03">
            <w:pPr>
              <w:pStyle w:val="TableText"/>
              <w:rPr>
                <w:b/>
              </w:rPr>
            </w:pPr>
            <w:r w:rsidRPr="00DB5E03">
              <w:rPr>
                <w:b/>
              </w:rPr>
              <w:t>Key examples of Code interpretation</w:t>
            </w:r>
          </w:p>
        </w:tc>
      </w:tr>
      <w:tr w:rsidR="00AE0874" w:rsidRPr="00196E62" w:rsidTr="00DB5E03">
        <w:trPr>
          <w:cantSplit/>
        </w:trPr>
        <w:tc>
          <w:tcPr>
            <w:tcW w:w="9356" w:type="dxa"/>
            <w:shd w:val="clear" w:color="auto" w:fill="auto"/>
          </w:tcPr>
          <w:p w:rsidR="00AE0874" w:rsidRPr="0026459D" w:rsidRDefault="00AE0874" w:rsidP="00DB5E03">
            <w:pPr>
              <w:pStyle w:val="TableText"/>
              <w:rPr>
                <w:b/>
              </w:rPr>
            </w:pPr>
            <w:r w:rsidRPr="0026459D">
              <w:rPr>
                <w:b/>
              </w:rPr>
              <w:t>Personnel</w:t>
            </w:r>
          </w:p>
          <w:p w:rsidR="00AE0874" w:rsidRPr="00DB5E03" w:rsidRDefault="00AE0874" w:rsidP="0026459D">
            <w:pPr>
              <w:pStyle w:val="TableBullet"/>
              <w:rPr>
                <w:rFonts w:ascii="Arial" w:hAnsi="Arial"/>
              </w:rPr>
            </w:pPr>
            <w:r w:rsidRPr="00DB5E03">
              <w:t>A formal training system would be required with records to demonstrate that the personnel are competent in the processing procedures.</w:t>
            </w:r>
          </w:p>
        </w:tc>
      </w:tr>
      <w:tr w:rsidR="00DB5E03" w:rsidRPr="00196E62" w:rsidTr="00DB5E03">
        <w:trPr>
          <w:cantSplit/>
        </w:trPr>
        <w:tc>
          <w:tcPr>
            <w:tcW w:w="9356" w:type="dxa"/>
            <w:shd w:val="clear" w:color="auto" w:fill="auto"/>
          </w:tcPr>
          <w:p w:rsidR="00DB5E03" w:rsidRPr="0026459D" w:rsidRDefault="00DB5E03" w:rsidP="00DB5E03">
            <w:pPr>
              <w:pStyle w:val="TableText"/>
              <w:rPr>
                <w:b/>
              </w:rPr>
            </w:pPr>
            <w:r w:rsidRPr="0026459D">
              <w:rPr>
                <w:b/>
              </w:rPr>
              <w:t>Documentation</w:t>
            </w:r>
          </w:p>
          <w:p w:rsidR="00DB5E03" w:rsidRPr="0026459D" w:rsidRDefault="00DB5E03" w:rsidP="0026459D">
            <w:pPr>
              <w:pStyle w:val="TableBullet"/>
            </w:pPr>
            <w:r w:rsidRPr="00DB5E03">
              <w:t>There should be established, detailed procedures for all activities; no dispensat</w:t>
            </w:r>
            <w:r w:rsidR="0026459D">
              <w:t>ions are likely to be relevant.</w:t>
            </w:r>
          </w:p>
        </w:tc>
      </w:tr>
      <w:tr w:rsidR="0026459D" w:rsidRPr="00196E62" w:rsidTr="00DB5E03">
        <w:trPr>
          <w:cantSplit/>
        </w:trPr>
        <w:tc>
          <w:tcPr>
            <w:tcW w:w="9356" w:type="dxa"/>
            <w:shd w:val="clear" w:color="auto" w:fill="auto"/>
          </w:tcPr>
          <w:p w:rsidR="0026459D" w:rsidRPr="0026459D" w:rsidRDefault="0026459D" w:rsidP="0026459D">
            <w:pPr>
              <w:pStyle w:val="TableText"/>
              <w:rPr>
                <w:b/>
              </w:rPr>
            </w:pPr>
            <w:r w:rsidRPr="0026459D">
              <w:rPr>
                <w:b/>
              </w:rPr>
              <w:t>Production</w:t>
            </w:r>
          </w:p>
          <w:p w:rsidR="0026459D" w:rsidRPr="00DB5E03" w:rsidRDefault="0026459D" w:rsidP="0026459D">
            <w:pPr>
              <w:pStyle w:val="TableBullet"/>
            </w:pPr>
            <w:r w:rsidRPr="00DB5E03">
              <w:t>The key raw materials are imported via a series of brokers and traders. Supplier validation is thus very important so the source of the materials is understood by the manufacturer and to confirm that suppliers have robust systems in place to ensure raw materials are not contaminated during their cultivation and processing.</w:t>
            </w:r>
          </w:p>
          <w:p w:rsidR="0026459D" w:rsidRPr="00DB5E03" w:rsidRDefault="0026459D" w:rsidP="0026459D">
            <w:pPr>
              <w:pStyle w:val="TableBullet"/>
            </w:pPr>
            <w:r w:rsidRPr="00DB5E03">
              <w:t>The manufacturer should have detailed specifications for the raw materials. Sampling and testing of the raw materials should be completed and the results of the testing compared to the specifications.</w:t>
            </w:r>
          </w:p>
          <w:p w:rsidR="0026459D" w:rsidRPr="00DB5E03" w:rsidRDefault="0026459D" w:rsidP="0026459D">
            <w:pPr>
              <w:pStyle w:val="TableBullet"/>
            </w:pPr>
            <w:r w:rsidRPr="00DB5E03">
              <w:t>Manufacturing processes should be fully defined with detailed records and instructions on undertaking each process.</w:t>
            </w:r>
          </w:p>
          <w:p w:rsidR="0026459D" w:rsidRPr="00DB5E03" w:rsidRDefault="0026459D" w:rsidP="0026459D">
            <w:pPr>
              <w:pStyle w:val="TableBullet"/>
            </w:pPr>
            <w:r w:rsidRPr="00DB5E03">
              <w:t>There are multiple products made on this site, so there should be detailed cleaning procedures in place for the equipment. The effectiveness of these cleaning procedures should be verifiable.</w:t>
            </w:r>
          </w:p>
          <w:p w:rsidR="0026459D" w:rsidRPr="0026459D" w:rsidRDefault="0026459D" w:rsidP="0026459D">
            <w:pPr>
              <w:pStyle w:val="TableBullet"/>
            </w:pPr>
            <w:r w:rsidRPr="00DB5E03">
              <w:t>Validation of key processing steps such as product blending would be expected.</w:t>
            </w:r>
          </w:p>
        </w:tc>
      </w:tr>
      <w:tr w:rsidR="0026459D" w:rsidRPr="00196E62" w:rsidTr="00DB5E03">
        <w:trPr>
          <w:cantSplit/>
        </w:trPr>
        <w:tc>
          <w:tcPr>
            <w:tcW w:w="9356" w:type="dxa"/>
            <w:shd w:val="clear" w:color="auto" w:fill="auto"/>
          </w:tcPr>
          <w:p w:rsidR="0026459D" w:rsidRPr="0026459D" w:rsidRDefault="0026459D" w:rsidP="0026459D">
            <w:pPr>
              <w:pStyle w:val="TableText"/>
              <w:rPr>
                <w:b/>
              </w:rPr>
            </w:pPr>
            <w:r w:rsidRPr="0026459D">
              <w:rPr>
                <w:b/>
              </w:rPr>
              <w:t>Quality control</w:t>
            </w:r>
          </w:p>
          <w:p w:rsidR="0026459D" w:rsidRPr="00DB5E03" w:rsidRDefault="0026459D" w:rsidP="0026459D">
            <w:pPr>
              <w:pStyle w:val="TableBullet"/>
            </w:pPr>
            <w:r w:rsidRPr="00DB5E03">
              <w:t>Raw material testing is very important. Testing should be completed using validated test methods.</w:t>
            </w:r>
          </w:p>
          <w:p w:rsidR="0026459D" w:rsidRPr="0026459D" w:rsidRDefault="0026459D" w:rsidP="0026459D">
            <w:pPr>
              <w:pStyle w:val="TableBullet"/>
            </w:pPr>
            <w:r w:rsidRPr="00DB5E03">
              <w:t>This product has dosage claims, so the manufacturer should be able to demonstrate that the ingredients are present in the levels as lis</w:t>
            </w:r>
            <w:r>
              <w:t>ted on the label.</w:t>
            </w:r>
          </w:p>
        </w:tc>
      </w:tr>
      <w:tr w:rsidR="0026459D" w:rsidRPr="00196E62" w:rsidTr="00DB5E03">
        <w:trPr>
          <w:cantSplit/>
        </w:trPr>
        <w:tc>
          <w:tcPr>
            <w:tcW w:w="9356" w:type="dxa"/>
            <w:shd w:val="clear" w:color="auto" w:fill="auto"/>
          </w:tcPr>
          <w:p w:rsidR="0026459D" w:rsidRPr="0026459D" w:rsidRDefault="0026459D" w:rsidP="0026459D">
            <w:pPr>
              <w:pStyle w:val="TableText"/>
              <w:rPr>
                <w:b/>
              </w:rPr>
            </w:pPr>
            <w:r w:rsidRPr="0026459D">
              <w:rPr>
                <w:b/>
              </w:rPr>
              <w:t>Stability</w:t>
            </w:r>
          </w:p>
          <w:p w:rsidR="0026459D" w:rsidRPr="0026459D" w:rsidRDefault="0026459D" w:rsidP="0026459D">
            <w:pPr>
              <w:pStyle w:val="TableBullet"/>
            </w:pPr>
            <w:r w:rsidRPr="00DB5E03">
              <w:t xml:space="preserve">Stability studies should be conducted to demonstrate that the product remains within specification for the length of its shelf </w:t>
            </w:r>
            <w:r>
              <w:t>life.</w:t>
            </w:r>
          </w:p>
        </w:tc>
      </w:tr>
      <w:tr w:rsidR="0026459D" w:rsidRPr="00196E62" w:rsidTr="00DB5E03">
        <w:trPr>
          <w:cantSplit/>
        </w:trPr>
        <w:tc>
          <w:tcPr>
            <w:tcW w:w="9356" w:type="dxa"/>
            <w:shd w:val="clear" w:color="auto" w:fill="auto"/>
          </w:tcPr>
          <w:p w:rsidR="0026459D" w:rsidRPr="0026459D" w:rsidRDefault="0026459D" w:rsidP="0026459D">
            <w:pPr>
              <w:pStyle w:val="TableText"/>
              <w:rPr>
                <w:b/>
              </w:rPr>
            </w:pPr>
            <w:r w:rsidRPr="0026459D">
              <w:rPr>
                <w:b/>
              </w:rPr>
              <w:t>Recall</w:t>
            </w:r>
          </w:p>
          <w:p w:rsidR="0026459D" w:rsidRPr="0026459D" w:rsidRDefault="0026459D" w:rsidP="0026459D">
            <w:pPr>
              <w:pStyle w:val="TableBullet"/>
              <w:rPr>
                <w:b/>
              </w:rPr>
            </w:pPr>
            <w:r w:rsidRPr="00DB5E03">
              <w:t>The manufacturer should have systems in place to enable the recall of products from all of its markets. There should be a comprehensive recall procedure that is regularly tested</w:t>
            </w:r>
            <w:r>
              <w:t xml:space="preserve"> through the use of mock recall.</w:t>
            </w:r>
          </w:p>
        </w:tc>
      </w:tr>
    </w:tbl>
    <w:p w:rsidR="00AE0874" w:rsidRPr="00196E62" w:rsidRDefault="00AE0874" w:rsidP="0026459D"/>
    <w:p w:rsidR="009A6E81" w:rsidRDefault="009A6E81" w:rsidP="009A6E81">
      <w:bookmarkStart w:id="49" w:name="_Toc419721136"/>
      <w:bookmarkStart w:id="50" w:name="_Toc435183522"/>
      <w:r>
        <w:br w:type="page"/>
      </w:r>
    </w:p>
    <w:p w:rsidR="00AE0874" w:rsidRDefault="00AE0874" w:rsidP="009A6E81">
      <w:pPr>
        <w:pStyle w:val="Heading1"/>
      </w:pPr>
      <w:bookmarkStart w:id="51" w:name="_Toc435347226"/>
      <w:r>
        <w:lastRenderedPageBreak/>
        <w:t>Audit of manufacturing facility</w:t>
      </w:r>
      <w:bookmarkEnd w:id="49"/>
      <w:bookmarkEnd w:id="50"/>
      <w:bookmarkEnd w:id="51"/>
    </w:p>
    <w:p w:rsidR="00AE0874" w:rsidRPr="00C62E87" w:rsidRDefault="00AE0874" w:rsidP="0035013A">
      <w:pPr>
        <w:pStyle w:val="Heading2"/>
      </w:pPr>
      <w:bookmarkStart w:id="52" w:name="_Toc435183523"/>
      <w:bookmarkStart w:id="53" w:name="_Toc435347227"/>
      <w:r w:rsidRPr="00D972E6">
        <w:t>Introduction</w:t>
      </w:r>
      <w:bookmarkEnd w:id="52"/>
      <w:bookmarkEnd w:id="53"/>
    </w:p>
    <w:p w:rsidR="0092532C" w:rsidRDefault="00AE0874" w:rsidP="0035013A">
      <w:r>
        <w:t xml:space="preserve">Section </w:t>
      </w:r>
      <w:r w:rsidRPr="00C62E87">
        <w:t>31</w:t>
      </w:r>
      <w:r w:rsidRPr="00F81991">
        <w:t xml:space="preserve"> of the Act</w:t>
      </w:r>
      <w:r>
        <w:t xml:space="preserve"> provides for</w:t>
      </w:r>
      <w:r w:rsidRPr="00F81991">
        <w:t xml:space="preserve"> the Authority to</w:t>
      </w:r>
      <w:r>
        <w:t xml:space="preserve"> </w:t>
      </w:r>
      <w:r w:rsidRPr="00F81991">
        <w:t>conduct an audit of a manufacturing facility at any time for the purpose of assessing compliance with any conditions of the licence to manufacture, and compliance with the Code</w:t>
      </w:r>
      <w:r>
        <w:t>. The Authority can also recognise an audit of the manufacturing facility conducted by another person under another enactment or for another purpose.</w:t>
      </w:r>
    </w:p>
    <w:p w:rsidR="00AE0874" w:rsidRDefault="00AE0874" w:rsidP="0035013A"/>
    <w:p w:rsidR="0092532C" w:rsidRDefault="00AE0874" w:rsidP="0035013A">
      <w:r w:rsidRPr="004B23FA">
        <w:t>The nature and extent of auditing will depend on</w:t>
      </w:r>
      <w:r>
        <w:t>:</w:t>
      </w:r>
    </w:p>
    <w:p w:rsidR="00AE0874" w:rsidRPr="00CE0FBD" w:rsidRDefault="00AE0874" w:rsidP="0035013A">
      <w:pPr>
        <w:pStyle w:val="Bullet"/>
      </w:pPr>
      <w:r w:rsidRPr="00CE0FBD">
        <w:t>the level of risk that a manufacturing facility presents</w:t>
      </w:r>
    </w:p>
    <w:p w:rsidR="00AE0874" w:rsidRPr="00CE0FBD" w:rsidRDefault="00AE0874" w:rsidP="0035013A">
      <w:pPr>
        <w:pStyle w:val="Bullet"/>
      </w:pPr>
      <w:r w:rsidRPr="00CE0FBD">
        <w:t>compliance with requirements of the Code and manufacture licence conditions</w:t>
      </w:r>
    </w:p>
    <w:p w:rsidR="00AE0874" w:rsidRPr="00CE0FBD" w:rsidRDefault="00AE0874" w:rsidP="0035013A">
      <w:pPr>
        <w:pStyle w:val="Bullet"/>
      </w:pPr>
      <w:proofErr w:type="gramStart"/>
      <w:r w:rsidRPr="00CE0FBD">
        <w:t>whether</w:t>
      </w:r>
      <w:proofErr w:type="gramEnd"/>
      <w:r w:rsidRPr="00CE0FBD">
        <w:t xml:space="preserve"> the product is the subject of any complaints.</w:t>
      </w:r>
    </w:p>
    <w:p w:rsidR="00AE0874" w:rsidRDefault="00AE0874" w:rsidP="0035013A"/>
    <w:p w:rsidR="00AE0874" w:rsidRDefault="00AE0874" w:rsidP="0035013A">
      <w:pPr>
        <w:pStyle w:val="Heading2"/>
      </w:pPr>
      <w:bookmarkStart w:id="54" w:name="_Toc435183524"/>
      <w:bookmarkStart w:id="55" w:name="_Toc435347228"/>
      <w:r>
        <w:t>Frequency of audit</w:t>
      </w:r>
      <w:bookmarkEnd w:id="54"/>
      <w:bookmarkEnd w:id="55"/>
    </w:p>
    <w:p w:rsidR="00AE0874" w:rsidRDefault="00AE0874" w:rsidP="0035013A">
      <w:r>
        <w:t xml:space="preserve">The Authority will use the risk assessment matrix to determine a frequency of audit according to their different levels of risk. A manufacturing facility that presents a very low level of risk may not require an audit, although the manufacturer will still have to meet the requirements of the Code. </w:t>
      </w:r>
      <w:r w:rsidRPr="00CE0FBD">
        <w:t xml:space="preserve">A low-risk manufacturer may need to be audited only once every five years, while, a higher-risk manufacturer might need a detailed audit every two years. </w:t>
      </w:r>
      <w:r w:rsidRPr="00D972E6">
        <w:t>T</w:t>
      </w:r>
      <w:r>
        <w:t>able 2</w:t>
      </w:r>
      <w:r w:rsidRPr="00D972E6">
        <w:t xml:space="preserve"> </w:t>
      </w:r>
      <w:r>
        <w:t xml:space="preserve">lists factors that have the potential to pose </w:t>
      </w:r>
      <w:r w:rsidRPr="00D972E6">
        <w:t xml:space="preserve">a </w:t>
      </w:r>
      <w:r w:rsidR="0092532C">
        <w:t>‘</w:t>
      </w:r>
      <w:r w:rsidRPr="00D972E6">
        <w:t>high</w:t>
      </w:r>
      <w:r>
        <w:t>er</w:t>
      </w:r>
      <w:r w:rsidRPr="00D972E6">
        <w:t xml:space="preserve"> level of risk</w:t>
      </w:r>
      <w:r w:rsidR="0092532C">
        <w:t>’</w:t>
      </w:r>
      <w:r>
        <w:t xml:space="preserve">. </w:t>
      </w:r>
      <w:r w:rsidRPr="00CE0FBD">
        <w:t xml:space="preserve">If the nature of manufacturing operations changes </w:t>
      </w:r>
      <w:r>
        <w:t>to</w:t>
      </w:r>
      <w:r w:rsidRPr="00CE0FBD">
        <w:t xml:space="preserve"> shift the facility from low-risk to a medium or a higher level, the audit frequency may change accordingly.</w:t>
      </w:r>
    </w:p>
    <w:p w:rsidR="00AE0874" w:rsidRDefault="00AE0874" w:rsidP="0035013A"/>
    <w:p w:rsidR="00AE0874" w:rsidRPr="00D972E6" w:rsidRDefault="00AE0874" w:rsidP="0035013A">
      <w:pPr>
        <w:pStyle w:val="Table"/>
      </w:pPr>
      <w:bookmarkStart w:id="56" w:name="_Toc435347253"/>
      <w:r>
        <w:t>Table 2:</w:t>
      </w:r>
      <w:r w:rsidRPr="00D972E6">
        <w:t xml:space="preserve"> Potential factors that pose a high</w:t>
      </w:r>
      <w:r>
        <w:t>er</w:t>
      </w:r>
      <w:r w:rsidRPr="00D972E6">
        <w:t xml:space="preserve"> level of risk</w:t>
      </w:r>
      <w:r>
        <w:t xml:space="preserve"> that might require a more frequent rate of audit</w:t>
      </w:r>
      <w:bookmarkEnd w:id="56"/>
    </w:p>
    <w:tbl>
      <w:tblPr>
        <w:tblW w:w="4888" w:type="pct"/>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2551"/>
        <w:gridCol w:w="6706"/>
      </w:tblGrid>
      <w:tr w:rsidR="00AE0874" w:rsidRPr="0035013A" w:rsidTr="001D5433">
        <w:trPr>
          <w:cantSplit/>
          <w:tblHeader/>
        </w:trPr>
        <w:tc>
          <w:tcPr>
            <w:tcW w:w="1378" w:type="pct"/>
            <w:tcBorders>
              <w:top w:val="single" w:sz="4" w:space="0" w:color="auto"/>
              <w:bottom w:val="single" w:sz="4" w:space="0" w:color="auto"/>
            </w:tcBorders>
            <w:shd w:val="clear" w:color="auto" w:fill="auto"/>
          </w:tcPr>
          <w:p w:rsidR="00AE0874" w:rsidRPr="0035013A" w:rsidRDefault="00AE0874" w:rsidP="001D5433">
            <w:pPr>
              <w:pStyle w:val="TableText"/>
              <w:spacing w:before="60" w:after="60"/>
              <w:ind w:right="142"/>
              <w:rPr>
                <w:b/>
              </w:rPr>
            </w:pPr>
            <w:r w:rsidRPr="0035013A">
              <w:rPr>
                <w:b/>
              </w:rPr>
              <w:t>Ingredients</w:t>
            </w:r>
          </w:p>
        </w:tc>
        <w:tc>
          <w:tcPr>
            <w:tcW w:w="3622" w:type="pct"/>
            <w:tcBorders>
              <w:top w:val="single" w:sz="4" w:space="0" w:color="auto"/>
              <w:bottom w:val="single" w:sz="4" w:space="0" w:color="auto"/>
            </w:tcBorders>
            <w:shd w:val="clear" w:color="auto" w:fill="auto"/>
          </w:tcPr>
          <w:p w:rsidR="00AE0874" w:rsidRPr="0035013A" w:rsidRDefault="0035013A" w:rsidP="0035013A">
            <w:pPr>
              <w:pStyle w:val="TableText"/>
              <w:spacing w:before="60" w:after="60"/>
              <w:rPr>
                <w:b/>
              </w:rPr>
            </w:pPr>
            <w:r w:rsidRPr="0035013A">
              <w:rPr>
                <w:b/>
              </w:rPr>
              <w:t>Factors</w:t>
            </w:r>
          </w:p>
        </w:tc>
      </w:tr>
      <w:tr w:rsidR="00AE0874" w:rsidTr="001D5433">
        <w:trPr>
          <w:cantSplit/>
        </w:trPr>
        <w:tc>
          <w:tcPr>
            <w:tcW w:w="1378" w:type="pct"/>
            <w:tcBorders>
              <w:top w:val="single" w:sz="4" w:space="0" w:color="auto"/>
              <w:bottom w:val="single" w:sz="4" w:space="0" w:color="A6A6A6" w:themeColor="background1" w:themeShade="A6"/>
            </w:tcBorders>
            <w:shd w:val="clear" w:color="auto" w:fill="auto"/>
          </w:tcPr>
          <w:p w:rsidR="00AE0874" w:rsidRPr="006168E9" w:rsidRDefault="00AE0874" w:rsidP="001D5433">
            <w:pPr>
              <w:pStyle w:val="TableText"/>
              <w:spacing w:before="60" w:after="60"/>
              <w:ind w:right="142"/>
            </w:pPr>
            <w:r w:rsidRPr="006168E9">
              <w:t>Ingredient suppliers</w:t>
            </w:r>
          </w:p>
        </w:tc>
        <w:tc>
          <w:tcPr>
            <w:tcW w:w="3622" w:type="pct"/>
            <w:tcBorders>
              <w:top w:val="single" w:sz="4" w:space="0" w:color="auto"/>
              <w:bottom w:val="single" w:sz="4" w:space="0" w:color="A6A6A6" w:themeColor="background1" w:themeShade="A6"/>
            </w:tcBorders>
            <w:shd w:val="clear" w:color="auto" w:fill="auto"/>
          </w:tcPr>
          <w:p w:rsidR="00AE0874" w:rsidRPr="006168E9" w:rsidRDefault="00AE0874" w:rsidP="0035013A">
            <w:pPr>
              <w:pStyle w:val="TableText"/>
              <w:spacing w:before="60" w:after="60"/>
            </w:pPr>
            <w:r w:rsidRPr="006168E9">
              <w:t>Sourced from overseas</w:t>
            </w:r>
          </w:p>
          <w:p w:rsidR="00AE0874" w:rsidRPr="006168E9" w:rsidRDefault="00AE0874" w:rsidP="0035013A">
            <w:pPr>
              <w:pStyle w:val="TableText"/>
              <w:spacing w:before="60" w:after="60"/>
            </w:pPr>
            <w:r w:rsidRPr="006168E9">
              <w:t>Less known about suppliers, but ingredients are still supplied with good documentation</w:t>
            </w:r>
          </w:p>
        </w:tc>
      </w:tr>
      <w:tr w:rsidR="00AE0874" w:rsidRPr="006168E9" w:rsidTr="001D5433">
        <w:trPr>
          <w:cantSplit/>
        </w:trPr>
        <w:tc>
          <w:tcPr>
            <w:tcW w:w="1378" w:type="pct"/>
            <w:tcBorders>
              <w:top w:val="single" w:sz="4" w:space="0" w:color="A6A6A6" w:themeColor="background1" w:themeShade="A6"/>
              <w:bottom w:val="single" w:sz="4" w:space="0" w:color="A6A6A6" w:themeColor="background1" w:themeShade="A6"/>
            </w:tcBorders>
            <w:shd w:val="clear" w:color="auto" w:fill="auto"/>
          </w:tcPr>
          <w:p w:rsidR="00AE0874" w:rsidRPr="006168E9" w:rsidRDefault="00AE0874" w:rsidP="001D5433">
            <w:pPr>
              <w:pStyle w:val="TableText"/>
              <w:spacing w:before="60" w:after="60"/>
              <w:ind w:right="142"/>
              <w:rPr>
                <w:i/>
              </w:rPr>
            </w:pPr>
            <w:r w:rsidRPr="006168E9">
              <w:t>Identification</w:t>
            </w:r>
            <w:r w:rsidR="0035013A">
              <w:br/>
            </w:r>
            <w:r>
              <w:rPr>
                <w:i/>
              </w:rPr>
              <w:t>(p</w:t>
            </w:r>
            <w:r w:rsidRPr="006168E9">
              <w:rPr>
                <w:i/>
              </w:rPr>
              <w:t>articularly relevant to plant materials</w:t>
            </w:r>
            <w:r>
              <w:rPr>
                <w:i/>
              </w:rPr>
              <w:t>)</w:t>
            </w:r>
          </w:p>
        </w:tc>
        <w:tc>
          <w:tcPr>
            <w:tcW w:w="3622" w:type="pct"/>
            <w:tcBorders>
              <w:top w:val="single" w:sz="4" w:space="0" w:color="A6A6A6" w:themeColor="background1" w:themeShade="A6"/>
              <w:bottom w:val="single" w:sz="4" w:space="0" w:color="A6A6A6" w:themeColor="background1" w:themeShade="A6"/>
            </w:tcBorders>
            <w:shd w:val="clear" w:color="auto" w:fill="auto"/>
          </w:tcPr>
          <w:p w:rsidR="00AE0874" w:rsidRPr="006168E9" w:rsidRDefault="00AE0874" w:rsidP="0035013A">
            <w:pPr>
              <w:pStyle w:val="TableText"/>
              <w:spacing w:before="60" w:after="60"/>
            </w:pPr>
            <w:r w:rsidRPr="006168E9">
              <w:t>Difficult to distinguish between similar ingredients with differing efficacy or toxicity profiles.</w:t>
            </w:r>
          </w:p>
        </w:tc>
      </w:tr>
      <w:tr w:rsidR="00AE0874" w:rsidRPr="006168E9" w:rsidTr="001D5433">
        <w:trPr>
          <w:cantSplit/>
        </w:trPr>
        <w:tc>
          <w:tcPr>
            <w:tcW w:w="1378" w:type="pct"/>
            <w:tcBorders>
              <w:top w:val="single" w:sz="4" w:space="0" w:color="A6A6A6" w:themeColor="background1" w:themeShade="A6"/>
              <w:bottom w:val="single" w:sz="4" w:space="0" w:color="A6A6A6" w:themeColor="background1" w:themeShade="A6"/>
            </w:tcBorders>
            <w:shd w:val="clear" w:color="auto" w:fill="auto"/>
          </w:tcPr>
          <w:p w:rsidR="00AE0874" w:rsidRPr="006168E9" w:rsidRDefault="00AE0874" w:rsidP="001D5433">
            <w:pPr>
              <w:pStyle w:val="TableText"/>
              <w:spacing w:before="60" w:after="60"/>
              <w:ind w:right="142"/>
            </w:pPr>
            <w:r w:rsidRPr="006168E9">
              <w:t>Toxicity</w:t>
            </w:r>
          </w:p>
        </w:tc>
        <w:tc>
          <w:tcPr>
            <w:tcW w:w="3622" w:type="pct"/>
            <w:tcBorders>
              <w:top w:val="single" w:sz="4" w:space="0" w:color="A6A6A6" w:themeColor="background1" w:themeShade="A6"/>
              <w:bottom w:val="single" w:sz="4" w:space="0" w:color="A6A6A6" w:themeColor="background1" w:themeShade="A6"/>
            </w:tcBorders>
            <w:shd w:val="clear" w:color="auto" w:fill="auto"/>
          </w:tcPr>
          <w:p w:rsidR="00AE0874" w:rsidRPr="006168E9" w:rsidRDefault="00AE0874" w:rsidP="0035013A">
            <w:pPr>
              <w:pStyle w:val="TableText"/>
              <w:spacing w:before="60" w:after="60"/>
            </w:pPr>
            <w:r w:rsidRPr="006168E9">
              <w:t xml:space="preserve">Toxic at higher concentrations or if scheduled as a medicine at higher concentrations (such as </w:t>
            </w:r>
            <w:r>
              <w:t>v</w:t>
            </w:r>
            <w:r w:rsidRPr="006168E9">
              <w:t>itamin D)</w:t>
            </w:r>
          </w:p>
        </w:tc>
      </w:tr>
      <w:tr w:rsidR="00AE0874" w:rsidRPr="006168E9" w:rsidTr="001D5433">
        <w:trPr>
          <w:cantSplit/>
        </w:trPr>
        <w:tc>
          <w:tcPr>
            <w:tcW w:w="1378" w:type="pct"/>
            <w:tcBorders>
              <w:top w:val="single" w:sz="4" w:space="0" w:color="A6A6A6" w:themeColor="background1" w:themeShade="A6"/>
              <w:bottom w:val="single" w:sz="4" w:space="0" w:color="A6A6A6" w:themeColor="background1" w:themeShade="A6"/>
            </w:tcBorders>
            <w:shd w:val="clear" w:color="auto" w:fill="auto"/>
          </w:tcPr>
          <w:p w:rsidR="00AE0874" w:rsidRPr="006168E9" w:rsidRDefault="00AE0874" w:rsidP="001D5433">
            <w:pPr>
              <w:pStyle w:val="TableText"/>
              <w:spacing w:before="60" w:after="60"/>
              <w:ind w:right="142"/>
            </w:pPr>
            <w:r w:rsidRPr="006168E9">
              <w:t>Pharmacological activity</w:t>
            </w:r>
          </w:p>
        </w:tc>
        <w:tc>
          <w:tcPr>
            <w:tcW w:w="3622" w:type="pct"/>
            <w:tcBorders>
              <w:top w:val="single" w:sz="4" w:space="0" w:color="A6A6A6" w:themeColor="background1" w:themeShade="A6"/>
              <w:bottom w:val="single" w:sz="4" w:space="0" w:color="A6A6A6" w:themeColor="background1" w:themeShade="A6"/>
            </w:tcBorders>
            <w:shd w:val="clear" w:color="auto" w:fill="auto"/>
          </w:tcPr>
          <w:p w:rsidR="00AE0874" w:rsidRPr="006168E9" w:rsidRDefault="00AE0874" w:rsidP="0035013A">
            <w:pPr>
              <w:pStyle w:val="TableText"/>
              <w:spacing w:before="60" w:after="60"/>
            </w:pPr>
            <w:r w:rsidRPr="006168E9">
              <w:t>Has known dose-related pharmacological activity</w:t>
            </w:r>
          </w:p>
        </w:tc>
      </w:tr>
      <w:tr w:rsidR="00AE0874" w:rsidRPr="006168E9" w:rsidTr="001D5433">
        <w:trPr>
          <w:cantSplit/>
        </w:trPr>
        <w:tc>
          <w:tcPr>
            <w:tcW w:w="1378" w:type="pct"/>
            <w:tcBorders>
              <w:top w:val="single" w:sz="4" w:space="0" w:color="A6A6A6" w:themeColor="background1" w:themeShade="A6"/>
              <w:bottom w:val="single" w:sz="4" w:space="0" w:color="A6A6A6" w:themeColor="background1" w:themeShade="A6"/>
            </w:tcBorders>
            <w:shd w:val="clear" w:color="auto" w:fill="auto"/>
          </w:tcPr>
          <w:p w:rsidR="00AE0874" w:rsidRPr="006168E9" w:rsidRDefault="00AE0874" w:rsidP="001D5433">
            <w:pPr>
              <w:pStyle w:val="TableText"/>
              <w:spacing w:before="60" w:after="60"/>
              <w:ind w:right="142"/>
            </w:pPr>
            <w:r w:rsidRPr="006168E9">
              <w:t xml:space="preserve">Allergenic </w:t>
            </w:r>
            <w:r>
              <w:t xml:space="preserve">or sensitising </w:t>
            </w:r>
            <w:r w:rsidRPr="006168E9">
              <w:t>potential</w:t>
            </w:r>
          </w:p>
        </w:tc>
        <w:tc>
          <w:tcPr>
            <w:tcW w:w="3622" w:type="pct"/>
            <w:tcBorders>
              <w:top w:val="single" w:sz="4" w:space="0" w:color="A6A6A6" w:themeColor="background1" w:themeShade="A6"/>
              <w:bottom w:val="single" w:sz="4" w:space="0" w:color="A6A6A6" w:themeColor="background1" w:themeShade="A6"/>
            </w:tcBorders>
            <w:shd w:val="clear" w:color="auto" w:fill="auto"/>
          </w:tcPr>
          <w:p w:rsidR="00AE0874" w:rsidRPr="006168E9" w:rsidRDefault="00AE0874" w:rsidP="0035013A">
            <w:pPr>
              <w:pStyle w:val="TableText"/>
              <w:spacing w:before="60" w:after="60"/>
            </w:pPr>
            <w:r w:rsidRPr="006168E9">
              <w:t>Contains an allergen or sensitising ingredient in some products, and strict segregation practices are required (for instance, bee and honey products, those derived from milk, egg, fish or nut products)</w:t>
            </w:r>
          </w:p>
        </w:tc>
      </w:tr>
      <w:tr w:rsidR="00AE0874" w:rsidRPr="006168E9" w:rsidTr="001D5433">
        <w:trPr>
          <w:cantSplit/>
        </w:trPr>
        <w:tc>
          <w:tcPr>
            <w:tcW w:w="1378" w:type="pct"/>
            <w:tcBorders>
              <w:top w:val="single" w:sz="4" w:space="0" w:color="A6A6A6" w:themeColor="background1" w:themeShade="A6"/>
              <w:bottom w:val="single" w:sz="4" w:space="0" w:color="A6A6A6" w:themeColor="background1" w:themeShade="A6"/>
            </w:tcBorders>
            <w:shd w:val="clear" w:color="auto" w:fill="auto"/>
          </w:tcPr>
          <w:p w:rsidR="00AE0874" w:rsidRPr="006168E9" w:rsidRDefault="00AE0874" w:rsidP="001D5433">
            <w:pPr>
              <w:pStyle w:val="TableText"/>
              <w:spacing w:before="60" w:after="60"/>
              <w:ind w:right="142"/>
            </w:pPr>
            <w:r w:rsidRPr="006168E9">
              <w:lastRenderedPageBreak/>
              <w:t>Interaction</w:t>
            </w:r>
          </w:p>
        </w:tc>
        <w:tc>
          <w:tcPr>
            <w:tcW w:w="3622" w:type="pct"/>
            <w:tcBorders>
              <w:top w:val="single" w:sz="4" w:space="0" w:color="A6A6A6" w:themeColor="background1" w:themeShade="A6"/>
              <w:bottom w:val="single" w:sz="4" w:space="0" w:color="A6A6A6" w:themeColor="background1" w:themeShade="A6"/>
            </w:tcBorders>
            <w:shd w:val="clear" w:color="auto" w:fill="auto"/>
          </w:tcPr>
          <w:p w:rsidR="00AE0874" w:rsidRPr="006168E9" w:rsidRDefault="00AE0874" w:rsidP="0035013A">
            <w:pPr>
              <w:pStyle w:val="TableText"/>
              <w:spacing w:before="60" w:after="60"/>
            </w:pPr>
            <w:r w:rsidRPr="006168E9">
              <w:t>Ingredient</w:t>
            </w:r>
            <w:r>
              <w:t>s</w:t>
            </w:r>
            <w:r w:rsidRPr="006168E9">
              <w:t xml:space="preserve"> known to interact with other ingredients or manufacturing equipment</w:t>
            </w:r>
            <w:r>
              <w:t xml:space="preserve"> </w:t>
            </w:r>
            <w:r w:rsidRPr="006168E9">
              <w:t>(</w:t>
            </w:r>
            <w:r>
              <w:t xml:space="preserve">such as </w:t>
            </w:r>
            <w:r w:rsidRPr="006168E9">
              <w:t>St John</w:t>
            </w:r>
            <w:r w:rsidR="0092532C">
              <w:t>’</w:t>
            </w:r>
            <w:r w:rsidRPr="006168E9">
              <w:t xml:space="preserve">s </w:t>
            </w:r>
            <w:proofErr w:type="spellStart"/>
            <w:r>
              <w:t>w</w:t>
            </w:r>
            <w:r w:rsidRPr="006168E9">
              <w:t>ort</w:t>
            </w:r>
            <w:proofErr w:type="spellEnd"/>
            <w:r w:rsidRPr="006168E9">
              <w:t xml:space="preserve">, </w:t>
            </w:r>
            <w:proofErr w:type="spellStart"/>
            <w:r>
              <w:t>e</w:t>
            </w:r>
            <w:r w:rsidRPr="006168E9">
              <w:t>chinacea</w:t>
            </w:r>
            <w:proofErr w:type="spellEnd"/>
            <w:r w:rsidRPr="006168E9">
              <w:t>, or are corrosive, oxidative or reductive)</w:t>
            </w:r>
          </w:p>
          <w:p w:rsidR="00AE0874" w:rsidRPr="006168E9" w:rsidRDefault="00AE0874" w:rsidP="0035013A">
            <w:pPr>
              <w:pStyle w:val="TableText"/>
              <w:spacing w:before="60" w:after="60"/>
            </w:pPr>
            <w:r w:rsidRPr="006168E9">
              <w:t>Manufacturing process will need to account for interactions</w:t>
            </w:r>
          </w:p>
        </w:tc>
      </w:tr>
      <w:tr w:rsidR="00AE0874" w:rsidRPr="006168E9" w:rsidTr="001D5433">
        <w:trPr>
          <w:cantSplit/>
        </w:trPr>
        <w:tc>
          <w:tcPr>
            <w:tcW w:w="1378" w:type="pct"/>
            <w:tcBorders>
              <w:top w:val="single" w:sz="4" w:space="0" w:color="A6A6A6" w:themeColor="background1" w:themeShade="A6"/>
              <w:bottom w:val="single" w:sz="4" w:space="0" w:color="A6A6A6" w:themeColor="background1" w:themeShade="A6"/>
            </w:tcBorders>
            <w:shd w:val="clear" w:color="auto" w:fill="auto"/>
          </w:tcPr>
          <w:p w:rsidR="00AE0874" w:rsidRPr="006168E9" w:rsidRDefault="00AE0874" w:rsidP="001D5433">
            <w:pPr>
              <w:pStyle w:val="TableText"/>
              <w:spacing w:before="60" w:after="60"/>
              <w:ind w:right="142"/>
            </w:pPr>
            <w:r w:rsidRPr="006168E9">
              <w:t>Microbial risk</w:t>
            </w:r>
          </w:p>
        </w:tc>
        <w:tc>
          <w:tcPr>
            <w:tcW w:w="3622" w:type="pct"/>
            <w:tcBorders>
              <w:top w:val="single" w:sz="4" w:space="0" w:color="A6A6A6" w:themeColor="background1" w:themeShade="A6"/>
              <w:bottom w:val="single" w:sz="4" w:space="0" w:color="A6A6A6" w:themeColor="background1" w:themeShade="A6"/>
            </w:tcBorders>
            <w:shd w:val="clear" w:color="auto" w:fill="auto"/>
          </w:tcPr>
          <w:p w:rsidR="00AE0874" w:rsidRPr="006168E9" w:rsidRDefault="00AE0874" w:rsidP="0035013A">
            <w:pPr>
              <w:pStyle w:val="TableText"/>
              <w:spacing w:before="60" w:after="60"/>
            </w:pPr>
            <w:r w:rsidRPr="006168E9">
              <w:t>Unprocessed biological materials with high bio-burden (such as plant or animal material)</w:t>
            </w:r>
          </w:p>
        </w:tc>
      </w:tr>
      <w:tr w:rsidR="00AE0874" w:rsidRPr="006168E9" w:rsidTr="001D5433">
        <w:trPr>
          <w:cantSplit/>
        </w:trPr>
        <w:tc>
          <w:tcPr>
            <w:tcW w:w="1378" w:type="pct"/>
            <w:tcBorders>
              <w:top w:val="single" w:sz="4" w:space="0" w:color="A6A6A6" w:themeColor="background1" w:themeShade="A6"/>
              <w:bottom w:val="single" w:sz="4" w:space="0" w:color="auto"/>
            </w:tcBorders>
            <w:shd w:val="clear" w:color="auto" w:fill="auto"/>
          </w:tcPr>
          <w:p w:rsidR="00AE0874" w:rsidRPr="006168E9" w:rsidRDefault="00AE0874" w:rsidP="001D5433">
            <w:pPr>
              <w:pStyle w:val="TableText"/>
              <w:spacing w:before="60" w:after="60"/>
              <w:ind w:right="142"/>
            </w:pPr>
            <w:r w:rsidRPr="006168E9">
              <w:t>Source</w:t>
            </w:r>
          </w:p>
        </w:tc>
        <w:tc>
          <w:tcPr>
            <w:tcW w:w="3622" w:type="pct"/>
            <w:tcBorders>
              <w:top w:val="single" w:sz="4" w:space="0" w:color="A6A6A6" w:themeColor="background1" w:themeShade="A6"/>
              <w:bottom w:val="single" w:sz="4" w:space="0" w:color="auto"/>
            </w:tcBorders>
            <w:shd w:val="clear" w:color="auto" w:fill="auto"/>
          </w:tcPr>
          <w:p w:rsidR="00AE0874" w:rsidRPr="006168E9" w:rsidRDefault="00AE0874" w:rsidP="0035013A">
            <w:pPr>
              <w:pStyle w:val="TableText"/>
              <w:spacing w:before="60" w:after="60"/>
            </w:pPr>
            <w:r w:rsidRPr="006168E9">
              <w:t>Animal, bacterial or fungal material</w:t>
            </w:r>
          </w:p>
        </w:tc>
      </w:tr>
      <w:tr w:rsidR="00AE0874" w:rsidRPr="001D5433" w:rsidTr="001D5433">
        <w:trPr>
          <w:cantSplit/>
        </w:trPr>
        <w:tc>
          <w:tcPr>
            <w:tcW w:w="1378" w:type="pct"/>
            <w:tcBorders>
              <w:top w:val="single" w:sz="4" w:space="0" w:color="auto"/>
              <w:bottom w:val="single" w:sz="4" w:space="0" w:color="A6A6A6" w:themeColor="background1" w:themeShade="A6"/>
            </w:tcBorders>
            <w:shd w:val="clear" w:color="auto" w:fill="auto"/>
          </w:tcPr>
          <w:p w:rsidR="00AE0874" w:rsidRPr="001D5433" w:rsidRDefault="00AE0874" w:rsidP="001D5433">
            <w:pPr>
              <w:pStyle w:val="TableText"/>
              <w:spacing w:before="60" w:after="60"/>
              <w:ind w:right="142"/>
              <w:rPr>
                <w:b/>
              </w:rPr>
            </w:pPr>
            <w:r w:rsidRPr="001D5433">
              <w:rPr>
                <w:rFonts w:cs="Times"/>
                <w:b/>
              </w:rPr>
              <w:t>Dose form</w:t>
            </w:r>
          </w:p>
        </w:tc>
        <w:tc>
          <w:tcPr>
            <w:tcW w:w="3622" w:type="pct"/>
            <w:tcBorders>
              <w:top w:val="single" w:sz="4" w:space="0" w:color="auto"/>
              <w:bottom w:val="single" w:sz="4" w:space="0" w:color="A6A6A6" w:themeColor="background1" w:themeShade="A6"/>
            </w:tcBorders>
            <w:shd w:val="clear" w:color="auto" w:fill="auto"/>
          </w:tcPr>
          <w:p w:rsidR="00AE0874" w:rsidRPr="001D5433" w:rsidRDefault="00AE0874" w:rsidP="0035013A">
            <w:pPr>
              <w:pStyle w:val="TableText"/>
              <w:spacing w:before="60" w:after="60"/>
              <w:rPr>
                <w:b/>
              </w:rPr>
            </w:pPr>
          </w:p>
        </w:tc>
      </w:tr>
      <w:tr w:rsidR="00AE0874" w:rsidRPr="00D85B41" w:rsidTr="001D5433">
        <w:trPr>
          <w:cantSplit/>
        </w:trPr>
        <w:tc>
          <w:tcPr>
            <w:tcW w:w="1378" w:type="pct"/>
            <w:tcBorders>
              <w:top w:val="single" w:sz="4" w:space="0" w:color="A6A6A6" w:themeColor="background1" w:themeShade="A6"/>
              <w:bottom w:val="single" w:sz="4" w:space="0" w:color="A6A6A6" w:themeColor="background1" w:themeShade="A6"/>
            </w:tcBorders>
            <w:shd w:val="clear" w:color="auto" w:fill="auto"/>
          </w:tcPr>
          <w:p w:rsidR="00AE0874" w:rsidRPr="004271D3" w:rsidRDefault="00AE0874" w:rsidP="001D5433">
            <w:pPr>
              <w:pStyle w:val="TableText"/>
              <w:spacing w:before="60" w:after="60"/>
              <w:ind w:right="142"/>
            </w:pPr>
            <w:r w:rsidRPr="004271D3">
              <w:t xml:space="preserve">Dose form </w:t>
            </w:r>
            <w:r>
              <w:t>–</w:t>
            </w:r>
            <w:r w:rsidRPr="004271D3">
              <w:t xml:space="preserve"> type</w:t>
            </w:r>
          </w:p>
        </w:tc>
        <w:tc>
          <w:tcPr>
            <w:tcW w:w="3622" w:type="pct"/>
            <w:tcBorders>
              <w:top w:val="single" w:sz="4" w:space="0" w:color="A6A6A6" w:themeColor="background1" w:themeShade="A6"/>
              <w:bottom w:val="single" w:sz="4" w:space="0" w:color="A6A6A6" w:themeColor="background1" w:themeShade="A6"/>
            </w:tcBorders>
            <w:shd w:val="clear" w:color="auto" w:fill="auto"/>
          </w:tcPr>
          <w:p w:rsidR="00AE0874" w:rsidRPr="004271D3" w:rsidRDefault="00AE0874" w:rsidP="0035013A">
            <w:pPr>
              <w:pStyle w:val="TableText"/>
              <w:spacing w:before="60" w:after="60"/>
            </w:pPr>
            <w:r w:rsidRPr="004271D3">
              <w:t>Inhaled</w:t>
            </w:r>
          </w:p>
          <w:p w:rsidR="00AE0874" w:rsidRPr="004271D3" w:rsidRDefault="00AE0874" w:rsidP="0035013A">
            <w:pPr>
              <w:pStyle w:val="TableText"/>
              <w:spacing w:before="60" w:after="60"/>
            </w:pPr>
            <w:r>
              <w:t>Aural</w:t>
            </w:r>
            <w:r w:rsidRPr="004271D3">
              <w:t xml:space="preserve"> (ear)</w:t>
            </w:r>
          </w:p>
          <w:p w:rsidR="00AE0874" w:rsidRPr="004271D3" w:rsidRDefault="00AE0874" w:rsidP="0035013A">
            <w:pPr>
              <w:pStyle w:val="TableText"/>
              <w:spacing w:before="60" w:after="60"/>
            </w:pPr>
            <w:r w:rsidRPr="004271D3">
              <w:t>Nasal</w:t>
            </w:r>
          </w:p>
          <w:p w:rsidR="00AE0874" w:rsidRPr="004271D3" w:rsidRDefault="00AE0874" w:rsidP="0035013A">
            <w:pPr>
              <w:pStyle w:val="TableText"/>
              <w:spacing w:before="60" w:after="60"/>
            </w:pPr>
            <w:r w:rsidRPr="004271D3">
              <w:t xml:space="preserve">Oral </w:t>
            </w:r>
            <w:r>
              <w:t>(liquid)</w:t>
            </w:r>
          </w:p>
          <w:p w:rsidR="00AE0874" w:rsidRPr="004271D3" w:rsidRDefault="00AE0874" w:rsidP="0035013A">
            <w:pPr>
              <w:pStyle w:val="TableText"/>
              <w:spacing w:before="60" w:after="60"/>
            </w:pPr>
            <w:r w:rsidRPr="004271D3">
              <w:t xml:space="preserve">Oral </w:t>
            </w:r>
            <w:r>
              <w:t>(</w:t>
            </w:r>
            <w:r w:rsidRPr="004271D3">
              <w:t>solid dose</w:t>
            </w:r>
            <w:r>
              <w:t>)</w:t>
            </w:r>
          </w:p>
        </w:tc>
      </w:tr>
      <w:tr w:rsidR="00AE0874" w:rsidRPr="004271D3" w:rsidTr="001D5433">
        <w:trPr>
          <w:cantSplit/>
        </w:trPr>
        <w:tc>
          <w:tcPr>
            <w:tcW w:w="1378" w:type="pct"/>
            <w:tcBorders>
              <w:top w:val="single" w:sz="4" w:space="0" w:color="A6A6A6" w:themeColor="background1" w:themeShade="A6"/>
              <w:bottom w:val="single" w:sz="4" w:space="0" w:color="A6A6A6" w:themeColor="background1" w:themeShade="A6"/>
            </w:tcBorders>
            <w:shd w:val="clear" w:color="auto" w:fill="auto"/>
          </w:tcPr>
          <w:p w:rsidR="00AE0874" w:rsidRPr="004271D3" w:rsidRDefault="00AE0874" w:rsidP="001D5433">
            <w:pPr>
              <w:pStyle w:val="TableText"/>
              <w:spacing w:before="60" w:after="60"/>
              <w:ind w:right="142"/>
            </w:pPr>
            <w:r w:rsidRPr="004271D3">
              <w:t>Microbial risk</w:t>
            </w:r>
          </w:p>
        </w:tc>
        <w:tc>
          <w:tcPr>
            <w:tcW w:w="3622" w:type="pct"/>
            <w:tcBorders>
              <w:top w:val="single" w:sz="4" w:space="0" w:color="A6A6A6" w:themeColor="background1" w:themeShade="A6"/>
              <w:bottom w:val="single" w:sz="4" w:space="0" w:color="A6A6A6" w:themeColor="background1" w:themeShade="A6"/>
            </w:tcBorders>
            <w:shd w:val="clear" w:color="auto" w:fill="auto"/>
          </w:tcPr>
          <w:p w:rsidR="00AE0874" w:rsidRPr="004271D3" w:rsidRDefault="00AE0874" w:rsidP="0035013A">
            <w:pPr>
              <w:pStyle w:val="TableText"/>
              <w:spacing w:before="60" w:after="60"/>
            </w:pPr>
            <w:r w:rsidRPr="004271D3">
              <w:t>Aural (ear)</w:t>
            </w:r>
          </w:p>
          <w:p w:rsidR="00AE0874" w:rsidRPr="004271D3" w:rsidRDefault="00AE0874" w:rsidP="0035013A">
            <w:pPr>
              <w:pStyle w:val="TableText"/>
              <w:spacing w:before="60" w:after="60"/>
            </w:pPr>
            <w:r w:rsidRPr="004271D3">
              <w:t xml:space="preserve">Inhaled </w:t>
            </w:r>
          </w:p>
        </w:tc>
      </w:tr>
      <w:tr w:rsidR="00AE0874" w:rsidRPr="004271D3" w:rsidTr="001D5433">
        <w:trPr>
          <w:cantSplit/>
        </w:trPr>
        <w:tc>
          <w:tcPr>
            <w:tcW w:w="1378" w:type="pct"/>
            <w:tcBorders>
              <w:top w:val="single" w:sz="4" w:space="0" w:color="A6A6A6" w:themeColor="background1" w:themeShade="A6"/>
              <w:bottom w:val="single" w:sz="4" w:space="0" w:color="A6A6A6" w:themeColor="background1" w:themeShade="A6"/>
            </w:tcBorders>
            <w:shd w:val="clear" w:color="auto" w:fill="auto"/>
          </w:tcPr>
          <w:p w:rsidR="00AE0874" w:rsidRPr="004271D3" w:rsidRDefault="00AE0874" w:rsidP="001D5433">
            <w:pPr>
              <w:pStyle w:val="TableText"/>
              <w:spacing w:before="60" w:after="60"/>
              <w:ind w:right="142"/>
            </w:pPr>
          </w:p>
        </w:tc>
        <w:tc>
          <w:tcPr>
            <w:tcW w:w="3622" w:type="pct"/>
            <w:tcBorders>
              <w:top w:val="single" w:sz="4" w:space="0" w:color="A6A6A6" w:themeColor="background1" w:themeShade="A6"/>
              <w:bottom w:val="single" w:sz="4" w:space="0" w:color="A6A6A6" w:themeColor="background1" w:themeShade="A6"/>
            </w:tcBorders>
            <w:shd w:val="clear" w:color="auto" w:fill="auto"/>
          </w:tcPr>
          <w:p w:rsidR="00AE0874" w:rsidRPr="004271D3" w:rsidRDefault="00AE0874" w:rsidP="0035013A">
            <w:pPr>
              <w:pStyle w:val="TableText"/>
              <w:spacing w:before="60" w:after="60"/>
            </w:pPr>
            <w:r w:rsidRPr="00E05CF6">
              <w:t xml:space="preserve">Complex dose forms, such as microspheres, transdermal and other patch systems, metered or micro-dose delivery systems </w:t>
            </w:r>
          </w:p>
        </w:tc>
      </w:tr>
      <w:tr w:rsidR="00AE0874" w:rsidRPr="004271D3" w:rsidTr="001D5433">
        <w:trPr>
          <w:cantSplit/>
        </w:trPr>
        <w:tc>
          <w:tcPr>
            <w:tcW w:w="1378" w:type="pct"/>
            <w:tcBorders>
              <w:top w:val="single" w:sz="4" w:space="0" w:color="A6A6A6" w:themeColor="background1" w:themeShade="A6"/>
              <w:bottom w:val="single" w:sz="4" w:space="0" w:color="auto"/>
            </w:tcBorders>
            <w:shd w:val="clear" w:color="auto" w:fill="auto"/>
          </w:tcPr>
          <w:p w:rsidR="00AE0874" w:rsidRPr="004271D3" w:rsidRDefault="00AE0874" w:rsidP="001D5433">
            <w:pPr>
              <w:pStyle w:val="TableText"/>
              <w:spacing w:before="60" w:after="60"/>
              <w:ind w:right="142"/>
            </w:pPr>
            <w:r w:rsidRPr="004271D3">
              <w:t>Dose accuracy / repeatability</w:t>
            </w:r>
          </w:p>
        </w:tc>
        <w:tc>
          <w:tcPr>
            <w:tcW w:w="3622" w:type="pct"/>
            <w:tcBorders>
              <w:top w:val="single" w:sz="4" w:space="0" w:color="A6A6A6" w:themeColor="background1" w:themeShade="A6"/>
              <w:bottom w:val="single" w:sz="4" w:space="0" w:color="auto"/>
            </w:tcBorders>
            <w:shd w:val="clear" w:color="auto" w:fill="auto"/>
          </w:tcPr>
          <w:p w:rsidR="00AE0874" w:rsidRPr="004271D3" w:rsidRDefault="00AE0874" w:rsidP="0035013A">
            <w:pPr>
              <w:pStyle w:val="TableText"/>
              <w:spacing w:before="60" w:after="60"/>
            </w:pPr>
            <w:r>
              <w:t>Micro-dose manufacturing (</w:t>
            </w:r>
            <w:proofErr w:type="spellStart"/>
            <w:r>
              <w:t>eg</w:t>
            </w:r>
            <w:proofErr w:type="spellEnd"/>
            <w:r>
              <w:t>, vitamin D, selenium supplementation)</w:t>
            </w:r>
          </w:p>
        </w:tc>
      </w:tr>
      <w:tr w:rsidR="00AE0874" w:rsidRPr="001D5433" w:rsidTr="001D5433">
        <w:trPr>
          <w:cantSplit/>
        </w:trPr>
        <w:tc>
          <w:tcPr>
            <w:tcW w:w="1378" w:type="pct"/>
            <w:tcBorders>
              <w:top w:val="single" w:sz="4" w:space="0" w:color="auto"/>
              <w:bottom w:val="single" w:sz="4" w:space="0" w:color="A6A6A6" w:themeColor="background1" w:themeShade="A6"/>
            </w:tcBorders>
            <w:shd w:val="clear" w:color="auto" w:fill="auto"/>
          </w:tcPr>
          <w:p w:rsidR="00AE0874" w:rsidRPr="001D5433" w:rsidRDefault="00AE0874" w:rsidP="001D5433">
            <w:pPr>
              <w:pStyle w:val="TableText"/>
              <w:spacing w:before="60" w:after="60"/>
              <w:ind w:right="142"/>
              <w:rPr>
                <w:b/>
              </w:rPr>
            </w:pPr>
            <w:r w:rsidRPr="001D5433">
              <w:rPr>
                <w:b/>
              </w:rPr>
              <w:t>Route of administration</w:t>
            </w:r>
          </w:p>
        </w:tc>
        <w:tc>
          <w:tcPr>
            <w:tcW w:w="3622" w:type="pct"/>
            <w:tcBorders>
              <w:top w:val="single" w:sz="4" w:space="0" w:color="auto"/>
              <w:bottom w:val="single" w:sz="4" w:space="0" w:color="A6A6A6" w:themeColor="background1" w:themeShade="A6"/>
            </w:tcBorders>
            <w:shd w:val="clear" w:color="auto" w:fill="auto"/>
          </w:tcPr>
          <w:p w:rsidR="00AE0874" w:rsidRPr="001D5433" w:rsidRDefault="00AE0874" w:rsidP="0035013A">
            <w:pPr>
              <w:pStyle w:val="TableText"/>
              <w:spacing w:before="60" w:after="60"/>
              <w:rPr>
                <w:b/>
              </w:rPr>
            </w:pPr>
          </w:p>
        </w:tc>
      </w:tr>
      <w:tr w:rsidR="00AE0874" w:rsidRPr="004271D3" w:rsidTr="001D5433">
        <w:trPr>
          <w:cantSplit/>
        </w:trPr>
        <w:tc>
          <w:tcPr>
            <w:tcW w:w="1378" w:type="pct"/>
            <w:tcBorders>
              <w:top w:val="single" w:sz="4" w:space="0" w:color="A6A6A6" w:themeColor="background1" w:themeShade="A6"/>
              <w:bottom w:val="single" w:sz="4" w:space="0" w:color="auto"/>
            </w:tcBorders>
            <w:shd w:val="clear" w:color="auto" w:fill="auto"/>
          </w:tcPr>
          <w:p w:rsidR="00AE0874" w:rsidRPr="00E05CF6" w:rsidRDefault="00AE0874" w:rsidP="001D5433">
            <w:pPr>
              <w:pStyle w:val="TableText"/>
              <w:spacing w:before="60" w:after="60"/>
              <w:ind w:right="142"/>
            </w:pPr>
            <w:r w:rsidRPr="00E05CF6">
              <w:t>Route of administration</w:t>
            </w:r>
          </w:p>
        </w:tc>
        <w:tc>
          <w:tcPr>
            <w:tcW w:w="3622" w:type="pct"/>
            <w:tcBorders>
              <w:top w:val="single" w:sz="4" w:space="0" w:color="A6A6A6" w:themeColor="background1" w:themeShade="A6"/>
              <w:bottom w:val="single" w:sz="4" w:space="0" w:color="auto"/>
            </w:tcBorders>
            <w:shd w:val="clear" w:color="auto" w:fill="auto"/>
          </w:tcPr>
          <w:p w:rsidR="00AE0874" w:rsidRPr="004271D3" w:rsidRDefault="00AE0874" w:rsidP="0035013A">
            <w:pPr>
              <w:pStyle w:val="TableText"/>
              <w:spacing w:before="60" w:after="60"/>
            </w:pPr>
            <w:r w:rsidRPr="004271D3">
              <w:t>Inhaled</w:t>
            </w:r>
          </w:p>
          <w:p w:rsidR="00AE0874" w:rsidRPr="004271D3" w:rsidRDefault="00AE0874" w:rsidP="0035013A">
            <w:pPr>
              <w:pStyle w:val="TableText"/>
              <w:spacing w:before="60" w:after="60"/>
            </w:pPr>
            <w:r>
              <w:t>Aural</w:t>
            </w:r>
            <w:r w:rsidRPr="004271D3">
              <w:t xml:space="preserve"> (ear)</w:t>
            </w:r>
          </w:p>
          <w:p w:rsidR="00AE0874" w:rsidRPr="004271D3" w:rsidRDefault="00AE0874" w:rsidP="0035013A">
            <w:pPr>
              <w:pStyle w:val="TableText"/>
              <w:spacing w:before="60" w:after="60"/>
            </w:pPr>
            <w:r w:rsidRPr="004271D3">
              <w:t>Oral</w:t>
            </w:r>
          </w:p>
        </w:tc>
      </w:tr>
      <w:tr w:rsidR="00AE0874" w:rsidRPr="001D5433" w:rsidTr="001D5433">
        <w:trPr>
          <w:cantSplit/>
        </w:trPr>
        <w:tc>
          <w:tcPr>
            <w:tcW w:w="1378" w:type="pct"/>
            <w:tcBorders>
              <w:top w:val="single" w:sz="4" w:space="0" w:color="auto"/>
              <w:bottom w:val="single" w:sz="4" w:space="0" w:color="A6A6A6" w:themeColor="background1" w:themeShade="A6"/>
            </w:tcBorders>
            <w:shd w:val="clear" w:color="auto" w:fill="auto"/>
          </w:tcPr>
          <w:p w:rsidR="00AE0874" w:rsidRPr="001D5433" w:rsidRDefault="00AE0874" w:rsidP="001D5433">
            <w:pPr>
              <w:pStyle w:val="TableText"/>
              <w:spacing w:before="60" w:after="60"/>
              <w:ind w:right="142"/>
              <w:rPr>
                <w:b/>
              </w:rPr>
            </w:pPr>
            <w:r w:rsidRPr="001D5433">
              <w:rPr>
                <w:b/>
              </w:rPr>
              <w:t>Manufacture</w:t>
            </w:r>
          </w:p>
        </w:tc>
        <w:tc>
          <w:tcPr>
            <w:tcW w:w="3622" w:type="pct"/>
            <w:tcBorders>
              <w:top w:val="single" w:sz="4" w:space="0" w:color="auto"/>
              <w:bottom w:val="single" w:sz="4" w:space="0" w:color="A6A6A6" w:themeColor="background1" w:themeShade="A6"/>
            </w:tcBorders>
            <w:shd w:val="clear" w:color="auto" w:fill="auto"/>
          </w:tcPr>
          <w:p w:rsidR="00AE0874" w:rsidRPr="001D5433" w:rsidRDefault="00AE0874" w:rsidP="0035013A">
            <w:pPr>
              <w:pStyle w:val="TableText"/>
              <w:spacing w:before="60" w:after="60"/>
              <w:rPr>
                <w:b/>
              </w:rPr>
            </w:pPr>
          </w:p>
        </w:tc>
      </w:tr>
      <w:tr w:rsidR="00AE0874" w:rsidRPr="004271D3" w:rsidTr="001D5433">
        <w:trPr>
          <w:cantSplit/>
        </w:trPr>
        <w:tc>
          <w:tcPr>
            <w:tcW w:w="1378" w:type="pct"/>
            <w:tcBorders>
              <w:top w:val="single" w:sz="4" w:space="0" w:color="A6A6A6" w:themeColor="background1" w:themeShade="A6"/>
              <w:bottom w:val="single" w:sz="4" w:space="0" w:color="A6A6A6" w:themeColor="background1" w:themeShade="A6"/>
            </w:tcBorders>
            <w:shd w:val="clear" w:color="auto" w:fill="auto"/>
          </w:tcPr>
          <w:p w:rsidR="00AE0874" w:rsidRPr="004271D3" w:rsidRDefault="00AE0874" w:rsidP="001D5433">
            <w:pPr>
              <w:pStyle w:val="TableText"/>
              <w:spacing w:before="60" w:after="60"/>
              <w:ind w:right="142"/>
            </w:pPr>
            <w:r w:rsidRPr="004271D3">
              <w:t>Manufacturing complexity</w:t>
            </w:r>
          </w:p>
        </w:tc>
        <w:tc>
          <w:tcPr>
            <w:tcW w:w="3622" w:type="pct"/>
            <w:tcBorders>
              <w:top w:val="single" w:sz="4" w:space="0" w:color="A6A6A6" w:themeColor="background1" w:themeShade="A6"/>
              <w:bottom w:val="single" w:sz="4" w:space="0" w:color="A6A6A6" w:themeColor="background1" w:themeShade="A6"/>
            </w:tcBorders>
            <w:shd w:val="clear" w:color="auto" w:fill="auto"/>
          </w:tcPr>
          <w:p w:rsidR="00AE0874" w:rsidRPr="00202651" w:rsidRDefault="00AE0874" w:rsidP="0035013A">
            <w:pPr>
              <w:pStyle w:val="TableText"/>
              <w:spacing w:before="60" w:after="60"/>
            </w:pPr>
            <w:r w:rsidRPr="004271D3">
              <w:t xml:space="preserve">Multi-step process (over </w:t>
            </w:r>
            <w:r>
              <w:t>5</w:t>
            </w:r>
            <w:r w:rsidRPr="004271D3">
              <w:t xml:space="preserve"> steps), using complex and automated equipment</w:t>
            </w:r>
          </w:p>
          <w:p w:rsidR="00AE0874" w:rsidRPr="004271D3" w:rsidRDefault="00AE0874" w:rsidP="0035013A">
            <w:pPr>
              <w:pStyle w:val="TableText"/>
              <w:spacing w:before="60" w:after="60"/>
            </w:pPr>
            <w:r w:rsidRPr="004271D3">
              <w:t>In</w:t>
            </w:r>
            <w:r>
              <w:t>-</w:t>
            </w:r>
            <w:r w:rsidRPr="004271D3">
              <w:t>process checks more complex, and include some a</w:t>
            </w:r>
            <w:r>
              <w:t xml:space="preserve">utomation (such as </w:t>
            </w:r>
            <w:r w:rsidRPr="004271D3">
              <w:t>in</w:t>
            </w:r>
            <w:r>
              <w:t>-</w:t>
            </w:r>
            <w:r w:rsidRPr="004271D3">
              <w:t>line filling)</w:t>
            </w:r>
          </w:p>
        </w:tc>
      </w:tr>
      <w:tr w:rsidR="00AE0874" w:rsidRPr="004271D3" w:rsidTr="001D5433">
        <w:trPr>
          <w:cantSplit/>
        </w:trPr>
        <w:tc>
          <w:tcPr>
            <w:tcW w:w="1378" w:type="pct"/>
            <w:tcBorders>
              <w:top w:val="single" w:sz="4" w:space="0" w:color="A6A6A6" w:themeColor="background1" w:themeShade="A6"/>
              <w:bottom w:val="single" w:sz="4" w:space="0" w:color="A6A6A6" w:themeColor="background1" w:themeShade="A6"/>
            </w:tcBorders>
            <w:shd w:val="clear" w:color="auto" w:fill="auto"/>
          </w:tcPr>
          <w:p w:rsidR="00AE0874" w:rsidRPr="004271D3" w:rsidRDefault="00AE0874" w:rsidP="001D5433">
            <w:pPr>
              <w:pStyle w:val="TableText"/>
              <w:spacing w:before="60" w:after="60"/>
              <w:ind w:right="142"/>
            </w:pPr>
            <w:r w:rsidRPr="004271D3">
              <w:t>Manufacturing volume</w:t>
            </w:r>
          </w:p>
        </w:tc>
        <w:tc>
          <w:tcPr>
            <w:tcW w:w="3622" w:type="pct"/>
            <w:tcBorders>
              <w:top w:val="single" w:sz="4" w:space="0" w:color="A6A6A6" w:themeColor="background1" w:themeShade="A6"/>
              <w:bottom w:val="single" w:sz="4" w:space="0" w:color="A6A6A6" w:themeColor="background1" w:themeShade="A6"/>
            </w:tcBorders>
            <w:shd w:val="clear" w:color="auto" w:fill="auto"/>
          </w:tcPr>
          <w:p w:rsidR="00AE0874" w:rsidRPr="004271D3" w:rsidRDefault="00AE0874" w:rsidP="001D5433">
            <w:pPr>
              <w:pStyle w:val="TableText"/>
              <w:spacing w:before="60" w:after="60"/>
            </w:pPr>
            <w:r w:rsidRPr="004271D3">
              <w:t>High volume of manufacture (</w:t>
            </w:r>
            <w:proofErr w:type="spellStart"/>
            <w:r>
              <w:t>eg</w:t>
            </w:r>
            <w:proofErr w:type="spellEnd"/>
            <w:r>
              <w:t xml:space="preserve">, </w:t>
            </w:r>
            <w:r w:rsidRPr="004271D3">
              <w:t>&gt; 10,000 units, and over 20 batches per year)</w:t>
            </w:r>
          </w:p>
        </w:tc>
      </w:tr>
      <w:tr w:rsidR="00AE0874" w:rsidRPr="004271D3" w:rsidTr="001D5433">
        <w:trPr>
          <w:cantSplit/>
        </w:trPr>
        <w:tc>
          <w:tcPr>
            <w:tcW w:w="1378" w:type="pct"/>
            <w:tcBorders>
              <w:top w:val="single" w:sz="4" w:space="0" w:color="A6A6A6" w:themeColor="background1" w:themeShade="A6"/>
            </w:tcBorders>
            <w:shd w:val="clear" w:color="auto" w:fill="auto"/>
          </w:tcPr>
          <w:p w:rsidR="00AE0874" w:rsidRPr="004271D3" w:rsidRDefault="00AE0874" w:rsidP="001D5433">
            <w:pPr>
              <w:pStyle w:val="TableText"/>
              <w:spacing w:before="60" w:after="60"/>
              <w:ind w:right="142"/>
            </w:pPr>
            <w:r w:rsidRPr="004271D3">
              <w:t>Manufacturing range</w:t>
            </w:r>
          </w:p>
        </w:tc>
        <w:tc>
          <w:tcPr>
            <w:tcW w:w="3622" w:type="pct"/>
            <w:tcBorders>
              <w:top w:val="single" w:sz="4" w:space="0" w:color="A6A6A6" w:themeColor="background1" w:themeShade="A6"/>
            </w:tcBorders>
            <w:shd w:val="clear" w:color="auto" w:fill="auto"/>
          </w:tcPr>
          <w:p w:rsidR="0092532C" w:rsidRDefault="00AE0874" w:rsidP="0035013A">
            <w:pPr>
              <w:pStyle w:val="TableText"/>
              <w:spacing w:before="60" w:after="60"/>
            </w:pPr>
            <w:r w:rsidRPr="00E05CF6">
              <w:t>High range of different types of products and dose forms, including products that need strict segregation practices</w:t>
            </w:r>
          </w:p>
          <w:p w:rsidR="00AE0874" w:rsidRPr="004271D3" w:rsidRDefault="00AE0874" w:rsidP="0035013A">
            <w:pPr>
              <w:pStyle w:val="TableText"/>
              <w:spacing w:before="60" w:after="60"/>
            </w:pPr>
            <w:r w:rsidRPr="00E05CF6">
              <w:t>Multi-purpose facility (NHP and non-NHP, and may include a range of dose forms)</w:t>
            </w:r>
          </w:p>
        </w:tc>
      </w:tr>
    </w:tbl>
    <w:p w:rsidR="00AE0874" w:rsidRDefault="00AE0874" w:rsidP="001D5433"/>
    <w:p w:rsidR="00AE0874" w:rsidRPr="00CE0FBD" w:rsidRDefault="00AE0874" w:rsidP="001D5433">
      <w:pPr>
        <w:pStyle w:val="Heading2"/>
      </w:pPr>
      <w:bookmarkStart w:id="57" w:name="_Toc435183525"/>
      <w:bookmarkStart w:id="58" w:name="_Toc435347229"/>
      <w:r w:rsidRPr="00CE0FBD">
        <w:lastRenderedPageBreak/>
        <w:t>Exemption from audit</w:t>
      </w:r>
      <w:bookmarkEnd w:id="57"/>
      <w:bookmarkEnd w:id="58"/>
    </w:p>
    <w:p w:rsidR="00AE0874" w:rsidRPr="00CE0FBD" w:rsidRDefault="00AE0874" w:rsidP="008105D3">
      <w:pPr>
        <w:keepNext/>
      </w:pPr>
      <w:r>
        <w:t>S</w:t>
      </w:r>
      <w:r w:rsidRPr="00CE0FBD">
        <w:t>mall-scale m</w:t>
      </w:r>
      <w:r>
        <w:t>anufacturers of very low-</w:t>
      </w:r>
      <w:r w:rsidRPr="00CE0FBD">
        <w:t xml:space="preserve">risk products </w:t>
      </w:r>
      <w:r>
        <w:t>can apply to</w:t>
      </w:r>
      <w:r w:rsidRPr="00CE0FBD">
        <w:t xml:space="preserve"> be exempt from audit.</w:t>
      </w:r>
    </w:p>
    <w:p w:rsidR="00AE0874" w:rsidRPr="00CE0FBD" w:rsidRDefault="00AE0874" w:rsidP="008105D3">
      <w:pPr>
        <w:keepNext/>
      </w:pPr>
    </w:p>
    <w:p w:rsidR="00AE0874" w:rsidRPr="00CE0FBD" w:rsidRDefault="00AE0874" w:rsidP="001D5433">
      <w:pPr>
        <w:pStyle w:val="Heading2"/>
      </w:pPr>
      <w:bookmarkStart w:id="59" w:name="_Toc435183526"/>
      <w:bookmarkStart w:id="60" w:name="_Toc435347230"/>
      <w:r>
        <w:t>Exemption from requirement to have a m</w:t>
      </w:r>
      <w:r w:rsidRPr="00CE0FBD">
        <w:t>anufacturing licence</w:t>
      </w:r>
      <w:bookmarkEnd w:id="59"/>
      <w:bookmarkEnd w:id="60"/>
    </w:p>
    <w:p w:rsidR="00AE0874" w:rsidRPr="00CE0FBD" w:rsidRDefault="00AE0874" w:rsidP="001D5433">
      <w:pPr>
        <w:keepLines/>
      </w:pPr>
      <w:r w:rsidRPr="00CE0FBD">
        <w:t xml:space="preserve">A manufacturing licence is not required if the manufacturer is making a product (or products) for a person to use for their own treatment after a consultation or </w:t>
      </w:r>
      <w:r>
        <w:t xml:space="preserve">on behalf of </w:t>
      </w:r>
      <w:r w:rsidRPr="00CE0FBD">
        <w:t>someone</w:t>
      </w:r>
      <w:r>
        <w:t>.</w:t>
      </w:r>
      <w:r w:rsidRPr="00CE0FBD">
        <w:t xml:space="preserve"> This exemption is intended for natural health practitioners who may manufacture a</w:t>
      </w:r>
      <w:r>
        <w:t>n NHP</w:t>
      </w:r>
      <w:r w:rsidRPr="00CE0FBD">
        <w:t xml:space="preserve"> for a patient. </w:t>
      </w:r>
      <w:r>
        <w:t>It also applies if the practitioner uses another practitioner to manufacture the product for them.</w:t>
      </w:r>
    </w:p>
    <w:p w:rsidR="00AE0874" w:rsidRPr="00CE0FBD" w:rsidRDefault="00AE0874" w:rsidP="001D5433"/>
    <w:p w:rsidR="00AE0874" w:rsidRPr="00CE0FBD" w:rsidRDefault="00AE0874" w:rsidP="001D5433">
      <w:r w:rsidRPr="00CE0FBD">
        <w:t>In all other instances, including manufacturing by a natural health practitioner for commercial sale, a manufacturing licence is required.</w:t>
      </w:r>
    </w:p>
    <w:p w:rsidR="00AE0874" w:rsidRPr="00CE0FBD" w:rsidRDefault="00AE0874" w:rsidP="001D5433"/>
    <w:p w:rsidR="00AE0874" w:rsidRDefault="00AE0874" w:rsidP="001D5433">
      <w:pPr>
        <w:pStyle w:val="Heading2"/>
      </w:pPr>
      <w:bookmarkStart w:id="61" w:name="_Toc435183527"/>
      <w:bookmarkStart w:id="62" w:name="_Toc435347231"/>
      <w:r>
        <w:t>Licence granted by a recognised authority</w:t>
      </w:r>
      <w:bookmarkEnd w:id="61"/>
      <w:bookmarkEnd w:id="62"/>
    </w:p>
    <w:p w:rsidR="00AE0874" w:rsidRDefault="00AE0874" w:rsidP="001D5433">
      <w:r>
        <w:t>A manufacturing facility in which NHPs are manufactured under a licence granted by a recognised authority is deemed to be compliant with the Code unless the Authority has reasonable grounds to believe otherwise. If there is evidence of any non-compliance with regulatory requirements, such as breaches of the Act, licence conditions or the Code, or the Authority has received complaints about a product, the Authority may require an audit of the manufacturing facility to determine the manufacturer</w:t>
      </w:r>
      <w:r w:rsidR="0092532C">
        <w:t>’</w:t>
      </w:r>
      <w:r>
        <w:t>s level of compliance with the Code.</w:t>
      </w:r>
    </w:p>
    <w:p w:rsidR="00AE0874" w:rsidRDefault="00AE0874" w:rsidP="001D5433"/>
    <w:p w:rsidR="00AE0874" w:rsidRDefault="00AE0874" w:rsidP="001D5433">
      <w:r>
        <w:t>The Act provides for the Authority to declare a person or body to be a recognised authority if the Authority is satisfied that the person or body has the expertise to assess compliance with the Code or an equivalent code of manufacturing practice. The Authority will publish a list of recognised authorities for this purpose.</w:t>
      </w:r>
    </w:p>
    <w:p w:rsidR="00AE0874" w:rsidRDefault="00AE0874" w:rsidP="001D5433"/>
    <w:p w:rsidR="001D5433" w:rsidRDefault="001D5433" w:rsidP="001D5433">
      <w:bookmarkStart w:id="63" w:name="_Toc435183528"/>
      <w:r>
        <w:br w:type="page"/>
      </w:r>
    </w:p>
    <w:p w:rsidR="0092532C" w:rsidRDefault="00AE0874" w:rsidP="008105D3">
      <w:pPr>
        <w:pStyle w:val="Heading1"/>
      </w:pPr>
      <w:bookmarkStart w:id="64" w:name="_Toc435347232"/>
      <w:r w:rsidRPr="00196E62">
        <w:lastRenderedPageBreak/>
        <w:t>Question and answer guidance</w:t>
      </w:r>
      <w:bookmarkEnd w:id="63"/>
      <w:bookmarkEnd w:id="64"/>
    </w:p>
    <w:p w:rsidR="00AE0874" w:rsidRPr="00256029" w:rsidRDefault="00AE0874" w:rsidP="00285971">
      <w:pPr>
        <w:pStyle w:val="Heading2"/>
      </w:pPr>
      <w:bookmarkStart w:id="65" w:name="_Toc435183529"/>
      <w:bookmarkStart w:id="66" w:name="_Toc435347233"/>
      <w:r w:rsidRPr="00256029">
        <w:t>Introduction</w:t>
      </w:r>
      <w:bookmarkEnd w:id="65"/>
      <w:bookmarkEnd w:id="66"/>
    </w:p>
    <w:p w:rsidR="00AE0874" w:rsidRDefault="00AE0874" w:rsidP="00285971">
      <w:r w:rsidRPr="00196E62">
        <w:t xml:space="preserve">Included below are questions and answers (Q+A) to assist product </w:t>
      </w:r>
      <w:proofErr w:type="spellStart"/>
      <w:r w:rsidRPr="00196E62">
        <w:t>notifiers</w:t>
      </w:r>
      <w:proofErr w:type="spellEnd"/>
      <w:r w:rsidRPr="00196E62">
        <w:t xml:space="preserve"> and manufacturers to interpret the Code.</w:t>
      </w:r>
      <w:r w:rsidR="0092532C">
        <w:t xml:space="preserve"> </w:t>
      </w:r>
      <w:r w:rsidRPr="00196E62">
        <w:t>The Q+</w:t>
      </w:r>
      <w:proofErr w:type="gramStart"/>
      <w:r w:rsidRPr="00196E62">
        <w:t>A</w:t>
      </w:r>
      <w:proofErr w:type="gramEnd"/>
      <w:r w:rsidRPr="00196E62">
        <w:t xml:space="preserve"> are intended to clarify areas of uncertainty and provide direction as to what manufacturers may need to consider, depend</w:t>
      </w:r>
      <w:r>
        <w:t>ing</w:t>
      </w:r>
      <w:r w:rsidRPr="00196E62">
        <w:t xml:space="preserve"> on the risk of their product or manufacture process.</w:t>
      </w:r>
      <w:r w:rsidR="0092532C">
        <w:t xml:space="preserve"> </w:t>
      </w:r>
      <w:r w:rsidRPr="00196E62">
        <w:t>The Q+</w:t>
      </w:r>
      <w:proofErr w:type="gramStart"/>
      <w:r w:rsidRPr="00196E62">
        <w:t>A</w:t>
      </w:r>
      <w:proofErr w:type="gramEnd"/>
      <w:r w:rsidRPr="00196E62">
        <w:t xml:space="preserve"> are not intended to provide a detailed description of activities </w:t>
      </w:r>
      <w:r>
        <w:t>or</w:t>
      </w:r>
      <w:r w:rsidRPr="00196E62">
        <w:t xml:space="preserve"> list the requirements of the manufacturers under the Code.</w:t>
      </w:r>
    </w:p>
    <w:p w:rsidR="00AE0874" w:rsidRPr="00366857" w:rsidRDefault="00AE0874" w:rsidP="00285971"/>
    <w:p w:rsidR="0092532C" w:rsidRDefault="00AE0874" w:rsidP="00285971">
      <w:r w:rsidRPr="00366857">
        <w:t>Following consultation with relevant stakeholders, the Q+A will be updated and added to accordingly.</w:t>
      </w:r>
      <w:r w:rsidR="0092532C">
        <w:t xml:space="preserve"> </w:t>
      </w:r>
      <w:r w:rsidRPr="00366857">
        <w:t>It is anticipated that further areas for Q+A guidance development may result from the consultation.</w:t>
      </w:r>
    </w:p>
    <w:p w:rsidR="00AE0874" w:rsidRPr="00653DA3" w:rsidRDefault="00AE0874" w:rsidP="00285971"/>
    <w:p w:rsidR="00AE0874" w:rsidRPr="00256029" w:rsidRDefault="00AE0874" w:rsidP="00285971">
      <w:pPr>
        <w:pStyle w:val="Heading2"/>
      </w:pPr>
      <w:bookmarkStart w:id="67" w:name="_Toc435183530"/>
      <w:bookmarkStart w:id="68" w:name="_Toc435347234"/>
      <w:r w:rsidRPr="00256029">
        <w:t>Personnel</w:t>
      </w:r>
      <w:bookmarkEnd w:id="67"/>
      <w:bookmarkEnd w:id="68"/>
    </w:p>
    <w:p w:rsidR="00AE0874" w:rsidRPr="00366857" w:rsidRDefault="00AE0874" w:rsidP="00285971">
      <w:pPr>
        <w:pStyle w:val="Heading3"/>
      </w:pPr>
      <w:bookmarkStart w:id="69" w:name="_Toc435183531"/>
      <w:r w:rsidRPr="00366857">
        <w:t>Do I need an organisation chart?</w:t>
      </w:r>
      <w:bookmarkEnd w:id="69"/>
    </w:p>
    <w:p w:rsidR="00AE0874" w:rsidRPr="00366857" w:rsidRDefault="00AE0874" w:rsidP="00EB598B">
      <w:pPr>
        <w:ind w:left="992"/>
      </w:pPr>
      <w:r w:rsidRPr="00366857">
        <w:t xml:space="preserve">Not necessarily. If your operations are small and consist of one to perhaps three </w:t>
      </w:r>
      <w:r>
        <w:t>people</w:t>
      </w:r>
      <w:r w:rsidRPr="00366857">
        <w:t xml:space="preserve">, an organisation chart may not be necessary. However, </w:t>
      </w:r>
      <w:r>
        <w:t>if</w:t>
      </w:r>
      <w:r w:rsidRPr="00366857">
        <w:t xml:space="preserve"> more than one person is involved, a chart listing functions and responsibilities would be useful.</w:t>
      </w:r>
    </w:p>
    <w:p w:rsidR="00AE0874" w:rsidRPr="00366857" w:rsidRDefault="00AE0874" w:rsidP="00285971"/>
    <w:p w:rsidR="00AE0874" w:rsidRPr="00256029" w:rsidRDefault="00AE0874" w:rsidP="00285971">
      <w:pPr>
        <w:pStyle w:val="Heading2"/>
      </w:pPr>
      <w:bookmarkStart w:id="70" w:name="_Toc435183532"/>
      <w:bookmarkStart w:id="71" w:name="_Toc435347235"/>
      <w:r w:rsidRPr="00256029">
        <w:t>Premises and equipment</w:t>
      </w:r>
      <w:bookmarkEnd w:id="70"/>
      <w:bookmarkEnd w:id="71"/>
    </w:p>
    <w:p w:rsidR="00AE0874" w:rsidRPr="00366857" w:rsidRDefault="00AE0874" w:rsidP="00285971">
      <w:pPr>
        <w:pStyle w:val="Heading3"/>
      </w:pPr>
      <w:bookmarkStart w:id="72" w:name="_Toc435183533"/>
      <w:r w:rsidRPr="00366857">
        <w:t>Do I need separate rooms to store quarantined, released, rejected, returned or recalled product</w:t>
      </w:r>
      <w:r>
        <w:t>s</w:t>
      </w:r>
      <w:r w:rsidRPr="00366857">
        <w:t>?</w:t>
      </w:r>
      <w:bookmarkEnd w:id="72"/>
    </w:p>
    <w:p w:rsidR="0092532C" w:rsidRDefault="00AE0874" w:rsidP="00EB598B">
      <w:pPr>
        <w:ind w:left="992"/>
      </w:pPr>
      <w:r w:rsidRPr="00366857">
        <w:t xml:space="preserve">Not necessarily. The Code requires </w:t>
      </w:r>
      <w:r w:rsidR="0092532C">
        <w:t>‘</w:t>
      </w:r>
      <w:r w:rsidRPr="00366857">
        <w:t>orderly storage</w:t>
      </w:r>
      <w:r w:rsidR="0092532C">
        <w:t>’</w:t>
      </w:r>
      <w:r w:rsidRPr="00366857">
        <w:t>. Materials of different status stored in the same area should be clearly separated. Ways of achieving separation may include using partitions, cages, computer inventory systems or labelling. Smaller operations may consider using a simple system of storing products of different status on different shelves of the store room.</w:t>
      </w:r>
    </w:p>
    <w:p w:rsidR="00AE0874" w:rsidRPr="00366857" w:rsidRDefault="00AE0874" w:rsidP="00285971"/>
    <w:p w:rsidR="00AE0874" w:rsidRPr="00366857" w:rsidRDefault="00AE0874" w:rsidP="00285971">
      <w:pPr>
        <w:pStyle w:val="Heading3"/>
      </w:pPr>
      <w:bookmarkStart w:id="73" w:name="_Toc435183534"/>
      <w:r w:rsidRPr="00366857">
        <w:t>Can I store raw materials in the same room I use to make products?</w:t>
      </w:r>
      <w:bookmarkEnd w:id="73"/>
    </w:p>
    <w:p w:rsidR="00AE0874" w:rsidRPr="00366857" w:rsidRDefault="00AE0874" w:rsidP="00EB598B">
      <w:pPr>
        <w:ind w:left="992"/>
      </w:pPr>
      <w:proofErr w:type="gramStart"/>
      <w:r w:rsidRPr="00366857">
        <w:t>Generally, no.</w:t>
      </w:r>
      <w:proofErr w:type="gramEnd"/>
      <w:r w:rsidRPr="00366857">
        <w:t xml:space="preserve"> In very small facilities, it may be possible if raw material storage is physically segregated in a secure area of the room to prevent mix-ups</w:t>
      </w:r>
      <w:r>
        <w:t>,</w:t>
      </w:r>
      <w:r w:rsidRPr="00366857">
        <w:t xml:space="preserve"> and raw material storage does not interfere with the effective cleaning of the production area. For crude herbal materials, separate storage areas with appropriate ventilation would be required to prevent the spread of any animals and micro-organisms brought in with the material and to prevent fermentation or mould growth.</w:t>
      </w:r>
    </w:p>
    <w:p w:rsidR="00AE0874" w:rsidRPr="00366857" w:rsidRDefault="00AE0874" w:rsidP="00285971"/>
    <w:p w:rsidR="00AE0874" w:rsidRPr="00366857" w:rsidRDefault="00AE0874" w:rsidP="00285971">
      <w:pPr>
        <w:pStyle w:val="Heading3"/>
      </w:pPr>
      <w:bookmarkStart w:id="74" w:name="_Toc435183535"/>
      <w:r w:rsidRPr="00366857">
        <w:lastRenderedPageBreak/>
        <w:t>Can I store spare manufacturing equipment in the area used to store my raw materials?</w:t>
      </w:r>
      <w:bookmarkEnd w:id="74"/>
    </w:p>
    <w:p w:rsidR="00AE0874" w:rsidRPr="00366857" w:rsidRDefault="00AE0874" w:rsidP="00EB598B">
      <w:pPr>
        <w:ind w:left="992"/>
      </w:pPr>
      <w:r w:rsidRPr="00366857">
        <w:t>If equipment is stored in these areas, it should be clean and dry, and protected and sealed to prevent contamination risk.</w:t>
      </w:r>
    </w:p>
    <w:p w:rsidR="00AE0874" w:rsidRPr="00366857" w:rsidRDefault="00AE0874" w:rsidP="00285971"/>
    <w:p w:rsidR="0092532C" w:rsidRDefault="00AE0874" w:rsidP="00285971">
      <w:pPr>
        <w:pStyle w:val="Heading3"/>
      </w:pPr>
      <w:bookmarkStart w:id="75" w:name="_Toc435183536"/>
      <w:r w:rsidRPr="00366857">
        <w:t>Can materials used for other types of products that I also make (such as natural cleaning products, cosmetics or food) be stored with materials for NHPs?</w:t>
      </w:r>
      <w:bookmarkEnd w:id="75"/>
    </w:p>
    <w:p w:rsidR="00AE0874" w:rsidRPr="00366857" w:rsidRDefault="00AE0874" w:rsidP="00EB598B">
      <w:pPr>
        <w:ind w:left="992"/>
      </w:pPr>
      <w:r w:rsidRPr="00366857">
        <w:t>This might be possible depending on the nature of the other materials and if measures are taken to reduce the risk of cross</w:t>
      </w:r>
      <w:r>
        <w:t>-</w:t>
      </w:r>
      <w:r w:rsidRPr="00366857">
        <w:t xml:space="preserve">contamination between materials. </w:t>
      </w:r>
      <w:r>
        <w:t>These include</w:t>
      </w:r>
      <w:r w:rsidRPr="00366857">
        <w:t xml:space="preserve"> segregating materials into clearly designated areas, ensuring containers are thoroughly cleaned and properly sealed, and not using shared sampling equipment. Pesticides, herbicides and other similar poisonous materials should not be in the same premises as NHPs</w:t>
      </w:r>
      <w:r>
        <w:t>,</w:t>
      </w:r>
      <w:r w:rsidRPr="00366857">
        <w:t xml:space="preserve"> however.</w:t>
      </w:r>
    </w:p>
    <w:p w:rsidR="00AE0874" w:rsidRPr="00366857" w:rsidRDefault="00AE0874" w:rsidP="00285971"/>
    <w:p w:rsidR="00AE0874" w:rsidRPr="00366857" w:rsidRDefault="00AE0874" w:rsidP="00285971">
      <w:pPr>
        <w:pStyle w:val="Heading3"/>
      </w:pPr>
      <w:bookmarkStart w:id="76" w:name="_Toc435183537"/>
      <w:r w:rsidRPr="00366857">
        <w:t xml:space="preserve">My facility is very small, </w:t>
      </w:r>
      <w:r>
        <w:t xml:space="preserve">so </w:t>
      </w:r>
      <w:r w:rsidRPr="00366857">
        <w:t>do I need to have receiving and dispatch bays?</w:t>
      </w:r>
      <w:bookmarkEnd w:id="76"/>
    </w:p>
    <w:p w:rsidR="00AE0874" w:rsidRPr="00366857" w:rsidRDefault="00AE0874" w:rsidP="00EB598B">
      <w:pPr>
        <w:ind w:left="992"/>
      </w:pPr>
      <w:r w:rsidRPr="00366857">
        <w:t xml:space="preserve">Not if you have other ways to ensure materials are </w:t>
      </w:r>
      <w:r>
        <w:t>sheltered from</w:t>
      </w:r>
      <w:r w:rsidRPr="00366857">
        <w:t xml:space="preserve"> the weather whil</w:t>
      </w:r>
      <w:r>
        <w:t>e</w:t>
      </w:r>
      <w:r w:rsidRPr="00366857">
        <w:t xml:space="preserve"> being unloaded </w:t>
      </w:r>
      <w:r>
        <w:t>or</w:t>
      </w:r>
      <w:r w:rsidRPr="00366857">
        <w:t xml:space="preserve"> loaded and awaiting checking.</w:t>
      </w:r>
    </w:p>
    <w:p w:rsidR="00AE0874" w:rsidRPr="00366857" w:rsidRDefault="00AE0874" w:rsidP="00285971"/>
    <w:p w:rsidR="00AE0874" w:rsidRPr="00366857" w:rsidRDefault="00AE0874" w:rsidP="00285971">
      <w:pPr>
        <w:pStyle w:val="Heading3"/>
      </w:pPr>
      <w:bookmarkStart w:id="77" w:name="_Toc435183538"/>
      <w:r w:rsidRPr="00366857">
        <w:t>How secure do storage areas need to be?</w:t>
      </w:r>
      <w:bookmarkEnd w:id="77"/>
    </w:p>
    <w:p w:rsidR="00AE0874" w:rsidRPr="00366857" w:rsidRDefault="00AE0874" w:rsidP="00EB598B">
      <w:pPr>
        <w:ind w:left="992"/>
      </w:pPr>
      <w:r w:rsidRPr="00366857">
        <w:t>As a minimum, security measures should prevent non-company personnel accessing storage areas</w:t>
      </w:r>
      <w:r>
        <w:t>.</w:t>
      </w:r>
      <w:r w:rsidRPr="00366857">
        <w:t xml:space="preserve"> </w:t>
      </w:r>
      <w:r>
        <w:t>T</w:t>
      </w:r>
      <w:r w:rsidRPr="00366857">
        <w:t>his can be achieved using standard security precautions, such as making sure doors remain closed and locked when areas are unattended. Areas used to store higher</w:t>
      </w:r>
      <w:r>
        <w:t>-</w:t>
      </w:r>
      <w:r w:rsidRPr="00366857">
        <w:t>risk materials and printed packaging may require additional restrictions such as locked cages to ensure only authorised staff have access.</w:t>
      </w:r>
    </w:p>
    <w:p w:rsidR="00AE0874" w:rsidRPr="00366857" w:rsidRDefault="00AE0874" w:rsidP="00285971"/>
    <w:p w:rsidR="00AE0874" w:rsidRPr="00366857" w:rsidRDefault="00AE0874" w:rsidP="00285971">
      <w:pPr>
        <w:pStyle w:val="Heading3"/>
      </w:pPr>
      <w:bookmarkStart w:id="78" w:name="_Toc435183539"/>
      <w:r w:rsidRPr="00366857">
        <w:t>What are acceptable temperature and humidity limits for storage?</w:t>
      </w:r>
      <w:bookmarkEnd w:id="78"/>
    </w:p>
    <w:p w:rsidR="00AE0874" w:rsidRPr="00366857" w:rsidRDefault="00AE0874" w:rsidP="00EB598B">
      <w:pPr>
        <w:ind w:left="992"/>
      </w:pPr>
      <w:r w:rsidRPr="00366857">
        <w:t xml:space="preserve">This depends on the materials being stored. The storage conditions should ensure each material remains fit for its intended purpose throughout </w:t>
      </w:r>
      <w:r>
        <w:t>its</w:t>
      </w:r>
      <w:r w:rsidRPr="00366857">
        <w:t xml:space="preserve"> shelf life. </w:t>
      </w:r>
      <w:r>
        <w:t>E</w:t>
      </w:r>
      <w:r w:rsidRPr="00366857">
        <w:t>ach material should be assess</w:t>
      </w:r>
      <w:r>
        <w:t>ed</w:t>
      </w:r>
      <w:r w:rsidRPr="00366857">
        <w:t xml:space="preserve"> to ensure the storage conditions are suitable. This assessment may be as simple as referring to the labelled storage conditions for purchased materials. If humidity does not affect the materials, then humidity limits do not need to be established for them.</w:t>
      </w:r>
    </w:p>
    <w:p w:rsidR="00AE0874" w:rsidRPr="00366857" w:rsidRDefault="00AE0874" w:rsidP="00285971"/>
    <w:p w:rsidR="00AE0874" w:rsidRPr="00366857" w:rsidRDefault="00AE0874" w:rsidP="00285971">
      <w:pPr>
        <w:pStyle w:val="Heading3"/>
      </w:pPr>
      <w:bookmarkStart w:id="79" w:name="_Toc435183540"/>
      <w:r w:rsidRPr="00366857">
        <w:t>Do I need to install air conditioning in storage areas?</w:t>
      </w:r>
      <w:bookmarkEnd w:id="79"/>
    </w:p>
    <w:p w:rsidR="00AE0874" w:rsidRPr="00366857" w:rsidRDefault="00AE0874" w:rsidP="00EB598B">
      <w:pPr>
        <w:ind w:left="992"/>
      </w:pPr>
      <w:r w:rsidRPr="00366857">
        <w:t>Yes, if materials require storage at specific conditions that can</w:t>
      </w:r>
      <w:r w:rsidR="0092532C">
        <w:t>’</w:t>
      </w:r>
      <w:r w:rsidRPr="00366857">
        <w:t xml:space="preserve">t be achieved without air conditioning. Generally, the New Zealand climate means that most materials will not require air conditioned storage areas. </w:t>
      </w:r>
      <w:r>
        <w:t>If</w:t>
      </w:r>
      <w:r w:rsidRPr="00366857">
        <w:t xml:space="preserve"> it is not practicable or economic to install air conditioning, alternative approaches could be considered such as storing materials sensitive to temperature in cooler areas of the storage area (such as nearer the ground).</w:t>
      </w:r>
    </w:p>
    <w:p w:rsidR="00AE0874" w:rsidRPr="00366857" w:rsidRDefault="00AE0874" w:rsidP="00285971"/>
    <w:p w:rsidR="00AE0874" w:rsidRPr="00366857" w:rsidRDefault="00AE0874" w:rsidP="00285971">
      <w:pPr>
        <w:pStyle w:val="Heading3"/>
      </w:pPr>
      <w:bookmarkStart w:id="80" w:name="_Toc435183541"/>
      <w:r w:rsidRPr="00366857">
        <w:lastRenderedPageBreak/>
        <w:t>Where should thermometers or temperature probes be located?</w:t>
      </w:r>
      <w:bookmarkEnd w:id="80"/>
    </w:p>
    <w:p w:rsidR="0092532C" w:rsidRDefault="00AE0874" w:rsidP="00EB598B">
      <w:pPr>
        <w:keepLines/>
        <w:ind w:left="992"/>
      </w:pPr>
      <w:r w:rsidRPr="00366857">
        <w:t xml:space="preserve">They should be located to monitor </w:t>
      </w:r>
      <w:r w:rsidR="0092532C">
        <w:t>‘</w:t>
      </w:r>
      <w:r w:rsidRPr="00366857">
        <w:t>worst case</w:t>
      </w:r>
      <w:r w:rsidR="0092532C">
        <w:t>’</w:t>
      </w:r>
      <w:r w:rsidRPr="00366857">
        <w:t xml:space="preserve"> temperatures that materials are exposed to. These are usually those places with extremes of temperature. Care needs to be taken when choosing locations</w:t>
      </w:r>
      <w:r>
        <w:t xml:space="preserve"> in</w:t>
      </w:r>
      <w:r w:rsidRPr="00366857">
        <w:t xml:space="preserve"> large warehouses or in areas </w:t>
      </w:r>
      <w:r>
        <w:t>with</w:t>
      </w:r>
      <w:r w:rsidRPr="00366857">
        <w:t xml:space="preserve"> windows that allow them to be heated by the sun.</w:t>
      </w:r>
    </w:p>
    <w:p w:rsidR="00AE0874" w:rsidRPr="00366857" w:rsidRDefault="00AE0874" w:rsidP="00285971"/>
    <w:p w:rsidR="00AE0874" w:rsidRPr="00366857" w:rsidRDefault="00AE0874" w:rsidP="00285971">
      <w:pPr>
        <w:pStyle w:val="Heading3"/>
      </w:pPr>
      <w:bookmarkStart w:id="81" w:name="_Toc435183542"/>
      <w:r w:rsidRPr="00366857">
        <w:t xml:space="preserve">Do I need to keep a record of temperatures in storage areas? </w:t>
      </w:r>
      <w:proofErr w:type="gramStart"/>
      <w:r w:rsidRPr="00366857">
        <w:t>If so for how long?</w:t>
      </w:r>
      <w:bookmarkEnd w:id="81"/>
      <w:proofErr w:type="gramEnd"/>
    </w:p>
    <w:p w:rsidR="00AE0874" w:rsidRPr="00366857" w:rsidRDefault="00AE0874" w:rsidP="00EB598B">
      <w:pPr>
        <w:ind w:left="992"/>
      </w:pPr>
      <w:r w:rsidRPr="00366857">
        <w:t xml:space="preserve">Yes, the record of material storage conditions is important information relevant to your product and should be retained as </w:t>
      </w:r>
      <w:r>
        <w:t>for</w:t>
      </w:r>
      <w:r w:rsidRPr="00366857">
        <w:t xml:space="preserve"> other documentation. Generally, documents should be retained for the shelf</w:t>
      </w:r>
      <w:r>
        <w:t xml:space="preserve"> </w:t>
      </w:r>
      <w:r w:rsidRPr="00366857">
        <w:t>life of the material plus one year. Keeping only the electronic records is acceptable as long as the principles set out in Code are followed.</w:t>
      </w:r>
    </w:p>
    <w:p w:rsidR="00AE0874" w:rsidRPr="00366857" w:rsidRDefault="00AE0874" w:rsidP="00285971"/>
    <w:p w:rsidR="00AE0874" w:rsidRPr="00366857" w:rsidRDefault="00AE0874" w:rsidP="00285971">
      <w:pPr>
        <w:pStyle w:val="Heading3"/>
      </w:pPr>
      <w:bookmarkStart w:id="82" w:name="_Toc435183543"/>
      <w:r w:rsidRPr="00366857">
        <w:t>How often should I check and record the temperature in storage areas?</w:t>
      </w:r>
      <w:bookmarkEnd w:id="82"/>
    </w:p>
    <w:p w:rsidR="00AE0874" w:rsidRPr="00366857" w:rsidRDefault="00AE0874" w:rsidP="00EB598B">
      <w:pPr>
        <w:ind w:left="992"/>
      </w:pPr>
      <w:r w:rsidRPr="00366857">
        <w:t xml:space="preserve">Checks should be performed often enough </w:t>
      </w:r>
      <w:r>
        <w:t>to detect</w:t>
      </w:r>
      <w:r w:rsidRPr="00366857">
        <w:t xml:space="preserve"> any significant deviations from the acceptable storage conditions. Devices able to record the minimum and maximum conditions may be useful. Relevant factors should be considered when determining how often readings should be taken, including the criticality of storage conditions</w:t>
      </w:r>
      <w:r>
        <w:t xml:space="preserve"> and the</w:t>
      </w:r>
      <w:r w:rsidRPr="00366857">
        <w:t xml:space="preserve"> ability of the storage area to reliably maintain the required conditions.</w:t>
      </w:r>
      <w:r w:rsidR="0092532C">
        <w:t xml:space="preserve"> </w:t>
      </w:r>
      <w:r w:rsidRPr="00366857">
        <w:t xml:space="preserve">Once some historical data is collated and there is confidence that storage temperatures are not likely to be breached, you could consider reducing </w:t>
      </w:r>
      <w:r>
        <w:t>the frequency of</w:t>
      </w:r>
      <w:r w:rsidRPr="00366857">
        <w:t xml:space="preserve"> readings.</w:t>
      </w:r>
    </w:p>
    <w:p w:rsidR="00AE0874" w:rsidRPr="00366857" w:rsidRDefault="00AE0874" w:rsidP="00285971"/>
    <w:p w:rsidR="00AE0874" w:rsidRPr="00366857" w:rsidRDefault="00AE0874" w:rsidP="00285971">
      <w:pPr>
        <w:pStyle w:val="Heading3"/>
      </w:pPr>
      <w:bookmarkStart w:id="83" w:name="_Toc435183544"/>
      <w:r w:rsidRPr="00366857">
        <w:t>Do I need a separate room to sample raw materials?</w:t>
      </w:r>
      <w:bookmarkEnd w:id="83"/>
    </w:p>
    <w:p w:rsidR="0092532C" w:rsidRDefault="00AE0874" w:rsidP="00EB598B">
      <w:pPr>
        <w:ind w:left="992"/>
      </w:pPr>
      <w:r w:rsidRPr="00366857">
        <w:t>Not necessarily</w:t>
      </w:r>
      <w:r>
        <w:t>,</w:t>
      </w:r>
      <w:r w:rsidRPr="00366857">
        <w:t xml:space="preserve"> but you must protect the material being sampled from contamination during the sampling process and take measures to prevent cross-contamination between materials. Manufacturers may consider using a sampling booth, or a production room that is dedicated for sampling on a campaign basis, ensuring that </w:t>
      </w:r>
      <w:r>
        <w:t xml:space="preserve">it is </w:t>
      </w:r>
      <w:r w:rsidRPr="00366857">
        <w:t>thorough</w:t>
      </w:r>
      <w:r>
        <w:t>ly</w:t>
      </w:r>
      <w:r w:rsidRPr="00366857">
        <w:t xml:space="preserve"> cleaned before and after sampling events.</w:t>
      </w:r>
    </w:p>
    <w:p w:rsidR="00AE0874" w:rsidRPr="00366857" w:rsidRDefault="00AE0874" w:rsidP="00285971"/>
    <w:p w:rsidR="00AE0874" w:rsidRPr="00366857" w:rsidRDefault="00AE0874" w:rsidP="00285971">
      <w:pPr>
        <w:pStyle w:val="Heading3"/>
      </w:pPr>
      <w:bookmarkStart w:id="84" w:name="_Toc435183545"/>
      <w:r w:rsidRPr="00366857">
        <w:t>Do sampling areas need to be supplied with filtered air?</w:t>
      </w:r>
      <w:bookmarkEnd w:id="84"/>
    </w:p>
    <w:p w:rsidR="00AE0874" w:rsidRPr="00366857" w:rsidRDefault="00AE0874" w:rsidP="00EB598B">
      <w:pPr>
        <w:ind w:left="992"/>
      </w:pPr>
      <w:r w:rsidRPr="00366857">
        <w:t>The risks of contamination to the material being sampled should be assessed when determining the appropriate air quality for the sampling area. This may result in the need for at least a basic level of air filtration in the sampling area or the use of sampling hoods. The need for dust extraction should also be considered if sampling very dusty materials</w:t>
      </w:r>
      <w:r>
        <w:t>,</w:t>
      </w:r>
      <w:r w:rsidRPr="00366857">
        <w:t xml:space="preserve"> to manage the risk of contamination to other areas. Conversely, manufacturers using very crude raw materials in very low-risk products may be able to justify that sampling is performed without a filtered air.</w:t>
      </w:r>
    </w:p>
    <w:p w:rsidR="00AE0874" w:rsidRPr="00366857" w:rsidRDefault="00AE0874" w:rsidP="00285971"/>
    <w:p w:rsidR="00AE0874" w:rsidRPr="00256029" w:rsidRDefault="00AE0874" w:rsidP="00285971">
      <w:pPr>
        <w:pStyle w:val="Heading2"/>
      </w:pPr>
      <w:bookmarkStart w:id="85" w:name="_Toc435183546"/>
      <w:bookmarkStart w:id="86" w:name="_Toc435347236"/>
      <w:r w:rsidRPr="00256029">
        <w:lastRenderedPageBreak/>
        <w:t>Production</w:t>
      </w:r>
      <w:bookmarkEnd w:id="85"/>
      <w:bookmarkEnd w:id="86"/>
    </w:p>
    <w:p w:rsidR="00AE0874" w:rsidRPr="00366857" w:rsidRDefault="00AE0874" w:rsidP="00285971">
      <w:pPr>
        <w:pStyle w:val="Heading3"/>
      </w:pPr>
      <w:bookmarkStart w:id="87" w:name="_Toc435183547"/>
      <w:r w:rsidRPr="00366857">
        <w:t>What is small-scale production?</w:t>
      </w:r>
      <w:bookmarkEnd w:id="87"/>
    </w:p>
    <w:p w:rsidR="00AE0874" w:rsidRPr="00366857" w:rsidRDefault="00AE0874" w:rsidP="00EB598B">
      <w:pPr>
        <w:keepNext/>
        <w:ind w:left="992"/>
      </w:pPr>
      <w:r w:rsidRPr="00366857">
        <w:t>The Authority would consider production of less than 1000 product units (</w:t>
      </w:r>
      <w:r>
        <w:t xml:space="preserve">such as </w:t>
      </w:r>
      <w:r w:rsidRPr="00366857">
        <w:t xml:space="preserve">bottles) a year to be very small scale, and </w:t>
      </w:r>
      <w:r>
        <w:t>1000 to</w:t>
      </w:r>
      <w:r w:rsidRPr="00366857">
        <w:t xml:space="preserve"> 3000 product units to be small scale.</w:t>
      </w:r>
    </w:p>
    <w:p w:rsidR="00AE0874" w:rsidRDefault="00AE0874" w:rsidP="00EB598B">
      <w:pPr>
        <w:keepNext/>
        <w:ind w:left="992"/>
        <w:rPr>
          <w:rFonts w:eastAsiaTheme="minorHAnsi"/>
          <w:lang w:eastAsia="en-US"/>
        </w:rPr>
      </w:pPr>
    </w:p>
    <w:tbl>
      <w:tblPr>
        <w:tblStyle w:val="TableGrid"/>
        <w:tblW w:w="0" w:type="auto"/>
        <w:tblInd w:w="1100" w:type="dxa"/>
        <w:tblLayout w:type="fixed"/>
        <w:tblLook w:val="04A0" w:firstRow="1" w:lastRow="0" w:firstColumn="1" w:lastColumn="0" w:noHBand="0" w:noVBand="1"/>
      </w:tblPr>
      <w:tblGrid>
        <w:gridCol w:w="2788"/>
        <w:gridCol w:w="2883"/>
        <w:gridCol w:w="2693"/>
      </w:tblGrid>
      <w:tr w:rsidR="00AE0874" w:rsidRPr="003A6139" w:rsidTr="00EB598B">
        <w:trPr>
          <w:cantSplit/>
        </w:trPr>
        <w:tc>
          <w:tcPr>
            <w:tcW w:w="2788" w:type="dxa"/>
          </w:tcPr>
          <w:p w:rsidR="00AE0874" w:rsidRPr="003A6139" w:rsidRDefault="00AE0874" w:rsidP="00EB598B">
            <w:pPr>
              <w:pStyle w:val="TableText"/>
            </w:pPr>
            <w:r w:rsidRPr="003A6139">
              <w:t>Small scale of manufacture (&lt;</w:t>
            </w:r>
            <w:r w:rsidR="00EB598B">
              <w:t> </w:t>
            </w:r>
            <w:r w:rsidRPr="003A6139">
              <w:t>3,000 units, and between</w:t>
            </w:r>
            <w:r w:rsidR="00EB598B">
              <w:t xml:space="preserve"> </w:t>
            </w:r>
            <w:r w:rsidRPr="003A6139">
              <w:t>10</w:t>
            </w:r>
            <w:r w:rsidR="00EB598B">
              <w:t>–</w:t>
            </w:r>
            <w:r w:rsidRPr="003A6139">
              <w:t>20 batches produced per year).</w:t>
            </w:r>
          </w:p>
        </w:tc>
        <w:tc>
          <w:tcPr>
            <w:tcW w:w="2883" w:type="dxa"/>
          </w:tcPr>
          <w:p w:rsidR="00AE0874" w:rsidRPr="003A6139" w:rsidRDefault="00AE0874" w:rsidP="00EB598B">
            <w:pPr>
              <w:pStyle w:val="TableText"/>
            </w:pPr>
            <w:r w:rsidRPr="003A6139">
              <w:t>Medium scale of manufacture (3,000 to 10,000 units, and over 20</w:t>
            </w:r>
            <w:r w:rsidR="00EB598B">
              <w:t> </w:t>
            </w:r>
            <w:r w:rsidRPr="003A6139">
              <w:t>batches produced per year).</w:t>
            </w:r>
          </w:p>
        </w:tc>
        <w:tc>
          <w:tcPr>
            <w:tcW w:w="2693" w:type="dxa"/>
          </w:tcPr>
          <w:p w:rsidR="00AE0874" w:rsidRPr="003A6139" w:rsidRDefault="00AE0874" w:rsidP="00EB598B">
            <w:pPr>
              <w:pStyle w:val="TableText"/>
            </w:pPr>
            <w:r w:rsidRPr="003A6139">
              <w:t>High volume of manufacture (&gt;</w:t>
            </w:r>
            <w:r w:rsidR="00EB598B">
              <w:t> </w:t>
            </w:r>
            <w:r w:rsidRPr="003A6139">
              <w:t>10,000 units, and over 20</w:t>
            </w:r>
            <w:r w:rsidR="00EB598B">
              <w:t> </w:t>
            </w:r>
            <w:r w:rsidRPr="003A6139">
              <w:t>batches per year).</w:t>
            </w:r>
          </w:p>
        </w:tc>
      </w:tr>
    </w:tbl>
    <w:p w:rsidR="00AE0874" w:rsidRPr="00366857" w:rsidRDefault="00AE0874" w:rsidP="00EB598B"/>
    <w:p w:rsidR="00AE0874" w:rsidRPr="00366857" w:rsidRDefault="00AE0874" w:rsidP="00285971">
      <w:pPr>
        <w:pStyle w:val="Heading3"/>
      </w:pPr>
      <w:bookmarkStart w:id="88" w:name="_Toc435183548"/>
      <w:r w:rsidRPr="00366857">
        <w:t>When are my operations considered to have moved from small scale to medium or large scale?</w:t>
      </w:r>
      <w:bookmarkEnd w:id="88"/>
    </w:p>
    <w:p w:rsidR="00AE0874" w:rsidRPr="00366857" w:rsidRDefault="00AE0874" w:rsidP="00EB598B">
      <w:pPr>
        <w:ind w:left="992"/>
      </w:pPr>
      <w:r w:rsidRPr="00366857">
        <w:t xml:space="preserve">The Authority would consider production of </w:t>
      </w:r>
      <w:r>
        <w:t>60,</w:t>
      </w:r>
      <w:r w:rsidRPr="00366857">
        <w:t xml:space="preserve">000 </w:t>
      </w:r>
      <w:r>
        <w:t xml:space="preserve">to 200,000 </w:t>
      </w:r>
      <w:r w:rsidRPr="00366857">
        <w:t>product units (</w:t>
      </w:r>
      <w:r>
        <w:t>such as</w:t>
      </w:r>
      <w:r w:rsidRPr="00366857">
        <w:t xml:space="preserve"> bottles) a year to be </w:t>
      </w:r>
      <w:r>
        <w:t>medium scale production, and greater than 200,000 product units to be large scale</w:t>
      </w:r>
      <w:r w:rsidRPr="00366857">
        <w:t>.</w:t>
      </w:r>
    </w:p>
    <w:p w:rsidR="00AE0874" w:rsidRPr="00366857" w:rsidRDefault="00AE0874" w:rsidP="00285971"/>
    <w:p w:rsidR="00AE0874" w:rsidRPr="00256029" w:rsidRDefault="00AE0874" w:rsidP="00285971">
      <w:pPr>
        <w:pStyle w:val="Heading2"/>
      </w:pPr>
      <w:bookmarkStart w:id="89" w:name="_Toc435183549"/>
      <w:bookmarkStart w:id="90" w:name="_Toc435347237"/>
      <w:r w:rsidRPr="00256029">
        <w:t xml:space="preserve">Quality </w:t>
      </w:r>
      <w:r>
        <w:t>c</w:t>
      </w:r>
      <w:r w:rsidRPr="00256029">
        <w:t>ontrol</w:t>
      </w:r>
      <w:bookmarkEnd w:id="89"/>
      <w:bookmarkEnd w:id="90"/>
    </w:p>
    <w:p w:rsidR="00AE0874" w:rsidRPr="00366857" w:rsidRDefault="00AE0874" w:rsidP="00285971">
      <w:pPr>
        <w:pStyle w:val="Heading3"/>
      </w:pPr>
      <w:bookmarkStart w:id="91" w:name="_Toc435183550"/>
      <w:r w:rsidRPr="00366857">
        <w:t xml:space="preserve">Can the </w:t>
      </w:r>
      <w:r>
        <w:t>quality control</w:t>
      </w:r>
      <w:r w:rsidRPr="00366857">
        <w:t xml:space="preserve"> testing be outsourced?</w:t>
      </w:r>
      <w:bookmarkEnd w:id="91"/>
    </w:p>
    <w:p w:rsidR="0092532C" w:rsidRDefault="00AE0874" w:rsidP="00EB598B">
      <w:pPr>
        <w:ind w:left="992"/>
      </w:pPr>
      <w:r w:rsidRPr="00366857">
        <w:t>Yes,</w:t>
      </w:r>
      <w:r>
        <w:t xml:space="preserve"> in which case</w:t>
      </w:r>
      <w:r w:rsidRPr="00366857">
        <w:t xml:space="preserve"> appropriate technical agreements should be in place with contract laboratories</w:t>
      </w:r>
      <w:r>
        <w:t>.</w:t>
      </w:r>
    </w:p>
    <w:p w:rsidR="00AE0874" w:rsidRPr="00366857" w:rsidRDefault="00AE0874" w:rsidP="00285971"/>
    <w:p w:rsidR="00AE0874" w:rsidRPr="00366857" w:rsidRDefault="00AE0874" w:rsidP="00285971">
      <w:pPr>
        <w:pStyle w:val="Heading3"/>
      </w:pPr>
      <w:bookmarkStart w:id="92" w:name="_Toc435183551"/>
      <w:r w:rsidRPr="00366857">
        <w:t>Do contract laboratories need to have any specific accreditation or certification?</w:t>
      </w:r>
      <w:bookmarkEnd w:id="92"/>
    </w:p>
    <w:p w:rsidR="00AE0874" w:rsidRPr="00366857" w:rsidRDefault="00AE0874" w:rsidP="00EB598B">
      <w:pPr>
        <w:ind w:left="992"/>
      </w:pPr>
      <w:r w:rsidRPr="00366857">
        <w:t>Not necessarily, but you will have to be sure that quality systems used at the laboratory are appropriate for your product. If a laboratory does not hold accreditation, you may also need to audit the laboratory.</w:t>
      </w:r>
    </w:p>
    <w:p w:rsidR="00AE0874" w:rsidRPr="00366857" w:rsidRDefault="00AE0874" w:rsidP="00285971"/>
    <w:p w:rsidR="00AE0874" w:rsidRPr="00366857" w:rsidRDefault="00AE0874" w:rsidP="00285971">
      <w:pPr>
        <w:pStyle w:val="Heading3"/>
      </w:pPr>
      <w:bookmarkStart w:id="93" w:name="_Toc435183552"/>
      <w:r w:rsidRPr="00366857">
        <w:t>Do test methods need to be validated?</w:t>
      </w:r>
      <w:bookmarkEnd w:id="93"/>
    </w:p>
    <w:p w:rsidR="0092532C" w:rsidRDefault="00AE0874" w:rsidP="00EB598B">
      <w:pPr>
        <w:ind w:left="992"/>
        <w:rPr>
          <w:rFonts w:eastAsiaTheme="minorHAnsi"/>
          <w:lang w:eastAsia="en-US"/>
        </w:rPr>
      </w:pPr>
      <w:r w:rsidRPr="00366857">
        <w:t>The minimum expectation is for the test method to be scientifically sound.</w:t>
      </w:r>
      <w:r w:rsidR="0092532C">
        <w:t xml:space="preserve"> </w:t>
      </w:r>
      <w:r w:rsidRPr="00366857">
        <w:t>All test methods need to be repeatable and accurate to ensure the information they provide can be relied on, and the suitability of the method is demonstrated with an appropriate level of method validation.</w:t>
      </w:r>
      <w:r w:rsidR="0092532C">
        <w:t xml:space="preserve"> </w:t>
      </w:r>
      <w:r w:rsidRPr="00366857">
        <w:t>The need for a</w:t>
      </w:r>
      <w:r>
        <w:t>n</w:t>
      </w:r>
      <w:r w:rsidRPr="00366857">
        <w:t xml:space="preserve"> NHP manufacturer to perform extensive and often expensive validation of test methods can be reduced by</w:t>
      </w:r>
      <w:r>
        <w:t xml:space="preserve"> </w:t>
      </w:r>
      <w:r>
        <w:rPr>
          <w:rFonts w:eastAsiaTheme="minorHAnsi"/>
          <w:lang w:eastAsia="en-US"/>
        </w:rPr>
        <w:t>u</w:t>
      </w:r>
      <w:r w:rsidRPr="00366857">
        <w:rPr>
          <w:rFonts w:eastAsiaTheme="minorHAnsi"/>
          <w:lang w:eastAsia="en-US"/>
        </w:rPr>
        <w:t>sing methods taken from pharmacopeia that have already been validated (for instance, methods set out in the British Pharmacopoeia).</w:t>
      </w:r>
    </w:p>
    <w:p w:rsidR="00AE0874" w:rsidRPr="00366857" w:rsidRDefault="00AE0874" w:rsidP="00EB598B">
      <w:pPr>
        <w:ind w:left="992"/>
        <w:rPr>
          <w:rFonts w:eastAsiaTheme="minorHAnsi"/>
          <w:lang w:eastAsia="en-US"/>
        </w:rPr>
      </w:pPr>
    </w:p>
    <w:p w:rsidR="0092532C" w:rsidRDefault="00AE0874" w:rsidP="00EB598B">
      <w:pPr>
        <w:ind w:left="992"/>
        <w:rPr>
          <w:rFonts w:eastAsiaTheme="minorHAnsi"/>
          <w:lang w:eastAsia="en-US"/>
        </w:rPr>
      </w:pPr>
      <w:r w:rsidRPr="00366857">
        <w:rPr>
          <w:rFonts w:eastAsiaTheme="minorHAnsi"/>
          <w:lang w:eastAsia="en-US"/>
        </w:rPr>
        <w:t>If it is not possible to use an existing validated method, the amount of validation required will depend on the method and its intended purpose. For example, a test used to confirm identity will only need to be validated to ensure it is able to distinguish between the material in question and any other materials that may be present (specificity).</w:t>
      </w:r>
    </w:p>
    <w:p w:rsidR="00AE0874" w:rsidRPr="00366857" w:rsidRDefault="00AE0874" w:rsidP="00EB598B">
      <w:pPr>
        <w:ind w:left="992"/>
        <w:rPr>
          <w:rFonts w:eastAsiaTheme="minorHAnsi"/>
          <w:lang w:eastAsia="en-US"/>
        </w:rPr>
      </w:pPr>
    </w:p>
    <w:p w:rsidR="00AE0874" w:rsidRDefault="00AE0874" w:rsidP="00EB598B">
      <w:pPr>
        <w:keepLines/>
        <w:ind w:left="992"/>
        <w:rPr>
          <w:rFonts w:eastAsiaTheme="minorHAnsi"/>
          <w:lang w:eastAsia="en-US"/>
        </w:rPr>
      </w:pPr>
      <w:r w:rsidRPr="00366857">
        <w:rPr>
          <w:rFonts w:eastAsiaTheme="minorHAnsi"/>
          <w:lang w:eastAsia="en-US"/>
        </w:rPr>
        <w:lastRenderedPageBreak/>
        <w:t>For complex products that may contain a mixture of vitamins and minerals, methods are likely to require more detailed validation to ensure the final product test will give an accurate measure of the product</w:t>
      </w:r>
      <w:r>
        <w:rPr>
          <w:rFonts w:eastAsiaTheme="minorHAnsi"/>
          <w:lang w:eastAsia="en-US"/>
        </w:rPr>
        <w:t>,</w:t>
      </w:r>
      <w:r w:rsidRPr="00366857">
        <w:rPr>
          <w:rFonts w:eastAsiaTheme="minorHAnsi"/>
          <w:lang w:eastAsia="en-US"/>
        </w:rPr>
        <w:t xml:space="preserve"> and may require additional parameters to be validated (such as accuracy, precision, linearity).</w:t>
      </w:r>
    </w:p>
    <w:p w:rsidR="00AE0874" w:rsidRPr="00366857" w:rsidRDefault="00AE0874" w:rsidP="00EB598B">
      <w:pPr>
        <w:ind w:left="992"/>
        <w:rPr>
          <w:rFonts w:eastAsiaTheme="minorHAnsi"/>
          <w:lang w:eastAsia="en-US"/>
        </w:rPr>
      </w:pPr>
    </w:p>
    <w:p w:rsidR="00AE0874" w:rsidRPr="00366857" w:rsidRDefault="00AE0874" w:rsidP="00EB598B">
      <w:pPr>
        <w:ind w:left="992"/>
        <w:rPr>
          <w:rFonts w:eastAsiaTheme="minorHAnsi"/>
          <w:lang w:eastAsia="en-US"/>
        </w:rPr>
      </w:pPr>
      <w:r w:rsidRPr="00366857">
        <w:rPr>
          <w:rFonts w:eastAsiaTheme="minorHAnsi"/>
          <w:lang w:eastAsia="en-US"/>
        </w:rPr>
        <w:t>Using a grouping approach for similar products using the same method</w:t>
      </w:r>
      <w:r>
        <w:rPr>
          <w:rFonts w:eastAsiaTheme="minorHAnsi"/>
          <w:lang w:eastAsia="en-US"/>
        </w:rPr>
        <w:t xml:space="preserve"> may also reduce the need for validation</w:t>
      </w:r>
      <w:r w:rsidRPr="00366857">
        <w:rPr>
          <w:rFonts w:eastAsiaTheme="minorHAnsi"/>
          <w:lang w:eastAsia="en-US"/>
        </w:rPr>
        <w:t>.</w:t>
      </w:r>
    </w:p>
    <w:p w:rsidR="00285971" w:rsidRDefault="00285971" w:rsidP="00EB598B">
      <w:pPr>
        <w:ind w:left="992"/>
      </w:pPr>
    </w:p>
    <w:p w:rsidR="00AE0874" w:rsidRPr="00366857" w:rsidRDefault="00AE0874" w:rsidP="00EB598B">
      <w:pPr>
        <w:ind w:left="992"/>
      </w:pPr>
      <w:r w:rsidRPr="00366857">
        <w:t xml:space="preserve">For quality control tests that are based on physical inspection </w:t>
      </w:r>
      <w:r>
        <w:t>or</w:t>
      </w:r>
      <w:r w:rsidRPr="00366857">
        <w:t xml:space="preserve"> organoleptic test methods, traditional method validation may not be appropriate or be possible. Instead, the knowledge, training and experience of personnel performing the tests will be critical in ensuring these tests are performed accurately.</w:t>
      </w:r>
    </w:p>
    <w:p w:rsidR="00AE0874" w:rsidRPr="00196E62" w:rsidRDefault="00AE0874" w:rsidP="00285971">
      <w:pPr>
        <w:rPr>
          <w:rFonts w:eastAsiaTheme="minorHAnsi"/>
          <w:lang w:eastAsia="en-US"/>
        </w:rPr>
      </w:pPr>
    </w:p>
    <w:p w:rsidR="00AE0874" w:rsidRPr="00256029" w:rsidRDefault="00AE0874" w:rsidP="00285971">
      <w:pPr>
        <w:pStyle w:val="Heading2"/>
      </w:pPr>
      <w:bookmarkStart w:id="94" w:name="_Toc435183553"/>
      <w:bookmarkStart w:id="95" w:name="_Toc435347238"/>
      <w:r w:rsidRPr="00256029">
        <w:t>Complaints and recalls</w:t>
      </w:r>
      <w:bookmarkEnd w:id="94"/>
      <w:bookmarkEnd w:id="95"/>
    </w:p>
    <w:p w:rsidR="00AE0874" w:rsidRPr="00366857" w:rsidRDefault="00AE0874" w:rsidP="00285971">
      <w:pPr>
        <w:pStyle w:val="Heading3"/>
      </w:pPr>
      <w:bookmarkStart w:id="96" w:name="_Toc435183554"/>
      <w:r w:rsidRPr="00366857">
        <w:t>Do I need to record complaints?</w:t>
      </w:r>
      <w:bookmarkEnd w:id="96"/>
    </w:p>
    <w:p w:rsidR="0092532C" w:rsidRDefault="00AE0874" w:rsidP="00EB598B">
      <w:pPr>
        <w:ind w:left="992"/>
      </w:pPr>
      <w:r w:rsidRPr="00366857">
        <w:t>For reputational reasons, complaints should be logged and followed up. All complaints should be investigated for their basis, as this may point to problems with the manufacturing process, for example, foreign matter in the product.</w:t>
      </w:r>
    </w:p>
    <w:p w:rsidR="00AE0874" w:rsidRPr="00366857" w:rsidRDefault="00AE0874" w:rsidP="00285971"/>
    <w:p w:rsidR="00AE0874" w:rsidRPr="00366857" w:rsidRDefault="00AE0874" w:rsidP="00285971">
      <w:pPr>
        <w:pStyle w:val="Heading3"/>
      </w:pPr>
      <w:bookmarkStart w:id="97" w:name="_Toc435183555"/>
      <w:r w:rsidRPr="00366857">
        <w:t>Do I need to inform the Authority of complaints?</w:t>
      </w:r>
      <w:bookmarkEnd w:id="97"/>
    </w:p>
    <w:p w:rsidR="00AE0874" w:rsidRPr="00366857" w:rsidRDefault="00AE0874" w:rsidP="00EB598B">
      <w:pPr>
        <w:ind w:left="992"/>
      </w:pPr>
      <w:r w:rsidRPr="00366857">
        <w:t>Not necessarily. Simple complaints that do not affect safety may be able to be resolved easily by the manufacturer, for example</w:t>
      </w:r>
      <w:r>
        <w:t xml:space="preserve"> about</w:t>
      </w:r>
      <w:r w:rsidRPr="00366857">
        <w:t xml:space="preserve"> damaged packaging. Complaints affecting safety and complaints about products in the high</w:t>
      </w:r>
      <w:r>
        <w:t>-</w:t>
      </w:r>
      <w:r w:rsidRPr="00366857">
        <w:t>risk category should be advised to the Authority.</w:t>
      </w:r>
    </w:p>
    <w:p w:rsidR="00AE0874" w:rsidRPr="00366857" w:rsidRDefault="00AE0874" w:rsidP="00285971"/>
    <w:p w:rsidR="00AE0874" w:rsidRPr="00366857" w:rsidRDefault="00AE0874" w:rsidP="00285971">
      <w:pPr>
        <w:pStyle w:val="Heading3"/>
      </w:pPr>
      <w:bookmarkStart w:id="98" w:name="_Toc435183556"/>
      <w:r w:rsidRPr="00366857">
        <w:t>When do I need to recall my product?</w:t>
      </w:r>
      <w:bookmarkEnd w:id="98"/>
    </w:p>
    <w:p w:rsidR="00AE0874" w:rsidRPr="00366857" w:rsidRDefault="00AE0874" w:rsidP="00EB598B">
      <w:pPr>
        <w:ind w:left="992"/>
      </w:pPr>
      <w:r>
        <w:t>Manufacturers</w:t>
      </w:r>
      <w:r w:rsidRPr="00366857">
        <w:t xml:space="preserve"> should recall </w:t>
      </w:r>
      <w:r>
        <w:t>a</w:t>
      </w:r>
      <w:r w:rsidRPr="00366857">
        <w:t xml:space="preserve"> product if a manufacturing problem or defect changes the risk profile of the product from low</w:t>
      </w:r>
      <w:r>
        <w:t xml:space="preserve"> </w:t>
      </w:r>
      <w:r w:rsidRPr="00366857">
        <w:t>risk to high</w:t>
      </w:r>
      <w:r>
        <w:t xml:space="preserve"> </w:t>
      </w:r>
      <w:r w:rsidRPr="00366857">
        <w:t>risk and affects safety, and it is likely that many people will be affected. The Authority will develop more guidance on this issue.</w:t>
      </w:r>
    </w:p>
    <w:p w:rsidR="00AE0874" w:rsidRPr="00366857" w:rsidRDefault="00AE0874" w:rsidP="00285971"/>
    <w:p w:rsidR="00AE0874" w:rsidRPr="00366857" w:rsidRDefault="00AE0874" w:rsidP="00285971">
      <w:pPr>
        <w:pStyle w:val="Heading3"/>
      </w:pPr>
      <w:bookmarkStart w:id="99" w:name="_Toc435183557"/>
      <w:r w:rsidRPr="00366857">
        <w:t>Do I need to inform the Authority of recalls?</w:t>
      </w:r>
      <w:bookmarkEnd w:id="99"/>
    </w:p>
    <w:p w:rsidR="00AE0874" w:rsidRPr="00366857" w:rsidRDefault="00AE0874" w:rsidP="00EB598B">
      <w:pPr>
        <w:ind w:left="992"/>
      </w:pPr>
      <w:r w:rsidRPr="00366857">
        <w:t>Recalls are complex events and the Authority has to be assured that the reach of the recall is appropriate to the risk that the product presents. This means that the Authority must be advised as soon as possible if a situation develops in which a recall may be necessary.</w:t>
      </w:r>
    </w:p>
    <w:p w:rsidR="00AE0874" w:rsidRPr="00366857" w:rsidRDefault="00AE0874" w:rsidP="00285971"/>
    <w:p w:rsidR="00AE0874" w:rsidRPr="00256029" w:rsidRDefault="00AE0874" w:rsidP="00285971">
      <w:pPr>
        <w:pStyle w:val="Heading2"/>
      </w:pPr>
      <w:bookmarkStart w:id="100" w:name="_Toc435183558"/>
      <w:bookmarkStart w:id="101" w:name="_Toc435347239"/>
      <w:r w:rsidRPr="00256029">
        <w:lastRenderedPageBreak/>
        <w:t>Documentation</w:t>
      </w:r>
      <w:bookmarkEnd w:id="100"/>
      <w:bookmarkEnd w:id="101"/>
    </w:p>
    <w:p w:rsidR="00AE0874" w:rsidRPr="00366857" w:rsidRDefault="00AE0874" w:rsidP="00285971">
      <w:pPr>
        <w:pStyle w:val="Heading3"/>
      </w:pPr>
      <w:bookmarkStart w:id="102" w:name="_Toc435183559"/>
      <w:r w:rsidRPr="00366857">
        <w:t xml:space="preserve">There are a lot of different types of documents listed. Do I </w:t>
      </w:r>
      <w:r>
        <w:t>need</w:t>
      </w:r>
      <w:r w:rsidRPr="00366857">
        <w:t xml:space="preserve"> to have all of them?</w:t>
      </w:r>
      <w:bookmarkEnd w:id="102"/>
    </w:p>
    <w:p w:rsidR="0092532C" w:rsidRDefault="00AE0874" w:rsidP="00EB598B">
      <w:pPr>
        <w:keepLines/>
        <w:ind w:left="992"/>
      </w:pPr>
      <w:r w:rsidRPr="00366857">
        <w:t>It is a basic principle of GMP that activities are defined and records kept. This helps ensure operations are conducted consistently and it is possible to trace important steps in the process if there is ever a problem discovered with the product.</w:t>
      </w:r>
      <w:r w:rsidR="0092532C">
        <w:t xml:space="preserve"> </w:t>
      </w:r>
      <w:r w:rsidRPr="00366857">
        <w:t xml:space="preserve">Some documents such as site master files may not be appropriate for very small operations, technical agreements may not be required if all steps of manufacture and analysis are performed in house, </w:t>
      </w:r>
      <w:r>
        <w:t xml:space="preserve">and </w:t>
      </w:r>
      <w:r w:rsidRPr="00366857">
        <w:t>training documents may not be applicable to some simple single person operations. However, it is important for all manufacturers to have documents such as specifications, procedures and records that cover the manufacturing activities.</w:t>
      </w:r>
    </w:p>
    <w:p w:rsidR="00AE0874" w:rsidRPr="00366857" w:rsidRDefault="00AE0874" w:rsidP="00285971"/>
    <w:p w:rsidR="00AE0874" w:rsidRPr="00366857" w:rsidRDefault="00AE0874" w:rsidP="00285971">
      <w:pPr>
        <w:pStyle w:val="Heading3"/>
      </w:pPr>
      <w:bookmarkStart w:id="103" w:name="_Toc435183560"/>
      <w:r w:rsidRPr="00366857">
        <w:t>Can instructions be included in the same document as the records?</w:t>
      </w:r>
      <w:bookmarkEnd w:id="103"/>
    </w:p>
    <w:p w:rsidR="00AE0874" w:rsidRPr="00366857" w:rsidRDefault="00AE0874" w:rsidP="00EB598B">
      <w:pPr>
        <w:ind w:left="992"/>
      </w:pPr>
      <w:r w:rsidRPr="00366857">
        <w:t>Yes. This is often very effective, as long as the instructions are easy to follow and all the important information is recorded. A combined document that includes the manufacturing formula, processing instructions and batch manufacturing record is an example of how this could be implemented.</w:t>
      </w:r>
    </w:p>
    <w:p w:rsidR="00AE0874" w:rsidRPr="00366857" w:rsidRDefault="00AE0874" w:rsidP="00285971"/>
    <w:p w:rsidR="00AE0874" w:rsidRPr="00366857" w:rsidRDefault="00AE0874" w:rsidP="00285971">
      <w:pPr>
        <w:pStyle w:val="Heading3"/>
      </w:pPr>
      <w:bookmarkStart w:id="104" w:name="_Toc435183561"/>
      <w:r w:rsidRPr="00366857">
        <w:t>Do I have to have hard copy (paper) procedures and records?</w:t>
      </w:r>
      <w:bookmarkEnd w:id="104"/>
    </w:p>
    <w:p w:rsidR="00AE0874" w:rsidRPr="00366857" w:rsidRDefault="00AE0874" w:rsidP="00EB598B">
      <w:pPr>
        <w:ind w:left="992"/>
      </w:pPr>
      <w:r w:rsidRPr="00366857">
        <w:t>No, the Code allows the use of electronic documents as an alternative.</w:t>
      </w:r>
      <w:r w:rsidR="0092532C">
        <w:t xml:space="preserve"> </w:t>
      </w:r>
      <w:r w:rsidRPr="00366857">
        <w:t>If using electronic documents, controls should be implemented to ensure documents are accurate, secure and able to be retrieved.</w:t>
      </w:r>
    </w:p>
    <w:p w:rsidR="00AE0874" w:rsidRPr="00366857" w:rsidRDefault="00AE0874" w:rsidP="00285971"/>
    <w:p w:rsidR="00AE0874" w:rsidRPr="00366857" w:rsidRDefault="00AE0874" w:rsidP="00285971">
      <w:pPr>
        <w:pStyle w:val="Heading3"/>
      </w:pPr>
      <w:bookmarkStart w:id="105" w:name="_Toc435183562"/>
      <w:r w:rsidRPr="00366857">
        <w:t>Are there templates available for the procedures I need to have?</w:t>
      </w:r>
      <w:bookmarkEnd w:id="105"/>
    </w:p>
    <w:p w:rsidR="00AE0874" w:rsidRPr="00366857" w:rsidRDefault="00AE0874" w:rsidP="00EB598B">
      <w:pPr>
        <w:ind w:left="992"/>
      </w:pPr>
      <w:r w:rsidRPr="00366857">
        <w:t>At the moment</w:t>
      </w:r>
      <w:r w:rsidRPr="00D365E2">
        <w:t xml:space="preserve"> </w:t>
      </w:r>
      <w:r w:rsidRPr="00366857">
        <w:t>the Authority</w:t>
      </w:r>
      <w:r>
        <w:t xml:space="preserve"> does not intend to publish</w:t>
      </w:r>
      <w:r w:rsidRPr="00366857">
        <w:t xml:space="preserve"> templates to accompany the Code; however</w:t>
      </w:r>
      <w:r>
        <w:t>,</w:t>
      </w:r>
      <w:r w:rsidRPr="00366857">
        <w:t xml:space="preserve"> industry organisations may be able to provide some guidance. Procedures should be developed to reflect the operations of </w:t>
      </w:r>
      <w:r>
        <w:t>the</w:t>
      </w:r>
      <w:r w:rsidRPr="00366857">
        <w:t xml:space="preserve"> organisation. Larger organisations with complex operations will likely require more detailed procedures; smaller organisations with few employees are likely to require simpler procedures.</w:t>
      </w:r>
    </w:p>
    <w:p w:rsidR="00AE0874" w:rsidRPr="00366857" w:rsidRDefault="00AE0874" w:rsidP="00285971"/>
    <w:p w:rsidR="00AE0874" w:rsidRPr="00256029" w:rsidRDefault="00AE0874" w:rsidP="00285971">
      <w:pPr>
        <w:pStyle w:val="Heading2"/>
      </w:pPr>
      <w:bookmarkStart w:id="106" w:name="_Toc435183563"/>
      <w:bookmarkStart w:id="107" w:name="_Toc435347240"/>
      <w:r w:rsidRPr="00256029">
        <w:t>Contract manufacture and analysis</w:t>
      </w:r>
      <w:bookmarkEnd w:id="106"/>
      <w:bookmarkEnd w:id="107"/>
    </w:p>
    <w:p w:rsidR="00AE0874" w:rsidRPr="00366857" w:rsidRDefault="00AE0874" w:rsidP="00626AD9">
      <w:pPr>
        <w:pStyle w:val="Heading3"/>
      </w:pPr>
      <w:bookmarkStart w:id="108" w:name="_Toc435183564"/>
      <w:r w:rsidRPr="00366857">
        <w:t>How is contract manufacturing and analysis defined?</w:t>
      </w:r>
      <w:bookmarkEnd w:id="108"/>
    </w:p>
    <w:p w:rsidR="0092532C" w:rsidRDefault="00AE0874" w:rsidP="00EB598B">
      <w:pPr>
        <w:ind w:left="992"/>
      </w:pPr>
      <w:r w:rsidRPr="00366857">
        <w:t xml:space="preserve">Contract manufacturing and analysis is any step in the operations contracted by another company that could impact on the product, including receipt of material, production, packaging, labelling, </w:t>
      </w:r>
      <w:proofErr w:type="spellStart"/>
      <w:r w:rsidR="00611F38" w:rsidRPr="00366857">
        <w:t>relabelling</w:t>
      </w:r>
      <w:proofErr w:type="spellEnd"/>
      <w:r w:rsidRPr="00366857">
        <w:t>, quality control, storage and distribution. It also includes any quality control testing that is completed by another company.</w:t>
      </w:r>
    </w:p>
    <w:p w:rsidR="00AE0874" w:rsidRPr="00366857" w:rsidRDefault="00AE0874" w:rsidP="00626AD9"/>
    <w:p w:rsidR="00AE0874" w:rsidRPr="00366857" w:rsidRDefault="00AE0874" w:rsidP="00626AD9">
      <w:pPr>
        <w:pStyle w:val="Heading3"/>
      </w:pPr>
      <w:bookmarkStart w:id="109" w:name="_Toc435183565"/>
      <w:r w:rsidRPr="00366857">
        <w:lastRenderedPageBreak/>
        <w:t>What needs to be included in technical agreements?</w:t>
      </w:r>
      <w:bookmarkEnd w:id="109"/>
    </w:p>
    <w:p w:rsidR="00AE0874" w:rsidRPr="00366857" w:rsidRDefault="00AE0874" w:rsidP="00EB598B">
      <w:pPr>
        <w:keepLines/>
        <w:ind w:left="992"/>
      </w:pPr>
      <w:r w:rsidRPr="00366857">
        <w:t>Agreements should define how the responsibilities of the Code are shared between the two organisations. A matrix of responsibilities may help to simplify the agreement.</w:t>
      </w:r>
      <w:r w:rsidR="0092532C">
        <w:t xml:space="preserve"> </w:t>
      </w:r>
      <w:r w:rsidRPr="00366857">
        <w:t>Some important areas to define in agreements would include how changes to the manufacturing process, equipment or test methods are made, when deviations from agreed processes need to be notified to the other party, and the responsibilities for product release.</w:t>
      </w:r>
    </w:p>
    <w:p w:rsidR="00AE0874" w:rsidRPr="00366857" w:rsidRDefault="00AE0874" w:rsidP="00626AD9"/>
    <w:p w:rsidR="00AE0874" w:rsidRPr="00626AD9" w:rsidRDefault="00AE0874" w:rsidP="00626AD9">
      <w:pPr>
        <w:pStyle w:val="Heading3"/>
      </w:pPr>
      <w:bookmarkStart w:id="110" w:name="_Toc435183566"/>
      <w:r w:rsidRPr="00366857">
        <w:rPr>
          <w:sz w:val="24"/>
          <w:szCs w:val="24"/>
        </w:rPr>
        <w:t xml:space="preserve">As the </w:t>
      </w:r>
      <w:r w:rsidRPr="00626AD9">
        <w:t>contract giver do I have to know how the contract acceptor is performing the work?</w:t>
      </w:r>
      <w:bookmarkEnd w:id="110"/>
    </w:p>
    <w:p w:rsidR="00AE0874" w:rsidRPr="00366857" w:rsidRDefault="00AE0874" w:rsidP="00EB598B">
      <w:pPr>
        <w:ind w:left="992"/>
      </w:pPr>
      <w:r w:rsidRPr="00366857">
        <w:t>Yes, you need to assess that the contracted facility</w:t>
      </w:r>
      <w:r w:rsidR="0092532C">
        <w:t>’</w:t>
      </w:r>
      <w:r w:rsidRPr="00366857">
        <w:t>s methods are adequate for your products and assess that the contract acceptor is competent to perform the work.</w:t>
      </w:r>
    </w:p>
    <w:p w:rsidR="00AE0874" w:rsidRPr="00366857" w:rsidRDefault="00AE0874" w:rsidP="00626AD9"/>
    <w:p w:rsidR="00AE0874" w:rsidRPr="00366857" w:rsidRDefault="00AE0874" w:rsidP="00626AD9">
      <w:pPr>
        <w:pStyle w:val="Heading3"/>
      </w:pPr>
      <w:bookmarkStart w:id="111" w:name="_Toc435183567"/>
      <w:r w:rsidRPr="00366857">
        <w:t xml:space="preserve">How long do contract manufacturers </w:t>
      </w:r>
      <w:r>
        <w:t>and</w:t>
      </w:r>
      <w:r w:rsidRPr="00366857">
        <w:t xml:space="preserve"> laboratories need to keep records?</w:t>
      </w:r>
      <w:bookmarkEnd w:id="111"/>
    </w:p>
    <w:p w:rsidR="00AE0874" w:rsidRDefault="00AE0874" w:rsidP="00EB598B">
      <w:pPr>
        <w:ind w:left="992"/>
      </w:pPr>
      <w:r w:rsidRPr="00366857">
        <w:t>Batch</w:t>
      </w:r>
      <w:r>
        <w:t>-</w:t>
      </w:r>
      <w:r w:rsidRPr="00366857">
        <w:t>related records should be kept for the shelf life of the product plus one year.</w:t>
      </w:r>
    </w:p>
    <w:p w:rsidR="00AE0874" w:rsidRPr="00366857" w:rsidRDefault="00AE0874" w:rsidP="00626AD9"/>
    <w:sectPr w:rsidR="00AE0874" w:rsidRPr="00366857" w:rsidSect="009D5125">
      <w:headerReference w:type="default" r:id="rId26"/>
      <w:footerReference w:type="default" r:id="rId27"/>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43A" w:rsidRDefault="0029243A">
      <w:pPr>
        <w:spacing w:line="240" w:lineRule="auto"/>
      </w:pPr>
      <w:r>
        <w:separator/>
      </w:r>
    </w:p>
  </w:endnote>
  <w:endnote w:type="continuationSeparator" w:id="0">
    <w:p w:rsidR="0029243A" w:rsidRDefault="002924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2E" w:rsidRPr="003648EF" w:rsidRDefault="0093302E" w:rsidP="003648EF">
    <w:pPr>
      <w:pStyle w:val="Footer"/>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2E" w:rsidRDefault="0093302E"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2E" w:rsidRDefault="0093302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2E" w:rsidRPr="00275D08" w:rsidRDefault="0093302E"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472CB9">
      <w:rPr>
        <w:rStyle w:val="PageNumber"/>
        <w:noProof/>
      </w:rPr>
      <w:t>22</w:t>
    </w:r>
    <w:r w:rsidRPr="00FC46E7">
      <w:rPr>
        <w:rStyle w:val="PageNumber"/>
      </w:rPr>
      <w:fldChar w:fldCharType="end"/>
    </w:r>
    <w:r>
      <w:tab/>
    </w:r>
    <w:r w:rsidR="001F082B" w:rsidRPr="001F082B">
      <w:t>Draft Code of Manufacturing Practice Guidelines</w:t>
    </w:r>
    <w:r w:rsidR="001F082B">
      <w:t>:</w:t>
    </w:r>
    <w:r w:rsidR="001F082B" w:rsidRPr="001F082B">
      <w:t xml:space="preserve"> Natural Health Products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2E" w:rsidRDefault="0093302E" w:rsidP="00533B90">
    <w:pPr>
      <w:pStyle w:val="RectoFooter"/>
    </w:pPr>
    <w:r>
      <w:tab/>
    </w:r>
    <w:r w:rsidR="001F082B" w:rsidRPr="001F082B">
      <w:t>Draft Code of Manufacturing Practice Guidelines</w:t>
    </w:r>
    <w:r w:rsidR="001F082B">
      <w:t>:</w:t>
    </w:r>
    <w:r w:rsidR="001F082B" w:rsidRPr="001F082B">
      <w:t xml:space="preserve"> Natural Health Products</w:t>
    </w:r>
    <w:r>
      <w:tab/>
    </w:r>
    <w:r>
      <w:rPr>
        <w:rStyle w:val="PageNumber"/>
      </w:rPr>
      <w:fldChar w:fldCharType="begin"/>
    </w:r>
    <w:r>
      <w:rPr>
        <w:rStyle w:val="PageNumber"/>
      </w:rPr>
      <w:instrText xml:space="preserve"> PAGE </w:instrText>
    </w:r>
    <w:r>
      <w:rPr>
        <w:rStyle w:val="PageNumber"/>
      </w:rPr>
      <w:fldChar w:fldCharType="separate"/>
    </w:r>
    <w:r w:rsidR="00472CB9">
      <w:rPr>
        <w:rStyle w:val="PageNumber"/>
        <w:noProof/>
      </w:rPr>
      <w:t>iii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2E" w:rsidRDefault="0093302E" w:rsidP="00533B90">
    <w:pPr>
      <w:pStyle w:val="RectoFooter"/>
    </w:pPr>
    <w:r>
      <w:tab/>
    </w:r>
    <w:r w:rsidR="001F082B" w:rsidRPr="001F082B">
      <w:t>Draft Code of Manufacturing Practice Guidelines</w:t>
    </w:r>
    <w:r w:rsidR="001F082B">
      <w:t>:</w:t>
    </w:r>
    <w:r w:rsidR="001F082B" w:rsidRPr="001F082B">
      <w:t xml:space="preserve"> Natural Health Products</w:t>
    </w:r>
    <w:r>
      <w:tab/>
    </w:r>
    <w:r>
      <w:rPr>
        <w:rStyle w:val="PageNumber"/>
      </w:rPr>
      <w:fldChar w:fldCharType="begin"/>
    </w:r>
    <w:r>
      <w:rPr>
        <w:rStyle w:val="PageNumber"/>
      </w:rPr>
      <w:instrText xml:space="preserve"> PAGE </w:instrText>
    </w:r>
    <w:r>
      <w:rPr>
        <w:rStyle w:val="PageNumber"/>
      </w:rPr>
      <w:fldChar w:fldCharType="separate"/>
    </w:r>
    <w:r w:rsidR="00472CB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43A" w:rsidRPr="00E460B6" w:rsidRDefault="0029243A" w:rsidP="007B4D3E"/>
  </w:footnote>
  <w:footnote w:type="continuationSeparator" w:id="0">
    <w:p w:rsidR="0029243A" w:rsidRDefault="002924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2E" w:rsidRDefault="00EC0016" w:rsidP="00D25FFE">
    <w:pPr>
      <w:pStyle w:val="Header"/>
      <w:ind w:left="-1559"/>
    </w:pPr>
    <w:r>
      <w:rPr>
        <w:noProof/>
        <w:lang w:eastAsia="en-NZ"/>
      </w:rPr>
      <w:drawing>
        <wp:inline distT="0" distB="0" distL="0" distR="0" wp14:anchorId="676D49D3" wp14:editId="66B616E4">
          <wp:extent cx="6413500" cy="530225"/>
          <wp:effectExtent l="0" t="0" r="635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0" cy="530225"/>
                  </a:xfrm>
                  <a:prstGeom prst="rect">
                    <a:avLst/>
                  </a:prstGeom>
                  <a:noFill/>
                </pic:spPr>
              </pic:pic>
            </a:graphicData>
          </a:graphic>
        </wp:inline>
      </w:drawing>
    </w:r>
  </w:p>
  <w:p w:rsidR="0093302E" w:rsidRDefault="0093302E" w:rsidP="001B4BF8">
    <w:pPr>
      <w:pStyle w:val="Header"/>
      <w:ind w:left="-155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2E" w:rsidRDefault="0093302E"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2E" w:rsidRDefault="0093302E"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2E" w:rsidRDefault="0093302E" w:rsidP="003A2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nsid w:val="06127EAB"/>
    <w:multiLevelType w:val="multilevel"/>
    <w:tmpl w:val="1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6B27D2"/>
    <w:multiLevelType w:val="hybridMultilevel"/>
    <w:tmpl w:val="7EC6EA14"/>
    <w:lvl w:ilvl="0" w:tplc="7C8C65A6">
      <w:start w:val="1"/>
      <w:numFmt w:val="decimal"/>
      <w:lvlText w:val="%1."/>
      <w:lvlJc w:val="left"/>
      <w:pPr>
        <w:tabs>
          <w:tab w:val="num" w:pos="567"/>
        </w:tabs>
        <w:ind w:left="567"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nsid w:val="0B4C1767"/>
    <w:multiLevelType w:val="multilevel"/>
    <w:tmpl w:val="00B45D14"/>
    <w:lvl w:ilvl="0">
      <w:start w:val="3"/>
      <w:numFmt w:val="decimal"/>
      <w:lvlText w:val="%1"/>
      <w:lvlJc w:val="left"/>
      <w:pPr>
        <w:ind w:left="720" w:hanging="720"/>
      </w:pPr>
      <w:rPr>
        <w:rFonts w:ascii="Georgia" w:eastAsia="Times New Roman" w:hAnsi="Georgia" w:cs="Times New Roman" w:hint="default"/>
        <w:sz w:val="20"/>
      </w:rPr>
    </w:lvl>
    <w:lvl w:ilvl="1">
      <w:start w:val="8"/>
      <w:numFmt w:val="decimal"/>
      <w:lvlText w:val="%1.%2"/>
      <w:lvlJc w:val="left"/>
      <w:pPr>
        <w:ind w:left="1647" w:hanging="1080"/>
      </w:pPr>
      <w:rPr>
        <w:rFonts w:ascii="Georgia" w:eastAsia="Times New Roman" w:hAnsi="Georgia" w:cs="Times New Roman" w:hint="default"/>
        <w:sz w:val="20"/>
      </w:rPr>
    </w:lvl>
    <w:lvl w:ilvl="2">
      <w:start w:val="1"/>
      <w:numFmt w:val="decimal"/>
      <w:lvlText w:val="%1.%2.%3"/>
      <w:lvlJc w:val="left"/>
      <w:pPr>
        <w:ind w:left="2574" w:hanging="1440"/>
      </w:pPr>
      <w:rPr>
        <w:rFonts w:ascii="Georgia" w:eastAsia="Times New Roman" w:hAnsi="Georgia" w:cs="Times New Roman" w:hint="default"/>
        <w:sz w:val="20"/>
      </w:rPr>
    </w:lvl>
    <w:lvl w:ilvl="3">
      <w:start w:val="1"/>
      <w:numFmt w:val="decimal"/>
      <w:lvlText w:val="%1.%2.%3.%4"/>
      <w:lvlJc w:val="left"/>
      <w:pPr>
        <w:ind w:left="3861" w:hanging="2160"/>
      </w:pPr>
      <w:rPr>
        <w:rFonts w:ascii="Georgia" w:eastAsia="Times New Roman" w:hAnsi="Georgia" w:cs="Times New Roman" w:hint="default"/>
        <w:sz w:val="20"/>
      </w:rPr>
    </w:lvl>
    <w:lvl w:ilvl="4">
      <w:start w:val="1"/>
      <w:numFmt w:val="decimal"/>
      <w:lvlText w:val="%1.%2.%3.%4.%5"/>
      <w:lvlJc w:val="left"/>
      <w:pPr>
        <w:ind w:left="4788" w:hanging="2520"/>
      </w:pPr>
      <w:rPr>
        <w:rFonts w:ascii="Georgia" w:eastAsia="Times New Roman" w:hAnsi="Georgia" w:cs="Times New Roman" w:hint="default"/>
        <w:sz w:val="20"/>
      </w:rPr>
    </w:lvl>
    <w:lvl w:ilvl="5">
      <w:start w:val="1"/>
      <w:numFmt w:val="decimal"/>
      <w:lvlText w:val="%1.%2.%3.%4.%5.%6"/>
      <w:lvlJc w:val="left"/>
      <w:pPr>
        <w:ind w:left="6075" w:hanging="3240"/>
      </w:pPr>
      <w:rPr>
        <w:rFonts w:ascii="Georgia" w:eastAsia="Times New Roman" w:hAnsi="Georgia" w:cs="Times New Roman" w:hint="default"/>
        <w:sz w:val="20"/>
      </w:rPr>
    </w:lvl>
    <w:lvl w:ilvl="6">
      <w:start w:val="1"/>
      <w:numFmt w:val="decimal"/>
      <w:lvlText w:val="%1.%2.%3.%4.%5.%6.%7"/>
      <w:lvlJc w:val="left"/>
      <w:pPr>
        <w:ind w:left="7002" w:hanging="3600"/>
      </w:pPr>
      <w:rPr>
        <w:rFonts w:ascii="Georgia" w:eastAsia="Times New Roman" w:hAnsi="Georgia" w:cs="Times New Roman" w:hint="default"/>
        <w:sz w:val="20"/>
      </w:rPr>
    </w:lvl>
    <w:lvl w:ilvl="7">
      <w:start w:val="1"/>
      <w:numFmt w:val="decimal"/>
      <w:lvlText w:val="%1.%2.%3.%4.%5.%6.%7.%8"/>
      <w:lvlJc w:val="left"/>
      <w:pPr>
        <w:ind w:left="8289" w:hanging="4320"/>
      </w:pPr>
      <w:rPr>
        <w:rFonts w:ascii="Georgia" w:eastAsia="Times New Roman" w:hAnsi="Georgia" w:cs="Times New Roman" w:hint="default"/>
        <w:sz w:val="20"/>
      </w:rPr>
    </w:lvl>
    <w:lvl w:ilvl="8">
      <w:start w:val="1"/>
      <w:numFmt w:val="decimal"/>
      <w:lvlText w:val="%1.%2.%3.%4.%5.%6.%7.%8.%9"/>
      <w:lvlJc w:val="left"/>
      <w:pPr>
        <w:ind w:left="9216" w:hanging="4680"/>
      </w:pPr>
      <w:rPr>
        <w:rFonts w:ascii="Georgia" w:eastAsia="Times New Roman" w:hAnsi="Georgia" w:cs="Times New Roman" w:hint="default"/>
        <w:sz w:val="20"/>
      </w:rPr>
    </w:lvl>
  </w:abstractNum>
  <w:abstractNum w:abstractNumId="5">
    <w:nsid w:val="0C7D4356"/>
    <w:multiLevelType w:val="multilevel"/>
    <w:tmpl w:val="12CA0CB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6">
    <w:nsid w:val="10512851"/>
    <w:multiLevelType w:val="multilevel"/>
    <w:tmpl w:val="A3A8CE40"/>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303" w:hanging="648"/>
      </w:pPr>
      <w:rPr>
        <w:rFonts w:ascii="Georgia" w:hAnsi="Georgia" w:hint="default"/>
        <w:b/>
        <w:color w:val="auto"/>
        <w:sz w:val="22"/>
        <w:szCs w:val="22"/>
      </w:rPr>
    </w:lvl>
    <w:lvl w:ilvl="4">
      <w:start w:val="1"/>
      <w:numFmt w:val="decimal"/>
      <w:lvlText w:val="%1.%2.%3.%4.%5."/>
      <w:lvlJc w:val="left"/>
      <w:pPr>
        <w:ind w:left="2952" w:hanging="792"/>
      </w:pPr>
      <w:rPr>
        <w:rFonts w:hint="default"/>
        <w:b/>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7">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136D6F22"/>
    <w:multiLevelType w:val="hybridMultilevel"/>
    <w:tmpl w:val="27926F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nsid w:val="1C0A6189"/>
    <w:multiLevelType w:val="hybridMultilevel"/>
    <w:tmpl w:val="0CE63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1656610"/>
    <w:multiLevelType w:val="hybridMultilevel"/>
    <w:tmpl w:val="AA6ECC98"/>
    <w:lvl w:ilvl="0" w:tplc="3738BA90">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4BB4863"/>
    <w:multiLevelType w:val="hybridMultilevel"/>
    <w:tmpl w:val="9D74DEC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25880652"/>
    <w:multiLevelType w:val="hybridMultilevel"/>
    <w:tmpl w:val="544EA258"/>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5">
    <w:nsid w:val="2A7D4008"/>
    <w:multiLevelType w:val="hybridMultilevel"/>
    <w:tmpl w:val="87925A6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6">
    <w:nsid w:val="31111A9E"/>
    <w:multiLevelType w:val="hybridMultilevel"/>
    <w:tmpl w:val="9230A1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2DE1C19"/>
    <w:multiLevelType w:val="multilevel"/>
    <w:tmpl w:val="2CB09F70"/>
    <w:lvl w:ilvl="0">
      <w:start w:val="1"/>
      <w:numFmt w:val="decimal"/>
      <w:pStyle w:val="Heading1"/>
      <w:lvlText w:val="%1"/>
      <w:lvlJc w:val="left"/>
      <w:pPr>
        <w:ind w:left="992" w:hanging="992"/>
      </w:pPr>
      <w:rPr>
        <w:rFonts w:hint="default"/>
      </w:rPr>
    </w:lvl>
    <w:lvl w:ilvl="1">
      <w:start w:val="1"/>
      <w:numFmt w:val="decimal"/>
      <w:pStyle w:val="Heading2"/>
      <w:lvlText w:val="%1.%2"/>
      <w:lvlJc w:val="left"/>
      <w:pPr>
        <w:ind w:left="992" w:hanging="992"/>
      </w:pPr>
      <w:rPr>
        <w:rFonts w:hint="default"/>
      </w:rPr>
    </w:lvl>
    <w:lvl w:ilvl="2">
      <w:start w:val="1"/>
      <w:numFmt w:val="decimal"/>
      <w:pStyle w:val="Heading3"/>
      <w:lvlText w:val="%1.%2.%3"/>
      <w:lvlJc w:val="left"/>
      <w:pPr>
        <w:ind w:left="992" w:hanging="99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AEA566D"/>
    <w:multiLevelType w:val="hybridMultilevel"/>
    <w:tmpl w:val="C93CA7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BC12E63"/>
    <w:multiLevelType w:val="hybridMultilevel"/>
    <w:tmpl w:val="839C5930"/>
    <w:lvl w:ilvl="0" w:tplc="020E0E6A">
      <w:start w:val="1"/>
      <w:numFmt w:val="bullet"/>
      <w:lvlText w:val="♦"/>
      <w:lvlJc w:val="left"/>
      <w:pPr>
        <w:ind w:left="4528" w:hanging="360"/>
      </w:pPr>
      <w:rPr>
        <w:rFonts w:ascii="Courier New" w:hAnsi="Courier New" w:hint="default"/>
        <w:sz w:val="22"/>
        <w:szCs w:val="22"/>
      </w:rPr>
    </w:lvl>
    <w:lvl w:ilvl="1" w:tplc="14090003" w:tentative="1">
      <w:start w:val="1"/>
      <w:numFmt w:val="bullet"/>
      <w:lvlText w:val="o"/>
      <w:lvlJc w:val="left"/>
      <w:pPr>
        <w:ind w:left="5248" w:hanging="360"/>
      </w:pPr>
      <w:rPr>
        <w:rFonts w:ascii="Courier New" w:hAnsi="Courier New" w:cs="Courier New" w:hint="default"/>
      </w:rPr>
    </w:lvl>
    <w:lvl w:ilvl="2" w:tplc="14090005" w:tentative="1">
      <w:start w:val="1"/>
      <w:numFmt w:val="bullet"/>
      <w:lvlText w:val=""/>
      <w:lvlJc w:val="left"/>
      <w:pPr>
        <w:ind w:left="5968" w:hanging="360"/>
      </w:pPr>
      <w:rPr>
        <w:rFonts w:ascii="Wingdings" w:hAnsi="Wingdings" w:hint="default"/>
      </w:rPr>
    </w:lvl>
    <w:lvl w:ilvl="3" w:tplc="14090001" w:tentative="1">
      <w:start w:val="1"/>
      <w:numFmt w:val="bullet"/>
      <w:lvlText w:val=""/>
      <w:lvlJc w:val="left"/>
      <w:pPr>
        <w:ind w:left="6688" w:hanging="360"/>
      </w:pPr>
      <w:rPr>
        <w:rFonts w:ascii="Symbol" w:hAnsi="Symbol" w:hint="default"/>
      </w:rPr>
    </w:lvl>
    <w:lvl w:ilvl="4" w:tplc="14090003" w:tentative="1">
      <w:start w:val="1"/>
      <w:numFmt w:val="bullet"/>
      <w:lvlText w:val="o"/>
      <w:lvlJc w:val="left"/>
      <w:pPr>
        <w:ind w:left="7408" w:hanging="360"/>
      </w:pPr>
      <w:rPr>
        <w:rFonts w:ascii="Courier New" w:hAnsi="Courier New" w:cs="Courier New" w:hint="default"/>
      </w:rPr>
    </w:lvl>
    <w:lvl w:ilvl="5" w:tplc="14090005" w:tentative="1">
      <w:start w:val="1"/>
      <w:numFmt w:val="bullet"/>
      <w:lvlText w:val=""/>
      <w:lvlJc w:val="left"/>
      <w:pPr>
        <w:ind w:left="8128" w:hanging="360"/>
      </w:pPr>
      <w:rPr>
        <w:rFonts w:ascii="Wingdings" w:hAnsi="Wingdings" w:hint="default"/>
      </w:rPr>
    </w:lvl>
    <w:lvl w:ilvl="6" w:tplc="14090001" w:tentative="1">
      <w:start w:val="1"/>
      <w:numFmt w:val="bullet"/>
      <w:lvlText w:val=""/>
      <w:lvlJc w:val="left"/>
      <w:pPr>
        <w:ind w:left="8848" w:hanging="360"/>
      </w:pPr>
      <w:rPr>
        <w:rFonts w:ascii="Symbol" w:hAnsi="Symbol" w:hint="default"/>
      </w:rPr>
    </w:lvl>
    <w:lvl w:ilvl="7" w:tplc="14090003" w:tentative="1">
      <w:start w:val="1"/>
      <w:numFmt w:val="bullet"/>
      <w:lvlText w:val="o"/>
      <w:lvlJc w:val="left"/>
      <w:pPr>
        <w:ind w:left="9568" w:hanging="360"/>
      </w:pPr>
      <w:rPr>
        <w:rFonts w:ascii="Courier New" w:hAnsi="Courier New" w:cs="Courier New" w:hint="default"/>
      </w:rPr>
    </w:lvl>
    <w:lvl w:ilvl="8" w:tplc="14090005" w:tentative="1">
      <w:start w:val="1"/>
      <w:numFmt w:val="bullet"/>
      <w:lvlText w:val=""/>
      <w:lvlJc w:val="left"/>
      <w:pPr>
        <w:ind w:left="10288" w:hanging="360"/>
      </w:pPr>
      <w:rPr>
        <w:rFonts w:ascii="Wingdings" w:hAnsi="Wingdings" w:hint="default"/>
      </w:rPr>
    </w:lvl>
  </w:abstractNum>
  <w:abstractNum w:abstractNumId="2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03A2B56"/>
    <w:multiLevelType w:val="hybridMultilevel"/>
    <w:tmpl w:val="895612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nsid w:val="440B1246"/>
    <w:multiLevelType w:val="hybridMultilevel"/>
    <w:tmpl w:val="78ACBE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46476686"/>
    <w:multiLevelType w:val="hybridMultilevel"/>
    <w:tmpl w:val="005C05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48AD52BA"/>
    <w:multiLevelType w:val="hybridMultilevel"/>
    <w:tmpl w:val="D2CC6138"/>
    <w:lvl w:ilvl="0" w:tplc="14090003">
      <w:start w:val="1"/>
      <w:numFmt w:val="bullet"/>
      <w:lvlText w:val="o"/>
      <w:lvlJc w:val="left"/>
      <w:pPr>
        <w:ind w:left="360" w:hanging="360"/>
      </w:pPr>
      <w:rPr>
        <w:rFonts w:ascii="Courier New" w:hAnsi="Courier New" w:cs="Courier New" w:hint="default"/>
      </w:rPr>
    </w:lvl>
    <w:lvl w:ilvl="1" w:tplc="14090003">
      <w:start w:val="1"/>
      <w:numFmt w:val="bullet"/>
      <w:lvlText w:val="o"/>
      <w:lvlJc w:val="left"/>
      <w:pPr>
        <w:ind w:left="360" w:hanging="360"/>
      </w:pPr>
      <w:rPr>
        <w:rFonts w:ascii="Courier New" w:hAnsi="Courier New" w:cs="Courier New" w:hint="default"/>
      </w:rPr>
    </w:lvl>
    <w:lvl w:ilvl="2" w:tplc="14090005">
      <w:start w:val="1"/>
      <w:numFmt w:val="bullet"/>
      <w:lvlText w:val=""/>
      <w:lvlJc w:val="left"/>
      <w:pPr>
        <w:ind w:left="1080" w:hanging="360"/>
      </w:pPr>
      <w:rPr>
        <w:rFonts w:ascii="Wingdings" w:hAnsi="Wingdings"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7">
    <w:nsid w:val="4CB4696B"/>
    <w:multiLevelType w:val="hybridMultilevel"/>
    <w:tmpl w:val="F2487D52"/>
    <w:lvl w:ilvl="0" w:tplc="3F4C9276">
      <w:start w:val="1"/>
      <w:numFmt w:val="bullet"/>
      <w:lvlText w:val=""/>
      <w:lvlJc w:val="left"/>
      <w:pPr>
        <w:ind w:left="720" w:hanging="360"/>
      </w:pPr>
      <w:rPr>
        <w:rFonts w:ascii="Symbol" w:hAnsi="Symbol" w:hint="default"/>
        <w:color w:val="4F81BD" w:themeColor="accen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2B23BB7"/>
    <w:multiLevelType w:val="multilevel"/>
    <w:tmpl w:val="1409001F"/>
    <w:lvl w:ilvl="0">
      <w:start w:val="1"/>
      <w:numFmt w:val="decimal"/>
      <w:lvlText w:val="%1."/>
      <w:lvlJc w:val="left"/>
      <w:pPr>
        <w:ind w:left="360" w:hanging="360"/>
      </w:pPr>
      <w:rPr>
        <w:rFonts w:hint="default"/>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nsid w:val="59BC3FE2"/>
    <w:multiLevelType w:val="hybridMultilevel"/>
    <w:tmpl w:val="016842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5F2442E7"/>
    <w:multiLevelType w:val="hybridMultilevel"/>
    <w:tmpl w:val="D034F0B6"/>
    <w:lvl w:ilvl="0" w:tplc="14090001">
      <w:start w:val="1"/>
      <w:numFmt w:val="bullet"/>
      <w:lvlText w:val=""/>
      <w:lvlJc w:val="left"/>
      <w:pPr>
        <w:ind w:left="1660" w:hanging="360"/>
      </w:pPr>
      <w:rPr>
        <w:rFonts w:ascii="Symbol" w:hAnsi="Symbol" w:hint="default"/>
      </w:rPr>
    </w:lvl>
    <w:lvl w:ilvl="1" w:tplc="14090003" w:tentative="1">
      <w:start w:val="1"/>
      <w:numFmt w:val="bullet"/>
      <w:lvlText w:val="o"/>
      <w:lvlJc w:val="left"/>
      <w:pPr>
        <w:ind w:left="2380" w:hanging="360"/>
      </w:pPr>
      <w:rPr>
        <w:rFonts w:ascii="Courier New" w:hAnsi="Courier New" w:cs="Courier New" w:hint="default"/>
      </w:rPr>
    </w:lvl>
    <w:lvl w:ilvl="2" w:tplc="14090005" w:tentative="1">
      <w:start w:val="1"/>
      <w:numFmt w:val="bullet"/>
      <w:lvlText w:val=""/>
      <w:lvlJc w:val="left"/>
      <w:pPr>
        <w:ind w:left="3100" w:hanging="360"/>
      </w:pPr>
      <w:rPr>
        <w:rFonts w:ascii="Wingdings" w:hAnsi="Wingdings" w:hint="default"/>
      </w:rPr>
    </w:lvl>
    <w:lvl w:ilvl="3" w:tplc="14090001" w:tentative="1">
      <w:start w:val="1"/>
      <w:numFmt w:val="bullet"/>
      <w:lvlText w:val=""/>
      <w:lvlJc w:val="left"/>
      <w:pPr>
        <w:ind w:left="3820" w:hanging="360"/>
      </w:pPr>
      <w:rPr>
        <w:rFonts w:ascii="Symbol" w:hAnsi="Symbol" w:hint="default"/>
      </w:rPr>
    </w:lvl>
    <w:lvl w:ilvl="4" w:tplc="14090003" w:tentative="1">
      <w:start w:val="1"/>
      <w:numFmt w:val="bullet"/>
      <w:lvlText w:val="o"/>
      <w:lvlJc w:val="left"/>
      <w:pPr>
        <w:ind w:left="4540" w:hanging="360"/>
      </w:pPr>
      <w:rPr>
        <w:rFonts w:ascii="Courier New" w:hAnsi="Courier New" w:cs="Courier New" w:hint="default"/>
      </w:rPr>
    </w:lvl>
    <w:lvl w:ilvl="5" w:tplc="14090005" w:tentative="1">
      <w:start w:val="1"/>
      <w:numFmt w:val="bullet"/>
      <w:lvlText w:val=""/>
      <w:lvlJc w:val="left"/>
      <w:pPr>
        <w:ind w:left="5260" w:hanging="360"/>
      </w:pPr>
      <w:rPr>
        <w:rFonts w:ascii="Wingdings" w:hAnsi="Wingdings" w:hint="default"/>
      </w:rPr>
    </w:lvl>
    <w:lvl w:ilvl="6" w:tplc="14090001" w:tentative="1">
      <w:start w:val="1"/>
      <w:numFmt w:val="bullet"/>
      <w:lvlText w:val=""/>
      <w:lvlJc w:val="left"/>
      <w:pPr>
        <w:ind w:left="5980" w:hanging="360"/>
      </w:pPr>
      <w:rPr>
        <w:rFonts w:ascii="Symbol" w:hAnsi="Symbol" w:hint="default"/>
      </w:rPr>
    </w:lvl>
    <w:lvl w:ilvl="7" w:tplc="14090003" w:tentative="1">
      <w:start w:val="1"/>
      <w:numFmt w:val="bullet"/>
      <w:lvlText w:val="o"/>
      <w:lvlJc w:val="left"/>
      <w:pPr>
        <w:ind w:left="6700" w:hanging="360"/>
      </w:pPr>
      <w:rPr>
        <w:rFonts w:ascii="Courier New" w:hAnsi="Courier New" w:cs="Courier New" w:hint="default"/>
      </w:rPr>
    </w:lvl>
    <w:lvl w:ilvl="8" w:tplc="14090005" w:tentative="1">
      <w:start w:val="1"/>
      <w:numFmt w:val="bullet"/>
      <w:lvlText w:val=""/>
      <w:lvlJc w:val="left"/>
      <w:pPr>
        <w:ind w:left="7420" w:hanging="360"/>
      </w:pPr>
      <w:rPr>
        <w:rFonts w:ascii="Wingdings" w:hAnsi="Wingdings" w:hint="default"/>
      </w:rPr>
    </w:lvl>
  </w:abstractNum>
  <w:abstractNum w:abstractNumId="32">
    <w:nsid w:val="62465745"/>
    <w:multiLevelType w:val="multilevel"/>
    <w:tmpl w:val="1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4893A3E"/>
    <w:multiLevelType w:val="hybridMultilevel"/>
    <w:tmpl w:val="3E8AB098"/>
    <w:lvl w:ilvl="0" w:tplc="38965D6E">
      <w:start w:val="1"/>
      <w:numFmt w:val="bullet"/>
      <w:lvlText w:val=""/>
      <w:lvlJc w:val="left"/>
      <w:pPr>
        <w:ind w:left="720" w:hanging="360"/>
      </w:pPr>
      <w:rPr>
        <w:rFonts w:ascii="Symbol" w:hAnsi="Symbol"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35">
    <w:nsid w:val="6C6118F7"/>
    <w:multiLevelType w:val="hybridMultilevel"/>
    <w:tmpl w:val="CAC0D03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37">
    <w:nsid w:val="72817C59"/>
    <w:multiLevelType w:val="hybridMultilevel"/>
    <w:tmpl w:val="770C9ADE"/>
    <w:lvl w:ilvl="0" w:tplc="14090001">
      <w:start w:val="1"/>
      <w:numFmt w:val="bullet"/>
      <w:lvlText w:val=""/>
      <w:lvlJc w:val="left"/>
      <w:pPr>
        <w:ind w:left="3196"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735D12C1"/>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4163E3E"/>
    <w:multiLevelType w:val="hybridMultilevel"/>
    <w:tmpl w:val="195E91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7B1F1714"/>
    <w:multiLevelType w:val="hybridMultilevel"/>
    <w:tmpl w:val="CD2EFA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42">
    <w:nsid w:val="7C5221C9"/>
    <w:multiLevelType w:val="hybridMultilevel"/>
    <w:tmpl w:val="495E0626"/>
    <w:lvl w:ilvl="0" w:tplc="4B2AE2EA">
      <w:start w:val="1"/>
      <w:numFmt w:val="upperLetter"/>
      <w:lvlText w:val="%1."/>
      <w:lvlJc w:val="left"/>
      <w:pPr>
        <w:ind w:left="720" w:hanging="360"/>
      </w:pPr>
      <w:rPr>
        <w:rFonts w:hint="default"/>
        <w:b/>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nsid w:val="7E56091C"/>
    <w:multiLevelType w:val="hybridMultilevel"/>
    <w:tmpl w:val="58E254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1"/>
  </w:num>
  <w:num w:numId="2">
    <w:abstractNumId w:val="34"/>
  </w:num>
  <w:num w:numId="3">
    <w:abstractNumId w:val="20"/>
  </w:num>
  <w:num w:numId="4">
    <w:abstractNumId w:val="21"/>
  </w:num>
  <w:num w:numId="5">
    <w:abstractNumId w:val="1"/>
  </w:num>
  <w:num w:numId="6">
    <w:abstractNumId w:val="29"/>
  </w:num>
  <w:num w:numId="7">
    <w:abstractNumId w:val="9"/>
  </w:num>
  <w:num w:numId="8">
    <w:abstractNumId w:val="36"/>
  </w:num>
  <w:num w:numId="9">
    <w:abstractNumId w:val="7"/>
  </w:num>
  <w:num w:numId="10">
    <w:abstractNumId w:val="11"/>
  </w:num>
  <w:num w:numId="11">
    <w:abstractNumId w:val="23"/>
  </w:num>
  <w:num w:numId="12">
    <w:abstractNumId w:val="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12"/>
  </w:num>
  <w:num w:numId="16">
    <w:abstractNumId w:val="31"/>
  </w:num>
  <w:num w:numId="17">
    <w:abstractNumId w:val="10"/>
  </w:num>
  <w:num w:numId="18">
    <w:abstractNumId w:val="15"/>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8"/>
  </w:num>
  <w:num w:numId="25">
    <w:abstractNumId w:val="22"/>
  </w:num>
  <w:num w:numId="26">
    <w:abstractNumId w:val="40"/>
  </w:num>
  <w:num w:numId="27">
    <w:abstractNumId w:val="8"/>
  </w:num>
  <w:num w:numId="28">
    <w:abstractNumId w:val="38"/>
  </w:num>
  <w:num w:numId="29">
    <w:abstractNumId w:val="14"/>
  </w:num>
  <w:num w:numId="30">
    <w:abstractNumId w:val="27"/>
  </w:num>
  <w:num w:numId="31">
    <w:abstractNumId w:val="33"/>
  </w:num>
  <w:num w:numId="32">
    <w:abstractNumId w:val="35"/>
  </w:num>
  <w:num w:numId="33">
    <w:abstractNumId w:val="19"/>
  </w:num>
  <w:num w:numId="34">
    <w:abstractNumId w:val="43"/>
  </w:num>
  <w:num w:numId="35">
    <w:abstractNumId w:val="30"/>
  </w:num>
  <w:num w:numId="36">
    <w:abstractNumId w:val="26"/>
  </w:num>
  <w:num w:numId="37">
    <w:abstractNumId w:val="42"/>
  </w:num>
  <w:num w:numId="38">
    <w:abstractNumId w:val="5"/>
  </w:num>
  <w:num w:numId="39">
    <w:abstractNumId w:val="25"/>
  </w:num>
  <w:num w:numId="40">
    <w:abstractNumId w:val="39"/>
  </w:num>
  <w:num w:numId="41">
    <w:abstractNumId w:val="13"/>
  </w:num>
  <w:num w:numId="42">
    <w:abstractNumId w:val="2"/>
  </w:num>
  <w:num w:numId="43">
    <w:abstractNumId w:val="4"/>
  </w:num>
  <w:num w:numId="44">
    <w:abstractNumId w:val="32"/>
  </w:num>
  <w:num w:numId="45">
    <w:abstractNumId w:val="24"/>
  </w:num>
  <w:num w:numId="46">
    <w:abstractNumId w:val="28"/>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30B26"/>
    <w:rsid w:val="0006228D"/>
    <w:rsid w:val="00065540"/>
    <w:rsid w:val="00072BD6"/>
    <w:rsid w:val="00075B78"/>
    <w:rsid w:val="00082CD6"/>
    <w:rsid w:val="00085AFE"/>
    <w:rsid w:val="000B0730"/>
    <w:rsid w:val="000F2AE2"/>
    <w:rsid w:val="00102063"/>
    <w:rsid w:val="0010541C"/>
    <w:rsid w:val="00106F93"/>
    <w:rsid w:val="00111D50"/>
    <w:rsid w:val="00113B8E"/>
    <w:rsid w:val="001342C7"/>
    <w:rsid w:val="0013585C"/>
    <w:rsid w:val="00142954"/>
    <w:rsid w:val="001460E0"/>
    <w:rsid w:val="00147F71"/>
    <w:rsid w:val="00150A6E"/>
    <w:rsid w:val="0016468A"/>
    <w:rsid w:val="00186E4C"/>
    <w:rsid w:val="001A5CF5"/>
    <w:rsid w:val="001B39D2"/>
    <w:rsid w:val="001B4BF8"/>
    <w:rsid w:val="001B7348"/>
    <w:rsid w:val="001C4326"/>
    <w:rsid w:val="001D3541"/>
    <w:rsid w:val="001D5433"/>
    <w:rsid w:val="001F082B"/>
    <w:rsid w:val="00201A01"/>
    <w:rsid w:val="002104D3"/>
    <w:rsid w:val="00213A33"/>
    <w:rsid w:val="0021763B"/>
    <w:rsid w:val="00223B07"/>
    <w:rsid w:val="00246DB1"/>
    <w:rsid w:val="002476B5"/>
    <w:rsid w:val="00253ECF"/>
    <w:rsid w:val="002546A1"/>
    <w:rsid w:val="0026459D"/>
    <w:rsid w:val="00275D08"/>
    <w:rsid w:val="002858E3"/>
    <w:rsid w:val="00285971"/>
    <w:rsid w:val="0029190A"/>
    <w:rsid w:val="0029243A"/>
    <w:rsid w:val="00292C5A"/>
    <w:rsid w:val="00295241"/>
    <w:rsid w:val="002B047D"/>
    <w:rsid w:val="002B1A8C"/>
    <w:rsid w:val="002B732B"/>
    <w:rsid w:val="002C2219"/>
    <w:rsid w:val="002D0DF2"/>
    <w:rsid w:val="002D23BD"/>
    <w:rsid w:val="002E0B47"/>
    <w:rsid w:val="002F7213"/>
    <w:rsid w:val="0030382F"/>
    <w:rsid w:val="0030408D"/>
    <w:rsid w:val="003060E4"/>
    <w:rsid w:val="003160E7"/>
    <w:rsid w:val="0031739E"/>
    <w:rsid w:val="003325AB"/>
    <w:rsid w:val="0033412B"/>
    <w:rsid w:val="00343365"/>
    <w:rsid w:val="0035013A"/>
    <w:rsid w:val="00353501"/>
    <w:rsid w:val="003606F8"/>
    <w:rsid w:val="003648EF"/>
    <w:rsid w:val="003673E6"/>
    <w:rsid w:val="00377264"/>
    <w:rsid w:val="003A26A5"/>
    <w:rsid w:val="003A3761"/>
    <w:rsid w:val="003A5FEA"/>
    <w:rsid w:val="003B1D10"/>
    <w:rsid w:val="003C76D4"/>
    <w:rsid w:val="003E7C46"/>
    <w:rsid w:val="003F52A7"/>
    <w:rsid w:val="0040240C"/>
    <w:rsid w:val="00413021"/>
    <w:rsid w:val="004176F0"/>
    <w:rsid w:val="00440BE0"/>
    <w:rsid w:val="00442C1C"/>
    <w:rsid w:val="0044584B"/>
    <w:rsid w:val="00447CB7"/>
    <w:rsid w:val="00460826"/>
    <w:rsid w:val="00460EA7"/>
    <w:rsid w:val="0046195B"/>
    <w:rsid w:val="0046596D"/>
    <w:rsid w:val="00470B86"/>
    <w:rsid w:val="00472CB9"/>
    <w:rsid w:val="00487C04"/>
    <w:rsid w:val="004907E1"/>
    <w:rsid w:val="004A035B"/>
    <w:rsid w:val="004A157F"/>
    <w:rsid w:val="004A38D7"/>
    <w:rsid w:val="004A778C"/>
    <w:rsid w:val="004C2E6A"/>
    <w:rsid w:val="004C57D0"/>
    <w:rsid w:val="004D2A2D"/>
    <w:rsid w:val="004D6689"/>
    <w:rsid w:val="004E1D1D"/>
    <w:rsid w:val="004E7AC8"/>
    <w:rsid w:val="004F0C94"/>
    <w:rsid w:val="005019AE"/>
    <w:rsid w:val="0050268C"/>
    <w:rsid w:val="00503749"/>
    <w:rsid w:val="00504CF4"/>
    <w:rsid w:val="0050635B"/>
    <w:rsid w:val="0053199F"/>
    <w:rsid w:val="00533024"/>
    <w:rsid w:val="00533B90"/>
    <w:rsid w:val="005410F8"/>
    <w:rsid w:val="005448EC"/>
    <w:rsid w:val="00545963"/>
    <w:rsid w:val="00550256"/>
    <w:rsid w:val="00553958"/>
    <w:rsid w:val="0055763D"/>
    <w:rsid w:val="0056218A"/>
    <w:rsid w:val="005621F2"/>
    <w:rsid w:val="00567B58"/>
    <w:rsid w:val="005763E0"/>
    <w:rsid w:val="005A27CA"/>
    <w:rsid w:val="005A43BD"/>
    <w:rsid w:val="005B6311"/>
    <w:rsid w:val="005E226E"/>
    <w:rsid w:val="006015D7"/>
    <w:rsid w:val="00601B21"/>
    <w:rsid w:val="00611F38"/>
    <w:rsid w:val="00626AD9"/>
    <w:rsid w:val="00626CF8"/>
    <w:rsid w:val="00636D7D"/>
    <w:rsid w:val="00637408"/>
    <w:rsid w:val="00642868"/>
    <w:rsid w:val="00647AFE"/>
    <w:rsid w:val="006512BC"/>
    <w:rsid w:val="00653A5A"/>
    <w:rsid w:val="006575F4"/>
    <w:rsid w:val="006579E6"/>
    <w:rsid w:val="00663EDC"/>
    <w:rsid w:val="00671078"/>
    <w:rsid w:val="00680A04"/>
    <w:rsid w:val="00686D80"/>
    <w:rsid w:val="00694895"/>
    <w:rsid w:val="00697E2E"/>
    <w:rsid w:val="006A25A2"/>
    <w:rsid w:val="006B0E73"/>
    <w:rsid w:val="006B4A4D"/>
    <w:rsid w:val="006B5695"/>
    <w:rsid w:val="006B6BFA"/>
    <w:rsid w:val="006C78EB"/>
    <w:rsid w:val="006D1660"/>
    <w:rsid w:val="006F1B67"/>
    <w:rsid w:val="0070091D"/>
    <w:rsid w:val="00702854"/>
    <w:rsid w:val="00704482"/>
    <w:rsid w:val="0071741C"/>
    <w:rsid w:val="007245D1"/>
    <w:rsid w:val="007412A7"/>
    <w:rsid w:val="00742B90"/>
    <w:rsid w:val="0074434D"/>
    <w:rsid w:val="00771B1E"/>
    <w:rsid w:val="00773C95"/>
    <w:rsid w:val="0078171E"/>
    <w:rsid w:val="00795B34"/>
    <w:rsid w:val="007B1770"/>
    <w:rsid w:val="007B4D3E"/>
    <w:rsid w:val="007B7C70"/>
    <w:rsid w:val="007D2151"/>
    <w:rsid w:val="007D42CC"/>
    <w:rsid w:val="007D5DE4"/>
    <w:rsid w:val="007E0777"/>
    <w:rsid w:val="007E1341"/>
    <w:rsid w:val="007E1B41"/>
    <w:rsid w:val="007E30B9"/>
    <w:rsid w:val="007E74F1"/>
    <w:rsid w:val="007F0F0C"/>
    <w:rsid w:val="007F1288"/>
    <w:rsid w:val="00800A8A"/>
    <w:rsid w:val="0080155C"/>
    <w:rsid w:val="008052E1"/>
    <w:rsid w:val="008105D3"/>
    <w:rsid w:val="0081266E"/>
    <w:rsid w:val="00822F2C"/>
    <w:rsid w:val="008305E8"/>
    <w:rsid w:val="00860826"/>
    <w:rsid w:val="00860E21"/>
    <w:rsid w:val="00860F0C"/>
    <w:rsid w:val="00863117"/>
    <w:rsid w:val="0086388B"/>
    <w:rsid w:val="008642E5"/>
    <w:rsid w:val="00872D93"/>
    <w:rsid w:val="00880470"/>
    <w:rsid w:val="00880D94"/>
    <w:rsid w:val="008846B9"/>
    <w:rsid w:val="008924DE"/>
    <w:rsid w:val="008A3755"/>
    <w:rsid w:val="008B264F"/>
    <w:rsid w:val="008B6F83"/>
    <w:rsid w:val="008B7FD8"/>
    <w:rsid w:val="008C2973"/>
    <w:rsid w:val="008C64C4"/>
    <w:rsid w:val="008D74D5"/>
    <w:rsid w:val="008E5362"/>
    <w:rsid w:val="008F29BE"/>
    <w:rsid w:val="008F4AE5"/>
    <w:rsid w:val="008F51EB"/>
    <w:rsid w:val="00900197"/>
    <w:rsid w:val="00902F55"/>
    <w:rsid w:val="0090582B"/>
    <w:rsid w:val="009060C0"/>
    <w:rsid w:val="009133F5"/>
    <w:rsid w:val="00920A27"/>
    <w:rsid w:val="00921216"/>
    <w:rsid w:val="0092532C"/>
    <w:rsid w:val="00927036"/>
    <w:rsid w:val="00932D69"/>
    <w:rsid w:val="0093302E"/>
    <w:rsid w:val="00944647"/>
    <w:rsid w:val="00977B8A"/>
    <w:rsid w:val="00982971"/>
    <w:rsid w:val="009845AD"/>
    <w:rsid w:val="00995BA0"/>
    <w:rsid w:val="009A418B"/>
    <w:rsid w:val="009A4473"/>
    <w:rsid w:val="009A6E81"/>
    <w:rsid w:val="009C151C"/>
    <w:rsid w:val="009D5125"/>
    <w:rsid w:val="009D60B8"/>
    <w:rsid w:val="009D7D4B"/>
    <w:rsid w:val="009E36ED"/>
    <w:rsid w:val="009E6B77"/>
    <w:rsid w:val="009F460A"/>
    <w:rsid w:val="00A043FB"/>
    <w:rsid w:val="00A05E93"/>
    <w:rsid w:val="00A0729C"/>
    <w:rsid w:val="00A07779"/>
    <w:rsid w:val="00A20B2E"/>
    <w:rsid w:val="00A3068F"/>
    <w:rsid w:val="00A3145B"/>
    <w:rsid w:val="00A339D0"/>
    <w:rsid w:val="00A41002"/>
    <w:rsid w:val="00A4201A"/>
    <w:rsid w:val="00A553CE"/>
    <w:rsid w:val="00A5677A"/>
    <w:rsid w:val="00A6490D"/>
    <w:rsid w:val="00A6757C"/>
    <w:rsid w:val="00A80363"/>
    <w:rsid w:val="00A9169D"/>
    <w:rsid w:val="00AC101C"/>
    <w:rsid w:val="00AD4CF1"/>
    <w:rsid w:val="00AD5988"/>
    <w:rsid w:val="00AE0874"/>
    <w:rsid w:val="00AF58D4"/>
    <w:rsid w:val="00AF7800"/>
    <w:rsid w:val="00B072E0"/>
    <w:rsid w:val="00B253F6"/>
    <w:rsid w:val="00B332F8"/>
    <w:rsid w:val="00B3492B"/>
    <w:rsid w:val="00B41C14"/>
    <w:rsid w:val="00B421A5"/>
    <w:rsid w:val="00B4646F"/>
    <w:rsid w:val="00B55C7D"/>
    <w:rsid w:val="00B63038"/>
    <w:rsid w:val="00B64BD8"/>
    <w:rsid w:val="00B701D1"/>
    <w:rsid w:val="00B73AF2"/>
    <w:rsid w:val="00B7551A"/>
    <w:rsid w:val="00B83BA5"/>
    <w:rsid w:val="00BA2723"/>
    <w:rsid w:val="00BC59F1"/>
    <w:rsid w:val="00BD2309"/>
    <w:rsid w:val="00BF3DE1"/>
    <w:rsid w:val="00BF4843"/>
    <w:rsid w:val="00BF5205"/>
    <w:rsid w:val="00C12508"/>
    <w:rsid w:val="00C235AF"/>
    <w:rsid w:val="00C45AA2"/>
    <w:rsid w:val="00C66296"/>
    <w:rsid w:val="00C71AAB"/>
    <w:rsid w:val="00C77282"/>
    <w:rsid w:val="00C84DE5"/>
    <w:rsid w:val="00C86248"/>
    <w:rsid w:val="00CA4C33"/>
    <w:rsid w:val="00CA6F4A"/>
    <w:rsid w:val="00CC01B8"/>
    <w:rsid w:val="00CD2119"/>
    <w:rsid w:val="00CD36AC"/>
    <w:rsid w:val="00CF1747"/>
    <w:rsid w:val="00D2392A"/>
    <w:rsid w:val="00D25FFE"/>
    <w:rsid w:val="00D4476F"/>
    <w:rsid w:val="00D54D50"/>
    <w:rsid w:val="00D55C58"/>
    <w:rsid w:val="00D66797"/>
    <w:rsid w:val="00D7087C"/>
    <w:rsid w:val="00D70C3C"/>
    <w:rsid w:val="00D72BE5"/>
    <w:rsid w:val="00D82F26"/>
    <w:rsid w:val="00D863D0"/>
    <w:rsid w:val="00D87C87"/>
    <w:rsid w:val="00D9636B"/>
    <w:rsid w:val="00DB39CF"/>
    <w:rsid w:val="00DB5E03"/>
    <w:rsid w:val="00DD447A"/>
    <w:rsid w:val="00DE3B20"/>
    <w:rsid w:val="00DE6C94"/>
    <w:rsid w:val="00DE6FD7"/>
    <w:rsid w:val="00E23271"/>
    <w:rsid w:val="00E24F80"/>
    <w:rsid w:val="00E259F3"/>
    <w:rsid w:val="00E33238"/>
    <w:rsid w:val="00E4486C"/>
    <w:rsid w:val="00E460B6"/>
    <w:rsid w:val="00E511D5"/>
    <w:rsid w:val="00E60249"/>
    <w:rsid w:val="00E65269"/>
    <w:rsid w:val="00E76D66"/>
    <w:rsid w:val="00EA796A"/>
    <w:rsid w:val="00EB1856"/>
    <w:rsid w:val="00EB598B"/>
    <w:rsid w:val="00EC0016"/>
    <w:rsid w:val="00EC50CE"/>
    <w:rsid w:val="00EC5B34"/>
    <w:rsid w:val="00EE4ADE"/>
    <w:rsid w:val="00EE5CB7"/>
    <w:rsid w:val="00F024FE"/>
    <w:rsid w:val="00F05AD4"/>
    <w:rsid w:val="00F25970"/>
    <w:rsid w:val="00F5180D"/>
    <w:rsid w:val="00F67496"/>
    <w:rsid w:val="00F801BA"/>
    <w:rsid w:val="00F87F8A"/>
    <w:rsid w:val="00F946C9"/>
    <w:rsid w:val="00FA74EE"/>
    <w:rsid w:val="00FC3711"/>
    <w:rsid w:val="00FC46E7"/>
    <w:rsid w:val="00FC5D25"/>
    <w:rsid w:val="00FD0D7E"/>
    <w:rsid w:val="00FE616D"/>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qFormat/>
    <w:rsid w:val="00F024FE"/>
    <w:pPr>
      <w:numPr>
        <w:numId w:val="21"/>
      </w:numPr>
      <w:pBdr>
        <w:top w:val="single" w:sz="48" w:space="16" w:color="auto"/>
      </w:pBdr>
      <w:spacing w:after="360"/>
      <w:outlineLvl w:val="0"/>
    </w:pPr>
    <w:rPr>
      <w:b/>
      <w:sz w:val="60"/>
    </w:rPr>
  </w:style>
  <w:style w:type="paragraph" w:styleId="Heading2">
    <w:name w:val="heading 2"/>
    <w:basedOn w:val="Normal"/>
    <w:next w:val="Normal"/>
    <w:link w:val="Heading2Char"/>
    <w:qFormat/>
    <w:rsid w:val="00D2392A"/>
    <w:pPr>
      <w:keepNext/>
      <w:numPr>
        <w:ilvl w:val="1"/>
        <w:numId w:val="21"/>
      </w:numPr>
      <w:spacing w:before="120" w:after="120"/>
      <w:outlineLvl w:val="1"/>
    </w:pPr>
    <w:rPr>
      <w:b/>
      <w:sz w:val="40"/>
    </w:rPr>
  </w:style>
  <w:style w:type="paragraph" w:styleId="Heading3">
    <w:name w:val="heading 3"/>
    <w:basedOn w:val="Normal"/>
    <w:next w:val="Normal"/>
    <w:link w:val="Heading3Char"/>
    <w:qFormat/>
    <w:rsid w:val="0033412B"/>
    <w:pPr>
      <w:keepNext/>
      <w:numPr>
        <w:ilvl w:val="2"/>
        <w:numId w:val="21"/>
      </w:numPr>
      <w:spacing w:before="120" w:after="120"/>
      <w:outlineLvl w:val="2"/>
    </w:pPr>
    <w:rPr>
      <w:b/>
      <w:sz w:val="28"/>
    </w:rPr>
  </w:style>
  <w:style w:type="paragraph" w:styleId="Heading4">
    <w:name w:val="heading 4"/>
    <w:basedOn w:val="Normal"/>
    <w:next w:val="Normal"/>
    <w:link w:val="Heading4Char"/>
    <w:qFormat/>
    <w:rsid w:val="007D5DE4"/>
    <w:pPr>
      <w:keepNext/>
      <w:spacing w:before="120" w:after="120"/>
      <w:outlineLvl w:val="3"/>
    </w:pPr>
    <w:rPr>
      <w:b/>
    </w:rPr>
  </w:style>
  <w:style w:type="paragraph" w:styleId="Heading5">
    <w:name w:val="heading 5"/>
    <w:basedOn w:val="Normal"/>
    <w:next w:val="Normal"/>
    <w:link w:val="Heading5Char"/>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6388B"/>
    <w:rPr>
      <w:rFonts w:ascii="Georgia" w:hAnsi="Georgia"/>
      <w:b/>
      <w:sz w:val="60"/>
      <w:lang w:eastAsia="en-GB"/>
    </w:rPr>
  </w:style>
  <w:style w:type="character" w:customStyle="1" w:styleId="Heading2Char">
    <w:name w:val="Heading 2 Char"/>
    <w:link w:val="Heading2"/>
    <w:rsid w:val="0086388B"/>
    <w:rPr>
      <w:rFonts w:ascii="Georgia" w:hAnsi="Georgia"/>
      <w:b/>
      <w:sz w:val="40"/>
      <w:lang w:eastAsia="en-GB"/>
    </w:rPr>
  </w:style>
  <w:style w:type="character" w:customStyle="1" w:styleId="Heading3Char">
    <w:name w:val="Heading 3 Char"/>
    <w:link w:val="Heading3"/>
    <w:rsid w:val="0086388B"/>
    <w:rPr>
      <w:rFonts w:ascii="Georgia" w:hAnsi="Georgia"/>
      <w:b/>
      <w:sz w:val="28"/>
      <w:lang w:eastAsia="en-GB"/>
    </w:rPr>
  </w:style>
  <w:style w:type="character" w:customStyle="1" w:styleId="Heading4Char">
    <w:name w:val="Heading 4 Char"/>
    <w:basedOn w:val="DefaultParagraphFont"/>
    <w:link w:val="Heading4"/>
    <w:rsid w:val="0050268C"/>
    <w:rPr>
      <w:rFonts w:ascii="Georgia" w:hAnsi="Georgia"/>
      <w:b/>
      <w:sz w:val="22"/>
      <w:lang w:eastAsia="en-GB"/>
    </w:rPr>
  </w:style>
  <w:style w:type="character" w:customStyle="1" w:styleId="Heading5Char">
    <w:name w:val="Heading 5 Char"/>
    <w:basedOn w:val="DefaultParagraphFont"/>
    <w:link w:val="Heading5"/>
    <w:rsid w:val="0050268C"/>
    <w:rPr>
      <w:rFonts w:ascii="Georgia" w:hAnsi="Georgia"/>
      <w:sz w:val="22"/>
      <w:u w:val="single"/>
      <w:lang w:eastAsia="en-GB"/>
    </w:rPr>
  </w:style>
  <w:style w:type="paragraph" w:styleId="TOC1">
    <w:name w:val="toc 1"/>
    <w:basedOn w:val="Normal"/>
    <w:next w:val="Normal"/>
    <w:uiPriority w:val="39"/>
    <w:rsid w:val="00CC01B8"/>
    <w:pPr>
      <w:tabs>
        <w:tab w:val="right" w:pos="9356"/>
      </w:tabs>
      <w:spacing w:before="300"/>
      <w:ind w:left="567" w:right="567" w:hanging="567"/>
    </w:pPr>
    <w:rPr>
      <w:b/>
    </w:rPr>
  </w:style>
  <w:style w:type="paragraph" w:styleId="TOC2">
    <w:name w:val="toc 2"/>
    <w:basedOn w:val="Normal"/>
    <w:next w:val="Normal"/>
    <w:uiPriority w:val="39"/>
    <w:rsid w:val="00CC01B8"/>
    <w:pPr>
      <w:tabs>
        <w:tab w:val="left" w:pos="284"/>
        <w:tab w:val="right" w:pos="9356"/>
      </w:tabs>
      <w:spacing w:before="60"/>
      <w:ind w:left="1134" w:right="567" w:hanging="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D9636B"/>
    <w:pPr>
      <w:numPr>
        <w:numId w:val="1"/>
      </w:numPr>
      <w:spacing w:before="90"/>
    </w:pPr>
  </w:style>
  <w:style w:type="paragraph" w:styleId="Quote">
    <w:name w:val="Quote"/>
    <w:basedOn w:val="Normal"/>
    <w:next w:val="Normal"/>
    <w:link w:val="QuoteChar"/>
    <w:qFormat/>
    <w:pPr>
      <w:spacing w:before="120"/>
      <w:ind w:left="284" w:right="284"/>
    </w:pPr>
  </w:style>
  <w:style w:type="character" w:customStyle="1" w:styleId="QuoteChar">
    <w:name w:val="Quote Char"/>
    <w:basedOn w:val="DefaultParagraphFont"/>
    <w:link w:val="Quote"/>
    <w:rsid w:val="0050268C"/>
    <w:rPr>
      <w:rFonts w:ascii="Georgia" w:hAnsi="Georgia"/>
      <w:sz w:val="22"/>
      <w:lang w:eastAsia="en-GB"/>
    </w:rPr>
  </w:style>
  <w:style w:type="paragraph" w:styleId="FootnoteText">
    <w:name w:val="footnote text"/>
    <w:basedOn w:val="Normal"/>
    <w:link w:val="FootnoteTextChar"/>
    <w:uiPriority w:val="99"/>
    <w:semiHidden/>
    <w:rsid w:val="003060E4"/>
    <w:pPr>
      <w:spacing w:before="60"/>
      <w:ind w:left="284" w:hanging="284"/>
    </w:pPr>
    <w:rPr>
      <w:sz w:val="18"/>
    </w:rPr>
  </w:style>
  <w:style w:type="character" w:customStyle="1" w:styleId="FootnoteTextChar">
    <w:name w:val="Footnote Text Char"/>
    <w:link w:val="FootnoteText"/>
    <w:uiPriority w:val="99"/>
    <w:semiHidden/>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FF65CD"/>
    <w:pPr>
      <w:ind w:right="1701"/>
    </w:pPr>
    <w:rPr>
      <w:b/>
      <w:sz w:val="80"/>
    </w:rPr>
  </w:style>
  <w:style w:type="character" w:customStyle="1" w:styleId="TitleChar">
    <w:name w:val="Title Char"/>
    <w:basedOn w:val="DefaultParagraphFont"/>
    <w:link w:val="Title"/>
    <w:rsid w:val="0050268C"/>
    <w:rPr>
      <w:rFonts w:ascii="Georgia" w:hAnsi="Georgia"/>
      <w:b/>
      <w:sz w:val="80"/>
      <w:lang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5B6311"/>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D9636B"/>
  </w:style>
  <w:style w:type="paragraph" w:customStyle="1" w:styleId="Dash">
    <w:name w:val="Dash"/>
    <w:basedOn w:val="Bullet"/>
    <w:qFormat/>
    <w:rsid w:val="00D9636B"/>
    <w:pPr>
      <w:numPr>
        <w:numId w:val="3"/>
      </w:numPr>
      <w:spacing w:before="60"/>
      <w:ind w:left="568" w:hanging="284"/>
    </w:pPr>
  </w:style>
  <w:style w:type="paragraph" w:customStyle="1" w:styleId="TableText">
    <w:name w:val="TableText"/>
    <w:basedOn w:val="Normal"/>
    <w:link w:val="TableTextChar"/>
    <w:qFormat/>
    <w:rsid w:val="00A6757C"/>
    <w:pPr>
      <w:spacing w:before="100" w:after="100" w:line="240" w:lineRule="auto"/>
    </w:pPr>
    <w:rPr>
      <w:sz w:val="20"/>
    </w:rPr>
  </w:style>
  <w:style w:type="character" w:customStyle="1" w:styleId="TableTextChar">
    <w:name w:val="TableText Char"/>
    <w:link w:val="TableText"/>
    <w:rsid w:val="00A6757C"/>
    <w:rPr>
      <w:rFonts w:ascii="Georgia" w:hAnsi="Georgia"/>
      <w:lang w:eastAsia="en-GB"/>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rsid w:val="00860F0C"/>
    <w:pPr>
      <w:pBdr>
        <w:top w:val="single" w:sz="4" w:space="12" w:color="auto"/>
        <w:left w:val="single" w:sz="4" w:space="12" w:color="auto"/>
        <w:bottom w:val="single" w:sz="4" w:space="12" w:color="auto"/>
        <w:right w:val="single" w:sz="4" w:space="12" w:color="auto"/>
      </w:pBdr>
      <w:spacing w:before="120"/>
      <w:ind w:left="1134" w:right="284"/>
    </w:pPr>
  </w:style>
  <w:style w:type="paragraph" w:customStyle="1" w:styleId="BoxHeading">
    <w:name w:val="BoxHeading"/>
    <w:basedOn w:val="Box"/>
    <w:qFormat/>
    <w:rPr>
      <w:b/>
      <w:sz w:val="24"/>
    </w:rPr>
  </w:style>
  <w:style w:type="paragraph" w:customStyle="1" w:styleId="BoxBullet">
    <w:name w:val="BoxBullet"/>
    <w:basedOn w:val="Box"/>
    <w:qFormat/>
    <w:rsid w:val="00BA2723"/>
    <w:pPr>
      <w:numPr>
        <w:numId w:val="2"/>
      </w:numPr>
      <w:tabs>
        <w:tab w:val="clear" w:pos="360"/>
      </w:tabs>
      <w:spacing w:before="60"/>
      <w:ind w:left="1418"/>
    </w:pPr>
  </w:style>
  <w:style w:type="paragraph" w:customStyle="1" w:styleId="IntroHead">
    <w:name w:val="IntroHead"/>
    <w:basedOn w:val="Heading1"/>
    <w:next w:val="Normal"/>
    <w:qFormat/>
    <w:rsid w:val="007412A7"/>
    <w:pPr>
      <w:numPr>
        <w:numId w:val="0"/>
      </w:num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rsid w:val="004F0C94"/>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7245D1"/>
    <w:pPr>
      <w:numPr>
        <w:numId w:val="4"/>
      </w:numPr>
      <w:spacing w:before="0" w:after="60"/>
      <w:ind w:left="568" w:hanging="284"/>
    </w:pPr>
    <w:rPr>
      <w:szCs w:val="22"/>
    </w:rPr>
  </w:style>
  <w:style w:type="paragraph" w:customStyle="1" w:styleId="Year">
    <w:name w:val="Year"/>
    <w:basedOn w:val="Subhead"/>
    <w:next w:val="Subhead"/>
    <w:qFormat/>
    <w:rsid w:val="00FF65CD"/>
    <w:pPr>
      <w:pBdr>
        <w:bottom w:val="single" w:sz="48" w:space="6" w:color="auto"/>
      </w:pBdr>
    </w:pPr>
    <w:rPr>
      <w:sz w:val="56"/>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86388B"/>
    <w:rPr>
      <w:rFonts w:ascii="Calibri" w:eastAsia="Calibri" w:hAnsi="Calibri"/>
      <w:sz w:val="22"/>
      <w:szCs w:val="22"/>
      <w:lang w:val="en-US" w:eastAsia="en-US"/>
    </w:rPr>
  </w:style>
  <w:style w:type="paragraph" w:customStyle="1" w:styleId="Number">
    <w:name w:val="Number"/>
    <w:basedOn w:val="Normal"/>
    <w:rsid w:val="00860F0C"/>
    <w:pPr>
      <w:spacing w:before="240"/>
    </w:pPr>
  </w:style>
  <w:style w:type="paragraph" w:styleId="BalloonText">
    <w:name w:val="Balloon Text"/>
    <w:basedOn w:val="Normal"/>
    <w:link w:val="BalloonTextChar"/>
    <w:uiPriority w:val="99"/>
    <w:semiHidden/>
    <w:unhideWhenUsed/>
    <w:rsid w:val="001F08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82B"/>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qFormat/>
    <w:rsid w:val="00F024FE"/>
    <w:pPr>
      <w:numPr>
        <w:numId w:val="21"/>
      </w:numPr>
      <w:pBdr>
        <w:top w:val="single" w:sz="48" w:space="16" w:color="auto"/>
      </w:pBdr>
      <w:spacing w:after="360"/>
      <w:outlineLvl w:val="0"/>
    </w:pPr>
    <w:rPr>
      <w:b/>
      <w:sz w:val="60"/>
    </w:rPr>
  </w:style>
  <w:style w:type="paragraph" w:styleId="Heading2">
    <w:name w:val="heading 2"/>
    <w:basedOn w:val="Normal"/>
    <w:next w:val="Normal"/>
    <w:link w:val="Heading2Char"/>
    <w:qFormat/>
    <w:rsid w:val="00D2392A"/>
    <w:pPr>
      <w:keepNext/>
      <w:numPr>
        <w:ilvl w:val="1"/>
        <w:numId w:val="21"/>
      </w:numPr>
      <w:spacing w:before="120" w:after="120"/>
      <w:outlineLvl w:val="1"/>
    </w:pPr>
    <w:rPr>
      <w:b/>
      <w:sz w:val="40"/>
    </w:rPr>
  </w:style>
  <w:style w:type="paragraph" w:styleId="Heading3">
    <w:name w:val="heading 3"/>
    <w:basedOn w:val="Normal"/>
    <w:next w:val="Normal"/>
    <w:link w:val="Heading3Char"/>
    <w:qFormat/>
    <w:rsid w:val="0033412B"/>
    <w:pPr>
      <w:keepNext/>
      <w:numPr>
        <w:ilvl w:val="2"/>
        <w:numId w:val="21"/>
      </w:numPr>
      <w:spacing w:before="120" w:after="120"/>
      <w:outlineLvl w:val="2"/>
    </w:pPr>
    <w:rPr>
      <w:b/>
      <w:sz w:val="28"/>
    </w:rPr>
  </w:style>
  <w:style w:type="paragraph" w:styleId="Heading4">
    <w:name w:val="heading 4"/>
    <w:basedOn w:val="Normal"/>
    <w:next w:val="Normal"/>
    <w:link w:val="Heading4Char"/>
    <w:qFormat/>
    <w:rsid w:val="007D5DE4"/>
    <w:pPr>
      <w:keepNext/>
      <w:spacing w:before="120" w:after="120"/>
      <w:outlineLvl w:val="3"/>
    </w:pPr>
    <w:rPr>
      <w:b/>
    </w:rPr>
  </w:style>
  <w:style w:type="paragraph" w:styleId="Heading5">
    <w:name w:val="heading 5"/>
    <w:basedOn w:val="Normal"/>
    <w:next w:val="Normal"/>
    <w:link w:val="Heading5Char"/>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6388B"/>
    <w:rPr>
      <w:rFonts w:ascii="Georgia" w:hAnsi="Georgia"/>
      <w:b/>
      <w:sz w:val="60"/>
      <w:lang w:eastAsia="en-GB"/>
    </w:rPr>
  </w:style>
  <w:style w:type="character" w:customStyle="1" w:styleId="Heading2Char">
    <w:name w:val="Heading 2 Char"/>
    <w:link w:val="Heading2"/>
    <w:rsid w:val="0086388B"/>
    <w:rPr>
      <w:rFonts w:ascii="Georgia" w:hAnsi="Georgia"/>
      <w:b/>
      <w:sz w:val="40"/>
      <w:lang w:eastAsia="en-GB"/>
    </w:rPr>
  </w:style>
  <w:style w:type="character" w:customStyle="1" w:styleId="Heading3Char">
    <w:name w:val="Heading 3 Char"/>
    <w:link w:val="Heading3"/>
    <w:rsid w:val="0086388B"/>
    <w:rPr>
      <w:rFonts w:ascii="Georgia" w:hAnsi="Georgia"/>
      <w:b/>
      <w:sz w:val="28"/>
      <w:lang w:eastAsia="en-GB"/>
    </w:rPr>
  </w:style>
  <w:style w:type="character" w:customStyle="1" w:styleId="Heading4Char">
    <w:name w:val="Heading 4 Char"/>
    <w:basedOn w:val="DefaultParagraphFont"/>
    <w:link w:val="Heading4"/>
    <w:rsid w:val="0050268C"/>
    <w:rPr>
      <w:rFonts w:ascii="Georgia" w:hAnsi="Georgia"/>
      <w:b/>
      <w:sz w:val="22"/>
      <w:lang w:eastAsia="en-GB"/>
    </w:rPr>
  </w:style>
  <w:style w:type="character" w:customStyle="1" w:styleId="Heading5Char">
    <w:name w:val="Heading 5 Char"/>
    <w:basedOn w:val="DefaultParagraphFont"/>
    <w:link w:val="Heading5"/>
    <w:rsid w:val="0050268C"/>
    <w:rPr>
      <w:rFonts w:ascii="Georgia" w:hAnsi="Georgia"/>
      <w:sz w:val="22"/>
      <w:u w:val="single"/>
      <w:lang w:eastAsia="en-GB"/>
    </w:rPr>
  </w:style>
  <w:style w:type="paragraph" w:styleId="TOC1">
    <w:name w:val="toc 1"/>
    <w:basedOn w:val="Normal"/>
    <w:next w:val="Normal"/>
    <w:uiPriority w:val="39"/>
    <w:rsid w:val="00CC01B8"/>
    <w:pPr>
      <w:tabs>
        <w:tab w:val="right" w:pos="9356"/>
      </w:tabs>
      <w:spacing w:before="300"/>
      <w:ind w:left="567" w:right="567" w:hanging="567"/>
    </w:pPr>
    <w:rPr>
      <w:b/>
    </w:rPr>
  </w:style>
  <w:style w:type="paragraph" w:styleId="TOC2">
    <w:name w:val="toc 2"/>
    <w:basedOn w:val="Normal"/>
    <w:next w:val="Normal"/>
    <w:uiPriority w:val="39"/>
    <w:rsid w:val="00CC01B8"/>
    <w:pPr>
      <w:tabs>
        <w:tab w:val="left" w:pos="284"/>
        <w:tab w:val="right" w:pos="9356"/>
      </w:tabs>
      <w:spacing w:before="60"/>
      <w:ind w:left="1134" w:right="567" w:hanging="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D9636B"/>
    <w:pPr>
      <w:numPr>
        <w:numId w:val="1"/>
      </w:numPr>
      <w:spacing w:before="90"/>
    </w:pPr>
  </w:style>
  <w:style w:type="paragraph" w:styleId="Quote">
    <w:name w:val="Quote"/>
    <w:basedOn w:val="Normal"/>
    <w:next w:val="Normal"/>
    <w:link w:val="QuoteChar"/>
    <w:qFormat/>
    <w:pPr>
      <w:spacing w:before="120"/>
      <w:ind w:left="284" w:right="284"/>
    </w:pPr>
  </w:style>
  <w:style w:type="character" w:customStyle="1" w:styleId="QuoteChar">
    <w:name w:val="Quote Char"/>
    <w:basedOn w:val="DefaultParagraphFont"/>
    <w:link w:val="Quote"/>
    <w:rsid w:val="0050268C"/>
    <w:rPr>
      <w:rFonts w:ascii="Georgia" w:hAnsi="Georgia"/>
      <w:sz w:val="22"/>
      <w:lang w:eastAsia="en-GB"/>
    </w:rPr>
  </w:style>
  <w:style w:type="paragraph" w:styleId="FootnoteText">
    <w:name w:val="footnote text"/>
    <w:basedOn w:val="Normal"/>
    <w:link w:val="FootnoteTextChar"/>
    <w:uiPriority w:val="99"/>
    <w:semiHidden/>
    <w:rsid w:val="003060E4"/>
    <w:pPr>
      <w:spacing w:before="60"/>
      <w:ind w:left="284" w:hanging="284"/>
    </w:pPr>
    <w:rPr>
      <w:sz w:val="18"/>
    </w:rPr>
  </w:style>
  <w:style w:type="character" w:customStyle="1" w:styleId="FootnoteTextChar">
    <w:name w:val="Footnote Text Char"/>
    <w:link w:val="FootnoteText"/>
    <w:uiPriority w:val="99"/>
    <w:semiHidden/>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FF65CD"/>
    <w:pPr>
      <w:ind w:right="1701"/>
    </w:pPr>
    <w:rPr>
      <w:b/>
      <w:sz w:val="80"/>
    </w:rPr>
  </w:style>
  <w:style w:type="character" w:customStyle="1" w:styleId="TitleChar">
    <w:name w:val="Title Char"/>
    <w:basedOn w:val="DefaultParagraphFont"/>
    <w:link w:val="Title"/>
    <w:rsid w:val="0050268C"/>
    <w:rPr>
      <w:rFonts w:ascii="Georgia" w:hAnsi="Georgia"/>
      <w:b/>
      <w:sz w:val="80"/>
      <w:lang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5B6311"/>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D9636B"/>
  </w:style>
  <w:style w:type="paragraph" w:customStyle="1" w:styleId="Dash">
    <w:name w:val="Dash"/>
    <w:basedOn w:val="Bullet"/>
    <w:qFormat/>
    <w:rsid w:val="00D9636B"/>
    <w:pPr>
      <w:numPr>
        <w:numId w:val="3"/>
      </w:numPr>
      <w:spacing w:before="60"/>
      <w:ind w:left="568" w:hanging="284"/>
    </w:pPr>
  </w:style>
  <w:style w:type="paragraph" w:customStyle="1" w:styleId="TableText">
    <w:name w:val="TableText"/>
    <w:basedOn w:val="Normal"/>
    <w:link w:val="TableTextChar"/>
    <w:qFormat/>
    <w:rsid w:val="00A6757C"/>
    <w:pPr>
      <w:spacing w:before="100" w:after="100" w:line="240" w:lineRule="auto"/>
    </w:pPr>
    <w:rPr>
      <w:sz w:val="20"/>
    </w:rPr>
  </w:style>
  <w:style w:type="character" w:customStyle="1" w:styleId="TableTextChar">
    <w:name w:val="TableText Char"/>
    <w:link w:val="TableText"/>
    <w:rsid w:val="00A6757C"/>
    <w:rPr>
      <w:rFonts w:ascii="Georgia" w:hAnsi="Georgia"/>
      <w:lang w:eastAsia="en-GB"/>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rsid w:val="00860F0C"/>
    <w:pPr>
      <w:pBdr>
        <w:top w:val="single" w:sz="4" w:space="12" w:color="auto"/>
        <w:left w:val="single" w:sz="4" w:space="12" w:color="auto"/>
        <w:bottom w:val="single" w:sz="4" w:space="12" w:color="auto"/>
        <w:right w:val="single" w:sz="4" w:space="12" w:color="auto"/>
      </w:pBdr>
      <w:spacing w:before="120"/>
      <w:ind w:left="1134" w:right="284"/>
    </w:pPr>
  </w:style>
  <w:style w:type="paragraph" w:customStyle="1" w:styleId="BoxHeading">
    <w:name w:val="BoxHeading"/>
    <w:basedOn w:val="Box"/>
    <w:qFormat/>
    <w:rPr>
      <w:b/>
      <w:sz w:val="24"/>
    </w:rPr>
  </w:style>
  <w:style w:type="paragraph" w:customStyle="1" w:styleId="BoxBullet">
    <w:name w:val="BoxBullet"/>
    <w:basedOn w:val="Box"/>
    <w:qFormat/>
    <w:rsid w:val="00BA2723"/>
    <w:pPr>
      <w:numPr>
        <w:numId w:val="2"/>
      </w:numPr>
      <w:tabs>
        <w:tab w:val="clear" w:pos="360"/>
      </w:tabs>
      <w:spacing w:before="60"/>
      <w:ind w:left="1418"/>
    </w:pPr>
  </w:style>
  <w:style w:type="paragraph" w:customStyle="1" w:styleId="IntroHead">
    <w:name w:val="IntroHead"/>
    <w:basedOn w:val="Heading1"/>
    <w:next w:val="Normal"/>
    <w:qFormat/>
    <w:rsid w:val="007412A7"/>
    <w:pPr>
      <w:numPr>
        <w:numId w:val="0"/>
      </w:num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rsid w:val="004F0C94"/>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7245D1"/>
    <w:pPr>
      <w:numPr>
        <w:numId w:val="4"/>
      </w:numPr>
      <w:spacing w:before="0" w:after="60"/>
      <w:ind w:left="568" w:hanging="284"/>
    </w:pPr>
    <w:rPr>
      <w:szCs w:val="22"/>
    </w:rPr>
  </w:style>
  <w:style w:type="paragraph" w:customStyle="1" w:styleId="Year">
    <w:name w:val="Year"/>
    <w:basedOn w:val="Subhead"/>
    <w:next w:val="Subhead"/>
    <w:qFormat/>
    <w:rsid w:val="00FF65CD"/>
    <w:pPr>
      <w:pBdr>
        <w:bottom w:val="single" w:sz="48" w:space="6" w:color="auto"/>
      </w:pBdr>
    </w:pPr>
    <w:rPr>
      <w:sz w:val="56"/>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86388B"/>
    <w:rPr>
      <w:rFonts w:ascii="Calibri" w:eastAsia="Calibri" w:hAnsi="Calibri"/>
      <w:sz w:val="22"/>
      <w:szCs w:val="22"/>
      <w:lang w:val="en-US" w:eastAsia="en-US"/>
    </w:rPr>
  </w:style>
  <w:style w:type="paragraph" w:customStyle="1" w:styleId="Number">
    <w:name w:val="Number"/>
    <w:basedOn w:val="Normal"/>
    <w:rsid w:val="00860F0C"/>
    <w:pPr>
      <w:spacing w:before="240"/>
    </w:pPr>
  </w:style>
  <w:style w:type="paragraph" w:styleId="BalloonText">
    <w:name w:val="Balloon Text"/>
    <w:basedOn w:val="Normal"/>
    <w:link w:val="BalloonTextChar"/>
    <w:uiPriority w:val="99"/>
    <w:semiHidden/>
    <w:unhideWhenUsed/>
    <w:rsid w:val="001F08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82B"/>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en.wikipedia.org/wiki/Infant"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4.xml"/><Relationship Id="rId25" Type="http://schemas.openxmlformats.org/officeDocument/2006/relationships/hyperlink" Target="http://en.wikipedia.org/wiki/Reflux"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en.wikipedia.org/wiki/Teething"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en.wikipedia.org/wiki/Gastrointestinal"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en.wikipedia.org/wiki/Baby_colic" TargetMode="External"/><Relationship Id="rId27"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ACFDA-BDBB-4219-9C95-0D39E8464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0</TotalTime>
  <Pages>26</Pages>
  <Words>7707</Words>
  <Characters>43542</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Draft Code of Manufacturing Practice Guidelines: Natural Health Products</vt:lpstr>
    </vt:vector>
  </TitlesOfParts>
  <Company>Microsoft</Company>
  <LinksUpToDate>false</LinksUpToDate>
  <CharactersWithSpaces>51147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Code of Manufacturing Practice Guidelines: Natural Health Products</dc:title>
  <dc:creator>Ministry of Health</dc:creator>
  <cp:lastModifiedBy>Jane Adam</cp:lastModifiedBy>
  <cp:revision>2</cp:revision>
  <cp:lastPrinted>2013-05-22T23:47:00Z</cp:lastPrinted>
  <dcterms:created xsi:type="dcterms:W3CDTF">2015-11-16T20:29:00Z</dcterms:created>
  <dcterms:modified xsi:type="dcterms:W3CDTF">2015-11-16T20:29:00Z</dcterms:modified>
</cp:coreProperties>
</file>